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4.xml" ContentType="application/vnd.openxmlformats-officedocument.wordprocessingml.footer+xml"/>
  <Override PartName="/word/footer5.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6.xml" ContentType="application/vnd.openxmlformats-officedocument.wordprocessingml.footer+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theme/themeOverride1.xml" ContentType="application/vnd.openxmlformats-officedocument.themeOverride+xml"/>
  <Override PartName="/word/charts/chart6.xml" ContentType="application/vnd.openxmlformats-officedocument.drawingml.chart+xml"/>
  <Override PartName="/word/theme/themeOverride2.xml" ContentType="application/vnd.openxmlformats-officedocument.themeOverride+xml"/>
  <Override PartName="/word/charts/chart7.xml" ContentType="application/vnd.openxmlformats-officedocument.drawingml.chart+xml"/>
  <Override PartName="/word/charts/chart8.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3.xml" ContentType="application/vnd.openxmlformats-officedocument.themeOverride+xml"/>
  <Override PartName="/word/charts/chart9.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10.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11.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12.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3.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4.xml" ContentType="application/vnd.openxmlformats-officedocument.themeOverride+xml"/>
  <Override PartName="/word/charts/chart14.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5.xml" ContentType="application/vnd.openxmlformats-officedocument.drawingml.chart+xml"/>
  <Override PartName="/word/charts/style12.xml" ContentType="application/vnd.ms-office.chartstyle+xml"/>
  <Override PartName="/word/charts/colors12.xml" ContentType="application/vnd.ms-office.chartcolorstyle+xml"/>
  <Override PartName="/word/theme/themeOverride5.xml" ContentType="application/vnd.openxmlformats-officedocument.themeOverride+xml"/>
  <Override PartName="/word/charts/chart16.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7.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8.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9.xml" ContentType="application/vnd.openxmlformats-officedocument.drawingml.chart+xml"/>
  <Override PartName="/word/charts/style16.xml" ContentType="application/vnd.ms-office.chartstyle+xml"/>
  <Override PartName="/word/charts/colors16.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Calibri" w:eastAsiaTheme="majorEastAsia" w:hAnsi="Calibri" w:cstheme="majorBidi"/>
          <w:b/>
          <w:caps/>
          <w:lang w:eastAsia="en-US"/>
        </w:rPr>
        <w:id w:val="584655442"/>
        <w:docPartObj>
          <w:docPartGallery w:val="Cover Pages"/>
          <w:docPartUnique/>
        </w:docPartObj>
      </w:sdtPr>
      <w:sdtEndPr>
        <w:rPr>
          <w:rFonts w:asciiTheme="minorHAnsi" w:eastAsia="Calibri" w:hAnsiTheme="minorHAnsi" w:cs="Times New Roman"/>
          <w:caps w:val="0"/>
        </w:rPr>
      </w:sdtEndPr>
      <w:sdtContent>
        <w:tbl>
          <w:tblPr>
            <w:tblW w:w="5000" w:type="pct"/>
            <w:jc w:val="center"/>
            <w:tblLook w:val="04A0" w:firstRow="1" w:lastRow="0" w:firstColumn="1" w:lastColumn="0" w:noHBand="0" w:noVBand="1"/>
          </w:tblPr>
          <w:tblGrid>
            <w:gridCol w:w="9922"/>
          </w:tblGrid>
          <w:tr w:rsidR="00A569F9" w:rsidRPr="002048A7" w14:paraId="002A8D9F" w14:textId="77777777" w:rsidTr="00943F68">
            <w:trPr>
              <w:trHeight w:val="4105"/>
              <w:jc w:val="center"/>
            </w:trPr>
            <w:tc>
              <w:tcPr>
                <w:tcW w:w="5000" w:type="pct"/>
              </w:tcPr>
              <w:p w14:paraId="51335CE0" w14:textId="77777777" w:rsidR="00A569F9" w:rsidRPr="002048A7" w:rsidRDefault="00A569F9" w:rsidP="009B7289">
                <w:pPr>
                  <w:pStyle w:val="AralkYok"/>
                  <w:jc w:val="both"/>
                  <w:rPr>
                    <w:rFonts w:eastAsiaTheme="majorEastAsia" w:cstheme="majorBidi"/>
                    <w:b/>
                    <w:caps/>
                  </w:rPr>
                </w:pPr>
              </w:p>
              <w:p w14:paraId="3A7EE719" w14:textId="77777777" w:rsidR="00A569F9" w:rsidRPr="002048A7" w:rsidRDefault="00A569F9" w:rsidP="009B7289">
                <w:pPr>
                  <w:pStyle w:val="AralkYok"/>
                  <w:jc w:val="both"/>
                  <w:rPr>
                    <w:rFonts w:eastAsiaTheme="majorEastAsia" w:cstheme="majorBidi"/>
                    <w:b/>
                    <w:caps/>
                  </w:rPr>
                </w:pPr>
              </w:p>
              <w:p w14:paraId="31748F3D" w14:textId="77777777" w:rsidR="00A569F9" w:rsidRPr="002048A7" w:rsidRDefault="00A569F9" w:rsidP="009B7289">
                <w:pPr>
                  <w:pStyle w:val="AralkYok"/>
                  <w:jc w:val="both"/>
                  <w:rPr>
                    <w:rFonts w:eastAsiaTheme="majorEastAsia" w:cstheme="majorBidi"/>
                    <w:b/>
                    <w:caps/>
                  </w:rPr>
                </w:pPr>
              </w:p>
              <w:p w14:paraId="5FA7D2E0" w14:textId="77777777" w:rsidR="00A569F9" w:rsidRPr="002048A7" w:rsidRDefault="00A569F9" w:rsidP="009B7289">
                <w:pPr>
                  <w:pStyle w:val="AralkYok"/>
                  <w:jc w:val="both"/>
                  <w:rPr>
                    <w:rFonts w:eastAsiaTheme="majorEastAsia" w:cstheme="majorBidi"/>
                    <w:b/>
                    <w:caps/>
                  </w:rPr>
                </w:pPr>
              </w:p>
              <w:p w14:paraId="4451D2A9" w14:textId="77777777" w:rsidR="00A569F9" w:rsidRPr="002048A7" w:rsidRDefault="00A569F9" w:rsidP="009B7289">
                <w:pPr>
                  <w:pStyle w:val="AralkYok"/>
                  <w:jc w:val="both"/>
                  <w:rPr>
                    <w:rFonts w:eastAsiaTheme="majorEastAsia" w:cstheme="majorBidi"/>
                    <w:b/>
                    <w:caps/>
                  </w:rPr>
                </w:pPr>
              </w:p>
              <w:p w14:paraId="120B7DD5" w14:textId="77777777" w:rsidR="00A569F9" w:rsidRPr="002048A7" w:rsidRDefault="00A569F9" w:rsidP="009B7289">
                <w:pPr>
                  <w:pStyle w:val="AralkYok"/>
                  <w:jc w:val="both"/>
                  <w:rPr>
                    <w:rFonts w:eastAsiaTheme="majorEastAsia" w:cstheme="majorBidi"/>
                    <w:b/>
                    <w:caps/>
                  </w:rPr>
                </w:pPr>
              </w:p>
              <w:p w14:paraId="5DE6FF16" w14:textId="77777777" w:rsidR="00A569F9" w:rsidRPr="002048A7" w:rsidRDefault="00A569F9" w:rsidP="009B7289">
                <w:pPr>
                  <w:pStyle w:val="AralkYok"/>
                  <w:jc w:val="both"/>
                  <w:rPr>
                    <w:rFonts w:eastAsiaTheme="majorEastAsia" w:cstheme="majorBidi"/>
                    <w:b/>
                    <w:caps/>
                  </w:rPr>
                </w:pPr>
              </w:p>
              <w:p w14:paraId="01D4DD5E" w14:textId="77777777" w:rsidR="00A569F9" w:rsidRPr="002048A7" w:rsidRDefault="00A569F9" w:rsidP="009B7289">
                <w:pPr>
                  <w:pStyle w:val="AralkYok"/>
                  <w:jc w:val="both"/>
                  <w:rPr>
                    <w:rFonts w:eastAsiaTheme="majorEastAsia" w:cstheme="majorBidi"/>
                    <w:b/>
                    <w:caps/>
                  </w:rPr>
                </w:pPr>
              </w:p>
              <w:p w14:paraId="5E3D019D" w14:textId="77777777" w:rsidR="00A569F9" w:rsidRPr="002048A7" w:rsidRDefault="00A569F9" w:rsidP="009B7289">
                <w:pPr>
                  <w:pStyle w:val="AralkYok"/>
                  <w:jc w:val="both"/>
                  <w:rPr>
                    <w:rFonts w:eastAsiaTheme="majorEastAsia" w:cstheme="majorBidi"/>
                    <w:b/>
                    <w:caps/>
                  </w:rPr>
                </w:pPr>
              </w:p>
              <w:p w14:paraId="6573D327" w14:textId="77777777" w:rsidR="00A569F9" w:rsidRPr="002048A7" w:rsidRDefault="00A569F9" w:rsidP="009B7289">
                <w:pPr>
                  <w:pStyle w:val="AralkYok"/>
                  <w:jc w:val="both"/>
                  <w:rPr>
                    <w:rFonts w:eastAsiaTheme="majorEastAsia" w:cstheme="majorBidi"/>
                    <w:b/>
                    <w:caps/>
                  </w:rPr>
                </w:pPr>
              </w:p>
              <w:p w14:paraId="27787E53" w14:textId="77777777" w:rsidR="00A569F9" w:rsidRPr="002048A7" w:rsidRDefault="00A569F9" w:rsidP="009B7289">
                <w:pPr>
                  <w:pStyle w:val="AralkYok"/>
                  <w:jc w:val="both"/>
                  <w:rPr>
                    <w:rFonts w:eastAsiaTheme="majorEastAsia" w:cstheme="majorBidi"/>
                    <w:b/>
                    <w:caps/>
                  </w:rPr>
                </w:pPr>
              </w:p>
              <w:p w14:paraId="5492F2FE" w14:textId="77777777" w:rsidR="00A569F9" w:rsidRPr="002048A7" w:rsidRDefault="00A569F9" w:rsidP="009B7289">
                <w:pPr>
                  <w:pStyle w:val="AralkYok"/>
                  <w:jc w:val="both"/>
                  <w:rPr>
                    <w:rFonts w:eastAsiaTheme="majorEastAsia" w:cstheme="majorBidi"/>
                    <w:b/>
                    <w:caps/>
                  </w:rPr>
                </w:pPr>
              </w:p>
              <w:p w14:paraId="2480E6FF" w14:textId="77777777" w:rsidR="00A569F9" w:rsidRPr="002048A7" w:rsidRDefault="00A569F9" w:rsidP="009B7289">
                <w:pPr>
                  <w:pStyle w:val="AralkYok"/>
                  <w:jc w:val="both"/>
                  <w:rPr>
                    <w:rFonts w:eastAsiaTheme="majorEastAsia" w:cstheme="majorBidi"/>
                    <w:b/>
                    <w:caps/>
                  </w:rPr>
                </w:pPr>
              </w:p>
            </w:tc>
          </w:tr>
          <w:tr w:rsidR="00A569F9" w:rsidRPr="002048A7" w14:paraId="216DFB44" w14:textId="77777777">
            <w:trPr>
              <w:trHeight w:val="1440"/>
              <w:jc w:val="center"/>
            </w:trPr>
            <w:sdt>
              <w:sdtPr>
                <w:rPr>
                  <w:rFonts w:eastAsiaTheme="majorEastAsia" w:cs="Times New Roman"/>
                  <w:sz w:val="96"/>
                  <w:szCs w:val="96"/>
                </w:rPr>
                <w:alias w:val="Başlık"/>
                <w:id w:val="15524250"/>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14:paraId="7B87BD16" w14:textId="77777777" w:rsidR="00A569F9" w:rsidRPr="002048A7" w:rsidRDefault="00581939" w:rsidP="009B7289">
                    <w:pPr>
                      <w:pStyle w:val="AralkYok"/>
                      <w:jc w:val="center"/>
                      <w:rPr>
                        <w:rFonts w:eastAsiaTheme="majorEastAsia" w:cs="Times New Roman"/>
                        <w:sz w:val="96"/>
                        <w:szCs w:val="96"/>
                      </w:rPr>
                    </w:pPr>
                    <w:r>
                      <w:rPr>
                        <w:rFonts w:eastAsiaTheme="majorEastAsia" w:cs="Times New Roman"/>
                        <w:sz w:val="96"/>
                        <w:szCs w:val="96"/>
                      </w:rPr>
                      <w:t>ENERJİ PİYASASI DÜZENLEME KURUMU</w:t>
                    </w:r>
                  </w:p>
                </w:tc>
              </w:sdtContent>
            </w:sdt>
          </w:tr>
          <w:tr w:rsidR="00A569F9" w:rsidRPr="002048A7" w14:paraId="13ED6373" w14:textId="77777777" w:rsidTr="00943F68">
            <w:trPr>
              <w:trHeight w:val="2333"/>
              <w:jc w:val="center"/>
            </w:trPr>
            <w:sdt>
              <w:sdtPr>
                <w:rPr>
                  <w:rFonts w:eastAsia="Times New Roman" w:cs="Times New Roman"/>
                  <w:sz w:val="96"/>
                  <w:szCs w:val="96"/>
                </w:rPr>
                <w:alias w:val="Alt Başlık"/>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14:paraId="134D34C0" w14:textId="77777777" w:rsidR="00A569F9" w:rsidRPr="002048A7" w:rsidRDefault="00581939" w:rsidP="00BB75E8">
                    <w:pPr>
                      <w:pStyle w:val="AralkYok"/>
                      <w:jc w:val="center"/>
                      <w:rPr>
                        <w:rFonts w:eastAsiaTheme="majorEastAsia" w:cs="Times New Roman"/>
                        <w:sz w:val="96"/>
                        <w:szCs w:val="96"/>
                      </w:rPr>
                    </w:pPr>
                    <w:r>
                      <w:rPr>
                        <w:rFonts w:eastAsia="Times New Roman" w:cs="Times New Roman"/>
                        <w:sz w:val="96"/>
                        <w:szCs w:val="96"/>
                      </w:rPr>
                      <w:t>202</w:t>
                    </w:r>
                    <w:r w:rsidR="00A35DB2">
                      <w:rPr>
                        <w:rFonts w:eastAsia="Times New Roman" w:cs="Times New Roman"/>
                        <w:sz w:val="96"/>
                        <w:szCs w:val="96"/>
                      </w:rPr>
                      <w:t>4</w:t>
                    </w:r>
                    <w:r>
                      <w:rPr>
                        <w:rFonts w:eastAsia="Times New Roman" w:cs="Times New Roman"/>
                        <w:sz w:val="96"/>
                        <w:szCs w:val="96"/>
                      </w:rPr>
                      <w:t xml:space="preserve"> YILI FAALİYET RAPORU</w:t>
                    </w:r>
                  </w:p>
                </w:tc>
              </w:sdtContent>
            </w:sdt>
          </w:tr>
          <w:tr w:rsidR="00A569F9" w:rsidRPr="002048A7" w14:paraId="2A20E657" w14:textId="77777777">
            <w:trPr>
              <w:trHeight w:val="360"/>
              <w:jc w:val="center"/>
            </w:trPr>
            <w:tc>
              <w:tcPr>
                <w:tcW w:w="5000" w:type="pct"/>
                <w:vAlign w:val="center"/>
              </w:tcPr>
              <w:p w14:paraId="150CE103" w14:textId="77777777" w:rsidR="00A569F9" w:rsidRPr="002048A7" w:rsidRDefault="00A569F9" w:rsidP="009B7289">
                <w:pPr>
                  <w:pStyle w:val="AralkYok"/>
                  <w:jc w:val="both"/>
                </w:pPr>
              </w:p>
            </w:tc>
          </w:tr>
          <w:tr w:rsidR="00A569F9" w:rsidRPr="002048A7" w14:paraId="400594AD" w14:textId="77777777">
            <w:trPr>
              <w:trHeight w:val="360"/>
              <w:jc w:val="center"/>
            </w:trPr>
            <w:tc>
              <w:tcPr>
                <w:tcW w:w="5000" w:type="pct"/>
                <w:vAlign w:val="center"/>
              </w:tcPr>
              <w:p w14:paraId="4B315E90" w14:textId="77777777" w:rsidR="00A569F9" w:rsidRPr="002048A7" w:rsidRDefault="00A569F9" w:rsidP="009B7289">
                <w:pPr>
                  <w:pStyle w:val="AralkYok"/>
                  <w:jc w:val="both"/>
                  <w:rPr>
                    <w:b/>
                    <w:bCs/>
                  </w:rPr>
                </w:pPr>
              </w:p>
            </w:tc>
          </w:tr>
          <w:tr w:rsidR="00A569F9" w:rsidRPr="002048A7" w14:paraId="089C8FBC" w14:textId="77777777">
            <w:trPr>
              <w:trHeight w:val="360"/>
              <w:jc w:val="center"/>
            </w:trPr>
            <w:tc>
              <w:tcPr>
                <w:tcW w:w="5000" w:type="pct"/>
                <w:vAlign w:val="center"/>
              </w:tcPr>
              <w:p w14:paraId="31258CF0" w14:textId="77777777" w:rsidR="00A569F9" w:rsidRPr="002048A7" w:rsidRDefault="00A569F9" w:rsidP="009B7289">
                <w:pPr>
                  <w:pStyle w:val="AralkYok"/>
                  <w:jc w:val="both"/>
                  <w:rPr>
                    <w:b/>
                    <w:bCs/>
                  </w:rPr>
                </w:pPr>
              </w:p>
            </w:tc>
          </w:tr>
        </w:tbl>
        <w:p w14:paraId="7942C9C7" w14:textId="77777777" w:rsidR="00A569F9" w:rsidRPr="002048A7" w:rsidRDefault="00A569F9" w:rsidP="009B7289"/>
        <w:p w14:paraId="1243D720" w14:textId="77777777" w:rsidR="00A569F9" w:rsidRPr="002048A7" w:rsidRDefault="00A569F9" w:rsidP="009B7289"/>
        <w:p w14:paraId="4FA0959B" w14:textId="77777777" w:rsidR="008354F9" w:rsidRPr="002048A7" w:rsidRDefault="008354F9">
          <w:pPr>
            <w:rPr>
              <w:rFonts w:eastAsiaTheme="minorHAnsi" w:cstheme="minorBidi"/>
              <w:b/>
              <w:color w:val="000000"/>
            </w:rPr>
          </w:pPr>
          <w:r w:rsidRPr="002048A7">
            <w:rPr>
              <w:rFonts w:eastAsiaTheme="minorHAnsi" w:cstheme="minorBidi"/>
              <w:b/>
              <w:color w:val="000000"/>
            </w:rPr>
            <w:br w:type="page"/>
          </w:r>
        </w:p>
      </w:sdtContent>
    </w:sdt>
    <w:p w14:paraId="5E9830E0" w14:textId="77777777" w:rsidR="00E65EAD" w:rsidRPr="002048A7" w:rsidRDefault="00E65EAD" w:rsidP="00711603">
      <w:pPr>
        <w:jc w:val="center"/>
        <w:rPr>
          <w:b/>
        </w:rPr>
        <w:sectPr w:rsidR="00E65EAD" w:rsidRPr="002048A7" w:rsidSect="00A92DB0">
          <w:footerReference w:type="default" r:id="rId9"/>
          <w:footerReference w:type="first" r:id="rId10"/>
          <w:pgSz w:w="11906" w:h="16838"/>
          <w:pgMar w:top="1418" w:right="566" w:bottom="1418" w:left="1418" w:header="709" w:footer="709" w:gutter="0"/>
          <w:pgNumType w:start="1"/>
          <w:cols w:space="708"/>
          <w:titlePg/>
          <w:docGrid w:linePitch="360"/>
        </w:sectPr>
      </w:pPr>
    </w:p>
    <w:p w14:paraId="0F97EBDA" w14:textId="77777777" w:rsidR="007675C6" w:rsidRPr="002048A7" w:rsidRDefault="007675C6" w:rsidP="008C40F5">
      <w:pPr>
        <w:jc w:val="center"/>
        <w:rPr>
          <w:b/>
        </w:rPr>
      </w:pPr>
      <w:r w:rsidRPr="002048A7">
        <w:rPr>
          <w:b/>
        </w:rPr>
        <w:lastRenderedPageBreak/>
        <w:t>İÇİNDEKİLER</w:t>
      </w:r>
    </w:p>
    <w:p w14:paraId="347E4866" w14:textId="42C3CFDE" w:rsidR="007F3AB0" w:rsidRDefault="00364BDD">
      <w:pPr>
        <w:pStyle w:val="T1"/>
        <w:rPr>
          <w:rFonts w:eastAsiaTheme="minorEastAsia" w:cstheme="minorBidi"/>
          <w:b w:val="0"/>
          <w:noProof/>
          <w:lang w:eastAsia="tr-TR"/>
        </w:rPr>
      </w:pPr>
      <w:r w:rsidRPr="002048A7">
        <w:fldChar w:fldCharType="begin"/>
      </w:r>
      <w:r w:rsidR="00B74979" w:rsidRPr="002048A7">
        <w:instrText xml:space="preserve"> TOC \o "1-4" \h \z \u </w:instrText>
      </w:r>
      <w:r w:rsidRPr="002048A7">
        <w:fldChar w:fldCharType="separate"/>
      </w:r>
      <w:hyperlink w:anchor="_Toc195868657" w:history="1">
        <w:r w:rsidR="007F3AB0" w:rsidRPr="00557829">
          <w:rPr>
            <w:rStyle w:val="Kpr"/>
            <w:bCs/>
            <w:smallCaps/>
            <w:noProof/>
          </w:rPr>
          <w:t>BİRİNCİ BÖLÜM</w:t>
        </w:r>
        <w:r w:rsidR="007F3AB0">
          <w:rPr>
            <w:noProof/>
            <w:webHidden/>
          </w:rPr>
          <w:tab/>
        </w:r>
        <w:r w:rsidR="007F3AB0">
          <w:rPr>
            <w:noProof/>
            <w:webHidden/>
          </w:rPr>
          <w:fldChar w:fldCharType="begin"/>
        </w:r>
        <w:r w:rsidR="007F3AB0">
          <w:rPr>
            <w:noProof/>
            <w:webHidden/>
          </w:rPr>
          <w:instrText xml:space="preserve"> PAGEREF _Toc195868657 \h </w:instrText>
        </w:r>
        <w:r w:rsidR="007F3AB0">
          <w:rPr>
            <w:noProof/>
            <w:webHidden/>
          </w:rPr>
        </w:r>
        <w:r w:rsidR="007F3AB0">
          <w:rPr>
            <w:noProof/>
            <w:webHidden/>
          </w:rPr>
          <w:fldChar w:fldCharType="separate"/>
        </w:r>
        <w:r w:rsidR="00AE2496">
          <w:rPr>
            <w:noProof/>
            <w:webHidden/>
          </w:rPr>
          <w:t>1</w:t>
        </w:r>
        <w:r w:rsidR="007F3AB0">
          <w:rPr>
            <w:noProof/>
            <w:webHidden/>
          </w:rPr>
          <w:fldChar w:fldCharType="end"/>
        </w:r>
      </w:hyperlink>
    </w:p>
    <w:p w14:paraId="6BAC3F0D" w14:textId="748ECF06" w:rsidR="007F3AB0" w:rsidRDefault="0032505C">
      <w:pPr>
        <w:pStyle w:val="T1"/>
        <w:tabs>
          <w:tab w:val="left" w:pos="660"/>
        </w:tabs>
        <w:rPr>
          <w:rFonts w:eastAsiaTheme="minorEastAsia" w:cstheme="minorBidi"/>
          <w:b w:val="0"/>
          <w:noProof/>
          <w:lang w:eastAsia="tr-TR"/>
        </w:rPr>
      </w:pPr>
      <w:hyperlink w:anchor="_Toc195868658" w:history="1">
        <w:r w:rsidR="007F3AB0" w:rsidRPr="00557829">
          <w:rPr>
            <w:rStyle w:val="Kpr"/>
            <w:noProof/>
          </w:rPr>
          <w:t>1.</w:t>
        </w:r>
        <w:r w:rsidR="007F3AB0">
          <w:rPr>
            <w:rFonts w:eastAsiaTheme="minorEastAsia" w:cstheme="minorBidi"/>
            <w:b w:val="0"/>
            <w:noProof/>
            <w:lang w:eastAsia="tr-TR"/>
          </w:rPr>
          <w:tab/>
        </w:r>
        <w:r w:rsidR="007F3AB0" w:rsidRPr="00557829">
          <w:rPr>
            <w:rStyle w:val="Kpr"/>
            <w:noProof/>
          </w:rPr>
          <w:t>ENERJİ PİYASASI DÜZENLEME KURUMU</w:t>
        </w:r>
        <w:r w:rsidR="007F3AB0">
          <w:rPr>
            <w:noProof/>
            <w:webHidden/>
          </w:rPr>
          <w:tab/>
        </w:r>
        <w:r w:rsidR="007F3AB0">
          <w:rPr>
            <w:noProof/>
            <w:webHidden/>
          </w:rPr>
          <w:fldChar w:fldCharType="begin"/>
        </w:r>
        <w:r w:rsidR="007F3AB0">
          <w:rPr>
            <w:noProof/>
            <w:webHidden/>
          </w:rPr>
          <w:instrText xml:space="preserve"> PAGEREF _Toc195868658 \h </w:instrText>
        </w:r>
        <w:r w:rsidR="007F3AB0">
          <w:rPr>
            <w:noProof/>
            <w:webHidden/>
          </w:rPr>
        </w:r>
        <w:r w:rsidR="007F3AB0">
          <w:rPr>
            <w:noProof/>
            <w:webHidden/>
          </w:rPr>
          <w:fldChar w:fldCharType="separate"/>
        </w:r>
        <w:r w:rsidR="00AE2496">
          <w:rPr>
            <w:noProof/>
            <w:webHidden/>
          </w:rPr>
          <w:t>1</w:t>
        </w:r>
        <w:r w:rsidR="007F3AB0">
          <w:rPr>
            <w:noProof/>
            <w:webHidden/>
          </w:rPr>
          <w:fldChar w:fldCharType="end"/>
        </w:r>
      </w:hyperlink>
    </w:p>
    <w:p w14:paraId="49FBD94C" w14:textId="5FA7BFBB" w:rsidR="007F3AB0" w:rsidRDefault="0032505C">
      <w:pPr>
        <w:pStyle w:val="T2"/>
        <w:rPr>
          <w:rFonts w:eastAsiaTheme="minorEastAsia" w:cstheme="minorBidi"/>
          <w:bCs w:val="0"/>
          <w:lang w:eastAsia="tr-TR"/>
        </w:rPr>
      </w:pPr>
      <w:hyperlink w:anchor="_Toc195868659" w:history="1">
        <w:r w:rsidR="007F3AB0" w:rsidRPr="00557829">
          <w:rPr>
            <w:rStyle w:val="Kpr"/>
          </w:rPr>
          <w:t>1.1.</w:t>
        </w:r>
        <w:r w:rsidR="007F3AB0">
          <w:rPr>
            <w:rFonts w:eastAsiaTheme="minorEastAsia" w:cstheme="minorBidi"/>
            <w:bCs w:val="0"/>
            <w:lang w:eastAsia="tr-TR"/>
          </w:rPr>
          <w:tab/>
        </w:r>
        <w:r w:rsidR="007F3AB0" w:rsidRPr="00557829">
          <w:rPr>
            <w:rStyle w:val="Kpr"/>
          </w:rPr>
          <w:t>Kurumun Görev, Yetki ve Sorumlulukları</w:t>
        </w:r>
        <w:r w:rsidR="007F3AB0">
          <w:rPr>
            <w:webHidden/>
          </w:rPr>
          <w:tab/>
        </w:r>
        <w:r w:rsidR="007F3AB0">
          <w:rPr>
            <w:webHidden/>
          </w:rPr>
          <w:fldChar w:fldCharType="begin"/>
        </w:r>
        <w:r w:rsidR="007F3AB0">
          <w:rPr>
            <w:webHidden/>
          </w:rPr>
          <w:instrText xml:space="preserve"> PAGEREF _Toc195868659 \h </w:instrText>
        </w:r>
        <w:r w:rsidR="007F3AB0">
          <w:rPr>
            <w:webHidden/>
          </w:rPr>
        </w:r>
        <w:r w:rsidR="007F3AB0">
          <w:rPr>
            <w:webHidden/>
          </w:rPr>
          <w:fldChar w:fldCharType="separate"/>
        </w:r>
        <w:r w:rsidR="00AE2496">
          <w:rPr>
            <w:webHidden/>
          </w:rPr>
          <w:t>1</w:t>
        </w:r>
        <w:r w:rsidR="007F3AB0">
          <w:rPr>
            <w:webHidden/>
          </w:rPr>
          <w:fldChar w:fldCharType="end"/>
        </w:r>
      </w:hyperlink>
    </w:p>
    <w:p w14:paraId="5DCC10F3" w14:textId="00F77386" w:rsidR="007F3AB0" w:rsidRDefault="0032505C">
      <w:pPr>
        <w:pStyle w:val="T2"/>
        <w:rPr>
          <w:rFonts w:eastAsiaTheme="minorEastAsia" w:cstheme="minorBidi"/>
          <w:bCs w:val="0"/>
          <w:lang w:eastAsia="tr-TR"/>
        </w:rPr>
      </w:pPr>
      <w:hyperlink w:anchor="_Toc195868660" w:history="1">
        <w:r w:rsidR="007F3AB0" w:rsidRPr="00557829">
          <w:rPr>
            <w:rStyle w:val="Kpr"/>
          </w:rPr>
          <w:t>1.2.</w:t>
        </w:r>
        <w:r w:rsidR="007F3AB0">
          <w:rPr>
            <w:rFonts w:eastAsiaTheme="minorEastAsia" w:cstheme="minorBidi"/>
            <w:bCs w:val="0"/>
            <w:lang w:eastAsia="tr-TR"/>
          </w:rPr>
          <w:tab/>
        </w:r>
        <w:r w:rsidR="007F3AB0" w:rsidRPr="00557829">
          <w:rPr>
            <w:rStyle w:val="Kpr"/>
          </w:rPr>
          <w:t>Kurumun Yapısı</w:t>
        </w:r>
        <w:r w:rsidR="007F3AB0">
          <w:rPr>
            <w:webHidden/>
          </w:rPr>
          <w:tab/>
        </w:r>
        <w:r w:rsidR="007F3AB0">
          <w:rPr>
            <w:webHidden/>
          </w:rPr>
          <w:fldChar w:fldCharType="begin"/>
        </w:r>
        <w:r w:rsidR="007F3AB0">
          <w:rPr>
            <w:webHidden/>
          </w:rPr>
          <w:instrText xml:space="preserve"> PAGEREF _Toc195868660 \h </w:instrText>
        </w:r>
        <w:r w:rsidR="007F3AB0">
          <w:rPr>
            <w:webHidden/>
          </w:rPr>
        </w:r>
        <w:r w:rsidR="007F3AB0">
          <w:rPr>
            <w:webHidden/>
          </w:rPr>
          <w:fldChar w:fldCharType="separate"/>
        </w:r>
        <w:r w:rsidR="00AE2496">
          <w:rPr>
            <w:webHidden/>
          </w:rPr>
          <w:t>2</w:t>
        </w:r>
        <w:r w:rsidR="007F3AB0">
          <w:rPr>
            <w:webHidden/>
          </w:rPr>
          <w:fldChar w:fldCharType="end"/>
        </w:r>
      </w:hyperlink>
    </w:p>
    <w:p w14:paraId="78B31A08" w14:textId="12F5A20B" w:rsidR="007F3AB0" w:rsidRDefault="0032505C">
      <w:pPr>
        <w:pStyle w:val="T3"/>
        <w:rPr>
          <w:rFonts w:eastAsiaTheme="minorEastAsia" w:cstheme="minorBidi"/>
          <w:noProof/>
          <w:lang w:eastAsia="tr-TR"/>
        </w:rPr>
      </w:pPr>
      <w:hyperlink w:anchor="_Toc195868661" w:history="1">
        <w:r w:rsidR="007F3AB0" w:rsidRPr="00557829">
          <w:rPr>
            <w:rStyle w:val="Kpr"/>
            <w:rFonts w:cstheme="minorHAnsi"/>
            <w:noProof/>
          </w:rPr>
          <w:t>1.2.1.</w:t>
        </w:r>
        <w:r w:rsidR="007F3AB0">
          <w:rPr>
            <w:rFonts w:eastAsiaTheme="minorEastAsia" w:cstheme="minorBidi"/>
            <w:noProof/>
            <w:lang w:eastAsia="tr-TR"/>
          </w:rPr>
          <w:tab/>
        </w:r>
        <w:r w:rsidR="007F3AB0" w:rsidRPr="00557829">
          <w:rPr>
            <w:rStyle w:val="Kpr"/>
            <w:noProof/>
          </w:rPr>
          <w:t>Enerji Piyasası Düzenleme Kurulu</w:t>
        </w:r>
        <w:r w:rsidR="007F3AB0">
          <w:rPr>
            <w:noProof/>
            <w:webHidden/>
          </w:rPr>
          <w:tab/>
        </w:r>
        <w:r w:rsidR="007F3AB0">
          <w:rPr>
            <w:noProof/>
            <w:webHidden/>
          </w:rPr>
          <w:fldChar w:fldCharType="begin"/>
        </w:r>
        <w:r w:rsidR="007F3AB0">
          <w:rPr>
            <w:noProof/>
            <w:webHidden/>
          </w:rPr>
          <w:instrText xml:space="preserve"> PAGEREF _Toc195868661 \h </w:instrText>
        </w:r>
        <w:r w:rsidR="007F3AB0">
          <w:rPr>
            <w:noProof/>
            <w:webHidden/>
          </w:rPr>
        </w:r>
        <w:r w:rsidR="007F3AB0">
          <w:rPr>
            <w:noProof/>
            <w:webHidden/>
          </w:rPr>
          <w:fldChar w:fldCharType="separate"/>
        </w:r>
        <w:r w:rsidR="00AE2496">
          <w:rPr>
            <w:noProof/>
            <w:webHidden/>
          </w:rPr>
          <w:t>2</w:t>
        </w:r>
        <w:r w:rsidR="007F3AB0">
          <w:rPr>
            <w:noProof/>
            <w:webHidden/>
          </w:rPr>
          <w:fldChar w:fldCharType="end"/>
        </w:r>
      </w:hyperlink>
    </w:p>
    <w:p w14:paraId="09FAAA5B" w14:textId="2BDA555B" w:rsidR="007F3AB0" w:rsidRDefault="0032505C">
      <w:pPr>
        <w:pStyle w:val="T3"/>
        <w:rPr>
          <w:rFonts w:eastAsiaTheme="minorEastAsia" w:cstheme="minorBidi"/>
          <w:noProof/>
          <w:lang w:eastAsia="tr-TR"/>
        </w:rPr>
      </w:pPr>
      <w:hyperlink w:anchor="_Toc195868662" w:history="1">
        <w:r w:rsidR="007F3AB0" w:rsidRPr="00557829">
          <w:rPr>
            <w:rStyle w:val="Kpr"/>
            <w:rFonts w:cstheme="minorHAnsi"/>
            <w:noProof/>
          </w:rPr>
          <w:t>1.2.2.</w:t>
        </w:r>
        <w:r w:rsidR="007F3AB0">
          <w:rPr>
            <w:rFonts w:eastAsiaTheme="minorEastAsia" w:cstheme="minorBidi"/>
            <w:noProof/>
            <w:lang w:eastAsia="tr-TR"/>
          </w:rPr>
          <w:tab/>
        </w:r>
        <w:r w:rsidR="007F3AB0" w:rsidRPr="00557829">
          <w:rPr>
            <w:rStyle w:val="Kpr"/>
            <w:noProof/>
          </w:rPr>
          <w:t>Başkanlık</w:t>
        </w:r>
        <w:r w:rsidR="007F3AB0">
          <w:rPr>
            <w:noProof/>
            <w:webHidden/>
          </w:rPr>
          <w:tab/>
        </w:r>
        <w:r w:rsidR="007F3AB0">
          <w:rPr>
            <w:noProof/>
            <w:webHidden/>
          </w:rPr>
          <w:fldChar w:fldCharType="begin"/>
        </w:r>
        <w:r w:rsidR="007F3AB0">
          <w:rPr>
            <w:noProof/>
            <w:webHidden/>
          </w:rPr>
          <w:instrText xml:space="preserve"> PAGEREF _Toc195868662 \h </w:instrText>
        </w:r>
        <w:r w:rsidR="007F3AB0">
          <w:rPr>
            <w:noProof/>
            <w:webHidden/>
          </w:rPr>
        </w:r>
        <w:r w:rsidR="007F3AB0">
          <w:rPr>
            <w:noProof/>
            <w:webHidden/>
          </w:rPr>
          <w:fldChar w:fldCharType="separate"/>
        </w:r>
        <w:r w:rsidR="00AE2496">
          <w:rPr>
            <w:noProof/>
            <w:webHidden/>
          </w:rPr>
          <w:t>5</w:t>
        </w:r>
        <w:r w:rsidR="007F3AB0">
          <w:rPr>
            <w:noProof/>
            <w:webHidden/>
          </w:rPr>
          <w:fldChar w:fldCharType="end"/>
        </w:r>
      </w:hyperlink>
    </w:p>
    <w:p w14:paraId="70662BDD" w14:textId="6B5B9E1F" w:rsidR="007F3AB0" w:rsidRDefault="0032505C">
      <w:pPr>
        <w:pStyle w:val="T3"/>
        <w:rPr>
          <w:rFonts w:eastAsiaTheme="minorEastAsia" w:cstheme="minorBidi"/>
          <w:noProof/>
          <w:lang w:eastAsia="tr-TR"/>
        </w:rPr>
      </w:pPr>
      <w:hyperlink w:anchor="_Toc195868663" w:history="1">
        <w:r w:rsidR="007F3AB0" w:rsidRPr="00557829">
          <w:rPr>
            <w:rStyle w:val="Kpr"/>
            <w:rFonts w:cstheme="minorHAnsi"/>
            <w:noProof/>
          </w:rPr>
          <w:t>1.2.3.</w:t>
        </w:r>
        <w:r w:rsidR="007F3AB0">
          <w:rPr>
            <w:rFonts w:eastAsiaTheme="minorEastAsia" w:cstheme="minorBidi"/>
            <w:noProof/>
            <w:lang w:eastAsia="tr-TR"/>
          </w:rPr>
          <w:tab/>
        </w:r>
        <w:r w:rsidR="007F3AB0" w:rsidRPr="00557829">
          <w:rPr>
            <w:rStyle w:val="Kpr"/>
            <w:noProof/>
          </w:rPr>
          <w:t>Hizmet Birimleri</w:t>
        </w:r>
        <w:r w:rsidR="007F3AB0">
          <w:rPr>
            <w:noProof/>
            <w:webHidden/>
          </w:rPr>
          <w:tab/>
        </w:r>
        <w:r w:rsidR="007F3AB0">
          <w:rPr>
            <w:noProof/>
            <w:webHidden/>
          </w:rPr>
          <w:fldChar w:fldCharType="begin"/>
        </w:r>
        <w:r w:rsidR="007F3AB0">
          <w:rPr>
            <w:noProof/>
            <w:webHidden/>
          </w:rPr>
          <w:instrText xml:space="preserve"> PAGEREF _Toc195868663 \h </w:instrText>
        </w:r>
        <w:r w:rsidR="007F3AB0">
          <w:rPr>
            <w:noProof/>
            <w:webHidden/>
          </w:rPr>
        </w:r>
        <w:r w:rsidR="007F3AB0">
          <w:rPr>
            <w:noProof/>
            <w:webHidden/>
          </w:rPr>
          <w:fldChar w:fldCharType="separate"/>
        </w:r>
        <w:r w:rsidR="00AE2496">
          <w:rPr>
            <w:noProof/>
            <w:webHidden/>
          </w:rPr>
          <w:t>5</w:t>
        </w:r>
        <w:r w:rsidR="007F3AB0">
          <w:rPr>
            <w:noProof/>
            <w:webHidden/>
          </w:rPr>
          <w:fldChar w:fldCharType="end"/>
        </w:r>
      </w:hyperlink>
    </w:p>
    <w:p w14:paraId="1AADB014" w14:textId="5EE2AE41" w:rsidR="007F3AB0" w:rsidRDefault="0032505C">
      <w:pPr>
        <w:pStyle w:val="T2"/>
        <w:rPr>
          <w:rFonts w:eastAsiaTheme="minorEastAsia" w:cstheme="minorBidi"/>
          <w:bCs w:val="0"/>
          <w:lang w:eastAsia="tr-TR"/>
        </w:rPr>
      </w:pPr>
      <w:hyperlink w:anchor="_Toc195868664" w:history="1">
        <w:r w:rsidR="007F3AB0" w:rsidRPr="00557829">
          <w:rPr>
            <w:rStyle w:val="Kpr"/>
          </w:rPr>
          <w:t>1.3.</w:t>
        </w:r>
        <w:r w:rsidR="007F3AB0">
          <w:rPr>
            <w:rFonts w:eastAsiaTheme="minorEastAsia" w:cstheme="minorBidi"/>
            <w:bCs w:val="0"/>
            <w:lang w:eastAsia="tr-TR"/>
          </w:rPr>
          <w:tab/>
        </w:r>
        <w:r w:rsidR="007F3AB0" w:rsidRPr="00557829">
          <w:rPr>
            <w:rStyle w:val="Kpr"/>
          </w:rPr>
          <w:t>Kurum Faaliyetlerinin Denetlenmesi</w:t>
        </w:r>
        <w:r w:rsidR="007F3AB0">
          <w:rPr>
            <w:webHidden/>
          </w:rPr>
          <w:tab/>
        </w:r>
        <w:r w:rsidR="007F3AB0">
          <w:rPr>
            <w:webHidden/>
          </w:rPr>
          <w:fldChar w:fldCharType="begin"/>
        </w:r>
        <w:r w:rsidR="007F3AB0">
          <w:rPr>
            <w:webHidden/>
          </w:rPr>
          <w:instrText xml:space="preserve"> PAGEREF _Toc195868664 \h </w:instrText>
        </w:r>
        <w:r w:rsidR="007F3AB0">
          <w:rPr>
            <w:webHidden/>
          </w:rPr>
        </w:r>
        <w:r w:rsidR="007F3AB0">
          <w:rPr>
            <w:webHidden/>
          </w:rPr>
          <w:fldChar w:fldCharType="separate"/>
        </w:r>
        <w:r w:rsidR="00AE2496">
          <w:rPr>
            <w:webHidden/>
          </w:rPr>
          <w:t>7</w:t>
        </w:r>
        <w:r w:rsidR="007F3AB0">
          <w:rPr>
            <w:webHidden/>
          </w:rPr>
          <w:fldChar w:fldCharType="end"/>
        </w:r>
      </w:hyperlink>
    </w:p>
    <w:p w14:paraId="1448AD3C" w14:textId="796FC9D6" w:rsidR="007F3AB0" w:rsidRDefault="0032505C">
      <w:pPr>
        <w:pStyle w:val="T1"/>
        <w:rPr>
          <w:rFonts w:eastAsiaTheme="minorEastAsia" w:cstheme="minorBidi"/>
          <w:b w:val="0"/>
          <w:noProof/>
          <w:lang w:eastAsia="tr-TR"/>
        </w:rPr>
      </w:pPr>
      <w:hyperlink w:anchor="_Toc195868665" w:history="1">
        <w:r w:rsidR="007F3AB0" w:rsidRPr="00557829">
          <w:rPr>
            <w:rStyle w:val="Kpr"/>
            <w:bCs/>
            <w:smallCaps/>
            <w:noProof/>
          </w:rPr>
          <w:t>İKİNCİ BÖLÜM</w:t>
        </w:r>
        <w:r w:rsidR="007F3AB0">
          <w:rPr>
            <w:noProof/>
            <w:webHidden/>
          </w:rPr>
          <w:tab/>
        </w:r>
        <w:r w:rsidR="007F3AB0">
          <w:rPr>
            <w:noProof/>
            <w:webHidden/>
          </w:rPr>
          <w:fldChar w:fldCharType="begin"/>
        </w:r>
        <w:r w:rsidR="007F3AB0">
          <w:rPr>
            <w:noProof/>
            <w:webHidden/>
          </w:rPr>
          <w:instrText xml:space="preserve"> PAGEREF _Toc195868665 \h </w:instrText>
        </w:r>
        <w:r w:rsidR="007F3AB0">
          <w:rPr>
            <w:noProof/>
            <w:webHidden/>
          </w:rPr>
        </w:r>
        <w:r w:rsidR="007F3AB0">
          <w:rPr>
            <w:noProof/>
            <w:webHidden/>
          </w:rPr>
          <w:fldChar w:fldCharType="separate"/>
        </w:r>
        <w:r w:rsidR="00AE2496">
          <w:rPr>
            <w:noProof/>
            <w:webHidden/>
          </w:rPr>
          <w:t>8</w:t>
        </w:r>
        <w:r w:rsidR="007F3AB0">
          <w:rPr>
            <w:noProof/>
            <w:webHidden/>
          </w:rPr>
          <w:fldChar w:fldCharType="end"/>
        </w:r>
      </w:hyperlink>
    </w:p>
    <w:p w14:paraId="432A9297" w14:textId="7F7A1387" w:rsidR="007F3AB0" w:rsidRDefault="0032505C">
      <w:pPr>
        <w:pStyle w:val="T1"/>
        <w:tabs>
          <w:tab w:val="left" w:pos="660"/>
        </w:tabs>
        <w:rPr>
          <w:rFonts w:eastAsiaTheme="minorEastAsia" w:cstheme="minorBidi"/>
          <w:b w:val="0"/>
          <w:noProof/>
          <w:lang w:eastAsia="tr-TR"/>
        </w:rPr>
      </w:pPr>
      <w:hyperlink w:anchor="_Toc195868666" w:history="1">
        <w:r w:rsidR="007F3AB0" w:rsidRPr="00557829">
          <w:rPr>
            <w:rStyle w:val="Kpr"/>
            <w:noProof/>
          </w:rPr>
          <w:t>2.</w:t>
        </w:r>
        <w:r w:rsidR="007F3AB0">
          <w:rPr>
            <w:rFonts w:eastAsiaTheme="minorEastAsia" w:cstheme="minorBidi"/>
            <w:b w:val="0"/>
            <w:noProof/>
            <w:lang w:eastAsia="tr-TR"/>
          </w:rPr>
          <w:tab/>
        </w:r>
        <w:r w:rsidR="007F3AB0" w:rsidRPr="00557829">
          <w:rPr>
            <w:rStyle w:val="Kpr"/>
            <w:noProof/>
          </w:rPr>
          <w:t>MEVZUAT GELİŞTİRİLMESİ FAALİYETLERİ</w:t>
        </w:r>
        <w:r w:rsidR="007F3AB0">
          <w:rPr>
            <w:noProof/>
            <w:webHidden/>
          </w:rPr>
          <w:tab/>
        </w:r>
        <w:r w:rsidR="007F3AB0">
          <w:rPr>
            <w:noProof/>
            <w:webHidden/>
          </w:rPr>
          <w:fldChar w:fldCharType="begin"/>
        </w:r>
        <w:r w:rsidR="007F3AB0">
          <w:rPr>
            <w:noProof/>
            <w:webHidden/>
          </w:rPr>
          <w:instrText xml:space="preserve"> PAGEREF _Toc195868666 \h </w:instrText>
        </w:r>
        <w:r w:rsidR="007F3AB0">
          <w:rPr>
            <w:noProof/>
            <w:webHidden/>
          </w:rPr>
        </w:r>
        <w:r w:rsidR="007F3AB0">
          <w:rPr>
            <w:noProof/>
            <w:webHidden/>
          </w:rPr>
          <w:fldChar w:fldCharType="separate"/>
        </w:r>
        <w:r w:rsidR="00AE2496">
          <w:rPr>
            <w:noProof/>
            <w:webHidden/>
          </w:rPr>
          <w:t>8</w:t>
        </w:r>
        <w:r w:rsidR="007F3AB0">
          <w:rPr>
            <w:noProof/>
            <w:webHidden/>
          </w:rPr>
          <w:fldChar w:fldCharType="end"/>
        </w:r>
      </w:hyperlink>
    </w:p>
    <w:p w14:paraId="534682BF" w14:textId="460A5C65" w:rsidR="007F3AB0" w:rsidRDefault="0032505C">
      <w:pPr>
        <w:pStyle w:val="T2"/>
        <w:rPr>
          <w:rFonts w:eastAsiaTheme="minorEastAsia" w:cstheme="minorBidi"/>
          <w:bCs w:val="0"/>
          <w:lang w:eastAsia="tr-TR"/>
        </w:rPr>
      </w:pPr>
      <w:hyperlink w:anchor="_Toc195868667" w:history="1">
        <w:r w:rsidR="007F3AB0" w:rsidRPr="00557829">
          <w:rPr>
            <w:rStyle w:val="Kpr"/>
          </w:rPr>
          <w:t>2.1.</w:t>
        </w:r>
        <w:r w:rsidR="007F3AB0">
          <w:rPr>
            <w:rFonts w:eastAsiaTheme="minorEastAsia" w:cstheme="minorBidi"/>
            <w:bCs w:val="0"/>
            <w:lang w:eastAsia="tr-TR"/>
          </w:rPr>
          <w:tab/>
        </w:r>
        <w:r w:rsidR="007F3AB0" w:rsidRPr="00557829">
          <w:rPr>
            <w:rStyle w:val="Kpr"/>
          </w:rPr>
          <w:t>Elektrik Piyasası Mevzuatı</w:t>
        </w:r>
        <w:r w:rsidR="007F3AB0">
          <w:rPr>
            <w:webHidden/>
          </w:rPr>
          <w:tab/>
        </w:r>
        <w:r w:rsidR="007F3AB0">
          <w:rPr>
            <w:webHidden/>
          </w:rPr>
          <w:fldChar w:fldCharType="begin"/>
        </w:r>
        <w:r w:rsidR="007F3AB0">
          <w:rPr>
            <w:webHidden/>
          </w:rPr>
          <w:instrText xml:space="preserve"> PAGEREF _Toc195868667 \h </w:instrText>
        </w:r>
        <w:r w:rsidR="007F3AB0">
          <w:rPr>
            <w:webHidden/>
          </w:rPr>
        </w:r>
        <w:r w:rsidR="007F3AB0">
          <w:rPr>
            <w:webHidden/>
          </w:rPr>
          <w:fldChar w:fldCharType="separate"/>
        </w:r>
        <w:r w:rsidR="00AE2496">
          <w:rPr>
            <w:webHidden/>
          </w:rPr>
          <w:t>8</w:t>
        </w:r>
        <w:r w:rsidR="007F3AB0">
          <w:rPr>
            <w:webHidden/>
          </w:rPr>
          <w:fldChar w:fldCharType="end"/>
        </w:r>
      </w:hyperlink>
    </w:p>
    <w:p w14:paraId="5312B5B3" w14:textId="61DC30EF" w:rsidR="007F3AB0" w:rsidRDefault="0032505C">
      <w:pPr>
        <w:pStyle w:val="T3"/>
        <w:rPr>
          <w:rFonts w:eastAsiaTheme="minorEastAsia" w:cstheme="minorBidi"/>
          <w:noProof/>
          <w:lang w:eastAsia="tr-TR"/>
        </w:rPr>
      </w:pPr>
      <w:hyperlink w:anchor="_Toc195868668" w:history="1">
        <w:r w:rsidR="007F3AB0" w:rsidRPr="00557829">
          <w:rPr>
            <w:rStyle w:val="Kpr"/>
            <w:rFonts w:cstheme="minorHAnsi"/>
            <w:noProof/>
          </w:rPr>
          <w:t>2.1.1.</w:t>
        </w:r>
        <w:r w:rsidR="007F3AB0">
          <w:rPr>
            <w:rFonts w:eastAsiaTheme="minorEastAsia" w:cstheme="minorBidi"/>
            <w:noProof/>
            <w:lang w:eastAsia="tr-TR"/>
          </w:rPr>
          <w:tab/>
        </w:r>
        <w:r w:rsidR="007F3AB0" w:rsidRPr="00557829">
          <w:rPr>
            <w:rStyle w:val="Kpr"/>
            <w:noProof/>
          </w:rPr>
          <w:t>Kanun</w:t>
        </w:r>
        <w:r w:rsidR="007F3AB0">
          <w:rPr>
            <w:noProof/>
            <w:webHidden/>
          </w:rPr>
          <w:tab/>
        </w:r>
        <w:r w:rsidR="007F3AB0">
          <w:rPr>
            <w:noProof/>
            <w:webHidden/>
          </w:rPr>
          <w:fldChar w:fldCharType="begin"/>
        </w:r>
        <w:r w:rsidR="007F3AB0">
          <w:rPr>
            <w:noProof/>
            <w:webHidden/>
          </w:rPr>
          <w:instrText xml:space="preserve"> PAGEREF _Toc195868668 \h </w:instrText>
        </w:r>
        <w:r w:rsidR="007F3AB0">
          <w:rPr>
            <w:noProof/>
            <w:webHidden/>
          </w:rPr>
        </w:r>
        <w:r w:rsidR="007F3AB0">
          <w:rPr>
            <w:noProof/>
            <w:webHidden/>
          </w:rPr>
          <w:fldChar w:fldCharType="separate"/>
        </w:r>
        <w:r w:rsidR="00AE2496">
          <w:rPr>
            <w:noProof/>
            <w:webHidden/>
          </w:rPr>
          <w:t>8</w:t>
        </w:r>
        <w:r w:rsidR="007F3AB0">
          <w:rPr>
            <w:noProof/>
            <w:webHidden/>
          </w:rPr>
          <w:fldChar w:fldCharType="end"/>
        </w:r>
      </w:hyperlink>
    </w:p>
    <w:p w14:paraId="0FD1657A" w14:textId="6B3393FD" w:rsidR="007F3AB0" w:rsidRDefault="0032505C">
      <w:pPr>
        <w:pStyle w:val="T3"/>
        <w:rPr>
          <w:rFonts w:eastAsiaTheme="minorEastAsia" w:cstheme="minorBidi"/>
          <w:noProof/>
          <w:lang w:eastAsia="tr-TR"/>
        </w:rPr>
      </w:pPr>
      <w:hyperlink w:anchor="_Toc195868669" w:history="1">
        <w:r w:rsidR="007F3AB0" w:rsidRPr="00557829">
          <w:rPr>
            <w:rStyle w:val="Kpr"/>
            <w:rFonts w:cstheme="minorHAnsi"/>
            <w:noProof/>
          </w:rPr>
          <w:t>2.1.2.</w:t>
        </w:r>
        <w:r w:rsidR="007F3AB0">
          <w:rPr>
            <w:rFonts w:eastAsiaTheme="minorEastAsia" w:cstheme="minorBidi"/>
            <w:noProof/>
            <w:lang w:eastAsia="tr-TR"/>
          </w:rPr>
          <w:tab/>
        </w:r>
        <w:r w:rsidR="007F3AB0" w:rsidRPr="00557829">
          <w:rPr>
            <w:rStyle w:val="Kpr"/>
            <w:noProof/>
          </w:rPr>
          <w:t>Yönetmelikler</w:t>
        </w:r>
        <w:r w:rsidR="007F3AB0">
          <w:rPr>
            <w:noProof/>
            <w:webHidden/>
          </w:rPr>
          <w:tab/>
        </w:r>
        <w:r w:rsidR="007F3AB0">
          <w:rPr>
            <w:noProof/>
            <w:webHidden/>
          </w:rPr>
          <w:fldChar w:fldCharType="begin"/>
        </w:r>
        <w:r w:rsidR="007F3AB0">
          <w:rPr>
            <w:noProof/>
            <w:webHidden/>
          </w:rPr>
          <w:instrText xml:space="preserve"> PAGEREF _Toc195868669 \h </w:instrText>
        </w:r>
        <w:r w:rsidR="007F3AB0">
          <w:rPr>
            <w:noProof/>
            <w:webHidden/>
          </w:rPr>
        </w:r>
        <w:r w:rsidR="007F3AB0">
          <w:rPr>
            <w:noProof/>
            <w:webHidden/>
          </w:rPr>
          <w:fldChar w:fldCharType="separate"/>
        </w:r>
        <w:r w:rsidR="00AE2496">
          <w:rPr>
            <w:noProof/>
            <w:webHidden/>
          </w:rPr>
          <w:t>9</w:t>
        </w:r>
        <w:r w:rsidR="007F3AB0">
          <w:rPr>
            <w:noProof/>
            <w:webHidden/>
          </w:rPr>
          <w:fldChar w:fldCharType="end"/>
        </w:r>
      </w:hyperlink>
    </w:p>
    <w:p w14:paraId="6F2EBDCD" w14:textId="72696FDF" w:rsidR="007F3AB0" w:rsidRDefault="0032505C">
      <w:pPr>
        <w:pStyle w:val="T3"/>
        <w:rPr>
          <w:rFonts w:eastAsiaTheme="minorEastAsia" w:cstheme="minorBidi"/>
          <w:noProof/>
          <w:lang w:eastAsia="tr-TR"/>
        </w:rPr>
      </w:pPr>
      <w:hyperlink w:anchor="_Toc195868670" w:history="1">
        <w:r w:rsidR="007F3AB0" w:rsidRPr="00557829">
          <w:rPr>
            <w:rStyle w:val="Kpr"/>
            <w:rFonts w:cstheme="minorHAnsi"/>
            <w:noProof/>
          </w:rPr>
          <w:t>2.1.3.</w:t>
        </w:r>
        <w:r w:rsidR="007F3AB0">
          <w:rPr>
            <w:rFonts w:eastAsiaTheme="minorEastAsia" w:cstheme="minorBidi"/>
            <w:noProof/>
            <w:lang w:eastAsia="tr-TR"/>
          </w:rPr>
          <w:tab/>
        </w:r>
        <w:r w:rsidR="007F3AB0" w:rsidRPr="00557829">
          <w:rPr>
            <w:rStyle w:val="Kpr"/>
            <w:rFonts w:cstheme="minorHAnsi"/>
            <w:noProof/>
          </w:rPr>
          <w:t>Tebliğler</w:t>
        </w:r>
        <w:r w:rsidR="007F3AB0">
          <w:rPr>
            <w:noProof/>
            <w:webHidden/>
          </w:rPr>
          <w:tab/>
        </w:r>
        <w:r w:rsidR="007F3AB0">
          <w:rPr>
            <w:noProof/>
            <w:webHidden/>
          </w:rPr>
          <w:fldChar w:fldCharType="begin"/>
        </w:r>
        <w:r w:rsidR="007F3AB0">
          <w:rPr>
            <w:noProof/>
            <w:webHidden/>
          </w:rPr>
          <w:instrText xml:space="preserve"> PAGEREF _Toc195868670 \h </w:instrText>
        </w:r>
        <w:r w:rsidR="007F3AB0">
          <w:rPr>
            <w:noProof/>
            <w:webHidden/>
          </w:rPr>
        </w:r>
        <w:r w:rsidR="007F3AB0">
          <w:rPr>
            <w:noProof/>
            <w:webHidden/>
          </w:rPr>
          <w:fldChar w:fldCharType="separate"/>
        </w:r>
        <w:r w:rsidR="00AE2496">
          <w:rPr>
            <w:noProof/>
            <w:webHidden/>
          </w:rPr>
          <w:t>59</w:t>
        </w:r>
        <w:r w:rsidR="007F3AB0">
          <w:rPr>
            <w:noProof/>
            <w:webHidden/>
          </w:rPr>
          <w:fldChar w:fldCharType="end"/>
        </w:r>
      </w:hyperlink>
    </w:p>
    <w:p w14:paraId="6F34626C" w14:textId="5781647D" w:rsidR="007F3AB0" w:rsidRDefault="0032505C">
      <w:pPr>
        <w:pStyle w:val="T3"/>
        <w:rPr>
          <w:rFonts w:eastAsiaTheme="minorEastAsia" w:cstheme="minorBidi"/>
          <w:noProof/>
          <w:lang w:eastAsia="tr-TR"/>
        </w:rPr>
      </w:pPr>
      <w:hyperlink w:anchor="_Toc195868671" w:history="1">
        <w:r w:rsidR="007F3AB0" w:rsidRPr="00557829">
          <w:rPr>
            <w:rStyle w:val="Kpr"/>
            <w:rFonts w:cstheme="minorHAnsi"/>
            <w:noProof/>
          </w:rPr>
          <w:t>2.1.4.</w:t>
        </w:r>
        <w:r w:rsidR="007F3AB0">
          <w:rPr>
            <w:rFonts w:eastAsiaTheme="minorEastAsia" w:cstheme="minorBidi"/>
            <w:noProof/>
            <w:lang w:eastAsia="tr-TR"/>
          </w:rPr>
          <w:tab/>
        </w:r>
        <w:r w:rsidR="007F3AB0" w:rsidRPr="00557829">
          <w:rPr>
            <w:rStyle w:val="Kpr"/>
            <w:rFonts w:cstheme="minorHAnsi"/>
            <w:noProof/>
          </w:rPr>
          <w:t>Kurul Kararları</w:t>
        </w:r>
        <w:r w:rsidR="007F3AB0">
          <w:rPr>
            <w:noProof/>
            <w:webHidden/>
          </w:rPr>
          <w:tab/>
        </w:r>
        <w:r w:rsidR="007F3AB0">
          <w:rPr>
            <w:noProof/>
            <w:webHidden/>
          </w:rPr>
          <w:fldChar w:fldCharType="begin"/>
        </w:r>
        <w:r w:rsidR="007F3AB0">
          <w:rPr>
            <w:noProof/>
            <w:webHidden/>
          </w:rPr>
          <w:instrText xml:space="preserve"> PAGEREF _Toc195868671 \h </w:instrText>
        </w:r>
        <w:r w:rsidR="007F3AB0">
          <w:rPr>
            <w:noProof/>
            <w:webHidden/>
          </w:rPr>
        </w:r>
        <w:r w:rsidR="007F3AB0">
          <w:rPr>
            <w:noProof/>
            <w:webHidden/>
          </w:rPr>
          <w:fldChar w:fldCharType="separate"/>
        </w:r>
        <w:r w:rsidR="00AE2496">
          <w:rPr>
            <w:noProof/>
            <w:webHidden/>
          </w:rPr>
          <w:t>59</w:t>
        </w:r>
        <w:r w:rsidR="007F3AB0">
          <w:rPr>
            <w:noProof/>
            <w:webHidden/>
          </w:rPr>
          <w:fldChar w:fldCharType="end"/>
        </w:r>
      </w:hyperlink>
    </w:p>
    <w:p w14:paraId="47B0BA4D" w14:textId="7DD9A541" w:rsidR="007F3AB0" w:rsidRDefault="0032505C">
      <w:pPr>
        <w:pStyle w:val="T2"/>
        <w:rPr>
          <w:rFonts w:eastAsiaTheme="minorEastAsia" w:cstheme="minorBidi"/>
          <w:bCs w:val="0"/>
          <w:lang w:eastAsia="tr-TR"/>
        </w:rPr>
      </w:pPr>
      <w:hyperlink w:anchor="_Toc195868672" w:history="1">
        <w:r w:rsidR="007F3AB0" w:rsidRPr="00557829">
          <w:rPr>
            <w:rStyle w:val="Kpr"/>
          </w:rPr>
          <w:t>2.2.</w:t>
        </w:r>
        <w:r w:rsidR="007F3AB0">
          <w:rPr>
            <w:rFonts w:eastAsiaTheme="minorEastAsia" w:cstheme="minorBidi"/>
            <w:bCs w:val="0"/>
            <w:lang w:eastAsia="tr-TR"/>
          </w:rPr>
          <w:tab/>
        </w:r>
        <w:r w:rsidR="007F3AB0" w:rsidRPr="00557829">
          <w:rPr>
            <w:rStyle w:val="Kpr"/>
          </w:rPr>
          <w:t>Şarj Hizmeti Piyasası Mevzuatı</w:t>
        </w:r>
        <w:r w:rsidR="007F3AB0">
          <w:rPr>
            <w:webHidden/>
          </w:rPr>
          <w:tab/>
        </w:r>
        <w:r w:rsidR="007F3AB0">
          <w:rPr>
            <w:webHidden/>
          </w:rPr>
          <w:fldChar w:fldCharType="begin"/>
        </w:r>
        <w:r w:rsidR="007F3AB0">
          <w:rPr>
            <w:webHidden/>
          </w:rPr>
          <w:instrText xml:space="preserve"> PAGEREF _Toc195868672 \h </w:instrText>
        </w:r>
        <w:r w:rsidR="007F3AB0">
          <w:rPr>
            <w:webHidden/>
          </w:rPr>
        </w:r>
        <w:r w:rsidR="007F3AB0">
          <w:rPr>
            <w:webHidden/>
          </w:rPr>
          <w:fldChar w:fldCharType="separate"/>
        </w:r>
        <w:r w:rsidR="00AE2496">
          <w:rPr>
            <w:webHidden/>
          </w:rPr>
          <w:t>60</w:t>
        </w:r>
        <w:r w:rsidR="007F3AB0">
          <w:rPr>
            <w:webHidden/>
          </w:rPr>
          <w:fldChar w:fldCharType="end"/>
        </w:r>
      </w:hyperlink>
    </w:p>
    <w:p w14:paraId="61E7F98E" w14:textId="6AFCC76F" w:rsidR="007F3AB0" w:rsidRDefault="0032505C">
      <w:pPr>
        <w:pStyle w:val="T3"/>
        <w:rPr>
          <w:rFonts w:eastAsiaTheme="minorEastAsia" w:cstheme="minorBidi"/>
          <w:noProof/>
          <w:lang w:eastAsia="tr-TR"/>
        </w:rPr>
      </w:pPr>
      <w:hyperlink w:anchor="_Toc195868673" w:history="1">
        <w:r w:rsidR="007F3AB0" w:rsidRPr="00557829">
          <w:rPr>
            <w:rStyle w:val="Kpr"/>
            <w:rFonts w:cstheme="minorHAnsi"/>
            <w:noProof/>
          </w:rPr>
          <w:t>2.2.1.</w:t>
        </w:r>
        <w:r w:rsidR="007F3AB0">
          <w:rPr>
            <w:rFonts w:eastAsiaTheme="minorEastAsia" w:cstheme="minorBidi"/>
            <w:noProof/>
            <w:lang w:eastAsia="tr-TR"/>
          </w:rPr>
          <w:tab/>
        </w:r>
        <w:r w:rsidR="007F3AB0" w:rsidRPr="00557829">
          <w:rPr>
            <w:rStyle w:val="Kpr"/>
            <w:noProof/>
          </w:rPr>
          <w:t>Yönetmelikler</w:t>
        </w:r>
        <w:r w:rsidR="007F3AB0">
          <w:rPr>
            <w:noProof/>
            <w:webHidden/>
          </w:rPr>
          <w:tab/>
        </w:r>
        <w:r w:rsidR="007F3AB0">
          <w:rPr>
            <w:noProof/>
            <w:webHidden/>
          </w:rPr>
          <w:fldChar w:fldCharType="begin"/>
        </w:r>
        <w:r w:rsidR="007F3AB0">
          <w:rPr>
            <w:noProof/>
            <w:webHidden/>
          </w:rPr>
          <w:instrText xml:space="preserve"> PAGEREF _Toc195868673 \h </w:instrText>
        </w:r>
        <w:r w:rsidR="007F3AB0">
          <w:rPr>
            <w:noProof/>
            <w:webHidden/>
          </w:rPr>
        </w:r>
        <w:r w:rsidR="007F3AB0">
          <w:rPr>
            <w:noProof/>
            <w:webHidden/>
          </w:rPr>
          <w:fldChar w:fldCharType="separate"/>
        </w:r>
        <w:r w:rsidR="00AE2496">
          <w:rPr>
            <w:noProof/>
            <w:webHidden/>
          </w:rPr>
          <w:t>60</w:t>
        </w:r>
        <w:r w:rsidR="007F3AB0">
          <w:rPr>
            <w:noProof/>
            <w:webHidden/>
          </w:rPr>
          <w:fldChar w:fldCharType="end"/>
        </w:r>
      </w:hyperlink>
    </w:p>
    <w:p w14:paraId="1B5DB7C5" w14:textId="705A6822" w:rsidR="007F3AB0" w:rsidRDefault="0032505C">
      <w:pPr>
        <w:pStyle w:val="T2"/>
        <w:rPr>
          <w:rFonts w:eastAsiaTheme="minorEastAsia" w:cstheme="minorBidi"/>
          <w:bCs w:val="0"/>
          <w:lang w:eastAsia="tr-TR"/>
        </w:rPr>
      </w:pPr>
      <w:hyperlink w:anchor="_Toc195868674" w:history="1">
        <w:r w:rsidR="007F3AB0" w:rsidRPr="00557829">
          <w:rPr>
            <w:rStyle w:val="Kpr"/>
          </w:rPr>
          <w:t>2.3.</w:t>
        </w:r>
        <w:r w:rsidR="007F3AB0">
          <w:rPr>
            <w:rFonts w:eastAsiaTheme="minorEastAsia" w:cstheme="minorBidi"/>
            <w:bCs w:val="0"/>
            <w:lang w:eastAsia="tr-TR"/>
          </w:rPr>
          <w:tab/>
        </w:r>
        <w:r w:rsidR="007F3AB0" w:rsidRPr="00557829">
          <w:rPr>
            <w:rStyle w:val="Kpr"/>
          </w:rPr>
          <w:t>Doğal Gaz Piyasası Mevzuatı</w:t>
        </w:r>
        <w:r w:rsidR="007F3AB0">
          <w:rPr>
            <w:webHidden/>
          </w:rPr>
          <w:tab/>
        </w:r>
        <w:r w:rsidR="007F3AB0">
          <w:rPr>
            <w:webHidden/>
          </w:rPr>
          <w:fldChar w:fldCharType="begin"/>
        </w:r>
        <w:r w:rsidR="007F3AB0">
          <w:rPr>
            <w:webHidden/>
          </w:rPr>
          <w:instrText xml:space="preserve"> PAGEREF _Toc195868674 \h </w:instrText>
        </w:r>
        <w:r w:rsidR="007F3AB0">
          <w:rPr>
            <w:webHidden/>
          </w:rPr>
        </w:r>
        <w:r w:rsidR="007F3AB0">
          <w:rPr>
            <w:webHidden/>
          </w:rPr>
          <w:fldChar w:fldCharType="separate"/>
        </w:r>
        <w:r w:rsidR="00AE2496">
          <w:rPr>
            <w:webHidden/>
          </w:rPr>
          <w:t>60</w:t>
        </w:r>
        <w:r w:rsidR="007F3AB0">
          <w:rPr>
            <w:webHidden/>
          </w:rPr>
          <w:fldChar w:fldCharType="end"/>
        </w:r>
      </w:hyperlink>
    </w:p>
    <w:p w14:paraId="755FCBB7" w14:textId="2D00053B" w:rsidR="007F3AB0" w:rsidRDefault="0032505C">
      <w:pPr>
        <w:pStyle w:val="T3"/>
        <w:rPr>
          <w:rFonts w:eastAsiaTheme="minorEastAsia" w:cstheme="minorBidi"/>
          <w:noProof/>
          <w:lang w:eastAsia="tr-TR"/>
        </w:rPr>
      </w:pPr>
      <w:hyperlink w:anchor="_Toc195868675" w:history="1">
        <w:r w:rsidR="007F3AB0" w:rsidRPr="00557829">
          <w:rPr>
            <w:rStyle w:val="Kpr"/>
            <w:rFonts w:cstheme="minorHAnsi"/>
            <w:noProof/>
          </w:rPr>
          <w:t>2.3.1.</w:t>
        </w:r>
        <w:r w:rsidR="007F3AB0">
          <w:rPr>
            <w:rFonts w:eastAsiaTheme="minorEastAsia" w:cstheme="minorBidi"/>
            <w:noProof/>
            <w:lang w:eastAsia="tr-TR"/>
          </w:rPr>
          <w:tab/>
        </w:r>
        <w:r w:rsidR="007F3AB0" w:rsidRPr="00557829">
          <w:rPr>
            <w:rStyle w:val="Kpr"/>
            <w:noProof/>
          </w:rPr>
          <w:t>Kanun</w:t>
        </w:r>
        <w:r w:rsidR="007F3AB0">
          <w:rPr>
            <w:noProof/>
            <w:webHidden/>
          </w:rPr>
          <w:tab/>
        </w:r>
        <w:r w:rsidR="007F3AB0">
          <w:rPr>
            <w:noProof/>
            <w:webHidden/>
          </w:rPr>
          <w:fldChar w:fldCharType="begin"/>
        </w:r>
        <w:r w:rsidR="007F3AB0">
          <w:rPr>
            <w:noProof/>
            <w:webHidden/>
          </w:rPr>
          <w:instrText xml:space="preserve"> PAGEREF _Toc195868675 \h </w:instrText>
        </w:r>
        <w:r w:rsidR="007F3AB0">
          <w:rPr>
            <w:noProof/>
            <w:webHidden/>
          </w:rPr>
        </w:r>
        <w:r w:rsidR="007F3AB0">
          <w:rPr>
            <w:noProof/>
            <w:webHidden/>
          </w:rPr>
          <w:fldChar w:fldCharType="separate"/>
        </w:r>
        <w:r w:rsidR="00AE2496">
          <w:rPr>
            <w:noProof/>
            <w:webHidden/>
          </w:rPr>
          <w:t>60</w:t>
        </w:r>
        <w:r w:rsidR="007F3AB0">
          <w:rPr>
            <w:noProof/>
            <w:webHidden/>
          </w:rPr>
          <w:fldChar w:fldCharType="end"/>
        </w:r>
      </w:hyperlink>
    </w:p>
    <w:p w14:paraId="771732CC" w14:textId="3E41259C" w:rsidR="007F3AB0" w:rsidRDefault="0032505C">
      <w:pPr>
        <w:pStyle w:val="T3"/>
        <w:rPr>
          <w:rFonts w:eastAsiaTheme="minorEastAsia" w:cstheme="minorBidi"/>
          <w:noProof/>
          <w:lang w:eastAsia="tr-TR"/>
        </w:rPr>
      </w:pPr>
      <w:hyperlink w:anchor="_Toc195868676" w:history="1">
        <w:r w:rsidR="007F3AB0" w:rsidRPr="00557829">
          <w:rPr>
            <w:rStyle w:val="Kpr"/>
            <w:rFonts w:cstheme="minorHAnsi"/>
            <w:noProof/>
          </w:rPr>
          <w:t>2.3.2.</w:t>
        </w:r>
        <w:r w:rsidR="007F3AB0">
          <w:rPr>
            <w:rFonts w:eastAsiaTheme="minorEastAsia" w:cstheme="minorBidi"/>
            <w:noProof/>
            <w:lang w:eastAsia="tr-TR"/>
          </w:rPr>
          <w:tab/>
        </w:r>
        <w:r w:rsidR="007F3AB0" w:rsidRPr="00557829">
          <w:rPr>
            <w:rStyle w:val="Kpr"/>
            <w:noProof/>
          </w:rPr>
          <w:t>Tebliğler</w:t>
        </w:r>
        <w:r w:rsidR="007F3AB0">
          <w:rPr>
            <w:noProof/>
            <w:webHidden/>
          </w:rPr>
          <w:tab/>
        </w:r>
        <w:r w:rsidR="007F3AB0">
          <w:rPr>
            <w:noProof/>
            <w:webHidden/>
          </w:rPr>
          <w:fldChar w:fldCharType="begin"/>
        </w:r>
        <w:r w:rsidR="007F3AB0">
          <w:rPr>
            <w:noProof/>
            <w:webHidden/>
          </w:rPr>
          <w:instrText xml:space="preserve"> PAGEREF _Toc195868676 \h </w:instrText>
        </w:r>
        <w:r w:rsidR="007F3AB0">
          <w:rPr>
            <w:noProof/>
            <w:webHidden/>
          </w:rPr>
        </w:r>
        <w:r w:rsidR="007F3AB0">
          <w:rPr>
            <w:noProof/>
            <w:webHidden/>
          </w:rPr>
          <w:fldChar w:fldCharType="separate"/>
        </w:r>
        <w:r w:rsidR="00AE2496">
          <w:rPr>
            <w:noProof/>
            <w:webHidden/>
          </w:rPr>
          <w:t>61</w:t>
        </w:r>
        <w:r w:rsidR="007F3AB0">
          <w:rPr>
            <w:noProof/>
            <w:webHidden/>
          </w:rPr>
          <w:fldChar w:fldCharType="end"/>
        </w:r>
      </w:hyperlink>
    </w:p>
    <w:p w14:paraId="5004BE1C" w14:textId="6CE0CC4F" w:rsidR="007F3AB0" w:rsidRDefault="0032505C">
      <w:pPr>
        <w:pStyle w:val="T3"/>
        <w:rPr>
          <w:rFonts w:eastAsiaTheme="minorEastAsia" w:cstheme="minorBidi"/>
          <w:noProof/>
          <w:lang w:eastAsia="tr-TR"/>
        </w:rPr>
      </w:pPr>
      <w:hyperlink w:anchor="_Toc195868677" w:history="1">
        <w:r w:rsidR="007F3AB0" w:rsidRPr="00557829">
          <w:rPr>
            <w:rStyle w:val="Kpr"/>
            <w:rFonts w:cstheme="minorHAnsi"/>
            <w:noProof/>
          </w:rPr>
          <w:t>2.3.3.</w:t>
        </w:r>
        <w:r w:rsidR="007F3AB0">
          <w:rPr>
            <w:rFonts w:eastAsiaTheme="minorEastAsia" w:cstheme="minorBidi"/>
            <w:noProof/>
            <w:lang w:eastAsia="tr-TR"/>
          </w:rPr>
          <w:tab/>
        </w:r>
        <w:r w:rsidR="007F3AB0" w:rsidRPr="00557829">
          <w:rPr>
            <w:rStyle w:val="Kpr"/>
            <w:noProof/>
          </w:rPr>
          <w:t>Kurul Kararları</w:t>
        </w:r>
        <w:r w:rsidR="007F3AB0">
          <w:rPr>
            <w:noProof/>
            <w:webHidden/>
          </w:rPr>
          <w:tab/>
        </w:r>
        <w:r w:rsidR="007F3AB0">
          <w:rPr>
            <w:noProof/>
            <w:webHidden/>
          </w:rPr>
          <w:fldChar w:fldCharType="begin"/>
        </w:r>
        <w:r w:rsidR="007F3AB0">
          <w:rPr>
            <w:noProof/>
            <w:webHidden/>
          </w:rPr>
          <w:instrText xml:space="preserve"> PAGEREF _Toc195868677 \h </w:instrText>
        </w:r>
        <w:r w:rsidR="007F3AB0">
          <w:rPr>
            <w:noProof/>
            <w:webHidden/>
          </w:rPr>
        </w:r>
        <w:r w:rsidR="007F3AB0">
          <w:rPr>
            <w:noProof/>
            <w:webHidden/>
          </w:rPr>
          <w:fldChar w:fldCharType="separate"/>
        </w:r>
        <w:r w:rsidR="00AE2496">
          <w:rPr>
            <w:noProof/>
            <w:webHidden/>
          </w:rPr>
          <w:t>62</w:t>
        </w:r>
        <w:r w:rsidR="007F3AB0">
          <w:rPr>
            <w:noProof/>
            <w:webHidden/>
          </w:rPr>
          <w:fldChar w:fldCharType="end"/>
        </w:r>
      </w:hyperlink>
    </w:p>
    <w:p w14:paraId="60FE17B4" w14:textId="4A5A5690" w:rsidR="007F3AB0" w:rsidRDefault="0032505C">
      <w:pPr>
        <w:pStyle w:val="T2"/>
        <w:rPr>
          <w:rFonts w:eastAsiaTheme="minorEastAsia" w:cstheme="minorBidi"/>
          <w:bCs w:val="0"/>
          <w:lang w:eastAsia="tr-TR"/>
        </w:rPr>
      </w:pPr>
      <w:hyperlink w:anchor="_Toc195868678" w:history="1">
        <w:r w:rsidR="007F3AB0" w:rsidRPr="00557829">
          <w:rPr>
            <w:rStyle w:val="Kpr"/>
          </w:rPr>
          <w:t>2.4.</w:t>
        </w:r>
        <w:r w:rsidR="007F3AB0">
          <w:rPr>
            <w:rFonts w:eastAsiaTheme="minorEastAsia" w:cstheme="minorBidi"/>
            <w:bCs w:val="0"/>
            <w:lang w:eastAsia="tr-TR"/>
          </w:rPr>
          <w:tab/>
        </w:r>
        <w:r w:rsidR="007F3AB0" w:rsidRPr="00557829">
          <w:rPr>
            <w:rStyle w:val="Kpr"/>
          </w:rPr>
          <w:t>Petrol Piyasası Mevzuatı</w:t>
        </w:r>
        <w:r w:rsidR="007F3AB0">
          <w:rPr>
            <w:webHidden/>
          </w:rPr>
          <w:tab/>
        </w:r>
        <w:r w:rsidR="007F3AB0">
          <w:rPr>
            <w:webHidden/>
          </w:rPr>
          <w:fldChar w:fldCharType="begin"/>
        </w:r>
        <w:r w:rsidR="007F3AB0">
          <w:rPr>
            <w:webHidden/>
          </w:rPr>
          <w:instrText xml:space="preserve"> PAGEREF _Toc195868678 \h </w:instrText>
        </w:r>
        <w:r w:rsidR="007F3AB0">
          <w:rPr>
            <w:webHidden/>
          </w:rPr>
        </w:r>
        <w:r w:rsidR="007F3AB0">
          <w:rPr>
            <w:webHidden/>
          </w:rPr>
          <w:fldChar w:fldCharType="separate"/>
        </w:r>
        <w:r w:rsidR="00AE2496">
          <w:rPr>
            <w:webHidden/>
          </w:rPr>
          <w:t>62</w:t>
        </w:r>
        <w:r w:rsidR="007F3AB0">
          <w:rPr>
            <w:webHidden/>
          </w:rPr>
          <w:fldChar w:fldCharType="end"/>
        </w:r>
      </w:hyperlink>
    </w:p>
    <w:p w14:paraId="0EE044F0" w14:textId="4CFB60DE" w:rsidR="007F3AB0" w:rsidRDefault="0032505C">
      <w:pPr>
        <w:pStyle w:val="T3"/>
        <w:rPr>
          <w:rFonts w:eastAsiaTheme="minorEastAsia" w:cstheme="minorBidi"/>
          <w:noProof/>
          <w:lang w:eastAsia="tr-TR"/>
        </w:rPr>
      </w:pPr>
      <w:hyperlink w:anchor="_Toc195868679" w:history="1">
        <w:r w:rsidR="007F3AB0" w:rsidRPr="00557829">
          <w:rPr>
            <w:rStyle w:val="Kpr"/>
            <w:rFonts w:cstheme="minorHAnsi"/>
            <w:noProof/>
          </w:rPr>
          <w:t>2.4.1.</w:t>
        </w:r>
        <w:r w:rsidR="007F3AB0">
          <w:rPr>
            <w:rFonts w:eastAsiaTheme="minorEastAsia" w:cstheme="minorBidi"/>
            <w:noProof/>
            <w:lang w:eastAsia="tr-TR"/>
          </w:rPr>
          <w:tab/>
        </w:r>
        <w:r w:rsidR="007F3AB0" w:rsidRPr="00557829">
          <w:rPr>
            <w:rStyle w:val="Kpr"/>
            <w:noProof/>
          </w:rPr>
          <w:t>Kanun</w:t>
        </w:r>
        <w:r w:rsidR="007F3AB0">
          <w:rPr>
            <w:noProof/>
            <w:webHidden/>
          </w:rPr>
          <w:tab/>
        </w:r>
        <w:r w:rsidR="007F3AB0">
          <w:rPr>
            <w:noProof/>
            <w:webHidden/>
          </w:rPr>
          <w:fldChar w:fldCharType="begin"/>
        </w:r>
        <w:r w:rsidR="007F3AB0">
          <w:rPr>
            <w:noProof/>
            <w:webHidden/>
          </w:rPr>
          <w:instrText xml:space="preserve"> PAGEREF _Toc195868679 \h </w:instrText>
        </w:r>
        <w:r w:rsidR="007F3AB0">
          <w:rPr>
            <w:noProof/>
            <w:webHidden/>
          </w:rPr>
        </w:r>
        <w:r w:rsidR="007F3AB0">
          <w:rPr>
            <w:noProof/>
            <w:webHidden/>
          </w:rPr>
          <w:fldChar w:fldCharType="separate"/>
        </w:r>
        <w:r w:rsidR="00AE2496">
          <w:rPr>
            <w:noProof/>
            <w:webHidden/>
          </w:rPr>
          <w:t>62</w:t>
        </w:r>
        <w:r w:rsidR="007F3AB0">
          <w:rPr>
            <w:noProof/>
            <w:webHidden/>
          </w:rPr>
          <w:fldChar w:fldCharType="end"/>
        </w:r>
      </w:hyperlink>
    </w:p>
    <w:p w14:paraId="4CC157EB" w14:textId="7D1995FB" w:rsidR="007F3AB0" w:rsidRDefault="0032505C">
      <w:pPr>
        <w:pStyle w:val="T3"/>
        <w:rPr>
          <w:rFonts w:eastAsiaTheme="minorEastAsia" w:cstheme="minorBidi"/>
          <w:noProof/>
          <w:lang w:eastAsia="tr-TR"/>
        </w:rPr>
      </w:pPr>
      <w:hyperlink w:anchor="_Toc195868680" w:history="1">
        <w:r w:rsidR="007F3AB0" w:rsidRPr="00557829">
          <w:rPr>
            <w:rStyle w:val="Kpr"/>
            <w:rFonts w:cstheme="minorHAnsi"/>
            <w:noProof/>
          </w:rPr>
          <w:t>2.4.2.</w:t>
        </w:r>
        <w:r w:rsidR="007F3AB0">
          <w:rPr>
            <w:rFonts w:eastAsiaTheme="minorEastAsia" w:cstheme="minorBidi"/>
            <w:noProof/>
            <w:lang w:eastAsia="tr-TR"/>
          </w:rPr>
          <w:tab/>
        </w:r>
        <w:r w:rsidR="007F3AB0" w:rsidRPr="00557829">
          <w:rPr>
            <w:rStyle w:val="Kpr"/>
            <w:noProof/>
          </w:rPr>
          <w:t>Yönetmelikler</w:t>
        </w:r>
        <w:r w:rsidR="007F3AB0">
          <w:rPr>
            <w:noProof/>
            <w:webHidden/>
          </w:rPr>
          <w:tab/>
        </w:r>
        <w:r w:rsidR="007F3AB0">
          <w:rPr>
            <w:noProof/>
            <w:webHidden/>
          </w:rPr>
          <w:fldChar w:fldCharType="begin"/>
        </w:r>
        <w:r w:rsidR="007F3AB0">
          <w:rPr>
            <w:noProof/>
            <w:webHidden/>
          </w:rPr>
          <w:instrText xml:space="preserve"> PAGEREF _Toc195868680 \h </w:instrText>
        </w:r>
        <w:r w:rsidR="007F3AB0">
          <w:rPr>
            <w:noProof/>
            <w:webHidden/>
          </w:rPr>
        </w:r>
        <w:r w:rsidR="007F3AB0">
          <w:rPr>
            <w:noProof/>
            <w:webHidden/>
          </w:rPr>
          <w:fldChar w:fldCharType="separate"/>
        </w:r>
        <w:r w:rsidR="00AE2496">
          <w:rPr>
            <w:noProof/>
            <w:webHidden/>
          </w:rPr>
          <w:t>63</w:t>
        </w:r>
        <w:r w:rsidR="007F3AB0">
          <w:rPr>
            <w:noProof/>
            <w:webHidden/>
          </w:rPr>
          <w:fldChar w:fldCharType="end"/>
        </w:r>
      </w:hyperlink>
    </w:p>
    <w:p w14:paraId="3056BD12" w14:textId="45D859D0" w:rsidR="007F3AB0" w:rsidRDefault="0032505C">
      <w:pPr>
        <w:pStyle w:val="T3"/>
        <w:rPr>
          <w:rFonts w:eastAsiaTheme="minorEastAsia" w:cstheme="minorBidi"/>
          <w:noProof/>
          <w:lang w:eastAsia="tr-TR"/>
        </w:rPr>
      </w:pPr>
      <w:hyperlink w:anchor="_Toc195868681" w:history="1">
        <w:r w:rsidR="007F3AB0" w:rsidRPr="00557829">
          <w:rPr>
            <w:rStyle w:val="Kpr"/>
            <w:rFonts w:cstheme="minorHAnsi"/>
            <w:noProof/>
          </w:rPr>
          <w:t>2.4.3.</w:t>
        </w:r>
        <w:r w:rsidR="007F3AB0">
          <w:rPr>
            <w:rFonts w:eastAsiaTheme="minorEastAsia" w:cstheme="minorBidi"/>
            <w:noProof/>
            <w:lang w:eastAsia="tr-TR"/>
          </w:rPr>
          <w:tab/>
        </w:r>
        <w:r w:rsidR="007F3AB0" w:rsidRPr="00557829">
          <w:rPr>
            <w:rStyle w:val="Kpr"/>
            <w:noProof/>
          </w:rPr>
          <w:t>Tebliğler</w:t>
        </w:r>
        <w:r w:rsidR="007F3AB0">
          <w:rPr>
            <w:noProof/>
            <w:webHidden/>
          </w:rPr>
          <w:tab/>
        </w:r>
        <w:r w:rsidR="007F3AB0">
          <w:rPr>
            <w:noProof/>
            <w:webHidden/>
          </w:rPr>
          <w:fldChar w:fldCharType="begin"/>
        </w:r>
        <w:r w:rsidR="007F3AB0">
          <w:rPr>
            <w:noProof/>
            <w:webHidden/>
          </w:rPr>
          <w:instrText xml:space="preserve"> PAGEREF _Toc195868681 \h </w:instrText>
        </w:r>
        <w:r w:rsidR="007F3AB0">
          <w:rPr>
            <w:noProof/>
            <w:webHidden/>
          </w:rPr>
        </w:r>
        <w:r w:rsidR="007F3AB0">
          <w:rPr>
            <w:noProof/>
            <w:webHidden/>
          </w:rPr>
          <w:fldChar w:fldCharType="separate"/>
        </w:r>
        <w:r w:rsidR="00AE2496">
          <w:rPr>
            <w:noProof/>
            <w:webHidden/>
          </w:rPr>
          <w:t>64</w:t>
        </w:r>
        <w:r w:rsidR="007F3AB0">
          <w:rPr>
            <w:noProof/>
            <w:webHidden/>
          </w:rPr>
          <w:fldChar w:fldCharType="end"/>
        </w:r>
      </w:hyperlink>
    </w:p>
    <w:p w14:paraId="0AA02832" w14:textId="7C61FC74" w:rsidR="007F3AB0" w:rsidRDefault="0032505C">
      <w:pPr>
        <w:pStyle w:val="T3"/>
        <w:rPr>
          <w:rFonts w:eastAsiaTheme="minorEastAsia" w:cstheme="minorBidi"/>
          <w:noProof/>
          <w:lang w:eastAsia="tr-TR"/>
        </w:rPr>
      </w:pPr>
      <w:hyperlink w:anchor="_Toc195868682" w:history="1">
        <w:r w:rsidR="007F3AB0" w:rsidRPr="00557829">
          <w:rPr>
            <w:rStyle w:val="Kpr"/>
            <w:rFonts w:cstheme="minorHAnsi"/>
            <w:noProof/>
          </w:rPr>
          <w:t>2.4.4.</w:t>
        </w:r>
        <w:r w:rsidR="007F3AB0">
          <w:rPr>
            <w:rFonts w:eastAsiaTheme="minorEastAsia" w:cstheme="minorBidi"/>
            <w:noProof/>
            <w:lang w:eastAsia="tr-TR"/>
          </w:rPr>
          <w:tab/>
        </w:r>
        <w:r w:rsidR="007F3AB0" w:rsidRPr="00557829">
          <w:rPr>
            <w:rStyle w:val="Kpr"/>
            <w:noProof/>
          </w:rPr>
          <w:t>Kurul Kararları</w:t>
        </w:r>
        <w:r w:rsidR="007F3AB0">
          <w:rPr>
            <w:noProof/>
            <w:webHidden/>
          </w:rPr>
          <w:tab/>
        </w:r>
        <w:r w:rsidR="007F3AB0">
          <w:rPr>
            <w:noProof/>
            <w:webHidden/>
          </w:rPr>
          <w:fldChar w:fldCharType="begin"/>
        </w:r>
        <w:r w:rsidR="007F3AB0">
          <w:rPr>
            <w:noProof/>
            <w:webHidden/>
          </w:rPr>
          <w:instrText xml:space="preserve"> PAGEREF _Toc195868682 \h </w:instrText>
        </w:r>
        <w:r w:rsidR="007F3AB0">
          <w:rPr>
            <w:noProof/>
            <w:webHidden/>
          </w:rPr>
        </w:r>
        <w:r w:rsidR="007F3AB0">
          <w:rPr>
            <w:noProof/>
            <w:webHidden/>
          </w:rPr>
          <w:fldChar w:fldCharType="separate"/>
        </w:r>
        <w:r w:rsidR="00AE2496">
          <w:rPr>
            <w:noProof/>
            <w:webHidden/>
          </w:rPr>
          <w:t>65</w:t>
        </w:r>
        <w:r w:rsidR="007F3AB0">
          <w:rPr>
            <w:noProof/>
            <w:webHidden/>
          </w:rPr>
          <w:fldChar w:fldCharType="end"/>
        </w:r>
      </w:hyperlink>
    </w:p>
    <w:p w14:paraId="3D32B2AC" w14:textId="7CC14B18" w:rsidR="007F3AB0" w:rsidRDefault="0032505C">
      <w:pPr>
        <w:pStyle w:val="T2"/>
        <w:rPr>
          <w:rFonts w:eastAsiaTheme="minorEastAsia" w:cstheme="minorBidi"/>
          <w:bCs w:val="0"/>
          <w:lang w:eastAsia="tr-TR"/>
        </w:rPr>
      </w:pPr>
      <w:hyperlink w:anchor="_Toc195868683" w:history="1">
        <w:r w:rsidR="007F3AB0" w:rsidRPr="00557829">
          <w:rPr>
            <w:rStyle w:val="Kpr"/>
          </w:rPr>
          <w:t>2.5.</w:t>
        </w:r>
        <w:r w:rsidR="007F3AB0">
          <w:rPr>
            <w:rFonts w:eastAsiaTheme="minorEastAsia" w:cstheme="minorBidi"/>
            <w:bCs w:val="0"/>
            <w:lang w:eastAsia="tr-TR"/>
          </w:rPr>
          <w:tab/>
        </w:r>
        <w:r w:rsidR="007F3AB0" w:rsidRPr="00557829">
          <w:rPr>
            <w:rStyle w:val="Kpr"/>
          </w:rPr>
          <w:t>Sıvılaştırılmış Petrol Gazları (LPG) Piyasası Mevzuatı</w:t>
        </w:r>
        <w:r w:rsidR="007F3AB0">
          <w:rPr>
            <w:webHidden/>
          </w:rPr>
          <w:tab/>
        </w:r>
        <w:r w:rsidR="007F3AB0">
          <w:rPr>
            <w:webHidden/>
          </w:rPr>
          <w:fldChar w:fldCharType="begin"/>
        </w:r>
        <w:r w:rsidR="007F3AB0">
          <w:rPr>
            <w:webHidden/>
          </w:rPr>
          <w:instrText xml:space="preserve"> PAGEREF _Toc195868683 \h </w:instrText>
        </w:r>
        <w:r w:rsidR="007F3AB0">
          <w:rPr>
            <w:webHidden/>
          </w:rPr>
        </w:r>
        <w:r w:rsidR="007F3AB0">
          <w:rPr>
            <w:webHidden/>
          </w:rPr>
          <w:fldChar w:fldCharType="separate"/>
        </w:r>
        <w:r w:rsidR="00AE2496">
          <w:rPr>
            <w:webHidden/>
          </w:rPr>
          <w:t>66</w:t>
        </w:r>
        <w:r w:rsidR="007F3AB0">
          <w:rPr>
            <w:webHidden/>
          </w:rPr>
          <w:fldChar w:fldCharType="end"/>
        </w:r>
      </w:hyperlink>
    </w:p>
    <w:p w14:paraId="5CFD4647" w14:textId="016F0724" w:rsidR="007F3AB0" w:rsidRDefault="0032505C">
      <w:pPr>
        <w:pStyle w:val="T3"/>
        <w:rPr>
          <w:rFonts w:eastAsiaTheme="minorEastAsia" w:cstheme="minorBidi"/>
          <w:noProof/>
          <w:lang w:eastAsia="tr-TR"/>
        </w:rPr>
      </w:pPr>
      <w:hyperlink w:anchor="_Toc195868684" w:history="1">
        <w:r w:rsidR="007F3AB0" w:rsidRPr="00557829">
          <w:rPr>
            <w:rStyle w:val="Kpr"/>
            <w:rFonts w:cstheme="minorHAnsi"/>
            <w:noProof/>
          </w:rPr>
          <w:t>2.5.1.</w:t>
        </w:r>
        <w:r w:rsidR="007F3AB0">
          <w:rPr>
            <w:rFonts w:eastAsiaTheme="minorEastAsia" w:cstheme="minorBidi"/>
            <w:noProof/>
            <w:lang w:eastAsia="tr-TR"/>
          </w:rPr>
          <w:tab/>
        </w:r>
        <w:r w:rsidR="007F3AB0" w:rsidRPr="00557829">
          <w:rPr>
            <w:rStyle w:val="Kpr"/>
            <w:noProof/>
          </w:rPr>
          <w:t>Yönetmelikler</w:t>
        </w:r>
        <w:r w:rsidR="007F3AB0">
          <w:rPr>
            <w:noProof/>
            <w:webHidden/>
          </w:rPr>
          <w:tab/>
        </w:r>
        <w:r w:rsidR="007F3AB0">
          <w:rPr>
            <w:noProof/>
            <w:webHidden/>
          </w:rPr>
          <w:fldChar w:fldCharType="begin"/>
        </w:r>
        <w:r w:rsidR="007F3AB0">
          <w:rPr>
            <w:noProof/>
            <w:webHidden/>
          </w:rPr>
          <w:instrText xml:space="preserve"> PAGEREF _Toc195868684 \h </w:instrText>
        </w:r>
        <w:r w:rsidR="007F3AB0">
          <w:rPr>
            <w:noProof/>
            <w:webHidden/>
          </w:rPr>
        </w:r>
        <w:r w:rsidR="007F3AB0">
          <w:rPr>
            <w:noProof/>
            <w:webHidden/>
          </w:rPr>
          <w:fldChar w:fldCharType="separate"/>
        </w:r>
        <w:r w:rsidR="00AE2496">
          <w:rPr>
            <w:noProof/>
            <w:webHidden/>
          </w:rPr>
          <w:t>66</w:t>
        </w:r>
        <w:r w:rsidR="007F3AB0">
          <w:rPr>
            <w:noProof/>
            <w:webHidden/>
          </w:rPr>
          <w:fldChar w:fldCharType="end"/>
        </w:r>
      </w:hyperlink>
    </w:p>
    <w:p w14:paraId="7B7DEACE" w14:textId="72236A2E" w:rsidR="007F3AB0" w:rsidRDefault="0032505C">
      <w:pPr>
        <w:pStyle w:val="T3"/>
        <w:rPr>
          <w:rFonts w:eastAsiaTheme="minorEastAsia" w:cstheme="minorBidi"/>
          <w:noProof/>
          <w:lang w:eastAsia="tr-TR"/>
        </w:rPr>
      </w:pPr>
      <w:hyperlink w:anchor="_Toc195868685" w:history="1">
        <w:r w:rsidR="007F3AB0" w:rsidRPr="00557829">
          <w:rPr>
            <w:rStyle w:val="Kpr"/>
            <w:rFonts w:cstheme="minorHAnsi"/>
            <w:noProof/>
          </w:rPr>
          <w:t>2.5.2.</w:t>
        </w:r>
        <w:r w:rsidR="007F3AB0">
          <w:rPr>
            <w:rFonts w:eastAsiaTheme="minorEastAsia" w:cstheme="minorBidi"/>
            <w:noProof/>
            <w:lang w:eastAsia="tr-TR"/>
          </w:rPr>
          <w:tab/>
        </w:r>
        <w:r w:rsidR="007F3AB0" w:rsidRPr="00557829">
          <w:rPr>
            <w:rStyle w:val="Kpr"/>
            <w:noProof/>
          </w:rPr>
          <w:t>Tebliğler</w:t>
        </w:r>
        <w:r w:rsidR="007F3AB0">
          <w:rPr>
            <w:noProof/>
            <w:webHidden/>
          </w:rPr>
          <w:tab/>
        </w:r>
        <w:r w:rsidR="007F3AB0">
          <w:rPr>
            <w:noProof/>
            <w:webHidden/>
          </w:rPr>
          <w:fldChar w:fldCharType="begin"/>
        </w:r>
        <w:r w:rsidR="007F3AB0">
          <w:rPr>
            <w:noProof/>
            <w:webHidden/>
          </w:rPr>
          <w:instrText xml:space="preserve"> PAGEREF _Toc195868685 \h </w:instrText>
        </w:r>
        <w:r w:rsidR="007F3AB0">
          <w:rPr>
            <w:noProof/>
            <w:webHidden/>
          </w:rPr>
        </w:r>
        <w:r w:rsidR="007F3AB0">
          <w:rPr>
            <w:noProof/>
            <w:webHidden/>
          </w:rPr>
          <w:fldChar w:fldCharType="separate"/>
        </w:r>
        <w:r w:rsidR="00AE2496">
          <w:rPr>
            <w:noProof/>
            <w:webHidden/>
          </w:rPr>
          <w:t>68</w:t>
        </w:r>
        <w:r w:rsidR="007F3AB0">
          <w:rPr>
            <w:noProof/>
            <w:webHidden/>
          </w:rPr>
          <w:fldChar w:fldCharType="end"/>
        </w:r>
      </w:hyperlink>
    </w:p>
    <w:p w14:paraId="28A5D8F3" w14:textId="39F25317" w:rsidR="007F3AB0" w:rsidRDefault="0032505C">
      <w:pPr>
        <w:pStyle w:val="T3"/>
        <w:rPr>
          <w:rFonts w:eastAsiaTheme="minorEastAsia" w:cstheme="minorBidi"/>
          <w:noProof/>
          <w:lang w:eastAsia="tr-TR"/>
        </w:rPr>
      </w:pPr>
      <w:hyperlink w:anchor="_Toc195868686" w:history="1">
        <w:r w:rsidR="007F3AB0" w:rsidRPr="00557829">
          <w:rPr>
            <w:rStyle w:val="Kpr"/>
            <w:rFonts w:cstheme="minorHAnsi"/>
            <w:noProof/>
          </w:rPr>
          <w:t>2.5.3.</w:t>
        </w:r>
        <w:r w:rsidR="007F3AB0">
          <w:rPr>
            <w:rFonts w:eastAsiaTheme="minorEastAsia" w:cstheme="minorBidi"/>
            <w:noProof/>
            <w:lang w:eastAsia="tr-TR"/>
          </w:rPr>
          <w:tab/>
        </w:r>
        <w:r w:rsidR="007F3AB0" w:rsidRPr="00557829">
          <w:rPr>
            <w:rStyle w:val="Kpr"/>
            <w:noProof/>
          </w:rPr>
          <w:t>Kurul Kararları</w:t>
        </w:r>
        <w:r w:rsidR="007F3AB0">
          <w:rPr>
            <w:noProof/>
            <w:webHidden/>
          </w:rPr>
          <w:tab/>
        </w:r>
        <w:r w:rsidR="007F3AB0">
          <w:rPr>
            <w:noProof/>
            <w:webHidden/>
          </w:rPr>
          <w:fldChar w:fldCharType="begin"/>
        </w:r>
        <w:r w:rsidR="007F3AB0">
          <w:rPr>
            <w:noProof/>
            <w:webHidden/>
          </w:rPr>
          <w:instrText xml:space="preserve"> PAGEREF _Toc195868686 \h </w:instrText>
        </w:r>
        <w:r w:rsidR="007F3AB0">
          <w:rPr>
            <w:noProof/>
            <w:webHidden/>
          </w:rPr>
        </w:r>
        <w:r w:rsidR="007F3AB0">
          <w:rPr>
            <w:noProof/>
            <w:webHidden/>
          </w:rPr>
          <w:fldChar w:fldCharType="separate"/>
        </w:r>
        <w:r w:rsidR="00AE2496">
          <w:rPr>
            <w:noProof/>
            <w:webHidden/>
          </w:rPr>
          <w:t>69</w:t>
        </w:r>
        <w:r w:rsidR="007F3AB0">
          <w:rPr>
            <w:noProof/>
            <w:webHidden/>
          </w:rPr>
          <w:fldChar w:fldCharType="end"/>
        </w:r>
      </w:hyperlink>
    </w:p>
    <w:p w14:paraId="7D809C58" w14:textId="2E5C3C24" w:rsidR="007F3AB0" w:rsidRDefault="0032505C">
      <w:pPr>
        <w:pStyle w:val="T2"/>
        <w:rPr>
          <w:rFonts w:eastAsiaTheme="minorEastAsia" w:cstheme="minorBidi"/>
          <w:bCs w:val="0"/>
          <w:lang w:eastAsia="tr-TR"/>
        </w:rPr>
      </w:pPr>
      <w:hyperlink w:anchor="_Toc195868687" w:history="1">
        <w:r w:rsidR="007F3AB0" w:rsidRPr="00557829">
          <w:rPr>
            <w:rStyle w:val="Kpr"/>
          </w:rPr>
          <w:t>2.6.</w:t>
        </w:r>
        <w:r w:rsidR="007F3AB0">
          <w:rPr>
            <w:rFonts w:eastAsiaTheme="minorEastAsia" w:cstheme="minorBidi"/>
            <w:bCs w:val="0"/>
            <w:lang w:eastAsia="tr-TR"/>
          </w:rPr>
          <w:tab/>
        </w:r>
        <w:r w:rsidR="007F3AB0" w:rsidRPr="00557829">
          <w:rPr>
            <w:rStyle w:val="Kpr"/>
          </w:rPr>
          <w:t>Diğer Mevzuat Faaliyetleri</w:t>
        </w:r>
        <w:r w:rsidR="007F3AB0">
          <w:rPr>
            <w:webHidden/>
          </w:rPr>
          <w:tab/>
        </w:r>
        <w:r w:rsidR="007F3AB0">
          <w:rPr>
            <w:webHidden/>
          </w:rPr>
          <w:fldChar w:fldCharType="begin"/>
        </w:r>
        <w:r w:rsidR="007F3AB0">
          <w:rPr>
            <w:webHidden/>
          </w:rPr>
          <w:instrText xml:space="preserve"> PAGEREF _Toc195868687 \h </w:instrText>
        </w:r>
        <w:r w:rsidR="007F3AB0">
          <w:rPr>
            <w:webHidden/>
          </w:rPr>
        </w:r>
        <w:r w:rsidR="007F3AB0">
          <w:rPr>
            <w:webHidden/>
          </w:rPr>
          <w:fldChar w:fldCharType="separate"/>
        </w:r>
        <w:r w:rsidR="00AE2496">
          <w:rPr>
            <w:webHidden/>
          </w:rPr>
          <w:t>69</w:t>
        </w:r>
        <w:r w:rsidR="007F3AB0">
          <w:rPr>
            <w:webHidden/>
          </w:rPr>
          <w:fldChar w:fldCharType="end"/>
        </w:r>
      </w:hyperlink>
    </w:p>
    <w:p w14:paraId="49FAD367" w14:textId="653DB343" w:rsidR="007F3AB0" w:rsidRDefault="0032505C">
      <w:pPr>
        <w:pStyle w:val="T3"/>
        <w:rPr>
          <w:rFonts w:eastAsiaTheme="minorEastAsia" w:cstheme="minorBidi"/>
          <w:noProof/>
          <w:lang w:eastAsia="tr-TR"/>
        </w:rPr>
      </w:pPr>
      <w:hyperlink w:anchor="_Toc195868688" w:history="1">
        <w:r w:rsidR="007F3AB0" w:rsidRPr="00557829">
          <w:rPr>
            <w:rStyle w:val="Kpr"/>
            <w:rFonts w:cstheme="minorHAnsi"/>
            <w:noProof/>
          </w:rPr>
          <w:t>2.6.1.</w:t>
        </w:r>
        <w:r w:rsidR="007F3AB0">
          <w:rPr>
            <w:rFonts w:eastAsiaTheme="minorEastAsia" w:cstheme="minorBidi"/>
            <w:noProof/>
            <w:lang w:eastAsia="tr-TR"/>
          </w:rPr>
          <w:tab/>
        </w:r>
        <w:r w:rsidR="007F3AB0" w:rsidRPr="00557829">
          <w:rPr>
            <w:rStyle w:val="Kpr"/>
            <w:noProof/>
          </w:rPr>
          <w:t>Enerji Piyasası Bildirimleri ile İlgili Mevzuat Değişiklikleri</w:t>
        </w:r>
        <w:r w:rsidR="007F3AB0">
          <w:rPr>
            <w:noProof/>
            <w:webHidden/>
          </w:rPr>
          <w:tab/>
        </w:r>
        <w:r w:rsidR="007F3AB0">
          <w:rPr>
            <w:noProof/>
            <w:webHidden/>
          </w:rPr>
          <w:fldChar w:fldCharType="begin"/>
        </w:r>
        <w:r w:rsidR="007F3AB0">
          <w:rPr>
            <w:noProof/>
            <w:webHidden/>
          </w:rPr>
          <w:instrText xml:space="preserve"> PAGEREF _Toc195868688 \h </w:instrText>
        </w:r>
        <w:r w:rsidR="007F3AB0">
          <w:rPr>
            <w:noProof/>
            <w:webHidden/>
          </w:rPr>
        </w:r>
        <w:r w:rsidR="007F3AB0">
          <w:rPr>
            <w:noProof/>
            <w:webHidden/>
          </w:rPr>
          <w:fldChar w:fldCharType="separate"/>
        </w:r>
        <w:r w:rsidR="00AE2496">
          <w:rPr>
            <w:noProof/>
            <w:webHidden/>
          </w:rPr>
          <w:t>69</w:t>
        </w:r>
        <w:r w:rsidR="007F3AB0">
          <w:rPr>
            <w:noProof/>
            <w:webHidden/>
          </w:rPr>
          <w:fldChar w:fldCharType="end"/>
        </w:r>
      </w:hyperlink>
    </w:p>
    <w:p w14:paraId="368D04F0" w14:textId="721C9B20" w:rsidR="007F3AB0" w:rsidRDefault="0032505C">
      <w:pPr>
        <w:pStyle w:val="T3"/>
        <w:rPr>
          <w:rFonts w:eastAsiaTheme="minorEastAsia" w:cstheme="minorBidi"/>
          <w:noProof/>
          <w:lang w:eastAsia="tr-TR"/>
        </w:rPr>
      </w:pPr>
      <w:hyperlink w:anchor="_Toc195868689" w:history="1">
        <w:r w:rsidR="007F3AB0" w:rsidRPr="00557829">
          <w:rPr>
            <w:rStyle w:val="Kpr"/>
            <w:rFonts w:cstheme="minorHAnsi"/>
            <w:noProof/>
          </w:rPr>
          <w:t>2.6.2.</w:t>
        </w:r>
        <w:r w:rsidR="007F3AB0">
          <w:rPr>
            <w:rFonts w:eastAsiaTheme="minorEastAsia" w:cstheme="minorBidi"/>
            <w:noProof/>
            <w:lang w:eastAsia="tr-TR"/>
          </w:rPr>
          <w:tab/>
        </w:r>
        <w:r w:rsidR="007F3AB0" w:rsidRPr="00557829">
          <w:rPr>
            <w:rStyle w:val="Kpr"/>
            <w:noProof/>
          </w:rPr>
          <w:t>Diğer Değişiklikler</w:t>
        </w:r>
        <w:r w:rsidR="007F3AB0">
          <w:rPr>
            <w:noProof/>
            <w:webHidden/>
          </w:rPr>
          <w:tab/>
        </w:r>
        <w:r w:rsidR="007F3AB0">
          <w:rPr>
            <w:noProof/>
            <w:webHidden/>
          </w:rPr>
          <w:fldChar w:fldCharType="begin"/>
        </w:r>
        <w:r w:rsidR="007F3AB0">
          <w:rPr>
            <w:noProof/>
            <w:webHidden/>
          </w:rPr>
          <w:instrText xml:space="preserve"> PAGEREF _Toc195868689 \h </w:instrText>
        </w:r>
        <w:r w:rsidR="007F3AB0">
          <w:rPr>
            <w:noProof/>
            <w:webHidden/>
          </w:rPr>
        </w:r>
        <w:r w:rsidR="007F3AB0">
          <w:rPr>
            <w:noProof/>
            <w:webHidden/>
          </w:rPr>
          <w:fldChar w:fldCharType="separate"/>
        </w:r>
        <w:r w:rsidR="00AE2496">
          <w:rPr>
            <w:noProof/>
            <w:webHidden/>
          </w:rPr>
          <w:t>69</w:t>
        </w:r>
        <w:r w:rsidR="007F3AB0">
          <w:rPr>
            <w:noProof/>
            <w:webHidden/>
          </w:rPr>
          <w:fldChar w:fldCharType="end"/>
        </w:r>
      </w:hyperlink>
    </w:p>
    <w:p w14:paraId="5B0341F4" w14:textId="71B55CA8" w:rsidR="007F3AB0" w:rsidRDefault="0032505C">
      <w:pPr>
        <w:pStyle w:val="T1"/>
        <w:tabs>
          <w:tab w:val="left" w:pos="660"/>
        </w:tabs>
        <w:rPr>
          <w:rFonts w:eastAsiaTheme="minorEastAsia" w:cstheme="minorBidi"/>
          <w:b w:val="0"/>
          <w:noProof/>
          <w:lang w:eastAsia="tr-TR"/>
        </w:rPr>
      </w:pPr>
      <w:hyperlink w:anchor="_Toc195868690" w:history="1">
        <w:r w:rsidR="007F3AB0" w:rsidRPr="00557829">
          <w:rPr>
            <w:rStyle w:val="Kpr"/>
            <w:noProof/>
          </w:rPr>
          <w:t>3.</w:t>
        </w:r>
        <w:r w:rsidR="007F3AB0">
          <w:rPr>
            <w:rFonts w:eastAsiaTheme="minorEastAsia" w:cstheme="minorBidi"/>
            <w:b w:val="0"/>
            <w:noProof/>
            <w:lang w:eastAsia="tr-TR"/>
          </w:rPr>
          <w:tab/>
        </w:r>
        <w:r w:rsidR="007F3AB0" w:rsidRPr="00557829">
          <w:rPr>
            <w:rStyle w:val="Kpr"/>
            <w:noProof/>
          </w:rPr>
          <w:t>LİSANSLAMA, SERTİFİKA VE İZİN VERME FAALİYETLERİ</w:t>
        </w:r>
        <w:r w:rsidR="007F3AB0">
          <w:rPr>
            <w:noProof/>
            <w:webHidden/>
          </w:rPr>
          <w:tab/>
        </w:r>
        <w:r w:rsidR="007F3AB0">
          <w:rPr>
            <w:noProof/>
            <w:webHidden/>
          </w:rPr>
          <w:fldChar w:fldCharType="begin"/>
        </w:r>
        <w:r w:rsidR="007F3AB0">
          <w:rPr>
            <w:noProof/>
            <w:webHidden/>
          </w:rPr>
          <w:instrText xml:space="preserve"> PAGEREF _Toc195868690 \h </w:instrText>
        </w:r>
        <w:r w:rsidR="007F3AB0">
          <w:rPr>
            <w:noProof/>
            <w:webHidden/>
          </w:rPr>
        </w:r>
        <w:r w:rsidR="007F3AB0">
          <w:rPr>
            <w:noProof/>
            <w:webHidden/>
          </w:rPr>
          <w:fldChar w:fldCharType="separate"/>
        </w:r>
        <w:r w:rsidR="00AE2496">
          <w:rPr>
            <w:noProof/>
            <w:webHidden/>
          </w:rPr>
          <w:t>72</w:t>
        </w:r>
        <w:r w:rsidR="007F3AB0">
          <w:rPr>
            <w:noProof/>
            <w:webHidden/>
          </w:rPr>
          <w:fldChar w:fldCharType="end"/>
        </w:r>
      </w:hyperlink>
    </w:p>
    <w:p w14:paraId="27061485" w14:textId="72F084BF" w:rsidR="007F3AB0" w:rsidRDefault="0032505C">
      <w:pPr>
        <w:pStyle w:val="T2"/>
        <w:rPr>
          <w:rFonts w:eastAsiaTheme="minorEastAsia" w:cstheme="minorBidi"/>
          <w:bCs w:val="0"/>
          <w:lang w:eastAsia="tr-TR"/>
        </w:rPr>
      </w:pPr>
      <w:hyperlink w:anchor="_Toc195868691" w:history="1">
        <w:r w:rsidR="007F3AB0" w:rsidRPr="00557829">
          <w:rPr>
            <w:rStyle w:val="Kpr"/>
          </w:rPr>
          <w:t>3.1.</w:t>
        </w:r>
        <w:r w:rsidR="007F3AB0">
          <w:rPr>
            <w:rFonts w:eastAsiaTheme="minorEastAsia" w:cstheme="minorBidi"/>
            <w:bCs w:val="0"/>
            <w:lang w:eastAsia="tr-TR"/>
          </w:rPr>
          <w:tab/>
        </w:r>
        <w:r w:rsidR="007F3AB0" w:rsidRPr="00557829">
          <w:rPr>
            <w:rStyle w:val="Kpr"/>
          </w:rPr>
          <w:t>Elektrik Piyasası Lisanslama ve İzin Faaliyetleri</w:t>
        </w:r>
        <w:r w:rsidR="007F3AB0">
          <w:rPr>
            <w:webHidden/>
          </w:rPr>
          <w:tab/>
        </w:r>
        <w:r w:rsidR="007F3AB0">
          <w:rPr>
            <w:webHidden/>
          </w:rPr>
          <w:fldChar w:fldCharType="begin"/>
        </w:r>
        <w:r w:rsidR="007F3AB0">
          <w:rPr>
            <w:webHidden/>
          </w:rPr>
          <w:instrText xml:space="preserve"> PAGEREF _Toc195868691 \h </w:instrText>
        </w:r>
        <w:r w:rsidR="007F3AB0">
          <w:rPr>
            <w:webHidden/>
          </w:rPr>
        </w:r>
        <w:r w:rsidR="007F3AB0">
          <w:rPr>
            <w:webHidden/>
          </w:rPr>
          <w:fldChar w:fldCharType="separate"/>
        </w:r>
        <w:r w:rsidR="00AE2496">
          <w:rPr>
            <w:webHidden/>
          </w:rPr>
          <w:t>72</w:t>
        </w:r>
        <w:r w:rsidR="007F3AB0">
          <w:rPr>
            <w:webHidden/>
          </w:rPr>
          <w:fldChar w:fldCharType="end"/>
        </w:r>
      </w:hyperlink>
    </w:p>
    <w:p w14:paraId="2F4DF4DB" w14:textId="700B9D7F" w:rsidR="007F3AB0" w:rsidRDefault="0032505C">
      <w:pPr>
        <w:pStyle w:val="T3"/>
        <w:rPr>
          <w:rFonts w:eastAsiaTheme="minorEastAsia" w:cstheme="minorBidi"/>
          <w:noProof/>
          <w:lang w:eastAsia="tr-TR"/>
        </w:rPr>
      </w:pPr>
      <w:hyperlink w:anchor="_Toc195868692" w:history="1">
        <w:r w:rsidR="007F3AB0" w:rsidRPr="00557829">
          <w:rPr>
            <w:rStyle w:val="Kpr"/>
            <w:rFonts w:cstheme="minorHAnsi"/>
            <w:noProof/>
          </w:rPr>
          <w:t>3.1.1.</w:t>
        </w:r>
        <w:r w:rsidR="007F3AB0">
          <w:rPr>
            <w:rFonts w:eastAsiaTheme="minorEastAsia" w:cstheme="minorBidi"/>
            <w:noProof/>
            <w:lang w:eastAsia="tr-TR"/>
          </w:rPr>
          <w:tab/>
        </w:r>
        <w:r w:rsidR="007F3AB0" w:rsidRPr="00557829">
          <w:rPr>
            <w:rStyle w:val="Kpr"/>
            <w:noProof/>
          </w:rPr>
          <w:t>Lisanslama Faaliyetleri</w:t>
        </w:r>
        <w:r w:rsidR="007F3AB0">
          <w:rPr>
            <w:noProof/>
            <w:webHidden/>
          </w:rPr>
          <w:tab/>
        </w:r>
        <w:r w:rsidR="007F3AB0">
          <w:rPr>
            <w:noProof/>
            <w:webHidden/>
          </w:rPr>
          <w:fldChar w:fldCharType="begin"/>
        </w:r>
        <w:r w:rsidR="007F3AB0">
          <w:rPr>
            <w:noProof/>
            <w:webHidden/>
          </w:rPr>
          <w:instrText xml:space="preserve"> PAGEREF _Toc195868692 \h </w:instrText>
        </w:r>
        <w:r w:rsidR="007F3AB0">
          <w:rPr>
            <w:noProof/>
            <w:webHidden/>
          </w:rPr>
        </w:r>
        <w:r w:rsidR="007F3AB0">
          <w:rPr>
            <w:noProof/>
            <w:webHidden/>
          </w:rPr>
          <w:fldChar w:fldCharType="separate"/>
        </w:r>
        <w:r w:rsidR="00AE2496">
          <w:rPr>
            <w:noProof/>
            <w:webHidden/>
          </w:rPr>
          <w:t>72</w:t>
        </w:r>
        <w:r w:rsidR="007F3AB0">
          <w:rPr>
            <w:noProof/>
            <w:webHidden/>
          </w:rPr>
          <w:fldChar w:fldCharType="end"/>
        </w:r>
      </w:hyperlink>
    </w:p>
    <w:p w14:paraId="5CB7346C" w14:textId="66922150" w:rsidR="007F3AB0" w:rsidRDefault="0032505C">
      <w:pPr>
        <w:pStyle w:val="T3"/>
        <w:rPr>
          <w:rFonts w:eastAsiaTheme="minorEastAsia" w:cstheme="minorBidi"/>
          <w:noProof/>
          <w:lang w:eastAsia="tr-TR"/>
        </w:rPr>
      </w:pPr>
      <w:hyperlink w:anchor="_Toc195868693" w:history="1">
        <w:r w:rsidR="007F3AB0" w:rsidRPr="00557829">
          <w:rPr>
            <w:rStyle w:val="Kpr"/>
            <w:rFonts w:cstheme="minorHAnsi"/>
            <w:noProof/>
          </w:rPr>
          <w:t>3.1.2.</w:t>
        </w:r>
        <w:r w:rsidR="007F3AB0">
          <w:rPr>
            <w:rFonts w:eastAsiaTheme="minorEastAsia" w:cstheme="minorBidi"/>
            <w:noProof/>
            <w:lang w:eastAsia="tr-TR"/>
          </w:rPr>
          <w:tab/>
        </w:r>
        <w:r w:rsidR="007F3AB0" w:rsidRPr="00557829">
          <w:rPr>
            <w:rStyle w:val="Kpr"/>
            <w:noProof/>
          </w:rPr>
          <w:t>İthalat ve İhracat İzinleri</w:t>
        </w:r>
        <w:r w:rsidR="007F3AB0">
          <w:rPr>
            <w:noProof/>
            <w:webHidden/>
          </w:rPr>
          <w:tab/>
        </w:r>
        <w:r w:rsidR="007F3AB0">
          <w:rPr>
            <w:noProof/>
            <w:webHidden/>
          </w:rPr>
          <w:fldChar w:fldCharType="begin"/>
        </w:r>
        <w:r w:rsidR="007F3AB0">
          <w:rPr>
            <w:noProof/>
            <w:webHidden/>
          </w:rPr>
          <w:instrText xml:space="preserve"> PAGEREF _Toc195868693 \h </w:instrText>
        </w:r>
        <w:r w:rsidR="007F3AB0">
          <w:rPr>
            <w:noProof/>
            <w:webHidden/>
          </w:rPr>
        </w:r>
        <w:r w:rsidR="007F3AB0">
          <w:rPr>
            <w:noProof/>
            <w:webHidden/>
          </w:rPr>
          <w:fldChar w:fldCharType="separate"/>
        </w:r>
        <w:r w:rsidR="00AE2496">
          <w:rPr>
            <w:noProof/>
            <w:webHidden/>
          </w:rPr>
          <w:t>74</w:t>
        </w:r>
        <w:r w:rsidR="007F3AB0">
          <w:rPr>
            <w:noProof/>
            <w:webHidden/>
          </w:rPr>
          <w:fldChar w:fldCharType="end"/>
        </w:r>
      </w:hyperlink>
    </w:p>
    <w:p w14:paraId="7B62FC48" w14:textId="2F9E993C" w:rsidR="007F3AB0" w:rsidRDefault="0032505C">
      <w:pPr>
        <w:pStyle w:val="T2"/>
        <w:rPr>
          <w:rFonts w:eastAsiaTheme="minorEastAsia" w:cstheme="minorBidi"/>
          <w:bCs w:val="0"/>
          <w:lang w:eastAsia="tr-TR"/>
        </w:rPr>
      </w:pPr>
      <w:hyperlink w:anchor="_Toc195868694" w:history="1">
        <w:r w:rsidR="007F3AB0" w:rsidRPr="00557829">
          <w:rPr>
            <w:rStyle w:val="Kpr"/>
          </w:rPr>
          <w:t>3.2.</w:t>
        </w:r>
        <w:r w:rsidR="007F3AB0">
          <w:rPr>
            <w:rFonts w:eastAsiaTheme="minorEastAsia" w:cstheme="minorBidi"/>
            <w:bCs w:val="0"/>
            <w:lang w:eastAsia="tr-TR"/>
          </w:rPr>
          <w:tab/>
        </w:r>
        <w:r w:rsidR="007F3AB0" w:rsidRPr="00557829">
          <w:rPr>
            <w:rStyle w:val="Kpr"/>
          </w:rPr>
          <w:t>Şarj Hizmeti Piyasası Lisanslama Faaliyetleri</w:t>
        </w:r>
        <w:r w:rsidR="007F3AB0">
          <w:rPr>
            <w:webHidden/>
          </w:rPr>
          <w:tab/>
        </w:r>
        <w:r w:rsidR="007F3AB0">
          <w:rPr>
            <w:webHidden/>
          </w:rPr>
          <w:fldChar w:fldCharType="begin"/>
        </w:r>
        <w:r w:rsidR="007F3AB0">
          <w:rPr>
            <w:webHidden/>
          </w:rPr>
          <w:instrText xml:space="preserve"> PAGEREF _Toc195868694 \h </w:instrText>
        </w:r>
        <w:r w:rsidR="007F3AB0">
          <w:rPr>
            <w:webHidden/>
          </w:rPr>
        </w:r>
        <w:r w:rsidR="007F3AB0">
          <w:rPr>
            <w:webHidden/>
          </w:rPr>
          <w:fldChar w:fldCharType="separate"/>
        </w:r>
        <w:r w:rsidR="00AE2496">
          <w:rPr>
            <w:webHidden/>
          </w:rPr>
          <w:t>75</w:t>
        </w:r>
        <w:r w:rsidR="007F3AB0">
          <w:rPr>
            <w:webHidden/>
          </w:rPr>
          <w:fldChar w:fldCharType="end"/>
        </w:r>
      </w:hyperlink>
    </w:p>
    <w:p w14:paraId="1F754953" w14:textId="4F31F524" w:rsidR="007F3AB0" w:rsidRDefault="0032505C">
      <w:pPr>
        <w:pStyle w:val="T2"/>
        <w:rPr>
          <w:rFonts w:eastAsiaTheme="minorEastAsia" w:cstheme="minorBidi"/>
          <w:bCs w:val="0"/>
          <w:lang w:eastAsia="tr-TR"/>
        </w:rPr>
      </w:pPr>
      <w:hyperlink w:anchor="_Toc195868695" w:history="1">
        <w:r w:rsidR="007F3AB0" w:rsidRPr="00557829">
          <w:rPr>
            <w:rStyle w:val="Kpr"/>
            <w:rFonts w:cstheme="minorHAnsi"/>
          </w:rPr>
          <w:t>3.2.1.</w:t>
        </w:r>
        <w:r w:rsidR="007F3AB0">
          <w:rPr>
            <w:rFonts w:eastAsiaTheme="minorEastAsia" w:cstheme="minorBidi"/>
            <w:bCs w:val="0"/>
            <w:lang w:eastAsia="tr-TR"/>
          </w:rPr>
          <w:tab/>
        </w:r>
        <w:r w:rsidR="007F3AB0" w:rsidRPr="00557829">
          <w:rPr>
            <w:rStyle w:val="Kpr"/>
          </w:rPr>
          <w:t>Elektrikli araç kullanımı, gelişimi ve şarj altyapısı ihtiyacına yönelik projeksiyon hazırlanması</w:t>
        </w:r>
        <w:r w:rsidR="007F3AB0">
          <w:rPr>
            <w:webHidden/>
          </w:rPr>
          <w:tab/>
        </w:r>
        <w:r w:rsidR="007F3AB0">
          <w:rPr>
            <w:webHidden/>
          </w:rPr>
          <w:fldChar w:fldCharType="begin"/>
        </w:r>
        <w:r w:rsidR="007F3AB0">
          <w:rPr>
            <w:webHidden/>
          </w:rPr>
          <w:instrText xml:space="preserve"> PAGEREF _Toc195868695 \h </w:instrText>
        </w:r>
        <w:r w:rsidR="007F3AB0">
          <w:rPr>
            <w:webHidden/>
          </w:rPr>
        </w:r>
        <w:r w:rsidR="007F3AB0">
          <w:rPr>
            <w:webHidden/>
          </w:rPr>
          <w:fldChar w:fldCharType="separate"/>
        </w:r>
        <w:r w:rsidR="00AE2496">
          <w:rPr>
            <w:webHidden/>
          </w:rPr>
          <w:t>76</w:t>
        </w:r>
        <w:r w:rsidR="007F3AB0">
          <w:rPr>
            <w:webHidden/>
          </w:rPr>
          <w:fldChar w:fldCharType="end"/>
        </w:r>
      </w:hyperlink>
    </w:p>
    <w:p w14:paraId="718AAFAB" w14:textId="7FF3F97D" w:rsidR="007F3AB0" w:rsidRDefault="0032505C">
      <w:pPr>
        <w:pStyle w:val="T2"/>
        <w:rPr>
          <w:rFonts w:eastAsiaTheme="minorEastAsia" w:cstheme="minorBidi"/>
          <w:bCs w:val="0"/>
          <w:lang w:eastAsia="tr-TR"/>
        </w:rPr>
      </w:pPr>
      <w:hyperlink w:anchor="_Toc195868696" w:history="1">
        <w:r w:rsidR="007F3AB0" w:rsidRPr="00557829">
          <w:rPr>
            <w:rStyle w:val="Kpr"/>
          </w:rPr>
          <w:t>3.3.</w:t>
        </w:r>
        <w:r w:rsidR="007F3AB0">
          <w:rPr>
            <w:rFonts w:eastAsiaTheme="minorEastAsia" w:cstheme="minorBidi"/>
            <w:bCs w:val="0"/>
            <w:lang w:eastAsia="tr-TR"/>
          </w:rPr>
          <w:tab/>
        </w:r>
        <w:r w:rsidR="007F3AB0" w:rsidRPr="00557829">
          <w:rPr>
            <w:rStyle w:val="Kpr"/>
          </w:rPr>
          <w:t>Doğal Gaz Piyasası Lisanslama ve Sertifika Faaliyetleri</w:t>
        </w:r>
        <w:r w:rsidR="007F3AB0">
          <w:rPr>
            <w:webHidden/>
          </w:rPr>
          <w:tab/>
        </w:r>
        <w:r w:rsidR="007F3AB0">
          <w:rPr>
            <w:webHidden/>
          </w:rPr>
          <w:fldChar w:fldCharType="begin"/>
        </w:r>
        <w:r w:rsidR="007F3AB0">
          <w:rPr>
            <w:webHidden/>
          </w:rPr>
          <w:instrText xml:space="preserve"> PAGEREF _Toc195868696 \h </w:instrText>
        </w:r>
        <w:r w:rsidR="007F3AB0">
          <w:rPr>
            <w:webHidden/>
          </w:rPr>
        </w:r>
        <w:r w:rsidR="007F3AB0">
          <w:rPr>
            <w:webHidden/>
          </w:rPr>
          <w:fldChar w:fldCharType="separate"/>
        </w:r>
        <w:r w:rsidR="00AE2496">
          <w:rPr>
            <w:webHidden/>
          </w:rPr>
          <w:t>77</w:t>
        </w:r>
        <w:r w:rsidR="007F3AB0">
          <w:rPr>
            <w:webHidden/>
          </w:rPr>
          <w:fldChar w:fldCharType="end"/>
        </w:r>
      </w:hyperlink>
    </w:p>
    <w:p w14:paraId="70822E00" w14:textId="08BC7E2E" w:rsidR="007F3AB0" w:rsidRDefault="0032505C">
      <w:pPr>
        <w:pStyle w:val="T3"/>
        <w:rPr>
          <w:rFonts w:eastAsiaTheme="minorEastAsia" w:cstheme="minorBidi"/>
          <w:noProof/>
          <w:lang w:eastAsia="tr-TR"/>
        </w:rPr>
      </w:pPr>
      <w:hyperlink w:anchor="_Toc195868697" w:history="1">
        <w:r w:rsidR="007F3AB0" w:rsidRPr="00557829">
          <w:rPr>
            <w:rStyle w:val="Kpr"/>
            <w:rFonts w:cstheme="minorHAnsi"/>
            <w:noProof/>
          </w:rPr>
          <w:t>3.3.1.</w:t>
        </w:r>
        <w:r w:rsidR="007F3AB0">
          <w:rPr>
            <w:rFonts w:eastAsiaTheme="minorEastAsia" w:cstheme="minorBidi"/>
            <w:noProof/>
            <w:lang w:eastAsia="tr-TR"/>
          </w:rPr>
          <w:tab/>
        </w:r>
        <w:r w:rsidR="007F3AB0" w:rsidRPr="00557829">
          <w:rPr>
            <w:rStyle w:val="Kpr"/>
            <w:noProof/>
          </w:rPr>
          <w:t>Lisans İşlemleri</w:t>
        </w:r>
        <w:r w:rsidR="007F3AB0">
          <w:rPr>
            <w:noProof/>
            <w:webHidden/>
          </w:rPr>
          <w:tab/>
        </w:r>
        <w:r w:rsidR="007F3AB0">
          <w:rPr>
            <w:noProof/>
            <w:webHidden/>
          </w:rPr>
          <w:fldChar w:fldCharType="begin"/>
        </w:r>
        <w:r w:rsidR="007F3AB0">
          <w:rPr>
            <w:noProof/>
            <w:webHidden/>
          </w:rPr>
          <w:instrText xml:space="preserve"> PAGEREF _Toc195868697 \h </w:instrText>
        </w:r>
        <w:r w:rsidR="007F3AB0">
          <w:rPr>
            <w:noProof/>
            <w:webHidden/>
          </w:rPr>
        </w:r>
        <w:r w:rsidR="007F3AB0">
          <w:rPr>
            <w:noProof/>
            <w:webHidden/>
          </w:rPr>
          <w:fldChar w:fldCharType="separate"/>
        </w:r>
        <w:r w:rsidR="00AE2496">
          <w:rPr>
            <w:noProof/>
            <w:webHidden/>
          </w:rPr>
          <w:t>77</w:t>
        </w:r>
        <w:r w:rsidR="007F3AB0">
          <w:rPr>
            <w:noProof/>
            <w:webHidden/>
          </w:rPr>
          <w:fldChar w:fldCharType="end"/>
        </w:r>
      </w:hyperlink>
    </w:p>
    <w:p w14:paraId="4D2BB201" w14:textId="62DAF12F" w:rsidR="007F3AB0" w:rsidRDefault="0032505C">
      <w:pPr>
        <w:pStyle w:val="T3"/>
        <w:rPr>
          <w:rFonts w:eastAsiaTheme="minorEastAsia" w:cstheme="minorBidi"/>
          <w:noProof/>
          <w:lang w:eastAsia="tr-TR"/>
        </w:rPr>
      </w:pPr>
      <w:hyperlink w:anchor="_Toc195868698" w:history="1">
        <w:r w:rsidR="007F3AB0" w:rsidRPr="00557829">
          <w:rPr>
            <w:rStyle w:val="Kpr"/>
            <w:rFonts w:cstheme="minorHAnsi"/>
            <w:noProof/>
          </w:rPr>
          <w:t>3.3.2.</w:t>
        </w:r>
        <w:r w:rsidR="007F3AB0">
          <w:rPr>
            <w:rFonts w:eastAsiaTheme="minorEastAsia" w:cstheme="minorBidi"/>
            <w:noProof/>
            <w:lang w:eastAsia="tr-TR"/>
          </w:rPr>
          <w:tab/>
        </w:r>
        <w:r w:rsidR="007F3AB0" w:rsidRPr="00557829">
          <w:rPr>
            <w:rStyle w:val="Kpr"/>
            <w:noProof/>
          </w:rPr>
          <w:t>Sertifika İşlemleri</w:t>
        </w:r>
        <w:r w:rsidR="007F3AB0">
          <w:rPr>
            <w:noProof/>
            <w:webHidden/>
          </w:rPr>
          <w:tab/>
        </w:r>
        <w:r w:rsidR="007F3AB0">
          <w:rPr>
            <w:noProof/>
            <w:webHidden/>
          </w:rPr>
          <w:fldChar w:fldCharType="begin"/>
        </w:r>
        <w:r w:rsidR="007F3AB0">
          <w:rPr>
            <w:noProof/>
            <w:webHidden/>
          </w:rPr>
          <w:instrText xml:space="preserve"> PAGEREF _Toc195868698 \h </w:instrText>
        </w:r>
        <w:r w:rsidR="007F3AB0">
          <w:rPr>
            <w:noProof/>
            <w:webHidden/>
          </w:rPr>
        </w:r>
        <w:r w:rsidR="007F3AB0">
          <w:rPr>
            <w:noProof/>
            <w:webHidden/>
          </w:rPr>
          <w:fldChar w:fldCharType="separate"/>
        </w:r>
        <w:r w:rsidR="00AE2496">
          <w:rPr>
            <w:noProof/>
            <w:webHidden/>
          </w:rPr>
          <w:t>79</w:t>
        </w:r>
        <w:r w:rsidR="007F3AB0">
          <w:rPr>
            <w:noProof/>
            <w:webHidden/>
          </w:rPr>
          <w:fldChar w:fldCharType="end"/>
        </w:r>
      </w:hyperlink>
    </w:p>
    <w:p w14:paraId="2058C1E2" w14:textId="76BF880C" w:rsidR="007F3AB0" w:rsidRDefault="0032505C">
      <w:pPr>
        <w:pStyle w:val="T3"/>
        <w:rPr>
          <w:rFonts w:eastAsiaTheme="minorEastAsia" w:cstheme="minorBidi"/>
          <w:noProof/>
          <w:lang w:eastAsia="tr-TR"/>
        </w:rPr>
      </w:pPr>
      <w:hyperlink w:anchor="_Toc195868699" w:history="1">
        <w:r w:rsidR="007F3AB0" w:rsidRPr="00557829">
          <w:rPr>
            <w:rStyle w:val="Kpr"/>
            <w:rFonts w:cstheme="minorHAnsi"/>
            <w:noProof/>
          </w:rPr>
          <w:t>3.3.3.</w:t>
        </w:r>
        <w:r w:rsidR="007F3AB0">
          <w:rPr>
            <w:rFonts w:eastAsiaTheme="minorEastAsia" w:cstheme="minorBidi"/>
            <w:noProof/>
            <w:lang w:eastAsia="tr-TR"/>
          </w:rPr>
          <w:tab/>
        </w:r>
        <w:r w:rsidR="007F3AB0" w:rsidRPr="00557829">
          <w:rPr>
            <w:rStyle w:val="Kpr"/>
            <w:noProof/>
          </w:rPr>
          <w:t>Spot Boru Gazı İthalatına İlişkin İlan Edilen Talep Çağrıları ve Talep Toplama/Yarışma Sonuçları</w:t>
        </w:r>
        <w:r w:rsidR="007F3AB0">
          <w:rPr>
            <w:noProof/>
            <w:webHidden/>
          </w:rPr>
          <w:tab/>
        </w:r>
        <w:r w:rsidR="007F3AB0">
          <w:rPr>
            <w:noProof/>
            <w:webHidden/>
          </w:rPr>
          <w:fldChar w:fldCharType="begin"/>
        </w:r>
        <w:r w:rsidR="007F3AB0">
          <w:rPr>
            <w:noProof/>
            <w:webHidden/>
          </w:rPr>
          <w:instrText xml:space="preserve"> PAGEREF _Toc195868699 \h </w:instrText>
        </w:r>
        <w:r w:rsidR="007F3AB0">
          <w:rPr>
            <w:noProof/>
            <w:webHidden/>
          </w:rPr>
        </w:r>
        <w:r w:rsidR="007F3AB0">
          <w:rPr>
            <w:noProof/>
            <w:webHidden/>
          </w:rPr>
          <w:fldChar w:fldCharType="separate"/>
        </w:r>
        <w:r w:rsidR="00AE2496">
          <w:rPr>
            <w:noProof/>
            <w:webHidden/>
          </w:rPr>
          <w:t>79</w:t>
        </w:r>
        <w:r w:rsidR="007F3AB0">
          <w:rPr>
            <w:noProof/>
            <w:webHidden/>
          </w:rPr>
          <w:fldChar w:fldCharType="end"/>
        </w:r>
      </w:hyperlink>
    </w:p>
    <w:p w14:paraId="0812B5B3" w14:textId="3B91C122" w:rsidR="007F3AB0" w:rsidRDefault="0032505C">
      <w:pPr>
        <w:pStyle w:val="T2"/>
        <w:rPr>
          <w:rFonts w:eastAsiaTheme="minorEastAsia" w:cstheme="minorBidi"/>
          <w:bCs w:val="0"/>
          <w:lang w:eastAsia="tr-TR"/>
        </w:rPr>
      </w:pPr>
      <w:hyperlink w:anchor="_Toc195868700" w:history="1">
        <w:r w:rsidR="007F3AB0" w:rsidRPr="00557829">
          <w:rPr>
            <w:rStyle w:val="Kpr"/>
          </w:rPr>
          <w:t>3.4.</w:t>
        </w:r>
        <w:r w:rsidR="007F3AB0">
          <w:rPr>
            <w:rFonts w:eastAsiaTheme="minorEastAsia" w:cstheme="minorBidi"/>
            <w:bCs w:val="0"/>
            <w:lang w:eastAsia="tr-TR"/>
          </w:rPr>
          <w:tab/>
        </w:r>
        <w:r w:rsidR="007F3AB0" w:rsidRPr="00557829">
          <w:rPr>
            <w:rStyle w:val="Kpr"/>
          </w:rPr>
          <w:t>Petrol Piyasası Lisanslama Faaliyetleri</w:t>
        </w:r>
        <w:r w:rsidR="007F3AB0">
          <w:rPr>
            <w:webHidden/>
          </w:rPr>
          <w:tab/>
        </w:r>
        <w:r w:rsidR="007F3AB0">
          <w:rPr>
            <w:webHidden/>
          </w:rPr>
          <w:fldChar w:fldCharType="begin"/>
        </w:r>
        <w:r w:rsidR="007F3AB0">
          <w:rPr>
            <w:webHidden/>
          </w:rPr>
          <w:instrText xml:space="preserve"> PAGEREF _Toc195868700 \h </w:instrText>
        </w:r>
        <w:r w:rsidR="007F3AB0">
          <w:rPr>
            <w:webHidden/>
          </w:rPr>
        </w:r>
        <w:r w:rsidR="007F3AB0">
          <w:rPr>
            <w:webHidden/>
          </w:rPr>
          <w:fldChar w:fldCharType="separate"/>
        </w:r>
        <w:r w:rsidR="00AE2496">
          <w:rPr>
            <w:webHidden/>
          </w:rPr>
          <w:t>80</w:t>
        </w:r>
        <w:r w:rsidR="007F3AB0">
          <w:rPr>
            <w:webHidden/>
          </w:rPr>
          <w:fldChar w:fldCharType="end"/>
        </w:r>
      </w:hyperlink>
    </w:p>
    <w:p w14:paraId="50D14927" w14:textId="7BB1AE1D" w:rsidR="007F3AB0" w:rsidRDefault="0032505C">
      <w:pPr>
        <w:pStyle w:val="T3"/>
        <w:rPr>
          <w:rFonts w:eastAsiaTheme="minorEastAsia" w:cstheme="minorBidi"/>
          <w:noProof/>
          <w:lang w:eastAsia="tr-TR"/>
        </w:rPr>
      </w:pPr>
      <w:hyperlink w:anchor="_Toc195868701" w:history="1">
        <w:r w:rsidR="007F3AB0" w:rsidRPr="00557829">
          <w:rPr>
            <w:rStyle w:val="Kpr"/>
            <w:rFonts w:cstheme="minorHAnsi"/>
            <w:noProof/>
          </w:rPr>
          <w:t>3.4.1.</w:t>
        </w:r>
        <w:r w:rsidR="007F3AB0">
          <w:rPr>
            <w:rFonts w:eastAsiaTheme="minorEastAsia" w:cstheme="minorBidi"/>
            <w:noProof/>
            <w:lang w:eastAsia="tr-TR"/>
          </w:rPr>
          <w:tab/>
        </w:r>
        <w:r w:rsidR="007F3AB0" w:rsidRPr="00557829">
          <w:rPr>
            <w:rStyle w:val="Kpr"/>
            <w:noProof/>
          </w:rPr>
          <w:t>Akaryakıt Harici Ürün İzinlerine Dair İşlemler</w:t>
        </w:r>
        <w:r w:rsidR="007F3AB0">
          <w:rPr>
            <w:noProof/>
            <w:webHidden/>
          </w:rPr>
          <w:tab/>
        </w:r>
        <w:r w:rsidR="007F3AB0">
          <w:rPr>
            <w:noProof/>
            <w:webHidden/>
          </w:rPr>
          <w:fldChar w:fldCharType="begin"/>
        </w:r>
        <w:r w:rsidR="007F3AB0">
          <w:rPr>
            <w:noProof/>
            <w:webHidden/>
          </w:rPr>
          <w:instrText xml:space="preserve"> PAGEREF _Toc195868701 \h </w:instrText>
        </w:r>
        <w:r w:rsidR="007F3AB0">
          <w:rPr>
            <w:noProof/>
            <w:webHidden/>
          </w:rPr>
        </w:r>
        <w:r w:rsidR="007F3AB0">
          <w:rPr>
            <w:noProof/>
            <w:webHidden/>
          </w:rPr>
          <w:fldChar w:fldCharType="separate"/>
        </w:r>
        <w:r w:rsidR="00AE2496">
          <w:rPr>
            <w:noProof/>
            <w:webHidden/>
          </w:rPr>
          <w:t>82</w:t>
        </w:r>
        <w:r w:rsidR="007F3AB0">
          <w:rPr>
            <w:noProof/>
            <w:webHidden/>
          </w:rPr>
          <w:fldChar w:fldCharType="end"/>
        </w:r>
      </w:hyperlink>
    </w:p>
    <w:p w14:paraId="07F02EB2" w14:textId="21DC9611" w:rsidR="007F3AB0" w:rsidRDefault="0032505C">
      <w:pPr>
        <w:pStyle w:val="T3"/>
        <w:rPr>
          <w:rFonts w:eastAsiaTheme="minorEastAsia" w:cstheme="minorBidi"/>
          <w:noProof/>
          <w:lang w:eastAsia="tr-TR"/>
        </w:rPr>
      </w:pPr>
      <w:hyperlink w:anchor="_Toc195868702" w:history="1">
        <w:r w:rsidR="007F3AB0" w:rsidRPr="00557829">
          <w:rPr>
            <w:rStyle w:val="Kpr"/>
            <w:rFonts w:cstheme="minorHAnsi"/>
            <w:noProof/>
          </w:rPr>
          <w:t>3.4.2.</w:t>
        </w:r>
        <w:r w:rsidR="007F3AB0">
          <w:rPr>
            <w:rFonts w:eastAsiaTheme="minorEastAsia" w:cstheme="minorBidi"/>
            <w:noProof/>
            <w:lang w:eastAsia="tr-TR"/>
          </w:rPr>
          <w:tab/>
        </w:r>
        <w:r w:rsidR="007F3AB0" w:rsidRPr="00557829">
          <w:rPr>
            <w:rStyle w:val="Kpr"/>
            <w:noProof/>
          </w:rPr>
          <w:t>Lisans Sahiplerine Yönelik Otomasyon Çalışmaları</w:t>
        </w:r>
        <w:r w:rsidR="007F3AB0">
          <w:rPr>
            <w:noProof/>
            <w:webHidden/>
          </w:rPr>
          <w:tab/>
        </w:r>
        <w:r w:rsidR="007F3AB0">
          <w:rPr>
            <w:noProof/>
            <w:webHidden/>
          </w:rPr>
          <w:fldChar w:fldCharType="begin"/>
        </w:r>
        <w:r w:rsidR="007F3AB0">
          <w:rPr>
            <w:noProof/>
            <w:webHidden/>
          </w:rPr>
          <w:instrText xml:space="preserve"> PAGEREF _Toc195868702 \h </w:instrText>
        </w:r>
        <w:r w:rsidR="007F3AB0">
          <w:rPr>
            <w:noProof/>
            <w:webHidden/>
          </w:rPr>
        </w:r>
        <w:r w:rsidR="007F3AB0">
          <w:rPr>
            <w:noProof/>
            <w:webHidden/>
          </w:rPr>
          <w:fldChar w:fldCharType="separate"/>
        </w:r>
        <w:r w:rsidR="00AE2496">
          <w:rPr>
            <w:noProof/>
            <w:webHidden/>
          </w:rPr>
          <w:t>83</w:t>
        </w:r>
        <w:r w:rsidR="007F3AB0">
          <w:rPr>
            <w:noProof/>
            <w:webHidden/>
          </w:rPr>
          <w:fldChar w:fldCharType="end"/>
        </w:r>
      </w:hyperlink>
    </w:p>
    <w:p w14:paraId="243C07C1" w14:textId="108603FC" w:rsidR="007F3AB0" w:rsidRDefault="0032505C">
      <w:pPr>
        <w:pStyle w:val="T4"/>
        <w:tabs>
          <w:tab w:val="left" w:pos="1760"/>
          <w:tab w:val="right" w:leader="dot" w:pos="9060"/>
        </w:tabs>
        <w:rPr>
          <w:rFonts w:eastAsiaTheme="minorEastAsia" w:cstheme="minorBidi"/>
          <w:noProof/>
          <w:lang w:eastAsia="tr-TR"/>
        </w:rPr>
      </w:pPr>
      <w:hyperlink w:anchor="_Toc195868703" w:history="1">
        <w:r w:rsidR="007F3AB0" w:rsidRPr="00557829">
          <w:rPr>
            <w:rStyle w:val="Kpr"/>
            <w:noProof/>
          </w:rPr>
          <w:t>3.4.2.1.</w:t>
        </w:r>
        <w:r w:rsidR="007F3AB0">
          <w:rPr>
            <w:rFonts w:eastAsiaTheme="minorEastAsia" w:cstheme="minorBidi"/>
            <w:noProof/>
            <w:lang w:eastAsia="tr-TR"/>
          </w:rPr>
          <w:tab/>
        </w:r>
        <w:r w:rsidR="007F3AB0" w:rsidRPr="00557829">
          <w:rPr>
            <w:rStyle w:val="Kpr"/>
            <w:noProof/>
          </w:rPr>
          <w:t>Ulusal Marker</w:t>
        </w:r>
        <w:r w:rsidR="007F3AB0">
          <w:rPr>
            <w:noProof/>
            <w:webHidden/>
          </w:rPr>
          <w:tab/>
        </w:r>
        <w:r w:rsidR="007F3AB0">
          <w:rPr>
            <w:noProof/>
            <w:webHidden/>
          </w:rPr>
          <w:fldChar w:fldCharType="begin"/>
        </w:r>
        <w:r w:rsidR="007F3AB0">
          <w:rPr>
            <w:noProof/>
            <w:webHidden/>
          </w:rPr>
          <w:instrText xml:space="preserve"> PAGEREF _Toc195868703 \h </w:instrText>
        </w:r>
        <w:r w:rsidR="007F3AB0">
          <w:rPr>
            <w:noProof/>
            <w:webHidden/>
          </w:rPr>
        </w:r>
        <w:r w:rsidR="007F3AB0">
          <w:rPr>
            <w:noProof/>
            <w:webHidden/>
          </w:rPr>
          <w:fldChar w:fldCharType="separate"/>
        </w:r>
        <w:r w:rsidR="00AE2496">
          <w:rPr>
            <w:noProof/>
            <w:webHidden/>
          </w:rPr>
          <w:t>83</w:t>
        </w:r>
        <w:r w:rsidR="007F3AB0">
          <w:rPr>
            <w:noProof/>
            <w:webHidden/>
          </w:rPr>
          <w:fldChar w:fldCharType="end"/>
        </w:r>
      </w:hyperlink>
    </w:p>
    <w:p w14:paraId="2E024D95" w14:textId="23F485E4" w:rsidR="007F3AB0" w:rsidRDefault="0032505C">
      <w:pPr>
        <w:pStyle w:val="T4"/>
        <w:tabs>
          <w:tab w:val="left" w:pos="1760"/>
          <w:tab w:val="right" w:leader="dot" w:pos="9060"/>
        </w:tabs>
        <w:rPr>
          <w:rFonts w:eastAsiaTheme="minorEastAsia" w:cstheme="minorBidi"/>
          <w:noProof/>
          <w:lang w:eastAsia="tr-TR"/>
        </w:rPr>
      </w:pPr>
      <w:hyperlink w:anchor="_Toc195868704" w:history="1">
        <w:r w:rsidR="007F3AB0" w:rsidRPr="00557829">
          <w:rPr>
            <w:rStyle w:val="Kpr"/>
            <w:noProof/>
          </w:rPr>
          <w:t>3.4.2.2.</w:t>
        </w:r>
        <w:r w:rsidR="007F3AB0">
          <w:rPr>
            <w:rFonts w:eastAsiaTheme="minorEastAsia" w:cstheme="minorBidi"/>
            <w:noProof/>
            <w:lang w:eastAsia="tr-TR"/>
          </w:rPr>
          <w:tab/>
        </w:r>
        <w:r w:rsidR="007F3AB0" w:rsidRPr="00557829">
          <w:rPr>
            <w:rStyle w:val="Kpr"/>
            <w:noProof/>
          </w:rPr>
          <w:t>Akaryakıt Bayileri Otomasyon Sistemi</w:t>
        </w:r>
        <w:r w:rsidR="007F3AB0">
          <w:rPr>
            <w:noProof/>
            <w:webHidden/>
          </w:rPr>
          <w:tab/>
        </w:r>
        <w:r w:rsidR="007F3AB0">
          <w:rPr>
            <w:noProof/>
            <w:webHidden/>
          </w:rPr>
          <w:fldChar w:fldCharType="begin"/>
        </w:r>
        <w:r w:rsidR="007F3AB0">
          <w:rPr>
            <w:noProof/>
            <w:webHidden/>
          </w:rPr>
          <w:instrText xml:space="preserve"> PAGEREF _Toc195868704 \h </w:instrText>
        </w:r>
        <w:r w:rsidR="007F3AB0">
          <w:rPr>
            <w:noProof/>
            <w:webHidden/>
          </w:rPr>
        </w:r>
        <w:r w:rsidR="007F3AB0">
          <w:rPr>
            <w:noProof/>
            <w:webHidden/>
          </w:rPr>
          <w:fldChar w:fldCharType="separate"/>
        </w:r>
        <w:r w:rsidR="00AE2496">
          <w:rPr>
            <w:noProof/>
            <w:webHidden/>
          </w:rPr>
          <w:t>85</w:t>
        </w:r>
        <w:r w:rsidR="007F3AB0">
          <w:rPr>
            <w:noProof/>
            <w:webHidden/>
          </w:rPr>
          <w:fldChar w:fldCharType="end"/>
        </w:r>
      </w:hyperlink>
    </w:p>
    <w:p w14:paraId="29671822" w14:textId="70D28EC1" w:rsidR="007F3AB0" w:rsidRDefault="0032505C">
      <w:pPr>
        <w:pStyle w:val="T4"/>
        <w:tabs>
          <w:tab w:val="left" w:pos="1760"/>
          <w:tab w:val="right" w:leader="dot" w:pos="9060"/>
        </w:tabs>
        <w:rPr>
          <w:rFonts w:eastAsiaTheme="minorEastAsia" w:cstheme="minorBidi"/>
          <w:noProof/>
          <w:lang w:eastAsia="tr-TR"/>
        </w:rPr>
      </w:pPr>
      <w:hyperlink w:anchor="_Toc195868705" w:history="1">
        <w:r w:rsidR="007F3AB0" w:rsidRPr="00557829">
          <w:rPr>
            <w:rStyle w:val="Kpr"/>
            <w:noProof/>
          </w:rPr>
          <w:t>3.4.2.3.</w:t>
        </w:r>
        <w:r w:rsidR="007F3AB0">
          <w:rPr>
            <w:rFonts w:eastAsiaTheme="minorEastAsia" w:cstheme="minorBidi"/>
            <w:noProof/>
            <w:lang w:eastAsia="tr-TR"/>
          </w:rPr>
          <w:tab/>
        </w:r>
        <w:r w:rsidR="007F3AB0" w:rsidRPr="00557829">
          <w:rPr>
            <w:rStyle w:val="Kpr"/>
            <w:noProof/>
          </w:rPr>
          <w:t>Petrol Depo Stok Takip Sistemi</w:t>
        </w:r>
        <w:r w:rsidR="007F3AB0">
          <w:rPr>
            <w:noProof/>
            <w:webHidden/>
          </w:rPr>
          <w:tab/>
        </w:r>
        <w:r w:rsidR="007F3AB0">
          <w:rPr>
            <w:noProof/>
            <w:webHidden/>
          </w:rPr>
          <w:fldChar w:fldCharType="begin"/>
        </w:r>
        <w:r w:rsidR="007F3AB0">
          <w:rPr>
            <w:noProof/>
            <w:webHidden/>
          </w:rPr>
          <w:instrText xml:space="preserve"> PAGEREF _Toc195868705 \h </w:instrText>
        </w:r>
        <w:r w:rsidR="007F3AB0">
          <w:rPr>
            <w:noProof/>
            <w:webHidden/>
          </w:rPr>
        </w:r>
        <w:r w:rsidR="007F3AB0">
          <w:rPr>
            <w:noProof/>
            <w:webHidden/>
          </w:rPr>
          <w:fldChar w:fldCharType="separate"/>
        </w:r>
        <w:r w:rsidR="00AE2496">
          <w:rPr>
            <w:noProof/>
            <w:webHidden/>
          </w:rPr>
          <w:t>86</w:t>
        </w:r>
        <w:r w:rsidR="007F3AB0">
          <w:rPr>
            <w:noProof/>
            <w:webHidden/>
          </w:rPr>
          <w:fldChar w:fldCharType="end"/>
        </w:r>
      </w:hyperlink>
    </w:p>
    <w:p w14:paraId="7315A35F" w14:textId="2D57E59B" w:rsidR="007F3AB0" w:rsidRDefault="0032505C">
      <w:pPr>
        <w:pStyle w:val="T2"/>
        <w:rPr>
          <w:rFonts w:eastAsiaTheme="minorEastAsia" w:cstheme="minorBidi"/>
          <w:bCs w:val="0"/>
          <w:lang w:eastAsia="tr-TR"/>
        </w:rPr>
      </w:pPr>
      <w:hyperlink w:anchor="_Toc195868706" w:history="1">
        <w:r w:rsidR="007F3AB0" w:rsidRPr="00557829">
          <w:rPr>
            <w:rStyle w:val="Kpr"/>
          </w:rPr>
          <w:t>3.5.</w:t>
        </w:r>
        <w:r w:rsidR="007F3AB0">
          <w:rPr>
            <w:rFonts w:eastAsiaTheme="minorEastAsia" w:cstheme="minorBidi"/>
            <w:bCs w:val="0"/>
            <w:lang w:eastAsia="tr-TR"/>
          </w:rPr>
          <w:tab/>
        </w:r>
        <w:r w:rsidR="007F3AB0" w:rsidRPr="00557829">
          <w:rPr>
            <w:rStyle w:val="Kpr"/>
          </w:rPr>
          <w:t>Sıvılaştırılmış Petrol Gazları (LPG) Piyasası Lisanslama Faaliyetleri</w:t>
        </w:r>
        <w:r w:rsidR="007F3AB0">
          <w:rPr>
            <w:webHidden/>
          </w:rPr>
          <w:tab/>
        </w:r>
        <w:r w:rsidR="007F3AB0">
          <w:rPr>
            <w:webHidden/>
          </w:rPr>
          <w:fldChar w:fldCharType="begin"/>
        </w:r>
        <w:r w:rsidR="007F3AB0">
          <w:rPr>
            <w:webHidden/>
          </w:rPr>
          <w:instrText xml:space="preserve"> PAGEREF _Toc195868706 \h </w:instrText>
        </w:r>
        <w:r w:rsidR="007F3AB0">
          <w:rPr>
            <w:webHidden/>
          </w:rPr>
        </w:r>
        <w:r w:rsidR="007F3AB0">
          <w:rPr>
            <w:webHidden/>
          </w:rPr>
          <w:fldChar w:fldCharType="separate"/>
        </w:r>
        <w:r w:rsidR="00AE2496">
          <w:rPr>
            <w:webHidden/>
          </w:rPr>
          <w:t>86</w:t>
        </w:r>
        <w:r w:rsidR="007F3AB0">
          <w:rPr>
            <w:webHidden/>
          </w:rPr>
          <w:fldChar w:fldCharType="end"/>
        </w:r>
      </w:hyperlink>
    </w:p>
    <w:p w14:paraId="2029573E" w14:textId="26BEA814" w:rsidR="007F3AB0" w:rsidRDefault="0032505C">
      <w:pPr>
        <w:pStyle w:val="T4"/>
        <w:tabs>
          <w:tab w:val="left" w:pos="1540"/>
          <w:tab w:val="right" w:leader="dot" w:pos="9060"/>
        </w:tabs>
        <w:rPr>
          <w:rFonts w:eastAsiaTheme="minorEastAsia" w:cstheme="minorBidi"/>
          <w:noProof/>
          <w:lang w:eastAsia="tr-TR"/>
        </w:rPr>
      </w:pPr>
      <w:hyperlink w:anchor="_Toc195868707" w:history="1">
        <w:r w:rsidR="007F3AB0" w:rsidRPr="00557829">
          <w:rPr>
            <w:rStyle w:val="Kpr"/>
            <w:rFonts w:cstheme="minorHAnsi"/>
            <w:noProof/>
          </w:rPr>
          <w:t>3.5.1.</w:t>
        </w:r>
        <w:r w:rsidR="007F3AB0">
          <w:rPr>
            <w:rFonts w:eastAsiaTheme="minorEastAsia" w:cstheme="minorBidi"/>
            <w:noProof/>
            <w:lang w:eastAsia="tr-TR"/>
          </w:rPr>
          <w:tab/>
        </w:r>
        <w:r w:rsidR="007F3AB0" w:rsidRPr="00557829">
          <w:rPr>
            <w:rStyle w:val="Kpr"/>
            <w:rFonts w:cstheme="minorHAnsi"/>
            <w:noProof/>
          </w:rPr>
          <w:t>Sıvılaştırılmış Petrol Gazları (LPG) Piyasası Kupon İzni Verme Faaliyetleri</w:t>
        </w:r>
        <w:r w:rsidR="007F3AB0">
          <w:rPr>
            <w:noProof/>
            <w:webHidden/>
          </w:rPr>
          <w:tab/>
        </w:r>
        <w:r w:rsidR="007F3AB0">
          <w:rPr>
            <w:noProof/>
            <w:webHidden/>
          </w:rPr>
          <w:fldChar w:fldCharType="begin"/>
        </w:r>
        <w:r w:rsidR="007F3AB0">
          <w:rPr>
            <w:noProof/>
            <w:webHidden/>
          </w:rPr>
          <w:instrText xml:space="preserve"> PAGEREF _Toc195868707 \h </w:instrText>
        </w:r>
        <w:r w:rsidR="007F3AB0">
          <w:rPr>
            <w:noProof/>
            <w:webHidden/>
          </w:rPr>
        </w:r>
        <w:r w:rsidR="007F3AB0">
          <w:rPr>
            <w:noProof/>
            <w:webHidden/>
          </w:rPr>
          <w:fldChar w:fldCharType="separate"/>
        </w:r>
        <w:r w:rsidR="00AE2496">
          <w:rPr>
            <w:noProof/>
            <w:webHidden/>
          </w:rPr>
          <w:t>87</w:t>
        </w:r>
        <w:r w:rsidR="007F3AB0">
          <w:rPr>
            <w:noProof/>
            <w:webHidden/>
          </w:rPr>
          <w:fldChar w:fldCharType="end"/>
        </w:r>
      </w:hyperlink>
    </w:p>
    <w:p w14:paraId="6D04B65E" w14:textId="4EE54470" w:rsidR="007F3AB0" w:rsidRDefault="0032505C">
      <w:pPr>
        <w:pStyle w:val="T1"/>
        <w:tabs>
          <w:tab w:val="left" w:pos="660"/>
        </w:tabs>
        <w:rPr>
          <w:rFonts w:eastAsiaTheme="minorEastAsia" w:cstheme="minorBidi"/>
          <w:b w:val="0"/>
          <w:noProof/>
          <w:lang w:eastAsia="tr-TR"/>
        </w:rPr>
      </w:pPr>
      <w:hyperlink w:anchor="_Toc195868708" w:history="1">
        <w:r w:rsidR="007F3AB0" w:rsidRPr="00557829">
          <w:rPr>
            <w:rStyle w:val="Kpr"/>
            <w:noProof/>
          </w:rPr>
          <w:t>4.</w:t>
        </w:r>
        <w:r w:rsidR="007F3AB0">
          <w:rPr>
            <w:rFonts w:eastAsiaTheme="minorEastAsia" w:cstheme="minorBidi"/>
            <w:b w:val="0"/>
            <w:noProof/>
            <w:lang w:eastAsia="tr-TR"/>
          </w:rPr>
          <w:tab/>
        </w:r>
        <w:r w:rsidR="007F3AB0" w:rsidRPr="00557829">
          <w:rPr>
            <w:rStyle w:val="Kpr"/>
            <w:noProof/>
          </w:rPr>
          <w:t>FİYAT OLUŞUMU ve TARİFELENDİRME FAALİYETLERİ</w:t>
        </w:r>
        <w:r w:rsidR="007F3AB0">
          <w:rPr>
            <w:noProof/>
            <w:webHidden/>
          </w:rPr>
          <w:tab/>
        </w:r>
        <w:r w:rsidR="007F3AB0">
          <w:rPr>
            <w:noProof/>
            <w:webHidden/>
          </w:rPr>
          <w:fldChar w:fldCharType="begin"/>
        </w:r>
        <w:r w:rsidR="007F3AB0">
          <w:rPr>
            <w:noProof/>
            <w:webHidden/>
          </w:rPr>
          <w:instrText xml:space="preserve"> PAGEREF _Toc195868708 \h </w:instrText>
        </w:r>
        <w:r w:rsidR="007F3AB0">
          <w:rPr>
            <w:noProof/>
            <w:webHidden/>
          </w:rPr>
        </w:r>
        <w:r w:rsidR="007F3AB0">
          <w:rPr>
            <w:noProof/>
            <w:webHidden/>
          </w:rPr>
          <w:fldChar w:fldCharType="separate"/>
        </w:r>
        <w:r w:rsidR="00AE2496">
          <w:rPr>
            <w:noProof/>
            <w:webHidden/>
          </w:rPr>
          <w:t>89</w:t>
        </w:r>
        <w:r w:rsidR="007F3AB0">
          <w:rPr>
            <w:noProof/>
            <w:webHidden/>
          </w:rPr>
          <w:fldChar w:fldCharType="end"/>
        </w:r>
      </w:hyperlink>
    </w:p>
    <w:p w14:paraId="68D533F9" w14:textId="4DA87962" w:rsidR="007F3AB0" w:rsidRDefault="0032505C">
      <w:pPr>
        <w:pStyle w:val="T2"/>
        <w:rPr>
          <w:rFonts w:eastAsiaTheme="minorEastAsia" w:cstheme="minorBidi"/>
          <w:bCs w:val="0"/>
          <w:lang w:eastAsia="tr-TR"/>
        </w:rPr>
      </w:pPr>
      <w:hyperlink w:anchor="_Toc195868709" w:history="1">
        <w:r w:rsidR="007F3AB0" w:rsidRPr="00557829">
          <w:rPr>
            <w:rStyle w:val="Kpr"/>
          </w:rPr>
          <w:t>4.1.</w:t>
        </w:r>
        <w:r w:rsidR="007F3AB0">
          <w:rPr>
            <w:rFonts w:eastAsiaTheme="minorEastAsia" w:cstheme="minorBidi"/>
            <w:bCs w:val="0"/>
            <w:lang w:eastAsia="tr-TR"/>
          </w:rPr>
          <w:tab/>
        </w:r>
        <w:r w:rsidR="007F3AB0" w:rsidRPr="00557829">
          <w:rPr>
            <w:rStyle w:val="Kpr"/>
          </w:rPr>
          <w:t>Elektrik Piyasası Tarifeleri</w:t>
        </w:r>
        <w:r w:rsidR="007F3AB0">
          <w:rPr>
            <w:webHidden/>
          </w:rPr>
          <w:tab/>
        </w:r>
        <w:r w:rsidR="007F3AB0">
          <w:rPr>
            <w:webHidden/>
          </w:rPr>
          <w:fldChar w:fldCharType="begin"/>
        </w:r>
        <w:r w:rsidR="007F3AB0">
          <w:rPr>
            <w:webHidden/>
          </w:rPr>
          <w:instrText xml:space="preserve"> PAGEREF _Toc195868709 \h </w:instrText>
        </w:r>
        <w:r w:rsidR="007F3AB0">
          <w:rPr>
            <w:webHidden/>
          </w:rPr>
        </w:r>
        <w:r w:rsidR="007F3AB0">
          <w:rPr>
            <w:webHidden/>
          </w:rPr>
          <w:fldChar w:fldCharType="separate"/>
        </w:r>
        <w:r w:rsidR="00AE2496">
          <w:rPr>
            <w:webHidden/>
          </w:rPr>
          <w:t>89</w:t>
        </w:r>
        <w:r w:rsidR="007F3AB0">
          <w:rPr>
            <w:webHidden/>
          </w:rPr>
          <w:fldChar w:fldCharType="end"/>
        </w:r>
      </w:hyperlink>
    </w:p>
    <w:p w14:paraId="5637D32A" w14:textId="2F7A5F69" w:rsidR="007F3AB0" w:rsidRDefault="0032505C">
      <w:pPr>
        <w:pStyle w:val="T3"/>
        <w:rPr>
          <w:rFonts w:eastAsiaTheme="minorEastAsia" w:cstheme="minorBidi"/>
          <w:noProof/>
          <w:lang w:eastAsia="tr-TR"/>
        </w:rPr>
      </w:pPr>
      <w:hyperlink w:anchor="_Toc195868710" w:history="1">
        <w:r w:rsidR="007F3AB0" w:rsidRPr="00557829">
          <w:rPr>
            <w:rStyle w:val="Kpr"/>
            <w:rFonts w:cstheme="minorHAnsi"/>
            <w:noProof/>
          </w:rPr>
          <w:t>4.1.1.</w:t>
        </w:r>
        <w:r w:rsidR="007F3AB0">
          <w:rPr>
            <w:rFonts w:eastAsiaTheme="minorEastAsia" w:cstheme="minorBidi"/>
            <w:noProof/>
            <w:lang w:eastAsia="tr-TR"/>
          </w:rPr>
          <w:tab/>
        </w:r>
        <w:r w:rsidR="007F3AB0" w:rsidRPr="00557829">
          <w:rPr>
            <w:rStyle w:val="Kpr"/>
            <w:noProof/>
          </w:rPr>
          <w:t>İletim Tarifesi</w:t>
        </w:r>
        <w:r w:rsidR="007F3AB0">
          <w:rPr>
            <w:noProof/>
            <w:webHidden/>
          </w:rPr>
          <w:tab/>
        </w:r>
        <w:r w:rsidR="007F3AB0">
          <w:rPr>
            <w:noProof/>
            <w:webHidden/>
          </w:rPr>
          <w:fldChar w:fldCharType="begin"/>
        </w:r>
        <w:r w:rsidR="007F3AB0">
          <w:rPr>
            <w:noProof/>
            <w:webHidden/>
          </w:rPr>
          <w:instrText xml:space="preserve"> PAGEREF _Toc195868710 \h </w:instrText>
        </w:r>
        <w:r w:rsidR="007F3AB0">
          <w:rPr>
            <w:noProof/>
            <w:webHidden/>
          </w:rPr>
        </w:r>
        <w:r w:rsidR="007F3AB0">
          <w:rPr>
            <w:noProof/>
            <w:webHidden/>
          </w:rPr>
          <w:fldChar w:fldCharType="separate"/>
        </w:r>
        <w:r w:rsidR="00AE2496">
          <w:rPr>
            <w:noProof/>
            <w:webHidden/>
          </w:rPr>
          <w:t>89</w:t>
        </w:r>
        <w:r w:rsidR="007F3AB0">
          <w:rPr>
            <w:noProof/>
            <w:webHidden/>
          </w:rPr>
          <w:fldChar w:fldCharType="end"/>
        </w:r>
      </w:hyperlink>
    </w:p>
    <w:p w14:paraId="36ACC7D4" w14:textId="2F133973" w:rsidR="007F3AB0" w:rsidRDefault="0032505C">
      <w:pPr>
        <w:pStyle w:val="T4"/>
        <w:tabs>
          <w:tab w:val="left" w:pos="1760"/>
          <w:tab w:val="right" w:leader="dot" w:pos="9060"/>
        </w:tabs>
        <w:rPr>
          <w:rFonts w:eastAsiaTheme="minorEastAsia" w:cstheme="minorBidi"/>
          <w:noProof/>
          <w:lang w:eastAsia="tr-TR"/>
        </w:rPr>
      </w:pPr>
      <w:hyperlink w:anchor="_Toc195868711" w:history="1">
        <w:r w:rsidR="007F3AB0" w:rsidRPr="00557829">
          <w:rPr>
            <w:rStyle w:val="Kpr"/>
            <w:noProof/>
          </w:rPr>
          <w:t>4.1.1.1.</w:t>
        </w:r>
        <w:r w:rsidR="007F3AB0">
          <w:rPr>
            <w:rFonts w:eastAsiaTheme="minorEastAsia" w:cstheme="minorBidi"/>
            <w:noProof/>
            <w:lang w:eastAsia="tr-TR"/>
          </w:rPr>
          <w:tab/>
        </w:r>
        <w:r w:rsidR="007F3AB0" w:rsidRPr="00557829">
          <w:rPr>
            <w:rStyle w:val="Kpr"/>
            <w:noProof/>
          </w:rPr>
          <w:t>İletim Ek Ücreti</w:t>
        </w:r>
        <w:r w:rsidR="007F3AB0">
          <w:rPr>
            <w:noProof/>
            <w:webHidden/>
          </w:rPr>
          <w:tab/>
        </w:r>
        <w:r w:rsidR="007F3AB0">
          <w:rPr>
            <w:noProof/>
            <w:webHidden/>
          </w:rPr>
          <w:fldChar w:fldCharType="begin"/>
        </w:r>
        <w:r w:rsidR="007F3AB0">
          <w:rPr>
            <w:noProof/>
            <w:webHidden/>
          </w:rPr>
          <w:instrText xml:space="preserve"> PAGEREF _Toc195868711 \h </w:instrText>
        </w:r>
        <w:r w:rsidR="007F3AB0">
          <w:rPr>
            <w:noProof/>
            <w:webHidden/>
          </w:rPr>
        </w:r>
        <w:r w:rsidR="007F3AB0">
          <w:rPr>
            <w:noProof/>
            <w:webHidden/>
          </w:rPr>
          <w:fldChar w:fldCharType="separate"/>
        </w:r>
        <w:r w:rsidR="00AE2496">
          <w:rPr>
            <w:noProof/>
            <w:webHidden/>
          </w:rPr>
          <w:t>90</w:t>
        </w:r>
        <w:r w:rsidR="007F3AB0">
          <w:rPr>
            <w:noProof/>
            <w:webHidden/>
          </w:rPr>
          <w:fldChar w:fldCharType="end"/>
        </w:r>
      </w:hyperlink>
    </w:p>
    <w:p w14:paraId="1D7AD421" w14:textId="18CA732E" w:rsidR="007F3AB0" w:rsidRDefault="0032505C">
      <w:pPr>
        <w:pStyle w:val="T3"/>
        <w:rPr>
          <w:rFonts w:eastAsiaTheme="minorEastAsia" w:cstheme="minorBidi"/>
          <w:noProof/>
          <w:lang w:eastAsia="tr-TR"/>
        </w:rPr>
      </w:pPr>
      <w:hyperlink w:anchor="_Toc195868712" w:history="1">
        <w:r w:rsidR="007F3AB0" w:rsidRPr="00557829">
          <w:rPr>
            <w:rStyle w:val="Kpr"/>
            <w:rFonts w:cstheme="minorHAnsi"/>
            <w:noProof/>
          </w:rPr>
          <w:t>4.1.2.</w:t>
        </w:r>
        <w:r w:rsidR="007F3AB0">
          <w:rPr>
            <w:rFonts w:eastAsiaTheme="minorEastAsia" w:cstheme="minorBidi"/>
            <w:noProof/>
            <w:lang w:eastAsia="tr-TR"/>
          </w:rPr>
          <w:tab/>
        </w:r>
        <w:r w:rsidR="007F3AB0" w:rsidRPr="00557829">
          <w:rPr>
            <w:rStyle w:val="Kpr"/>
            <w:noProof/>
          </w:rPr>
          <w:t>Dağıtım ve Perakende Satış Tarifeleri</w:t>
        </w:r>
        <w:r w:rsidR="007F3AB0">
          <w:rPr>
            <w:noProof/>
            <w:webHidden/>
          </w:rPr>
          <w:tab/>
        </w:r>
        <w:r w:rsidR="007F3AB0">
          <w:rPr>
            <w:noProof/>
            <w:webHidden/>
          </w:rPr>
          <w:fldChar w:fldCharType="begin"/>
        </w:r>
        <w:r w:rsidR="007F3AB0">
          <w:rPr>
            <w:noProof/>
            <w:webHidden/>
          </w:rPr>
          <w:instrText xml:space="preserve"> PAGEREF _Toc195868712 \h </w:instrText>
        </w:r>
        <w:r w:rsidR="007F3AB0">
          <w:rPr>
            <w:noProof/>
            <w:webHidden/>
          </w:rPr>
        </w:r>
        <w:r w:rsidR="007F3AB0">
          <w:rPr>
            <w:noProof/>
            <w:webHidden/>
          </w:rPr>
          <w:fldChar w:fldCharType="separate"/>
        </w:r>
        <w:r w:rsidR="00AE2496">
          <w:rPr>
            <w:noProof/>
            <w:webHidden/>
          </w:rPr>
          <w:t>90</w:t>
        </w:r>
        <w:r w:rsidR="007F3AB0">
          <w:rPr>
            <w:noProof/>
            <w:webHidden/>
          </w:rPr>
          <w:fldChar w:fldCharType="end"/>
        </w:r>
      </w:hyperlink>
    </w:p>
    <w:p w14:paraId="0C28ADBD" w14:textId="14C5C44D" w:rsidR="007F3AB0" w:rsidRDefault="0032505C">
      <w:pPr>
        <w:pStyle w:val="T4"/>
        <w:tabs>
          <w:tab w:val="left" w:pos="1760"/>
          <w:tab w:val="right" w:leader="dot" w:pos="9060"/>
        </w:tabs>
        <w:rPr>
          <w:rFonts w:eastAsiaTheme="minorEastAsia" w:cstheme="minorBidi"/>
          <w:noProof/>
          <w:lang w:eastAsia="tr-TR"/>
        </w:rPr>
      </w:pPr>
      <w:hyperlink w:anchor="_Toc195868713" w:history="1">
        <w:r w:rsidR="007F3AB0" w:rsidRPr="00557829">
          <w:rPr>
            <w:rStyle w:val="Kpr"/>
            <w:noProof/>
          </w:rPr>
          <w:t>4.1.2.1.</w:t>
        </w:r>
        <w:r w:rsidR="007F3AB0">
          <w:rPr>
            <w:rFonts w:eastAsiaTheme="minorEastAsia" w:cstheme="minorBidi"/>
            <w:noProof/>
            <w:lang w:eastAsia="tr-TR"/>
          </w:rPr>
          <w:tab/>
        </w:r>
        <w:r w:rsidR="007F3AB0" w:rsidRPr="00557829">
          <w:rPr>
            <w:rStyle w:val="Kpr"/>
            <w:noProof/>
          </w:rPr>
          <w:t>Dağıtım Sistemi Bağlantı Bedeli</w:t>
        </w:r>
        <w:r w:rsidR="007F3AB0">
          <w:rPr>
            <w:noProof/>
            <w:webHidden/>
          </w:rPr>
          <w:tab/>
        </w:r>
        <w:r w:rsidR="007F3AB0">
          <w:rPr>
            <w:noProof/>
            <w:webHidden/>
          </w:rPr>
          <w:fldChar w:fldCharType="begin"/>
        </w:r>
        <w:r w:rsidR="007F3AB0">
          <w:rPr>
            <w:noProof/>
            <w:webHidden/>
          </w:rPr>
          <w:instrText xml:space="preserve"> PAGEREF _Toc195868713 \h </w:instrText>
        </w:r>
        <w:r w:rsidR="007F3AB0">
          <w:rPr>
            <w:noProof/>
            <w:webHidden/>
          </w:rPr>
        </w:r>
        <w:r w:rsidR="007F3AB0">
          <w:rPr>
            <w:noProof/>
            <w:webHidden/>
          </w:rPr>
          <w:fldChar w:fldCharType="separate"/>
        </w:r>
        <w:r w:rsidR="00AE2496">
          <w:rPr>
            <w:noProof/>
            <w:webHidden/>
          </w:rPr>
          <w:t>94</w:t>
        </w:r>
        <w:r w:rsidR="007F3AB0">
          <w:rPr>
            <w:noProof/>
            <w:webHidden/>
          </w:rPr>
          <w:fldChar w:fldCharType="end"/>
        </w:r>
      </w:hyperlink>
    </w:p>
    <w:p w14:paraId="0F9DE489" w14:textId="1BBDFA61" w:rsidR="007F3AB0" w:rsidRDefault="0032505C">
      <w:pPr>
        <w:pStyle w:val="T4"/>
        <w:tabs>
          <w:tab w:val="left" w:pos="1760"/>
          <w:tab w:val="right" w:leader="dot" w:pos="9060"/>
        </w:tabs>
        <w:rPr>
          <w:rFonts w:eastAsiaTheme="minorEastAsia" w:cstheme="minorBidi"/>
          <w:noProof/>
          <w:lang w:eastAsia="tr-TR"/>
        </w:rPr>
      </w:pPr>
      <w:hyperlink w:anchor="_Toc195868714" w:history="1">
        <w:r w:rsidR="007F3AB0" w:rsidRPr="00557829">
          <w:rPr>
            <w:rStyle w:val="Kpr"/>
            <w:noProof/>
          </w:rPr>
          <w:t>4.1.2.2.</w:t>
        </w:r>
        <w:r w:rsidR="007F3AB0">
          <w:rPr>
            <w:rFonts w:eastAsiaTheme="minorEastAsia" w:cstheme="minorBidi"/>
            <w:noProof/>
            <w:lang w:eastAsia="tr-TR"/>
          </w:rPr>
          <w:tab/>
        </w:r>
        <w:r w:rsidR="007F3AB0" w:rsidRPr="00557829">
          <w:rPr>
            <w:rStyle w:val="Kpr"/>
            <w:noProof/>
          </w:rPr>
          <w:t>Kesme-Bağlama Bedeli</w:t>
        </w:r>
        <w:r w:rsidR="007F3AB0">
          <w:rPr>
            <w:noProof/>
            <w:webHidden/>
          </w:rPr>
          <w:tab/>
        </w:r>
        <w:r w:rsidR="007F3AB0">
          <w:rPr>
            <w:noProof/>
            <w:webHidden/>
          </w:rPr>
          <w:fldChar w:fldCharType="begin"/>
        </w:r>
        <w:r w:rsidR="007F3AB0">
          <w:rPr>
            <w:noProof/>
            <w:webHidden/>
          </w:rPr>
          <w:instrText xml:space="preserve"> PAGEREF _Toc195868714 \h </w:instrText>
        </w:r>
        <w:r w:rsidR="007F3AB0">
          <w:rPr>
            <w:noProof/>
            <w:webHidden/>
          </w:rPr>
        </w:r>
        <w:r w:rsidR="007F3AB0">
          <w:rPr>
            <w:noProof/>
            <w:webHidden/>
          </w:rPr>
          <w:fldChar w:fldCharType="separate"/>
        </w:r>
        <w:r w:rsidR="00AE2496">
          <w:rPr>
            <w:noProof/>
            <w:webHidden/>
          </w:rPr>
          <w:t>94</w:t>
        </w:r>
        <w:r w:rsidR="007F3AB0">
          <w:rPr>
            <w:noProof/>
            <w:webHidden/>
          </w:rPr>
          <w:fldChar w:fldCharType="end"/>
        </w:r>
      </w:hyperlink>
    </w:p>
    <w:p w14:paraId="37550A13" w14:textId="10B01423" w:rsidR="007F3AB0" w:rsidRDefault="0032505C">
      <w:pPr>
        <w:pStyle w:val="T4"/>
        <w:tabs>
          <w:tab w:val="left" w:pos="1760"/>
          <w:tab w:val="right" w:leader="dot" w:pos="9060"/>
        </w:tabs>
        <w:rPr>
          <w:rFonts w:eastAsiaTheme="minorEastAsia" w:cstheme="minorBidi"/>
          <w:noProof/>
          <w:lang w:eastAsia="tr-TR"/>
        </w:rPr>
      </w:pPr>
      <w:hyperlink w:anchor="_Toc195868715" w:history="1">
        <w:r w:rsidR="007F3AB0" w:rsidRPr="00557829">
          <w:rPr>
            <w:rStyle w:val="Kpr"/>
            <w:noProof/>
          </w:rPr>
          <w:t>4.1.2.3.</w:t>
        </w:r>
        <w:r w:rsidR="007F3AB0">
          <w:rPr>
            <w:rFonts w:eastAsiaTheme="minorEastAsia" w:cstheme="minorBidi"/>
            <w:noProof/>
            <w:lang w:eastAsia="tr-TR"/>
          </w:rPr>
          <w:tab/>
        </w:r>
        <w:r w:rsidR="007F3AB0" w:rsidRPr="00557829">
          <w:rPr>
            <w:rStyle w:val="Kpr"/>
            <w:noProof/>
          </w:rPr>
          <w:t>Güvence Bedeli</w:t>
        </w:r>
        <w:r w:rsidR="007F3AB0">
          <w:rPr>
            <w:noProof/>
            <w:webHidden/>
          </w:rPr>
          <w:tab/>
        </w:r>
        <w:r w:rsidR="007F3AB0">
          <w:rPr>
            <w:noProof/>
            <w:webHidden/>
          </w:rPr>
          <w:fldChar w:fldCharType="begin"/>
        </w:r>
        <w:r w:rsidR="007F3AB0">
          <w:rPr>
            <w:noProof/>
            <w:webHidden/>
          </w:rPr>
          <w:instrText xml:space="preserve"> PAGEREF _Toc195868715 \h </w:instrText>
        </w:r>
        <w:r w:rsidR="007F3AB0">
          <w:rPr>
            <w:noProof/>
            <w:webHidden/>
          </w:rPr>
        </w:r>
        <w:r w:rsidR="007F3AB0">
          <w:rPr>
            <w:noProof/>
            <w:webHidden/>
          </w:rPr>
          <w:fldChar w:fldCharType="separate"/>
        </w:r>
        <w:r w:rsidR="00AE2496">
          <w:rPr>
            <w:noProof/>
            <w:webHidden/>
          </w:rPr>
          <w:t>95</w:t>
        </w:r>
        <w:r w:rsidR="007F3AB0">
          <w:rPr>
            <w:noProof/>
            <w:webHidden/>
          </w:rPr>
          <w:fldChar w:fldCharType="end"/>
        </w:r>
      </w:hyperlink>
    </w:p>
    <w:p w14:paraId="54705E7B" w14:textId="23293DB4" w:rsidR="007F3AB0" w:rsidRDefault="0032505C">
      <w:pPr>
        <w:pStyle w:val="T4"/>
        <w:tabs>
          <w:tab w:val="left" w:pos="1760"/>
          <w:tab w:val="right" w:leader="dot" w:pos="9060"/>
        </w:tabs>
        <w:rPr>
          <w:rFonts w:eastAsiaTheme="minorEastAsia" w:cstheme="minorBidi"/>
          <w:noProof/>
          <w:lang w:eastAsia="tr-TR"/>
        </w:rPr>
      </w:pPr>
      <w:hyperlink w:anchor="_Toc195868716" w:history="1">
        <w:r w:rsidR="007F3AB0" w:rsidRPr="00557829">
          <w:rPr>
            <w:rStyle w:val="Kpr"/>
            <w:noProof/>
          </w:rPr>
          <w:t>4.1.2.4.</w:t>
        </w:r>
        <w:r w:rsidR="007F3AB0">
          <w:rPr>
            <w:rFonts w:eastAsiaTheme="minorEastAsia" w:cstheme="minorBidi"/>
            <w:noProof/>
            <w:lang w:eastAsia="tr-TR"/>
          </w:rPr>
          <w:tab/>
        </w:r>
        <w:r w:rsidR="007F3AB0" w:rsidRPr="00557829">
          <w:rPr>
            <w:rStyle w:val="Kpr"/>
            <w:noProof/>
          </w:rPr>
          <w:t>Sayaç Kontrol Bedeli</w:t>
        </w:r>
        <w:r w:rsidR="007F3AB0">
          <w:rPr>
            <w:noProof/>
            <w:webHidden/>
          </w:rPr>
          <w:tab/>
        </w:r>
        <w:r w:rsidR="007F3AB0">
          <w:rPr>
            <w:noProof/>
            <w:webHidden/>
          </w:rPr>
          <w:fldChar w:fldCharType="begin"/>
        </w:r>
        <w:r w:rsidR="007F3AB0">
          <w:rPr>
            <w:noProof/>
            <w:webHidden/>
          </w:rPr>
          <w:instrText xml:space="preserve"> PAGEREF _Toc195868716 \h </w:instrText>
        </w:r>
        <w:r w:rsidR="007F3AB0">
          <w:rPr>
            <w:noProof/>
            <w:webHidden/>
          </w:rPr>
        </w:r>
        <w:r w:rsidR="007F3AB0">
          <w:rPr>
            <w:noProof/>
            <w:webHidden/>
          </w:rPr>
          <w:fldChar w:fldCharType="separate"/>
        </w:r>
        <w:r w:rsidR="00AE2496">
          <w:rPr>
            <w:noProof/>
            <w:webHidden/>
          </w:rPr>
          <w:t>95</w:t>
        </w:r>
        <w:r w:rsidR="007F3AB0">
          <w:rPr>
            <w:noProof/>
            <w:webHidden/>
          </w:rPr>
          <w:fldChar w:fldCharType="end"/>
        </w:r>
      </w:hyperlink>
    </w:p>
    <w:p w14:paraId="75E57DE1" w14:textId="6E35C40C" w:rsidR="007F3AB0" w:rsidRDefault="0032505C">
      <w:pPr>
        <w:pStyle w:val="T3"/>
        <w:rPr>
          <w:rFonts w:eastAsiaTheme="minorEastAsia" w:cstheme="minorBidi"/>
          <w:noProof/>
          <w:lang w:eastAsia="tr-TR"/>
        </w:rPr>
      </w:pPr>
      <w:hyperlink w:anchor="_Toc195868717" w:history="1">
        <w:r w:rsidR="007F3AB0" w:rsidRPr="00557829">
          <w:rPr>
            <w:rStyle w:val="Kpr"/>
            <w:rFonts w:cstheme="minorHAnsi"/>
            <w:noProof/>
          </w:rPr>
          <w:t>4.1.3.</w:t>
        </w:r>
        <w:r w:rsidR="007F3AB0">
          <w:rPr>
            <w:rFonts w:eastAsiaTheme="minorEastAsia" w:cstheme="minorBidi"/>
            <w:noProof/>
            <w:lang w:eastAsia="tr-TR"/>
          </w:rPr>
          <w:tab/>
        </w:r>
        <w:r w:rsidR="007F3AB0" w:rsidRPr="00557829">
          <w:rPr>
            <w:rStyle w:val="Kpr"/>
            <w:noProof/>
          </w:rPr>
          <w:t>Piyasa İşletim Tarifesi</w:t>
        </w:r>
        <w:r w:rsidR="007F3AB0">
          <w:rPr>
            <w:noProof/>
            <w:webHidden/>
          </w:rPr>
          <w:tab/>
        </w:r>
        <w:r w:rsidR="007F3AB0">
          <w:rPr>
            <w:noProof/>
            <w:webHidden/>
          </w:rPr>
          <w:fldChar w:fldCharType="begin"/>
        </w:r>
        <w:r w:rsidR="007F3AB0">
          <w:rPr>
            <w:noProof/>
            <w:webHidden/>
          </w:rPr>
          <w:instrText xml:space="preserve"> PAGEREF _Toc195868717 \h </w:instrText>
        </w:r>
        <w:r w:rsidR="007F3AB0">
          <w:rPr>
            <w:noProof/>
            <w:webHidden/>
          </w:rPr>
        </w:r>
        <w:r w:rsidR="007F3AB0">
          <w:rPr>
            <w:noProof/>
            <w:webHidden/>
          </w:rPr>
          <w:fldChar w:fldCharType="separate"/>
        </w:r>
        <w:r w:rsidR="00AE2496">
          <w:rPr>
            <w:noProof/>
            <w:webHidden/>
          </w:rPr>
          <w:t>96</w:t>
        </w:r>
        <w:r w:rsidR="007F3AB0">
          <w:rPr>
            <w:noProof/>
            <w:webHidden/>
          </w:rPr>
          <w:fldChar w:fldCharType="end"/>
        </w:r>
      </w:hyperlink>
    </w:p>
    <w:p w14:paraId="001B21D8" w14:textId="179B958A" w:rsidR="007F3AB0" w:rsidRDefault="0032505C">
      <w:pPr>
        <w:pStyle w:val="T3"/>
        <w:rPr>
          <w:rFonts w:eastAsiaTheme="minorEastAsia" w:cstheme="minorBidi"/>
          <w:noProof/>
          <w:lang w:eastAsia="tr-TR"/>
        </w:rPr>
      </w:pPr>
      <w:hyperlink w:anchor="_Toc195868718" w:history="1">
        <w:r w:rsidR="007F3AB0" w:rsidRPr="00557829">
          <w:rPr>
            <w:rStyle w:val="Kpr"/>
            <w:rFonts w:cstheme="minorHAnsi"/>
            <w:noProof/>
          </w:rPr>
          <w:t>4.1.4.</w:t>
        </w:r>
        <w:r w:rsidR="007F3AB0">
          <w:rPr>
            <w:rFonts w:eastAsiaTheme="minorEastAsia" w:cstheme="minorBidi"/>
            <w:noProof/>
            <w:lang w:eastAsia="tr-TR"/>
          </w:rPr>
          <w:tab/>
        </w:r>
        <w:r w:rsidR="007F3AB0" w:rsidRPr="00557829">
          <w:rPr>
            <w:rStyle w:val="Kpr"/>
            <w:noProof/>
          </w:rPr>
          <w:t>OSB Dağıtım Bedeli</w:t>
        </w:r>
        <w:r w:rsidR="007F3AB0">
          <w:rPr>
            <w:noProof/>
            <w:webHidden/>
          </w:rPr>
          <w:tab/>
        </w:r>
        <w:r w:rsidR="007F3AB0">
          <w:rPr>
            <w:noProof/>
            <w:webHidden/>
          </w:rPr>
          <w:fldChar w:fldCharType="begin"/>
        </w:r>
        <w:r w:rsidR="007F3AB0">
          <w:rPr>
            <w:noProof/>
            <w:webHidden/>
          </w:rPr>
          <w:instrText xml:space="preserve"> PAGEREF _Toc195868718 \h </w:instrText>
        </w:r>
        <w:r w:rsidR="007F3AB0">
          <w:rPr>
            <w:noProof/>
            <w:webHidden/>
          </w:rPr>
        </w:r>
        <w:r w:rsidR="007F3AB0">
          <w:rPr>
            <w:noProof/>
            <w:webHidden/>
          </w:rPr>
          <w:fldChar w:fldCharType="separate"/>
        </w:r>
        <w:r w:rsidR="00AE2496">
          <w:rPr>
            <w:noProof/>
            <w:webHidden/>
          </w:rPr>
          <w:t>96</w:t>
        </w:r>
        <w:r w:rsidR="007F3AB0">
          <w:rPr>
            <w:noProof/>
            <w:webHidden/>
          </w:rPr>
          <w:fldChar w:fldCharType="end"/>
        </w:r>
      </w:hyperlink>
    </w:p>
    <w:p w14:paraId="2BEE0DBF" w14:textId="7AD95798" w:rsidR="007F3AB0" w:rsidRDefault="0032505C">
      <w:pPr>
        <w:pStyle w:val="T3"/>
        <w:rPr>
          <w:rFonts w:eastAsiaTheme="minorEastAsia" w:cstheme="minorBidi"/>
          <w:noProof/>
          <w:lang w:eastAsia="tr-TR"/>
        </w:rPr>
      </w:pPr>
      <w:hyperlink w:anchor="_Toc195868719" w:history="1">
        <w:r w:rsidR="007F3AB0" w:rsidRPr="00557829">
          <w:rPr>
            <w:rStyle w:val="Kpr"/>
            <w:rFonts w:cstheme="minorHAnsi"/>
            <w:noProof/>
          </w:rPr>
          <w:t>4.1.5.</w:t>
        </w:r>
        <w:r w:rsidR="007F3AB0">
          <w:rPr>
            <w:rFonts w:eastAsiaTheme="minorEastAsia" w:cstheme="minorBidi"/>
            <w:noProof/>
            <w:lang w:eastAsia="tr-TR"/>
          </w:rPr>
          <w:tab/>
        </w:r>
        <w:r w:rsidR="007F3AB0" w:rsidRPr="00557829">
          <w:rPr>
            <w:rStyle w:val="Kpr"/>
            <w:noProof/>
          </w:rPr>
          <w:t>EÜAŞ Toptan Satış Tarifesi</w:t>
        </w:r>
        <w:r w:rsidR="007F3AB0">
          <w:rPr>
            <w:noProof/>
            <w:webHidden/>
          </w:rPr>
          <w:tab/>
        </w:r>
        <w:r w:rsidR="007F3AB0">
          <w:rPr>
            <w:noProof/>
            <w:webHidden/>
          </w:rPr>
          <w:fldChar w:fldCharType="begin"/>
        </w:r>
        <w:r w:rsidR="007F3AB0">
          <w:rPr>
            <w:noProof/>
            <w:webHidden/>
          </w:rPr>
          <w:instrText xml:space="preserve"> PAGEREF _Toc195868719 \h </w:instrText>
        </w:r>
        <w:r w:rsidR="007F3AB0">
          <w:rPr>
            <w:noProof/>
            <w:webHidden/>
          </w:rPr>
        </w:r>
        <w:r w:rsidR="007F3AB0">
          <w:rPr>
            <w:noProof/>
            <w:webHidden/>
          </w:rPr>
          <w:fldChar w:fldCharType="separate"/>
        </w:r>
        <w:r w:rsidR="00AE2496">
          <w:rPr>
            <w:noProof/>
            <w:webHidden/>
          </w:rPr>
          <w:t>97</w:t>
        </w:r>
        <w:r w:rsidR="007F3AB0">
          <w:rPr>
            <w:noProof/>
            <w:webHidden/>
          </w:rPr>
          <w:fldChar w:fldCharType="end"/>
        </w:r>
      </w:hyperlink>
    </w:p>
    <w:p w14:paraId="66922DA8" w14:textId="15B26729" w:rsidR="007F3AB0" w:rsidRDefault="0032505C">
      <w:pPr>
        <w:pStyle w:val="T3"/>
        <w:rPr>
          <w:rFonts w:eastAsiaTheme="minorEastAsia" w:cstheme="minorBidi"/>
          <w:noProof/>
          <w:lang w:eastAsia="tr-TR"/>
        </w:rPr>
      </w:pPr>
      <w:hyperlink w:anchor="_Toc195868720" w:history="1">
        <w:r w:rsidR="007F3AB0" w:rsidRPr="00557829">
          <w:rPr>
            <w:rStyle w:val="Kpr"/>
            <w:rFonts w:cstheme="minorHAnsi"/>
            <w:noProof/>
          </w:rPr>
          <w:t>4.1.6.</w:t>
        </w:r>
        <w:r w:rsidR="007F3AB0">
          <w:rPr>
            <w:rFonts w:eastAsiaTheme="minorEastAsia" w:cstheme="minorBidi"/>
            <w:noProof/>
            <w:lang w:eastAsia="tr-TR"/>
          </w:rPr>
          <w:tab/>
        </w:r>
        <w:r w:rsidR="007F3AB0" w:rsidRPr="00557829">
          <w:rPr>
            <w:rStyle w:val="Kpr"/>
            <w:rFonts w:eastAsia="Times New Roman"/>
            <w:noProof/>
          </w:rPr>
          <w:t>Türkiye Ortalama Elektrik Toptan Satış Fiyatı</w:t>
        </w:r>
        <w:r w:rsidR="007F3AB0">
          <w:rPr>
            <w:noProof/>
            <w:webHidden/>
          </w:rPr>
          <w:tab/>
        </w:r>
        <w:r w:rsidR="007F3AB0">
          <w:rPr>
            <w:noProof/>
            <w:webHidden/>
          </w:rPr>
          <w:fldChar w:fldCharType="begin"/>
        </w:r>
        <w:r w:rsidR="007F3AB0">
          <w:rPr>
            <w:noProof/>
            <w:webHidden/>
          </w:rPr>
          <w:instrText xml:space="preserve"> PAGEREF _Toc195868720 \h </w:instrText>
        </w:r>
        <w:r w:rsidR="007F3AB0">
          <w:rPr>
            <w:noProof/>
            <w:webHidden/>
          </w:rPr>
        </w:r>
        <w:r w:rsidR="007F3AB0">
          <w:rPr>
            <w:noProof/>
            <w:webHidden/>
          </w:rPr>
          <w:fldChar w:fldCharType="separate"/>
        </w:r>
        <w:r w:rsidR="00AE2496">
          <w:rPr>
            <w:noProof/>
            <w:webHidden/>
          </w:rPr>
          <w:t>97</w:t>
        </w:r>
        <w:r w:rsidR="007F3AB0">
          <w:rPr>
            <w:noProof/>
            <w:webHidden/>
          </w:rPr>
          <w:fldChar w:fldCharType="end"/>
        </w:r>
      </w:hyperlink>
    </w:p>
    <w:p w14:paraId="10EE6305" w14:textId="550A6638" w:rsidR="007F3AB0" w:rsidRDefault="0032505C">
      <w:pPr>
        <w:pStyle w:val="T3"/>
        <w:rPr>
          <w:rFonts w:eastAsiaTheme="minorEastAsia" w:cstheme="minorBidi"/>
          <w:noProof/>
          <w:lang w:eastAsia="tr-TR"/>
        </w:rPr>
      </w:pPr>
      <w:hyperlink w:anchor="_Toc195868721" w:history="1">
        <w:r w:rsidR="007F3AB0" w:rsidRPr="00557829">
          <w:rPr>
            <w:rStyle w:val="Kpr"/>
            <w:rFonts w:eastAsia="Times New Roman" w:cstheme="minorHAnsi"/>
            <w:noProof/>
          </w:rPr>
          <w:t>4.1.7.</w:t>
        </w:r>
        <w:r w:rsidR="007F3AB0">
          <w:rPr>
            <w:rFonts w:eastAsiaTheme="minorEastAsia" w:cstheme="minorBidi"/>
            <w:noProof/>
            <w:lang w:eastAsia="tr-TR"/>
          </w:rPr>
          <w:tab/>
        </w:r>
        <w:r w:rsidR="007F3AB0" w:rsidRPr="00557829">
          <w:rPr>
            <w:rStyle w:val="Kpr"/>
            <w:rFonts w:eastAsia="Times New Roman"/>
            <w:noProof/>
          </w:rPr>
          <w:t>Elektrik Piyasası ile İlgili Alınan Diğer Tarife Kurul Kararları</w:t>
        </w:r>
        <w:r w:rsidR="007F3AB0">
          <w:rPr>
            <w:noProof/>
            <w:webHidden/>
          </w:rPr>
          <w:tab/>
        </w:r>
        <w:r w:rsidR="007F3AB0">
          <w:rPr>
            <w:noProof/>
            <w:webHidden/>
          </w:rPr>
          <w:fldChar w:fldCharType="begin"/>
        </w:r>
        <w:r w:rsidR="007F3AB0">
          <w:rPr>
            <w:noProof/>
            <w:webHidden/>
          </w:rPr>
          <w:instrText xml:space="preserve"> PAGEREF _Toc195868721 \h </w:instrText>
        </w:r>
        <w:r w:rsidR="007F3AB0">
          <w:rPr>
            <w:noProof/>
            <w:webHidden/>
          </w:rPr>
        </w:r>
        <w:r w:rsidR="007F3AB0">
          <w:rPr>
            <w:noProof/>
            <w:webHidden/>
          </w:rPr>
          <w:fldChar w:fldCharType="separate"/>
        </w:r>
        <w:r w:rsidR="00AE2496">
          <w:rPr>
            <w:noProof/>
            <w:webHidden/>
          </w:rPr>
          <w:t>97</w:t>
        </w:r>
        <w:r w:rsidR="007F3AB0">
          <w:rPr>
            <w:noProof/>
            <w:webHidden/>
          </w:rPr>
          <w:fldChar w:fldCharType="end"/>
        </w:r>
      </w:hyperlink>
    </w:p>
    <w:p w14:paraId="24597A41" w14:textId="249D0294" w:rsidR="007F3AB0" w:rsidRDefault="0032505C">
      <w:pPr>
        <w:pStyle w:val="T3"/>
        <w:rPr>
          <w:rFonts w:eastAsiaTheme="minorEastAsia" w:cstheme="minorBidi"/>
          <w:noProof/>
          <w:lang w:eastAsia="tr-TR"/>
        </w:rPr>
      </w:pPr>
      <w:hyperlink w:anchor="_Toc195868722" w:history="1">
        <w:r w:rsidR="007F3AB0" w:rsidRPr="00557829">
          <w:rPr>
            <w:rStyle w:val="Kpr"/>
            <w:rFonts w:cstheme="minorHAnsi"/>
            <w:noProof/>
          </w:rPr>
          <w:t>4.1.8.</w:t>
        </w:r>
        <w:r w:rsidR="007F3AB0">
          <w:rPr>
            <w:rFonts w:eastAsiaTheme="minorEastAsia" w:cstheme="minorBidi"/>
            <w:noProof/>
            <w:lang w:eastAsia="tr-TR"/>
          </w:rPr>
          <w:tab/>
        </w:r>
        <w:r w:rsidR="007F3AB0" w:rsidRPr="00557829">
          <w:rPr>
            <w:rStyle w:val="Kpr"/>
            <w:noProof/>
          </w:rPr>
          <w:t>Lisans Bedelleri</w:t>
        </w:r>
        <w:r w:rsidR="007F3AB0">
          <w:rPr>
            <w:noProof/>
            <w:webHidden/>
          </w:rPr>
          <w:tab/>
        </w:r>
        <w:r w:rsidR="007F3AB0">
          <w:rPr>
            <w:noProof/>
            <w:webHidden/>
          </w:rPr>
          <w:fldChar w:fldCharType="begin"/>
        </w:r>
        <w:r w:rsidR="007F3AB0">
          <w:rPr>
            <w:noProof/>
            <w:webHidden/>
          </w:rPr>
          <w:instrText xml:space="preserve"> PAGEREF _Toc195868722 \h </w:instrText>
        </w:r>
        <w:r w:rsidR="007F3AB0">
          <w:rPr>
            <w:noProof/>
            <w:webHidden/>
          </w:rPr>
        </w:r>
        <w:r w:rsidR="007F3AB0">
          <w:rPr>
            <w:noProof/>
            <w:webHidden/>
          </w:rPr>
          <w:fldChar w:fldCharType="separate"/>
        </w:r>
        <w:r w:rsidR="00AE2496">
          <w:rPr>
            <w:noProof/>
            <w:webHidden/>
          </w:rPr>
          <w:t>99</w:t>
        </w:r>
        <w:r w:rsidR="007F3AB0">
          <w:rPr>
            <w:noProof/>
            <w:webHidden/>
          </w:rPr>
          <w:fldChar w:fldCharType="end"/>
        </w:r>
      </w:hyperlink>
    </w:p>
    <w:p w14:paraId="17B3D560" w14:textId="4CC8A11B" w:rsidR="007F3AB0" w:rsidRDefault="0032505C">
      <w:pPr>
        <w:pStyle w:val="T2"/>
        <w:rPr>
          <w:rFonts w:eastAsiaTheme="minorEastAsia" w:cstheme="minorBidi"/>
          <w:bCs w:val="0"/>
          <w:lang w:eastAsia="tr-TR"/>
        </w:rPr>
      </w:pPr>
      <w:hyperlink w:anchor="_Toc195868723" w:history="1">
        <w:r w:rsidR="007F3AB0" w:rsidRPr="00557829">
          <w:rPr>
            <w:rStyle w:val="Kpr"/>
          </w:rPr>
          <w:t>4.2.</w:t>
        </w:r>
        <w:r w:rsidR="007F3AB0">
          <w:rPr>
            <w:rFonts w:eastAsiaTheme="minorEastAsia" w:cstheme="minorBidi"/>
            <w:bCs w:val="0"/>
            <w:lang w:eastAsia="tr-TR"/>
          </w:rPr>
          <w:tab/>
        </w:r>
        <w:r w:rsidR="007F3AB0" w:rsidRPr="00557829">
          <w:rPr>
            <w:rStyle w:val="Kpr"/>
          </w:rPr>
          <w:t>Şarj Hizmeti Piyasası Tarifeleri</w:t>
        </w:r>
        <w:r w:rsidR="007F3AB0">
          <w:rPr>
            <w:webHidden/>
          </w:rPr>
          <w:tab/>
        </w:r>
        <w:r w:rsidR="007F3AB0">
          <w:rPr>
            <w:webHidden/>
          </w:rPr>
          <w:fldChar w:fldCharType="begin"/>
        </w:r>
        <w:r w:rsidR="007F3AB0">
          <w:rPr>
            <w:webHidden/>
          </w:rPr>
          <w:instrText xml:space="preserve"> PAGEREF _Toc195868723 \h </w:instrText>
        </w:r>
        <w:r w:rsidR="007F3AB0">
          <w:rPr>
            <w:webHidden/>
          </w:rPr>
        </w:r>
        <w:r w:rsidR="007F3AB0">
          <w:rPr>
            <w:webHidden/>
          </w:rPr>
          <w:fldChar w:fldCharType="separate"/>
        </w:r>
        <w:r w:rsidR="00AE2496">
          <w:rPr>
            <w:webHidden/>
          </w:rPr>
          <w:t>99</w:t>
        </w:r>
        <w:r w:rsidR="007F3AB0">
          <w:rPr>
            <w:webHidden/>
          </w:rPr>
          <w:fldChar w:fldCharType="end"/>
        </w:r>
      </w:hyperlink>
    </w:p>
    <w:p w14:paraId="690D7B78" w14:textId="7D2B23A0" w:rsidR="007F3AB0" w:rsidRDefault="0032505C">
      <w:pPr>
        <w:pStyle w:val="T3"/>
        <w:rPr>
          <w:rFonts w:eastAsiaTheme="minorEastAsia" w:cstheme="minorBidi"/>
          <w:noProof/>
          <w:lang w:eastAsia="tr-TR"/>
        </w:rPr>
      </w:pPr>
      <w:hyperlink w:anchor="_Toc195868724" w:history="1">
        <w:r w:rsidR="007F3AB0" w:rsidRPr="00557829">
          <w:rPr>
            <w:rStyle w:val="Kpr"/>
            <w:rFonts w:cstheme="minorHAnsi"/>
            <w:noProof/>
          </w:rPr>
          <w:t>4.2.1.</w:t>
        </w:r>
        <w:r w:rsidR="007F3AB0">
          <w:rPr>
            <w:rFonts w:eastAsiaTheme="minorEastAsia" w:cstheme="minorBidi"/>
            <w:noProof/>
            <w:lang w:eastAsia="tr-TR"/>
          </w:rPr>
          <w:tab/>
        </w:r>
        <w:r w:rsidR="007F3AB0" w:rsidRPr="00557829">
          <w:rPr>
            <w:rStyle w:val="Kpr"/>
            <w:noProof/>
          </w:rPr>
          <w:t>Lisans Bedelleri</w:t>
        </w:r>
        <w:r w:rsidR="007F3AB0">
          <w:rPr>
            <w:noProof/>
            <w:webHidden/>
          </w:rPr>
          <w:tab/>
        </w:r>
        <w:r w:rsidR="007F3AB0">
          <w:rPr>
            <w:noProof/>
            <w:webHidden/>
          </w:rPr>
          <w:fldChar w:fldCharType="begin"/>
        </w:r>
        <w:r w:rsidR="007F3AB0">
          <w:rPr>
            <w:noProof/>
            <w:webHidden/>
          </w:rPr>
          <w:instrText xml:space="preserve"> PAGEREF _Toc195868724 \h </w:instrText>
        </w:r>
        <w:r w:rsidR="007F3AB0">
          <w:rPr>
            <w:noProof/>
            <w:webHidden/>
          </w:rPr>
        </w:r>
        <w:r w:rsidR="007F3AB0">
          <w:rPr>
            <w:noProof/>
            <w:webHidden/>
          </w:rPr>
          <w:fldChar w:fldCharType="separate"/>
        </w:r>
        <w:r w:rsidR="00AE2496">
          <w:rPr>
            <w:noProof/>
            <w:webHidden/>
          </w:rPr>
          <w:t>100</w:t>
        </w:r>
        <w:r w:rsidR="007F3AB0">
          <w:rPr>
            <w:noProof/>
            <w:webHidden/>
          </w:rPr>
          <w:fldChar w:fldCharType="end"/>
        </w:r>
      </w:hyperlink>
    </w:p>
    <w:p w14:paraId="4546A241" w14:textId="2E51982F" w:rsidR="007F3AB0" w:rsidRDefault="0032505C">
      <w:pPr>
        <w:pStyle w:val="T2"/>
        <w:rPr>
          <w:rFonts w:eastAsiaTheme="minorEastAsia" w:cstheme="minorBidi"/>
          <w:bCs w:val="0"/>
          <w:lang w:eastAsia="tr-TR"/>
        </w:rPr>
      </w:pPr>
      <w:hyperlink w:anchor="_Toc195868725" w:history="1">
        <w:r w:rsidR="007F3AB0" w:rsidRPr="00557829">
          <w:rPr>
            <w:rStyle w:val="Kpr"/>
          </w:rPr>
          <w:t>4.3.</w:t>
        </w:r>
        <w:r w:rsidR="007F3AB0">
          <w:rPr>
            <w:rFonts w:eastAsiaTheme="minorEastAsia" w:cstheme="minorBidi"/>
            <w:bCs w:val="0"/>
            <w:lang w:eastAsia="tr-TR"/>
          </w:rPr>
          <w:tab/>
        </w:r>
        <w:r w:rsidR="007F3AB0" w:rsidRPr="00557829">
          <w:rPr>
            <w:rStyle w:val="Kpr"/>
          </w:rPr>
          <w:t>Doğal Gaz Piyasası Tarifeleri</w:t>
        </w:r>
        <w:r w:rsidR="007F3AB0">
          <w:rPr>
            <w:webHidden/>
          </w:rPr>
          <w:tab/>
        </w:r>
        <w:r w:rsidR="007F3AB0">
          <w:rPr>
            <w:webHidden/>
          </w:rPr>
          <w:fldChar w:fldCharType="begin"/>
        </w:r>
        <w:r w:rsidR="007F3AB0">
          <w:rPr>
            <w:webHidden/>
          </w:rPr>
          <w:instrText xml:space="preserve"> PAGEREF _Toc195868725 \h </w:instrText>
        </w:r>
        <w:r w:rsidR="007F3AB0">
          <w:rPr>
            <w:webHidden/>
          </w:rPr>
        </w:r>
        <w:r w:rsidR="007F3AB0">
          <w:rPr>
            <w:webHidden/>
          </w:rPr>
          <w:fldChar w:fldCharType="separate"/>
        </w:r>
        <w:r w:rsidR="00AE2496">
          <w:rPr>
            <w:webHidden/>
          </w:rPr>
          <w:t>100</w:t>
        </w:r>
        <w:r w:rsidR="007F3AB0">
          <w:rPr>
            <w:webHidden/>
          </w:rPr>
          <w:fldChar w:fldCharType="end"/>
        </w:r>
      </w:hyperlink>
    </w:p>
    <w:p w14:paraId="41CB7486" w14:textId="63CD0541" w:rsidR="007F3AB0" w:rsidRDefault="0032505C">
      <w:pPr>
        <w:pStyle w:val="T3"/>
        <w:rPr>
          <w:rFonts w:eastAsiaTheme="minorEastAsia" w:cstheme="minorBidi"/>
          <w:noProof/>
          <w:lang w:eastAsia="tr-TR"/>
        </w:rPr>
      </w:pPr>
      <w:hyperlink w:anchor="_Toc195868726" w:history="1">
        <w:r w:rsidR="007F3AB0" w:rsidRPr="00557829">
          <w:rPr>
            <w:rStyle w:val="Kpr"/>
            <w:rFonts w:cstheme="minorHAnsi"/>
            <w:noProof/>
          </w:rPr>
          <w:t>4.3.1.</w:t>
        </w:r>
        <w:r w:rsidR="007F3AB0">
          <w:rPr>
            <w:rFonts w:eastAsiaTheme="minorEastAsia" w:cstheme="minorBidi"/>
            <w:noProof/>
            <w:lang w:eastAsia="tr-TR"/>
          </w:rPr>
          <w:tab/>
        </w:r>
        <w:r w:rsidR="007F3AB0" w:rsidRPr="00557829">
          <w:rPr>
            <w:rStyle w:val="Kpr"/>
            <w:noProof/>
          </w:rPr>
          <w:t>İletim ve Sevkiyat Kontrol Tarifeleri</w:t>
        </w:r>
        <w:r w:rsidR="007F3AB0">
          <w:rPr>
            <w:noProof/>
            <w:webHidden/>
          </w:rPr>
          <w:tab/>
        </w:r>
        <w:r w:rsidR="007F3AB0">
          <w:rPr>
            <w:noProof/>
            <w:webHidden/>
          </w:rPr>
          <w:fldChar w:fldCharType="begin"/>
        </w:r>
        <w:r w:rsidR="007F3AB0">
          <w:rPr>
            <w:noProof/>
            <w:webHidden/>
          </w:rPr>
          <w:instrText xml:space="preserve"> PAGEREF _Toc195868726 \h </w:instrText>
        </w:r>
        <w:r w:rsidR="007F3AB0">
          <w:rPr>
            <w:noProof/>
            <w:webHidden/>
          </w:rPr>
        </w:r>
        <w:r w:rsidR="007F3AB0">
          <w:rPr>
            <w:noProof/>
            <w:webHidden/>
          </w:rPr>
          <w:fldChar w:fldCharType="separate"/>
        </w:r>
        <w:r w:rsidR="00AE2496">
          <w:rPr>
            <w:noProof/>
            <w:webHidden/>
          </w:rPr>
          <w:t>100</w:t>
        </w:r>
        <w:r w:rsidR="007F3AB0">
          <w:rPr>
            <w:noProof/>
            <w:webHidden/>
          </w:rPr>
          <w:fldChar w:fldCharType="end"/>
        </w:r>
      </w:hyperlink>
    </w:p>
    <w:p w14:paraId="35421B83" w14:textId="423E669A" w:rsidR="007F3AB0" w:rsidRPr="007F3AB0" w:rsidRDefault="0032505C">
      <w:pPr>
        <w:pStyle w:val="T3"/>
        <w:rPr>
          <w:rFonts w:eastAsiaTheme="minorEastAsia" w:cstheme="minorBidi"/>
          <w:noProof/>
          <w:lang w:eastAsia="tr-TR"/>
        </w:rPr>
      </w:pPr>
      <w:hyperlink w:anchor="_Toc195868727" w:history="1">
        <w:r w:rsidR="007F3AB0" w:rsidRPr="007F3AB0">
          <w:rPr>
            <w:rStyle w:val="Kpr"/>
            <w:rFonts w:eastAsiaTheme="majorEastAsia" w:cstheme="minorHAnsi"/>
            <w:bCs/>
            <w:noProof/>
          </w:rPr>
          <w:t>4.3.2.</w:t>
        </w:r>
        <w:r w:rsidR="007F3AB0" w:rsidRPr="007F3AB0">
          <w:rPr>
            <w:rFonts w:eastAsiaTheme="minorEastAsia" w:cstheme="minorBidi"/>
            <w:noProof/>
            <w:lang w:eastAsia="tr-TR"/>
          </w:rPr>
          <w:tab/>
        </w:r>
        <w:r w:rsidR="007F3AB0" w:rsidRPr="007F3AB0">
          <w:rPr>
            <w:rStyle w:val="Kpr"/>
            <w:rFonts w:eastAsiaTheme="majorEastAsia" w:cstheme="majorBidi"/>
            <w:bCs/>
            <w:noProof/>
          </w:rPr>
          <w:t>Piyasa İşletim Tarifesi</w:t>
        </w:r>
        <w:r w:rsidR="007F3AB0" w:rsidRPr="007F3AB0">
          <w:rPr>
            <w:noProof/>
            <w:webHidden/>
          </w:rPr>
          <w:tab/>
        </w:r>
        <w:r w:rsidR="007F3AB0" w:rsidRPr="007F3AB0">
          <w:rPr>
            <w:noProof/>
            <w:webHidden/>
          </w:rPr>
          <w:fldChar w:fldCharType="begin"/>
        </w:r>
        <w:r w:rsidR="007F3AB0" w:rsidRPr="007F3AB0">
          <w:rPr>
            <w:noProof/>
            <w:webHidden/>
          </w:rPr>
          <w:instrText xml:space="preserve"> PAGEREF _Toc195868727 \h </w:instrText>
        </w:r>
        <w:r w:rsidR="007F3AB0" w:rsidRPr="007F3AB0">
          <w:rPr>
            <w:noProof/>
            <w:webHidden/>
          </w:rPr>
        </w:r>
        <w:r w:rsidR="007F3AB0" w:rsidRPr="007F3AB0">
          <w:rPr>
            <w:noProof/>
            <w:webHidden/>
          </w:rPr>
          <w:fldChar w:fldCharType="separate"/>
        </w:r>
        <w:r w:rsidR="00AE2496">
          <w:rPr>
            <w:noProof/>
            <w:webHidden/>
          </w:rPr>
          <w:t>101</w:t>
        </w:r>
        <w:r w:rsidR="007F3AB0" w:rsidRPr="007F3AB0">
          <w:rPr>
            <w:noProof/>
            <w:webHidden/>
          </w:rPr>
          <w:fldChar w:fldCharType="end"/>
        </w:r>
      </w:hyperlink>
    </w:p>
    <w:p w14:paraId="44263A78" w14:textId="7CD4471E" w:rsidR="007F3AB0" w:rsidRPr="007F3AB0" w:rsidRDefault="0032505C">
      <w:pPr>
        <w:pStyle w:val="T3"/>
        <w:rPr>
          <w:rFonts w:eastAsiaTheme="minorEastAsia" w:cstheme="minorBidi"/>
          <w:noProof/>
          <w:lang w:eastAsia="tr-TR"/>
        </w:rPr>
      </w:pPr>
      <w:hyperlink w:anchor="_Toc195868728" w:history="1">
        <w:r w:rsidR="007F3AB0" w:rsidRPr="007F3AB0">
          <w:rPr>
            <w:rStyle w:val="Kpr"/>
            <w:rFonts w:eastAsiaTheme="majorEastAsia" w:cstheme="minorHAnsi"/>
            <w:bCs/>
            <w:noProof/>
          </w:rPr>
          <w:t>4.3.3.</w:t>
        </w:r>
        <w:r w:rsidR="007F3AB0" w:rsidRPr="007F3AB0">
          <w:rPr>
            <w:rFonts w:eastAsiaTheme="minorEastAsia" w:cstheme="minorBidi"/>
            <w:noProof/>
            <w:lang w:eastAsia="tr-TR"/>
          </w:rPr>
          <w:tab/>
        </w:r>
        <w:r w:rsidR="007F3AB0" w:rsidRPr="007F3AB0">
          <w:rPr>
            <w:rStyle w:val="Kpr"/>
            <w:rFonts w:eastAsiaTheme="majorEastAsia" w:cstheme="majorBidi"/>
            <w:bCs/>
            <w:noProof/>
          </w:rPr>
          <w:t>Bağlantı Tarifeleri</w:t>
        </w:r>
        <w:r w:rsidR="007F3AB0" w:rsidRPr="007F3AB0">
          <w:rPr>
            <w:noProof/>
            <w:webHidden/>
          </w:rPr>
          <w:tab/>
        </w:r>
        <w:r w:rsidR="007F3AB0" w:rsidRPr="007F3AB0">
          <w:rPr>
            <w:noProof/>
            <w:webHidden/>
          </w:rPr>
          <w:fldChar w:fldCharType="begin"/>
        </w:r>
        <w:r w:rsidR="007F3AB0" w:rsidRPr="007F3AB0">
          <w:rPr>
            <w:noProof/>
            <w:webHidden/>
          </w:rPr>
          <w:instrText xml:space="preserve"> PAGEREF _Toc195868728 \h </w:instrText>
        </w:r>
        <w:r w:rsidR="007F3AB0" w:rsidRPr="007F3AB0">
          <w:rPr>
            <w:noProof/>
            <w:webHidden/>
          </w:rPr>
        </w:r>
        <w:r w:rsidR="007F3AB0" w:rsidRPr="007F3AB0">
          <w:rPr>
            <w:noProof/>
            <w:webHidden/>
          </w:rPr>
          <w:fldChar w:fldCharType="separate"/>
        </w:r>
        <w:r w:rsidR="00AE2496">
          <w:rPr>
            <w:noProof/>
            <w:webHidden/>
          </w:rPr>
          <w:t>101</w:t>
        </w:r>
        <w:r w:rsidR="007F3AB0" w:rsidRPr="007F3AB0">
          <w:rPr>
            <w:noProof/>
            <w:webHidden/>
          </w:rPr>
          <w:fldChar w:fldCharType="end"/>
        </w:r>
      </w:hyperlink>
    </w:p>
    <w:p w14:paraId="099DEB2F" w14:textId="3AEFB521" w:rsidR="007F3AB0" w:rsidRPr="007F3AB0" w:rsidRDefault="0032505C">
      <w:pPr>
        <w:pStyle w:val="T3"/>
        <w:rPr>
          <w:rFonts w:eastAsiaTheme="minorEastAsia" w:cstheme="minorBidi"/>
          <w:noProof/>
          <w:lang w:eastAsia="tr-TR"/>
        </w:rPr>
      </w:pPr>
      <w:hyperlink w:anchor="_Toc195868729" w:history="1">
        <w:r w:rsidR="007F3AB0" w:rsidRPr="007F3AB0">
          <w:rPr>
            <w:rStyle w:val="Kpr"/>
            <w:rFonts w:eastAsiaTheme="majorEastAsia" w:cstheme="minorHAnsi"/>
            <w:bCs/>
            <w:noProof/>
          </w:rPr>
          <w:t>4.3.4.</w:t>
        </w:r>
        <w:r w:rsidR="007F3AB0" w:rsidRPr="007F3AB0">
          <w:rPr>
            <w:rFonts w:eastAsiaTheme="minorEastAsia" w:cstheme="minorBidi"/>
            <w:noProof/>
            <w:lang w:eastAsia="tr-TR"/>
          </w:rPr>
          <w:tab/>
        </w:r>
        <w:r w:rsidR="007F3AB0" w:rsidRPr="007F3AB0">
          <w:rPr>
            <w:rStyle w:val="Kpr"/>
            <w:rFonts w:eastAsiaTheme="majorEastAsia" w:cstheme="majorBidi"/>
            <w:bCs/>
            <w:noProof/>
          </w:rPr>
          <w:t>İç Tesisat Proje Onay, Kontrolörlük, Test ve İşletmeye Alma İşlemleri Bedelleri</w:t>
        </w:r>
        <w:r w:rsidR="007F3AB0" w:rsidRPr="007F3AB0">
          <w:rPr>
            <w:noProof/>
            <w:webHidden/>
          </w:rPr>
          <w:tab/>
        </w:r>
        <w:r w:rsidR="007F3AB0" w:rsidRPr="007F3AB0">
          <w:rPr>
            <w:noProof/>
            <w:webHidden/>
          </w:rPr>
          <w:fldChar w:fldCharType="begin"/>
        </w:r>
        <w:r w:rsidR="007F3AB0" w:rsidRPr="007F3AB0">
          <w:rPr>
            <w:noProof/>
            <w:webHidden/>
          </w:rPr>
          <w:instrText xml:space="preserve"> PAGEREF _Toc195868729 \h </w:instrText>
        </w:r>
        <w:r w:rsidR="007F3AB0" w:rsidRPr="007F3AB0">
          <w:rPr>
            <w:noProof/>
            <w:webHidden/>
          </w:rPr>
        </w:r>
        <w:r w:rsidR="007F3AB0" w:rsidRPr="007F3AB0">
          <w:rPr>
            <w:noProof/>
            <w:webHidden/>
          </w:rPr>
          <w:fldChar w:fldCharType="separate"/>
        </w:r>
        <w:r w:rsidR="00AE2496">
          <w:rPr>
            <w:noProof/>
            <w:webHidden/>
          </w:rPr>
          <w:t>102</w:t>
        </w:r>
        <w:r w:rsidR="007F3AB0" w:rsidRPr="007F3AB0">
          <w:rPr>
            <w:noProof/>
            <w:webHidden/>
          </w:rPr>
          <w:fldChar w:fldCharType="end"/>
        </w:r>
      </w:hyperlink>
    </w:p>
    <w:p w14:paraId="0A541889" w14:textId="5B039C12" w:rsidR="007F3AB0" w:rsidRDefault="0032505C">
      <w:pPr>
        <w:pStyle w:val="T3"/>
        <w:rPr>
          <w:rFonts w:eastAsiaTheme="minorEastAsia" w:cstheme="minorBidi"/>
          <w:noProof/>
          <w:lang w:eastAsia="tr-TR"/>
        </w:rPr>
      </w:pPr>
      <w:hyperlink w:anchor="_Toc195868730" w:history="1">
        <w:r w:rsidR="007F3AB0" w:rsidRPr="00557829">
          <w:rPr>
            <w:rStyle w:val="Kpr"/>
            <w:rFonts w:cstheme="minorHAnsi"/>
            <w:noProof/>
          </w:rPr>
          <w:t>4.3.5.</w:t>
        </w:r>
        <w:r w:rsidR="007F3AB0">
          <w:rPr>
            <w:rFonts w:eastAsiaTheme="minorEastAsia" w:cstheme="minorBidi"/>
            <w:noProof/>
            <w:lang w:eastAsia="tr-TR"/>
          </w:rPr>
          <w:tab/>
        </w:r>
        <w:r w:rsidR="007F3AB0" w:rsidRPr="00557829">
          <w:rPr>
            <w:rStyle w:val="Kpr"/>
            <w:noProof/>
          </w:rPr>
          <w:t>Toptan Satış Tarifeleri</w:t>
        </w:r>
        <w:r w:rsidR="007F3AB0">
          <w:rPr>
            <w:noProof/>
            <w:webHidden/>
          </w:rPr>
          <w:tab/>
        </w:r>
        <w:r w:rsidR="007F3AB0">
          <w:rPr>
            <w:noProof/>
            <w:webHidden/>
          </w:rPr>
          <w:fldChar w:fldCharType="begin"/>
        </w:r>
        <w:r w:rsidR="007F3AB0">
          <w:rPr>
            <w:noProof/>
            <w:webHidden/>
          </w:rPr>
          <w:instrText xml:space="preserve"> PAGEREF _Toc195868730 \h </w:instrText>
        </w:r>
        <w:r w:rsidR="007F3AB0">
          <w:rPr>
            <w:noProof/>
            <w:webHidden/>
          </w:rPr>
        </w:r>
        <w:r w:rsidR="007F3AB0">
          <w:rPr>
            <w:noProof/>
            <w:webHidden/>
          </w:rPr>
          <w:fldChar w:fldCharType="separate"/>
        </w:r>
        <w:r w:rsidR="00AE2496">
          <w:rPr>
            <w:noProof/>
            <w:webHidden/>
          </w:rPr>
          <w:t>102</w:t>
        </w:r>
        <w:r w:rsidR="007F3AB0">
          <w:rPr>
            <w:noProof/>
            <w:webHidden/>
          </w:rPr>
          <w:fldChar w:fldCharType="end"/>
        </w:r>
      </w:hyperlink>
    </w:p>
    <w:p w14:paraId="573DE48F" w14:textId="44A15ADB" w:rsidR="007F3AB0" w:rsidRDefault="0032505C">
      <w:pPr>
        <w:pStyle w:val="T3"/>
        <w:rPr>
          <w:rFonts w:eastAsiaTheme="minorEastAsia" w:cstheme="minorBidi"/>
          <w:noProof/>
          <w:lang w:eastAsia="tr-TR"/>
        </w:rPr>
      </w:pPr>
      <w:hyperlink w:anchor="_Toc195868731" w:history="1">
        <w:r w:rsidR="007F3AB0" w:rsidRPr="00557829">
          <w:rPr>
            <w:rStyle w:val="Kpr"/>
            <w:rFonts w:cstheme="minorHAnsi"/>
            <w:noProof/>
          </w:rPr>
          <w:t>4.3.6.</w:t>
        </w:r>
        <w:r w:rsidR="007F3AB0">
          <w:rPr>
            <w:rFonts w:eastAsiaTheme="minorEastAsia" w:cstheme="minorBidi"/>
            <w:noProof/>
            <w:lang w:eastAsia="tr-TR"/>
          </w:rPr>
          <w:tab/>
        </w:r>
        <w:r w:rsidR="007F3AB0" w:rsidRPr="00557829">
          <w:rPr>
            <w:rStyle w:val="Kpr"/>
            <w:noProof/>
          </w:rPr>
          <w:t>Perakende Satış Tarifeleri</w:t>
        </w:r>
        <w:r w:rsidR="007F3AB0">
          <w:rPr>
            <w:noProof/>
            <w:webHidden/>
          </w:rPr>
          <w:tab/>
        </w:r>
        <w:r w:rsidR="007F3AB0">
          <w:rPr>
            <w:noProof/>
            <w:webHidden/>
          </w:rPr>
          <w:fldChar w:fldCharType="begin"/>
        </w:r>
        <w:r w:rsidR="007F3AB0">
          <w:rPr>
            <w:noProof/>
            <w:webHidden/>
          </w:rPr>
          <w:instrText xml:space="preserve"> PAGEREF _Toc195868731 \h </w:instrText>
        </w:r>
        <w:r w:rsidR="007F3AB0">
          <w:rPr>
            <w:noProof/>
            <w:webHidden/>
          </w:rPr>
        </w:r>
        <w:r w:rsidR="007F3AB0">
          <w:rPr>
            <w:noProof/>
            <w:webHidden/>
          </w:rPr>
          <w:fldChar w:fldCharType="separate"/>
        </w:r>
        <w:r w:rsidR="00AE2496">
          <w:rPr>
            <w:noProof/>
            <w:webHidden/>
          </w:rPr>
          <w:t>102</w:t>
        </w:r>
        <w:r w:rsidR="007F3AB0">
          <w:rPr>
            <w:noProof/>
            <w:webHidden/>
          </w:rPr>
          <w:fldChar w:fldCharType="end"/>
        </w:r>
      </w:hyperlink>
    </w:p>
    <w:p w14:paraId="7C7622E7" w14:textId="6A426335" w:rsidR="007F3AB0" w:rsidRDefault="0032505C">
      <w:pPr>
        <w:pStyle w:val="T3"/>
        <w:rPr>
          <w:rFonts w:eastAsiaTheme="minorEastAsia" w:cstheme="minorBidi"/>
          <w:noProof/>
          <w:lang w:eastAsia="tr-TR"/>
        </w:rPr>
      </w:pPr>
      <w:hyperlink w:anchor="_Toc195868732" w:history="1">
        <w:r w:rsidR="007F3AB0" w:rsidRPr="00557829">
          <w:rPr>
            <w:rStyle w:val="Kpr"/>
            <w:rFonts w:eastAsia="Times New Roman" w:cstheme="minorHAnsi"/>
            <w:noProof/>
          </w:rPr>
          <w:t>4.3.7.</w:t>
        </w:r>
        <w:r w:rsidR="007F3AB0">
          <w:rPr>
            <w:rFonts w:eastAsiaTheme="minorEastAsia" w:cstheme="minorBidi"/>
            <w:noProof/>
            <w:lang w:eastAsia="tr-TR"/>
          </w:rPr>
          <w:tab/>
        </w:r>
        <w:r w:rsidR="007F3AB0" w:rsidRPr="00557829">
          <w:rPr>
            <w:rStyle w:val="Kpr"/>
            <w:rFonts w:eastAsia="Times New Roman"/>
            <w:noProof/>
          </w:rPr>
          <w:t>Doğal Gaz Piyasası ile İlgili Alınan Diğer Tarife Kurul Kararları</w:t>
        </w:r>
        <w:r w:rsidR="007F3AB0">
          <w:rPr>
            <w:noProof/>
            <w:webHidden/>
          </w:rPr>
          <w:tab/>
        </w:r>
        <w:r w:rsidR="007F3AB0">
          <w:rPr>
            <w:noProof/>
            <w:webHidden/>
          </w:rPr>
          <w:fldChar w:fldCharType="begin"/>
        </w:r>
        <w:r w:rsidR="007F3AB0">
          <w:rPr>
            <w:noProof/>
            <w:webHidden/>
          </w:rPr>
          <w:instrText xml:space="preserve"> PAGEREF _Toc195868732 \h </w:instrText>
        </w:r>
        <w:r w:rsidR="007F3AB0">
          <w:rPr>
            <w:noProof/>
            <w:webHidden/>
          </w:rPr>
        </w:r>
        <w:r w:rsidR="007F3AB0">
          <w:rPr>
            <w:noProof/>
            <w:webHidden/>
          </w:rPr>
          <w:fldChar w:fldCharType="separate"/>
        </w:r>
        <w:r w:rsidR="00AE2496">
          <w:rPr>
            <w:noProof/>
            <w:webHidden/>
          </w:rPr>
          <w:t>104</w:t>
        </w:r>
        <w:r w:rsidR="007F3AB0">
          <w:rPr>
            <w:noProof/>
            <w:webHidden/>
          </w:rPr>
          <w:fldChar w:fldCharType="end"/>
        </w:r>
      </w:hyperlink>
    </w:p>
    <w:p w14:paraId="5B25F9C4" w14:textId="5932BF25" w:rsidR="007F3AB0" w:rsidRDefault="0032505C">
      <w:pPr>
        <w:pStyle w:val="T3"/>
        <w:rPr>
          <w:rFonts w:eastAsiaTheme="minorEastAsia" w:cstheme="minorBidi"/>
          <w:noProof/>
          <w:lang w:eastAsia="tr-TR"/>
        </w:rPr>
      </w:pPr>
      <w:hyperlink w:anchor="_Toc195868733" w:history="1">
        <w:r w:rsidR="007F3AB0" w:rsidRPr="00557829">
          <w:rPr>
            <w:rStyle w:val="Kpr"/>
            <w:rFonts w:cstheme="minorHAnsi"/>
            <w:noProof/>
          </w:rPr>
          <w:t>4.3.8.</w:t>
        </w:r>
        <w:r w:rsidR="007F3AB0">
          <w:rPr>
            <w:rFonts w:eastAsiaTheme="minorEastAsia" w:cstheme="minorBidi"/>
            <w:noProof/>
            <w:lang w:eastAsia="tr-TR"/>
          </w:rPr>
          <w:tab/>
        </w:r>
        <w:r w:rsidR="007F3AB0" w:rsidRPr="00557829">
          <w:rPr>
            <w:rStyle w:val="Kpr"/>
            <w:noProof/>
          </w:rPr>
          <w:t>Lisans Bedelleri</w:t>
        </w:r>
        <w:r w:rsidR="007F3AB0">
          <w:rPr>
            <w:noProof/>
            <w:webHidden/>
          </w:rPr>
          <w:tab/>
        </w:r>
        <w:r w:rsidR="007F3AB0">
          <w:rPr>
            <w:noProof/>
            <w:webHidden/>
          </w:rPr>
          <w:fldChar w:fldCharType="begin"/>
        </w:r>
        <w:r w:rsidR="007F3AB0">
          <w:rPr>
            <w:noProof/>
            <w:webHidden/>
          </w:rPr>
          <w:instrText xml:space="preserve"> PAGEREF _Toc195868733 \h </w:instrText>
        </w:r>
        <w:r w:rsidR="007F3AB0">
          <w:rPr>
            <w:noProof/>
            <w:webHidden/>
          </w:rPr>
        </w:r>
        <w:r w:rsidR="007F3AB0">
          <w:rPr>
            <w:noProof/>
            <w:webHidden/>
          </w:rPr>
          <w:fldChar w:fldCharType="separate"/>
        </w:r>
        <w:r w:rsidR="00AE2496">
          <w:rPr>
            <w:noProof/>
            <w:webHidden/>
          </w:rPr>
          <w:t>105</w:t>
        </w:r>
        <w:r w:rsidR="007F3AB0">
          <w:rPr>
            <w:noProof/>
            <w:webHidden/>
          </w:rPr>
          <w:fldChar w:fldCharType="end"/>
        </w:r>
      </w:hyperlink>
    </w:p>
    <w:p w14:paraId="5AEBCC29" w14:textId="2CEA0078" w:rsidR="007F3AB0" w:rsidRDefault="0032505C">
      <w:pPr>
        <w:pStyle w:val="T2"/>
        <w:rPr>
          <w:rFonts w:eastAsiaTheme="minorEastAsia" w:cstheme="minorBidi"/>
          <w:bCs w:val="0"/>
          <w:lang w:eastAsia="tr-TR"/>
        </w:rPr>
      </w:pPr>
      <w:hyperlink w:anchor="_Toc195868734" w:history="1">
        <w:r w:rsidR="007F3AB0" w:rsidRPr="00557829">
          <w:rPr>
            <w:rStyle w:val="Kpr"/>
          </w:rPr>
          <w:t>4.4.</w:t>
        </w:r>
        <w:r w:rsidR="007F3AB0">
          <w:rPr>
            <w:rFonts w:eastAsiaTheme="minorEastAsia" w:cstheme="minorBidi"/>
            <w:bCs w:val="0"/>
            <w:lang w:eastAsia="tr-TR"/>
          </w:rPr>
          <w:tab/>
        </w:r>
        <w:r w:rsidR="007F3AB0" w:rsidRPr="00557829">
          <w:rPr>
            <w:rStyle w:val="Kpr"/>
          </w:rPr>
          <w:t>Petrol Piyasası Tarifeleri</w:t>
        </w:r>
        <w:r w:rsidR="007F3AB0">
          <w:rPr>
            <w:webHidden/>
          </w:rPr>
          <w:tab/>
        </w:r>
        <w:r w:rsidR="007F3AB0">
          <w:rPr>
            <w:webHidden/>
          </w:rPr>
          <w:fldChar w:fldCharType="begin"/>
        </w:r>
        <w:r w:rsidR="007F3AB0">
          <w:rPr>
            <w:webHidden/>
          </w:rPr>
          <w:instrText xml:space="preserve"> PAGEREF _Toc195868734 \h </w:instrText>
        </w:r>
        <w:r w:rsidR="007F3AB0">
          <w:rPr>
            <w:webHidden/>
          </w:rPr>
        </w:r>
        <w:r w:rsidR="007F3AB0">
          <w:rPr>
            <w:webHidden/>
          </w:rPr>
          <w:fldChar w:fldCharType="separate"/>
        </w:r>
        <w:r w:rsidR="00AE2496">
          <w:rPr>
            <w:webHidden/>
          </w:rPr>
          <w:t>105</w:t>
        </w:r>
        <w:r w:rsidR="007F3AB0">
          <w:rPr>
            <w:webHidden/>
          </w:rPr>
          <w:fldChar w:fldCharType="end"/>
        </w:r>
      </w:hyperlink>
    </w:p>
    <w:p w14:paraId="230439AE" w14:textId="0A088A48" w:rsidR="007F3AB0" w:rsidRDefault="0032505C">
      <w:pPr>
        <w:pStyle w:val="T3"/>
        <w:rPr>
          <w:rFonts w:eastAsiaTheme="minorEastAsia" w:cstheme="minorBidi"/>
          <w:noProof/>
          <w:lang w:eastAsia="tr-TR"/>
        </w:rPr>
      </w:pPr>
      <w:hyperlink w:anchor="_Toc195868735" w:history="1">
        <w:r w:rsidR="007F3AB0" w:rsidRPr="00557829">
          <w:rPr>
            <w:rStyle w:val="Kpr"/>
            <w:rFonts w:cstheme="minorHAnsi"/>
            <w:noProof/>
          </w:rPr>
          <w:t>4.4.1.</w:t>
        </w:r>
        <w:r w:rsidR="007F3AB0">
          <w:rPr>
            <w:rFonts w:eastAsiaTheme="minorEastAsia" w:cstheme="minorBidi"/>
            <w:noProof/>
            <w:lang w:eastAsia="tr-TR"/>
          </w:rPr>
          <w:tab/>
        </w:r>
        <w:r w:rsidR="007F3AB0" w:rsidRPr="00557829">
          <w:rPr>
            <w:rStyle w:val="Kpr"/>
            <w:noProof/>
          </w:rPr>
          <w:t>Lisans Bedelleri</w:t>
        </w:r>
        <w:r w:rsidR="007F3AB0">
          <w:rPr>
            <w:noProof/>
            <w:webHidden/>
          </w:rPr>
          <w:tab/>
        </w:r>
        <w:r w:rsidR="007F3AB0">
          <w:rPr>
            <w:noProof/>
            <w:webHidden/>
          </w:rPr>
          <w:fldChar w:fldCharType="begin"/>
        </w:r>
        <w:r w:rsidR="007F3AB0">
          <w:rPr>
            <w:noProof/>
            <w:webHidden/>
          </w:rPr>
          <w:instrText xml:space="preserve"> PAGEREF _Toc195868735 \h </w:instrText>
        </w:r>
        <w:r w:rsidR="007F3AB0">
          <w:rPr>
            <w:noProof/>
            <w:webHidden/>
          </w:rPr>
        </w:r>
        <w:r w:rsidR="007F3AB0">
          <w:rPr>
            <w:noProof/>
            <w:webHidden/>
          </w:rPr>
          <w:fldChar w:fldCharType="separate"/>
        </w:r>
        <w:r w:rsidR="00AE2496">
          <w:rPr>
            <w:noProof/>
            <w:webHidden/>
          </w:rPr>
          <w:t>107</w:t>
        </w:r>
        <w:r w:rsidR="007F3AB0">
          <w:rPr>
            <w:noProof/>
            <w:webHidden/>
          </w:rPr>
          <w:fldChar w:fldCharType="end"/>
        </w:r>
      </w:hyperlink>
    </w:p>
    <w:p w14:paraId="74259A8E" w14:textId="153C0B3B" w:rsidR="007F3AB0" w:rsidRDefault="0032505C">
      <w:pPr>
        <w:pStyle w:val="T2"/>
        <w:rPr>
          <w:rFonts w:eastAsiaTheme="minorEastAsia" w:cstheme="minorBidi"/>
          <w:bCs w:val="0"/>
          <w:lang w:eastAsia="tr-TR"/>
        </w:rPr>
      </w:pPr>
      <w:hyperlink w:anchor="_Toc195868736" w:history="1">
        <w:r w:rsidR="007F3AB0" w:rsidRPr="00557829">
          <w:rPr>
            <w:rStyle w:val="Kpr"/>
          </w:rPr>
          <w:t>4.5.</w:t>
        </w:r>
        <w:r w:rsidR="007F3AB0">
          <w:rPr>
            <w:rFonts w:eastAsiaTheme="minorEastAsia" w:cstheme="minorBidi"/>
            <w:bCs w:val="0"/>
            <w:lang w:eastAsia="tr-TR"/>
          </w:rPr>
          <w:tab/>
        </w:r>
        <w:r w:rsidR="007F3AB0" w:rsidRPr="00557829">
          <w:rPr>
            <w:rStyle w:val="Kpr"/>
          </w:rPr>
          <w:t>Sıvılaştırılmış Petrol Gazları (LPG) Piyasasında Fiyatlar</w:t>
        </w:r>
        <w:r w:rsidR="007F3AB0">
          <w:rPr>
            <w:webHidden/>
          </w:rPr>
          <w:tab/>
        </w:r>
        <w:r w:rsidR="007F3AB0">
          <w:rPr>
            <w:webHidden/>
          </w:rPr>
          <w:fldChar w:fldCharType="begin"/>
        </w:r>
        <w:r w:rsidR="007F3AB0">
          <w:rPr>
            <w:webHidden/>
          </w:rPr>
          <w:instrText xml:space="preserve"> PAGEREF _Toc195868736 \h </w:instrText>
        </w:r>
        <w:r w:rsidR="007F3AB0">
          <w:rPr>
            <w:webHidden/>
          </w:rPr>
        </w:r>
        <w:r w:rsidR="007F3AB0">
          <w:rPr>
            <w:webHidden/>
          </w:rPr>
          <w:fldChar w:fldCharType="separate"/>
        </w:r>
        <w:r w:rsidR="00AE2496">
          <w:rPr>
            <w:webHidden/>
          </w:rPr>
          <w:t>107</w:t>
        </w:r>
        <w:r w:rsidR="007F3AB0">
          <w:rPr>
            <w:webHidden/>
          </w:rPr>
          <w:fldChar w:fldCharType="end"/>
        </w:r>
      </w:hyperlink>
    </w:p>
    <w:p w14:paraId="61A72B53" w14:textId="5C5D6350" w:rsidR="007F3AB0" w:rsidRDefault="0032505C">
      <w:pPr>
        <w:pStyle w:val="T3"/>
        <w:rPr>
          <w:rFonts w:eastAsiaTheme="minorEastAsia" w:cstheme="minorBidi"/>
          <w:noProof/>
          <w:lang w:eastAsia="tr-TR"/>
        </w:rPr>
      </w:pPr>
      <w:hyperlink w:anchor="_Toc195868737" w:history="1">
        <w:r w:rsidR="007F3AB0" w:rsidRPr="00557829">
          <w:rPr>
            <w:rStyle w:val="Kpr"/>
            <w:rFonts w:cstheme="minorHAnsi"/>
            <w:noProof/>
          </w:rPr>
          <w:t>4.5.1.</w:t>
        </w:r>
        <w:r w:rsidR="007F3AB0">
          <w:rPr>
            <w:rFonts w:eastAsiaTheme="minorEastAsia" w:cstheme="minorBidi"/>
            <w:noProof/>
            <w:lang w:eastAsia="tr-TR"/>
          </w:rPr>
          <w:tab/>
        </w:r>
        <w:r w:rsidR="007F3AB0" w:rsidRPr="00557829">
          <w:rPr>
            <w:rStyle w:val="Kpr"/>
            <w:noProof/>
          </w:rPr>
          <w:t>Lisans Bedelleri</w:t>
        </w:r>
        <w:r w:rsidR="007F3AB0">
          <w:rPr>
            <w:noProof/>
            <w:webHidden/>
          </w:rPr>
          <w:tab/>
        </w:r>
        <w:r w:rsidR="007F3AB0">
          <w:rPr>
            <w:noProof/>
            <w:webHidden/>
          </w:rPr>
          <w:fldChar w:fldCharType="begin"/>
        </w:r>
        <w:r w:rsidR="007F3AB0">
          <w:rPr>
            <w:noProof/>
            <w:webHidden/>
          </w:rPr>
          <w:instrText xml:space="preserve"> PAGEREF _Toc195868737 \h </w:instrText>
        </w:r>
        <w:r w:rsidR="007F3AB0">
          <w:rPr>
            <w:noProof/>
            <w:webHidden/>
          </w:rPr>
        </w:r>
        <w:r w:rsidR="007F3AB0">
          <w:rPr>
            <w:noProof/>
            <w:webHidden/>
          </w:rPr>
          <w:fldChar w:fldCharType="separate"/>
        </w:r>
        <w:r w:rsidR="00AE2496">
          <w:rPr>
            <w:noProof/>
            <w:webHidden/>
          </w:rPr>
          <w:t>107</w:t>
        </w:r>
        <w:r w:rsidR="007F3AB0">
          <w:rPr>
            <w:noProof/>
            <w:webHidden/>
          </w:rPr>
          <w:fldChar w:fldCharType="end"/>
        </w:r>
      </w:hyperlink>
    </w:p>
    <w:p w14:paraId="6536052A" w14:textId="77C4A431" w:rsidR="007F3AB0" w:rsidRDefault="0032505C">
      <w:pPr>
        <w:pStyle w:val="T1"/>
        <w:tabs>
          <w:tab w:val="left" w:pos="660"/>
        </w:tabs>
        <w:rPr>
          <w:rFonts w:eastAsiaTheme="minorEastAsia" w:cstheme="minorBidi"/>
          <w:b w:val="0"/>
          <w:noProof/>
          <w:lang w:eastAsia="tr-TR"/>
        </w:rPr>
      </w:pPr>
      <w:hyperlink w:anchor="_Toc195868738" w:history="1">
        <w:r w:rsidR="007F3AB0" w:rsidRPr="00557829">
          <w:rPr>
            <w:rStyle w:val="Kpr"/>
            <w:noProof/>
          </w:rPr>
          <w:t>5.</w:t>
        </w:r>
        <w:r w:rsidR="007F3AB0">
          <w:rPr>
            <w:rFonts w:eastAsiaTheme="minorEastAsia" w:cstheme="minorBidi"/>
            <w:b w:val="0"/>
            <w:noProof/>
            <w:lang w:eastAsia="tr-TR"/>
          </w:rPr>
          <w:tab/>
        </w:r>
        <w:r w:rsidR="007F3AB0" w:rsidRPr="00557829">
          <w:rPr>
            <w:rStyle w:val="Kpr"/>
            <w:noProof/>
          </w:rPr>
          <w:t>BİLİŞİM SİSTEMLERİ FAALİYETLERİ</w:t>
        </w:r>
        <w:r w:rsidR="007F3AB0">
          <w:rPr>
            <w:noProof/>
            <w:webHidden/>
          </w:rPr>
          <w:tab/>
        </w:r>
        <w:r w:rsidR="007F3AB0">
          <w:rPr>
            <w:noProof/>
            <w:webHidden/>
          </w:rPr>
          <w:fldChar w:fldCharType="begin"/>
        </w:r>
        <w:r w:rsidR="007F3AB0">
          <w:rPr>
            <w:noProof/>
            <w:webHidden/>
          </w:rPr>
          <w:instrText xml:space="preserve"> PAGEREF _Toc195868738 \h </w:instrText>
        </w:r>
        <w:r w:rsidR="007F3AB0">
          <w:rPr>
            <w:noProof/>
            <w:webHidden/>
          </w:rPr>
        </w:r>
        <w:r w:rsidR="007F3AB0">
          <w:rPr>
            <w:noProof/>
            <w:webHidden/>
          </w:rPr>
          <w:fldChar w:fldCharType="separate"/>
        </w:r>
        <w:r w:rsidR="00AE2496">
          <w:rPr>
            <w:noProof/>
            <w:webHidden/>
          </w:rPr>
          <w:t>109</w:t>
        </w:r>
        <w:r w:rsidR="007F3AB0">
          <w:rPr>
            <w:noProof/>
            <w:webHidden/>
          </w:rPr>
          <w:fldChar w:fldCharType="end"/>
        </w:r>
      </w:hyperlink>
    </w:p>
    <w:p w14:paraId="6470F951" w14:textId="05286016" w:rsidR="007F3AB0" w:rsidRDefault="0032505C">
      <w:pPr>
        <w:pStyle w:val="T2"/>
        <w:rPr>
          <w:rFonts w:eastAsiaTheme="minorEastAsia" w:cstheme="minorBidi"/>
          <w:bCs w:val="0"/>
          <w:lang w:eastAsia="tr-TR"/>
        </w:rPr>
      </w:pPr>
      <w:hyperlink w:anchor="_Toc195868739" w:history="1">
        <w:r w:rsidR="007F3AB0" w:rsidRPr="00557829">
          <w:rPr>
            <w:rStyle w:val="Kpr"/>
            <w:rFonts w:cstheme="minorHAnsi"/>
          </w:rPr>
          <w:t>5.1.</w:t>
        </w:r>
        <w:r w:rsidR="007F3AB0">
          <w:rPr>
            <w:rFonts w:eastAsiaTheme="minorEastAsia" w:cstheme="minorBidi"/>
            <w:bCs w:val="0"/>
            <w:lang w:eastAsia="tr-TR"/>
          </w:rPr>
          <w:tab/>
        </w:r>
        <w:r w:rsidR="007F3AB0" w:rsidRPr="00557829">
          <w:rPr>
            <w:rStyle w:val="Kpr"/>
            <w:rFonts w:cstheme="minorHAnsi"/>
          </w:rPr>
          <w:t>Bilgi Güvenliği Yönetim Sistemi (BGYS)</w:t>
        </w:r>
        <w:r w:rsidR="007F3AB0">
          <w:rPr>
            <w:webHidden/>
          </w:rPr>
          <w:tab/>
        </w:r>
        <w:r w:rsidR="007F3AB0">
          <w:rPr>
            <w:webHidden/>
          </w:rPr>
          <w:fldChar w:fldCharType="begin"/>
        </w:r>
        <w:r w:rsidR="007F3AB0">
          <w:rPr>
            <w:webHidden/>
          </w:rPr>
          <w:instrText xml:space="preserve"> PAGEREF _Toc195868739 \h </w:instrText>
        </w:r>
        <w:r w:rsidR="007F3AB0">
          <w:rPr>
            <w:webHidden/>
          </w:rPr>
        </w:r>
        <w:r w:rsidR="007F3AB0">
          <w:rPr>
            <w:webHidden/>
          </w:rPr>
          <w:fldChar w:fldCharType="separate"/>
        </w:r>
        <w:r w:rsidR="00AE2496">
          <w:rPr>
            <w:webHidden/>
          </w:rPr>
          <w:t>109</w:t>
        </w:r>
        <w:r w:rsidR="007F3AB0">
          <w:rPr>
            <w:webHidden/>
          </w:rPr>
          <w:fldChar w:fldCharType="end"/>
        </w:r>
      </w:hyperlink>
    </w:p>
    <w:p w14:paraId="5D198931" w14:textId="49988492" w:rsidR="007F3AB0" w:rsidRDefault="0032505C">
      <w:pPr>
        <w:pStyle w:val="T2"/>
        <w:rPr>
          <w:rFonts w:eastAsiaTheme="minorEastAsia" w:cstheme="minorBidi"/>
          <w:bCs w:val="0"/>
          <w:lang w:eastAsia="tr-TR"/>
        </w:rPr>
      </w:pPr>
      <w:hyperlink w:anchor="_Toc195868740" w:history="1">
        <w:r w:rsidR="007F3AB0" w:rsidRPr="00557829">
          <w:rPr>
            <w:rStyle w:val="Kpr"/>
            <w:rFonts w:cstheme="minorHAnsi"/>
          </w:rPr>
          <w:t>5.2.</w:t>
        </w:r>
        <w:r w:rsidR="007F3AB0">
          <w:rPr>
            <w:rFonts w:eastAsiaTheme="minorEastAsia" w:cstheme="minorBidi"/>
            <w:bCs w:val="0"/>
            <w:lang w:eastAsia="tr-TR"/>
          </w:rPr>
          <w:tab/>
        </w:r>
        <w:r w:rsidR="007F3AB0" w:rsidRPr="00557829">
          <w:rPr>
            <w:rStyle w:val="Kpr"/>
            <w:rFonts w:cstheme="minorHAnsi"/>
          </w:rPr>
          <w:t>Bilişim Altyapı Sistemleri ve Destek Hizmetleri</w:t>
        </w:r>
        <w:r w:rsidR="007F3AB0">
          <w:rPr>
            <w:webHidden/>
          </w:rPr>
          <w:tab/>
        </w:r>
        <w:r w:rsidR="007F3AB0">
          <w:rPr>
            <w:webHidden/>
          </w:rPr>
          <w:fldChar w:fldCharType="begin"/>
        </w:r>
        <w:r w:rsidR="007F3AB0">
          <w:rPr>
            <w:webHidden/>
          </w:rPr>
          <w:instrText xml:space="preserve"> PAGEREF _Toc195868740 \h </w:instrText>
        </w:r>
        <w:r w:rsidR="007F3AB0">
          <w:rPr>
            <w:webHidden/>
          </w:rPr>
        </w:r>
        <w:r w:rsidR="007F3AB0">
          <w:rPr>
            <w:webHidden/>
          </w:rPr>
          <w:fldChar w:fldCharType="separate"/>
        </w:r>
        <w:r w:rsidR="00AE2496">
          <w:rPr>
            <w:webHidden/>
          </w:rPr>
          <w:t>109</w:t>
        </w:r>
        <w:r w:rsidR="007F3AB0">
          <w:rPr>
            <w:webHidden/>
          </w:rPr>
          <w:fldChar w:fldCharType="end"/>
        </w:r>
      </w:hyperlink>
    </w:p>
    <w:p w14:paraId="37B104CD" w14:textId="7BC708FA" w:rsidR="007F3AB0" w:rsidRDefault="0032505C">
      <w:pPr>
        <w:pStyle w:val="T2"/>
        <w:rPr>
          <w:rFonts w:eastAsiaTheme="minorEastAsia" w:cstheme="minorBidi"/>
          <w:bCs w:val="0"/>
          <w:lang w:eastAsia="tr-TR"/>
        </w:rPr>
      </w:pPr>
      <w:hyperlink w:anchor="_Toc195868741" w:history="1">
        <w:r w:rsidR="007F3AB0" w:rsidRPr="00557829">
          <w:rPr>
            <w:rStyle w:val="Kpr"/>
            <w:rFonts w:cstheme="minorHAnsi"/>
          </w:rPr>
          <w:t>5.3.</w:t>
        </w:r>
        <w:r w:rsidR="007F3AB0">
          <w:rPr>
            <w:rFonts w:eastAsiaTheme="minorEastAsia" w:cstheme="minorBidi"/>
            <w:bCs w:val="0"/>
            <w:lang w:eastAsia="tr-TR"/>
          </w:rPr>
          <w:tab/>
        </w:r>
        <w:r w:rsidR="007F3AB0" w:rsidRPr="00557829">
          <w:rPr>
            <w:rStyle w:val="Kpr"/>
            <w:rFonts w:cstheme="minorHAnsi"/>
          </w:rPr>
          <w:t>Elektronik Belge Yönetim Sistemi (EBYS)</w:t>
        </w:r>
        <w:r w:rsidR="007F3AB0">
          <w:rPr>
            <w:webHidden/>
          </w:rPr>
          <w:tab/>
        </w:r>
        <w:r w:rsidR="007F3AB0">
          <w:rPr>
            <w:webHidden/>
          </w:rPr>
          <w:fldChar w:fldCharType="begin"/>
        </w:r>
        <w:r w:rsidR="007F3AB0">
          <w:rPr>
            <w:webHidden/>
          </w:rPr>
          <w:instrText xml:space="preserve"> PAGEREF _Toc195868741 \h </w:instrText>
        </w:r>
        <w:r w:rsidR="007F3AB0">
          <w:rPr>
            <w:webHidden/>
          </w:rPr>
        </w:r>
        <w:r w:rsidR="007F3AB0">
          <w:rPr>
            <w:webHidden/>
          </w:rPr>
          <w:fldChar w:fldCharType="separate"/>
        </w:r>
        <w:r w:rsidR="00AE2496">
          <w:rPr>
            <w:webHidden/>
          </w:rPr>
          <w:t>110</w:t>
        </w:r>
        <w:r w:rsidR="007F3AB0">
          <w:rPr>
            <w:webHidden/>
          </w:rPr>
          <w:fldChar w:fldCharType="end"/>
        </w:r>
      </w:hyperlink>
    </w:p>
    <w:p w14:paraId="1D120ACF" w14:textId="11DE3F11" w:rsidR="007F3AB0" w:rsidRDefault="0032505C">
      <w:pPr>
        <w:pStyle w:val="T2"/>
        <w:rPr>
          <w:rFonts w:eastAsiaTheme="minorEastAsia" w:cstheme="minorBidi"/>
          <w:bCs w:val="0"/>
          <w:lang w:eastAsia="tr-TR"/>
        </w:rPr>
      </w:pPr>
      <w:hyperlink w:anchor="_Toc195868742" w:history="1">
        <w:r w:rsidR="007F3AB0" w:rsidRPr="00557829">
          <w:rPr>
            <w:rStyle w:val="Kpr"/>
            <w:rFonts w:cstheme="minorHAnsi"/>
          </w:rPr>
          <w:t>5.4.</w:t>
        </w:r>
        <w:r w:rsidR="007F3AB0">
          <w:rPr>
            <w:rFonts w:eastAsiaTheme="minorEastAsia" w:cstheme="minorBidi"/>
            <w:bCs w:val="0"/>
            <w:lang w:eastAsia="tr-TR"/>
          </w:rPr>
          <w:tab/>
        </w:r>
        <w:r w:rsidR="007F3AB0" w:rsidRPr="00557829">
          <w:rPr>
            <w:rStyle w:val="Kpr"/>
            <w:rFonts w:cstheme="minorHAnsi"/>
          </w:rPr>
          <w:t>Kurum İnternet Sitesi</w:t>
        </w:r>
        <w:r w:rsidR="007F3AB0">
          <w:rPr>
            <w:webHidden/>
          </w:rPr>
          <w:tab/>
        </w:r>
        <w:r w:rsidR="007F3AB0">
          <w:rPr>
            <w:webHidden/>
          </w:rPr>
          <w:fldChar w:fldCharType="begin"/>
        </w:r>
        <w:r w:rsidR="007F3AB0">
          <w:rPr>
            <w:webHidden/>
          </w:rPr>
          <w:instrText xml:space="preserve"> PAGEREF _Toc195868742 \h </w:instrText>
        </w:r>
        <w:r w:rsidR="007F3AB0">
          <w:rPr>
            <w:webHidden/>
          </w:rPr>
        </w:r>
        <w:r w:rsidR="007F3AB0">
          <w:rPr>
            <w:webHidden/>
          </w:rPr>
          <w:fldChar w:fldCharType="separate"/>
        </w:r>
        <w:r w:rsidR="00AE2496">
          <w:rPr>
            <w:webHidden/>
          </w:rPr>
          <w:t>110</w:t>
        </w:r>
        <w:r w:rsidR="007F3AB0">
          <w:rPr>
            <w:webHidden/>
          </w:rPr>
          <w:fldChar w:fldCharType="end"/>
        </w:r>
      </w:hyperlink>
    </w:p>
    <w:p w14:paraId="583574F9" w14:textId="538A2A1E" w:rsidR="007F3AB0" w:rsidRDefault="0032505C">
      <w:pPr>
        <w:pStyle w:val="T2"/>
        <w:rPr>
          <w:rFonts w:eastAsiaTheme="minorEastAsia" w:cstheme="minorBidi"/>
          <w:bCs w:val="0"/>
          <w:lang w:eastAsia="tr-TR"/>
        </w:rPr>
      </w:pPr>
      <w:hyperlink w:anchor="_Toc195868743" w:history="1">
        <w:r w:rsidR="007F3AB0" w:rsidRPr="00557829">
          <w:rPr>
            <w:rStyle w:val="Kpr"/>
            <w:rFonts w:cstheme="minorHAnsi"/>
          </w:rPr>
          <w:t>5.5.</w:t>
        </w:r>
        <w:r w:rsidR="007F3AB0">
          <w:rPr>
            <w:rFonts w:eastAsiaTheme="minorEastAsia" w:cstheme="minorBidi"/>
            <w:bCs w:val="0"/>
            <w:lang w:eastAsia="tr-TR"/>
          </w:rPr>
          <w:tab/>
        </w:r>
        <w:r w:rsidR="007F3AB0" w:rsidRPr="00557829">
          <w:rPr>
            <w:rStyle w:val="Kpr"/>
            <w:rFonts w:cstheme="minorHAnsi"/>
          </w:rPr>
          <w:t>Kurumsal Kaynak Planlama (KKP)</w:t>
        </w:r>
        <w:r w:rsidR="007F3AB0">
          <w:rPr>
            <w:webHidden/>
          </w:rPr>
          <w:tab/>
        </w:r>
        <w:r w:rsidR="007F3AB0">
          <w:rPr>
            <w:webHidden/>
          </w:rPr>
          <w:fldChar w:fldCharType="begin"/>
        </w:r>
        <w:r w:rsidR="007F3AB0">
          <w:rPr>
            <w:webHidden/>
          </w:rPr>
          <w:instrText xml:space="preserve"> PAGEREF _Toc195868743 \h </w:instrText>
        </w:r>
        <w:r w:rsidR="007F3AB0">
          <w:rPr>
            <w:webHidden/>
          </w:rPr>
        </w:r>
        <w:r w:rsidR="007F3AB0">
          <w:rPr>
            <w:webHidden/>
          </w:rPr>
          <w:fldChar w:fldCharType="separate"/>
        </w:r>
        <w:r w:rsidR="00AE2496">
          <w:rPr>
            <w:webHidden/>
          </w:rPr>
          <w:t>110</w:t>
        </w:r>
        <w:r w:rsidR="007F3AB0">
          <w:rPr>
            <w:webHidden/>
          </w:rPr>
          <w:fldChar w:fldCharType="end"/>
        </w:r>
      </w:hyperlink>
    </w:p>
    <w:p w14:paraId="15D56321" w14:textId="7558CFEB" w:rsidR="007F3AB0" w:rsidRDefault="0032505C">
      <w:pPr>
        <w:pStyle w:val="T2"/>
        <w:rPr>
          <w:rFonts w:eastAsiaTheme="minorEastAsia" w:cstheme="minorBidi"/>
          <w:bCs w:val="0"/>
          <w:lang w:eastAsia="tr-TR"/>
        </w:rPr>
      </w:pPr>
      <w:hyperlink w:anchor="_Toc195868744" w:history="1">
        <w:r w:rsidR="007F3AB0" w:rsidRPr="00557829">
          <w:rPr>
            <w:rStyle w:val="Kpr"/>
            <w:rFonts w:cstheme="minorHAnsi"/>
          </w:rPr>
          <w:t>5.6.</w:t>
        </w:r>
        <w:r w:rsidR="007F3AB0">
          <w:rPr>
            <w:rFonts w:eastAsiaTheme="minorEastAsia" w:cstheme="minorBidi"/>
            <w:bCs w:val="0"/>
            <w:lang w:eastAsia="tr-TR"/>
          </w:rPr>
          <w:tab/>
        </w:r>
        <w:r w:rsidR="007F3AB0" w:rsidRPr="00557829">
          <w:rPr>
            <w:rStyle w:val="Kpr"/>
            <w:rFonts w:cstheme="minorHAnsi"/>
          </w:rPr>
          <w:t>Enerji Piyasası Analiz ve Raporlama Sistemi (EPARS)</w:t>
        </w:r>
        <w:r w:rsidR="007F3AB0">
          <w:rPr>
            <w:webHidden/>
          </w:rPr>
          <w:tab/>
        </w:r>
        <w:r w:rsidR="007F3AB0">
          <w:rPr>
            <w:webHidden/>
          </w:rPr>
          <w:fldChar w:fldCharType="begin"/>
        </w:r>
        <w:r w:rsidR="007F3AB0">
          <w:rPr>
            <w:webHidden/>
          </w:rPr>
          <w:instrText xml:space="preserve"> PAGEREF _Toc195868744 \h </w:instrText>
        </w:r>
        <w:r w:rsidR="007F3AB0">
          <w:rPr>
            <w:webHidden/>
          </w:rPr>
        </w:r>
        <w:r w:rsidR="007F3AB0">
          <w:rPr>
            <w:webHidden/>
          </w:rPr>
          <w:fldChar w:fldCharType="separate"/>
        </w:r>
        <w:r w:rsidR="00AE2496">
          <w:rPr>
            <w:webHidden/>
          </w:rPr>
          <w:t>110</w:t>
        </w:r>
        <w:r w:rsidR="007F3AB0">
          <w:rPr>
            <w:webHidden/>
          </w:rPr>
          <w:fldChar w:fldCharType="end"/>
        </w:r>
      </w:hyperlink>
    </w:p>
    <w:p w14:paraId="3648A754" w14:textId="48DCD575" w:rsidR="007F3AB0" w:rsidRDefault="0032505C">
      <w:pPr>
        <w:pStyle w:val="T2"/>
        <w:rPr>
          <w:rFonts w:eastAsiaTheme="minorEastAsia" w:cstheme="minorBidi"/>
          <w:bCs w:val="0"/>
          <w:lang w:eastAsia="tr-TR"/>
        </w:rPr>
      </w:pPr>
      <w:hyperlink w:anchor="_Toc195868745" w:history="1">
        <w:r w:rsidR="007F3AB0" w:rsidRPr="00557829">
          <w:rPr>
            <w:rStyle w:val="Kpr"/>
            <w:rFonts w:cstheme="minorHAnsi"/>
          </w:rPr>
          <w:t>5.7.</w:t>
        </w:r>
        <w:r w:rsidR="007F3AB0">
          <w:rPr>
            <w:rFonts w:eastAsiaTheme="minorEastAsia" w:cstheme="minorBidi"/>
            <w:bCs w:val="0"/>
            <w:lang w:eastAsia="tr-TR"/>
          </w:rPr>
          <w:tab/>
        </w:r>
        <w:r w:rsidR="007F3AB0" w:rsidRPr="00557829">
          <w:rPr>
            <w:rStyle w:val="Kpr"/>
            <w:rFonts w:cstheme="minorHAnsi"/>
          </w:rPr>
          <w:t>Enerji Piyasası Veri Tabanı Yönetim Sistemi (EPVYS)</w:t>
        </w:r>
        <w:r w:rsidR="007F3AB0">
          <w:rPr>
            <w:webHidden/>
          </w:rPr>
          <w:tab/>
        </w:r>
        <w:r w:rsidR="007F3AB0">
          <w:rPr>
            <w:webHidden/>
          </w:rPr>
          <w:fldChar w:fldCharType="begin"/>
        </w:r>
        <w:r w:rsidR="007F3AB0">
          <w:rPr>
            <w:webHidden/>
          </w:rPr>
          <w:instrText xml:space="preserve"> PAGEREF _Toc195868745 \h </w:instrText>
        </w:r>
        <w:r w:rsidR="007F3AB0">
          <w:rPr>
            <w:webHidden/>
          </w:rPr>
        </w:r>
        <w:r w:rsidR="007F3AB0">
          <w:rPr>
            <w:webHidden/>
          </w:rPr>
          <w:fldChar w:fldCharType="separate"/>
        </w:r>
        <w:r w:rsidR="00AE2496">
          <w:rPr>
            <w:webHidden/>
          </w:rPr>
          <w:t>111</w:t>
        </w:r>
        <w:r w:rsidR="007F3AB0">
          <w:rPr>
            <w:webHidden/>
          </w:rPr>
          <w:fldChar w:fldCharType="end"/>
        </w:r>
      </w:hyperlink>
    </w:p>
    <w:p w14:paraId="1C482027" w14:textId="23E33B28" w:rsidR="007F3AB0" w:rsidRDefault="0032505C">
      <w:pPr>
        <w:pStyle w:val="T2"/>
        <w:rPr>
          <w:rFonts w:eastAsiaTheme="minorEastAsia" w:cstheme="minorBidi"/>
          <w:bCs w:val="0"/>
          <w:lang w:eastAsia="tr-TR"/>
        </w:rPr>
      </w:pPr>
      <w:hyperlink w:anchor="_Toc195868746" w:history="1">
        <w:r w:rsidR="007F3AB0" w:rsidRPr="00557829">
          <w:rPr>
            <w:rStyle w:val="Kpr"/>
            <w:rFonts w:cstheme="minorHAnsi"/>
          </w:rPr>
          <w:t>5.8.</w:t>
        </w:r>
        <w:r w:rsidR="007F3AB0">
          <w:rPr>
            <w:rFonts w:eastAsiaTheme="minorEastAsia" w:cstheme="minorBidi"/>
            <w:bCs w:val="0"/>
            <w:lang w:eastAsia="tr-TR"/>
          </w:rPr>
          <w:tab/>
        </w:r>
        <w:r w:rsidR="007F3AB0" w:rsidRPr="00557829">
          <w:rPr>
            <w:rStyle w:val="Kpr"/>
            <w:rFonts w:cstheme="minorHAnsi"/>
          </w:rPr>
          <w:t>Diğer Kurum ve Kuruluşlar ile Veri Paylaşımı (Veri Erişim ve Paylaşım Sistemi (VEPS))</w:t>
        </w:r>
        <w:r w:rsidR="007F3AB0">
          <w:rPr>
            <w:webHidden/>
          </w:rPr>
          <w:tab/>
        </w:r>
        <w:r w:rsidR="007F3AB0">
          <w:rPr>
            <w:webHidden/>
          </w:rPr>
          <w:fldChar w:fldCharType="begin"/>
        </w:r>
        <w:r w:rsidR="007F3AB0">
          <w:rPr>
            <w:webHidden/>
          </w:rPr>
          <w:instrText xml:space="preserve"> PAGEREF _Toc195868746 \h </w:instrText>
        </w:r>
        <w:r w:rsidR="007F3AB0">
          <w:rPr>
            <w:webHidden/>
          </w:rPr>
        </w:r>
        <w:r w:rsidR="007F3AB0">
          <w:rPr>
            <w:webHidden/>
          </w:rPr>
          <w:fldChar w:fldCharType="separate"/>
        </w:r>
        <w:r w:rsidR="00AE2496">
          <w:rPr>
            <w:webHidden/>
          </w:rPr>
          <w:t>111</w:t>
        </w:r>
        <w:r w:rsidR="007F3AB0">
          <w:rPr>
            <w:webHidden/>
          </w:rPr>
          <w:fldChar w:fldCharType="end"/>
        </w:r>
      </w:hyperlink>
    </w:p>
    <w:p w14:paraId="16063B75" w14:textId="2F163A8D" w:rsidR="007F3AB0" w:rsidRDefault="0032505C">
      <w:pPr>
        <w:pStyle w:val="T2"/>
        <w:rPr>
          <w:rFonts w:eastAsiaTheme="minorEastAsia" w:cstheme="minorBidi"/>
          <w:bCs w:val="0"/>
          <w:lang w:eastAsia="tr-TR"/>
        </w:rPr>
      </w:pPr>
      <w:hyperlink w:anchor="_Toc195868747" w:history="1">
        <w:r w:rsidR="007F3AB0" w:rsidRPr="00557829">
          <w:rPr>
            <w:rStyle w:val="Kpr"/>
            <w:rFonts w:cstheme="minorHAnsi"/>
          </w:rPr>
          <w:t>5.9.</w:t>
        </w:r>
        <w:r w:rsidR="007F3AB0">
          <w:rPr>
            <w:rFonts w:eastAsiaTheme="minorEastAsia" w:cstheme="minorBidi"/>
            <w:bCs w:val="0"/>
            <w:lang w:eastAsia="tr-TR"/>
          </w:rPr>
          <w:tab/>
        </w:r>
        <w:r w:rsidR="007F3AB0" w:rsidRPr="00557829">
          <w:rPr>
            <w:rStyle w:val="Kpr"/>
            <w:rFonts w:cstheme="minorHAnsi"/>
          </w:rPr>
          <w:t>Enerji Piyasası Bildirim Sistemi (EBİS)</w:t>
        </w:r>
        <w:r w:rsidR="007F3AB0">
          <w:rPr>
            <w:webHidden/>
          </w:rPr>
          <w:tab/>
        </w:r>
        <w:r w:rsidR="007F3AB0">
          <w:rPr>
            <w:webHidden/>
          </w:rPr>
          <w:fldChar w:fldCharType="begin"/>
        </w:r>
        <w:r w:rsidR="007F3AB0">
          <w:rPr>
            <w:webHidden/>
          </w:rPr>
          <w:instrText xml:space="preserve"> PAGEREF _Toc195868747 \h </w:instrText>
        </w:r>
        <w:r w:rsidR="007F3AB0">
          <w:rPr>
            <w:webHidden/>
          </w:rPr>
        </w:r>
        <w:r w:rsidR="007F3AB0">
          <w:rPr>
            <w:webHidden/>
          </w:rPr>
          <w:fldChar w:fldCharType="separate"/>
        </w:r>
        <w:r w:rsidR="00AE2496">
          <w:rPr>
            <w:webHidden/>
          </w:rPr>
          <w:t>111</w:t>
        </w:r>
        <w:r w:rsidR="007F3AB0">
          <w:rPr>
            <w:webHidden/>
          </w:rPr>
          <w:fldChar w:fldCharType="end"/>
        </w:r>
      </w:hyperlink>
    </w:p>
    <w:p w14:paraId="0823AF54" w14:textId="273A0425" w:rsidR="007F3AB0" w:rsidRDefault="0032505C">
      <w:pPr>
        <w:pStyle w:val="T1"/>
        <w:tabs>
          <w:tab w:val="left" w:pos="660"/>
        </w:tabs>
        <w:rPr>
          <w:rFonts w:eastAsiaTheme="minorEastAsia" w:cstheme="minorBidi"/>
          <w:b w:val="0"/>
          <w:noProof/>
          <w:lang w:eastAsia="tr-TR"/>
        </w:rPr>
      </w:pPr>
      <w:hyperlink w:anchor="_Toc195868748" w:history="1">
        <w:r w:rsidR="007F3AB0" w:rsidRPr="00557829">
          <w:rPr>
            <w:rStyle w:val="Kpr"/>
            <w:noProof/>
          </w:rPr>
          <w:t>6.</w:t>
        </w:r>
        <w:r w:rsidR="007F3AB0">
          <w:rPr>
            <w:rFonts w:eastAsiaTheme="minorEastAsia" w:cstheme="minorBidi"/>
            <w:b w:val="0"/>
            <w:noProof/>
            <w:lang w:eastAsia="tr-TR"/>
          </w:rPr>
          <w:tab/>
        </w:r>
        <w:r w:rsidR="007F3AB0" w:rsidRPr="00557829">
          <w:rPr>
            <w:rStyle w:val="Kpr"/>
            <w:noProof/>
          </w:rPr>
          <w:t>DENETİM</w:t>
        </w:r>
        <w:r w:rsidR="007F3AB0">
          <w:rPr>
            <w:noProof/>
            <w:webHidden/>
          </w:rPr>
          <w:tab/>
        </w:r>
        <w:r w:rsidR="007F3AB0">
          <w:rPr>
            <w:noProof/>
            <w:webHidden/>
          </w:rPr>
          <w:fldChar w:fldCharType="begin"/>
        </w:r>
        <w:r w:rsidR="007F3AB0">
          <w:rPr>
            <w:noProof/>
            <w:webHidden/>
          </w:rPr>
          <w:instrText xml:space="preserve"> PAGEREF _Toc195868748 \h </w:instrText>
        </w:r>
        <w:r w:rsidR="007F3AB0">
          <w:rPr>
            <w:noProof/>
            <w:webHidden/>
          </w:rPr>
        </w:r>
        <w:r w:rsidR="007F3AB0">
          <w:rPr>
            <w:noProof/>
            <w:webHidden/>
          </w:rPr>
          <w:fldChar w:fldCharType="separate"/>
        </w:r>
        <w:r w:rsidR="00AE2496">
          <w:rPr>
            <w:noProof/>
            <w:webHidden/>
          </w:rPr>
          <w:t>112</w:t>
        </w:r>
        <w:r w:rsidR="007F3AB0">
          <w:rPr>
            <w:noProof/>
            <w:webHidden/>
          </w:rPr>
          <w:fldChar w:fldCharType="end"/>
        </w:r>
      </w:hyperlink>
    </w:p>
    <w:p w14:paraId="5C09E95A" w14:textId="45577518" w:rsidR="007F3AB0" w:rsidRDefault="0032505C">
      <w:pPr>
        <w:pStyle w:val="T2"/>
        <w:rPr>
          <w:rFonts w:eastAsiaTheme="minorEastAsia" w:cstheme="minorBidi"/>
          <w:bCs w:val="0"/>
          <w:lang w:eastAsia="tr-TR"/>
        </w:rPr>
      </w:pPr>
      <w:hyperlink w:anchor="_Toc195868749" w:history="1">
        <w:r w:rsidR="007F3AB0" w:rsidRPr="00557829">
          <w:rPr>
            <w:rStyle w:val="Kpr"/>
          </w:rPr>
          <w:t>6.1.</w:t>
        </w:r>
        <w:r w:rsidR="007F3AB0">
          <w:rPr>
            <w:rFonts w:eastAsiaTheme="minorEastAsia" w:cstheme="minorBidi"/>
            <w:bCs w:val="0"/>
            <w:lang w:eastAsia="tr-TR"/>
          </w:rPr>
          <w:tab/>
        </w:r>
        <w:r w:rsidR="007F3AB0" w:rsidRPr="00557829">
          <w:rPr>
            <w:rStyle w:val="Kpr"/>
          </w:rPr>
          <w:t>Elektrik Piyasası Denetim Faaliyetleri</w:t>
        </w:r>
        <w:r w:rsidR="007F3AB0">
          <w:rPr>
            <w:webHidden/>
          </w:rPr>
          <w:tab/>
        </w:r>
        <w:r w:rsidR="007F3AB0">
          <w:rPr>
            <w:webHidden/>
          </w:rPr>
          <w:fldChar w:fldCharType="begin"/>
        </w:r>
        <w:r w:rsidR="007F3AB0">
          <w:rPr>
            <w:webHidden/>
          </w:rPr>
          <w:instrText xml:space="preserve"> PAGEREF _Toc195868749 \h </w:instrText>
        </w:r>
        <w:r w:rsidR="007F3AB0">
          <w:rPr>
            <w:webHidden/>
          </w:rPr>
        </w:r>
        <w:r w:rsidR="007F3AB0">
          <w:rPr>
            <w:webHidden/>
          </w:rPr>
          <w:fldChar w:fldCharType="separate"/>
        </w:r>
        <w:r w:rsidR="00AE2496">
          <w:rPr>
            <w:webHidden/>
          </w:rPr>
          <w:t>112</w:t>
        </w:r>
        <w:r w:rsidR="007F3AB0">
          <w:rPr>
            <w:webHidden/>
          </w:rPr>
          <w:fldChar w:fldCharType="end"/>
        </w:r>
      </w:hyperlink>
    </w:p>
    <w:p w14:paraId="034A189C" w14:textId="3118EF58" w:rsidR="007F3AB0" w:rsidRDefault="0032505C">
      <w:pPr>
        <w:pStyle w:val="T2"/>
        <w:rPr>
          <w:rFonts w:eastAsiaTheme="minorEastAsia" w:cstheme="minorBidi"/>
          <w:bCs w:val="0"/>
          <w:lang w:eastAsia="tr-TR"/>
        </w:rPr>
      </w:pPr>
      <w:hyperlink w:anchor="_Toc195868750" w:history="1">
        <w:r w:rsidR="007F3AB0" w:rsidRPr="00557829">
          <w:rPr>
            <w:rStyle w:val="Kpr"/>
          </w:rPr>
          <w:t>6.2.</w:t>
        </w:r>
        <w:r w:rsidR="007F3AB0">
          <w:rPr>
            <w:rFonts w:eastAsiaTheme="minorEastAsia" w:cstheme="minorBidi"/>
            <w:bCs w:val="0"/>
            <w:lang w:eastAsia="tr-TR"/>
          </w:rPr>
          <w:tab/>
        </w:r>
        <w:r w:rsidR="007F3AB0" w:rsidRPr="00557829">
          <w:rPr>
            <w:rStyle w:val="Kpr"/>
          </w:rPr>
          <w:t>Doğal Gaz Piyasası İnceleme ve Denetim Faaliyetleri</w:t>
        </w:r>
        <w:r w:rsidR="007F3AB0">
          <w:rPr>
            <w:webHidden/>
          </w:rPr>
          <w:tab/>
        </w:r>
        <w:r w:rsidR="007F3AB0">
          <w:rPr>
            <w:webHidden/>
          </w:rPr>
          <w:fldChar w:fldCharType="begin"/>
        </w:r>
        <w:r w:rsidR="007F3AB0">
          <w:rPr>
            <w:webHidden/>
          </w:rPr>
          <w:instrText xml:space="preserve"> PAGEREF _Toc195868750 \h </w:instrText>
        </w:r>
        <w:r w:rsidR="007F3AB0">
          <w:rPr>
            <w:webHidden/>
          </w:rPr>
        </w:r>
        <w:r w:rsidR="007F3AB0">
          <w:rPr>
            <w:webHidden/>
          </w:rPr>
          <w:fldChar w:fldCharType="separate"/>
        </w:r>
        <w:r w:rsidR="00AE2496">
          <w:rPr>
            <w:webHidden/>
          </w:rPr>
          <w:t>113</w:t>
        </w:r>
        <w:r w:rsidR="007F3AB0">
          <w:rPr>
            <w:webHidden/>
          </w:rPr>
          <w:fldChar w:fldCharType="end"/>
        </w:r>
      </w:hyperlink>
    </w:p>
    <w:p w14:paraId="4C9ED643" w14:textId="14FE19E5" w:rsidR="007F3AB0" w:rsidRDefault="0032505C">
      <w:pPr>
        <w:pStyle w:val="T3"/>
        <w:rPr>
          <w:rFonts w:eastAsiaTheme="minorEastAsia" w:cstheme="minorBidi"/>
          <w:noProof/>
          <w:lang w:eastAsia="tr-TR"/>
        </w:rPr>
      </w:pPr>
      <w:hyperlink w:anchor="_Toc195868751" w:history="1">
        <w:r w:rsidR="007F3AB0" w:rsidRPr="00557829">
          <w:rPr>
            <w:rStyle w:val="Kpr"/>
            <w:rFonts w:cstheme="minorHAnsi"/>
            <w:noProof/>
          </w:rPr>
          <w:t>6.2.1.</w:t>
        </w:r>
        <w:r w:rsidR="007F3AB0">
          <w:rPr>
            <w:rFonts w:eastAsiaTheme="minorEastAsia" w:cstheme="minorBidi"/>
            <w:noProof/>
            <w:lang w:eastAsia="tr-TR"/>
          </w:rPr>
          <w:tab/>
        </w:r>
        <w:r w:rsidR="007F3AB0" w:rsidRPr="00557829">
          <w:rPr>
            <w:rStyle w:val="Kpr"/>
            <w:noProof/>
          </w:rPr>
          <w:t>Doğal Gaz Dağıtım Şirketlerinin 5 Yıllık Yatırım Yükümlülükleri İncelemeleri</w:t>
        </w:r>
        <w:r w:rsidR="007F3AB0">
          <w:rPr>
            <w:noProof/>
            <w:webHidden/>
          </w:rPr>
          <w:tab/>
        </w:r>
        <w:r w:rsidR="007F3AB0">
          <w:rPr>
            <w:noProof/>
            <w:webHidden/>
          </w:rPr>
          <w:fldChar w:fldCharType="begin"/>
        </w:r>
        <w:r w:rsidR="007F3AB0">
          <w:rPr>
            <w:noProof/>
            <w:webHidden/>
          </w:rPr>
          <w:instrText xml:space="preserve"> PAGEREF _Toc195868751 \h </w:instrText>
        </w:r>
        <w:r w:rsidR="007F3AB0">
          <w:rPr>
            <w:noProof/>
            <w:webHidden/>
          </w:rPr>
        </w:r>
        <w:r w:rsidR="007F3AB0">
          <w:rPr>
            <w:noProof/>
            <w:webHidden/>
          </w:rPr>
          <w:fldChar w:fldCharType="separate"/>
        </w:r>
        <w:r w:rsidR="00AE2496">
          <w:rPr>
            <w:noProof/>
            <w:webHidden/>
          </w:rPr>
          <w:t>113</w:t>
        </w:r>
        <w:r w:rsidR="007F3AB0">
          <w:rPr>
            <w:noProof/>
            <w:webHidden/>
          </w:rPr>
          <w:fldChar w:fldCharType="end"/>
        </w:r>
      </w:hyperlink>
    </w:p>
    <w:p w14:paraId="048EAE06" w14:textId="316A7F8D" w:rsidR="007F3AB0" w:rsidRDefault="0032505C">
      <w:pPr>
        <w:pStyle w:val="T3"/>
        <w:rPr>
          <w:rFonts w:eastAsiaTheme="minorEastAsia" w:cstheme="minorBidi"/>
          <w:noProof/>
          <w:lang w:eastAsia="tr-TR"/>
        </w:rPr>
      </w:pPr>
      <w:hyperlink w:anchor="_Toc195868752" w:history="1">
        <w:r w:rsidR="007F3AB0" w:rsidRPr="00557829">
          <w:rPr>
            <w:rStyle w:val="Kpr"/>
            <w:rFonts w:cstheme="minorHAnsi"/>
            <w:noProof/>
          </w:rPr>
          <w:t>6.2.2.</w:t>
        </w:r>
        <w:r w:rsidR="007F3AB0">
          <w:rPr>
            <w:rFonts w:eastAsiaTheme="minorEastAsia" w:cstheme="minorBidi"/>
            <w:noProof/>
            <w:lang w:eastAsia="tr-TR"/>
          </w:rPr>
          <w:tab/>
        </w:r>
        <w:r w:rsidR="007F3AB0" w:rsidRPr="00557829">
          <w:rPr>
            <w:rStyle w:val="Kpr"/>
            <w:noProof/>
          </w:rPr>
          <w:t>Doğal Gaz Piyasası Denetim Faaliyetleri</w:t>
        </w:r>
        <w:r w:rsidR="007F3AB0">
          <w:rPr>
            <w:noProof/>
            <w:webHidden/>
          </w:rPr>
          <w:tab/>
        </w:r>
        <w:r w:rsidR="007F3AB0">
          <w:rPr>
            <w:noProof/>
            <w:webHidden/>
          </w:rPr>
          <w:fldChar w:fldCharType="begin"/>
        </w:r>
        <w:r w:rsidR="007F3AB0">
          <w:rPr>
            <w:noProof/>
            <w:webHidden/>
          </w:rPr>
          <w:instrText xml:space="preserve"> PAGEREF _Toc195868752 \h </w:instrText>
        </w:r>
        <w:r w:rsidR="007F3AB0">
          <w:rPr>
            <w:noProof/>
            <w:webHidden/>
          </w:rPr>
        </w:r>
        <w:r w:rsidR="007F3AB0">
          <w:rPr>
            <w:noProof/>
            <w:webHidden/>
          </w:rPr>
          <w:fldChar w:fldCharType="separate"/>
        </w:r>
        <w:r w:rsidR="00AE2496">
          <w:rPr>
            <w:noProof/>
            <w:webHidden/>
          </w:rPr>
          <w:t>114</w:t>
        </w:r>
        <w:r w:rsidR="007F3AB0">
          <w:rPr>
            <w:noProof/>
            <w:webHidden/>
          </w:rPr>
          <w:fldChar w:fldCharType="end"/>
        </w:r>
      </w:hyperlink>
    </w:p>
    <w:p w14:paraId="70B6D2F3" w14:textId="2EE79F0A" w:rsidR="007F3AB0" w:rsidRDefault="0032505C">
      <w:pPr>
        <w:pStyle w:val="T2"/>
        <w:rPr>
          <w:rFonts w:eastAsiaTheme="minorEastAsia" w:cstheme="minorBidi"/>
          <w:bCs w:val="0"/>
          <w:lang w:eastAsia="tr-TR"/>
        </w:rPr>
      </w:pPr>
      <w:hyperlink w:anchor="_Toc195868753" w:history="1">
        <w:r w:rsidR="007F3AB0" w:rsidRPr="00557829">
          <w:rPr>
            <w:rStyle w:val="Kpr"/>
          </w:rPr>
          <w:t>6.3.</w:t>
        </w:r>
        <w:r w:rsidR="007F3AB0">
          <w:rPr>
            <w:rFonts w:eastAsiaTheme="minorEastAsia" w:cstheme="minorBidi"/>
            <w:bCs w:val="0"/>
            <w:lang w:eastAsia="tr-TR"/>
          </w:rPr>
          <w:tab/>
        </w:r>
        <w:r w:rsidR="007F3AB0" w:rsidRPr="00557829">
          <w:rPr>
            <w:rStyle w:val="Kpr"/>
          </w:rPr>
          <w:t>Petrol Piyasası Denetim Faaliyetleri</w:t>
        </w:r>
        <w:r w:rsidR="007F3AB0">
          <w:rPr>
            <w:webHidden/>
          </w:rPr>
          <w:tab/>
        </w:r>
        <w:r w:rsidR="007F3AB0">
          <w:rPr>
            <w:webHidden/>
          </w:rPr>
          <w:fldChar w:fldCharType="begin"/>
        </w:r>
        <w:r w:rsidR="007F3AB0">
          <w:rPr>
            <w:webHidden/>
          </w:rPr>
          <w:instrText xml:space="preserve"> PAGEREF _Toc195868753 \h </w:instrText>
        </w:r>
        <w:r w:rsidR="007F3AB0">
          <w:rPr>
            <w:webHidden/>
          </w:rPr>
        </w:r>
        <w:r w:rsidR="007F3AB0">
          <w:rPr>
            <w:webHidden/>
          </w:rPr>
          <w:fldChar w:fldCharType="separate"/>
        </w:r>
        <w:r w:rsidR="00AE2496">
          <w:rPr>
            <w:webHidden/>
          </w:rPr>
          <w:t>114</w:t>
        </w:r>
        <w:r w:rsidR="007F3AB0">
          <w:rPr>
            <w:webHidden/>
          </w:rPr>
          <w:fldChar w:fldCharType="end"/>
        </w:r>
      </w:hyperlink>
    </w:p>
    <w:p w14:paraId="30C7AC04" w14:textId="01A28F7C" w:rsidR="007F3AB0" w:rsidRDefault="0032505C">
      <w:pPr>
        <w:pStyle w:val="T3"/>
        <w:rPr>
          <w:rFonts w:eastAsiaTheme="minorEastAsia" w:cstheme="minorBidi"/>
          <w:noProof/>
          <w:lang w:eastAsia="tr-TR"/>
        </w:rPr>
      </w:pPr>
      <w:hyperlink w:anchor="_Toc195868754" w:history="1">
        <w:r w:rsidR="007F3AB0" w:rsidRPr="00557829">
          <w:rPr>
            <w:rStyle w:val="Kpr"/>
            <w:rFonts w:cstheme="minorHAnsi"/>
            <w:noProof/>
          </w:rPr>
          <w:t>6.3.1.</w:t>
        </w:r>
        <w:r w:rsidR="007F3AB0">
          <w:rPr>
            <w:rFonts w:eastAsiaTheme="minorEastAsia" w:cstheme="minorBidi"/>
            <w:noProof/>
            <w:lang w:eastAsia="tr-TR"/>
          </w:rPr>
          <w:tab/>
        </w:r>
        <w:r w:rsidR="007F3AB0" w:rsidRPr="00557829">
          <w:rPr>
            <w:rStyle w:val="Kpr"/>
            <w:noProof/>
          </w:rPr>
          <w:t>5015 Sayılı Petrol Piyasası Kanununun 20’nci Maddesinin İkinci Fıkrasının (g) ve (h) Bentleri Çerçevesinde Gerçekleştirilen İşlemler</w:t>
        </w:r>
        <w:r w:rsidR="007F3AB0">
          <w:rPr>
            <w:noProof/>
            <w:webHidden/>
          </w:rPr>
          <w:tab/>
        </w:r>
        <w:r w:rsidR="007F3AB0">
          <w:rPr>
            <w:noProof/>
            <w:webHidden/>
          </w:rPr>
          <w:fldChar w:fldCharType="begin"/>
        </w:r>
        <w:r w:rsidR="007F3AB0">
          <w:rPr>
            <w:noProof/>
            <w:webHidden/>
          </w:rPr>
          <w:instrText xml:space="preserve"> PAGEREF _Toc195868754 \h </w:instrText>
        </w:r>
        <w:r w:rsidR="007F3AB0">
          <w:rPr>
            <w:noProof/>
            <w:webHidden/>
          </w:rPr>
        </w:r>
        <w:r w:rsidR="007F3AB0">
          <w:rPr>
            <w:noProof/>
            <w:webHidden/>
          </w:rPr>
          <w:fldChar w:fldCharType="separate"/>
        </w:r>
        <w:r w:rsidR="00AE2496">
          <w:rPr>
            <w:noProof/>
            <w:webHidden/>
          </w:rPr>
          <w:t>117</w:t>
        </w:r>
        <w:r w:rsidR="007F3AB0">
          <w:rPr>
            <w:noProof/>
            <w:webHidden/>
          </w:rPr>
          <w:fldChar w:fldCharType="end"/>
        </w:r>
      </w:hyperlink>
    </w:p>
    <w:p w14:paraId="771ED31E" w14:textId="15DC66F2" w:rsidR="007F3AB0" w:rsidRDefault="0032505C">
      <w:pPr>
        <w:pStyle w:val="T2"/>
        <w:rPr>
          <w:rFonts w:eastAsiaTheme="minorEastAsia" w:cstheme="minorBidi"/>
          <w:bCs w:val="0"/>
          <w:lang w:eastAsia="tr-TR"/>
        </w:rPr>
      </w:pPr>
      <w:hyperlink w:anchor="_Toc195868755" w:history="1">
        <w:r w:rsidR="007F3AB0" w:rsidRPr="00557829">
          <w:rPr>
            <w:rStyle w:val="Kpr"/>
          </w:rPr>
          <w:t>6.4.</w:t>
        </w:r>
        <w:r w:rsidR="007F3AB0">
          <w:rPr>
            <w:rFonts w:eastAsiaTheme="minorEastAsia" w:cstheme="minorBidi"/>
            <w:bCs w:val="0"/>
            <w:lang w:eastAsia="tr-TR"/>
          </w:rPr>
          <w:tab/>
        </w:r>
        <w:r w:rsidR="007F3AB0" w:rsidRPr="00557829">
          <w:rPr>
            <w:rStyle w:val="Kpr"/>
          </w:rPr>
          <w:t>Sıvılaştırılmış Petrol Gazları Piyasası Denetim Faaliyetleri</w:t>
        </w:r>
        <w:r w:rsidR="007F3AB0">
          <w:rPr>
            <w:webHidden/>
          </w:rPr>
          <w:tab/>
        </w:r>
        <w:r w:rsidR="007F3AB0">
          <w:rPr>
            <w:webHidden/>
          </w:rPr>
          <w:fldChar w:fldCharType="begin"/>
        </w:r>
        <w:r w:rsidR="007F3AB0">
          <w:rPr>
            <w:webHidden/>
          </w:rPr>
          <w:instrText xml:space="preserve"> PAGEREF _Toc195868755 \h </w:instrText>
        </w:r>
        <w:r w:rsidR="007F3AB0">
          <w:rPr>
            <w:webHidden/>
          </w:rPr>
        </w:r>
        <w:r w:rsidR="007F3AB0">
          <w:rPr>
            <w:webHidden/>
          </w:rPr>
          <w:fldChar w:fldCharType="separate"/>
        </w:r>
        <w:r w:rsidR="00AE2496">
          <w:rPr>
            <w:webHidden/>
          </w:rPr>
          <w:t>120</w:t>
        </w:r>
        <w:r w:rsidR="007F3AB0">
          <w:rPr>
            <w:webHidden/>
          </w:rPr>
          <w:fldChar w:fldCharType="end"/>
        </w:r>
      </w:hyperlink>
    </w:p>
    <w:p w14:paraId="7496128B" w14:textId="3B5145DB" w:rsidR="007F3AB0" w:rsidRDefault="0032505C">
      <w:pPr>
        <w:pStyle w:val="T1"/>
        <w:tabs>
          <w:tab w:val="left" w:pos="660"/>
        </w:tabs>
        <w:rPr>
          <w:rFonts w:eastAsiaTheme="minorEastAsia" w:cstheme="minorBidi"/>
          <w:b w:val="0"/>
          <w:noProof/>
          <w:lang w:eastAsia="tr-TR"/>
        </w:rPr>
      </w:pPr>
      <w:hyperlink w:anchor="_Toc195868756" w:history="1">
        <w:r w:rsidR="007F3AB0" w:rsidRPr="00557829">
          <w:rPr>
            <w:rStyle w:val="Kpr"/>
            <w:noProof/>
          </w:rPr>
          <w:t>7.</w:t>
        </w:r>
        <w:r w:rsidR="007F3AB0">
          <w:rPr>
            <w:rFonts w:eastAsiaTheme="minorEastAsia" w:cstheme="minorBidi"/>
            <w:b w:val="0"/>
            <w:noProof/>
            <w:lang w:eastAsia="tr-TR"/>
          </w:rPr>
          <w:tab/>
        </w:r>
        <w:r w:rsidR="007F3AB0" w:rsidRPr="00557829">
          <w:rPr>
            <w:rStyle w:val="Kpr"/>
            <w:noProof/>
          </w:rPr>
          <w:t>TAŞINMAZ TEMİNİ İŞLERİ</w:t>
        </w:r>
        <w:r w:rsidR="007F3AB0">
          <w:rPr>
            <w:noProof/>
            <w:webHidden/>
          </w:rPr>
          <w:tab/>
        </w:r>
        <w:r w:rsidR="007F3AB0">
          <w:rPr>
            <w:noProof/>
            <w:webHidden/>
          </w:rPr>
          <w:fldChar w:fldCharType="begin"/>
        </w:r>
        <w:r w:rsidR="007F3AB0">
          <w:rPr>
            <w:noProof/>
            <w:webHidden/>
          </w:rPr>
          <w:instrText xml:space="preserve"> PAGEREF _Toc195868756 \h </w:instrText>
        </w:r>
        <w:r w:rsidR="007F3AB0">
          <w:rPr>
            <w:noProof/>
            <w:webHidden/>
          </w:rPr>
        </w:r>
        <w:r w:rsidR="007F3AB0">
          <w:rPr>
            <w:noProof/>
            <w:webHidden/>
          </w:rPr>
          <w:fldChar w:fldCharType="separate"/>
        </w:r>
        <w:r w:rsidR="00AE2496">
          <w:rPr>
            <w:noProof/>
            <w:webHidden/>
          </w:rPr>
          <w:t>123</w:t>
        </w:r>
        <w:r w:rsidR="007F3AB0">
          <w:rPr>
            <w:noProof/>
            <w:webHidden/>
          </w:rPr>
          <w:fldChar w:fldCharType="end"/>
        </w:r>
      </w:hyperlink>
    </w:p>
    <w:p w14:paraId="3C524706" w14:textId="4E00DBCE" w:rsidR="007F3AB0" w:rsidRDefault="0032505C">
      <w:pPr>
        <w:pStyle w:val="T1"/>
        <w:tabs>
          <w:tab w:val="left" w:pos="660"/>
        </w:tabs>
        <w:rPr>
          <w:rFonts w:eastAsiaTheme="minorEastAsia" w:cstheme="minorBidi"/>
          <w:b w:val="0"/>
          <w:noProof/>
          <w:lang w:eastAsia="tr-TR"/>
        </w:rPr>
      </w:pPr>
      <w:hyperlink w:anchor="_Toc195868757" w:history="1">
        <w:r w:rsidR="007F3AB0" w:rsidRPr="00557829">
          <w:rPr>
            <w:rStyle w:val="Kpr"/>
            <w:noProof/>
          </w:rPr>
          <w:t>8.</w:t>
        </w:r>
        <w:r w:rsidR="007F3AB0">
          <w:rPr>
            <w:rFonts w:eastAsiaTheme="minorEastAsia" w:cstheme="minorBidi"/>
            <w:b w:val="0"/>
            <w:noProof/>
            <w:lang w:eastAsia="tr-TR"/>
          </w:rPr>
          <w:tab/>
        </w:r>
        <w:r w:rsidR="007F3AB0" w:rsidRPr="00557829">
          <w:rPr>
            <w:rStyle w:val="Kpr"/>
            <w:noProof/>
          </w:rPr>
          <w:t>HUKUK HİZMETLERİNE İLİŞKİN FAALİYETLER</w:t>
        </w:r>
        <w:r w:rsidR="007F3AB0">
          <w:rPr>
            <w:noProof/>
            <w:webHidden/>
          </w:rPr>
          <w:tab/>
        </w:r>
        <w:r w:rsidR="007F3AB0">
          <w:rPr>
            <w:noProof/>
            <w:webHidden/>
          </w:rPr>
          <w:fldChar w:fldCharType="begin"/>
        </w:r>
        <w:r w:rsidR="007F3AB0">
          <w:rPr>
            <w:noProof/>
            <w:webHidden/>
          </w:rPr>
          <w:instrText xml:space="preserve"> PAGEREF _Toc195868757 \h </w:instrText>
        </w:r>
        <w:r w:rsidR="007F3AB0">
          <w:rPr>
            <w:noProof/>
            <w:webHidden/>
          </w:rPr>
        </w:r>
        <w:r w:rsidR="007F3AB0">
          <w:rPr>
            <w:noProof/>
            <w:webHidden/>
          </w:rPr>
          <w:fldChar w:fldCharType="separate"/>
        </w:r>
        <w:r w:rsidR="00AE2496">
          <w:rPr>
            <w:noProof/>
            <w:webHidden/>
          </w:rPr>
          <w:t>126</w:t>
        </w:r>
        <w:r w:rsidR="007F3AB0">
          <w:rPr>
            <w:noProof/>
            <w:webHidden/>
          </w:rPr>
          <w:fldChar w:fldCharType="end"/>
        </w:r>
      </w:hyperlink>
    </w:p>
    <w:p w14:paraId="3B7B73A4" w14:textId="3F90888B" w:rsidR="007F3AB0" w:rsidRDefault="0032505C">
      <w:pPr>
        <w:pStyle w:val="T2"/>
        <w:rPr>
          <w:rFonts w:eastAsiaTheme="minorEastAsia" w:cstheme="minorBidi"/>
          <w:bCs w:val="0"/>
          <w:lang w:eastAsia="tr-TR"/>
        </w:rPr>
      </w:pPr>
      <w:hyperlink w:anchor="_Toc195868758" w:history="1">
        <w:r w:rsidR="007F3AB0" w:rsidRPr="00557829">
          <w:rPr>
            <w:rStyle w:val="Kpr"/>
          </w:rPr>
          <w:t>8.1.Dava Takip İşlemleri</w:t>
        </w:r>
        <w:r w:rsidR="007F3AB0">
          <w:rPr>
            <w:webHidden/>
          </w:rPr>
          <w:tab/>
        </w:r>
        <w:r w:rsidR="007F3AB0">
          <w:rPr>
            <w:webHidden/>
          </w:rPr>
          <w:fldChar w:fldCharType="begin"/>
        </w:r>
        <w:r w:rsidR="007F3AB0">
          <w:rPr>
            <w:webHidden/>
          </w:rPr>
          <w:instrText xml:space="preserve"> PAGEREF _Toc195868758 \h </w:instrText>
        </w:r>
        <w:r w:rsidR="007F3AB0">
          <w:rPr>
            <w:webHidden/>
          </w:rPr>
        </w:r>
        <w:r w:rsidR="007F3AB0">
          <w:rPr>
            <w:webHidden/>
          </w:rPr>
          <w:fldChar w:fldCharType="separate"/>
        </w:r>
        <w:r w:rsidR="00AE2496">
          <w:rPr>
            <w:webHidden/>
          </w:rPr>
          <w:t>126</w:t>
        </w:r>
        <w:r w:rsidR="007F3AB0">
          <w:rPr>
            <w:webHidden/>
          </w:rPr>
          <w:fldChar w:fldCharType="end"/>
        </w:r>
      </w:hyperlink>
    </w:p>
    <w:p w14:paraId="0A1038D7" w14:textId="08B9ADB0" w:rsidR="007F3AB0" w:rsidRDefault="0032505C">
      <w:pPr>
        <w:pStyle w:val="T2"/>
        <w:rPr>
          <w:rFonts w:eastAsiaTheme="minorEastAsia" w:cstheme="minorBidi"/>
          <w:bCs w:val="0"/>
          <w:lang w:eastAsia="tr-TR"/>
        </w:rPr>
      </w:pPr>
      <w:hyperlink w:anchor="_Toc195868759" w:history="1">
        <w:r w:rsidR="007F3AB0" w:rsidRPr="00557829">
          <w:rPr>
            <w:rStyle w:val="Kpr"/>
          </w:rPr>
          <w:t>8.2. Arabuluculuk Faaliyetleri</w:t>
        </w:r>
        <w:r w:rsidR="007F3AB0">
          <w:rPr>
            <w:webHidden/>
          </w:rPr>
          <w:tab/>
        </w:r>
        <w:r w:rsidR="007F3AB0">
          <w:rPr>
            <w:webHidden/>
          </w:rPr>
          <w:fldChar w:fldCharType="begin"/>
        </w:r>
        <w:r w:rsidR="007F3AB0">
          <w:rPr>
            <w:webHidden/>
          </w:rPr>
          <w:instrText xml:space="preserve"> PAGEREF _Toc195868759 \h </w:instrText>
        </w:r>
        <w:r w:rsidR="007F3AB0">
          <w:rPr>
            <w:webHidden/>
          </w:rPr>
        </w:r>
        <w:r w:rsidR="007F3AB0">
          <w:rPr>
            <w:webHidden/>
          </w:rPr>
          <w:fldChar w:fldCharType="separate"/>
        </w:r>
        <w:r w:rsidR="00AE2496">
          <w:rPr>
            <w:webHidden/>
          </w:rPr>
          <w:t>129</w:t>
        </w:r>
        <w:r w:rsidR="007F3AB0">
          <w:rPr>
            <w:webHidden/>
          </w:rPr>
          <w:fldChar w:fldCharType="end"/>
        </w:r>
      </w:hyperlink>
    </w:p>
    <w:p w14:paraId="2B6156EA" w14:textId="47ED014F" w:rsidR="007F3AB0" w:rsidRDefault="0032505C">
      <w:pPr>
        <w:pStyle w:val="T2"/>
        <w:rPr>
          <w:rFonts w:eastAsiaTheme="minorEastAsia" w:cstheme="minorBidi"/>
          <w:bCs w:val="0"/>
          <w:lang w:eastAsia="tr-TR"/>
        </w:rPr>
      </w:pPr>
      <w:hyperlink w:anchor="_Toc195868760" w:history="1">
        <w:r w:rsidR="007F3AB0" w:rsidRPr="00557829">
          <w:rPr>
            <w:rStyle w:val="Kpr"/>
          </w:rPr>
          <w:t>8.3. Görüş Verme</w:t>
        </w:r>
        <w:r w:rsidR="007F3AB0">
          <w:rPr>
            <w:webHidden/>
          </w:rPr>
          <w:tab/>
        </w:r>
        <w:r w:rsidR="007F3AB0">
          <w:rPr>
            <w:webHidden/>
          </w:rPr>
          <w:fldChar w:fldCharType="begin"/>
        </w:r>
        <w:r w:rsidR="007F3AB0">
          <w:rPr>
            <w:webHidden/>
          </w:rPr>
          <w:instrText xml:space="preserve"> PAGEREF _Toc195868760 \h </w:instrText>
        </w:r>
        <w:r w:rsidR="007F3AB0">
          <w:rPr>
            <w:webHidden/>
          </w:rPr>
        </w:r>
        <w:r w:rsidR="007F3AB0">
          <w:rPr>
            <w:webHidden/>
          </w:rPr>
          <w:fldChar w:fldCharType="separate"/>
        </w:r>
        <w:r w:rsidR="00AE2496">
          <w:rPr>
            <w:webHidden/>
          </w:rPr>
          <w:t>129</w:t>
        </w:r>
        <w:r w:rsidR="007F3AB0">
          <w:rPr>
            <w:webHidden/>
          </w:rPr>
          <w:fldChar w:fldCharType="end"/>
        </w:r>
      </w:hyperlink>
    </w:p>
    <w:p w14:paraId="50501B6F" w14:textId="4CF2B0FD" w:rsidR="007F3AB0" w:rsidRDefault="0032505C">
      <w:pPr>
        <w:pStyle w:val="T2"/>
        <w:rPr>
          <w:rFonts w:eastAsiaTheme="minorEastAsia" w:cstheme="minorBidi"/>
          <w:bCs w:val="0"/>
          <w:lang w:eastAsia="tr-TR"/>
        </w:rPr>
      </w:pPr>
      <w:hyperlink w:anchor="_Toc195868761" w:history="1">
        <w:r w:rsidR="007F3AB0" w:rsidRPr="00557829">
          <w:rPr>
            <w:rStyle w:val="Kpr"/>
          </w:rPr>
          <w:t>8.4. İhale İşlemleri</w:t>
        </w:r>
        <w:r w:rsidR="007F3AB0">
          <w:rPr>
            <w:webHidden/>
          </w:rPr>
          <w:tab/>
        </w:r>
        <w:r w:rsidR="007F3AB0">
          <w:rPr>
            <w:webHidden/>
          </w:rPr>
          <w:fldChar w:fldCharType="begin"/>
        </w:r>
        <w:r w:rsidR="007F3AB0">
          <w:rPr>
            <w:webHidden/>
          </w:rPr>
          <w:instrText xml:space="preserve"> PAGEREF _Toc195868761 \h </w:instrText>
        </w:r>
        <w:r w:rsidR="007F3AB0">
          <w:rPr>
            <w:webHidden/>
          </w:rPr>
        </w:r>
        <w:r w:rsidR="007F3AB0">
          <w:rPr>
            <w:webHidden/>
          </w:rPr>
          <w:fldChar w:fldCharType="separate"/>
        </w:r>
        <w:r w:rsidR="00AE2496">
          <w:rPr>
            <w:webHidden/>
          </w:rPr>
          <w:t>131</w:t>
        </w:r>
        <w:r w:rsidR="007F3AB0">
          <w:rPr>
            <w:webHidden/>
          </w:rPr>
          <w:fldChar w:fldCharType="end"/>
        </w:r>
      </w:hyperlink>
    </w:p>
    <w:p w14:paraId="2C3955A8" w14:textId="6C78B960" w:rsidR="007F3AB0" w:rsidRDefault="0032505C">
      <w:pPr>
        <w:pStyle w:val="T2"/>
        <w:rPr>
          <w:rFonts w:eastAsiaTheme="minorEastAsia" w:cstheme="minorBidi"/>
          <w:bCs w:val="0"/>
          <w:lang w:eastAsia="tr-TR"/>
        </w:rPr>
      </w:pPr>
      <w:hyperlink w:anchor="_Toc195868762" w:history="1">
        <w:r w:rsidR="007F3AB0" w:rsidRPr="00557829">
          <w:rPr>
            <w:rStyle w:val="Kpr"/>
          </w:rPr>
          <w:t>8.5. Ödeme Emirleri</w:t>
        </w:r>
        <w:r w:rsidR="007F3AB0">
          <w:rPr>
            <w:webHidden/>
          </w:rPr>
          <w:tab/>
        </w:r>
        <w:r w:rsidR="007F3AB0">
          <w:rPr>
            <w:webHidden/>
          </w:rPr>
          <w:fldChar w:fldCharType="begin"/>
        </w:r>
        <w:r w:rsidR="007F3AB0">
          <w:rPr>
            <w:webHidden/>
          </w:rPr>
          <w:instrText xml:space="preserve"> PAGEREF _Toc195868762 \h </w:instrText>
        </w:r>
        <w:r w:rsidR="007F3AB0">
          <w:rPr>
            <w:webHidden/>
          </w:rPr>
        </w:r>
        <w:r w:rsidR="007F3AB0">
          <w:rPr>
            <w:webHidden/>
          </w:rPr>
          <w:fldChar w:fldCharType="separate"/>
        </w:r>
        <w:r w:rsidR="00AE2496">
          <w:rPr>
            <w:webHidden/>
          </w:rPr>
          <w:t>131</w:t>
        </w:r>
        <w:r w:rsidR="007F3AB0">
          <w:rPr>
            <w:webHidden/>
          </w:rPr>
          <w:fldChar w:fldCharType="end"/>
        </w:r>
      </w:hyperlink>
    </w:p>
    <w:p w14:paraId="2E97C9D3" w14:textId="55EAF642" w:rsidR="007F3AB0" w:rsidRDefault="0032505C">
      <w:pPr>
        <w:pStyle w:val="T2"/>
        <w:rPr>
          <w:rFonts w:eastAsiaTheme="minorEastAsia" w:cstheme="minorBidi"/>
          <w:bCs w:val="0"/>
          <w:lang w:eastAsia="tr-TR"/>
        </w:rPr>
      </w:pPr>
      <w:hyperlink w:anchor="_Toc195868763" w:history="1">
        <w:r w:rsidR="007F3AB0" w:rsidRPr="00557829">
          <w:rPr>
            <w:rStyle w:val="Kpr"/>
          </w:rPr>
          <w:t>8.6. Kamu Denetçiliği Kurumu Kararları</w:t>
        </w:r>
        <w:r w:rsidR="007F3AB0">
          <w:rPr>
            <w:webHidden/>
          </w:rPr>
          <w:tab/>
        </w:r>
        <w:r w:rsidR="007F3AB0">
          <w:rPr>
            <w:webHidden/>
          </w:rPr>
          <w:fldChar w:fldCharType="begin"/>
        </w:r>
        <w:r w:rsidR="007F3AB0">
          <w:rPr>
            <w:webHidden/>
          </w:rPr>
          <w:instrText xml:space="preserve"> PAGEREF _Toc195868763 \h </w:instrText>
        </w:r>
        <w:r w:rsidR="007F3AB0">
          <w:rPr>
            <w:webHidden/>
          </w:rPr>
        </w:r>
        <w:r w:rsidR="007F3AB0">
          <w:rPr>
            <w:webHidden/>
          </w:rPr>
          <w:fldChar w:fldCharType="separate"/>
        </w:r>
        <w:r w:rsidR="00AE2496">
          <w:rPr>
            <w:webHidden/>
          </w:rPr>
          <w:t>131</w:t>
        </w:r>
        <w:r w:rsidR="007F3AB0">
          <w:rPr>
            <w:webHidden/>
          </w:rPr>
          <w:fldChar w:fldCharType="end"/>
        </w:r>
      </w:hyperlink>
    </w:p>
    <w:p w14:paraId="10267B8C" w14:textId="49E66EFA" w:rsidR="007F3AB0" w:rsidRDefault="0032505C">
      <w:pPr>
        <w:pStyle w:val="T2"/>
        <w:rPr>
          <w:rFonts w:eastAsiaTheme="minorEastAsia" w:cstheme="minorBidi"/>
          <w:bCs w:val="0"/>
          <w:lang w:eastAsia="tr-TR"/>
        </w:rPr>
      </w:pPr>
      <w:hyperlink w:anchor="_Toc195868764" w:history="1">
        <w:r w:rsidR="007F3AB0" w:rsidRPr="00557829">
          <w:rPr>
            <w:rStyle w:val="Kpr"/>
          </w:rPr>
          <w:t>8.7. Elektrik Dağıtım Şirketlerinin Denetimi</w:t>
        </w:r>
        <w:r w:rsidR="007F3AB0">
          <w:rPr>
            <w:webHidden/>
          </w:rPr>
          <w:tab/>
        </w:r>
        <w:r w:rsidR="007F3AB0">
          <w:rPr>
            <w:webHidden/>
          </w:rPr>
          <w:fldChar w:fldCharType="begin"/>
        </w:r>
        <w:r w:rsidR="007F3AB0">
          <w:rPr>
            <w:webHidden/>
          </w:rPr>
          <w:instrText xml:space="preserve"> PAGEREF _Toc195868764 \h </w:instrText>
        </w:r>
        <w:r w:rsidR="007F3AB0">
          <w:rPr>
            <w:webHidden/>
          </w:rPr>
        </w:r>
        <w:r w:rsidR="007F3AB0">
          <w:rPr>
            <w:webHidden/>
          </w:rPr>
          <w:fldChar w:fldCharType="separate"/>
        </w:r>
        <w:r w:rsidR="00AE2496">
          <w:rPr>
            <w:webHidden/>
          </w:rPr>
          <w:t>131</w:t>
        </w:r>
        <w:r w:rsidR="007F3AB0">
          <w:rPr>
            <w:webHidden/>
          </w:rPr>
          <w:fldChar w:fldCharType="end"/>
        </w:r>
      </w:hyperlink>
    </w:p>
    <w:p w14:paraId="2F5E5FCF" w14:textId="2B52D45C" w:rsidR="007F3AB0" w:rsidRDefault="0032505C">
      <w:pPr>
        <w:pStyle w:val="T1"/>
        <w:tabs>
          <w:tab w:val="left" w:pos="660"/>
        </w:tabs>
        <w:rPr>
          <w:rFonts w:eastAsiaTheme="minorEastAsia" w:cstheme="minorBidi"/>
          <w:b w:val="0"/>
          <w:noProof/>
          <w:lang w:eastAsia="tr-TR"/>
        </w:rPr>
      </w:pPr>
      <w:hyperlink w:anchor="_Toc195868765" w:history="1">
        <w:r w:rsidR="007F3AB0" w:rsidRPr="00557829">
          <w:rPr>
            <w:rStyle w:val="Kpr"/>
            <w:rFonts w:ascii="Calibri" w:eastAsia="Times New Roman" w:hAnsi="Calibri"/>
            <w:noProof/>
          </w:rPr>
          <w:t>9.</w:t>
        </w:r>
        <w:r w:rsidR="007F3AB0">
          <w:rPr>
            <w:rFonts w:eastAsiaTheme="minorEastAsia" w:cstheme="minorBidi"/>
            <w:b w:val="0"/>
            <w:noProof/>
            <w:lang w:eastAsia="tr-TR"/>
          </w:rPr>
          <w:tab/>
        </w:r>
        <w:r w:rsidR="007F3AB0" w:rsidRPr="00557829">
          <w:rPr>
            <w:rStyle w:val="Kpr"/>
            <w:rFonts w:ascii="Calibri" w:eastAsia="Times New Roman" w:hAnsi="Calibri"/>
            <w:noProof/>
          </w:rPr>
          <w:t>TÜKETİCİ HAKLARININ KORUNMASI</w:t>
        </w:r>
        <w:r w:rsidR="007F3AB0">
          <w:rPr>
            <w:noProof/>
            <w:webHidden/>
          </w:rPr>
          <w:tab/>
        </w:r>
        <w:r w:rsidR="007F3AB0">
          <w:rPr>
            <w:noProof/>
            <w:webHidden/>
          </w:rPr>
          <w:fldChar w:fldCharType="begin"/>
        </w:r>
        <w:r w:rsidR="007F3AB0">
          <w:rPr>
            <w:noProof/>
            <w:webHidden/>
          </w:rPr>
          <w:instrText xml:space="preserve"> PAGEREF _Toc195868765 \h </w:instrText>
        </w:r>
        <w:r w:rsidR="007F3AB0">
          <w:rPr>
            <w:noProof/>
            <w:webHidden/>
          </w:rPr>
        </w:r>
        <w:r w:rsidR="007F3AB0">
          <w:rPr>
            <w:noProof/>
            <w:webHidden/>
          </w:rPr>
          <w:fldChar w:fldCharType="separate"/>
        </w:r>
        <w:r w:rsidR="00AE2496">
          <w:rPr>
            <w:noProof/>
            <w:webHidden/>
          </w:rPr>
          <w:t>133</w:t>
        </w:r>
        <w:r w:rsidR="007F3AB0">
          <w:rPr>
            <w:noProof/>
            <w:webHidden/>
          </w:rPr>
          <w:fldChar w:fldCharType="end"/>
        </w:r>
      </w:hyperlink>
    </w:p>
    <w:p w14:paraId="528E59A5" w14:textId="3EDE82E0" w:rsidR="007F3AB0" w:rsidRDefault="0032505C">
      <w:pPr>
        <w:pStyle w:val="T2"/>
        <w:rPr>
          <w:rFonts w:eastAsiaTheme="minorEastAsia" w:cstheme="minorBidi"/>
          <w:bCs w:val="0"/>
          <w:lang w:eastAsia="tr-TR"/>
        </w:rPr>
      </w:pPr>
      <w:hyperlink w:anchor="_Toc195868766" w:history="1">
        <w:r w:rsidR="007F3AB0" w:rsidRPr="00557829">
          <w:rPr>
            <w:rStyle w:val="Kpr"/>
          </w:rPr>
          <w:t>9.1.Tüketici Bilincinin Oluşturulması ve Geliştirilmesi</w:t>
        </w:r>
        <w:r w:rsidR="007F3AB0">
          <w:rPr>
            <w:webHidden/>
          </w:rPr>
          <w:tab/>
        </w:r>
        <w:r w:rsidR="007F3AB0">
          <w:rPr>
            <w:webHidden/>
          </w:rPr>
          <w:fldChar w:fldCharType="begin"/>
        </w:r>
        <w:r w:rsidR="007F3AB0">
          <w:rPr>
            <w:webHidden/>
          </w:rPr>
          <w:instrText xml:space="preserve"> PAGEREF _Toc195868766 \h </w:instrText>
        </w:r>
        <w:r w:rsidR="007F3AB0">
          <w:rPr>
            <w:webHidden/>
          </w:rPr>
        </w:r>
        <w:r w:rsidR="007F3AB0">
          <w:rPr>
            <w:webHidden/>
          </w:rPr>
          <w:fldChar w:fldCharType="separate"/>
        </w:r>
        <w:r w:rsidR="00AE2496">
          <w:rPr>
            <w:webHidden/>
          </w:rPr>
          <w:t>133</w:t>
        </w:r>
        <w:r w:rsidR="007F3AB0">
          <w:rPr>
            <w:webHidden/>
          </w:rPr>
          <w:fldChar w:fldCharType="end"/>
        </w:r>
      </w:hyperlink>
    </w:p>
    <w:p w14:paraId="3A11F9CA" w14:textId="7CECDE65" w:rsidR="007F3AB0" w:rsidRDefault="0032505C">
      <w:pPr>
        <w:pStyle w:val="T2"/>
        <w:rPr>
          <w:rFonts w:eastAsiaTheme="minorEastAsia" w:cstheme="minorBidi"/>
          <w:bCs w:val="0"/>
          <w:lang w:eastAsia="tr-TR"/>
        </w:rPr>
      </w:pPr>
      <w:hyperlink w:anchor="_Toc195868767" w:history="1">
        <w:r w:rsidR="007F3AB0" w:rsidRPr="00557829">
          <w:rPr>
            <w:rStyle w:val="Kpr"/>
          </w:rPr>
          <w:t>9.2.Tüketici Şikâyetlerinin Değerlendirilmesi</w:t>
        </w:r>
        <w:r w:rsidR="007F3AB0">
          <w:rPr>
            <w:webHidden/>
          </w:rPr>
          <w:tab/>
        </w:r>
        <w:r w:rsidR="007F3AB0">
          <w:rPr>
            <w:webHidden/>
          </w:rPr>
          <w:fldChar w:fldCharType="begin"/>
        </w:r>
        <w:r w:rsidR="007F3AB0">
          <w:rPr>
            <w:webHidden/>
          </w:rPr>
          <w:instrText xml:space="preserve"> PAGEREF _Toc195868767 \h </w:instrText>
        </w:r>
        <w:r w:rsidR="007F3AB0">
          <w:rPr>
            <w:webHidden/>
          </w:rPr>
        </w:r>
        <w:r w:rsidR="007F3AB0">
          <w:rPr>
            <w:webHidden/>
          </w:rPr>
          <w:fldChar w:fldCharType="separate"/>
        </w:r>
        <w:r w:rsidR="00AE2496">
          <w:rPr>
            <w:webHidden/>
          </w:rPr>
          <w:t>134</w:t>
        </w:r>
        <w:r w:rsidR="007F3AB0">
          <w:rPr>
            <w:webHidden/>
          </w:rPr>
          <w:fldChar w:fldCharType="end"/>
        </w:r>
      </w:hyperlink>
    </w:p>
    <w:p w14:paraId="5EA894F8" w14:textId="37935F1D" w:rsidR="007F3AB0" w:rsidRDefault="0032505C">
      <w:pPr>
        <w:pStyle w:val="T3"/>
        <w:rPr>
          <w:rFonts w:eastAsiaTheme="minorEastAsia" w:cstheme="minorBidi"/>
          <w:noProof/>
          <w:lang w:eastAsia="tr-TR"/>
        </w:rPr>
      </w:pPr>
      <w:hyperlink w:anchor="_Toc195868768" w:history="1">
        <w:r w:rsidR="007F3AB0" w:rsidRPr="00557829">
          <w:rPr>
            <w:rStyle w:val="Kpr"/>
            <w:noProof/>
          </w:rPr>
          <w:t>9.2.1. Bilgi Edinme Şikâyet Sayısı ve Kanalları</w:t>
        </w:r>
        <w:r w:rsidR="007F3AB0">
          <w:rPr>
            <w:noProof/>
            <w:webHidden/>
          </w:rPr>
          <w:tab/>
        </w:r>
        <w:r w:rsidR="007F3AB0">
          <w:rPr>
            <w:noProof/>
            <w:webHidden/>
          </w:rPr>
          <w:fldChar w:fldCharType="begin"/>
        </w:r>
        <w:r w:rsidR="007F3AB0">
          <w:rPr>
            <w:noProof/>
            <w:webHidden/>
          </w:rPr>
          <w:instrText xml:space="preserve"> PAGEREF _Toc195868768 \h </w:instrText>
        </w:r>
        <w:r w:rsidR="007F3AB0">
          <w:rPr>
            <w:noProof/>
            <w:webHidden/>
          </w:rPr>
        </w:r>
        <w:r w:rsidR="007F3AB0">
          <w:rPr>
            <w:noProof/>
            <w:webHidden/>
          </w:rPr>
          <w:fldChar w:fldCharType="separate"/>
        </w:r>
        <w:r w:rsidR="00AE2496">
          <w:rPr>
            <w:noProof/>
            <w:webHidden/>
          </w:rPr>
          <w:t>134</w:t>
        </w:r>
        <w:r w:rsidR="007F3AB0">
          <w:rPr>
            <w:noProof/>
            <w:webHidden/>
          </w:rPr>
          <w:fldChar w:fldCharType="end"/>
        </w:r>
      </w:hyperlink>
    </w:p>
    <w:p w14:paraId="0467DF17" w14:textId="4E349A55" w:rsidR="007F3AB0" w:rsidRDefault="0032505C">
      <w:pPr>
        <w:pStyle w:val="T3"/>
        <w:rPr>
          <w:rFonts w:eastAsiaTheme="minorEastAsia" w:cstheme="minorBidi"/>
          <w:noProof/>
          <w:lang w:eastAsia="tr-TR"/>
        </w:rPr>
      </w:pPr>
      <w:hyperlink w:anchor="_Toc195868769" w:history="1">
        <w:r w:rsidR="007F3AB0" w:rsidRPr="00557829">
          <w:rPr>
            <w:rStyle w:val="Kpr"/>
            <w:noProof/>
          </w:rPr>
          <w:t>9.2.2. Şikâyet Bildirimlerinin Sektörel Dağılımı</w:t>
        </w:r>
        <w:r w:rsidR="007F3AB0">
          <w:rPr>
            <w:noProof/>
            <w:webHidden/>
          </w:rPr>
          <w:tab/>
        </w:r>
        <w:r w:rsidR="007F3AB0">
          <w:rPr>
            <w:noProof/>
            <w:webHidden/>
          </w:rPr>
          <w:fldChar w:fldCharType="begin"/>
        </w:r>
        <w:r w:rsidR="007F3AB0">
          <w:rPr>
            <w:noProof/>
            <w:webHidden/>
          </w:rPr>
          <w:instrText xml:space="preserve"> PAGEREF _Toc195868769 \h </w:instrText>
        </w:r>
        <w:r w:rsidR="007F3AB0">
          <w:rPr>
            <w:noProof/>
            <w:webHidden/>
          </w:rPr>
        </w:r>
        <w:r w:rsidR="007F3AB0">
          <w:rPr>
            <w:noProof/>
            <w:webHidden/>
          </w:rPr>
          <w:fldChar w:fldCharType="separate"/>
        </w:r>
        <w:r w:rsidR="00AE2496">
          <w:rPr>
            <w:noProof/>
            <w:webHidden/>
          </w:rPr>
          <w:t>135</w:t>
        </w:r>
        <w:r w:rsidR="007F3AB0">
          <w:rPr>
            <w:noProof/>
            <w:webHidden/>
          </w:rPr>
          <w:fldChar w:fldCharType="end"/>
        </w:r>
      </w:hyperlink>
    </w:p>
    <w:p w14:paraId="1FE62589" w14:textId="62802EF9" w:rsidR="007F3AB0" w:rsidRDefault="0032505C">
      <w:pPr>
        <w:pStyle w:val="T3"/>
        <w:rPr>
          <w:rFonts w:eastAsiaTheme="minorEastAsia" w:cstheme="minorBidi"/>
          <w:noProof/>
          <w:lang w:eastAsia="tr-TR"/>
        </w:rPr>
      </w:pPr>
      <w:hyperlink w:anchor="_Toc195868770" w:history="1">
        <w:r w:rsidR="007F3AB0" w:rsidRPr="00557829">
          <w:rPr>
            <w:rStyle w:val="Kpr"/>
            <w:noProof/>
          </w:rPr>
          <w:t>9.2.3. Elektrik Sektörüne Ait Şikâyetlerin Sınıflandırılması ve Gerçekleşmeler</w:t>
        </w:r>
        <w:r w:rsidR="007F3AB0">
          <w:rPr>
            <w:noProof/>
            <w:webHidden/>
          </w:rPr>
          <w:tab/>
        </w:r>
        <w:r w:rsidR="007F3AB0">
          <w:rPr>
            <w:noProof/>
            <w:webHidden/>
          </w:rPr>
          <w:fldChar w:fldCharType="begin"/>
        </w:r>
        <w:r w:rsidR="007F3AB0">
          <w:rPr>
            <w:noProof/>
            <w:webHidden/>
          </w:rPr>
          <w:instrText xml:space="preserve"> PAGEREF _Toc195868770 \h </w:instrText>
        </w:r>
        <w:r w:rsidR="007F3AB0">
          <w:rPr>
            <w:noProof/>
            <w:webHidden/>
          </w:rPr>
        </w:r>
        <w:r w:rsidR="007F3AB0">
          <w:rPr>
            <w:noProof/>
            <w:webHidden/>
          </w:rPr>
          <w:fldChar w:fldCharType="separate"/>
        </w:r>
        <w:r w:rsidR="00AE2496">
          <w:rPr>
            <w:noProof/>
            <w:webHidden/>
          </w:rPr>
          <w:t>137</w:t>
        </w:r>
        <w:r w:rsidR="007F3AB0">
          <w:rPr>
            <w:noProof/>
            <w:webHidden/>
          </w:rPr>
          <w:fldChar w:fldCharType="end"/>
        </w:r>
      </w:hyperlink>
    </w:p>
    <w:p w14:paraId="5B3ACABD" w14:textId="3952B358" w:rsidR="007F3AB0" w:rsidRDefault="0032505C">
      <w:pPr>
        <w:pStyle w:val="T3"/>
        <w:rPr>
          <w:rFonts w:eastAsiaTheme="minorEastAsia" w:cstheme="minorBidi"/>
          <w:noProof/>
          <w:lang w:eastAsia="tr-TR"/>
        </w:rPr>
      </w:pPr>
      <w:hyperlink w:anchor="_Toc195868771" w:history="1">
        <w:r w:rsidR="007F3AB0" w:rsidRPr="00557829">
          <w:rPr>
            <w:rStyle w:val="Kpr"/>
            <w:noProof/>
          </w:rPr>
          <w:t>9.2.4. Doğal Gaz Sektörüne Ait Şikâyetlerin Sınıflandırılması ve Gerçekleşmeler</w:t>
        </w:r>
        <w:r w:rsidR="007F3AB0">
          <w:rPr>
            <w:noProof/>
            <w:webHidden/>
          </w:rPr>
          <w:tab/>
        </w:r>
        <w:r w:rsidR="007F3AB0">
          <w:rPr>
            <w:noProof/>
            <w:webHidden/>
          </w:rPr>
          <w:fldChar w:fldCharType="begin"/>
        </w:r>
        <w:r w:rsidR="007F3AB0">
          <w:rPr>
            <w:noProof/>
            <w:webHidden/>
          </w:rPr>
          <w:instrText xml:space="preserve"> PAGEREF _Toc195868771 \h </w:instrText>
        </w:r>
        <w:r w:rsidR="007F3AB0">
          <w:rPr>
            <w:noProof/>
            <w:webHidden/>
          </w:rPr>
        </w:r>
        <w:r w:rsidR="007F3AB0">
          <w:rPr>
            <w:noProof/>
            <w:webHidden/>
          </w:rPr>
          <w:fldChar w:fldCharType="separate"/>
        </w:r>
        <w:r w:rsidR="00AE2496">
          <w:rPr>
            <w:noProof/>
            <w:webHidden/>
          </w:rPr>
          <w:t>138</w:t>
        </w:r>
        <w:r w:rsidR="007F3AB0">
          <w:rPr>
            <w:noProof/>
            <w:webHidden/>
          </w:rPr>
          <w:fldChar w:fldCharType="end"/>
        </w:r>
      </w:hyperlink>
    </w:p>
    <w:p w14:paraId="7980A9EB" w14:textId="6A77B020" w:rsidR="007F3AB0" w:rsidRDefault="0032505C">
      <w:pPr>
        <w:pStyle w:val="T3"/>
        <w:rPr>
          <w:rFonts w:eastAsiaTheme="minorEastAsia" w:cstheme="minorBidi"/>
          <w:noProof/>
          <w:lang w:eastAsia="tr-TR"/>
        </w:rPr>
      </w:pPr>
      <w:hyperlink w:anchor="_Toc195868772" w:history="1">
        <w:r w:rsidR="007F3AB0" w:rsidRPr="00557829">
          <w:rPr>
            <w:rStyle w:val="Kpr"/>
            <w:noProof/>
          </w:rPr>
          <w:t>9.2.5. Petrol Sektörüne Ait Şikâyetlerin Sınıflandırılması ve Gerçekleşmeler</w:t>
        </w:r>
        <w:r w:rsidR="007F3AB0">
          <w:rPr>
            <w:noProof/>
            <w:webHidden/>
          </w:rPr>
          <w:tab/>
        </w:r>
        <w:r w:rsidR="007F3AB0">
          <w:rPr>
            <w:noProof/>
            <w:webHidden/>
          </w:rPr>
          <w:fldChar w:fldCharType="begin"/>
        </w:r>
        <w:r w:rsidR="007F3AB0">
          <w:rPr>
            <w:noProof/>
            <w:webHidden/>
          </w:rPr>
          <w:instrText xml:space="preserve"> PAGEREF _Toc195868772 \h </w:instrText>
        </w:r>
        <w:r w:rsidR="007F3AB0">
          <w:rPr>
            <w:noProof/>
            <w:webHidden/>
          </w:rPr>
        </w:r>
        <w:r w:rsidR="007F3AB0">
          <w:rPr>
            <w:noProof/>
            <w:webHidden/>
          </w:rPr>
          <w:fldChar w:fldCharType="separate"/>
        </w:r>
        <w:r w:rsidR="00AE2496">
          <w:rPr>
            <w:noProof/>
            <w:webHidden/>
          </w:rPr>
          <w:t>140</w:t>
        </w:r>
        <w:r w:rsidR="007F3AB0">
          <w:rPr>
            <w:noProof/>
            <w:webHidden/>
          </w:rPr>
          <w:fldChar w:fldCharType="end"/>
        </w:r>
      </w:hyperlink>
    </w:p>
    <w:p w14:paraId="5803A6D6" w14:textId="556756F6" w:rsidR="007F3AB0" w:rsidRDefault="0032505C">
      <w:pPr>
        <w:pStyle w:val="T3"/>
        <w:rPr>
          <w:rFonts w:eastAsiaTheme="minorEastAsia" w:cstheme="minorBidi"/>
          <w:noProof/>
          <w:lang w:eastAsia="tr-TR"/>
        </w:rPr>
      </w:pPr>
      <w:hyperlink w:anchor="_Toc195868773" w:history="1">
        <w:r w:rsidR="007F3AB0" w:rsidRPr="00557829">
          <w:rPr>
            <w:rStyle w:val="Kpr"/>
            <w:noProof/>
          </w:rPr>
          <w:t>9.2.6. Sıvılaştırılmış Petrol Gazları Sektörüne Ait Şikâyetlerin Sınıflandırılması ve Gerçekleşmeler</w:t>
        </w:r>
        <w:r w:rsidR="007F3AB0">
          <w:rPr>
            <w:noProof/>
            <w:webHidden/>
          </w:rPr>
          <w:tab/>
        </w:r>
        <w:r w:rsidR="007F3AB0">
          <w:rPr>
            <w:noProof/>
            <w:webHidden/>
          </w:rPr>
          <w:fldChar w:fldCharType="begin"/>
        </w:r>
        <w:r w:rsidR="007F3AB0">
          <w:rPr>
            <w:noProof/>
            <w:webHidden/>
          </w:rPr>
          <w:instrText xml:space="preserve"> PAGEREF _Toc195868773 \h </w:instrText>
        </w:r>
        <w:r w:rsidR="007F3AB0">
          <w:rPr>
            <w:noProof/>
            <w:webHidden/>
          </w:rPr>
        </w:r>
        <w:r w:rsidR="007F3AB0">
          <w:rPr>
            <w:noProof/>
            <w:webHidden/>
          </w:rPr>
          <w:fldChar w:fldCharType="separate"/>
        </w:r>
        <w:r w:rsidR="00AE2496">
          <w:rPr>
            <w:noProof/>
            <w:webHidden/>
          </w:rPr>
          <w:t>140</w:t>
        </w:r>
        <w:r w:rsidR="007F3AB0">
          <w:rPr>
            <w:noProof/>
            <w:webHidden/>
          </w:rPr>
          <w:fldChar w:fldCharType="end"/>
        </w:r>
      </w:hyperlink>
    </w:p>
    <w:p w14:paraId="1F24535C" w14:textId="5F73297C" w:rsidR="007F3AB0" w:rsidRDefault="0032505C">
      <w:pPr>
        <w:pStyle w:val="T3"/>
        <w:rPr>
          <w:rFonts w:eastAsiaTheme="minorEastAsia" w:cstheme="minorBidi"/>
          <w:noProof/>
          <w:lang w:eastAsia="tr-TR"/>
        </w:rPr>
      </w:pPr>
      <w:hyperlink w:anchor="_Toc195868774" w:history="1">
        <w:r w:rsidR="007F3AB0" w:rsidRPr="00557829">
          <w:rPr>
            <w:rStyle w:val="Kpr"/>
            <w:noProof/>
          </w:rPr>
          <w:t>9.2.7. Enerji Dönüşüm Sektörüne Ait Şikâyetlerin Sınıflandırılması ve Gerçekleşmeler</w:t>
        </w:r>
        <w:r w:rsidR="007F3AB0">
          <w:rPr>
            <w:noProof/>
            <w:webHidden/>
          </w:rPr>
          <w:tab/>
        </w:r>
        <w:r w:rsidR="007F3AB0">
          <w:rPr>
            <w:noProof/>
            <w:webHidden/>
          </w:rPr>
          <w:fldChar w:fldCharType="begin"/>
        </w:r>
        <w:r w:rsidR="007F3AB0">
          <w:rPr>
            <w:noProof/>
            <w:webHidden/>
          </w:rPr>
          <w:instrText xml:space="preserve"> PAGEREF _Toc195868774 \h </w:instrText>
        </w:r>
        <w:r w:rsidR="007F3AB0">
          <w:rPr>
            <w:noProof/>
            <w:webHidden/>
          </w:rPr>
        </w:r>
        <w:r w:rsidR="007F3AB0">
          <w:rPr>
            <w:noProof/>
            <w:webHidden/>
          </w:rPr>
          <w:fldChar w:fldCharType="separate"/>
        </w:r>
        <w:r w:rsidR="00AE2496">
          <w:rPr>
            <w:noProof/>
            <w:webHidden/>
          </w:rPr>
          <w:t>141</w:t>
        </w:r>
        <w:r w:rsidR="007F3AB0">
          <w:rPr>
            <w:noProof/>
            <w:webHidden/>
          </w:rPr>
          <w:fldChar w:fldCharType="end"/>
        </w:r>
      </w:hyperlink>
    </w:p>
    <w:p w14:paraId="4F9EAE50" w14:textId="311ED4CA" w:rsidR="007F3AB0" w:rsidRDefault="0032505C">
      <w:pPr>
        <w:pStyle w:val="T1"/>
        <w:tabs>
          <w:tab w:val="left" w:pos="660"/>
        </w:tabs>
        <w:rPr>
          <w:rFonts w:eastAsiaTheme="minorEastAsia" w:cstheme="minorBidi"/>
          <w:b w:val="0"/>
          <w:noProof/>
          <w:lang w:eastAsia="tr-TR"/>
        </w:rPr>
      </w:pPr>
      <w:hyperlink w:anchor="_Toc195868775" w:history="1">
        <w:r w:rsidR="007F3AB0" w:rsidRPr="00557829">
          <w:rPr>
            <w:rStyle w:val="Kpr"/>
            <w:rFonts w:ascii="Calibri" w:eastAsia="Times New Roman" w:hAnsi="Calibri"/>
            <w:noProof/>
          </w:rPr>
          <w:t>10.</w:t>
        </w:r>
        <w:r w:rsidR="007F3AB0">
          <w:rPr>
            <w:rFonts w:eastAsiaTheme="minorEastAsia" w:cstheme="minorBidi"/>
            <w:b w:val="0"/>
            <w:noProof/>
            <w:lang w:eastAsia="tr-TR"/>
          </w:rPr>
          <w:tab/>
        </w:r>
        <w:r w:rsidR="007F3AB0" w:rsidRPr="00557829">
          <w:rPr>
            <w:rStyle w:val="Kpr"/>
            <w:rFonts w:ascii="Calibri" w:eastAsia="Times New Roman" w:hAnsi="Calibri"/>
            <w:noProof/>
          </w:rPr>
          <w:t>BASIN VE HALKLA İLİŞKİLER</w:t>
        </w:r>
        <w:r w:rsidR="007F3AB0">
          <w:rPr>
            <w:noProof/>
            <w:webHidden/>
          </w:rPr>
          <w:tab/>
        </w:r>
        <w:r w:rsidR="007F3AB0">
          <w:rPr>
            <w:noProof/>
            <w:webHidden/>
          </w:rPr>
          <w:fldChar w:fldCharType="begin"/>
        </w:r>
        <w:r w:rsidR="007F3AB0">
          <w:rPr>
            <w:noProof/>
            <w:webHidden/>
          </w:rPr>
          <w:instrText xml:space="preserve"> PAGEREF _Toc195868775 \h </w:instrText>
        </w:r>
        <w:r w:rsidR="007F3AB0">
          <w:rPr>
            <w:noProof/>
            <w:webHidden/>
          </w:rPr>
        </w:r>
        <w:r w:rsidR="007F3AB0">
          <w:rPr>
            <w:noProof/>
            <w:webHidden/>
          </w:rPr>
          <w:fldChar w:fldCharType="separate"/>
        </w:r>
        <w:r w:rsidR="00AE2496">
          <w:rPr>
            <w:noProof/>
            <w:webHidden/>
          </w:rPr>
          <w:t>143</w:t>
        </w:r>
        <w:r w:rsidR="007F3AB0">
          <w:rPr>
            <w:noProof/>
            <w:webHidden/>
          </w:rPr>
          <w:fldChar w:fldCharType="end"/>
        </w:r>
      </w:hyperlink>
    </w:p>
    <w:p w14:paraId="15920E41" w14:textId="5D09F64C" w:rsidR="007F3AB0" w:rsidRDefault="0032505C">
      <w:pPr>
        <w:pStyle w:val="T1"/>
        <w:tabs>
          <w:tab w:val="left" w:pos="660"/>
        </w:tabs>
        <w:rPr>
          <w:rFonts w:eastAsiaTheme="minorEastAsia" w:cstheme="minorBidi"/>
          <w:b w:val="0"/>
          <w:noProof/>
          <w:lang w:eastAsia="tr-TR"/>
        </w:rPr>
      </w:pPr>
      <w:hyperlink w:anchor="_Toc195868776" w:history="1">
        <w:r w:rsidR="007F3AB0" w:rsidRPr="00557829">
          <w:rPr>
            <w:rStyle w:val="Kpr"/>
            <w:rFonts w:eastAsiaTheme="majorEastAsia" w:cstheme="majorBidi"/>
            <w:bCs/>
            <w:noProof/>
          </w:rPr>
          <w:t>11.</w:t>
        </w:r>
        <w:r w:rsidR="007F3AB0">
          <w:rPr>
            <w:rFonts w:eastAsiaTheme="minorEastAsia" w:cstheme="minorBidi"/>
            <w:b w:val="0"/>
            <w:noProof/>
            <w:lang w:eastAsia="tr-TR"/>
          </w:rPr>
          <w:tab/>
        </w:r>
        <w:r w:rsidR="007F3AB0" w:rsidRPr="00557829">
          <w:rPr>
            <w:rStyle w:val="Kpr"/>
            <w:rFonts w:eastAsiaTheme="majorEastAsia" w:cstheme="majorBidi"/>
            <w:bCs/>
            <w:noProof/>
          </w:rPr>
          <w:t>DİĞER KURUMLARLA İLİŞKİLER</w:t>
        </w:r>
        <w:r w:rsidR="007F3AB0">
          <w:rPr>
            <w:noProof/>
            <w:webHidden/>
          </w:rPr>
          <w:tab/>
        </w:r>
        <w:r w:rsidR="007F3AB0">
          <w:rPr>
            <w:noProof/>
            <w:webHidden/>
          </w:rPr>
          <w:fldChar w:fldCharType="begin"/>
        </w:r>
        <w:r w:rsidR="007F3AB0">
          <w:rPr>
            <w:noProof/>
            <w:webHidden/>
          </w:rPr>
          <w:instrText xml:space="preserve"> PAGEREF _Toc195868776 \h </w:instrText>
        </w:r>
        <w:r w:rsidR="007F3AB0">
          <w:rPr>
            <w:noProof/>
            <w:webHidden/>
          </w:rPr>
        </w:r>
        <w:r w:rsidR="007F3AB0">
          <w:rPr>
            <w:noProof/>
            <w:webHidden/>
          </w:rPr>
          <w:fldChar w:fldCharType="separate"/>
        </w:r>
        <w:r w:rsidR="00AE2496">
          <w:rPr>
            <w:noProof/>
            <w:webHidden/>
          </w:rPr>
          <w:t>144</w:t>
        </w:r>
        <w:r w:rsidR="007F3AB0">
          <w:rPr>
            <w:noProof/>
            <w:webHidden/>
          </w:rPr>
          <w:fldChar w:fldCharType="end"/>
        </w:r>
      </w:hyperlink>
    </w:p>
    <w:p w14:paraId="1F398944" w14:textId="7D5EDCF7" w:rsidR="007F3AB0" w:rsidRDefault="0032505C">
      <w:pPr>
        <w:pStyle w:val="T2"/>
        <w:rPr>
          <w:rFonts w:eastAsiaTheme="minorEastAsia" w:cstheme="minorBidi"/>
          <w:bCs w:val="0"/>
          <w:lang w:eastAsia="tr-TR"/>
        </w:rPr>
      </w:pPr>
      <w:hyperlink w:anchor="_Toc195868777" w:history="1">
        <w:r w:rsidR="007F3AB0" w:rsidRPr="007F3AB0">
          <w:rPr>
            <w:rStyle w:val="Kpr"/>
            <w:rFonts w:eastAsiaTheme="majorEastAsia" w:cstheme="majorBidi"/>
          </w:rPr>
          <w:t>11.1.</w:t>
        </w:r>
        <w:r w:rsidR="007F3AB0" w:rsidRPr="007F3AB0">
          <w:rPr>
            <w:rFonts w:eastAsiaTheme="minorEastAsia" w:cstheme="minorBidi"/>
            <w:bCs w:val="0"/>
            <w:lang w:eastAsia="tr-TR"/>
          </w:rPr>
          <w:tab/>
        </w:r>
        <w:r w:rsidR="007F3AB0" w:rsidRPr="007F3AB0">
          <w:rPr>
            <w:rStyle w:val="Kpr"/>
            <w:rFonts w:eastAsiaTheme="majorEastAsia" w:cstheme="majorBidi"/>
          </w:rPr>
          <w:t>Bakanlık Kanalıyla TBMM'den Gelen Soru Önergeleri</w:t>
        </w:r>
        <w:r w:rsidR="007F3AB0">
          <w:rPr>
            <w:webHidden/>
          </w:rPr>
          <w:tab/>
        </w:r>
        <w:r w:rsidR="007F3AB0">
          <w:rPr>
            <w:webHidden/>
          </w:rPr>
          <w:fldChar w:fldCharType="begin"/>
        </w:r>
        <w:r w:rsidR="007F3AB0">
          <w:rPr>
            <w:webHidden/>
          </w:rPr>
          <w:instrText xml:space="preserve"> PAGEREF _Toc195868777 \h </w:instrText>
        </w:r>
        <w:r w:rsidR="007F3AB0">
          <w:rPr>
            <w:webHidden/>
          </w:rPr>
        </w:r>
        <w:r w:rsidR="007F3AB0">
          <w:rPr>
            <w:webHidden/>
          </w:rPr>
          <w:fldChar w:fldCharType="separate"/>
        </w:r>
        <w:r w:rsidR="00AE2496">
          <w:rPr>
            <w:webHidden/>
          </w:rPr>
          <w:t>144</w:t>
        </w:r>
        <w:r w:rsidR="007F3AB0">
          <w:rPr>
            <w:webHidden/>
          </w:rPr>
          <w:fldChar w:fldCharType="end"/>
        </w:r>
      </w:hyperlink>
    </w:p>
    <w:p w14:paraId="7D53AB46" w14:textId="015BDC1D" w:rsidR="007F3AB0" w:rsidRDefault="0032505C">
      <w:pPr>
        <w:pStyle w:val="T1"/>
        <w:tabs>
          <w:tab w:val="left" w:pos="660"/>
        </w:tabs>
        <w:rPr>
          <w:rFonts w:eastAsiaTheme="minorEastAsia" w:cstheme="minorBidi"/>
          <w:b w:val="0"/>
          <w:noProof/>
          <w:lang w:eastAsia="tr-TR"/>
        </w:rPr>
      </w:pPr>
      <w:hyperlink w:anchor="_Toc195868778" w:history="1">
        <w:r w:rsidR="007F3AB0" w:rsidRPr="00557829">
          <w:rPr>
            <w:rStyle w:val="Kpr"/>
            <w:noProof/>
          </w:rPr>
          <w:t>12.</w:t>
        </w:r>
        <w:r w:rsidR="007F3AB0">
          <w:rPr>
            <w:rFonts w:eastAsiaTheme="minorEastAsia" w:cstheme="minorBidi"/>
            <w:b w:val="0"/>
            <w:noProof/>
            <w:lang w:eastAsia="tr-TR"/>
          </w:rPr>
          <w:tab/>
        </w:r>
        <w:r w:rsidR="007F3AB0" w:rsidRPr="00557829">
          <w:rPr>
            <w:rStyle w:val="Kpr"/>
            <w:noProof/>
          </w:rPr>
          <w:t>DIŞ İLİŞKİLER</w:t>
        </w:r>
        <w:r w:rsidR="007F3AB0">
          <w:rPr>
            <w:noProof/>
            <w:webHidden/>
          </w:rPr>
          <w:tab/>
        </w:r>
        <w:r w:rsidR="007F3AB0">
          <w:rPr>
            <w:noProof/>
            <w:webHidden/>
          </w:rPr>
          <w:fldChar w:fldCharType="begin"/>
        </w:r>
        <w:r w:rsidR="007F3AB0">
          <w:rPr>
            <w:noProof/>
            <w:webHidden/>
          </w:rPr>
          <w:instrText xml:space="preserve"> PAGEREF _Toc195868778 \h </w:instrText>
        </w:r>
        <w:r w:rsidR="007F3AB0">
          <w:rPr>
            <w:noProof/>
            <w:webHidden/>
          </w:rPr>
        </w:r>
        <w:r w:rsidR="007F3AB0">
          <w:rPr>
            <w:noProof/>
            <w:webHidden/>
          </w:rPr>
          <w:fldChar w:fldCharType="separate"/>
        </w:r>
        <w:r w:rsidR="00AE2496">
          <w:rPr>
            <w:noProof/>
            <w:webHidden/>
          </w:rPr>
          <w:t>145</w:t>
        </w:r>
        <w:r w:rsidR="007F3AB0">
          <w:rPr>
            <w:noProof/>
            <w:webHidden/>
          </w:rPr>
          <w:fldChar w:fldCharType="end"/>
        </w:r>
      </w:hyperlink>
    </w:p>
    <w:p w14:paraId="0DDE97C4" w14:textId="7F9DB0BB" w:rsidR="007F3AB0" w:rsidRDefault="0032505C">
      <w:pPr>
        <w:pStyle w:val="T2"/>
        <w:rPr>
          <w:rFonts w:eastAsiaTheme="minorEastAsia" w:cstheme="minorBidi"/>
          <w:bCs w:val="0"/>
          <w:lang w:eastAsia="tr-TR"/>
        </w:rPr>
      </w:pPr>
      <w:hyperlink w:anchor="_Toc195868779" w:history="1">
        <w:r w:rsidR="007F3AB0" w:rsidRPr="00557829">
          <w:rPr>
            <w:rStyle w:val="Kpr"/>
          </w:rPr>
          <w:t>12.1.</w:t>
        </w:r>
        <w:r w:rsidR="007F3AB0">
          <w:rPr>
            <w:rFonts w:eastAsiaTheme="minorEastAsia" w:cstheme="minorBidi"/>
            <w:bCs w:val="0"/>
            <w:lang w:eastAsia="tr-TR"/>
          </w:rPr>
          <w:tab/>
        </w:r>
        <w:r w:rsidR="007F3AB0" w:rsidRPr="00557829">
          <w:rPr>
            <w:rStyle w:val="Kpr"/>
          </w:rPr>
          <w:t>Üyesi Olunan Uluslararası Birliklerle İlişkiler</w:t>
        </w:r>
        <w:r w:rsidR="007F3AB0">
          <w:rPr>
            <w:webHidden/>
          </w:rPr>
          <w:tab/>
        </w:r>
        <w:r w:rsidR="007F3AB0">
          <w:rPr>
            <w:webHidden/>
          </w:rPr>
          <w:fldChar w:fldCharType="begin"/>
        </w:r>
        <w:r w:rsidR="007F3AB0">
          <w:rPr>
            <w:webHidden/>
          </w:rPr>
          <w:instrText xml:space="preserve"> PAGEREF _Toc195868779 \h </w:instrText>
        </w:r>
        <w:r w:rsidR="007F3AB0">
          <w:rPr>
            <w:webHidden/>
          </w:rPr>
        </w:r>
        <w:r w:rsidR="007F3AB0">
          <w:rPr>
            <w:webHidden/>
          </w:rPr>
          <w:fldChar w:fldCharType="separate"/>
        </w:r>
        <w:r w:rsidR="00AE2496">
          <w:rPr>
            <w:webHidden/>
          </w:rPr>
          <w:t>145</w:t>
        </w:r>
        <w:r w:rsidR="007F3AB0">
          <w:rPr>
            <w:webHidden/>
          </w:rPr>
          <w:fldChar w:fldCharType="end"/>
        </w:r>
      </w:hyperlink>
    </w:p>
    <w:p w14:paraId="2F70ED15" w14:textId="7F515ACD" w:rsidR="007F3AB0" w:rsidRDefault="0032505C">
      <w:pPr>
        <w:pStyle w:val="T2"/>
        <w:rPr>
          <w:rFonts w:eastAsiaTheme="minorEastAsia" w:cstheme="minorBidi"/>
          <w:bCs w:val="0"/>
          <w:lang w:eastAsia="tr-TR"/>
        </w:rPr>
      </w:pPr>
      <w:hyperlink w:anchor="_Toc195868780" w:history="1">
        <w:r w:rsidR="007F3AB0" w:rsidRPr="00557829">
          <w:rPr>
            <w:rStyle w:val="Kpr"/>
          </w:rPr>
          <w:t>12.2.</w:t>
        </w:r>
        <w:r w:rsidR="007F3AB0">
          <w:rPr>
            <w:rFonts w:eastAsiaTheme="minorEastAsia" w:cstheme="minorBidi"/>
            <w:bCs w:val="0"/>
            <w:lang w:eastAsia="tr-TR"/>
          </w:rPr>
          <w:tab/>
        </w:r>
        <w:r w:rsidR="007F3AB0" w:rsidRPr="00557829">
          <w:rPr>
            <w:rStyle w:val="Kpr"/>
          </w:rPr>
          <w:t>İkili İlişkiler</w:t>
        </w:r>
        <w:r w:rsidR="007F3AB0">
          <w:rPr>
            <w:webHidden/>
          </w:rPr>
          <w:tab/>
        </w:r>
        <w:r w:rsidR="007F3AB0">
          <w:rPr>
            <w:webHidden/>
          </w:rPr>
          <w:fldChar w:fldCharType="begin"/>
        </w:r>
        <w:r w:rsidR="007F3AB0">
          <w:rPr>
            <w:webHidden/>
          </w:rPr>
          <w:instrText xml:space="preserve"> PAGEREF _Toc195868780 \h </w:instrText>
        </w:r>
        <w:r w:rsidR="007F3AB0">
          <w:rPr>
            <w:webHidden/>
          </w:rPr>
        </w:r>
        <w:r w:rsidR="007F3AB0">
          <w:rPr>
            <w:webHidden/>
          </w:rPr>
          <w:fldChar w:fldCharType="separate"/>
        </w:r>
        <w:r w:rsidR="00AE2496">
          <w:rPr>
            <w:webHidden/>
          </w:rPr>
          <w:t>146</w:t>
        </w:r>
        <w:r w:rsidR="007F3AB0">
          <w:rPr>
            <w:webHidden/>
          </w:rPr>
          <w:fldChar w:fldCharType="end"/>
        </w:r>
      </w:hyperlink>
    </w:p>
    <w:p w14:paraId="1A43FEEC" w14:textId="22C16B26" w:rsidR="007F3AB0" w:rsidRDefault="0032505C">
      <w:pPr>
        <w:pStyle w:val="T2"/>
        <w:rPr>
          <w:rFonts w:eastAsiaTheme="minorEastAsia" w:cstheme="minorBidi"/>
          <w:bCs w:val="0"/>
          <w:lang w:eastAsia="tr-TR"/>
        </w:rPr>
      </w:pPr>
      <w:hyperlink w:anchor="_Toc195868781" w:history="1">
        <w:r w:rsidR="007F3AB0" w:rsidRPr="00557829">
          <w:rPr>
            <w:rStyle w:val="Kpr"/>
          </w:rPr>
          <w:t>12.3.</w:t>
        </w:r>
        <w:r w:rsidR="007F3AB0">
          <w:rPr>
            <w:rFonts w:eastAsiaTheme="minorEastAsia" w:cstheme="minorBidi"/>
            <w:bCs w:val="0"/>
            <w:lang w:eastAsia="tr-TR"/>
          </w:rPr>
          <w:tab/>
        </w:r>
        <w:r w:rsidR="007F3AB0" w:rsidRPr="00557829">
          <w:rPr>
            <w:rStyle w:val="Kpr"/>
          </w:rPr>
          <w:t>Avrupa Birliği Müktesebatı İle Uyum Süreci Kapsamındaki Faaliyetler</w:t>
        </w:r>
        <w:r w:rsidR="007F3AB0">
          <w:rPr>
            <w:webHidden/>
          </w:rPr>
          <w:tab/>
        </w:r>
        <w:r w:rsidR="007F3AB0">
          <w:rPr>
            <w:webHidden/>
          </w:rPr>
          <w:fldChar w:fldCharType="begin"/>
        </w:r>
        <w:r w:rsidR="007F3AB0">
          <w:rPr>
            <w:webHidden/>
          </w:rPr>
          <w:instrText xml:space="preserve"> PAGEREF _Toc195868781 \h </w:instrText>
        </w:r>
        <w:r w:rsidR="007F3AB0">
          <w:rPr>
            <w:webHidden/>
          </w:rPr>
        </w:r>
        <w:r w:rsidR="007F3AB0">
          <w:rPr>
            <w:webHidden/>
          </w:rPr>
          <w:fldChar w:fldCharType="separate"/>
        </w:r>
        <w:r w:rsidR="00AE2496">
          <w:rPr>
            <w:webHidden/>
          </w:rPr>
          <w:t>147</w:t>
        </w:r>
        <w:r w:rsidR="007F3AB0">
          <w:rPr>
            <w:webHidden/>
          </w:rPr>
          <w:fldChar w:fldCharType="end"/>
        </w:r>
      </w:hyperlink>
    </w:p>
    <w:p w14:paraId="3D97515E" w14:textId="16F0CC36" w:rsidR="007F3AB0" w:rsidRDefault="0032505C">
      <w:pPr>
        <w:pStyle w:val="T2"/>
        <w:rPr>
          <w:rFonts w:eastAsiaTheme="minorEastAsia" w:cstheme="minorBidi"/>
          <w:bCs w:val="0"/>
          <w:lang w:eastAsia="tr-TR"/>
        </w:rPr>
      </w:pPr>
      <w:hyperlink w:anchor="_Toc195868782" w:history="1">
        <w:r w:rsidR="007F3AB0" w:rsidRPr="00557829">
          <w:rPr>
            <w:rStyle w:val="Kpr"/>
          </w:rPr>
          <w:t>12.4.</w:t>
        </w:r>
        <w:r w:rsidR="007F3AB0">
          <w:rPr>
            <w:rFonts w:eastAsiaTheme="minorEastAsia" w:cstheme="minorBidi"/>
            <w:bCs w:val="0"/>
            <w:lang w:eastAsia="tr-TR"/>
          </w:rPr>
          <w:tab/>
        </w:r>
        <w:r w:rsidR="007F3AB0" w:rsidRPr="00557829">
          <w:rPr>
            <w:rStyle w:val="Kpr"/>
          </w:rPr>
          <w:t>Ülkemizin Taraf Olduğu Uluslararası Anlaşmalar Gereği İlişki İçerisinde Bulunulan Organizasyonlar Kapsamında Kurumun Görev Alanına Giren Alanlarda Yapılan Çalışmalar</w:t>
        </w:r>
        <w:r w:rsidR="007F3AB0">
          <w:rPr>
            <w:webHidden/>
          </w:rPr>
          <w:tab/>
        </w:r>
        <w:r w:rsidR="007F3AB0">
          <w:rPr>
            <w:webHidden/>
          </w:rPr>
          <w:fldChar w:fldCharType="begin"/>
        </w:r>
        <w:r w:rsidR="007F3AB0">
          <w:rPr>
            <w:webHidden/>
          </w:rPr>
          <w:instrText xml:space="preserve"> PAGEREF _Toc195868782 \h </w:instrText>
        </w:r>
        <w:r w:rsidR="007F3AB0">
          <w:rPr>
            <w:webHidden/>
          </w:rPr>
        </w:r>
        <w:r w:rsidR="007F3AB0">
          <w:rPr>
            <w:webHidden/>
          </w:rPr>
          <w:fldChar w:fldCharType="separate"/>
        </w:r>
        <w:r w:rsidR="00AE2496">
          <w:rPr>
            <w:webHidden/>
          </w:rPr>
          <w:t>147</w:t>
        </w:r>
        <w:r w:rsidR="007F3AB0">
          <w:rPr>
            <w:webHidden/>
          </w:rPr>
          <w:fldChar w:fldCharType="end"/>
        </w:r>
      </w:hyperlink>
    </w:p>
    <w:p w14:paraId="71194E60" w14:textId="0555566E" w:rsidR="007F3AB0" w:rsidRDefault="0032505C">
      <w:pPr>
        <w:pStyle w:val="T2"/>
        <w:rPr>
          <w:rFonts w:eastAsiaTheme="minorEastAsia" w:cstheme="minorBidi"/>
          <w:bCs w:val="0"/>
          <w:lang w:eastAsia="tr-TR"/>
        </w:rPr>
      </w:pPr>
      <w:hyperlink w:anchor="_Toc195868783" w:history="1">
        <w:r w:rsidR="007F3AB0" w:rsidRPr="00557829">
          <w:rPr>
            <w:rStyle w:val="Kpr"/>
          </w:rPr>
          <w:t>12.5.</w:t>
        </w:r>
        <w:r w:rsidR="007F3AB0">
          <w:rPr>
            <w:rFonts w:eastAsiaTheme="minorEastAsia" w:cstheme="minorBidi"/>
            <w:bCs w:val="0"/>
            <w:lang w:eastAsia="tr-TR"/>
          </w:rPr>
          <w:tab/>
        </w:r>
        <w:r w:rsidR="007F3AB0" w:rsidRPr="00557829">
          <w:rPr>
            <w:rStyle w:val="Kpr"/>
          </w:rPr>
          <w:t>Uluslararası Enerji Piyasalarındaki Gelişmelerin İzlenmesi ve Raporlanması</w:t>
        </w:r>
        <w:r w:rsidR="007F3AB0">
          <w:rPr>
            <w:webHidden/>
          </w:rPr>
          <w:tab/>
        </w:r>
        <w:r w:rsidR="007F3AB0">
          <w:rPr>
            <w:webHidden/>
          </w:rPr>
          <w:fldChar w:fldCharType="begin"/>
        </w:r>
        <w:r w:rsidR="007F3AB0">
          <w:rPr>
            <w:webHidden/>
          </w:rPr>
          <w:instrText xml:space="preserve"> PAGEREF _Toc195868783 \h </w:instrText>
        </w:r>
        <w:r w:rsidR="007F3AB0">
          <w:rPr>
            <w:webHidden/>
          </w:rPr>
        </w:r>
        <w:r w:rsidR="007F3AB0">
          <w:rPr>
            <w:webHidden/>
          </w:rPr>
          <w:fldChar w:fldCharType="separate"/>
        </w:r>
        <w:r w:rsidR="00AE2496">
          <w:rPr>
            <w:webHidden/>
          </w:rPr>
          <w:t>147</w:t>
        </w:r>
        <w:r w:rsidR="007F3AB0">
          <w:rPr>
            <w:webHidden/>
          </w:rPr>
          <w:fldChar w:fldCharType="end"/>
        </w:r>
      </w:hyperlink>
    </w:p>
    <w:p w14:paraId="72E0A0CC" w14:textId="234FFD73" w:rsidR="007F3AB0" w:rsidRDefault="0032505C">
      <w:pPr>
        <w:pStyle w:val="T1"/>
        <w:tabs>
          <w:tab w:val="left" w:pos="660"/>
        </w:tabs>
        <w:rPr>
          <w:rFonts w:eastAsiaTheme="minorEastAsia" w:cstheme="minorBidi"/>
          <w:b w:val="0"/>
          <w:noProof/>
          <w:lang w:eastAsia="tr-TR"/>
        </w:rPr>
      </w:pPr>
      <w:hyperlink w:anchor="_Toc195868784" w:history="1">
        <w:r w:rsidR="007F3AB0" w:rsidRPr="00557829">
          <w:rPr>
            <w:rStyle w:val="Kpr"/>
            <w:noProof/>
          </w:rPr>
          <w:t>13.</w:t>
        </w:r>
        <w:r w:rsidR="007F3AB0">
          <w:rPr>
            <w:rFonts w:eastAsiaTheme="minorEastAsia" w:cstheme="minorBidi"/>
            <w:b w:val="0"/>
            <w:noProof/>
            <w:lang w:eastAsia="tr-TR"/>
          </w:rPr>
          <w:tab/>
        </w:r>
        <w:r w:rsidR="007F3AB0" w:rsidRPr="00557829">
          <w:rPr>
            <w:rStyle w:val="Kpr"/>
            <w:noProof/>
          </w:rPr>
          <w:t>İNSAN KAYNAKLARI VE EĞİTİM FAALİYETLERİ</w:t>
        </w:r>
        <w:r w:rsidR="007F3AB0">
          <w:rPr>
            <w:noProof/>
            <w:webHidden/>
          </w:rPr>
          <w:tab/>
        </w:r>
        <w:r w:rsidR="007F3AB0">
          <w:rPr>
            <w:noProof/>
            <w:webHidden/>
          </w:rPr>
          <w:fldChar w:fldCharType="begin"/>
        </w:r>
        <w:r w:rsidR="007F3AB0">
          <w:rPr>
            <w:noProof/>
            <w:webHidden/>
          </w:rPr>
          <w:instrText xml:space="preserve"> PAGEREF _Toc195868784 \h </w:instrText>
        </w:r>
        <w:r w:rsidR="007F3AB0">
          <w:rPr>
            <w:noProof/>
            <w:webHidden/>
          </w:rPr>
        </w:r>
        <w:r w:rsidR="007F3AB0">
          <w:rPr>
            <w:noProof/>
            <w:webHidden/>
          </w:rPr>
          <w:fldChar w:fldCharType="separate"/>
        </w:r>
        <w:r w:rsidR="00AE2496">
          <w:rPr>
            <w:noProof/>
            <w:webHidden/>
          </w:rPr>
          <w:t>151</w:t>
        </w:r>
        <w:r w:rsidR="007F3AB0">
          <w:rPr>
            <w:noProof/>
            <w:webHidden/>
          </w:rPr>
          <w:fldChar w:fldCharType="end"/>
        </w:r>
      </w:hyperlink>
    </w:p>
    <w:p w14:paraId="2E85AFEA" w14:textId="73236EF8" w:rsidR="007F3AB0" w:rsidRDefault="0032505C">
      <w:pPr>
        <w:pStyle w:val="T2"/>
        <w:rPr>
          <w:rFonts w:eastAsiaTheme="minorEastAsia" w:cstheme="minorBidi"/>
          <w:bCs w:val="0"/>
          <w:lang w:eastAsia="tr-TR"/>
        </w:rPr>
      </w:pPr>
      <w:hyperlink w:anchor="_Toc195868785" w:history="1">
        <w:r w:rsidR="007F3AB0" w:rsidRPr="00557829">
          <w:rPr>
            <w:rStyle w:val="Kpr"/>
          </w:rPr>
          <w:t>13.1.</w:t>
        </w:r>
        <w:r w:rsidR="007F3AB0">
          <w:rPr>
            <w:rFonts w:eastAsiaTheme="minorEastAsia" w:cstheme="minorBidi"/>
            <w:bCs w:val="0"/>
            <w:lang w:eastAsia="tr-TR"/>
          </w:rPr>
          <w:tab/>
        </w:r>
        <w:r w:rsidR="007F3AB0" w:rsidRPr="00557829">
          <w:rPr>
            <w:rStyle w:val="Kpr"/>
          </w:rPr>
          <w:t>Kurum Personeli</w:t>
        </w:r>
        <w:r w:rsidR="007F3AB0">
          <w:rPr>
            <w:webHidden/>
          </w:rPr>
          <w:tab/>
        </w:r>
        <w:r w:rsidR="007F3AB0">
          <w:rPr>
            <w:webHidden/>
          </w:rPr>
          <w:fldChar w:fldCharType="begin"/>
        </w:r>
        <w:r w:rsidR="007F3AB0">
          <w:rPr>
            <w:webHidden/>
          </w:rPr>
          <w:instrText xml:space="preserve"> PAGEREF _Toc195868785 \h </w:instrText>
        </w:r>
        <w:r w:rsidR="007F3AB0">
          <w:rPr>
            <w:webHidden/>
          </w:rPr>
        </w:r>
        <w:r w:rsidR="007F3AB0">
          <w:rPr>
            <w:webHidden/>
          </w:rPr>
          <w:fldChar w:fldCharType="separate"/>
        </w:r>
        <w:r w:rsidR="00AE2496">
          <w:rPr>
            <w:webHidden/>
          </w:rPr>
          <w:t>151</w:t>
        </w:r>
        <w:r w:rsidR="007F3AB0">
          <w:rPr>
            <w:webHidden/>
          </w:rPr>
          <w:fldChar w:fldCharType="end"/>
        </w:r>
      </w:hyperlink>
    </w:p>
    <w:p w14:paraId="59BA7CF2" w14:textId="0E642311" w:rsidR="007F3AB0" w:rsidRDefault="0032505C">
      <w:pPr>
        <w:pStyle w:val="T2"/>
        <w:rPr>
          <w:rFonts w:eastAsiaTheme="minorEastAsia" w:cstheme="minorBidi"/>
          <w:bCs w:val="0"/>
          <w:lang w:eastAsia="tr-TR"/>
        </w:rPr>
      </w:pPr>
      <w:hyperlink w:anchor="_Toc195868786" w:history="1">
        <w:r w:rsidR="007F3AB0" w:rsidRPr="00557829">
          <w:rPr>
            <w:rStyle w:val="Kpr"/>
          </w:rPr>
          <w:t>13.2.</w:t>
        </w:r>
        <w:r w:rsidR="007F3AB0">
          <w:rPr>
            <w:rFonts w:eastAsiaTheme="minorEastAsia" w:cstheme="minorBidi"/>
            <w:bCs w:val="0"/>
            <w:lang w:eastAsia="tr-TR"/>
          </w:rPr>
          <w:tab/>
        </w:r>
        <w:r w:rsidR="007F3AB0" w:rsidRPr="00557829">
          <w:rPr>
            <w:rStyle w:val="Kpr"/>
          </w:rPr>
          <w:t>Eğitim Faaliyetleri</w:t>
        </w:r>
        <w:r w:rsidR="007F3AB0">
          <w:rPr>
            <w:webHidden/>
          </w:rPr>
          <w:tab/>
        </w:r>
        <w:r w:rsidR="007F3AB0">
          <w:rPr>
            <w:webHidden/>
          </w:rPr>
          <w:fldChar w:fldCharType="begin"/>
        </w:r>
        <w:r w:rsidR="007F3AB0">
          <w:rPr>
            <w:webHidden/>
          </w:rPr>
          <w:instrText xml:space="preserve"> PAGEREF _Toc195868786 \h </w:instrText>
        </w:r>
        <w:r w:rsidR="007F3AB0">
          <w:rPr>
            <w:webHidden/>
          </w:rPr>
        </w:r>
        <w:r w:rsidR="007F3AB0">
          <w:rPr>
            <w:webHidden/>
          </w:rPr>
          <w:fldChar w:fldCharType="separate"/>
        </w:r>
        <w:r w:rsidR="00AE2496">
          <w:rPr>
            <w:webHidden/>
          </w:rPr>
          <w:t>155</w:t>
        </w:r>
        <w:r w:rsidR="007F3AB0">
          <w:rPr>
            <w:webHidden/>
          </w:rPr>
          <w:fldChar w:fldCharType="end"/>
        </w:r>
      </w:hyperlink>
    </w:p>
    <w:p w14:paraId="6258410E" w14:textId="0DB3717C" w:rsidR="007F3AB0" w:rsidRDefault="0032505C">
      <w:pPr>
        <w:pStyle w:val="T3"/>
        <w:rPr>
          <w:rFonts w:eastAsiaTheme="minorEastAsia" w:cstheme="minorBidi"/>
          <w:noProof/>
          <w:lang w:eastAsia="tr-TR"/>
        </w:rPr>
      </w:pPr>
      <w:hyperlink w:anchor="_Toc195868787" w:history="1">
        <w:r w:rsidR="007F3AB0" w:rsidRPr="00557829">
          <w:rPr>
            <w:rStyle w:val="Kpr"/>
            <w:rFonts w:cstheme="minorHAnsi"/>
            <w:noProof/>
          </w:rPr>
          <w:t>13.2.1.</w:t>
        </w:r>
        <w:r w:rsidR="007F3AB0">
          <w:rPr>
            <w:rFonts w:eastAsiaTheme="minorEastAsia" w:cstheme="minorBidi"/>
            <w:noProof/>
            <w:lang w:eastAsia="tr-TR"/>
          </w:rPr>
          <w:tab/>
        </w:r>
        <w:r w:rsidR="007F3AB0" w:rsidRPr="00557829">
          <w:rPr>
            <w:rStyle w:val="Kpr"/>
            <w:noProof/>
          </w:rPr>
          <w:t>Hizmet içi Eğitim Faaliyetleri</w:t>
        </w:r>
        <w:r w:rsidR="007F3AB0">
          <w:rPr>
            <w:noProof/>
            <w:webHidden/>
          </w:rPr>
          <w:tab/>
        </w:r>
        <w:r w:rsidR="007F3AB0">
          <w:rPr>
            <w:noProof/>
            <w:webHidden/>
          </w:rPr>
          <w:fldChar w:fldCharType="begin"/>
        </w:r>
        <w:r w:rsidR="007F3AB0">
          <w:rPr>
            <w:noProof/>
            <w:webHidden/>
          </w:rPr>
          <w:instrText xml:space="preserve"> PAGEREF _Toc195868787 \h </w:instrText>
        </w:r>
        <w:r w:rsidR="007F3AB0">
          <w:rPr>
            <w:noProof/>
            <w:webHidden/>
          </w:rPr>
        </w:r>
        <w:r w:rsidR="007F3AB0">
          <w:rPr>
            <w:noProof/>
            <w:webHidden/>
          </w:rPr>
          <w:fldChar w:fldCharType="separate"/>
        </w:r>
        <w:r w:rsidR="00AE2496">
          <w:rPr>
            <w:noProof/>
            <w:webHidden/>
          </w:rPr>
          <w:t>155</w:t>
        </w:r>
        <w:r w:rsidR="007F3AB0">
          <w:rPr>
            <w:noProof/>
            <w:webHidden/>
          </w:rPr>
          <w:fldChar w:fldCharType="end"/>
        </w:r>
      </w:hyperlink>
    </w:p>
    <w:p w14:paraId="6EC49A90" w14:textId="27A3CEA7" w:rsidR="007F3AB0" w:rsidRDefault="0032505C">
      <w:pPr>
        <w:pStyle w:val="T1"/>
        <w:tabs>
          <w:tab w:val="left" w:pos="660"/>
        </w:tabs>
        <w:rPr>
          <w:rFonts w:eastAsiaTheme="minorEastAsia" w:cstheme="minorBidi"/>
          <w:b w:val="0"/>
          <w:noProof/>
          <w:lang w:eastAsia="tr-TR"/>
        </w:rPr>
      </w:pPr>
      <w:hyperlink w:anchor="_Toc195868788" w:history="1">
        <w:r w:rsidR="007F3AB0" w:rsidRPr="00557829">
          <w:rPr>
            <w:rStyle w:val="Kpr"/>
            <w:noProof/>
          </w:rPr>
          <w:t>14.</w:t>
        </w:r>
        <w:r w:rsidR="007F3AB0">
          <w:rPr>
            <w:rFonts w:eastAsiaTheme="minorEastAsia" w:cstheme="minorBidi"/>
            <w:b w:val="0"/>
            <w:noProof/>
            <w:lang w:eastAsia="tr-TR"/>
          </w:rPr>
          <w:tab/>
        </w:r>
        <w:r w:rsidR="007F3AB0" w:rsidRPr="00557829">
          <w:rPr>
            <w:rStyle w:val="Kpr"/>
            <w:noProof/>
          </w:rPr>
          <w:t>MALİ BİLGİLER</w:t>
        </w:r>
        <w:r w:rsidR="007F3AB0">
          <w:rPr>
            <w:noProof/>
            <w:webHidden/>
          </w:rPr>
          <w:tab/>
        </w:r>
        <w:r w:rsidR="007F3AB0">
          <w:rPr>
            <w:noProof/>
            <w:webHidden/>
          </w:rPr>
          <w:fldChar w:fldCharType="begin"/>
        </w:r>
        <w:r w:rsidR="007F3AB0">
          <w:rPr>
            <w:noProof/>
            <w:webHidden/>
          </w:rPr>
          <w:instrText xml:space="preserve"> PAGEREF _Toc195868788 \h </w:instrText>
        </w:r>
        <w:r w:rsidR="007F3AB0">
          <w:rPr>
            <w:noProof/>
            <w:webHidden/>
          </w:rPr>
        </w:r>
        <w:r w:rsidR="007F3AB0">
          <w:rPr>
            <w:noProof/>
            <w:webHidden/>
          </w:rPr>
          <w:fldChar w:fldCharType="separate"/>
        </w:r>
        <w:r w:rsidR="00AE2496">
          <w:rPr>
            <w:noProof/>
            <w:webHidden/>
          </w:rPr>
          <w:t>157</w:t>
        </w:r>
        <w:r w:rsidR="007F3AB0">
          <w:rPr>
            <w:noProof/>
            <w:webHidden/>
          </w:rPr>
          <w:fldChar w:fldCharType="end"/>
        </w:r>
      </w:hyperlink>
    </w:p>
    <w:p w14:paraId="076A7669" w14:textId="54CA6DF2" w:rsidR="007F3AB0" w:rsidRDefault="0032505C">
      <w:pPr>
        <w:pStyle w:val="T2"/>
        <w:rPr>
          <w:rFonts w:eastAsiaTheme="minorEastAsia" w:cstheme="minorBidi"/>
          <w:bCs w:val="0"/>
          <w:lang w:eastAsia="tr-TR"/>
        </w:rPr>
      </w:pPr>
      <w:hyperlink w:anchor="_Toc195868789" w:history="1">
        <w:r w:rsidR="007F3AB0" w:rsidRPr="00557829">
          <w:rPr>
            <w:rStyle w:val="Kpr"/>
          </w:rPr>
          <w:t>14.1.</w:t>
        </w:r>
        <w:r w:rsidR="007F3AB0">
          <w:rPr>
            <w:rFonts w:eastAsiaTheme="minorEastAsia" w:cstheme="minorBidi"/>
            <w:bCs w:val="0"/>
            <w:lang w:eastAsia="tr-TR"/>
          </w:rPr>
          <w:tab/>
        </w:r>
        <w:r w:rsidR="007F3AB0" w:rsidRPr="00557829">
          <w:rPr>
            <w:rStyle w:val="Kpr"/>
          </w:rPr>
          <w:t>2024 Yılı Bütçe Uygulama Sonuçları</w:t>
        </w:r>
        <w:r w:rsidR="007F3AB0">
          <w:rPr>
            <w:webHidden/>
          </w:rPr>
          <w:tab/>
        </w:r>
        <w:r w:rsidR="007F3AB0">
          <w:rPr>
            <w:webHidden/>
          </w:rPr>
          <w:fldChar w:fldCharType="begin"/>
        </w:r>
        <w:r w:rsidR="007F3AB0">
          <w:rPr>
            <w:webHidden/>
          </w:rPr>
          <w:instrText xml:space="preserve"> PAGEREF _Toc195868789 \h </w:instrText>
        </w:r>
        <w:r w:rsidR="007F3AB0">
          <w:rPr>
            <w:webHidden/>
          </w:rPr>
        </w:r>
        <w:r w:rsidR="007F3AB0">
          <w:rPr>
            <w:webHidden/>
          </w:rPr>
          <w:fldChar w:fldCharType="separate"/>
        </w:r>
        <w:r w:rsidR="00AE2496">
          <w:rPr>
            <w:webHidden/>
          </w:rPr>
          <w:t>158</w:t>
        </w:r>
        <w:r w:rsidR="007F3AB0">
          <w:rPr>
            <w:webHidden/>
          </w:rPr>
          <w:fldChar w:fldCharType="end"/>
        </w:r>
      </w:hyperlink>
    </w:p>
    <w:p w14:paraId="1A4D436F" w14:textId="1F4A7531" w:rsidR="007F3AB0" w:rsidRDefault="0032505C">
      <w:pPr>
        <w:pStyle w:val="T3"/>
        <w:rPr>
          <w:rFonts w:eastAsiaTheme="minorEastAsia" w:cstheme="minorBidi"/>
          <w:noProof/>
          <w:lang w:eastAsia="tr-TR"/>
        </w:rPr>
      </w:pPr>
      <w:hyperlink w:anchor="_Toc195868790" w:history="1">
        <w:r w:rsidR="007F3AB0" w:rsidRPr="00557829">
          <w:rPr>
            <w:rStyle w:val="Kpr"/>
            <w:rFonts w:cstheme="minorHAnsi"/>
            <w:noProof/>
          </w:rPr>
          <w:t>14.1.1.</w:t>
        </w:r>
        <w:r w:rsidR="007F3AB0">
          <w:rPr>
            <w:rFonts w:eastAsiaTheme="minorEastAsia" w:cstheme="minorBidi"/>
            <w:noProof/>
            <w:lang w:eastAsia="tr-TR"/>
          </w:rPr>
          <w:tab/>
        </w:r>
        <w:r w:rsidR="007F3AB0" w:rsidRPr="00557829">
          <w:rPr>
            <w:rStyle w:val="Kpr"/>
            <w:noProof/>
          </w:rPr>
          <w:t>Gelir Bütçesi</w:t>
        </w:r>
        <w:r w:rsidR="007F3AB0">
          <w:rPr>
            <w:noProof/>
            <w:webHidden/>
          </w:rPr>
          <w:tab/>
        </w:r>
        <w:r w:rsidR="007F3AB0">
          <w:rPr>
            <w:noProof/>
            <w:webHidden/>
          </w:rPr>
          <w:fldChar w:fldCharType="begin"/>
        </w:r>
        <w:r w:rsidR="007F3AB0">
          <w:rPr>
            <w:noProof/>
            <w:webHidden/>
          </w:rPr>
          <w:instrText xml:space="preserve"> PAGEREF _Toc195868790 \h </w:instrText>
        </w:r>
        <w:r w:rsidR="007F3AB0">
          <w:rPr>
            <w:noProof/>
            <w:webHidden/>
          </w:rPr>
        </w:r>
        <w:r w:rsidR="007F3AB0">
          <w:rPr>
            <w:noProof/>
            <w:webHidden/>
          </w:rPr>
          <w:fldChar w:fldCharType="separate"/>
        </w:r>
        <w:r w:rsidR="00AE2496">
          <w:rPr>
            <w:noProof/>
            <w:webHidden/>
          </w:rPr>
          <w:t>158</w:t>
        </w:r>
        <w:r w:rsidR="007F3AB0">
          <w:rPr>
            <w:noProof/>
            <w:webHidden/>
          </w:rPr>
          <w:fldChar w:fldCharType="end"/>
        </w:r>
      </w:hyperlink>
    </w:p>
    <w:p w14:paraId="2120B006" w14:textId="42C96F95" w:rsidR="007F3AB0" w:rsidRDefault="0032505C">
      <w:pPr>
        <w:pStyle w:val="T3"/>
        <w:rPr>
          <w:rFonts w:eastAsiaTheme="minorEastAsia" w:cstheme="minorBidi"/>
          <w:noProof/>
          <w:lang w:eastAsia="tr-TR"/>
        </w:rPr>
      </w:pPr>
      <w:hyperlink w:anchor="_Toc195868791" w:history="1">
        <w:r w:rsidR="007F3AB0" w:rsidRPr="00557829">
          <w:rPr>
            <w:rStyle w:val="Kpr"/>
            <w:rFonts w:cstheme="minorHAnsi"/>
            <w:noProof/>
          </w:rPr>
          <w:t>14.1.2.</w:t>
        </w:r>
        <w:r w:rsidR="007F3AB0">
          <w:rPr>
            <w:rFonts w:eastAsiaTheme="minorEastAsia" w:cstheme="minorBidi"/>
            <w:noProof/>
            <w:lang w:eastAsia="tr-TR"/>
          </w:rPr>
          <w:tab/>
        </w:r>
        <w:r w:rsidR="007F3AB0" w:rsidRPr="00557829">
          <w:rPr>
            <w:rStyle w:val="Kpr"/>
            <w:noProof/>
          </w:rPr>
          <w:t>Gider Bütçesi</w:t>
        </w:r>
        <w:r w:rsidR="007F3AB0">
          <w:rPr>
            <w:noProof/>
            <w:webHidden/>
          </w:rPr>
          <w:tab/>
        </w:r>
        <w:r w:rsidR="007F3AB0">
          <w:rPr>
            <w:noProof/>
            <w:webHidden/>
          </w:rPr>
          <w:fldChar w:fldCharType="begin"/>
        </w:r>
        <w:r w:rsidR="007F3AB0">
          <w:rPr>
            <w:noProof/>
            <w:webHidden/>
          </w:rPr>
          <w:instrText xml:space="preserve"> PAGEREF _Toc195868791 \h </w:instrText>
        </w:r>
        <w:r w:rsidR="007F3AB0">
          <w:rPr>
            <w:noProof/>
            <w:webHidden/>
          </w:rPr>
        </w:r>
        <w:r w:rsidR="007F3AB0">
          <w:rPr>
            <w:noProof/>
            <w:webHidden/>
          </w:rPr>
          <w:fldChar w:fldCharType="separate"/>
        </w:r>
        <w:r w:rsidR="00AE2496">
          <w:rPr>
            <w:noProof/>
            <w:webHidden/>
          </w:rPr>
          <w:t>159</w:t>
        </w:r>
        <w:r w:rsidR="007F3AB0">
          <w:rPr>
            <w:noProof/>
            <w:webHidden/>
          </w:rPr>
          <w:fldChar w:fldCharType="end"/>
        </w:r>
      </w:hyperlink>
    </w:p>
    <w:p w14:paraId="7E0DA094" w14:textId="26DC861D" w:rsidR="007F3AB0" w:rsidRDefault="0032505C">
      <w:pPr>
        <w:pStyle w:val="T1"/>
        <w:rPr>
          <w:rFonts w:eastAsiaTheme="minorEastAsia" w:cstheme="minorBidi"/>
          <w:b w:val="0"/>
          <w:noProof/>
          <w:lang w:eastAsia="tr-TR"/>
        </w:rPr>
      </w:pPr>
      <w:hyperlink w:anchor="_Toc195868792" w:history="1">
        <w:r w:rsidR="007F3AB0" w:rsidRPr="00557829">
          <w:rPr>
            <w:rStyle w:val="Kpr"/>
            <w:noProof/>
          </w:rPr>
          <w:t>EKLER</w:t>
        </w:r>
        <w:r w:rsidR="007F3AB0">
          <w:rPr>
            <w:noProof/>
            <w:webHidden/>
          </w:rPr>
          <w:tab/>
        </w:r>
        <w:r w:rsidR="007F3AB0">
          <w:rPr>
            <w:noProof/>
            <w:webHidden/>
          </w:rPr>
          <w:fldChar w:fldCharType="begin"/>
        </w:r>
        <w:r w:rsidR="007F3AB0">
          <w:rPr>
            <w:noProof/>
            <w:webHidden/>
          </w:rPr>
          <w:instrText xml:space="preserve"> PAGEREF _Toc195868792 \h </w:instrText>
        </w:r>
        <w:r w:rsidR="007F3AB0">
          <w:rPr>
            <w:noProof/>
            <w:webHidden/>
          </w:rPr>
        </w:r>
        <w:r w:rsidR="007F3AB0">
          <w:rPr>
            <w:noProof/>
            <w:webHidden/>
          </w:rPr>
          <w:fldChar w:fldCharType="separate"/>
        </w:r>
        <w:r w:rsidR="00AE2496">
          <w:rPr>
            <w:noProof/>
            <w:webHidden/>
          </w:rPr>
          <w:t>160</w:t>
        </w:r>
        <w:r w:rsidR="007F3AB0">
          <w:rPr>
            <w:noProof/>
            <w:webHidden/>
          </w:rPr>
          <w:fldChar w:fldCharType="end"/>
        </w:r>
      </w:hyperlink>
    </w:p>
    <w:p w14:paraId="6E30A388" w14:textId="707E332D" w:rsidR="00F4087E" w:rsidRPr="002048A7" w:rsidRDefault="00364BDD" w:rsidP="00B35DE1">
      <w:pPr>
        <w:spacing w:after="0"/>
        <w:rPr>
          <w:b/>
        </w:rPr>
      </w:pPr>
      <w:r w:rsidRPr="002048A7">
        <w:rPr>
          <w:b/>
        </w:rPr>
        <w:fldChar w:fldCharType="end"/>
      </w:r>
      <w:r w:rsidR="00FC1275" w:rsidRPr="002048A7">
        <w:rPr>
          <w:b/>
        </w:rPr>
        <w:br w:type="page"/>
      </w:r>
      <w:r w:rsidR="00F4087E" w:rsidRPr="002048A7">
        <w:rPr>
          <w:b/>
        </w:rPr>
        <w:lastRenderedPageBreak/>
        <w:t xml:space="preserve">TABLOLAR </w:t>
      </w:r>
      <w:r w:rsidR="00172E74" w:rsidRPr="002048A7">
        <w:rPr>
          <w:b/>
        </w:rPr>
        <w:t xml:space="preserve">VE ŞEKİLLER </w:t>
      </w:r>
      <w:r w:rsidR="00F4087E" w:rsidRPr="002048A7">
        <w:rPr>
          <w:b/>
        </w:rPr>
        <w:t>LİSTESİ</w:t>
      </w:r>
    </w:p>
    <w:p w14:paraId="4DDB9233" w14:textId="3B733FE7" w:rsidR="007F3AB0" w:rsidRDefault="00364BDD">
      <w:pPr>
        <w:pStyle w:val="ekillerTablosu"/>
        <w:tabs>
          <w:tab w:val="right" w:leader="dot" w:pos="9060"/>
        </w:tabs>
        <w:rPr>
          <w:rFonts w:eastAsiaTheme="minorEastAsia" w:cstheme="minorBidi"/>
          <w:noProof/>
          <w:lang w:eastAsia="tr-TR"/>
        </w:rPr>
      </w:pPr>
      <w:r w:rsidRPr="002048A7">
        <w:rPr>
          <w:rFonts w:cstheme="minorHAnsi"/>
        </w:rPr>
        <w:fldChar w:fldCharType="begin"/>
      </w:r>
      <w:r w:rsidR="00170052" w:rsidRPr="002048A7">
        <w:rPr>
          <w:rFonts w:cstheme="minorHAnsi"/>
        </w:rPr>
        <w:instrText xml:space="preserve"> TOC \h \z \t "Başlık 5" \c </w:instrText>
      </w:r>
      <w:r w:rsidRPr="002048A7">
        <w:rPr>
          <w:rFonts w:cstheme="minorHAnsi"/>
        </w:rPr>
        <w:fldChar w:fldCharType="separate"/>
      </w:r>
      <w:hyperlink w:anchor="_Toc195868793" w:history="1">
        <w:r w:rsidR="007F3AB0" w:rsidRPr="00700639">
          <w:rPr>
            <w:rStyle w:val="Kpr"/>
            <w:b/>
            <w:bCs/>
            <w:noProof/>
          </w:rPr>
          <w:t>Tablo 1.1: 2024 Yılında Alınan Kurul Kararlarının Kurum Hizmet Birimlerine Göre Dağılımı</w:t>
        </w:r>
        <w:r w:rsidR="007F3AB0">
          <w:rPr>
            <w:noProof/>
            <w:webHidden/>
          </w:rPr>
          <w:tab/>
        </w:r>
        <w:r w:rsidR="007F3AB0">
          <w:rPr>
            <w:noProof/>
            <w:webHidden/>
          </w:rPr>
          <w:fldChar w:fldCharType="begin"/>
        </w:r>
        <w:r w:rsidR="007F3AB0">
          <w:rPr>
            <w:noProof/>
            <w:webHidden/>
          </w:rPr>
          <w:instrText xml:space="preserve"> PAGEREF _Toc195868793 \h </w:instrText>
        </w:r>
        <w:r w:rsidR="007F3AB0">
          <w:rPr>
            <w:noProof/>
            <w:webHidden/>
          </w:rPr>
        </w:r>
        <w:r w:rsidR="007F3AB0">
          <w:rPr>
            <w:noProof/>
            <w:webHidden/>
          </w:rPr>
          <w:fldChar w:fldCharType="separate"/>
        </w:r>
        <w:r w:rsidR="00AE2496">
          <w:rPr>
            <w:noProof/>
            <w:webHidden/>
          </w:rPr>
          <w:t>3</w:t>
        </w:r>
        <w:r w:rsidR="007F3AB0">
          <w:rPr>
            <w:noProof/>
            <w:webHidden/>
          </w:rPr>
          <w:fldChar w:fldCharType="end"/>
        </w:r>
      </w:hyperlink>
    </w:p>
    <w:p w14:paraId="7B84885D" w14:textId="498AA7BD" w:rsidR="007F3AB0" w:rsidRDefault="0032505C">
      <w:pPr>
        <w:pStyle w:val="ekillerTablosu"/>
        <w:tabs>
          <w:tab w:val="right" w:leader="dot" w:pos="9060"/>
        </w:tabs>
        <w:rPr>
          <w:rFonts w:eastAsiaTheme="minorEastAsia" w:cstheme="minorBidi"/>
          <w:noProof/>
          <w:lang w:eastAsia="tr-TR"/>
        </w:rPr>
      </w:pPr>
      <w:hyperlink w:anchor="_Toc195868794" w:history="1">
        <w:r w:rsidR="007F3AB0" w:rsidRPr="00700639">
          <w:rPr>
            <w:rStyle w:val="Kpr"/>
            <w:b/>
            <w:bCs/>
            <w:noProof/>
          </w:rPr>
          <w:t>Şekil 1.1: 2024 Yılı Hizmet Birimlerine Göre Alınan Kurul Kararları</w:t>
        </w:r>
        <w:r w:rsidR="007F3AB0">
          <w:rPr>
            <w:noProof/>
            <w:webHidden/>
          </w:rPr>
          <w:tab/>
        </w:r>
        <w:r w:rsidR="007F3AB0">
          <w:rPr>
            <w:noProof/>
            <w:webHidden/>
          </w:rPr>
          <w:fldChar w:fldCharType="begin"/>
        </w:r>
        <w:r w:rsidR="007F3AB0">
          <w:rPr>
            <w:noProof/>
            <w:webHidden/>
          </w:rPr>
          <w:instrText xml:space="preserve"> PAGEREF _Toc195868794 \h </w:instrText>
        </w:r>
        <w:r w:rsidR="007F3AB0">
          <w:rPr>
            <w:noProof/>
            <w:webHidden/>
          </w:rPr>
        </w:r>
        <w:r w:rsidR="007F3AB0">
          <w:rPr>
            <w:noProof/>
            <w:webHidden/>
          </w:rPr>
          <w:fldChar w:fldCharType="separate"/>
        </w:r>
        <w:r w:rsidR="00AE2496">
          <w:rPr>
            <w:noProof/>
            <w:webHidden/>
          </w:rPr>
          <w:t>3</w:t>
        </w:r>
        <w:r w:rsidR="007F3AB0">
          <w:rPr>
            <w:noProof/>
            <w:webHidden/>
          </w:rPr>
          <w:fldChar w:fldCharType="end"/>
        </w:r>
      </w:hyperlink>
    </w:p>
    <w:p w14:paraId="26704FD2" w14:textId="4774F5D0" w:rsidR="007F3AB0" w:rsidRDefault="0032505C">
      <w:pPr>
        <w:pStyle w:val="ekillerTablosu"/>
        <w:tabs>
          <w:tab w:val="right" w:leader="dot" w:pos="9060"/>
        </w:tabs>
        <w:rPr>
          <w:rFonts w:eastAsiaTheme="minorEastAsia" w:cstheme="minorBidi"/>
          <w:noProof/>
          <w:lang w:eastAsia="tr-TR"/>
        </w:rPr>
      </w:pPr>
      <w:hyperlink w:anchor="_Toc195868795" w:history="1">
        <w:r w:rsidR="007F3AB0" w:rsidRPr="00700639">
          <w:rPr>
            <w:rStyle w:val="Kpr"/>
            <w:b/>
            <w:bCs/>
            <w:noProof/>
          </w:rPr>
          <w:t>Tablo 1.2: 2020-2024 Yılları Arasında Alınan Kurul Kararlarının Kurum Hizmet Birimlerine Göre Dağılımı</w:t>
        </w:r>
        <w:r w:rsidR="007F3AB0">
          <w:rPr>
            <w:noProof/>
            <w:webHidden/>
          </w:rPr>
          <w:tab/>
        </w:r>
        <w:r w:rsidR="007F3AB0">
          <w:rPr>
            <w:noProof/>
            <w:webHidden/>
          </w:rPr>
          <w:fldChar w:fldCharType="begin"/>
        </w:r>
        <w:r w:rsidR="007F3AB0">
          <w:rPr>
            <w:noProof/>
            <w:webHidden/>
          </w:rPr>
          <w:instrText xml:space="preserve"> PAGEREF _Toc195868795 \h </w:instrText>
        </w:r>
        <w:r w:rsidR="007F3AB0">
          <w:rPr>
            <w:noProof/>
            <w:webHidden/>
          </w:rPr>
        </w:r>
        <w:r w:rsidR="007F3AB0">
          <w:rPr>
            <w:noProof/>
            <w:webHidden/>
          </w:rPr>
          <w:fldChar w:fldCharType="separate"/>
        </w:r>
        <w:r w:rsidR="00AE2496">
          <w:rPr>
            <w:noProof/>
            <w:webHidden/>
          </w:rPr>
          <w:t>4</w:t>
        </w:r>
        <w:r w:rsidR="007F3AB0">
          <w:rPr>
            <w:noProof/>
            <w:webHidden/>
          </w:rPr>
          <w:fldChar w:fldCharType="end"/>
        </w:r>
      </w:hyperlink>
    </w:p>
    <w:p w14:paraId="3DB304D4" w14:textId="4239E755" w:rsidR="007F3AB0" w:rsidRDefault="0032505C">
      <w:pPr>
        <w:pStyle w:val="ekillerTablosu"/>
        <w:tabs>
          <w:tab w:val="right" w:leader="dot" w:pos="9060"/>
        </w:tabs>
        <w:rPr>
          <w:rFonts w:eastAsiaTheme="minorEastAsia" w:cstheme="minorBidi"/>
          <w:noProof/>
          <w:lang w:eastAsia="tr-TR"/>
        </w:rPr>
      </w:pPr>
      <w:hyperlink w:anchor="_Toc195868796" w:history="1">
        <w:r w:rsidR="007F3AB0" w:rsidRPr="00700639">
          <w:rPr>
            <w:rStyle w:val="Kpr"/>
            <w:b/>
            <w:bCs/>
            <w:noProof/>
          </w:rPr>
          <w:t>Tablo 1.3: 2020-2024 Yılları Arasında Alınan Kurul Kararlarının Genel Dağılımı</w:t>
        </w:r>
        <w:r w:rsidR="007F3AB0">
          <w:rPr>
            <w:noProof/>
            <w:webHidden/>
          </w:rPr>
          <w:tab/>
        </w:r>
        <w:r w:rsidR="007F3AB0">
          <w:rPr>
            <w:noProof/>
            <w:webHidden/>
          </w:rPr>
          <w:fldChar w:fldCharType="begin"/>
        </w:r>
        <w:r w:rsidR="007F3AB0">
          <w:rPr>
            <w:noProof/>
            <w:webHidden/>
          </w:rPr>
          <w:instrText xml:space="preserve"> PAGEREF _Toc195868796 \h </w:instrText>
        </w:r>
        <w:r w:rsidR="007F3AB0">
          <w:rPr>
            <w:noProof/>
            <w:webHidden/>
          </w:rPr>
        </w:r>
        <w:r w:rsidR="007F3AB0">
          <w:rPr>
            <w:noProof/>
            <w:webHidden/>
          </w:rPr>
          <w:fldChar w:fldCharType="separate"/>
        </w:r>
        <w:r w:rsidR="00AE2496">
          <w:rPr>
            <w:noProof/>
            <w:webHidden/>
          </w:rPr>
          <w:t>4</w:t>
        </w:r>
        <w:r w:rsidR="007F3AB0">
          <w:rPr>
            <w:noProof/>
            <w:webHidden/>
          </w:rPr>
          <w:fldChar w:fldCharType="end"/>
        </w:r>
      </w:hyperlink>
    </w:p>
    <w:p w14:paraId="17CD152E" w14:textId="551E5F85" w:rsidR="007F3AB0" w:rsidRDefault="0032505C">
      <w:pPr>
        <w:pStyle w:val="ekillerTablosu"/>
        <w:tabs>
          <w:tab w:val="right" w:leader="dot" w:pos="9060"/>
        </w:tabs>
        <w:rPr>
          <w:rFonts w:eastAsiaTheme="minorEastAsia" w:cstheme="minorBidi"/>
          <w:noProof/>
          <w:lang w:eastAsia="tr-TR"/>
        </w:rPr>
      </w:pPr>
      <w:hyperlink w:anchor="_Toc195868797" w:history="1">
        <w:r w:rsidR="007F3AB0" w:rsidRPr="00700639">
          <w:rPr>
            <w:rStyle w:val="Kpr"/>
            <w:b/>
            <w:bCs/>
            <w:noProof/>
          </w:rPr>
          <w:t xml:space="preserve">Şekil 1.2: </w:t>
        </w:r>
        <w:r w:rsidR="007F3AB0" w:rsidRPr="00700639">
          <w:rPr>
            <w:rStyle w:val="Kpr"/>
            <w:b/>
            <w:noProof/>
          </w:rPr>
          <w:t>2020-2024 Yılları Arasında Alınan Kurul Kararlarının Dağılımı</w:t>
        </w:r>
        <w:r w:rsidR="007F3AB0">
          <w:rPr>
            <w:noProof/>
            <w:webHidden/>
          </w:rPr>
          <w:tab/>
        </w:r>
        <w:r w:rsidR="007F3AB0">
          <w:rPr>
            <w:noProof/>
            <w:webHidden/>
          </w:rPr>
          <w:fldChar w:fldCharType="begin"/>
        </w:r>
        <w:r w:rsidR="007F3AB0">
          <w:rPr>
            <w:noProof/>
            <w:webHidden/>
          </w:rPr>
          <w:instrText xml:space="preserve"> PAGEREF _Toc195868797 \h </w:instrText>
        </w:r>
        <w:r w:rsidR="007F3AB0">
          <w:rPr>
            <w:noProof/>
            <w:webHidden/>
          </w:rPr>
        </w:r>
        <w:r w:rsidR="007F3AB0">
          <w:rPr>
            <w:noProof/>
            <w:webHidden/>
          </w:rPr>
          <w:fldChar w:fldCharType="separate"/>
        </w:r>
        <w:r w:rsidR="00AE2496">
          <w:rPr>
            <w:noProof/>
            <w:webHidden/>
          </w:rPr>
          <w:t>4</w:t>
        </w:r>
        <w:r w:rsidR="007F3AB0">
          <w:rPr>
            <w:noProof/>
            <w:webHidden/>
          </w:rPr>
          <w:fldChar w:fldCharType="end"/>
        </w:r>
      </w:hyperlink>
    </w:p>
    <w:p w14:paraId="31B24939" w14:textId="7522D526" w:rsidR="007F3AB0" w:rsidRDefault="0032505C">
      <w:pPr>
        <w:pStyle w:val="ekillerTablosu"/>
        <w:tabs>
          <w:tab w:val="right" w:leader="dot" w:pos="9060"/>
        </w:tabs>
        <w:rPr>
          <w:rFonts w:eastAsiaTheme="minorEastAsia" w:cstheme="minorBidi"/>
          <w:noProof/>
          <w:lang w:eastAsia="tr-TR"/>
        </w:rPr>
      </w:pPr>
      <w:hyperlink w:anchor="_Toc195868798" w:history="1">
        <w:r w:rsidR="007F3AB0" w:rsidRPr="00700639">
          <w:rPr>
            <w:rStyle w:val="Kpr"/>
            <w:b/>
            <w:bCs/>
            <w:noProof/>
          </w:rPr>
          <w:t>Tablo 3.1: Elektrik Piyasasında 2024 Yılında Gerçekleştirilen Lisans İşlemleri (Adet)</w:t>
        </w:r>
        <w:r w:rsidR="007F3AB0">
          <w:rPr>
            <w:noProof/>
            <w:webHidden/>
          </w:rPr>
          <w:tab/>
        </w:r>
        <w:r w:rsidR="007F3AB0">
          <w:rPr>
            <w:noProof/>
            <w:webHidden/>
          </w:rPr>
          <w:fldChar w:fldCharType="begin"/>
        </w:r>
        <w:r w:rsidR="007F3AB0">
          <w:rPr>
            <w:noProof/>
            <w:webHidden/>
          </w:rPr>
          <w:instrText xml:space="preserve"> PAGEREF _Toc195868798 \h </w:instrText>
        </w:r>
        <w:r w:rsidR="007F3AB0">
          <w:rPr>
            <w:noProof/>
            <w:webHidden/>
          </w:rPr>
        </w:r>
        <w:r w:rsidR="007F3AB0">
          <w:rPr>
            <w:noProof/>
            <w:webHidden/>
          </w:rPr>
          <w:fldChar w:fldCharType="separate"/>
        </w:r>
        <w:r w:rsidR="00AE2496">
          <w:rPr>
            <w:noProof/>
            <w:webHidden/>
          </w:rPr>
          <w:t>73</w:t>
        </w:r>
        <w:r w:rsidR="007F3AB0">
          <w:rPr>
            <w:noProof/>
            <w:webHidden/>
          </w:rPr>
          <w:fldChar w:fldCharType="end"/>
        </w:r>
      </w:hyperlink>
    </w:p>
    <w:p w14:paraId="1FAFDC70" w14:textId="51768A21" w:rsidR="007F3AB0" w:rsidRDefault="0032505C">
      <w:pPr>
        <w:pStyle w:val="ekillerTablosu"/>
        <w:tabs>
          <w:tab w:val="right" w:leader="dot" w:pos="9060"/>
        </w:tabs>
        <w:rPr>
          <w:rFonts w:eastAsiaTheme="minorEastAsia" w:cstheme="minorBidi"/>
          <w:noProof/>
          <w:lang w:eastAsia="tr-TR"/>
        </w:rPr>
      </w:pPr>
      <w:hyperlink w:anchor="_Toc195868799" w:history="1">
        <w:r w:rsidR="007F3AB0" w:rsidRPr="00700639">
          <w:rPr>
            <w:rStyle w:val="Kpr"/>
            <w:b/>
            <w:bCs/>
            <w:noProof/>
          </w:rPr>
          <w:t>Tablo 3.2: Elektrik Piyasasında 2024 Yılında Üretim Faaliyeti Kapsamında Gerçekleştirilen Lisans İşlemleri</w:t>
        </w:r>
        <w:r w:rsidR="007F3AB0">
          <w:rPr>
            <w:noProof/>
            <w:webHidden/>
          </w:rPr>
          <w:tab/>
        </w:r>
        <w:r w:rsidR="007F3AB0">
          <w:rPr>
            <w:noProof/>
            <w:webHidden/>
          </w:rPr>
          <w:fldChar w:fldCharType="begin"/>
        </w:r>
        <w:r w:rsidR="007F3AB0">
          <w:rPr>
            <w:noProof/>
            <w:webHidden/>
          </w:rPr>
          <w:instrText xml:space="preserve"> PAGEREF _Toc195868799 \h </w:instrText>
        </w:r>
        <w:r w:rsidR="007F3AB0">
          <w:rPr>
            <w:noProof/>
            <w:webHidden/>
          </w:rPr>
        </w:r>
        <w:r w:rsidR="007F3AB0">
          <w:rPr>
            <w:noProof/>
            <w:webHidden/>
          </w:rPr>
          <w:fldChar w:fldCharType="separate"/>
        </w:r>
        <w:r w:rsidR="00AE2496">
          <w:rPr>
            <w:noProof/>
            <w:webHidden/>
          </w:rPr>
          <w:t>73</w:t>
        </w:r>
        <w:r w:rsidR="007F3AB0">
          <w:rPr>
            <w:noProof/>
            <w:webHidden/>
          </w:rPr>
          <w:fldChar w:fldCharType="end"/>
        </w:r>
      </w:hyperlink>
    </w:p>
    <w:p w14:paraId="38A8682A" w14:textId="04F04D3C" w:rsidR="007F3AB0" w:rsidRDefault="0032505C">
      <w:pPr>
        <w:pStyle w:val="ekillerTablosu"/>
        <w:tabs>
          <w:tab w:val="right" w:leader="dot" w:pos="9060"/>
        </w:tabs>
        <w:rPr>
          <w:rFonts w:eastAsiaTheme="minorEastAsia" w:cstheme="minorBidi"/>
          <w:noProof/>
          <w:lang w:eastAsia="tr-TR"/>
        </w:rPr>
      </w:pPr>
      <w:hyperlink w:anchor="_Toc195868800" w:history="1">
        <w:r w:rsidR="007F3AB0" w:rsidRPr="00700639">
          <w:rPr>
            <w:rStyle w:val="Kpr"/>
            <w:b/>
            <w:bCs/>
            <w:noProof/>
          </w:rPr>
          <w:t>Tablo 3.3: Şarj Hizmeti Piyasasında 2024 Yılında Gerçekleştirilen Lisans İşlemleri (Adet)</w:t>
        </w:r>
        <w:r w:rsidR="007F3AB0">
          <w:rPr>
            <w:noProof/>
            <w:webHidden/>
          </w:rPr>
          <w:tab/>
        </w:r>
        <w:r w:rsidR="007F3AB0">
          <w:rPr>
            <w:noProof/>
            <w:webHidden/>
          </w:rPr>
          <w:fldChar w:fldCharType="begin"/>
        </w:r>
        <w:r w:rsidR="007F3AB0">
          <w:rPr>
            <w:noProof/>
            <w:webHidden/>
          </w:rPr>
          <w:instrText xml:space="preserve"> PAGEREF _Toc195868800 \h </w:instrText>
        </w:r>
        <w:r w:rsidR="007F3AB0">
          <w:rPr>
            <w:noProof/>
            <w:webHidden/>
          </w:rPr>
        </w:r>
        <w:r w:rsidR="007F3AB0">
          <w:rPr>
            <w:noProof/>
            <w:webHidden/>
          </w:rPr>
          <w:fldChar w:fldCharType="separate"/>
        </w:r>
        <w:r w:rsidR="00AE2496">
          <w:rPr>
            <w:noProof/>
            <w:webHidden/>
          </w:rPr>
          <w:t>75</w:t>
        </w:r>
        <w:r w:rsidR="007F3AB0">
          <w:rPr>
            <w:noProof/>
            <w:webHidden/>
          </w:rPr>
          <w:fldChar w:fldCharType="end"/>
        </w:r>
      </w:hyperlink>
    </w:p>
    <w:p w14:paraId="2FB0E4EE" w14:textId="66767497" w:rsidR="007F3AB0" w:rsidRDefault="0032505C">
      <w:pPr>
        <w:pStyle w:val="ekillerTablosu"/>
        <w:tabs>
          <w:tab w:val="right" w:leader="dot" w:pos="9060"/>
        </w:tabs>
        <w:rPr>
          <w:rFonts w:eastAsiaTheme="minorEastAsia" w:cstheme="minorBidi"/>
          <w:noProof/>
          <w:lang w:eastAsia="tr-TR"/>
        </w:rPr>
      </w:pPr>
      <w:hyperlink w:anchor="_Toc195868801" w:history="1">
        <w:r w:rsidR="007F3AB0" w:rsidRPr="00700639">
          <w:rPr>
            <w:rStyle w:val="Kpr"/>
            <w:b/>
            <w:bCs/>
            <w:noProof/>
          </w:rPr>
          <w:t>Tablo 3.4: 2024 Yılında Lisans Sahipleri Tarafından Şarj Ağlarına Eklenen Şarj İstasyonu Sayıları</w:t>
        </w:r>
        <w:r w:rsidR="007F3AB0">
          <w:rPr>
            <w:noProof/>
            <w:webHidden/>
          </w:rPr>
          <w:tab/>
        </w:r>
        <w:r w:rsidR="007F3AB0">
          <w:rPr>
            <w:noProof/>
            <w:webHidden/>
          </w:rPr>
          <w:fldChar w:fldCharType="begin"/>
        </w:r>
        <w:r w:rsidR="007F3AB0">
          <w:rPr>
            <w:noProof/>
            <w:webHidden/>
          </w:rPr>
          <w:instrText xml:space="preserve"> PAGEREF _Toc195868801 \h </w:instrText>
        </w:r>
        <w:r w:rsidR="007F3AB0">
          <w:rPr>
            <w:noProof/>
            <w:webHidden/>
          </w:rPr>
        </w:r>
        <w:r w:rsidR="007F3AB0">
          <w:rPr>
            <w:noProof/>
            <w:webHidden/>
          </w:rPr>
          <w:fldChar w:fldCharType="separate"/>
        </w:r>
        <w:r w:rsidR="00AE2496">
          <w:rPr>
            <w:noProof/>
            <w:webHidden/>
          </w:rPr>
          <w:t>76</w:t>
        </w:r>
        <w:r w:rsidR="007F3AB0">
          <w:rPr>
            <w:noProof/>
            <w:webHidden/>
          </w:rPr>
          <w:fldChar w:fldCharType="end"/>
        </w:r>
      </w:hyperlink>
    </w:p>
    <w:p w14:paraId="304B57DA" w14:textId="32E7C97E" w:rsidR="007F3AB0" w:rsidRDefault="0032505C">
      <w:pPr>
        <w:pStyle w:val="ekillerTablosu"/>
        <w:tabs>
          <w:tab w:val="right" w:leader="dot" w:pos="9060"/>
        </w:tabs>
        <w:rPr>
          <w:rFonts w:eastAsiaTheme="minorEastAsia" w:cstheme="minorBidi"/>
          <w:noProof/>
          <w:lang w:eastAsia="tr-TR"/>
        </w:rPr>
      </w:pPr>
      <w:hyperlink w:anchor="_Toc195868802" w:history="1">
        <w:r w:rsidR="007F3AB0" w:rsidRPr="00700639">
          <w:rPr>
            <w:rStyle w:val="Kpr"/>
            <w:b/>
            <w:bCs/>
            <w:noProof/>
          </w:rPr>
          <w:t>Tablo 3.5: Doğal Gaz Piyasasında 2024 Yılında Gerçekleştirilen Lisans İşlemleri (Adet)</w:t>
        </w:r>
        <w:r w:rsidR="007F3AB0">
          <w:rPr>
            <w:noProof/>
            <w:webHidden/>
          </w:rPr>
          <w:tab/>
        </w:r>
        <w:r w:rsidR="007F3AB0">
          <w:rPr>
            <w:noProof/>
            <w:webHidden/>
          </w:rPr>
          <w:fldChar w:fldCharType="begin"/>
        </w:r>
        <w:r w:rsidR="007F3AB0">
          <w:rPr>
            <w:noProof/>
            <w:webHidden/>
          </w:rPr>
          <w:instrText xml:space="preserve"> PAGEREF _Toc195868802 \h </w:instrText>
        </w:r>
        <w:r w:rsidR="007F3AB0">
          <w:rPr>
            <w:noProof/>
            <w:webHidden/>
          </w:rPr>
        </w:r>
        <w:r w:rsidR="007F3AB0">
          <w:rPr>
            <w:noProof/>
            <w:webHidden/>
          </w:rPr>
          <w:fldChar w:fldCharType="separate"/>
        </w:r>
        <w:r w:rsidR="00AE2496">
          <w:rPr>
            <w:noProof/>
            <w:webHidden/>
          </w:rPr>
          <w:t>77</w:t>
        </w:r>
        <w:r w:rsidR="007F3AB0">
          <w:rPr>
            <w:noProof/>
            <w:webHidden/>
          </w:rPr>
          <w:fldChar w:fldCharType="end"/>
        </w:r>
      </w:hyperlink>
    </w:p>
    <w:p w14:paraId="5576146B" w14:textId="3A72F156" w:rsidR="007F3AB0" w:rsidRDefault="0032505C">
      <w:pPr>
        <w:pStyle w:val="ekillerTablosu"/>
        <w:tabs>
          <w:tab w:val="right" w:leader="dot" w:pos="9060"/>
        </w:tabs>
        <w:rPr>
          <w:rFonts w:eastAsiaTheme="minorEastAsia" w:cstheme="minorBidi"/>
          <w:noProof/>
          <w:lang w:eastAsia="tr-TR"/>
        </w:rPr>
      </w:pPr>
      <w:hyperlink w:anchor="_Toc195868803" w:history="1">
        <w:r w:rsidR="007F3AB0" w:rsidRPr="00700639">
          <w:rPr>
            <w:rStyle w:val="Kpr"/>
            <w:b/>
            <w:bCs/>
            <w:noProof/>
          </w:rPr>
          <w:t>Tablo 3.7: Doğal Gaz Piyasasında 2024 Yılında Gerçekleştirilen Sertifika İşlemleri (Adet)</w:t>
        </w:r>
        <w:r w:rsidR="007F3AB0">
          <w:rPr>
            <w:noProof/>
            <w:webHidden/>
          </w:rPr>
          <w:tab/>
        </w:r>
        <w:r w:rsidR="007F3AB0">
          <w:rPr>
            <w:noProof/>
            <w:webHidden/>
          </w:rPr>
          <w:fldChar w:fldCharType="begin"/>
        </w:r>
        <w:r w:rsidR="007F3AB0">
          <w:rPr>
            <w:noProof/>
            <w:webHidden/>
          </w:rPr>
          <w:instrText xml:space="preserve"> PAGEREF _Toc195868803 \h </w:instrText>
        </w:r>
        <w:r w:rsidR="007F3AB0">
          <w:rPr>
            <w:noProof/>
            <w:webHidden/>
          </w:rPr>
        </w:r>
        <w:r w:rsidR="007F3AB0">
          <w:rPr>
            <w:noProof/>
            <w:webHidden/>
          </w:rPr>
          <w:fldChar w:fldCharType="separate"/>
        </w:r>
        <w:r w:rsidR="00AE2496">
          <w:rPr>
            <w:noProof/>
            <w:webHidden/>
          </w:rPr>
          <w:t>79</w:t>
        </w:r>
        <w:r w:rsidR="007F3AB0">
          <w:rPr>
            <w:noProof/>
            <w:webHidden/>
          </w:rPr>
          <w:fldChar w:fldCharType="end"/>
        </w:r>
      </w:hyperlink>
    </w:p>
    <w:p w14:paraId="2DFA3EFD" w14:textId="53DD8DB0" w:rsidR="007F3AB0" w:rsidRDefault="0032505C">
      <w:pPr>
        <w:pStyle w:val="ekillerTablosu"/>
        <w:tabs>
          <w:tab w:val="right" w:leader="dot" w:pos="9060"/>
        </w:tabs>
        <w:rPr>
          <w:rFonts w:eastAsiaTheme="minorEastAsia" w:cstheme="minorBidi"/>
          <w:noProof/>
          <w:lang w:eastAsia="tr-TR"/>
        </w:rPr>
      </w:pPr>
      <w:hyperlink w:anchor="_Toc195868804" w:history="1">
        <w:r w:rsidR="007F3AB0" w:rsidRPr="00700639">
          <w:rPr>
            <w:rStyle w:val="Kpr"/>
            <w:b/>
            <w:bCs/>
            <w:noProof/>
          </w:rPr>
          <w:t>Tablo 3.8: Petrol Piyasasında 2024 Yılında Gerçekleştirilen Lisans İşlemleri (Adet)</w:t>
        </w:r>
        <w:r w:rsidR="007F3AB0">
          <w:rPr>
            <w:noProof/>
            <w:webHidden/>
          </w:rPr>
          <w:tab/>
        </w:r>
        <w:r w:rsidR="007F3AB0">
          <w:rPr>
            <w:noProof/>
            <w:webHidden/>
          </w:rPr>
          <w:fldChar w:fldCharType="begin"/>
        </w:r>
        <w:r w:rsidR="007F3AB0">
          <w:rPr>
            <w:noProof/>
            <w:webHidden/>
          </w:rPr>
          <w:instrText xml:space="preserve"> PAGEREF _Toc195868804 \h </w:instrText>
        </w:r>
        <w:r w:rsidR="007F3AB0">
          <w:rPr>
            <w:noProof/>
            <w:webHidden/>
          </w:rPr>
        </w:r>
        <w:r w:rsidR="007F3AB0">
          <w:rPr>
            <w:noProof/>
            <w:webHidden/>
          </w:rPr>
          <w:fldChar w:fldCharType="separate"/>
        </w:r>
        <w:r w:rsidR="00AE2496">
          <w:rPr>
            <w:noProof/>
            <w:webHidden/>
          </w:rPr>
          <w:t>80</w:t>
        </w:r>
        <w:r w:rsidR="007F3AB0">
          <w:rPr>
            <w:noProof/>
            <w:webHidden/>
          </w:rPr>
          <w:fldChar w:fldCharType="end"/>
        </w:r>
      </w:hyperlink>
    </w:p>
    <w:p w14:paraId="744F3BE2" w14:textId="6906C14A" w:rsidR="007F3AB0" w:rsidRDefault="0032505C">
      <w:pPr>
        <w:pStyle w:val="ekillerTablosu"/>
        <w:tabs>
          <w:tab w:val="right" w:leader="dot" w:pos="9060"/>
        </w:tabs>
        <w:rPr>
          <w:rFonts w:eastAsiaTheme="minorEastAsia" w:cstheme="minorBidi"/>
          <w:noProof/>
          <w:lang w:eastAsia="tr-TR"/>
        </w:rPr>
      </w:pPr>
      <w:hyperlink w:anchor="_Toc195868805" w:history="1">
        <w:r w:rsidR="007F3AB0" w:rsidRPr="00700639">
          <w:rPr>
            <w:rStyle w:val="Kpr"/>
            <w:b/>
            <w:bCs/>
            <w:noProof/>
          </w:rPr>
          <w:t>Tablo 3.9: 2024 Yılı Sonu İtibarıyla Lisanslı Rafineri Tesisi Bilgileri</w:t>
        </w:r>
        <w:r w:rsidR="007F3AB0">
          <w:rPr>
            <w:noProof/>
            <w:webHidden/>
          </w:rPr>
          <w:tab/>
        </w:r>
        <w:r w:rsidR="007F3AB0">
          <w:rPr>
            <w:noProof/>
            <w:webHidden/>
          </w:rPr>
          <w:fldChar w:fldCharType="begin"/>
        </w:r>
        <w:r w:rsidR="007F3AB0">
          <w:rPr>
            <w:noProof/>
            <w:webHidden/>
          </w:rPr>
          <w:instrText xml:space="preserve"> PAGEREF _Toc195868805 \h </w:instrText>
        </w:r>
        <w:r w:rsidR="007F3AB0">
          <w:rPr>
            <w:noProof/>
            <w:webHidden/>
          </w:rPr>
        </w:r>
        <w:r w:rsidR="007F3AB0">
          <w:rPr>
            <w:noProof/>
            <w:webHidden/>
          </w:rPr>
          <w:fldChar w:fldCharType="separate"/>
        </w:r>
        <w:r w:rsidR="00AE2496">
          <w:rPr>
            <w:noProof/>
            <w:webHidden/>
          </w:rPr>
          <w:t>81</w:t>
        </w:r>
        <w:r w:rsidR="007F3AB0">
          <w:rPr>
            <w:noProof/>
            <w:webHidden/>
          </w:rPr>
          <w:fldChar w:fldCharType="end"/>
        </w:r>
      </w:hyperlink>
    </w:p>
    <w:p w14:paraId="1EB95459" w14:textId="74EBA55B" w:rsidR="007F3AB0" w:rsidRDefault="0032505C">
      <w:pPr>
        <w:pStyle w:val="ekillerTablosu"/>
        <w:tabs>
          <w:tab w:val="right" w:leader="dot" w:pos="9060"/>
        </w:tabs>
        <w:rPr>
          <w:rFonts w:eastAsiaTheme="minorEastAsia" w:cstheme="minorBidi"/>
          <w:noProof/>
          <w:lang w:eastAsia="tr-TR"/>
        </w:rPr>
      </w:pPr>
      <w:hyperlink w:anchor="_Toc195868806" w:history="1">
        <w:r w:rsidR="007F3AB0" w:rsidRPr="00700639">
          <w:rPr>
            <w:rStyle w:val="Kpr"/>
            <w:b/>
            <w:bCs/>
            <w:noProof/>
          </w:rPr>
          <w:t>Tablo 3.10: 2024 Yılı Sonu İtibarıyla Petrol Piyasası Depolama Lisansı Bilgileri</w:t>
        </w:r>
        <w:r w:rsidR="007F3AB0">
          <w:rPr>
            <w:noProof/>
            <w:webHidden/>
          </w:rPr>
          <w:tab/>
        </w:r>
        <w:r w:rsidR="007F3AB0">
          <w:rPr>
            <w:noProof/>
            <w:webHidden/>
          </w:rPr>
          <w:fldChar w:fldCharType="begin"/>
        </w:r>
        <w:r w:rsidR="007F3AB0">
          <w:rPr>
            <w:noProof/>
            <w:webHidden/>
          </w:rPr>
          <w:instrText xml:space="preserve"> PAGEREF _Toc195868806 \h </w:instrText>
        </w:r>
        <w:r w:rsidR="007F3AB0">
          <w:rPr>
            <w:noProof/>
            <w:webHidden/>
          </w:rPr>
        </w:r>
        <w:r w:rsidR="007F3AB0">
          <w:rPr>
            <w:noProof/>
            <w:webHidden/>
          </w:rPr>
          <w:fldChar w:fldCharType="separate"/>
        </w:r>
        <w:r w:rsidR="00AE2496">
          <w:rPr>
            <w:noProof/>
            <w:webHidden/>
          </w:rPr>
          <w:t>81</w:t>
        </w:r>
        <w:r w:rsidR="007F3AB0">
          <w:rPr>
            <w:noProof/>
            <w:webHidden/>
          </w:rPr>
          <w:fldChar w:fldCharType="end"/>
        </w:r>
      </w:hyperlink>
    </w:p>
    <w:p w14:paraId="46E5AEED" w14:textId="46B4F824" w:rsidR="007F3AB0" w:rsidRDefault="0032505C">
      <w:pPr>
        <w:pStyle w:val="ekillerTablosu"/>
        <w:tabs>
          <w:tab w:val="right" w:leader="dot" w:pos="9060"/>
        </w:tabs>
        <w:rPr>
          <w:rFonts w:eastAsiaTheme="minorEastAsia" w:cstheme="minorBidi"/>
          <w:noProof/>
          <w:lang w:eastAsia="tr-TR"/>
        </w:rPr>
      </w:pPr>
      <w:hyperlink w:anchor="_Toc195868807" w:history="1">
        <w:r w:rsidR="007F3AB0" w:rsidRPr="00700639">
          <w:rPr>
            <w:rStyle w:val="Kpr"/>
            <w:b/>
            <w:bCs/>
            <w:noProof/>
          </w:rPr>
          <w:t>Tablo 3.11: Yıllar İtibarıyla Kullanılan Ulusal Marker ve İşaretlenen Akaryakıt Miktarları</w:t>
        </w:r>
        <w:r w:rsidR="007F3AB0">
          <w:rPr>
            <w:noProof/>
            <w:webHidden/>
          </w:rPr>
          <w:tab/>
        </w:r>
        <w:r w:rsidR="007F3AB0">
          <w:rPr>
            <w:noProof/>
            <w:webHidden/>
          </w:rPr>
          <w:fldChar w:fldCharType="begin"/>
        </w:r>
        <w:r w:rsidR="007F3AB0">
          <w:rPr>
            <w:noProof/>
            <w:webHidden/>
          </w:rPr>
          <w:instrText xml:space="preserve"> PAGEREF _Toc195868807 \h </w:instrText>
        </w:r>
        <w:r w:rsidR="007F3AB0">
          <w:rPr>
            <w:noProof/>
            <w:webHidden/>
          </w:rPr>
        </w:r>
        <w:r w:rsidR="007F3AB0">
          <w:rPr>
            <w:noProof/>
            <w:webHidden/>
          </w:rPr>
          <w:fldChar w:fldCharType="separate"/>
        </w:r>
        <w:r w:rsidR="00AE2496">
          <w:rPr>
            <w:noProof/>
            <w:webHidden/>
          </w:rPr>
          <w:t>83</w:t>
        </w:r>
        <w:r w:rsidR="007F3AB0">
          <w:rPr>
            <w:noProof/>
            <w:webHidden/>
          </w:rPr>
          <w:fldChar w:fldCharType="end"/>
        </w:r>
      </w:hyperlink>
    </w:p>
    <w:p w14:paraId="747496B5" w14:textId="4E109D16" w:rsidR="007F3AB0" w:rsidRDefault="0032505C">
      <w:pPr>
        <w:pStyle w:val="ekillerTablosu"/>
        <w:tabs>
          <w:tab w:val="right" w:leader="dot" w:pos="9060"/>
        </w:tabs>
        <w:rPr>
          <w:rFonts w:eastAsiaTheme="minorEastAsia" w:cstheme="minorBidi"/>
          <w:noProof/>
          <w:lang w:eastAsia="tr-TR"/>
        </w:rPr>
      </w:pPr>
      <w:hyperlink w:anchor="_Toc195868808" w:history="1">
        <w:r w:rsidR="007F3AB0" w:rsidRPr="00700639">
          <w:rPr>
            <w:rStyle w:val="Kpr"/>
            <w:b/>
            <w:bCs/>
            <w:noProof/>
          </w:rPr>
          <w:t>Tablo 3.12: 2024 Yılında Yetkilendirilmiş Otomasyon Şirketleri</w:t>
        </w:r>
        <w:r w:rsidR="007F3AB0">
          <w:rPr>
            <w:noProof/>
            <w:webHidden/>
          </w:rPr>
          <w:tab/>
        </w:r>
        <w:r w:rsidR="007F3AB0">
          <w:rPr>
            <w:noProof/>
            <w:webHidden/>
          </w:rPr>
          <w:fldChar w:fldCharType="begin"/>
        </w:r>
        <w:r w:rsidR="007F3AB0">
          <w:rPr>
            <w:noProof/>
            <w:webHidden/>
          </w:rPr>
          <w:instrText xml:space="preserve"> PAGEREF _Toc195868808 \h </w:instrText>
        </w:r>
        <w:r w:rsidR="007F3AB0">
          <w:rPr>
            <w:noProof/>
            <w:webHidden/>
          </w:rPr>
        </w:r>
        <w:r w:rsidR="007F3AB0">
          <w:rPr>
            <w:noProof/>
            <w:webHidden/>
          </w:rPr>
          <w:fldChar w:fldCharType="separate"/>
        </w:r>
        <w:r w:rsidR="00AE2496">
          <w:rPr>
            <w:noProof/>
            <w:webHidden/>
          </w:rPr>
          <w:t>85</w:t>
        </w:r>
        <w:r w:rsidR="007F3AB0">
          <w:rPr>
            <w:noProof/>
            <w:webHidden/>
          </w:rPr>
          <w:fldChar w:fldCharType="end"/>
        </w:r>
      </w:hyperlink>
    </w:p>
    <w:p w14:paraId="37C68B13" w14:textId="05DBA5CF" w:rsidR="007F3AB0" w:rsidRDefault="0032505C">
      <w:pPr>
        <w:pStyle w:val="ekillerTablosu"/>
        <w:tabs>
          <w:tab w:val="right" w:leader="dot" w:pos="9060"/>
        </w:tabs>
        <w:rPr>
          <w:rFonts w:eastAsiaTheme="minorEastAsia" w:cstheme="minorBidi"/>
          <w:noProof/>
          <w:lang w:eastAsia="tr-TR"/>
        </w:rPr>
      </w:pPr>
      <w:hyperlink w:anchor="_Toc195868809" w:history="1">
        <w:r w:rsidR="007F3AB0" w:rsidRPr="00700639">
          <w:rPr>
            <w:rStyle w:val="Kpr"/>
            <w:b/>
            <w:bCs/>
            <w:noProof/>
          </w:rPr>
          <w:t>Tablo 3.13: LPG Piyasasında 2024 Yılında Gerçekleştirilen Lisans İşlemleri (Adet)</w:t>
        </w:r>
        <w:r w:rsidR="007F3AB0">
          <w:rPr>
            <w:noProof/>
            <w:webHidden/>
          </w:rPr>
          <w:tab/>
        </w:r>
        <w:r w:rsidR="007F3AB0">
          <w:rPr>
            <w:noProof/>
            <w:webHidden/>
          </w:rPr>
          <w:fldChar w:fldCharType="begin"/>
        </w:r>
        <w:r w:rsidR="007F3AB0">
          <w:rPr>
            <w:noProof/>
            <w:webHidden/>
          </w:rPr>
          <w:instrText xml:space="preserve"> PAGEREF _Toc195868809 \h </w:instrText>
        </w:r>
        <w:r w:rsidR="007F3AB0">
          <w:rPr>
            <w:noProof/>
            <w:webHidden/>
          </w:rPr>
        </w:r>
        <w:r w:rsidR="007F3AB0">
          <w:rPr>
            <w:noProof/>
            <w:webHidden/>
          </w:rPr>
          <w:fldChar w:fldCharType="separate"/>
        </w:r>
        <w:r w:rsidR="00AE2496">
          <w:rPr>
            <w:noProof/>
            <w:webHidden/>
          </w:rPr>
          <w:t>86</w:t>
        </w:r>
        <w:r w:rsidR="007F3AB0">
          <w:rPr>
            <w:noProof/>
            <w:webHidden/>
          </w:rPr>
          <w:fldChar w:fldCharType="end"/>
        </w:r>
      </w:hyperlink>
    </w:p>
    <w:p w14:paraId="56D23257" w14:textId="5220003B" w:rsidR="007F3AB0" w:rsidRDefault="0032505C">
      <w:pPr>
        <w:pStyle w:val="ekillerTablosu"/>
        <w:tabs>
          <w:tab w:val="right" w:leader="dot" w:pos="9060"/>
        </w:tabs>
        <w:rPr>
          <w:rFonts w:eastAsiaTheme="minorEastAsia" w:cstheme="minorBidi"/>
          <w:noProof/>
          <w:lang w:eastAsia="tr-TR"/>
        </w:rPr>
      </w:pPr>
      <w:hyperlink w:anchor="_Toc195868810" w:history="1">
        <w:r w:rsidR="007F3AB0" w:rsidRPr="00700639">
          <w:rPr>
            <w:rStyle w:val="Kpr"/>
            <w:b/>
            <w:bCs/>
            <w:noProof/>
          </w:rPr>
          <w:t>Tablo 3.14: 2024 Yılı Sonu İtibarıyla LPG Piyasası Depolama Kapasitesi Bilgileri</w:t>
        </w:r>
        <w:r w:rsidR="007F3AB0">
          <w:rPr>
            <w:noProof/>
            <w:webHidden/>
          </w:rPr>
          <w:tab/>
        </w:r>
        <w:r w:rsidR="007F3AB0">
          <w:rPr>
            <w:noProof/>
            <w:webHidden/>
          </w:rPr>
          <w:fldChar w:fldCharType="begin"/>
        </w:r>
        <w:r w:rsidR="007F3AB0">
          <w:rPr>
            <w:noProof/>
            <w:webHidden/>
          </w:rPr>
          <w:instrText xml:space="preserve"> PAGEREF _Toc195868810 \h </w:instrText>
        </w:r>
        <w:r w:rsidR="007F3AB0">
          <w:rPr>
            <w:noProof/>
            <w:webHidden/>
          </w:rPr>
        </w:r>
        <w:r w:rsidR="007F3AB0">
          <w:rPr>
            <w:noProof/>
            <w:webHidden/>
          </w:rPr>
          <w:fldChar w:fldCharType="separate"/>
        </w:r>
        <w:r w:rsidR="00AE2496">
          <w:rPr>
            <w:noProof/>
            <w:webHidden/>
          </w:rPr>
          <w:t>87</w:t>
        </w:r>
        <w:r w:rsidR="007F3AB0">
          <w:rPr>
            <w:noProof/>
            <w:webHidden/>
          </w:rPr>
          <w:fldChar w:fldCharType="end"/>
        </w:r>
      </w:hyperlink>
    </w:p>
    <w:p w14:paraId="58E216A9" w14:textId="446D26F7" w:rsidR="007F3AB0" w:rsidRDefault="0032505C">
      <w:pPr>
        <w:pStyle w:val="ekillerTablosu"/>
        <w:tabs>
          <w:tab w:val="right" w:leader="dot" w:pos="9060"/>
        </w:tabs>
        <w:rPr>
          <w:rFonts w:eastAsiaTheme="minorEastAsia" w:cstheme="minorBidi"/>
          <w:noProof/>
          <w:lang w:eastAsia="tr-TR"/>
        </w:rPr>
      </w:pPr>
      <w:hyperlink w:anchor="_Toc195868811" w:history="1">
        <w:r w:rsidR="007F3AB0" w:rsidRPr="00700639">
          <w:rPr>
            <w:rStyle w:val="Kpr"/>
            <w:b/>
            <w:bCs/>
            <w:noProof/>
          </w:rPr>
          <w:t>Tablo 4.1: TEİAŞ’ın 2025 Yılı Sistem Kullanım ve Sistem İşletim Gelir Tavanları</w:t>
        </w:r>
        <w:r w:rsidR="007F3AB0">
          <w:rPr>
            <w:noProof/>
            <w:webHidden/>
          </w:rPr>
          <w:tab/>
        </w:r>
        <w:r w:rsidR="007F3AB0">
          <w:rPr>
            <w:noProof/>
            <w:webHidden/>
          </w:rPr>
          <w:fldChar w:fldCharType="begin"/>
        </w:r>
        <w:r w:rsidR="007F3AB0">
          <w:rPr>
            <w:noProof/>
            <w:webHidden/>
          </w:rPr>
          <w:instrText xml:space="preserve"> PAGEREF _Toc195868811 \h </w:instrText>
        </w:r>
        <w:r w:rsidR="007F3AB0">
          <w:rPr>
            <w:noProof/>
            <w:webHidden/>
          </w:rPr>
        </w:r>
        <w:r w:rsidR="007F3AB0">
          <w:rPr>
            <w:noProof/>
            <w:webHidden/>
          </w:rPr>
          <w:fldChar w:fldCharType="separate"/>
        </w:r>
        <w:r w:rsidR="00AE2496">
          <w:rPr>
            <w:noProof/>
            <w:webHidden/>
          </w:rPr>
          <w:t>89</w:t>
        </w:r>
        <w:r w:rsidR="007F3AB0">
          <w:rPr>
            <w:noProof/>
            <w:webHidden/>
          </w:rPr>
          <w:fldChar w:fldCharType="end"/>
        </w:r>
      </w:hyperlink>
    </w:p>
    <w:p w14:paraId="748C302D" w14:textId="0BE010F0" w:rsidR="007F3AB0" w:rsidRDefault="0032505C">
      <w:pPr>
        <w:pStyle w:val="ekillerTablosu"/>
        <w:tabs>
          <w:tab w:val="right" w:leader="dot" w:pos="9060"/>
        </w:tabs>
        <w:rPr>
          <w:rFonts w:eastAsiaTheme="minorEastAsia" w:cstheme="minorBidi"/>
          <w:noProof/>
          <w:lang w:eastAsia="tr-TR"/>
        </w:rPr>
      </w:pPr>
      <w:hyperlink w:anchor="_Toc195868812" w:history="1">
        <w:r w:rsidR="007F3AB0" w:rsidRPr="00700639">
          <w:rPr>
            <w:rStyle w:val="Kpr"/>
            <w:b/>
            <w:bCs/>
            <w:noProof/>
          </w:rPr>
          <w:t>Tablo 4.2: İletim Sistemi Sistem Kullanım ve Sistem İşletim Tarifeleri</w:t>
        </w:r>
        <w:r w:rsidR="007F3AB0">
          <w:rPr>
            <w:noProof/>
            <w:webHidden/>
          </w:rPr>
          <w:tab/>
        </w:r>
        <w:r w:rsidR="007F3AB0">
          <w:rPr>
            <w:noProof/>
            <w:webHidden/>
          </w:rPr>
          <w:fldChar w:fldCharType="begin"/>
        </w:r>
        <w:r w:rsidR="007F3AB0">
          <w:rPr>
            <w:noProof/>
            <w:webHidden/>
          </w:rPr>
          <w:instrText xml:space="preserve"> PAGEREF _Toc195868812 \h </w:instrText>
        </w:r>
        <w:r w:rsidR="007F3AB0">
          <w:rPr>
            <w:noProof/>
            <w:webHidden/>
          </w:rPr>
        </w:r>
        <w:r w:rsidR="007F3AB0">
          <w:rPr>
            <w:noProof/>
            <w:webHidden/>
          </w:rPr>
          <w:fldChar w:fldCharType="separate"/>
        </w:r>
        <w:r w:rsidR="00AE2496">
          <w:rPr>
            <w:noProof/>
            <w:webHidden/>
          </w:rPr>
          <w:t>89</w:t>
        </w:r>
        <w:r w:rsidR="007F3AB0">
          <w:rPr>
            <w:noProof/>
            <w:webHidden/>
          </w:rPr>
          <w:fldChar w:fldCharType="end"/>
        </w:r>
      </w:hyperlink>
    </w:p>
    <w:p w14:paraId="412125EF" w14:textId="65C686AB" w:rsidR="007F3AB0" w:rsidRDefault="0032505C">
      <w:pPr>
        <w:pStyle w:val="ekillerTablosu"/>
        <w:tabs>
          <w:tab w:val="right" w:leader="dot" w:pos="9060"/>
        </w:tabs>
        <w:rPr>
          <w:rFonts w:eastAsiaTheme="minorEastAsia" w:cstheme="minorBidi"/>
          <w:noProof/>
          <w:lang w:eastAsia="tr-TR"/>
        </w:rPr>
      </w:pPr>
      <w:hyperlink w:anchor="_Toc195868813" w:history="1">
        <w:r w:rsidR="007F3AB0" w:rsidRPr="00700639">
          <w:rPr>
            <w:rStyle w:val="Kpr"/>
            <w:b/>
            <w:bCs/>
            <w:noProof/>
          </w:rPr>
          <w:t>Tablo 4.3: Dağıtım ve Görevli Tedarik Şirketleri Tarife Tablolarına Dair Kurul Kararları</w:t>
        </w:r>
        <w:r w:rsidR="007F3AB0">
          <w:rPr>
            <w:noProof/>
            <w:webHidden/>
          </w:rPr>
          <w:tab/>
        </w:r>
        <w:r w:rsidR="007F3AB0">
          <w:rPr>
            <w:noProof/>
            <w:webHidden/>
          </w:rPr>
          <w:fldChar w:fldCharType="begin"/>
        </w:r>
        <w:r w:rsidR="007F3AB0">
          <w:rPr>
            <w:noProof/>
            <w:webHidden/>
          </w:rPr>
          <w:instrText xml:space="preserve"> PAGEREF _Toc195868813 \h </w:instrText>
        </w:r>
        <w:r w:rsidR="007F3AB0">
          <w:rPr>
            <w:noProof/>
            <w:webHidden/>
          </w:rPr>
        </w:r>
        <w:r w:rsidR="007F3AB0">
          <w:rPr>
            <w:noProof/>
            <w:webHidden/>
          </w:rPr>
          <w:fldChar w:fldCharType="separate"/>
        </w:r>
        <w:r w:rsidR="00AE2496">
          <w:rPr>
            <w:noProof/>
            <w:webHidden/>
          </w:rPr>
          <w:t>90</w:t>
        </w:r>
        <w:r w:rsidR="007F3AB0">
          <w:rPr>
            <w:noProof/>
            <w:webHidden/>
          </w:rPr>
          <w:fldChar w:fldCharType="end"/>
        </w:r>
      </w:hyperlink>
    </w:p>
    <w:p w14:paraId="2FB917C5" w14:textId="2267949C" w:rsidR="007F3AB0" w:rsidRDefault="0032505C">
      <w:pPr>
        <w:pStyle w:val="ekillerTablosu"/>
        <w:tabs>
          <w:tab w:val="right" w:leader="dot" w:pos="9060"/>
        </w:tabs>
        <w:rPr>
          <w:rFonts w:eastAsiaTheme="minorEastAsia" w:cstheme="minorBidi"/>
          <w:noProof/>
          <w:lang w:eastAsia="tr-TR"/>
        </w:rPr>
      </w:pPr>
      <w:hyperlink w:anchor="_Toc195868814" w:history="1">
        <w:r w:rsidR="007F3AB0" w:rsidRPr="00700639">
          <w:rPr>
            <w:rStyle w:val="Kpr"/>
            <w:b/>
            <w:bCs/>
            <w:noProof/>
          </w:rPr>
          <w:t>Tablo 4.4: Dağıtım Şirketlerinin 2025 Yılı Sistem İşletim Gelir Tavanlarının Onaylanmasına İlişkin Kurul Kararları</w:t>
        </w:r>
        <w:r w:rsidR="007F3AB0">
          <w:rPr>
            <w:noProof/>
            <w:webHidden/>
          </w:rPr>
          <w:tab/>
        </w:r>
        <w:r w:rsidR="007F3AB0">
          <w:rPr>
            <w:noProof/>
            <w:webHidden/>
          </w:rPr>
          <w:fldChar w:fldCharType="begin"/>
        </w:r>
        <w:r w:rsidR="007F3AB0">
          <w:rPr>
            <w:noProof/>
            <w:webHidden/>
          </w:rPr>
          <w:instrText xml:space="preserve"> PAGEREF _Toc195868814 \h </w:instrText>
        </w:r>
        <w:r w:rsidR="007F3AB0">
          <w:rPr>
            <w:noProof/>
            <w:webHidden/>
          </w:rPr>
        </w:r>
        <w:r w:rsidR="007F3AB0">
          <w:rPr>
            <w:noProof/>
            <w:webHidden/>
          </w:rPr>
          <w:fldChar w:fldCharType="separate"/>
        </w:r>
        <w:r w:rsidR="00AE2496">
          <w:rPr>
            <w:noProof/>
            <w:webHidden/>
          </w:rPr>
          <w:t>90</w:t>
        </w:r>
        <w:r w:rsidR="007F3AB0">
          <w:rPr>
            <w:noProof/>
            <w:webHidden/>
          </w:rPr>
          <w:fldChar w:fldCharType="end"/>
        </w:r>
      </w:hyperlink>
    </w:p>
    <w:p w14:paraId="6AD1A127" w14:textId="3C7A5BEC" w:rsidR="007F3AB0" w:rsidRDefault="0032505C">
      <w:pPr>
        <w:pStyle w:val="ekillerTablosu"/>
        <w:tabs>
          <w:tab w:val="right" w:leader="dot" w:pos="9060"/>
        </w:tabs>
        <w:rPr>
          <w:rFonts w:eastAsiaTheme="minorEastAsia" w:cstheme="minorBidi"/>
          <w:noProof/>
          <w:lang w:eastAsia="tr-TR"/>
        </w:rPr>
      </w:pPr>
      <w:hyperlink w:anchor="_Toc195868815" w:history="1">
        <w:r w:rsidR="007F3AB0" w:rsidRPr="00700639">
          <w:rPr>
            <w:rStyle w:val="Kpr"/>
            <w:b/>
            <w:bCs/>
            <w:noProof/>
          </w:rPr>
          <w:t>Tablo 4.5: Görevli Tedarik Şirketlerinin 2025 Yılı Perakende Satış Gelir Tavanlarının Onaylanmasına İlişkin Kurul Kararları</w:t>
        </w:r>
        <w:r w:rsidR="007F3AB0">
          <w:rPr>
            <w:noProof/>
            <w:webHidden/>
          </w:rPr>
          <w:tab/>
        </w:r>
        <w:r w:rsidR="007F3AB0">
          <w:rPr>
            <w:noProof/>
            <w:webHidden/>
          </w:rPr>
          <w:fldChar w:fldCharType="begin"/>
        </w:r>
        <w:r w:rsidR="007F3AB0">
          <w:rPr>
            <w:noProof/>
            <w:webHidden/>
          </w:rPr>
          <w:instrText xml:space="preserve"> PAGEREF _Toc195868815 \h </w:instrText>
        </w:r>
        <w:r w:rsidR="007F3AB0">
          <w:rPr>
            <w:noProof/>
            <w:webHidden/>
          </w:rPr>
        </w:r>
        <w:r w:rsidR="007F3AB0">
          <w:rPr>
            <w:noProof/>
            <w:webHidden/>
          </w:rPr>
          <w:fldChar w:fldCharType="separate"/>
        </w:r>
        <w:r w:rsidR="00AE2496">
          <w:rPr>
            <w:noProof/>
            <w:webHidden/>
          </w:rPr>
          <w:t>91</w:t>
        </w:r>
        <w:r w:rsidR="007F3AB0">
          <w:rPr>
            <w:noProof/>
            <w:webHidden/>
          </w:rPr>
          <w:fldChar w:fldCharType="end"/>
        </w:r>
      </w:hyperlink>
    </w:p>
    <w:p w14:paraId="0720450A" w14:textId="58CF558F" w:rsidR="007F3AB0" w:rsidRDefault="0032505C">
      <w:pPr>
        <w:pStyle w:val="ekillerTablosu"/>
        <w:tabs>
          <w:tab w:val="right" w:leader="dot" w:pos="9060"/>
        </w:tabs>
        <w:rPr>
          <w:rFonts w:eastAsiaTheme="minorEastAsia" w:cstheme="minorBidi"/>
          <w:noProof/>
          <w:lang w:eastAsia="tr-TR"/>
        </w:rPr>
      </w:pPr>
      <w:hyperlink w:anchor="_Toc195868816" w:history="1">
        <w:r w:rsidR="007F3AB0" w:rsidRPr="00700639">
          <w:rPr>
            <w:rStyle w:val="Kpr"/>
            <w:b/>
            <w:bCs/>
            <w:noProof/>
          </w:rPr>
          <w:t>Tablo 4.8: Dağıtım Sistemi Bağlantı Bedelleri</w:t>
        </w:r>
        <w:r w:rsidR="007F3AB0">
          <w:rPr>
            <w:noProof/>
            <w:webHidden/>
          </w:rPr>
          <w:tab/>
        </w:r>
        <w:r w:rsidR="007F3AB0">
          <w:rPr>
            <w:noProof/>
            <w:webHidden/>
          </w:rPr>
          <w:fldChar w:fldCharType="begin"/>
        </w:r>
        <w:r w:rsidR="007F3AB0">
          <w:rPr>
            <w:noProof/>
            <w:webHidden/>
          </w:rPr>
          <w:instrText xml:space="preserve"> PAGEREF _Toc195868816 \h </w:instrText>
        </w:r>
        <w:r w:rsidR="007F3AB0">
          <w:rPr>
            <w:noProof/>
            <w:webHidden/>
          </w:rPr>
        </w:r>
        <w:r w:rsidR="007F3AB0">
          <w:rPr>
            <w:noProof/>
            <w:webHidden/>
          </w:rPr>
          <w:fldChar w:fldCharType="separate"/>
        </w:r>
        <w:r w:rsidR="00AE2496">
          <w:rPr>
            <w:noProof/>
            <w:webHidden/>
          </w:rPr>
          <w:t>94</w:t>
        </w:r>
        <w:r w:rsidR="007F3AB0">
          <w:rPr>
            <w:noProof/>
            <w:webHidden/>
          </w:rPr>
          <w:fldChar w:fldCharType="end"/>
        </w:r>
      </w:hyperlink>
    </w:p>
    <w:p w14:paraId="7C054B73" w14:textId="44D05DC3" w:rsidR="007F3AB0" w:rsidRDefault="0032505C">
      <w:pPr>
        <w:pStyle w:val="ekillerTablosu"/>
        <w:tabs>
          <w:tab w:val="right" w:leader="dot" w:pos="9060"/>
        </w:tabs>
        <w:rPr>
          <w:rFonts w:eastAsiaTheme="minorEastAsia" w:cstheme="minorBidi"/>
          <w:noProof/>
          <w:lang w:eastAsia="tr-TR"/>
        </w:rPr>
      </w:pPr>
      <w:hyperlink w:anchor="_Toc195868817" w:history="1">
        <w:r w:rsidR="007F3AB0" w:rsidRPr="00700639">
          <w:rPr>
            <w:rStyle w:val="Kpr"/>
            <w:b/>
            <w:bCs/>
            <w:noProof/>
          </w:rPr>
          <w:t>Tablo 4.9: Kesme-Bağlama Bedelleri</w:t>
        </w:r>
        <w:r w:rsidR="007F3AB0">
          <w:rPr>
            <w:noProof/>
            <w:webHidden/>
          </w:rPr>
          <w:tab/>
        </w:r>
        <w:r w:rsidR="007F3AB0">
          <w:rPr>
            <w:noProof/>
            <w:webHidden/>
          </w:rPr>
          <w:fldChar w:fldCharType="begin"/>
        </w:r>
        <w:r w:rsidR="007F3AB0">
          <w:rPr>
            <w:noProof/>
            <w:webHidden/>
          </w:rPr>
          <w:instrText xml:space="preserve"> PAGEREF _Toc195868817 \h </w:instrText>
        </w:r>
        <w:r w:rsidR="007F3AB0">
          <w:rPr>
            <w:noProof/>
            <w:webHidden/>
          </w:rPr>
        </w:r>
        <w:r w:rsidR="007F3AB0">
          <w:rPr>
            <w:noProof/>
            <w:webHidden/>
          </w:rPr>
          <w:fldChar w:fldCharType="separate"/>
        </w:r>
        <w:r w:rsidR="00AE2496">
          <w:rPr>
            <w:noProof/>
            <w:webHidden/>
          </w:rPr>
          <w:t>94</w:t>
        </w:r>
        <w:r w:rsidR="007F3AB0">
          <w:rPr>
            <w:noProof/>
            <w:webHidden/>
          </w:rPr>
          <w:fldChar w:fldCharType="end"/>
        </w:r>
      </w:hyperlink>
    </w:p>
    <w:p w14:paraId="722C6B2B" w14:textId="76DEF992" w:rsidR="007F3AB0" w:rsidRDefault="0032505C">
      <w:pPr>
        <w:pStyle w:val="ekillerTablosu"/>
        <w:tabs>
          <w:tab w:val="right" w:leader="dot" w:pos="9060"/>
        </w:tabs>
        <w:rPr>
          <w:rFonts w:eastAsiaTheme="minorEastAsia" w:cstheme="minorBidi"/>
          <w:noProof/>
          <w:lang w:eastAsia="tr-TR"/>
        </w:rPr>
      </w:pPr>
      <w:hyperlink w:anchor="_Toc195868818" w:history="1">
        <w:r w:rsidR="007F3AB0" w:rsidRPr="00700639">
          <w:rPr>
            <w:rStyle w:val="Kpr"/>
            <w:b/>
            <w:bCs/>
            <w:noProof/>
          </w:rPr>
          <w:t>Tablo 4.10: Güvence Bedelleri</w:t>
        </w:r>
        <w:r w:rsidR="007F3AB0">
          <w:rPr>
            <w:noProof/>
            <w:webHidden/>
          </w:rPr>
          <w:tab/>
        </w:r>
        <w:r w:rsidR="007F3AB0">
          <w:rPr>
            <w:noProof/>
            <w:webHidden/>
          </w:rPr>
          <w:fldChar w:fldCharType="begin"/>
        </w:r>
        <w:r w:rsidR="007F3AB0">
          <w:rPr>
            <w:noProof/>
            <w:webHidden/>
          </w:rPr>
          <w:instrText xml:space="preserve"> PAGEREF _Toc195868818 \h </w:instrText>
        </w:r>
        <w:r w:rsidR="007F3AB0">
          <w:rPr>
            <w:noProof/>
            <w:webHidden/>
          </w:rPr>
        </w:r>
        <w:r w:rsidR="007F3AB0">
          <w:rPr>
            <w:noProof/>
            <w:webHidden/>
          </w:rPr>
          <w:fldChar w:fldCharType="separate"/>
        </w:r>
        <w:r w:rsidR="00AE2496">
          <w:rPr>
            <w:noProof/>
            <w:webHidden/>
          </w:rPr>
          <w:t>95</w:t>
        </w:r>
        <w:r w:rsidR="007F3AB0">
          <w:rPr>
            <w:noProof/>
            <w:webHidden/>
          </w:rPr>
          <w:fldChar w:fldCharType="end"/>
        </w:r>
      </w:hyperlink>
    </w:p>
    <w:p w14:paraId="2D183C25" w14:textId="5C6AAD26" w:rsidR="007F3AB0" w:rsidRDefault="0032505C">
      <w:pPr>
        <w:pStyle w:val="ekillerTablosu"/>
        <w:tabs>
          <w:tab w:val="right" w:leader="dot" w:pos="9060"/>
        </w:tabs>
        <w:rPr>
          <w:rFonts w:eastAsiaTheme="minorEastAsia" w:cstheme="minorBidi"/>
          <w:noProof/>
          <w:lang w:eastAsia="tr-TR"/>
        </w:rPr>
      </w:pPr>
      <w:hyperlink w:anchor="_Toc195868819" w:history="1">
        <w:r w:rsidR="007F3AB0" w:rsidRPr="00700639">
          <w:rPr>
            <w:rStyle w:val="Kpr"/>
            <w:b/>
            <w:bCs/>
            <w:noProof/>
          </w:rPr>
          <w:t>Tablo 4.11: Sayaç Kontrol Bedeli</w:t>
        </w:r>
        <w:r w:rsidR="007F3AB0">
          <w:rPr>
            <w:noProof/>
            <w:webHidden/>
          </w:rPr>
          <w:tab/>
        </w:r>
        <w:r w:rsidR="007F3AB0">
          <w:rPr>
            <w:noProof/>
            <w:webHidden/>
          </w:rPr>
          <w:fldChar w:fldCharType="begin"/>
        </w:r>
        <w:r w:rsidR="007F3AB0">
          <w:rPr>
            <w:noProof/>
            <w:webHidden/>
          </w:rPr>
          <w:instrText xml:space="preserve"> PAGEREF _Toc195868819 \h </w:instrText>
        </w:r>
        <w:r w:rsidR="007F3AB0">
          <w:rPr>
            <w:noProof/>
            <w:webHidden/>
          </w:rPr>
        </w:r>
        <w:r w:rsidR="007F3AB0">
          <w:rPr>
            <w:noProof/>
            <w:webHidden/>
          </w:rPr>
          <w:fldChar w:fldCharType="separate"/>
        </w:r>
        <w:r w:rsidR="00AE2496">
          <w:rPr>
            <w:noProof/>
            <w:webHidden/>
          </w:rPr>
          <w:t>95</w:t>
        </w:r>
        <w:r w:rsidR="007F3AB0">
          <w:rPr>
            <w:noProof/>
            <w:webHidden/>
          </w:rPr>
          <w:fldChar w:fldCharType="end"/>
        </w:r>
      </w:hyperlink>
    </w:p>
    <w:p w14:paraId="15C82419" w14:textId="1AE7071A" w:rsidR="007F3AB0" w:rsidRDefault="0032505C">
      <w:pPr>
        <w:pStyle w:val="ekillerTablosu"/>
        <w:tabs>
          <w:tab w:val="right" w:leader="dot" w:pos="9060"/>
        </w:tabs>
        <w:rPr>
          <w:rFonts w:eastAsiaTheme="minorEastAsia" w:cstheme="minorBidi"/>
          <w:noProof/>
          <w:lang w:eastAsia="tr-TR"/>
        </w:rPr>
      </w:pPr>
      <w:hyperlink w:anchor="_Toc195868820" w:history="1">
        <w:r w:rsidR="007F3AB0" w:rsidRPr="00700639">
          <w:rPr>
            <w:rStyle w:val="Kpr"/>
            <w:b/>
            <w:bCs/>
            <w:noProof/>
          </w:rPr>
          <w:t>Tablo 4.12: Lisanssız Üretim Başvuru Bedeli (Şebeke İşletmecisi)</w:t>
        </w:r>
        <w:r w:rsidR="007F3AB0">
          <w:rPr>
            <w:noProof/>
            <w:webHidden/>
          </w:rPr>
          <w:tab/>
        </w:r>
        <w:r w:rsidR="007F3AB0">
          <w:rPr>
            <w:noProof/>
            <w:webHidden/>
          </w:rPr>
          <w:fldChar w:fldCharType="begin"/>
        </w:r>
        <w:r w:rsidR="007F3AB0">
          <w:rPr>
            <w:noProof/>
            <w:webHidden/>
          </w:rPr>
          <w:instrText xml:space="preserve"> PAGEREF _Toc195868820 \h </w:instrText>
        </w:r>
        <w:r w:rsidR="007F3AB0">
          <w:rPr>
            <w:noProof/>
            <w:webHidden/>
          </w:rPr>
        </w:r>
        <w:r w:rsidR="007F3AB0">
          <w:rPr>
            <w:noProof/>
            <w:webHidden/>
          </w:rPr>
          <w:fldChar w:fldCharType="separate"/>
        </w:r>
        <w:r w:rsidR="00AE2496">
          <w:rPr>
            <w:noProof/>
            <w:webHidden/>
          </w:rPr>
          <w:t>95</w:t>
        </w:r>
        <w:r w:rsidR="007F3AB0">
          <w:rPr>
            <w:noProof/>
            <w:webHidden/>
          </w:rPr>
          <w:fldChar w:fldCharType="end"/>
        </w:r>
      </w:hyperlink>
    </w:p>
    <w:p w14:paraId="3A1D7F97" w14:textId="4F99036E" w:rsidR="007F3AB0" w:rsidRDefault="0032505C">
      <w:pPr>
        <w:pStyle w:val="ekillerTablosu"/>
        <w:tabs>
          <w:tab w:val="right" w:leader="dot" w:pos="9060"/>
        </w:tabs>
        <w:rPr>
          <w:rFonts w:eastAsiaTheme="minorEastAsia" w:cstheme="minorBidi"/>
          <w:noProof/>
          <w:lang w:eastAsia="tr-TR"/>
        </w:rPr>
      </w:pPr>
      <w:hyperlink w:anchor="_Toc195868821" w:history="1">
        <w:r w:rsidR="007F3AB0" w:rsidRPr="00700639">
          <w:rPr>
            <w:rStyle w:val="Kpr"/>
            <w:b/>
            <w:bCs/>
            <w:noProof/>
          </w:rPr>
          <w:t>Tablo 4.13: Lisanssız Üretim İşletim Bedeli (Görevli Tedarik Şirketleri)</w:t>
        </w:r>
        <w:r w:rsidR="007F3AB0">
          <w:rPr>
            <w:noProof/>
            <w:webHidden/>
          </w:rPr>
          <w:tab/>
        </w:r>
        <w:r w:rsidR="007F3AB0">
          <w:rPr>
            <w:noProof/>
            <w:webHidden/>
          </w:rPr>
          <w:fldChar w:fldCharType="begin"/>
        </w:r>
        <w:r w:rsidR="007F3AB0">
          <w:rPr>
            <w:noProof/>
            <w:webHidden/>
          </w:rPr>
          <w:instrText xml:space="preserve"> PAGEREF _Toc195868821 \h </w:instrText>
        </w:r>
        <w:r w:rsidR="007F3AB0">
          <w:rPr>
            <w:noProof/>
            <w:webHidden/>
          </w:rPr>
        </w:r>
        <w:r w:rsidR="007F3AB0">
          <w:rPr>
            <w:noProof/>
            <w:webHidden/>
          </w:rPr>
          <w:fldChar w:fldCharType="separate"/>
        </w:r>
        <w:r w:rsidR="00AE2496">
          <w:rPr>
            <w:noProof/>
            <w:webHidden/>
          </w:rPr>
          <w:t>96</w:t>
        </w:r>
        <w:r w:rsidR="007F3AB0">
          <w:rPr>
            <w:noProof/>
            <w:webHidden/>
          </w:rPr>
          <w:fldChar w:fldCharType="end"/>
        </w:r>
      </w:hyperlink>
    </w:p>
    <w:p w14:paraId="18B499A7" w14:textId="05C583E1" w:rsidR="007F3AB0" w:rsidRDefault="0032505C">
      <w:pPr>
        <w:pStyle w:val="ekillerTablosu"/>
        <w:tabs>
          <w:tab w:val="right" w:leader="dot" w:pos="9060"/>
        </w:tabs>
        <w:rPr>
          <w:rFonts w:eastAsiaTheme="minorEastAsia" w:cstheme="minorBidi"/>
          <w:noProof/>
          <w:lang w:eastAsia="tr-TR"/>
        </w:rPr>
      </w:pPr>
      <w:hyperlink w:anchor="_Toc195868822" w:history="1">
        <w:r w:rsidR="007F3AB0" w:rsidRPr="00700639">
          <w:rPr>
            <w:rStyle w:val="Kpr"/>
            <w:b/>
            <w:bCs/>
            <w:noProof/>
          </w:rPr>
          <w:t>Tablo 4.14: Lisanssız Üretim İşletim Bedeli (İlgili Şebeke İşletmecisi)</w:t>
        </w:r>
        <w:r w:rsidR="007F3AB0">
          <w:rPr>
            <w:noProof/>
            <w:webHidden/>
          </w:rPr>
          <w:tab/>
        </w:r>
        <w:r w:rsidR="007F3AB0">
          <w:rPr>
            <w:noProof/>
            <w:webHidden/>
          </w:rPr>
          <w:fldChar w:fldCharType="begin"/>
        </w:r>
        <w:r w:rsidR="007F3AB0">
          <w:rPr>
            <w:noProof/>
            <w:webHidden/>
          </w:rPr>
          <w:instrText xml:space="preserve"> PAGEREF _Toc195868822 \h </w:instrText>
        </w:r>
        <w:r w:rsidR="007F3AB0">
          <w:rPr>
            <w:noProof/>
            <w:webHidden/>
          </w:rPr>
        </w:r>
        <w:r w:rsidR="007F3AB0">
          <w:rPr>
            <w:noProof/>
            <w:webHidden/>
          </w:rPr>
          <w:fldChar w:fldCharType="separate"/>
        </w:r>
        <w:r w:rsidR="00AE2496">
          <w:rPr>
            <w:noProof/>
            <w:webHidden/>
          </w:rPr>
          <w:t>96</w:t>
        </w:r>
        <w:r w:rsidR="007F3AB0">
          <w:rPr>
            <w:noProof/>
            <w:webHidden/>
          </w:rPr>
          <w:fldChar w:fldCharType="end"/>
        </w:r>
      </w:hyperlink>
    </w:p>
    <w:p w14:paraId="63774E51" w14:textId="72DE8956" w:rsidR="007F3AB0" w:rsidRDefault="0032505C">
      <w:pPr>
        <w:pStyle w:val="ekillerTablosu"/>
        <w:tabs>
          <w:tab w:val="right" w:leader="dot" w:pos="9060"/>
        </w:tabs>
        <w:rPr>
          <w:rFonts w:eastAsiaTheme="minorEastAsia" w:cstheme="minorBidi"/>
          <w:noProof/>
          <w:lang w:eastAsia="tr-TR"/>
        </w:rPr>
      </w:pPr>
      <w:hyperlink w:anchor="_Toc195868823" w:history="1">
        <w:r w:rsidR="007F3AB0" w:rsidRPr="00700639">
          <w:rPr>
            <w:rStyle w:val="Kpr"/>
            <w:b/>
            <w:bCs/>
            <w:noProof/>
          </w:rPr>
          <w:t>Tablo 4.15: EPİAŞ 2025 Yılı Piyasa İşletim Gelir Tavanı (TL)</w:t>
        </w:r>
        <w:r w:rsidR="007F3AB0">
          <w:rPr>
            <w:noProof/>
            <w:webHidden/>
          </w:rPr>
          <w:tab/>
        </w:r>
        <w:r w:rsidR="007F3AB0">
          <w:rPr>
            <w:noProof/>
            <w:webHidden/>
          </w:rPr>
          <w:fldChar w:fldCharType="begin"/>
        </w:r>
        <w:r w:rsidR="007F3AB0">
          <w:rPr>
            <w:noProof/>
            <w:webHidden/>
          </w:rPr>
          <w:instrText xml:space="preserve"> PAGEREF _Toc195868823 \h </w:instrText>
        </w:r>
        <w:r w:rsidR="007F3AB0">
          <w:rPr>
            <w:noProof/>
            <w:webHidden/>
          </w:rPr>
        </w:r>
        <w:r w:rsidR="007F3AB0">
          <w:rPr>
            <w:noProof/>
            <w:webHidden/>
          </w:rPr>
          <w:fldChar w:fldCharType="separate"/>
        </w:r>
        <w:r w:rsidR="00AE2496">
          <w:rPr>
            <w:noProof/>
            <w:webHidden/>
          </w:rPr>
          <w:t>96</w:t>
        </w:r>
        <w:r w:rsidR="007F3AB0">
          <w:rPr>
            <w:noProof/>
            <w:webHidden/>
          </w:rPr>
          <w:fldChar w:fldCharType="end"/>
        </w:r>
      </w:hyperlink>
    </w:p>
    <w:p w14:paraId="73047188" w14:textId="7A197CFE" w:rsidR="007F3AB0" w:rsidRDefault="0032505C">
      <w:pPr>
        <w:pStyle w:val="ekillerTablosu"/>
        <w:tabs>
          <w:tab w:val="right" w:leader="dot" w:pos="9060"/>
        </w:tabs>
        <w:rPr>
          <w:rFonts w:eastAsiaTheme="minorEastAsia" w:cstheme="minorBidi"/>
          <w:noProof/>
          <w:lang w:eastAsia="tr-TR"/>
        </w:rPr>
      </w:pPr>
      <w:hyperlink w:anchor="_Toc195868824" w:history="1">
        <w:r w:rsidR="007F3AB0" w:rsidRPr="00700639">
          <w:rPr>
            <w:rStyle w:val="Kpr"/>
            <w:b/>
            <w:bCs/>
            <w:noProof/>
          </w:rPr>
          <w:t xml:space="preserve">Tablo 4.16: EÜAŞ Toptan Satış Tarifeleri </w:t>
        </w:r>
        <w:r w:rsidR="007F3AB0" w:rsidRPr="00700639">
          <w:rPr>
            <w:rStyle w:val="Kpr"/>
            <w:bCs/>
            <w:noProof/>
          </w:rPr>
          <w:t>(</w:t>
        </w:r>
        <w:r w:rsidR="007F3AB0" w:rsidRPr="00700639">
          <w:rPr>
            <w:rStyle w:val="Kpr"/>
            <w:b/>
            <w:noProof/>
          </w:rPr>
          <w:t>Dağıtım Şirketlerine Teknik ve Teknik Olmayan Kayıp Enerji Satışları İle Dağıtım Şirketlerine Genel Aydınlatma Kapsamında Yapılan Satışlarda)</w:t>
        </w:r>
        <w:r w:rsidR="007F3AB0">
          <w:rPr>
            <w:noProof/>
            <w:webHidden/>
          </w:rPr>
          <w:tab/>
        </w:r>
        <w:r w:rsidR="007F3AB0">
          <w:rPr>
            <w:noProof/>
            <w:webHidden/>
          </w:rPr>
          <w:fldChar w:fldCharType="begin"/>
        </w:r>
        <w:r w:rsidR="007F3AB0">
          <w:rPr>
            <w:noProof/>
            <w:webHidden/>
          </w:rPr>
          <w:instrText xml:space="preserve"> PAGEREF _Toc195868824 \h </w:instrText>
        </w:r>
        <w:r w:rsidR="007F3AB0">
          <w:rPr>
            <w:noProof/>
            <w:webHidden/>
          </w:rPr>
        </w:r>
        <w:r w:rsidR="007F3AB0">
          <w:rPr>
            <w:noProof/>
            <w:webHidden/>
          </w:rPr>
          <w:fldChar w:fldCharType="separate"/>
        </w:r>
        <w:r w:rsidR="00AE2496">
          <w:rPr>
            <w:noProof/>
            <w:webHidden/>
          </w:rPr>
          <w:t>97</w:t>
        </w:r>
        <w:r w:rsidR="007F3AB0">
          <w:rPr>
            <w:noProof/>
            <w:webHidden/>
          </w:rPr>
          <w:fldChar w:fldCharType="end"/>
        </w:r>
      </w:hyperlink>
    </w:p>
    <w:p w14:paraId="0C847521" w14:textId="444F5DFF" w:rsidR="007F3AB0" w:rsidRDefault="0032505C">
      <w:pPr>
        <w:pStyle w:val="ekillerTablosu"/>
        <w:tabs>
          <w:tab w:val="right" w:leader="dot" w:pos="9060"/>
        </w:tabs>
        <w:rPr>
          <w:rFonts w:eastAsiaTheme="minorEastAsia" w:cstheme="minorBidi"/>
          <w:noProof/>
          <w:lang w:eastAsia="tr-TR"/>
        </w:rPr>
      </w:pPr>
      <w:hyperlink w:anchor="_Toc195868825" w:history="1">
        <w:r w:rsidR="007F3AB0" w:rsidRPr="00700639">
          <w:rPr>
            <w:rStyle w:val="Kpr"/>
            <w:b/>
            <w:bCs/>
            <w:noProof/>
          </w:rPr>
          <w:t xml:space="preserve">Tablo 4.17: EÜAŞ Toptan Satış Tarifeleri </w:t>
        </w:r>
        <w:r w:rsidR="007F3AB0" w:rsidRPr="00700639">
          <w:rPr>
            <w:rStyle w:val="Kpr"/>
            <w:bCs/>
            <w:noProof/>
          </w:rPr>
          <w:t>(</w:t>
        </w:r>
        <w:r w:rsidR="007F3AB0" w:rsidRPr="00700639">
          <w:rPr>
            <w:rStyle w:val="Kpr"/>
            <w:b/>
            <w:noProof/>
          </w:rPr>
          <w:t>Görevli Tedarik Şirketlerine Yapılan Satışlarda)</w:t>
        </w:r>
        <w:r w:rsidR="007F3AB0">
          <w:rPr>
            <w:noProof/>
            <w:webHidden/>
          </w:rPr>
          <w:tab/>
        </w:r>
        <w:r w:rsidR="007F3AB0">
          <w:rPr>
            <w:noProof/>
            <w:webHidden/>
          </w:rPr>
          <w:fldChar w:fldCharType="begin"/>
        </w:r>
        <w:r w:rsidR="007F3AB0">
          <w:rPr>
            <w:noProof/>
            <w:webHidden/>
          </w:rPr>
          <w:instrText xml:space="preserve"> PAGEREF _Toc195868825 \h </w:instrText>
        </w:r>
        <w:r w:rsidR="007F3AB0">
          <w:rPr>
            <w:noProof/>
            <w:webHidden/>
          </w:rPr>
        </w:r>
        <w:r w:rsidR="007F3AB0">
          <w:rPr>
            <w:noProof/>
            <w:webHidden/>
          </w:rPr>
          <w:fldChar w:fldCharType="separate"/>
        </w:r>
        <w:r w:rsidR="00AE2496">
          <w:rPr>
            <w:noProof/>
            <w:webHidden/>
          </w:rPr>
          <w:t>97</w:t>
        </w:r>
        <w:r w:rsidR="007F3AB0">
          <w:rPr>
            <w:noProof/>
            <w:webHidden/>
          </w:rPr>
          <w:fldChar w:fldCharType="end"/>
        </w:r>
      </w:hyperlink>
    </w:p>
    <w:p w14:paraId="508E3D3E" w14:textId="2BA0AA8A" w:rsidR="007F3AB0" w:rsidRDefault="0032505C">
      <w:pPr>
        <w:pStyle w:val="ekillerTablosu"/>
        <w:tabs>
          <w:tab w:val="right" w:leader="dot" w:pos="9060"/>
        </w:tabs>
        <w:rPr>
          <w:rFonts w:eastAsiaTheme="minorEastAsia" w:cstheme="minorBidi"/>
          <w:noProof/>
          <w:lang w:eastAsia="tr-TR"/>
        </w:rPr>
      </w:pPr>
      <w:hyperlink w:anchor="_Toc195868826" w:history="1">
        <w:r w:rsidR="007F3AB0" w:rsidRPr="00700639">
          <w:rPr>
            <w:rStyle w:val="Kpr"/>
            <w:b/>
            <w:bCs/>
            <w:noProof/>
          </w:rPr>
          <w:t>Tablo 4.18: 2025 Yılı İletim Kapasite</w:t>
        </w:r>
        <w:r w:rsidR="007F3AB0" w:rsidRPr="00700639">
          <w:rPr>
            <w:rStyle w:val="Kpr"/>
            <w:rFonts w:ascii="Times New Roman" w:hAnsi="Times New Roman"/>
            <w:noProof/>
          </w:rPr>
          <w:t xml:space="preserve"> </w:t>
        </w:r>
        <w:r w:rsidR="007F3AB0" w:rsidRPr="00700639">
          <w:rPr>
            <w:rStyle w:val="Kpr"/>
            <w:b/>
            <w:bCs/>
            <w:noProof/>
          </w:rPr>
          <w:t>Bedeli Üst Sınırları</w:t>
        </w:r>
        <w:r w:rsidR="007F3AB0">
          <w:rPr>
            <w:noProof/>
            <w:webHidden/>
          </w:rPr>
          <w:tab/>
        </w:r>
        <w:r w:rsidR="007F3AB0">
          <w:rPr>
            <w:noProof/>
            <w:webHidden/>
          </w:rPr>
          <w:fldChar w:fldCharType="begin"/>
        </w:r>
        <w:r w:rsidR="007F3AB0">
          <w:rPr>
            <w:noProof/>
            <w:webHidden/>
          </w:rPr>
          <w:instrText xml:space="preserve"> PAGEREF _Toc195868826 \h </w:instrText>
        </w:r>
        <w:r w:rsidR="007F3AB0">
          <w:rPr>
            <w:noProof/>
            <w:webHidden/>
          </w:rPr>
        </w:r>
        <w:r w:rsidR="007F3AB0">
          <w:rPr>
            <w:noProof/>
            <w:webHidden/>
          </w:rPr>
          <w:fldChar w:fldCharType="separate"/>
        </w:r>
        <w:r w:rsidR="00AE2496">
          <w:rPr>
            <w:noProof/>
            <w:webHidden/>
          </w:rPr>
          <w:t>100</w:t>
        </w:r>
        <w:r w:rsidR="007F3AB0">
          <w:rPr>
            <w:noProof/>
            <w:webHidden/>
          </w:rPr>
          <w:fldChar w:fldCharType="end"/>
        </w:r>
      </w:hyperlink>
    </w:p>
    <w:p w14:paraId="7BD04D95" w14:textId="24510FCC" w:rsidR="007F3AB0" w:rsidRDefault="0032505C">
      <w:pPr>
        <w:pStyle w:val="ekillerTablosu"/>
        <w:tabs>
          <w:tab w:val="right" w:leader="dot" w:pos="9060"/>
        </w:tabs>
        <w:rPr>
          <w:rFonts w:eastAsiaTheme="minorEastAsia" w:cstheme="minorBidi"/>
          <w:noProof/>
          <w:lang w:eastAsia="tr-TR"/>
        </w:rPr>
      </w:pPr>
      <w:hyperlink w:anchor="_Toc195868827" w:history="1">
        <w:r w:rsidR="007F3AB0" w:rsidRPr="00700639">
          <w:rPr>
            <w:rStyle w:val="Kpr"/>
            <w:b/>
            <w:bCs/>
            <w:noProof/>
          </w:rPr>
          <w:t>Tablo 4.19: 2025 Yılı BOTAŞ’ın İletim Hizmet Bedeli Üst Sınırı</w:t>
        </w:r>
        <w:r w:rsidR="007F3AB0">
          <w:rPr>
            <w:noProof/>
            <w:webHidden/>
          </w:rPr>
          <w:tab/>
        </w:r>
        <w:r w:rsidR="007F3AB0">
          <w:rPr>
            <w:noProof/>
            <w:webHidden/>
          </w:rPr>
          <w:fldChar w:fldCharType="begin"/>
        </w:r>
        <w:r w:rsidR="007F3AB0">
          <w:rPr>
            <w:noProof/>
            <w:webHidden/>
          </w:rPr>
          <w:instrText xml:space="preserve"> PAGEREF _Toc195868827 \h </w:instrText>
        </w:r>
        <w:r w:rsidR="007F3AB0">
          <w:rPr>
            <w:noProof/>
            <w:webHidden/>
          </w:rPr>
        </w:r>
        <w:r w:rsidR="007F3AB0">
          <w:rPr>
            <w:noProof/>
            <w:webHidden/>
          </w:rPr>
          <w:fldChar w:fldCharType="separate"/>
        </w:r>
        <w:r w:rsidR="00AE2496">
          <w:rPr>
            <w:noProof/>
            <w:webHidden/>
          </w:rPr>
          <w:t>100</w:t>
        </w:r>
        <w:r w:rsidR="007F3AB0">
          <w:rPr>
            <w:noProof/>
            <w:webHidden/>
          </w:rPr>
          <w:fldChar w:fldCharType="end"/>
        </w:r>
      </w:hyperlink>
    </w:p>
    <w:p w14:paraId="013D5A13" w14:textId="73E237E0" w:rsidR="007F3AB0" w:rsidRDefault="0032505C">
      <w:pPr>
        <w:pStyle w:val="ekillerTablosu"/>
        <w:tabs>
          <w:tab w:val="right" w:leader="dot" w:pos="9060"/>
        </w:tabs>
        <w:rPr>
          <w:rFonts w:eastAsiaTheme="minorEastAsia" w:cstheme="minorBidi"/>
          <w:noProof/>
          <w:lang w:eastAsia="tr-TR"/>
        </w:rPr>
      </w:pPr>
      <w:hyperlink w:anchor="_Toc195868828" w:history="1">
        <w:r w:rsidR="007F3AB0" w:rsidRPr="00700639">
          <w:rPr>
            <w:rStyle w:val="Kpr"/>
            <w:b/>
            <w:bCs/>
            <w:noProof/>
          </w:rPr>
          <w:t xml:space="preserve">Tablo 4.20: </w:t>
        </w:r>
        <w:r w:rsidR="007F3AB0" w:rsidRPr="00700639">
          <w:rPr>
            <w:rStyle w:val="Kpr"/>
            <w:b/>
            <w:noProof/>
          </w:rPr>
          <w:t>2025 Spot Doğal Gaz Satış Piyasası Birim Ücretler (TL/Sm3)</w:t>
        </w:r>
        <w:r w:rsidR="007F3AB0">
          <w:rPr>
            <w:noProof/>
            <w:webHidden/>
          </w:rPr>
          <w:tab/>
        </w:r>
        <w:r w:rsidR="007F3AB0">
          <w:rPr>
            <w:noProof/>
            <w:webHidden/>
          </w:rPr>
          <w:fldChar w:fldCharType="begin"/>
        </w:r>
        <w:r w:rsidR="007F3AB0">
          <w:rPr>
            <w:noProof/>
            <w:webHidden/>
          </w:rPr>
          <w:instrText xml:space="preserve"> PAGEREF _Toc195868828 \h </w:instrText>
        </w:r>
        <w:r w:rsidR="007F3AB0">
          <w:rPr>
            <w:noProof/>
            <w:webHidden/>
          </w:rPr>
        </w:r>
        <w:r w:rsidR="007F3AB0">
          <w:rPr>
            <w:noProof/>
            <w:webHidden/>
          </w:rPr>
          <w:fldChar w:fldCharType="separate"/>
        </w:r>
        <w:r w:rsidR="00AE2496">
          <w:rPr>
            <w:noProof/>
            <w:webHidden/>
          </w:rPr>
          <w:t>101</w:t>
        </w:r>
        <w:r w:rsidR="007F3AB0">
          <w:rPr>
            <w:noProof/>
            <w:webHidden/>
          </w:rPr>
          <w:fldChar w:fldCharType="end"/>
        </w:r>
      </w:hyperlink>
    </w:p>
    <w:p w14:paraId="29B531A4" w14:textId="6B8CC9CA" w:rsidR="007F3AB0" w:rsidRDefault="0032505C">
      <w:pPr>
        <w:pStyle w:val="ekillerTablosu"/>
        <w:tabs>
          <w:tab w:val="right" w:leader="dot" w:pos="9060"/>
        </w:tabs>
        <w:rPr>
          <w:rFonts w:eastAsiaTheme="minorEastAsia" w:cstheme="minorBidi"/>
          <w:noProof/>
          <w:lang w:eastAsia="tr-TR"/>
        </w:rPr>
      </w:pPr>
      <w:hyperlink w:anchor="_Toc195868829" w:history="1">
        <w:r w:rsidR="007F3AB0" w:rsidRPr="00700639">
          <w:rPr>
            <w:rStyle w:val="Kpr"/>
            <w:b/>
            <w:bCs/>
            <w:noProof/>
          </w:rPr>
          <w:t>Tablo 4.21: 2025 Yılı Vadeli Doğal Gaz Piyasası Birim Ücretler</w:t>
        </w:r>
        <w:r w:rsidR="007F3AB0">
          <w:rPr>
            <w:noProof/>
            <w:webHidden/>
          </w:rPr>
          <w:tab/>
        </w:r>
        <w:r w:rsidR="007F3AB0">
          <w:rPr>
            <w:noProof/>
            <w:webHidden/>
          </w:rPr>
          <w:fldChar w:fldCharType="begin"/>
        </w:r>
        <w:r w:rsidR="007F3AB0">
          <w:rPr>
            <w:noProof/>
            <w:webHidden/>
          </w:rPr>
          <w:instrText xml:space="preserve"> PAGEREF _Toc195868829 \h </w:instrText>
        </w:r>
        <w:r w:rsidR="007F3AB0">
          <w:rPr>
            <w:noProof/>
            <w:webHidden/>
          </w:rPr>
        </w:r>
        <w:r w:rsidR="007F3AB0">
          <w:rPr>
            <w:noProof/>
            <w:webHidden/>
          </w:rPr>
          <w:fldChar w:fldCharType="separate"/>
        </w:r>
        <w:r w:rsidR="00AE2496">
          <w:rPr>
            <w:noProof/>
            <w:webHidden/>
          </w:rPr>
          <w:t>101</w:t>
        </w:r>
        <w:r w:rsidR="007F3AB0">
          <w:rPr>
            <w:noProof/>
            <w:webHidden/>
          </w:rPr>
          <w:fldChar w:fldCharType="end"/>
        </w:r>
      </w:hyperlink>
    </w:p>
    <w:p w14:paraId="273E36E6" w14:textId="3E86D422" w:rsidR="007F3AB0" w:rsidRDefault="0032505C">
      <w:pPr>
        <w:pStyle w:val="ekillerTablosu"/>
        <w:tabs>
          <w:tab w:val="right" w:leader="dot" w:pos="9060"/>
        </w:tabs>
        <w:rPr>
          <w:rFonts w:eastAsiaTheme="minorEastAsia" w:cstheme="minorBidi"/>
          <w:noProof/>
          <w:lang w:eastAsia="tr-TR"/>
        </w:rPr>
      </w:pPr>
      <w:hyperlink w:anchor="_Toc195868830" w:history="1">
        <w:r w:rsidR="007F3AB0" w:rsidRPr="00700639">
          <w:rPr>
            <w:rStyle w:val="Kpr"/>
            <w:b/>
            <w:bCs/>
            <w:noProof/>
          </w:rPr>
          <w:t>Tablo 4.22: EPİAŞ 2025 Yılı Piyasa İşletim Gelir Tavanı (TL)</w:t>
        </w:r>
        <w:r w:rsidR="007F3AB0">
          <w:rPr>
            <w:noProof/>
            <w:webHidden/>
          </w:rPr>
          <w:tab/>
        </w:r>
        <w:r w:rsidR="007F3AB0">
          <w:rPr>
            <w:noProof/>
            <w:webHidden/>
          </w:rPr>
          <w:fldChar w:fldCharType="begin"/>
        </w:r>
        <w:r w:rsidR="007F3AB0">
          <w:rPr>
            <w:noProof/>
            <w:webHidden/>
          </w:rPr>
          <w:instrText xml:space="preserve"> PAGEREF _Toc195868830 \h </w:instrText>
        </w:r>
        <w:r w:rsidR="007F3AB0">
          <w:rPr>
            <w:noProof/>
            <w:webHidden/>
          </w:rPr>
        </w:r>
        <w:r w:rsidR="007F3AB0">
          <w:rPr>
            <w:noProof/>
            <w:webHidden/>
          </w:rPr>
          <w:fldChar w:fldCharType="separate"/>
        </w:r>
        <w:r w:rsidR="00AE2496">
          <w:rPr>
            <w:noProof/>
            <w:webHidden/>
          </w:rPr>
          <w:t>101</w:t>
        </w:r>
        <w:r w:rsidR="007F3AB0">
          <w:rPr>
            <w:noProof/>
            <w:webHidden/>
          </w:rPr>
          <w:fldChar w:fldCharType="end"/>
        </w:r>
      </w:hyperlink>
    </w:p>
    <w:p w14:paraId="18CCDE20" w14:textId="69F69B2F" w:rsidR="007F3AB0" w:rsidRDefault="0032505C">
      <w:pPr>
        <w:pStyle w:val="ekillerTablosu"/>
        <w:tabs>
          <w:tab w:val="right" w:leader="dot" w:pos="9060"/>
        </w:tabs>
        <w:rPr>
          <w:rFonts w:eastAsiaTheme="minorEastAsia" w:cstheme="minorBidi"/>
          <w:noProof/>
          <w:lang w:eastAsia="tr-TR"/>
        </w:rPr>
      </w:pPr>
      <w:hyperlink w:anchor="_Toc195868831" w:history="1">
        <w:r w:rsidR="007F3AB0" w:rsidRPr="00700639">
          <w:rPr>
            <w:rStyle w:val="Kpr"/>
            <w:b/>
            <w:bCs/>
            <w:noProof/>
          </w:rPr>
          <w:t>Tablo 4.23: Dağıtım Şirketleri İçin Belirlenen Bağlantı Tarifeleri</w:t>
        </w:r>
        <w:r w:rsidR="007F3AB0">
          <w:rPr>
            <w:noProof/>
            <w:webHidden/>
          </w:rPr>
          <w:tab/>
        </w:r>
        <w:r w:rsidR="007F3AB0">
          <w:rPr>
            <w:noProof/>
            <w:webHidden/>
          </w:rPr>
          <w:fldChar w:fldCharType="begin"/>
        </w:r>
        <w:r w:rsidR="007F3AB0">
          <w:rPr>
            <w:noProof/>
            <w:webHidden/>
          </w:rPr>
          <w:instrText xml:space="preserve"> PAGEREF _Toc195868831 \h </w:instrText>
        </w:r>
        <w:r w:rsidR="007F3AB0">
          <w:rPr>
            <w:noProof/>
            <w:webHidden/>
          </w:rPr>
        </w:r>
        <w:r w:rsidR="007F3AB0">
          <w:rPr>
            <w:noProof/>
            <w:webHidden/>
          </w:rPr>
          <w:fldChar w:fldCharType="separate"/>
        </w:r>
        <w:r w:rsidR="00AE2496">
          <w:rPr>
            <w:noProof/>
            <w:webHidden/>
          </w:rPr>
          <w:t>101</w:t>
        </w:r>
        <w:r w:rsidR="007F3AB0">
          <w:rPr>
            <w:noProof/>
            <w:webHidden/>
          </w:rPr>
          <w:fldChar w:fldCharType="end"/>
        </w:r>
      </w:hyperlink>
    </w:p>
    <w:p w14:paraId="0672352D" w14:textId="51D115D2" w:rsidR="007F3AB0" w:rsidRDefault="0032505C">
      <w:pPr>
        <w:pStyle w:val="ekillerTablosu"/>
        <w:tabs>
          <w:tab w:val="right" w:leader="dot" w:pos="9060"/>
        </w:tabs>
        <w:rPr>
          <w:rFonts w:eastAsiaTheme="minorEastAsia" w:cstheme="minorBidi"/>
          <w:noProof/>
          <w:lang w:eastAsia="tr-TR"/>
        </w:rPr>
      </w:pPr>
      <w:hyperlink w:anchor="_Toc195868832" w:history="1">
        <w:r w:rsidR="007F3AB0" w:rsidRPr="00700639">
          <w:rPr>
            <w:rStyle w:val="Kpr"/>
            <w:b/>
            <w:bCs/>
            <w:noProof/>
          </w:rPr>
          <w:t>Tablo 4.24: Kurum Tarafından Belirlenen İç Tesisat Proje Onay, Kontrol, Test ve İşletmeye Alma Üst Bedelleri</w:t>
        </w:r>
        <w:r w:rsidR="007F3AB0">
          <w:rPr>
            <w:noProof/>
            <w:webHidden/>
          </w:rPr>
          <w:tab/>
        </w:r>
        <w:r w:rsidR="007F3AB0">
          <w:rPr>
            <w:noProof/>
            <w:webHidden/>
          </w:rPr>
          <w:fldChar w:fldCharType="begin"/>
        </w:r>
        <w:r w:rsidR="007F3AB0">
          <w:rPr>
            <w:noProof/>
            <w:webHidden/>
          </w:rPr>
          <w:instrText xml:space="preserve"> PAGEREF _Toc195868832 \h </w:instrText>
        </w:r>
        <w:r w:rsidR="007F3AB0">
          <w:rPr>
            <w:noProof/>
            <w:webHidden/>
          </w:rPr>
        </w:r>
        <w:r w:rsidR="007F3AB0">
          <w:rPr>
            <w:noProof/>
            <w:webHidden/>
          </w:rPr>
          <w:fldChar w:fldCharType="separate"/>
        </w:r>
        <w:r w:rsidR="00AE2496">
          <w:rPr>
            <w:noProof/>
            <w:webHidden/>
          </w:rPr>
          <w:t>102</w:t>
        </w:r>
        <w:r w:rsidR="007F3AB0">
          <w:rPr>
            <w:noProof/>
            <w:webHidden/>
          </w:rPr>
          <w:fldChar w:fldCharType="end"/>
        </w:r>
      </w:hyperlink>
    </w:p>
    <w:p w14:paraId="666EBC60" w14:textId="5280B07B" w:rsidR="007F3AB0" w:rsidRDefault="0032505C">
      <w:pPr>
        <w:pStyle w:val="ekillerTablosu"/>
        <w:tabs>
          <w:tab w:val="right" w:leader="dot" w:pos="9060"/>
        </w:tabs>
        <w:rPr>
          <w:rFonts w:eastAsiaTheme="minorEastAsia" w:cstheme="minorBidi"/>
          <w:noProof/>
          <w:lang w:eastAsia="tr-TR"/>
        </w:rPr>
      </w:pPr>
      <w:hyperlink w:anchor="_Toc195868833" w:history="1">
        <w:r w:rsidR="007F3AB0" w:rsidRPr="00700639">
          <w:rPr>
            <w:rStyle w:val="Kpr"/>
            <w:b/>
            <w:bCs/>
            <w:noProof/>
          </w:rPr>
          <w:t>Tablo 4.25: 2024 Yılında Perakende Satış Tarifeleri Hakkında Kurul Kararı Alınan Doğal Gaz Dağıtım Şirketleri</w:t>
        </w:r>
        <w:r w:rsidR="007F3AB0">
          <w:rPr>
            <w:noProof/>
            <w:webHidden/>
          </w:rPr>
          <w:tab/>
        </w:r>
        <w:r w:rsidR="007F3AB0">
          <w:rPr>
            <w:noProof/>
            <w:webHidden/>
          </w:rPr>
          <w:fldChar w:fldCharType="begin"/>
        </w:r>
        <w:r w:rsidR="007F3AB0">
          <w:rPr>
            <w:noProof/>
            <w:webHidden/>
          </w:rPr>
          <w:instrText xml:space="preserve"> PAGEREF _Toc195868833 \h </w:instrText>
        </w:r>
        <w:r w:rsidR="007F3AB0">
          <w:rPr>
            <w:noProof/>
            <w:webHidden/>
          </w:rPr>
        </w:r>
        <w:r w:rsidR="007F3AB0">
          <w:rPr>
            <w:noProof/>
            <w:webHidden/>
          </w:rPr>
          <w:fldChar w:fldCharType="separate"/>
        </w:r>
        <w:r w:rsidR="00AE2496">
          <w:rPr>
            <w:noProof/>
            <w:webHidden/>
          </w:rPr>
          <w:t>102</w:t>
        </w:r>
        <w:r w:rsidR="007F3AB0">
          <w:rPr>
            <w:noProof/>
            <w:webHidden/>
          </w:rPr>
          <w:fldChar w:fldCharType="end"/>
        </w:r>
      </w:hyperlink>
    </w:p>
    <w:p w14:paraId="413D99D6" w14:textId="3222AA1F" w:rsidR="007F3AB0" w:rsidRDefault="0032505C">
      <w:pPr>
        <w:pStyle w:val="ekillerTablosu"/>
        <w:tabs>
          <w:tab w:val="right" w:leader="dot" w:pos="9060"/>
        </w:tabs>
        <w:rPr>
          <w:rFonts w:eastAsiaTheme="minorEastAsia" w:cstheme="minorBidi"/>
          <w:noProof/>
          <w:lang w:eastAsia="tr-TR"/>
        </w:rPr>
      </w:pPr>
      <w:hyperlink w:anchor="_Toc195868834" w:history="1">
        <w:r w:rsidR="007F3AB0" w:rsidRPr="00700639">
          <w:rPr>
            <w:rStyle w:val="Kpr"/>
            <w:b/>
            <w:bCs/>
            <w:noProof/>
          </w:rPr>
          <w:t>Tablo 4.26: 2024 Depolama Bedelleri Üst Sınırları (Yi-ÜFE=2659,60)</w:t>
        </w:r>
        <w:r w:rsidR="007F3AB0">
          <w:rPr>
            <w:noProof/>
            <w:webHidden/>
          </w:rPr>
          <w:tab/>
        </w:r>
        <w:r w:rsidR="007F3AB0">
          <w:rPr>
            <w:noProof/>
            <w:webHidden/>
          </w:rPr>
          <w:fldChar w:fldCharType="begin"/>
        </w:r>
        <w:r w:rsidR="007F3AB0">
          <w:rPr>
            <w:noProof/>
            <w:webHidden/>
          </w:rPr>
          <w:instrText xml:space="preserve"> PAGEREF _Toc195868834 \h </w:instrText>
        </w:r>
        <w:r w:rsidR="007F3AB0">
          <w:rPr>
            <w:noProof/>
            <w:webHidden/>
          </w:rPr>
        </w:r>
        <w:r w:rsidR="007F3AB0">
          <w:rPr>
            <w:noProof/>
            <w:webHidden/>
          </w:rPr>
          <w:fldChar w:fldCharType="separate"/>
        </w:r>
        <w:r w:rsidR="00AE2496">
          <w:rPr>
            <w:noProof/>
            <w:webHidden/>
          </w:rPr>
          <w:t>105</w:t>
        </w:r>
        <w:r w:rsidR="007F3AB0">
          <w:rPr>
            <w:noProof/>
            <w:webHidden/>
          </w:rPr>
          <w:fldChar w:fldCharType="end"/>
        </w:r>
      </w:hyperlink>
    </w:p>
    <w:p w14:paraId="73437890" w14:textId="52A383C4" w:rsidR="007F3AB0" w:rsidRDefault="0032505C">
      <w:pPr>
        <w:pStyle w:val="ekillerTablosu"/>
        <w:tabs>
          <w:tab w:val="right" w:leader="dot" w:pos="9060"/>
        </w:tabs>
        <w:rPr>
          <w:rFonts w:eastAsiaTheme="minorEastAsia" w:cstheme="minorBidi"/>
          <w:noProof/>
          <w:lang w:eastAsia="tr-TR"/>
        </w:rPr>
      </w:pPr>
      <w:hyperlink w:anchor="_Toc195868835" w:history="1">
        <w:r w:rsidR="007F3AB0" w:rsidRPr="00700639">
          <w:rPr>
            <w:rStyle w:val="Kpr"/>
            <w:b/>
            <w:bCs/>
            <w:noProof/>
          </w:rPr>
          <w:t>Tablo 6.1: 2024 Yılı Denetim Kapsamında Protokolcü Kuruluşlar Denetçi Sayıları</w:t>
        </w:r>
        <w:r w:rsidR="007F3AB0">
          <w:rPr>
            <w:noProof/>
            <w:webHidden/>
          </w:rPr>
          <w:tab/>
        </w:r>
        <w:r w:rsidR="007F3AB0">
          <w:rPr>
            <w:noProof/>
            <w:webHidden/>
          </w:rPr>
          <w:fldChar w:fldCharType="begin"/>
        </w:r>
        <w:r w:rsidR="007F3AB0">
          <w:rPr>
            <w:noProof/>
            <w:webHidden/>
          </w:rPr>
          <w:instrText xml:space="preserve"> PAGEREF _Toc195868835 \h </w:instrText>
        </w:r>
        <w:r w:rsidR="007F3AB0">
          <w:rPr>
            <w:noProof/>
            <w:webHidden/>
          </w:rPr>
        </w:r>
        <w:r w:rsidR="007F3AB0">
          <w:rPr>
            <w:noProof/>
            <w:webHidden/>
          </w:rPr>
          <w:fldChar w:fldCharType="separate"/>
        </w:r>
        <w:r w:rsidR="00AE2496">
          <w:rPr>
            <w:noProof/>
            <w:webHidden/>
          </w:rPr>
          <w:t>115</w:t>
        </w:r>
        <w:r w:rsidR="007F3AB0">
          <w:rPr>
            <w:noProof/>
            <w:webHidden/>
          </w:rPr>
          <w:fldChar w:fldCharType="end"/>
        </w:r>
      </w:hyperlink>
    </w:p>
    <w:p w14:paraId="7E7513A3" w14:textId="14E2C872" w:rsidR="007F3AB0" w:rsidRDefault="0032505C">
      <w:pPr>
        <w:pStyle w:val="ekillerTablosu"/>
        <w:tabs>
          <w:tab w:val="right" w:leader="dot" w:pos="9060"/>
        </w:tabs>
        <w:rPr>
          <w:rFonts w:eastAsiaTheme="minorEastAsia" w:cstheme="minorBidi"/>
          <w:noProof/>
          <w:lang w:eastAsia="tr-TR"/>
        </w:rPr>
      </w:pPr>
      <w:hyperlink w:anchor="_Toc195868836" w:history="1">
        <w:r w:rsidR="007F3AB0" w:rsidRPr="00700639">
          <w:rPr>
            <w:rStyle w:val="Kpr"/>
            <w:b/>
            <w:bCs/>
            <w:noProof/>
          </w:rPr>
          <w:t>Tablo 6.2: 2024 ve 2025 Yıllarında Denetim Kapsamında Protokolcü Kuruluşlara Tahsis Edilen Ödenek Tutarı</w:t>
        </w:r>
        <w:r w:rsidR="007F3AB0">
          <w:rPr>
            <w:noProof/>
            <w:webHidden/>
          </w:rPr>
          <w:tab/>
        </w:r>
        <w:r w:rsidR="007F3AB0">
          <w:rPr>
            <w:noProof/>
            <w:webHidden/>
          </w:rPr>
          <w:fldChar w:fldCharType="begin"/>
        </w:r>
        <w:r w:rsidR="007F3AB0">
          <w:rPr>
            <w:noProof/>
            <w:webHidden/>
          </w:rPr>
          <w:instrText xml:space="preserve"> PAGEREF _Toc195868836 \h </w:instrText>
        </w:r>
        <w:r w:rsidR="007F3AB0">
          <w:rPr>
            <w:noProof/>
            <w:webHidden/>
          </w:rPr>
        </w:r>
        <w:r w:rsidR="007F3AB0">
          <w:rPr>
            <w:noProof/>
            <w:webHidden/>
          </w:rPr>
          <w:fldChar w:fldCharType="separate"/>
        </w:r>
        <w:r w:rsidR="00AE2496">
          <w:rPr>
            <w:noProof/>
            <w:webHidden/>
          </w:rPr>
          <w:t>115</w:t>
        </w:r>
        <w:r w:rsidR="007F3AB0">
          <w:rPr>
            <w:noProof/>
            <w:webHidden/>
          </w:rPr>
          <w:fldChar w:fldCharType="end"/>
        </w:r>
      </w:hyperlink>
    </w:p>
    <w:p w14:paraId="6C7F40A2" w14:textId="700B0299" w:rsidR="007F3AB0" w:rsidRDefault="0032505C">
      <w:pPr>
        <w:pStyle w:val="ekillerTablosu"/>
        <w:tabs>
          <w:tab w:val="right" w:leader="dot" w:pos="9060"/>
        </w:tabs>
        <w:rPr>
          <w:rFonts w:eastAsiaTheme="minorEastAsia" w:cstheme="minorBidi"/>
          <w:noProof/>
          <w:lang w:eastAsia="tr-TR"/>
        </w:rPr>
      </w:pPr>
      <w:hyperlink w:anchor="_Toc195868837" w:history="1">
        <w:r w:rsidR="007F3AB0" w:rsidRPr="00700639">
          <w:rPr>
            <w:rStyle w:val="Kpr"/>
            <w:b/>
            <w:bCs/>
            <w:noProof/>
          </w:rPr>
          <w:t>Tablo 6.3: 2022-2024 Yılları Ulusal Marker Saha Cihazı (XP) Analiz Sonuçları Karşılaştırması</w:t>
        </w:r>
        <w:r w:rsidR="007F3AB0">
          <w:rPr>
            <w:noProof/>
            <w:webHidden/>
          </w:rPr>
          <w:tab/>
        </w:r>
        <w:r w:rsidR="007F3AB0">
          <w:rPr>
            <w:noProof/>
            <w:webHidden/>
          </w:rPr>
          <w:fldChar w:fldCharType="begin"/>
        </w:r>
        <w:r w:rsidR="007F3AB0">
          <w:rPr>
            <w:noProof/>
            <w:webHidden/>
          </w:rPr>
          <w:instrText xml:space="preserve"> PAGEREF _Toc195868837 \h </w:instrText>
        </w:r>
        <w:r w:rsidR="007F3AB0">
          <w:rPr>
            <w:noProof/>
            <w:webHidden/>
          </w:rPr>
        </w:r>
        <w:r w:rsidR="007F3AB0">
          <w:rPr>
            <w:noProof/>
            <w:webHidden/>
          </w:rPr>
          <w:fldChar w:fldCharType="separate"/>
        </w:r>
        <w:r w:rsidR="00AE2496">
          <w:rPr>
            <w:noProof/>
            <w:webHidden/>
          </w:rPr>
          <w:t>116</w:t>
        </w:r>
        <w:r w:rsidR="007F3AB0">
          <w:rPr>
            <w:noProof/>
            <w:webHidden/>
          </w:rPr>
          <w:fldChar w:fldCharType="end"/>
        </w:r>
      </w:hyperlink>
    </w:p>
    <w:p w14:paraId="68DF80C2" w14:textId="5ED311D3" w:rsidR="007F3AB0" w:rsidRDefault="0032505C">
      <w:pPr>
        <w:pStyle w:val="ekillerTablosu"/>
        <w:tabs>
          <w:tab w:val="right" w:leader="dot" w:pos="9060"/>
        </w:tabs>
        <w:rPr>
          <w:rFonts w:eastAsiaTheme="minorEastAsia" w:cstheme="minorBidi"/>
          <w:noProof/>
          <w:lang w:eastAsia="tr-TR"/>
        </w:rPr>
      </w:pPr>
      <w:hyperlink w:anchor="_Toc195868838" w:history="1">
        <w:r w:rsidR="007F3AB0" w:rsidRPr="00700639">
          <w:rPr>
            <w:rStyle w:val="Kpr"/>
            <w:b/>
            <w:bCs/>
            <w:noProof/>
          </w:rPr>
          <w:t>Tablo 6.4: Petrol Piyasasında 2024 Yılında Uygulanan İdari Para Cezalarının Lisans Tipine Göre Dağılımı</w:t>
        </w:r>
        <w:r w:rsidR="007F3AB0">
          <w:rPr>
            <w:noProof/>
            <w:webHidden/>
          </w:rPr>
          <w:tab/>
        </w:r>
        <w:r w:rsidR="007F3AB0">
          <w:rPr>
            <w:noProof/>
            <w:webHidden/>
          </w:rPr>
          <w:fldChar w:fldCharType="begin"/>
        </w:r>
        <w:r w:rsidR="007F3AB0">
          <w:rPr>
            <w:noProof/>
            <w:webHidden/>
          </w:rPr>
          <w:instrText xml:space="preserve"> PAGEREF _Toc195868838 \h </w:instrText>
        </w:r>
        <w:r w:rsidR="007F3AB0">
          <w:rPr>
            <w:noProof/>
            <w:webHidden/>
          </w:rPr>
        </w:r>
        <w:r w:rsidR="007F3AB0">
          <w:rPr>
            <w:noProof/>
            <w:webHidden/>
          </w:rPr>
          <w:fldChar w:fldCharType="separate"/>
        </w:r>
        <w:r w:rsidR="00AE2496">
          <w:rPr>
            <w:noProof/>
            <w:webHidden/>
          </w:rPr>
          <w:t>116</w:t>
        </w:r>
        <w:r w:rsidR="007F3AB0">
          <w:rPr>
            <w:noProof/>
            <w:webHidden/>
          </w:rPr>
          <w:fldChar w:fldCharType="end"/>
        </w:r>
      </w:hyperlink>
    </w:p>
    <w:p w14:paraId="615B80B2" w14:textId="0AC9DF89" w:rsidR="007F3AB0" w:rsidRDefault="0032505C">
      <w:pPr>
        <w:pStyle w:val="ekillerTablosu"/>
        <w:tabs>
          <w:tab w:val="right" w:leader="dot" w:pos="9060"/>
        </w:tabs>
        <w:rPr>
          <w:rFonts w:eastAsiaTheme="minorEastAsia" w:cstheme="minorBidi"/>
          <w:noProof/>
          <w:lang w:eastAsia="tr-TR"/>
        </w:rPr>
      </w:pPr>
      <w:hyperlink w:anchor="_Toc195868839" w:history="1">
        <w:r w:rsidR="007F3AB0" w:rsidRPr="00700639">
          <w:rPr>
            <w:rStyle w:val="Kpr"/>
            <w:b/>
            <w:bCs/>
            <w:noProof/>
          </w:rPr>
          <w:t>Tablo 6.5: Petrol Piyasasında 2023-2024 Yıllarında Uygulanan İdari Para Cezalarının Lisans Tipine Göre Dağılımı</w:t>
        </w:r>
        <w:r w:rsidR="007F3AB0">
          <w:rPr>
            <w:noProof/>
            <w:webHidden/>
          </w:rPr>
          <w:tab/>
        </w:r>
        <w:r w:rsidR="007F3AB0">
          <w:rPr>
            <w:noProof/>
            <w:webHidden/>
          </w:rPr>
          <w:fldChar w:fldCharType="begin"/>
        </w:r>
        <w:r w:rsidR="007F3AB0">
          <w:rPr>
            <w:noProof/>
            <w:webHidden/>
          </w:rPr>
          <w:instrText xml:space="preserve"> PAGEREF _Toc195868839 \h </w:instrText>
        </w:r>
        <w:r w:rsidR="007F3AB0">
          <w:rPr>
            <w:noProof/>
            <w:webHidden/>
          </w:rPr>
        </w:r>
        <w:r w:rsidR="007F3AB0">
          <w:rPr>
            <w:noProof/>
            <w:webHidden/>
          </w:rPr>
          <w:fldChar w:fldCharType="separate"/>
        </w:r>
        <w:r w:rsidR="00AE2496">
          <w:rPr>
            <w:noProof/>
            <w:webHidden/>
          </w:rPr>
          <w:t>116</w:t>
        </w:r>
        <w:r w:rsidR="007F3AB0">
          <w:rPr>
            <w:noProof/>
            <w:webHidden/>
          </w:rPr>
          <w:fldChar w:fldCharType="end"/>
        </w:r>
      </w:hyperlink>
    </w:p>
    <w:p w14:paraId="0E650DED" w14:textId="4783CEC4" w:rsidR="007F3AB0" w:rsidRDefault="0032505C">
      <w:pPr>
        <w:pStyle w:val="ekillerTablosu"/>
        <w:tabs>
          <w:tab w:val="right" w:leader="dot" w:pos="9060"/>
        </w:tabs>
        <w:rPr>
          <w:rFonts w:eastAsiaTheme="minorEastAsia" w:cstheme="minorBidi"/>
          <w:noProof/>
          <w:lang w:eastAsia="tr-TR"/>
        </w:rPr>
      </w:pPr>
      <w:hyperlink w:anchor="_Toc195868840" w:history="1">
        <w:r w:rsidR="007F3AB0" w:rsidRPr="00700639">
          <w:rPr>
            <w:rStyle w:val="Kpr"/>
            <w:b/>
            <w:bCs/>
            <w:noProof/>
          </w:rPr>
          <w:t>Tablo 6.6: Petrol Piyasasında 2024 Yılında Bayilere Uygulanan İdari Para Cezalarının İdari Para Cezasına Konu Fiillere Göre Dağılımı</w:t>
        </w:r>
        <w:r w:rsidR="007F3AB0">
          <w:rPr>
            <w:noProof/>
            <w:webHidden/>
          </w:rPr>
          <w:tab/>
        </w:r>
        <w:r w:rsidR="007F3AB0">
          <w:rPr>
            <w:noProof/>
            <w:webHidden/>
          </w:rPr>
          <w:fldChar w:fldCharType="begin"/>
        </w:r>
        <w:r w:rsidR="007F3AB0">
          <w:rPr>
            <w:noProof/>
            <w:webHidden/>
          </w:rPr>
          <w:instrText xml:space="preserve"> PAGEREF _Toc195868840 \h </w:instrText>
        </w:r>
        <w:r w:rsidR="007F3AB0">
          <w:rPr>
            <w:noProof/>
            <w:webHidden/>
          </w:rPr>
        </w:r>
        <w:r w:rsidR="007F3AB0">
          <w:rPr>
            <w:noProof/>
            <w:webHidden/>
          </w:rPr>
          <w:fldChar w:fldCharType="separate"/>
        </w:r>
        <w:r w:rsidR="00AE2496">
          <w:rPr>
            <w:noProof/>
            <w:webHidden/>
          </w:rPr>
          <w:t>117</w:t>
        </w:r>
        <w:r w:rsidR="007F3AB0">
          <w:rPr>
            <w:noProof/>
            <w:webHidden/>
          </w:rPr>
          <w:fldChar w:fldCharType="end"/>
        </w:r>
      </w:hyperlink>
    </w:p>
    <w:p w14:paraId="55D3E7BB" w14:textId="664860D6" w:rsidR="007F3AB0" w:rsidRDefault="0032505C">
      <w:pPr>
        <w:pStyle w:val="ekillerTablosu"/>
        <w:tabs>
          <w:tab w:val="right" w:leader="dot" w:pos="9060"/>
        </w:tabs>
        <w:rPr>
          <w:rFonts w:eastAsiaTheme="minorEastAsia" w:cstheme="minorBidi"/>
          <w:noProof/>
          <w:lang w:eastAsia="tr-TR"/>
        </w:rPr>
      </w:pPr>
      <w:hyperlink w:anchor="_Toc195868841" w:history="1">
        <w:r w:rsidR="007F3AB0" w:rsidRPr="00700639">
          <w:rPr>
            <w:rStyle w:val="Kpr"/>
            <w:b/>
            <w:bCs/>
            <w:noProof/>
          </w:rPr>
          <w:t>Tablo 6.7: 5015 sayılı Kanunun 20’nci maddesinin ikinci fıkrasının (g) bendi çerçevesinde 2024 yılına ilişkin yapılan işlemler</w:t>
        </w:r>
        <w:r w:rsidR="007F3AB0">
          <w:rPr>
            <w:noProof/>
            <w:webHidden/>
          </w:rPr>
          <w:tab/>
        </w:r>
        <w:r w:rsidR="007F3AB0">
          <w:rPr>
            <w:noProof/>
            <w:webHidden/>
          </w:rPr>
          <w:fldChar w:fldCharType="begin"/>
        </w:r>
        <w:r w:rsidR="007F3AB0">
          <w:rPr>
            <w:noProof/>
            <w:webHidden/>
          </w:rPr>
          <w:instrText xml:space="preserve"> PAGEREF _Toc195868841 \h </w:instrText>
        </w:r>
        <w:r w:rsidR="007F3AB0">
          <w:rPr>
            <w:noProof/>
            <w:webHidden/>
          </w:rPr>
        </w:r>
        <w:r w:rsidR="007F3AB0">
          <w:rPr>
            <w:noProof/>
            <w:webHidden/>
          </w:rPr>
          <w:fldChar w:fldCharType="separate"/>
        </w:r>
        <w:r w:rsidR="00AE2496">
          <w:rPr>
            <w:noProof/>
            <w:webHidden/>
          </w:rPr>
          <w:t>118</w:t>
        </w:r>
        <w:r w:rsidR="007F3AB0">
          <w:rPr>
            <w:noProof/>
            <w:webHidden/>
          </w:rPr>
          <w:fldChar w:fldCharType="end"/>
        </w:r>
      </w:hyperlink>
    </w:p>
    <w:p w14:paraId="3D6DD856" w14:textId="07C6EE3B" w:rsidR="007F3AB0" w:rsidRDefault="0032505C">
      <w:pPr>
        <w:pStyle w:val="ekillerTablosu"/>
        <w:tabs>
          <w:tab w:val="right" w:leader="dot" w:pos="9060"/>
        </w:tabs>
        <w:rPr>
          <w:rFonts w:eastAsiaTheme="minorEastAsia" w:cstheme="minorBidi"/>
          <w:noProof/>
          <w:lang w:eastAsia="tr-TR"/>
        </w:rPr>
      </w:pPr>
      <w:hyperlink w:anchor="_Toc195868842" w:history="1">
        <w:r w:rsidR="007F3AB0" w:rsidRPr="00700639">
          <w:rPr>
            <w:rStyle w:val="Kpr"/>
            <w:b/>
            <w:bCs/>
            <w:noProof/>
          </w:rPr>
          <w:t>Tablo 6.8: 5015 sayılı Kanunun 20’nci maddesinin ikinci fıkrası (h) bendi kapsamında 2024 yılına ilişkin yapılan işlemler</w:t>
        </w:r>
        <w:r w:rsidR="007F3AB0">
          <w:rPr>
            <w:noProof/>
            <w:webHidden/>
          </w:rPr>
          <w:tab/>
        </w:r>
        <w:r w:rsidR="007F3AB0">
          <w:rPr>
            <w:noProof/>
            <w:webHidden/>
          </w:rPr>
          <w:fldChar w:fldCharType="begin"/>
        </w:r>
        <w:r w:rsidR="007F3AB0">
          <w:rPr>
            <w:noProof/>
            <w:webHidden/>
          </w:rPr>
          <w:instrText xml:space="preserve"> PAGEREF _Toc195868842 \h </w:instrText>
        </w:r>
        <w:r w:rsidR="007F3AB0">
          <w:rPr>
            <w:noProof/>
            <w:webHidden/>
          </w:rPr>
        </w:r>
        <w:r w:rsidR="007F3AB0">
          <w:rPr>
            <w:noProof/>
            <w:webHidden/>
          </w:rPr>
          <w:fldChar w:fldCharType="separate"/>
        </w:r>
        <w:r w:rsidR="00AE2496">
          <w:rPr>
            <w:noProof/>
            <w:webHidden/>
          </w:rPr>
          <w:t>118</w:t>
        </w:r>
        <w:r w:rsidR="007F3AB0">
          <w:rPr>
            <w:noProof/>
            <w:webHidden/>
          </w:rPr>
          <w:fldChar w:fldCharType="end"/>
        </w:r>
      </w:hyperlink>
    </w:p>
    <w:p w14:paraId="3A112832" w14:textId="2D6BEA13" w:rsidR="007F3AB0" w:rsidRDefault="0032505C">
      <w:pPr>
        <w:pStyle w:val="ekillerTablosu"/>
        <w:tabs>
          <w:tab w:val="right" w:leader="dot" w:pos="9060"/>
        </w:tabs>
        <w:rPr>
          <w:rFonts w:eastAsiaTheme="minorEastAsia" w:cstheme="minorBidi"/>
          <w:noProof/>
          <w:lang w:eastAsia="tr-TR"/>
        </w:rPr>
      </w:pPr>
      <w:hyperlink w:anchor="_Toc195868843" w:history="1">
        <w:r w:rsidR="007F3AB0" w:rsidRPr="00700639">
          <w:rPr>
            <w:rStyle w:val="Kpr"/>
            <w:b/>
            <w:bCs/>
            <w:noProof/>
          </w:rPr>
          <w:t>Tablo 6.9: 531 Sıra Nolu V.U.K Genel Tebliği Uygulaması Kapsamında uygulanan Teminat Yükümlülüğüne Dair İl Bazında Veriler</w:t>
        </w:r>
        <w:r w:rsidR="007F3AB0">
          <w:rPr>
            <w:noProof/>
            <w:webHidden/>
          </w:rPr>
          <w:tab/>
        </w:r>
        <w:r w:rsidR="007F3AB0">
          <w:rPr>
            <w:noProof/>
            <w:webHidden/>
          </w:rPr>
          <w:fldChar w:fldCharType="begin"/>
        </w:r>
        <w:r w:rsidR="007F3AB0">
          <w:rPr>
            <w:noProof/>
            <w:webHidden/>
          </w:rPr>
          <w:instrText xml:space="preserve"> PAGEREF _Toc195868843 \h </w:instrText>
        </w:r>
        <w:r w:rsidR="007F3AB0">
          <w:rPr>
            <w:noProof/>
            <w:webHidden/>
          </w:rPr>
        </w:r>
        <w:r w:rsidR="007F3AB0">
          <w:rPr>
            <w:noProof/>
            <w:webHidden/>
          </w:rPr>
          <w:fldChar w:fldCharType="separate"/>
        </w:r>
        <w:r w:rsidR="00AE2496">
          <w:rPr>
            <w:noProof/>
            <w:webHidden/>
          </w:rPr>
          <w:t>118</w:t>
        </w:r>
        <w:r w:rsidR="007F3AB0">
          <w:rPr>
            <w:noProof/>
            <w:webHidden/>
          </w:rPr>
          <w:fldChar w:fldCharType="end"/>
        </w:r>
      </w:hyperlink>
    </w:p>
    <w:p w14:paraId="3F3FCE8C" w14:textId="2B871F95" w:rsidR="007F3AB0" w:rsidRDefault="0032505C">
      <w:pPr>
        <w:pStyle w:val="ekillerTablosu"/>
        <w:tabs>
          <w:tab w:val="right" w:leader="dot" w:pos="9060"/>
        </w:tabs>
        <w:rPr>
          <w:rFonts w:eastAsiaTheme="minorEastAsia" w:cstheme="minorBidi"/>
          <w:noProof/>
          <w:lang w:eastAsia="tr-TR"/>
        </w:rPr>
      </w:pPr>
      <w:hyperlink w:anchor="_Toc195868844" w:history="1">
        <w:r w:rsidR="007F3AB0" w:rsidRPr="00700639">
          <w:rPr>
            <w:rStyle w:val="Kpr"/>
            <w:b/>
            <w:bCs/>
            <w:noProof/>
          </w:rPr>
          <w:t>Tablo 6.10: LPG Piyasasında 2024 Yılında Uygulanan İdari Para Cezalarının Lisans Tipine Göre Dağılımı</w:t>
        </w:r>
        <w:r w:rsidR="007F3AB0">
          <w:rPr>
            <w:noProof/>
            <w:webHidden/>
          </w:rPr>
          <w:tab/>
        </w:r>
        <w:r w:rsidR="007F3AB0">
          <w:rPr>
            <w:noProof/>
            <w:webHidden/>
          </w:rPr>
          <w:fldChar w:fldCharType="begin"/>
        </w:r>
        <w:r w:rsidR="007F3AB0">
          <w:rPr>
            <w:noProof/>
            <w:webHidden/>
          </w:rPr>
          <w:instrText xml:space="preserve"> PAGEREF _Toc195868844 \h </w:instrText>
        </w:r>
        <w:r w:rsidR="007F3AB0">
          <w:rPr>
            <w:noProof/>
            <w:webHidden/>
          </w:rPr>
        </w:r>
        <w:r w:rsidR="007F3AB0">
          <w:rPr>
            <w:noProof/>
            <w:webHidden/>
          </w:rPr>
          <w:fldChar w:fldCharType="separate"/>
        </w:r>
        <w:r w:rsidR="00AE2496">
          <w:rPr>
            <w:noProof/>
            <w:webHidden/>
          </w:rPr>
          <w:t>121</w:t>
        </w:r>
        <w:r w:rsidR="007F3AB0">
          <w:rPr>
            <w:noProof/>
            <w:webHidden/>
          </w:rPr>
          <w:fldChar w:fldCharType="end"/>
        </w:r>
      </w:hyperlink>
    </w:p>
    <w:p w14:paraId="0DE3962C" w14:textId="3D4BC6AA" w:rsidR="007F3AB0" w:rsidRDefault="0032505C">
      <w:pPr>
        <w:pStyle w:val="ekillerTablosu"/>
        <w:tabs>
          <w:tab w:val="right" w:leader="dot" w:pos="9060"/>
        </w:tabs>
        <w:rPr>
          <w:rFonts w:eastAsiaTheme="minorEastAsia" w:cstheme="minorBidi"/>
          <w:noProof/>
          <w:lang w:eastAsia="tr-TR"/>
        </w:rPr>
      </w:pPr>
      <w:hyperlink w:anchor="_Toc195868845" w:history="1">
        <w:r w:rsidR="007F3AB0" w:rsidRPr="00700639">
          <w:rPr>
            <w:rStyle w:val="Kpr"/>
            <w:b/>
            <w:bCs/>
            <w:noProof/>
          </w:rPr>
          <w:t>Tablo 6.11: LPG Piyasasında 2023-2024 Yıllarında Uygulanan İdari Para Cezalarının Lisans Tipine Göre Dağılımı</w:t>
        </w:r>
        <w:r w:rsidR="007F3AB0">
          <w:rPr>
            <w:noProof/>
            <w:webHidden/>
          </w:rPr>
          <w:tab/>
        </w:r>
        <w:r w:rsidR="007F3AB0">
          <w:rPr>
            <w:noProof/>
            <w:webHidden/>
          </w:rPr>
          <w:fldChar w:fldCharType="begin"/>
        </w:r>
        <w:r w:rsidR="007F3AB0">
          <w:rPr>
            <w:noProof/>
            <w:webHidden/>
          </w:rPr>
          <w:instrText xml:space="preserve"> PAGEREF _Toc195868845 \h </w:instrText>
        </w:r>
        <w:r w:rsidR="007F3AB0">
          <w:rPr>
            <w:noProof/>
            <w:webHidden/>
          </w:rPr>
        </w:r>
        <w:r w:rsidR="007F3AB0">
          <w:rPr>
            <w:noProof/>
            <w:webHidden/>
          </w:rPr>
          <w:fldChar w:fldCharType="separate"/>
        </w:r>
        <w:r w:rsidR="00AE2496">
          <w:rPr>
            <w:noProof/>
            <w:webHidden/>
          </w:rPr>
          <w:t>121</w:t>
        </w:r>
        <w:r w:rsidR="007F3AB0">
          <w:rPr>
            <w:noProof/>
            <w:webHidden/>
          </w:rPr>
          <w:fldChar w:fldCharType="end"/>
        </w:r>
      </w:hyperlink>
    </w:p>
    <w:p w14:paraId="6F04CA22" w14:textId="75FCC602" w:rsidR="007F3AB0" w:rsidRDefault="0032505C">
      <w:pPr>
        <w:pStyle w:val="ekillerTablosu"/>
        <w:tabs>
          <w:tab w:val="right" w:leader="dot" w:pos="9060"/>
        </w:tabs>
        <w:rPr>
          <w:rFonts w:eastAsiaTheme="minorEastAsia" w:cstheme="minorBidi"/>
          <w:noProof/>
          <w:lang w:eastAsia="tr-TR"/>
        </w:rPr>
      </w:pPr>
      <w:hyperlink w:anchor="_Toc195868846" w:history="1">
        <w:r w:rsidR="007F3AB0" w:rsidRPr="00700639">
          <w:rPr>
            <w:rStyle w:val="Kpr"/>
            <w:b/>
            <w:bCs/>
            <w:noProof/>
          </w:rPr>
          <w:t>Tablo 6.12: LPG Piyasasında 2024 Yılında Uygulanan İdari Para Cezalarının İdari Para Cezasına Konu Fiillere Göre Dağılımı</w:t>
        </w:r>
        <w:r w:rsidR="007F3AB0">
          <w:rPr>
            <w:noProof/>
            <w:webHidden/>
          </w:rPr>
          <w:tab/>
        </w:r>
        <w:r w:rsidR="007F3AB0">
          <w:rPr>
            <w:noProof/>
            <w:webHidden/>
          </w:rPr>
          <w:fldChar w:fldCharType="begin"/>
        </w:r>
        <w:r w:rsidR="007F3AB0">
          <w:rPr>
            <w:noProof/>
            <w:webHidden/>
          </w:rPr>
          <w:instrText xml:space="preserve"> PAGEREF _Toc195868846 \h </w:instrText>
        </w:r>
        <w:r w:rsidR="007F3AB0">
          <w:rPr>
            <w:noProof/>
            <w:webHidden/>
          </w:rPr>
        </w:r>
        <w:r w:rsidR="007F3AB0">
          <w:rPr>
            <w:noProof/>
            <w:webHidden/>
          </w:rPr>
          <w:fldChar w:fldCharType="separate"/>
        </w:r>
        <w:r w:rsidR="00AE2496">
          <w:rPr>
            <w:noProof/>
            <w:webHidden/>
          </w:rPr>
          <w:t>121</w:t>
        </w:r>
        <w:r w:rsidR="007F3AB0">
          <w:rPr>
            <w:noProof/>
            <w:webHidden/>
          </w:rPr>
          <w:fldChar w:fldCharType="end"/>
        </w:r>
      </w:hyperlink>
    </w:p>
    <w:p w14:paraId="25CB6461" w14:textId="6123EE8A" w:rsidR="007F3AB0" w:rsidRDefault="0032505C">
      <w:pPr>
        <w:pStyle w:val="ekillerTablosu"/>
        <w:tabs>
          <w:tab w:val="right" w:leader="dot" w:pos="9060"/>
        </w:tabs>
        <w:rPr>
          <w:rFonts w:eastAsiaTheme="minorEastAsia" w:cstheme="minorBidi"/>
          <w:noProof/>
          <w:lang w:eastAsia="tr-TR"/>
        </w:rPr>
      </w:pPr>
      <w:hyperlink w:anchor="_Toc195868847" w:history="1">
        <w:r w:rsidR="007F3AB0" w:rsidRPr="00700639">
          <w:rPr>
            <w:rStyle w:val="Kpr"/>
            <w:b/>
            <w:noProof/>
          </w:rPr>
          <w:t>Şekil 7.1: 2024 Yılında Taşınmaz Teminine İlişkin Alınan Kurul Kararlarının İşlem Bazında Dağılımı</w:t>
        </w:r>
        <w:r w:rsidR="007F3AB0">
          <w:rPr>
            <w:noProof/>
            <w:webHidden/>
          </w:rPr>
          <w:tab/>
        </w:r>
        <w:r w:rsidR="007F3AB0">
          <w:rPr>
            <w:noProof/>
            <w:webHidden/>
          </w:rPr>
          <w:fldChar w:fldCharType="begin"/>
        </w:r>
        <w:r w:rsidR="007F3AB0">
          <w:rPr>
            <w:noProof/>
            <w:webHidden/>
          </w:rPr>
          <w:instrText xml:space="preserve"> PAGEREF _Toc195868847 \h </w:instrText>
        </w:r>
        <w:r w:rsidR="007F3AB0">
          <w:rPr>
            <w:noProof/>
            <w:webHidden/>
          </w:rPr>
        </w:r>
        <w:r w:rsidR="007F3AB0">
          <w:rPr>
            <w:noProof/>
            <w:webHidden/>
          </w:rPr>
          <w:fldChar w:fldCharType="separate"/>
        </w:r>
        <w:r w:rsidR="00AE2496">
          <w:rPr>
            <w:noProof/>
            <w:webHidden/>
          </w:rPr>
          <w:t>124</w:t>
        </w:r>
        <w:r w:rsidR="007F3AB0">
          <w:rPr>
            <w:noProof/>
            <w:webHidden/>
          </w:rPr>
          <w:fldChar w:fldCharType="end"/>
        </w:r>
      </w:hyperlink>
    </w:p>
    <w:p w14:paraId="06D6919E" w14:textId="4E7E4951" w:rsidR="007F3AB0" w:rsidRDefault="0032505C">
      <w:pPr>
        <w:pStyle w:val="ekillerTablosu"/>
        <w:tabs>
          <w:tab w:val="right" w:leader="dot" w:pos="9060"/>
        </w:tabs>
        <w:rPr>
          <w:rFonts w:eastAsiaTheme="minorEastAsia" w:cstheme="minorBidi"/>
          <w:noProof/>
          <w:lang w:eastAsia="tr-TR"/>
        </w:rPr>
      </w:pPr>
      <w:hyperlink w:anchor="_Toc195868848" w:history="1">
        <w:r w:rsidR="007F3AB0" w:rsidRPr="00700639">
          <w:rPr>
            <w:rStyle w:val="Kpr"/>
            <w:b/>
            <w:bCs/>
            <w:noProof/>
          </w:rPr>
          <w:t>Şekil 7.2: 2024 Yılında Taşınmaz Teminine İlişkin Alınan Kurul Kararlarının Sektörel Dağılımı</w:t>
        </w:r>
        <w:r w:rsidR="007F3AB0">
          <w:rPr>
            <w:noProof/>
            <w:webHidden/>
          </w:rPr>
          <w:tab/>
        </w:r>
        <w:r w:rsidR="007F3AB0">
          <w:rPr>
            <w:noProof/>
            <w:webHidden/>
          </w:rPr>
          <w:fldChar w:fldCharType="begin"/>
        </w:r>
        <w:r w:rsidR="007F3AB0">
          <w:rPr>
            <w:noProof/>
            <w:webHidden/>
          </w:rPr>
          <w:instrText xml:space="preserve"> PAGEREF _Toc195868848 \h </w:instrText>
        </w:r>
        <w:r w:rsidR="007F3AB0">
          <w:rPr>
            <w:noProof/>
            <w:webHidden/>
          </w:rPr>
        </w:r>
        <w:r w:rsidR="007F3AB0">
          <w:rPr>
            <w:noProof/>
            <w:webHidden/>
          </w:rPr>
          <w:fldChar w:fldCharType="separate"/>
        </w:r>
        <w:r w:rsidR="00AE2496">
          <w:rPr>
            <w:noProof/>
            <w:webHidden/>
          </w:rPr>
          <w:t>124</w:t>
        </w:r>
        <w:r w:rsidR="007F3AB0">
          <w:rPr>
            <w:noProof/>
            <w:webHidden/>
          </w:rPr>
          <w:fldChar w:fldCharType="end"/>
        </w:r>
      </w:hyperlink>
    </w:p>
    <w:p w14:paraId="709D0C99" w14:textId="7F8E1C4C" w:rsidR="007F3AB0" w:rsidRDefault="0032505C">
      <w:pPr>
        <w:pStyle w:val="ekillerTablosu"/>
        <w:tabs>
          <w:tab w:val="right" w:leader="dot" w:pos="9060"/>
        </w:tabs>
        <w:rPr>
          <w:rFonts w:eastAsiaTheme="minorEastAsia" w:cstheme="minorBidi"/>
          <w:noProof/>
          <w:lang w:eastAsia="tr-TR"/>
        </w:rPr>
      </w:pPr>
      <w:hyperlink w:anchor="_Toc195868849" w:history="1">
        <w:r w:rsidR="007F3AB0" w:rsidRPr="00700639">
          <w:rPr>
            <w:rStyle w:val="Kpr"/>
            <w:b/>
            <w:noProof/>
          </w:rPr>
          <w:t>Tablo 8.1: 2024 Yılı Sonu İtibariyle Kurumumuzun Taraf Olduğu Toplam Dava Sayısı</w:t>
        </w:r>
        <w:r w:rsidR="007F3AB0">
          <w:rPr>
            <w:noProof/>
            <w:webHidden/>
          </w:rPr>
          <w:tab/>
        </w:r>
        <w:r w:rsidR="007F3AB0">
          <w:rPr>
            <w:noProof/>
            <w:webHidden/>
          </w:rPr>
          <w:fldChar w:fldCharType="begin"/>
        </w:r>
        <w:r w:rsidR="007F3AB0">
          <w:rPr>
            <w:noProof/>
            <w:webHidden/>
          </w:rPr>
          <w:instrText xml:space="preserve"> PAGEREF _Toc195868849 \h </w:instrText>
        </w:r>
        <w:r w:rsidR="007F3AB0">
          <w:rPr>
            <w:noProof/>
            <w:webHidden/>
          </w:rPr>
        </w:r>
        <w:r w:rsidR="007F3AB0">
          <w:rPr>
            <w:noProof/>
            <w:webHidden/>
          </w:rPr>
          <w:fldChar w:fldCharType="separate"/>
        </w:r>
        <w:r w:rsidR="00AE2496">
          <w:rPr>
            <w:noProof/>
            <w:webHidden/>
          </w:rPr>
          <w:t>126</w:t>
        </w:r>
        <w:r w:rsidR="007F3AB0">
          <w:rPr>
            <w:noProof/>
            <w:webHidden/>
          </w:rPr>
          <w:fldChar w:fldCharType="end"/>
        </w:r>
      </w:hyperlink>
    </w:p>
    <w:p w14:paraId="53F93E3F" w14:textId="08F9994B" w:rsidR="007F3AB0" w:rsidRDefault="0032505C">
      <w:pPr>
        <w:pStyle w:val="ekillerTablosu"/>
        <w:tabs>
          <w:tab w:val="right" w:leader="dot" w:pos="9060"/>
        </w:tabs>
        <w:rPr>
          <w:rFonts w:eastAsiaTheme="minorEastAsia" w:cstheme="minorBidi"/>
          <w:noProof/>
          <w:lang w:eastAsia="tr-TR"/>
        </w:rPr>
      </w:pPr>
      <w:hyperlink w:anchor="_Toc195868850" w:history="1">
        <w:r w:rsidR="007F3AB0" w:rsidRPr="00700639">
          <w:rPr>
            <w:rStyle w:val="Kpr"/>
            <w:b/>
            <w:bCs/>
            <w:noProof/>
          </w:rPr>
          <w:t>Tablo 8.2: 2024 Yılı Sonu İtibariyle Kurumumuzun Taraf Olduğu Davaların Piyasalara Dağılımı</w:t>
        </w:r>
        <w:r w:rsidR="007F3AB0">
          <w:rPr>
            <w:noProof/>
            <w:webHidden/>
          </w:rPr>
          <w:tab/>
        </w:r>
        <w:r w:rsidR="007F3AB0">
          <w:rPr>
            <w:noProof/>
            <w:webHidden/>
          </w:rPr>
          <w:fldChar w:fldCharType="begin"/>
        </w:r>
        <w:r w:rsidR="007F3AB0">
          <w:rPr>
            <w:noProof/>
            <w:webHidden/>
          </w:rPr>
          <w:instrText xml:space="preserve"> PAGEREF _Toc195868850 \h </w:instrText>
        </w:r>
        <w:r w:rsidR="007F3AB0">
          <w:rPr>
            <w:noProof/>
            <w:webHidden/>
          </w:rPr>
        </w:r>
        <w:r w:rsidR="007F3AB0">
          <w:rPr>
            <w:noProof/>
            <w:webHidden/>
          </w:rPr>
          <w:fldChar w:fldCharType="separate"/>
        </w:r>
        <w:r w:rsidR="00AE2496">
          <w:rPr>
            <w:noProof/>
            <w:webHidden/>
          </w:rPr>
          <w:t>126</w:t>
        </w:r>
        <w:r w:rsidR="007F3AB0">
          <w:rPr>
            <w:noProof/>
            <w:webHidden/>
          </w:rPr>
          <w:fldChar w:fldCharType="end"/>
        </w:r>
      </w:hyperlink>
    </w:p>
    <w:p w14:paraId="1BD5C9AF" w14:textId="79B0B8A4" w:rsidR="007F3AB0" w:rsidRDefault="0032505C">
      <w:pPr>
        <w:pStyle w:val="ekillerTablosu"/>
        <w:tabs>
          <w:tab w:val="right" w:leader="dot" w:pos="9060"/>
        </w:tabs>
        <w:rPr>
          <w:rFonts w:eastAsiaTheme="minorEastAsia" w:cstheme="minorBidi"/>
          <w:noProof/>
          <w:lang w:eastAsia="tr-TR"/>
        </w:rPr>
      </w:pPr>
      <w:hyperlink w:anchor="_Toc195868851" w:history="1">
        <w:r w:rsidR="007F3AB0" w:rsidRPr="00700639">
          <w:rPr>
            <w:rStyle w:val="Kpr"/>
            <w:b/>
            <w:noProof/>
          </w:rPr>
          <w:t>Tablo 8.3: 2024 Yılında Kurumumuzun Taraf Olduğu Davaların Dağılımı</w:t>
        </w:r>
        <w:r w:rsidR="007F3AB0">
          <w:rPr>
            <w:noProof/>
            <w:webHidden/>
          </w:rPr>
          <w:tab/>
        </w:r>
        <w:r w:rsidR="007F3AB0">
          <w:rPr>
            <w:noProof/>
            <w:webHidden/>
          </w:rPr>
          <w:fldChar w:fldCharType="begin"/>
        </w:r>
        <w:r w:rsidR="007F3AB0">
          <w:rPr>
            <w:noProof/>
            <w:webHidden/>
          </w:rPr>
          <w:instrText xml:space="preserve"> PAGEREF _Toc195868851 \h </w:instrText>
        </w:r>
        <w:r w:rsidR="007F3AB0">
          <w:rPr>
            <w:noProof/>
            <w:webHidden/>
          </w:rPr>
        </w:r>
        <w:r w:rsidR="007F3AB0">
          <w:rPr>
            <w:noProof/>
            <w:webHidden/>
          </w:rPr>
          <w:fldChar w:fldCharType="separate"/>
        </w:r>
        <w:r w:rsidR="00AE2496">
          <w:rPr>
            <w:noProof/>
            <w:webHidden/>
          </w:rPr>
          <w:t>126</w:t>
        </w:r>
        <w:r w:rsidR="007F3AB0">
          <w:rPr>
            <w:noProof/>
            <w:webHidden/>
          </w:rPr>
          <w:fldChar w:fldCharType="end"/>
        </w:r>
      </w:hyperlink>
    </w:p>
    <w:p w14:paraId="73A70D65" w14:textId="58F9356E" w:rsidR="007F3AB0" w:rsidRDefault="0032505C">
      <w:pPr>
        <w:pStyle w:val="ekillerTablosu"/>
        <w:tabs>
          <w:tab w:val="right" w:leader="dot" w:pos="9060"/>
        </w:tabs>
        <w:rPr>
          <w:rFonts w:eastAsiaTheme="minorEastAsia" w:cstheme="minorBidi"/>
          <w:noProof/>
          <w:lang w:eastAsia="tr-TR"/>
        </w:rPr>
      </w:pPr>
      <w:hyperlink w:anchor="_Toc195868852" w:history="1">
        <w:r w:rsidR="007F3AB0" w:rsidRPr="00700639">
          <w:rPr>
            <w:rStyle w:val="Kpr"/>
            <w:b/>
            <w:bCs/>
            <w:noProof/>
          </w:rPr>
          <w:t>Şekil 8.1: Yıllar İtibarıyla Kuruma Açılan Davaların Piyasa Bazında Dağılımı</w:t>
        </w:r>
        <w:r w:rsidR="007F3AB0">
          <w:rPr>
            <w:noProof/>
            <w:webHidden/>
          </w:rPr>
          <w:tab/>
        </w:r>
        <w:r w:rsidR="007F3AB0">
          <w:rPr>
            <w:noProof/>
            <w:webHidden/>
          </w:rPr>
          <w:fldChar w:fldCharType="begin"/>
        </w:r>
        <w:r w:rsidR="007F3AB0">
          <w:rPr>
            <w:noProof/>
            <w:webHidden/>
          </w:rPr>
          <w:instrText xml:space="preserve"> PAGEREF _Toc195868852 \h </w:instrText>
        </w:r>
        <w:r w:rsidR="007F3AB0">
          <w:rPr>
            <w:noProof/>
            <w:webHidden/>
          </w:rPr>
        </w:r>
        <w:r w:rsidR="007F3AB0">
          <w:rPr>
            <w:noProof/>
            <w:webHidden/>
          </w:rPr>
          <w:fldChar w:fldCharType="separate"/>
        </w:r>
        <w:r w:rsidR="00AE2496">
          <w:rPr>
            <w:noProof/>
            <w:webHidden/>
          </w:rPr>
          <w:t>127</w:t>
        </w:r>
        <w:r w:rsidR="007F3AB0">
          <w:rPr>
            <w:noProof/>
            <w:webHidden/>
          </w:rPr>
          <w:fldChar w:fldCharType="end"/>
        </w:r>
      </w:hyperlink>
    </w:p>
    <w:p w14:paraId="6AB9DF30" w14:textId="3644F9B8" w:rsidR="007F3AB0" w:rsidRDefault="0032505C">
      <w:pPr>
        <w:pStyle w:val="ekillerTablosu"/>
        <w:tabs>
          <w:tab w:val="right" w:leader="dot" w:pos="9060"/>
        </w:tabs>
        <w:rPr>
          <w:rFonts w:eastAsiaTheme="minorEastAsia" w:cstheme="minorBidi"/>
          <w:noProof/>
          <w:lang w:eastAsia="tr-TR"/>
        </w:rPr>
      </w:pPr>
      <w:hyperlink w:anchor="_Toc195868853" w:history="1">
        <w:r w:rsidR="007F3AB0" w:rsidRPr="00700639">
          <w:rPr>
            <w:rStyle w:val="Kpr"/>
            <w:b/>
            <w:bCs/>
            <w:noProof/>
          </w:rPr>
          <w:t>Tablo 8.4: 2024 Yılında Takip Edilen Dava Dışı Dosyaların Dağılımı</w:t>
        </w:r>
        <w:r w:rsidR="007F3AB0">
          <w:rPr>
            <w:noProof/>
            <w:webHidden/>
          </w:rPr>
          <w:tab/>
        </w:r>
        <w:r w:rsidR="007F3AB0">
          <w:rPr>
            <w:noProof/>
            <w:webHidden/>
          </w:rPr>
          <w:fldChar w:fldCharType="begin"/>
        </w:r>
        <w:r w:rsidR="007F3AB0">
          <w:rPr>
            <w:noProof/>
            <w:webHidden/>
          </w:rPr>
          <w:instrText xml:space="preserve"> PAGEREF _Toc195868853 \h </w:instrText>
        </w:r>
        <w:r w:rsidR="007F3AB0">
          <w:rPr>
            <w:noProof/>
            <w:webHidden/>
          </w:rPr>
        </w:r>
        <w:r w:rsidR="007F3AB0">
          <w:rPr>
            <w:noProof/>
            <w:webHidden/>
          </w:rPr>
          <w:fldChar w:fldCharType="separate"/>
        </w:r>
        <w:r w:rsidR="00AE2496">
          <w:rPr>
            <w:noProof/>
            <w:webHidden/>
          </w:rPr>
          <w:t>127</w:t>
        </w:r>
        <w:r w:rsidR="007F3AB0">
          <w:rPr>
            <w:noProof/>
            <w:webHidden/>
          </w:rPr>
          <w:fldChar w:fldCharType="end"/>
        </w:r>
      </w:hyperlink>
    </w:p>
    <w:p w14:paraId="77B42C3F" w14:textId="448DAE45" w:rsidR="007F3AB0" w:rsidRDefault="0032505C">
      <w:pPr>
        <w:pStyle w:val="ekillerTablosu"/>
        <w:tabs>
          <w:tab w:val="right" w:leader="dot" w:pos="9060"/>
        </w:tabs>
        <w:rPr>
          <w:rFonts w:eastAsiaTheme="minorEastAsia" w:cstheme="minorBidi"/>
          <w:noProof/>
          <w:lang w:eastAsia="tr-TR"/>
        </w:rPr>
      </w:pPr>
      <w:hyperlink w:anchor="_Toc195868854" w:history="1">
        <w:r w:rsidR="007F3AB0" w:rsidRPr="00700639">
          <w:rPr>
            <w:rStyle w:val="Kpr"/>
            <w:b/>
            <w:noProof/>
          </w:rPr>
          <w:t>Tablo 8.5: 2024 Yılı Sonu İtibariyle Kurumumuzun Takip Ettiği İdari Davaların Kesinleşme Durumu</w:t>
        </w:r>
        <w:r w:rsidR="007F3AB0">
          <w:rPr>
            <w:noProof/>
            <w:webHidden/>
          </w:rPr>
          <w:tab/>
        </w:r>
        <w:r w:rsidR="007F3AB0">
          <w:rPr>
            <w:noProof/>
            <w:webHidden/>
          </w:rPr>
          <w:fldChar w:fldCharType="begin"/>
        </w:r>
        <w:r w:rsidR="007F3AB0">
          <w:rPr>
            <w:noProof/>
            <w:webHidden/>
          </w:rPr>
          <w:instrText xml:space="preserve"> PAGEREF _Toc195868854 \h </w:instrText>
        </w:r>
        <w:r w:rsidR="007F3AB0">
          <w:rPr>
            <w:noProof/>
            <w:webHidden/>
          </w:rPr>
        </w:r>
        <w:r w:rsidR="007F3AB0">
          <w:rPr>
            <w:noProof/>
            <w:webHidden/>
          </w:rPr>
          <w:fldChar w:fldCharType="separate"/>
        </w:r>
        <w:r w:rsidR="00AE2496">
          <w:rPr>
            <w:noProof/>
            <w:webHidden/>
          </w:rPr>
          <w:t>128</w:t>
        </w:r>
        <w:r w:rsidR="007F3AB0">
          <w:rPr>
            <w:noProof/>
            <w:webHidden/>
          </w:rPr>
          <w:fldChar w:fldCharType="end"/>
        </w:r>
      </w:hyperlink>
    </w:p>
    <w:p w14:paraId="561257BC" w14:textId="1FF74068" w:rsidR="007F3AB0" w:rsidRDefault="0032505C">
      <w:pPr>
        <w:pStyle w:val="ekillerTablosu"/>
        <w:tabs>
          <w:tab w:val="right" w:leader="dot" w:pos="9060"/>
        </w:tabs>
        <w:rPr>
          <w:rFonts w:eastAsiaTheme="minorEastAsia" w:cstheme="minorBidi"/>
          <w:noProof/>
          <w:lang w:eastAsia="tr-TR"/>
        </w:rPr>
      </w:pPr>
      <w:hyperlink w:anchor="_Toc195868855" w:history="1">
        <w:r w:rsidR="007F3AB0" w:rsidRPr="00700639">
          <w:rPr>
            <w:rStyle w:val="Kpr"/>
            <w:b/>
            <w:bCs/>
            <w:noProof/>
          </w:rPr>
          <w:t>Tablo 8.6: 2024 Yılı Sonu İtibariyle Kurumumuzun Taraf Olduğu Davalardan Kesinleştiği Tespit Edilen Davaların Sonuçları Bakımından Dağılımı</w:t>
        </w:r>
        <w:r w:rsidR="007F3AB0">
          <w:rPr>
            <w:noProof/>
            <w:webHidden/>
          </w:rPr>
          <w:tab/>
        </w:r>
        <w:r w:rsidR="007F3AB0">
          <w:rPr>
            <w:noProof/>
            <w:webHidden/>
          </w:rPr>
          <w:fldChar w:fldCharType="begin"/>
        </w:r>
        <w:r w:rsidR="007F3AB0">
          <w:rPr>
            <w:noProof/>
            <w:webHidden/>
          </w:rPr>
          <w:instrText xml:space="preserve"> PAGEREF _Toc195868855 \h </w:instrText>
        </w:r>
        <w:r w:rsidR="007F3AB0">
          <w:rPr>
            <w:noProof/>
            <w:webHidden/>
          </w:rPr>
        </w:r>
        <w:r w:rsidR="007F3AB0">
          <w:rPr>
            <w:noProof/>
            <w:webHidden/>
          </w:rPr>
          <w:fldChar w:fldCharType="separate"/>
        </w:r>
        <w:r w:rsidR="00AE2496">
          <w:rPr>
            <w:noProof/>
            <w:webHidden/>
          </w:rPr>
          <w:t>128</w:t>
        </w:r>
        <w:r w:rsidR="007F3AB0">
          <w:rPr>
            <w:noProof/>
            <w:webHidden/>
          </w:rPr>
          <w:fldChar w:fldCharType="end"/>
        </w:r>
      </w:hyperlink>
    </w:p>
    <w:p w14:paraId="18BCA20A" w14:textId="0E269187" w:rsidR="007F3AB0" w:rsidRDefault="0032505C">
      <w:pPr>
        <w:pStyle w:val="ekillerTablosu"/>
        <w:tabs>
          <w:tab w:val="right" w:leader="dot" w:pos="9060"/>
        </w:tabs>
        <w:rPr>
          <w:rFonts w:eastAsiaTheme="minorEastAsia" w:cstheme="minorBidi"/>
          <w:noProof/>
          <w:lang w:eastAsia="tr-TR"/>
        </w:rPr>
      </w:pPr>
      <w:hyperlink w:anchor="_Toc195868856" w:history="1">
        <w:r w:rsidR="007F3AB0" w:rsidRPr="00700639">
          <w:rPr>
            <w:rStyle w:val="Kpr"/>
            <w:b/>
            <w:noProof/>
          </w:rPr>
          <w:t>Tablo 8.7: 2024 Yılı Sonu İtibariyle Kurumumuzun Taraf Olduğu Davalardan Sona Eren Davaların Sonuçları Bakımından Dağılımı</w:t>
        </w:r>
        <w:r w:rsidR="007F3AB0">
          <w:rPr>
            <w:noProof/>
            <w:webHidden/>
          </w:rPr>
          <w:tab/>
        </w:r>
        <w:r w:rsidR="007F3AB0">
          <w:rPr>
            <w:noProof/>
            <w:webHidden/>
          </w:rPr>
          <w:fldChar w:fldCharType="begin"/>
        </w:r>
        <w:r w:rsidR="007F3AB0">
          <w:rPr>
            <w:noProof/>
            <w:webHidden/>
          </w:rPr>
          <w:instrText xml:space="preserve"> PAGEREF _Toc195868856 \h </w:instrText>
        </w:r>
        <w:r w:rsidR="007F3AB0">
          <w:rPr>
            <w:noProof/>
            <w:webHidden/>
          </w:rPr>
        </w:r>
        <w:r w:rsidR="007F3AB0">
          <w:rPr>
            <w:noProof/>
            <w:webHidden/>
          </w:rPr>
          <w:fldChar w:fldCharType="separate"/>
        </w:r>
        <w:r w:rsidR="00AE2496">
          <w:rPr>
            <w:noProof/>
            <w:webHidden/>
          </w:rPr>
          <w:t>128</w:t>
        </w:r>
        <w:r w:rsidR="007F3AB0">
          <w:rPr>
            <w:noProof/>
            <w:webHidden/>
          </w:rPr>
          <w:fldChar w:fldCharType="end"/>
        </w:r>
      </w:hyperlink>
    </w:p>
    <w:p w14:paraId="17A10BD6" w14:textId="1CC31A5F" w:rsidR="007F3AB0" w:rsidRDefault="0032505C">
      <w:pPr>
        <w:pStyle w:val="ekillerTablosu"/>
        <w:tabs>
          <w:tab w:val="right" w:leader="dot" w:pos="9060"/>
        </w:tabs>
        <w:rPr>
          <w:rFonts w:eastAsiaTheme="minorEastAsia" w:cstheme="minorBidi"/>
          <w:noProof/>
          <w:lang w:eastAsia="tr-TR"/>
        </w:rPr>
      </w:pPr>
      <w:hyperlink w:anchor="_Toc195868857" w:history="1">
        <w:r w:rsidR="007F3AB0" w:rsidRPr="00700639">
          <w:rPr>
            <w:rStyle w:val="Kpr"/>
            <w:b/>
            <w:noProof/>
          </w:rPr>
          <w:t>Şekil 8.2:</w:t>
        </w:r>
        <w:r w:rsidR="007F3AB0" w:rsidRPr="00700639">
          <w:rPr>
            <w:rStyle w:val="Kpr"/>
            <w:b/>
            <w:bCs/>
            <w:noProof/>
          </w:rPr>
          <w:t xml:space="preserve"> 2024 Yılı Sonu İtibariyle Kurumumuzun Taraf Olduğu Davaların Sonuçları Bakımından Dağılımı</w:t>
        </w:r>
        <w:r w:rsidR="007F3AB0">
          <w:rPr>
            <w:noProof/>
            <w:webHidden/>
          </w:rPr>
          <w:tab/>
        </w:r>
        <w:r w:rsidR="007F3AB0">
          <w:rPr>
            <w:noProof/>
            <w:webHidden/>
          </w:rPr>
          <w:fldChar w:fldCharType="begin"/>
        </w:r>
        <w:r w:rsidR="007F3AB0">
          <w:rPr>
            <w:noProof/>
            <w:webHidden/>
          </w:rPr>
          <w:instrText xml:space="preserve"> PAGEREF _Toc195868857 \h </w:instrText>
        </w:r>
        <w:r w:rsidR="007F3AB0">
          <w:rPr>
            <w:noProof/>
            <w:webHidden/>
          </w:rPr>
        </w:r>
        <w:r w:rsidR="007F3AB0">
          <w:rPr>
            <w:noProof/>
            <w:webHidden/>
          </w:rPr>
          <w:fldChar w:fldCharType="separate"/>
        </w:r>
        <w:r w:rsidR="00AE2496">
          <w:rPr>
            <w:noProof/>
            <w:webHidden/>
          </w:rPr>
          <w:t>128</w:t>
        </w:r>
        <w:r w:rsidR="007F3AB0">
          <w:rPr>
            <w:noProof/>
            <w:webHidden/>
          </w:rPr>
          <w:fldChar w:fldCharType="end"/>
        </w:r>
      </w:hyperlink>
    </w:p>
    <w:p w14:paraId="184FDF0C" w14:textId="7B665B18" w:rsidR="007F3AB0" w:rsidRDefault="0032505C">
      <w:pPr>
        <w:pStyle w:val="ekillerTablosu"/>
        <w:tabs>
          <w:tab w:val="right" w:leader="dot" w:pos="9060"/>
        </w:tabs>
        <w:rPr>
          <w:rFonts w:eastAsiaTheme="minorEastAsia" w:cstheme="minorBidi"/>
          <w:noProof/>
          <w:lang w:eastAsia="tr-TR"/>
        </w:rPr>
      </w:pPr>
      <w:hyperlink w:anchor="_Toc195868858" w:history="1">
        <w:r w:rsidR="007F3AB0" w:rsidRPr="00700639">
          <w:rPr>
            <w:rStyle w:val="Kpr"/>
            <w:b/>
            <w:bCs/>
            <w:noProof/>
          </w:rPr>
          <w:t>Tablo 8.8: Yıllar İtibariyle Arabuluculuk Dosya Sayısı Dağılımı</w:t>
        </w:r>
        <w:r w:rsidR="007F3AB0">
          <w:rPr>
            <w:noProof/>
            <w:webHidden/>
          </w:rPr>
          <w:tab/>
        </w:r>
        <w:r w:rsidR="007F3AB0">
          <w:rPr>
            <w:noProof/>
            <w:webHidden/>
          </w:rPr>
          <w:fldChar w:fldCharType="begin"/>
        </w:r>
        <w:r w:rsidR="007F3AB0">
          <w:rPr>
            <w:noProof/>
            <w:webHidden/>
          </w:rPr>
          <w:instrText xml:space="preserve"> PAGEREF _Toc195868858 \h </w:instrText>
        </w:r>
        <w:r w:rsidR="007F3AB0">
          <w:rPr>
            <w:noProof/>
            <w:webHidden/>
          </w:rPr>
        </w:r>
        <w:r w:rsidR="007F3AB0">
          <w:rPr>
            <w:noProof/>
            <w:webHidden/>
          </w:rPr>
          <w:fldChar w:fldCharType="separate"/>
        </w:r>
        <w:r w:rsidR="00AE2496">
          <w:rPr>
            <w:noProof/>
            <w:webHidden/>
          </w:rPr>
          <w:t>129</w:t>
        </w:r>
        <w:r w:rsidR="007F3AB0">
          <w:rPr>
            <w:noProof/>
            <w:webHidden/>
          </w:rPr>
          <w:fldChar w:fldCharType="end"/>
        </w:r>
      </w:hyperlink>
    </w:p>
    <w:p w14:paraId="4B2C7BB7" w14:textId="3D6E3BD9" w:rsidR="007F3AB0" w:rsidRDefault="0032505C">
      <w:pPr>
        <w:pStyle w:val="ekillerTablosu"/>
        <w:tabs>
          <w:tab w:val="right" w:leader="dot" w:pos="9060"/>
        </w:tabs>
        <w:rPr>
          <w:rFonts w:eastAsiaTheme="minorEastAsia" w:cstheme="minorBidi"/>
          <w:noProof/>
          <w:lang w:eastAsia="tr-TR"/>
        </w:rPr>
      </w:pPr>
      <w:hyperlink w:anchor="_Toc195868859" w:history="1">
        <w:r w:rsidR="007F3AB0" w:rsidRPr="00700639">
          <w:rPr>
            <w:rStyle w:val="Kpr"/>
            <w:b/>
            <w:bCs/>
            <w:noProof/>
          </w:rPr>
          <w:t>Tablo 8.9: 2024 Yılı Sonu İtibariyle Hukuk Dairesi Başkanlığı Tarafından Verilen Görüşlerin Dağılımı</w:t>
        </w:r>
        <w:r w:rsidR="007F3AB0">
          <w:rPr>
            <w:noProof/>
            <w:webHidden/>
          </w:rPr>
          <w:tab/>
        </w:r>
        <w:r w:rsidR="007F3AB0">
          <w:rPr>
            <w:noProof/>
            <w:webHidden/>
          </w:rPr>
          <w:fldChar w:fldCharType="begin"/>
        </w:r>
        <w:r w:rsidR="007F3AB0">
          <w:rPr>
            <w:noProof/>
            <w:webHidden/>
          </w:rPr>
          <w:instrText xml:space="preserve"> PAGEREF _Toc195868859 \h </w:instrText>
        </w:r>
        <w:r w:rsidR="007F3AB0">
          <w:rPr>
            <w:noProof/>
            <w:webHidden/>
          </w:rPr>
        </w:r>
        <w:r w:rsidR="007F3AB0">
          <w:rPr>
            <w:noProof/>
            <w:webHidden/>
          </w:rPr>
          <w:fldChar w:fldCharType="separate"/>
        </w:r>
        <w:r w:rsidR="00AE2496">
          <w:rPr>
            <w:noProof/>
            <w:webHidden/>
          </w:rPr>
          <w:t>129</w:t>
        </w:r>
        <w:r w:rsidR="007F3AB0">
          <w:rPr>
            <w:noProof/>
            <w:webHidden/>
          </w:rPr>
          <w:fldChar w:fldCharType="end"/>
        </w:r>
      </w:hyperlink>
    </w:p>
    <w:p w14:paraId="049309B4" w14:textId="580778C9" w:rsidR="007F3AB0" w:rsidRDefault="0032505C">
      <w:pPr>
        <w:pStyle w:val="ekillerTablosu"/>
        <w:tabs>
          <w:tab w:val="right" w:leader="dot" w:pos="9060"/>
        </w:tabs>
        <w:rPr>
          <w:rFonts w:eastAsiaTheme="minorEastAsia" w:cstheme="minorBidi"/>
          <w:noProof/>
          <w:lang w:eastAsia="tr-TR"/>
        </w:rPr>
      </w:pPr>
      <w:hyperlink w:anchor="_Toc195868860" w:history="1">
        <w:r w:rsidR="007F3AB0" w:rsidRPr="00700639">
          <w:rPr>
            <w:rStyle w:val="Kpr"/>
            <w:b/>
            <w:noProof/>
          </w:rPr>
          <w:t>Tablo 8.10: Yıllar İtibariyle Hukuk Dairesi Başkanlığı Tarafından Verilen Görüşlerin Dağılımı</w:t>
        </w:r>
        <w:r w:rsidR="007F3AB0">
          <w:rPr>
            <w:noProof/>
            <w:webHidden/>
          </w:rPr>
          <w:tab/>
        </w:r>
        <w:r w:rsidR="007F3AB0">
          <w:rPr>
            <w:noProof/>
            <w:webHidden/>
          </w:rPr>
          <w:fldChar w:fldCharType="begin"/>
        </w:r>
        <w:r w:rsidR="007F3AB0">
          <w:rPr>
            <w:noProof/>
            <w:webHidden/>
          </w:rPr>
          <w:instrText xml:space="preserve"> PAGEREF _Toc195868860 \h </w:instrText>
        </w:r>
        <w:r w:rsidR="007F3AB0">
          <w:rPr>
            <w:noProof/>
            <w:webHidden/>
          </w:rPr>
        </w:r>
        <w:r w:rsidR="007F3AB0">
          <w:rPr>
            <w:noProof/>
            <w:webHidden/>
          </w:rPr>
          <w:fldChar w:fldCharType="separate"/>
        </w:r>
        <w:r w:rsidR="00AE2496">
          <w:rPr>
            <w:noProof/>
            <w:webHidden/>
          </w:rPr>
          <w:t>130</w:t>
        </w:r>
        <w:r w:rsidR="007F3AB0">
          <w:rPr>
            <w:noProof/>
            <w:webHidden/>
          </w:rPr>
          <w:fldChar w:fldCharType="end"/>
        </w:r>
      </w:hyperlink>
    </w:p>
    <w:p w14:paraId="17E7F949" w14:textId="05EF2400" w:rsidR="007F3AB0" w:rsidRDefault="0032505C">
      <w:pPr>
        <w:pStyle w:val="ekillerTablosu"/>
        <w:tabs>
          <w:tab w:val="right" w:leader="dot" w:pos="9060"/>
        </w:tabs>
        <w:rPr>
          <w:rFonts w:eastAsiaTheme="minorEastAsia" w:cstheme="minorBidi"/>
          <w:noProof/>
          <w:lang w:eastAsia="tr-TR"/>
        </w:rPr>
      </w:pPr>
      <w:hyperlink w:anchor="_Toc195868861" w:history="1">
        <w:r w:rsidR="007F3AB0" w:rsidRPr="00700639">
          <w:rPr>
            <w:rStyle w:val="Kpr"/>
            <w:b/>
            <w:noProof/>
          </w:rPr>
          <w:t>Şekil 8.3: Yıllar İtibariyle Hukuk Dairesi Başkanlığı Tarafından Verilen Görüşlerin Dağılımı</w:t>
        </w:r>
        <w:r w:rsidR="007F3AB0">
          <w:rPr>
            <w:noProof/>
            <w:webHidden/>
          </w:rPr>
          <w:tab/>
        </w:r>
        <w:r w:rsidR="007F3AB0">
          <w:rPr>
            <w:noProof/>
            <w:webHidden/>
          </w:rPr>
          <w:fldChar w:fldCharType="begin"/>
        </w:r>
        <w:r w:rsidR="007F3AB0">
          <w:rPr>
            <w:noProof/>
            <w:webHidden/>
          </w:rPr>
          <w:instrText xml:space="preserve"> PAGEREF _Toc195868861 \h </w:instrText>
        </w:r>
        <w:r w:rsidR="007F3AB0">
          <w:rPr>
            <w:noProof/>
            <w:webHidden/>
          </w:rPr>
        </w:r>
        <w:r w:rsidR="007F3AB0">
          <w:rPr>
            <w:noProof/>
            <w:webHidden/>
          </w:rPr>
          <w:fldChar w:fldCharType="separate"/>
        </w:r>
        <w:r w:rsidR="00AE2496">
          <w:rPr>
            <w:noProof/>
            <w:webHidden/>
          </w:rPr>
          <w:t>131</w:t>
        </w:r>
        <w:r w:rsidR="007F3AB0">
          <w:rPr>
            <w:noProof/>
            <w:webHidden/>
          </w:rPr>
          <w:fldChar w:fldCharType="end"/>
        </w:r>
      </w:hyperlink>
    </w:p>
    <w:p w14:paraId="39533685" w14:textId="63ED41C2" w:rsidR="007F3AB0" w:rsidRDefault="0032505C">
      <w:pPr>
        <w:pStyle w:val="ekillerTablosu"/>
        <w:tabs>
          <w:tab w:val="right" w:leader="dot" w:pos="9060"/>
        </w:tabs>
        <w:rPr>
          <w:rFonts w:eastAsiaTheme="minorEastAsia" w:cstheme="minorBidi"/>
          <w:noProof/>
          <w:lang w:eastAsia="tr-TR"/>
        </w:rPr>
      </w:pPr>
      <w:hyperlink w:anchor="_Toc195868862" w:history="1">
        <w:r w:rsidR="007F3AB0" w:rsidRPr="00700639">
          <w:rPr>
            <w:rStyle w:val="Kpr"/>
            <w:b/>
            <w:bCs/>
            <w:noProof/>
          </w:rPr>
          <w:t>Şekil 9.1: Şikâyet Başlığı Altında İşlem Gören Bildirimlerin 2024 Yılı Aylar İtibarıyla Yüzdesel Dağılımı</w:t>
        </w:r>
        <w:r w:rsidR="007F3AB0">
          <w:rPr>
            <w:noProof/>
            <w:webHidden/>
          </w:rPr>
          <w:tab/>
        </w:r>
        <w:r w:rsidR="007F3AB0">
          <w:rPr>
            <w:noProof/>
            <w:webHidden/>
          </w:rPr>
          <w:fldChar w:fldCharType="begin"/>
        </w:r>
        <w:r w:rsidR="007F3AB0">
          <w:rPr>
            <w:noProof/>
            <w:webHidden/>
          </w:rPr>
          <w:instrText xml:space="preserve"> PAGEREF _Toc195868862 \h </w:instrText>
        </w:r>
        <w:r w:rsidR="007F3AB0">
          <w:rPr>
            <w:noProof/>
            <w:webHidden/>
          </w:rPr>
        </w:r>
        <w:r w:rsidR="007F3AB0">
          <w:rPr>
            <w:noProof/>
            <w:webHidden/>
          </w:rPr>
          <w:fldChar w:fldCharType="separate"/>
        </w:r>
        <w:r w:rsidR="00AE2496">
          <w:rPr>
            <w:noProof/>
            <w:webHidden/>
          </w:rPr>
          <w:t>134</w:t>
        </w:r>
        <w:r w:rsidR="007F3AB0">
          <w:rPr>
            <w:noProof/>
            <w:webHidden/>
          </w:rPr>
          <w:fldChar w:fldCharType="end"/>
        </w:r>
      </w:hyperlink>
    </w:p>
    <w:p w14:paraId="485F4D5B" w14:textId="515E460D" w:rsidR="007F3AB0" w:rsidRDefault="0032505C">
      <w:pPr>
        <w:pStyle w:val="ekillerTablosu"/>
        <w:tabs>
          <w:tab w:val="right" w:leader="dot" w:pos="9060"/>
        </w:tabs>
        <w:rPr>
          <w:rFonts w:eastAsiaTheme="minorEastAsia" w:cstheme="minorBidi"/>
          <w:noProof/>
          <w:lang w:eastAsia="tr-TR"/>
        </w:rPr>
      </w:pPr>
      <w:hyperlink w:anchor="_Toc195868863" w:history="1">
        <w:r w:rsidR="007F3AB0" w:rsidRPr="00700639">
          <w:rPr>
            <w:rStyle w:val="Kpr"/>
            <w:b/>
            <w:bCs/>
            <w:noProof/>
          </w:rPr>
          <w:t>Şekil 9.2: Şikâyet Bildirimlerinin Şikâyet Kanallarına Göre Yüzdesel Dağılımı</w:t>
        </w:r>
        <w:r w:rsidR="007F3AB0">
          <w:rPr>
            <w:noProof/>
            <w:webHidden/>
          </w:rPr>
          <w:tab/>
        </w:r>
        <w:r w:rsidR="007F3AB0">
          <w:rPr>
            <w:noProof/>
            <w:webHidden/>
          </w:rPr>
          <w:fldChar w:fldCharType="begin"/>
        </w:r>
        <w:r w:rsidR="007F3AB0">
          <w:rPr>
            <w:noProof/>
            <w:webHidden/>
          </w:rPr>
          <w:instrText xml:space="preserve"> PAGEREF _Toc195868863 \h </w:instrText>
        </w:r>
        <w:r w:rsidR="007F3AB0">
          <w:rPr>
            <w:noProof/>
            <w:webHidden/>
          </w:rPr>
        </w:r>
        <w:r w:rsidR="007F3AB0">
          <w:rPr>
            <w:noProof/>
            <w:webHidden/>
          </w:rPr>
          <w:fldChar w:fldCharType="separate"/>
        </w:r>
        <w:r w:rsidR="00AE2496">
          <w:rPr>
            <w:noProof/>
            <w:webHidden/>
          </w:rPr>
          <w:t>135</w:t>
        </w:r>
        <w:r w:rsidR="007F3AB0">
          <w:rPr>
            <w:noProof/>
            <w:webHidden/>
          </w:rPr>
          <w:fldChar w:fldCharType="end"/>
        </w:r>
      </w:hyperlink>
    </w:p>
    <w:p w14:paraId="0B276903" w14:textId="5A6EC19C" w:rsidR="007F3AB0" w:rsidRDefault="0032505C">
      <w:pPr>
        <w:pStyle w:val="ekillerTablosu"/>
        <w:tabs>
          <w:tab w:val="right" w:leader="dot" w:pos="9060"/>
        </w:tabs>
        <w:rPr>
          <w:rFonts w:eastAsiaTheme="minorEastAsia" w:cstheme="minorBidi"/>
          <w:noProof/>
          <w:lang w:eastAsia="tr-TR"/>
        </w:rPr>
      </w:pPr>
      <w:hyperlink w:anchor="_Toc195868864" w:history="1">
        <w:r w:rsidR="007F3AB0" w:rsidRPr="00700639">
          <w:rPr>
            <w:rStyle w:val="Kpr"/>
            <w:b/>
            <w:bCs/>
            <w:noProof/>
          </w:rPr>
          <w:t>Şekil 9.3: Şikâyet Bildirimlerinin Sektörel Dağılımı</w:t>
        </w:r>
        <w:r w:rsidR="007F3AB0">
          <w:rPr>
            <w:noProof/>
            <w:webHidden/>
          </w:rPr>
          <w:tab/>
        </w:r>
        <w:r w:rsidR="007F3AB0">
          <w:rPr>
            <w:noProof/>
            <w:webHidden/>
          </w:rPr>
          <w:fldChar w:fldCharType="begin"/>
        </w:r>
        <w:r w:rsidR="007F3AB0">
          <w:rPr>
            <w:noProof/>
            <w:webHidden/>
          </w:rPr>
          <w:instrText xml:space="preserve"> PAGEREF _Toc195868864 \h </w:instrText>
        </w:r>
        <w:r w:rsidR="007F3AB0">
          <w:rPr>
            <w:noProof/>
            <w:webHidden/>
          </w:rPr>
        </w:r>
        <w:r w:rsidR="007F3AB0">
          <w:rPr>
            <w:noProof/>
            <w:webHidden/>
          </w:rPr>
          <w:fldChar w:fldCharType="separate"/>
        </w:r>
        <w:r w:rsidR="00AE2496">
          <w:rPr>
            <w:noProof/>
            <w:webHidden/>
          </w:rPr>
          <w:t>136</w:t>
        </w:r>
        <w:r w:rsidR="007F3AB0">
          <w:rPr>
            <w:noProof/>
            <w:webHidden/>
          </w:rPr>
          <w:fldChar w:fldCharType="end"/>
        </w:r>
      </w:hyperlink>
    </w:p>
    <w:p w14:paraId="01F4607A" w14:textId="1EAB137E" w:rsidR="007F3AB0" w:rsidRDefault="0032505C">
      <w:pPr>
        <w:pStyle w:val="ekillerTablosu"/>
        <w:tabs>
          <w:tab w:val="right" w:leader="dot" w:pos="9060"/>
        </w:tabs>
        <w:rPr>
          <w:rFonts w:eastAsiaTheme="minorEastAsia" w:cstheme="minorBidi"/>
          <w:noProof/>
          <w:lang w:eastAsia="tr-TR"/>
        </w:rPr>
      </w:pPr>
      <w:hyperlink w:anchor="_Toc195868865" w:history="1">
        <w:r w:rsidR="007F3AB0" w:rsidRPr="00700639">
          <w:rPr>
            <w:rStyle w:val="Kpr"/>
            <w:b/>
            <w:bCs/>
            <w:noProof/>
          </w:rPr>
          <w:t>Şekil 9.4: Şikâyet Bildirimlerinin Gönderildikleri Yerlere Göre Dağılımı</w:t>
        </w:r>
        <w:r w:rsidR="007F3AB0">
          <w:rPr>
            <w:noProof/>
            <w:webHidden/>
          </w:rPr>
          <w:tab/>
        </w:r>
        <w:r w:rsidR="007F3AB0">
          <w:rPr>
            <w:noProof/>
            <w:webHidden/>
          </w:rPr>
          <w:fldChar w:fldCharType="begin"/>
        </w:r>
        <w:r w:rsidR="007F3AB0">
          <w:rPr>
            <w:noProof/>
            <w:webHidden/>
          </w:rPr>
          <w:instrText xml:space="preserve"> PAGEREF _Toc195868865 \h </w:instrText>
        </w:r>
        <w:r w:rsidR="007F3AB0">
          <w:rPr>
            <w:noProof/>
            <w:webHidden/>
          </w:rPr>
        </w:r>
        <w:r w:rsidR="007F3AB0">
          <w:rPr>
            <w:noProof/>
            <w:webHidden/>
          </w:rPr>
          <w:fldChar w:fldCharType="separate"/>
        </w:r>
        <w:r w:rsidR="00AE2496">
          <w:rPr>
            <w:noProof/>
            <w:webHidden/>
          </w:rPr>
          <w:t>136</w:t>
        </w:r>
        <w:r w:rsidR="007F3AB0">
          <w:rPr>
            <w:noProof/>
            <w:webHidden/>
          </w:rPr>
          <w:fldChar w:fldCharType="end"/>
        </w:r>
      </w:hyperlink>
    </w:p>
    <w:p w14:paraId="1725C745" w14:textId="38592322" w:rsidR="007F3AB0" w:rsidRDefault="0032505C">
      <w:pPr>
        <w:pStyle w:val="ekillerTablosu"/>
        <w:tabs>
          <w:tab w:val="right" w:leader="dot" w:pos="9060"/>
        </w:tabs>
        <w:rPr>
          <w:rFonts w:eastAsiaTheme="minorEastAsia" w:cstheme="minorBidi"/>
          <w:noProof/>
          <w:lang w:eastAsia="tr-TR"/>
        </w:rPr>
      </w:pPr>
      <w:hyperlink w:anchor="_Toc195868866" w:history="1">
        <w:r w:rsidR="007F3AB0" w:rsidRPr="00700639">
          <w:rPr>
            <w:rStyle w:val="Kpr"/>
            <w:b/>
            <w:bCs/>
            <w:noProof/>
          </w:rPr>
          <w:t>Şekil 9.5: Elektrik Sektörüne Ait Şikâyetlerin Alt Sınıflandırmasının Yüzdesel Dağılımı</w:t>
        </w:r>
        <w:r w:rsidR="007F3AB0">
          <w:rPr>
            <w:noProof/>
            <w:webHidden/>
          </w:rPr>
          <w:tab/>
        </w:r>
        <w:r w:rsidR="007F3AB0">
          <w:rPr>
            <w:noProof/>
            <w:webHidden/>
          </w:rPr>
          <w:fldChar w:fldCharType="begin"/>
        </w:r>
        <w:r w:rsidR="007F3AB0">
          <w:rPr>
            <w:noProof/>
            <w:webHidden/>
          </w:rPr>
          <w:instrText xml:space="preserve"> PAGEREF _Toc195868866 \h </w:instrText>
        </w:r>
        <w:r w:rsidR="007F3AB0">
          <w:rPr>
            <w:noProof/>
            <w:webHidden/>
          </w:rPr>
        </w:r>
        <w:r w:rsidR="007F3AB0">
          <w:rPr>
            <w:noProof/>
            <w:webHidden/>
          </w:rPr>
          <w:fldChar w:fldCharType="separate"/>
        </w:r>
        <w:r w:rsidR="00AE2496">
          <w:rPr>
            <w:noProof/>
            <w:webHidden/>
          </w:rPr>
          <w:t>137</w:t>
        </w:r>
        <w:r w:rsidR="007F3AB0">
          <w:rPr>
            <w:noProof/>
            <w:webHidden/>
          </w:rPr>
          <w:fldChar w:fldCharType="end"/>
        </w:r>
      </w:hyperlink>
    </w:p>
    <w:p w14:paraId="1F5A5639" w14:textId="423946EA" w:rsidR="007F3AB0" w:rsidRDefault="0032505C">
      <w:pPr>
        <w:pStyle w:val="ekillerTablosu"/>
        <w:tabs>
          <w:tab w:val="right" w:leader="dot" w:pos="9060"/>
        </w:tabs>
        <w:rPr>
          <w:rFonts w:eastAsiaTheme="minorEastAsia" w:cstheme="minorBidi"/>
          <w:noProof/>
          <w:lang w:eastAsia="tr-TR"/>
        </w:rPr>
      </w:pPr>
      <w:hyperlink w:anchor="_Toc195868867" w:history="1">
        <w:r w:rsidR="007F3AB0" w:rsidRPr="00700639">
          <w:rPr>
            <w:rStyle w:val="Kpr"/>
            <w:b/>
            <w:bCs/>
            <w:noProof/>
          </w:rPr>
          <w:t>Şekil 9.6: Elektrik Sektöründe İşlem Gören Bildirimlerin Aylara Göre Yüzdesel Dağılımı</w:t>
        </w:r>
        <w:r w:rsidR="007F3AB0">
          <w:rPr>
            <w:noProof/>
            <w:webHidden/>
          </w:rPr>
          <w:tab/>
        </w:r>
        <w:r w:rsidR="007F3AB0">
          <w:rPr>
            <w:noProof/>
            <w:webHidden/>
          </w:rPr>
          <w:fldChar w:fldCharType="begin"/>
        </w:r>
        <w:r w:rsidR="007F3AB0">
          <w:rPr>
            <w:noProof/>
            <w:webHidden/>
          </w:rPr>
          <w:instrText xml:space="preserve"> PAGEREF _Toc195868867 \h </w:instrText>
        </w:r>
        <w:r w:rsidR="007F3AB0">
          <w:rPr>
            <w:noProof/>
            <w:webHidden/>
          </w:rPr>
        </w:r>
        <w:r w:rsidR="007F3AB0">
          <w:rPr>
            <w:noProof/>
            <w:webHidden/>
          </w:rPr>
          <w:fldChar w:fldCharType="separate"/>
        </w:r>
        <w:r w:rsidR="00AE2496">
          <w:rPr>
            <w:noProof/>
            <w:webHidden/>
          </w:rPr>
          <w:t>138</w:t>
        </w:r>
        <w:r w:rsidR="007F3AB0">
          <w:rPr>
            <w:noProof/>
            <w:webHidden/>
          </w:rPr>
          <w:fldChar w:fldCharType="end"/>
        </w:r>
      </w:hyperlink>
    </w:p>
    <w:p w14:paraId="67AA7D01" w14:textId="1BA39B3D" w:rsidR="007F3AB0" w:rsidRDefault="0032505C">
      <w:pPr>
        <w:pStyle w:val="ekillerTablosu"/>
        <w:tabs>
          <w:tab w:val="right" w:leader="dot" w:pos="9060"/>
        </w:tabs>
        <w:rPr>
          <w:rFonts w:eastAsiaTheme="minorEastAsia" w:cstheme="minorBidi"/>
          <w:noProof/>
          <w:lang w:eastAsia="tr-TR"/>
        </w:rPr>
      </w:pPr>
      <w:hyperlink w:anchor="_Toc195868868" w:history="1">
        <w:r w:rsidR="007F3AB0" w:rsidRPr="00700639">
          <w:rPr>
            <w:rStyle w:val="Kpr"/>
            <w:b/>
            <w:bCs/>
            <w:noProof/>
          </w:rPr>
          <w:t>Şekil 9.7: Doğal Gaz Sektörüne Ait Şikâyetlerin Alt Sınıflandırmasının Yüzdesel Dağılımı</w:t>
        </w:r>
        <w:r w:rsidR="007F3AB0">
          <w:rPr>
            <w:noProof/>
            <w:webHidden/>
          </w:rPr>
          <w:tab/>
        </w:r>
        <w:r w:rsidR="007F3AB0">
          <w:rPr>
            <w:noProof/>
            <w:webHidden/>
          </w:rPr>
          <w:fldChar w:fldCharType="begin"/>
        </w:r>
        <w:r w:rsidR="007F3AB0">
          <w:rPr>
            <w:noProof/>
            <w:webHidden/>
          </w:rPr>
          <w:instrText xml:space="preserve"> PAGEREF _Toc195868868 \h </w:instrText>
        </w:r>
        <w:r w:rsidR="007F3AB0">
          <w:rPr>
            <w:noProof/>
            <w:webHidden/>
          </w:rPr>
        </w:r>
        <w:r w:rsidR="007F3AB0">
          <w:rPr>
            <w:noProof/>
            <w:webHidden/>
          </w:rPr>
          <w:fldChar w:fldCharType="separate"/>
        </w:r>
        <w:r w:rsidR="00AE2496">
          <w:rPr>
            <w:noProof/>
            <w:webHidden/>
          </w:rPr>
          <w:t>139</w:t>
        </w:r>
        <w:r w:rsidR="007F3AB0">
          <w:rPr>
            <w:noProof/>
            <w:webHidden/>
          </w:rPr>
          <w:fldChar w:fldCharType="end"/>
        </w:r>
      </w:hyperlink>
    </w:p>
    <w:p w14:paraId="128A8754" w14:textId="51C82E0D" w:rsidR="007F3AB0" w:rsidRDefault="0032505C">
      <w:pPr>
        <w:pStyle w:val="ekillerTablosu"/>
        <w:tabs>
          <w:tab w:val="right" w:leader="dot" w:pos="9060"/>
        </w:tabs>
        <w:rPr>
          <w:rFonts w:eastAsiaTheme="minorEastAsia" w:cstheme="minorBidi"/>
          <w:noProof/>
          <w:lang w:eastAsia="tr-TR"/>
        </w:rPr>
      </w:pPr>
      <w:hyperlink w:anchor="_Toc195868869" w:history="1">
        <w:r w:rsidR="007F3AB0" w:rsidRPr="00700639">
          <w:rPr>
            <w:rStyle w:val="Kpr"/>
            <w:b/>
            <w:bCs/>
            <w:noProof/>
          </w:rPr>
          <w:t>Şekil 9.8: Doğal Gaz Sektöründe İşlem Gören Bildirimlerin Aylara Göre Yüzdesel Dağılımı</w:t>
        </w:r>
        <w:r w:rsidR="007F3AB0">
          <w:rPr>
            <w:noProof/>
            <w:webHidden/>
          </w:rPr>
          <w:tab/>
        </w:r>
        <w:r w:rsidR="007F3AB0">
          <w:rPr>
            <w:noProof/>
            <w:webHidden/>
          </w:rPr>
          <w:fldChar w:fldCharType="begin"/>
        </w:r>
        <w:r w:rsidR="007F3AB0">
          <w:rPr>
            <w:noProof/>
            <w:webHidden/>
          </w:rPr>
          <w:instrText xml:space="preserve"> PAGEREF _Toc195868869 \h </w:instrText>
        </w:r>
        <w:r w:rsidR="007F3AB0">
          <w:rPr>
            <w:noProof/>
            <w:webHidden/>
          </w:rPr>
        </w:r>
        <w:r w:rsidR="007F3AB0">
          <w:rPr>
            <w:noProof/>
            <w:webHidden/>
          </w:rPr>
          <w:fldChar w:fldCharType="separate"/>
        </w:r>
        <w:r w:rsidR="00AE2496">
          <w:rPr>
            <w:noProof/>
            <w:webHidden/>
          </w:rPr>
          <w:t>139</w:t>
        </w:r>
        <w:r w:rsidR="007F3AB0">
          <w:rPr>
            <w:noProof/>
            <w:webHidden/>
          </w:rPr>
          <w:fldChar w:fldCharType="end"/>
        </w:r>
      </w:hyperlink>
    </w:p>
    <w:p w14:paraId="67764D92" w14:textId="73AD62D4" w:rsidR="007F3AB0" w:rsidRDefault="0032505C">
      <w:pPr>
        <w:pStyle w:val="ekillerTablosu"/>
        <w:tabs>
          <w:tab w:val="right" w:leader="dot" w:pos="9060"/>
        </w:tabs>
        <w:rPr>
          <w:rFonts w:eastAsiaTheme="minorEastAsia" w:cstheme="minorBidi"/>
          <w:noProof/>
          <w:lang w:eastAsia="tr-TR"/>
        </w:rPr>
      </w:pPr>
      <w:hyperlink w:anchor="_Toc195868870" w:history="1">
        <w:r w:rsidR="007F3AB0" w:rsidRPr="00700639">
          <w:rPr>
            <w:rStyle w:val="Kpr"/>
            <w:b/>
            <w:bCs/>
            <w:noProof/>
          </w:rPr>
          <w:t>Şekil 9.9: Petrol Sektörüne Ait Şikâyetlerin Alt Sınıflandırmasının Yüzdesel Dağılımı</w:t>
        </w:r>
        <w:r w:rsidR="007F3AB0">
          <w:rPr>
            <w:noProof/>
            <w:webHidden/>
          </w:rPr>
          <w:tab/>
        </w:r>
        <w:r w:rsidR="007F3AB0">
          <w:rPr>
            <w:noProof/>
            <w:webHidden/>
          </w:rPr>
          <w:fldChar w:fldCharType="begin"/>
        </w:r>
        <w:r w:rsidR="007F3AB0">
          <w:rPr>
            <w:noProof/>
            <w:webHidden/>
          </w:rPr>
          <w:instrText xml:space="preserve"> PAGEREF _Toc195868870 \h </w:instrText>
        </w:r>
        <w:r w:rsidR="007F3AB0">
          <w:rPr>
            <w:noProof/>
            <w:webHidden/>
          </w:rPr>
        </w:r>
        <w:r w:rsidR="007F3AB0">
          <w:rPr>
            <w:noProof/>
            <w:webHidden/>
          </w:rPr>
          <w:fldChar w:fldCharType="separate"/>
        </w:r>
        <w:r w:rsidR="00AE2496">
          <w:rPr>
            <w:noProof/>
            <w:webHidden/>
          </w:rPr>
          <w:t>140</w:t>
        </w:r>
        <w:r w:rsidR="007F3AB0">
          <w:rPr>
            <w:noProof/>
            <w:webHidden/>
          </w:rPr>
          <w:fldChar w:fldCharType="end"/>
        </w:r>
      </w:hyperlink>
    </w:p>
    <w:p w14:paraId="408AD2C0" w14:textId="0E586408" w:rsidR="007F3AB0" w:rsidRDefault="0032505C">
      <w:pPr>
        <w:pStyle w:val="ekillerTablosu"/>
        <w:tabs>
          <w:tab w:val="right" w:leader="dot" w:pos="9060"/>
        </w:tabs>
        <w:rPr>
          <w:rFonts w:eastAsiaTheme="minorEastAsia" w:cstheme="minorBidi"/>
          <w:noProof/>
          <w:lang w:eastAsia="tr-TR"/>
        </w:rPr>
      </w:pPr>
      <w:hyperlink w:anchor="_Toc195868871" w:history="1">
        <w:r w:rsidR="007F3AB0" w:rsidRPr="00700639">
          <w:rPr>
            <w:rStyle w:val="Kpr"/>
            <w:b/>
            <w:bCs/>
            <w:noProof/>
          </w:rPr>
          <w:t>Şekil 9.10: LPG Sektörüne Ait Şikâyetlerin Alt Sınıflandırmasının Yüzdesel Dağılımı</w:t>
        </w:r>
        <w:r w:rsidR="007F3AB0">
          <w:rPr>
            <w:noProof/>
            <w:webHidden/>
          </w:rPr>
          <w:tab/>
        </w:r>
        <w:r w:rsidR="007F3AB0">
          <w:rPr>
            <w:noProof/>
            <w:webHidden/>
          </w:rPr>
          <w:fldChar w:fldCharType="begin"/>
        </w:r>
        <w:r w:rsidR="007F3AB0">
          <w:rPr>
            <w:noProof/>
            <w:webHidden/>
          </w:rPr>
          <w:instrText xml:space="preserve"> PAGEREF _Toc195868871 \h </w:instrText>
        </w:r>
        <w:r w:rsidR="007F3AB0">
          <w:rPr>
            <w:noProof/>
            <w:webHidden/>
          </w:rPr>
        </w:r>
        <w:r w:rsidR="007F3AB0">
          <w:rPr>
            <w:noProof/>
            <w:webHidden/>
          </w:rPr>
          <w:fldChar w:fldCharType="separate"/>
        </w:r>
        <w:r w:rsidR="00AE2496">
          <w:rPr>
            <w:noProof/>
            <w:webHidden/>
          </w:rPr>
          <w:t>141</w:t>
        </w:r>
        <w:r w:rsidR="007F3AB0">
          <w:rPr>
            <w:noProof/>
            <w:webHidden/>
          </w:rPr>
          <w:fldChar w:fldCharType="end"/>
        </w:r>
      </w:hyperlink>
    </w:p>
    <w:p w14:paraId="28C3DB21" w14:textId="1F923E45" w:rsidR="007F3AB0" w:rsidRDefault="0032505C">
      <w:pPr>
        <w:pStyle w:val="ekillerTablosu"/>
        <w:tabs>
          <w:tab w:val="right" w:leader="dot" w:pos="9060"/>
        </w:tabs>
        <w:rPr>
          <w:rFonts w:eastAsiaTheme="minorEastAsia" w:cstheme="minorBidi"/>
          <w:noProof/>
          <w:lang w:eastAsia="tr-TR"/>
        </w:rPr>
      </w:pPr>
      <w:hyperlink w:anchor="_Toc195868872" w:history="1">
        <w:r w:rsidR="007F3AB0" w:rsidRPr="00700639">
          <w:rPr>
            <w:rStyle w:val="Kpr"/>
            <w:b/>
            <w:bCs/>
            <w:noProof/>
          </w:rPr>
          <w:t>Şekil 9.11: Enerji Dönüşüm Sektörüne Ait Şikâyetlerin Alt Sınıflandırmasının Yüzdesel Dağılımı</w:t>
        </w:r>
        <w:r w:rsidR="007F3AB0">
          <w:rPr>
            <w:noProof/>
            <w:webHidden/>
          </w:rPr>
          <w:tab/>
        </w:r>
        <w:r w:rsidR="007F3AB0">
          <w:rPr>
            <w:noProof/>
            <w:webHidden/>
          </w:rPr>
          <w:fldChar w:fldCharType="begin"/>
        </w:r>
        <w:r w:rsidR="007F3AB0">
          <w:rPr>
            <w:noProof/>
            <w:webHidden/>
          </w:rPr>
          <w:instrText xml:space="preserve"> PAGEREF _Toc195868872 \h </w:instrText>
        </w:r>
        <w:r w:rsidR="007F3AB0">
          <w:rPr>
            <w:noProof/>
            <w:webHidden/>
          </w:rPr>
        </w:r>
        <w:r w:rsidR="007F3AB0">
          <w:rPr>
            <w:noProof/>
            <w:webHidden/>
          </w:rPr>
          <w:fldChar w:fldCharType="separate"/>
        </w:r>
        <w:r w:rsidR="00AE2496">
          <w:rPr>
            <w:noProof/>
            <w:webHidden/>
          </w:rPr>
          <w:t>142</w:t>
        </w:r>
        <w:r w:rsidR="007F3AB0">
          <w:rPr>
            <w:noProof/>
            <w:webHidden/>
          </w:rPr>
          <w:fldChar w:fldCharType="end"/>
        </w:r>
      </w:hyperlink>
    </w:p>
    <w:p w14:paraId="7CBA507C" w14:textId="62472E26" w:rsidR="007F3AB0" w:rsidRDefault="0032505C">
      <w:pPr>
        <w:pStyle w:val="ekillerTablosu"/>
        <w:tabs>
          <w:tab w:val="right" w:leader="dot" w:pos="9060"/>
        </w:tabs>
        <w:rPr>
          <w:rFonts w:eastAsiaTheme="minorEastAsia" w:cstheme="minorBidi"/>
          <w:noProof/>
          <w:lang w:eastAsia="tr-TR"/>
        </w:rPr>
      </w:pPr>
      <w:hyperlink w:anchor="_Toc195868873" w:history="1">
        <w:r w:rsidR="007F3AB0" w:rsidRPr="00700639">
          <w:rPr>
            <w:rStyle w:val="Kpr"/>
            <w:b/>
            <w:bCs/>
            <w:noProof/>
          </w:rPr>
          <w:t>Tablo 11.1: 2024 Yılında Gelen Soru Önergelerinin Konu Bazında Dağılımı</w:t>
        </w:r>
        <w:r w:rsidR="007F3AB0">
          <w:rPr>
            <w:noProof/>
            <w:webHidden/>
          </w:rPr>
          <w:tab/>
        </w:r>
        <w:r w:rsidR="007F3AB0">
          <w:rPr>
            <w:noProof/>
            <w:webHidden/>
          </w:rPr>
          <w:fldChar w:fldCharType="begin"/>
        </w:r>
        <w:r w:rsidR="007F3AB0">
          <w:rPr>
            <w:noProof/>
            <w:webHidden/>
          </w:rPr>
          <w:instrText xml:space="preserve"> PAGEREF _Toc195868873 \h </w:instrText>
        </w:r>
        <w:r w:rsidR="007F3AB0">
          <w:rPr>
            <w:noProof/>
            <w:webHidden/>
          </w:rPr>
        </w:r>
        <w:r w:rsidR="007F3AB0">
          <w:rPr>
            <w:noProof/>
            <w:webHidden/>
          </w:rPr>
          <w:fldChar w:fldCharType="separate"/>
        </w:r>
        <w:r w:rsidR="00AE2496">
          <w:rPr>
            <w:noProof/>
            <w:webHidden/>
          </w:rPr>
          <w:t>144</w:t>
        </w:r>
        <w:r w:rsidR="007F3AB0">
          <w:rPr>
            <w:noProof/>
            <w:webHidden/>
          </w:rPr>
          <w:fldChar w:fldCharType="end"/>
        </w:r>
      </w:hyperlink>
    </w:p>
    <w:p w14:paraId="12AE9A8A" w14:textId="3C4012E3" w:rsidR="007F3AB0" w:rsidRDefault="0032505C">
      <w:pPr>
        <w:pStyle w:val="ekillerTablosu"/>
        <w:tabs>
          <w:tab w:val="right" w:leader="dot" w:pos="9060"/>
        </w:tabs>
        <w:rPr>
          <w:rFonts w:eastAsiaTheme="minorEastAsia" w:cstheme="minorBidi"/>
          <w:noProof/>
          <w:lang w:eastAsia="tr-TR"/>
        </w:rPr>
      </w:pPr>
      <w:hyperlink w:anchor="_Toc195868874" w:history="1">
        <w:r w:rsidR="007F3AB0" w:rsidRPr="00700639">
          <w:rPr>
            <w:rStyle w:val="Kpr"/>
            <w:b/>
            <w:bCs/>
            <w:noProof/>
          </w:rPr>
          <w:t>Şekil 11.1: 2024 Yılında Gelen Soru Önergelerinin Konu Bazında Yüzdesel Dağılımı</w:t>
        </w:r>
        <w:r w:rsidR="007F3AB0">
          <w:rPr>
            <w:noProof/>
            <w:webHidden/>
          </w:rPr>
          <w:tab/>
        </w:r>
        <w:r w:rsidR="007F3AB0">
          <w:rPr>
            <w:noProof/>
            <w:webHidden/>
          </w:rPr>
          <w:fldChar w:fldCharType="begin"/>
        </w:r>
        <w:r w:rsidR="007F3AB0">
          <w:rPr>
            <w:noProof/>
            <w:webHidden/>
          </w:rPr>
          <w:instrText xml:space="preserve"> PAGEREF _Toc195868874 \h </w:instrText>
        </w:r>
        <w:r w:rsidR="007F3AB0">
          <w:rPr>
            <w:noProof/>
            <w:webHidden/>
          </w:rPr>
        </w:r>
        <w:r w:rsidR="007F3AB0">
          <w:rPr>
            <w:noProof/>
            <w:webHidden/>
          </w:rPr>
          <w:fldChar w:fldCharType="separate"/>
        </w:r>
        <w:r w:rsidR="00AE2496">
          <w:rPr>
            <w:noProof/>
            <w:webHidden/>
          </w:rPr>
          <w:t>144</w:t>
        </w:r>
        <w:r w:rsidR="007F3AB0">
          <w:rPr>
            <w:noProof/>
            <w:webHidden/>
          </w:rPr>
          <w:fldChar w:fldCharType="end"/>
        </w:r>
      </w:hyperlink>
    </w:p>
    <w:p w14:paraId="4F6B4C6A" w14:textId="79550DE2" w:rsidR="007F3AB0" w:rsidRDefault="0032505C">
      <w:pPr>
        <w:pStyle w:val="ekillerTablosu"/>
        <w:tabs>
          <w:tab w:val="right" w:leader="dot" w:pos="9060"/>
        </w:tabs>
        <w:rPr>
          <w:rFonts w:eastAsiaTheme="minorEastAsia" w:cstheme="minorBidi"/>
          <w:noProof/>
          <w:lang w:eastAsia="tr-TR"/>
        </w:rPr>
      </w:pPr>
      <w:hyperlink w:anchor="_Toc195868875" w:history="1">
        <w:r w:rsidR="007F3AB0" w:rsidRPr="00700639">
          <w:rPr>
            <w:rStyle w:val="Kpr"/>
            <w:b/>
            <w:noProof/>
          </w:rPr>
          <w:t>Tablo 13.1: 2024 Yılında Kurumda Göreve Başlayan Personele İlişkin Bilgiler</w:t>
        </w:r>
        <w:r w:rsidR="007F3AB0">
          <w:rPr>
            <w:noProof/>
            <w:webHidden/>
          </w:rPr>
          <w:tab/>
        </w:r>
        <w:r w:rsidR="007F3AB0">
          <w:rPr>
            <w:noProof/>
            <w:webHidden/>
          </w:rPr>
          <w:fldChar w:fldCharType="begin"/>
        </w:r>
        <w:r w:rsidR="007F3AB0">
          <w:rPr>
            <w:noProof/>
            <w:webHidden/>
          </w:rPr>
          <w:instrText xml:space="preserve"> PAGEREF _Toc195868875 \h </w:instrText>
        </w:r>
        <w:r w:rsidR="007F3AB0">
          <w:rPr>
            <w:noProof/>
            <w:webHidden/>
          </w:rPr>
        </w:r>
        <w:r w:rsidR="007F3AB0">
          <w:rPr>
            <w:noProof/>
            <w:webHidden/>
          </w:rPr>
          <w:fldChar w:fldCharType="separate"/>
        </w:r>
        <w:r w:rsidR="00AE2496">
          <w:rPr>
            <w:noProof/>
            <w:webHidden/>
          </w:rPr>
          <w:t>151</w:t>
        </w:r>
        <w:r w:rsidR="007F3AB0">
          <w:rPr>
            <w:noProof/>
            <w:webHidden/>
          </w:rPr>
          <w:fldChar w:fldCharType="end"/>
        </w:r>
      </w:hyperlink>
    </w:p>
    <w:p w14:paraId="625F65C2" w14:textId="32A9DAA8" w:rsidR="007F3AB0" w:rsidRDefault="0032505C">
      <w:pPr>
        <w:pStyle w:val="ekillerTablosu"/>
        <w:tabs>
          <w:tab w:val="right" w:leader="dot" w:pos="9060"/>
        </w:tabs>
        <w:rPr>
          <w:rFonts w:eastAsiaTheme="minorEastAsia" w:cstheme="minorBidi"/>
          <w:noProof/>
          <w:lang w:eastAsia="tr-TR"/>
        </w:rPr>
      </w:pPr>
      <w:hyperlink w:anchor="_Toc195868876" w:history="1">
        <w:r w:rsidR="007F3AB0" w:rsidRPr="00700639">
          <w:rPr>
            <w:rStyle w:val="Kpr"/>
            <w:b/>
            <w:noProof/>
          </w:rPr>
          <w:t>Tablo 13.2: 2024 Yılında Kurumdan Ayrılan Personele İlişkin Bilgiler</w:t>
        </w:r>
        <w:r w:rsidR="007F3AB0">
          <w:rPr>
            <w:noProof/>
            <w:webHidden/>
          </w:rPr>
          <w:tab/>
        </w:r>
        <w:r w:rsidR="007F3AB0">
          <w:rPr>
            <w:noProof/>
            <w:webHidden/>
          </w:rPr>
          <w:fldChar w:fldCharType="begin"/>
        </w:r>
        <w:r w:rsidR="007F3AB0">
          <w:rPr>
            <w:noProof/>
            <w:webHidden/>
          </w:rPr>
          <w:instrText xml:space="preserve"> PAGEREF _Toc195868876 \h </w:instrText>
        </w:r>
        <w:r w:rsidR="007F3AB0">
          <w:rPr>
            <w:noProof/>
            <w:webHidden/>
          </w:rPr>
        </w:r>
        <w:r w:rsidR="007F3AB0">
          <w:rPr>
            <w:noProof/>
            <w:webHidden/>
          </w:rPr>
          <w:fldChar w:fldCharType="separate"/>
        </w:r>
        <w:r w:rsidR="00AE2496">
          <w:rPr>
            <w:noProof/>
            <w:webHidden/>
          </w:rPr>
          <w:t>152</w:t>
        </w:r>
        <w:r w:rsidR="007F3AB0">
          <w:rPr>
            <w:noProof/>
            <w:webHidden/>
          </w:rPr>
          <w:fldChar w:fldCharType="end"/>
        </w:r>
      </w:hyperlink>
    </w:p>
    <w:p w14:paraId="00CFA8DC" w14:textId="6D8D1313" w:rsidR="007F3AB0" w:rsidRDefault="0032505C">
      <w:pPr>
        <w:pStyle w:val="ekillerTablosu"/>
        <w:tabs>
          <w:tab w:val="right" w:leader="dot" w:pos="9060"/>
        </w:tabs>
        <w:rPr>
          <w:rFonts w:eastAsiaTheme="minorEastAsia" w:cstheme="minorBidi"/>
          <w:noProof/>
          <w:lang w:eastAsia="tr-TR"/>
        </w:rPr>
      </w:pPr>
      <w:hyperlink w:anchor="_Toc195868877" w:history="1">
        <w:r w:rsidR="007F3AB0" w:rsidRPr="00700639">
          <w:rPr>
            <w:rStyle w:val="Kpr"/>
            <w:rFonts w:cstheme="minorHAnsi"/>
            <w:b/>
            <w:noProof/>
          </w:rPr>
          <w:t>Tablo 13.3:  Kurum Personeli Kadro Dağılımı</w:t>
        </w:r>
        <w:r w:rsidR="007F3AB0">
          <w:rPr>
            <w:noProof/>
            <w:webHidden/>
          </w:rPr>
          <w:tab/>
        </w:r>
        <w:r w:rsidR="007F3AB0">
          <w:rPr>
            <w:noProof/>
            <w:webHidden/>
          </w:rPr>
          <w:fldChar w:fldCharType="begin"/>
        </w:r>
        <w:r w:rsidR="007F3AB0">
          <w:rPr>
            <w:noProof/>
            <w:webHidden/>
          </w:rPr>
          <w:instrText xml:space="preserve"> PAGEREF _Toc195868877 \h </w:instrText>
        </w:r>
        <w:r w:rsidR="007F3AB0">
          <w:rPr>
            <w:noProof/>
            <w:webHidden/>
          </w:rPr>
        </w:r>
        <w:r w:rsidR="007F3AB0">
          <w:rPr>
            <w:noProof/>
            <w:webHidden/>
          </w:rPr>
          <w:fldChar w:fldCharType="separate"/>
        </w:r>
        <w:r w:rsidR="00AE2496">
          <w:rPr>
            <w:noProof/>
            <w:webHidden/>
          </w:rPr>
          <w:t>152</w:t>
        </w:r>
        <w:r w:rsidR="007F3AB0">
          <w:rPr>
            <w:noProof/>
            <w:webHidden/>
          </w:rPr>
          <w:fldChar w:fldCharType="end"/>
        </w:r>
      </w:hyperlink>
    </w:p>
    <w:p w14:paraId="398DAA2F" w14:textId="1D69F075" w:rsidR="007F3AB0" w:rsidRDefault="0032505C">
      <w:pPr>
        <w:pStyle w:val="ekillerTablosu"/>
        <w:tabs>
          <w:tab w:val="right" w:leader="dot" w:pos="9060"/>
        </w:tabs>
        <w:rPr>
          <w:rFonts w:eastAsiaTheme="minorEastAsia" w:cstheme="minorBidi"/>
          <w:noProof/>
          <w:lang w:eastAsia="tr-TR"/>
        </w:rPr>
      </w:pPr>
      <w:hyperlink w:anchor="_Toc195868878" w:history="1">
        <w:r w:rsidR="007F3AB0" w:rsidRPr="00700639">
          <w:rPr>
            <w:rStyle w:val="Kpr"/>
            <w:rFonts w:cstheme="minorHAnsi"/>
            <w:b/>
            <w:noProof/>
          </w:rPr>
          <w:t>Tablo 13.4:  Yıllara Göre Kurum Personel Sayısı</w:t>
        </w:r>
        <w:r w:rsidR="007F3AB0">
          <w:rPr>
            <w:noProof/>
            <w:webHidden/>
          </w:rPr>
          <w:tab/>
        </w:r>
        <w:r w:rsidR="007F3AB0">
          <w:rPr>
            <w:noProof/>
            <w:webHidden/>
          </w:rPr>
          <w:fldChar w:fldCharType="begin"/>
        </w:r>
        <w:r w:rsidR="007F3AB0">
          <w:rPr>
            <w:noProof/>
            <w:webHidden/>
          </w:rPr>
          <w:instrText xml:space="preserve"> PAGEREF _Toc195868878 \h </w:instrText>
        </w:r>
        <w:r w:rsidR="007F3AB0">
          <w:rPr>
            <w:noProof/>
            <w:webHidden/>
          </w:rPr>
        </w:r>
        <w:r w:rsidR="007F3AB0">
          <w:rPr>
            <w:noProof/>
            <w:webHidden/>
          </w:rPr>
          <w:fldChar w:fldCharType="separate"/>
        </w:r>
        <w:r w:rsidR="00AE2496">
          <w:rPr>
            <w:noProof/>
            <w:webHidden/>
          </w:rPr>
          <w:t>154</w:t>
        </w:r>
        <w:r w:rsidR="007F3AB0">
          <w:rPr>
            <w:noProof/>
            <w:webHidden/>
          </w:rPr>
          <w:fldChar w:fldCharType="end"/>
        </w:r>
      </w:hyperlink>
    </w:p>
    <w:p w14:paraId="0AC691A3" w14:textId="5391C839" w:rsidR="007F3AB0" w:rsidRDefault="0032505C">
      <w:pPr>
        <w:pStyle w:val="ekillerTablosu"/>
        <w:tabs>
          <w:tab w:val="right" w:leader="dot" w:pos="9060"/>
        </w:tabs>
        <w:rPr>
          <w:rFonts w:eastAsiaTheme="minorEastAsia" w:cstheme="minorBidi"/>
          <w:noProof/>
          <w:lang w:eastAsia="tr-TR"/>
        </w:rPr>
      </w:pPr>
      <w:hyperlink w:anchor="_Toc195868879" w:history="1">
        <w:r w:rsidR="007F3AB0" w:rsidRPr="00700639">
          <w:rPr>
            <w:rStyle w:val="Kpr"/>
            <w:b/>
            <w:noProof/>
          </w:rPr>
          <w:t>Tablo 13.5: 2024 Yılında Kurumdan Ayrılan Personele İlişkin Bilgiler (Sürekli İşçi)</w:t>
        </w:r>
        <w:r w:rsidR="007F3AB0">
          <w:rPr>
            <w:noProof/>
            <w:webHidden/>
          </w:rPr>
          <w:tab/>
        </w:r>
        <w:r w:rsidR="007F3AB0">
          <w:rPr>
            <w:noProof/>
            <w:webHidden/>
          </w:rPr>
          <w:fldChar w:fldCharType="begin"/>
        </w:r>
        <w:r w:rsidR="007F3AB0">
          <w:rPr>
            <w:noProof/>
            <w:webHidden/>
          </w:rPr>
          <w:instrText xml:space="preserve"> PAGEREF _Toc195868879 \h </w:instrText>
        </w:r>
        <w:r w:rsidR="007F3AB0">
          <w:rPr>
            <w:noProof/>
            <w:webHidden/>
          </w:rPr>
        </w:r>
        <w:r w:rsidR="007F3AB0">
          <w:rPr>
            <w:noProof/>
            <w:webHidden/>
          </w:rPr>
          <w:fldChar w:fldCharType="separate"/>
        </w:r>
        <w:r w:rsidR="00AE2496">
          <w:rPr>
            <w:noProof/>
            <w:webHidden/>
          </w:rPr>
          <w:t>154</w:t>
        </w:r>
        <w:r w:rsidR="007F3AB0">
          <w:rPr>
            <w:noProof/>
            <w:webHidden/>
          </w:rPr>
          <w:fldChar w:fldCharType="end"/>
        </w:r>
      </w:hyperlink>
    </w:p>
    <w:p w14:paraId="7ECDE0DE" w14:textId="134D9A83" w:rsidR="007F3AB0" w:rsidRDefault="0032505C">
      <w:pPr>
        <w:pStyle w:val="ekillerTablosu"/>
        <w:tabs>
          <w:tab w:val="right" w:leader="dot" w:pos="9060"/>
        </w:tabs>
        <w:rPr>
          <w:rFonts w:eastAsiaTheme="minorEastAsia" w:cstheme="minorBidi"/>
          <w:noProof/>
          <w:lang w:eastAsia="tr-TR"/>
        </w:rPr>
      </w:pPr>
      <w:hyperlink w:anchor="_Toc195868880" w:history="1">
        <w:r w:rsidR="007F3AB0" w:rsidRPr="00700639">
          <w:rPr>
            <w:rStyle w:val="Kpr"/>
            <w:b/>
            <w:noProof/>
          </w:rPr>
          <w:t>Tablo 13.6: Kurum Personeli Kadro Dağılımı (Sürekli İşçi)</w:t>
        </w:r>
        <w:r w:rsidR="007F3AB0">
          <w:rPr>
            <w:noProof/>
            <w:webHidden/>
          </w:rPr>
          <w:tab/>
        </w:r>
        <w:r w:rsidR="007F3AB0">
          <w:rPr>
            <w:noProof/>
            <w:webHidden/>
          </w:rPr>
          <w:fldChar w:fldCharType="begin"/>
        </w:r>
        <w:r w:rsidR="007F3AB0">
          <w:rPr>
            <w:noProof/>
            <w:webHidden/>
          </w:rPr>
          <w:instrText xml:space="preserve"> PAGEREF _Toc195868880 \h </w:instrText>
        </w:r>
        <w:r w:rsidR="007F3AB0">
          <w:rPr>
            <w:noProof/>
            <w:webHidden/>
          </w:rPr>
        </w:r>
        <w:r w:rsidR="007F3AB0">
          <w:rPr>
            <w:noProof/>
            <w:webHidden/>
          </w:rPr>
          <w:fldChar w:fldCharType="separate"/>
        </w:r>
        <w:r w:rsidR="00AE2496">
          <w:rPr>
            <w:noProof/>
            <w:webHidden/>
          </w:rPr>
          <w:t>154</w:t>
        </w:r>
        <w:r w:rsidR="007F3AB0">
          <w:rPr>
            <w:noProof/>
            <w:webHidden/>
          </w:rPr>
          <w:fldChar w:fldCharType="end"/>
        </w:r>
      </w:hyperlink>
    </w:p>
    <w:p w14:paraId="3B38AFDE" w14:textId="1A964E27" w:rsidR="007F3AB0" w:rsidRDefault="0032505C">
      <w:pPr>
        <w:pStyle w:val="ekillerTablosu"/>
        <w:tabs>
          <w:tab w:val="right" w:leader="dot" w:pos="9060"/>
        </w:tabs>
        <w:rPr>
          <w:rFonts w:eastAsiaTheme="minorEastAsia" w:cstheme="minorBidi"/>
          <w:noProof/>
          <w:lang w:eastAsia="tr-TR"/>
        </w:rPr>
      </w:pPr>
      <w:hyperlink w:anchor="_Toc195868881" w:history="1">
        <w:r w:rsidR="007F3AB0" w:rsidRPr="00700639">
          <w:rPr>
            <w:rStyle w:val="Kpr"/>
            <w:b/>
            <w:noProof/>
          </w:rPr>
          <w:t>Tablo 14.1: Yıllar İtibarıyla T.C. Hazine ve Maliye Bakanlığına Aktarılan Gelir Fazlası (TL)</w:t>
        </w:r>
        <w:r w:rsidR="007F3AB0">
          <w:rPr>
            <w:noProof/>
            <w:webHidden/>
          </w:rPr>
          <w:tab/>
        </w:r>
        <w:r w:rsidR="007F3AB0">
          <w:rPr>
            <w:noProof/>
            <w:webHidden/>
          </w:rPr>
          <w:fldChar w:fldCharType="begin"/>
        </w:r>
        <w:r w:rsidR="007F3AB0">
          <w:rPr>
            <w:noProof/>
            <w:webHidden/>
          </w:rPr>
          <w:instrText xml:space="preserve"> PAGEREF _Toc195868881 \h </w:instrText>
        </w:r>
        <w:r w:rsidR="007F3AB0">
          <w:rPr>
            <w:noProof/>
            <w:webHidden/>
          </w:rPr>
        </w:r>
        <w:r w:rsidR="007F3AB0">
          <w:rPr>
            <w:noProof/>
            <w:webHidden/>
          </w:rPr>
          <w:fldChar w:fldCharType="separate"/>
        </w:r>
        <w:r w:rsidR="00AE2496">
          <w:rPr>
            <w:noProof/>
            <w:webHidden/>
          </w:rPr>
          <w:t>157</w:t>
        </w:r>
        <w:r w:rsidR="007F3AB0">
          <w:rPr>
            <w:noProof/>
            <w:webHidden/>
          </w:rPr>
          <w:fldChar w:fldCharType="end"/>
        </w:r>
      </w:hyperlink>
    </w:p>
    <w:p w14:paraId="36D5B11E" w14:textId="6AB571CC" w:rsidR="00F4087E" w:rsidRPr="002048A7" w:rsidRDefault="00364BDD" w:rsidP="008C40F5">
      <w:pPr>
        <w:spacing w:after="0"/>
      </w:pPr>
      <w:r w:rsidRPr="002048A7">
        <w:rPr>
          <w:rFonts w:cstheme="minorHAnsi"/>
        </w:rPr>
        <w:fldChar w:fldCharType="end"/>
      </w:r>
    </w:p>
    <w:p w14:paraId="3EF8970D" w14:textId="77777777" w:rsidR="00F4087E" w:rsidRPr="002048A7" w:rsidRDefault="00F4087E" w:rsidP="00A02EDE">
      <w:pPr>
        <w:spacing w:after="0"/>
      </w:pPr>
    </w:p>
    <w:p w14:paraId="61C7AEAE" w14:textId="77777777" w:rsidR="005720F4" w:rsidRPr="002048A7" w:rsidRDefault="005720F4" w:rsidP="00A02EDE">
      <w:pPr>
        <w:spacing w:after="0"/>
      </w:pPr>
    </w:p>
    <w:p w14:paraId="448524B3" w14:textId="77777777" w:rsidR="003528E3" w:rsidRPr="002048A7" w:rsidRDefault="003528E3" w:rsidP="00A02EDE">
      <w:pPr>
        <w:spacing w:after="0"/>
      </w:pPr>
    </w:p>
    <w:p w14:paraId="42DDB88D" w14:textId="77777777" w:rsidR="00EE3616" w:rsidRPr="002048A7" w:rsidRDefault="00EE3616">
      <w:pPr>
        <w:rPr>
          <w:rFonts w:eastAsiaTheme="minorHAnsi" w:cstheme="minorBidi"/>
          <w:b/>
        </w:rPr>
      </w:pPr>
      <w:r w:rsidRPr="002048A7">
        <w:rPr>
          <w:rFonts w:eastAsiaTheme="minorHAnsi" w:cstheme="minorBidi"/>
          <w:b/>
        </w:rPr>
        <w:br w:type="page"/>
      </w:r>
    </w:p>
    <w:p w14:paraId="4EFDC4AD" w14:textId="77777777" w:rsidR="003528E3" w:rsidRPr="002048A7" w:rsidRDefault="003528E3" w:rsidP="008C0C45">
      <w:pPr>
        <w:rPr>
          <w:b/>
        </w:rPr>
      </w:pPr>
      <w:r w:rsidRPr="002048A7">
        <w:rPr>
          <w:b/>
        </w:rPr>
        <w:lastRenderedPageBreak/>
        <w:t>KISALTMALAR</w:t>
      </w:r>
    </w:p>
    <w:p w14:paraId="786EF750" w14:textId="77777777" w:rsidR="009E6287" w:rsidRPr="002048A7" w:rsidRDefault="009E6287" w:rsidP="00A02EDE">
      <w:pPr>
        <w:spacing w:after="100"/>
        <w:rPr>
          <w:rFonts w:eastAsiaTheme="minorHAnsi" w:cstheme="minorBidi"/>
          <w:b/>
        </w:rPr>
      </w:pPr>
      <w:r w:rsidRPr="002048A7">
        <w:rPr>
          <w:rFonts w:eastAsiaTheme="minorHAnsi" w:cstheme="minorBidi"/>
          <w:b/>
        </w:rPr>
        <w:t xml:space="preserve">AB: </w:t>
      </w:r>
      <w:r w:rsidRPr="002048A7">
        <w:rPr>
          <w:rFonts w:eastAsiaTheme="minorHAnsi" w:cstheme="minorBidi"/>
        </w:rPr>
        <w:t>Avrupa Birliği</w:t>
      </w:r>
    </w:p>
    <w:p w14:paraId="5412A96E" w14:textId="77777777" w:rsidR="003528E3" w:rsidRPr="002048A7" w:rsidRDefault="003528E3" w:rsidP="00A02EDE">
      <w:pPr>
        <w:spacing w:after="100"/>
        <w:rPr>
          <w:rFonts w:eastAsiaTheme="minorHAnsi" w:cstheme="minorBidi"/>
          <w:bCs/>
          <w:color w:val="000000" w:themeColor="text1"/>
        </w:rPr>
      </w:pPr>
      <w:r w:rsidRPr="002048A7">
        <w:rPr>
          <w:rFonts w:eastAsiaTheme="minorHAnsi" w:cstheme="minorBidi"/>
          <w:b/>
          <w:bCs/>
          <w:color w:val="000000" w:themeColor="text1"/>
        </w:rPr>
        <w:t xml:space="preserve">AG: </w:t>
      </w:r>
      <w:r w:rsidRPr="002048A7">
        <w:rPr>
          <w:rFonts w:eastAsiaTheme="minorHAnsi" w:cstheme="minorBidi"/>
          <w:bCs/>
          <w:color w:val="000000" w:themeColor="text1"/>
        </w:rPr>
        <w:t>Alçak Gerilim</w:t>
      </w:r>
    </w:p>
    <w:p w14:paraId="6AFAB40E" w14:textId="77777777" w:rsidR="003528E3" w:rsidRPr="002048A7" w:rsidRDefault="003528E3" w:rsidP="00A02EDE">
      <w:pPr>
        <w:spacing w:after="100"/>
        <w:rPr>
          <w:rFonts w:eastAsiaTheme="minorHAnsi" w:cstheme="minorBidi"/>
        </w:rPr>
      </w:pPr>
      <w:r w:rsidRPr="002048A7">
        <w:rPr>
          <w:rFonts w:eastAsiaTheme="minorHAnsi" w:cstheme="minorBidi"/>
          <w:b/>
        </w:rPr>
        <w:t>Bakanlık</w:t>
      </w:r>
      <w:r w:rsidR="00797745" w:rsidRPr="002048A7">
        <w:rPr>
          <w:rFonts w:eastAsiaTheme="minorHAnsi" w:cstheme="minorBidi"/>
          <w:b/>
        </w:rPr>
        <w:t>/ETKB</w:t>
      </w:r>
      <w:r w:rsidRPr="002048A7">
        <w:rPr>
          <w:rFonts w:eastAsiaTheme="minorHAnsi" w:cstheme="minorBidi"/>
          <w:b/>
        </w:rPr>
        <w:t xml:space="preserve">: </w:t>
      </w:r>
      <w:r w:rsidRPr="002048A7">
        <w:rPr>
          <w:rFonts w:eastAsiaTheme="minorHAnsi" w:cstheme="minorBidi"/>
        </w:rPr>
        <w:t>Enerji ve Tabii Kaynaklar Bakanlığı</w:t>
      </w:r>
    </w:p>
    <w:p w14:paraId="2EDA67C9" w14:textId="77777777" w:rsidR="003528E3" w:rsidRPr="002048A7" w:rsidRDefault="003528E3" w:rsidP="00A02EDE">
      <w:pPr>
        <w:spacing w:after="100"/>
        <w:rPr>
          <w:rFonts w:eastAsiaTheme="minorHAnsi" w:cstheme="minorBidi"/>
        </w:rPr>
      </w:pPr>
      <w:r w:rsidRPr="002048A7">
        <w:rPr>
          <w:rFonts w:eastAsiaTheme="minorHAnsi" w:cstheme="minorBidi"/>
          <w:b/>
        </w:rPr>
        <w:t>BGYS:</w:t>
      </w:r>
      <w:r w:rsidRPr="002048A7">
        <w:rPr>
          <w:rFonts w:eastAsiaTheme="minorHAnsi" w:cstheme="minorBidi"/>
        </w:rPr>
        <w:t xml:space="preserve"> Bilgi Güvenliği Yönetim Sistemi</w:t>
      </w:r>
    </w:p>
    <w:p w14:paraId="0BCC56AD" w14:textId="77777777" w:rsidR="003528E3" w:rsidRPr="002048A7" w:rsidRDefault="003528E3" w:rsidP="00A02EDE">
      <w:pPr>
        <w:spacing w:after="100"/>
        <w:rPr>
          <w:rFonts w:eastAsiaTheme="minorHAnsi" w:cstheme="minorBidi"/>
          <w:color w:val="000000" w:themeColor="text1"/>
        </w:rPr>
      </w:pPr>
      <w:r w:rsidRPr="002048A7">
        <w:rPr>
          <w:rFonts w:eastAsiaTheme="minorHAnsi" w:cstheme="minorBidi"/>
          <w:b/>
          <w:color w:val="000000" w:themeColor="text1"/>
        </w:rPr>
        <w:t>BOTAŞ:</w:t>
      </w:r>
      <w:r w:rsidR="001F14C3" w:rsidRPr="002048A7">
        <w:rPr>
          <w:rFonts w:eastAsiaTheme="minorHAnsi" w:cstheme="minorBidi"/>
          <w:b/>
          <w:color w:val="000000" w:themeColor="text1"/>
        </w:rPr>
        <w:t xml:space="preserve"> </w:t>
      </w:r>
      <w:hyperlink r:id="rId11" w:tgtFrame="_blank" w:history="1">
        <w:r w:rsidRPr="002048A7">
          <w:rPr>
            <w:rFonts w:eastAsiaTheme="minorHAnsi" w:cstheme="minorBidi"/>
            <w:color w:val="000000" w:themeColor="text1"/>
          </w:rPr>
          <w:t>Boru Hatları İle Petrol Taşıma Anonim Şirketi</w:t>
        </w:r>
      </w:hyperlink>
    </w:p>
    <w:p w14:paraId="3925D75B" w14:textId="77777777" w:rsidR="00FD2C95" w:rsidRPr="002048A7" w:rsidRDefault="00FD2C95" w:rsidP="00A02EDE">
      <w:pPr>
        <w:spacing w:after="100"/>
        <w:rPr>
          <w:rFonts w:eastAsiaTheme="minorHAnsi" w:cstheme="minorBidi"/>
          <w:b/>
          <w:color w:val="000000" w:themeColor="text1"/>
        </w:rPr>
      </w:pPr>
      <w:r w:rsidRPr="002048A7">
        <w:rPr>
          <w:rFonts w:eastAsiaTheme="minorHAnsi" w:cstheme="minorBidi"/>
          <w:b/>
          <w:color w:val="000000" w:themeColor="text1"/>
        </w:rPr>
        <w:t xml:space="preserve">CİMER: </w:t>
      </w:r>
      <w:r w:rsidRPr="002048A7">
        <w:rPr>
          <w:rFonts w:eastAsiaTheme="minorHAnsi" w:cstheme="minorBidi"/>
          <w:color w:val="000000" w:themeColor="text1"/>
        </w:rPr>
        <w:t>Cumhurbaşkanlığı İletişim Merkezi</w:t>
      </w:r>
    </w:p>
    <w:p w14:paraId="7BC393D9" w14:textId="77777777" w:rsidR="003528E3" w:rsidRPr="002048A7" w:rsidRDefault="003528E3" w:rsidP="00A02EDE">
      <w:pPr>
        <w:spacing w:after="100"/>
        <w:rPr>
          <w:rFonts w:eastAsiaTheme="minorHAnsi" w:cstheme="minorBidi"/>
          <w:bCs/>
          <w:color w:val="000000" w:themeColor="text1"/>
        </w:rPr>
      </w:pPr>
      <w:r w:rsidRPr="002048A7">
        <w:rPr>
          <w:rFonts w:eastAsiaTheme="minorHAnsi" w:cstheme="minorBidi"/>
          <w:b/>
          <w:bCs/>
          <w:color w:val="000000" w:themeColor="text1"/>
        </w:rPr>
        <w:t>CNG:</w:t>
      </w:r>
      <w:r w:rsidRPr="002048A7">
        <w:rPr>
          <w:rFonts w:eastAsiaTheme="minorHAnsi" w:cstheme="minorBidi"/>
          <w:bCs/>
          <w:color w:val="000000" w:themeColor="text1"/>
        </w:rPr>
        <w:t xml:space="preserve"> Sıkıştırılmış Doğal Gaz</w:t>
      </w:r>
    </w:p>
    <w:p w14:paraId="190BEB36" w14:textId="77777777" w:rsidR="008C0C45" w:rsidRPr="002048A7" w:rsidRDefault="008C0C45" w:rsidP="00A02EDE">
      <w:pPr>
        <w:spacing w:after="100"/>
        <w:rPr>
          <w:rFonts w:eastAsiaTheme="minorHAnsi" w:cstheme="minorBidi"/>
          <w:bCs/>
          <w:color w:val="000000" w:themeColor="text1"/>
        </w:rPr>
      </w:pPr>
      <w:r w:rsidRPr="002048A7">
        <w:rPr>
          <w:rFonts w:eastAsiaTheme="minorHAnsi" w:cstheme="minorBidi"/>
          <w:b/>
          <w:bCs/>
          <w:color w:val="000000" w:themeColor="text1"/>
        </w:rPr>
        <w:t>DTÖ:</w:t>
      </w:r>
      <w:r w:rsidRPr="002048A7">
        <w:rPr>
          <w:rFonts w:eastAsiaTheme="minorHAnsi" w:cstheme="minorBidi"/>
          <w:bCs/>
          <w:color w:val="000000" w:themeColor="text1"/>
        </w:rPr>
        <w:t xml:space="preserve"> Dünya Ticaret Örgütü</w:t>
      </w:r>
    </w:p>
    <w:p w14:paraId="794B485C" w14:textId="77777777" w:rsidR="003528E3" w:rsidRPr="002048A7" w:rsidRDefault="003528E3" w:rsidP="00A02EDE">
      <w:pPr>
        <w:spacing w:after="100"/>
        <w:rPr>
          <w:rFonts w:eastAsiaTheme="minorHAnsi" w:cstheme="minorBidi"/>
        </w:rPr>
      </w:pPr>
      <w:r w:rsidRPr="002048A7">
        <w:rPr>
          <w:rFonts w:eastAsiaTheme="minorHAnsi" w:cstheme="minorBidi"/>
          <w:b/>
        </w:rPr>
        <w:t>EBİS:</w:t>
      </w:r>
      <w:r w:rsidRPr="002048A7">
        <w:rPr>
          <w:rFonts w:eastAsiaTheme="minorHAnsi" w:cstheme="minorBidi"/>
        </w:rPr>
        <w:t xml:space="preserve"> E</w:t>
      </w:r>
      <w:r w:rsidR="009D3193" w:rsidRPr="002048A7">
        <w:rPr>
          <w:rFonts w:eastAsiaTheme="minorHAnsi" w:cstheme="minorBidi"/>
        </w:rPr>
        <w:t>nerji Piyasası</w:t>
      </w:r>
      <w:r w:rsidRPr="002048A7">
        <w:rPr>
          <w:rFonts w:eastAsiaTheme="minorHAnsi" w:cstheme="minorBidi"/>
        </w:rPr>
        <w:t xml:space="preserve"> Bildirim Sistemi</w:t>
      </w:r>
    </w:p>
    <w:p w14:paraId="5823F824" w14:textId="77777777" w:rsidR="003528E3" w:rsidRPr="002048A7" w:rsidRDefault="003528E3" w:rsidP="00A02EDE">
      <w:pPr>
        <w:spacing w:after="100"/>
        <w:rPr>
          <w:rFonts w:eastAsiaTheme="minorHAnsi" w:cstheme="minorBidi"/>
        </w:rPr>
      </w:pPr>
      <w:r w:rsidRPr="002048A7">
        <w:rPr>
          <w:rFonts w:eastAsia="Times New Roman" w:cstheme="minorBidi"/>
          <w:b/>
          <w:color w:val="000000"/>
          <w:lang w:eastAsia="tr-TR"/>
        </w:rPr>
        <w:t>EBYS:</w:t>
      </w:r>
      <w:r w:rsidR="00F078B2" w:rsidRPr="002048A7">
        <w:rPr>
          <w:rFonts w:eastAsia="Times New Roman" w:cstheme="minorBidi"/>
          <w:b/>
          <w:color w:val="000000"/>
          <w:lang w:eastAsia="tr-TR"/>
        </w:rPr>
        <w:t xml:space="preserve"> </w:t>
      </w:r>
      <w:r w:rsidRPr="002048A7">
        <w:rPr>
          <w:rFonts w:eastAsiaTheme="minorHAnsi" w:cstheme="minorBidi"/>
        </w:rPr>
        <w:t>Elektronik Belge Yönetim Sistemi</w:t>
      </w:r>
    </w:p>
    <w:p w14:paraId="76F36DB1" w14:textId="77777777" w:rsidR="008C0C45" w:rsidRPr="002048A7" w:rsidRDefault="008C0C45" w:rsidP="00A02EDE">
      <w:pPr>
        <w:spacing w:after="100"/>
        <w:rPr>
          <w:rFonts w:eastAsiaTheme="minorHAnsi" w:cstheme="minorBidi"/>
        </w:rPr>
      </w:pPr>
      <w:r w:rsidRPr="002048A7">
        <w:rPr>
          <w:rFonts w:eastAsiaTheme="minorHAnsi" w:cstheme="minorBidi"/>
          <w:b/>
        </w:rPr>
        <w:t xml:space="preserve">ECRB: </w:t>
      </w:r>
      <w:r w:rsidRPr="002048A7">
        <w:rPr>
          <w:rFonts w:eastAsiaTheme="minorHAnsi" w:cstheme="minorBidi"/>
        </w:rPr>
        <w:t>Enerji Topluluğu Düzenleme Kurulu</w:t>
      </w:r>
    </w:p>
    <w:p w14:paraId="73C41FBA" w14:textId="77777777" w:rsidR="00FD2C95" w:rsidRPr="002048A7" w:rsidRDefault="00FD2C95" w:rsidP="00A02EDE">
      <w:pPr>
        <w:spacing w:after="100"/>
      </w:pPr>
      <w:r w:rsidRPr="002048A7">
        <w:rPr>
          <w:b/>
        </w:rPr>
        <w:t xml:space="preserve">EGE-PAL: </w:t>
      </w:r>
      <w:r w:rsidRPr="002048A7">
        <w:t xml:space="preserve">Ege </w:t>
      </w:r>
      <w:r w:rsidR="00D4132F" w:rsidRPr="002048A7">
        <w:t>Üniversitesi-</w:t>
      </w:r>
      <w:r w:rsidRPr="002048A7">
        <w:t xml:space="preserve"> Petrol Araştırma Laboratuvarı</w:t>
      </w:r>
    </w:p>
    <w:p w14:paraId="4602094C" w14:textId="77777777" w:rsidR="008C0C45" w:rsidRPr="002048A7" w:rsidRDefault="008C0C45" w:rsidP="00A02EDE">
      <w:pPr>
        <w:spacing w:after="100"/>
      </w:pPr>
      <w:r w:rsidRPr="002048A7">
        <w:rPr>
          <w:b/>
        </w:rPr>
        <w:t xml:space="preserve">EİT: </w:t>
      </w:r>
      <w:r w:rsidRPr="002048A7">
        <w:t>Ekonomik İş Birliği Teşkilatı</w:t>
      </w:r>
    </w:p>
    <w:p w14:paraId="572B83A5" w14:textId="77777777" w:rsidR="003528E3" w:rsidRPr="002048A7" w:rsidRDefault="003528E3" w:rsidP="00A02EDE">
      <w:pPr>
        <w:spacing w:after="100"/>
        <w:rPr>
          <w:rFonts w:eastAsiaTheme="minorHAnsi" w:cstheme="minorBidi"/>
        </w:rPr>
      </w:pPr>
      <w:r w:rsidRPr="002048A7">
        <w:rPr>
          <w:rFonts w:eastAsiaTheme="minorHAnsi" w:cstheme="minorBidi"/>
          <w:b/>
        </w:rPr>
        <w:t>ENTSO-E:</w:t>
      </w:r>
      <w:r w:rsidRPr="002048A7">
        <w:rPr>
          <w:rFonts w:eastAsiaTheme="minorHAnsi" w:cstheme="minorBidi"/>
        </w:rPr>
        <w:t xml:space="preserve"> Avrupa Elektrik İletim Sistemi İşletmecileri</w:t>
      </w:r>
    </w:p>
    <w:p w14:paraId="3B664561" w14:textId="77777777" w:rsidR="003528E3" w:rsidRPr="002048A7" w:rsidRDefault="003528E3" w:rsidP="00A02EDE">
      <w:pPr>
        <w:spacing w:after="100"/>
        <w:rPr>
          <w:rFonts w:eastAsiaTheme="minorHAnsi" w:cstheme="minorBidi"/>
        </w:rPr>
      </w:pPr>
      <w:r w:rsidRPr="002048A7">
        <w:rPr>
          <w:rFonts w:eastAsiaTheme="minorHAnsi" w:cstheme="minorBidi"/>
          <w:b/>
        </w:rPr>
        <w:t>EPARS:</w:t>
      </w:r>
      <w:r w:rsidRPr="002048A7">
        <w:rPr>
          <w:rFonts w:eastAsiaTheme="minorHAnsi" w:cstheme="minorBidi"/>
        </w:rPr>
        <w:t xml:space="preserve"> Enerji Piyasası Analiz ve Raporlama Sistemi</w:t>
      </w:r>
    </w:p>
    <w:p w14:paraId="5D807E6A" w14:textId="77777777" w:rsidR="003528E3" w:rsidRPr="002048A7" w:rsidRDefault="003528E3" w:rsidP="00A02EDE">
      <w:pPr>
        <w:spacing w:after="100"/>
        <w:rPr>
          <w:rFonts w:eastAsiaTheme="minorHAnsi" w:cstheme="minorBidi"/>
          <w:bCs/>
          <w:color w:val="000000" w:themeColor="text1"/>
        </w:rPr>
      </w:pPr>
      <w:r w:rsidRPr="002048A7">
        <w:rPr>
          <w:rFonts w:eastAsiaTheme="minorHAnsi" w:cstheme="minorBidi"/>
          <w:b/>
        </w:rPr>
        <w:t>EPİAŞ:</w:t>
      </w:r>
      <w:r w:rsidR="00F078B2" w:rsidRPr="002048A7">
        <w:rPr>
          <w:rFonts w:eastAsiaTheme="minorHAnsi" w:cstheme="minorBidi"/>
          <w:b/>
        </w:rPr>
        <w:t xml:space="preserve"> </w:t>
      </w:r>
      <w:r w:rsidRPr="002048A7">
        <w:rPr>
          <w:rFonts w:eastAsia="ヒラギノ明朝 Pro W3" w:cstheme="minorBidi"/>
        </w:rPr>
        <w:t>Enerji Piyasaları İşletme Anonim Şirketi</w:t>
      </w:r>
    </w:p>
    <w:p w14:paraId="257EA318" w14:textId="77777777" w:rsidR="003528E3" w:rsidRPr="002048A7" w:rsidRDefault="003528E3" w:rsidP="00A02EDE">
      <w:pPr>
        <w:spacing w:after="100"/>
        <w:rPr>
          <w:rFonts w:eastAsiaTheme="minorHAnsi" w:cstheme="minorBidi"/>
        </w:rPr>
      </w:pPr>
      <w:r w:rsidRPr="002048A7">
        <w:rPr>
          <w:rFonts w:eastAsiaTheme="minorHAnsi" w:cstheme="minorBidi"/>
          <w:b/>
        </w:rPr>
        <w:t xml:space="preserve">EPVYS: </w:t>
      </w:r>
      <w:r w:rsidRPr="002048A7">
        <w:rPr>
          <w:rFonts w:eastAsiaTheme="minorHAnsi" w:cstheme="minorBidi"/>
        </w:rPr>
        <w:t>Enerji Piyasası Veri Tabanı Yönetim Sistemi</w:t>
      </w:r>
    </w:p>
    <w:p w14:paraId="0643897E" w14:textId="77777777" w:rsidR="003528E3" w:rsidRPr="002048A7" w:rsidRDefault="003528E3" w:rsidP="00A02EDE">
      <w:pPr>
        <w:spacing w:after="100"/>
        <w:rPr>
          <w:rFonts w:eastAsia="Times New Roman" w:cs="Arial"/>
          <w:lang w:eastAsia="tr-TR"/>
        </w:rPr>
      </w:pPr>
      <w:r w:rsidRPr="002048A7">
        <w:rPr>
          <w:rFonts w:eastAsiaTheme="minorHAnsi" w:cstheme="minorBidi"/>
          <w:b/>
        </w:rPr>
        <w:t>ERRA:</w:t>
      </w:r>
      <w:r w:rsidR="00F078B2" w:rsidRPr="002048A7">
        <w:rPr>
          <w:rFonts w:eastAsiaTheme="minorHAnsi" w:cstheme="minorBidi"/>
          <w:b/>
        </w:rPr>
        <w:t xml:space="preserve"> </w:t>
      </w:r>
      <w:r w:rsidRPr="002048A7">
        <w:rPr>
          <w:rFonts w:eastAsia="Times New Roman" w:cs="Arial"/>
          <w:lang w:eastAsia="tr-TR"/>
        </w:rPr>
        <w:t>Enerji Düzenleyicileri Bölgesel Birliği</w:t>
      </w:r>
    </w:p>
    <w:p w14:paraId="67FE5BF8" w14:textId="77777777" w:rsidR="009E6287" w:rsidRPr="002048A7" w:rsidRDefault="009E6287" w:rsidP="00A02EDE">
      <w:pPr>
        <w:spacing w:after="100"/>
        <w:rPr>
          <w:rFonts w:eastAsiaTheme="minorHAnsi" w:cstheme="minorBidi"/>
          <w:b/>
        </w:rPr>
      </w:pPr>
      <w:r w:rsidRPr="002048A7">
        <w:rPr>
          <w:rFonts w:eastAsiaTheme="minorHAnsi" w:cstheme="minorBidi"/>
          <w:b/>
        </w:rPr>
        <w:t xml:space="preserve">ICER: </w:t>
      </w:r>
      <w:r w:rsidR="00797745" w:rsidRPr="002048A7">
        <w:rPr>
          <w:rFonts w:eastAsiaTheme="minorHAnsi" w:cstheme="minorBidi"/>
        </w:rPr>
        <w:t>Uluslararası Enerji Düzenleyicileri Konfederasyonu</w:t>
      </w:r>
    </w:p>
    <w:p w14:paraId="241B37F3" w14:textId="77777777" w:rsidR="00D42084" w:rsidRPr="002048A7" w:rsidRDefault="00D42084" w:rsidP="00A02EDE">
      <w:pPr>
        <w:spacing w:after="100"/>
        <w:rPr>
          <w:rFonts w:eastAsiaTheme="minorHAnsi" w:cstheme="minorBidi"/>
        </w:rPr>
      </w:pPr>
      <w:r w:rsidRPr="002048A7">
        <w:rPr>
          <w:rFonts w:eastAsiaTheme="minorHAnsi" w:cstheme="minorBidi"/>
          <w:b/>
        </w:rPr>
        <w:t>KBK:</w:t>
      </w:r>
      <w:r w:rsidRPr="002048A7">
        <w:rPr>
          <w:rFonts w:eastAsiaTheme="minorHAnsi" w:cstheme="minorBidi"/>
        </w:rPr>
        <w:t xml:space="preserve"> Kurulca Belirlenen Katsayı</w:t>
      </w:r>
    </w:p>
    <w:p w14:paraId="433E2C9C" w14:textId="77777777" w:rsidR="009E6287" w:rsidRPr="002048A7" w:rsidRDefault="009E6287" w:rsidP="00A02EDE">
      <w:pPr>
        <w:spacing w:after="100"/>
      </w:pPr>
      <w:r w:rsidRPr="002048A7">
        <w:rPr>
          <w:b/>
        </w:rPr>
        <w:t>KEİ:</w:t>
      </w:r>
      <w:r w:rsidR="00F078B2" w:rsidRPr="002048A7">
        <w:rPr>
          <w:b/>
        </w:rPr>
        <w:t xml:space="preserve"> </w:t>
      </w:r>
      <w:r w:rsidRPr="002048A7">
        <w:t xml:space="preserve">Karadeniz Ekonomik </w:t>
      </w:r>
      <w:proofErr w:type="gramStart"/>
      <w:r w:rsidRPr="002048A7">
        <w:t>İşbirliği</w:t>
      </w:r>
      <w:proofErr w:type="gramEnd"/>
    </w:p>
    <w:p w14:paraId="43423384" w14:textId="77777777" w:rsidR="00FD2C95" w:rsidRPr="002048A7" w:rsidRDefault="00FD2C95" w:rsidP="00A02EDE">
      <w:pPr>
        <w:spacing w:after="100"/>
      </w:pPr>
      <w:r w:rsidRPr="002048A7">
        <w:rPr>
          <w:b/>
        </w:rPr>
        <w:t>KEP:</w:t>
      </w:r>
      <w:r w:rsidR="00F078B2" w:rsidRPr="002048A7">
        <w:rPr>
          <w:b/>
        </w:rPr>
        <w:t xml:space="preserve"> </w:t>
      </w:r>
      <w:r w:rsidRPr="002048A7">
        <w:t>Kayıtlı Elektronik Posta</w:t>
      </w:r>
    </w:p>
    <w:p w14:paraId="5DBF166F" w14:textId="77777777" w:rsidR="00D045F0" w:rsidRPr="002048A7" w:rsidRDefault="00D045F0" w:rsidP="00A02EDE">
      <w:pPr>
        <w:spacing w:after="100"/>
        <w:rPr>
          <w:b/>
        </w:rPr>
      </w:pPr>
      <w:r w:rsidRPr="002048A7">
        <w:rPr>
          <w:b/>
        </w:rPr>
        <w:t>KKP:</w:t>
      </w:r>
      <w:r w:rsidRPr="002048A7">
        <w:t xml:space="preserve"> Kurumsal Kaynak Planlama</w:t>
      </w:r>
    </w:p>
    <w:p w14:paraId="06CC851B" w14:textId="77777777" w:rsidR="003528E3" w:rsidRPr="002048A7" w:rsidRDefault="003528E3" w:rsidP="00A02EDE">
      <w:pPr>
        <w:spacing w:after="100"/>
        <w:rPr>
          <w:rFonts w:eastAsiaTheme="minorHAnsi" w:cstheme="minorBidi"/>
        </w:rPr>
      </w:pPr>
      <w:r w:rsidRPr="002048A7">
        <w:rPr>
          <w:rFonts w:eastAsiaTheme="minorHAnsi" w:cstheme="minorBidi"/>
          <w:b/>
        </w:rPr>
        <w:t>Kurul:</w:t>
      </w:r>
      <w:r w:rsidRPr="002048A7">
        <w:rPr>
          <w:rFonts w:eastAsiaTheme="minorHAnsi" w:cstheme="minorBidi"/>
        </w:rPr>
        <w:t xml:space="preserve"> Enerji Piyasası Düzenleme Kurulu</w:t>
      </w:r>
    </w:p>
    <w:p w14:paraId="6F1B1C0C" w14:textId="77777777" w:rsidR="003528E3" w:rsidRPr="002048A7" w:rsidRDefault="003528E3" w:rsidP="00A02EDE">
      <w:pPr>
        <w:spacing w:after="100"/>
        <w:rPr>
          <w:rFonts w:eastAsiaTheme="minorHAnsi" w:cstheme="minorBidi"/>
        </w:rPr>
      </w:pPr>
      <w:r w:rsidRPr="002048A7">
        <w:rPr>
          <w:rFonts w:eastAsiaTheme="minorHAnsi" w:cstheme="minorBidi"/>
          <w:b/>
        </w:rPr>
        <w:t>K</w:t>
      </w:r>
      <w:r w:rsidR="00FD2C95" w:rsidRPr="002048A7">
        <w:rPr>
          <w:rFonts w:eastAsiaTheme="minorHAnsi" w:cstheme="minorBidi"/>
          <w:b/>
        </w:rPr>
        <w:t>urum/</w:t>
      </w:r>
      <w:r w:rsidRPr="002048A7">
        <w:rPr>
          <w:rFonts w:eastAsiaTheme="minorHAnsi" w:cstheme="minorBidi"/>
          <w:b/>
        </w:rPr>
        <w:t>EPDK:</w:t>
      </w:r>
      <w:r w:rsidRPr="002048A7">
        <w:rPr>
          <w:rFonts w:eastAsiaTheme="minorHAnsi" w:cstheme="minorBidi"/>
        </w:rPr>
        <w:t xml:space="preserve"> Enerji Piyasası Düzenleme Kurumu</w:t>
      </w:r>
    </w:p>
    <w:p w14:paraId="7E0FDDE2" w14:textId="77777777" w:rsidR="003528E3" w:rsidRPr="002048A7" w:rsidRDefault="003528E3" w:rsidP="00A02EDE">
      <w:pPr>
        <w:spacing w:after="100"/>
        <w:rPr>
          <w:rFonts w:eastAsiaTheme="minorHAnsi" w:cstheme="minorBidi"/>
          <w:bCs/>
          <w:color w:val="000000" w:themeColor="text1"/>
        </w:rPr>
      </w:pPr>
      <w:r w:rsidRPr="002048A7">
        <w:rPr>
          <w:rFonts w:eastAsiaTheme="minorHAnsi" w:cstheme="minorBidi"/>
          <w:b/>
        </w:rPr>
        <w:t xml:space="preserve">LNG: </w:t>
      </w:r>
      <w:r w:rsidRPr="002048A7">
        <w:rPr>
          <w:rFonts w:eastAsiaTheme="minorHAnsi" w:cstheme="minorBidi"/>
          <w:color w:val="000000" w:themeColor="text1"/>
        </w:rPr>
        <w:t>S</w:t>
      </w:r>
      <w:r w:rsidRPr="002048A7">
        <w:rPr>
          <w:rFonts w:eastAsiaTheme="minorHAnsi" w:cstheme="minorBidi"/>
          <w:bCs/>
          <w:color w:val="000000" w:themeColor="text1"/>
        </w:rPr>
        <w:t>ıvılaştırılmış Doğal Gaz</w:t>
      </w:r>
    </w:p>
    <w:p w14:paraId="41C02C19" w14:textId="77777777" w:rsidR="003528E3" w:rsidRPr="002048A7" w:rsidRDefault="003528E3" w:rsidP="00A02EDE">
      <w:pPr>
        <w:spacing w:after="100"/>
        <w:rPr>
          <w:rFonts w:eastAsiaTheme="minorHAnsi" w:cstheme="minorBidi"/>
        </w:rPr>
      </w:pPr>
      <w:r w:rsidRPr="002048A7">
        <w:rPr>
          <w:rFonts w:eastAsiaTheme="minorHAnsi" w:cstheme="minorBidi"/>
          <w:b/>
          <w:color w:val="000000" w:themeColor="text1"/>
          <w:lang w:bidi="ta-IN"/>
        </w:rPr>
        <w:t>LPG:</w:t>
      </w:r>
      <w:r w:rsidR="00F078B2" w:rsidRPr="002048A7">
        <w:rPr>
          <w:rFonts w:eastAsiaTheme="minorHAnsi" w:cstheme="minorBidi"/>
          <w:b/>
          <w:color w:val="000000" w:themeColor="text1"/>
          <w:lang w:bidi="ta-IN"/>
        </w:rPr>
        <w:t xml:space="preserve"> </w:t>
      </w:r>
      <w:r w:rsidRPr="002048A7">
        <w:rPr>
          <w:rFonts w:eastAsiaTheme="minorHAnsi" w:cstheme="minorBidi"/>
        </w:rPr>
        <w:t>Sıvılaştırılmış Petrol Gazları</w:t>
      </w:r>
    </w:p>
    <w:p w14:paraId="0468A4CF" w14:textId="77777777" w:rsidR="00727E8D" w:rsidRPr="002048A7" w:rsidRDefault="00727E8D" w:rsidP="00A02EDE">
      <w:pPr>
        <w:spacing w:after="100"/>
        <w:rPr>
          <w:rFonts w:eastAsiaTheme="minorHAnsi" w:cstheme="minorBidi"/>
        </w:rPr>
      </w:pPr>
      <w:r w:rsidRPr="002048A7">
        <w:rPr>
          <w:rFonts w:eastAsiaTheme="minorHAnsi" w:cstheme="minorBidi"/>
          <w:b/>
        </w:rPr>
        <w:t>LÜY:</w:t>
      </w:r>
      <w:r w:rsidRPr="002048A7">
        <w:rPr>
          <w:rFonts w:eastAsiaTheme="minorHAnsi" w:cstheme="minorBidi"/>
        </w:rPr>
        <w:t xml:space="preserve"> </w:t>
      </w:r>
      <w:r w:rsidR="00D44F80" w:rsidRPr="002048A7">
        <w:rPr>
          <w:rFonts w:eastAsiaTheme="minorHAnsi" w:cstheme="minorBidi"/>
        </w:rPr>
        <w:t xml:space="preserve">Elektrik Piyasasında </w:t>
      </w:r>
      <w:r w:rsidRPr="002048A7">
        <w:rPr>
          <w:rFonts w:eastAsiaTheme="minorHAnsi" w:cstheme="minorBidi"/>
        </w:rPr>
        <w:t>Lisanssız Elektrik Üretim Yönetmeliği</w:t>
      </w:r>
    </w:p>
    <w:p w14:paraId="3D8757FD" w14:textId="77777777" w:rsidR="003528E3" w:rsidRPr="002048A7" w:rsidRDefault="003528E3" w:rsidP="00A02EDE">
      <w:pPr>
        <w:spacing w:after="100"/>
        <w:rPr>
          <w:rFonts w:eastAsia="Times New Roman" w:cs="Arial"/>
          <w:lang w:eastAsia="tr-TR"/>
        </w:rPr>
      </w:pPr>
      <w:r w:rsidRPr="002048A7">
        <w:rPr>
          <w:rFonts w:eastAsia="Times New Roman" w:cs="Arial"/>
          <w:b/>
          <w:lang w:eastAsia="tr-TR"/>
        </w:rPr>
        <w:t>MEDREG:</w:t>
      </w:r>
      <w:r w:rsidRPr="002048A7">
        <w:rPr>
          <w:rFonts w:eastAsia="Times New Roman" w:cs="Arial"/>
          <w:lang w:eastAsia="tr-TR"/>
        </w:rPr>
        <w:t xml:space="preserve"> Akdeniz Elektrik ve Gaz Düzenleyicileri Birliği</w:t>
      </w:r>
    </w:p>
    <w:p w14:paraId="0C4766FF" w14:textId="77777777" w:rsidR="009E6287" w:rsidRPr="002048A7" w:rsidRDefault="009E6287" w:rsidP="00A02EDE">
      <w:pPr>
        <w:spacing w:after="100"/>
        <w:rPr>
          <w:rFonts w:eastAsia="Times New Roman" w:cs="Arial"/>
          <w:lang w:eastAsia="tr-TR"/>
        </w:rPr>
      </w:pPr>
      <w:r w:rsidRPr="002048A7">
        <w:rPr>
          <w:rFonts w:eastAsia="Times New Roman" w:cs="Arial"/>
          <w:b/>
          <w:lang w:eastAsia="tr-TR"/>
        </w:rPr>
        <w:t xml:space="preserve">OECD: </w:t>
      </w:r>
      <w:r w:rsidRPr="002048A7">
        <w:rPr>
          <w:rFonts w:eastAsia="Times New Roman" w:cs="Arial"/>
          <w:lang w:eastAsia="tr-TR"/>
        </w:rPr>
        <w:t xml:space="preserve">Ekonomik </w:t>
      </w:r>
      <w:proofErr w:type="gramStart"/>
      <w:r w:rsidRPr="002048A7">
        <w:rPr>
          <w:rFonts w:eastAsia="Times New Roman" w:cs="Arial"/>
          <w:lang w:eastAsia="tr-TR"/>
        </w:rPr>
        <w:t>İşbirliği</w:t>
      </w:r>
      <w:proofErr w:type="gramEnd"/>
      <w:r w:rsidRPr="002048A7">
        <w:rPr>
          <w:rFonts w:eastAsia="Times New Roman" w:cs="Arial"/>
          <w:lang w:eastAsia="tr-TR"/>
        </w:rPr>
        <w:t xml:space="preserve"> ve Kalkınma Örgütü</w:t>
      </w:r>
    </w:p>
    <w:p w14:paraId="2A46EF33" w14:textId="77777777" w:rsidR="003528E3" w:rsidRPr="002048A7" w:rsidRDefault="003528E3" w:rsidP="00A02EDE">
      <w:pPr>
        <w:spacing w:after="100"/>
        <w:rPr>
          <w:rFonts w:eastAsiaTheme="minorHAnsi" w:cstheme="minorBidi"/>
          <w:bCs/>
          <w:color w:val="000000" w:themeColor="text1"/>
        </w:rPr>
      </w:pPr>
      <w:r w:rsidRPr="002048A7">
        <w:rPr>
          <w:rFonts w:eastAsiaTheme="minorHAnsi" w:cstheme="minorBidi"/>
          <w:b/>
          <w:bCs/>
          <w:color w:val="000000" w:themeColor="text1"/>
        </w:rPr>
        <w:t>OG:</w:t>
      </w:r>
      <w:r w:rsidRPr="002048A7">
        <w:rPr>
          <w:rFonts w:eastAsiaTheme="minorHAnsi" w:cstheme="minorBidi"/>
          <w:bCs/>
          <w:color w:val="000000" w:themeColor="text1"/>
        </w:rPr>
        <w:t xml:space="preserve"> Orta Gerilim</w:t>
      </w:r>
    </w:p>
    <w:p w14:paraId="7E533198" w14:textId="77777777" w:rsidR="003528E3" w:rsidRPr="002048A7" w:rsidRDefault="003528E3" w:rsidP="00A02EDE">
      <w:pPr>
        <w:spacing w:after="100"/>
        <w:rPr>
          <w:rFonts w:eastAsiaTheme="minorHAnsi" w:cstheme="minorBidi"/>
        </w:rPr>
      </w:pPr>
      <w:r w:rsidRPr="002048A7">
        <w:rPr>
          <w:rFonts w:eastAsiaTheme="minorHAnsi" w:cstheme="minorBidi"/>
          <w:b/>
        </w:rPr>
        <w:t>OSB:</w:t>
      </w:r>
      <w:r w:rsidRPr="002048A7">
        <w:rPr>
          <w:rFonts w:eastAsiaTheme="minorHAnsi" w:cstheme="minorBidi"/>
        </w:rPr>
        <w:t xml:space="preserve"> Organize Sanayi Bölgesi</w:t>
      </w:r>
    </w:p>
    <w:p w14:paraId="58A28BA7" w14:textId="77777777" w:rsidR="006343EC" w:rsidRPr="002048A7" w:rsidRDefault="006343EC" w:rsidP="00A02EDE">
      <w:pPr>
        <w:spacing w:after="100"/>
        <w:rPr>
          <w:rFonts w:eastAsiaTheme="minorHAnsi" w:cstheme="minorBidi"/>
        </w:rPr>
      </w:pPr>
      <w:r w:rsidRPr="002048A7">
        <w:rPr>
          <w:b/>
          <w:color w:val="000000" w:themeColor="text1"/>
        </w:rPr>
        <w:t>TBMM:</w:t>
      </w:r>
      <w:r w:rsidRPr="002048A7">
        <w:rPr>
          <w:color w:val="000000" w:themeColor="text1"/>
        </w:rPr>
        <w:t xml:space="preserve"> Türkiye Büyük Millet Meclisi</w:t>
      </w:r>
    </w:p>
    <w:p w14:paraId="6ED4742F" w14:textId="77777777" w:rsidR="003528E3" w:rsidRPr="002048A7" w:rsidRDefault="003528E3" w:rsidP="00A02EDE">
      <w:pPr>
        <w:spacing w:after="100"/>
        <w:rPr>
          <w:rFonts w:eastAsiaTheme="minorHAnsi" w:cstheme="minorBidi"/>
          <w:color w:val="000000" w:themeColor="text1"/>
        </w:rPr>
      </w:pPr>
      <w:r w:rsidRPr="002048A7">
        <w:rPr>
          <w:rFonts w:eastAsiaTheme="minorHAnsi" w:cstheme="minorBidi"/>
          <w:b/>
          <w:bCs/>
          <w:color w:val="000000" w:themeColor="text1"/>
        </w:rPr>
        <w:lastRenderedPageBreak/>
        <w:t>TEİAŞ:</w:t>
      </w:r>
      <w:r w:rsidR="00F078B2" w:rsidRPr="002048A7">
        <w:rPr>
          <w:rFonts w:eastAsiaTheme="minorHAnsi" w:cstheme="minorBidi"/>
          <w:b/>
          <w:bCs/>
          <w:color w:val="000000" w:themeColor="text1"/>
        </w:rPr>
        <w:t xml:space="preserve"> </w:t>
      </w:r>
      <w:r w:rsidRPr="002048A7">
        <w:rPr>
          <w:rFonts w:eastAsiaTheme="minorHAnsi" w:cstheme="minorBidi"/>
          <w:color w:val="000000" w:themeColor="text1"/>
        </w:rPr>
        <w:t>Türkiye Elektrik İletim Anonim Şirketi</w:t>
      </w:r>
    </w:p>
    <w:p w14:paraId="677A2C34" w14:textId="77777777" w:rsidR="003528E3" w:rsidRPr="002048A7" w:rsidRDefault="003528E3" w:rsidP="00A02EDE">
      <w:pPr>
        <w:spacing w:after="100"/>
        <w:rPr>
          <w:rFonts w:eastAsia="Times New Roman" w:cstheme="minorBidi"/>
          <w:color w:val="000000"/>
          <w:lang w:eastAsia="tr-TR"/>
        </w:rPr>
      </w:pPr>
      <w:r w:rsidRPr="002048A7">
        <w:rPr>
          <w:rFonts w:eastAsia="Times New Roman" w:cstheme="minorBidi"/>
          <w:b/>
          <w:color w:val="000000"/>
          <w:lang w:eastAsia="tr-TR"/>
        </w:rPr>
        <w:t>TÜBİTAK:</w:t>
      </w:r>
      <w:r w:rsidRPr="002048A7">
        <w:rPr>
          <w:rFonts w:eastAsia="Times New Roman" w:cstheme="minorBidi"/>
          <w:color w:val="000000"/>
          <w:lang w:eastAsia="tr-TR"/>
        </w:rPr>
        <w:t xml:space="preserve"> Türkiye Bilimsel ve Teknolojik Araştırma Kurumu</w:t>
      </w:r>
    </w:p>
    <w:p w14:paraId="54FEADEB" w14:textId="77777777" w:rsidR="003528E3" w:rsidRPr="002048A7" w:rsidRDefault="003528E3" w:rsidP="00A02EDE">
      <w:pPr>
        <w:spacing w:after="100"/>
        <w:rPr>
          <w:rFonts w:eastAsia="Times New Roman" w:cstheme="minorBidi"/>
          <w:color w:val="000000"/>
          <w:lang w:eastAsia="tr-TR"/>
        </w:rPr>
      </w:pPr>
      <w:r w:rsidRPr="002048A7">
        <w:rPr>
          <w:rFonts w:eastAsiaTheme="minorHAnsi" w:cstheme="minorBidi"/>
          <w:b/>
          <w:bCs/>
          <w:color w:val="000000" w:themeColor="text1"/>
        </w:rPr>
        <w:t xml:space="preserve">TÜPRAŞ: </w:t>
      </w:r>
      <w:r w:rsidRPr="002048A7">
        <w:rPr>
          <w:rFonts w:eastAsia="Times New Roman" w:cstheme="minorBidi"/>
          <w:color w:val="000000"/>
          <w:lang w:eastAsia="tr-TR"/>
        </w:rPr>
        <w:t>Türkiye Petrol Rafinerileri A.Ş.</w:t>
      </w:r>
    </w:p>
    <w:p w14:paraId="4962E0D8" w14:textId="77777777" w:rsidR="003528E3" w:rsidRPr="002048A7" w:rsidRDefault="003528E3" w:rsidP="00A02EDE">
      <w:pPr>
        <w:spacing w:after="100"/>
        <w:rPr>
          <w:rFonts w:eastAsiaTheme="minorHAnsi" w:cstheme="minorBidi"/>
        </w:rPr>
      </w:pPr>
      <w:r w:rsidRPr="002048A7">
        <w:rPr>
          <w:rFonts w:eastAsiaTheme="minorHAnsi" w:cstheme="minorBidi"/>
          <w:b/>
        </w:rPr>
        <w:t>UEA:</w:t>
      </w:r>
      <w:r w:rsidRPr="002048A7">
        <w:rPr>
          <w:rFonts w:eastAsiaTheme="minorHAnsi" w:cstheme="minorBidi"/>
        </w:rPr>
        <w:t xml:space="preserve"> Uluslararası Enerji Ajansı</w:t>
      </w:r>
    </w:p>
    <w:p w14:paraId="71589B74" w14:textId="77777777" w:rsidR="006343EC" w:rsidRPr="002048A7" w:rsidRDefault="006343EC" w:rsidP="00A02EDE">
      <w:pPr>
        <w:spacing w:after="100"/>
        <w:rPr>
          <w:rFonts w:eastAsiaTheme="minorHAnsi" w:cstheme="minorBidi"/>
        </w:rPr>
      </w:pPr>
      <w:r w:rsidRPr="002048A7">
        <w:rPr>
          <w:rFonts w:eastAsiaTheme="minorHAnsi" w:cstheme="minorBidi"/>
          <w:b/>
        </w:rPr>
        <w:t>UGETAM:</w:t>
      </w:r>
      <w:r w:rsidR="00F078B2" w:rsidRPr="002048A7">
        <w:rPr>
          <w:rFonts w:eastAsiaTheme="minorHAnsi" w:cstheme="minorBidi"/>
          <w:b/>
        </w:rPr>
        <w:t xml:space="preserve"> </w:t>
      </w:r>
      <w:r w:rsidR="00C23E1D" w:rsidRPr="002048A7">
        <w:rPr>
          <w:rFonts w:eastAsiaTheme="minorHAnsi" w:cstheme="minorBidi"/>
        </w:rPr>
        <w:t>İstanbul Uygulamalı Gaz ve Enerji Teknolojileri Araştırma Mühendislik Sanayi Ticaret A.Ş.</w:t>
      </w:r>
    </w:p>
    <w:p w14:paraId="6F509AF0" w14:textId="77777777" w:rsidR="007E4989" w:rsidRPr="002048A7" w:rsidRDefault="00BC6D92" w:rsidP="004E2C12">
      <w:pPr>
        <w:spacing w:after="100"/>
        <w:jc w:val="left"/>
        <w:rPr>
          <w:rFonts w:eastAsiaTheme="minorHAnsi" w:cstheme="minorBidi"/>
        </w:rPr>
        <w:sectPr w:rsidR="007E4989" w:rsidRPr="002048A7" w:rsidSect="008D594C">
          <w:footerReference w:type="first" r:id="rId12"/>
          <w:pgSz w:w="11906" w:h="16838"/>
          <w:pgMar w:top="1418" w:right="1418" w:bottom="1418" w:left="1418" w:header="709" w:footer="709" w:gutter="0"/>
          <w:pgNumType w:fmt="lowerRoman" w:start="1"/>
          <w:cols w:space="708"/>
          <w:titlePg/>
          <w:docGrid w:linePitch="360"/>
        </w:sectPr>
      </w:pPr>
      <w:r w:rsidRPr="002048A7">
        <w:rPr>
          <w:rFonts w:eastAsiaTheme="minorHAnsi" w:cstheme="minorBidi"/>
          <w:b/>
        </w:rPr>
        <w:t>UM:</w:t>
      </w:r>
      <w:r w:rsidR="004E2C12" w:rsidRPr="002048A7">
        <w:rPr>
          <w:rFonts w:eastAsiaTheme="minorHAnsi" w:cstheme="minorBidi"/>
          <w:b/>
        </w:rPr>
        <w:t xml:space="preserve"> </w:t>
      </w:r>
      <w:r w:rsidRPr="002048A7">
        <w:rPr>
          <w:rFonts w:eastAsiaTheme="minorHAnsi" w:cstheme="minorBidi"/>
        </w:rPr>
        <w:t>Ulusal</w:t>
      </w:r>
      <w:r w:rsidR="004E2C12" w:rsidRPr="002048A7">
        <w:rPr>
          <w:rFonts w:eastAsiaTheme="minorHAnsi" w:cstheme="minorBidi"/>
        </w:rPr>
        <w:t xml:space="preserve"> </w:t>
      </w:r>
      <w:r w:rsidRPr="002048A7">
        <w:rPr>
          <w:rFonts w:eastAsiaTheme="minorHAnsi" w:cstheme="minorBidi"/>
        </w:rPr>
        <w:t>Marker</w:t>
      </w:r>
    </w:p>
    <w:p w14:paraId="0254D550" w14:textId="77777777" w:rsidR="004367E4" w:rsidRPr="002048A7" w:rsidRDefault="004367E4" w:rsidP="00A02EDE">
      <w:pPr>
        <w:pStyle w:val="KonuBal"/>
        <w:outlineLvl w:val="0"/>
        <w:rPr>
          <w:rStyle w:val="KitapBal"/>
          <w:rFonts w:asciiTheme="minorHAnsi" w:hAnsiTheme="minorHAnsi"/>
          <w:color w:val="auto"/>
          <w:sz w:val="22"/>
          <w:szCs w:val="22"/>
        </w:rPr>
      </w:pPr>
      <w:bookmarkStart w:id="0" w:name="_Toc195868657"/>
      <w:r w:rsidRPr="002048A7">
        <w:rPr>
          <w:rStyle w:val="KitapBal"/>
          <w:rFonts w:asciiTheme="minorHAnsi" w:hAnsiTheme="minorHAnsi"/>
          <w:color w:val="auto"/>
          <w:sz w:val="22"/>
          <w:szCs w:val="22"/>
        </w:rPr>
        <w:lastRenderedPageBreak/>
        <w:t>BİRİNCİ BÖLÜM</w:t>
      </w:r>
      <w:bookmarkEnd w:id="0"/>
    </w:p>
    <w:p w14:paraId="0B8815BD" w14:textId="77777777" w:rsidR="004367E4" w:rsidRPr="002048A7" w:rsidRDefault="004367E4" w:rsidP="00A02EDE">
      <w:pPr>
        <w:pStyle w:val="KonuBal"/>
        <w:rPr>
          <w:rStyle w:val="KitapBal"/>
          <w:rFonts w:asciiTheme="minorHAnsi" w:hAnsiTheme="minorHAnsi"/>
          <w:color w:val="auto"/>
          <w:sz w:val="22"/>
          <w:szCs w:val="22"/>
        </w:rPr>
      </w:pPr>
      <w:r w:rsidRPr="002048A7">
        <w:rPr>
          <w:rStyle w:val="KitapBal"/>
          <w:rFonts w:asciiTheme="minorHAnsi" w:hAnsiTheme="minorHAnsi"/>
          <w:color w:val="auto"/>
          <w:sz w:val="22"/>
          <w:szCs w:val="22"/>
        </w:rPr>
        <w:t>GENEL BİLGİLER</w:t>
      </w:r>
    </w:p>
    <w:p w14:paraId="7EB6A590" w14:textId="77777777" w:rsidR="00C553AB" w:rsidRPr="002048A7" w:rsidRDefault="00C553AB" w:rsidP="000A5A56">
      <w:pPr>
        <w:pStyle w:val="Balk1"/>
        <w:numPr>
          <w:ilvl w:val="0"/>
          <w:numId w:val="12"/>
        </w:numPr>
        <w:rPr>
          <w:rFonts w:asciiTheme="minorHAnsi" w:hAnsiTheme="minorHAnsi"/>
          <w:color w:val="auto"/>
          <w:sz w:val="22"/>
          <w:szCs w:val="22"/>
        </w:rPr>
      </w:pPr>
      <w:bookmarkStart w:id="1" w:name="_Toc442431223"/>
      <w:bookmarkStart w:id="2" w:name="_Toc195868658"/>
      <w:r w:rsidRPr="002048A7">
        <w:rPr>
          <w:rFonts w:asciiTheme="minorHAnsi" w:hAnsiTheme="minorHAnsi"/>
          <w:color w:val="auto"/>
          <w:sz w:val="22"/>
          <w:szCs w:val="22"/>
        </w:rPr>
        <w:t>ENERJİ PİYASASI DÜZENLEME KURUMU</w:t>
      </w:r>
      <w:bookmarkEnd w:id="1"/>
      <w:bookmarkEnd w:id="2"/>
    </w:p>
    <w:p w14:paraId="3FFA7519" w14:textId="77777777" w:rsidR="009824D9" w:rsidRPr="002048A7" w:rsidRDefault="009824D9" w:rsidP="00A02EDE">
      <w:pPr>
        <w:spacing w:after="0"/>
      </w:pPr>
    </w:p>
    <w:p w14:paraId="066B0B17" w14:textId="77777777" w:rsidR="00C553AB" w:rsidRPr="002048A7" w:rsidRDefault="003146EF" w:rsidP="00A02EDE">
      <w:pPr>
        <w:spacing w:after="0"/>
      </w:pPr>
      <w:r w:rsidRPr="002048A7">
        <w:t>Kurum</w:t>
      </w:r>
      <w:r w:rsidR="003950FF" w:rsidRPr="002048A7">
        <w:t>un</w:t>
      </w:r>
      <w:r w:rsidR="00C553AB" w:rsidRPr="002048A7">
        <w:t xml:space="preserve"> görev, yetki ve sorumlulukları ile Kurumun yapısı hakkında bilgiler </w:t>
      </w:r>
      <w:r w:rsidR="00BC37CF">
        <w:t xml:space="preserve">aşağıda </w:t>
      </w:r>
      <w:r w:rsidR="00C553AB" w:rsidRPr="002048A7">
        <w:t xml:space="preserve">yer almaktadır. </w:t>
      </w:r>
    </w:p>
    <w:p w14:paraId="53951E03" w14:textId="77777777" w:rsidR="00C553AB" w:rsidRPr="002048A7" w:rsidRDefault="00A920AC" w:rsidP="000A5A56">
      <w:pPr>
        <w:pStyle w:val="Balk2"/>
        <w:numPr>
          <w:ilvl w:val="1"/>
          <w:numId w:val="11"/>
        </w:numPr>
        <w:spacing w:after="240"/>
        <w:rPr>
          <w:rFonts w:asciiTheme="minorHAnsi" w:hAnsiTheme="minorHAnsi"/>
          <w:color w:val="auto"/>
          <w:sz w:val="22"/>
          <w:szCs w:val="22"/>
        </w:rPr>
      </w:pPr>
      <w:bookmarkStart w:id="3" w:name="_Toc442431224"/>
      <w:bookmarkStart w:id="4" w:name="_Toc195868659"/>
      <w:r w:rsidRPr="002048A7">
        <w:rPr>
          <w:rFonts w:asciiTheme="minorHAnsi" w:hAnsiTheme="minorHAnsi"/>
          <w:color w:val="auto"/>
          <w:sz w:val="22"/>
          <w:szCs w:val="22"/>
        </w:rPr>
        <w:t xml:space="preserve">Kurumun </w:t>
      </w:r>
      <w:r w:rsidR="00C553AB" w:rsidRPr="002048A7">
        <w:rPr>
          <w:rFonts w:asciiTheme="minorHAnsi" w:hAnsiTheme="minorHAnsi"/>
          <w:color w:val="auto"/>
          <w:sz w:val="22"/>
          <w:szCs w:val="22"/>
        </w:rPr>
        <w:t>Görev, Yetki ve Sorumluluklar</w:t>
      </w:r>
      <w:bookmarkEnd w:id="3"/>
      <w:r w:rsidRPr="002048A7">
        <w:rPr>
          <w:rFonts w:asciiTheme="minorHAnsi" w:hAnsiTheme="minorHAnsi"/>
          <w:color w:val="auto"/>
          <w:sz w:val="22"/>
          <w:szCs w:val="22"/>
        </w:rPr>
        <w:t>ı</w:t>
      </w:r>
      <w:bookmarkEnd w:id="4"/>
    </w:p>
    <w:p w14:paraId="1AAD3CD2" w14:textId="77777777" w:rsidR="00C553AB" w:rsidRPr="002048A7" w:rsidRDefault="004C4E00" w:rsidP="00A02EDE">
      <w:pPr>
        <w:rPr>
          <w:rFonts w:ascii="Arial" w:eastAsia="Times New Roman" w:hAnsi="Arial" w:cs="Arial"/>
          <w:sz w:val="25"/>
          <w:szCs w:val="25"/>
          <w:lang w:eastAsia="tr-TR"/>
        </w:rPr>
      </w:pPr>
      <w:r w:rsidRPr="002048A7">
        <w:t>Kurum, 03.03.</w:t>
      </w:r>
      <w:r w:rsidR="00C553AB" w:rsidRPr="002048A7">
        <w:t xml:space="preserve">2001 tarihli </w:t>
      </w:r>
      <w:r w:rsidR="00A920AC" w:rsidRPr="002048A7">
        <w:t xml:space="preserve">ve 24335 (Mükerrer) sayılı </w:t>
      </w:r>
      <w:r w:rsidR="009B64F4" w:rsidRPr="002048A7">
        <w:t>Resmî</w:t>
      </w:r>
      <w:r w:rsidR="00827052" w:rsidRPr="002048A7">
        <w:t xml:space="preserve"> </w:t>
      </w:r>
      <w:r w:rsidR="00274939" w:rsidRPr="002048A7">
        <w:t>Gazetede</w:t>
      </w:r>
      <w:r w:rsidR="00C553AB" w:rsidRPr="002048A7">
        <w:t xml:space="preserve"> yayımlanan 4628 sayılı eski </w:t>
      </w:r>
      <w:r w:rsidR="00C553AB" w:rsidRPr="002048A7">
        <w:rPr>
          <w:i/>
        </w:rPr>
        <w:t>“Elektrik Piyasası Kanunu”</w:t>
      </w:r>
      <w:r w:rsidR="00C553AB" w:rsidRPr="002048A7">
        <w:t xml:space="preserve"> ile </w:t>
      </w:r>
      <w:r w:rsidR="00C553AB" w:rsidRPr="002048A7">
        <w:rPr>
          <w:i/>
        </w:rPr>
        <w:t>“Elektrik Piyasası Düzenleme Ku</w:t>
      </w:r>
      <w:r w:rsidR="00C22DF8" w:rsidRPr="002048A7">
        <w:rPr>
          <w:i/>
        </w:rPr>
        <w:t>rumu”</w:t>
      </w:r>
      <w:r w:rsidR="00C22DF8" w:rsidRPr="002048A7">
        <w:t xml:space="preserve"> adı altında kurulmuş olup</w:t>
      </w:r>
      <w:r w:rsidRPr="002048A7">
        <w:t xml:space="preserve"> 02.05.</w:t>
      </w:r>
      <w:r w:rsidR="00C553AB" w:rsidRPr="002048A7">
        <w:t>2001 tarih</w:t>
      </w:r>
      <w:r w:rsidR="00827052" w:rsidRPr="002048A7">
        <w:t xml:space="preserve">li ve 24390 sayılı </w:t>
      </w:r>
      <w:r w:rsidR="009B64F4" w:rsidRPr="002048A7">
        <w:t>Resmî</w:t>
      </w:r>
      <w:r w:rsidR="00827052" w:rsidRPr="002048A7">
        <w:t xml:space="preserve"> </w:t>
      </w:r>
      <w:r w:rsidR="00274939" w:rsidRPr="002048A7">
        <w:t>Gazetede</w:t>
      </w:r>
      <w:r w:rsidR="00C553AB" w:rsidRPr="002048A7">
        <w:t xml:space="preserve"> ya</w:t>
      </w:r>
      <w:r w:rsidR="00A920AC" w:rsidRPr="002048A7">
        <w:t xml:space="preserve">yımlanan 4646 sayılı </w:t>
      </w:r>
      <w:r w:rsidR="00A920AC" w:rsidRPr="002048A7">
        <w:rPr>
          <w:i/>
        </w:rPr>
        <w:t>“Doğal Gaz</w:t>
      </w:r>
      <w:r w:rsidR="00C553AB" w:rsidRPr="002048A7">
        <w:rPr>
          <w:i/>
        </w:rPr>
        <w:t xml:space="preserve"> Piyasası Kanunu</w:t>
      </w:r>
      <w:r w:rsidR="007647D3" w:rsidRPr="002048A7">
        <w:rPr>
          <w:i/>
        </w:rPr>
        <w:t xml:space="preserve"> </w:t>
      </w:r>
      <w:r w:rsidR="00C553AB" w:rsidRPr="002048A7">
        <w:rPr>
          <w:i/>
        </w:rPr>
        <w:t>(Elektrik Piyasası Kanunu</w:t>
      </w:r>
      <w:r w:rsidR="00893063" w:rsidRPr="002048A7">
        <w:rPr>
          <w:i/>
        </w:rPr>
        <w:t>’</w:t>
      </w:r>
      <w:r w:rsidR="00C553AB" w:rsidRPr="002048A7">
        <w:rPr>
          <w:i/>
        </w:rPr>
        <w:t>nda Değişiklik Yapılması ve Doğal Gaz Piyasası</w:t>
      </w:r>
      <w:r w:rsidR="00F078B2" w:rsidRPr="002048A7">
        <w:rPr>
          <w:i/>
        </w:rPr>
        <w:t xml:space="preserve"> </w:t>
      </w:r>
      <w:r w:rsidR="00C553AB" w:rsidRPr="002048A7">
        <w:rPr>
          <w:i/>
        </w:rPr>
        <w:t>Hakkında Kanun)”</w:t>
      </w:r>
      <w:r w:rsidR="00C553AB" w:rsidRPr="002048A7">
        <w:t xml:space="preserve"> ile </w:t>
      </w:r>
      <w:r w:rsidR="00C553AB" w:rsidRPr="002048A7">
        <w:rPr>
          <w:i/>
        </w:rPr>
        <w:t>“Enerji Piyasası Düzenleme Kurumu”</w:t>
      </w:r>
      <w:r w:rsidR="00C553AB" w:rsidRPr="002048A7">
        <w:t xml:space="preserve"> adını almıştır.</w:t>
      </w:r>
    </w:p>
    <w:p w14:paraId="03031511" w14:textId="77777777" w:rsidR="00C553AB" w:rsidRPr="002048A7" w:rsidRDefault="00C553AB" w:rsidP="00A02EDE">
      <w:r w:rsidRPr="002048A7">
        <w:t>4628 sayılı Kanunun adı,</w:t>
      </w:r>
      <w:r w:rsidR="00F078B2" w:rsidRPr="002048A7">
        <w:t xml:space="preserve"> </w:t>
      </w:r>
      <w:r w:rsidR="004C4E00" w:rsidRPr="002048A7">
        <w:t>30.03.</w:t>
      </w:r>
      <w:r w:rsidRPr="002048A7">
        <w:t>2013 tarih</w:t>
      </w:r>
      <w:r w:rsidR="00827052" w:rsidRPr="002048A7">
        <w:t xml:space="preserve">li ve 28603 sayılı </w:t>
      </w:r>
      <w:r w:rsidR="009B64F4" w:rsidRPr="002048A7">
        <w:t>Resmî</w:t>
      </w:r>
      <w:r w:rsidR="00827052" w:rsidRPr="002048A7">
        <w:t xml:space="preserve"> </w:t>
      </w:r>
      <w:r w:rsidR="00274939" w:rsidRPr="002048A7">
        <w:t>Gazetede</w:t>
      </w:r>
      <w:r w:rsidRPr="002048A7">
        <w:t xml:space="preserve"> yayımlanan 6446 s</w:t>
      </w:r>
      <w:r w:rsidR="00A920AC" w:rsidRPr="002048A7">
        <w:t>ayılı Elektrik Piyasası Kanunu</w:t>
      </w:r>
      <w:r w:rsidR="00893063" w:rsidRPr="002048A7">
        <w:t>’</w:t>
      </w:r>
      <w:r w:rsidR="00A00E1C" w:rsidRPr="002048A7">
        <w:t xml:space="preserve">nun 30 </w:t>
      </w:r>
      <w:r w:rsidRPr="002048A7">
        <w:t xml:space="preserve">uncu maddesiyle </w:t>
      </w:r>
      <w:r w:rsidRPr="002048A7">
        <w:rPr>
          <w:i/>
        </w:rPr>
        <w:t>“Enerji Piyasası Düzenleme Kurumunun Teşkilat ve Görevleri Hakkında Kanun”</w:t>
      </w:r>
      <w:r w:rsidRPr="002048A7">
        <w:t xml:space="preserve"> olarak değiştirilmiştir.</w:t>
      </w:r>
    </w:p>
    <w:p w14:paraId="284BD94F" w14:textId="77777777" w:rsidR="00C553AB" w:rsidRPr="002048A7" w:rsidRDefault="00C553AB" w:rsidP="00495438">
      <w:r w:rsidRPr="002048A7">
        <w:t xml:space="preserve">Kurum, </w:t>
      </w:r>
      <w:r w:rsidR="00C22DF8" w:rsidRPr="002048A7">
        <w:t>kamu tüzel kişiliğini haiz olup</w:t>
      </w:r>
      <w:r w:rsidRPr="002048A7">
        <w:t xml:space="preserve"> idari ve mali özerkliğe sahiptir. İlişkili olduğu Bakanlık, </w:t>
      </w:r>
      <w:r w:rsidR="00A72F20" w:rsidRPr="002048A7">
        <w:rPr>
          <w:rFonts w:eastAsiaTheme="minorHAnsi" w:cstheme="minorBidi"/>
        </w:rPr>
        <w:t>Enerji ve Tabii Kaynaklar Bakanlığı (ETKB)</w:t>
      </w:r>
      <w:r w:rsidR="007647D3" w:rsidRPr="002048A7">
        <w:t>’d</w:t>
      </w:r>
      <w:r w:rsidR="00583032" w:rsidRPr="002048A7">
        <w:t>i</w:t>
      </w:r>
      <w:r w:rsidR="007647D3" w:rsidRPr="002048A7">
        <w:t>r</w:t>
      </w:r>
      <w:r w:rsidR="00495438" w:rsidRPr="002048A7">
        <w:t xml:space="preserve">. </w:t>
      </w:r>
    </w:p>
    <w:p w14:paraId="00DC8505" w14:textId="77777777" w:rsidR="00617F97" w:rsidRPr="002048A7" w:rsidRDefault="00C553AB" w:rsidP="00495438">
      <w:r w:rsidRPr="002048A7">
        <w:t xml:space="preserve">Kurumun </w:t>
      </w:r>
      <w:r w:rsidR="00A00E1C" w:rsidRPr="002048A7">
        <w:t>merkezi Ankara’dadır;</w:t>
      </w:r>
      <w:r w:rsidRPr="002048A7">
        <w:t xml:space="preserve"> taşra teşkilatı yoktur. Kurum, dağıtım bölgelerinde müşteri ilişkilerini sağlamak amacıyla irt</w:t>
      </w:r>
      <w:r w:rsidR="00495438" w:rsidRPr="002048A7">
        <w:t xml:space="preserve">ibat büroları kurabilmektedir. </w:t>
      </w:r>
      <w:r w:rsidR="007647D3" w:rsidRPr="002048A7">
        <w:t xml:space="preserve">Bu kapsamda İstanbul’da bir irtibat bürosu bulunmaktadır. </w:t>
      </w:r>
    </w:p>
    <w:p w14:paraId="26E7C8B7" w14:textId="77777777" w:rsidR="00C553AB" w:rsidRPr="002048A7" w:rsidRDefault="00C553AB" w:rsidP="00495438">
      <w:pPr>
        <w:spacing w:after="0"/>
      </w:pPr>
      <w:r w:rsidRPr="002048A7">
        <w:t xml:space="preserve">Kurum; </w:t>
      </w:r>
    </w:p>
    <w:p w14:paraId="250BDB4A" w14:textId="77777777" w:rsidR="00C553AB" w:rsidRPr="002048A7" w:rsidRDefault="00C553AB" w:rsidP="00495438">
      <w:pPr>
        <w:pStyle w:val="ListeParagraf"/>
        <w:numPr>
          <w:ilvl w:val="0"/>
          <w:numId w:val="2"/>
        </w:numPr>
        <w:tabs>
          <w:tab w:val="left" w:pos="284"/>
          <w:tab w:val="left" w:pos="709"/>
          <w:tab w:val="left" w:pos="851"/>
        </w:tabs>
        <w:spacing w:after="0"/>
      </w:pPr>
      <w:r w:rsidRPr="002048A7">
        <w:t>4628 sayılı Enerji Piyasası Düzenleme Kurumunun Teşkilat ve Görevleri Hakkında Kanun,</w:t>
      </w:r>
    </w:p>
    <w:p w14:paraId="52E87DCF" w14:textId="77777777" w:rsidR="00C553AB" w:rsidRPr="002048A7" w:rsidRDefault="00C553AB" w:rsidP="00495438">
      <w:pPr>
        <w:pStyle w:val="ListeParagraf"/>
        <w:numPr>
          <w:ilvl w:val="0"/>
          <w:numId w:val="2"/>
        </w:numPr>
        <w:tabs>
          <w:tab w:val="left" w:pos="284"/>
          <w:tab w:val="left" w:pos="709"/>
          <w:tab w:val="left" w:pos="851"/>
        </w:tabs>
        <w:spacing w:after="0"/>
      </w:pPr>
      <w:r w:rsidRPr="002048A7">
        <w:t>4646 sayılı Doğal Gaz Piyasası Kanunu,</w:t>
      </w:r>
    </w:p>
    <w:p w14:paraId="3C2F612D" w14:textId="77777777" w:rsidR="00C553AB" w:rsidRPr="002048A7" w:rsidRDefault="00C553AB" w:rsidP="00495438">
      <w:pPr>
        <w:pStyle w:val="ListeParagraf"/>
        <w:numPr>
          <w:ilvl w:val="0"/>
          <w:numId w:val="2"/>
        </w:numPr>
        <w:tabs>
          <w:tab w:val="left" w:pos="284"/>
          <w:tab w:val="left" w:pos="709"/>
          <w:tab w:val="left" w:pos="851"/>
        </w:tabs>
        <w:spacing w:after="0"/>
      </w:pPr>
      <w:r w:rsidRPr="002048A7">
        <w:t>5015 sayılı Petrol Piyasası Kanunu,</w:t>
      </w:r>
    </w:p>
    <w:p w14:paraId="00AFDDF5" w14:textId="77777777" w:rsidR="00F23E20" w:rsidRPr="002048A7" w:rsidRDefault="00F23E20" w:rsidP="00F23E20">
      <w:pPr>
        <w:pStyle w:val="ListeParagraf"/>
        <w:numPr>
          <w:ilvl w:val="0"/>
          <w:numId w:val="2"/>
        </w:numPr>
        <w:tabs>
          <w:tab w:val="left" w:pos="851"/>
        </w:tabs>
        <w:spacing w:after="0"/>
        <w:ind w:left="709" w:hanging="283"/>
      </w:pPr>
      <w:r w:rsidRPr="002048A7">
        <w:t>5307 sayılı Sıvılaştırılmış Petrol Gazları (LPG) Piyasası Kanunu ve Elektrik Piyasası Kanunu</w:t>
      </w:r>
      <w:r w:rsidR="00893063" w:rsidRPr="002048A7">
        <w:t>’</w:t>
      </w:r>
      <w:r w:rsidRPr="002048A7">
        <w:t>nda Değişiklik Yapılmasına Dair Kanun</w:t>
      </w:r>
    </w:p>
    <w:p w14:paraId="75E2B4FA" w14:textId="77777777" w:rsidR="00C553AB" w:rsidRPr="002048A7" w:rsidRDefault="00C553AB" w:rsidP="00495438">
      <w:pPr>
        <w:pStyle w:val="ListeParagraf"/>
        <w:numPr>
          <w:ilvl w:val="0"/>
          <w:numId w:val="2"/>
        </w:numPr>
        <w:tabs>
          <w:tab w:val="left" w:pos="284"/>
          <w:tab w:val="left" w:pos="709"/>
          <w:tab w:val="left" w:pos="851"/>
        </w:tabs>
        <w:spacing w:after="0"/>
      </w:pPr>
      <w:r w:rsidRPr="002048A7">
        <w:t>6446 sayılı Elektrik Piyasası Kanunu</w:t>
      </w:r>
    </w:p>
    <w:p w14:paraId="1545C4C6" w14:textId="77777777" w:rsidR="00C553AB" w:rsidRPr="002048A7" w:rsidRDefault="00C553AB" w:rsidP="00495438">
      <w:pPr>
        <w:spacing w:after="120"/>
      </w:pPr>
      <w:proofErr w:type="gramStart"/>
      <w:r w:rsidRPr="002048A7">
        <w:t>ile</w:t>
      </w:r>
      <w:proofErr w:type="gramEnd"/>
      <w:r w:rsidRPr="002048A7">
        <w:t xml:space="preserve"> kendisine verilen görevleri </w:t>
      </w:r>
      <w:r w:rsidR="001E4F7C" w:rsidRPr="002048A7">
        <w:t>yerine getirmekte</w:t>
      </w:r>
      <w:r w:rsidRPr="002048A7">
        <w:t xml:space="preserve"> ve yetkileri kullanmaktadır.</w:t>
      </w:r>
    </w:p>
    <w:p w14:paraId="309A98CD" w14:textId="77777777" w:rsidR="00C553AB" w:rsidRPr="002048A7" w:rsidRDefault="00A920AC" w:rsidP="00495438">
      <w:r w:rsidRPr="002048A7">
        <w:t>Anılan</w:t>
      </w:r>
      <w:r w:rsidR="00C553AB" w:rsidRPr="002048A7">
        <w:t xml:space="preserve"> Kanunlar</w:t>
      </w:r>
      <w:r w:rsidR="003D1167" w:rsidRPr="002048A7">
        <w:t xml:space="preserve">, </w:t>
      </w:r>
      <w:r w:rsidR="00C553AB" w:rsidRPr="002048A7">
        <w:t>elektrik, doğal gaz, petrol ve LPG'nin; yeterli, kaliteli, sürekli, düşük maliyetli ve çevreyle uyumlu bir şekilde tüketicilerin kullanımına sunulması için, rekabet ortamında özel hukuk hükümlerine tabi faaliyet gösterilebilecek, mali açıdan güçlü, istikrarlı ve şeffaf bir enerji piyasasının oluşturulması</w:t>
      </w:r>
      <w:r w:rsidR="003D1167" w:rsidRPr="002048A7">
        <w:t>nı</w:t>
      </w:r>
      <w:r w:rsidR="00C553AB" w:rsidRPr="002048A7">
        <w:t xml:space="preserve"> ve bu piyasada bağımsız bir dü</w:t>
      </w:r>
      <w:r w:rsidR="003D1167" w:rsidRPr="002048A7">
        <w:t>zenleme ve denetimin sağlanmasını amaçlamaktadır.</w:t>
      </w:r>
    </w:p>
    <w:p w14:paraId="35E4C524" w14:textId="77777777" w:rsidR="00C553AB" w:rsidRPr="002048A7" w:rsidRDefault="00C553AB" w:rsidP="00495438">
      <w:pPr>
        <w:spacing w:after="120"/>
      </w:pPr>
      <w:r w:rsidRPr="002048A7">
        <w:t>Bu amacın yerine getirilmesinde Kurum;</w:t>
      </w:r>
    </w:p>
    <w:p w14:paraId="246BD9A9" w14:textId="77777777" w:rsidR="00C553AB" w:rsidRPr="002048A7" w:rsidRDefault="004C63B0" w:rsidP="00495438">
      <w:pPr>
        <w:pStyle w:val="ListeParagraf"/>
        <w:numPr>
          <w:ilvl w:val="0"/>
          <w:numId w:val="2"/>
        </w:numPr>
        <w:tabs>
          <w:tab w:val="left" w:pos="284"/>
          <w:tab w:val="left" w:pos="567"/>
          <w:tab w:val="left" w:pos="709"/>
          <w:tab w:val="left" w:pos="851"/>
        </w:tabs>
        <w:spacing w:after="120"/>
        <w:ind w:left="284" w:firstLine="0"/>
        <w:contextualSpacing w:val="0"/>
      </w:pPr>
      <w:r w:rsidRPr="002048A7">
        <w:t>Elektrik p</w:t>
      </w:r>
      <w:r w:rsidR="00C553AB" w:rsidRPr="002048A7">
        <w:t>iyasasında; tüzel kişilerin yetkili oldukları faaliyetlerden kaynaklanan hak ve yükümlülüklerini tanımlayan lisansların verilmesi ve ilgili diğer işlemlerin yapılması; piyasa performanslarının izlenip performans standartlarının oluşturulması; ikincil mevzuatın oluşturulması, geliştirilmesi ve uygulanmasının sağlanması; lisans sahibi tüzel kişilerin denetlenmesi; düzenlemeye tabi tarifelerin hazırlanması, tadili ve uygulanmasının sağlanması; piyasada Elektrik Piyasası Kanununa uygun şekilde davranılmasının sağlanması,</w:t>
      </w:r>
    </w:p>
    <w:p w14:paraId="5889EB3B" w14:textId="77777777" w:rsidR="00C553AB" w:rsidRPr="002048A7" w:rsidRDefault="004C63B0" w:rsidP="00495438">
      <w:pPr>
        <w:pStyle w:val="ListeParagraf"/>
        <w:numPr>
          <w:ilvl w:val="0"/>
          <w:numId w:val="2"/>
        </w:numPr>
        <w:tabs>
          <w:tab w:val="left" w:pos="284"/>
          <w:tab w:val="left" w:pos="567"/>
          <w:tab w:val="left" w:pos="709"/>
          <w:tab w:val="left" w:pos="851"/>
        </w:tabs>
        <w:spacing w:after="120"/>
        <w:ind w:left="284" w:firstLine="0"/>
        <w:contextualSpacing w:val="0"/>
      </w:pPr>
      <w:r w:rsidRPr="002048A7">
        <w:t>Doğal gaz p</w:t>
      </w:r>
      <w:r w:rsidR="00C553AB" w:rsidRPr="002048A7">
        <w:t xml:space="preserve">iyasasında; doğal gazın ithalatı, iletimi, dağıtımı, depolanması, ticareti ve ihracatı ile bu faaliyetlere ilişkin tüm gerçek ve tüzel kişilerin hak ve yükümlülüklerini tanımlayan lisans ve sertifikaların </w:t>
      </w:r>
      <w:r w:rsidR="00C553AB" w:rsidRPr="002048A7">
        <w:lastRenderedPageBreak/>
        <w:t>verilmesi ve ilgili diğer işlemlerin yapılması; piyasa ve sistem işleyişinin incelenmesi; ikincil mevzuatın oluşturulması, geliştirilmesi, uygulanmasının sağlanması; lisans ve sertifika sahiplerinin denetlenmesi, düzenlemeye tabi tarifelerin hazırlanması, tadili ve uygulanmasının sağlanması; piyasada Doğal Gaz Piyasası Kanununa uygun şekilde davranılmasının sağlanması,</w:t>
      </w:r>
    </w:p>
    <w:p w14:paraId="3E12112C" w14:textId="77777777" w:rsidR="00C553AB" w:rsidRPr="002048A7" w:rsidRDefault="004C63B0" w:rsidP="00495438">
      <w:pPr>
        <w:pStyle w:val="ListeParagraf"/>
        <w:numPr>
          <w:ilvl w:val="0"/>
          <w:numId w:val="2"/>
        </w:numPr>
        <w:tabs>
          <w:tab w:val="left" w:pos="284"/>
          <w:tab w:val="left" w:pos="567"/>
          <w:tab w:val="left" w:pos="709"/>
          <w:tab w:val="left" w:pos="851"/>
        </w:tabs>
        <w:spacing w:after="120"/>
        <w:ind w:left="284" w:firstLine="0"/>
        <w:contextualSpacing w:val="0"/>
      </w:pPr>
      <w:r w:rsidRPr="002048A7">
        <w:t>Petrol p</w:t>
      </w:r>
      <w:r w:rsidR="00C553AB" w:rsidRPr="002048A7">
        <w:t xml:space="preserve">iyasasında; </w:t>
      </w:r>
      <w:r w:rsidR="00271033" w:rsidRPr="002048A7">
        <w:t>p</w:t>
      </w:r>
      <w:r w:rsidR="00C553AB" w:rsidRPr="002048A7">
        <w:t>etrol ile ilgili rafinaj, işleme, madeni yağ üretimi, depolama, iletim, serbest kullanıcı ve ihrakiye faaliyetlerinin yapılması amacıyla tesis kurulması, işletilmesi, akaryakıt dağıtımı, taşıması ve bayilik faaliyetleri için lisans verilmesi ve ilgili diğer işlemlerin yapılması; lisans gerektiren faaliyet ve işlemlerin kapsamları, lisans ile kazanılan hak ve üstlenilen yükümlülükler, lisans kapsamındaki faaliyetlerin kısıtlanması, faaliyetin yürütülmesine ilişkin olarak özel şartların belirlenmesi; ikincil mevzuatın oluşturulması, geliştirilmesi ve uygulanmasının sağlanması; tarifelerin onaylanması; piyasada oluşan fiyatların ve fiyat listelerinin takibi, piyasada Petrol Piyasası Kanununa uygun şekilde davranılmasının sağlanması,</w:t>
      </w:r>
    </w:p>
    <w:p w14:paraId="56299D8C" w14:textId="77777777" w:rsidR="00C553AB" w:rsidRPr="002048A7" w:rsidRDefault="00B34FA4" w:rsidP="00495438">
      <w:pPr>
        <w:pStyle w:val="ListeParagraf"/>
        <w:numPr>
          <w:ilvl w:val="0"/>
          <w:numId w:val="2"/>
        </w:numPr>
        <w:tabs>
          <w:tab w:val="left" w:pos="0"/>
          <w:tab w:val="left" w:pos="567"/>
          <w:tab w:val="left" w:pos="709"/>
          <w:tab w:val="left" w:pos="851"/>
        </w:tabs>
        <w:spacing w:after="120"/>
        <w:ind w:left="284" w:firstLine="0"/>
        <w:contextualSpacing w:val="0"/>
      </w:pPr>
      <w:r w:rsidRPr="002048A7">
        <w:t>LPG p</w:t>
      </w:r>
      <w:r w:rsidR="00C553AB" w:rsidRPr="002048A7">
        <w:t xml:space="preserve">iyasasında; LPG dağıtımı, taşınması, otogaz bayilik faaliyetleri, depolanması, LPG tüpü imalatı, muayenesi, tamiri ve bakımı amacıyla tesis kurulması ve işletilmesi için lisans verilmesi ve ilgili diğer işlemlerin yapılması; lisans gerektiren faaliyet ve/veya işlemlerin kapsamları, lisans ile kazanılan hak ve yükümlülükler, faaliyetin yürütülmesine ilişkin olarak özel koşulların belirlenmesi; ikincil mevzuatın oluşturulması, geliştirilmesi ve uygulanmasının sağlanması; piyasa faaliyetlerine ilişkin gerekli yönlendirme, gözetim ve denetim faaliyetlerinin yapılması; piyasada oluşan fiyatların takibi, piyasada </w:t>
      </w:r>
      <w:r w:rsidRPr="002048A7">
        <w:t>5307 sayılı Kanu</w:t>
      </w:r>
      <w:r w:rsidR="00C553AB" w:rsidRPr="002048A7">
        <w:t>na uygun şekilde davranılmasının sağlanması,</w:t>
      </w:r>
    </w:p>
    <w:p w14:paraId="158DF887" w14:textId="77777777" w:rsidR="00C553AB" w:rsidRPr="002048A7" w:rsidRDefault="00C553AB" w:rsidP="00495438">
      <w:pPr>
        <w:tabs>
          <w:tab w:val="left" w:pos="0"/>
          <w:tab w:val="left" w:pos="567"/>
          <w:tab w:val="left" w:pos="709"/>
          <w:tab w:val="left" w:pos="851"/>
        </w:tabs>
        <w:spacing w:after="120"/>
        <w:ind w:left="284"/>
      </w:pPr>
      <w:proofErr w:type="gramStart"/>
      <w:r w:rsidRPr="002048A7">
        <w:t>konularında</w:t>
      </w:r>
      <w:proofErr w:type="gramEnd"/>
      <w:r w:rsidRPr="002048A7">
        <w:t xml:space="preserve"> yetkili ve sorumludur. </w:t>
      </w:r>
    </w:p>
    <w:p w14:paraId="0283FF68" w14:textId="77777777" w:rsidR="00C553AB" w:rsidRPr="002048A7" w:rsidRDefault="00C553AB" w:rsidP="000A5A56">
      <w:pPr>
        <w:pStyle w:val="Balk2"/>
        <w:numPr>
          <w:ilvl w:val="1"/>
          <w:numId w:val="11"/>
        </w:numPr>
        <w:spacing w:after="240"/>
        <w:rPr>
          <w:rFonts w:asciiTheme="minorHAnsi" w:hAnsiTheme="minorHAnsi"/>
          <w:color w:val="auto"/>
          <w:sz w:val="22"/>
          <w:szCs w:val="22"/>
        </w:rPr>
      </w:pPr>
      <w:bookmarkStart w:id="5" w:name="_Toc442431225"/>
      <w:bookmarkStart w:id="6" w:name="_Toc195868660"/>
      <w:r w:rsidRPr="002048A7">
        <w:rPr>
          <w:rFonts w:asciiTheme="minorHAnsi" w:hAnsiTheme="minorHAnsi"/>
          <w:color w:val="auto"/>
          <w:sz w:val="22"/>
          <w:szCs w:val="22"/>
        </w:rPr>
        <w:t>Kurumun Yapısı</w:t>
      </w:r>
      <w:bookmarkEnd w:id="5"/>
      <w:bookmarkEnd w:id="6"/>
    </w:p>
    <w:p w14:paraId="1CE9DA47" w14:textId="77777777" w:rsidR="00C553AB" w:rsidRPr="002048A7" w:rsidRDefault="00C553AB" w:rsidP="00A02EDE">
      <w:pPr>
        <w:spacing w:after="0"/>
      </w:pPr>
      <w:r w:rsidRPr="002048A7">
        <w:t xml:space="preserve">Kurumun </w:t>
      </w:r>
      <w:r w:rsidR="00171B65" w:rsidRPr="002048A7">
        <w:t>teşkilatı; Kurul</w:t>
      </w:r>
      <w:r w:rsidRPr="002048A7">
        <w:t>, Başkanlık ve Hizmet Birimlerinden oluşmaktadır.</w:t>
      </w:r>
    </w:p>
    <w:p w14:paraId="526790B0" w14:textId="77777777" w:rsidR="00C553AB" w:rsidRPr="002048A7" w:rsidRDefault="00C553AB" w:rsidP="000A5A56">
      <w:pPr>
        <w:pStyle w:val="Balk3"/>
        <w:numPr>
          <w:ilvl w:val="2"/>
          <w:numId w:val="11"/>
        </w:numPr>
        <w:spacing w:after="240"/>
        <w:rPr>
          <w:rFonts w:asciiTheme="minorHAnsi" w:hAnsiTheme="minorHAnsi"/>
          <w:color w:val="auto"/>
        </w:rPr>
      </w:pPr>
      <w:bookmarkStart w:id="7" w:name="_Toc442431226"/>
      <w:bookmarkStart w:id="8" w:name="_Toc195868661"/>
      <w:r w:rsidRPr="002048A7">
        <w:rPr>
          <w:rFonts w:asciiTheme="minorHAnsi" w:hAnsiTheme="minorHAnsi"/>
          <w:color w:val="auto"/>
        </w:rPr>
        <w:t>Enerji Piyasası Düzenleme Kurulu</w:t>
      </w:r>
      <w:bookmarkEnd w:id="7"/>
      <w:bookmarkEnd w:id="8"/>
    </w:p>
    <w:p w14:paraId="6A2697F0" w14:textId="77777777" w:rsidR="009F6B4A" w:rsidRPr="002048A7" w:rsidRDefault="009F6B4A" w:rsidP="00DF5CA1">
      <w:pPr>
        <w:spacing w:after="0"/>
      </w:pPr>
      <w:r w:rsidRPr="002048A7">
        <w:t xml:space="preserve">Kurum, görevlerini yerine getirirken yetkilerini </w:t>
      </w:r>
      <w:r w:rsidR="003146EF" w:rsidRPr="002048A7">
        <w:t>Kurul</w:t>
      </w:r>
      <w:r w:rsidRPr="002048A7">
        <w:t xml:space="preserve"> vasıtasıyla kullanmaktadır. Kurumun temsil ve karar organı Kuru</w:t>
      </w:r>
      <w:r w:rsidR="004C4E00" w:rsidRPr="002048A7">
        <w:t>ldur. Kurulun ilk üyeleri, 02.11.</w:t>
      </w:r>
      <w:r w:rsidRPr="002048A7">
        <w:t xml:space="preserve">2001 tarihli </w:t>
      </w:r>
      <w:r w:rsidR="001C6551">
        <w:t xml:space="preserve">24571 sayıllı </w:t>
      </w:r>
      <w:r w:rsidR="00986371" w:rsidRPr="002048A7">
        <w:t>Resmî</w:t>
      </w:r>
      <w:r w:rsidRPr="002048A7">
        <w:t xml:space="preserve"> </w:t>
      </w:r>
      <w:r w:rsidR="00274939" w:rsidRPr="002048A7">
        <w:t>Gazetede</w:t>
      </w:r>
      <w:r w:rsidRPr="002048A7">
        <w:t xml:space="preserve"> yayımlanan 2001/3168 sayılı Bakanlar Kurulu Kararı ile</w:t>
      </w:r>
      <w:r w:rsidR="004C4E00" w:rsidRPr="002048A7">
        <w:t xml:space="preserve"> atanmıştır. Atanan üyelerin 19.11.</w:t>
      </w:r>
      <w:r w:rsidRPr="002048A7">
        <w:t>2001 tarihinde Yargıtay Birinci Başkanlık Kurulu önünde yemin etmesiyle Kurul göreve başlamıştır. Kurul; biri Başkan, biri İkinci Başkan olmak üzere</w:t>
      </w:r>
      <w:r w:rsidR="00DF5CA1" w:rsidRPr="002048A7">
        <w:t xml:space="preserve"> en az dört yıllık yükseköğrenim görmüş olanlar arasından Cumhurbaşkanı taraf</w:t>
      </w:r>
      <w:r w:rsidR="003146EF" w:rsidRPr="002048A7">
        <w:t xml:space="preserve">ından </w:t>
      </w:r>
      <w:r w:rsidR="00CF2283" w:rsidRPr="002048A7">
        <w:t>(4628 sayılı Kanun</w:t>
      </w:r>
      <w:r w:rsidR="00EF5C36" w:rsidRPr="002048A7">
        <w:t>un beşinci maddesi ve</w:t>
      </w:r>
      <w:r w:rsidR="00CF2283" w:rsidRPr="002048A7">
        <w:t xml:space="preserve"> 3 sayılı Cumhurbaşkanlığı </w:t>
      </w:r>
      <w:r w:rsidR="00406F87" w:rsidRPr="002048A7">
        <w:t>Kararnamesinin 2</w:t>
      </w:r>
      <w:r w:rsidR="00CF2283" w:rsidRPr="002048A7">
        <w:t>, 3 ve 7</w:t>
      </w:r>
      <w:r w:rsidR="00893063" w:rsidRPr="002048A7">
        <w:t>’</w:t>
      </w:r>
      <w:r w:rsidR="00CF2283" w:rsidRPr="002048A7">
        <w:t xml:space="preserve">nci maddeleri gereğince) </w:t>
      </w:r>
      <w:r w:rsidR="003146EF" w:rsidRPr="002048A7">
        <w:t>atanan yedi üyeden oluşur.</w:t>
      </w:r>
    </w:p>
    <w:p w14:paraId="659FB085" w14:textId="77777777" w:rsidR="009F6B4A" w:rsidRPr="002048A7" w:rsidRDefault="009F6B4A" w:rsidP="009F6B4A">
      <w:pPr>
        <w:spacing w:after="0"/>
      </w:pPr>
    </w:p>
    <w:p w14:paraId="3A43D275" w14:textId="77777777" w:rsidR="009F6B4A" w:rsidRPr="002048A7" w:rsidRDefault="003F00A0" w:rsidP="009F6B4A">
      <w:pPr>
        <w:spacing w:after="0"/>
      </w:pPr>
      <w:r w:rsidRPr="002048A7">
        <w:t>Kurul üyelerinin görevi atanma</w:t>
      </w:r>
      <w:r w:rsidR="001C6551">
        <w:t xml:space="preserve"> sonrası Yargıtay Birinci Başkanlık Kurulu huzurunda yemin etme</w:t>
      </w:r>
      <w:r w:rsidRPr="002048A7">
        <w:t xml:space="preserve"> tarihi itibar</w:t>
      </w:r>
      <w:r w:rsidR="00A54CE2" w:rsidRPr="002048A7">
        <w:t>ı</w:t>
      </w:r>
      <w:r w:rsidRPr="002048A7">
        <w:t>yl</w:t>
      </w:r>
      <w:r w:rsidR="00A54CE2" w:rsidRPr="002048A7">
        <w:t>a</w:t>
      </w:r>
      <w:r w:rsidRPr="002048A7">
        <w:t xml:space="preserve"> görevde dördüncü yılını doldurdukları tarih</w:t>
      </w:r>
      <w:r w:rsidR="00622086" w:rsidRPr="002048A7">
        <w:t>te</w:t>
      </w:r>
      <w:r w:rsidRPr="002048A7">
        <w:t xml:space="preserve"> başka bir işleme gerek kalmaksızın sona erer.  </w:t>
      </w:r>
      <w:r w:rsidR="009F6B4A" w:rsidRPr="002048A7">
        <w:t xml:space="preserve">Kurul üyelerinin görev süreleri dolmadan görevlerine son verilemez. Ancak, 4628 sayılı </w:t>
      </w:r>
      <w:r w:rsidR="009F44E0" w:rsidRPr="002048A7">
        <w:t>Kurum</w:t>
      </w:r>
      <w:r w:rsidR="003950FF" w:rsidRPr="002048A7">
        <w:t xml:space="preserve">un </w:t>
      </w:r>
      <w:r w:rsidR="009F6B4A" w:rsidRPr="002048A7">
        <w:t>Teşkilat ve Görevleri Hakkında Kanunun 6</w:t>
      </w:r>
      <w:r w:rsidR="00893063" w:rsidRPr="002048A7">
        <w:t>’</w:t>
      </w:r>
      <w:r w:rsidR="009F6B4A" w:rsidRPr="002048A7">
        <w:t xml:space="preserve">ncı maddesindeki yasakları ihlal ettiği veya 4628 sayılı Kanun ile kendilerine verilen görevler ile ilgili olarak işlediği suçlardan dolayı haklarında mahkûmiyet kararı kesinleşen Kurul Başkanı ve üyeleri, 657 sayılı Devlet Memurları Kanunu uyarınca devlet memuru olmak için aranan şartları kaybettikleri tespit edilen veya üç aydan fazla bir süre ile hastalık, kaza veya başka bir nedenle görevlerini yapamaz durumda olan veya görev süresinin kalan kısmında görevine devam edemeyeceği, üç aylık süre beklenmeksizin tam teşekküllü bir hastaneden alınacak heyet raporu ile tevsik edilen Kurul üyeleri, süreleri dolmadan </w:t>
      </w:r>
      <w:r w:rsidR="00DF4C9F" w:rsidRPr="002048A7">
        <w:t>Cumhurbaşkanı</w:t>
      </w:r>
      <w:r w:rsidR="00D47307" w:rsidRPr="002048A7">
        <w:t xml:space="preserve"> tarafından görevden alınır. </w:t>
      </w:r>
      <w:r w:rsidR="009F6B4A" w:rsidRPr="002048A7">
        <w:t xml:space="preserve">Başkanlık veya üyelikler, görev süresi dolmadan herhangi bir sebeple boşaldığı takdirde, boşalan üyeliklere bir ay içinde atama yapılır. Görev süresi sona eren üyelerin tekrar </w:t>
      </w:r>
      <w:r w:rsidR="00271033" w:rsidRPr="002048A7">
        <w:t xml:space="preserve">atanabilmesi </w:t>
      </w:r>
      <w:r w:rsidR="009F6B4A" w:rsidRPr="002048A7">
        <w:t>mümkündür.</w:t>
      </w:r>
    </w:p>
    <w:p w14:paraId="56ED9ACF" w14:textId="77777777" w:rsidR="009F6B4A" w:rsidRPr="002048A7" w:rsidRDefault="009F6B4A" w:rsidP="009F6B4A">
      <w:pPr>
        <w:spacing w:after="0"/>
      </w:pPr>
    </w:p>
    <w:p w14:paraId="7458DBE6" w14:textId="77777777" w:rsidR="009F6B4A" w:rsidRPr="002048A7" w:rsidRDefault="009F6B4A" w:rsidP="009F6B4A">
      <w:pPr>
        <w:spacing w:after="0"/>
      </w:pPr>
      <w:r w:rsidRPr="002048A7">
        <w:lastRenderedPageBreak/>
        <w:t xml:space="preserve">Kurul, haftada en az bir defa olmak üzere, gerekli gördüğü sıklıkta toplanır. Toplantıyı Kurul Başkanı veya yokluğunda İkinci Başkan yönetir. Her bir toplantının gündemi toplantıdan önce Başkan ya da yokluğunda İkinci Başkan tarafından hazırlanarak Kurul üyelerine bildirilir. </w:t>
      </w:r>
    </w:p>
    <w:p w14:paraId="0FF90B8E" w14:textId="77777777" w:rsidR="009F6B4A" w:rsidRPr="002048A7" w:rsidRDefault="009F6B4A" w:rsidP="009F6B4A">
      <w:pPr>
        <w:spacing w:after="0"/>
      </w:pPr>
    </w:p>
    <w:p w14:paraId="603D09F2" w14:textId="44E60DF1" w:rsidR="009F6B4A" w:rsidRPr="002048A7" w:rsidRDefault="001C6551" w:rsidP="009F6B4A">
      <w:pPr>
        <w:spacing w:after="0"/>
        <w:rPr>
          <w:color w:val="000000" w:themeColor="text1"/>
        </w:rPr>
      </w:pPr>
      <w:r w:rsidRPr="002048A7">
        <w:rPr>
          <w:color w:val="000000" w:themeColor="text1"/>
        </w:rPr>
        <w:t xml:space="preserve">Kurul, salt çoğunlukla toplanır ve kararları toplantıya katılanların çoğunluğunun oyuyla alır. Tablo 1.1’de </w:t>
      </w:r>
      <w:r w:rsidRPr="002048A7">
        <w:t>202</w:t>
      </w:r>
      <w:r>
        <w:t>4</w:t>
      </w:r>
      <w:r w:rsidRPr="002048A7">
        <w:t xml:space="preserve"> </w:t>
      </w:r>
      <w:r w:rsidRPr="002048A7">
        <w:rPr>
          <w:color w:val="000000" w:themeColor="text1"/>
        </w:rPr>
        <w:t>yılında alınan Kurul Kararlarının, Kurum hizmet birimlerine dağılımı gösterilmektedir. Tablo 1.2’de ise 20</w:t>
      </w:r>
      <w:r>
        <w:rPr>
          <w:color w:val="000000" w:themeColor="text1"/>
        </w:rPr>
        <w:t>20</w:t>
      </w:r>
      <w:r w:rsidRPr="002048A7">
        <w:rPr>
          <w:color w:val="000000" w:themeColor="text1"/>
        </w:rPr>
        <w:t>-202</w:t>
      </w:r>
      <w:r>
        <w:rPr>
          <w:color w:val="000000" w:themeColor="text1"/>
        </w:rPr>
        <w:t>4</w:t>
      </w:r>
      <w:r w:rsidRPr="002048A7">
        <w:rPr>
          <w:color w:val="000000" w:themeColor="text1"/>
        </w:rPr>
        <w:t xml:space="preserve"> yıllarında alınan, Kurul Kararlarının Kurum hizmet birimlerine göre dağılımına yer verilmektedir. Tablo 1.3’te görüldüğü üzere </w:t>
      </w:r>
      <w:r>
        <w:rPr>
          <w:color w:val="000000" w:themeColor="text1"/>
        </w:rPr>
        <w:t>2024 yılında 5</w:t>
      </w:r>
      <w:r w:rsidR="00494A08">
        <w:rPr>
          <w:color w:val="000000" w:themeColor="text1"/>
        </w:rPr>
        <w:t>1</w:t>
      </w:r>
      <w:r>
        <w:rPr>
          <w:color w:val="000000" w:themeColor="text1"/>
        </w:rPr>
        <w:t xml:space="preserve"> adet Kurul toplantısı yapılmış olup, her toplantıda ortalama 10</w:t>
      </w:r>
      <w:r w:rsidR="00494A08">
        <w:rPr>
          <w:color w:val="000000" w:themeColor="text1"/>
        </w:rPr>
        <w:t>2</w:t>
      </w:r>
      <w:r>
        <w:rPr>
          <w:color w:val="000000" w:themeColor="text1"/>
        </w:rPr>
        <w:t xml:space="preserve"> Karar alınmıştır. </w:t>
      </w:r>
      <w:r w:rsidRPr="002048A7">
        <w:rPr>
          <w:color w:val="000000" w:themeColor="text1"/>
        </w:rPr>
        <w:t>Söz konusu Kurul Kararlarının büyük çoğunluğu elektrik piyasası, denetim, tarifeler ve kamulaştırma faaliyetleri ile ilgilidir.</w:t>
      </w:r>
    </w:p>
    <w:p w14:paraId="20B36E12" w14:textId="77777777" w:rsidR="009F6B4A" w:rsidRPr="002048A7" w:rsidRDefault="00C96A99" w:rsidP="00E411DD">
      <w:pPr>
        <w:pStyle w:val="Balk5"/>
        <w:jc w:val="center"/>
        <w:rPr>
          <w:rStyle w:val="Gl"/>
          <w:color w:val="auto"/>
        </w:rPr>
      </w:pPr>
      <w:bookmarkStart w:id="9" w:name="_Toc416447566"/>
      <w:bookmarkStart w:id="10" w:name="_Toc442441723"/>
      <w:bookmarkStart w:id="11" w:name="_Toc505346151"/>
      <w:bookmarkStart w:id="12" w:name="_Toc195868793"/>
      <w:r w:rsidRPr="002048A7">
        <w:rPr>
          <w:rStyle w:val="Gl"/>
          <w:color w:val="auto"/>
        </w:rPr>
        <w:t>Tablo 1.1: 202</w:t>
      </w:r>
      <w:r w:rsidR="001C6551">
        <w:rPr>
          <w:rStyle w:val="Gl"/>
          <w:color w:val="auto"/>
        </w:rPr>
        <w:t>4</w:t>
      </w:r>
      <w:r w:rsidR="009F6B4A" w:rsidRPr="002048A7">
        <w:rPr>
          <w:rStyle w:val="Gl"/>
          <w:color w:val="auto"/>
        </w:rPr>
        <w:t xml:space="preserve"> Yılında Alınan Kurul Kararlarının Kurum Hizmet Birimlerine Göre Dağılımı</w:t>
      </w:r>
      <w:bookmarkEnd w:id="9"/>
      <w:bookmarkEnd w:id="10"/>
      <w:bookmarkEnd w:id="11"/>
      <w:bookmarkEnd w:id="12"/>
    </w:p>
    <w:tbl>
      <w:tblPr>
        <w:tblW w:w="5000" w:type="pct"/>
        <w:tblCellMar>
          <w:left w:w="70" w:type="dxa"/>
          <w:right w:w="70" w:type="dxa"/>
        </w:tblCellMar>
        <w:tblLook w:val="04A0" w:firstRow="1" w:lastRow="0" w:firstColumn="1" w:lastColumn="0" w:noHBand="0" w:noVBand="1"/>
      </w:tblPr>
      <w:tblGrid>
        <w:gridCol w:w="5803"/>
        <w:gridCol w:w="1984"/>
        <w:gridCol w:w="2115"/>
      </w:tblGrid>
      <w:tr w:rsidR="00C96A99" w:rsidRPr="002048A7" w14:paraId="39029E0F" w14:textId="77777777" w:rsidTr="00C96A99">
        <w:trPr>
          <w:trHeight w:val="20"/>
        </w:trPr>
        <w:tc>
          <w:tcPr>
            <w:tcW w:w="2930" w:type="pct"/>
            <w:tcBorders>
              <w:top w:val="single" w:sz="8" w:space="0" w:color="D9D9D9"/>
              <w:left w:val="single" w:sz="8" w:space="0" w:color="D9D9D9"/>
              <w:bottom w:val="single" w:sz="8" w:space="0" w:color="D9D9D9"/>
              <w:right w:val="single" w:sz="8" w:space="0" w:color="D9D9D9"/>
            </w:tcBorders>
            <w:shd w:val="clear" w:color="000000" w:fill="6E9ECA"/>
            <w:vAlign w:val="center"/>
            <w:hideMark/>
          </w:tcPr>
          <w:p w14:paraId="1E926442" w14:textId="77777777" w:rsidR="00C96A99" w:rsidRPr="002048A7" w:rsidRDefault="00C96A99" w:rsidP="00C96A99">
            <w:pPr>
              <w:spacing w:after="0" w:line="240" w:lineRule="auto"/>
              <w:jc w:val="center"/>
              <w:rPr>
                <w:rFonts w:ascii="Calibri" w:eastAsia="Times New Roman" w:hAnsi="Calibri" w:cs="Calibri"/>
                <w:b/>
                <w:bCs/>
                <w:color w:val="FFFFFF"/>
                <w:lang w:eastAsia="tr-TR"/>
              </w:rPr>
            </w:pPr>
            <w:bookmarkStart w:id="13" w:name="_Toc416447567"/>
            <w:bookmarkStart w:id="14" w:name="_Toc442441724"/>
            <w:r w:rsidRPr="002048A7">
              <w:rPr>
                <w:rFonts w:ascii="Calibri" w:eastAsia="Times New Roman" w:hAnsi="Calibri" w:cs="Calibri"/>
                <w:b/>
                <w:bCs/>
                <w:color w:val="FFFFFF"/>
                <w:lang w:eastAsia="tr-TR"/>
              </w:rPr>
              <w:t>Hizmet Biriminin Adı</w:t>
            </w:r>
          </w:p>
        </w:tc>
        <w:tc>
          <w:tcPr>
            <w:tcW w:w="1002" w:type="pct"/>
            <w:tcBorders>
              <w:top w:val="single" w:sz="8" w:space="0" w:color="D9D9D9"/>
              <w:left w:val="nil"/>
              <w:bottom w:val="single" w:sz="8" w:space="0" w:color="D9D9D9"/>
              <w:right w:val="single" w:sz="8" w:space="0" w:color="D9D9D9"/>
            </w:tcBorders>
            <w:shd w:val="clear" w:color="000000" w:fill="6E9ECA"/>
            <w:vAlign w:val="center"/>
            <w:hideMark/>
          </w:tcPr>
          <w:p w14:paraId="711D08E5" w14:textId="77777777" w:rsidR="00C96A99" w:rsidRPr="002048A7" w:rsidRDefault="00C96A99" w:rsidP="00C96A99">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Karar Sayısı</w:t>
            </w:r>
          </w:p>
        </w:tc>
        <w:tc>
          <w:tcPr>
            <w:tcW w:w="1068" w:type="pct"/>
            <w:tcBorders>
              <w:top w:val="single" w:sz="8" w:space="0" w:color="D9D9D9"/>
              <w:left w:val="nil"/>
              <w:bottom w:val="single" w:sz="8" w:space="0" w:color="D9D9D9"/>
              <w:right w:val="single" w:sz="8" w:space="0" w:color="D9D9D9"/>
            </w:tcBorders>
            <w:shd w:val="clear" w:color="000000" w:fill="6E9ECA"/>
            <w:vAlign w:val="center"/>
            <w:hideMark/>
          </w:tcPr>
          <w:p w14:paraId="01EB3FFE" w14:textId="77777777" w:rsidR="00C96A99" w:rsidRPr="002048A7" w:rsidRDefault="00C96A99" w:rsidP="00C96A99">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Oranı</w:t>
            </w:r>
            <w:r w:rsidR="00BB280F" w:rsidRPr="002048A7">
              <w:rPr>
                <w:rFonts w:ascii="Calibri" w:eastAsia="Times New Roman" w:hAnsi="Calibri" w:cs="Calibri"/>
                <w:b/>
                <w:bCs/>
                <w:color w:val="FFFFFF"/>
                <w:lang w:eastAsia="tr-TR"/>
              </w:rPr>
              <w:t xml:space="preserve"> </w:t>
            </w:r>
            <w:r w:rsidRPr="002048A7">
              <w:rPr>
                <w:rFonts w:ascii="Calibri" w:eastAsia="Times New Roman" w:hAnsi="Calibri" w:cs="Calibri"/>
                <w:b/>
                <w:bCs/>
                <w:color w:val="FFFFFF"/>
                <w:lang w:eastAsia="tr-TR"/>
              </w:rPr>
              <w:t>(%)</w:t>
            </w:r>
          </w:p>
        </w:tc>
      </w:tr>
      <w:tr w:rsidR="005C7E41" w:rsidRPr="002048A7" w14:paraId="32251714" w14:textId="77777777" w:rsidTr="0002480D">
        <w:trPr>
          <w:trHeight w:val="20"/>
        </w:trPr>
        <w:tc>
          <w:tcPr>
            <w:tcW w:w="2930" w:type="pct"/>
            <w:tcBorders>
              <w:top w:val="nil"/>
              <w:left w:val="single" w:sz="8" w:space="0" w:color="D9D9D9"/>
              <w:bottom w:val="single" w:sz="8" w:space="0" w:color="D9D9D9"/>
              <w:right w:val="single" w:sz="8" w:space="0" w:color="D9D9D9"/>
            </w:tcBorders>
            <w:vAlign w:val="center"/>
          </w:tcPr>
          <w:p w14:paraId="3476746D" w14:textId="77777777" w:rsidR="005C7E41" w:rsidRPr="002048A7" w:rsidRDefault="005C7E41" w:rsidP="005C7E41">
            <w:pPr>
              <w:spacing w:after="0" w:line="240" w:lineRule="auto"/>
              <w:rPr>
                <w:rFonts w:ascii="Calibri" w:eastAsia="Times New Roman" w:hAnsi="Calibri" w:cs="Calibri"/>
                <w:color w:val="000000"/>
                <w:lang w:eastAsia="tr-TR"/>
              </w:rPr>
            </w:pPr>
            <w:r w:rsidRPr="002048A7">
              <w:rPr>
                <w:rFonts w:ascii="Calibri" w:eastAsia="Times New Roman" w:hAnsi="Calibri" w:cs="Calibri"/>
                <w:color w:val="000000"/>
                <w:lang w:eastAsia="tr-TR"/>
              </w:rPr>
              <w:t>Elektrik Piyasası Dairesi Başkanlığı (EPD)</w:t>
            </w:r>
          </w:p>
        </w:tc>
        <w:tc>
          <w:tcPr>
            <w:tcW w:w="1002" w:type="pct"/>
            <w:tcBorders>
              <w:top w:val="nil"/>
              <w:left w:val="nil"/>
              <w:bottom w:val="single" w:sz="8" w:space="0" w:color="D9D9D9"/>
              <w:right w:val="single" w:sz="8" w:space="0" w:color="D9D9D9"/>
            </w:tcBorders>
            <w:vAlign w:val="center"/>
          </w:tcPr>
          <w:p w14:paraId="3F5D554F" w14:textId="07D03CF2" w:rsidR="005C7E41" w:rsidRPr="002048A7" w:rsidRDefault="005C7E41" w:rsidP="005C7E41">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2.791</w:t>
            </w:r>
          </w:p>
        </w:tc>
        <w:tc>
          <w:tcPr>
            <w:tcW w:w="1068" w:type="pct"/>
            <w:tcBorders>
              <w:top w:val="nil"/>
              <w:left w:val="nil"/>
              <w:bottom w:val="single" w:sz="8" w:space="0" w:color="D9D9D9"/>
              <w:right w:val="single" w:sz="8" w:space="0" w:color="D9D9D9"/>
            </w:tcBorders>
            <w:vAlign w:val="bottom"/>
          </w:tcPr>
          <w:p w14:paraId="7A9E9E1F" w14:textId="1617742F" w:rsidR="005C7E41" w:rsidRPr="00673A87" w:rsidRDefault="005C7E41" w:rsidP="005C7E41">
            <w:pPr>
              <w:spacing w:after="0" w:line="240" w:lineRule="auto"/>
              <w:jc w:val="right"/>
              <w:rPr>
                <w:rFonts w:ascii="Calibri" w:eastAsia="Times New Roman" w:hAnsi="Calibri" w:cs="Calibri"/>
                <w:color w:val="000000"/>
                <w:lang w:eastAsia="tr-TR"/>
              </w:rPr>
            </w:pPr>
            <w:r>
              <w:rPr>
                <w:rFonts w:ascii="Calibri" w:hAnsi="Calibri" w:cs="Calibri"/>
                <w:color w:val="000000"/>
              </w:rPr>
              <w:t>53,54</w:t>
            </w:r>
          </w:p>
        </w:tc>
      </w:tr>
      <w:tr w:rsidR="005C7E41" w:rsidRPr="002048A7" w14:paraId="548A9273" w14:textId="77777777" w:rsidTr="0002480D">
        <w:trPr>
          <w:trHeight w:val="20"/>
        </w:trPr>
        <w:tc>
          <w:tcPr>
            <w:tcW w:w="2930" w:type="pct"/>
            <w:tcBorders>
              <w:top w:val="nil"/>
              <w:left w:val="single" w:sz="8" w:space="0" w:color="D9D9D9"/>
              <w:bottom w:val="single" w:sz="8" w:space="0" w:color="D9D9D9"/>
              <w:right w:val="single" w:sz="8" w:space="0" w:color="D9D9D9"/>
            </w:tcBorders>
            <w:vAlign w:val="center"/>
          </w:tcPr>
          <w:p w14:paraId="53F33201" w14:textId="77777777" w:rsidR="005C7E41" w:rsidRPr="002048A7" w:rsidRDefault="005C7E41" w:rsidP="005C7E41">
            <w:pPr>
              <w:spacing w:after="0" w:line="240" w:lineRule="auto"/>
              <w:rPr>
                <w:rFonts w:ascii="Calibri" w:eastAsia="Times New Roman" w:hAnsi="Calibri" w:cs="Calibri"/>
                <w:color w:val="000000"/>
                <w:lang w:eastAsia="tr-TR"/>
              </w:rPr>
            </w:pPr>
            <w:r w:rsidRPr="002048A7">
              <w:rPr>
                <w:rFonts w:ascii="Calibri" w:eastAsia="Times New Roman" w:hAnsi="Calibri" w:cs="Calibri"/>
                <w:color w:val="000000"/>
                <w:lang w:eastAsia="tr-TR"/>
              </w:rPr>
              <w:t>Denetim Dairesi Başkanlığı (DDB)</w:t>
            </w:r>
          </w:p>
        </w:tc>
        <w:tc>
          <w:tcPr>
            <w:tcW w:w="1002" w:type="pct"/>
            <w:tcBorders>
              <w:top w:val="nil"/>
              <w:left w:val="nil"/>
              <w:bottom w:val="single" w:sz="8" w:space="0" w:color="D9D9D9"/>
              <w:right w:val="single" w:sz="8" w:space="0" w:color="D9D9D9"/>
            </w:tcBorders>
            <w:vAlign w:val="center"/>
          </w:tcPr>
          <w:p w14:paraId="33D2451A" w14:textId="69C3264C" w:rsidR="005C7E41" w:rsidRPr="002048A7" w:rsidRDefault="005C7E41" w:rsidP="005C7E41">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855</w:t>
            </w:r>
          </w:p>
        </w:tc>
        <w:tc>
          <w:tcPr>
            <w:tcW w:w="1068" w:type="pct"/>
            <w:tcBorders>
              <w:top w:val="nil"/>
              <w:left w:val="nil"/>
              <w:bottom w:val="single" w:sz="8" w:space="0" w:color="D9D9D9"/>
              <w:right w:val="single" w:sz="8" w:space="0" w:color="D9D9D9"/>
            </w:tcBorders>
            <w:vAlign w:val="bottom"/>
          </w:tcPr>
          <w:p w14:paraId="24B1D023" w14:textId="13904F69" w:rsidR="005C7E41" w:rsidRPr="00673A87" w:rsidRDefault="005C7E41" w:rsidP="005C7E41">
            <w:pPr>
              <w:spacing w:after="0" w:line="240" w:lineRule="auto"/>
              <w:jc w:val="right"/>
              <w:rPr>
                <w:rFonts w:ascii="Calibri" w:eastAsia="Times New Roman" w:hAnsi="Calibri" w:cs="Calibri"/>
                <w:color w:val="000000"/>
                <w:lang w:eastAsia="tr-TR"/>
              </w:rPr>
            </w:pPr>
            <w:r>
              <w:rPr>
                <w:rFonts w:ascii="Calibri" w:hAnsi="Calibri" w:cs="Calibri"/>
                <w:color w:val="000000"/>
              </w:rPr>
              <w:t>16,40</w:t>
            </w:r>
          </w:p>
        </w:tc>
      </w:tr>
      <w:tr w:rsidR="005C7E41" w:rsidRPr="002048A7" w14:paraId="74C0DEC5" w14:textId="77777777" w:rsidTr="0002480D">
        <w:trPr>
          <w:trHeight w:val="20"/>
        </w:trPr>
        <w:tc>
          <w:tcPr>
            <w:tcW w:w="2930" w:type="pct"/>
            <w:tcBorders>
              <w:top w:val="nil"/>
              <w:left w:val="single" w:sz="8" w:space="0" w:color="D9D9D9"/>
              <w:bottom w:val="single" w:sz="8" w:space="0" w:color="D9D9D9"/>
              <w:right w:val="single" w:sz="8" w:space="0" w:color="D9D9D9"/>
            </w:tcBorders>
            <w:vAlign w:val="center"/>
            <w:hideMark/>
          </w:tcPr>
          <w:p w14:paraId="63212768" w14:textId="77777777" w:rsidR="005C7E41" w:rsidRPr="002048A7" w:rsidRDefault="005C7E41" w:rsidP="005C7E41">
            <w:pPr>
              <w:spacing w:after="0" w:line="240" w:lineRule="auto"/>
              <w:rPr>
                <w:rFonts w:ascii="Calibri" w:eastAsia="Times New Roman" w:hAnsi="Calibri" w:cs="Calibri"/>
                <w:color w:val="000000"/>
                <w:lang w:eastAsia="tr-TR"/>
              </w:rPr>
            </w:pPr>
            <w:r w:rsidRPr="002048A7">
              <w:rPr>
                <w:rFonts w:ascii="Calibri" w:eastAsia="Times New Roman" w:hAnsi="Calibri" w:cs="Calibri"/>
                <w:color w:val="000000"/>
                <w:lang w:eastAsia="tr-TR"/>
              </w:rPr>
              <w:t xml:space="preserve">Kamulaştırma Dairesi Başkanlığı (KDB) </w:t>
            </w:r>
          </w:p>
        </w:tc>
        <w:tc>
          <w:tcPr>
            <w:tcW w:w="1002" w:type="pct"/>
            <w:tcBorders>
              <w:top w:val="nil"/>
              <w:left w:val="nil"/>
              <w:bottom w:val="single" w:sz="8" w:space="0" w:color="D9D9D9"/>
              <w:right w:val="single" w:sz="8" w:space="0" w:color="D9D9D9"/>
            </w:tcBorders>
            <w:vAlign w:val="center"/>
            <w:hideMark/>
          </w:tcPr>
          <w:p w14:paraId="09F1B4A0" w14:textId="4B85C10C" w:rsidR="005C7E41" w:rsidRPr="002048A7" w:rsidRDefault="005C7E41" w:rsidP="005C7E41">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685</w:t>
            </w:r>
          </w:p>
        </w:tc>
        <w:tc>
          <w:tcPr>
            <w:tcW w:w="1068" w:type="pct"/>
            <w:tcBorders>
              <w:top w:val="nil"/>
              <w:left w:val="nil"/>
              <w:bottom w:val="single" w:sz="8" w:space="0" w:color="D9D9D9"/>
              <w:right w:val="single" w:sz="8" w:space="0" w:color="D9D9D9"/>
            </w:tcBorders>
            <w:vAlign w:val="bottom"/>
            <w:hideMark/>
          </w:tcPr>
          <w:p w14:paraId="18AB0A8F" w14:textId="065FEABF" w:rsidR="005C7E41" w:rsidRPr="00673A87" w:rsidRDefault="005C7E41" w:rsidP="005C7E41">
            <w:pPr>
              <w:spacing w:after="0" w:line="240" w:lineRule="auto"/>
              <w:jc w:val="right"/>
              <w:rPr>
                <w:rFonts w:ascii="Calibri" w:eastAsia="Times New Roman" w:hAnsi="Calibri" w:cs="Calibri"/>
                <w:color w:val="000000"/>
                <w:lang w:eastAsia="tr-TR"/>
              </w:rPr>
            </w:pPr>
            <w:r>
              <w:rPr>
                <w:rFonts w:ascii="Calibri" w:hAnsi="Calibri" w:cs="Calibri"/>
                <w:color w:val="000000"/>
              </w:rPr>
              <w:t>13,14</w:t>
            </w:r>
          </w:p>
        </w:tc>
      </w:tr>
      <w:tr w:rsidR="005C7E41" w:rsidRPr="002048A7" w14:paraId="3E0E3169" w14:textId="77777777" w:rsidTr="0002480D">
        <w:trPr>
          <w:trHeight w:val="20"/>
        </w:trPr>
        <w:tc>
          <w:tcPr>
            <w:tcW w:w="2930" w:type="pct"/>
            <w:tcBorders>
              <w:top w:val="nil"/>
              <w:left w:val="single" w:sz="8" w:space="0" w:color="D9D9D9"/>
              <w:bottom w:val="single" w:sz="8" w:space="0" w:color="D9D9D9"/>
              <w:right w:val="single" w:sz="8" w:space="0" w:color="D9D9D9"/>
            </w:tcBorders>
            <w:vAlign w:val="center"/>
          </w:tcPr>
          <w:p w14:paraId="262F2F11" w14:textId="77777777" w:rsidR="005C7E41" w:rsidRPr="002048A7" w:rsidRDefault="005C7E41" w:rsidP="005C7E41">
            <w:pPr>
              <w:spacing w:after="0" w:line="240" w:lineRule="auto"/>
              <w:rPr>
                <w:rFonts w:ascii="Calibri" w:eastAsia="Times New Roman" w:hAnsi="Calibri" w:cs="Calibri"/>
                <w:color w:val="000000"/>
                <w:lang w:eastAsia="tr-TR"/>
              </w:rPr>
            </w:pPr>
            <w:r w:rsidRPr="002048A7">
              <w:rPr>
                <w:rFonts w:ascii="Calibri" w:eastAsia="Times New Roman" w:hAnsi="Calibri" w:cs="Calibri"/>
                <w:color w:val="000000"/>
                <w:lang w:eastAsia="tr-TR"/>
              </w:rPr>
              <w:t>Tarifeler Dairesi Başkanlığı (TDB)</w:t>
            </w:r>
          </w:p>
        </w:tc>
        <w:tc>
          <w:tcPr>
            <w:tcW w:w="1002" w:type="pct"/>
            <w:tcBorders>
              <w:top w:val="nil"/>
              <w:left w:val="nil"/>
              <w:bottom w:val="single" w:sz="8" w:space="0" w:color="D9D9D9"/>
              <w:right w:val="single" w:sz="8" w:space="0" w:color="D9D9D9"/>
            </w:tcBorders>
            <w:vAlign w:val="center"/>
          </w:tcPr>
          <w:p w14:paraId="7B2D709F" w14:textId="2C3780D5" w:rsidR="005C7E41" w:rsidRPr="002048A7" w:rsidRDefault="005C7E41" w:rsidP="005C7E41">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453</w:t>
            </w:r>
          </w:p>
        </w:tc>
        <w:tc>
          <w:tcPr>
            <w:tcW w:w="1068" w:type="pct"/>
            <w:tcBorders>
              <w:top w:val="nil"/>
              <w:left w:val="nil"/>
              <w:bottom w:val="single" w:sz="8" w:space="0" w:color="D9D9D9"/>
              <w:right w:val="single" w:sz="8" w:space="0" w:color="D9D9D9"/>
            </w:tcBorders>
            <w:vAlign w:val="bottom"/>
          </w:tcPr>
          <w:p w14:paraId="19466E9D" w14:textId="01484127" w:rsidR="005C7E41" w:rsidRPr="00673A87" w:rsidRDefault="005C7E41" w:rsidP="005C7E41">
            <w:pPr>
              <w:spacing w:after="0" w:line="240" w:lineRule="auto"/>
              <w:jc w:val="right"/>
              <w:rPr>
                <w:rFonts w:ascii="Calibri" w:eastAsia="Times New Roman" w:hAnsi="Calibri" w:cs="Calibri"/>
                <w:color w:val="000000"/>
                <w:lang w:eastAsia="tr-TR"/>
              </w:rPr>
            </w:pPr>
            <w:r>
              <w:rPr>
                <w:rFonts w:ascii="Calibri" w:hAnsi="Calibri" w:cs="Calibri"/>
                <w:color w:val="000000"/>
              </w:rPr>
              <w:t>8,69</w:t>
            </w:r>
          </w:p>
        </w:tc>
      </w:tr>
      <w:tr w:rsidR="005C7E41" w:rsidRPr="002048A7" w14:paraId="68D8B713" w14:textId="77777777" w:rsidTr="0002480D">
        <w:trPr>
          <w:trHeight w:val="20"/>
        </w:trPr>
        <w:tc>
          <w:tcPr>
            <w:tcW w:w="2930" w:type="pct"/>
            <w:tcBorders>
              <w:top w:val="nil"/>
              <w:left w:val="single" w:sz="8" w:space="0" w:color="D9D9D9"/>
              <w:bottom w:val="single" w:sz="8" w:space="0" w:color="D9D9D9"/>
              <w:right w:val="single" w:sz="8" w:space="0" w:color="D9D9D9"/>
            </w:tcBorders>
            <w:vAlign w:val="center"/>
          </w:tcPr>
          <w:p w14:paraId="418A61B6" w14:textId="77777777" w:rsidR="005C7E41" w:rsidRPr="002048A7" w:rsidRDefault="005C7E41" w:rsidP="005C7E41">
            <w:pPr>
              <w:spacing w:after="0" w:line="240" w:lineRule="auto"/>
              <w:rPr>
                <w:rFonts w:ascii="Calibri" w:eastAsia="Times New Roman" w:hAnsi="Calibri" w:cs="Calibri"/>
                <w:color w:val="000000"/>
                <w:lang w:eastAsia="tr-TR"/>
              </w:rPr>
            </w:pPr>
            <w:r w:rsidRPr="002048A7">
              <w:rPr>
                <w:rFonts w:ascii="Calibri" w:eastAsia="Times New Roman" w:hAnsi="Calibri" w:cs="Calibri"/>
                <w:color w:val="000000"/>
                <w:lang w:eastAsia="tr-TR"/>
              </w:rPr>
              <w:t>Doğal Gaz Piyasası Dairesi Başkanlığı (DPD)</w:t>
            </w:r>
          </w:p>
        </w:tc>
        <w:tc>
          <w:tcPr>
            <w:tcW w:w="1002" w:type="pct"/>
            <w:tcBorders>
              <w:top w:val="nil"/>
              <w:left w:val="nil"/>
              <w:bottom w:val="single" w:sz="8" w:space="0" w:color="D9D9D9"/>
              <w:right w:val="single" w:sz="8" w:space="0" w:color="D9D9D9"/>
            </w:tcBorders>
            <w:vAlign w:val="center"/>
          </w:tcPr>
          <w:p w14:paraId="74D3516A" w14:textId="77777777" w:rsidR="005C7E41" w:rsidRPr="002048A7" w:rsidRDefault="005C7E41" w:rsidP="005C7E41">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157</w:t>
            </w:r>
          </w:p>
        </w:tc>
        <w:tc>
          <w:tcPr>
            <w:tcW w:w="1068" w:type="pct"/>
            <w:tcBorders>
              <w:top w:val="nil"/>
              <w:left w:val="nil"/>
              <w:bottom w:val="single" w:sz="8" w:space="0" w:color="D9D9D9"/>
              <w:right w:val="single" w:sz="8" w:space="0" w:color="D9D9D9"/>
            </w:tcBorders>
            <w:vAlign w:val="bottom"/>
          </w:tcPr>
          <w:p w14:paraId="69E74897" w14:textId="09EB973D" w:rsidR="005C7E41" w:rsidRPr="00673A87" w:rsidRDefault="005C7E41" w:rsidP="005C7E41">
            <w:pPr>
              <w:spacing w:after="0" w:line="240" w:lineRule="auto"/>
              <w:jc w:val="right"/>
              <w:rPr>
                <w:rFonts w:ascii="Calibri" w:eastAsia="Times New Roman" w:hAnsi="Calibri" w:cs="Calibri"/>
                <w:color w:val="000000"/>
                <w:lang w:eastAsia="tr-TR"/>
              </w:rPr>
            </w:pPr>
            <w:r>
              <w:rPr>
                <w:rFonts w:ascii="Calibri" w:hAnsi="Calibri" w:cs="Calibri"/>
                <w:color w:val="000000"/>
              </w:rPr>
              <w:t>3,01</w:t>
            </w:r>
          </w:p>
        </w:tc>
      </w:tr>
      <w:tr w:rsidR="005C7E41" w:rsidRPr="002048A7" w14:paraId="4CCB9462" w14:textId="77777777" w:rsidTr="0002480D">
        <w:trPr>
          <w:trHeight w:val="20"/>
        </w:trPr>
        <w:tc>
          <w:tcPr>
            <w:tcW w:w="2930" w:type="pct"/>
            <w:tcBorders>
              <w:top w:val="nil"/>
              <w:left w:val="single" w:sz="8" w:space="0" w:color="D9D9D9"/>
              <w:bottom w:val="single" w:sz="8" w:space="0" w:color="D9D9D9"/>
              <w:right w:val="single" w:sz="8" w:space="0" w:color="D9D9D9"/>
            </w:tcBorders>
            <w:vAlign w:val="center"/>
          </w:tcPr>
          <w:p w14:paraId="5CF43528" w14:textId="77777777" w:rsidR="005C7E41" w:rsidRPr="002048A7" w:rsidRDefault="005C7E41" w:rsidP="005C7E41">
            <w:pPr>
              <w:spacing w:after="0" w:line="240" w:lineRule="auto"/>
              <w:rPr>
                <w:rFonts w:ascii="Calibri" w:eastAsia="Times New Roman" w:hAnsi="Calibri" w:cs="Calibri"/>
                <w:color w:val="000000"/>
                <w:lang w:eastAsia="tr-TR"/>
              </w:rPr>
            </w:pPr>
            <w:r w:rsidRPr="002048A7">
              <w:rPr>
                <w:rFonts w:ascii="Calibri" w:eastAsia="Times New Roman" w:hAnsi="Calibri" w:cs="Calibri"/>
                <w:color w:val="000000"/>
                <w:lang w:eastAsia="tr-TR"/>
              </w:rPr>
              <w:t>Petrol Piyasası Dairesi Başkanlığı (PPD)</w:t>
            </w:r>
          </w:p>
        </w:tc>
        <w:tc>
          <w:tcPr>
            <w:tcW w:w="1002" w:type="pct"/>
            <w:tcBorders>
              <w:top w:val="nil"/>
              <w:left w:val="nil"/>
              <w:bottom w:val="single" w:sz="8" w:space="0" w:color="D9D9D9"/>
              <w:right w:val="single" w:sz="8" w:space="0" w:color="D9D9D9"/>
            </w:tcBorders>
            <w:vAlign w:val="center"/>
          </w:tcPr>
          <w:p w14:paraId="1FA836E5" w14:textId="5B61EC5E" w:rsidR="005C7E41" w:rsidRPr="002048A7" w:rsidRDefault="005C7E41" w:rsidP="005C7E41">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115</w:t>
            </w:r>
          </w:p>
        </w:tc>
        <w:tc>
          <w:tcPr>
            <w:tcW w:w="1068" w:type="pct"/>
            <w:tcBorders>
              <w:top w:val="nil"/>
              <w:left w:val="nil"/>
              <w:bottom w:val="single" w:sz="8" w:space="0" w:color="D9D9D9"/>
              <w:right w:val="single" w:sz="8" w:space="0" w:color="D9D9D9"/>
            </w:tcBorders>
            <w:vAlign w:val="bottom"/>
          </w:tcPr>
          <w:p w14:paraId="134EB03B" w14:textId="1324F55D" w:rsidR="005C7E41" w:rsidRPr="00673A87" w:rsidRDefault="005C7E41" w:rsidP="005C7E41">
            <w:pPr>
              <w:spacing w:after="0" w:line="240" w:lineRule="auto"/>
              <w:jc w:val="right"/>
              <w:rPr>
                <w:rFonts w:ascii="Calibri" w:eastAsia="Times New Roman" w:hAnsi="Calibri" w:cs="Calibri"/>
                <w:color w:val="000000"/>
                <w:lang w:eastAsia="tr-TR"/>
              </w:rPr>
            </w:pPr>
            <w:r>
              <w:rPr>
                <w:rFonts w:ascii="Calibri" w:hAnsi="Calibri" w:cs="Calibri"/>
                <w:color w:val="000000"/>
              </w:rPr>
              <w:t>2,21</w:t>
            </w:r>
          </w:p>
        </w:tc>
      </w:tr>
      <w:tr w:rsidR="005C7E41" w:rsidRPr="002048A7" w14:paraId="28256F61" w14:textId="77777777" w:rsidTr="0002480D">
        <w:trPr>
          <w:trHeight w:val="20"/>
        </w:trPr>
        <w:tc>
          <w:tcPr>
            <w:tcW w:w="2930" w:type="pct"/>
            <w:tcBorders>
              <w:top w:val="nil"/>
              <w:left w:val="single" w:sz="8" w:space="0" w:color="D9D9D9"/>
              <w:bottom w:val="single" w:sz="8" w:space="0" w:color="D9D9D9"/>
              <w:right w:val="single" w:sz="8" w:space="0" w:color="D9D9D9"/>
            </w:tcBorders>
            <w:vAlign w:val="center"/>
            <w:hideMark/>
          </w:tcPr>
          <w:p w14:paraId="39086259" w14:textId="77777777" w:rsidR="005C7E41" w:rsidRPr="002048A7" w:rsidRDefault="005C7E41" w:rsidP="005C7E41">
            <w:pPr>
              <w:spacing w:after="0" w:line="240" w:lineRule="auto"/>
              <w:rPr>
                <w:rFonts w:ascii="Calibri" w:eastAsia="Times New Roman" w:hAnsi="Calibri" w:cs="Calibri"/>
                <w:color w:val="000000"/>
                <w:lang w:eastAsia="tr-TR"/>
              </w:rPr>
            </w:pPr>
            <w:r w:rsidRPr="002048A7">
              <w:rPr>
                <w:rFonts w:ascii="Calibri" w:eastAsia="Times New Roman" w:hAnsi="Calibri" w:cs="Calibri"/>
                <w:color w:val="000000"/>
                <w:lang w:eastAsia="tr-TR"/>
              </w:rPr>
              <w:t xml:space="preserve">Enerji Dönüşüm Dairesi Başkanlığı (EDD) </w:t>
            </w:r>
          </w:p>
        </w:tc>
        <w:tc>
          <w:tcPr>
            <w:tcW w:w="1002" w:type="pct"/>
            <w:tcBorders>
              <w:top w:val="nil"/>
              <w:left w:val="nil"/>
              <w:bottom w:val="single" w:sz="8" w:space="0" w:color="D9D9D9"/>
              <w:right w:val="single" w:sz="8" w:space="0" w:color="D9D9D9"/>
            </w:tcBorders>
            <w:vAlign w:val="center"/>
            <w:hideMark/>
          </w:tcPr>
          <w:p w14:paraId="11B1B5A5" w14:textId="77777777" w:rsidR="005C7E41" w:rsidRPr="002048A7" w:rsidRDefault="005C7E41" w:rsidP="005C7E41">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99</w:t>
            </w:r>
          </w:p>
        </w:tc>
        <w:tc>
          <w:tcPr>
            <w:tcW w:w="1068" w:type="pct"/>
            <w:tcBorders>
              <w:top w:val="nil"/>
              <w:left w:val="nil"/>
              <w:bottom w:val="single" w:sz="8" w:space="0" w:color="D9D9D9"/>
              <w:right w:val="single" w:sz="8" w:space="0" w:color="D9D9D9"/>
            </w:tcBorders>
            <w:vAlign w:val="bottom"/>
            <w:hideMark/>
          </w:tcPr>
          <w:p w14:paraId="69922F17" w14:textId="02855F68" w:rsidR="005C7E41" w:rsidRPr="00673A87" w:rsidRDefault="005C7E41" w:rsidP="005C7E41">
            <w:pPr>
              <w:spacing w:after="0" w:line="240" w:lineRule="auto"/>
              <w:jc w:val="right"/>
              <w:rPr>
                <w:rFonts w:ascii="Calibri" w:eastAsia="Times New Roman" w:hAnsi="Calibri" w:cs="Calibri"/>
                <w:color w:val="000000"/>
                <w:lang w:eastAsia="tr-TR"/>
              </w:rPr>
            </w:pPr>
            <w:r>
              <w:rPr>
                <w:rFonts w:ascii="Calibri" w:hAnsi="Calibri" w:cs="Calibri"/>
                <w:color w:val="000000"/>
              </w:rPr>
              <w:t>1,90</w:t>
            </w:r>
          </w:p>
        </w:tc>
      </w:tr>
      <w:tr w:rsidR="005C7E41" w:rsidRPr="002048A7" w14:paraId="3719DC39" w14:textId="77777777" w:rsidTr="0002480D">
        <w:trPr>
          <w:trHeight w:val="20"/>
        </w:trPr>
        <w:tc>
          <w:tcPr>
            <w:tcW w:w="2930" w:type="pct"/>
            <w:tcBorders>
              <w:top w:val="nil"/>
              <w:left w:val="single" w:sz="8" w:space="0" w:color="D9D9D9"/>
              <w:bottom w:val="single" w:sz="8" w:space="0" w:color="D9D9D9"/>
              <w:right w:val="single" w:sz="8" w:space="0" w:color="D9D9D9"/>
            </w:tcBorders>
            <w:vAlign w:val="center"/>
          </w:tcPr>
          <w:p w14:paraId="3F2EB6E7" w14:textId="77777777" w:rsidR="005C7E41" w:rsidRPr="002048A7" w:rsidRDefault="005C7E41" w:rsidP="005C7E41">
            <w:pPr>
              <w:spacing w:after="0" w:line="240" w:lineRule="auto"/>
              <w:rPr>
                <w:rFonts w:ascii="Calibri" w:eastAsia="Times New Roman" w:hAnsi="Calibri" w:cs="Calibri"/>
                <w:color w:val="000000"/>
                <w:lang w:eastAsia="tr-TR"/>
              </w:rPr>
            </w:pPr>
            <w:r w:rsidRPr="002048A7">
              <w:rPr>
                <w:rFonts w:ascii="Calibri" w:eastAsia="Times New Roman" w:hAnsi="Calibri" w:cs="Calibri"/>
                <w:color w:val="000000"/>
                <w:lang w:eastAsia="tr-TR"/>
              </w:rPr>
              <w:t>İnsan Kaynakları ve Destek Hizmetleri Dairesi Başkanlığı (İKD)</w:t>
            </w:r>
          </w:p>
        </w:tc>
        <w:tc>
          <w:tcPr>
            <w:tcW w:w="1002" w:type="pct"/>
            <w:tcBorders>
              <w:top w:val="nil"/>
              <w:left w:val="nil"/>
              <w:bottom w:val="single" w:sz="8" w:space="0" w:color="D9D9D9"/>
              <w:right w:val="single" w:sz="8" w:space="0" w:color="D9D9D9"/>
            </w:tcBorders>
            <w:vAlign w:val="center"/>
          </w:tcPr>
          <w:p w14:paraId="7E2B8D83" w14:textId="11BF2428" w:rsidR="005C7E41" w:rsidRPr="002048A7" w:rsidRDefault="005C7E41" w:rsidP="005C7E41">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22</w:t>
            </w:r>
          </w:p>
        </w:tc>
        <w:tc>
          <w:tcPr>
            <w:tcW w:w="1068" w:type="pct"/>
            <w:tcBorders>
              <w:top w:val="nil"/>
              <w:left w:val="nil"/>
              <w:bottom w:val="single" w:sz="8" w:space="0" w:color="D9D9D9"/>
              <w:right w:val="single" w:sz="8" w:space="0" w:color="D9D9D9"/>
            </w:tcBorders>
            <w:vAlign w:val="bottom"/>
          </w:tcPr>
          <w:p w14:paraId="67E0D35F" w14:textId="78BD80C7" w:rsidR="005C7E41" w:rsidRPr="00673A87" w:rsidRDefault="005C7E41" w:rsidP="005C7E41">
            <w:pPr>
              <w:spacing w:after="0" w:line="240" w:lineRule="auto"/>
              <w:jc w:val="right"/>
              <w:rPr>
                <w:rFonts w:ascii="Calibri" w:eastAsia="Times New Roman" w:hAnsi="Calibri" w:cs="Calibri"/>
                <w:color w:val="000000"/>
                <w:lang w:eastAsia="tr-TR"/>
              </w:rPr>
            </w:pPr>
            <w:r>
              <w:rPr>
                <w:rFonts w:ascii="Calibri" w:hAnsi="Calibri" w:cs="Calibri"/>
                <w:color w:val="000000"/>
              </w:rPr>
              <w:t>0,42</w:t>
            </w:r>
          </w:p>
        </w:tc>
      </w:tr>
      <w:tr w:rsidR="005C7E41" w:rsidRPr="002048A7" w14:paraId="6AA49712" w14:textId="77777777" w:rsidTr="00673A87">
        <w:trPr>
          <w:trHeight w:val="20"/>
        </w:trPr>
        <w:tc>
          <w:tcPr>
            <w:tcW w:w="2930" w:type="pct"/>
            <w:tcBorders>
              <w:top w:val="nil"/>
              <w:left w:val="single" w:sz="8" w:space="0" w:color="D9D9D9"/>
              <w:bottom w:val="single" w:sz="8" w:space="0" w:color="D9D9D9"/>
              <w:right w:val="single" w:sz="8" w:space="0" w:color="D9D9D9"/>
            </w:tcBorders>
            <w:vAlign w:val="center"/>
          </w:tcPr>
          <w:p w14:paraId="76224215" w14:textId="77777777" w:rsidR="005C7E41" w:rsidRPr="002048A7" w:rsidRDefault="005C7E41" w:rsidP="005C7E41">
            <w:pPr>
              <w:spacing w:after="0" w:line="240" w:lineRule="auto"/>
              <w:rPr>
                <w:rFonts w:ascii="Calibri" w:eastAsia="Times New Roman" w:hAnsi="Calibri" w:cs="Calibri"/>
                <w:color w:val="000000"/>
                <w:lang w:eastAsia="tr-TR"/>
              </w:rPr>
            </w:pPr>
            <w:r w:rsidRPr="002048A7">
              <w:rPr>
                <w:rFonts w:ascii="Calibri" w:eastAsia="Times New Roman" w:hAnsi="Calibri" w:cs="Calibri"/>
                <w:color w:val="000000"/>
                <w:lang w:eastAsia="tr-TR"/>
              </w:rPr>
              <w:t>Strateji Geliştirme Dairesi Başkanlığı (SGD)</w:t>
            </w:r>
          </w:p>
        </w:tc>
        <w:tc>
          <w:tcPr>
            <w:tcW w:w="1002" w:type="pct"/>
            <w:tcBorders>
              <w:top w:val="nil"/>
              <w:left w:val="nil"/>
              <w:bottom w:val="single" w:sz="8" w:space="0" w:color="D9D9D9"/>
              <w:right w:val="single" w:sz="8" w:space="0" w:color="D9D9D9"/>
            </w:tcBorders>
            <w:vAlign w:val="center"/>
          </w:tcPr>
          <w:p w14:paraId="1B4E157E" w14:textId="77777777" w:rsidR="005C7E41" w:rsidRPr="002048A7" w:rsidRDefault="005C7E41" w:rsidP="005C7E41">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18</w:t>
            </w:r>
          </w:p>
        </w:tc>
        <w:tc>
          <w:tcPr>
            <w:tcW w:w="1068" w:type="pct"/>
            <w:tcBorders>
              <w:top w:val="nil"/>
              <w:left w:val="nil"/>
              <w:bottom w:val="single" w:sz="8" w:space="0" w:color="D9D9D9"/>
              <w:right w:val="single" w:sz="8" w:space="0" w:color="D9D9D9"/>
            </w:tcBorders>
            <w:vAlign w:val="bottom"/>
          </w:tcPr>
          <w:p w14:paraId="1D9B51FA" w14:textId="0A09998B" w:rsidR="005C7E41" w:rsidRPr="00673A87" w:rsidRDefault="005C7E41" w:rsidP="005C7E41">
            <w:pPr>
              <w:spacing w:after="0" w:line="240" w:lineRule="auto"/>
              <w:jc w:val="right"/>
              <w:rPr>
                <w:rFonts w:ascii="Calibri" w:eastAsia="Times New Roman" w:hAnsi="Calibri" w:cs="Calibri"/>
                <w:color w:val="000000"/>
                <w:lang w:eastAsia="tr-TR"/>
              </w:rPr>
            </w:pPr>
            <w:r>
              <w:rPr>
                <w:rFonts w:ascii="Calibri" w:hAnsi="Calibri" w:cs="Calibri"/>
                <w:color w:val="000000"/>
              </w:rPr>
              <w:t>0,35</w:t>
            </w:r>
          </w:p>
        </w:tc>
      </w:tr>
      <w:tr w:rsidR="005C7E41" w:rsidRPr="002048A7" w14:paraId="0530E1A4" w14:textId="77777777" w:rsidTr="0002480D">
        <w:trPr>
          <w:trHeight w:val="20"/>
        </w:trPr>
        <w:tc>
          <w:tcPr>
            <w:tcW w:w="2930" w:type="pct"/>
            <w:tcBorders>
              <w:top w:val="nil"/>
              <w:left w:val="single" w:sz="8" w:space="0" w:color="D9D9D9"/>
              <w:bottom w:val="single" w:sz="8" w:space="0" w:color="D9D9D9"/>
              <w:right w:val="single" w:sz="8" w:space="0" w:color="D9D9D9"/>
            </w:tcBorders>
            <w:vAlign w:val="center"/>
            <w:hideMark/>
          </w:tcPr>
          <w:p w14:paraId="474470AB" w14:textId="77777777" w:rsidR="005C7E41" w:rsidRPr="002048A7" w:rsidRDefault="005C7E41" w:rsidP="005C7E41">
            <w:pPr>
              <w:spacing w:after="0" w:line="240" w:lineRule="auto"/>
              <w:rPr>
                <w:rFonts w:ascii="Calibri" w:eastAsia="Times New Roman" w:hAnsi="Calibri" w:cs="Calibri"/>
                <w:color w:val="000000"/>
                <w:lang w:eastAsia="tr-TR"/>
              </w:rPr>
            </w:pPr>
            <w:r w:rsidRPr="002048A7">
              <w:rPr>
                <w:rFonts w:ascii="Calibri" w:eastAsia="Times New Roman" w:hAnsi="Calibri" w:cs="Calibri"/>
                <w:color w:val="000000"/>
                <w:lang w:eastAsia="tr-TR"/>
              </w:rPr>
              <w:t>LPG Piyasası Dairesi Başkanlığı (LPG)</w:t>
            </w:r>
          </w:p>
        </w:tc>
        <w:tc>
          <w:tcPr>
            <w:tcW w:w="1002" w:type="pct"/>
            <w:tcBorders>
              <w:top w:val="nil"/>
              <w:left w:val="nil"/>
              <w:bottom w:val="single" w:sz="8" w:space="0" w:color="D9D9D9"/>
              <w:right w:val="single" w:sz="8" w:space="0" w:color="D9D9D9"/>
            </w:tcBorders>
            <w:vAlign w:val="center"/>
            <w:hideMark/>
          </w:tcPr>
          <w:p w14:paraId="27A335E0" w14:textId="1F8F108A" w:rsidR="005C7E41" w:rsidRPr="002048A7" w:rsidRDefault="005C7E41" w:rsidP="005C7E41">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16</w:t>
            </w:r>
          </w:p>
        </w:tc>
        <w:tc>
          <w:tcPr>
            <w:tcW w:w="1068" w:type="pct"/>
            <w:tcBorders>
              <w:top w:val="nil"/>
              <w:left w:val="nil"/>
              <w:bottom w:val="single" w:sz="8" w:space="0" w:color="D9D9D9"/>
              <w:right w:val="single" w:sz="8" w:space="0" w:color="D9D9D9"/>
            </w:tcBorders>
            <w:vAlign w:val="bottom"/>
            <w:hideMark/>
          </w:tcPr>
          <w:p w14:paraId="3B569F7A" w14:textId="0C788A32" w:rsidR="005C7E41" w:rsidRPr="00673A87" w:rsidRDefault="005C7E41" w:rsidP="005C7E41">
            <w:pPr>
              <w:spacing w:after="0" w:line="240" w:lineRule="auto"/>
              <w:jc w:val="right"/>
              <w:rPr>
                <w:rFonts w:ascii="Calibri" w:eastAsia="Times New Roman" w:hAnsi="Calibri" w:cs="Calibri"/>
                <w:color w:val="000000"/>
                <w:lang w:eastAsia="tr-TR"/>
              </w:rPr>
            </w:pPr>
            <w:r>
              <w:rPr>
                <w:rFonts w:ascii="Calibri" w:hAnsi="Calibri" w:cs="Calibri"/>
                <w:color w:val="000000"/>
              </w:rPr>
              <w:t>0,31</w:t>
            </w:r>
          </w:p>
        </w:tc>
      </w:tr>
      <w:tr w:rsidR="005C7E41" w:rsidRPr="002048A7" w14:paraId="638B59D3" w14:textId="77777777" w:rsidTr="00673A87">
        <w:trPr>
          <w:trHeight w:val="20"/>
        </w:trPr>
        <w:tc>
          <w:tcPr>
            <w:tcW w:w="2930" w:type="pct"/>
            <w:tcBorders>
              <w:top w:val="nil"/>
              <w:left w:val="single" w:sz="8" w:space="0" w:color="D9D9D9"/>
              <w:bottom w:val="single" w:sz="8" w:space="0" w:color="D9D9D9"/>
              <w:right w:val="single" w:sz="8" w:space="0" w:color="D9D9D9"/>
            </w:tcBorders>
            <w:vAlign w:val="center"/>
          </w:tcPr>
          <w:p w14:paraId="3F4D0DA5" w14:textId="77777777" w:rsidR="005C7E41" w:rsidRPr="002048A7" w:rsidRDefault="005C7E41" w:rsidP="005C7E41">
            <w:pPr>
              <w:spacing w:after="0" w:line="240" w:lineRule="auto"/>
              <w:rPr>
                <w:rFonts w:ascii="Calibri" w:eastAsia="Times New Roman" w:hAnsi="Calibri" w:cs="Calibri"/>
                <w:color w:val="000000"/>
                <w:lang w:eastAsia="tr-TR"/>
              </w:rPr>
            </w:pPr>
            <w:r w:rsidRPr="002048A7">
              <w:rPr>
                <w:rFonts w:ascii="Calibri" w:eastAsia="Times New Roman" w:hAnsi="Calibri" w:cs="Calibri"/>
                <w:color w:val="000000"/>
                <w:lang w:eastAsia="tr-TR"/>
              </w:rPr>
              <w:t>Bilgi İşlem Dairesi Başkanlığı (BİD)</w:t>
            </w:r>
          </w:p>
        </w:tc>
        <w:tc>
          <w:tcPr>
            <w:tcW w:w="1002" w:type="pct"/>
            <w:tcBorders>
              <w:top w:val="nil"/>
              <w:left w:val="nil"/>
              <w:bottom w:val="single" w:sz="8" w:space="0" w:color="D9D9D9"/>
              <w:right w:val="single" w:sz="8" w:space="0" w:color="D9D9D9"/>
            </w:tcBorders>
            <w:vAlign w:val="center"/>
          </w:tcPr>
          <w:p w14:paraId="0A114E35" w14:textId="77777777" w:rsidR="005C7E41" w:rsidRPr="002048A7" w:rsidRDefault="005C7E41" w:rsidP="005C7E41">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2</w:t>
            </w:r>
          </w:p>
        </w:tc>
        <w:tc>
          <w:tcPr>
            <w:tcW w:w="1068" w:type="pct"/>
            <w:tcBorders>
              <w:top w:val="nil"/>
              <w:left w:val="nil"/>
              <w:bottom w:val="single" w:sz="8" w:space="0" w:color="D9D9D9"/>
              <w:right w:val="single" w:sz="8" w:space="0" w:color="D9D9D9"/>
            </w:tcBorders>
            <w:vAlign w:val="bottom"/>
          </w:tcPr>
          <w:p w14:paraId="54F203DF" w14:textId="30FF5877" w:rsidR="005C7E41" w:rsidRPr="00673A87" w:rsidRDefault="005C7E41" w:rsidP="005C7E41">
            <w:pPr>
              <w:spacing w:after="0" w:line="240" w:lineRule="auto"/>
              <w:jc w:val="right"/>
              <w:rPr>
                <w:rFonts w:ascii="Calibri" w:eastAsia="Times New Roman" w:hAnsi="Calibri" w:cs="Calibri"/>
                <w:color w:val="000000"/>
                <w:lang w:eastAsia="tr-TR"/>
              </w:rPr>
            </w:pPr>
            <w:r>
              <w:rPr>
                <w:rFonts w:ascii="Calibri" w:hAnsi="Calibri" w:cs="Calibri"/>
                <w:color w:val="000000"/>
              </w:rPr>
              <w:t>0,04</w:t>
            </w:r>
          </w:p>
        </w:tc>
      </w:tr>
      <w:tr w:rsidR="005C7E41" w:rsidRPr="002048A7" w14:paraId="1C5E0A75" w14:textId="77777777" w:rsidTr="0002480D">
        <w:trPr>
          <w:trHeight w:val="20"/>
        </w:trPr>
        <w:tc>
          <w:tcPr>
            <w:tcW w:w="2930" w:type="pct"/>
            <w:tcBorders>
              <w:top w:val="nil"/>
              <w:left w:val="single" w:sz="8" w:space="0" w:color="D9D9D9"/>
              <w:bottom w:val="single" w:sz="8" w:space="0" w:color="D9D9D9"/>
              <w:right w:val="single" w:sz="8" w:space="0" w:color="D9D9D9"/>
            </w:tcBorders>
            <w:vAlign w:val="center"/>
          </w:tcPr>
          <w:p w14:paraId="7401EF5B" w14:textId="77777777" w:rsidR="005C7E41" w:rsidRPr="002048A7" w:rsidRDefault="005C7E41" w:rsidP="005C7E41">
            <w:pPr>
              <w:spacing w:after="0" w:line="240" w:lineRule="auto"/>
              <w:rPr>
                <w:rFonts w:ascii="Calibri" w:eastAsia="Times New Roman" w:hAnsi="Calibri" w:cs="Calibri"/>
                <w:color w:val="000000"/>
                <w:lang w:eastAsia="tr-TR"/>
              </w:rPr>
            </w:pPr>
            <w:r w:rsidRPr="002048A7">
              <w:rPr>
                <w:rFonts w:ascii="Calibri" w:eastAsia="Times New Roman" w:hAnsi="Calibri" w:cs="Calibri"/>
                <w:color w:val="000000"/>
                <w:lang w:eastAsia="tr-TR"/>
              </w:rPr>
              <w:t>Hukuk Dairesi Başkanlığı (HDB)</w:t>
            </w:r>
          </w:p>
        </w:tc>
        <w:tc>
          <w:tcPr>
            <w:tcW w:w="1002" w:type="pct"/>
            <w:tcBorders>
              <w:top w:val="nil"/>
              <w:left w:val="nil"/>
              <w:bottom w:val="single" w:sz="8" w:space="0" w:color="D9D9D9"/>
              <w:right w:val="single" w:sz="8" w:space="0" w:color="D9D9D9"/>
            </w:tcBorders>
            <w:vAlign w:val="center"/>
          </w:tcPr>
          <w:p w14:paraId="094871FE" w14:textId="77777777" w:rsidR="005C7E41" w:rsidRPr="002048A7" w:rsidRDefault="005C7E41" w:rsidP="005C7E41">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1068" w:type="pct"/>
            <w:tcBorders>
              <w:top w:val="nil"/>
              <w:left w:val="nil"/>
              <w:bottom w:val="single" w:sz="8" w:space="0" w:color="D9D9D9"/>
              <w:right w:val="single" w:sz="8" w:space="0" w:color="D9D9D9"/>
            </w:tcBorders>
            <w:vAlign w:val="bottom"/>
          </w:tcPr>
          <w:p w14:paraId="3B49E189" w14:textId="2510ECD4" w:rsidR="005C7E41" w:rsidRPr="00673A87" w:rsidRDefault="005C7E41" w:rsidP="005C7E41">
            <w:pPr>
              <w:spacing w:after="0" w:line="240" w:lineRule="auto"/>
              <w:jc w:val="right"/>
              <w:rPr>
                <w:rFonts w:ascii="Calibri" w:eastAsia="Times New Roman" w:hAnsi="Calibri" w:cs="Calibri"/>
                <w:color w:val="000000"/>
                <w:lang w:eastAsia="tr-TR"/>
              </w:rPr>
            </w:pPr>
            <w:r>
              <w:rPr>
                <w:rFonts w:ascii="Calibri" w:hAnsi="Calibri" w:cs="Calibri"/>
                <w:color w:val="000000"/>
              </w:rPr>
              <w:t>0,00</w:t>
            </w:r>
          </w:p>
        </w:tc>
      </w:tr>
      <w:tr w:rsidR="005C7E41" w:rsidRPr="002048A7" w14:paraId="71F9C1CB" w14:textId="77777777" w:rsidTr="00673A87">
        <w:trPr>
          <w:trHeight w:val="20"/>
        </w:trPr>
        <w:tc>
          <w:tcPr>
            <w:tcW w:w="2930" w:type="pct"/>
            <w:tcBorders>
              <w:top w:val="nil"/>
              <w:left w:val="single" w:sz="8" w:space="0" w:color="D9D9D9"/>
              <w:bottom w:val="single" w:sz="8" w:space="0" w:color="D9D9D9"/>
              <w:right w:val="single" w:sz="8" w:space="0" w:color="D9D9D9"/>
            </w:tcBorders>
            <w:vAlign w:val="center"/>
            <w:hideMark/>
          </w:tcPr>
          <w:p w14:paraId="5EC3DB21" w14:textId="77777777" w:rsidR="005C7E41" w:rsidRPr="002048A7" w:rsidRDefault="005C7E41" w:rsidP="005C7E41">
            <w:pPr>
              <w:spacing w:after="0" w:line="240" w:lineRule="auto"/>
              <w:rPr>
                <w:rFonts w:ascii="Calibri" w:eastAsia="Times New Roman" w:hAnsi="Calibri" w:cs="Calibri"/>
                <w:color w:val="000000"/>
                <w:lang w:eastAsia="tr-TR"/>
              </w:rPr>
            </w:pPr>
            <w:r w:rsidRPr="002048A7">
              <w:rPr>
                <w:rFonts w:ascii="Calibri" w:eastAsia="Times New Roman" w:hAnsi="Calibri" w:cs="Calibri"/>
                <w:color w:val="000000"/>
                <w:lang w:eastAsia="tr-TR"/>
              </w:rPr>
              <w:t>Kurul Hizmetleri Müdürlüğü (KHM)</w:t>
            </w:r>
          </w:p>
        </w:tc>
        <w:tc>
          <w:tcPr>
            <w:tcW w:w="1002" w:type="pct"/>
            <w:tcBorders>
              <w:top w:val="nil"/>
              <w:left w:val="nil"/>
              <w:bottom w:val="single" w:sz="8" w:space="0" w:color="D9D9D9"/>
              <w:right w:val="single" w:sz="8" w:space="0" w:color="D9D9D9"/>
            </w:tcBorders>
            <w:vAlign w:val="center"/>
            <w:hideMark/>
          </w:tcPr>
          <w:p w14:paraId="1ABA7CC6" w14:textId="77777777" w:rsidR="005C7E41" w:rsidRPr="002048A7" w:rsidRDefault="005C7E41" w:rsidP="005C7E41">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1068" w:type="pct"/>
            <w:tcBorders>
              <w:top w:val="nil"/>
              <w:left w:val="nil"/>
              <w:bottom w:val="single" w:sz="8" w:space="0" w:color="D9D9D9"/>
              <w:right w:val="single" w:sz="8" w:space="0" w:color="D9D9D9"/>
            </w:tcBorders>
            <w:vAlign w:val="bottom"/>
            <w:hideMark/>
          </w:tcPr>
          <w:p w14:paraId="7F516E19" w14:textId="43FDD085" w:rsidR="005C7E41" w:rsidRPr="00673A87" w:rsidRDefault="005C7E41" w:rsidP="005C7E41">
            <w:pPr>
              <w:spacing w:after="0" w:line="240" w:lineRule="auto"/>
              <w:jc w:val="right"/>
              <w:rPr>
                <w:rFonts w:ascii="Calibri" w:eastAsia="Times New Roman" w:hAnsi="Calibri" w:cs="Calibri"/>
                <w:color w:val="000000"/>
                <w:lang w:eastAsia="tr-TR"/>
              </w:rPr>
            </w:pPr>
            <w:r>
              <w:rPr>
                <w:rFonts w:ascii="Calibri" w:hAnsi="Calibri" w:cs="Calibri"/>
                <w:color w:val="000000"/>
              </w:rPr>
              <w:t>0,00</w:t>
            </w:r>
          </w:p>
        </w:tc>
      </w:tr>
      <w:tr w:rsidR="00673A87" w:rsidRPr="002048A7" w14:paraId="128D3738" w14:textId="77777777" w:rsidTr="00A24C69">
        <w:trPr>
          <w:trHeight w:val="20"/>
        </w:trPr>
        <w:tc>
          <w:tcPr>
            <w:tcW w:w="2930" w:type="pct"/>
            <w:tcBorders>
              <w:top w:val="nil"/>
              <w:left w:val="single" w:sz="8" w:space="0" w:color="D9D9D9"/>
              <w:bottom w:val="single" w:sz="8" w:space="0" w:color="D9D9D9"/>
              <w:right w:val="single" w:sz="8" w:space="0" w:color="D9D9D9"/>
            </w:tcBorders>
            <w:vAlign w:val="center"/>
            <w:hideMark/>
          </w:tcPr>
          <w:p w14:paraId="158C8DBF" w14:textId="77777777" w:rsidR="00673A87" w:rsidRPr="002048A7" w:rsidRDefault="00673A87" w:rsidP="00673A87">
            <w:pPr>
              <w:spacing w:after="0" w:line="240" w:lineRule="auto"/>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Toplam</w:t>
            </w:r>
          </w:p>
        </w:tc>
        <w:tc>
          <w:tcPr>
            <w:tcW w:w="1002" w:type="pct"/>
            <w:tcBorders>
              <w:top w:val="nil"/>
              <w:left w:val="nil"/>
              <w:bottom w:val="single" w:sz="8" w:space="0" w:color="D9D9D9"/>
              <w:right w:val="single" w:sz="8" w:space="0" w:color="D9D9D9"/>
            </w:tcBorders>
            <w:vAlign w:val="center"/>
            <w:hideMark/>
          </w:tcPr>
          <w:p w14:paraId="4C269BBF" w14:textId="5E7B0041" w:rsidR="00673A87" w:rsidRPr="002048A7" w:rsidRDefault="00673A87" w:rsidP="00673A87">
            <w:pPr>
              <w:spacing w:after="0" w:line="240" w:lineRule="auto"/>
              <w:jc w:val="right"/>
              <w:rPr>
                <w:rFonts w:ascii="Calibri" w:eastAsia="Times New Roman" w:hAnsi="Calibri" w:cs="Calibri"/>
                <w:b/>
                <w:bCs/>
                <w:color w:val="000000"/>
                <w:lang w:eastAsia="tr-TR"/>
              </w:rPr>
            </w:pPr>
            <w:r>
              <w:rPr>
                <w:rFonts w:ascii="Calibri" w:eastAsia="Times New Roman" w:hAnsi="Calibri" w:cs="Calibri"/>
                <w:b/>
                <w:bCs/>
                <w:color w:val="000000"/>
                <w:lang w:eastAsia="tr-TR"/>
              </w:rPr>
              <w:t>5</w:t>
            </w:r>
            <w:r w:rsidRPr="002048A7">
              <w:rPr>
                <w:rFonts w:ascii="Calibri" w:eastAsia="Times New Roman" w:hAnsi="Calibri" w:cs="Calibri"/>
                <w:b/>
                <w:bCs/>
                <w:color w:val="000000"/>
                <w:lang w:eastAsia="tr-TR"/>
              </w:rPr>
              <w:t>.</w:t>
            </w:r>
            <w:r w:rsidR="005C7E41">
              <w:rPr>
                <w:rFonts w:ascii="Calibri" w:eastAsia="Times New Roman" w:hAnsi="Calibri" w:cs="Calibri"/>
                <w:b/>
                <w:bCs/>
                <w:color w:val="000000"/>
                <w:lang w:eastAsia="tr-TR"/>
              </w:rPr>
              <w:t>2</w:t>
            </w:r>
            <w:r w:rsidR="005C7E41" w:rsidRPr="00764B76">
              <w:rPr>
                <w:rFonts w:ascii="Calibri" w:eastAsia="Times New Roman" w:hAnsi="Calibri" w:cs="Calibri"/>
                <w:b/>
                <w:color w:val="000000"/>
                <w:lang w:eastAsia="tr-TR"/>
              </w:rPr>
              <w:t>13</w:t>
            </w:r>
          </w:p>
        </w:tc>
        <w:tc>
          <w:tcPr>
            <w:tcW w:w="1068" w:type="pct"/>
            <w:tcBorders>
              <w:top w:val="nil"/>
              <w:left w:val="nil"/>
              <w:bottom w:val="single" w:sz="8" w:space="0" w:color="D9D9D9"/>
              <w:right w:val="single" w:sz="8" w:space="0" w:color="D9D9D9"/>
            </w:tcBorders>
            <w:vAlign w:val="center"/>
            <w:hideMark/>
          </w:tcPr>
          <w:p w14:paraId="0031D38B" w14:textId="77777777" w:rsidR="00673A87" w:rsidRPr="002048A7" w:rsidRDefault="00673A87" w:rsidP="00673A87">
            <w:pPr>
              <w:spacing w:after="0" w:line="240" w:lineRule="auto"/>
              <w:jc w:val="right"/>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100</w:t>
            </w:r>
          </w:p>
        </w:tc>
      </w:tr>
    </w:tbl>
    <w:p w14:paraId="4E8C09E7" w14:textId="77777777" w:rsidR="003C56A2" w:rsidRPr="002048A7" w:rsidRDefault="00C96A99" w:rsidP="00F91931">
      <w:pPr>
        <w:pStyle w:val="Balk5"/>
        <w:spacing w:before="120"/>
        <w:jc w:val="center"/>
        <w:rPr>
          <w:rStyle w:val="Gl"/>
          <w:color w:val="auto"/>
        </w:rPr>
      </w:pPr>
      <w:bookmarkStart w:id="15" w:name="_Toc195868794"/>
      <w:r w:rsidRPr="002048A7">
        <w:rPr>
          <w:rStyle w:val="Gl"/>
          <w:color w:val="auto"/>
        </w:rPr>
        <w:t>Şekil 1.1: 202</w:t>
      </w:r>
      <w:r w:rsidR="001C6551">
        <w:rPr>
          <w:rStyle w:val="Gl"/>
          <w:color w:val="auto"/>
        </w:rPr>
        <w:t>4</w:t>
      </w:r>
      <w:r w:rsidR="003C56A2" w:rsidRPr="002048A7">
        <w:rPr>
          <w:rStyle w:val="Gl"/>
          <w:color w:val="auto"/>
        </w:rPr>
        <w:t xml:space="preserve"> Yılı Hizmet Birimlerine Göre Alınan Kurul Kararları</w:t>
      </w:r>
      <w:bookmarkEnd w:id="15"/>
    </w:p>
    <w:p w14:paraId="6D64D1B7" w14:textId="74C951E5" w:rsidR="00751D17" w:rsidRPr="002048A7" w:rsidRDefault="005C7E41">
      <w:pPr>
        <w:rPr>
          <w:rStyle w:val="Gl"/>
          <w:b w:val="0"/>
          <w:bCs w:val="0"/>
          <w:color w:val="FFFFFF" w:themeColor="background1"/>
          <w14:textFill>
            <w14:noFill/>
          </w14:textFill>
        </w:rPr>
      </w:pPr>
      <w:bookmarkStart w:id="16" w:name="_Toc505346152"/>
      <w:r>
        <w:rPr>
          <w:noProof/>
        </w:rPr>
        <w:drawing>
          <wp:inline distT="0" distB="0" distL="0" distR="0" wp14:anchorId="6A57B04E" wp14:editId="15816236">
            <wp:extent cx="6305550" cy="2990850"/>
            <wp:effectExtent l="0" t="0" r="0" b="0"/>
            <wp:docPr id="1" name="Grafik 1">
              <a:extLst xmlns:a="http://schemas.openxmlformats.org/drawingml/2006/main">
                <a:ext uri="{FF2B5EF4-FFF2-40B4-BE49-F238E27FC236}">
                  <a16:creationId xmlns:a16="http://schemas.microsoft.com/office/drawing/2014/main" id="{CEE1DAB7-41A8-4399-AD3D-98D9E8272BA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FCE53FD" w14:textId="77777777" w:rsidR="009F6B4A" w:rsidRPr="002048A7" w:rsidRDefault="009F6B4A" w:rsidP="00CF408B">
      <w:pPr>
        <w:pStyle w:val="Balk5"/>
        <w:jc w:val="center"/>
        <w:rPr>
          <w:rStyle w:val="Gl"/>
          <w:color w:val="000000" w:themeColor="text1"/>
        </w:rPr>
      </w:pPr>
      <w:bookmarkStart w:id="17" w:name="_Toc195868795"/>
      <w:r w:rsidRPr="002048A7">
        <w:rPr>
          <w:rStyle w:val="Gl"/>
          <w:color w:val="000000" w:themeColor="text1"/>
        </w:rPr>
        <w:lastRenderedPageBreak/>
        <w:t>Tablo 1.2: 20</w:t>
      </w:r>
      <w:r w:rsidR="00B670B8">
        <w:rPr>
          <w:rStyle w:val="Gl"/>
          <w:color w:val="000000" w:themeColor="text1"/>
        </w:rPr>
        <w:t>20</w:t>
      </w:r>
      <w:r w:rsidR="001978FE" w:rsidRPr="002048A7">
        <w:rPr>
          <w:rStyle w:val="Gl"/>
          <w:color w:val="000000" w:themeColor="text1"/>
        </w:rPr>
        <w:t>-202</w:t>
      </w:r>
      <w:r w:rsidR="00F72B18">
        <w:rPr>
          <w:rStyle w:val="Gl"/>
          <w:color w:val="000000" w:themeColor="text1"/>
        </w:rPr>
        <w:t>4</w:t>
      </w:r>
      <w:r w:rsidRPr="002048A7">
        <w:rPr>
          <w:rStyle w:val="Gl"/>
          <w:color w:val="000000" w:themeColor="text1"/>
        </w:rPr>
        <w:t xml:space="preserve"> Yılları Arasında Alınan Kurul Kararlarının Kurum Hizmet Birimlerine Göre Dağılımı</w:t>
      </w:r>
      <w:bookmarkEnd w:id="13"/>
      <w:bookmarkEnd w:id="14"/>
      <w:bookmarkEnd w:id="16"/>
      <w:bookmarkEnd w:id="17"/>
    </w:p>
    <w:tbl>
      <w:tblPr>
        <w:tblW w:w="5000" w:type="pct"/>
        <w:jc w:val="center"/>
        <w:tblCellMar>
          <w:left w:w="70" w:type="dxa"/>
          <w:right w:w="70" w:type="dxa"/>
        </w:tblCellMar>
        <w:tblLook w:val="04A0" w:firstRow="1" w:lastRow="0" w:firstColumn="1" w:lastColumn="0" w:noHBand="0" w:noVBand="1"/>
      </w:tblPr>
      <w:tblGrid>
        <w:gridCol w:w="973"/>
        <w:gridCol w:w="718"/>
        <w:gridCol w:w="718"/>
        <w:gridCol w:w="719"/>
        <w:gridCol w:w="719"/>
        <w:gridCol w:w="719"/>
        <w:gridCol w:w="719"/>
        <w:gridCol w:w="719"/>
        <w:gridCol w:w="719"/>
        <w:gridCol w:w="719"/>
        <w:gridCol w:w="721"/>
        <w:gridCol w:w="828"/>
        <w:gridCol w:w="911"/>
      </w:tblGrid>
      <w:tr w:rsidR="00B670B8" w:rsidRPr="002048A7" w14:paraId="75568CF8" w14:textId="77777777" w:rsidTr="00B22AB6">
        <w:trPr>
          <w:trHeight w:val="737"/>
          <w:jc w:val="center"/>
        </w:trPr>
        <w:tc>
          <w:tcPr>
            <w:tcW w:w="491" w:type="pct"/>
            <w:tcBorders>
              <w:top w:val="single" w:sz="8" w:space="0" w:color="D9D9D9"/>
              <w:left w:val="single" w:sz="8" w:space="0" w:color="D9D9D9"/>
              <w:bottom w:val="single" w:sz="8" w:space="0" w:color="D9D9D9"/>
              <w:right w:val="single" w:sz="8" w:space="0" w:color="D9D9D9"/>
            </w:tcBorders>
            <w:shd w:val="clear" w:color="000000" w:fill="6E9ECA"/>
            <w:vAlign w:val="center"/>
            <w:hideMark/>
          </w:tcPr>
          <w:p w14:paraId="3978EA27" w14:textId="77777777" w:rsidR="00B670B8" w:rsidRPr="002048A7" w:rsidRDefault="00B670B8" w:rsidP="00B670B8">
            <w:pPr>
              <w:spacing w:after="0" w:line="240" w:lineRule="auto"/>
              <w:jc w:val="center"/>
              <w:rPr>
                <w:rFonts w:ascii="Calibri" w:eastAsia="Times New Roman" w:hAnsi="Calibri" w:cs="Calibri"/>
                <w:b/>
                <w:bCs/>
                <w:color w:val="FFFFFF"/>
                <w:lang w:eastAsia="tr-TR"/>
              </w:rPr>
            </w:pPr>
            <w:bookmarkStart w:id="18" w:name="_Toc416447568"/>
            <w:bookmarkStart w:id="19" w:name="_Toc442441725"/>
            <w:bookmarkStart w:id="20" w:name="_Toc505346153"/>
            <w:r w:rsidRPr="002048A7">
              <w:rPr>
                <w:rFonts w:ascii="Calibri" w:eastAsia="Times New Roman" w:hAnsi="Calibri" w:cs="Calibri"/>
                <w:b/>
                <w:bCs/>
                <w:color w:val="FFFFFF"/>
                <w:lang w:eastAsia="tr-TR"/>
              </w:rPr>
              <w:t>Hizmet Biriminin Adı</w:t>
            </w:r>
          </w:p>
        </w:tc>
        <w:tc>
          <w:tcPr>
            <w:tcW w:w="363" w:type="pct"/>
            <w:tcBorders>
              <w:top w:val="single" w:sz="8" w:space="0" w:color="D9D9D9"/>
              <w:left w:val="nil"/>
              <w:right w:val="single" w:sz="8" w:space="0" w:color="D9D9D9"/>
            </w:tcBorders>
            <w:shd w:val="clear" w:color="000000" w:fill="6E9ECA"/>
            <w:vAlign w:val="center"/>
            <w:hideMark/>
          </w:tcPr>
          <w:p w14:paraId="6EBB9A74" w14:textId="77777777" w:rsidR="00B670B8" w:rsidRPr="002048A7" w:rsidRDefault="00B670B8" w:rsidP="00B670B8">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2020</w:t>
            </w:r>
          </w:p>
        </w:tc>
        <w:tc>
          <w:tcPr>
            <w:tcW w:w="363" w:type="pct"/>
            <w:tcBorders>
              <w:top w:val="single" w:sz="8" w:space="0" w:color="D9D9D9"/>
              <w:left w:val="nil"/>
              <w:right w:val="single" w:sz="8" w:space="0" w:color="D9D9D9"/>
            </w:tcBorders>
            <w:shd w:val="clear" w:color="000000" w:fill="6E9ECA"/>
            <w:vAlign w:val="center"/>
            <w:hideMark/>
          </w:tcPr>
          <w:p w14:paraId="2E214E80" w14:textId="77777777" w:rsidR="00B670B8" w:rsidRPr="002048A7" w:rsidRDefault="00B670B8" w:rsidP="00B670B8">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Pay</w:t>
            </w:r>
          </w:p>
          <w:p w14:paraId="4ECD4FCD" w14:textId="77777777" w:rsidR="00B670B8" w:rsidRPr="002048A7" w:rsidRDefault="00B670B8" w:rsidP="00B670B8">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w:t>
            </w:r>
          </w:p>
        </w:tc>
        <w:tc>
          <w:tcPr>
            <w:tcW w:w="363" w:type="pct"/>
            <w:tcBorders>
              <w:top w:val="single" w:sz="8" w:space="0" w:color="D9D9D9"/>
              <w:left w:val="nil"/>
              <w:right w:val="single" w:sz="8" w:space="0" w:color="D9D9D9"/>
            </w:tcBorders>
            <w:shd w:val="clear" w:color="000000" w:fill="6E9ECA"/>
            <w:vAlign w:val="center"/>
          </w:tcPr>
          <w:p w14:paraId="357B5A5E" w14:textId="77777777" w:rsidR="00B670B8" w:rsidRPr="002048A7" w:rsidRDefault="00B670B8" w:rsidP="00B670B8">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2021</w:t>
            </w:r>
          </w:p>
        </w:tc>
        <w:tc>
          <w:tcPr>
            <w:tcW w:w="363" w:type="pct"/>
            <w:tcBorders>
              <w:top w:val="single" w:sz="8" w:space="0" w:color="D9D9D9"/>
              <w:left w:val="nil"/>
              <w:right w:val="single" w:sz="8" w:space="0" w:color="D9D9D9"/>
            </w:tcBorders>
            <w:shd w:val="clear" w:color="000000" w:fill="6E9ECA"/>
            <w:vAlign w:val="center"/>
          </w:tcPr>
          <w:p w14:paraId="58469B65" w14:textId="77777777" w:rsidR="00B670B8" w:rsidRPr="002048A7" w:rsidRDefault="00B670B8" w:rsidP="00B670B8">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Pay (%)</w:t>
            </w:r>
          </w:p>
        </w:tc>
        <w:tc>
          <w:tcPr>
            <w:tcW w:w="363" w:type="pct"/>
            <w:tcBorders>
              <w:top w:val="single" w:sz="8" w:space="0" w:color="D9D9D9"/>
              <w:left w:val="nil"/>
              <w:right w:val="single" w:sz="8" w:space="0" w:color="D9D9D9"/>
            </w:tcBorders>
            <w:shd w:val="clear" w:color="000000" w:fill="6E9ECA"/>
            <w:noWrap/>
            <w:vAlign w:val="center"/>
          </w:tcPr>
          <w:p w14:paraId="27C443F7" w14:textId="77777777" w:rsidR="00B670B8" w:rsidRPr="002048A7" w:rsidRDefault="00B670B8" w:rsidP="00B670B8">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2022</w:t>
            </w:r>
          </w:p>
        </w:tc>
        <w:tc>
          <w:tcPr>
            <w:tcW w:w="363" w:type="pct"/>
            <w:tcBorders>
              <w:top w:val="single" w:sz="8" w:space="0" w:color="D9D9D9"/>
              <w:left w:val="nil"/>
              <w:right w:val="single" w:sz="8" w:space="0" w:color="D9D9D9"/>
            </w:tcBorders>
            <w:shd w:val="clear" w:color="000000" w:fill="6E9ECA"/>
            <w:vAlign w:val="center"/>
          </w:tcPr>
          <w:p w14:paraId="2F701F24" w14:textId="77777777" w:rsidR="00B670B8" w:rsidRPr="002048A7" w:rsidRDefault="00B670B8" w:rsidP="00B670B8">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Pay (%)</w:t>
            </w:r>
          </w:p>
        </w:tc>
        <w:tc>
          <w:tcPr>
            <w:tcW w:w="363" w:type="pct"/>
            <w:tcBorders>
              <w:top w:val="single" w:sz="8" w:space="0" w:color="D9D9D9"/>
              <w:left w:val="single" w:sz="8" w:space="0" w:color="D9D9D9"/>
              <w:bottom w:val="single" w:sz="8" w:space="0" w:color="D9D9D9"/>
              <w:right w:val="single" w:sz="8" w:space="0" w:color="D9D9D9"/>
            </w:tcBorders>
            <w:shd w:val="clear" w:color="000000" w:fill="6E9ECA"/>
            <w:noWrap/>
            <w:vAlign w:val="center"/>
          </w:tcPr>
          <w:p w14:paraId="7B677BB2" w14:textId="77777777" w:rsidR="00B670B8" w:rsidRPr="00894A3C" w:rsidRDefault="00B670B8" w:rsidP="00B670B8">
            <w:pPr>
              <w:spacing w:after="0" w:line="240" w:lineRule="auto"/>
              <w:jc w:val="center"/>
              <w:rPr>
                <w:rFonts w:ascii="Calibri" w:eastAsia="Times New Roman" w:hAnsi="Calibri" w:cs="Calibri"/>
                <w:b/>
                <w:bCs/>
                <w:color w:val="FFFFFF"/>
                <w:lang w:eastAsia="tr-TR"/>
              </w:rPr>
            </w:pPr>
            <w:r w:rsidRPr="00894A3C">
              <w:rPr>
                <w:rFonts w:ascii="Calibri" w:eastAsia="Times New Roman" w:hAnsi="Calibri" w:cs="Calibri"/>
                <w:b/>
                <w:bCs/>
                <w:color w:val="FFFFFF"/>
                <w:lang w:eastAsia="tr-TR"/>
              </w:rPr>
              <w:t>2</w:t>
            </w:r>
            <w:r w:rsidRPr="00894A3C">
              <w:rPr>
                <w:rFonts w:ascii="Calibri" w:eastAsia="Times New Roman" w:hAnsi="Calibri" w:cs="Calibri"/>
                <w:b/>
                <w:color w:val="FFFFFF"/>
                <w:lang w:eastAsia="tr-TR"/>
              </w:rPr>
              <w:t>023</w:t>
            </w:r>
          </w:p>
        </w:tc>
        <w:tc>
          <w:tcPr>
            <w:tcW w:w="363" w:type="pct"/>
            <w:tcBorders>
              <w:top w:val="single" w:sz="8" w:space="0" w:color="D9D9D9"/>
              <w:left w:val="single" w:sz="8" w:space="0" w:color="D9D9D9"/>
              <w:bottom w:val="single" w:sz="8" w:space="0" w:color="D9D9D9"/>
              <w:right w:val="single" w:sz="8" w:space="0" w:color="D9D9D9"/>
            </w:tcBorders>
            <w:shd w:val="clear" w:color="000000" w:fill="6E9ECA"/>
            <w:vAlign w:val="center"/>
          </w:tcPr>
          <w:p w14:paraId="4C0150C7" w14:textId="77777777" w:rsidR="00B670B8" w:rsidRPr="002048A7" w:rsidRDefault="00B670B8" w:rsidP="00B670B8">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Pay (%)</w:t>
            </w:r>
          </w:p>
        </w:tc>
        <w:tc>
          <w:tcPr>
            <w:tcW w:w="363" w:type="pct"/>
            <w:tcBorders>
              <w:top w:val="single" w:sz="8" w:space="0" w:color="D9D9D9"/>
              <w:left w:val="single" w:sz="8" w:space="0" w:color="D9D9D9"/>
              <w:bottom w:val="single" w:sz="8" w:space="0" w:color="D9D9D9"/>
              <w:right w:val="single" w:sz="8" w:space="0" w:color="D9D9D9"/>
            </w:tcBorders>
            <w:shd w:val="clear" w:color="000000" w:fill="6E9ECA"/>
            <w:noWrap/>
            <w:vAlign w:val="center"/>
          </w:tcPr>
          <w:p w14:paraId="6984B889" w14:textId="77777777" w:rsidR="00B670B8" w:rsidRPr="00894A3C" w:rsidRDefault="00B670B8" w:rsidP="00B670B8">
            <w:pPr>
              <w:spacing w:after="0" w:line="240" w:lineRule="auto"/>
              <w:jc w:val="center"/>
              <w:rPr>
                <w:rFonts w:ascii="Calibri" w:eastAsia="Times New Roman" w:hAnsi="Calibri" w:cs="Calibri"/>
                <w:b/>
                <w:bCs/>
                <w:color w:val="FFFFFF"/>
                <w:lang w:eastAsia="tr-TR"/>
              </w:rPr>
            </w:pPr>
            <w:r w:rsidRPr="00894A3C">
              <w:rPr>
                <w:rFonts w:ascii="Calibri" w:eastAsia="Times New Roman" w:hAnsi="Calibri" w:cs="Calibri"/>
                <w:b/>
                <w:bCs/>
                <w:color w:val="FFFFFF"/>
                <w:lang w:eastAsia="tr-TR"/>
              </w:rPr>
              <w:t>2</w:t>
            </w:r>
            <w:r w:rsidRPr="00894A3C">
              <w:rPr>
                <w:rFonts w:ascii="Calibri" w:eastAsia="Times New Roman" w:hAnsi="Calibri" w:cs="Calibri"/>
                <w:b/>
                <w:color w:val="FFFFFF"/>
                <w:lang w:eastAsia="tr-TR"/>
              </w:rPr>
              <w:t>024</w:t>
            </w:r>
          </w:p>
        </w:tc>
        <w:tc>
          <w:tcPr>
            <w:tcW w:w="364" w:type="pct"/>
            <w:tcBorders>
              <w:top w:val="single" w:sz="8" w:space="0" w:color="D9D9D9"/>
              <w:left w:val="single" w:sz="8" w:space="0" w:color="D9D9D9"/>
              <w:bottom w:val="single" w:sz="8" w:space="0" w:color="D9D9D9"/>
              <w:right w:val="single" w:sz="8" w:space="0" w:color="D9D9D9"/>
            </w:tcBorders>
            <w:shd w:val="clear" w:color="000000" w:fill="6E9ECA"/>
            <w:vAlign w:val="center"/>
          </w:tcPr>
          <w:p w14:paraId="23A83C3C" w14:textId="77777777" w:rsidR="00B670B8" w:rsidRPr="002048A7" w:rsidRDefault="00B670B8" w:rsidP="00B670B8">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Pay (%)</w:t>
            </w:r>
          </w:p>
        </w:tc>
        <w:tc>
          <w:tcPr>
            <w:tcW w:w="418" w:type="pct"/>
            <w:tcBorders>
              <w:top w:val="single" w:sz="8" w:space="0" w:color="D9D9D9"/>
              <w:left w:val="single" w:sz="8" w:space="0" w:color="D9D9D9"/>
              <w:bottom w:val="single" w:sz="8" w:space="0" w:color="D9D9D9"/>
              <w:right w:val="single" w:sz="8" w:space="0" w:color="D9D9D9"/>
            </w:tcBorders>
            <w:shd w:val="clear" w:color="000000" w:fill="6E9ECA"/>
            <w:vAlign w:val="center"/>
            <w:hideMark/>
          </w:tcPr>
          <w:p w14:paraId="081B82D2" w14:textId="77777777" w:rsidR="00B670B8" w:rsidRPr="002048A7" w:rsidRDefault="00B670B8" w:rsidP="00B670B8">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Toplam</w:t>
            </w:r>
          </w:p>
        </w:tc>
        <w:tc>
          <w:tcPr>
            <w:tcW w:w="460" w:type="pct"/>
            <w:tcBorders>
              <w:top w:val="single" w:sz="8" w:space="0" w:color="D9D9D9"/>
              <w:left w:val="single" w:sz="8" w:space="0" w:color="D9D9D9"/>
              <w:bottom w:val="single" w:sz="8" w:space="0" w:color="D9D9D9"/>
              <w:right w:val="single" w:sz="8" w:space="0" w:color="D9D9D9"/>
            </w:tcBorders>
            <w:shd w:val="clear" w:color="000000" w:fill="6E9ECA"/>
            <w:vAlign w:val="center"/>
            <w:hideMark/>
          </w:tcPr>
          <w:p w14:paraId="22766E89" w14:textId="77777777" w:rsidR="00B670B8" w:rsidRPr="002048A7" w:rsidRDefault="00B670B8" w:rsidP="00B670B8">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Pay</w:t>
            </w:r>
          </w:p>
          <w:p w14:paraId="347B32BF" w14:textId="77777777" w:rsidR="00B670B8" w:rsidRPr="002048A7" w:rsidRDefault="00B670B8" w:rsidP="00B670B8">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w:t>
            </w:r>
          </w:p>
        </w:tc>
      </w:tr>
      <w:tr w:rsidR="00894A3C" w:rsidRPr="00894A3C" w14:paraId="43E29FA6" w14:textId="77777777" w:rsidTr="00894A3C">
        <w:trPr>
          <w:trHeight w:val="20"/>
          <w:jc w:val="center"/>
        </w:trPr>
        <w:tc>
          <w:tcPr>
            <w:tcW w:w="491" w:type="pct"/>
            <w:tcBorders>
              <w:top w:val="nil"/>
              <w:left w:val="single" w:sz="8" w:space="0" w:color="D9D9D9"/>
              <w:bottom w:val="single" w:sz="8" w:space="0" w:color="D9D9D9"/>
              <w:right w:val="single" w:sz="8" w:space="0" w:color="D9D9D9"/>
            </w:tcBorders>
            <w:shd w:val="clear" w:color="auto" w:fill="auto"/>
            <w:vAlign w:val="center"/>
          </w:tcPr>
          <w:p w14:paraId="5BF49C0C" w14:textId="77777777" w:rsidR="00894A3C" w:rsidRPr="00894A3C" w:rsidRDefault="00894A3C" w:rsidP="00894A3C">
            <w:pPr>
              <w:spacing w:after="0" w:line="240" w:lineRule="auto"/>
              <w:rPr>
                <w:rFonts w:ascii="Calibri" w:eastAsia="Times New Roman" w:hAnsi="Calibri" w:cs="Calibri"/>
                <w:color w:val="000000"/>
                <w:lang w:eastAsia="tr-TR"/>
              </w:rPr>
            </w:pPr>
            <w:r w:rsidRPr="00894A3C">
              <w:rPr>
                <w:rFonts w:ascii="Calibri" w:eastAsia="Times New Roman" w:hAnsi="Calibri" w:cs="Calibri"/>
                <w:color w:val="000000"/>
                <w:lang w:eastAsia="tr-TR"/>
              </w:rPr>
              <w:t>EPD</w:t>
            </w:r>
          </w:p>
        </w:tc>
        <w:tc>
          <w:tcPr>
            <w:tcW w:w="363" w:type="pct"/>
            <w:tcBorders>
              <w:top w:val="nil"/>
              <w:left w:val="nil"/>
              <w:bottom w:val="single" w:sz="8" w:space="0" w:color="D9D9D9"/>
              <w:right w:val="single" w:sz="8" w:space="0" w:color="D9D9D9"/>
            </w:tcBorders>
            <w:shd w:val="clear" w:color="auto" w:fill="auto"/>
            <w:vAlign w:val="center"/>
          </w:tcPr>
          <w:p w14:paraId="52134F33"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1.723</w:t>
            </w:r>
          </w:p>
        </w:tc>
        <w:tc>
          <w:tcPr>
            <w:tcW w:w="363" w:type="pct"/>
            <w:tcBorders>
              <w:top w:val="nil"/>
              <w:left w:val="nil"/>
              <w:bottom w:val="single" w:sz="8" w:space="0" w:color="D9D9D9"/>
              <w:right w:val="single" w:sz="8" w:space="0" w:color="D9D9D9"/>
            </w:tcBorders>
            <w:shd w:val="clear" w:color="auto" w:fill="auto"/>
            <w:noWrap/>
            <w:vAlign w:val="center"/>
          </w:tcPr>
          <w:p w14:paraId="49D2455F"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17,91</w:t>
            </w:r>
          </w:p>
        </w:tc>
        <w:tc>
          <w:tcPr>
            <w:tcW w:w="363" w:type="pct"/>
            <w:tcBorders>
              <w:top w:val="nil"/>
              <w:left w:val="nil"/>
              <w:bottom w:val="single" w:sz="8" w:space="0" w:color="D9D9D9"/>
              <w:right w:val="single" w:sz="8" w:space="0" w:color="D9D9D9"/>
            </w:tcBorders>
            <w:shd w:val="clear" w:color="auto" w:fill="auto"/>
            <w:vAlign w:val="center"/>
          </w:tcPr>
          <w:p w14:paraId="22BC324B"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1.959</w:t>
            </w:r>
          </w:p>
        </w:tc>
        <w:tc>
          <w:tcPr>
            <w:tcW w:w="363" w:type="pct"/>
            <w:tcBorders>
              <w:top w:val="nil"/>
              <w:left w:val="nil"/>
              <w:bottom w:val="single" w:sz="8" w:space="0" w:color="D9D9D9"/>
              <w:right w:val="single" w:sz="8" w:space="0" w:color="D9D9D9"/>
            </w:tcBorders>
            <w:shd w:val="clear" w:color="auto" w:fill="auto"/>
            <w:noWrap/>
            <w:vAlign w:val="center"/>
          </w:tcPr>
          <w:p w14:paraId="28E2267D"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37,59</w:t>
            </w:r>
          </w:p>
        </w:tc>
        <w:tc>
          <w:tcPr>
            <w:tcW w:w="363" w:type="pct"/>
            <w:tcBorders>
              <w:top w:val="nil"/>
              <w:left w:val="nil"/>
              <w:bottom w:val="single" w:sz="8" w:space="0" w:color="D9D9D9"/>
              <w:right w:val="single" w:sz="8" w:space="0" w:color="D9D9D9"/>
            </w:tcBorders>
            <w:shd w:val="clear" w:color="auto" w:fill="auto"/>
            <w:noWrap/>
            <w:vAlign w:val="center"/>
          </w:tcPr>
          <w:p w14:paraId="06EB4894"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1.941</w:t>
            </w:r>
          </w:p>
        </w:tc>
        <w:tc>
          <w:tcPr>
            <w:tcW w:w="363" w:type="pct"/>
            <w:tcBorders>
              <w:top w:val="nil"/>
              <w:left w:val="nil"/>
              <w:bottom w:val="single" w:sz="8" w:space="0" w:color="D9D9D9"/>
              <w:right w:val="single" w:sz="8" w:space="0" w:color="D9D9D9"/>
            </w:tcBorders>
            <w:shd w:val="clear" w:color="auto" w:fill="auto"/>
            <w:noWrap/>
            <w:vAlign w:val="bottom"/>
          </w:tcPr>
          <w:p w14:paraId="0B4C0DF7"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42,2</w:t>
            </w:r>
          </w:p>
        </w:tc>
        <w:tc>
          <w:tcPr>
            <w:tcW w:w="363" w:type="pct"/>
            <w:tcBorders>
              <w:top w:val="nil"/>
              <w:left w:val="nil"/>
              <w:bottom w:val="single" w:sz="8" w:space="0" w:color="D9D9D9"/>
              <w:right w:val="single" w:sz="8" w:space="0" w:color="D9D9D9"/>
            </w:tcBorders>
            <w:shd w:val="clear" w:color="auto" w:fill="auto"/>
            <w:noWrap/>
            <w:vAlign w:val="center"/>
          </w:tcPr>
          <w:p w14:paraId="7FC0790B"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5.234</w:t>
            </w:r>
          </w:p>
        </w:tc>
        <w:tc>
          <w:tcPr>
            <w:tcW w:w="363" w:type="pct"/>
            <w:tcBorders>
              <w:top w:val="nil"/>
              <w:left w:val="nil"/>
              <w:bottom w:val="single" w:sz="8" w:space="0" w:color="D9D9D9"/>
              <w:right w:val="single" w:sz="8" w:space="0" w:color="D9D9D9"/>
            </w:tcBorders>
            <w:shd w:val="clear" w:color="auto" w:fill="auto"/>
            <w:noWrap/>
            <w:vAlign w:val="bottom"/>
          </w:tcPr>
          <w:p w14:paraId="15F0A3AB"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69,95</w:t>
            </w:r>
          </w:p>
        </w:tc>
        <w:tc>
          <w:tcPr>
            <w:tcW w:w="363" w:type="pct"/>
            <w:tcBorders>
              <w:top w:val="nil"/>
              <w:left w:val="nil"/>
              <w:bottom w:val="single" w:sz="8" w:space="0" w:color="D9D9D9"/>
              <w:right w:val="single" w:sz="8" w:space="0" w:color="D9D9D9"/>
            </w:tcBorders>
            <w:shd w:val="clear" w:color="auto" w:fill="auto"/>
            <w:noWrap/>
            <w:vAlign w:val="center"/>
          </w:tcPr>
          <w:p w14:paraId="4BC39696"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2.791</w:t>
            </w:r>
          </w:p>
        </w:tc>
        <w:tc>
          <w:tcPr>
            <w:tcW w:w="364" w:type="pct"/>
            <w:tcBorders>
              <w:top w:val="nil"/>
              <w:left w:val="nil"/>
              <w:bottom w:val="single" w:sz="8" w:space="0" w:color="D9D9D9"/>
              <w:right w:val="single" w:sz="8" w:space="0" w:color="D9D9D9"/>
            </w:tcBorders>
            <w:shd w:val="clear" w:color="auto" w:fill="auto"/>
            <w:noWrap/>
            <w:vAlign w:val="bottom"/>
          </w:tcPr>
          <w:p w14:paraId="2974CC90"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53,54</w:t>
            </w:r>
          </w:p>
        </w:tc>
        <w:tc>
          <w:tcPr>
            <w:tcW w:w="418" w:type="pct"/>
            <w:tcBorders>
              <w:top w:val="nil"/>
              <w:left w:val="nil"/>
              <w:bottom w:val="single" w:sz="8" w:space="0" w:color="D9D9D9"/>
              <w:right w:val="single" w:sz="8" w:space="0" w:color="D9D9D9"/>
            </w:tcBorders>
            <w:shd w:val="clear" w:color="auto" w:fill="auto"/>
            <w:vAlign w:val="bottom"/>
          </w:tcPr>
          <w:p w14:paraId="00D88283" w14:textId="77777777" w:rsidR="00894A3C" w:rsidRPr="00894A3C" w:rsidRDefault="00894A3C" w:rsidP="00894A3C">
            <w:pPr>
              <w:spacing w:after="0" w:line="240" w:lineRule="auto"/>
              <w:jc w:val="right"/>
              <w:rPr>
                <w:b/>
              </w:rPr>
            </w:pPr>
            <w:r w:rsidRPr="00894A3C">
              <w:rPr>
                <w:b/>
              </w:rPr>
              <w:t>13.649</w:t>
            </w:r>
          </w:p>
        </w:tc>
        <w:tc>
          <w:tcPr>
            <w:tcW w:w="460" w:type="pct"/>
            <w:tcBorders>
              <w:top w:val="nil"/>
              <w:left w:val="nil"/>
              <w:bottom w:val="single" w:sz="8" w:space="0" w:color="D9D9D9"/>
              <w:right w:val="single" w:sz="8" w:space="0" w:color="D9D9D9"/>
            </w:tcBorders>
            <w:shd w:val="clear" w:color="auto" w:fill="auto"/>
            <w:vAlign w:val="bottom"/>
          </w:tcPr>
          <w:p w14:paraId="0D139909" w14:textId="77777777" w:rsidR="00894A3C" w:rsidRPr="00894A3C" w:rsidRDefault="00894A3C" w:rsidP="00894A3C">
            <w:pPr>
              <w:spacing w:after="0" w:line="240" w:lineRule="auto"/>
              <w:jc w:val="right"/>
              <w:rPr>
                <w:rFonts w:ascii="Calibri" w:eastAsia="Times New Roman" w:hAnsi="Calibri" w:cs="Calibri"/>
                <w:b/>
                <w:bCs/>
                <w:color w:val="000000"/>
                <w:lang w:eastAsia="tr-TR"/>
              </w:rPr>
            </w:pPr>
            <w:r w:rsidRPr="00894A3C">
              <w:rPr>
                <w:rFonts w:ascii="Calibri" w:eastAsia="Times New Roman" w:hAnsi="Calibri" w:cs="Calibri"/>
                <w:b/>
                <w:bCs/>
                <w:color w:val="000000"/>
                <w:lang w:eastAsia="tr-TR"/>
              </w:rPr>
              <w:t>42,49</w:t>
            </w:r>
          </w:p>
        </w:tc>
      </w:tr>
      <w:tr w:rsidR="00894A3C" w:rsidRPr="00894A3C" w14:paraId="1526285F" w14:textId="77777777" w:rsidTr="00894A3C">
        <w:trPr>
          <w:trHeight w:val="20"/>
          <w:jc w:val="center"/>
        </w:trPr>
        <w:tc>
          <w:tcPr>
            <w:tcW w:w="491" w:type="pct"/>
            <w:tcBorders>
              <w:top w:val="nil"/>
              <w:left w:val="single" w:sz="8" w:space="0" w:color="D9D9D9"/>
              <w:bottom w:val="single" w:sz="8" w:space="0" w:color="D9D9D9"/>
              <w:right w:val="single" w:sz="8" w:space="0" w:color="D9D9D9"/>
            </w:tcBorders>
            <w:shd w:val="clear" w:color="auto" w:fill="auto"/>
            <w:vAlign w:val="center"/>
          </w:tcPr>
          <w:p w14:paraId="68137D2E" w14:textId="77777777" w:rsidR="00894A3C" w:rsidRPr="00894A3C" w:rsidRDefault="00894A3C" w:rsidP="00894A3C">
            <w:pPr>
              <w:spacing w:after="0" w:line="240" w:lineRule="auto"/>
              <w:rPr>
                <w:rFonts w:ascii="Calibri" w:eastAsia="Times New Roman" w:hAnsi="Calibri" w:cs="Calibri"/>
                <w:color w:val="000000"/>
                <w:lang w:eastAsia="tr-TR"/>
              </w:rPr>
            </w:pPr>
            <w:r w:rsidRPr="00894A3C">
              <w:rPr>
                <w:rFonts w:ascii="Calibri" w:eastAsia="Times New Roman" w:hAnsi="Calibri" w:cs="Calibri"/>
                <w:color w:val="000000"/>
                <w:lang w:eastAsia="tr-TR"/>
              </w:rPr>
              <w:t>DDB</w:t>
            </w:r>
          </w:p>
        </w:tc>
        <w:tc>
          <w:tcPr>
            <w:tcW w:w="363" w:type="pct"/>
            <w:tcBorders>
              <w:top w:val="nil"/>
              <w:left w:val="nil"/>
              <w:bottom w:val="single" w:sz="8" w:space="0" w:color="D9D9D9"/>
              <w:right w:val="single" w:sz="8" w:space="0" w:color="D9D9D9"/>
            </w:tcBorders>
            <w:shd w:val="clear" w:color="auto" w:fill="auto"/>
            <w:vAlign w:val="center"/>
          </w:tcPr>
          <w:p w14:paraId="4EB63603"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1.748</w:t>
            </w:r>
          </w:p>
        </w:tc>
        <w:tc>
          <w:tcPr>
            <w:tcW w:w="363" w:type="pct"/>
            <w:tcBorders>
              <w:top w:val="nil"/>
              <w:left w:val="nil"/>
              <w:bottom w:val="single" w:sz="8" w:space="0" w:color="D9D9D9"/>
              <w:right w:val="single" w:sz="8" w:space="0" w:color="D9D9D9"/>
            </w:tcBorders>
            <w:shd w:val="clear" w:color="auto" w:fill="auto"/>
            <w:noWrap/>
            <w:vAlign w:val="center"/>
          </w:tcPr>
          <w:p w14:paraId="3F42E4EF"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18,18</w:t>
            </w:r>
          </w:p>
        </w:tc>
        <w:tc>
          <w:tcPr>
            <w:tcW w:w="363" w:type="pct"/>
            <w:tcBorders>
              <w:top w:val="nil"/>
              <w:left w:val="nil"/>
              <w:bottom w:val="single" w:sz="8" w:space="0" w:color="D9D9D9"/>
              <w:right w:val="single" w:sz="8" w:space="0" w:color="D9D9D9"/>
            </w:tcBorders>
            <w:shd w:val="clear" w:color="auto" w:fill="auto"/>
            <w:vAlign w:val="center"/>
          </w:tcPr>
          <w:p w14:paraId="0455887C"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1.967</w:t>
            </w:r>
          </w:p>
        </w:tc>
        <w:tc>
          <w:tcPr>
            <w:tcW w:w="363" w:type="pct"/>
            <w:tcBorders>
              <w:top w:val="nil"/>
              <w:left w:val="nil"/>
              <w:bottom w:val="single" w:sz="8" w:space="0" w:color="D9D9D9"/>
              <w:right w:val="single" w:sz="8" w:space="0" w:color="D9D9D9"/>
            </w:tcBorders>
            <w:shd w:val="clear" w:color="auto" w:fill="auto"/>
            <w:noWrap/>
            <w:vAlign w:val="center"/>
          </w:tcPr>
          <w:p w14:paraId="6061A07C"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37,74</w:t>
            </w:r>
          </w:p>
        </w:tc>
        <w:tc>
          <w:tcPr>
            <w:tcW w:w="363" w:type="pct"/>
            <w:tcBorders>
              <w:top w:val="nil"/>
              <w:left w:val="nil"/>
              <w:bottom w:val="single" w:sz="8" w:space="0" w:color="D9D9D9"/>
              <w:right w:val="single" w:sz="8" w:space="0" w:color="D9D9D9"/>
            </w:tcBorders>
            <w:shd w:val="clear" w:color="auto" w:fill="auto"/>
            <w:noWrap/>
            <w:vAlign w:val="center"/>
          </w:tcPr>
          <w:p w14:paraId="1C56B208"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1.093</w:t>
            </w:r>
          </w:p>
        </w:tc>
        <w:tc>
          <w:tcPr>
            <w:tcW w:w="363" w:type="pct"/>
            <w:tcBorders>
              <w:top w:val="nil"/>
              <w:left w:val="nil"/>
              <w:bottom w:val="single" w:sz="8" w:space="0" w:color="D9D9D9"/>
              <w:right w:val="single" w:sz="8" w:space="0" w:color="D9D9D9"/>
            </w:tcBorders>
            <w:shd w:val="clear" w:color="auto" w:fill="auto"/>
            <w:noWrap/>
            <w:vAlign w:val="bottom"/>
          </w:tcPr>
          <w:p w14:paraId="44F88F7C"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23,75</w:t>
            </w:r>
          </w:p>
        </w:tc>
        <w:tc>
          <w:tcPr>
            <w:tcW w:w="363" w:type="pct"/>
            <w:tcBorders>
              <w:top w:val="nil"/>
              <w:left w:val="nil"/>
              <w:bottom w:val="single" w:sz="8" w:space="0" w:color="D9D9D9"/>
              <w:right w:val="single" w:sz="8" w:space="0" w:color="D9D9D9"/>
            </w:tcBorders>
            <w:shd w:val="clear" w:color="auto" w:fill="auto"/>
            <w:noWrap/>
            <w:vAlign w:val="center"/>
          </w:tcPr>
          <w:p w14:paraId="0EA552D4"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783</w:t>
            </w:r>
          </w:p>
        </w:tc>
        <w:tc>
          <w:tcPr>
            <w:tcW w:w="363" w:type="pct"/>
            <w:tcBorders>
              <w:top w:val="nil"/>
              <w:left w:val="nil"/>
              <w:bottom w:val="single" w:sz="8" w:space="0" w:color="D9D9D9"/>
              <w:right w:val="single" w:sz="8" w:space="0" w:color="D9D9D9"/>
            </w:tcBorders>
            <w:shd w:val="clear" w:color="auto" w:fill="auto"/>
            <w:noWrap/>
            <w:vAlign w:val="bottom"/>
          </w:tcPr>
          <w:p w14:paraId="77674D21"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10,47</w:t>
            </w:r>
          </w:p>
        </w:tc>
        <w:tc>
          <w:tcPr>
            <w:tcW w:w="363" w:type="pct"/>
            <w:tcBorders>
              <w:top w:val="nil"/>
              <w:left w:val="nil"/>
              <w:bottom w:val="single" w:sz="8" w:space="0" w:color="D9D9D9"/>
              <w:right w:val="single" w:sz="8" w:space="0" w:color="D9D9D9"/>
            </w:tcBorders>
            <w:shd w:val="clear" w:color="auto" w:fill="auto"/>
            <w:noWrap/>
            <w:vAlign w:val="center"/>
          </w:tcPr>
          <w:p w14:paraId="5106DB15"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855</w:t>
            </w:r>
          </w:p>
        </w:tc>
        <w:tc>
          <w:tcPr>
            <w:tcW w:w="364" w:type="pct"/>
            <w:tcBorders>
              <w:top w:val="nil"/>
              <w:left w:val="nil"/>
              <w:bottom w:val="single" w:sz="8" w:space="0" w:color="D9D9D9"/>
              <w:right w:val="single" w:sz="8" w:space="0" w:color="D9D9D9"/>
            </w:tcBorders>
            <w:shd w:val="clear" w:color="auto" w:fill="auto"/>
            <w:noWrap/>
            <w:vAlign w:val="bottom"/>
          </w:tcPr>
          <w:p w14:paraId="0F0F8448" w14:textId="48123314"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16,4</w:t>
            </w:r>
            <w:r>
              <w:rPr>
                <w:rFonts w:ascii="Calibri" w:eastAsia="Times New Roman" w:hAnsi="Calibri" w:cs="Calibri"/>
                <w:color w:val="000000"/>
                <w:lang w:eastAsia="tr-TR"/>
              </w:rPr>
              <w:t>0</w:t>
            </w:r>
          </w:p>
        </w:tc>
        <w:tc>
          <w:tcPr>
            <w:tcW w:w="418" w:type="pct"/>
            <w:tcBorders>
              <w:top w:val="nil"/>
              <w:left w:val="nil"/>
              <w:bottom w:val="single" w:sz="8" w:space="0" w:color="D9D9D9"/>
              <w:right w:val="single" w:sz="8" w:space="0" w:color="D9D9D9"/>
            </w:tcBorders>
            <w:shd w:val="clear" w:color="auto" w:fill="auto"/>
            <w:vAlign w:val="bottom"/>
          </w:tcPr>
          <w:p w14:paraId="615274DA" w14:textId="77777777" w:rsidR="00894A3C" w:rsidRPr="00894A3C" w:rsidRDefault="00894A3C" w:rsidP="00894A3C">
            <w:pPr>
              <w:spacing w:after="0" w:line="240" w:lineRule="auto"/>
              <w:jc w:val="right"/>
              <w:rPr>
                <w:b/>
              </w:rPr>
            </w:pPr>
            <w:r w:rsidRPr="00894A3C">
              <w:rPr>
                <w:b/>
              </w:rPr>
              <w:t>6.446</w:t>
            </w:r>
          </w:p>
        </w:tc>
        <w:tc>
          <w:tcPr>
            <w:tcW w:w="460" w:type="pct"/>
            <w:tcBorders>
              <w:top w:val="nil"/>
              <w:left w:val="nil"/>
              <w:bottom w:val="single" w:sz="8" w:space="0" w:color="D9D9D9"/>
              <w:right w:val="single" w:sz="8" w:space="0" w:color="D9D9D9"/>
            </w:tcBorders>
            <w:shd w:val="clear" w:color="auto" w:fill="auto"/>
            <w:vAlign w:val="bottom"/>
          </w:tcPr>
          <w:p w14:paraId="3359BFF7" w14:textId="77777777" w:rsidR="00894A3C" w:rsidRPr="00894A3C" w:rsidRDefault="00894A3C" w:rsidP="00894A3C">
            <w:pPr>
              <w:spacing w:after="0" w:line="240" w:lineRule="auto"/>
              <w:jc w:val="right"/>
              <w:rPr>
                <w:rFonts w:ascii="Calibri" w:eastAsia="Times New Roman" w:hAnsi="Calibri" w:cs="Calibri"/>
                <w:b/>
                <w:bCs/>
                <w:color w:val="000000"/>
                <w:lang w:eastAsia="tr-TR"/>
              </w:rPr>
            </w:pPr>
            <w:r w:rsidRPr="00894A3C">
              <w:rPr>
                <w:rFonts w:ascii="Calibri" w:eastAsia="Times New Roman" w:hAnsi="Calibri" w:cs="Calibri"/>
                <w:b/>
                <w:bCs/>
                <w:color w:val="000000"/>
                <w:lang w:eastAsia="tr-TR"/>
              </w:rPr>
              <w:t>20,06</w:t>
            </w:r>
          </w:p>
        </w:tc>
      </w:tr>
      <w:tr w:rsidR="00894A3C" w:rsidRPr="00894A3C" w14:paraId="2A71A954" w14:textId="77777777" w:rsidTr="00894A3C">
        <w:trPr>
          <w:trHeight w:val="20"/>
          <w:jc w:val="center"/>
        </w:trPr>
        <w:tc>
          <w:tcPr>
            <w:tcW w:w="491" w:type="pct"/>
            <w:tcBorders>
              <w:top w:val="nil"/>
              <w:left w:val="single" w:sz="8" w:space="0" w:color="D9D9D9"/>
              <w:bottom w:val="single" w:sz="8" w:space="0" w:color="D9D9D9"/>
              <w:right w:val="single" w:sz="8" w:space="0" w:color="D9D9D9"/>
            </w:tcBorders>
            <w:shd w:val="clear" w:color="auto" w:fill="auto"/>
            <w:vAlign w:val="center"/>
          </w:tcPr>
          <w:p w14:paraId="73E77C7B" w14:textId="77777777" w:rsidR="00894A3C" w:rsidRPr="00894A3C" w:rsidRDefault="00894A3C" w:rsidP="00894A3C">
            <w:pPr>
              <w:spacing w:after="0" w:line="240" w:lineRule="auto"/>
              <w:rPr>
                <w:rFonts w:ascii="Calibri" w:eastAsia="Times New Roman" w:hAnsi="Calibri" w:cs="Calibri"/>
                <w:color w:val="000000"/>
                <w:lang w:eastAsia="tr-TR"/>
              </w:rPr>
            </w:pPr>
            <w:r w:rsidRPr="00894A3C">
              <w:rPr>
                <w:rFonts w:ascii="Calibri" w:eastAsia="Times New Roman" w:hAnsi="Calibri" w:cs="Calibri"/>
                <w:color w:val="000000"/>
                <w:lang w:eastAsia="tr-TR"/>
              </w:rPr>
              <w:t>KDB</w:t>
            </w:r>
          </w:p>
        </w:tc>
        <w:tc>
          <w:tcPr>
            <w:tcW w:w="363" w:type="pct"/>
            <w:tcBorders>
              <w:top w:val="nil"/>
              <w:left w:val="nil"/>
              <w:bottom w:val="single" w:sz="8" w:space="0" w:color="D9D9D9"/>
              <w:right w:val="single" w:sz="8" w:space="0" w:color="D9D9D9"/>
            </w:tcBorders>
            <w:shd w:val="clear" w:color="auto" w:fill="auto"/>
            <w:vAlign w:val="center"/>
          </w:tcPr>
          <w:p w14:paraId="129F6ED3"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4.986</w:t>
            </w:r>
          </w:p>
        </w:tc>
        <w:tc>
          <w:tcPr>
            <w:tcW w:w="363" w:type="pct"/>
            <w:tcBorders>
              <w:top w:val="nil"/>
              <w:left w:val="nil"/>
              <w:bottom w:val="single" w:sz="8" w:space="0" w:color="D9D9D9"/>
              <w:right w:val="single" w:sz="8" w:space="0" w:color="D9D9D9"/>
            </w:tcBorders>
            <w:shd w:val="clear" w:color="auto" w:fill="auto"/>
            <w:noWrap/>
            <w:vAlign w:val="center"/>
          </w:tcPr>
          <w:p w14:paraId="096B5D1D"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51,85</w:t>
            </w:r>
          </w:p>
        </w:tc>
        <w:tc>
          <w:tcPr>
            <w:tcW w:w="363" w:type="pct"/>
            <w:tcBorders>
              <w:top w:val="nil"/>
              <w:left w:val="nil"/>
              <w:bottom w:val="single" w:sz="8" w:space="0" w:color="D9D9D9"/>
              <w:right w:val="single" w:sz="8" w:space="0" w:color="D9D9D9"/>
            </w:tcBorders>
            <w:shd w:val="clear" w:color="auto" w:fill="auto"/>
            <w:vAlign w:val="center"/>
          </w:tcPr>
          <w:p w14:paraId="76DFC772"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284</w:t>
            </w:r>
          </w:p>
        </w:tc>
        <w:tc>
          <w:tcPr>
            <w:tcW w:w="363" w:type="pct"/>
            <w:tcBorders>
              <w:top w:val="nil"/>
              <w:left w:val="nil"/>
              <w:bottom w:val="single" w:sz="8" w:space="0" w:color="D9D9D9"/>
              <w:right w:val="single" w:sz="8" w:space="0" w:color="D9D9D9"/>
            </w:tcBorders>
            <w:shd w:val="clear" w:color="auto" w:fill="auto"/>
            <w:noWrap/>
            <w:vAlign w:val="center"/>
          </w:tcPr>
          <w:p w14:paraId="01F35D2C"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5,45</w:t>
            </w:r>
          </w:p>
        </w:tc>
        <w:tc>
          <w:tcPr>
            <w:tcW w:w="363" w:type="pct"/>
            <w:tcBorders>
              <w:top w:val="nil"/>
              <w:left w:val="nil"/>
              <w:bottom w:val="single" w:sz="8" w:space="0" w:color="D9D9D9"/>
              <w:right w:val="single" w:sz="8" w:space="0" w:color="D9D9D9"/>
            </w:tcBorders>
            <w:shd w:val="clear" w:color="auto" w:fill="auto"/>
            <w:noWrap/>
            <w:vAlign w:val="center"/>
          </w:tcPr>
          <w:p w14:paraId="704A2517"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442</w:t>
            </w:r>
          </w:p>
        </w:tc>
        <w:tc>
          <w:tcPr>
            <w:tcW w:w="363" w:type="pct"/>
            <w:tcBorders>
              <w:top w:val="nil"/>
              <w:left w:val="nil"/>
              <w:bottom w:val="single" w:sz="8" w:space="0" w:color="D9D9D9"/>
              <w:right w:val="single" w:sz="8" w:space="0" w:color="D9D9D9"/>
            </w:tcBorders>
            <w:shd w:val="clear" w:color="auto" w:fill="auto"/>
            <w:noWrap/>
            <w:vAlign w:val="bottom"/>
          </w:tcPr>
          <w:p w14:paraId="677DE7D4"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9,6</w:t>
            </w:r>
          </w:p>
        </w:tc>
        <w:tc>
          <w:tcPr>
            <w:tcW w:w="363" w:type="pct"/>
            <w:tcBorders>
              <w:top w:val="nil"/>
              <w:left w:val="nil"/>
              <w:bottom w:val="single" w:sz="8" w:space="0" w:color="D9D9D9"/>
              <w:right w:val="single" w:sz="8" w:space="0" w:color="D9D9D9"/>
            </w:tcBorders>
            <w:shd w:val="clear" w:color="auto" w:fill="auto"/>
            <w:noWrap/>
            <w:vAlign w:val="center"/>
          </w:tcPr>
          <w:p w14:paraId="6433A653"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502</w:t>
            </w:r>
          </w:p>
        </w:tc>
        <w:tc>
          <w:tcPr>
            <w:tcW w:w="363" w:type="pct"/>
            <w:tcBorders>
              <w:top w:val="nil"/>
              <w:left w:val="nil"/>
              <w:bottom w:val="single" w:sz="8" w:space="0" w:color="D9D9D9"/>
              <w:right w:val="single" w:sz="8" w:space="0" w:color="D9D9D9"/>
            </w:tcBorders>
            <w:shd w:val="clear" w:color="auto" w:fill="auto"/>
            <w:noWrap/>
            <w:vAlign w:val="bottom"/>
          </w:tcPr>
          <w:p w14:paraId="2C80B717"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6,71</w:t>
            </w:r>
          </w:p>
        </w:tc>
        <w:tc>
          <w:tcPr>
            <w:tcW w:w="363" w:type="pct"/>
            <w:tcBorders>
              <w:top w:val="nil"/>
              <w:left w:val="nil"/>
              <w:bottom w:val="single" w:sz="8" w:space="0" w:color="D9D9D9"/>
              <w:right w:val="single" w:sz="8" w:space="0" w:color="D9D9D9"/>
            </w:tcBorders>
            <w:shd w:val="clear" w:color="auto" w:fill="auto"/>
            <w:noWrap/>
            <w:vAlign w:val="center"/>
          </w:tcPr>
          <w:p w14:paraId="60FCA746"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685</w:t>
            </w:r>
          </w:p>
        </w:tc>
        <w:tc>
          <w:tcPr>
            <w:tcW w:w="364" w:type="pct"/>
            <w:tcBorders>
              <w:top w:val="nil"/>
              <w:left w:val="nil"/>
              <w:bottom w:val="single" w:sz="8" w:space="0" w:color="D9D9D9"/>
              <w:right w:val="single" w:sz="8" w:space="0" w:color="D9D9D9"/>
            </w:tcBorders>
            <w:shd w:val="clear" w:color="auto" w:fill="auto"/>
            <w:noWrap/>
            <w:vAlign w:val="bottom"/>
          </w:tcPr>
          <w:p w14:paraId="57AA11ED"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13,14</w:t>
            </w:r>
          </w:p>
        </w:tc>
        <w:tc>
          <w:tcPr>
            <w:tcW w:w="418" w:type="pct"/>
            <w:tcBorders>
              <w:top w:val="nil"/>
              <w:left w:val="nil"/>
              <w:bottom w:val="single" w:sz="8" w:space="0" w:color="D9D9D9"/>
              <w:right w:val="single" w:sz="8" w:space="0" w:color="D9D9D9"/>
            </w:tcBorders>
            <w:shd w:val="clear" w:color="auto" w:fill="auto"/>
            <w:vAlign w:val="bottom"/>
          </w:tcPr>
          <w:p w14:paraId="327EA7B6" w14:textId="77777777" w:rsidR="00894A3C" w:rsidRPr="00894A3C" w:rsidRDefault="00894A3C" w:rsidP="00894A3C">
            <w:pPr>
              <w:spacing w:after="0" w:line="240" w:lineRule="auto"/>
              <w:jc w:val="right"/>
              <w:rPr>
                <w:b/>
              </w:rPr>
            </w:pPr>
            <w:r w:rsidRPr="00894A3C">
              <w:rPr>
                <w:b/>
              </w:rPr>
              <w:t>6.899</w:t>
            </w:r>
          </w:p>
        </w:tc>
        <w:tc>
          <w:tcPr>
            <w:tcW w:w="460" w:type="pct"/>
            <w:tcBorders>
              <w:top w:val="nil"/>
              <w:left w:val="nil"/>
              <w:bottom w:val="single" w:sz="8" w:space="0" w:color="D9D9D9"/>
              <w:right w:val="single" w:sz="8" w:space="0" w:color="D9D9D9"/>
            </w:tcBorders>
            <w:shd w:val="clear" w:color="auto" w:fill="auto"/>
            <w:vAlign w:val="bottom"/>
          </w:tcPr>
          <w:p w14:paraId="3FF4B933" w14:textId="77777777" w:rsidR="00894A3C" w:rsidRPr="00894A3C" w:rsidRDefault="00894A3C" w:rsidP="00894A3C">
            <w:pPr>
              <w:spacing w:after="0" w:line="240" w:lineRule="auto"/>
              <w:jc w:val="right"/>
              <w:rPr>
                <w:rFonts w:ascii="Calibri" w:eastAsia="Times New Roman" w:hAnsi="Calibri" w:cs="Calibri"/>
                <w:b/>
                <w:bCs/>
                <w:color w:val="000000"/>
                <w:lang w:eastAsia="tr-TR"/>
              </w:rPr>
            </w:pPr>
            <w:r w:rsidRPr="00894A3C">
              <w:rPr>
                <w:rFonts w:ascii="Calibri" w:eastAsia="Times New Roman" w:hAnsi="Calibri" w:cs="Calibri"/>
                <w:b/>
                <w:bCs/>
                <w:color w:val="000000"/>
                <w:lang w:eastAsia="tr-TR"/>
              </w:rPr>
              <w:t>21,47</w:t>
            </w:r>
          </w:p>
        </w:tc>
      </w:tr>
      <w:tr w:rsidR="00894A3C" w:rsidRPr="00894A3C" w14:paraId="43584B5F" w14:textId="77777777" w:rsidTr="00894A3C">
        <w:trPr>
          <w:trHeight w:val="20"/>
          <w:jc w:val="center"/>
        </w:trPr>
        <w:tc>
          <w:tcPr>
            <w:tcW w:w="491" w:type="pct"/>
            <w:tcBorders>
              <w:top w:val="nil"/>
              <w:left w:val="single" w:sz="8" w:space="0" w:color="D9D9D9"/>
              <w:bottom w:val="single" w:sz="8" w:space="0" w:color="D9D9D9"/>
              <w:right w:val="single" w:sz="8" w:space="0" w:color="D9D9D9"/>
            </w:tcBorders>
            <w:shd w:val="clear" w:color="auto" w:fill="auto"/>
            <w:vAlign w:val="center"/>
          </w:tcPr>
          <w:p w14:paraId="6579C026" w14:textId="77777777" w:rsidR="00894A3C" w:rsidRPr="00894A3C" w:rsidRDefault="00894A3C" w:rsidP="00894A3C">
            <w:pPr>
              <w:spacing w:after="0" w:line="240" w:lineRule="auto"/>
              <w:rPr>
                <w:rFonts w:ascii="Calibri" w:eastAsia="Times New Roman" w:hAnsi="Calibri" w:cs="Calibri"/>
                <w:color w:val="000000"/>
                <w:lang w:eastAsia="tr-TR"/>
              </w:rPr>
            </w:pPr>
            <w:r w:rsidRPr="00894A3C">
              <w:rPr>
                <w:rFonts w:ascii="Calibri" w:eastAsia="Times New Roman" w:hAnsi="Calibri" w:cs="Calibri"/>
                <w:color w:val="000000"/>
                <w:lang w:eastAsia="tr-TR"/>
              </w:rPr>
              <w:t>TDB</w:t>
            </w:r>
          </w:p>
        </w:tc>
        <w:tc>
          <w:tcPr>
            <w:tcW w:w="363" w:type="pct"/>
            <w:tcBorders>
              <w:top w:val="nil"/>
              <w:left w:val="nil"/>
              <w:bottom w:val="single" w:sz="8" w:space="0" w:color="D9D9D9"/>
              <w:right w:val="single" w:sz="8" w:space="0" w:color="D9D9D9"/>
            </w:tcBorders>
            <w:shd w:val="clear" w:color="auto" w:fill="auto"/>
            <w:vAlign w:val="center"/>
          </w:tcPr>
          <w:p w14:paraId="0ACD5A55"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669</w:t>
            </w:r>
          </w:p>
        </w:tc>
        <w:tc>
          <w:tcPr>
            <w:tcW w:w="363" w:type="pct"/>
            <w:tcBorders>
              <w:top w:val="nil"/>
              <w:left w:val="nil"/>
              <w:bottom w:val="single" w:sz="8" w:space="0" w:color="D9D9D9"/>
              <w:right w:val="single" w:sz="8" w:space="0" w:color="D9D9D9"/>
            </w:tcBorders>
            <w:shd w:val="clear" w:color="auto" w:fill="auto"/>
            <w:noWrap/>
            <w:vAlign w:val="center"/>
          </w:tcPr>
          <w:p w14:paraId="030F3145"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6,96</w:t>
            </w:r>
          </w:p>
        </w:tc>
        <w:tc>
          <w:tcPr>
            <w:tcW w:w="363" w:type="pct"/>
            <w:tcBorders>
              <w:top w:val="nil"/>
              <w:left w:val="nil"/>
              <w:bottom w:val="single" w:sz="8" w:space="0" w:color="D9D9D9"/>
              <w:right w:val="single" w:sz="8" w:space="0" w:color="D9D9D9"/>
            </w:tcBorders>
            <w:shd w:val="clear" w:color="auto" w:fill="auto"/>
            <w:vAlign w:val="center"/>
          </w:tcPr>
          <w:p w14:paraId="78E1D4FE"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475</w:t>
            </w:r>
          </w:p>
        </w:tc>
        <w:tc>
          <w:tcPr>
            <w:tcW w:w="363" w:type="pct"/>
            <w:tcBorders>
              <w:top w:val="nil"/>
              <w:left w:val="nil"/>
              <w:bottom w:val="single" w:sz="8" w:space="0" w:color="D9D9D9"/>
              <w:right w:val="single" w:sz="8" w:space="0" w:color="D9D9D9"/>
            </w:tcBorders>
            <w:shd w:val="clear" w:color="auto" w:fill="auto"/>
            <w:noWrap/>
            <w:vAlign w:val="center"/>
          </w:tcPr>
          <w:p w14:paraId="0AB50592"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9,11</w:t>
            </w:r>
          </w:p>
        </w:tc>
        <w:tc>
          <w:tcPr>
            <w:tcW w:w="363" w:type="pct"/>
            <w:tcBorders>
              <w:top w:val="nil"/>
              <w:left w:val="nil"/>
              <w:bottom w:val="single" w:sz="8" w:space="0" w:color="D9D9D9"/>
              <w:right w:val="single" w:sz="8" w:space="0" w:color="D9D9D9"/>
            </w:tcBorders>
            <w:shd w:val="clear" w:color="auto" w:fill="auto"/>
            <w:noWrap/>
            <w:vAlign w:val="center"/>
          </w:tcPr>
          <w:p w14:paraId="5DA36ECE"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614</w:t>
            </w:r>
          </w:p>
        </w:tc>
        <w:tc>
          <w:tcPr>
            <w:tcW w:w="363" w:type="pct"/>
            <w:tcBorders>
              <w:top w:val="nil"/>
              <w:left w:val="nil"/>
              <w:bottom w:val="single" w:sz="8" w:space="0" w:color="D9D9D9"/>
              <w:right w:val="single" w:sz="8" w:space="0" w:color="D9D9D9"/>
            </w:tcBorders>
            <w:shd w:val="clear" w:color="auto" w:fill="auto"/>
            <w:noWrap/>
            <w:vAlign w:val="bottom"/>
          </w:tcPr>
          <w:p w14:paraId="61DEBA96"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13,34</w:t>
            </w:r>
          </w:p>
        </w:tc>
        <w:tc>
          <w:tcPr>
            <w:tcW w:w="363" w:type="pct"/>
            <w:tcBorders>
              <w:top w:val="nil"/>
              <w:left w:val="nil"/>
              <w:bottom w:val="single" w:sz="8" w:space="0" w:color="D9D9D9"/>
              <w:right w:val="single" w:sz="8" w:space="0" w:color="D9D9D9"/>
            </w:tcBorders>
            <w:shd w:val="clear" w:color="auto" w:fill="auto"/>
            <w:noWrap/>
            <w:vAlign w:val="center"/>
          </w:tcPr>
          <w:p w14:paraId="38A8FFF5"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468</w:t>
            </w:r>
          </w:p>
        </w:tc>
        <w:tc>
          <w:tcPr>
            <w:tcW w:w="363" w:type="pct"/>
            <w:tcBorders>
              <w:top w:val="nil"/>
              <w:left w:val="nil"/>
              <w:bottom w:val="single" w:sz="8" w:space="0" w:color="D9D9D9"/>
              <w:right w:val="single" w:sz="8" w:space="0" w:color="D9D9D9"/>
            </w:tcBorders>
            <w:shd w:val="clear" w:color="auto" w:fill="auto"/>
            <w:noWrap/>
            <w:vAlign w:val="bottom"/>
          </w:tcPr>
          <w:p w14:paraId="46703052"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6,26</w:t>
            </w:r>
          </w:p>
        </w:tc>
        <w:tc>
          <w:tcPr>
            <w:tcW w:w="363" w:type="pct"/>
            <w:tcBorders>
              <w:top w:val="nil"/>
              <w:left w:val="nil"/>
              <w:bottom w:val="single" w:sz="8" w:space="0" w:color="D9D9D9"/>
              <w:right w:val="single" w:sz="8" w:space="0" w:color="D9D9D9"/>
            </w:tcBorders>
            <w:shd w:val="clear" w:color="auto" w:fill="auto"/>
            <w:noWrap/>
            <w:vAlign w:val="center"/>
          </w:tcPr>
          <w:p w14:paraId="58FA9D38"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453</w:t>
            </w:r>
          </w:p>
        </w:tc>
        <w:tc>
          <w:tcPr>
            <w:tcW w:w="364" w:type="pct"/>
            <w:tcBorders>
              <w:top w:val="nil"/>
              <w:left w:val="nil"/>
              <w:bottom w:val="single" w:sz="8" w:space="0" w:color="D9D9D9"/>
              <w:right w:val="single" w:sz="8" w:space="0" w:color="D9D9D9"/>
            </w:tcBorders>
            <w:shd w:val="clear" w:color="auto" w:fill="auto"/>
            <w:noWrap/>
            <w:vAlign w:val="bottom"/>
          </w:tcPr>
          <w:p w14:paraId="216E489C"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8,69</w:t>
            </w:r>
          </w:p>
        </w:tc>
        <w:tc>
          <w:tcPr>
            <w:tcW w:w="418" w:type="pct"/>
            <w:tcBorders>
              <w:top w:val="nil"/>
              <w:left w:val="nil"/>
              <w:bottom w:val="single" w:sz="8" w:space="0" w:color="D9D9D9"/>
              <w:right w:val="single" w:sz="8" w:space="0" w:color="D9D9D9"/>
            </w:tcBorders>
            <w:shd w:val="clear" w:color="auto" w:fill="auto"/>
            <w:vAlign w:val="bottom"/>
          </w:tcPr>
          <w:p w14:paraId="1EE4454B" w14:textId="77777777" w:rsidR="00894A3C" w:rsidRPr="00894A3C" w:rsidRDefault="00894A3C" w:rsidP="00894A3C">
            <w:pPr>
              <w:spacing w:after="0" w:line="240" w:lineRule="auto"/>
              <w:jc w:val="right"/>
              <w:rPr>
                <w:b/>
              </w:rPr>
            </w:pPr>
            <w:r w:rsidRPr="00894A3C">
              <w:rPr>
                <w:b/>
              </w:rPr>
              <w:t>2.679</w:t>
            </w:r>
          </w:p>
        </w:tc>
        <w:tc>
          <w:tcPr>
            <w:tcW w:w="460" w:type="pct"/>
            <w:tcBorders>
              <w:top w:val="nil"/>
              <w:left w:val="nil"/>
              <w:bottom w:val="single" w:sz="8" w:space="0" w:color="D9D9D9"/>
              <w:right w:val="single" w:sz="8" w:space="0" w:color="D9D9D9"/>
            </w:tcBorders>
            <w:shd w:val="clear" w:color="auto" w:fill="auto"/>
            <w:vAlign w:val="bottom"/>
          </w:tcPr>
          <w:p w14:paraId="3642FFB3" w14:textId="77777777" w:rsidR="00894A3C" w:rsidRPr="00894A3C" w:rsidRDefault="00894A3C" w:rsidP="00894A3C">
            <w:pPr>
              <w:spacing w:after="0" w:line="240" w:lineRule="auto"/>
              <w:jc w:val="right"/>
              <w:rPr>
                <w:rFonts w:ascii="Calibri" w:eastAsia="Times New Roman" w:hAnsi="Calibri" w:cs="Calibri"/>
                <w:b/>
                <w:bCs/>
                <w:color w:val="000000"/>
                <w:lang w:eastAsia="tr-TR"/>
              </w:rPr>
            </w:pPr>
            <w:r w:rsidRPr="00894A3C">
              <w:rPr>
                <w:rFonts w:ascii="Calibri" w:eastAsia="Times New Roman" w:hAnsi="Calibri" w:cs="Calibri"/>
                <w:b/>
                <w:bCs/>
                <w:color w:val="000000"/>
                <w:lang w:eastAsia="tr-TR"/>
              </w:rPr>
              <w:t>8,34</w:t>
            </w:r>
          </w:p>
        </w:tc>
      </w:tr>
      <w:tr w:rsidR="00894A3C" w:rsidRPr="00894A3C" w14:paraId="5970F2CE" w14:textId="77777777" w:rsidTr="00894A3C">
        <w:trPr>
          <w:trHeight w:val="20"/>
          <w:jc w:val="center"/>
        </w:trPr>
        <w:tc>
          <w:tcPr>
            <w:tcW w:w="491" w:type="pct"/>
            <w:tcBorders>
              <w:top w:val="nil"/>
              <w:left w:val="single" w:sz="8" w:space="0" w:color="D9D9D9"/>
              <w:bottom w:val="single" w:sz="8" w:space="0" w:color="D9D9D9"/>
              <w:right w:val="single" w:sz="8" w:space="0" w:color="D9D9D9"/>
            </w:tcBorders>
            <w:shd w:val="clear" w:color="auto" w:fill="auto"/>
            <w:vAlign w:val="center"/>
          </w:tcPr>
          <w:p w14:paraId="2D505115" w14:textId="77777777" w:rsidR="00894A3C" w:rsidRPr="00894A3C" w:rsidRDefault="00894A3C" w:rsidP="00894A3C">
            <w:pPr>
              <w:spacing w:after="0" w:line="240" w:lineRule="auto"/>
              <w:rPr>
                <w:rFonts w:ascii="Calibri" w:eastAsia="Times New Roman" w:hAnsi="Calibri" w:cs="Calibri"/>
                <w:color w:val="000000"/>
                <w:lang w:eastAsia="tr-TR"/>
              </w:rPr>
            </w:pPr>
            <w:r w:rsidRPr="00894A3C">
              <w:rPr>
                <w:rFonts w:ascii="Calibri" w:eastAsia="Times New Roman" w:hAnsi="Calibri" w:cs="Calibri"/>
                <w:color w:val="000000"/>
                <w:lang w:eastAsia="tr-TR"/>
              </w:rPr>
              <w:t>DPD</w:t>
            </w:r>
          </w:p>
        </w:tc>
        <w:tc>
          <w:tcPr>
            <w:tcW w:w="363" w:type="pct"/>
            <w:tcBorders>
              <w:top w:val="nil"/>
              <w:left w:val="nil"/>
              <w:bottom w:val="single" w:sz="8" w:space="0" w:color="D9D9D9"/>
              <w:right w:val="single" w:sz="8" w:space="0" w:color="D9D9D9"/>
            </w:tcBorders>
            <w:shd w:val="clear" w:color="auto" w:fill="auto"/>
            <w:vAlign w:val="center"/>
          </w:tcPr>
          <w:p w14:paraId="7D4356BC"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148</w:t>
            </w:r>
          </w:p>
        </w:tc>
        <w:tc>
          <w:tcPr>
            <w:tcW w:w="363" w:type="pct"/>
            <w:tcBorders>
              <w:top w:val="nil"/>
              <w:left w:val="nil"/>
              <w:bottom w:val="single" w:sz="8" w:space="0" w:color="D9D9D9"/>
              <w:right w:val="single" w:sz="8" w:space="0" w:color="D9D9D9"/>
            </w:tcBorders>
            <w:shd w:val="clear" w:color="auto" w:fill="auto"/>
            <w:noWrap/>
            <w:vAlign w:val="center"/>
          </w:tcPr>
          <w:p w14:paraId="1B636EC6"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1,54</w:t>
            </w:r>
          </w:p>
        </w:tc>
        <w:tc>
          <w:tcPr>
            <w:tcW w:w="363" w:type="pct"/>
            <w:tcBorders>
              <w:top w:val="nil"/>
              <w:left w:val="nil"/>
              <w:bottom w:val="single" w:sz="8" w:space="0" w:color="D9D9D9"/>
              <w:right w:val="single" w:sz="8" w:space="0" w:color="D9D9D9"/>
            </w:tcBorders>
            <w:shd w:val="clear" w:color="auto" w:fill="auto"/>
            <w:vAlign w:val="center"/>
          </w:tcPr>
          <w:p w14:paraId="509D5ACD"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200</w:t>
            </w:r>
          </w:p>
        </w:tc>
        <w:tc>
          <w:tcPr>
            <w:tcW w:w="363" w:type="pct"/>
            <w:tcBorders>
              <w:top w:val="nil"/>
              <w:left w:val="nil"/>
              <w:bottom w:val="single" w:sz="8" w:space="0" w:color="D9D9D9"/>
              <w:right w:val="single" w:sz="8" w:space="0" w:color="D9D9D9"/>
            </w:tcBorders>
            <w:shd w:val="clear" w:color="auto" w:fill="auto"/>
            <w:noWrap/>
            <w:vAlign w:val="center"/>
          </w:tcPr>
          <w:p w14:paraId="3FB13F24"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3,84</w:t>
            </w:r>
          </w:p>
        </w:tc>
        <w:tc>
          <w:tcPr>
            <w:tcW w:w="363" w:type="pct"/>
            <w:tcBorders>
              <w:top w:val="nil"/>
              <w:left w:val="nil"/>
              <w:bottom w:val="single" w:sz="8" w:space="0" w:color="D9D9D9"/>
              <w:right w:val="single" w:sz="8" w:space="0" w:color="D9D9D9"/>
            </w:tcBorders>
            <w:shd w:val="clear" w:color="auto" w:fill="auto"/>
            <w:noWrap/>
            <w:vAlign w:val="center"/>
          </w:tcPr>
          <w:p w14:paraId="0DD02BA9"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213</w:t>
            </w:r>
          </w:p>
        </w:tc>
        <w:tc>
          <w:tcPr>
            <w:tcW w:w="363" w:type="pct"/>
            <w:tcBorders>
              <w:top w:val="nil"/>
              <w:left w:val="nil"/>
              <w:bottom w:val="single" w:sz="8" w:space="0" w:color="D9D9D9"/>
              <w:right w:val="single" w:sz="8" w:space="0" w:color="D9D9D9"/>
            </w:tcBorders>
            <w:shd w:val="clear" w:color="auto" w:fill="auto"/>
            <w:noWrap/>
            <w:vAlign w:val="bottom"/>
          </w:tcPr>
          <w:p w14:paraId="0627B53C"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4,63</w:t>
            </w:r>
          </w:p>
        </w:tc>
        <w:tc>
          <w:tcPr>
            <w:tcW w:w="363" w:type="pct"/>
            <w:tcBorders>
              <w:top w:val="nil"/>
              <w:left w:val="nil"/>
              <w:bottom w:val="single" w:sz="8" w:space="0" w:color="D9D9D9"/>
              <w:right w:val="single" w:sz="8" w:space="0" w:color="D9D9D9"/>
            </w:tcBorders>
            <w:shd w:val="clear" w:color="auto" w:fill="auto"/>
            <w:noWrap/>
            <w:vAlign w:val="center"/>
          </w:tcPr>
          <w:p w14:paraId="3C60732C"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176</w:t>
            </w:r>
          </w:p>
        </w:tc>
        <w:tc>
          <w:tcPr>
            <w:tcW w:w="363" w:type="pct"/>
            <w:tcBorders>
              <w:top w:val="nil"/>
              <w:left w:val="nil"/>
              <w:bottom w:val="single" w:sz="8" w:space="0" w:color="D9D9D9"/>
              <w:right w:val="single" w:sz="8" w:space="0" w:color="D9D9D9"/>
            </w:tcBorders>
            <w:shd w:val="clear" w:color="auto" w:fill="auto"/>
            <w:noWrap/>
            <w:vAlign w:val="bottom"/>
          </w:tcPr>
          <w:p w14:paraId="5B2F378C"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2,35</w:t>
            </w:r>
          </w:p>
        </w:tc>
        <w:tc>
          <w:tcPr>
            <w:tcW w:w="363" w:type="pct"/>
            <w:tcBorders>
              <w:top w:val="nil"/>
              <w:left w:val="nil"/>
              <w:bottom w:val="single" w:sz="8" w:space="0" w:color="D9D9D9"/>
              <w:right w:val="single" w:sz="8" w:space="0" w:color="D9D9D9"/>
            </w:tcBorders>
            <w:shd w:val="clear" w:color="auto" w:fill="auto"/>
            <w:noWrap/>
            <w:vAlign w:val="center"/>
          </w:tcPr>
          <w:p w14:paraId="3D72EA86"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157</w:t>
            </w:r>
          </w:p>
        </w:tc>
        <w:tc>
          <w:tcPr>
            <w:tcW w:w="364" w:type="pct"/>
            <w:tcBorders>
              <w:top w:val="nil"/>
              <w:left w:val="nil"/>
              <w:bottom w:val="single" w:sz="8" w:space="0" w:color="D9D9D9"/>
              <w:right w:val="single" w:sz="8" w:space="0" w:color="D9D9D9"/>
            </w:tcBorders>
            <w:shd w:val="clear" w:color="auto" w:fill="auto"/>
            <w:noWrap/>
            <w:vAlign w:val="bottom"/>
          </w:tcPr>
          <w:p w14:paraId="7C9BE966"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3,01</w:t>
            </w:r>
          </w:p>
        </w:tc>
        <w:tc>
          <w:tcPr>
            <w:tcW w:w="418" w:type="pct"/>
            <w:tcBorders>
              <w:top w:val="nil"/>
              <w:left w:val="nil"/>
              <w:bottom w:val="single" w:sz="8" w:space="0" w:color="D9D9D9"/>
              <w:right w:val="single" w:sz="8" w:space="0" w:color="D9D9D9"/>
            </w:tcBorders>
            <w:shd w:val="clear" w:color="auto" w:fill="auto"/>
            <w:vAlign w:val="bottom"/>
          </w:tcPr>
          <w:p w14:paraId="0455DC47" w14:textId="77777777" w:rsidR="00894A3C" w:rsidRPr="00894A3C" w:rsidRDefault="00894A3C" w:rsidP="00894A3C">
            <w:pPr>
              <w:spacing w:after="0" w:line="240" w:lineRule="auto"/>
              <w:jc w:val="right"/>
              <w:rPr>
                <w:b/>
              </w:rPr>
            </w:pPr>
            <w:r w:rsidRPr="00894A3C">
              <w:rPr>
                <w:b/>
              </w:rPr>
              <w:t>894</w:t>
            </w:r>
          </w:p>
        </w:tc>
        <w:tc>
          <w:tcPr>
            <w:tcW w:w="460" w:type="pct"/>
            <w:tcBorders>
              <w:top w:val="nil"/>
              <w:left w:val="nil"/>
              <w:bottom w:val="single" w:sz="8" w:space="0" w:color="D9D9D9"/>
              <w:right w:val="single" w:sz="8" w:space="0" w:color="D9D9D9"/>
            </w:tcBorders>
            <w:shd w:val="clear" w:color="auto" w:fill="auto"/>
            <w:vAlign w:val="bottom"/>
          </w:tcPr>
          <w:p w14:paraId="6CF04AC2" w14:textId="77777777" w:rsidR="00894A3C" w:rsidRPr="00894A3C" w:rsidRDefault="00894A3C" w:rsidP="00894A3C">
            <w:pPr>
              <w:spacing w:after="0" w:line="240" w:lineRule="auto"/>
              <w:jc w:val="right"/>
              <w:rPr>
                <w:rFonts w:ascii="Calibri" w:eastAsia="Times New Roman" w:hAnsi="Calibri" w:cs="Calibri"/>
                <w:b/>
                <w:bCs/>
                <w:color w:val="000000"/>
                <w:lang w:eastAsia="tr-TR"/>
              </w:rPr>
            </w:pPr>
            <w:r w:rsidRPr="00894A3C">
              <w:rPr>
                <w:rFonts w:ascii="Calibri" w:eastAsia="Times New Roman" w:hAnsi="Calibri" w:cs="Calibri"/>
                <w:b/>
                <w:bCs/>
                <w:color w:val="000000"/>
                <w:lang w:eastAsia="tr-TR"/>
              </w:rPr>
              <w:t>2,78</w:t>
            </w:r>
          </w:p>
        </w:tc>
      </w:tr>
      <w:tr w:rsidR="00894A3C" w:rsidRPr="00894A3C" w14:paraId="4A4B63D8" w14:textId="77777777" w:rsidTr="00894A3C">
        <w:trPr>
          <w:trHeight w:val="20"/>
          <w:jc w:val="center"/>
        </w:trPr>
        <w:tc>
          <w:tcPr>
            <w:tcW w:w="491" w:type="pct"/>
            <w:tcBorders>
              <w:top w:val="nil"/>
              <w:left w:val="single" w:sz="8" w:space="0" w:color="D9D9D9"/>
              <w:bottom w:val="single" w:sz="8" w:space="0" w:color="D9D9D9"/>
              <w:right w:val="single" w:sz="8" w:space="0" w:color="D9D9D9"/>
            </w:tcBorders>
            <w:shd w:val="clear" w:color="auto" w:fill="auto"/>
            <w:vAlign w:val="center"/>
          </w:tcPr>
          <w:p w14:paraId="5D1FAC44" w14:textId="77777777" w:rsidR="00894A3C" w:rsidRPr="00894A3C" w:rsidRDefault="00894A3C" w:rsidP="00894A3C">
            <w:pPr>
              <w:spacing w:after="0" w:line="240" w:lineRule="auto"/>
              <w:rPr>
                <w:rFonts w:ascii="Calibri" w:eastAsia="Times New Roman" w:hAnsi="Calibri" w:cs="Calibri"/>
                <w:color w:val="000000"/>
                <w:lang w:eastAsia="tr-TR"/>
              </w:rPr>
            </w:pPr>
            <w:r w:rsidRPr="00894A3C">
              <w:rPr>
                <w:rFonts w:ascii="Calibri" w:eastAsia="Times New Roman" w:hAnsi="Calibri" w:cs="Calibri"/>
                <w:color w:val="000000"/>
                <w:lang w:eastAsia="tr-TR"/>
              </w:rPr>
              <w:t>PPD</w:t>
            </w:r>
          </w:p>
        </w:tc>
        <w:tc>
          <w:tcPr>
            <w:tcW w:w="363" w:type="pct"/>
            <w:tcBorders>
              <w:top w:val="nil"/>
              <w:left w:val="nil"/>
              <w:bottom w:val="single" w:sz="8" w:space="0" w:color="D9D9D9"/>
              <w:right w:val="single" w:sz="8" w:space="0" w:color="D9D9D9"/>
            </w:tcBorders>
            <w:shd w:val="clear" w:color="auto" w:fill="auto"/>
            <w:vAlign w:val="center"/>
          </w:tcPr>
          <w:p w14:paraId="232087F8"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225</w:t>
            </w:r>
          </w:p>
        </w:tc>
        <w:tc>
          <w:tcPr>
            <w:tcW w:w="363" w:type="pct"/>
            <w:tcBorders>
              <w:top w:val="nil"/>
              <w:left w:val="nil"/>
              <w:bottom w:val="single" w:sz="8" w:space="0" w:color="D9D9D9"/>
              <w:right w:val="single" w:sz="8" w:space="0" w:color="D9D9D9"/>
            </w:tcBorders>
            <w:shd w:val="clear" w:color="auto" w:fill="auto"/>
            <w:noWrap/>
            <w:vAlign w:val="center"/>
          </w:tcPr>
          <w:p w14:paraId="320CF1B6"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2,34</w:t>
            </w:r>
          </w:p>
        </w:tc>
        <w:tc>
          <w:tcPr>
            <w:tcW w:w="363" w:type="pct"/>
            <w:tcBorders>
              <w:top w:val="nil"/>
              <w:left w:val="nil"/>
              <w:bottom w:val="single" w:sz="8" w:space="0" w:color="D9D9D9"/>
              <w:right w:val="single" w:sz="8" w:space="0" w:color="D9D9D9"/>
            </w:tcBorders>
            <w:shd w:val="clear" w:color="auto" w:fill="auto"/>
            <w:vAlign w:val="center"/>
          </w:tcPr>
          <w:p w14:paraId="35A1AAEF"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187</w:t>
            </w:r>
          </w:p>
        </w:tc>
        <w:tc>
          <w:tcPr>
            <w:tcW w:w="363" w:type="pct"/>
            <w:tcBorders>
              <w:top w:val="nil"/>
              <w:left w:val="nil"/>
              <w:bottom w:val="single" w:sz="8" w:space="0" w:color="D9D9D9"/>
              <w:right w:val="single" w:sz="8" w:space="0" w:color="D9D9D9"/>
            </w:tcBorders>
            <w:shd w:val="clear" w:color="auto" w:fill="auto"/>
            <w:noWrap/>
            <w:vAlign w:val="center"/>
          </w:tcPr>
          <w:p w14:paraId="1627682C"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3,59</w:t>
            </w:r>
          </w:p>
        </w:tc>
        <w:tc>
          <w:tcPr>
            <w:tcW w:w="363" w:type="pct"/>
            <w:tcBorders>
              <w:top w:val="nil"/>
              <w:left w:val="nil"/>
              <w:bottom w:val="single" w:sz="8" w:space="0" w:color="D9D9D9"/>
              <w:right w:val="single" w:sz="8" w:space="0" w:color="D9D9D9"/>
            </w:tcBorders>
            <w:shd w:val="clear" w:color="auto" w:fill="auto"/>
            <w:noWrap/>
            <w:vAlign w:val="center"/>
          </w:tcPr>
          <w:p w14:paraId="00D40F32"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134</w:t>
            </w:r>
          </w:p>
        </w:tc>
        <w:tc>
          <w:tcPr>
            <w:tcW w:w="363" w:type="pct"/>
            <w:tcBorders>
              <w:top w:val="nil"/>
              <w:left w:val="nil"/>
              <w:bottom w:val="single" w:sz="8" w:space="0" w:color="D9D9D9"/>
              <w:right w:val="single" w:sz="8" w:space="0" w:color="D9D9D9"/>
            </w:tcBorders>
            <w:shd w:val="clear" w:color="auto" w:fill="auto"/>
            <w:noWrap/>
            <w:vAlign w:val="bottom"/>
          </w:tcPr>
          <w:p w14:paraId="62578EE9"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2,91</w:t>
            </w:r>
          </w:p>
        </w:tc>
        <w:tc>
          <w:tcPr>
            <w:tcW w:w="363" w:type="pct"/>
            <w:tcBorders>
              <w:top w:val="nil"/>
              <w:left w:val="nil"/>
              <w:bottom w:val="single" w:sz="8" w:space="0" w:color="D9D9D9"/>
              <w:right w:val="single" w:sz="8" w:space="0" w:color="D9D9D9"/>
            </w:tcBorders>
            <w:shd w:val="clear" w:color="auto" w:fill="auto"/>
            <w:noWrap/>
            <w:vAlign w:val="center"/>
          </w:tcPr>
          <w:p w14:paraId="54125EC1"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125</w:t>
            </w:r>
          </w:p>
        </w:tc>
        <w:tc>
          <w:tcPr>
            <w:tcW w:w="363" w:type="pct"/>
            <w:tcBorders>
              <w:top w:val="nil"/>
              <w:left w:val="nil"/>
              <w:bottom w:val="single" w:sz="8" w:space="0" w:color="D9D9D9"/>
              <w:right w:val="single" w:sz="8" w:space="0" w:color="D9D9D9"/>
            </w:tcBorders>
            <w:shd w:val="clear" w:color="auto" w:fill="auto"/>
            <w:noWrap/>
            <w:vAlign w:val="bottom"/>
          </w:tcPr>
          <w:p w14:paraId="5FC9FCCF"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1,67</w:t>
            </w:r>
          </w:p>
        </w:tc>
        <w:tc>
          <w:tcPr>
            <w:tcW w:w="363" w:type="pct"/>
            <w:tcBorders>
              <w:top w:val="nil"/>
              <w:left w:val="nil"/>
              <w:bottom w:val="single" w:sz="8" w:space="0" w:color="D9D9D9"/>
              <w:right w:val="single" w:sz="8" w:space="0" w:color="D9D9D9"/>
            </w:tcBorders>
            <w:shd w:val="clear" w:color="auto" w:fill="auto"/>
            <w:noWrap/>
            <w:vAlign w:val="center"/>
          </w:tcPr>
          <w:p w14:paraId="62F48436"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115</w:t>
            </w:r>
          </w:p>
        </w:tc>
        <w:tc>
          <w:tcPr>
            <w:tcW w:w="364" w:type="pct"/>
            <w:tcBorders>
              <w:top w:val="nil"/>
              <w:left w:val="nil"/>
              <w:bottom w:val="single" w:sz="8" w:space="0" w:color="D9D9D9"/>
              <w:right w:val="single" w:sz="8" w:space="0" w:color="D9D9D9"/>
            </w:tcBorders>
            <w:shd w:val="clear" w:color="auto" w:fill="auto"/>
            <w:noWrap/>
            <w:vAlign w:val="bottom"/>
          </w:tcPr>
          <w:p w14:paraId="598104DA"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2,21</w:t>
            </w:r>
          </w:p>
        </w:tc>
        <w:tc>
          <w:tcPr>
            <w:tcW w:w="418" w:type="pct"/>
            <w:tcBorders>
              <w:top w:val="nil"/>
              <w:left w:val="nil"/>
              <w:bottom w:val="single" w:sz="8" w:space="0" w:color="D9D9D9"/>
              <w:right w:val="single" w:sz="8" w:space="0" w:color="D9D9D9"/>
            </w:tcBorders>
            <w:shd w:val="clear" w:color="auto" w:fill="auto"/>
            <w:vAlign w:val="bottom"/>
          </w:tcPr>
          <w:p w14:paraId="45A3F4FD" w14:textId="77777777" w:rsidR="00894A3C" w:rsidRPr="00894A3C" w:rsidRDefault="00894A3C" w:rsidP="00894A3C">
            <w:pPr>
              <w:spacing w:after="0" w:line="240" w:lineRule="auto"/>
              <w:jc w:val="right"/>
              <w:rPr>
                <w:b/>
              </w:rPr>
            </w:pPr>
            <w:r w:rsidRPr="00894A3C">
              <w:rPr>
                <w:b/>
              </w:rPr>
              <w:t>786</w:t>
            </w:r>
          </w:p>
        </w:tc>
        <w:tc>
          <w:tcPr>
            <w:tcW w:w="460" w:type="pct"/>
            <w:tcBorders>
              <w:top w:val="nil"/>
              <w:left w:val="nil"/>
              <w:bottom w:val="single" w:sz="8" w:space="0" w:color="D9D9D9"/>
              <w:right w:val="single" w:sz="8" w:space="0" w:color="D9D9D9"/>
            </w:tcBorders>
            <w:shd w:val="clear" w:color="auto" w:fill="auto"/>
            <w:vAlign w:val="bottom"/>
          </w:tcPr>
          <w:p w14:paraId="3DFA66ED" w14:textId="77777777" w:rsidR="00894A3C" w:rsidRPr="00894A3C" w:rsidRDefault="00894A3C" w:rsidP="00894A3C">
            <w:pPr>
              <w:spacing w:after="0" w:line="240" w:lineRule="auto"/>
              <w:jc w:val="right"/>
              <w:rPr>
                <w:rFonts w:ascii="Calibri" w:eastAsia="Times New Roman" w:hAnsi="Calibri" w:cs="Calibri"/>
                <w:b/>
                <w:bCs/>
                <w:color w:val="000000"/>
                <w:lang w:eastAsia="tr-TR"/>
              </w:rPr>
            </w:pPr>
            <w:r w:rsidRPr="00894A3C">
              <w:rPr>
                <w:rFonts w:ascii="Calibri" w:eastAsia="Times New Roman" w:hAnsi="Calibri" w:cs="Calibri"/>
                <w:b/>
                <w:bCs/>
                <w:color w:val="000000"/>
                <w:lang w:eastAsia="tr-TR"/>
              </w:rPr>
              <w:t>2,45</w:t>
            </w:r>
          </w:p>
        </w:tc>
      </w:tr>
      <w:tr w:rsidR="00894A3C" w:rsidRPr="00894A3C" w14:paraId="47B9B1F4" w14:textId="77777777" w:rsidTr="00894A3C">
        <w:trPr>
          <w:trHeight w:val="20"/>
          <w:jc w:val="center"/>
        </w:trPr>
        <w:tc>
          <w:tcPr>
            <w:tcW w:w="491" w:type="pct"/>
            <w:tcBorders>
              <w:top w:val="nil"/>
              <w:left w:val="single" w:sz="8" w:space="0" w:color="D9D9D9"/>
              <w:bottom w:val="single" w:sz="8" w:space="0" w:color="D9D9D9"/>
              <w:right w:val="single" w:sz="8" w:space="0" w:color="D9D9D9"/>
            </w:tcBorders>
            <w:shd w:val="clear" w:color="auto" w:fill="auto"/>
            <w:vAlign w:val="center"/>
          </w:tcPr>
          <w:p w14:paraId="494235D4" w14:textId="77777777" w:rsidR="00894A3C" w:rsidRPr="00894A3C" w:rsidRDefault="00894A3C" w:rsidP="00894A3C">
            <w:pPr>
              <w:spacing w:after="0" w:line="240" w:lineRule="auto"/>
              <w:rPr>
                <w:rFonts w:ascii="Calibri" w:eastAsia="Times New Roman" w:hAnsi="Calibri" w:cs="Calibri"/>
                <w:color w:val="000000"/>
                <w:lang w:eastAsia="tr-TR"/>
              </w:rPr>
            </w:pPr>
            <w:r w:rsidRPr="00894A3C">
              <w:rPr>
                <w:rFonts w:ascii="Calibri" w:eastAsia="Times New Roman" w:hAnsi="Calibri" w:cs="Calibri"/>
                <w:color w:val="000000"/>
                <w:lang w:eastAsia="tr-TR"/>
              </w:rPr>
              <w:t>EDD</w:t>
            </w:r>
          </w:p>
        </w:tc>
        <w:tc>
          <w:tcPr>
            <w:tcW w:w="363" w:type="pct"/>
            <w:tcBorders>
              <w:top w:val="nil"/>
              <w:left w:val="nil"/>
              <w:bottom w:val="single" w:sz="8" w:space="0" w:color="D9D9D9"/>
              <w:right w:val="single" w:sz="8" w:space="0" w:color="D9D9D9"/>
            </w:tcBorders>
            <w:shd w:val="clear" w:color="auto" w:fill="auto"/>
            <w:vAlign w:val="center"/>
          </w:tcPr>
          <w:p w14:paraId="0C17D020"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w:t>
            </w:r>
          </w:p>
        </w:tc>
        <w:tc>
          <w:tcPr>
            <w:tcW w:w="363" w:type="pct"/>
            <w:tcBorders>
              <w:top w:val="nil"/>
              <w:left w:val="nil"/>
              <w:bottom w:val="single" w:sz="8" w:space="0" w:color="D9D9D9"/>
              <w:right w:val="single" w:sz="8" w:space="0" w:color="D9D9D9"/>
            </w:tcBorders>
            <w:shd w:val="clear" w:color="auto" w:fill="auto"/>
            <w:noWrap/>
            <w:vAlign w:val="center"/>
          </w:tcPr>
          <w:p w14:paraId="08980164"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w:t>
            </w:r>
          </w:p>
        </w:tc>
        <w:tc>
          <w:tcPr>
            <w:tcW w:w="363" w:type="pct"/>
            <w:tcBorders>
              <w:top w:val="nil"/>
              <w:left w:val="nil"/>
              <w:bottom w:val="single" w:sz="8" w:space="0" w:color="D9D9D9"/>
              <w:right w:val="single" w:sz="8" w:space="0" w:color="D9D9D9"/>
            </w:tcBorders>
            <w:shd w:val="clear" w:color="auto" w:fill="auto"/>
            <w:vAlign w:val="center"/>
          </w:tcPr>
          <w:p w14:paraId="4A7A21C9"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w:t>
            </w:r>
          </w:p>
        </w:tc>
        <w:tc>
          <w:tcPr>
            <w:tcW w:w="363" w:type="pct"/>
            <w:tcBorders>
              <w:top w:val="nil"/>
              <w:left w:val="nil"/>
              <w:bottom w:val="single" w:sz="8" w:space="0" w:color="D9D9D9"/>
              <w:right w:val="single" w:sz="8" w:space="0" w:color="D9D9D9"/>
            </w:tcBorders>
            <w:shd w:val="clear" w:color="auto" w:fill="auto"/>
            <w:noWrap/>
            <w:vAlign w:val="center"/>
          </w:tcPr>
          <w:p w14:paraId="4A6EE84C"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w:t>
            </w:r>
          </w:p>
        </w:tc>
        <w:tc>
          <w:tcPr>
            <w:tcW w:w="363" w:type="pct"/>
            <w:tcBorders>
              <w:top w:val="nil"/>
              <w:left w:val="nil"/>
              <w:bottom w:val="single" w:sz="8" w:space="0" w:color="D9D9D9"/>
              <w:right w:val="single" w:sz="8" w:space="0" w:color="D9D9D9"/>
            </w:tcBorders>
            <w:shd w:val="clear" w:color="auto" w:fill="auto"/>
            <w:noWrap/>
            <w:vAlign w:val="center"/>
          </w:tcPr>
          <w:p w14:paraId="1BD28201"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84</w:t>
            </w:r>
          </w:p>
        </w:tc>
        <w:tc>
          <w:tcPr>
            <w:tcW w:w="363" w:type="pct"/>
            <w:tcBorders>
              <w:top w:val="nil"/>
              <w:left w:val="nil"/>
              <w:bottom w:val="single" w:sz="8" w:space="0" w:color="D9D9D9"/>
              <w:right w:val="single" w:sz="8" w:space="0" w:color="D9D9D9"/>
            </w:tcBorders>
            <w:shd w:val="clear" w:color="auto" w:fill="auto"/>
            <w:noWrap/>
            <w:vAlign w:val="bottom"/>
          </w:tcPr>
          <w:p w14:paraId="75D22465"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1,83</w:t>
            </w:r>
          </w:p>
        </w:tc>
        <w:tc>
          <w:tcPr>
            <w:tcW w:w="363" w:type="pct"/>
            <w:tcBorders>
              <w:top w:val="nil"/>
              <w:left w:val="nil"/>
              <w:bottom w:val="single" w:sz="8" w:space="0" w:color="D9D9D9"/>
              <w:right w:val="single" w:sz="8" w:space="0" w:color="D9D9D9"/>
            </w:tcBorders>
            <w:shd w:val="clear" w:color="auto" w:fill="auto"/>
            <w:noWrap/>
            <w:vAlign w:val="center"/>
          </w:tcPr>
          <w:p w14:paraId="19CB3433"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129</w:t>
            </w:r>
          </w:p>
        </w:tc>
        <w:tc>
          <w:tcPr>
            <w:tcW w:w="363" w:type="pct"/>
            <w:tcBorders>
              <w:top w:val="nil"/>
              <w:left w:val="nil"/>
              <w:bottom w:val="single" w:sz="8" w:space="0" w:color="D9D9D9"/>
              <w:right w:val="single" w:sz="8" w:space="0" w:color="D9D9D9"/>
            </w:tcBorders>
            <w:shd w:val="clear" w:color="auto" w:fill="auto"/>
            <w:noWrap/>
            <w:vAlign w:val="bottom"/>
          </w:tcPr>
          <w:p w14:paraId="239E4599"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1,72</w:t>
            </w:r>
          </w:p>
        </w:tc>
        <w:tc>
          <w:tcPr>
            <w:tcW w:w="363" w:type="pct"/>
            <w:tcBorders>
              <w:top w:val="nil"/>
              <w:left w:val="nil"/>
              <w:bottom w:val="single" w:sz="8" w:space="0" w:color="D9D9D9"/>
              <w:right w:val="single" w:sz="8" w:space="0" w:color="D9D9D9"/>
            </w:tcBorders>
            <w:shd w:val="clear" w:color="auto" w:fill="auto"/>
            <w:noWrap/>
            <w:vAlign w:val="center"/>
          </w:tcPr>
          <w:p w14:paraId="09E0B37C"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99</w:t>
            </w:r>
          </w:p>
        </w:tc>
        <w:tc>
          <w:tcPr>
            <w:tcW w:w="364" w:type="pct"/>
            <w:tcBorders>
              <w:top w:val="nil"/>
              <w:left w:val="nil"/>
              <w:bottom w:val="single" w:sz="8" w:space="0" w:color="D9D9D9"/>
              <w:right w:val="single" w:sz="8" w:space="0" w:color="D9D9D9"/>
            </w:tcBorders>
            <w:shd w:val="clear" w:color="auto" w:fill="auto"/>
            <w:noWrap/>
            <w:vAlign w:val="bottom"/>
          </w:tcPr>
          <w:p w14:paraId="0C5258AB" w14:textId="7D3E4EF1"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1,9</w:t>
            </w:r>
            <w:r>
              <w:rPr>
                <w:rFonts w:ascii="Calibri" w:eastAsia="Times New Roman" w:hAnsi="Calibri" w:cs="Calibri"/>
                <w:color w:val="000000"/>
                <w:lang w:eastAsia="tr-TR"/>
              </w:rPr>
              <w:t>0</w:t>
            </w:r>
          </w:p>
        </w:tc>
        <w:tc>
          <w:tcPr>
            <w:tcW w:w="418" w:type="pct"/>
            <w:tcBorders>
              <w:top w:val="nil"/>
              <w:left w:val="nil"/>
              <w:bottom w:val="single" w:sz="8" w:space="0" w:color="D9D9D9"/>
              <w:right w:val="single" w:sz="8" w:space="0" w:color="D9D9D9"/>
            </w:tcBorders>
            <w:shd w:val="clear" w:color="auto" w:fill="auto"/>
            <w:vAlign w:val="bottom"/>
          </w:tcPr>
          <w:p w14:paraId="4E204993" w14:textId="77777777" w:rsidR="00894A3C" w:rsidRPr="00894A3C" w:rsidRDefault="00894A3C" w:rsidP="00894A3C">
            <w:pPr>
              <w:spacing w:after="0" w:line="240" w:lineRule="auto"/>
              <w:jc w:val="right"/>
              <w:rPr>
                <w:b/>
              </w:rPr>
            </w:pPr>
            <w:r w:rsidRPr="00894A3C">
              <w:rPr>
                <w:b/>
              </w:rPr>
              <w:t>312</w:t>
            </w:r>
          </w:p>
        </w:tc>
        <w:tc>
          <w:tcPr>
            <w:tcW w:w="460" w:type="pct"/>
            <w:tcBorders>
              <w:top w:val="nil"/>
              <w:left w:val="nil"/>
              <w:bottom w:val="single" w:sz="8" w:space="0" w:color="D9D9D9"/>
              <w:right w:val="single" w:sz="8" w:space="0" w:color="D9D9D9"/>
            </w:tcBorders>
            <w:shd w:val="clear" w:color="auto" w:fill="auto"/>
            <w:vAlign w:val="bottom"/>
          </w:tcPr>
          <w:p w14:paraId="47B361BF" w14:textId="77777777" w:rsidR="00894A3C" w:rsidRPr="00894A3C" w:rsidRDefault="00894A3C" w:rsidP="00894A3C">
            <w:pPr>
              <w:spacing w:after="0" w:line="240" w:lineRule="auto"/>
              <w:jc w:val="right"/>
              <w:rPr>
                <w:rFonts w:ascii="Calibri" w:eastAsia="Times New Roman" w:hAnsi="Calibri" w:cs="Calibri"/>
                <w:b/>
                <w:bCs/>
                <w:color w:val="000000"/>
                <w:lang w:eastAsia="tr-TR"/>
              </w:rPr>
            </w:pPr>
            <w:r w:rsidRPr="00894A3C">
              <w:rPr>
                <w:rFonts w:ascii="Calibri" w:eastAsia="Times New Roman" w:hAnsi="Calibri" w:cs="Calibri"/>
                <w:b/>
                <w:bCs/>
                <w:color w:val="000000"/>
                <w:lang w:eastAsia="tr-TR"/>
              </w:rPr>
              <w:t>0,97</w:t>
            </w:r>
          </w:p>
        </w:tc>
      </w:tr>
      <w:tr w:rsidR="00894A3C" w:rsidRPr="00894A3C" w14:paraId="20609B0A" w14:textId="77777777" w:rsidTr="00894A3C">
        <w:trPr>
          <w:trHeight w:val="20"/>
          <w:jc w:val="center"/>
        </w:trPr>
        <w:tc>
          <w:tcPr>
            <w:tcW w:w="491" w:type="pct"/>
            <w:tcBorders>
              <w:top w:val="nil"/>
              <w:left w:val="single" w:sz="8" w:space="0" w:color="D9D9D9"/>
              <w:bottom w:val="single" w:sz="8" w:space="0" w:color="D9D9D9"/>
              <w:right w:val="single" w:sz="8" w:space="0" w:color="D9D9D9"/>
            </w:tcBorders>
            <w:shd w:val="clear" w:color="auto" w:fill="auto"/>
            <w:vAlign w:val="center"/>
          </w:tcPr>
          <w:p w14:paraId="39ECC81D" w14:textId="77777777" w:rsidR="00894A3C" w:rsidRPr="00894A3C" w:rsidRDefault="00894A3C" w:rsidP="00894A3C">
            <w:pPr>
              <w:spacing w:after="0" w:line="240" w:lineRule="auto"/>
              <w:rPr>
                <w:rFonts w:ascii="Calibri" w:eastAsia="Times New Roman" w:hAnsi="Calibri" w:cs="Calibri"/>
                <w:color w:val="000000"/>
                <w:lang w:eastAsia="tr-TR"/>
              </w:rPr>
            </w:pPr>
            <w:r w:rsidRPr="00894A3C">
              <w:rPr>
                <w:rFonts w:ascii="Calibri" w:eastAsia="Times New Roman" w:hAnsi="Calibri" w:cs="Calibri"/>
                <w:color w:val="000000"/>
                <w:lang w:eastAsia="tr-TR"/>
              </w:rPr>
              <w:t>İKD</w:t>
            </w:r>
          </w:p>
        </w:tc>
        <w:tc>
          <w:tcPr>
            <w:tcW w:w="363" w:type="pct"/>
            <w:tcBorders>
              <w:top w:val="nil"/>
              <w:left w:val="nil"/>
              <w:bottom w:val="single" w:sz="8" w:space="0" w:color="D9D9D9"/>
              <w:right w:val="single" w:sz="8" w:space="0" w:color="D9D9D9"/>
            </w:tcBorders>
            <w:shd w:val="clear" w:color="auto" w:fill="auto"/>
            <w:vAlign w:val="center"/>
          </w:tcPr>
          <w:p w14:paraId="4BC5DEA5"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15</w:t>
            </w:r>
          </w:p>
        </w:tc>
        <w:tc>
          <w:tcPr>
            <w:tcW w:w="363" w:type="pct"/>
            <w:tcBorders>
              <w:top w:val="nil"/>
              <w:left w:val="nil"/>
              <w:bottom w:val="single" w:sz="8" w:space="0" w:color="D9D9D9"/>
              <w:right w:val="single" w:sz="8" w:space="0" w:color="D9D9D9"/>
            </w:tcBorders>
            <w:shd w:val="clear" w:color="auto" w:fill="auto"/>
            <w:noWrap/>
            <w:vAlign w:val="center"/>
          </w:tcPr>
          <w:p w14:paraId="00FB3F2E"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0,15</w:t>
            </w:r>
          </w:p>
        </w:tc>
        <w:tc>
          <w:tcPr>
            <w:tcW w:w="363" w:type="pct"/>
            <w:tcBorders>
              <w:top w:val="nil"/>
              <w:left w:val="nil"/>
              <w:bottom w:val="single" w:sz="8" w:space="0" w:color="D9D9D9"/>
              <w:right w:val="single" w:sz="8" w:space="0" w:color="D9D9D9"/>
            </w:tcBorders>
            <w:shd w:val="clear" w:color="auto" w:fill="auto"/>
            <w:vAlign w:val="center"/>
          </w:tcPr>
          <w:p w14:paraId="41B37604"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44</w:t>
            </w:r>
          </w:p>
        </w:tc>
        <w:tc>
          <w:tcPr>
            <w:tcW w:w="363" w:type="pct"/>
            <w:tcBorders>
              <w:top w:val="nil"/>
              <w:left w:val="nil"/>
              <w:bottom w:val="single" w:sz="8" w:space="0" w:color="D9D9D9"/>
              <w:right w:val="single" w:sz="8" w:space="0" w:color="D9D9D9"/>
            </w:tcBorders>
            <w:shd w:val="clear" w:color="auto" w:fill="auto"/>
            <w:noWrap/>
            <w:vAlign w:val="center"/>
          </w:tcPr>
          <w:p w14:paraId="1CC35B09"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0,84</w:t>
            </w:r>
          </w:p>
        </w:tc>
        <w:tc>
          <w:tcPr>
            <w:tcW w:w="363" w:type="pct"/>
            <w:tcBorders>
              <w:top w:val="nil"/>
              <w:left w:val="nil"/>
              <w:bottom w:val="single" w:sz="8" w:space="0" w:color="D9D9D9"/>
              <w:right w:val="single" w:sz="8" w:space="0" w:color="D9D9D9"/>
            </w:tcBorders>
            <w:shd w:val="clear" w:color="auto" w:fill="auto"/>
            <w:noWrap/>
            <w:vAlign w:val="center"/>
          </w:tcPr>
          <w:p w14:paraId="0D883693"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23</w:t>
            </w:r>
          </w:p>
        </w:tc>
        <w:tc>
          <w:tcPr>
            <w:tcW w:w="363" w:type="pct"/>
            <w:tcBorders>
              <w:top w:val="nil"/>
              <w:left w:val="nil"/>
              <w:bottom w:val="single" w:sz="8" w:space="0" w:color="D9D9D9"/>
              <w:right w:val="single" w:sz="8" w:space="0" w:color="D9D9D9"/>
            </w:tcBorders>
            <w:shd w:val="clear" w:color="auto" w:fill="auto"/>
            <w:noWrap/>
            <w:vAlign w:val="bottom"/>
          </w:tcPr>
          <w:p w14:paraId="3DA251C3"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0,5</w:t>
            </w:r>
          </w:p>
        </w:tc>
        <w:tc>
          <w:tcPr>
            <w:tcW w:w="363" w:type="pct"/>
            <w:tcBorders>
              <w:top w:val="nil"/>
              <w:left w:val="nil"/>
              <w:bottom w:val="single" w:sz="8" w:space="0" w:color="D9D9D9"/>
              <w:right w:val="single" w:sz="8" w:space="0" w:color="D9D9D9"/>
            </w:tcBorders>
            <w:shd w:val="clear" w:color="auto" w:fill="auto"/>
            <w:noWrap/>
            <w:vAlign w:val="center"/>
          </w:tcPr>
          <w:p w14:paraId="17276DB3"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28</w:t>
            </w:r>
          </w:p>
        </w:tc>
        <w:tc>
          <w:tcPr>
            <w:tcW w:w="363" w:type="pct"/>
            <w:tcBorders>
              <w:top w:val="nil"/>
              <w:left w:val="nil"/>
              <w:bottom w:val="single" w:sz="8" w:space="0" w:color="D9D9D9"/>
              <w:right w:val="single" w:sz="8" w:space="0" w:color="D9D9D9"/>
            </w:tcBorders>
            <w:shd w:val="clear" w:color="auto" w:fill="auto"/>
            <w:noWrap/>
            <w:vAlign w:val="bottom"/>
          </w:tcPr>
          <w:p w14:paraId="5EA826EB"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0,37</w:t>
            </w:r>
          </w:p>
        </w:tc>
        <w:tc>
          <w:tcPr>
            <w:tcW w:w="363" w:type="pct"/>
            <w:tcBorders>
              <w:top w:val="nil"/>
              <w:left w:val="nil"/>
              <w:bottom w:val="single" w:sz="8" w:space="0" w:color="D9D9D9"/>
              <w:right w:val="single" w:sz="8" w:space="0" w:color="D9D9D9"/>
            </w:tcBorders>
            <w:shd w:val="clear" w:color="auto" w:fill="auto"/>
            <w:noWrap/>
            <w:vAlign w:val="center"/>
          </w:tcPr>
          <w:p w14:paraId="73E9FCBB"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22</w:t>
            </w:r>
          </w:p>
        </w:tc>
        <w:tc>
          <w:tcPr>
            <w:tcW w:w="364" w:type="pct"/>
            <w:tcBorders>
              <w:top w:val="nil"/>
              <w:left w:val="nil"/>
              <w:bottom w:val="single" w:sz="8" w:space="0" w:color="D9D9D9"/>
              <w:right w:val="single" w:sz="8" w:space="0" w:color="D9D9D9"/>
            </w:tcBorders>
            <w:shd w:val="clear" w:color="auto" w:fill="auto"/>
            <w:noWrap/>
            <w:vAlign w:val="bottom"/>
          </w:tcPr>
          <w:p w14:paraId="72917955"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0,42</w:t>
            </w:r>
          </w:p>
        </w:tc>
        <w:tc>
          <w:tcPr>
            <w:tcW w:w="418" w:type="pct"/>
            <w:tcBorders>
              <w:top w:val="nil"/>
              <w:left w:val="nil"/>
              <w:bottom w:val="single" w:sz="8" w:space="0" w:color="D9D9D9"/>
              <w:right w:val="single" w:sz="8" w:space="0" w:color="D9D9D9"/>
            </w:tcBorders>
            <w:shd w:val="clear" w:color="auto" w:fill="auto"/>
            <w:vAlign w:val="bottom"/>
          </w:tcPr>
          <w:p w14:paraId="51E8A531" w14:textId="77777777" w:rsidR="00894A3C" w:rsidRPr="00894A3C" w:rsidRDefault="00894A3C" w:rsidP="00894A3C">
            <w:pPr>
              <w:spacing w:after="0" w:line="240" w:lineRule="auto"/>
              <w:jc w:val="right"/>
              <w:rPr>
                <w:b/>
              </w:rPr>
            </w:pPr>
            <w:r w:rsidRPr="00894A3C">
              <w:rPr>
                <w:b/>
              </w:rPr>
              <w:t>132</w:t>
            </w:r>
          </w:p>
        </w:tc>
        <w:tc>
          <w:tcPr>
            <w:tcW w:w="460" w:type="pct"/>
            <w:tcBorders>
              <w:top w:val="nil"/>
              <w:left w:val="nil"/>
              <w:bottom w:val="single" w:sz="8" w:space="0" w:color="D9D9D9"/>
              <w:right w:val="single" w:sz="8" w:space="0" w:color="D9D9D9"/>
            </w:tcBorders>
            <w:shd w:val="clear" w:color="auto" w:fill="auto"/>
            <w:vAlign w:val="bottom"/>
          </w:tcPr>
          <w:p w14:paraId="6516379E" w14:textId="77777777" w:rsidR="00894A3C" w:rsidRPr="00894A3C" w:rsidRDefault="00894A3C" w:rsidP="00894A3C">
            <w:pPr>
              <w:spacing w:after="0" w:line="240" w:lineRule="auto"/>
              <w:jc w:val="right"/>
              <w:rPr>
                <w:rFonts w:ascii="Calibri" w:eastAsia="Times New Roman" w:hAnsi="Calibri" w:cs="Calibri"/>
                <w:b/>
                <w:bCs/>
                <w:color w:val="000000"/>
                <w:lang w:eastAsia="tr-TR"/>
              </w:rPr>
            </w:pPr>
            <w:r w:rsidRPr="00894A3C">
              <w:rPr>
                <w:rFonts w:ascii="Calibri" w:eastAsia="Times New Roman" w:hAnsi="Calibri" w:cs="Calibri"/>
                <w:b/>
                <w:bCs/>
                <w:color w:val="000000"/>
                <w:lang w:eastAsia="tr-TR"/>
              </w:rPr>
              <w:t>0,41</w:t>
            </w:r>
          </w:p>
        </w:tc>
      </w:tr>
      <w:tr w:rsidR="00894A3C" w:rsidRPr="00894A3C" w14:paraId="78C8D87C" w14:textId="77777777" w:rsidTr="00894A3C">
        <w:trPr>
          <w:trHeight w:val="20"/>
          <w:jc w:val="center"/>
        </w:trPr>
        <w:tc>
          <w:tcPr>
            <w:tcW w:w="491" w:type="pct"/>
            <w:tcBorders>
              <w:top w:val="nil"/>
              <w:left w:val="single" w:sz="8" w:space="0" w:color="D9D9D9"/>
              <w:bottom w:val="single" w:sz="8" w:space="0" w:color="D9D9D9"/>
              <w:right w:val="single" w:sz="8" w:space="0" w:color="D9D9D9"/>
            </w:tcBorders>
            <w:shd w:val="clear" w:color="auto" w:fill="auto"/>
            <w:vAlign w:val="center"/>
          </w:tcPr>
          <w:p w14:paraId="3528A507" w14:textId="77777777" w:rsidR="00894A3C" w:rsidRPr="00894A3C" w:rsidRDefault="00894A3C" w:rsidP="00894A3C">
            <w:pPr>
              <w:spacing w:after="0" w:line="240" w:lineRule="auto"/>
              <w:rPr>
                <w:rFonts w:ascii="Calibri" w:eastAsia="Times New Roman" w:hAnsi="Calibri" w:cs="Calibri"/>
                <w:color w:val="000000"/>
                <w:lang w:eastAsia="tr-TR"/>
              </w:rPr>
            </w:pPr>
            <w:r w:rsidRPr="00894A3C">
              <w:rPr>
                <w:rFonts w:ascii="Calibri" w:eastAsia="Times New Roman" w:hAnsi="Calibri" w:cs="Calibri"/>
                <w:color w:val="000000"/>
                <w:lang w:eastAsia="tr-TR"/>
              </w:rPr>
              <w:t>SGD</w:t>
            </w:r>
          </w:p>
        </w:tc>
        <w:tc>
          <w:tcPr>
            <w:tcW w:w="363" w:type="pct"/>
            <w:tcBorders>
              <w:top w:val="nil"/>
              <w:left w:val="nil"/>
              <w:bottom w:val="single" w:sz="8" w:space="0" w:color="D9D9D9"/>
              <w:right w:val="single" w:sz="8" w:space="0" w:color="D9D9D9"/>
            </w:tcBorders>
            <w:shd w:val="clear" w:color="auto" w:fill="auto"/>
            <w:vAlign w:val="center"/>
          </w:tcPr>
          <w:p w14:paraId="734FC193"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24</w:t>
            </w:r>
          </w:p>
        </w:tc>
        <w:tc>
          <w:tcPr>
            <w:tcW w:w="363" w:type="pct"/>
            <w:tcBorders>
              <w:top w:val="nil"/>
              <w:left w:val="nil"/>
              <w:bottom w:val="single" w:sz="8" w:space="0" w:color="D9D9D9"/>
              <w:right w:val="single" w:sz="8" w:space="0" w:color="D9D9D9"/>
            </w:tcBorders>
            <w:shd w:val="clear" w:color="auto" w:fill="auto"/>
            <w:noWrap/>
            <w:vAlign w:val="center"/>
          </w:tcPr>
          <w:p w14:paraId="55C221E8"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0,25</w:t>
            </w:r>
          </w:p>
        </w:tc>
        <w:tc>
          <w:tcPr>
            <w:tcW w:w="363" w:type="pct"/>
            <w:tcBorders>
              <w:top w:val="nil"/>
              <w:left w:val="nil"/>
              <w:bottom w:val="single" w:sz="8" w:space="0" w:color="D9D9D9"/>
              <w:right w:val="single" w:sz="8" w:space="0" w:color="D9D9D9"/>
            </w:tcBorders>
            <w:shd w:val="clear" w:color="auto" w:fill="auto"/>
            <w:vAlign w:val="center"/>
          </w:tcPr>
          <w:p w14:paraId="139BA4B7"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18</w:t>
            </w:r>
          </w:p>
        </w:tc>
        <w:tc>
          <w:tcPr>
            <w:tcW w:w="363" w:type="pct"/>
            <w:tcBorders>
              <w:top w:val="nil"/>
              <w:left w:val="nil"/>
              <w:bottom w:val="single" w:sz="8" w:space="0" w:color="D9D9D9"/>
              <w:right w:val="single" w:sz="8" w:space="0" w:color="D9D9D9"/>
            </w:tcBorders>
            <w:shd w:val="clear" w:color="auto" w:fill="auto"/>
            <w:noWrap/>
            <w:vAlign w:val="center"/>
          </w:tcPr>
          <w:p w14:paraId="550AB561"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0,34</w:t>
            </w:r>
          </w:p>
        </w:tc>
        <w:tc>
          <w:tcPr>
            <w:tcW w:w="363" w:type="pct"/>
            <w:tcBorders>
              <w:top w:val="nil"/>
              <w:left w:val="nil"/>
              <w:bottom w:val="single" w:sz="8" w:space="0" w:color="D9D9D9"/>
              <w:right w:val="single" w:sz="8" w:space="0" w:color="D9D9D9"/>
            </w:tcBorders>
            <w:shd w:val="clear" w:color="auto" w:fill="auto"/>
            <w:noWrap/>
            <w:vAlign w:val="center"/>
          </w:tcPr>
          <w:p w14:paraId="16DD2D39"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17</w:t>
            </w:r>
          </w:p>
        </w:tc>
        <w:tc>
          <w:tcPr>
            <w:tcW w:w="363" w:type="pct"/>
            <w:tcBorders>
              <w:top w:val="nil"/>
              <w:left w:val="nil"/>
              <w:bottom w:val="single" w:sz="8" w:space="0" w:color="D9D9D9"/>
              <w:right w:val="single" w:sz="8" w:space="0" w:color="D9D9D9"/>
            </w:tcBorders>
            <w:shd w:val="clear" w:color="auto" w:fill="auto"/>
            <w:noWrap/>
            <w:vAlign w:val="bottom"/>
          </w:tcPr>
          <w:p w14:paraId="3E1C9529"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0,37</w:t>
            </w:r>
          </w:p>
        </w:tc>
        <w:tc>
          <w:tcPr>
            <w:tcW w:w="363" w:type="pct"/>
            <w:tcBorders>
              <w:top w:val="nil"/>
              <w:left w:val="nil"/>
              <w:bottom w:val="single" w:sz="8" w:space="0" w:color="D9D9D9"/>
              <w:right w:val="single" w:sz="8" w:space="0" w:color="D9D9D9"/>
            </w:tcBorders>
            <w:shd w:val="clear" w:color="auto" w:fill="auto"/>
            <w:noWrap/>
            <w:vAlign w:val="center"/>
          </w:tcPr>
          <w:p w14:paraId="69931B3C"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15</w:t>
            </w:r>
          </w:p>
        </w:tc>
        <w:tc>
          <w:tcPr>
            <w:tcW w:w="363" w:type="pct"/>
            <w:tcBorders>
              <w:top w:val="nil"/>
              <w:left w:val="nil"/>
              <w:bottom w:val="single" w:sz="8" w:space="0" w:color="D9D9D9"/>
              <w:right w:val="single" w:sz="8" w:space="0" w:color="D9D9D9"/>
            </w:tcBorders>
            <w:shd w:val="clear" w:color="auto" w:fill="auto"/>
            <w:noWrap/>
            <w:vAlign w:val="bottom"/>
          </w:tcPr>
          <w:p w14:paraId="4B88C8BA"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0,2</w:t>
            </w:r>
          </w:p>
        </w:tc>
        <w:tc>
          <w:tcPr>
            <w:tcW w:w="363" w:type="pct"/>
            <w:tcBorders>
              <w:top w:val="nil"/>
              <w:left w:val="nil"/>
              <w:bottom w:val="single" w:sz="8" w:space="0" w:color="D9D9D9"/>
              <w:right w:val="single" w:sz="8" w:space="0" w:color="D9D9D9"/>
            </w:tcBorders>
            <w:shd w:val="clear" w:color="auto" w:fill="auto"/>
            <w:noWrap/>
            <w:vAlign w:val="center"/>
          </w:tcPr>
          <w:p w14:paraId="5989720B"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18</w:t>
            </w:r>
          </w:p>
        </w:tc>
        <w:tc>
          <w:tcPr>
            <w:tcW w:w="364" w:type="pct"/>
            <w:tcBorders>
              <w:top w:val="nil"/>
              <w:left w:val="nil"/>
              <w:bottom w:val="single" w:sz="8" w:space="0" w:color="D9D9D9"/>
              <w:right w:val="single" w:sz="8" w:space="0" w:color="D9D9D9"/>
            </w:tcBorders>
            <w:shd w:val="clear" w:color="auto" w:fill="auto"/>
            <w:noWrap/>
            <w:vAlign w:val="bottom"/>
          </w:tcPr>
          <w:p w14:paraId="08E8EE1C"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0,35</w:t>
            </w:r>
          </w:p>
        </w:tc>
        <w:tc>
          <w:tcPr>
            <w:tcW w:w="418" w:type="pct"/>
            <w:tcBorders>
              <w:top w:val="nil"/>
              <w:left w:val="nil"/>
              <w:bottom w:val="single" w:sz="8" w:space="0" w:color="D9D9D9"/>
              <w:right w:val="single" w:sz="8" w:space="0" w:color="D9D9D9"/>
            </w:tcBorders>
            <w:shd w:val="clear" w:color="auto" w:fill="auto"/>
            <w:vAlign w:val="bottom"/>
          </w:tcPr>
          <w:p w14:paraId="6B03610A" w14:textId="77777777" w:rsidR="00894A3C" w:rsidRPr="00894A3C" w:rsidRDefault="00894A3C" w:rsidP="00894A3C">
            <w:pPr>
              <w:spacing w:after="0" w:line="240" w:lineRule="auto"/>
              <w:jc w:val="right"/>
              <w:rPr>
                <w:b/>
              </w:rPr>
            </w:pPr>
            <w:r w:rsidRPr="00894A3C">
              <w:rPr>
                <w:b/>
              </w:rPr>
              <w:t>92</w:t>
            </w:r>
          </w:p>
        </w:tc>
        <w:tc>
          <w:tcPr>
            <w:tcW w:w="460" w:type="pct"/>
            <w:tcBorders>
              <w:top w:val="nil"/>
              <w:left w:val="nil"/>
              <w:bottom w:val="single" w:sz="8" w:space="0" w:color="D9D9D9"/>
              <w:right w:val="single" w:sz="8" w:space="0" w:color="D9D9D9"/>
            </w:tcBorders>
            <w:shd w:val="clear" w:color="auto" w:fill="auto"/>
            <w:vAlign w:val="bottom"/>
          </w:tcPr>
          <w:p w14:paraId="7BAEB7A9" w14:textId="77777777" w:rsidR="00894A3C" w:rsidRPr="00894A3C" w:rsidRDefault="00894A3C" w:rsidP="00894A3C">
            <w:pPr>
              <w:spacing w:after="0" w:line="240" w:lineRule="auto"/>
              <w:jc w:val="right"/>
              <w:rPr>
                <w:rFonts w:ascii="Calibri" w:eastAsia="Times New Roman" w:hAnsi="Calibri" w:cs="Calibri"/>
                <w:b/>
                <w:bCs/>
                <w:color w:val="000000"/>
                <w:lang w:eastAsia="tr-TR"/>
              </w:rPr>
            </w:pPr>
            <w:r w:rsidRPr="00894A3C">
              <w:rPr>
                <w:rFonts w:ascii="Calibri" w:eastAsia="Times New Roman" w:hAnsi="Calibri" w:cs="Calibri"/>
                <w:b/>
                <w:bCs/>
                <w:color w:val="000000"/>
                <w:lang w:eastAsia="tr-TR"/>
              </w:rPr>
              <w:t>0,29</w:t>
            </w:r>
          </w:p>
        </w:tc>
      </w:tr>
      <w:tr w:rsidR="00894A3C" w:rsidRPr="00894A3C" w14:paraId="743F1576" w14:textId="77777777" w:rsidTr="00894A3C">
        <w:trPr>
          <w:trHeight w:val="20"/>
          <w:jc w:val="center"/>
        </w:trPr>
        <w:tc>
          <w:tcPr>
            <w:tcW w:w="491" w:type="pct"/>
            <w:tcBorders>
              <w:top w:val="nil"/>
              <w:left w:val="single" w:sz="8" w:space="0" w:color="D9D9D9"/>
              <w:bottom w:val="single" w:sz="8" w:space="0" w:color="D9D9D9"/>
              <w:right w:val="single" w:sz="8" w:space="0" w:color="D9D9D9"/>
            </w:tcBorders>
            <w:shd w:val="clear" w:color="auto" w:fill="auto"/>
            <w:vAlign w:val="center"/>
          </w:tcPr>
          <w:p w14:paraId="4C260442" w14:textId="77777777" w:rsidR="00894A3C" w:rsidRPr="00894A3C" w:rsidRDefault="00894A3C" w:rsidP="00894A3C">
            <w:pPr>
              <w:spacing w:after="0" w:line="240" w:lineRule="auto"/>
              <w:rPr>
                <w:rFonts w:ascii="Calibri" w:eastAsia="Times New Roman" w:hAnsi="Calibri" w:cs="Calibri"/>
                <w:color w:val="000000"/>
                <w:lang w:eastAsia="tr-TR"/>
              </w:rPr>
            </w:pPr>
            <w:r w:rsidRPr="00894A3C">
              <w:rPr>
                <w:rFonts w:ascii="Calibri" w:eastAsia="Times New Roman" w:hAnsi="Calibri" w:cs="Calibri"/>
                <w:color w:val="000000"/>
                <w:lang w:eastAsia="tr-TR"/>
              </w:rPr>
              <w:t>LPG</w:t>
            </w:r>
          </w:p>
        </w:tc>
        <w:tc>
          <w:tcPr>
            <w:tcW w:w="363" w:type="pct"/>
            <w:tcBorders>
              <w:top w:val="nil"/>
              <w:left w:val="nil"/>
              <w:bottom w:val="single" w:sz="8" w:space="0" w:color="D9D9D9"/>
              <w:right w:val="single" w:sz="8" w:space="0" w:color="D9D9D9"/>
            </w:tcBorders>
            <w:shd w:val="clear" w:color="auto" w:fill="auto"/>
            <w:vAlign w:val="center"/>
          </w:tcPr>
          <w:p w14:paraId="697E3183"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79</w:t>
            </w:r>
          </w:p>
        </w:tc>
        <w:tc>
          <w:tcPr>
            <w:tcW w:w="363" w:type="pct"/>
            <w:tcBorders>
              <w:top w:val="nil"/>
              <w:left w:val="nil"/>
              <w:bottom w:val="single" w:sz="8" w:space="0" w:color="D9D9D9"/>
              <w:right w:val="single" w:sz="8" w:space="0" w:color="D9D9D9"/>
            </w:tcBorders>
            <w:shd w:val="clear" w:color="auto" w:fill="auto"/>
            <w:noWrap/>
            <w:vAlign w:val="center"/>
          </w:tcPr>
          <w:p w14:paraId="293E711E"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0,82</w:t>
            </w:r>
          </w:p>
        </w:tc>
        <w:tc>
          <w:tcPr>
            <w:tcW w:w="363" w:type="pct"/>
            <w:tcBorders>
              <w:top w:val="nil"/>
              <w:left w:val="nil"/>
              <w:bottom w:val="single" w:sz="8" w:space="0" w:color="D9D9D9"/>
              <w:right w:val="single" w:sz="8" w:space="0" w:color="D9D9D9"/>
            </w:tcBorders>
            <w:shd w:val="clear" w:color="auto" w:fill="auto"/>
            <w:vAlign w:val="center"/>
          </w:tcPr>
          <w:p w14:paraId="5B864F68"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77</w:t>
            </w:r>
          </w:p>
        </w:tc>
        <w:tc>
          <w:tcPr>
            <w:tcW w:w="363" w:type="pct"/>
            <w:tcBorders>
              <w:top w:val="nil"/>
              <w:left w:val="nil"/>
              <w:bottom w:val="single" w:sz="8" w:space="0" w:color="D9D9D9"/>
              <w:right w:val="single" w:sz="8" w:space="0" w:color="D9D9D9"/>
            </w:tcBorders>
            <w:shd w:val="clear" w:color="auto" w:fill="auto"/>
            <w:noWrap/>
            <w:vAlign w:val="center"/>
          </w:tcPr>
          <w:p w14:paraId="4AA13BDF"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1,48</w:t>
            </w:r>
          </w:p>
        </w:tc>
        <w:tc>
          <w:tcPr>
            <w:tcW w:w="363" w:type="pct"/>
            <w:tcBorders>
              <w:top w:val="nil"/>
              <w:left w:val="nil"/>
              <w:bottom w:val="single" w:sz="8" w:space="0" w:color="D9D9D9"/>
              <w:right w:val="single" w:sz="8" w:space="0" w:color="D9D9D9"/>
            </w:tcBorders>
            <w:shd w:val="clear" w:color="auto" w:fill="auto"/>
            <w:noWrap/>
            <w:vAlign w:val="center"/>
          </w:tcPr>
          <w:p w14:paraId="2682B3DA"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38</w:t>
            </w:r>
          </w:p>
        </w:tc>
        <w:tc>
          <w:tcPr>
            <w:tcW w:w="363" w:type="pct"/>
            <w:tcBorders>
              <w:top w:val="nil"/>
              <w:left w:val="nil"/>
              <w:bottom w:val="single" w:sz="8" w:space="0" w:color="D9D9D9"/>
              <w:right w:val="single" w:sz="8" w:space="0" w:color="D9D9D9"/>
            </w:tcBorders>
            <w:shd w:val="clear" w:color="auto" w:fill="auto"/>
            <w:noWrap/>
            <w:vAlign w:val="bottom"/>
          </w:tcPr>
          <w:p w14:paraId="7F3A83DD"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0,83</w:t>
            </w:r>
          </w:p>
        </w:tc>
        <w:tc>
          <w:tcPr>
            <w:tcW w:w="363" w:type="pct"/>
            <w:tcBorders>
              <w:top w:val="nil"/>
              <w:left w:val="nil"/>
              <w:bottom w:val="single" w:sz="8" w:space="0" w:color="D9D9D9"/>
              <w:right w:val="single" w:sz="8" w:space="0" w:color="D9D9D9"/>
            </w:tcBorders>
            <w:shd w:val="clear" w:color="auto" w:fill="auto"/>
            <w:noWrap/>
            <w:vAlign w:val="center"/>
          </w:tcPr>
          <w:p w14:paraId="02E1B50B"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17</w:t>
            </w:r>
          </w:p>
        </w:tc>
        <w:tc>
          <w:tcPr>
            <w:tcW w:w="363" w:type="pct"/>
            <w:tcBorders>
              <w:top w:val="nil"/>
              <w:left w:val="nil"/>
              <w:bottom w:val="single" w:sz="8" w:space="0" w:color="D9D9D9"/>
              <w:right w:val="single" w:sz="8" w:space="0" w:color="D9D9D9"/>
            </w:tcBorders>
            <w:shd w:val="clear" w:color="auto" w:fill="auto"/>
            <w:noWrap/>
            <w:vAlign w:val="bottom"/>
          </w:tcPr>
          <w:p w14:paraId="27EB0EEF"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0,23</w:t>
            </w:r>
          </w:p>
        </w:tc>
        <w:tc>
          <w:tcPr>
            <w:tcW w:w="363" w:type="pct"/>
            <w:tcBorders>
              <w:top w:val="nil"/>
              <w:left w:val="nil"/>
              <w:bottom w:val="single" w:sz="8" w:space="0" w:color="D9D9D9"/>
              <w:right w:val="single" w:sz="8" w:space="0" w:color="D9D9D9"/>
            </w:tcBorders>
            <w:shd w:val="clear" w:color="auto" w:fill="auto"/>
            <w:noWrap/>
            <w:vAlign w:val="center"/>
          </w:tcPr>
          <w:p w14:paraId="7FA8B98B"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16</w:t>
            </w:r>
          </w:p>
        </w:tc>
        <w:tc>
          <w:tcPr>
            <w:tcW w:w="364" w:type="pct"/>
            <w:tcBorders>
              <w:top w:val="nil"/>
              <w:left w:val="nil"/>
              <w:bottom w:val="single" w:sz="8" w:space="0" w:color="D9D9D9"/>
              <w:right w:val="single" w:sz="8" w:space="0" w:color="D9D9D9"/>
            </w:tcBorders>
            <w:shd w:val="clear" w:color="auto" w:fill="auto"/>
            <w:noWrap/>
            <w:vAlign w:val="bottom"/>
          </w:tcPr>
          <w:p w14:paraId="06E30EB9"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0,31</w:t>
            </w:r>
          </w:p>
        </w:tc>
        <w:tc>
          <w:tcPr>
            <w:tcW w:w="418" w:type="pct"/>
            <w:tcBorders>
              <w:top w:val="nil"/>
              <w:left w:val="nil"/>
              <w:bottom w:val="single" w:sz="8" w:space="0" w:color="D9D9D9"/>
              <w:right w:val="single" w:sz="8" w:space="0" w:color="D9D9D9"/>
            </w:tcBorders>
            <w:shd w:val="clear" w:color="auto" w:fill="auto"/>
            <w:vAlign w:val="bottom"/>
          </w:tcPr>
          <w:p w14:paraId="4FB8812F" w14:textId="77777777" w:rsidR="00894A3C" w:rsidRPr="00894A3C" w:rsidRDefault="00894A3C" w:rsidP="00894A3C">
            <w:pPr>
              <w:spacing w:after="0" w:line="240" w:lineRule="auto"/>
              <w:jc w:val="right"/>
              <w:rPr>
                <w:b/>
              </w:rPr>
            </w:pPr>
            <w:r w:rsidRPr="00894A3C">
              <w:rPr>
                <w:b/>
              </w:rPr>
              <w:t>227</w:t>
            </w:r>
          </w:p>
        </w:tc>
        <w:tc>
          <w:tcPr>
            <w:tcW w:w="460" w:type="pct"/>
            <w:tcBorders>
              <w:top w:val="nil"/>
              <w:left w:val="nil"/>
              <w:bottom w:val="single" w:sz="8" w:space="0" w:color="D9D9D9"/>
              <w:right w:val="single" w:sz="8" w:space="0" w:color="D9D9D9"/>
            </w:tcBorders>
            <w:shd w:val="clear" w:color="auto" w:fill="auto"/>
            <w:vAlign w:val="bottom"/>
          </w:tcPr>
          <w:p w14:paraId="7440C7D4" w14:textId="77777777" w:rsidR="00894A3C" w:rsidRPr="00894A3C" w:rsidRDefault="00894A3C" w:rsidP="00894A3C">
            <w:pPr>
              <w:spacing w:after="0" w:line="240" w:lineRule="auto"/>
              <w:jc w:val="right"/>
              <w:rPr>
                <w:rFonts w:ascii="Calibri" w:eastAsia="Times New Roman" w:hAnsi="Calibri" w:cs="Calibri"/>
                <w:b/>
                <w:bCs/>
                <w:color w:val="000000"/>
                <w:lang w:eastAsia="tr-TR"/>
              </w:rPr>
            </w:pPr>
            <w:r w:rsidRPr="00894A3C">
              <w:rPr>
                <w:rFonts w:ascii="Calibri" w:eastAsia="Times New Roman" w:hAnsi="Calibri" w:cs="Calibri"/>
                <w:b/>
                <w:bCs/>
                <w:color w:val="000000"/>
                <w:lang w:eastAsia="tr-TR"/>
              </w:rPr>
              <w:t>0,71</w:t>
            </w:r>
          </w:p>
        </w:tc>
      </w:tr>
      <w:tr w:rsidR="00894A3C" w:rsidRPr="00894A3C" w14:paraId="3AEF4F5B" w14:textId="77777777" w:rsidTr="00894A3C">
        <w:trPr>
          <w:trHeight w:val="20"/>
          <w:jc w:val="center"/>
        </w:trPr>
        <w:tc>
          <w:tcPr>
            <w:tcW w:w="491" w:type="pct"/>
            <w:tcBorders>
              <w:top w:val="nil"/>
              <w:left w:val="single" w:sz="8" w:space="0" w:color="D9D9D9"/>
              <w:bottom w:val="single" w:sz="8" w:space="0" w:color="D9D9D9"/>
              <w:right w:val="single" w:sz="8" w:space="0" w:color="D9D9D9"/>
            </w:tcBorders>
            <w:shd w:val="clear" w:color="auto" w:fill="auto"/>
            <w:vAlign w:val="center"/>
          </w:tcPr>
          <w:p w14:paraId="33273D0A" w14:textId="77777777" w:rsidR="00894A3C" w:rsidRPr="00894A3C" w:rsidRDefault="00894A3C" w:rsidP="00894A3C">
            <w:pPr>
              <w:spacing w:after="0" w:line="240" w:lineRule="auto"/>
              <w:rPr>
                <w:rFonts w:ascii="Calibri" w:eastAsia="Times New Roman" w:hAnsi="Calibri" w:cs="Calibri"/>
                <w:color w:val="000000"/>
                <w:lang w:eastAsia="tr-TR"/>
              </w:rPr>
            </w:pPr>
            <w:r w:rsidRPr="00894A3C">
              <w:rPr>
                <w:rFonts w:ascii="Calibri" w:eastAsia="Times New Roman" w:hAnsi="Calibri" w:cs="Calibri"/>
                <w:color w:val="000000"/>
                <w:lang w:eastAsia="tr-TR"/>
              </w:rPr>
              <w:t>BİD</w:t>
            </w:r>
          </w:p>
        </w:tc>
        <w:tc>
          <w:tcPr>
            <w:tcW w:w="363" w:type="pct"/>
            <w:tcBorders>
              <w:top w:val="nil"/>
              <w:left w:val="nil"/>
              <w:bottom w:val="single" w:sz="8" w:space="0" w:color="D9D9D9"/>
              <w:right w:val="single" w:sz="8" w:space="0" w:color="D9D9D9"/>
            </w:tcBorders>
            <w:shd w:val="clear" w:color="auto" w:fill="auto"/>
            <w:vAlign w:val="center"/>
          </w:tcPr>
          <w:p w14:paraId="035D7523"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0</w:t>
            </w:r>
          </w:p>
        </w:tc>
        <w:tc>
          <w:tcPr>
            <w:tcW w:w="363" w:type="pct"/>
            <w:tcBorders>
              <w:top w:val="nil"/>
              <w:left w:val="nil"/>
              <w:bottom w:val="single" w:sz="8" w:space="0" w:color="D9D9D9"/>
              <w:right w:val="single" w:sz="8" w:space="0" w:color="D9D9D9"/>
            </w:tcBorders>
            <w:shd w:val="clear" w:color="auto" w:fill="auto"/>
            <w:noWrap/>
            <w:vAlign w:val="center"/>
          </w:tcPr>
          <w:p w14:paraId="336384A6"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0</w:t>
            </w:r>
          </w:p>
        </w:tc>
        <w:tc>
          <w:tcPr>
            <w:tcW w:w="363" w:type="pct"/>
            <w:tcBorders>
              <w:top w:val="nil"/>
              <w:left w:val="nil"/>
              <w:bottom w:val="single" w:sz="8" w:space="0" w:color="D9D9D9"/>
              <w:right w:val="single" w:sz="8" w:space="0" w:color="D9D9D9"/>
            </w:tcBorders>
            <w:shd w:val="clear" w:color="auto" w:fill="auto"/>
            <w:vAlign w:val="center"/>
          </w:tcPr>
          <w:p w14:paraId="0BE4B258"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1</w:t>
            </w:r>
          </w:p>
        </w:tc>
        <w:tc>
          <w:tcPr>
            <w:tcW w:w="363" w:type="pct"/>
            <w:tcBorders>
              <w:top w:val="nil"/>
              <w:left w:val="nil"/>
              <w:bottom w:val="single" w:sz="8" w:space="0" w:color="D9D9D9"/>
              <w:right w:val="single" w:sz="8" w:space="0" w:color="D9D9D9"/>
            </w:tcBorders>
            <w:shd w:val="clear" w:color="auto" w:fill="auto"/>
            <w:noWrap/>
            <w:vAlign w:val="center"/>
          </w:tcPr>
          <w:p w14:paraId="5F9A8BDF"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0,02</w:t>
            </w:r>
          </w:p>
        </w:tc>
        <w:tc>
          <w:tcPr>
            <w:tcW w:w="363" w:type="pct"/>
            <w:tcBorders>
              <w:top w:val="nil"/>
              <w:left w:val="nil"/>
              <w:bottom w:val="single" w:sz="8" w:space="0" w:color="D9D9D9"/>
              <w:right w:val="single" w:sz="8" w:space="0" w:color="D9D9D9"/>
            </w:tcBorders>
            <w:shd w:val="clear" w:color="auto" w:fill="auto"/>
            <w:noWrap/>
            <w:vAlign w:val="center"/>
          </w:tcPr>
          <w:p w14:paraId="46F4C2CD"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0</w:t>
            </w:r>
          </w:p>
        </w:tc>
        <w:tc>
          <w:tcPr>
            <w:tcW w:w="363" w:type="pct"/>
            <w:tcBorders>
              <w:top w:val="nil"/>
              <w:left w:val="nil"/>
              <w:bottom w:val="single" w:sz="8" w:space="0" w:color="D9D9D9"/>
              <w:right w:val="single" w:sz="8" w:space="0" w:color="D9D9D9"/>
            </w:tcBorders>
            <w:shd w:val="clear" w:color="auto" w:fill="auto"/>
            <w:noWrap/>
            <w:vAlign w:val="bottom"/>
          </w:tcPr>
          <w:p w14:paraId="36E215AE"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0</w:t>
            </w:r>
          </w:p>
        </w:tc>
        <w:tc>
          <w:tcPr>
            <w:tcW w:w="363" w:type="pct"/>
            <w:tcBorders>
              <w:top w:val="nil"/>
              <w:left w:val="nil"/>
              <w:bottom w:val="single" w:sz="8" w:space="0" w:color="D9D9D9"/>
              <w:right w:val="single" w:sz="8" w:space="0" w:color="D9D9D9"/>
            </w:tcBorders>
            <w:shd w:val="clear" w:color="auto" w:fill="auto"/>
            <w:noWrap/>
            <w:vAlign w:val="center"/>
          </w:tcPr>
          <w:p w14:paraId="1A667A92"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2</w:t>
            </w:r>
          </w:p>
        </w:tc>
        <w:tc>
          <w:tcPr>
            <w:tcW w:w="363" w:type="pct"/>
            <w:tcBorders>
              <w:top w:val="nil"/>
              <w:left w:val="nil"/>
              <w:bottom w:val="single" w:sz="8" w:space="0" w:color="D9D9D9"/>
              <w:right w:val="single" w:sz="8" w:space="0" w:color="D9D9D9"/>
            </w:tcBorders>
            <w:shd w:val="clear" w:color="auto" w:fill="auto"/>
            <w:noWrap/>
            <w:vAlign w:val="bottom"/>
          </w:tcPr>
          <w:p w14:paraId="6878FC04"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0,03</w:t>
            </w:r>
          </w:p>
        </w:tc>
        <w:tc>
          <w:tcPr>
            <w:tcW w:w="363" w:type="pct"/>
            <w:tcBorders>
              <w:top w:val="nil"/>
              <w:left w:val="nil"/>
              <w:bottom w:val="single" w:sz="8" w:space="0" w:color="D9D9D9"/>
              <w:right w:val="single" w:sz="8" w:space="0" w:color="D9D9D9"/>
            </w:tcBorders>
            <w:shd w:val="clear" w:color="auto" w:fill="auto"/>
            <w:noWrap/>
            <w:vAlign w:val="center"/>
          </w:tcPr>
          <w:p w14:paraId="04692283"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2</w:t>
            </w:r>
          </w:p>
        </w:tc>
        <w:tc>
          <w:tcPr>
            <w:tcW w:w="364" w:type="pct"/>
            <w:tcBorders>
              <w:top w:val="nil"/>
              <w:left w:val="nil"/>
              <w:bottom w:val="single" w:sz="8" w:space="0" w:color="D9D9D9"/>
              <w:right w:val="single" w:sz="8" w:space="0" w:color="D9D9D9"/>
            </w:tcBorders>
            <w:shd w:val="clear" w:color="auto" w:fill="auto"/>
            <w:noWrap/>
            <w:vAlign w:val="bottom"/>
          </w:tcPr>
          <w:p w14:paraId="505DB522"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0,04</w:t>
            </w:r>
          </w:p>
        </w:tc>
        <w:tc>
          <w:tcPr>
            <w:tcW w:w="418" w:type="pct"/>
            <w:tcBorders>
              <w:top w:val="nil"/>
              <w:left w:val="nil"/>
              <w:bottom w:val="single" w:sz="8" w:space="0" w:color="D9D9D9"/>
              <w:right w:val="single" w:sz="8" w:space="0" w:color="D9D9D9"/>
            </w:tcBorders>
            <w:shd w:val="clear" w:color="auto" w:fill="auto"/>
            <w:vAlign w:val="bottom"/>
          </w:tcPr>
          <w:p w14:paraId="35FAC660" w14:textId="77777777" w:rsidR="00894A3C" w:rsidRPr="00894A3C" w:rsidRDefault="00894A3C" w:rsidP="00894A3C">
            <w:pPr>
              <w:spacing w:after="0" w:line="240" w:lineRule="auto"/>
              <w:jc w:val="right"/>
              <w:rPr>
                <w:b/>
              </w:rPr>
            </w:pPr>
            <w:r w:rsidRPr="00894A3C">
              <w:rPr>
                <w:b/>
              </w:rPr>
              <w:t>5</w:t>
            </w:r>
          </w:p>
        </w:tc>
        <w:tc>
          <w:tcPr>
            <w:tcW w:w="460" w:type="pct"/>
            <w:tcBorders>
              <w:top w:val="nil"/>
              <w:left w:val="nil"/>
              <w:bottom w:val="single" w:sz="8" w:space="0" w:color="D9D9D9"/>
              <w:right w:val="single" w:sz="8" w:space="0" w:color="D9D9D9"/>
            </w:tcBorders>
            <w:shd w:val="clear" w:color="auto" w:fill="auto"/>
            <w:vAlign w:val="bottom"/>
          </w:tcPr>
          <w:p w14:paraId="70990F5D" w14:textId="77777777" w:rsidR="00894A3C" w:rsidRPr="00894A3C" w:rsidRDefault="00894A3C" w:rsidP="00894A3C">
            <w:pPr>
              <w:spacing w:after="0" w:line="240" w:lineRule="auto"/>
              <w:jc w:val="right"/>
              <w:rPr>
                <w:rFonts w:ascii="Calibri" w:eastAsia="Times New Roman" w:hAnsi="Calibri" w:cs="Calibri"/>
                <w:b/>
                <w:bCs/>
                <w:color w:val="000000"/>
                <w:lang w:eastAsia="tr-TR"/>
              </w:rPr>
            </w:pPr>
            <w:r w:rsidRPr="00894A3C">
              <w:rPr>
                <w:rFonts w:ascii="Calibri" w:eastAsia="Times New Roman" w:hAnsi="Calibri" w:cs="Calibri"/>
                <w:b/>
                <w:bCs/>
                <w:color w:val="000000"/>
                <w:lang w:eastAsia="tr-TR"/>
              </w:rPr>
              <w:t>0,02</w:t>
            </w:r>
          </w:p>
        </w:tc>
      </w:tr>
      <w:tr w:rsidR="00894A3C" w:rsidRPr="00894A3C" w14:paraId="407A5268" w14:textId="77777777" w:rsidTr="00894A3C">
        <w:trPr>
          <w:trHeight w:val="20"/>
          <w:jc w:val="center"/>
        </w:trPr>
        <w:tc>
          <w:tcPr>
            <w:tcW w:w="491" w:type="pct"/>
            <w:tcBorders>
              <w:top w:val="nil"/>
              <w:left w:val="single" w:sz="8" w:space="0" w:color="D9D9D9"/>
              <w:bottom w:val="single" w:sz="8" w:space="0" w:color="D9D9D9"/>
              <w:right w:val="single" w:sz="8" w:space="0" w:color="D9D9D9"/>
            </w:tcBorders>
            <w:shd w:val="clear" w:color="auto" w:fill="auto"/>
            <w:vAlign w:val="center"/>
          </w:tcPr>
          <w:p w14:paraId="09C4378B" w14:textId="77777777" w:rsidR="00894A3C" w:rsidRPr="00894A3C" w:rsidRDefault="00894A3C" w:rsidP="00894A3C">
            <w:pPr>
              <w:spacing w:after="0" w:line="240" w:lineRule="auto"/>
              <w:rPr>
                <w:rFonts w:ascii="Calibri" w:eastAsia="Times New Roman" w:hAnsi="Calibri" w:cs="Calibri"/>
                <w:color w:val="000000"/>
                <w:lang w:eastAsia="tr-TR"/>
              </w:rPr>
            </w:pPr>
            <w:r w:rsidRPr="00894A3C">
              <w:rPr>
                <w:rFonts w:ascii="Calibri" w:eastAsia="Times New Roman" w:hAnsi="Calibri" w:cs="Calibri"/>
                <w:color w:val="000000"/>
                <w:lang w:eastAsia="tr-TR"/>
              </w:rPr>
              <w:t>HDB</w:t>
            </w:r>
          </w:p>
        </w:tc>
        <w:tc>
          <w:tcPr>
            <w:tcW w:w="363" w:type="pct"/>
            <w:tcBorders>
              <w:top w:val="nil"/>
              <w:left w:val="nil"/>
              <w:bottom w:val="single" w:sz="8" w:space="0" w:color="D9D9D9"/>
              <w:right w:val="single" w:sz="8" w:space="0" w:color="D9D9D9"/>
            </w:tcBorders>
            <w:shd w:val="clear" w:color="auto" w:fill="auto"/>
            <w:vAlign w:val="center"/>
          </w:tcPr>
          <w:p w14:paraId="47938F09"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0</w:t>
            </w:r>
          </w:p>
        </w:tc>
        <w:tc>
          <w:tcPr>
            <w:tcW w:w="363" w:type="pct"/>
            <w:tcBorders>
              <w:top w:val="nil"/>
              <w:left w:val="nil"/>
              <w:bottom w:val="single" w:sz="8" w:space="0" w:color="D9D9D9"/>
              <w:right w:val="single" w:sz="8" w:space="0" w:color="D9D9D9"/>
            </w:tcBorders>
            <w:shd w:val="clear" w:color="auto" w:fill="auto"/>
            <w:noWrap/>
            <w:vAlign w:val="center"/>
          </w:tcPr>
          <w:p w14:paraId="02E32750"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0</w:t>
            </w:r>
          </w:p>
        </w:tc>
        <w:tc>
          <w:tcPr>
            <w:tcW w:w="363" w:type="pct"/>
            <w:tcBorders>
              <w:top w:val="nil"/>
              <w:left w:val="nil"/>
              <w:bottom w:val="single" w:sz="8" w:space="0" w:color="D9D9D9"/>
              <w:right w:val="single" w:sz="8" w:space="0" w:color="D9D9D9"/>
            </w:tcBorders>
            <w:shd w:val="clear" w:color="auto" w:fill="auto"/>
            <w:vAlign w:val="center"/>
          </w:tcPr>
          <w:p w14:paraId="5F67CFC6"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0</w:t>
            </w:r>
          </w:p>
        </w:tc>
        <w:tc>
          <w:tcPr>
            <w:tcW w:w="363" w:type="pct"/>
            <w:tcBorders>
              <w:top w:val="nil"/>
              <w:left w:val="nil"/>
              <w:bottom w:val="single" w:sz="8" w:space="0" w:color="D9D9D9"/>
              <w:right w:val="single" w:sz="8" w:space="0" w:color="D9D9D9"/>
            </w:tcBorders>
            <w:shd w:val="clear" w:color="auto" w:fill="auto"/>
            <w:noWrap/>
            <w:vAlign w:val="center"/>
          </w:tcPr>
          <w:p w14:paraId="2C9AC31D"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0</w:t>
            </w:r>
          </w:p>
        </w:tc>
        <w:tc>
          <w:tcPr>
            <w:tcW w:w="363" w:type="pct"/>
            <w:tcBorders>
              <w:top w:val="nil"/>
              <w:left w:val="nil"/>
              <w:bottom w:val="single" w:sz="8" w:space="0" w:color="D9D9D9"/>
              <w:right w:val="single" w:sz="8" w:space="0" w:color="D9D9D9"/>
            </w:tcBorders>
            <w:shd w:val="clear" w:color="auto" w:fill="auto"/>
            <w:noWrap/>
            <w:vAlign w:val="center"/>
          </w:tcPr>
          <w:p w14:paraId="483BF465"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2</w:t>
            </w:r>
          </w:p>
        </w:tc>
        <w:tc>
          <w:tcPr>
            <w:tcW w:w="363" w:type="pct"/>
            <w:tcBorders>
              <w:top w:val="nil"/>
              <w:left w:val="nil"/>
              <w:bottom w:val="single" w:sz="8" w:space="0" w:color="D9D9D9"/>
              <w:right w:val="single" w:sz="8" w:space="0" w:color="D9D9D9"/>
            </w:tcBorders>
            <w:shd w:val="clear" w:color="auto" w:fill="auto"/>
            <w:noWrap/>
            <w:vAlign w:val="bottom"/>
          </w:tcPr>
          <w:p w14:paraId="3F1B9DC2"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0,04</w:t>
            </w:r>
          </w:p>
        </w:tc>
        <w:tc>
          <w:tcPr>
            <w:tcW w:w="363" w:type="pct"/>
            <w:tcBorders>
              <w:top w:val="nil"/>
              <w:left w:val="nil"/>
              <w:bottom w:val="single" w:sz="8" w:space="0" w:color="D9D9D9"/>
              <w:right w:val="single" w:sz="8" w:space="0" w:color="D9D9D9"/>
            </w:tcBorders>
            <w:shd w:val="clear" w:color="auto" w:fill="auto"/>
            <w:noWrap/>
            <w:vAlign w:val="center"/>
          </w:tcPr>
          <w:p w14:paraId="217FF7DE"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2</w:t>
            </w:r>
          </w:p>
        </w:tc>
        <w:tc>
          <w:tcPr>
            <w:tcW w:w="363" w:type="pct"/>
            <w:tcBorders>
              <w:top w:val="nil"/>
              <w:left w:val="nil"/>
              <w:bottom w:val="single" w:sz="8" w:space="0" w:color="D9D9D9"/>
              <w:right w:val="single" w:sz="8" w:space="0" w:color="D9D9D9"/>
            </w:tcBorders>
            <w:shd w:val="clear" w:color="auto" w:fill="auto"/>
            <w:noWrap/>
            <w:vAlign w:val="bottom"/>
          </w:tcPr>
          <w:p w14:paraId="4554B1B3"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0,03</w:t>
            </w:r>
          </w:p>
        </w:tc>
        <w:tc>
          <w:tcPr>
            <w:tcW w:w="363" w:type="pct"/>
            <w:tcBorders>
              <w:top w:val="nil"/>
              <w:left w:val="nil"/>
              <w:bottom w:val="single" w:sz="8" w:space="0" w:color="D9D9D9"/>
              <w:right w:val="single" w:sz="8" w:space="0" w:color="D9D9D9"/>
            </w:tcBorders>
            <w:shd w:val="clear" w:color="auto" w:fill="auto"/>
            <w:noWrap/>
            <w:vAlign w:val="center"/>
          </w:tcPr>
          <w:p w14:paraId="5D3206C1"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0</w:t>
            </w:r>
          </w:p>
        </w:tc>
        <w:tc>
          <w:tcPr>
            <w:tcW w:w="364" w:type="pct"/>
            <w:tcBorders>
              <w:top w:val="nil"/>
              <w:left w:val="nil"/>
              <w:bottom w:val="single" w:sz="8" w:space="0" w:color="D9D9D9"/>
              <w:right w:val="single" w:sz="8" w:space="0" w:color="D9D9D9"/>
            </w:tcBorders>
            <w:shd w:val="clear" w:color="auto" w:fill="auto"/>
            <w:noWrap/>
            <w:vAlign w:val="bottom"/>
          </w:tcPr>
          <w:p w14:paraId="6339F513"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0</w:t>
            </w:r>
          </w:p>
        </w:tc>
        <w:tc>
          <w:tcPr>
            <w:tcW w:w="418" w:type="pct"/>
            <w:tcBorders>
              <w:top w:val="nil"/>
              <w:left w:val="nil"/>
              <w:bottom w:val="single" w:sz="8" w:space="0" w:color="D9D9D9"/>
              <w:right w:val="single" w:sz="8" w:space="0" w:color="D9D9D9"/>
            </w:tcBorders>
            <w:shd w:val="clear" w:color="auto" w:fill="auto"/>
            <w:vAlign w:val="bottom"/>
          </w:tcPr>
          <w:p w14:paraId="417BC75F" w14:textId="77777777" w:rsidR="00894A3C" w:rsidRPr="00894A3C" w:rsidRDefault="00894A3C" w:rsidP="00894A3C">
            <w:pPr>
              <w:spacing w:after="0" w:line="240" w:lineRule="auto"/>
              <w:jc w:val="right"/>
              <w:rPr>
                <w:b/>
              </w:rPr>
            </w:pPr>
            <w:r w:rsidRPr="00894A3C">
              <w:rPr>
                <w:b/>
              </w:rPr>
              <w:t>4</w:t>
            </w:r>
          </w:p>
        </w:tc>
        <w:tc>
          <w:tcPr>
            <w:tcW w:w="460" w:type="pct"/>
            <w:tcBorders>
              <w:top w:val="nil"/>
              <w:left w:val="nil"/>
              <w:bottom w:val="single" w:sz="8" w:space="0" w:color="D9D9D9"/>
              <w:right w:val="single" w:sz="8" w:space="0" w:color="D9D9D9"/>
            </w:tcBorders>
            <w:shd w:val="clear" w:color="auto" w:fill="auto"/>
            <w:vAlign w:val="bottom"/>
          </w:tcPr>
          <w:p w14:paraId="449C6FD0" w14:textId="77777777" w:rsidR="00894A3C" w:rsidRPr="00894A3C" w:rsidRDefault="00894A3C" w:rsidP="00894A3C">
            <w:pPr>
              <w:spacing w:after="0" w:line="240" w:lineRule="auto"/>
              <w:jc w:val="right"/>
              <w:rPr>
                <w:rFonts w:ascii="Calibri" w:eastAsia="Times New Roman" w:hAnsi="Calibri" w:cs="Calibri"/>
                <w:b/>
                <w:bCs/>
                <w:color w:val="000000"/>
                <w:lang w:eastAsia="tr-TR"/>
              </w:rPr>
            </w:pPr>
            <w:r w:rsidRPr="00894A3C">
              <w:rPr>
                <w:rFonts w:ascii="Calibri" w:eastAsia="Times New Roman" w:hAnsi="Calibri" w:cs="Calibri"/>
                <w:b/>
                <w:bCs/>
                <w:color w:val="000000"/>
                <w:lang w:eastAsia="tr-TR"/>
              </w:rPr>
              <w:t>0,01</w:t>
            </w:r>
          </w:p>
        </w:tc>
      </w:tr>
      <w:tr w:rsidR="00894A3C" w:rsidRPr="00894A3C" w14:paraId="309E388D" w14:textId="77777777" w:rsidTr="00894A3C">
        <w:trPr>
          <w:trHeight w:val="20"/>
          <w:jc w:val="center"/>
        </w:trPr>
        <w:tc>
          <w:tcPr>
            <w:tcW w:w="491" w:type="pct"/>
            <w:tcBorders>
              <w:top w:val="nil"/>
              <w:left w:val="single" w:sz="8" w:space="0" w:color="D9D9D9"/>
              <w:bottom w:val="single" w:sz="8" w:space="0" w:color="D9D9D9"/>
              <w:right w:val="single" w:sz="8" w:space="0" w:color="D9D9D9"/>
            </w:tcBorders>
            <w:shd w:val="clear" w:color="auto" w:fill="auto"/>
            <w:vAlign w:val="center"/>
          </w:tcPr>
          <w:p w14:paraId="2FB84370" w14:textId="77777777" w:rsidR="00894A3C" w:rsidRPr="00894A3C" w:rsidRDefault="00894A3C" w:rsidP="00894A3C">
            <w:pPr>
              <w:spacing w:after="0" w:line="240" w:lineRule="auto"/>
              <w:rPr>
                <w:rFonts w:ascii="Calibri" w:eastAsia="Times New Roman" w:hAnsi="Calibri" w:cs="Calibri"/>
                <w:color w:val="000000"/>
                <w:lang w:eastAsia="tr-TR"/>
              </w:rPr>
            </w:pPr>
            <w:r w:rsidRPr="00894A3C">
              <w:rPr>
                <w:rFonts w:ascii="Calibri" w:eastAsia="Times New Roman" w:hAnsi="Calibri" w:cs="Calibri"/>
                <w:color w:val="000000"/>
                <w:lang w:eastAsia="tr-TR"/>
              </w:rPr>
              <w:t>KHM</w:t>
            </w:r>
          </w:p>
        </w:tc>
        <w:tc>
          <w:tcPr>
            <w:tcW w:w="363" w:type="pct"/>
            <w:tcBorders>
              <w:top w:val="nil"/>
              <w:left w:val="nil"/>
              <w:bottom w:val="single" w:sz="8" w:space="0" w:color="D9D9D9"/>
              <w:right w:val="single" w:sz="8" w:space="0" w:color="D9D9D9"/>
            </w:tcBorders>
            <w:shd w:val="clear" w:color="auto" w:fill="auto"/>
            <w:vAlign w:val="center"/>
          </w:tcPr>
          <w:p w14:paraId="4AFFE97E"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0</w:t>
            </w:r>
          </w:p>
        </w:tc>
        <w:tc>
          <w:tcPr>
            <w:tcW w:w="363" w:type="pct"/>
            <w:tcBorders>
              <w:top w:val="nil"/>
              <w:left w:val="nil"/>
              <w:bottom w:val="single" w:sz="8" w:space="0" w:color="D9D9D9"/>
              <w:right w:val="single" w:sz="8" w:space="0" w:color="D9D9D9"/>
            </w:tcBorders>
            <w:shd w:val="clear" w:color="auto" w:fill="auto"/>
            <w:noWrap/>
            <w:vAlign w:val="center"/>
          </w:tcPr>
          <w:p w14:paraId="56AD5D64"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0</w:t>
            </w:r>
          </w:p>
        </w:tc>
        <w:tc>
          <w:tcPr>
            <w:tcW w:w="363" w:type="pct"/>
            <w:tcBorders>
              <w:top w:val="nil"/>
              <w:left w:val="nil"/>
              <w:bottom w:val="single" w:sz="8" w:space="0" w:color="D9D9D9"/>
              <w:right w:val="single" w:sz="8" w:space="0" w:color="D9D9D9"/>
            </w:tcBorders>
            <w:shd w:val="clear" w:color="auto" w:fill="auto"/>
            <w:vAlign w:val="center"/>
          </w:tcPr>
          <w:p w14:paraId="53E49E44"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0</w:t>
            </w:r>
          </w:p>
        </w:tc>
        <w:tc>
          <w:tcPr>
            <w:tcW w:w="363" w:type="pct"/>
            <w:tcBorders>
              <w:top w:val="nil"/>
              <w:left w:val="nil"/>
              <w:bottom w:val="single" w:sz="8" w:space="0" w:color="D9D9D9"/>
              <w:right w:val="single" w:sz="8" w:space="0" w:color="D9D9D9"/>
            </w:tcBorders>
            <w:shd w:val="clear" w:color="auto" w:fill="auto"/>
            <w:noWrap/>
            <w:vAlign w:val="center"/>
          </w:tcPr>
          <w:p w14:paraId="049887D9"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0</w:t>
            </w:r>
          </w:p>
        </w:tc>
        <w:tc>
          <w:tcPr>
            <w:tcW w:w="363" w:type="pct"/>
            <w:tcBorders>
              <w:top w:val="nil"/>
              <w:left w:val="nil"/>
              <w:bottom w:val="single" w:sz="8" w:space="0" w:color="D9D9D9"/>
              <w:right w:val="single" w:sz="8" w:space="0" w:color="D9D9D9"/>
            </w:tcBorders>
            <w:shd w:val="clear" w:color="auto" w:fill="auto"/>
            <w:noWrap/>
            <w:vAlign w:val="center"/>
          </w:tcPr>
          <w:p w14:paraId="6AA04DF2"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0</w:t>
            </w:r>
          </w:p>
        </w:tc>
        <w:tc>
          <w:tcPr>
            <w:tcW w:w="363" w:type="pct"/>
            <w:tcBorders>
              <w:top w:val="nil"/>
              <w:left w:val="nil"/>
              <w:bottom w:val="single" w:sz="8" w:space="0" w:color="D9D9D9"/>
              <w:right w:val="single" w:sz="8" w:space="0" w:color="D9D9D9"/>
            </w:tcBorders>
            <w:shd w:val="clear" w:color="auto" w:fill="auto"/>
            <w:noWrap/>
            <w:vAlign w:val="bottom"/>
          </w:tcPr>
          <w:p w14:paraId="22DB2D02"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0</w:t>
            </w:r>
          </w:p>
        </w:tc>
        <w:tc>
          <w:tcPr>
            <w:tcW w:w="363" w:type="pct"/>
            <w:tcBorders>
              <w:top w:val="nil"/>
              <w:left w:val="nil"/>
              <w:bottom w:val="single" w:sz="8" w:space="0" w:color="D9D9D9"/>
              <w:right w:val="single" w:sz="8" w:space="0" w:color="D9D9D9"/>
            </w:tcBorders>
            <w:shd w:val="clear" w:color="auto" w:fill="auto"/>
            <w:noWrap/>
            <w:vAlign w:val="center"/>
          </w:tcPr>
          <w:p w14:paraId="4D5A7560"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1</w:t>
            </w:r>
          </w:p>
        </w:tc>
        <w:tc>
          <w:tcPr>
            <w:tcW w:w="363" w:type="pct"/>
            <w:tcBorders>
              <w:top w:val="nil"/>
              <w:left w:val="nil"/>
              <w:bottom w:val="single" w:sz="8" w:space="0" w:color="D9D9D9"/>
              <w:right w:val="single" w:sz="8" w:space="0" w:color="D9D9D9"/>
            </w:tcBorders>
            <w:shd w:val="clear" w:color="auto" w:fill="auto"/>
            <w:noWrap/>
            <w:vAlign w:val="bottom"/>
          </w:tcPr>
          <w:p w14:paraId="2255C0F0"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0,01</w:t>
            </w:r>
          </w:p>
        </w:tc>
        <w:tc>
          <w:tcPr>
            <w:tcW w:w="363" w:type="pct"/>
            <w:tcBorders>
              <w:top w:val="nil"/>
              <w:left w:val="nil"/>
              <w:bottom w:val="single" w:sz="8" w:space="0" w:color="D9D9D9"/>
              <w:right w:val="single" w:sz="8" w:space="0" w:color="D9D9D9"/>
            </w:tcBorders>
            <w:shd w:val="clear" w:color="auto" w:fill="auto"/>
            <w:noWrap/>
            <w:vAlign w:val="center"/>
          </w:tcPr>
          <w:p w14:paraId="4ED78197"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0</w:t>
            </w:r>
          </w:p>
        </w:tc>
        <w:tc>
          <w:tcPr>
            <w:tcW w:w="364" w:type="pct"/>
            <w:tcBorders>
              <w:top w:val="nil"/>
              <w:left w:val="nil"/>
              <w:bottom w:val="single" w:sz="8" w:space="0" w:color="D9D9D9"/>
              <w:right w:val="single" w:sz="8" w:space="0" w:color="D9D9D9"/>
            </w:tcBorders>
            <w:shd w:val="clear" w:color="auto" w:fill="auto"/>
            <w:noWrap/>
            <w:vAlign w:val="bottom"/>
          </w:tcPr>
          <w:p w14:paraId="3C9365DB" w14:textId="77777777" w:rsidR="00894A3C" w:rsidRPr="00894A3C" w:rsidRDefault="00894A3C" w:rsidP="00894A3C">
            <w:pPr>
              <w:spacing w:after="0" w:line="240" w:lineRule="auto"/>
              <w:jc w:val="right"/>
              <w:rPr>
                <w:rFonts w:ascii="Calibri" w:eastAsia="Times New Roman" w:hAnsi="Calibri" w:cs="Calibri"/>
                <w:color w:val="000000"/>
                <w:lang w:eastAsia="tr-TR"/>
              </w:rPr>
            </w:pPr>
            <w:r w:rsidRPr="00894A3C">
              <w:rPr>
                <w:rFonts w:ascii="Calibri" w:eastAsia="Times New Roman" w:hAnsi="Calibri" w:cs="Calibri"/>
                <w:color w:val="000000"/>
                <w:lang w:eastAsia="tr-TR"/>
              </w:rPr>
              <w:t>0</w:t>
            </w:r>
          </w:p>
        </w:tc>
        <w:tc>
          <w:tcPr>
            <w:tcW w:w="418" w:type="pct"/>
            <w:tcBorders>
              <w:top w:val="nil"/>
              <w:left w:val="nil"/>
              <w:bottom w:val="single" w:sz="8" w:space="0" w:color="D9D9D9"/>
              <w:right w:val="single" w:sz="8" w:space="0" w:color="D9D9D9"/>
            </w:tcBorders>
            <w:shd w:val="clear" w:color="auto" w:fill="auto"/>
            <w:vAlign w:val="bottom"/>
          </w:tcPr>
          <w:p w14:paraId="7DB760E4" w14:textId="77777777" w:rsidR="00894A3C" w:rsidRPr="00894A3C" w:rsidRDefault="00894A3C" w:rsidP="00894A3C">
            <w:pPr>
              <w:spacing w:after="0" w:line="240" w:lineRule="auto"/>
              <w:jc w:val="right"/>
              <w:rPr>
                <w:b/>
              </w:rPr>
            </w:pPr>
            <w:r w:rsidRPr="00894A3C">
              <w:rPr>
                <w:b/>
              </w:rPr>
              <w:t>1</w:t>
            </w:r>
          </w:p>
        </w:tc>
        <w:tc>
          <w:tcPr>
            <w:tcW w:w="460" w:type="pct"/>
            <w:tcBorders>
              <w:top w:val="nil"/>
              <w:left w:val="nil"/>
              <w:bottom w:val="single" w:sz="8" w:space="0" w:color="D9D9D9"/>
              <w:right w:val="single" w:sz="8" w:space="0" w:color="D9D9D9"/>
            </w:tcBorders>
            <w:shd w:val="clear" w:color="auto" w:fill="auto"/>
            <w:vAlign w:val="bottom"/>
          </w:tcPr>
          <w:p w14:paraId="7F0CFEF7" w14:textId="77777777" w:rsidR="00894A3C" w:rsidRPr="00894A3C" w:rsidRDefault="00894A3C" w:rsidP="00894A3C">
            <w:pPr>
              <w:spacing w:after="0" w:line="240" w:lineRule="auto"/>
              <w:jc w:val="right"/>
              <w:rPr>
                <w:rFonts w:ascii="Calibri" w:eastAsia="Times New Roman" w:hAnsi="Calibri" w:cs="Calibri"/>
                <w:b/>
                <w:bCs/>
                <w:color w:val="000000"/>
                <w:lang w:eastAsia="tr-TR"/>
              </w:rPr>
            </w:pPr>
            <w:r w:rsidRPr="00894A3C">
              <w:rPr>
                <w:rFonts w:ascii="Calibri" w:eastAsia="Times New Roman" w:hAnsi="Calibri" w:cs="Calibri"/>
                <w:b/>
                <w:bCs/>
                <w:color w:val="000000"/>
                <w:lang w:eastAsia="tr-TR"/>
              </w:rPr>
              <w:t>0</w:t>
            </w:r>
          </w:p>
        </w:tc>
      </w:tr>
      <w:tr w:rsidR="00B670B8" w:rsidRPr="002048A7" w14:paraId="3DB14D12" w14:textId="77777777" w:rsidTr="002A1509">
        <w:trPr>
          <w:trHeight w:val="20"/>
          <w:jc w:val="center"/>
        </w:trPr>
        <w:tc>
          <w:tcPr>
            <w:tcW w:w="491" w:type="pct"/>
            <w:tcBorders>
              <w:top w:val="nil"/>
              <w:left w:val="single" w:sz="8" w:space="0" w:color="D9D9D9"/>
              <w:bottom w:val="single" w:sz="8" w:space="0" w:color="D9D9D9"/>
              <w:right w:val="single" w:sz="8" w:space="0" w:color="D9D9D9"/>
            </w:tcBorders>
            <w:shd w:val="clear" w:color="auto" w:fill="auto"/>
            <w:noWrap/>
            <w:vAlign w:val="center"/>
            <w:hideMark/>
          </w:tcPr>
          <w:p w14:paraId="5C60FE98" w14:textId="77777777" w:rsidR="00B670B8" w:rsidRPr="002048A7" w:rsidRDefault="00B670B8" w:rsidP="00B670B8">
            <w:pPr>
              <w:spacing w:after="0" w:line="240" w:lineRule="auto"/>
              <w:rPr>
                <w:rFonts w:ascii="Calibri" w:eastAsia="Times New Roman" w:hAnsi="Calibri" w:cs="Calibri"/>
                <w:b/>
                <w:bCs/>
                <w:color w:val="000000"/>
                <w:lang w:eastAsia="tr-TR"/>
              </w:rPr>
            </w:pPr>
            <w:r w:rsidRPr="002048A7">
              <w:rPr>
                <w:rFonts w:ascii="Calibri" w:hAnsi="Calibri" w:cs="Calibri"/>
                <w:b/>
                <w:bCs/>
                <w:color w:val="000000"/>
              </w:rPr>
              <w:t>Toplam</w:t>
            </w:r>
          </w:p>
        </w:tc>
        <w:tc>
          <w:tcPr>
            <w:tcW w:w="363" w:type="pct"/>
            <w:tcBorders>
              <w:top w:val="nil"/>
              <w:left w:val="nil"/>
              <w:bottom w:val="single" w:sz="8" w:space="0" w:color="D9D9D9"/>
              <w:right w:val="single" w:sz="8" w:space="0" w:color="D9D9D9"/>
            </w:tcBorders>
            <w:shd w:val="clear" w:color="auto" w:fill="auto"/>
            <w:vAlign w:val="center"/>
          </w:tcPr>
          <w:p w14:paraId="1013E6B0" w14:textId="77777777" w:rsidR="00B670B8" w:rsidRPr="002048A7" w:rsidRDefault="00B670B8" w:rsidP="00B670B8">
            <w:pPr>
              <w:spacing w:after="0" w:line="240" w:lineRule="auto"/>
              <w:jc w:val="right"/>
              <w:rPr>
                <w:rFonts w:ascii="Calibri" w:eastAsia="Times New Roman" w:hAnsi="Calibri" w:cs="Calibri"/>
                <w:b/>
                <w:bCs/>
                <w:color w:val="000000"/>
                <w:lang w:eastAsia="tr-TR"/>
              </w:rPr>
            </w:pPr>
            <w:r w:rsidRPr="002048A7">
              <w:rPr>
                <w:rFonts w:ascii="Calibri" w:hAnsi="Calibri" w:cs="Calibri"/>
                <w:b/>
                <w:bCs/>
                <w:color w:val="000000"/>
              </w:rPr>
              <w:t>9.617</w:t>
            </w:r>
          </w:p>
        </w:tc>
        <w:tc>
          <w:tcPr>
            <w:tcW w:w="363" w:type="pct"/>
            <w:tcBorders>
              <w:top w:val="nil"/>
              <w:left w:val="nil"/>
              <w:bottom w:val="single" w:sz="8" w:space="0" w:color="D9D9D9"/>
              <w:right w:val="single" w:sz="8" w:space="0" w:color="D9D9D9"/>
            </w:tcBorders>
            <w:shd w:val="clear" w:color="auto" w:fill="auto"/>
            <w:noWrap/>
            <w:vAlign w:val="center"/>
          </w:tcPr>
          <w:p w14:paraId="66859CC4" w14:textId="77777777" w:rsidR="00B670B8" w:rsidRPr="002048A7" w:rsidRDefault="00B670B8" w:rsidP="00B670B8">
            <w:pPr>
              <w:spacing w:after="0" w:line="240" w:lineRule="auto"/>
              <w:jc w:val="right"/>
              <w:rPr>
                <w:rFonts w:ascii="Calibri" w:eastAsia="Times New Roman" w:hAnsi="Calibri" w:cs="Calibri"/>
                <w:b/>
                <w:bCs/>
                <w:color w:val="000000"/>
                <w:lang w:eastAsia="tr-TR"/>
              </w:rPr>
            </w:pPr>
            <w:r w:rsidRPr="002048A7">
              <w:rPr>
                <w:rFonts w:ascii="Calibri" w:hAnsi="Calibri" w:cs="Calibri"/>
                <w:b/>
                <w:bCs/>
                <w:color w:val="000000"/>
              </w:rPr>
              <w:t>100</w:t>
            </w:r>
          </w:p>
        </w:tc>
        <w:tc>
          <w:tcPr>
            <w:tcW w:w="363" w:type="pct"/>
            <w:tcBorders>
              <w:top w:val="nil"/>
              <w:left w:val="nil"/>
              <w:bottom w:val="single" w:sz="8" w:space="0" w:color="D9D9D9"/>
              <w:right w:val="single" w:sz="8" w:space="0" w:color="D9D9D9"/>
            </w:tcBorders>
            <w:shd w:val="clear" w:color="auto" w:fill="auto"/>
            <w:vAlign w:val="center"/>
          </w:tcPr>
          <w:p w14:paraId="2EDBF933" w14:textId="77777777" w:rsidR="00B670B8" w:rsidRPr="002048A7" w:rsidRDefault="00B670B8" w:rsidP="00B670B8">
            <w:pPr>
              <w:spacing w:after="0" w:line="240" w:lineRule="auto"/>
              <w:jc w:val="right"/>
              <w:rPr>
                <w:rFonts w:ascii="Calibri" w:eastAsia="Times New Roman" w:hAnsi="Calibri" w:cs="Calibri"/>
                <w:b/>
                <w:bCs/>
                <w:color w:val="000000"/>
                <w:lang w:eastAsia="tr-TR"/>
              </w:rPr>
            </w:pPr>
            <w:r w:rsidRPr="002048A7">
              <w:rPr>
                <w:rFonts w:ascii="Calibri" w:hAnsi="Calibri" w:cs="Calibri"/>
                <w:b/>
                <w:bCs/>
                <w:color w:val="000000"/>
              </w:rPr>
              <w:t>5.212</w:t>
            </w:r>
          </w:p>
        </w:tc>
        <w:tc>
          <w:tcPr>
            <w:tcW w:w="363" w:type="pct"/>
            <w:tcBorders>
              <w:top w:val="nil"/>
              <w:left w:val="nil"/>
              <w:bottom w:val="single" w:sz="8" w:space="0" w:color="D9D9D9"/>
              <w:right w:val="single" w:sz="8" w:space="0" w:color="D9D9D9"/>
            </w:tcBorders>
            <w:shd w:val="clear" w:color="auto" w:fill="auto"/>
            <w:noWrap/>
            <w:vAlign w:val="center"/>
          </w:tcPr>
          <w:p w14:paraId="47F3E5E1" w14:textId="77777777" w:rsidR="00B670B8" w:rsidRPr="002048A7" w:rsidRDefault="00B670B8" w:rsidP="00B670B8">
            <w:pPr>
              <w:spacing w:after="0" w:line="240" w:lineRule="auto"/>
              <w:jc w:val="right"/>
              <w:rPr>
                <w:rFonts w:ascii="Calibri" w:eastAsia="Times New Roman" w:hAnsi="Calibri" w:cs="Calibri"/>
                <w:b/>
                <w:bCs/>
                <w:color w:val="000000"/>
                <w:lang w:eastAsia="tr-TR"/>
              </w:rPr>
            </w:pPr>
            <w:r w:rsidRPr="002048A7">
              <w:rPr>
                <w:rFonts w:ascii="Calibri" w:hAnsi="Calibri" w:cs="Calibri"/>
                <w:b/>
                <w:bCs/>
                <w:color w:val="000000"/>
              </w:rPr>
              <w:t>100</w:t>
            </w:r>
          </w:p>
        </w:tc>
        <w:tc>
          <w:tcPr>
            <w:tcW w:w="363" w:type="pct"/>
            <w:tcBorders>
              <w:top w:val="nil"/>
              <w:left w:val="nil"/>
              <w:bottom w:val="single" w:sz="8" w:space="0" w:color="D9D9D9"/>
              <w:right w:val="single" w:sz="8" w:space="0" w:color="D9D9D9"/>
            </w:tcBorders>
            <w:shd w:val="clear" w:color="auto" w:fill="auto"/>
            <w:noWrap/>
            <w:vAlign w:val="center"/>
          </w:tcPr>
          <w:p w14:paraId="72C6C619" w14:textId="291243E5" w:rsidR="00B670B8" w:rsidRPr="002048A7" w:rsidRDefault="00B670B8" w:rsidP="00B670B8">
            <w:pPr>
              <w:spacing w:after="0" w:line="240" w:lineRule="auto"/>
              <w:jc w:val="right"/>
              <w:rPr>
                <w:rFonts w:ascii="Calibri" w:eastAsia="Times New Roman" w:hAnsi="Calibri" w:cs="Calibri"/>
                <w:b/>
                <w:bCs/>
                <w:color w:val="000000"/>
                <w:lang w:eastAsia="tr-TR"/>
              </w:rPr>
            </w:pPr>
            <w:r w:rsidRPr="002048A7">
              <w:rPr>
                <w:rFonts w:ascii="Calibri" w:hAnsi="Calibri" w:cs="Calibri"/>
                <w:b/>
                <w:bCs/>
                <w:color w:val="000000"/>
              </w:rPr>
              <w:t>4.60</w:t>
            </w:r>
            <w:r w:rsidR="005C7E41">
              <w:rPr>
                <w:rFonts w:ascii="Calibri" w:hAnsi="Calibri" w:cs="Calibri"/>
                <w:b/>
                <w:bCs/>
                <w:color w:val="000000"/>
              </w:rPr>
              <w:t>2</w:t>
            </w:r>
          </w:p>
        </w:tc>
        <w:tc>
          <w:tcPr>
            <w:tcW w:w="363" w:type="pct"/>
            <w:tcBorders>
              <w:top w:val="nil"/>
              <w:left w:val="nil"/>
              <w:bottom w:val="single" w:sz="8" w:space="0" w:color="D9D9D9"/>
              <w:right w:val="single" w:sz="8" w:space="0" w:color="D9D9D9"/>
            </w:tcBorders>
            <w:shd w:val="clear" w:color="auto" w:fill="auto"/>
            <w:noWrap/>
            <w:vAlign w:val="center"/>
          </w:tcPr>
          <w:p w14:paraId="4EAA935C" w14:textId="77777777" w:rsidR="00B670B8" w:rsidRPr="002048A7" w:rsidRDefault="00B670B8" w:rsidP="00B670B8">
            <w:pPr>
              <w:spacing w:after="0" w:line="240" w:lineRule="auto"/>
              <w:jc w:val="right"/>
              <w:rPr>
                <w:rFonts w:ascii="Calibri" w:eastAsia="Times New Roman" w:hAnsi="Calibri" w:cs="Calibri"/>
                <w:b/>
                <w:bCs/>
                <w:color w:val="000000"/>
                <w:lang w:eastAsia="tr-TR"/>
              </w:rPr>
            </w:pPr>
            <w:r w:rsidRPr="002048A7">
              <w:rPr>
                <w:rFonts w:ascii="Calibri" w:hAnsi="Calibri" w:cs="Calibri"/>
                <w:b/>
                <w:bCs/>
                <w:color w:val="000000"/>
              </w:rPr>
              <w:t>100</w:t>
            </w:r>
          </w:p>
        </w:tc>
        <w:tc>
          <w:tcPr>
            <w:tcW w:w="363" w:type="pct"/>
            <w:tcBorders>
              <w:top w:val="nil"/>
              <w:left w:val="nil"/>
              <w:bottom w:val="single" w:sz="8" w:space="0" w:color="D9D9D9"/>
              <w:right w:val="single" w:sz="8" w:space="0" w:color="D9D9D9"/>
            </w:tcBorders>
            <w:shd w:val="clear" w:color="auto" w:fill="auto"/>
            <w:noWrap/>
            <w:vAlign w:val="center"/>
          </w:tcPr>
          <w:p w14:paraId="00E40804" w14:textId="77777777" w:rsidR="00B670B8" w:rsidRPr="002048A7" w:rsidRDefault="00B670B8" w:rsidP="00B670B8">
            <w:pPr>
              <w:spacing w:after="0" w:line="240" w:lineRule="auto"/>
              <w:jc w:val="right"/>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7.482</w:t>
            </w:r>
          </w:p>
        </w:tc>
        <w:tc>
          <w:tcPr>
            <w:tcW w:w="363" w:type="pct"/>
            <w:tcBorders>
              <w:top w:val="nil"/>
              <w:left w:val="nil"/>
              <w:bottom w:val="single" w:sz="8" w:space="0" w:color="D9D9D9"/>
              <w:right w:val="single" w:sz="8" w:space="0" w:color="D9D9D9"/>
            </w:tcBorders>
            <w:shd w:val="clear" w:color="auto" w:fill="auto"/>
            <w:noWrap/>
            <w:vAlign w:val="center"/>
          </w:tcPr>
          <w:p w14:paraId="471441E4" w14:textId="77777777" w:rsidR="00B670B8" w:rsidRPr="002048A7" w:rsidRDefault="00B670B8" w:rsidP="00B670B8">
            <w:pPr>
              <w:spacing w:after="0" w:line="240" w:lineRule="auto"/>
              <w:jc w:val="right"/>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100</w:t>
            </w:r>
          </w:p>
        </w:tc>
        <w:tc>
          <w:tcPr>
            <w:tcW w:w="363" w:type="pct"/>
            <w:tcBorders>
              <w:top w:val="nil"/>
              <w:left w:val="nil"/>
              <w:bottom w:val="single" w:sz="8" w:space="0" w:color="D9D9D9"/>
              <w:right w:val="single" w:sz="8" w:space="0" w:color="D9D9D9"/>
            </w:tcBorders>
            <w:shd w:val="clear" w:color="auto" w:fill="auto"/>
            <w:noWrap/>
            <w:vAlign w:val="center"/>
          </w:tcPr>
          <w:p w14:paraId="6F30A9C2" w14:textId="7F8C5853" w:rsidR="00B670B8" w:rsidRPr="002048A7" w:rsidRDefault="00F72B18" w:rsidP="00B670B8">
            <w:pPr>
              <w:spacing w:after="0" w:line="240" w:lineRule="auto"/>
              <w:jc w:val="right"/>
              <w:rPr>
                <w:rFonts w:ascii="Calibri" w:eastAsia="Times New Roman" w:hAnsi="Calibri" w:cs="Calibri"/>
                <w:b/>
                <w:bCs/>
                <w:color w:val="000000"/>
                <w:lang w:eastAsia="tr-TR"/>
              </w:rPr>
            </w:pPr>
            <w:r>
              <w:rPr>
                <w:rFonts w:ascii="Calibri" w:eastAsia="Times New Roman" w:hAnsi="Calibri" w:cs="Calibri"/>
                <w:b/>
                <w:bCs/>
                <w:color w:val="000000"/>
                <w:lang w:eastAsia="tr-TR"/>
              </w:rPr>
              <w:t>5</w:t>
            </w:r>
            <w:r w:rsidR="00B670B8" w:rsidRPr="002048A7">
              <w:rPr>
                <w:rFonts w:ascii="Calibri" w:eastAsia="Times New Roman" w:hAnsi="Calibri" w:cs="Calibri"/>
                <w:b/>
                <w:bCs/>
                <w:color w:val="000000"/>
                <w:lang w:eastAsia="tr-TR"/>
              </w:rPr>
              <w:t>.</w:t>
            </w:r>
            <w:r w:rsidR="005C7E41">
              <w:rPr>
                <w:rFonts w:ascii="Calibri" w:eastAsia="Times New Roman" w:hAnsi="Calibri" w:cs="Calibri"/>
                <w:b/>
                <w:bCs/>
                <w:color w:val="000000"/>
                <w:lang w:eastAsia="tr-TR"/>
              </w:rPr>
              <w:t>21</w:t>
            </w:r>
            <w:r w:rsidR="005C7E41" w:rsidRPr="00764B76">
              <w:rPr>
                <w:rFonts w:ascii="Calibri" w:eastAsia="Times New Roman" w:hAnsi="Calibri" w:cs="Calibri"/>
                <w:b/>
                <w:color w:val="000000"/>
                <w:lang w:eastAsia="tr-TR"/>
              </w:rPr>
              <w:t>3</w:t>
            </w:r>
          </w:p>
        </w:tc>
        <w:tc>
          <w:tcPr>
            <w:tcW w:w="364" w:type="pct"/>
            <w:tcBorders>
              <w:top w:val="nil"/>
              <w:left w:val="nil"/>
              <w:bottom w:val="single" w:sz="8" w:space="0" w:color="D9D9D9"/>
              <w:right w:val="single" w:sz="8" w:space="0" w:color="D9D9D9"/>
            </w:tcBorders>
            <w:shd w:val="clear" w:color="auto" w:fill="auto"/>
            <w:noWrap/>
            <w:vAlign w:val="center"/>
          </w:tcPr>
          <w:p w14:paraId="38ED6C4A" w14:textId="77777777" w:rsidR="00B670B8" w:rsidRPr="002048A7" w:rsidRDefault="00B670B8" w:rsidP="00B670B8">
            <w:pPr>
              <w:spacing w:after="0" w:line="240" w:lineRule="auto"/>
              <w:jc w:val="right"/>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100</w:t>
            </w:r>
          </w:p>
        </w:tc>
        <w:tc>
          <w:tcPr>
            <w:tcW w:w="418" w:type="pct"/>
            <w:tcBorders>
              <w:top w:val="nil"/>
              <w:left w:val="nil"/>
              <w:bottom w:val="single" w:sz="8" w:space="0" w:color="D9D9D9"/>
              <w:right w:val="single" w:sz="8" w:space="0" w:color="D9D9D9"/>
            </w:tcBorders>
            <w:shd w:val="clear" w:color="auto" w:fill="auto"/>
            <w:vAlign w:val="center"/>
          </w:tcPr>
          <w:p w14:paraId="0760339E" w14:textId="0D2E55C2" w:rsidR="00B670B8" w:rsidRPr="005C7E41" w:rsidRDefault="00B670B8" w:rsidP="00B670B8">
            <w:pPr>
              <w:spacing w:after="0" w:line="240" w:lineRule="auto"/>
              <w:jc w:val="right"/>
              <w:rPr>
                <w:rFonts w:ascii="Calibri" w:eastAsia="Times New Roman" w:hAnsi="Calibri" w:cs="Calibri"/>
                <w:b/>
                <w:bCs/>
                <w:color w:val="000000"/>
                <w:lang w:eastAsia="tr-TR"/>
              </w:rPr>
            </w:pPr>
            <w:r w:rsidRPr="005C7E41">
              <w:rPr>
                <w:rFonts w:ascii="Calibri" w:eastAsia="Times New Roman" w:hAnsi="Calibri" w:cs="Calibri"/>
                <w:b/>
                <w:bCs/>
                <w:color w:val="000000"/>
                <w:lang w:eastAsia="tr-TR"/>
              </w:rPr>
              <w:t>3</w:t>
            </w:r>
            <w:r w:rsidR="00F72B18" w:rsidRPr="005C7E41">
              <w:rPr>
                <w:rFonts w:ascii="Calibri" w:eastAsia="Times New Roman" w:hAnsi="Calibri" w:cs="Calibri"/>
                <w:b/>
                <w:bCs/>
                <w:color w:val="000000"/>
                <w:lang w:eastAsia="tr-TR"/>
              </w:rPr>
              <w:t>2</w:t>
            </w:r>
            <w:r w:rsidRPr="005C7E41">
              <w:rPr>
                <w:rFonts w:ascii="Calibri" w:eastAsia="Times New Roman" w:hAnsi="Calibri" w:cs="Calibri"/>
                <w:b/>
                <w:bCs/>
                <w:color w:val="000000"/>
                <w:lang w:eastAsia="tr-TR"/>
              </w:rPr>
              <w:t>.</w:t>
            </w:r>
            <w:r w:rsidR="005C7E41" w:rsidRPr="005C7E41">
              <w:rPr>
                <w:rFonts w:ascii="Calibri" w:eastAsia="Times New Roman" w:hAnsi="Calibri" w:cs="Calibri"/>
                <w:b/>
                <w:bCs/>
                <w:color w:val="000000"/>
                <w:lang w:eastAsia="tr-TR"/>
              </w:rPr>
              <w:t>1</w:t>
            </w:r>
            <w:r w:rsidR="005C7E41" w:rsidRPr="005C7E41">
              <w:rPr>
                <w:rFonts w:ascii="Calibri" w:eastAsia="Times New Roman" w:hAnsi="Calibri" w:cs="Calibri"/>
                <w:b/>
                <w:color w:val="000000"/>
                <w:lang w:eastAsia="tr-TR"/>
              </w:rPr>
              <w:t>26</w:t>
            </w:r>
          </w:p>
        </w:tc>
        <w:tc>
          <w:tcPr>
            <w:tcW w:w="460" w:type="pct"/>
            <w:tcBorders>
              <w:top w:val="nil"/>
              <w:left w:val="nil"/>
              <w:bottom w:val="single" w:sz="8" w:space="0" w:color="D9D9D9"/>
              <w:right w:val="single" w:sz="8" w:space="0" w:color="D9D9D9"/>
            </w:tcBorders>
            <w:shd w:val="clear" w:color="auto" w:fill="auto"/>
            <w:vAlign w:val="center"/>
          </w:tcPr>
          <w:p w14:paraId="10A8FAFC" w14:textId="77777777" w:rsidR="00B670B8" w:rsidRPr="002048A7" w:rsidRDefault="00B670B8" w:rsidP="00B670B8">
            <w:pPr>
              <w:spacing w:after="0" w:line="240" w:lineRule="auto"/>
              <w:jc w:val="right"/>
              <w:rPr>
                <w:rFonts w:ascii="Calibri" w:eastAsia="Times New Roman" w:hAnsi="Calibri" w:cs="Calibri"/>
                <w:b/>
                <w:bCs/>
                <w:color w:val="000000"/>
                <w:lang w:eastAsia="tr-TR"/>
              </w:rPr>
            </w:pPr>
            <w:r w:rsidRPr="002048A7">
              <w:rPr>
                <w:rFonts w:ascii="Calibri" w:hAnsi="Calibri" w:cs="Calibri"/>
                <w:b/>
                <w:bCs/>
                <w:color w:val="000000"/>
              </w:rPr>
              <w:t>100</w:t>
            </w:r>
          </w:p>
        </w:tc>
      </w:tr>
    </w:tbl>
    <w:p w14:paraId="55E675DE" w14:textId="77777777" w:rsidR="00751D17" w:rsidRPr="002048A7" w:rsidRDefault="009F6B4A" w:rsidP="00751D17">
      <w:pPr>
        <w:pStyle w:val="Balk5"/>
        <w:jc w:val="center"/>
        <w:rPr>
          <w:rFonts w:asciiTheme="minorHAnsi" w:hAnsiTheme="minorHAnsi"/>
          <w:b/>
          <w:bCs/>
          <w:color w:val="000000" w:themeColor="text1"/>
        </w:rPr>
      </w:pPr>
      <w:bookmarkStart w:id="21" w:name="_Toc195868796"/>
      <w:r w:rsidRPr="002048A7">
        <w:rPr>
          <w:rStyle w:val="Gl"/>
          <w:color w:val="000000" w:themeColor="text1"/>
        </w:rPr>
        <w:t>Tablo 1.3: 20</w:t>
      </w:r>
      <w:r w:rsidR="00F72B18">
        <w:rPr>
          <w:rStyle w:val="Gl"/>
          <w:color w:val="000000" w:themeColor="text1"/>
        </w:rPr>
        <w:t>20</w:t>
      </w:r>
      <w:r w:rsidR="001978FE" w:rsidRPr="002048A7">
        <w:rPr>
          <w:rStyle w:val="Gl"/>
          <w:color w:val="000000" w:themeColor="text1"/>
        </w:rPr>
        <w:t>-202</w:t>
      </w:r>
      <w:r w:rsidR="00F72B18">
        <w:rPr>
          <w:rStyle w:val="Gl"/>
          <w:color w:val="000000" w:themeColor="text1"/>
        </w:rPr>
        <w:t>4</w:t>
      </w:r>
      <w:r w:rsidRPr="002048A7">
        <w:rPr>
          <w:rStyle w:val="Gl"/>
          <w:color w:val="000000" w:themeColor="text1"/>
        </w:rPr>
        <w:t xml:space="preserve"> Yılları Arasında Alınan Kurul Kararlarının Genel Dağılımı</w:t>
      </w:r>
      <w:bookmarkEnd w:id="18"/>
      <w:bookmarkEnd w:id="19"/>
      <w:bookmarkEnd w:id="20"/>
      <w:bookmarkEnd w:id="2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568"/>
        <w:gridCol w:w="1104"/>
        <w:gridCol w:w="1082"/>
        <w:gridCol w:w="712"/>
        <w:gridCol w:w="712"/>
        <w:gridCol w:w="900"/>
        <w:gridCol w:w="1834"/>
      </w:tblGrid>
      <w:tr w:rsidR="00F72B18" w:rsidRPr="002048A7" w14:paraId="5F2F6E18" w14:textId="77777777" w:rsidTr="007A1231">
        <w:trPr>
          <w:trHeight w:val="20"/>
        </w:trPr>
        <w:tc>
          <w:tcPr>
            <w:tcW w:w="1800" w:type="pct"/>
            <w:shd w:val="clear" w:color="000000" w:fill="6E9ECA"/>
            <w:noWrap/>
            <w:vAlign w:val="center"/>
            <w:hideMark/>
          </w:tcPr>
          <w:p w14:paraId="0544A6AF" w14:textId="77777777" w:rsidR="00F72B18" w:rsidRPr="002048A7" w:rsidRDefault="00F72B18" w:rsidP="00F72B18">
            <w:pPr>
              <w:spacing w:after="0" w:line="240" w:lineRule="auto"/>
              <w:jc w:val="center"/>
              <w:rPr>
                <w:rFonts w:ascii="Calibri" w:eastAsia="Times New Roman" w:hAnsi="Calibri" w:cs="Calibri"/>
                <w:b/>
                <w:bCs/>
                <w:color w:val="FFFFFF"/>
                <w:sz w:val="20"/>
                <w:szCs w:val="20"/>
                <w:lang w:eastAsia="tr-TR"/>
              </w:rPr>
            </w:pPr>
            <w:r w:rsidRPr="002048A7">
              <w:rPr>
                <w:rFonts w:ascii="Calibri" w:eastAsia="Times New Roman" w:hAnsi="Calibri" w:cs="Calibri"/>
                <w:b/>
                <w:bCs/>
                <w:color w:val="FFFFFF"/>
                <w:sz w:val="20"/>
                <w:szCs w:val="20"/>
                <w:lang w:eastAsia="tr-TR"/>
              </w:rPr>
              <w:t>Yıllar</w:t>
            </w:r>
          </w:p>
        </w:tc>
        <w:tc>
          <w:tcPr>
            <w:tcW w:w="557" w:type="pct"/>
            <w:shd w:val="clear" w:color="000000" w:fill="6E9ECA"/>
            <w:noWrap/>
            <w:vAlign w:val="center"/>
            <w:hideMark/>
          </w:tcPr>
          <w:p w14:paraId="35BB43AB" w14:textId="77777777" w:rsidR="00F72B18" w:rsidRPr="002048A7" w:rsidRDefault="00F72B18" w:rsidP="00F72B18">
            <w:pPr>
              <w:spacing w:after="0" w:line="240" w:lineRule="auto"/>
              <w:jc w:val="center"/>
              <w:rPr>
                <w:rFonts w:ascii="Calibri" w:eastAsia="Times New Roman" w:hAnsi="Calibri" w:cs="Calibri"/>
                <w:b/>
                <w:bCs/>
                <w:color w:val="FFFFFF"/>
                <w:sz w:val="20"/>
                <w:szCs w:val="20"/>
                <w:lang w:eastAsia="tr-TR"/>
              </w:rPr>
            </w:pPr>
            <w:r w:rsidRPr="002048A7">
              <w:rPr>
                <w:rFonts w:ascii="Calibri" w:eastAsia="Times New Roman" w:hAnsi="Calibri" w:cs="Calibri"/>
                <w:b/>
                <w:bCs/>
                <w:color w:val="FFFFFF"/>
                <w:sz w:val="20"/>
                <w:szCs w:val="20"/>
                <w:lang w:eastAsia="tr-TR"/>
              </w:rPr>
              <w:t>2020</w:t>
            </w:r>
          </w:p>
        </w:tc>
        <w:tc>
          <w:tcPr>
            <w:tcW w:w="546" w:type="pct"/>
            <w:shd w:val="clear" w:color="000000" w:fill="6E9ECA"/>
            <w:vAlign w:val="center"/>
          </w:tcPr>
          <w:p w14:paraId="6C1FC485" w14:textId="77777777" w:rsidR="00F72B18" w:rsidRPr="002048A7" w:rsidRDefault="00F72B18" w:rsidP="00F72B18">
            <w:pPr>
              <w:spacing w:after="0" w:line="240" w:lineRule="auto"/>
              <w:jc w:val="center"/>
              <w:rPr>
                <w:rFonts w:ascii="Calibri" w:eastAsia="Times New Roman" w:hAnsi="Calibri" w:cs="Calibri"/>
                <w:b/>
                <w:bCs/>
                <w:color w:val="FFFFFF"/>
                <w:sz w:val="20"/>
                <w:szCs w:val="20"/>
                <w:lang w:eastAsia="tr-TR"/>
              </w:rPr>
            </w:pPr>
            <w:r w:rsidRPr="002048A7">
              <w:rPr>
                <w:rFonts w:ascii="Calibri" w:eastAsia="Times New Roman" w:hAnsi="Calibri" w:cs="Calibri"/>
                <w:b/>
                <w:bCs/>
                <w:color w:val="FFFFFF"/>
                <w:sz w:val="20"/>
                <w:szCs w:val="20"/>
                <w:lang w:eastAsia="tr-TR"/>
              </w:rPr>
              <w:t>2021</w:t>
            </w:r>
          </w:p>
        </w:tc>
        <w:tc>
          <w:tcPr>
            <w:tcW w:w="359" w:type="pct"/>
            <w:shd w:val="clear" w:color="000000" w:fill="6E9ECA"/>
            <w:noWrap/>
            <w:vAlign w:val="center"/>
          </w:tcPr>
          <w:p w14:paraId="19C31483" w14:textId="77777777" w:rsidR="00F72B18" w:rsidRPr="002048A7" w:rsidRDefault="00F72B18" w:rsidP="00F72B18">
            <w:pPr>
              <w:spacing w:after="0" w:line="240" w:lineRule="auto"/>
              <w:jc w:val="center"/>
              <w:rPr>
                <w:rFonts w:ascii="Calibri" w:eastAsia="Times New Roman" w:hAnsi="Calibri" w:cs="Calibri"/>
                <w:b/>
                <w:bCs/>
                <w:color w:val="FFFFFF"/>
                <w:sz w:val="20"/>
                <w:szCs w:val="20"/>
                <w:lang w:eastAsia="tr-TR"/>
              </w:rPr>
            </w:pPr>
            <w:r w:rsidRPr="002048A7">
              <w:rPr>
                <w:rFonts w:ascii="Calibri" w:eastAsia="Times New Roman" w:hAnsi="Calibri" w:cs="Calibri"/>
                <w:b/>
                <w:bCs/>
                <w:color w:val="FFFFFF"/>
                <w:sz w:val="20"/>
                <w:szCs w:val="20"/>
                <w:lang w:eastAsia="tr-TR"/>
              </w:rPr>
              <w:t>2022</w:t>
            </w:r>
          </w:p>
        </w:tc>
        <w:tc>
          <w:tcPr>
            <w:tcW w:w="359" w:type="pct"/>
            <w:shd w:val="clear" w:color="000000" w:fill="6E9ECA"/>
            <w:vAlign w:val="center"/>
          </w:tcPr>
          <w:p w14:paraId="6BF6922B" w14:textId="77777777" w:rsidR="00F72B18" w:rsidRPr="002048A7" w:rsidRDefault="00F72B18" w:rsidP="00F72B18">
            <w:pPr>
              <w:spacing w:after="0" w:line="240" w:lineRule="auto"/>
              <w:jc w:val="center"/>
              <w:rPr>
                <w:rFonts w:ascii="Calibri" w:eastAsia="Times New Roman" w:hAnsi="Calibri" w:cs="Calibri"/>
                <w:b/>
                <w:bCs/>
                <w:color w:val="FFFFFF"/>
                <w:sz w:val="20"/>
                <w:szCs w:val="20"/>
                <w:lang w:eastAsia="tr-TR"/>
              </w:rPr>
            </w:pPr>
            <w:r w:rsidRPr="002048A7">
              <w:rPr>
                <w:rFonts w:ascii="Calibri" w:eastAsia="Times New Roman" w:hAnsi="Calibri" w:cs="Calibri"/>
                <w:b/>
                <w:bCs/>
                <w:color w:val="FFFFFF"/>
                <w:sz w:val="20"/>
                <w:szCs w:val="20"/>
                <w:lang w:eastAsia="tr-TR"/>
              </w:rPr>
              <w:t>2023</w:t>
            </w:r>
          </w:p>
        </w:tc>
        <w:tc>
          <w:tcPr>
            <w:tcW w:w="454" w:type="pct"/>
            <w:shd w:val="clear" w:color="000000" w:fill="6E9ECA"/>
            <w:vAlign w:val="center"/>
          </w:tcPr>
          <w:p w14:paraId="6D527EBE" w14:textId="77777777" w:rsidR="00F72B18" w:rsidRPr="002048A7" w:rsidRDefault="00F72B18" w:rsidP="00F72B18">
            <w:pPr>
              <w:spacing w:after="0" w:line="240" w:lineRule="auto"/>
              <w:jc w:val="center"/>
              <w:rPr>
                <w:rFonts w:ascii="Calibri" w:eastAsia="Times New Roman" w:hAnsi="Calibri" w:cs="Calibri"/>
                <w:b/>
                <w:bCs/>
                <w:color w:val="FFFFFF"/>
                <w:sz w:val="20"/>
                <w:szCs w:val="20"/>
                <w:lang w:eastAsia="tr-TR"/>
              </w:rPr>
            </w:pPr>
            <w:r w:rsidRPr="002048A7">
              <w:rPr>
                <w:rFonts w:ascii="Calibri" w:eastAsia="Times New Roman" w:hAnsi="Calibri" w:cs="Calibri"/>
                <w:b/>
                <w:bCs/>
                <w:color w:val="FFFFFF"/>
                <w:sz w:val="20"/>
                <w:szCs w:val="20"/>
                <w:lang w:eastAsia="tr-TR"/>
              </w:rPr>
              <w:t>202</w:t>
            </w:r>
            <w:r>
              <w:rPr>
                <w:rFonts w:ascii="Calibri" w:eastAsia="Times New Roman" w:hAnsi="Calibri" w:cs="Calibri"/>
                <w:b/>
                <w:bCs/>
                <w:color w:val="FFFFFF"/>
                <w:sz w:val="20"/>
                <w:szCs w:val="20"/>
                <w:lang w:eastAsia="tr-TR"/>
              </w:rPr>
              <w:t>4</w:t>
            </w:r>
          </w:p>
        </w:tc>
        <w:tc>
          <w:tcPr>
            <w:tcW w:w="925" w:type="pct"/>
            <w:shd w:val="clear" w:color="000000" w:fill="6E9ECA"/>
            <w:vAlign w:val="center"/>
            <w:hideMark/>
          </w:tcPr>
          <w:p w14:paraId="10D53A6F" w14:textId="77777777" w:rsidR="00F72B18" w:rsidRPr="002048A7" w:rsidRDefault="00F72B18" w:rsidP="00F72B18">
            <w:pPr>
              <w:spacing w:after="0" w:line="240" w:lineRule="auto"/>
              <w:jc w:val="center"/>
              <w:rPr>
                <w:rFonts w:ascii="Calibri" w:eastAsia="Times New Roman" w:hAnsi="Calibri" w:cs="Calibri"/>
                <w:b/>
                <w:bCs/>
                <w:color w:val="FFFFFF"/>
                <w:sz w:val="20"/>
                <w:szCs w:val="20"/>
                <w:lang w:eastAsia="tr-TR"/>
              </w:rPr>
            </w:pPr>
            <w:r w:rsidRPr="002048A7">
              <w:rPr>
                <w:rFonts w:ascii="Calibri" w:eastAsia="Times New Roman" w:hAnsi="Calibri" w:cs="Calibri"/>
                <w:b/>
                <w:bCs/>
                <w:color w:val="FFFFFF"/>
                <w:sz w:val="20"/>
                <w:szCs w:val="20"/>
                <w:lang w:eastAsia="tr-TR"/>
              </w:rPr>
              <w:t>Toplam/Ortalama Değerler</w:t>
            </w:r>
          </w:p>
        </w:tc>
      </w:tr>
      <w:tr w:rsidR="00F72B18" w:rsidRPr="002048A7" w14:paraId="357CBB92" w14:textId="77777777" w:rsidTr="007A1231">
        <w:trPr>
          <w:trHeight w:val="20"/>
        </w:trPr>
        <w:tc>
          <w:tcPr>
            <w:tcW w:w="1800" w:type="pct"/>
            <w:shd w:val="clear" w:color="auto" w:fill="auto"/>
            <w:noWrap/>
            <w:vAlign w:val="center"/>
            <w:hideMark/>
          </w:tcPr>
          <w:p w14:paraId="399F6A48" w14:textId="77777777" w:rsidR="00F72B18" w:rsidRPr="002048A7" w:rsidRDefault="00F72B18" w:rsidP="00F72B18">
            <w:pPr>
              <w:spacing w:after="0" w:line="240" w:lineRule="auto"/>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Toplam Karar Sayısı</w:t>
            </w:r>
          </w:p>
        </w:tc>
        <w:tc>
          <w:tcPr>
            <w:tcW w:w="557" w:type="pct"/>
            <w:shd w:val="clear" w:color="auto" w:fill="auto"/>
            <w:vAlign w:val="center"/>
          </w:tcPr>
          <w:p w14:paraId="33BD24A6" w14:textId="77777777" w:rsidR="00F72B18" w:rsidRPr="002048A7" w:rsidRDefault="00F72B18" w:rsidP="00F72B18">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9.617</w:t>
            </w:r>
          </w:p>
        </w:tc>
        <w:tc>
          <w:tcPr>
            <w:tcW w:w="546" w:type="pct"/>
            <w:shd w:val="clear" w:color="auto" w:fill="auto"/>
            <w:noWrap/>
            <w:vAlign w:val="center"/>
          </w:tcPr>
          <w:p w14:paraId="7A33BBA2" w14:textId="77777777" w:rsidR="00F72B18" w:rsidRPr="002048A7" w:rsidRDefault="00F72B18" w:rsidP="00F72B18">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5.212</w:t>
            </w:r>
          </w:p>
        </w:tc>
        <w:tc>
          <w:tcPr>
            <w:tcW w:w="359" w:type="pct"/>
            <w:shd w:val="clear" w:color="auto" w:fill="auto"/>
            <w:noWrap/>
            <w:vAlign w:val="center"/>
          </w:tcPr>
          <w:p w14:paraId="2DB2330F" w14:textId="77777777" w:rsidR="00F72B18" w:rsidRPr="002048A7" w:rsidRDefault="00F72B18" w:rsidP="00F72B18">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4.60</w:t>
            </w:r>
            <w:r w:rsidR="001C6551">
              <w:rPr>
                <w:rFonts w:ascii="Calibri" w:eastAsia="Times New Roman" w:hAnsi="Calibri" w:cs="Calibri"/>
                <w:color w:val="000000"/>
                <w:lang w:eastAsia="tr-TR"/>
              </w:rPr>
              <w:t>1</w:t>
            </w:r>
          </w:p>
        </w:tc>
        <w:tc>
          <w:tcPr>
            <w:tcW w:w="359" w:type="pct"/>
            <w:shd w:val="clear" w:color="auto" w:fill="auto"/>
            <w:noWrap/>
            <w:vAlign w:val="center"/>
          </w:tcPr>
          <w:p w14:paraId="285D8E02" w14:textId="77777777" w:rsidR="00F72B18" w:rsidRPr="002048A7" w:rsidRDefault="00F72B18" w:rsidP="00F72B18">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7.482</w:t>
            </w:r>
          </w:p>
        </w:tc>
        <w:tc>
          <w:tcPr>
            <w:tcW w:w="454" w:type="pct"/>
            <w:noWrap/>
            <w:vAlign w:val="center"/>
          </w:tcPr>
          <w:p w14:paraId="281DA81D" w14:textId="73C5E011" w:rsidR="00F72B18" w:rsidRPr="002048A7" w:rsidRDefault="00F72B18" w:rsidP="00F72B18">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5.</w:t>
            </w:r>
            <w:r w:rsidR="00494A08">
              <w:rPr>
                <w:rFonts w:ascii="Calibri" w:eastAsia="Times New Roman" w:hAnsi="Calibri" w:cs="Calibri"/>
                <w:color w:val="000000"/>
                <w:lang w:eastAsia="tr-TR"/>
              </w:rPr>
              <w:t>213</w:t>
            </w:r>
          </w:p>
        </w:tc>
        <w:tc>
          <w:tcPr>
            <w:tcW w:w="925" w:type="pct"/>
            <w:vAlign w:val="center"/>
          </w:tcPr>
          <w:p w14:paraId="14C71BA8" w14:textId="2ECA7A89" w:rsidR="00F72B18" w:rsidRPr="002048A7" w:rsidRDefault="00F72B18" w:rsidP="00F72B18">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6.4</w:t>
            </w:r>
            <w:r w:rsidR="00494A08">
              <w:rPr>
                <w:rFonts w:ascii="Calibri" w:eastAsia="Times New Roman" w:hAnsi="Calibri" w:cs="Calibri"/>
                <w:color w:val="000000"/>
                <w:lang w:eastAsia="tr-TR"/>
              </w:rPr>
              <w:t>25</w:t>
            </w:r>
          </w:p>
        </w:tc>
      </w:tr>
      <w:tr w:rsidR="00F72B18" w:rsidRPr="002048A7" w14:paraId="5D9BD2EE" w14:textId="77777777" w:rsidTr="007A1231">
        <w:trPr>
          <w:trHeight w:val="20"/>
        </w:trPr>
        <w:tc>
          <w:tcPr>
            <w:tcW w:w="1800" w:type="pct"/>
            <w:shd w:val="clear" w:color="auto" w:fill="auto"/>
            <w:noWrap/>
            <w:vAlign w:val="center"/>
            <w:hideMark/>
          </w:tcPr>
          <w:p w14:paraId="0D34AB15" w14:textId="77777777" w:rsidR="00F72B18" w:rsidRPr="002048A7" w:rsidRDefault="00F72B18" w:rsidP="00F72B18">
            <w:pPr>
              <w:spacing w:after="0" w:line="240" w:lineRule="auto"/>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Toplantı Sayısı</w:t>
            </w:r>
          </w:p>
        </w:tc>
        <w:tc>
          <w:tcPr>
            <w:tcW w:w="557" w:type="pct"/>
            <w:shd w:val="clear" w:color="auto" w:fill="auto"/>
            <w:vAlign w:val="center"/>
          </w:tcPr>
          <w:p w14:paraId="3893EC57" w14:textId="77777777" w:rsidR="00F72B18" w:rsidRPr="002048A7" w:rsidRDefault="00F72B18" w:rsidP="00F72B18">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59</w:t>
            </w:r>
          </w:p>
        </w:tc>
        <w:tc>
          <w:tcPr>
            <w:tcW w:w="546" w:type="pct"/>
            <w:shd w:val="clear" w:color="auto" w:fill="auto"/>
            <w:noWrap/>
            <w:vAlign w:val="center"/>
          </w:tcPr>
          <w:p w14:paraId="1DDEA9C9" w14:textId="77777777" w:rsidR="00F72B18" w:rsidRPr="002048A7" w:rsidRDefault="00F72B18" w:rsidP="00F72B18">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55</w:t>
            </w:r>
          </w:p>
        </w:tc>
        <w:tc>
          <w:tcPr>
            <w:tcW w:w="359" w:type="pct"/>
            <w:shd w:val="clear" w:color="auto" w:fill="auto"/>
            <w:noWrap/>
            <w:vAlign w:val="center"/>
          </w:tcPr>
          <w:p w14:paraId="0224583E" w14:textId="77777777" w:rsidR="00F72B18" w:rsidRPr="002048A7" w:rsidRDefault="00F72B18" w:rsidP="00F72B18">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58</w:t>
            </w:r>
          </w:p>
        </w:tc>
        <w:tc>
          <w:tcPr>
            <w:tcW w:w="359" w:type="pct"/>
            <w:shd w:val="clear" w:color="auto" w:fill="auto"/>
            <w:noWrap/>
            <w:vAlign w:val="center"/>
          </w:tcPr>
          <w:p w14:paraId="4759FC4B" w14:textId="77777777" w:rsidR="00F72B18" w:rsidRPr="002048A7" w:rsidRDefault="00F72B18" w:rsidP="00F72B18">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53</w:t>
            </w:r>
          </w:p>
        </w:tc>
        <w:tc>
          <w:tcPr>
            <w:tcW w:w="454" w:type="pct"/>
            <w:noWrap/>
            <w:vAlign w:val="center"/>
          </w:tcPr>
          <w:p w14:paraId="6230A4CF" w14:textId="578EA1B7" w:rsidR="00F72B18" w:rsidRPr="002048A7" w:rsidRDefault="00F72B18" w:rsidP="00F72B18">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5</w:t>
            </w:r>
            <w:r w:rsidR="00494A08">
              <w:rPr>
                <w:rFonts w:ascii="Calibri" w:eastAsia="Times New Roman" w:hAnsi="Calibri" w:cs="Calibri"/>
                <w:color w:val="000000"/>
                <w:lang w:eastAsia="tr-TR"/>
              </w:rPr>
              <w:t>1</w:t>
            </w:r>
          </w:p>
        </w:tc>
        <w:tc>
          <w:tcPr>
            <w:tcW w:w="925" w:type="pct"/>
            <w:vAlign w:val="center"/>
          </w:tcPr>
          <w:p w14:paraId="7F2F88B0" w14:textId="77777777" w:rsidR="00F72B18" w:rsidRPr="002048A7" w:rsidRDefault="00F72B18" w:rsidP="00F72B18">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5</w:t>
            </w:r>
            <w:r>
              <w:rPr>
                <w:rFonts w:ascii="Calibri" w:eastAsia="Times New Roman" w:hAnsi="Calibri" w:cs="Calibri"/>
                <w:color w:val="000000"/>
                <w:lang w:eastAsia="tr-TR"/>
              </w:rPr>
              <w:t>5</w:t>
            </w:r>
          </w:p>
        </w:tc>
      </w:tr>
      <w:tr w:rsidR="00F72B18" w:rsidRPr="002048A7" w14:paraId="1BFD5CC5" w14:textId="77777777" w:rsidTr="007A1231">
        <w:trPr>
          <w:trHeight w:val="20"/>
        </w:trPr>
        <w:tc>
          <w:tcPr>
            <w:tcW w:w="1800" w:type="pct"/>
            <w:shd w:val="clear" w:color="auto" w:fill="auto"/>
            <w:noWrap/>
            <w:vAlign w:val="center"/>
            <w:hideMark/>
          </w:tcPr>
          <w:p w14:paraId="3DF7CC34" w14:textId="77777777" w:rsidR="00F72B18" w:rsidRPr="002048A7" w:rsidRDefault="00F72B18" w:rsidP="00F72B18">
            <w:pPr>
              <w:spacing w:after="0" w:line="240" w:lineRule="auto"/>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Toplantı Başına Ortalama Karar Sayısı</w:t>
            </w:r>
          </w:p>
        </w:tc>
        <w:tc>
          <w:tcPr>
            <w:tcW w:w="557" w:type="pct"/>
            <w:shd w:val="clear" w:color="auto" w:fill="auto"/>
            <w:vAlign w:val="center"/>
          </w:tcPr>
          <w:p w14:paraId="6661B543" w14:textId="77777777" w:rsidR="00F72B18" w:rsidRPr="002048A7" w:rsidRDefault="00F72B18" w:rsidP="00F72B18">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163</w:t>
            </w:r>
          </w:p>
        </w:tc>
        <w:tc>
          <w:tcPr>
            <w:tcW w:w="546" w:type="pct"/>
            <w:shd w:val="clear" w:color="auto" w:fill="auto"/>
            <w:noWrap/>
            <w:vAlign w:val="center"/>
          </w:tcPr>
          <w:p w14:paraId="4D73CB64" w14:textId="77777777" w:rsidR="00F72B18" w:rsidRPr="002048A7" w:rsidRDefault="00F72B18" w:rsidP="00F72B18">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95</w:t>
            </w:r>
          </w:p>
        </w:tc>
        <w:tc>
          <w:tcPr>
            <w:tcW w:w="359" w:type="pct"/>
            <w:shd w:val="clear" w:color="auto" w:fill="auto"/>
            <w:noWrap/>
            <w:vAlign w:val="center"/>
          </w:tcPr>
          <w:p w14:paraId="6E4EA56D" w14:textId="77777777" w:rsidR="00F72B18" w:rsidRPr="002048A7" w:rsidRDefault="00F72B18" w:rsidP="00F72B18">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80</w:t>
            </w:r>
          </w:p>
        </w:tc>
        <w:tc>
          <w:tcPr>
            <w:tcW w:w="359" w:type="pct"/>
            <w:shd w:val="clear" w:color="auto" w:fill="auto"/>
            <w:noWrap/>
            <w:vAlign w:val="center"/>
          </w:tcPr>
          <w:p w14:paraId="5A2D283A" w14:textId="77777777" w:rsidR="00F72B18" w:rsidRPr="002048A7" w:rsidRDefault="00F72B18" w:rsidP="00F72B18">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141</w:t>
            </w:r>
          </w:p>
        </w:tc>
        <w:tc>
          <w:tcPr>
            <w:tcW w:w="454" w:type="pct"/>
            <w:noWrap/>
            <w:vAlign w:val="center"/>
          </w:tcPr>
          <w:p w14:paraId="116D2CFD" w14:textId="2119EE62" w:rsidR="00F72B18" w:rsidRPr="002048A7" w:rsidRDefault="00F72B18" w:rsidP="00F72B18">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10</w:t>
            </w:r>
            <w:r w:rsidR="00494A08">
              <w:rPr>
                <w:rFonts w:ascii="Calibri" w:eastAsia="Times New Roman" w:hAnsi="Calibri" w:cs="Calibri"/>
                <w:color w:val="000000"/>
                <w:lang w:eastAsia="tr-TR"/>
              </w:rPr>
              <w:t>2</w:t>
            </w:r>
          </w:p>
        </w:tc>
        <w:tc>
          <w:tcPr>
            <w:tcW w:w="925" w:type="pct"/>
            <w:vAlign w:val="center"/>
          </w:tcPr>
          <w:p w14:paraId="24639950" w14:textId="77777777" w:rsidR="00F72B18" w:rsidRPr="002048A7" w:rsidRDefault="00F72B18" w:rsidP="00F72B18">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116</w:t>
            </w:r>
          </w:p>
        </w:tc>
      </w:tr>
    </w:tbl>
    <w:p w14:paraId="61DCA8B6" w14:textId="77777777" w:rsidR="009F6B4A" w:rsidRPr="002048A7" w:rsidRDefault="009F6B4A" w:rsidP="009F6B4A">
      <w:pPr>
        <w:spacing w:after="0"/>
        <w:rPr>
          <w:color w:val="000000" w:themeColor="text1"/>
        </w:rPr>
      </w:pPr>
    </w:p>
    <w:p w14:paraId="69414254" w14:textId="53DD5466" w:rsidR="007135AE" w:rsidRPr="002048A7" w:rsidRDefault="009F6B4A" w:rsidP="00227DB0">
      <w:pPr>
        <w:spacing w:after="120"/>
        <w:rPr>
          <w:color w:val="000000" w:themeColor="text1"/>
        </w:rPr>
      </w:pPr>
      <w:r w:rsidRPr="002048A7">
        <w:rPr>
          <w:color w:val="000000" w:themeColor="text1"/>
        </w:rPr>
        <w:t xml:space="preserve">Yukarıdaki </w:t>
      </w:r>
      <w:r w:rsidR="00393398" w:rsidRPr="002048A7">
        <w:rPr>
          <w:color w:val="000000" w:themeColor="text1"/>
        </w:rPr>
        <w:t>T</w:t>
      </w:r>
      <w:r w:rsidRPr="002048A7">
        <w:rPr>
          <w:color w:val="000000" w:themeColor="text1"/>
        </w:rPr>
        <w:t>ablo</w:t>
      </w:r>
      <w:r w:rsidR="00393398" w:rsidRPr="002048A7">
        <w:rPr>
          <w:color w:val="000000" w:themeColor="text1"/>
        </w:rPr>
        <w:t xml:space="preserve"> 1.3’te</w:t>
      </w:r>
      <w:r w:rsidRPr="002048A7">
        <w:rPr>
          <w:color w:val="000000" w:themeColor="text1"/>
        </w:rPr>
        <w:t xml:space="preserve"> görüldüğü üzere Kurul, 20</w:t>
      </w:r>
      <w:r w:rsidR="00056159">
        <w:rPr>
          <w:color w:val="000000" w:themeColor="text1"/>
        </w:rPr>
        <w:t>20</w:t>
      </w:r>
      <w:r w:rsidR="00BE17E4" w:rsidRPr="002048A7">
        <w:rPr>
          <w:color w:val="000000" w:themeColor="text1"/>
        </w:rPr>
        <w:t>-202</w:t>
      </w:r>
      <w:r w:rsidR="00056159">
        <w:rPr>
          <w:color w:val="000000" w:themeColor="text1"/>
        </w:rPr>
        <w:t>4</w:t>
      </w:r>
      <w:r w:rsidRPr="002048A7">
        <w:rPr>
          <w:color w:val="000000" w:themeColor="text1"/>
        </w:rPr>
        <w:t xml:space="preserve"> yılları arasındaki dönemde yıllık ortalama </w:t>
      </w:r>
      <w:r w:rsidR="00056159">
        <w:rPr>
          <w:color w:val="000000" w:themeColor="text1"/>
        </w:rPr>
        <w:t>6</w:t>
      </w:r>
      <w:r w:rsidR="00BE17E4" w:rsidRPr="002048A7">
        <w:rPr>
          <w:color w:val="000000" w:themeColor="text1"/>
        </w:rPr>
        <w:t>.</w:t>
      </w:r>
      <w:r w:rsidR="00056159">
        <w:rPr>
          <w:color w:val="000000" w:themeColor="text1"/>
        </w:rPr>
        <w:t>4</w:t>
      </w:r>
      <w:r w:rsidR="00494A08">
        <w:rPr>
          <w:color w:val="000000" w:themeColor="text1"/>
        </w:rPr>
        <w:t>25</w:t>
      </w:r>
      <w:r w:rsidR="00BE17E4" w:rsidRPr="002048A7">
        <w:rPr>
          <w:color w:val="000000" w:themeColor="text1"/>
        </w:rPr>
        <w:t xml:space="preserve"> </w:t>
      </w:r>
      <w:r w:rsidRPr="002048A7">
        <w:rPr>
          <w:color w:val="000000" w:themeColor="text1"/>
        </w:rPr>
        <w:t xml:space="preserve">karar almıştır. Bahse konu dönemde toplantı başına ortalama </w:t>
      </w:r>
      <w:r w:rsidR="00056159">
        <w:rPr>
          <w:color w:val="000000" w:themeColor="text1"/>
        </w:rPr>
        <w:t>116</w:t>
      </w:r>
      <w:r w:rsidRPr="002048A7">
        <w:rPr>
          <w:color w:val="000000" w:themeColor="text1"/>
        </w:rPr>
        <w:t xml:space="preserve"> Kurul Kararı alınmıştır. </w:t>
      </w:r>
    </w:p>
    <w:p w14:paraId="079A8628" w14:textId="77777777" w:rsidR="005811A6" w:rsidRPr="002048A7" w:rsidRDefault="005811A6" w:rsidP="005811A6">
      <w:pPr>
        <w:pStyle w:val="Balk5"/>
        <w:jc w:val="center"/>
        <w:rPr>
          <w:rStyle w:val="Gl"/>
          <w:color w:val="auto"/>
        </w:rPr>
      </w:pPr>
      <w:bookmarkStart w:id="22" w:name="_Toc195868797"/>
      <w:r w:rsidRPr="002048A7">
        <w:rPr>
          <w:rStyle w:val="Gl"/>
          <w:color w:val="auto"/>
        </w:rPr>
        <w:t xml:space="preserve">Şekil 1.2: </w:t>
      </w:r>
      <w:r w:rsidR="001978FE" w:rsidRPr="002048A7">
        <w:rPr>
          <w:rStyle w:val="Gl"/>
          <w:bCs w:val="0"/>
          <w:color w:val="auto"/>
        </w:rPr>
        <w:t>20</w:t>
      </w:r>
      <w:r w:rsidR="00056159">
        <w:rPr>
          <w:rStyle w:val="Gl"/>
          <w:bCs w:val="0"/>
          <w:color w:val="auto"/>
        </w:rPr>
        <w:t>20</w:t>
      </w:r>
      <w:r w:rsidR="001978FE" w:rsidRPr="002048A7">
        <w:rPr>
          <w:rStyle w:val="Gl"/>
          <w:bCs w:val="0"/>
          <w:color w:val="auto"/>
        </w:rPr>
        <w:t>-202</w:t>
      </w:r>
      <w:r w:rsidR="00056159">
        <w:rPr>
          <w:rStyle w:val="Gl"/>
          <w:bCs w:val="0"/>
          <w:color w:val="auto"/>
        </w:rPr>
        <w:t>4</w:t>
      </w:r>
      <w:r w:rsidRPr="002048A7">
        <w:rPr>
          <w:rStyle w:val="Gl"/>
          <w:bCs w:val="0"/>
          <w:color w:val="auto"/>
        </w:rPr>
        <w:t xml:space="preserve"> Yılları Arasında Alınan Kurul Kararlarının Dağılımı</w:t>
      </w:r>
      <w:bookmarkEnd w:id="22"/>
    </w:p>
    <w:p w14:paraId="4E1966C0" w14:textId="5007C5ED" w:rsidR="009F6B4A" w:rsidRPr="002048A7" w:rsidRDefault="00494A08" w:rsidP="008C40F5">
      <w:pPr>
        <w:spacing w:after="0"/>
        <w:jc w:val="center"/>
        <w:rPr>
          <w:color w:val="000000" w:themeColor="text1"/>
        </w:rPr>
      </w:pPr>
      <w:r>
        <w:rPr>
          <w:noProof/>
        </w:rPr>
        <w:drawing>
          <wp:inline distT="0" distB="0" distL="0" distR="0" wp14:anchorId="5540EC3D" wp14:editId="255C1991">
            <wp:extent cx="6257925" cy="3086100"/>
            <wp:effectExtent l="0" t="0" r="9525" b="0"/>
            <wp:docPr id="5" name="Grafik 5">
              <a:extLst xmlns:a="http://schemas.openxmlformats.org/drawingml/2006/main">
                <a:ext uri="{FF2B5EF4-FFF2-40B4-BE49-F238E27FC236}">
                  <a16:creationId xmlns:a16="http://schemas.microsoft.com/office/drawing/2014/main" id="{B8D402A6-6D9E-4848-9DBA-AC685CCC482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F87B2C2" w14:textId="77777777" w:rsidR="009F6B4A" w:rsidRPr="002048A7" w:rsidRDefault="009F6B4A" w:rsidP="00F91931">
      <w:pPr>
        <w:spacing w:before="120" w:after="120"/>
        <w:rPr>
          <w:color w:val="000000" w:themeColor="text1"/>
        </w:rPr>
      </w:pPr>
      <w:r w:rsidRPr="002048A7">
        <w:rPr>
          <w:color w:val="000000" w:themeColor="text1"/>
        </w:rPr>
        <w:lastRenderedPageBreak/>
        <w:t>Kurulun idari yaptırım kararlarına karşı yetkili idare mahkemesinde dava açılabilir. Kurul Kararlarına karşı açılan her türlü dava öncelikli işlerden sayılır.</w:t>
      </w:r>
    </w:p>
    <w:p w14:paraId="53E1A29A" w14:textId="77777777" w:rsidR="009F6B4A" w:rsidRPr="002048A7" w:rsidRDefault="009F6B4A" w:rsidP="00495438">
      <w:pPr>
        <w:spacing w:after="120"/>
        <w:rPr>
          <w:color w:val="000000" w:themeColor="text1"/>
        </w:rPr>
      </w:pPr>
      <w:r w:rsidRPr="002048A7">
        <w:rPr>
          <w:color w:val="000000" w:themeColor="text1"/>
        </w:rPr>
        <w:t>6446 sayılı Elektrik Piyasası Kanunu, 4646 sayılı Doğal Gaz Piyasası Kanunu, 5015 sayılı Petrol Piyasası Kanunu ve 5307 sayılı Sıvılaştırılmış Petrol Gazları (LPG) Piyasası Kanunu</w:t>
      </w:r>
      <w:r w:rsidR="005C6A95" w:rsidRPr="002048A7">
        <w:rPr>
          <w:color w:val="000000" w:themeColor="text1"/>
        </w:rPr>
        <w:t xml:space="preserve"> ve Elektrik Piyasası Kanunu</w:t>
      </w:r>
      <w:r w:rsidR="00893063" w:rsidRPr="002048A7">
        <w:rPr>
          <w:color w:val="000000" w:themeColor="text1"/>
        </w:rPr>
        <w:t>’</w:t>
      </w:r>
      <w:r w:rsidR="005C6A95" w:rsidRPr="002048A7">
        <w:rPr>
          <w:color w:val="000000" w:themeColor="text1"/>
        </w:rPr>
        <w:t>nda Değişiklik Yapılmasına Dair Kanun</w:t>
      </w:r>
      <w:r w:rsidR="00FD1434" w:rsidRPr="002048A7">
        <w:rPr>
          <w:color w:val="000000" w:themeColor="text1"/>
        </w:rPr>
        <w:t>’</w:t>
      </w:r>
      <w:r w:rsidRPr="002048A7">
        <w:rPr>
          <w:color w:val="000000" w:themeColor="text1"/>
        </w:rPr>
        <w:t>un bazı maddelerinde Kurula çeşitli görev ve yetkiler verilmiştir. Ayrıca Kurulun görev ve yetkileri toplu bir şekilde 4628 sayılı Kanunun 5, 5/A, 5/B ve 5/C maddelerinde yer almaktadır.</w:t>
      </w:r>
    </w:p>
    <w:p w14:paraId="1227DDE4" w14:textId="77777777" w:rsidR="00C553AB" w:rsidRPr="002048A7" w:rsidRDefault="00C553AB" w:rsidP="000A5A56">
      <w:pPr>
        <w:pStyle w:val="Balk3"/>
        <w:numPr>
          <w:ilvl w:val="2"/>
          <w:numId w:val="11"/>
        </w:numPr>
        <w:spacing w:before="0" w:after="120"/>
        <w:rPr>
          <w:rFonts w:asciiTheme="minorHAnsi" w:hAnsiTheme="minorHAnsi"/>
          <w:color w:val="000000" w:themeColor="text1"/>
        </w:rPr>
      </w:pPr>
      <w:bookmarkStart w:id="23" w:name="_Toc442431227"/>
      <w:bookmarkStart w:id="24" w:name="_Toc195868662"/>
      <w:r w:rsidRPr="002048A7">
        <w:rPr>
          <w:rFonts w:asciiTheme="minorHAnsi" w:hAnsiTheme="minorHAnsi"/>
          <w:color w:val="000000" w:themeColor="text1"/>
        </w:rPr>
        <w:t>Başkanlık</w:t>
      </w:r>
      <w:bookmarkEnd w:id="23"/>
      <w:bookmarkEnd w:id="24"/>
    </w:p>
    <w:p w14:paraId="1E78358B" w14:textId="77777777" w:rsidR="00CA1EF2" w:rsidRPr="002048A7" w:rsidRDefault="00C553AB" w:rsidP="00495438">
      <w:pPr>
        <w:spacing w:after="120"/>
      </w:pPr>
      <w:r w:rsidRPr="002048A7">
        <w:t>Kurul Başkanı, aynı zamanda Kurumun da başkanıdır. Hizmet birimlerinin uyumlu, verimli, disiplinli ve düzenli biçimde çalışması, hizmet birimleri ile Kurul arasında organizasyon ve koordinasyon Başkan tarafından sağlanır. Başkan, Kurul Kararlarının gereğinin yerine getirilmesinden ve Kurulun temsilinden sorumludur. Bu sorumluluk; Kurulun işleri ile ilgili olarak kamu</w:t>
      </w:r>
      <w:r w:rsidR="00092967" w:rsidRPr="002048A7">
        <w:t>oyuna</w:t>
      </w:r>
      <w:r w:rsidRPr="002048A7">
        <w:t xml:space="preserve"> bilgi verilmesi görevini de kapsar. Başkanlık tarafından Kurum personeline verilen yetkiler hariç olmak üzere, Kurumun tüm kararları Kurul tarafından alınır. Kurul, uygun bulduğu konularda Başkanlığı görevlendirebilir veya yetkilendire</w:t>
      </w:r>
      <w:r w:rsidR="00CA1EF2" w:rsidRPr="002048A7">
        <w:t>bilir.</w:t>
      </w:r>
    </w:p>
    <w:p w14:paraId="04AAD471" w14:textId="77777777" w:rsidR="00CA1EF2" w:rsidRPr="002048A7" w:rsidRDefault="00C553AB" w:rsidP="00495438">
      <w:pPr>
        <w:spacing w:after="120"/>
      </w:pPr>
      <w:r w:rsidRPr="002048A7">
        <w:t>İkinci Başkan, Başkanın yokluğunda Başkanın görevl</w:t>
      </w:r>
      <w:r w:rsidR="00CA1EF2" w:rsidRPr="002048A7">
        <w:t xml:space="preserve">erini ve yetkilerini üstlenir. </w:t>
      </w:r>
    </w:p>
    <w:p w14:paraId="28A49658" w14:textId="77777777" w:rsidR="00C553AB" w:rsidRPr="002048A7" w:rsidRDefault="00C553AB" w:rsidP="00495438">
      <w:pPr>
        <w:spacing w:after="120"/>
      </w:pPr>
      <w:r w:rsidRPr="002048A7">
        <w:t>Başkana,</w:t>
      </w:r>
      <w:r w:rsidR="000A052B" w:rsidRPr="002048A7">
        <w:t xml:space="preserve"> </w:t>
      </w:r>
      <w:r w:rsidRPr="002048A7">
        <w:t>Kurum</w:t>
      </w:r>
      <w:r w:rsidR="00CD3401" w:rsidRPr="002048A7">
        <w:t xml:space="preserve"> </w:t>
      </w:r>
      <w:r w:rsidRPr="002048A7">
        <w:t>Başkanlığına ilişkin görevlerinde yardımcı olmak üzere Kurul Kar</w:t>
      </w:r>
      <w:r w:rsidR="00B36356" w:rsidRPr="002048A7">
        <w:t xml:space="preserve">arıyla </w:t>
      </w:r>
      <w:r w:rsidR="00393398" w:rsidRPr="002048A7">
        <w:t>üç</w:t>
      </w:r>
      <w:r w:rsidR="00B36356" w:rsidRPr="002048A7">
        <w:t xml:space="preserve"> b</w:t>
      </w:r>
      <w:r w:rsidRPr="002048A7">
        <w:t>aşkan yardımcısı atanabilir. Başkan yardımcıları, Başkan tarafından verilen görev ve talimatların yerine getirilmesinden ve ilgili hizmet birimleri arasında koordinasyo</w:t>
      </w:r>
      <w:r w:rsidR="00495438" w:rsidRPr="002048A7">
        <w:t xml:space="preserve">nun sağlanmasından sorumludur. </w:t>
      </w:r>
    </w:p>
    <w:p w14:paraId="4D2876A6" w14:textId="77777777" w:rsidR="00C553AB" w:rsidRPr="002048A7" w:rsidRDefault="00C553AB" w:rsidP="00495438">
      <w:pPr>
        <w:spacing w:after="120"/>
      </w:pPr>
      <w:r w:rsidRPr="002048A7">
        <w:t xml:space="preserve">Başkanlığın görev ve yetkileri, 4628 sayılı </w:t>
      </w:r>
      <w:r w:rsidR="00CA1EF2" w:rsidRPr="002048A7">
        <w:t>Kanun</w:t>
      </w:r>
      <w:r w:rsidR="00FF7F61" w:rsidRPr="002048A7">
        <w:t>un 5</w:t>
      </w:r>
      <w:r w:rsidR="00893063" w:rsidRPr="002048A7">
        <w:t>’</w:t>
      </w:r>
      <w:r w:rsidRPr="002048A7">
        <w:t xml:space="preserve">inci maddesinin </w:t>
      </w:r>
      <w:r w:rsidR="001D6515" w:rsidRPr="002048A7">
        <w:t>sekizinci</w:t>
      </w:r>
      <w:r w:rsidRPr="002048A7">
        <w:t xml:space="preserve"> fıkrasında tanımlanmıştır.</w:t>
      </w:r>
    </w:p>
    <w:p w14:paraId="245C9F7D" w14:textId="77777777" w:rsidR="00C553AB" w:rsidRPr="002048A7" w:rsidRDefault="00C553AB" w:rsidP="000A5A56">
      <w:pPr>
        <w:pStyle w:val="Balk3"/>
        <w:numPr>
          <w:ilvl w:val="2"/>
          <w:numId w:val="11"/>
        </w:numPr>
        <w:spacing w:before="0" w:after="120"/>
        <w:rPr>
          <w:rFonts w:asciiTheme="minorHAnsi" w:hAnsiTheme="minorHAnsi"/>
          <w:color w:val="auto"/>
        </w:rPr>
      </w:pPr>
      <w:bookmarkStart w:id="25" w:name="_Toc442431228"/>
      <w:bookmarkStart w:id="26" w:name="_Toc195868663"/>
      <w:r w:rsidRPr="002048A7">
        <w:rPr>
          <w:rFonts w:asciiTheme="minorHAnsi" w:hAnsiTheme="minorHAnsi"/>
          <w:color w:val="auto"/>
        </w:rPr>
        <w:t>Hizmet Birimleri</w:t>
      </w:r>
      <w:bookmarkEnd w:id="25"/>
      <w:bookmarkEnd w:id="26"/>
    </w:p>
    <w:p w14:paraId="105F4871" w14:textId="77777777" w:rsidR="00C553AB" w:rsidRPr="002048A7" w:rsidRDefault="00C553AB" w:rsidP="00495438">
      <w:pPr>
        <w:spacing w:after="120"/>
      </w:pPr>
      <w:r w:rsidRPr="002048A7">
        <w:t>Kurumun hizmet birimleri ile bunların görev ve sorumlulukları, kadro unv</w:t>
      </w:r>
      <w:r w:rsidR="00C13F3C" w:rsidRPr="002048A7">
        <w:t>anları ve sayıları</w:t>
      </w:r>
      <w:r w:rsidR="002C4C2E" w:rsidRPr="002048A7">
        <w:t>,</w:t>
      </w:r>
      <w:r w:rsidR="00C13F3C" w:rsidRPr="002048A7">
        <w:t xml:space="preserve"> 4628 sayılı </w:t>
      </w:r>
      <w:r w:rsidRPr="002048A7">
        <w:t>Enerji Piyasası Düzenleme Kurumu Teşki</w:t>
      </w:r>
      <w:r w:rsidR="00C13F3C" w:rsidRPr="002048A7">
        <w:t>lat ve Görevleri Hakkında Kanun</w:t>
      </w:r>
      <w:r w:rsidR="004C4E00" w:rsidRPr="002048A7">
        <w:t xml:space="preserve"> ve 18.05.</w:t>
      </w:r>
      <w:r w:rsidRPr="002048A7">
        <w:t>2014 tarihli ve 29004 say</w:t>
      </w:r>
      <w:r w:rsidR="00C20BF0" w:rsidRPr="002048A7">
        <w:t xml:space="preserve">ılı </w:t>
      </w:r>
      <w:r w:rsidR="00393398" w:rsidRPr="002048A7">
        <w:t>Resmî</w:t>
      </w:r>
      <w:r w:rsidR="00C20BF0" w:rsidRPr="002048A7">
        <w:t xml:space="preserve"> </w:t>
      </w:r>
      <w:r w:rsidR="00274939" w:rsidRPr="002048A7">
        <w:t>Gazetede</w:t>
      </w:r>
      <w:r w:rsidR="00C13F3C" w:rsidRPr="002048A7">
        <w:t xml:space="preserve"> yayımlanan </w:t>
      </w:r>
      <w:r w:rsidRPr="002048A7">
        <w:t>Enerji Piyasası Düzenl</w:t>
      </w:r>
      <w:r w:rsidR="00C13F3C" w:rsidRPr="002048A7">
        <w:t>eme Kurumu Teşkilat Yönetmeliği</w:t>
      </w:r>
      <w:r w:rsidRPr="002048A7">
        <w:t xml:space="preserve">nde düzenlenmiştir. </w:t>
      </w:r>
    </w:p>
    <w:p w14:paraId="326ADC36" w14:textId="77777777" w:rsidR="00C553AB" w:rsidRPr="002048A7" w:rsidRDefault="00C553AB" w:rsidP="00A02EDE">
      <w:pPr>
        <w:spacing w:after="0"/>
      </w:pPr>
      <w:r w:rsidRPr="002048A7">
        <w:t xml:space="preserve">4628 sayılı Kanunda tanımlandığı üzere Kurum hizmet birimleri şunlardır: </w:t>
      </w:r>
    </w:p>
    <w:p w14:paraId="488ED032" w14:textId="77777777" w:rsidR="00C553AB" w:rsidRPr="002048A7" w:rsidRDefault="00C553AB" w:rsidP="00A02EDE">
      <w:pPr>
        <w:pStyle w:val="ListeParagraf"/>
        <w:numPr>
          <w:ilvl w:val="0"/>
          <w:numId w:val="1"/>
        </w:numPr>
        <w:spacing w:after="0"/>
      </w:pPr>
      <w:r w:rsidRPr="002048A7">
        <w:t>Elektrik Piyasası Dairesi Başkanlığı</w:t>
      </w:r>
    </w:p>
    <w:p w14:paraId="29D5DA11" w14:textId="77777777" w:rsidR="00C553AB" w:rsidRPr="002048A7" w:rsidRDefault="00C553AB" w:rsidP="00A02EDE">
      <w:pPr>
        <w:pStyle w:val="ListeParagraf"/>
        <w:numPr>
          <w:ilvl w:val="0"/>
          <w:numId w:val="1"/>
        </w:numPr>
        <w:spacing w:after="0"/>
      </w:pPr>
      <w:r w:rsidRPr="002048A7">
        <w:t>Doğal Gaz Piyasası Dairesi Başkanlığı</w:t>
      </w:r>
    </w:p>
    <w:p w14:paraId="0C1B9818" w14:textId="77777777" w:rsidR="00C553AB" w:rsidRPr="002048A7" w:rsidRDefault="00C553AB" w:rsidP="00A02EDE">
      <w:pPr>
        <w:pStyle w:val="ListeParagraf"/>
        <w:numPr>
          <w:ilvl w:val="0"/>
          <w:numId w:val="1"/>
        </w:numPr>
        <w:spacing w:after="0"/>
      </w:pPr>
      <w:r w:rsidRPr="002048A7">
        <w:t>Petrol Piyasası Dairesi Başkanlığı</w:t>
      </w:r>
    </w:p>
    <w:p w14:paraId="19A68300" w14:textId="77777777" w:rsidR="00C553AB" w:rsidRPr="002048A7" w:rsidRDefault="00C553AB" w:rsidP="00A02EDE">
      <w:pPr>
        <w:spacing w:after="0"/>
        <w:ind w:left="360"/>
      </w:pPr>
      <w:proofErr w:type="gramStart"/>
      <w:r w:rsidRPr="002048A7">
        <w:t>ç</w:t>
      </w:r>
      <w:proofErr w:type="gramEnd"/>
      <w:r w:rsidRPr="002048A7">
        <w:t>)</w:t>
      </w:r>
      <w:r w:rsidRPr="002048A7">
        <w:tab/>
        <w:t>Sıvılaştırılmış Petrol Gazları Piyasası Dairesi Başkanlığı</w:t>
      </w:r>
    </w:p>
    <w:p w14:paraId="23FC45E8" w14:textId="77777777" w:rsidR="00C553AB" w:rsidRPr="002048A7" w:rsidRDefault="00C553AB" w:rsidP="00A02EDE">
      <w:pPr>
        <w:pStyle w:val="ListeParagraf"/>
        <w:numPr>
          <w:ilvl w:val="0"/>
          <w:numId w:val="1"/>
        </w:numPr>
        <w:spacing w:after="0"/>
      </w:pPr>
      <w:r w:rsidRPr="002048A7">
        <w:t>Tarifeler Dairesi Başkanlığı</w:t>
      </w:r>
    </w:p>
    <w:p w14:paraId="2012A3E2" w14:textId="77777777" w:rsidR="00C553AB" w:rsidRPr="002048A7" w:rsidRDefault="00C553AB" w:rsidP="00A02EDE">
      <w:pPr>
        <w:pStyle w:val="ListeParagraf"/>
        <w:numPr>
          <w:ilvl w:val="0"/>
          <w:numId w:val="1"/>
        </w:numPr>
        <w:spacing w:after="0"/>
      </w:pPr>
      <w:r w:rsidRPr="002048A7">
        <w:t>Denetim Dairesi Başkanlığı</w:t>
      </w:r>
    </w:p>
    <w:p w14:paraId="0625DD56" w14:textId="77777777" w:rsidR="00C553AB" w:rsidRPr="002048A7" w:rsidRDefault="00C553AB" w:rsidP="00A02EDE">
      <w:pPr>
        <w:pStyle w:val="ListeParagraf"/>
        <w:numPr>
          <w:ilvl w:val="0"/>
          <w:numId w:val="1"/>
        </w:numPr>
        <w:spacing w:after="0"/>
      </w:pPr>
      <w:r w:rsidRPr="002048A7">
        <w:t>Kamulaştırma Dairesi Başkanlığı</w:t>
      </w:r>
    </w:p>
    <w:p w14:paraId="75A8E39C" w14:textId="77777777" w:rsidR="00C553AB" w:rsidRPr="002048A7" w:rsidRDefault="00C553AB" w:rsidP="00A02EDE">
      <w:pPr>
        <w:pStyle w:val="ListeParagraf"/>
        <w:numPr>
          <w:ilvl w:val="0"/>
          <w:numId w:val="1"/>
        </w:numPr>
        <w:spacing w:after="0"/>
      </w:pPr>
      <w:r w:rsidRPr="002048A7">
        <w:t>Hukuk Dairesi Başkanlığı</w:t>
      </w:r>
    </w:p>
    <w:p w14:paraId="6B30E0CA" w14:textId="77777777" w:rsidR="00C553AB" w:rsidRPr="002048A7" w:rsidRDefault="00C553AB" w:rsidP="00A02EDE">
      <w:pPr>
        <w:spacing w:after="0"/>
        <w:ind w:left="360"/>
      </w:pPr>
      <w:proofErr w:type="gramStart"/>
      <w:r w:rsidRPr="002048A7">
        <w:t>ğ</w:t>
      </w:r>
      <w:proofErr w:type="gramEnd"/>
      <w:r w:rsidRPr="002048A7">
        <w:t>)</w:t>
      </w:r>
      <w:r w:rsidRPr="002048A7">
        <w:tab/>
        <w:t>Strateji Geliştirme Dairesi Başkanlığı</w:t>
      </w:r>
    </w:p>
    <w:p w14:paraId="4D2C8ECE" w14:textId="77777777" w:rsidR="003E0739" w:rsidRPr="002048A7" w:rsidRDefault="00C553AB" w:rsidP="003E0739">
      <w:pPr>
        <w:pStyle w:val="ListeParagraf"/>
        <w:numPr>
          <w:ilvl w:val="0"/>
          <w:numId w:val="1"/>
        </w:numPr>
        <w:spacing w:after="0"/>
      </w:pPr>
      <w:r w:rsidRPr="002048A7">
        <w:t>İnsan Kaynakları ve Destek Hizmetleri Dairesi Başkanlığı</w:t>
      </w:r>
    </w:p>
    <w:p w14:paraId="416F648E" w14:textId="77777777" w:rsidR="0023029E" w:rsidRPr="002048A7" w:rsidRDefault="003E0739" w:rsidP="0025080A">
      <w:pPr>
        <w:pStyle w:val="ListeParagraf"/>
        <w:numPr>
          <w:ilvl w:val="0"/>
          <w:numId w:val="17"/>
        </w:numPr>
        <w:spacing w:after="0"/>
        <w:ind w:left="709" w:hanging="349"/>
      </w:pPr>
      <w:r w:rsidRPr="002048A7">
        <w:t>Bilgi İşlem Dairesi Başkanlığı</w:t>
      </w:r>
    </w:p>
    <w:p w14:paraId="69716EC1" w14:textId="77777777" w:rsidR="00C553AB" w:rsidRPr="002048A7" w:rsidRDefault="0023029E" w:rsidP="003E0739">
      <w:pPr>
        <w:pStyle w:val="ListeParagraf"/>
        <w:numPr>
          <w:ilvl w:val="0"/>
          <w:numId w:val="1"/>
        </w:numPr>
        <w:spacing w:after="0"/>
      </w:pPr>
      <w:r w:rsidRPr="002048A7">
        <w:t>Enerji Dönüşüm Dairesi Başkanlığı</w:t>
      </w:r>
    </w:p>
    <w:p w14:paraId="3FB2D3C8" w14:textId="77777777" w:rsidR="0023029E" w:rsidRPr="002048A7" w:rsidRDefault="0023029E" w:rsidP="003E0739">
      <w:pPr>
        <w:pStyle w:val="ListeParagraf"/>
        <w:numPr>
          <w:ilvl w:val="0"/>
          <w:numId w:val="1"/>
        </w:numPr>
        <w:spacing w:after="0"/>
      </w:pPr>
      <w:r w:rsidRPr="002048A7">
        <w:t>Basın ve Halkla İlişkiler Müşavirliği</w:t>
      </w:r>
    </w:p>
    <w:p w14:paraId="4A736830" w14:textId="77777777" w:rsidR="00C553AB" w:rsidRPr="002048A7" w:rsidRDefault="0023029E" w:rsidP="003E0739">
      <w:pPr>
        <w:pStyle w:val="ListeParagraf"/>
        <w:numPr>
          <w:ilvl w:val="0"/>
          <w:numId w:val="1"/>
        </w:numPr>
        <w:spacing w:after="0"/>
      </w:pPr>
      <w:r w:rsidRPr="002048A7">
        <w:t>Kurul Hizmetleri Müdürlüğü</w:t>
      </w:r>
    </w:p>
    <w:p w14:paraId="4870CCAF" w14:textId="77777777" w:rsidR="0023029E" w:rsidRPr="002048A7" w:rsidRDefault="0023029E" w:rsidP="003E0739">
      <w:pPr>
        <w:pStyle w:val="ListeParagraf"/>
        <w:numPr>
          <w:ilvl w:val="0"/>
          <w:numId w:val="1"/>
        </w:numPr>
        <w:spacing w:after="0"/>
      </w:pPr>
      <w:r w:rsidRPr="002048A7">
        <w:t>Başkanlık Özel Kalem Müdürlüğü</w:t>
      </w:r>
    </w:p>
    <w:p w14:paraId="2A6927D9" w14:textId="77777777" w:rsidR="00C553AB" w:rsidRPr="002048A7" w:rsidRDefault="00C553AB" w:rsidP="00A02EDE">
      <w:pPr>
        <w:sectPr w:rsidR="00C553AB" w:rsidRPr="002048A7" w:rsidSect="00A92DB0">
          <w:footerReference w:type="first" r:id="rId15"/>
          <w:pgSz w:w="11906" w:h="16838"/>
          <w:pgMar w:top="1418" w:right="566" w:bottom="1418" w:left="1418" w:header="709" w:footer="709" w:gutter="0"/>
          <w:pgNumType w:start="1"/>
          <w:cols w:space="708"/>
          <w:titlePg/>
          <w:docGrid w:linePitch="360"/>
        </w:sectPr>
      </w:pPr>
    </w:p>
    <w:p w14:paraId="1F2A743E" w14:textId="77777777" w:rsidR="00BF60F1" w:rsidRPr="002048A7" w:rsidRDefault="0003197C" w:rsidP="00753513">
      <w:pPr>
        <w:spacing w:after="0"/>
        <w:sectPr w:rsidR="00BF60F1" w:rsidRPr="002048A7" w:rsidSect="0053390A">
          <w:footerReference w:type="default" r:id="rId16"/>
          <w:pgSz w:w="16838" w:h="11906" w:orient="landscape"/>
          <w:pgMar w:top="1418" w:right="1418" w:bottom="566" w:left="1418" w:header="907" w:footer="459" w:gutter="0"/>
          <w:cols w:space="708"/>
          <w:docGrid w:linePitch="360"/>
        </w:sectPr>
      </w:pPr>
      <w:r>
        <w:rPr>
          <w:noProof/>
          <w:lang w:eastAsia="tr-TR"/>
        </w:rPr>
        <w:lastRenderedPageBreak/>
        <w:drawing>
          <wp:anchor distT="0" distB="0" distL="114300" distR="114300" simplePos="0" relativeHeight="251659264" behindDoc="0" locked="0" layoutInCell="1" allowOverlap="1" wp14:anchorId="008652FF" wp14:editId="3C2AA115">
            <wp:simplePos x="0" y="0"/>
            <wp:positionH relativeFrom="column">
              <wp:posOffset>-452755</wp:posOffset>
            </wp:positionH>
            <wp:positionV relativeFrom="paragraph">
              <wp:posOffset>23495</wp:posOffset>
            </wp:positionV>
            <wp:extent cx="9467850" cy="5657850"/>
            <wp:effectExtent l="0" t="0" r="0" b="0"/>
            <wp:wrapSquare wrapText="bothSides"/>
            <wp:docPr id="13" name="Diyagram 13">
              <a:extLst xmlns:a="http://schemas.openxmlformats.org/drawingml/2006/main">
                <a:ext uri="{FF2B5EF4-FFF2-40B4-BE49-F238E27FC236}">
                  <a16:creationId xmlns:a16="http://schemas.microsoft.com/office/drawing/2014/main" id="{1E4932FE-8861-4BB3-893A-C9561BC92B41}"/>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14:sizeRelH relativeFrom="margin">
              <wp14:pctWidth>0</wp14:pctWidth>
            </wp14:sizeRelH>
            <wp14:sizeRelV relativeFrom="margin">
              <wp14:pctHeight>0</wp14:pctHeight>
            </wp14:sizeRelV>
          </wp:anchor>
        </w:drawing>
      </w:r>
    </w:p>
    <w:p w14:paraId="3ABA4225" w14:textId="77777777" w:rsidR="0082383B" w:rsidRPr="002048A7" w:rsidRDefault="00505EE2" w:rsidP="000A5A56">
      <w:pPr>
        <w:pStyle w:val="Balk2"/>
        <w:numPr>
          <w:ilvl w:val="1"/>
          <w:numId w:val="11"/>
        </w:numPr>
        <w:spacing w:after="240"/>
        <w:rPr>
          <w:rFonts w:asciiTheme="minorHAnsi" w:hAnsiTheme="minorHAnsi"/>
          <w:color w:val="000000" w:themeColor="text1"/>
          <w:sz w:val="22"/>
          <w:szCs w:val="22"/>
        </w:rPr>
      </w:pPr>
      <w:bookmarkStart w:id="27" w:name="_Toc195868664"/>
      <w:r w:rsidRPr="002048A7">
        <w:rPr>
          <w:rFonts w:asciiTheme="minorHAnsi" w:hAnsiTheme="minorHAnsi"/>
          <w:color w:val="000000" w:themeColor="text1"/>
          <w:sz w:val="22"/>
          <w:szCs w:val="22"/>
        </w:rPr>
        <w:lastRenderedPageBreak/>
        <w:t>Kurum Faaliyetlerinin Denetlenmesi</w:t>
      </w:r>
      <w:bookmarkEnd w:id="27"/>
    </w:p>
    <w:p w14:paraId="16885432" w14:textId="77777777" w:rsidR="00D0443E" w:rsidRPr="002048A7" w:rsidRDefault="00D0443E" w:rsidP="00A02EDE">
      <w:pPr>
        <w:spacing w:after="0"/>
      </w:pPr>
      <w:r w:rsidRPr="002048A7">
        <w:t>Kurum, 5018 sayılı Kamu Mali Yönetimi ve Kontrol Kanununun sadece 3, 7, 8, 12, 15, 17, 18, 19, 25, 43, 47, 48, 49, 50, 51, 52, 53, 54, 68 ve 76</w:t>
      </w:r>
      <w:r w:rsidR="00E30233" w:rsidRPr="002048A7">
        <w:t>’</w:t>
      </w:r>
      <w:r w:rsidRPr="002048A7">
        <w:t xml:space="preserve">ncı maddelerine tabidir. Bu çerçevede, 5018 sayılı </w:t>
      </w:r>
      <w:r w:rsidR="00BC2070" w:rsidRPr="002048A7">
        <w:t>Kanunun</w:t>
      </w:r>
      <w:r w:rsidR="00C20BF0" w:rsidRPr="002048A7">
        <w:t xml:space="preserve"> 68’</w:t>
      </w:r>
      <w:r w:rsidRPr="002048A7">
        <w:t>inci maddesi uyarınca Kurumun dış denetimi Sayıştay tarafından yapılmaktadır.</w:t>
      </w:r>
    </w:p>
    <w:p w14:paraId="0712B1F9" w14:textId="77777777" w:rsidR="008A2C96" w:rsidRPr="002048A7" w:rsidRDefault="008A2C96" w:rsidP="00A02EDE">
      <w:pPr>
        <w:spacing w:after="0"/>
      </w:pPr>
    </w:p>
    <w:p w14:paraId="73424C96" w14:textId="77777777" w:rsidR="008A2C96" w:rsidRPr="002048A7" w:rsidRDefault="00D0443E" w:rsidP="00A02EDE">
      <w:pPr>
        <w:spacing w:after="0"/>
      </w:pPr>
      <w:r w:rsidRPr="002048A7">
        <w:t xml:space="preserve">Sayıştay tarafından yapılan harcama sonrası dış denetimin amacı, hesap verme sorumluluğu çerçevesinde, yönetimin mali faaliyet, karar ve işlemlerinin; kanunlara, kurumsal amaç, hedef ve planlara uygunluk yönünden incelenmesi ve sonuçlarının </w:t>
      </w:r>
      <w:r w:rsidR="000A5790" w:rsidRPr="002048A7">
        <w:t xml:space="preserve">TBMM’ye </w:t>
      </w:r>
      <w:r w:rsidRPr="002048A7">
        <w:t>raporlanmasıdır.</w:t>
      </w:r>
    </w:p>
    <w:p w14:paraId="5180F9FF" w14:textId="77777777" w:rsidR="008A2C96" w:rsidRPr="002048A7" w:rsidRDefault="008A2C96" w:rsidP="00A02EDE">
      <w:pPr>
        <w:spacing w:after="0"/>
      </w:pPr>
    </w:p>
    <w:p w14:paraId="5C038DDE" w14:textId="77777777" w:rsidR="008A2C96" w:rsidRPr="002048A7" w:rsidRDefault="00D0443E" w:rsidP="00A02EDE">
      <w:pPr>
        <w:spacing w:after="0"/>
      </w:pPr>
      <w:r w:rsidRPr="002048A7">
        <w:t xml:space="preserve">Diğer yandan </w:t>
      </w:r>
      <w:r w:rsidR="00B61C5D" w:rsidRPr="002048A7">
        <w:t>17</w:t>
      </w:r>
      <w:r w:rsidR="004C4E00" w:rsidRPr="002048A7">
        <w:t>.</w:t>
      </w:r>
      <w:r w:rsidR="007F557C" w:rsidRPr="002048A7">
        <w:t>0</w:t>
      </w:r>
      <w:r w:rsidR="00B61C5D" w:rsidRPr="002048A7">
        <w:t>8</w:t>
      </w:r>
      <w:r w:rsidR="004C4E00" w:rsidRPr="002048A7">
        <w:t>.</w:t>
      </w:r>
      <w:r w:rsidR="00B61C5D" w:rsidRPr="002048A7">
        <w:t>2011 ve</w:t>
      </w:r>
      <w:r w:rsidR="004C4E00" w:rsidRPr="002048A7">
        <w:t xml:space="preserve"> </w:t>
      </w:r>
      <w:r w:rsidRPr="002048A7">
        <w:t xml:space="preserve">28028 sayılı </w:t>
      </w:r>
      <w:r w:rsidR="00E11ED2" w:rsidRPr="002048A7">
        <w:t>Resmî</w:t>
      </w:r>
      <w:r w:rsidR="006822C0" w:rsidRPr="002048A7">
        <w:t xml:space="preserve"> </w:t>
      </w:r>
      <w:r w:rsidR="00274939" w:rsidRPr="002048A7">
        <w:t>Gazetede</w:t>
      </w:r>
      <w:r w:rsidRPr="002048A7">
        <w:t xml:space="preserve"> yayımlanan</w:t>
      </w:r>
      <w:r w:rsidR="00B61C5D" w:rsidRPr="002048A7">
        <w:t xml:space="preserve"> 649 sayılı </w:t>
      </w:r>
      <w:r w:rsidRPr="002048A7">
        <w:t xml:space="preserve">Kanun Hükmünde Kararnamenin </w:t>
      </w:r>
      <w:r w:rsidR="00B61C5D" w:rsidRPr="002048A7">
        <w:t>45</w:t>
      </w:r>
      <w:r w:rsidR="00FF7F61" w:rsidRPr="002048A7">
        <w:t xml:space="preserve"> </w:t>
      </w:r>
      <w:r w:rsidRPr="002048A7">
        <w:t>inci</w:t>
      </w:r>
      <w:r w:rsidR="00B61C5D" w:rsidRPr="002048A7">
        <w:t xml:space="preserve"> maddesi</w:t>
      </w:r>
      <w:r w:rsidR="00F859B0" w:rsidRPr="002048A7">
        <w:t xml:space="preserve"> ile değişik 3046 sayılı Kanunun 19/A maddesi</w:t>
      </w:r>
      <w:r w:rsidRPr="002048A7">
        <w:t>ne göre</w:t>
      </w:r>
      <w:r w:rsidR="00CD3401" w:rsidRPr="002048A7">
        <w:t xml:space="preserve"> </w:t>
      </w:r>
      <w:r w:rsidRPr="002048A7">
        <w:t xml:space="preserve">Bakan, </w:t>
      </w:r>
      <w:r w:rsidR="00B61C5D" w:rsidRPr="002048A7">
        <w:t xml:space="preserve">Kurumun her türlü </w:t>
      </w:r>
      <w:r w:rsidRPr="002048A7">
        <w:t>faaliyet ve işlemlerini denetlemeye yetkilidir.</w:t>
      </w:r>
    </w:p>
    <w:p w14:paraId="0F665C83" w14:textId="77777777" w:rsidR="008A2C96" w:rsidRPr="002048A7" w:rsidRDefault="008A2C96" w:rsidP="00A02EDE">
      <w:pPr>
        <w:spacing w:after="0"/>
      </w:pPr>
    </w:p>
    <w:p w14:paraId="64F7BF6A" w14:textId="77777777" w:rsidR="00B61C5D" w:rsidRPr="002048A7" w:rsidRDefault="008A2C96" w:rsidP="00A02EDE">
      <w:pPr>
        <w:spacing w:after="0"/>
      </w:pPr>
      <w:r w:rsidRPr="002048A7">
        <w:t>Ayrıca b</w:t>
      </w:r>
      <w:r w:rsidR="00B61C5D" w:rsidRPr="002048A7">
        <w:t>aşvuru veya talep olması durumunda Kurum</w:t>
      </w:r>
      <w:r w:rsidRPr="002048A7">
        <w:t>,</w:t>
      </w:r>
      <w:r w:rsidR="00724AFB" w:rsidRPr="002048A7">
        <w:t xml:space="preserve"> Devlet Denetleme Kurul</w:t>
      </w:r>
      <w:r w:rsidR="00F22A2D" w:rsidRPr="002048A7">
        <w:t xml:space="preserve">u </w:t>
      </w:r>
      <w:r w:rsidR="00B61C5D" w:rsidRPr="002048A7">
        <w:t>tarafından</w:t>
      </w:r>
      <w:r w:rsidRPr="002048A7">
        <w:t xml:space="preserve"> da</w:t>
      </w:r>
      <w:r w:rsidR="00B61C5D" w:rsidRPr="002048A7">
        <w:t xml:space="preserve"> denetlen</w:t>
      </w:r>
      <w:r w:rsidRPr="002048A7">
        <w:t>ebil</w:t>
      </w:r>
      <w:r w:rsidR="00B61C5D" w:rsidRPr="002048A7">
        <w:t xml:space="preserve">mektedir. </w:t>
      </w:r>
    </w:p>
    <w:p w14:paraId="0F773DB2" w14:textId="77777777" w:rsidR="001D4D93" w:rsidRPr="002048A7" w:rsidRDefault="001D4D93" w:rsidP="00A02EDE">
      <w:pPr>
        <w:spacing w:after="0"/>
      </w:pPr>
    </w:p>
    <w:p w14:paraId="6C8696A0" w14:textId="77777777" w:rsidR="00917E4C" w:rsidRPr="002048A7" w:rsidRDefault="00917E4C" w:rsidP="00A02EDE">
      <w:pPr>
        <w:spacing w:after="0"/>
      </w:pPr>
    </w:p>
    <w:p w14:paraId="024D647A" w14:textId="77777777" w:rsidR="00917E4C" w:rsidRPr="002048A7" w:rsidRDefault="00917E4C" w:rsidP="00A02EDE">
      <w:pPr>
        <w:spacing w:after="0"/>
      </w:pPr>
    </w:p>
    <w:p w14:paraId="6E14429B" w14:textId="77777777" w:rsidR="00917E4C" w:rsidRPr="002048A7" w:rsidRDefault="00917E4C" w:rsidP="00A02EDE">
      <w:pPr>
        <w:spacing w:after="0"/>
      </w:pPr>
    </w:p>
    <w:p w14:paraId="1A4C2D8C" w14:textId="77777777" w:rsidR="00917E4C" w:rsidRPr="002048A7" w:rsidRDefault="00917E4C" w:rsidP="00A02EDE">
      <w:pPr>
        <w:spacing w:after="0"/>
      </w:pPr>
    </w:p>
    <w:p w14:paraId="777C1A5D" w14:textId="77777777" w:rsidR="00917E4C" w:rsidRPr="002048A7" w:rsidRDefault="00917E4C" w:rsidP="00A02EDE">
      <w:pPr>
        <w:spacing w:after="0"/>
      </w:pPr>
    </w:p>
    <w:p w14:paraId="6F0C5F10" w14:textId="77777777" w:rsidR="00917E4C" w:rsidRPr="002048A7" w:rsidRDefault="00917E4C" w:rsidP="00A02EDE">
      <w:pPr>
        <w:spacing w:after="0"/>
      </w:pPr>
    </w:p>
    <w:p w14:paraId="48A7DDA0" w14:textId="77777777" w:rsidR="00917E4C" w:rsidRPr="002048A7" w:rsidRDefault="00917E4C" w:rsidP="00A02EDE">
      <w:pPr>
        <w:spacing w:after="0"/>
      </w:pPr>
    </w:p>
    <w:p w14:paraId="6AEE23DB" w14:textId="77777777" w:rsidR="00917E4C" w:rsidRPr="002048A7" w:rsidRDefault="00917E4C" w:rsidP="00A02EDE">
      <w:pPr>
        <w:spacing w:after="0"/>
      </w:pPr>
    </w:p>
    <w:p w14:paraId="4CE27581" w14:textId="77777777" w:rsidR="00917E4C" w:rsidRPr="002048A7" w:rsidRDefault="00917E4C" w:rsidP="00A02EDE">
      <w:pPr>
        <w:spacing w:after="0"/>
      </w:pPr>
    </w:p>
    <w:p w14:paraId="26C2B3E6" w14:textId="77777777" w:rsidR="00917E4C" w:rsidRPr="002048A7" w:rsidRDefault="00917E4C" w:rsidP="00A02EDE">
      <w:pPr>
        <w:spacing w:after="0"/>
      </w:pPr>
    </w:p>
    <w:p w14:paraId="167C56D3" w14:textId="77777777" w:rsidR="00917E4C" w:rsidRPr="002048A7" w:rsidRDefault="00917E4C" w:rsidP="00A02EDE">
      <w:pPr>
        <w:spacing w:after="0"/>
      </w:pPr>
    </w:p>
    <w:p w14:paraId="3B1B8F14" w14:textId="77777777" w:rsidR="00917E4C" w:rsidRPr="002048A7" w:rsidRDefault="00917E4C" w:rsidP="00A02EDE">
      <w:pPr>
        <w:spacing w:after="0"/>
      </w:pPr>
    </w:p>
    <w:p w14:paraId="2B4CD579" w14:textId="77777777" w:rsidR="00917E4C" w:rsidRPr="002048A7" w:rsidRDefault="00917E4C" w:rsidP="00A02EDE">
      <w:pPr>
        <w:spacing w:after="0"/>
      </w:pPr>
    </w:p>
    <w:p w14:paraId="3DA64951" w14:textId="77777777" w:rsidR="00917E4C" w:rsidRPr="002048A7" w:rsidRDefault="00917E4C" w:rsidP="00A02EDE">
      <w:pPr>
        <w:spacing w:after="0"/>
      </w:pPr>
    </w:p>
    <w:p w14:paraId="2F577168" w14:textId="77777777" w:rsidR="00917E4C" w:rsidRPr="002048A7" w:rsidRDefault="00917E4C" w:rsidP="00A02EDE">
      <w:pPr>
        <w:spacing w:after="0"/>
      </w:pPr>
    </w:p>
    <w:p w14:paraId="48A67979" w14:textId="77777777" w:rsidR="00917E4C" w:rsidRPr="002048A7" w:rsidRDefault="00917E4C" w:rsidP="00A02EDE">
      <w:pPr>
        <w:spacing w:after="0"/>
      </w:pPr>
    </w:p>
    <w:p w14:paraId="358EF6DE" w14:textId="77777777" w:rsidR="00917E4C" w:rsidRPr="002048A7" w:rsidRDefault="00917E4C" w:rsidP="00A02EDE">
      <w:pPr>
        <w:spacing w:after="0"/>
      </w:pPr>
    </w:p>
    <w:p w14:paraId="48A1694E" w14:textId="77777777" w:rsidR="00917E4C" w:rsidRPr="002048A7" w:rsidRDefault="00917E4C" w:rsidP="00A02EDE">
      <w:pPr>
        <w:spacing w:after="0"/>
      </w:pPr>
    </w:p>
    <w:p w14:paraId="7351BA30" w14:textId="77777777" w:rsidR="00917E4C" w:rsidRPr="002048A7" w:rsidRDefault="00917E4C" w:rsidP="00A02EDE">
      <w:pPr>
        <w:spacing w:after="0"/>
      </w:pPr>
    </w:p>
    <w:p w14:paraId="2160B003" w14:textId="77777777" w:rsidR="00917E4C" w:rsidRPr="002048A7" w:rsidRDefault="00917E4C" w:rsidP="00A02EDE">
      <w:pPr>
        <w:spacing w:after="0"/>
      </w:pPr>
    </w:p>
    <w:p w14:paraId="154D1E36" w14:textId="77777777" w:rsidR="00917E4C" w:rsidRPr="002048A7" w:rsidRDefault="00917E4C" w:rsidP="00A02EDE">
      <w:pPr>
        <w:spacing w:after="0"/>
      </w:pPr>
    </w:p>
    <w:p w14:paraId="4A8CBD28" w14:textId="77777777" w:rsidR="00917E4C" w:rsidRPr="002048A7" w:rsidRDefault="00917E4C" w:rsidP="00A02EDE">
      <w:pPr>
        <w:spacing w:after="0"/>
      </w:pPr>
    </w:p>
    <w:p w14:paraId="14418292" w14:textId="77777777" w:rsidR="00917E4C" w:rsidRPr="002048A7" w:rsidRDefault="00917E4C" w:rsidP="00A02EDE">
      <w:pPr>
        <w:spacing w:after="0"/>
      </w:pPr>
    </w:p>
    <w:p w14:paraId="303AE91E" w14:textId="77777777" w:rsidR="00917E4C" w:rsidRPr="002048A7" w:rsidRDefault="00917E4C" w:rsidP="00A02EDE">
      <w:pPr>
        <w:spacing w:after="0"/>
      </w:pPr>
    </w:p>
    <w:p w14:paraId="5F0DE1B6" w14:textId="77777777" w:rsidR="00917E4C" w:rsidRPr="002048A7" w:rsidRDefault="00917E4C" w:rsidP="00A02EDE">
      <w:pPr>
        <w:spacing w:after="0"/>
      </w:pPr>
    </w:p>
    <w:p w14:paraId="3298FDB3" w14:textId="77777777" w:rsidR="000F34AC" w:rsidRPr="002048A7" w:rsidRDefault="000F34AC" w:rsidP="00A02EDE">
      <w:pPr>
        <w:spacing w:after="0"/>
      </w:pPr>
    </w:p>
    <w:p w14:paraId="32499C29" w14:textId="77777777" w:rsidR="000F34AC" w:rsidRPr="002048A7" w:rsidRDefault="000F34AC" w:rsidP="00A02EDE">
      <w:pPr>
        <w:spacing w:after="0"/>
      </w:pPr>
    </w:p>
    <w:p w14:paraId="4CF8AC75" w14:textId="77777777" w:rsidR="00917E4C" w:rsidRPr="002048A7" w:rsidRDefault="00917E4C" w:rsidP="00A02EDE">
      <w:pPr>
        <w:spacing w:after="0"/>
      </w:pPr>
    </w:p>
    <w:p w14:paraId="7AFCDCFE" w14:textId="77777777" w:rsidR="006861CE" w:rsidRPr="002048A7" w:rsidRDefault="006861CE" w:rsidP="00A02EDE">
      <w:pPr>
        <w:pStyle w:val="KonuBal"/>
        <w:outlineLvl w:val="0"/>
        <w:rPr>
          <w:rStyle w:val="KitapBal"/>
          <w:rFonts w:asciiTheme="minorHAnsi" w:hAnsiTheme="minorHAnsi"/>
          <w:color w:val="auto"/>
          <w:sz w:val="22"/>
          <w:szCs w:val="22"/>
        </w:rPr>
      </w:pPr>
      <w:bookmarkStart w:id="28" w:name="_Toc195868665"/>
      <w:r w:rsidRPr="002048A7">
        <w:rPr>
          <w:rStyle w:val="KitapBal"/>
          <w:rFonts w:asciiTheme="minorHAnsi" w:hAnsiTheme="minorHAnsi"/>
          <w:color w:val="auto"/>
          <w:sz w:val="22"/>
          <w:szCs w:val="22"/>
        </w:rPr>
        <w:lastRenderedPageBreak/>
        <w:t>İKİNCİ BÖLÜM</w:t>
      </w:r>
      <w:bookmarkEnd w:id="28"/>
    </w:p>
    <w:p w14:paraId="51B6E9F8" w14:textId="77777777" w:rsidR="006861CE" w:rsidRPr="002048A7" w:rsidRDefault="006861CE" w:rsidP="00A02EDE">
      <w:pPr>
        <w:pStyle w:val="KonuBal"/>
        <w:rPr>
          <w:rStyle w:val="KitapBal"/>
          <w:rFonts w:asciiTheme="minorHAnsi" w:hAnsiTheme="minorHAnsi"/>
          <w:color w:val="auto"/>
          <w:sz w:val="22"/>
          <w:szCs w:val="22"/>
        </w:rPr>
      </w:pPr>
      <w:r w:rsidRPr="002048A7">
        <w:rPr>
          <w:rStyle w:val="KitapBal"/>
          <w:rFonts w:asciiTheme="minorHAnsi" w:hAnsiTheme="minorHAnsi"/>
          <w:color w:val="auto"/>
          <w:sz w:val="22"/>
          <w:szCs w:val="22"/>
        </w:rPr>
        <w:t>FAALİYETLERE İLİŞKİN BİLGİLER</w:t>
      </w:r>
    </w:p>
    <w:p w14:paraId="713AA5EF" w14:textId="77777777" w:rsidR="003F1E81" w:rsidRPr="002048A7" w:rsidRDefault="001D2DA2" w:rsidP="000A5A56">
      <w:pPr>
        <w:pStyle w:val="Balk1"/>
        <w:numPr>
          <w:ilvl w:val="0"/>
          <w:numId w:val="11"/>
        </w:numPr>
        <w:rPr>
          <w:rFonts w:asciiTheme="minorHAnsi" w:hAnsiTheme="minorHAnsi"/>
          <w:color w:val="auto"/>
          <w:sz w:val="22"/>
          <w:szCs w:val="22"/>
        </w:rPr>
      </w:pPr>
      <w:bookmarkStart w:id="29" w:name="_Toc442431231"/>
      <w:bookmarkStart w:id="30" w:name="_Toc6684426"/>
      <w:bookmarkStart w:id="31" w:name="_Toc195868666"/>
      <w:bookmarkStart w:id="32" w:name="_Toc442431254"/>
      <w:r w:rsidRPr="002048A7">
        <w:rPr>
          <w:rFonts w:asciiTheme="minorHAnsi" w:hAnsiTheme="minorHAnsi"/>
          <w:color w:val="auto"/>
          <w:sz w:val="22"/>
          <w:szCs w:val="22"/>
        </w:rPr>
        <w:t>MEVZUAT GELİŞTİRİLMESİ FAALİYETLERİ</w:t>
      </w:r>
      <w:bookmarkEnd w:id="29"/>
      <w:bookmarkEnd w:id="30"/>
      <w:bookmarkEnd w:id="31"/>
    </w:p>
    <w:p w14:paraId="71FCAFAB" w14:textId="76B53436" w:rsidR="001D2DA2" w:rsidRPr="002048A7" w:rsidRDefault="001D2DA2" w:rsidP="001D2DA2">
      <w:pPr>
        <w:spacing w:after="0"/>
      </w:pPr>
      <w:r w:rsidRPr="002048A7">
        <w:t xml:space="preserve">Bu bölümde </w:t>
      </w:r>
      <w:r w:rsidR="00BC37CF">
        <w:t>e</w:t>
      </w:r>
      <w:r w:rsidRPr="002048A7">
        <w:t xml:space="preserve">lektrik, </w:t>
      </w:r>
      <w:r w:rsidR="00BC37CF">
        <w:t>d</w:t>
      </w:r>
      <w:r w:rsidRPr="002048A7">
        <w:t xml:space="preserve">oğal </w:t>
      </w:r>
      <w:r w:rsidR="00BC37CF">
        <w:t>g</w:t>
      </w:r>
      <w:r w:rsidRPr="002048A7">
        <w:t xml:space="preserve">az, </w:t>
      </w:r>
      <w:r w:rsidR="00BC37CF">
        <w:t>p</w:t>
      </w:r>
      <w:r w:rsidRPr="002048A7">
        <w:t xml:space="preserve">etrol ve </w:t>
      </w:r>
      <w:r w:rsidR="00BC37CF">
        <w:t>LPG</w:t>
      </w:r>
      <w:r w:rsidRPr="002048A7">
        <w:t xml:space="preserve"> piyasaları</w:t>
      </w:r>
      <w:r w:rsidR="0056009F" w:rsidRPr="002048A7">
        <w:t>na ilişkin 202</w:t>
      </w:r>
      <w:r w:rsidR="007A1231">
        <w:t>4</w:t>
      </w:r>
      <w:r w:rsidRPr="002048A7">
        <w:t xml:space="preserve"> yılı içerisinde mevzuat geliştirme kapsamında yapılan faaliyetler yer almaktadır. </w:t>
      </w:r>
    </w:p>
    <w:p w14:paraId="05EC180E" w14:textId="77777777" w:rsidR="003F1E81" w:rsidRPr="002048A7" w:rsidRDefault="003F1E81" w:rsidP="001D2DA2">
      <w:pPr>
        <w:spacing w:after="0"/>
      </w:pPr>
    </w:p>
    <w:p w14:paraId="4D6377F9" w14:textId="77777777" w:rsidR="001D2DA2" w:rsidRPr="002048A7" w:rsidRDefault="001D2DA2" w:rsidP="000A5A56">
      <w:pPr>
        <w:pStyle w:val="Balk2"/>
        <w:numPr>
          <w:ilvl w:val="1"/>
          <w:numId w:val="11"/>
        </w:numPr>
        <w:spacing w:before="0" w:after="240"/>
        <w:rPr>
          <w:rFonts w:asciiTheme="minorHAnsi" w:hAnsiTheme="minorHAnsi"/>
          <w:color w:val="auto"/>
          <w:sz w:val="22"/>
          <w:szCs w:val="22"/>
        </w:rPr>
      </w:pPr>
      <w:bookmarkStart w:id="33" w:name="_Toc442431232"/>
      <w:bookmarkStart w:id="34" w:name="_Toc6684427"/>
      <w:bookmarkStart w:id="35" w:name="_Toc195868667"/>
      <w:r w:rsidRPr="002048A7">
        <w:rPr>
          <w:rFonts w:asciiTheme="minorHAnsi" w:hAnsiTheme="minorHAnsi"/>
          <w:color w:val="auto"/>
          <w:sz w:val="22"/>
          <w:szCs w:val="22"/>
        </w:rPr>
        <w:t>Elektrik Piyasası Mevzuatı</w:t>
      </w:r>
      <w:bookmarkEnd w:id="33"/>
      <w:bookmarkEnd w:id="34"/>
      <w:bookmarkEnd w:id="35"/>
    </w:p>
    <w:p w14:paraId="7BFE6FB5" w14:textId="77777777" w:rsidR="003F1E81" w:rsidRPr="002048A7" w:rsidRDefault="001D2DA2" w:rsidP="000A5A56">
      <w:pPr>
        <w:pStyle w:val="Balk3"/>
        <w:numPr>
          <w:ilvl w:val="2"/>
          <w:numId w:val="11"/>
        </w:numPr>
        <w:spacing w:before="0" w:after="240"/>
        <w:rPr>
          <w:rFonts w:asciiTheme="minorHAnsi" w:hAnsiTheme="minorHAnsi"/>
          <w:color w:val="auto"/>
        </w:rPr>
      </w:pPr>
      <w:bookmarkStart w:id="36" w:name="_Toc442431233"/>
      <w:bookmarkStart w:id="37" w:name="_Toc6684428"/>
      <w:bookmarkStart w:id="38" w:name="_Toc195868668"/>
      <w:r w:rsidRPr="002048A7">
        <w:rPr>
          <w:rFonts w:asciiTheme="minorHAnsi" w:hAnsiTheme="minorHAnsi"/>
          <w:color w:val="auto"/>
        </w:rPr>
        <w:t>Kanun</w:t>
      </w:r>
      <w:bookmarkEnd w:id="36"/>
      <w:bookmarkEnd w:id="37"/>
      <w:bookmarkEnd w:id="38"/>
    </w:p>
    <w:p w14:paraId="6B10744D" w14:textId="77777777" w:rsidR="006836D7" w:rsidRPr="002048A7" w:rsidRDefault="003F1E81" w:rsidP="0059066B">
      <w:pPr>
        <w:spacing w:after="240"/>
        <w:rPr>
          <w:lang w:eastAsia="tr-TR"/>
        </w:rPr>
      </w:pPr>
      <w:r w:rsidRPr="002048A7">
        <w:rPr>
          <w:lang w:eastAsia="tr-TR"/>
        </w:rPr>
        <w:t>202</w:t>
      </w:r>
      <w:r w:rsidR="00AE67B6">
        <w:rPr>
          <w:lang w:eastAsia="tr-TR"/>
        </w:rPr>
        <w:t>4</w:t>
      </w:r>
      <w:r w:rsidRPr="002048A7">
        <w:rPr>
          <w:lang w:eastAsia="tr-TR"/>
        </w:rPr>
        <w:t xml:space="preserve"> yılı içerisinde </w:t>
      </w:r>
      <w:r w:rsidR="009C1D8D" w:rsidRPr="002048A7">
        <w:rPr>
          <w:lang w:eastAsia="tr-TR"/>
        </w:rPr>
        <w:t xml:space="preserve">elektrik piyasasında </w:t>
      </w:r>
      <w:r w:rsidRPr="002048A7">
        <w:rPr>
          <w:lang w:eastAsia="tr-TR"/>
        </w:rPr>
        <w:t xml:space="preserve">aşağıdaki </w:t>
      </w:r>
      <w:r w:rsidR="00E83C59" w:rsidRPr="002048A7">
        <w:rPr>
          <w:lang w:eastAsia="tr-TR"/>
        </w:rPr>
        <w:t>Kanun çalışmaları</w:t>
      </w:r>
      <w:r w:rsidRPr="002048A7">
        <w:rPr>
          <w:lang w:eastAsia="tr-TR"/>
        </w:rPr>
        <w:t xml:space="preserve"> yapılmıştır</w:t>
      </w:r>
      <w:r w:rsidR="00622086" w:rsidRPr="002048A7">
        <w:rPr>
          <w:lang w:eastAsia="tr-TR"/>
        </w:rPr>
        <w:t>:</w:t>
      </w:r>
    </w:p>
    <w:p w14:paraId="714AB06C" w14:textId="77777777" w:rsidR="002806A0" w:rsidRPr="00AE67B6" w:rsidRDefault="002806A0" w:rsidP="0025080A">
      <w:pPr>
        <w:pStyle w:val="ListeParagraf"/>
        <w:numPr>
          <w:ilvl w:val="0"/>
          <w:numId w:val="36"/>
        </w:numPr>
        <w:spacing w:after="0"/>
        <w:rPr>
          <w:bCs/>
          <w:lang w:eastAsia="tr-TR"/>
        </w:rPr>
      </w:pPr>
      <w:bookmarkStart w:id="39" w:name="_Hlk160118561"/>
      <w:r w:rsidRPr="002048A7">
        <w:rPr>
          <w:lang w:eastAsia="tr-TR"/>
        </w:rPr>
        <w:t>1</w:t>
      </w:r>
      <w:r w:rsidR="00AE67B6">
        <w:rPr>
          <w:lang w:eastAsia="tr-TR"/>
        </w:rPr>
        <w:t>1</w:t>
      </w:r>
      <w:r w:rsidRPr="002048A7">
        <w:rPr>
          <w:lang w:eastAsia="tr-TR"/>
        </w:rPr>
        <w:t xml:space="preserve"> </w:t>
      </w:r>
      <w:r w:rsidR="00AE67B6">
        <w:rPr>
          <w:lang w:eastAsia="tr-TR"/>
        </w:rPr>
        <w:t>Mayıs</w:t>
      </w:r>
      <w:r w:rsidRPr="002048A7">
        <w:rPr>
          <w:lang w:eastAsia="tr-TR"/>
        </w:rPr>
        <w:t xml:space="preserve"> 202</w:t>
      </w:r>
      <w:r w:rsidR="00AE67B6">
        <w:rPr>
          <w:lang w:eastAsia="tr-TR"/>
        </w:rPr>
        <w:t>4</w:t>
      </w:r>
      <w:r w:rsidRPr="002048A7">
        <w:rPr>
          <w:lang w:eastAsia="tr-TR"/>
        </w:rPr>
        <w:t xml:space="preserve"> tarih ve 32</w:t>
      </w:r>
      <w:r w:rsidR="00AE67B6">
        <w:rPr>
          <w:lang w:eastAsia="tr-TR"/>
        </w:rPr>
        <w:t>543</w:t>
      </w:r>
      <w:r w:rsidRPr="002048A7">
        <w:rPr>
          <w:lang w:eastAsia="tr-TR"/>
        </w:rPr>
        <w:t xml:space="preserve"> sayılı </w:t>
      </w:r>
      <w:r w:rsidR="00940CB5" w:rsidRPr="002048A7">
        <w:rPr>
          <w:lang w:eastAsia="tr-TR"/>
        </w:rPr>
        <w:t>Resm</w:t>
      </w:r>
      <w:r w:rsidR="00940CB5" w:rsidRPr="00AE67B6">
        <w:rPr>
          <w:rFonts w:ascii="Calibri" w:hAnsi="Calibri"/>
          <w:bCs/>
        </w:rPr>
        <w:t>î</w:t>
      </w:r>
      <w:r w:rsidRPr="002048A7">
        <w:rPr>
          <w:lang w:eastAsia="tr-TR"/>
        </w:rPr>
        <w:t xml:space="preserve"> Gazete’de yayımlanan 7451 </w:t>
      </w:r>
      <w:r w:rsidR="00AE67B6" w:rsidRPr="002048A7">
        <w:rPr>
          <w:lang w:eastAsia="tr-TR"/>
        </w:rPr>
        <w:t xml:space="preserve">Sayılı </w:t>
      </w:r>
      <w:r w:rsidR="00AE67B6" w:rsidRPr="00AE67B6">
        <w:rPr>
          <w:bCs/>
          <w:lang w:eastAsia="tr-TR"/>
        </w:rPr>
        <w:t>Maden Kanunu İle Bazı Kanunlarda</w:t>
      </w:r>
      <w:r w:rsidR="00AE67B6">
        <w:rPr>
          <w:bCs/>
          <w:lang w:eastAsia="tr-TR"/>
        </w:rPr>
        <w:t xml:space="preserve"> </w:t>
      </w:r>
      <w:r w:rsidR="00AE67B6" w:rsidRPr="00AE67B6">
        <w:rPr>
          <w:bCs/>
          <w:lang w:eastAsia="tr-TR"/>
        </w:rPr>
        <w:t>Değişiklik Yapılmasına Dair Kanun</w:t>
      </w:r>
      <w:r w:rsidRPr="00AE67B6">
        <w:rPr>
          <w:bCs/>
          <w:lang w:eastAsia="tr-TR"/>
        </w:rPr>
        <w:t xml:space="preserve"> ile</w:t>
      </w:r>
      <w:r w:rsidRPr="00AE67B6">
        <w:rPr>
          <w:b/>
          <w:bCs/>
          <w:lang w:eastAsia="tr-TR"/>
        </w:rPr>
        <w:t xml:space="preserve"> </w:t>
      </w:r>
      <w:bookmarkEnd w:id="39"/>
      <w:r w:rsidRPr="00AE67B6">
        <w:rPr>
          <w:bCs/>
          <w:lang w:eastAsia="tr-TR"/>
        </w:rPr>
        <w:t xml:space="preserve">14/3/2013 tarihli ve 6446 sayılı </w:t>
      </w:r>
      <w:proofErr w:type="gramStart"/>
      <w:r w:rsidRPr="00AE67B6">
        <w:rPr>
          <w:bCs/>
          <w:lang w:eastAsia="tr-TR"/>
        </w:rPr>
        <w:t>Elektrik Piyasası Kanununun</w:t>
      </w:r>
      <w:proofErr w:type="gramEnd"/>
      <w:r w:rsidRPr="00AE67B6">
        <w:rPr>
          <w:bCs/>
          <w:lang w:eastAsia="tr-TR"/>
        </w:rPr>
        <w:t>;</w:t>
      </w:r>
    </w:p>
    <w:p w14:paraId="595F0237" w14:textId="77777777" w:rsidR="002806A0" w:rsidRPr="002048A7" w:rsidRDefault="002806A0" w:rsidP="002806A0">
      <w:pPr>
        <w:pStyle w:val="ListeParagraf"/>
        <w:spacing w:after="0"/>
        <w:rPr>
          <w:b/>
          <w:bCs/>
          <w:lang w:eastAsia="tr-TR"/>
        </w:rPr>
      </w:pPr>
    </w:p>
    <w:p w14:paraId="2CE4CFDF" w14:textId="77777777" w:rsidR="002806A0" w:rsidRDefault="00AE67B6" w:rsidP="0025080A">
      <w:pPr>
        <w:numPr>
          <w:ilvl w:val="0"/>
          <w:numId w:val="37"/>
        </w:numPr>
        <w:spacing w:after="0"/>
        <w:rPr>
          <w:bCs/>
          <w:lang w:eastAsia="tr-TR"/>
        </w:rPr>
      </w:pPr>
      <w:r w:rsidRPr="00AE67B6">
        <w:rPr>
          <w:bCs/>
          <w:lang w:eastAsia="tr-TR"/>
        </w:rPr>
        <w:t>9 uncu maddesine aşağıdaki fıkra eklenmiştir.</w:t>
      </w:r>
    </w:p>
    <w:p w14:paraId="61077A52" w14:textId="77777777" w:rsidR="00AE67B6" w:rsidRPr="002048A7" w:rsidRDefault="00AE67B6" w:rsidP="00AE67B6">
      <w:pPr>
        <w:spacing w:after="0"/>
        <w:ind w:left="1068"/>
        <w:rPr>
          <w:bCs/>
          <w:lang w:eastAsia="tr-TR"/>
        </w:rPr>
      </w:pPr>
    </w:p>
    <w:p w14:paraId="76EC9399" w14:textId="77777777" w:rsidR="002806A0" w:rsidRDefault="00AE67B6" w:rsidP="002806A0">
      <w:pPr>
        <w:spacing w:after="0"/>
        <w:ind w:left="1068"/>
        <w:rPr>
          <w:bCs/>
          <w:i/>
          <w:lang w:eastAsia="tr-TR"/>
        </w:rPr>
      </w:pPr>
      <w:r w:rsidRPr="00AE67B6">
        <w:rPr>
          <w:bCs/>
          <w:i/>
          <w:lang w:eastAsia="tr-TR"/>
        </w:rPr>
        <w:t>“(16) Olağanüstü hâl kararı alınan veya genel hayata etkili afet bölgesi olarak kabul edilen yerlerde, elektrik hizmetlerinin kesintisiz olarak karşılanabilmesi için geçici süreli elektrik enerjisi talepleri Kurul kararı ile belirlenen usul ve esaslar çerçevesinde karşılanabilir.”</w:t>
      </w:r>
    </w:p>
    <w:p w14:paraId="6CE73F6D" w14:textId="77777777" w:rsidR="00AE67B6" w:rsidRPr="00AE67B6" w:rsidRDefault="00AE67B6" w:rsidP="002806A0">
      <w:pPr>
        <w:spacing w:after="0"/>
        <w:ind w:left="1068"/>
        <w:rPr>
          <w:bCs/>
          <w:i/>
          <w:lang w:eastAsia="tr-TR"/>
        </w:rPr>
      </w:pPr>
    </w:p>
    <w:p w14:paraId="7E7939B2" w14:textId="77777777" w:rsidR="002806A0" w:rsidRPr="002048A7" w:rsidRDefault="00AE67B6" w:rsidP="0025080A">
      <w:pPr>
        <w:numPr>
          <w:ilvl w:val="0"/>
          <w:numId w:val="37"/>
        </w:numPr>
        <w:spacing w:after="0"/>
        <w:rPr>
          <w:bCs/>
          <w:lang w:eastAsia="tr-TR"/>
        </w:rPr>
      </w:pPr>
      <w:r w:rsidRPr="00AE67B6">
        <w:rPr>
          <w:bCs/>
          <w:lang w:eastAsia="tr-TR"/>
        </w:rPr>
        <w:t>19 uncu maddesinin dördüncü fıkrasından sonra gelmek üzere aşağıdaki fıkra eklenmiş ve sonraki fıkra buna göre teselsül ettirilmiştir.</w:t>
      </w:r>
      <w:r w:rsidR="002806A0" w:rsidRPr="002048A7">
        <w:rPr>
          <w:bCs/>
          <w:lang w:eastAsia="tr-TR"/>
        </w:rPr>
        <w:t xml:space="preserve"> </w:t>
      </w:r>
    </w:p>
    <w:p w14:paraId="0BA760AC" w14:textId="77777777" w:rsidR="002806A0" w:rsidRPr="002048A7" w:rsidRDefault="002806A0" w:rsidP="002806A0">
      <w:pPr>
        <w:spacing w:after="0"/>
        <w:rPr>
          <w:bCs/>
          <w:lang w:eastAsia="tr-TR"/>
        </w:rPr>
      </w:pPr>
    </w:p>
    <w:p w14:paraId="2F345577" w14:textId="77777777" w:rsidR="002806A0" w:rsidRPr="002048A7" w:rsidRDefault="002806A0" w:rsidP="002806A0">
      <w:pPr>
        <w:spacing w:after="0"/>
        <w:ind w:left="1068"/>
        <w:rPr>
          <w:bCs/>
          <w:i/>
          <w:lang w:eastAsia="tr-TR"/>
        </w:rPr>
      </w:pPr>
      <w:r w:rsidRPr="002048A7">
        <w:rPr>
          <w:bCs/>
          <w:i/>
          <w:lang w:eastAsia="tr-TR"/>
        </w:rPr>
        <w:t xml:space="preserve"> </w:t>
      </w:r>
      <w:r w:rsidR="00AE67B6" w:rsidRPr="00AE67B6">
        <w:rPr>
          <w:bCs/>
          <w:i/>
          <w:lang w:eastAsia="tr-TR"/>
        </w:rPr>
        <w:t>“(5) Elektrik dağıtım tesisleri ve/veya nakil hatlarına ilişkin irtifak alanı, en düşük yaklaşım mesafesi, iletkenin salınım mesafesi ve direkler arası uzaklık dikkate alınarak ilgili mevzuatına göre belirlenir.”</w:t>
      </w:r>
    </w:p>
    <w:p w14:paraId="05BF8BCD" w14:textId="77777777" w:rsidR="002806A0" w:rsidRPr="002048A7" w:rsidRDefault="002806A0" w:rsidP="002806A0">
      <w:pPr>
        <w:spacing w:after="0"/>
        <w:ind w:left="708"/>
        <w:rPr>
          <w:bCs/>
          <w:lang w:eastAsia="tr-TR"/>
        </w:rPr>
      </w:pPr>
    </w:p>
    <w:p w14:paraId="2062FB96" w14:textId="77777777" w:rsidR="002806A0" w:rsidRPr="002048A7" w:rsidRDefault="00AE67B6" w:rsidP="0025080A">
      <w:pPr>
        <w:numPr>
          <w:ilvl w:val="0"/>
          <w:numId w:val="37"/>
        </w:numPr>
        <w:spacing w:after="0"/>
        <w:rPr>
          <w:bCs/>
          <w:lang w:eastAsia="tr-TR"/>
        </w:rPr>
      </w:pPr>
      <w:r>
        <w:rPr>
          <w:bCs/>
          <w:lang w:eastAsia="tr-TR"/>
        </w:rPr>
        <w:t>A</w:t>
      </w:r>
      <w:r w:rsidRPr="00AE67B6">
        <w:rPr>
          <w:bCs/>
          <w:lang w:eastAsia="tr-TR"/>
        </w:rPr>
        <w:t>şağıdaki geçici madde eklenmiştir.</w:t>
      </w:r>
      <w:r w:rsidR="002806A0" w:rsidRPr="002048A7">
        <w:rPr>
          <w:lang w:eastAsia="tr-TR"/>
        </w:rPr>
        <w:t xml:space="preserve"> </w:t>
      </w:r>
    </w:p>
    <w:p w14:paraId="105A613E" w14:textId="77777777" w:rsidR="002806A0" w:rsidRPr="002048A7" w:rsidRDefault="002806A0" w:rsidP="002806A0">
      <w:pPr>
        <w:spacing w:after="0"/>
        <w:ind w:left="1068"/>
        <w:rPr>
          <w:bCs/>
          <w:lang w:eastAsia="tr-TR"/>
        </w:rPr>
      </w:pPr>
    </w:p>
    <w:p w14:paraId="76514064" w14:textId="77777777" w:rsidR="00AE67B6" w:rsidRPr="00AE67B6" w:rsidRDefault="00AE67B6" w:rsidP="00AE67B6">
      <w:pPr>
        <w:spacing w:after="0"/>
        <w:ind w:left="1068"/>
        <w:rPr>
          <w:bCs/>
          <w:i/>
          <w:lang w:eastAsia="tr-TR"/>
        </w:rPr>
      </w:pPr>
      <w:r w:rsidRPr="00AE67B6">
        <w:rPr>
          <w:bCs/>
          <w:i/>
          <w:lang w:eastAsia="tr-TR"/>
        </w:rPr>
        <w:t>“Lisans ve önlisanslara ilişkin sonlandırma ve tadil hakkı</w:t>
      </w:r>
    </w:p>
    <w:p w14:paraId="2620375D" w14:textId="77777777" w:rsidR="00AE67B6" w:rsidRPr="00AE67B6" w:rsidRDefault="00AE67B6" w:rsidP="00AE67B6">
      <w:pPr>
        <w:spacing w:after="0"/>
        <w:ind w:left="1068"/>
        <w:rPr>
          <w:bCs/>
          <w:i/>
          <w:lang w:eastAsia="tr-TR"/>
        </w:rPr>
      </w:pPr>
      <w:r w:rsidRPr="00AE67B6">
        <w:rPr>
          <w:bCs/>
          <w:i/>
          <w:lang w:eastAsia="tr-TR"/>
        </w:rPr>
        <w:t>GEÇİCİ MADDE 32- (1) Bu Kanun ve 5346 sayılı Kanun kapsamında yapılan yenilenebilir enerji kaynak alanları yarışmaları sonucunda imzalanan sözleşmeler nedeniyle hak kazanılmış olanlar hariç olmak üzere, bu maddenin yürürlüğe girdiği tarihten önce bu Kanun kapsamında mevcut olan üretim lisanslarını, önlisanslarını, lisans başvurularını sonlandırmak ya da kurulu güç düşümü suretiyle tadil etmek isteyen tüzel kişilerin bu maddenin yürürlüğe girdiği tarihi takip eden iki ay içerisinde Kuruma başvurmaları hâlinde lisansları, önlisansları, lisans başvuruları sonlandırılarak ya da tadil edilerek Kuruma sunulmuş olan teminatları ilgisine göre kısmen veya tamamen iade edilir.</w:t>
      </w:r>
    </w:p>
    <w:p w14:paraId="3CF8A827" w14:textId="77777777" w:rsidR="002806A0" w:rsidRPr="002048A7" w:rsidRDefault="00AE67B6" w:rsidP="00AE67B6">
      <w:pPr>
        <w:spacing w:after="0"/>
        <w:ind w:left="1068"/>
        <w:rPr>
          <w:bCs/>
          <w:i/>
          <w:lang w:eastAsia="tr-TR"/>
        </w:rPr>
      </w:pPr>
      <w:r w:rsidRPr="00AE67B6">
        <w:rPr>
          <w:bCs/>
          <w:i/>
          <w:lang w:eastAsia="tr-TR"/>
        </w:rPr>
        <w:t>(2) Bu Kanun ve 5346 sayılı Kanun kapsamında yapılmış yenilenebilir enerji kaynak alanları yarışmaları sonucunda imzalanmış sözleşmelerini iptal etmek isteyen tüzel kişilerin bu maddenin yürürlüğe girdiği tarihi takip eden iki ay içerisinde Bakanlığa başvurmaları halinde ilgili sözleşmeler ile sözleşmeler kapsamındaki tüm hak ve yükümlülükleri sona erer, üretim lisansları, önlisansları ve önlisans/lisans başvuruları sonlandırılır, Bakanlığa ve Kuruma sunulmuş olan teminatları iade edilir.”</w:t>
      </w:r>
    </w:p>
    <w:p w14:paraId="2A57B0F1" w14:textId="77777777" w:rsidR="002806A0" w:rsidRDefault="002806A0" w:rsidP="002806A0">
      <w:pPr>
        <w:spacing w:after="0"/>
        <w:ind w:left="1068"/>
        <w:rPr>
          <w:bCs/>
          <w:lang w:eastAsia="tr-TR"/>
        </w:rPr>
      </w:pPr>
    </w:p>
    <w:p w14:paraId="012BE00D" w14:textId="77777777" w:rsidR="00F45E83" w:rsidRDefault="00F45E83" w:rsidP="00F45E83">
      <w:pPr>
        <w:pStyle w:val="ListeParagraf"/>
        <w:numPr>
          <w:ilvl w:val="0"/>
          <w:numId w:val="36"/>
        </w:numPr>
        <w:spacing w:after="0"/>
        <w:rPr>
          <w:bCs/>
          <w:lang w:eastAsia="tr-TR"/>
        </w:rPr>
      </w:pPr>
      <w:r w:rsidRPr="006148CF">
        <w:rPr>
          <w:bCs/>
          <w:lang w:eastAsia="tr-TR"/>
        </w:rPr>
        <w:lastRenderedPageBreak/>
        <w:t>1</w:t>
      </w:r>
      <w:r>
        <w:rPr>
          <w:bCs/>
          <w:lang w:eastAsia="tr-TR"/>
        </w:rPr>
        <w:t>1</w:t>
      </w:r>
      <w:r w:rsidRPr="006148CF">
        <w:rPr>
          <w:bCs/>
          <w:lang w:eastAsia="tr-TR"/>
        </w:rPr>
        <w:t xml:space="preserve"> </w:t>
      </w:r>
      <w:r>
        <w:rPr>
          <w:bCs/>
          <w:lang w:eastAsia="tr-TR"/>
        </w:rPr>
        <w:t>Mayıs</w:t>
      </w:r>
      <w:r w:rsidRPr="006148CF">
        <w:rPr>
          <w:bCs/>
          <w:lang w:eastAsia="tr-TR"/>
        </w:rPr>
        <w:t xml:space="preserve"> 202</w:t>
      </w:r>
      <w:r>
        <w:rPr>
          <w:bCs/>
          <w:lang w:eastAsia="tr-TR"/>
        </w:rPr>
        <w:t>4</w:t>
      </w:r>
      <w:r w:rsidRPr="006148CF">
        <w:rPr>
          <w:bCs/>
          <w:lang w:eastAsia="tr-TR"/>
        </w:rPr>
        <w:t xml:space="preserve"> tarih ve 32</w:t>
      </w:r>
      <w:r>
        <w:rPr>
          <w:bCs/>
          <w:lang w:eastAsia="tr-TR"/>
        </w:rPr>
        <w:t>543</w:t>
      </w:r>
      <w:r w:rsidRPr="006148CF">
        <w:rPr>
          <w:bCs/>
          <w:lang w:eastAsia="tr-TR"/>
        </w:rPr>
        <w:t xml:space="preserve"> sayılı </w:t>
      </w:r>
      <w:proofErr w:type="gramStart"/>
      <w:r w:rsidRPr="006148CF">
        <w:rPr>
          <w:bCs/>
          <w:lang w:eastAsia="tr-TR"/>
        </w:rPr>
        <w:t>Resmi</w:t>
      </w:r>
      <w:proofErr w:type="gramEnd"/>
      <w:r w:rsidRPr="006148CF">
        <w:rPr>
          <w:bCs/>
          <w:lang w:eastAsia="tr-TR"/>
        </w:rPr>
        <w:t xml:space="preserve"> Gazete’de yayımlanan 7</w:t>
      </w:r>
      <w:r>
        <w:rPr>
          <w:bCs/>
          <w:lang w:eastAsia="tr-TR"/>
        </w:rPr>
        <w:t>501</w:t>
      </w:r>
      <w:r w:rsidRPr="006148CF">
        <w:rPr>
          <w:bCs/>
          <w:lang w:eastAsia="tr-TR"/>
        </w:rPr>
        <w:t xml:space="preserve"> sayılı </w:t>
      </w:r>
      <w:r>
        <w:rPr>
          <w:bCs/>
          <w:lang w:eastAsia="tr-TR"/>
        </w:rPr>
        <w:t>Maden Kanunu İle Bazı Kanunlarda Değişiklik Yapılmasına</w:t>
      </w:r>
      <w:r w:rsidRPr="006148CF">
        <w:rPr>
          <w:bCs/>
          <w:lang w:eastAsia="tr-TR"/>
        </w:rPr>
        <w:t xml:space="preserve"> Dair Kanun ile 10/5/2005 tarihli ve 5346 sayılı Yenilenebilir Enerji Kaynaklarının Elektrik Enerjisi Üretimi Amaçlı Kullanımına İlişkin Kanunun</w:t>
      </w:r>
      <w:r>
        <w:rPr>
          <w:bCs/>
          <w:lang w:eastAsia="tr-TR"/>
        </w:rPr>
        <w:t xml:space="preserve"> 6 ncı maddesinin ikinci fıkrası aşağıdaki şekilde değiştirilmiştir.</w:t>
      </w:r>
    </w:p>
    <w:p w14:paraId="0B3F05AD" w14:textId="77777777" w:rsidR="00F45E83" w:rsidRPr="006148CF" w:rsidRDefault="00F45E83" w:rsidP="00F45E83">
      <w:pPr>
        <w:pStyle w:val="ListeParagraf"/>
        <w:spacing w:after="0"/>
        <w:rPr>
          <w:bCs/>
          <w:lang w:eastAsia="tr-TR"/>
        </w:rPr>
      </w:pPr>
    </w:p>
    <w:p w14:paraId="0BC9851C" w14:textId="77777777" w:rsidR="00F45E83" w:rsidRPr="00F45E83" w:rsidRDefault="00F45E83" w:rsidP="00F45E83">
      <w:pPr>
        <w:spacing w:after="0"/>
        <w:ind w:left="1068"/>
        <w:rPr>
          <w:bCs/>
          <w:i/>
          <w:lang w:eastAsia="tr-TR"/>
        </w:rPr>
      </w:pPr>
      <w:r w:rsidRPr="00F45E83">
        <w:rPr>
          <w:bCs/>
          <w:i/>
          <w:lang w:eastAsia="tr-TR"/>
        </w:rPr>
        <w:t>“On yıllık süresini bitiren lisanssız üretim faaliyeti kapsamındaki tesisler için tesis sahibi tarafından talep edilmesi ve lisans alma bedeli ile lisans süresi boyunca elektrik piyasasında oluşan saatlik piyasa takas fiyatının, bu madde kapsamında tesis tipi bazında uygulanan güncel YEK Destekleme Mekanizması fiyatından fazla olması halinde aradaki fiyat farkının YEK Destekleme Mekanizmasına katkı bedeli olarak ödenmesi koşullarıyla lisanslı üretim faaliyetine geçilebilir. Bu kapsamdaki başvurular için uygulanacak lisans alma bedeli, lisans süresi ve lisanslı üretim faaliyetine geçilmesine ilişkin diğer hususlar EPDK tarafından ayrıca belirlenir. Lisanssız üretime devam edecek üretim tesislerinde üretilecek ihtiyaç fazlası elektrik enerjisi için, elektrik piyasasında oluşan piyasa takas fiyatını geçmemek üzere uygulanacak fiyat ve uygulamaya ilişkin usul ve esaslar Cumhurbaşkanı tarafından belirlenir.”</w:t>
      </w:r>
    </w:p>
    <w:p w14:paraId="4D04382F" w14:textId="77777777" w:rsidR="004B668E" w:rsidRPr="002048A7" w:rsidRDefault="003F1E81" w:rsidP="000A5A56">
      <w:pPr>
        <w:pStyle w:val="Balk3"/>
        <w:numPr>
          <w:ilvl w:val="2"/>
          <w:numId w:val="11"/>
        </w:numPr>
        <w:spacing w:after="240"/>
        <w:rPr>
          <w:rFonts w:asciiTheme="minorHAnsi" w:hAnsiTheme="minorHAnsi"/>
          <w:color w:val="auto"/>
        </w:rPr>
      </w:pPr>
      <w:bookmarkStart w:id="40" w:name="_Toc66267334"/>
      <w:bookmarkStart w:id="41" w:name="_Toc195868669"/>
      <w:r w:rsidRPr="002048A7">
        <w:rPr>
          <w:rFonts w:asciiTheme="minorHAnsi" w:hAnsiTheme="minorHAnsi"/>
          <w:color w:val="auto"/>
        </w:rPr>
        <w:t>Yönetmelikler</w:t>
      </w:r>
      <w:bookmarkEnd w:id="40"/>
      <w:bookmarkEnd w:id="41"/>
    </w:p>
    <w:p w14:paraId="35EC3D54" w14:textId="77777777" w:rsidR="003F1E81" w:rsidRPr="002048A7" w:rsidRDefault="00385219" w:rsidP="00385219">
      <w:pPr>
        <w:spacing w:after="0"/>
      </w:pPr>
      <w:r w:rsidRPr="002048A7">
        <w:rPr>
          <w:rFonts w:cstheme="minorHAnsi"/>
          <w:color w:val="000000" w:themeColor="text1"/>
        </w:rPr>
        <w:t>202</w:t>
      </w:r>
      <w:r w:rsidR="00CC3519">
        <w:rPr>
          <w:rFonts w:cstheme="minorHAnsi"/>
          <w:color w:val="000000" w:themeColor="text1"/>
        </w:rPr>
        <w:t>4</w:t>
      </w:r>
      <w:r w:rsidRPr="002048A7">
        <w:rPr>
          <w:rFonts w:cstheme="minorHAnsi"/>
          <w:color w:val="000000" w:themeColor="text1"/>
        </w:rPr>
        <w:t xml:space="preserve"> </w:t>
      </w:r>
      <w:r w:rsidR="003F1E81" w:rsidRPr="002048A7">
        <w:rPr>
          <w:rFonts w:cstheme="minorHAnsi"/>
          <w:color w:val="000000" w:themeColor="text1"/>
        </w:rPr>
        <w:t>yılında elektrik piyasasında aşağıda belirtilen Yönetmelik çalışmaları yapılmıştır:</w:t>
      </w:r>
    </w:p>
    <w:p w14:paraId="42F97E02" w14:textId="77777777" w:rsidR="003F1E81" w:rsidRPr="002048A7" w:rsidRDefault="003F1E81" w:rsidP="003F1E81">
      <w:pPr>
        <w:spacing w:after="0"/>
      </w:pPr>
    </w:p>
    <w:p w14:paraId="7863D8EE" w14:textId="77777777" w:rsidR="002530D7" w:rsidRPr="002048A7" w:rsidRDefault="004F2361" w:rsidP="0025080A">
      <w:pPr>
        <w:numPr>
          <w:ilvl w:val="0"/>
          <w:numId w:val="22"/>
        </w:numPr>
        <w:contextualSpacing/>
        <w:rPr>
          <w:rFonts w:ascii="Calibri" w:hAnsi="Calibri"/>
          <w:bCs/>
        </w:rPr>
      </w:pPr>
      <w:bookmarkStart w:id="42" w:name="_Hlk113239151"/>
      <w:bookmarkStart w:id="43" w:name="_Hlk113239918"/>
      <w:r>
        <w:rPr>
          <w:rFonts w:ascii="Calibri" w:hAnsi="Calibri"/>
          <w:bCs/>
        </w:rPr>
        <w:t>14</w:t>
      </w:r>
      <w:r w:rsidR="00AF6E1E" w:rsidRPr="002048A7">
        <w:rPr>
          <w:rFonts w:ascii="Calibri" w:hAnsi="Calibri"/>
          <w:bCs/>
        </w:rPr>
        <w:t>.0</w:t>
      </w:r>
      <w:r>
        <w:rPr>
          <w:rFonts w:ascii="Calibri" w:hAnsi="Calibri"/>
          <w:bCs/>
        </w:rPr>
        <w:t>5</w:t>
      </w:r>
      <w:r w:rsidR="00AF6E1E" w:rsidRPr="002048A7">
        <w:rPr>
          <w:rFonts w:ascii="Calibri" w:hAnsi="Calibri"/>
          <w:bCs/>
        </w:rPr>
        <w:t>.</w:t>
      </w:r>
      <w:r w:rsidR="002530D7" w:rsidRPr="002048A7">
        <w:rPr>
          <w:rFonts w:ascii="Calibri" w:hAnsi="Calibri"/>
          <w:bCs/>
        </w:rPr>
        <w:t>20</w:t>
      </w:r>
      <w:r w:rsidR="00AF6E1E" w:rsidRPr="002048A7">
        <w:rPr>
          <w:rFonts w:ascii="Calibri" w:hAnsi="Calibri"/>
          <w:bCs/>
        </w:rPr>
        <w:t>2</w:t>
      </w:r>
      <w:r>
        <w:rPr>
          <w:rFonts w:ascii="Calibri" w:hAnsi="Calibri"/>
          <w:bCs/>
        </w:rPr>
        <w:t>4</w:t>
      </w:r>
      <w:r w:rsidR="002530D7" w:rsidRPr="002048A7">
        <w:rPr>
          <w:rFonts w:ascii="Calibri" w:hAnsi="Calibri"/>
          <w:bCs/>
        </w:rPr>
        <w:t xml:space="preserve"> tarihli ve </w:t>
      </w:r>
      <w:r w:rsidR="00AF6E1E" w:rsidRPr="002048A7">
        <w:rPr>
          <w:rFonts w:ascii="Calibri" w:hAnsi="Calibri"/>
          <w:bCs/>
        </w:rPr>
        <w:t>32</w:t>
      </w:r>
      <w:r>
        <w:rPr>
          <w:rFonts w:ascii="Calibri" w:hAnsi="Calibri"/>
          <w:bCs/>
        </w:rPr>
        <w:t>546</w:t>
      </w:r>
      <w:r w:rsidR="002530D7" w:rsidRPr="002048A7">
        <w:rPr>
          <w:rFonts w:ascii="Calibri" w:hAnsi="Calibri"/>
          <w:bCs/>
        </w:rPr>
        <w:t xml:space="preserve"> sayılı Resmî Gazete’de yayımlanan</w:t>
      </w:r>
      <w:r w:rsidR="009E1688" w:rsidRPr="002048A7">
        <w:rPr>
          <w:rFonts w:ascii="Calibri" w:hAnsi="Calibri"/>
          <w:bCs/>
        </w:rPr>
        <w:t xml:space="preserve"> Değişiklik Yönetmeliği ile</w:t>
      </w:r>
      <w:r w:rsidR="009E1688" w:rsidRPr="002048A7">
        <w:rPr>
          <w:rFonts w:ascii="Calibri" w:hAnsi="Calibri"/>
          <w:b/>
          <w:bCs/>
        </w:rPr>
        <w:t xml:space="preserve"> </w:t>
      </w:r>
      <w:r w:rsidRPr="004F2361">
        <w:rPr>
          <w:rFonts w:ascii="Calibri" w:hAnsi="Calibri"/>
          <w:b/>
        </w:rPr>
        <w:t>Elektrik Piyasasında Lisanssız Elektrik Üretim Yönetmeliğinin</w:t>
      </w:r>
      <w:r w:rsidR="009E1688" w:rsidRPr="002048A7">
        <w:rPr>
          <w:rFonts w:ascii="Calibri" w:hAnsi="Calibri"/>
          <w:b/>
        </w:rPr>
        <w:t xml:space="preserve"> </w:t>
      </w:r>
      <w:bookmarkEnd w:id="42"/>
    </w:p>
    <w:p w14:paraId="29862A3C" w14:textId="77777777" w:rsidR="009E1688" w:rsidRPr="002048A7" w:rsidRDefault="004F2361" w:rsidP="0025080A">
      <w:pPr>
        <w:pStyle w:val="ListeParagraf"/>
        <w:numPr>
          <w:ilvl w:val="0"/>
          <w:numId w:val="21"/>
        </w:numPr>
        <w:spacing w:before="120" w:after="120" w:line="240" w:lineRule="auto"/>
        <w:contextualSpacing w:val="0"/>
        <w:rPr>
          <w:rFonts w:ascii="Calibri" w:hAnsi="Calibri"/>
          <w:bCs/>
        </w:rPr>
      </w:pPr>
      <w:proofErr w:type="gramStart"/>
      <w:r w:rsidRPr="004F2361">
        <w:rPr>
          <w:rFonts w:ascii="Calibri" w:hAnsi="Calibri"/>
          <w:bCs/>
        </w:rPr>
        <w:t>7 nci</w:t>
      </w:r>
      <w:proofErr w:type="gramEnd"/>
      <w:r w:rsidRPr="004F2361">
        <w:rPr>
          <w:rFonts w:ascii="Calibri" w:hAnsi="Calibri"/>
          <w:bCs/>
        </w:rPr>
        <w:t xml:space="preserve"> maddesinin on ikinci fıkrasına aşağıdaki cümle eklenmiştir.</w:t>
      </w:r>
    </w:p>
    <w:bookmarkEnd w:id="43"/>
    <w:p w14:paraId="1B0EF85F" w14:textId="77777777" w:rsidR="009E1688" w:rsidRPr="002048A7" w:rsidRDefault="004F2361" w:rsidP="002530D7">
      <w:pPr>
        <w:spacing w:before="120" w:after="120" w:line="240" w:lineRule="auto"/>
        <w:ind w:left="1418"/>
        <w:rPr>
          <w:rFonts w:ascii="Calibri" w:hAnsi="Calibri"/>
          <w:i/>
        </w:rPr>
      </w:pPr>
      <w:r w:rsidRPr="004F2361">
        <w:rPr>
          <w:rFonts w:ascii="Calibri" w:hAnsi="Calibri"/>
          <w:i/>
        </w:rPr>
        <w:t>“Ancak geçici abonelikler kapsamındaki tüketimler, aynı gerçek veya tüzel kişiye ait ve aynı abone grubunda bulunan işletmedeki üretim tesisleriyle mahsuplaşmaya dâhil edilebilir.”</w:t>
      </w:r>
    </w:p>
    <w:p w14:paraId="285B0D4F" w14:textId="77777777" w:rsidR="002530D7" w:rsidRPr="002048A7" w:rsidRDefault="004F2361" w:rsidP="0025080A">
      <w:pPr>
        <w:pStyle w:val="ListeParagraf"/>
        <w:numPr>
          <w:ilvl w:val="0"/>
          <w:numId w:val="21"/>
        </w:numPr>
        <w:spacing w:before="120" w:after="120" w:line="240" w:lineRule="auto"/>
        <w:contextualSpacing w:val="0"/>
        <w:rPr>
          <w:rFonts w:ascii="Calibri" w:hAnsi="Calibri"/>
          <w:bCs/>
        </w:rPr>
      </w:pPr>
      <w:r w:rsidRPr="004F2361">
        <w:rPr>
          <w:rFonts w:ascii="Calibri" w:hAnsi="Calibri"/>
          <w:bCs/>
        </w:rPr>
        <w:t>10 uncu maddesinin birinci fıkrasına aşağıdaki cümle eklenmiştir.</w:t>
      </w:r>
    </w:p>
    <w:p w14:paraId="481A5D66" w14:textId="77777777" w:rsidR="009E1688" w:rsidRPr="002048A7" w:rsidRDefault="004F2361" w:rsidP="002530D7">
      <w:pPr>
        <w:spacing w:before="120" w:after="120" w:line="240" w:lineRule="auto"/>
        <w:ind w:left="1418"/>
        <w:rPr>
          <w:rFonts w:ascii="Calibri" w:hAnsi="Calibri"/>
          <w:i/>
        </w:rPr>
      </w:pPr>
      <w:r w:rsidRPr="004F2361">
        <w:rPr>
          <w:rFonts w:ascii="Calibri" w:hAnsi="Calibri"/>
          <w:i/>
        </w:rPr>
        <w:t>“Elektronik ortamda alınan başvurular için belge iadesi yapılmaz.”</w:t>
      </w:r>
    </w:p>
    <w:p w14:paraId="367DF9C2" w14:textId="77777777" w:rsidR="002530D7" w:rsidRPr="002048A7" w:rsidRDefault="004F2361" w:rsidP="0025080A">
      <w:pPr>
        <w:pStyle w:val="ListeParagraf"/>
        <w:numPr>
          <w:ilvl w:val="0"/>
          <w:numId w:val="21"/>
        </w:numPr>
        <w:spacing w:before="120" w:after="120" w:line="240" w:lineRule="auto"/>
        <w:contextualSpacing w:val="0"/>
        <w:rPr>
          <w:rFonts w:ascii="Calibri" w:hAnsi="Calibri"/>
          <w:bCs/>
        </w:rPr>
      </w:pPr>
      <w:proofErr w:type="gramStart"/>
      <w:r w:rsidRPr="004F2361">
        <w:rPr>
          <w:rFonts w:ascii="Calibri" w:hAnsi="Calibri"/>
          <w:bCs/>
        </w:rPr>
        <w:t>16 ncı</w:t>
      </w:r>
      <w:proofErr w:type="gramEnd"/>
      <w:r w:rsidRPr="004F2361">
        <w:rPr>
          <w:rFonts w:ascii="Calibri" w:hAnsi="Calibri"/>
          <w:bCs/>
        </w:rPr>
        <w:t xml:space="preserve"> maddesinin üçüncü fıkrasına aşağıdaki cümleler eklenmiştir.</w:t>
      </w:r>
    </w:p>
    <w:p w14:paraId="19E349F1" w14:textId="77777777" w:rsidR="002530D7" w:rsidRDefault="004F2361" w:rsidP="002530D7">
      <w:pPr>
        <w:spacing w:before="120" w:after="120" w:line="240" w:lineRule="auto"/>
        <w:ind w:left="1418"/>
        <w:rPr>
          <w:rFonts w:ascii="Calibri" w:hAnsi="Calibri"/>
          <w:i/>
        </w:rPr>
      </w:pPr>
      <w:r w:rsidRPr="004F2361">
        <w:rPr>
          <w:rFonts w:ascii="Calibri" w:hAnsi="Calibri"/>
          <w:i/>
        </w:rPr>
        <w:t>“</w:t>
      </w:r>
      <w:proofErr w:type="gramStart"/>
      <w:r w:rsidRPr="004F2361">
        <w:rPr>
          <w:rFonts w:ascii="Calibri" w:hAnsi="Calibri"/>
          <w:i/>
        </w:rPr>
        <w:t>Rüzgar</w:t>
      </w:r>
      <w:proofErr w:type="gramEnd"/>
      <w:r w:rsidRPr="004F2361">
        <w:rPr>
          <w:rFonts w:ascii="Calibri" w:hAnsi="Calibri"/>
          <w:i/>
        </w:rPr>
        <w:t xml:space="preserve"> enerjisine dayalı başvurularda teknik etkileşim izninin olumsuz sonuçlanması durumunda başvuru sahibine, dağıtım seviyesinden bağlantılarda aynı trafo merkezinden, iletim seviyesinden bağlantılarda aynı iletim bölgesinden bağlanmak şartıyla, altmış gün içerisinde saha değişikliği veya revizyonu için ilgili şebeke işletmecisine başvurma hakkı verilir. Ancak her bir değişiklik veya revizyon için altmış gün içerisinde saha değişikliğini veya revizyonunu ilgili şebeke işletmecisine sunmaması halinde başvuru reddedilir.”</w:t>
      </w:r>
    </w:p>
    <w:p w14:paraId="3F985A73" w14:textId="77777777" w:rsidR="004F2361" w:rsidRPr="002048A7" w:rsidRDefault="004F2361" w:rsidP="0025080A">
      <w:pPr>
        <w:pStyle w:val="ListeParagraf"/>
        <w:numPr>
          <w:ilvl w:val="0"/>
          <w:numId w:val="21"/>
        </w:numPr>
        <w:spacing w:before="120" w:after="120" w:line="240" w:lineRule="auto"/>
        <w:contextualSpacing w:val="0"/>
        <w:rPr>
          <w:rFonts w:ascii="Calibri" w:hAnsi="Calibri"/>
          <w:bCs/>
        </w:rPr>
      </w:pPr>
      <w:proofErr w:type="gramStart"/>
      <w:r w:rsidRPr="004F2361">
        <w:rPr>
          <w:rFonts w:ascii="Calibri" w:hAnsi="Calibri"/>
          <w:bCs/>
        </w:rPr>
        <w:t>17 nci</w:t>
      </w:r>
      <w:proofErr w:type="gramEnd"/>
      <w:r w:rsidRPr="004F2361">
        <w:rPr>
          <w:rFonts w:ascii="Calibri" w:hAnsi="Calibri"/>
          <w:bCs/>
        </w:rPr>
        <w:t xml:space="preserve"> maddesinin birinci ve dördüncü fıkraları aşağıdaki şekilde değiştirilmiş, ikinci fıkrasının (c) bendi ve üçüncü fıkrası yürürlükten kaldırılmış ve aynı maddeye aşağıdaki fıkra eklenmiştir.</w:t>
      </w:r>
    </w:p>
    <w:p w14:paraId="52D2B495" w14:textId="77777777" w:rsidR="004F2361" w:rsidRPr="004F2361" w:rsidRDefault="004F2361" w:rsidP="004F2361">
      <w:pPr>
        <w:spacing w:before="120" w:after="120" w:line="240" w:lineRule="auto"/>
        <w:ind w:left="1418"/>
        <w:rPr>
          <w:rFonts w:ascii="Calibri" w:hAnsi="Calibri"/>
          <w:i/>
        </w:rPr>
      </w:pPr>
      <w:r w:rsidRPr="004F2361">
        <w:rPr>
          <w:rFonts w:ascii="Calibri" w:hAnsi="Calibri"/>
          <w:i/>
        </w:rPr>
        <w:t>“(1) Kendisine bağlantı anlaşmasına çağrı mektubu tebliğ edilenlere, bağlantı anlaşmasına çağrı mektubunun tebliğ tarihinden itibaren bir yıl süre verilir. Bağlantı anlaşmasına çağrı mektubu sahiplerinin, söz konusu süre içerisinde üretim tesisi ve varsa bağlantı hattı projesini Bakanlık veya Bakanlığın yetki verdiği kurum ve/veya tüzel kişilere onaylatması zorunludur.”</w:t>
      </w:r>
    </w:p>
    <w:p w14:paraId="7866AAEA" w14:textId="77777777" w:rsidR="004F2361" w:rsidRPr="004F2361" w:rsidRDefault="004F2361" w:rsidP="004F2361">
      <w:pPr>
        <w:spacing w:before="120" w:after="120" w:line="240" w:lineRule="auto"/>
        <w:ind w:left="1418"/>
        <w:rPr>
          <w:rFonts w:ascii="Calibri" w:hAnsi="Calibri"/>
          <w:i/>
        </w:rPr>
      </w:pPr>
      <w:r w:rsidRPr="004F2361">
        <w:rPr>
          <w:rFonts w:ascii="Calibri" w:hAnsi="Calibri"/>
          <w:i/>
        </w:rPr>
        <w:t>“(4) Birinci fıkrada tanımlanan süre içerisinde söz konusu belgeleri ilgili şebeke işletmecisine sunamamaları halinde ilgili gerçek veya tüzel kişiler, bağlantı anlaşması imzalama hakkını kaybeder ve mevcut belgeleri kendilerine iade edilir.”</w:t>
      </w:r>
    </w:p>
    <w:p w14:paraId="15B7DDB4" w14:textId="77777777" w:rsidR="004F2361" w:rsidRDefault="004F2361" w:rsidP="004F2361">
      <w:pPr>
        <w:spacing w:before="120" w:after="120" w:line="240" w:lineRule="auto"/>
        <w:ind w:left="1418"/>
        <w:rPr>
          <w:rFonts w:ascii="Calibri" w:hAnsi="Calibri"/>
          <w:i/>
        </w:rPr>
      </w:pPr>
      <w:r w:rsidRPr="004F2361">
        <w:rPr>
          <w:rFonts w:ascii="Calibri" w:hAnsi="Calibri"/>
          <w:i/>
        </w:rPr>
        <w:lastRenderedPageBreak/>
        <w:t>“(7) 12/5/2019 tarihinden önce bağlantı anlaşmasına çağrı mektubu almaya hak kazanan üretim tesisleri için talep edilen mekanik kurulu güç artışı, elektriksel kurulu gücün yüzde yirmisinden fazla olamaz. 12/5/2019 tarihinden sonra bağlantı anlaşmasına çağrı mektubu almaya hak kazanan üretim tesisleri için talep edilen mekanik kurulu güç, elektriksel kurulu gücün iki katını aşamaz.”</w:t>
      </w:r>
    </w:p>
    <w:p w14:paraId="49C0FE42" w14:textId="77777777" w:rsidR="004F2361" w:rsidRPr="002048A7" w:rsidRDefault="004F2361" w:rsidP="0025080A">
      <w:pPr>
        <w:pStyle w:val="ListeParagraf"/>
        <w:numPr>
          <w:ilvl w:val="0"/>
          <w:numId w:val="21"/>
        </w:numPr>
        <w:spacing w:before="120" w:after="120" w:line="240" w:lineRule="auto"/>
        <w:contextualSpacing w:val="0"/>
        <w:rPr>
          <w:rFonts w:ascii="Calibri" w:hAnsi="Calibri"/>
          <w:bCs/>
        </w:rPr>
      </w:pPr>
      <w:r w:rsidRPr="004F2361">
        <w:rPr>
          <w:rFonts w:ascii="Calibri" w:hAnsi="Calibri"/>
          <w:bCs/>
        </w:rPr>
        <w:t>19 uncu maddesinin birinci fıkrası aşağıdaki şekilde değiştirilmiş ve aynı maddeye aşağıdaki fıkra eklenmiştir.</w:t>
      </w:r>
    </w:p>
    <w:p w14:paraId="0BE708D7" w14:textId="77777777" w:rsidR="004F2361" w:rsidRPr="004F2361" w:rsidRDefault="004F2361" w:rsidP="004F2361">
      <w:pPr>
        <w:spacing w:before="120" w:after="120" w:line="240" w:lineRule="auto"/>
        <w:ind w:left="1418"/>
        <w:rPr>
          <w:rFonts w:ascii="Calibri" w:hAnsi="Calibri"/>
          <w:i/>
        </w:rPr>
      </w:pPr>
      <w:r w:rsidRPr="004F2361">
        <w:rPr>
          <w:rFonts w:ascii="Calibri" w:hAnsi="Calibri"/>
          <w:i/>
        </w:rPr>
        <w:t>“(1) Bu Yönetmelik hükümlerine göre şebekeye bağlanacak üretim tesislerinin yatırıma başlanması için gerekli olan ÇED, imar ve diğer izin ve onayların alınması ile kabul işlemlerinin, bağlantı anlaşmasının imza tarihinden itibaren, 30 uncu maddenin yedinci fıkrası hükmü saklı kalmak kaydıyla;</w:t>
      </w:r>
    </w:p>
    <w:p w14:paraId="394AD1EF" w14:textId="77777777" w:rsidR="004F2361" w:rsidRPr="004F2361" w:rsidRDefault="004F2361" w:rsidP="004F2361">
      <w:pPr>
        <w:spacing w:before="120" w:after="120" w:line="240" w:lineRule="auto"/>
        <w:ind w:left="1418"/>
        <w:rPr>
          <w:rFonts w:ascii="Calibri" w:hAnsi="Calibri"/>
          <w:i/>
        </w:rPr>
      </w:pPr>
      <w:r w:rsidRPr="004F2361">
        <w:rPr>
          <w:rFonts w:ascii="Calibri" w:hAnsi="Calibri"/>
          <w:i/>
        </w:rPr>
        <w:t>a) İlgili şebeke işletmecisine ait dağıtım trafosunu kullanan tüm üretim tesislerinde bir yıl,</w:t>
      </w:r>
    </w:p>
    <w:p w14:paraId="06648FA6" w14:textId="77777777" w:rsidR="004F2361" w:rsidRPr="004F2361" w:rsidRDefault="004F2361" w:rsidP="004F2361">
      <w:pPr>
        <w:spacing w:before="120" w:after="120" w:line="240" w:lineRule="auto"/>
        <w:ind w:left="1418"/>
        <w:rPr>
          <w:rFonts w:ascii="Calibri" w:hAnsi="Calibri"/>
          <w:i/>
        </w:rPr>
      </w:pPr>
      <w:r w:rsidRPr="004F2361">
        <w:rPr>
          <w:rFonts w:ascii="Calibri" w:hAnsi="Calibri"/>
          <w:i/>
        </w:rPr>
        <w:t>b) İlgili şebeke işletmecisine ait dağıtım trafosunu kullanmayan,</w:t>
      </w:r>
    </w:p>
    <w:p w14:paraId="5AE79444" w14:textId="77777777" w:rsidR="004F2361" w:rsidRPr="004F2361" w:rsidRDefault="004F2361" w:rsidP="004F2361">
      <w:pPr>
        <w:spacing w:before="120" w:after="120" w:line="240" w:lineRule="auto"/>
        <w:ind w:left="1418"/>
        <w:rPr>
          <w:rFonts w:ascii="Calibri" w:hAnsi="Calibri"/>
          <w:i/>
        </w:rPr>
      </w:pPr>
      <w:r w:rsidRPr="004F2361">
        <w:rPr>
          <w:rFonts w:ascii="Calibri" w:hAnsi="Calibri"/>
          <w:i/>
        </w:rPr>
        <w:t>1) Hidrolik kaynağa dayalı üretim tesislerinde üç yıl,</w:t>
      </w:r>
    </w:p>
    <w:p w14:paraId="012FE10E" w14:textId="77777777" w:rsidR="004F2361" w:rsidRPr="004F2361" w:rsidRDefault="004F2361" w:rsidP="004F2361">
      <w:pPr>
        <w:spacing w:before="120" w:after="120" w:line="240" w:lineRule="auto"/>
        <w:ind w:left="1418"/>
        <w:rPr>
          <w:rFonts w:ascii="Calibri" w:hAnsi="Calibri"/>
          <w:i/>
        </w:rPr>
      </w:pPr>
      <w:r w:rsidRPr="004F2361">
        <w:rPr>
          <w:rFonts w:ascii="Calibri" w:hAnsi="Calibri"/>
          <w:i/>
        </w:rPr>
        <w:t>2) Diğer kaynaklara dayalı üretim tesislerinde iki yıl.</w:t>
      </w:r>
    </w:p>
    <w:p w14:paraId="24D97C3A" w14:textId="77777777" w:rsidR="004F2361" w:rsidRPr="004F2361" w:rsidRDefault="004F2361" w:rsidP="004F2361">
      <w:pPr>
        <w:spacing w:before="120" w:after="120" w:line="240" w:lineRule="auto"/>
        <w:ind w:left="1418"/>
        <w:rPr>
          <w:rFonts w:ascii="Calibri" w:hAnsi="Calibri"/>
          <w:i/>
        </w:rPr>
      </w:pPr>
      <w:r w:rsidRPr="004F2361">
        <w:rPr>
          <w:rFonts w:ascii="Calibri" w:hAnsi="Calibri"/>
          <w:i/>
        </w:rPr>
        <w:t>c) İletim şebekesine bağlanacak üretim tesislerinde 2/11/2013 tarihli ve 28809 sayılı Resmî Gazete’de yayımlanan Elektrik Piyasası Lisans Yönetmeliği çerçevesinde aynı niteliklere sahip üretim tesisleri için öngörülen süre,</w:t>
      </w:r>
    </w:p>
    <w:p w14:paraId="467F8201" w14:textId="77777777" w:rsidR="004F2361" w:rsidRPr="004F2361" w:rsidRDefault="004F2361" w:rsidP="004F2361">
      <w:pPr>
        <w:spacing w:before="120" w:after="120" w:line="240" w:lineRule="auto"/>
        <w:ind w:left="1418"/>
        <w:rPr>
          <w:rFonts w:ascii="Calibri" w:hAnsi="Calibri"/>
          <w:i/>
        </w:rPr>
      </w:pPr>
      <w:proofErr w:type="gramStart"/>
      <w:r w:rsidRPr="004F2361">
        <w:rPr>
          <w:rFonts w:ascii="Calibri" w:hAnsi="Calibri"/>
          <w:i/>
        </w:rPr>
        <w:t>içerisinde</w:t>
      </w:r>
      <w:proofErr w:type="gramEnd"/>
      <w:r w:rsidRPr="004F2361">
        <w:rPr>
          <w:rFonts w:ascii="Calibri" w:hAnsi="Calibri"/>
          <w:i/>
        </w:rPr>
        <w:t xml:space="preserve"> tamamlanması zorunludur. Bu maddenin yürürlüğe girmesinden sonra imzalanacak bağlantı anlaşmalarında bu sürelere de yer verilir. Elektrik Piyasası Lisans Yönetmeliğinin 35 inci maddesinde belirtilen mücbir sebepler ve Kurul tarafından uygun bulunan haller dışında, bu sürelerin sonunda üretim tesisinin tamamlanmaması halinde bağlantı anlaşması, tahsis edilen kapasite, teknik etkileşim izni ile su kullanım haklarına ilişkin izin belgeleri kendiliğinden hükümsüz hale gelir. Lisanssız üretim tesislerinde </w:t>
      </w:r>
      <w:proofErr w:type="gramStart"/>
      <w:r w:rsidRPr="004F2361">
        <w:rPr>
          <w:rFonts w:ascii="Calibri" w:hAnsi="Calibri"/>
          <w:i/>
        </w:rPr>
        <w:t>17 nci</w:t>
      </w:r>
      <w:proofErr w:type="gramEnd"/>
      <w:r w:rsidRPr="004F2361">
        <w:rPr>
          <w:rFonts w:ascii="Calibri" w:hAnsi="Calibri"/>
          <w:i/>
        </w:rPr>
        <w:t xml:space="preserve"> maddenin altıncı fıkrası kapsamında gerçekleştirilen güç artışı işlemleri hariç olmak üzere tek bir kabul yapılabilir. Bununla birlikte her bir seferinde 10 MWe gücünden aşağı olmamak üzere kısmi kabul de yapılabilir. Ancak kabulü yapılan kısım dışında kalan gücün, süresi içerisinde kabulünün yapılmaması halinde, söz konusu bağlantı anlaşması kabulü yapılan kısım esas alınmak suretiyle güncellenir.”</w:t>
      </w:r>
    </w:p>
    <w:p w14:paraId="24AB49E7" w14:textId="77777777" w:rsidR="004F2361" w:rsidRDefault="004F2361" w:rsidP="004F2361">
      <w:pPr>
        <w:spacing w:before="120" w:after="120" w:line="240" w:lineRule="auto"/>
        <w:ind w:left="1418"/>
        <w:rPr>
          <w:rFonts w:ascii="Calibri" w:hAnsi="Calibri"/>
          <w:i/>
        </w:rPr>
      </w:pPr>
      <w:r w:rsidRPr="004F2361">
        <w:rPr>
          <w:rFonts w:ascii="Calibri" w:hAnsi="Calibri"/>
          <w:i/>
        </w:rPr>
        <w:t>“(4) Kabulü tamamlanarak işletmeye alınan üretim tesislerinde, tesisin ticari faaliyete başladığı tarihi izleyen bir ay içerisinde taraflarca sistem kullanım anlaşmasının imzalanmaması durumunda, ilgili şebeke işletmecisi tarafından üretim tesisinin şebekeden ayrılma işlemleri yapılıncaya kadarki süreçte üretilen enerjinin, görevli tedarik şirketi tarafından üretilerek sisteme verilmiş olduğu kabul edilerek YEKDEM’e bedelsiz katkı olarak dikkate alınır. Bu fıkra kapsamında YEKDEM’e bedelsiz katkı olarak dikkate alınan enerji miktarı için oluşacak sistem kullanım bedeli, görevli tedarik şirketi aracılığıyla ilgili şebeke işletmecisine ödenir ve YEKDEM’e bedelsiz katkı olarak dikkate alınan enerji için lisanssız üretim tesisi sahibi kişilere herhangi bir fatura tebliğ edilmez.”</w:t>
      </w:r>
    </w:p>
    <w:p w14:paraId="5A3EE381" w14:textId="77777777" w:rsidR="004F2361" w:rsidRPr="002048A7" w:rsidRDefault="004F2361" w:rsidP="0025080A">
      <w:pPr>
        <w:pStyle w:val="ListeParagraf"/>
        <w:numPr>
          <w:ilvl w:val="0"/>
          <w:numId w:val="21"/>
        </w:numPr>
        <w:spacing w:before="120" w:after="120" w:line="240" w:lineRule="auto"/>
        <w:contextualSpacing w:val="0"/>
        <w:rPr>
          <w:rFonts w:ascii="Calibri" w:hAnsi="Calibri"/>
          <w:bCs/>
        </w:rPr>
      </w:pPr>
      <w:proofErr w:type="gramStart"/>
      <w:r w:rsidRPr="004F2361">
        <w:rPr>
          <w:rFonts w:ascii="Calibri" w:hAnsi="Calibri"/>
          <w:bCs/>
        </w:rPr>
        <w:t>24 üncü</w:t>
      </w:r>
      <w:proofErr w:type="gramEnd"/>
      <w:r w:rsidRPr="004F2361">
        <w:rPr>
          <w:rFonts w:ascii="Calibri" w:hAnsi="Calibri"/>
          <w:bCs/>
        </w:rPr>
        <w:t xml:space="preserve"> maddesinin sekizinci fıkrası aşağıdaki şekilde değiştirilmiştir.</w:t>
      </w:r>
    </w:p>
    <w:p w14:paraId="39AABBBB" w14:textId="77777777" w:rsidR="004F2361" w:rsidRDefault="004F2361" w:rsidP="004F2361">
      <w:pPr>
        <w:spacing w:before="120" w:after="120" w:line="240" w:lineRule="auto"/>
        <w:ind w:left="1418"/>
        <w:rPr>
          <w:rFonts w:ascii="Calibri" w:hAnsi="Calibri"/>
          <w:i/>
        </w:rPr>
      </w:pPr>
      <w:r w:rsidRPr="004F2361">
        <w:rPr>
          <w:rFonts w:ascii="Calibri" w:hAnsi="Calibri"/>
          <w:i/>
        </w:rPr>
        <w:t>“(8) 5 inci maddenin birinci fıkrasının (d) bendi kapsamında kurulu üretim tesisleriyle, aynı veya farklı dağıtım bölgesinde ve farklı ölçüm noktasında olmak ve 5 inci maddenin birinci fıkrasının (d) bendi kapsamındaki üretim tesisinden şebekeye enerji verilmemesi kaydıyla, aynı fıkranın (h) bendi kapsamında üretim tesislerinin birlikte kurulması halinde, yapılacak aylık mahsuplaşma sonrasında şebekeye verilen ihtiyaç fazlası enerji ilgili mevzuat uyarınca, YEK Kanununa ekli I sayılı Cetvelde lisanssız üretim tesisleri için belirlenen fiyat üzerinden YEKDEM kapsamında değerlendirilir.”</w:t>
      </w:r>
    </w:p>
    <w:p w14:paraId="65F0D60A" w14:textId="77777777" w:rsidR="004F2361" w:rsidRPr="002048A7" w:rsidRDefault="004F2361" w:rsidP="0025080A">
      <w:pPr>
        <w:pStyle w:val="ListeParagraf"/>
        <w:numPr>
          <w:ilvl w:val="0"/>
          <w:numId w:val="21"/>
        </w:numPr>
        <w:spacing w:before="120" w:after="120" w:line="240" w:lineRule="auto"/>
        <w:contextualSpacing w:val="0"/>
        <w:rPr>
          <w:rFonts w:ascii="Calibri" w:hAnsi="Calibri"/>
          <w:bCs/>
        </w:rPr>
      </w:pPr>
      <w:proofErr w:type="gramStart"/>
      <w:r w:rsidRPr="004F2361">
        <w:rPr>
          <w:rFonts w:ascii="Calibri" w:hAnsi="Calibri"/>
          <w:bCs/>
        </w:rPr>
        <w:lastRenderedPageBreak/>
        <w:t>26 ncı</w:t>
      </w:r>
      <w:proofErr w:type="gramEnd"/>
      <w:r w:rsidRPr="004F2361">
        <w:rPr>
          <w:rFonts w:ascii="Calibri" w:hAnsi="Calibri"/>
          <w:bCs/>
        </w:rPr>
        <w:t xml:space="preserve"> maddesinin on dördüncü fıkrası aşağıdaki şekilde değiştirilmiş ve aynı maddeye aşağıdaki fıkra eklenmiştir.</w:t>
      </w:r>
    </w:p>
    <w:p w14:paraId="6350270E" w14:textId="77777777" w:rsidR="004F2361" w:rsidRPr="004F2361" w:rsidRDefault="004F2361" w:rsidP="004F2361">
      <w:pPr>
        <w:spacing w:before="120" w:after="120" w:line="240" w:lineRule="auto"/>
        <w:ind w:left="1418"/>
        <w:rPr>
          <w:rFonts w:ascii="Calibri" w:hAnsi="Calibri"/>
          <w:i/>
        </w:rPr>
      </w:pPr>
      <w:r w:rsidRPr="004F2361">
        <w:rPr>
          <w:rFonts w:ascii="Calibri" w:hAnsi="Calibri"/>
          <w:i/>
        </w:rPr>
        <w:t>“(14) Bünyesinde lisanslı üretim tesisi bulunduran tüketim tesisleri için, farklı ölçüm noktasında olmak kaydıyla, 5 inci maddenin birinci fıkrasının (h) bendi kapsamında üretim tesisi kurulması halinde, tüketim tesisinin tüketimi ile 5 inci maddenin birinci fıkrasının (h) bendi kapsamında kurulan tesis için yapılacak aylık mahsuplaşma sonrasında şebekeye verilen ihtiyaç fazlası enerji ilgili mevzuat uyarınca, YEK Kanununa ekli I sayılı Cetvelde lisanssız üretim tesisleri için belirlenen fiyat üzerinden YEKDEM kapsamında değerlendirilir. Bu fıkra kapsamında yer alan tüketim tesislerinin ayrıca tüketim aboneliğinin bulunmaması halinde, bağlantı anlaşmasındaki sözleşme gücü olarak, ilgili üretim tesisi için imzalanmış olan bağlantı anlaşmalarında yer alan çekiş yönlü güç esas alınır.”</w:t>
      </w:r>
    </w:p>
    <w:p w14:paraId="14F733BB" w14:textId="77777777" w:rsidR="004F2361" w:rsidRDefault="004F2361" w:rsidP="004F2361">
      <w:pPr>
        <w:spacing w:before="120" w:after="120" w:line="240" w:lineRule="auto"/>
        <w:ind w:left="1418"/>
        <w:rPr>
          <w:rFonts w:ascii="Calibri" w:hAnsi="Calibri"/>
          <w:i/>
        </w:rPr>
      </w:pPr>
      <w:r w:rsidRPr="004F2361">
        <w:rPr>
          <w:rFonts w:ascii="Calibri" w:hAnsi="Calibri"/>
          <w:i/>
        </w:rPr>
        <w:t>“(17) 5 inci maddenin birinci fıkrasının (h) bendi kapsamında yer alan, bu madde ile 30 uncu madde kapsamında işlemleri yürütülen tesislerde, üretim ve/veya tüketim tesislerinin farklı dağıtım ya da görevli tedarik şirketi bölgesi sınırları içinde olması halinde, piyasa işletmecisi tarafından yürütülecek mahsuplaşma işlemlerine ilişkin usul ve esaslar Kurum tarafından belirlenir.”</w:t>
      </w:r>
    </w:p>
    <w:p w14:paraId="6A885922" w14:textId="77777777" w:rsidR="004F2361" w:rsidRPr="002048A7" w:rsidRDefault="004F2361" w:rsidP="0025080A">
      <w:pPr>
        <w:pStyle w:val="ListeParagraf"/>
        <w:numPr>
          <w:ilvl w:val="0"/>
          <w:numId w:val="21"/>
        </w:numPr>
        <w:spacing w:before="120" w:after="120" w:line="240" w:lineRule="auto"/>
        <w:contextualSpacing w:val="0"/>
        <w:rPr>
          <w:rFonts w:ascii="Calibri" w:hAnsi="Calibri"/>
          <w:bCs/>
        </w:rPr>
      </w:pPr>
      <w:r w:rsidRPr="004F2361">
        <w:rPr>
          <w:rFonts w:ascii="Calibri" w:hAnsi="Calibri"/>
          <w:bCs/>
        </w:rPr>
        <w:t>30 uncu maddesinin yedinci fıkrasına aşağıdaki cümleler eklenmiştir.</w:t>
      </w:r>
    </w:p>
    <w:p w14:paraId="0BD06324" w14:textId="77777777" w:rsidR="004F2361" w:rsidRDefault="0000585A" w:rsidP="004F2361">
      <w:pPr>
        <w:spacing w:before="120" w:after="120" w:line="240" w:lineRule="auto"/>
        <w:ind w:left="1418"/>
        <w:rPr>
          <w:rFonts w:ascii="Calibri" w:hAnsi="Calibri"/>
          <w:i/>
        </w:rPr>
      </w:pPr>
      <w:r w:rsidRPr="0000585A">
        <w:rPr>
          <w:rFonts w:ascii="Calibri" w:hAnsi="Calibri"/>
          <w:i/>
        </w:rPr>
        <w:t>“Bununla birlikte her bir seferinde 10 MWe gücünden aşağı olmamak üzere kısmi kabul de yapılabilir. Ancak kabulü yapılan kısım dışında kalan gücün, süresi içerisinde kabulünün yapılmaması halinde, söz konusu bağlantı anlaşması kabulü yapılan kısım esas alınmak suretiyle güncellenir.”</w:t>
      </w:r>
    </w:p>
    <w:p w14:paraId="5478243C" w14:textId="77777777" w:rsidR="004F2361" w:rsidRPr="002048A7" w:rsidRDefault="0000585A" w:rsidP="0025080A">
      <w:pPr>
        <w:pStyle w:val="ListeParagraf"/>
        <w:numPr>
          <w:ilvl w:val="0"/>
          <w:numId w:val="21"/>
        </w:numPr>
        <w:spacing w:before="120" w:after="120" w:line="240" w:lineRule="auto"/>
        <w:contextualSpacing w:val="0"/>
        <w:rPr>
          <w:rFonts w:ascii="Calibri" w:hAnsi="Calibri"/>
          <w:bCs/>
        </w:rPr>
      </w:pPr>
      <w:proofErr w:type="gramStart"/>
      <w:r w:rsidRPr="0000585A">
        <w:rPr>
          <w:rFonts w:ascii="Calibri" w:hAnsi="Calibri"/>
          <w:bCs/>
        </w:rPr>
        <w:t>37 nci</w:t>
      </w:r>
      <w:proofErr w:type="gramEnd"/>
      <w:r w:rsidRPr="0000585A">
        <w:rPr>
          <w:rFonts w:ascii="Calibri" w:hAnsi="Calibri"/>
          <w:bCs/>
        </w:rPr>
        <w:t xml:space="preserve"> maddesinin üçüncü fıkrası aşağıdaki şekilde değiştirilmiş, yedinci fıkrasına </w:t>
      </w:r>
      <w:r w:rsidRPr="0000585A">
        <w:rPr>
          <w:rFonts w:ascii="Calibri" w:hAnsi="Calibri"/>
          <w:bCs/>
          <w:i/>
        </w:rPr>
        <w:t>“mer’i mevzuat kapsamında gerçekleştirilir”</w:t>
      </w:r>
      <w:r w:rsidRPr="0000585A">
        <w:rPr>
          <w:rFonts w:ascii="Calibri" w:hAnsi="Calibri"/>
          <w:bCs/>
        </w:rPr>
        <w:t xml:space="preserve"> ibaresinden sonra gelmek üzere </w:t>
      </w:r>
      <w:r w:rsidRPr="0000585A">
        <w:rPr>
          <w:rFonts w:ascii="Calibri" w:hAnsi="Calibri"/>
          <w:bCs/>
          <w:i/>
        </w:rPr>
        <w:t>“ve ilgili şebeke işletmecisi, birleşme veya bölünme bilgilerini görevli tedarik şirketine bildirir”</w:t>
      </w:r>
      <w:r w:rsidRPr="0000585A">
        <w:rPr>
          <w:rFonts w:ascii="Calibri" w:hAnsi="Calibri"/>
          <w:bCs/>
        </w:rPr>
        <w:t xml:space="preserve"> ibaresi eklenmiş ve aynı maddeye aşağıdaki fıkralar eklenmiştir.</w:t>
      </w:r>
    </w:p>
    <w:p w14:paraId="2012E891" w14:textId="77777777" w:rsidR="0000585A" w:rsidRPr="0000585A" w:rsidRDefault="0000585A" w:rsidP="0000585A">
      <w:pPr>
        <w:spacing w:before="120" w:after="120" w:line="240" w:lineRule="auto"/>
        <w:ind w:left="1418"/>
        <w:rPr>
          <w:rFonts w:ascii="Calibri" w:hAnsi="Calibri"/>
          <w:i/>
        </w:rPr>
      </w:pPr>
      <w:r w:rsidRPr="0000585A">
        <w:rPr>
          <w:rFonts w:ascii="Calibri" w:hAnsi="Calibri"/>
          <w:i/>
        </w:rPr>
        <w:t>“(3) Bu Yönetmeliğin 19 uncu maddesinin birinci fıkrası ve 30 uncu maddesinin yedinci fıkrası kapsamında kısmi kabul yapılan tesisler hariç olmak üzere, kendisine bağlantı anlaşmasına çağrı mektubu verilen kişiler tarafından, talep edilmesi halinde bir defaya mahsus olmak üzere bağlantı anlaşmasına çağrı mektubunda ve bağlantı anlaşmasında yer alan kurulu güçten en fazla yüzde on oranında eksiltme yapılabilir.”</w:t>
      </w:r>
    </w:p>
    <w:p w14:paraId="1070C331" w14:textId="77777777" w:rsidR="0000585A" w:rsidRPr="0000585A" w:rsidRDefault="0000585A" w:rsidP="0000585A">
      <w:pPr>
        <w:spacing w:before="120" w:after="120" w:line="240" w:lineRule="auto"/>
        <w:ind w:left="1418"/>
        <w:rPr>
          <w:rFonts w:ascii="Calibri" w:hAnsi="Calibri"/>
          <w:i/>
        </w:rPr>
      </w:pPr>
      <w:r w:rsidRPr="0000585A">
        <w:rPr>
          <w:rFonts w:ascii="Calibri" w:hAnsi="Calibri"/>
          <w:i/>
        </w:rPr>
        <w:t>“(12) Bağlantı anlaşmasına çağrı mektubu düzenlenen, bağlantı anlaşması imzalanan ve kabulü tamamlanarak işletmeye geçen üretim tesisleri için mücbir sebep hallerinde Kurul Kararı ile ve dağıtım seviyesinden bağlantılarda aynı trafo merkezinden, iletim seviyesinden bağlantılarda aynı iletim bölgesinden bağlanmak şartıyla saha değişikliği yapılabilir.</w:t>
      </w:r>
    </w:p>
    <w:p w14:paraId="50FCF156" w14:textId="77777777" w:rsidR="004F2361" w:rsidRDefault="0000585A" w:rsidP="0000585A">
      <w:pPr>
        <w:spacing w:before="120" w:after="120" w:line="240" w:lineRule="auto"/>
        <w:ind w:left="1418"/>
        <w:rPr>
          <w:rFonts w:ascii="Calibri" w:hAnsi="Calibri"/>
          <w:i/>
        </w:rPr>
      </w:pPr>
      <w:r w:rsidRPr="0000585A">
        <w:rPr>
          <w:rFonts w:ascii="Calibri" w:hAnsi="Calibri"/>
          <w:i/>
        </w:rPr>
        <w:t>(13) Kabul işlemleri yapılmadan bir üretim tesisinin kurularak işletmeye alındığının tespit edilmesi durumunda, herhangi bir bildirime gerek kalmaksızın ilgili şebeke işletmecisi tarafından üretim tesisi şebekeden ayrılır. Tespitin yapılmasını takip eden altmış gün içerisinde, üretim tesisi ile ilgili olan tüm ekipman demonte edilerek tesisin bulunduğu parselin dışına, tesis sahibi tarafından çıkartılır. Mevcut olması durumunda bağlantı anlaşmasına çağrı mektubu ve bağlantı anlaşması iptal edilir. Üretim tesisini kuran gerçek veya tüzel kişi üç yıl boyunca bu Yönetmelik kapsamında başvuru yapamaz.”</w:t>
      </w:r>
    </w:p>
    <w:p w14:paraId="12C35579" w14:textId="77777777" w:rsidR="004F2361" w:rsidRPr="002048A7" w:rsidRDefault="0000585A" w:rsidP="0025080A">
      <w:pPr>
        <w:pStyle w:val="ListeParagraf"/>
        <w:numPr>
          <w:ilvl w:val="0"/>
          <w:numId w:val="21"/>
        </w:numPr>
        <w:spacing w:before="120" w:after="120" w:line="240" w:lineRule="auto"/>
        <w:contextualSpacing w:val="0"/>
        <w:rPr>
          <w:rFonts w:ascii="Calibri" w:hAnsi="Calibri"/>
          <w:bCs/>
        </w:rPr>
      </w:pPr>
      <w:r w:rsidRPr="0000585A">
        <w:rPr>
          <w:rFonts w:ascii="Calibri" w:hAnsi="Calibri"/>
          <w:bCs/>
        </w:rPr>
        <w:t>Aynı Yönetmeliğe aşağıdaki geçici madde eklenmiştir.</w:t>
      </w:r>
    </w:p>
    <w:p w14:paraId="6AB2C5A4" w14:textId="77777777" w:rsidR="0000585A" w:rsidRPr="0000585A" w:rsidRDefault="0000585A" w:rsidP="0000585A">
      <w:pPr>
        <w:spacing w:before="120" w:after="120" w:line="240" w:lineRule="auto"/>
        <w:ind w:left="1418"/>
        <w:rPr>
          <w:rFonts w:ascii="Calibri" w:hAnsi="Calibri"/>
          <w:i/>
        </w:rPr>
      </w:pPr>
      <w:r w:rsidRPr="0000585A">
        <w:rPr>
          <w:rFonts w:ascii="Calibri" w:hAnsi="Calibri"/>
          <w:i/>
        </w:rPr>
        <w:t>“Bağlantı anlaşmasına çağrı mektubuna ilişkin işlemler</w:t>
      </w:r>
    </w:p>
    <w:p w14:paraId="675517BE" w14:textId="77777777" w:rsidR="004F2361" w:rsidRPr="002048A7" w:rsidRDefault="0000585A" w:rsidP="0000585A">
      <w:pPr>
        <w:spacing w:before="120" w:after="120" w:line="240" w:lineRule="auto"/>
        <w:ind w:left="1418"/>
        <w:rPr>
          <w:rFonts w:ascii="Calibri" w:hAnsi="Calibri"/>
          <w:i/>
        </w:rPr>
      </w:pPr>
      <w:r w:rsidRPr="0000585A">
        <w:rPr>
          <w:rFonts w:ascii="Calibri" w:hAnsi="Calibri"/>
          <w:i/>
        </w:rPr>
        <w:t xml:space="preserve">GEÇİCİ MADDE 10- (1) Bu maddenin yürürlüğe girdiği tarih itibarıyla, </w:t>
      </w:r>
      <w:proofErr w:type="gramStart"/>
      <w:r w:rsidRPr="0000585A">
        <w:rPr>
          <w:rFonts w:ascii="Calibri" w:hAnsi="Calibri"/>
          <w:i/>
        </w:rPr>
        <w:t>17 nci</w:t>
      </w:r>
      <w:proofErr w:type="gramEnd"/>
      <w:r w:rsidRPr="0000585A">
        <w:rPr>
          <w:rFonts w:ascii="Calibri" w:hAnsi="Calibri"/>
          <w:i/>
        </w:rPr>
        <w:t xml:space="preserve"> madde kapsamındaki bir yıllık süre, kalan süreleri bakımından mevcut bağlantı anlaşmasına çağrı mektupları için de uygulanır. Ancak bu sürenin yüz seksen günden az olması halinde, kalan süre yüz seksen gün olarak uygulanır.”</w:t>
      </w:r>
    </w:p>
    <w:p w14:paraId="467CB4D5" w14:textId="77777777" w:rsidR="009E1688" w:rsidRPr="002048A7" w:rsidRDefault="00AF6E1E" w:rsidP="0025080A">
      <w:pPr>
        <w:pStyle w:val="ListeParagraf"/>
        <w:numPr>
          <w:ilvl w:val="0"/>
          <w:numId w:val="22"/>
        </w:numPr>
        <w:spacing w:after="0"/>
        <w:rPr>
          <w:rFonts w:ascii="Calibri" w:hAnsi="Calibri"/>
          <w:i/>
        </w:rPr>
      </w:pPr>
      <w:bookmarkStart w:id="44" w:name="_Hlk115902558"/>
      <w:bookmarkStart w:id="45" w:name="_Hlk113630074"/>
      <w:r w:rsidRPr="002048A7">
        <w:rPr>
          <w:rFonts w:ascii="Calibri" w:hAnsi="Calibri"/>
          <w:bCs/>
        </w:rPr>
        <w:lastRenderedPageBreak/>
        <w:t>0</w:t>
      </w:r>
      <w:r w:rsidR="0000585A">
        <w:rPr>
          <w:rFonts w:ascii="Calibri" w:hAnsi="Calibri"/>
          <w:bCs/>
        </w:rPr>
        <w:t>7</w:t>
      </w:r>
      <w:r w:rsidRPr="002048A7">
        <w:rPr>
          <w:rFonts w:ascii="Calibri" w:hAnsi="Calibri"/>
          <w:bCs/>
        </w:rPr>
        <w:t>.0</w:t>
      </w:r>
      <w:r w:rsidR="0000585A">
        <w:rPr>
          <w:rFonts w:ascii="Calibri" w:hAnsi="Calibri"/>
          <w:bCs/>
        </w:rPr>
        <w:t>6</w:t>
      </w:r>
      <w:r w:rsidRPr="002048A7">
        <w:rPr>
          <w:rFonts w:ascii="Calibri" w:hAnsi="Calibri"/>
          <w:bCs/>
        </w:rPr>
        <w:t>.202</w:t>
      </w:r>
      <w:r w:rsidR="0000585A">
        <w:rPr>
          <w:rFonts w:ascii="Calibri" w:hAnsi="Calibri"/>
          <w:bCs/>
        </w:rPr>
        <w:t>4</w:t>
      </w:r>
      <w:r w:rsidR="00385219" w:rsidRPr="002048A7">
        <w:rPr>
          <w:rFonts w:ascii="Calibri" w:hAnsi="Calibri"/>
          <w:bCs/>
        </w:rPr>
        <w:t xml:space="preserve"> tarihli ve </w:t>
      </w:r>
      <w:r w:rsidR="0000585A">
        <w:rPr>
          <w:rFonts w:ascii="Calibri" w:hAnsi="Calibri"/>
          <w:bCs/>
        </w:rPr>
        <w:t>32569</w:t>
      </w:r>
      <w:r w:rsidRPr="002048A7">
        <w:rPr>
          <w:rFonts w:ascii="Calibri" w:hAnsi="Calibri"/>
          <w:bCs/>
        </w:rPr>
        <w:t xml:space="preserve"> </w:t>
      </w:r>
      <w:r w:rsidR="00385219" w:rsidRPr="002048A7">
        <w:rPr>
          <w:rFonts w:ascii="Calibri" w:hAnsi="Calibri"/>
          <w:bCs/>
        </w:rPr>
        <w:t>sayılı Resmî Gazete’de yayımlanan</w:t>
      </w:r>
      <w:r w:rsidR="009E1688" w:rsidRPr="002048A7">
        <w:rPr>
          <w:rFonts w:ascii="Calibri" w:hAnsi="Calibri"/>
          <w:bCs/>
        </w:rPr>
        <w:t xml:space="preserve"> Değişiklik Yönetmeliği ile</w:t>
      </w:r>
      <w:r w:rsidR="009E1688" w:rsidRPr="002048A7">
        <w:rPr>
          <w:rFonts w:ascii="Calibri" w:hAnsi="Calibri"/>
          <w:b/>
          <w:bCs/>
        </w:rPr>
        <w:t xml:space="preserve"> </w:t>
      </w:r>
      <w:bookmarkEnd w:id="44"/>
      <w:r w:rsidR="0000585A" w:rsidRPr="0000585A">
        <w:rPr>
          <w:rFonts w:ascii="Calibri" w:hAnsi="Calibri"/>
          <w:b/>
        </w:rPr>
        <w:t>Elektrik Piyasası Ölçüm Sistemleri Yönetmeliğinin</w:t>
      </w:r>
    </w:p>
    <w:bookmarkEnd w:id="45"/>
    <w:p w14:paraId="39321CEE" w14:textId="77777777" w:rsidR="009E1688" w:rsidRPr="002048A7" w:rsidRDefault="009E1688" w:rsidP="009E1688">
      <w:pPr>
        <w:spacing w:after="0"/>
        <w:ind w:left="360"/>
        <w:rPr>
          <w:rFonts w:ascii="Calibri" w:hAnsi="Calibri"/>
          <w:i/>
        </w:rPr>
      </w:pPr>
    </w:p>
    <w:p w14:paraId="528CB039" w14:textId="77777777" w:rsidR="009E1688" w:rsidRPr="002048A7" w:rsidRDefault="0000585A" w:rsidP="0025080A">
      <w:pPr>
        <w:pStyle w:val="ListeParagraf"/>
        <w:numPr>
          <w:ilvl w:val="0"/>
          <w:numId w:val="30"/>
        </w:numPr>
        <w:spacing w:after="0"/>
        <w:rPr>
          <w:rFonts w:ascii="Calibri" w:hAnsi="Calibri"/>
          <w:iCs/>
        </w:rPr>
      </w:pPr>
      <w:r>
        <w:rPr>
          <w:rFonts w:ascii="Calibri" w:hAnsi="Calibri"/>
          <w:iCs/>
        </w:rPr>
        <w:t>G</w:t>
      </w:r>
      <w:r w:rsidRPr="0000585A">
        <w:rPr>
          <w:rFonts w:ascii="Calibri" w:hAnsi="Calibri"/>
          <w:iCs/>
        </w:rPr>
        <w:t xml:space="preserve">eçici </w:t>
      </w:r>
      <w:proofErr w:type="gramStart"/>
      <w:r w:rsidRPr="0000585A">
        <w:rPr>
          <w:rFonts w:ascii="Calibri" w:hAnsi="Calibri"/>
          <w:iCs/>
        </w:rPr>
        <w:t>2 nci</w:t>
      </w:r>
      <w:proofErr w:type="gramEnd"/>
      <w:r w:rsidRPr="0000585A">
        <w:rPr>
          <w:rFonts w:ascii="Calibri" w:hAnsi="Calibri"/>
          <w:iCs/>
        </w:rPr>
        <w:t xml:space="preserve"> maddesi aşağıdaki şekilde değiştirilmiştir.</w:t>
      </w:r>
    </w:p>
    <w:p w14:paraId="7A516BC5" w14:textId="77777777" w:rsidR="0000585A" w:rsidRPr="0000585A" w:rsidRDefault="0000585A" w:rsidP="0000585A">
      <w:pPr>
        <w:pStyle w:val="ListeParagraf"/>
        <w:spacing w:after="0"/>
        <w:ind w:left="1440"/>
        <w:rPr>
          <w:rFonts w:ascii="Calibri" w:hAnsi="Calibri"/>
          <w:bCs/>
          <w:i/>
          <w:iCs/>
        </w:rPr>
      </w:pPr>
      <w:r w:rsidRPr="0000585A">
        <w:rPr>
          <w:rFonts w:ascii="Calibri" w:hAnsi="Calibri"/>
          <w:bCs/>
          <w:i/>
          <w:iCs/>
        </w:rPr>
        <w:t xml:space="preserve">“GEÇİCİ MADDE 2- (1) 1/9/2024 tarihine kadar EPİAŞ tarafından bu Yönetmeliğin </w:t>
      </w:r>
      <w:proofErr w:type="gramStart"/>
      <w:r w:rsidRPr="0000585A">
        <w:rPr>
          <w:rFonts w:ascii="Calibri" w:hAnsi="Calibri"/>
          <w:bCs/>
          <w:i/>
          <w:iCs/>
        </w:rPr>
        <w:t>7 nci</w:t>
      </w:r>
      <w:proofErr w:type="gramEnd"/>
      <w:r w:rsidRPr="0000585A">
        <w:rPr>
          <w:rFonts w:ascii="Calibri" w:hAnsi="Calibri"/>
          <w:bCs/>
          <w:i/>
          <w:iCs/>
        </w:rPr>
        <w:t xml:space="preserve"> maddesinde belirtilen kullanıcı mobil uygulaması ve internet sitesi kurulur.</w:t>
      </w:r>
    </w:p>
    <w:p w14:paraId="20A06871" w14:textId="77777777" w:rsidR="009E1688" w:rsidRPr="002048A7" w:rsidRDefault="0000585A" w:rsidP="0000585A">
      <w:pPr>
        <w:pStyle w:val="ListeParagraf"/>
        <w:spacing w:after="0"/>
        <w:ind w:left="1440"/>
        <w:rPr>
          <w:rFonts w:ascii="Calibri" w:hAnsi="Calibri"/>
          <w:iCs/>
        </w:rPr>
      </w:pPr>
      <w:r w:rsidRPr="0000585A">
        <w:rPr>
          <w:rFonts w:ascii="Calibri" w:hAnsi="Calibri"/>
          <w:bCs/>
          <w:i/>
          <w:iCs/>
        </w:rPr>
        <w:t xml:space="preserve">(2) 1/10/2024 tarihine kadar elektrik dağıtım şirketleri tarafından bu Yönetmeliğin </w:t>
      </w:r>
      <w:proofErr w:type="gramStart"/>
      <w:r w:rsidRPr="0000585A">
        <w:rPr>
          <w:rFonts w:ascii="Calibri" w:hAnsi="Calibri"/>
          <w:bCs/>
          <w:i/>
          <w:iCs/>
        </w:rPr>
        <w:t>7 nci</w:t>
      </w:r>
      <w:proofErr w:type="gramEnd"/>
      <w:r w:rsidRPr="0000585A">
        <w:rPr>
          <w:rFonts w:ascii="Calibri" w:hAnsi="Calibri"/>
          <w:bCs/>
          <w:i/>
          <w:iCs/>
        </w:rPr>
        <w:t xml:space="preserve"> maddesinde belirtilen veriler EPİAŞ’a sağlanır.”</w:t>
      </w:r>
    </w:p>
    <w:p w14:paraId="44D384E7" w14:textId="77777777" w:rsidR="002806A0" w:rsidRPr="002048A7" w:rsidRDefault="002806A0" w:rsidP="00385219">
      <w:pPr>
        <w:pStyle w:val="ListeParagraf"/>
        <w:spacing w:after="0"/>
        <w:ind w:left="1440"/>
        <w:rPr>
          <w:rFonts w:ascii="Calibri" w:hAnsi="Calibri"/>
          <w:bCs/>
          <w:i/>
          <w:iCs/>
        </w:rPr>
      </w:pPr>
    </w:p>
    <w:p w14:paraId="019E6132" w14:textId="77777777" w:rsidR="009E1688" w:rsidRPr="0000585A" w:rsidRDefault="0000585A" w:rsidP="0025080A">
      <w:pPr>
        <w:numPr>
          <w:ilvl w:val="0"/>
          <w:numId w:val="22"/>
        </w:numPr>
        <w:spacing w:after="0"/>
        <w:contextualSpacing/>
        <w:rPr>
          <w:rFonts w:ascii="Calibri" w:hAnsi="Calibri"/>
          <w:bCs/>
        </w:rPr>
      </w:pPr>
      <w:r w:rsidRPr="0000585A">
        <w:rPr>
          <w:rFonts w:ascii="Calibri" w:hAnsi="Calibri"/>
          <w:bCs/>
        </w:rPr>
        <w:t>25</w:t>
      </w:r>
      <w:r w:rsidR="009E1688" w:rsidRPr="0000585A">
        <w:rPr>
          <w:rFonts w:ascii="Calibri" w:hAnsi="Calibri"/>
          <w:bCs/>
        </w:rPr>
        <w:t>.0</w:t>
      </w:r>
      <w:r w:rsidRPr="0000585A">
        <w:rPr>
          <w:rFonts w:ascii="Calibri" w:hAnsi="Calibri"/>
          <w:bCs/>
        </w:rPr>
        <w:t>6</w:t>
      </w:r>
      <w:r w:rsidR="009E1688" w:rsidRPr="0000585A">
        <w:rPr>
          <w:rFonts w:ascii="Calibri" w:hAnsi="Calibri"/>
          <w:bCs/>
        </w:rPr>
        <w:t>.202</w:t>
      </w:r>
      <w:r w:rsidRPr="0000585A">
        <w:rPr>
          <w:rFonts w:ascii="Calibri" w:hAnsi="Calibri"/>
          <w:bCs/>
        </w:rPr>
        <w:t>4</w:t>
      </w:r>
      <w:r w:rsidR="009E1688" w:rsidRPr="0000585A">
        <w:rPr>
          <w:rFonts w:ascii="Calibri" w:hAnsi="Calibri"/>
          <w:bCs/>
        </w:rPr>
        <w:t xml:space="preserve"> tarihli ve 3</w:t>
      </w:r>
      <w:r w:rsidR="00AF6E1E" w:rsidRPr="0000585A">
        <w:rPr>
          <w:rFonts w:ascii="Calibri" w:hAnsi="Calibri"/>
          <w:bCs/>
        </w:rPr>
        <w:t>2</w:t>
      </w:r>
      <w:r w:rsidRPr="0000585A">
        <w:rPr>
          <w:rFonts w:ascii="Calibri" w:hAnsi="Calibri"/>
          <w:bCs/>
        </w:rPr>
        <w:t>583</w:t>
      </w:r>
      <w:r w:rsidR="009E1688" w:rsidRPr="0000585A">
        <w:rPr>
          <w:rFonts w:ascii="Calibri" w:hAnsi="Calibri"/>
          <w:bCs/>
        </w:rPr>
        <w:t xml:space="preserve"> sayılı Resmî </w:t>
      </w:r>
      <w:r w:rsidR="00274939" w:rsidRPr="0000585A">
        <w:rPr>
          <w:rFonts w:ascii="Calibri" w:hAnsi="Calibri"/>
          <w:bCs/>
        </w:rPr>
        <w:t>Gazetede</w:t>
      </w:r>
      <w:r w:rsidR="009E1688" w:rsidRPr="0000585A">
        <w:rPr>
          <w:rFonts w:ascii="Calibri" w:hAnsi="Calibri"/>
          <w:bCs/>
        </w:rPr>
        <w:t xml:space="preserve"> yayımlanan Değişiklik Yönetmeliği ile</w:t>
      </w:r>
      <w:r w:rsidR="009E1688" w:rsidRPr="0000585A">
        <w:rPr>
          <w:rFonts w:ascii="Calibri" w:hAnsi="Calibri"/>
          <w:b/>
          <w:bCs/>
        </w:rPr>
        <w:t xml:space="preserve"> </w:t>
      </w:r>
      <w:r w:rsidRPr="0000585A">
        <w:rPr>
          <w:rFonts w:ascii="Calibri" w:hAnsi="Calibri"/>
          <w:b/>
        </w:rPr>
        <w:t>Elektrik Piyasası Bağlantı ve Sistem Kullanım Yönetmeliğinin</w:t>
      </w:r>
      <w:r w:rsidR="00AF6E1E" w:rsidRPr="0000585A">
        <w:rPr>
          <w:rFonts w:ascii="Calibri" w:hAnsi="Calibri"/>
          <w:b/>
        </w:rPr>
        <w:t xml:space="preserve"> </w:t>
      </w:r>
    </w:p>
    <w:p w14:paraId="34037562" w14:textId="77777777" w:rsidR="009E1688" w:rsidRPr="002048A7" w:rsidRDefault="009E1688" w:rsidP="00AF6E1E">
      <w:pPr>
        <w:pStyle w:val="ListeParagraf"/>
        <w:spacing w:after="0"/>
        <w:ind w:left="1440"/>
        <w:rPr>
          <w:rFonts w:ascii="Calibri" w:hAnsi="Calibri"/>
          <w:bCs/>
          <w:i/>
          <w:iCs/>
        </w:rPr>
      </w:pPr>
    </w:p>
    <w:p w14:paraId="03BB0F9E" w14:textId="77777777" w:rsidR="0000585A" w:rsidRPr="002048A7" w:rsidRDefault="0000585A" w:rsidP="0025080A">
      <w:pPr>
        <w:pStyle w:val="ListeParagraf"/>
        <w:numPr>
          <w:ilvl w:val="0"/>
          <w:numId w:val="30"/>
        </w:numPr>
        <w:spacing w:after="0"/>
        <w:rPr>
          <w:rFonts w:ascii="Calibri" w:hAnsi="Calibri"/>
          <w:iCs/>
        </w:rPr>
      </w:pPr>
      <w:r w:rsidRPr="0000585A">
        <w:rPr>
          <w:rFonts w:ascii="Calibri" w:hAnsi="Calibri"/>
          <w:iCs/>
        </w:rPr>
        <w:t xml:space="preserve">25 inci maddesinin ikinci fıkrasında yer alan </w:t>
      </w:r>
      <w:r w:rsidRPr="0000585A">
        <w:rPr>
          <w:rFonts w:ascii="Calibri" w:hAnsi="Calibri"/>
          <w:i/>
          <w:iCs/>
        </w:rPr>
        <w:t>“iki”</w:t>
      </w:r>
      <w:r w:rsidRPr="0000585A">
        <w:rPr>
          <w:rFonts w:ascii="Calibri" w:hAnsi="Calibri"/>
          <w:iCs/>
        </w:rPr>
        <w:t xml:space="preserve"> ibaresi </w:t>
      </w:r>
      <w:r w:rsidRPr="0000585A">
        <w:rPr>
          <w:rFonts w:ascii="Calibri" w:hAnsi="Calibri"/>
          <w:i/>
          <w:iCs/>
        </w:rPr>
        <w:t>“1,3”</w:t>
      </w:r>
      <w:r w:rsidRPr="0000585A">
        <w:rPr>
          <w:rFonts w:ascii="Calibri" w:hAnsi="Calibri"/>
          <w:iCs/>
        </w:rPr>
        <w:t xml:space="preserve"> şeklinde değiştirilmiştir.</w:t>
      </w:r>
    </w:p>
    <w:p w14:paraId="3A52C54D" w14:textId="77777777" w:rsidR="009E1688" w:rsidRDefault="009E1688" w:rsidP="009E1688">
      <w:pPr>
        <w:pStyle w:val="ListeParagraf"/>
        <w:spacing w:after="0"/>
        <w:ind w:left="1080"/>
        <w:rPr>
          <w:rFonts w:ascii="Calibri" w:hAnsi="Calibri"/>
          <w:bCs/>
          <w:i/>
          <w:iCs/>
        </w:rPr>
      </w:pPr>
    </w:p>
    <w:p w14:paraId="1467F334" w14:textId="77777777" w:rsidR="0000585A" w:rsidRPr="002048A7" w:rsidRDefault="0000585A" w:rsidP="0025080A">
      <w:pPr>
        <w:pStyle w:val="ListeParagraf"/>
        <w:numPr>
          <w:ilvl w:val="0"/>
          <w:numId w:val="22"/>
        </w:numPr>
        <w:spacing w:after="0"/>
        <w:rPr>
          <w:rFonts w:ascii="Calibri" w:hAnsi="Calibri"/>
          <w:i/>
        </w:rPr>
      </w:pPr>
      <w:r>
        <w:rPr>
          <w:rFonts w:ascii="Calibri" w:hAnsi="Calibri"/>
          <w:bCs/>
        </w:rPr>
        <w:t>25</w:t>
      </w:r>
      <w:r w:rsidRPr="002048A7">
        <w:rPr>
          <w:rFonts w:ascii="Calibri" w:hAnsi="Calibri"/>
          <w:bCs/>
        </w:rPr>
        <w:t>.0</w:t>
      </w:r>
      <w:r>
        <w:rPr>
          <w:rFonts w:ascii="Calibri" w:hAnsi="Calibri"/>
          <w:bCs/>
        </w:rPr>
        <w:t>7</w:t>
      </w:r>
      <w:r w:rsidRPr="002048A7">
        <w:rPr>
          <w:rFonts w:ascii="Calibri" w:hAnsi="Calibri"/>
          <w:bCs/>
        </w:rPr>
        <w:t>.202</w:t>
      </w:r>
      <w:r>
        <w:rPr>
          <w:rFonts w:ascii="Calibri" w:hAnsi="Calibri"/>
          <w:bCs/>
        </w:rPr>
        <w:t>4</w:t>
      </w:r>
      <w:r w:rsidRPr="002048A7">
        <w:rPr>
          <w:rFonts w:ascii="Calibri" w:hAnsi="Calibri"/>
          <w:bCs/>
        </w:rPr>
        <w:t xml:space="preserve"> tarihli ve </w:t>
      </w:r>
      <w:r>
        <w:rPr>
          <w:rFonts w:ascii="Calibri" w:hAnsi="Calibri"/>
          <w:bCs/>
        </w:rPr>
        <w:t>32612</w:t>
      </w:r>
      <w:r w:rsidRPr="002048A7">
        <w:rPr>
          <w:rFonts w:ascii="Calibri" w:hAnsi="Calibri"/>
          <w:bCs/>
        </w:rPr>
        <w:t xml:space="preserve"> sayılı Resmî Gazete’de yayımlanan Değişiklik Yönetmeliği ile</w:t>
      </w:r>
      <w:r w:rsidRPr="002048A7">
        <w:rPr>
          <w:rFonts w:ascii="Calibri" w:hAnsi="Calibri"/>
          <w:b/>
          <w:bCs/>
        </w:rPr>
        <w:t xml:space="preserve"> </w:t>
      </w:r>
      <w:r w:rsidRPr="0000585A">
        <w:rPr>
          <w:rFonts w:ascii="Calibri" w:hAnsi="Calibri"/>
          <w:b/>
        </w:rPr>
        <w:t>Elektrik Piyasası Kapasite Mekanizması</w:t>
      </w:r>
      <w:r>
        <w:rPr>
          <w:rFonts w:ascii="Calibri" w:hAnsi="Calibri"/>
          <w:b/>
        </w:rPr>
        <w:t xml:space="preserve"> Yönetmeliğine </w:t>
      </w:r>
      <w:r w:rsidRPr="0000585A">
        <w:rPr>
          <w:rFonts w:ascii="Calibri" w:hAnsi="Calibri"/>
          <w:bCs/>
        </w:rPr>
        <w:t>aşağıdaki geçici madde eklenmiştir.</w:t>
      </w:r>
    </w:p>
    <w:p w14:paraId="72E9D3F9" w14:textId="77777777" w:rsidR="0000585A" w:rsidRPr="002048A7" w:rsidRDefault="0000585A" w:rsidP="0000585A">
      <w:pPr>
        <w:spacing w:after="0"/>
        <w:ind w:left="360"/>
        <w:rPr>
          <w:rFonts w:ascii="Calibri" w:hAnsi="Calibri"/>
          <w:i/>
        </w:rPr>
      </w:pPr>
    </w:p>
    <w:p w14:paraId="0F75FF9B" w14:textId="77777777" w:rsidR="0000585A" w:rsidRPr="0000585A" w:rsidRDefault="0000585A" w:rsidP="0000585A">
      <w:pPr>
        <w:pStyle w:val="ListeParagraf"/>
        <w:spacing w:after="0"/>
        <w:ind w:left="1440"/>
        <w:rPr>
          <w:rFonts w:ascii="Calibri" w:hAnsi="Calibri"/>
          <w:bCs/>
          <w:i/>
          <w:iCs/>
        </w:rPr>
      </w:pPr>
      <w:r w:rsidRPr="0000585A">
        <w:rPr>
          <w:rFonts w:ascii="Calibri" w:hAnsi="Calibri"/>
          <w:bCs/>
          <w:i/>
          <w:iCs/>
        </w:rPr>
        <w:t>“2024 yılı içerisinde eklenen bütçenin dağıtılması</w:t>
      </w:r>
    </w:p>
    <w:p w14:paraId="3CDB926F" w14:textId="77777777" w:rsidR="0000585A" w:rsidRPr="0000585A" w:rsidRDefault="0000585A" w:rsidP="0000585A">
      <w:pPr>
        <w:pStyle w:val="ListeParagraf"/>
        <w:spacing w:after="0"/>
        <w:ind w:left="1440"/>
        <w:rPr>
          <w:rFonts w:ascii="Calibri" w:hAnsi="Calibri"/>
          <w:bCs/>
          <w:i/>
          <w:iCs/>
        </w:rPr>
      </w:pPr>
      <w:r w:rsidRPr="0000585A">
        <w:rPr>
          <w:rFonts w:ascii="Calibri" w:hAnsi="Calibri"/>
          <w:bCs/>
          <w:i/>
          <w:iCs/>
        </w:rPr>
        <w:t>GEÇİCİ MADDE 2- (1) Kapasite mekanizması için 2024 yılı içerisinde ek bütçe tahsis edilmesi halinde, kalan aylarda eşit dağıtılmak suretiyle, tahsis edilen bütçenin tamamı, bu Yönetmeliğin 8 inci maddesinin ikinci ve üçüncü fıkralarında yer alan formüller uyarınca ilgili santrallere dağıtılır.</w:t>
      </w:r>
    </w:p>
    <w:p w14:paraId="4E8D7DD8" w14:textId="77777777" w:rsidR="0000585A" w:rsidRPr="0000585A" w:rsidRDefault="0000585A" w:rsidP="0000585A">
      <w:pPr>
        <w:pStyle w:val="ListeParagraf"/>
        <w:spacing w:after="0"/>
        <w:ind w:left="1440"/>
        <w:rPr>
          <w:rFonts w:ascii="Calibri" w:hAnsi="Calibri"/>
          <w:bCs/>
          <w:i/>
          <w:iCs/>
        </w:rPr>
      </w:pPr>
      <w:r w:rsidRPr="0000585A">
        <w:rPr>
          <w:rFonts w:ascii="Calibri" w:hAnsi="Calibri"/>
          <w:bCs/>
          <w:i/>
          <w:iCs/>
        </w:rPr>
        <w:t>(2) Bu madde kapsamındaki ek bütçenin dağıtılmasında kaynak tiplerine göre;</w:t>
      </w:r>
    </w:p>
    <w:p w14:paraId="2521B949" w14:textId="77777777" w:rsidR="0000585A" w:rsidRPr="0000585A" w:rsidRDefault="0000585A" w:rsidP="0000585A">
      <w:pPr>
        <w:pStyle w:val="ListeParagraf"/>
        <w:spacing w:after="0"/>
        <w:ind w:left="1440"/>
        <w:rPr>
          <w:rFonts w:ascii="Calibri" w:hAnsi="Calibri"/>
          <w:bCs/>
          <w:i/>
          <w:iCs/>
        </w:rPr>
      </w:pPr>
      <w:r w:rsidRPr="0000585A">
        <w:rPr>
          <w:rFonts w:ascii="Calibri" w:hAnsi="Calibri"/>
          <w:bCs/>
          <w:i/>
          <w:iCs/>
        </w:rPr>
        <w:t>a) Sabit maliyet bileşenleri doğal gaz santralleri için 300 TL/MWh, yerli kömür santralleri için 450 TL/MWh,</w:t>
      </w:r>
    </w:p>
    <w:p w14:paraId="19CDFBFD" w14:textId="77777777" w:rsidR="0000585A" w:rsidRPr="0000585A" w:rsidRDefault="0000585A" w:rsidP="0000585A">
      <w:pPr>
        <w:pStyle w:val="ListeParagraf"/>
        <w:spacing w:after="0"/>
        <w:ind w:left="1440"/>
        <w:rPr>
          <w:rFonts w:ascii="Calibri" w:hAnsi="Calibri"/>
          <w:bCs/>
          <w:i/>
          <w:iCs/>
        </w:rPr>
      </w:pPr>
      <w:r w:rsidRPr="0000585A">
        <w:rPr>
          <w:rFonts w:ascii="Calibri" w:hAnsi="Calibri"/>
          <w:bCs/>
          <w:i/>
          <w:iCs/>
        </w:rPr>
        <w:t>b) Kapasite kullanım oranları doğal gaz santralleri için %40, yerli kömür santralleri için %55,</w:t>
      </w:r>
    </w:p>
    <w:p w14:paraId="0E48E3EB" w14:textId="77777777" w:rsidR="0000585A" w:rsidRPr="0000585A" w:rsidRDefault="0000585A" w:rsidP="0000585A">
      <w:pPr>
        <w:pStyle w:val="ListeParagraf"/>
        <w:spacing w:after="0"/>
        <w:ind w:left="1440"/>
        <w:rPr>
          <w:rFonts w:ascii="Calibri" w:hAnsi="Calibri"/>
          <w:bCs/>
          <w:i/>
          <w:iCs/>
        </w:rPr>
      </w:pPr>
      <w:proofErr w:type="gramStart"/>
      <w:r w:rsidRPr="0000585A">
        <w:rPr>
          <w:rFonts w:ascii="Calibri" w:hAnsi="Calibri"/>
          <w:bCs/>
          <w:i/>
          <w:iCs/>
        </w:rPr>
        <w:t>olarak</w:t>
      </w:r>
      <w:proofErr w:type="gramEnd"/>
      <w:r w:rsidRPr="0000585A">
        <w:rPr>
          <w:rFonts w:ascii="Calibri" w:hAnsi="Calibri"/>
          <w:bCs/>
          <w:i/>
          <w:iCs/>
        </w:rPr>
        <w:t xml:space="preserve"> uygulanır.</w:t>
      </w:r>
    </w:p>
    <w:p w14:paraId="1D5C5B08" w14:textId="77777777" w:rsidR="0000585A" w:rsidRPr="0000585A" w:rsidRDefault="0000585A" w:rsidP="0000585A">
      <w:pPr>
        <w:pStyle w:val="ListeParagraf"/>
        <w:spacing w:after="0"/>
        <w:ind w:left="1440"/>
        <w:rPr>
          <w:rFonts w:ascii="Calibri" w:hAnsi="Calibri"/>
          <w:bCs/>
          <w:i/>
          <w:iCs/>
        </w:rPr>
      </w:pPr>
      <w:r w:rsidRPr="0000585A">
        <w:rPr>
          <w:rFonts w:ascii="Calibri" w:hAnsi="Calibri"/>
          <w:bCs/>
          <w:i/>
          <w:iCs/>
        </w:rPr>
        <w:t>(3) Bu madde kapsamındaki ek bütçenin dağıtılmasında bu Yönetmeliğin 8 inci maddesinin dördüncü, beşinci ve altıncı fıkraları uygulanmaz.</w:t>
      </w:r>
    </w:p>
    <w:p w14:paraId="7B1CFF45" w14:textId="77777777" w:rsidR="0000585A" w:rsidRDefault="0000585A" w:rsidP="0000585A">
      <w:pPr>
        <w:pStyle w:val="ListeParagraf"/>
        <w:spacing w:after="0"/>
        <w:ind w:left="1440"/>
        <w:rPr>
          <w:rFonts w:ascii="Calibri" w:hAnsi="Calibri"/>
          <w:bCs/>
          <w:i/>
          <w:iCs/>
        </w:rPr>
      </w:pPr>
      <w:r w:rsidRPr="0000585A">
        <w:rPr>
          <w:rFonts w:ascii="Calibri" w:hAnsi="Calibri"/>
          <w:bCs/>
          <w:i/>
          <w:iCs/>
        </w:rPr>
        <w:t>(4) 2024 yılı için 25/1/2024 tarihli ve 12375 sayılı Kurul Kararı ile belirlenen kapasite ödemelerine esas bütçenin dağıtılmasına bu Yönetmelik hükümlerince devam edilir.”</w:t>
      </w:r>
    </w:p>
    <w:p w14:paraId="2279F134" w14:textId="77777777" w:rsidR="00750EA4" w:rsidRPr="002048A7" w:rsidRDefault="00750EA4" w:rsidP="0000585A">
      <w:pPr>
        <w:pStyle w:val="ListeParagraf"/>
        <w:spacing w:after="0"/>
        <w:ind w:left="1440"/>
        <w:rPr>
          <w:rFonts w:ascii="Calibri" w:hAnsi="Calibri"/>
          <w:bCs/>
          <w:i/>
          <w:iCs/>
        </w:rPr>
      </w:pPr>
    </w:p>
    <w:p w14:paraId="3B272A8A" w14:textId="77777777" w:rsidR="00AF6E1E" w:rsidRPr="002048A7" w:rsidRDefault="00AF6E1E" w:rsidP="0025080A">
      <w:pPr>
        <w:numPr>
          <w:ilvl w:val="0"/>
          <w:numId w:val="22"/>
        </w:numPr>
        <w:spacing w:after="0"/>
        <w:contextualSpacing/>
        <w:rPr>
          <w:rFonts w:ascii="Calibri" w:hAnsi="Calibri"/>
          <w:bCs/>
        </w:rPr>
      </w:pPr>
      <w:r w:rsidRPr="002048A7">
        <w:rPr>
          <w:rFonts w:ascii="Calibri" w:hAnsi="Calibri"/>
          <w:bCs/>
        </w:rPr>
        <w:t>1</w:t>
      </w:r>
      <w:r w:rsidR="00750EA4">
        <w:rPr>
          <w:rFonts w:ascii="Calibri" w:hAnsi="Calibri"/>
          <w:bCs/>
        </w:rPr>
        <w:t>7</w:t>
      </w:r>
      <w:r w:rsidRPr="002048A7">
        <w:rPr>
          <w:rFonts w:ascii="Calibri" w:hAnsi="Calibri"/>
          <w:bCs/>
        </w:rPr>
        <w:t>.0</w:t>
      </w:r>
      <w:r w:rsidR="00750EA4">
        <w:rPr>
          <w:rFonts w:ascii="Calibri" w:hAnsi="Calibri"/>
          <w:bCs/>
        </w:rPr>
        <w:t>8</w:t>
      </w:r>
      <w:r w:rsidRPr="002048A7">
        <w:rPr>
          <w:rFonts w:ascii="Calibri" w:hAnsi="Calibri"/>
          <w:bCs/>
        </w:rPr>
        <w:t>.202</w:t>
      </w:r>
      <w:r w:rsidR="00750EA4">
        <w:rPr>
          <w:rFonts w:ascii="Calibri" w:hAnsi="Calibri"/>
          <w:bCs/>
        </w:rPr>
        <w:t>4</w:t>
      </w:r>
      <w:r w:rsidRPr="002048A7">
        <w:rPr>
          <w:rFonts w:ascii="Calibri" w:hAnsi="Calibri"/>
          <w:bCs/>
        </w:rPr>
        <w:t xml:space="preserve"> tarihli ve 32</w:t>
      </w:r>
      <w:r w:rsidR="00750EA4">
        <w:rPr>
          <w:rFonts w:ascii="Calibri" w:hAnsi="Calibri"/>
          <w:bCs/>
        </w:rPr>
        <w:t>635</w:t>
      </w:r>
      <w:r w:rsidRPr="002048A7">
        <w:rPr>
          <w:rFonts w:ascii="Calibri" w:hAnsi="Calibri"/>
          <w:bCs/>
        </w:rPr>
        <w:t xml:space="preserve"> </w:t>
      </w:r>
      <w:r w:rsidR="009E1688" w:rsidRPr="002048A7">
        <w:rPr>
          <w:rFonts w:ascii="Calibri" w:hAnsi="Calibri"/>
          <w:bCs/>
        </w:rPr>
        <w:t xml:space="preserve">sayılı Resmî </w:t>
      </w:r>
      <w:r w:rsidR="00274939" w:rsidRPr="002048A7">
        <w:rPr>
          <w:rFonts w:ascii="Calibri" w:hAnsi="Calibri"/>
          <w:bCs/>
        </w:rPr>
        <w:t>Gazetede</w:t>
      </w:r>
      <w:r w:rsidR="009E1688" w:rsidRPr="002048A7">
        <w:rPr>
          <w:rFonts w:ascii="Calibri" w:hAnsi="Calibri"/>
          <w:bCs/>
        </w:rPr>
        <w:t xml:space="preserve"> yayımlanan Değişiklik Yönetmeliği ile</w:t>
      </w:r>
      <w:r w:rsidR="009E1688" w:rsidRPr="002048A7">
        <w:rPr>
          <w:rFonts w:ascii="Calibri" w:hAnsi="Calibri"/>
          <w:b/>
          <w:bCs/>
        </w:rPr>
        <w:t xml:space="preserve"> </w:t>
      </w:r>
      <w:r w:rsidR="00750EA4" w:rsidRPr="00750EA4">
        <w:rPr>
          <w:rFonts w:ascii="Calibri" w:hAnsi="Calibri"/>
          <w:b/>
        </w:rPr>
        <w:t>Elektrik Piyasası Lisans Yönetmeliğinin</w:t>
      </w:r>
    </w:p>
    <w:p w14:paraId="6897B105" w14:textId="77777777" w:rsidR="009E1688" w:rsidRPr="002048A7" w:rsidRDefault="00750EA4" w:rsidP="0025080A">
      <w:pPr>
        <w:pStyle w:val="ListeParagraf"/>
        <w:numPr>
          <w:ilvl w:val="0"/>
          <w:numId w:val="30"/>
        </w:numPr>
        <w:spacing w:after="0"/>
        <w:rPr>
          <w:rFonts w:ascii="Calibri" w:hAnsi="Calibri"/>
          <w:bCs/>
        </w:rPr>
      </w:pPr>
      <w:proofErr w:type="gramStart"/>
      <w:r w:rsidRPr="00750EA4">
        <w:rPr>
          <w:rFonts w:ascii="Calibri" w:hAnsi="Calibri"/>
          <w:bCs/>
        </w:rPr>
        <w:t>57 nci</w:t>
      </w:r>
      <w:proofErr w:type="gramEnd"/>
      <w:r w:rsidRPr="00750EA4">
        <w:rPr>
          <w:rFonts w:ascii="Calibri" w:hAnsi="Calibri"/>
          <w:bCs/>
        </w:rPr>
        <w:t xml:space="preserve"> maddesinin birinci fıkrasına son cümlesinden önce gelmek üzere aşağıdaki cümleler eklenmiştir.</w:t>
      </w:r>
    </w:p>
    <w:p w14:paraId="1E6EF232" w14:textId="77777777" w:rsidR="009E1688" w:rsidRPr="002048A7" w:rsidRDefault="009E1688" w:rsidP="009E1688">
      <w:pPr>
        <w:pStyle w:val="ListeParagraf"/>
        <w:spacing w:after="0"/>
        <w:ind w:left="1440"/>
        <w:rPr>
          <w:rFonts w:ascii="Calibri" w:hAnsi="Calibri"/>
          <w:bCs/>
          <w:i/>
          <w:iCs/>
        </w:rPr>
      </w:pPr>
    </w:p>
    <w:p w14:paraId="214E38CA" w14:textId="77777777" w:rsidR="009E1688" w:rsidRPr="002048A7" w:rsidRDefault="00750EA4" w:rsidP="009E1688">
      <w:pPr>
        <w:pStyle w:val="ListeParagraf"/>
        <w:spacing w:after="0"/>
        <w:ind w:left="1440"/>
        <w:rPr>
          <w:rFonts w:ascii="Calibri" w:hAnsi="Calibri"/>
          <w:bCs/>
          <w:i/>
          <w:iCs/>
        </w:rPr>
      </w:pPr>
      <w:r w:rsidRPr="00750EA4">
        <w:rPr>
          <w:rFonts w:ascii="Calibri" w:hAnsi="Calibri"/>
          <w:bCs/>
          <w:i/>
          <w:iCs/>
        </w:rPr>
        <w:t xml:space="preserve">“Ancak (a), (b), (ç), (d), (f), (j) ve (k) bentleri haricinde yapılması planlanan ortaklık yapısı değişiklikleri, her defasında Kurul onayına tabidir. Bu kapsamda Kurul onayı alınmadan ortaklık yapısı değişikliği yapılması halinde söz konusu önlisans, Kanunun </w:t>
      </w:r>
      <w:proofErr w:type="gramStart"/>
      <w:r w:rsidRPr="00750EA4">
        <w:rPr>
          <w:rFonts w:ascii="Calibri" w:hAnsi="Calibri"/>
          <w:bCs/>
          <w:i/>
          <w:iCs/>
        </w:rPr>
        <w:t>6 ncı</w:t>
      </w:r>
      <w:proofErr w:type="gramEnd"/>
      <w:r w:rsidRPr="00750EA4">
        <w:rPr>
          <w:rFonts w:ascii="Calibri" w:hAnsi="Calibri"/>
          <w:bCs/>
          <w:i/>
          <w:iCs/>
        </w:rPr>
        <w:t xml:space="preserve"> maddesinin üçüncü fıkrası çerçevesinde iptal edilir.”</w:t>
      </w:r>
    </w:p>
    <w:p w14:paraId="50E561F1" w14:textId="77777777" w:rsidR="00AF6E1E" w:rsidRPr="002048A7" w:rsidRDefault="00AF6E1E" w:rsidP="009E1688">
      <w:pPr>
        <w:pStyle w:val="ListeParagraf"/>
        <w:spacing w:after="0"/>
        <w:ind w:left="1440"/>
        <w:rPr>
          <w:rFonts w:ascii="Calibri" w:hAnsi="Calibri"/>
          <w:bCs/>
          <w:i/>
          <w:iCs/>
        </w:rPr>
      </w:pPr>
    </w:p>
    <w:p w14:paraId="0AEB3C1C" w14:textId="77777777" w:rsidR="009E1688" w:rsidRPr="002048A7" w:rsidRDefault="00AF6E1E" w:rsidP="0025080A">
      <w:pPr>
        <w:numPr>
          <w:ilvl w:val="0"/>
          <w:numId w:val="22"/>
        </w:numPr>
        <w:spacing w:after="0"/>
        <w:contextualSpacing/>
        <w:rPr>
          <w:rFonts w:ascii="Calibri" w:hAnsi="Calibri"/>
          <w:i/>
          <w:iCs/>
        </w:rPr>
      </w:pPr>
      <w:r w:rsidRPr="002048A7">
        <w:rPr>
          <w:rFonts w:ascii="Calibri" w:hAnsi="Calibri"/>
          <w:bCs/>
          <w:iCs/>
        </w:rPr>
        <w:t>2</w:t>
      </w:r>
      <w:r w:rsidR="00750EA4">
        <w:rPr>
          <w:rFonts w:ascii="Calibri" w:hAnsi="Calibri"/>
          <w:bCs/>
          <w:iCs/>
        </w:rPr>
        <w:t>5</w:t>
      </w:r>
      <w:r w:rsidR="009E1688" w:rsidRPr="002048A7">
        <w:rPr>
          <w:rFonts w:ascii="Calibri" w:hAnsi="Calibri"/>
          <w:bCs/>
          <w:iCs/>
        </w:rPr>
        <w:t>.0</w:t>
      </w:r>
      <w:r w:rsidR="00750EA4">
        <w:rPr>
          <w:rFonts w:ascii="Calibri" w:hAnsi="Calibri"/>
          <w:bCs/>
          <w:iCs/>
        </w:rPr>
        <w:t>9</w:t>
      </w:r>
      <w:r w:rsidR="009E1688" w:rsidRPr="002048A7">
        <w:rPr>
          <w:rFonts w:ascii="Calibri" w:hAnsi="Calibri"/>
          <w:bCs/>
          <w:iCs/>
        </w:rPr>
        <w:t>.202</w:t>
      </w:r>
      <w:r w:rsidR="00750EA4">
        <w:rPr>
          <w:rFonts w:ascii="Calibri" w:hAnsi="Calibri"/>
          <w:bCs/>
          <w:iCs/>
        </w:rPr>
        <w:t>4</w:t>
      </w:r>
      <w:r w:rsidR="009E1688" w:rsidRPr="002048A7">
        <w:rPr>
          <w:rFonts w:ascii="Calibri" w:hAnsi="Calibri"/>
          <w:bCs/>
          <w:iCs/>
        </w:rPr>
        <w:t xml:space="preserve"> tarihli ve </w:t>
      </w:r>
      <w:r w:rsidRPr="002048A7">
        <w:rPr>
          <w:rFonts w:ascii="Calibri" w:hAnsi="Calibri"/>
          <w:bCs/>
          <w:iCs/>
        </w:rPr>
        <w:t>32</w:t>
      </w:r>
      <w:r w:rsidR="00750EA4">
        <w:rPr>
          <w:rFonts w:ascii="Calibri" w:hAnsi="Calibri"/>
          <w:bCs/>
          <w:iCs/>
        </w:rPr>
        <w:t>673</w:t>
      </w:r>
      <w:r w:rsidR="009E1688" w:rsidRPr="002048A7">
        <w:rPr>
          <w:rFonts w:ascii="Calibri" w:hAnsi="Calibri"/>
          <w:bCs/>
          <w:iCs/>
        </w:rPr>
        <w:t xml:space="preserve"> sayılı Resmî </w:t>
      </w:r>
      <w:r w:rsidR="00274939" w:rsidRPr="002048A7">
        <w:rPr>
          <w:rFonts w:ascii="Calibri" w:hAnsi="Calibri"/>
          <w:bCs/>
          <w:iCs/>
        </w:rPr>
        <w:t>Gazetede</w:t>
      </w:r>
      <w:r w:rsidR="009E1688" w:rsidRPr="002048A7">
        <w:rPr>
          <w:rFonts w:ascii="Calibri" w:hAnsi="Calibri"/>
          <w:bCs/>
          <w:iCs/>
        </w:rPr>
        <w:t xml:space="preserve"> yayımlanan Değişiklik Yönetmeliği ile</w:t>
      </w:r>
      <w:r w:rsidR="009E1688" w:rsidRPr="002048A7">
        <w:rPr>
          <w:rFonts w:ascii="Calibri" w:hAnsi="Calibri"/>
          <w:b/>
          <w:bCs/>
          <w:iCs/>
        </w:rPr>
        <w:t xml:space="preserve"> </w:t>
      </w:r>
      <w:r w:rsidR="00750EA4" w:rsidRPr="00750EA4">
        <w:rPr>
          <w:rFonts w:ascii="Calibri" w:hAnsi="Calibri"/>
          <w:b/>
          <w:iCs/>
        </w:rPr>
        <w:t>Elektrik Piyasası Ölçüm Sistemleri Yönetmeliğinin</w:t>
      </w:r>
      <w:r w:rsidRPr="002048A7">
        <w:rPr>
          <w:rFonts w:ascii="Calibri" w:hAnsi="Calibri"/>
          <w:b/>
          <w:iCs/>
        </w:rPr>
        <w:t xml:space="preserve"> </w:t>
      </w:r>
      <w:r w:rsidR="00750EA4" w:rsidRPr="00750EA4">
        <w:rPr>
          <w:rFonts w:ascii="Calibri" w:hAnsi="Calibri"/>
          <w:bCs/>
          <w:iCs/>
        </w:rPr>
        <w:t xml:space="preserve">geçici </w:t>
      </w:r>
      <w:proofErr w:type="gramStart"/>
      <w:r w:rsidR="00750EA4" w:rsidRPr="00750EA4">
        <w:rPr>
          <w:rFonts w:ascii="Calibri" w:hAnsi="Calibri"/>
          <w:bCs/>
          <w:iCs/>
        </w:rPr>
        <w:t>2 nci</w:t>
      </w:r>
      <w:proofErr w:type="gramEnd"/>
      <w:r w:rsidR="00750EA4" w:rsidRPr="00750EA4">
        <w:rPr>
          <w:rFonts w:ascii="Calibri" w:hAnsi="Calibri"/>
          <w:bCs/>
          <w:iCs/>
        </w:rPr>
        <w:t xml:space="preserve"> maddesi aşağıdaki şekilde değiştirilmiştir.</w:t>
      </w:r>
    </w:p>
    <w:p w14:paraId="7D6DC4AD" w14:textId="77777777" w:rsidR="009E1688" w:rsidRPr="002048A7" w:rsidRDefault="009E1688" w:rsidP="009E1688">
      <w:pPr>
        <w:spacing w:after="0"/>
        <w:ind w:left="720"/>
        <w:contextualSpacing/>
        <w:rPr>
          <w:rFonts w:ascii="Calibri" w:hAnsi="Calibri"/>
          <w:i/>
          <w:iCs/>
        </w:rPr>
      </w:pPr>
    </w:p>
    <w:p w14:paraId="771F1E20" w14:textId="77777777" w:rsidR="00750EA4" w:rsidRPr="00750EA4" w:rsidRDefault="00750EA4" w:rsidP="00750EA4">
      <w:pPr>
        <w:pStyle w:val="ListeParagraf"/>
        <w:spacing w:after="0"/>
        <w:ind w:left="1440"/>
        <w:rPr>
          <w:rFonts w:ascii="Calibri" w:hAnsi="Calibri"/>
          <w:i/>
        </w:rPr>
      </w:pPr>
      <w:r w:rsidRPr="00750EA4">
        <w:rPr>
          <w:rFonts w:ascii="Calibri" w:hAnsi="Calibri"/>
          <w:i/>
        </w:rPr>
        <w:lastRenderedPageBreak/>
        <w:t>“Kullanıcı mobil uygulamasının kurulumu</w:t>
      </w:r>
    </w:p>
    <w:p w14:paraId="7FD3A66F" w14:textId="77777777" w:rsidR="00750EA4" w:rsidRPr="00750EA4" w:rsidRDefault="00750EA4" w:rsidP="00750EA4">
      <w:pPr>
        <w:pStyle w:val="ListeParagraf"/>
        <w:spacing w:after="0"/>
        <w:ind w:left="1440"/>
        <w:rPr>
          <w:rFonts w:ascii="Calibri" w:hAnsi="Calibri"/>
          <w:i/>
        </w:rPr>
      </w:pPr>
      <w:r w:rsidRPr="00750EA4">
        <w:rPr>
          <w:rFonts w:ascii="Calibri" w:hAnsi="Calibri"/>
          <w:i/>
        </w:rPr>
        <w:t xml:space="preserve">GEÇİCİ MADDE 2- (1) 1/3/2025 tarihine kadar EPİAŞ tarafından </w:t>
      </w:r>
      <w:proofErr w:type="gramStart"/>
      <w:r w:rsidRPr="00750EA4">
        <w:rPr>
          <w:rFonts w:ascii="Calibri" w:hAnsi="Calibri"/>
          <w:i/>
        </w:rPr>
        <w:t>7 nci</w:t>
      </w:r>
      <w:proofErr w:type="gramEnd"/>
      <w:r w:rsidRPr="00750EA4">
        <w:rPr>
          <w:rFonts w:ascii="Calibri" w:hAnsi="Calibri"/>
          <w:i/>
        </w:rPr>
        <w:t xml:space="preserve"> maddede belirtilen kullanıcı mobil uygulaması ve internet sitesi kurulur.</w:t>
      </w:r>
    </w:p>
    <w:p w14:paraId="75A4F76B" w14:textId="77777777" w:rsidR="009E1688" w:rsidRPr="002048A7" w:rsidRDefault="00750EA4" w:rsidP="00750EA4">
      <w:pPr>
        <w:pStyle w:val="ListeParagraf"/>
        <w:spacing w:after="0"/>
        <w:ind w:left="1440"/>
        <w:rPr>
          <w:rFonts w:ascii="Calibri" w:hAnsi="Calibri"/>
          <w:i/>
        </w:rPr>
      </w:pPr>
      <w:r w:rsidRPr="00750EA4">
        <w:rPr>
          <w:rFonts w:ascii="Calibri" w:hAnsi="Calibri"/>
          <w:i/>
        </w:rPr>
        <w:t xml:space="preserve">(2) 1/4/2025 tarihine kadar elektrik dağıtım şirketleri tarafından </w:t>
      </w:r>
      <w:proofErr w:type="gramStart"/>
      <w:r w:rsidRPr="00750EA4">
        <w:rPr>
          <w:rFonts w:ascii="Calibri" w:hAnsi="Calibri"/>
          <w:i/>
        </w:rPr>
        <w:t>7 nci</w:t>
      </w:r>
      <w:proofErr w:type="gramEnd"/>
      <w:r w:rsidRPr="00750EA4">
        <w:rPr>
          <w:rFonts w:ascii="Calibri" w:hAnsi="Calibri"/>
          <w:i/>
        </w:rPr>
        <w:t xml:space="preserve"> maddede belirtilen veriler EPİAŞ’a sağlanır.”</w:t>
      </w:r>
    </w:p>
    <w:p w14:paraId="54B4B0E4" w14:textId="77777777" w:rsidR="009E1688" w:rsidRDefault="009E1688" w:rsidP="009E1688">
      <w:pPr>
        <w:pStyle w:val="ListeParagraf"/>
        <w:spacing w:after="0"/>
        <w:ind w:left="1440"/>
        <w:rPr>
          <w:rFonts w:ascii="Calibri" w:hAnsi="Calibri"/>
          <w:i/>
        </w:rPr>
      </w:pPr>
    </w:p>
    <w:p w14:paraId="32F2FFC2" w14:textId="77777777" w:rsidR="00750EA4" w:rsidRPr="002048A7" w:rsidRDefault="00750EA4" w:rsidP="0025080A">
      <w:pPr>
        <w:numPr>
          <w:ilvl w:val="0"/>
          <w:numId w:val="22"/>
        </w:numPr>
        <w:spacing w:after="0"/>
        <w:contextualSpacing/>
        <w:rPr>
          <w:rFonts w:ascii="Calibri" w:hAnsi="Calibri"/>
          <w:i/>
          <w:iCs/>
        </w:rPr>
      </w:pPr>
      <w:r>
        <w:rPr>
          <w:rFonts w:ascii="Calibri" w:hAnsi="Calibri"/>
          <w:bCs/>
          <w:iCs/>
        </w:rPr>
        <w:t>10</w:t>
      </w:r>
      <w:r w:rsidRPr="002048A7">
        <w:rPr>
          <w:rFonts w:ascii="Calibri" w:hAnsi="Calibri"/>
          <w:bCs/>
          <w:iCs/>
        </w:rPr>
        <w:t>.</w:t>
      </w:r>
      <w:r>
        <w:rPr>
          <w:rFonts w:ascii="Calibri" w:hAnsi="Calibri"/>
          <w:bCs/>
          <w:iCs/>
        </w:rPr>
        <w:t>10</w:t>
      </w:r>
      <w:r w:rsidRPr="002048A7">
        <w:rPr>
          <w:rFonts w:ascii="Calibri" w:hAnsi="Calibri"/>
          <w:bCs/>
          <w:iCs/>
        </w:rPr>
        <w:t>.202</w:t>
      </w:r>
      <w:r>
        <w:rPr>
          <w:rFonts w:ascii="Calibri" w:hAnsi="Calibri"/>
          <w:bCs/>
          <w:iCs/>
        </w:rPr>
        <w:t>4</w:t>
      </w:r>
      <w:r w:rsidRPr="002048A7">
        <w:rPr>
          <w:rFonts w:ascii="Calibri" w:hAnsi="Calibri"/>
          <w:bCs/>
          <w:iCs/>
        </w:rPr>
        <w:t xml:space="preserve"> tarihli ve 32</w:t>
      </w:r>
      <w:r>
        <w:rPr>
          <w:rFonts w:ascii="Calibri" w:hAnsi="Calibri"/>
          <w:bCs/>
          <w:iCs/>
        </w:rPr>
        <w:t>688</w:t>
      </w:r>
      <w:r w:rsidRPr="002048A7">
        <w:rPr>
          <w:rFonts w:ascii="Calibri" w:hAnsi="Calibri"/>
          <w:bCs/>
          <w:iCs/>
        </w:rPr>
        <w:t xml:space="preserve"> sayılı Resmî Gazetede yayımlanan Değişiklik Yönetmeliği ile</w:t>
      </w:r>
      <w:r w:rsidRPr="002048A7">
        <w:rPr>
          <w:rFonts w:ascii="Calibri" w:hAnsi="Calibri"/>
          <w:b/>
          <w:bCs/>
          <w:iCs/>
        </w:rPr>
        <w:t xml:space="preserve"> </w:t>
      </w:r>
      <w:r w:rsidRPr="00750EA4">
        <w:rPr>
          <w:rFonts w:ascii="Calibri" w:hAnsi="Calibri"/>
          <w:b/>
          <w:iCs/>
        </w:rPr>
        <w:t>Elektrik Piyasası Lisans Yönetmeliğinin</w:t>
      </w:r>
      <w:r w:rsidRPr="002048A7">
        <w:rPr>
          <w:rFonts w:ascii="Calibri" w:hAnsi="Calibri"/>
          <w:b/>
          <w:iCs/>
        </w:rPr>
        <w:t xml:space="preserve"> </w:t>
      </w:r>
      <w:proofErr w:type="gramStart"/>
      <w:r w:rsidRPr="00750EA4">
        <w:rPr>
          <w:rFonts w:ascii="Calibri" w:hAnsi="Calibri"/>
          <w:bCs/>
          <w:iCs/>
        </w:rPr>
        <w:t>57 nci</w:t>
      </w:r>
      <w:proofErr w:type="gramEnd"/>
      <w:r w:rsidRPr="00750EA4">
        <w:rPr>
          <w:rFonts w:ascii="Calibri" w:hAnsi="Calibri"/>
          <w:bCs/>
          <w:iCs/>
        </w:rPr>
        <w:t xml:space="preserve"> maddesinin birinci fıkrasının üçüncü cümlesi aşağıdaki şekilde değiştirilmiştir.</w:t>
      </w:r>
    </w:p>
    <w:p w14:paraId="2F4A82A7" w14:textId="77777777" w:rsidR="00750EA4" w:rsidRPr="002048A7" w:rsidRDefault="00750EA4" w:rsidP="00750EA4">
      <w:pPr>
        <w:spacing w:after="0"/>
        <w:ind w:left="720"/>
        <w:contextualSpacing/>
        <w:rPr>
          <w:rFonts w:ascii="Calibri" w:hAnsi="Calibri"/>
          <w:i/>
          <w:iCs/>
        </w:rPr>
      </w:pPr>
    </w:p>
    <w:p w14:paraId="58831DF4" w14:textId="77777777" w:rsidR="00750EA4" w:rsidRDefault="00750EA4" w:rsidP="00750EA4">
      <w:pPr>
        <w:pStyle w:val="ListeParagraf"/>
        <w:spacing w:after="0"/>
        <w:ind w:left="1440"/>
        <w:rPr>
          <w:rFonts w:ascii="Calibri" w:hAnsi="Calibri"/>
          <w:i/>
        </w:rPr>
      </w:pPr>
      <w:r w:rsidRPr="00750EA4">
        <w:rPr>
          <w:rFonts w:ascii="Calibri" w:hAnsi="Calibri"/>
          <w:i/>
        </w:rPr>
        <w:t>“Ancak (a), (b), (ç), (d), (f), (j) ve (k) bentleri haricinde diğer bentlerde yapılması planlanan doğrudan pay değişiklikleri ile %10 ve üzeri dolaylı ortaklık yapısı değişiklikleri, her defasında Kurul onayına tabidir.”</w:t>
      </w:r>
    </w:p>
    <w:p w14:paraId="3920F8F3" w14:textId="77777777" w:rsidR="00942786" w:rsidRPr="002048A7" w:rsidRDefault="00942786" w:rsidP="00750EA4">
      <w:pPr>
        <w:pStyle w:val="ListeParagraf"/>
        <w:spacing w:after="0"/>
        <w:ind w:left="1440"/>
        <w:rPr>
          <w:rFonts w:ascii="Calibri" w:hAnsi="Calibri"/>
          <w:i/>
        </w:rPr>
      </w:pPr>
    </w:p>
    <w:p w14:paraId="40FB5DEA" w14:textId="77777777" w:rsidR="009E1688" w:rsidRPr="002048A7" w:rsidRDefault="00750EA4" w:rsidP="0025080A">
      <w:pPr>
        <w:pStyle w:val="ListeParagraf"/>
        <w:numPr>
          <w:ilvl w:val="0"/>
          <w:numId w:val="22"/>
        </w:numPr>
        <w:spacing w:after="0"/>
        <w:rPr>
          <w:rFonts w:ascii="Calibri" w:hAnsi="Calibri"/>
          <w:i/>
        </w:rPr>
      </w:pPr>
      <w:bookmarkStart w:id="46" w:name="_Hlk115943756"/>
      <w:r>
        <w:rPr>
          <w:rFonts w:ascii="Calibri" w:hAnsi="Calibri"/>
          <w:bCs/>
        </w:rPr>
        <w:t>17</w:t>
      </w:r>
      <w:r w:rsidR="009E1688" w:rsidRPr="002048A7">
        <w:rPr>
          <w:rFonts w:ascii="Calibri" w:hAnsi="Calibri"/>
          <w:bCs/>
        </w:rPr>
        <w:t>.</w:t>
      </w:r>
      <w:r>
        <w:rPr>
          <w:rFonts w:ascii="Calibri" w:hAnsi="Calibri"/>
          <w:bCs/>
        </w:rPr>
        <w:t>12</w:t>
      </w:r>
      <w:r w:rsidR="009E1688" w:rsidRPr="002048A7">
        <w:rPr>
          <w:rFonts w:ascii="Calibri" w:hAnsi="Calibri"/>
          <w:bCs/>
        </w:rPr>
        <w:t>.202</w:t>
      </w:r>
      <w:r>
        <w:rPr>
          <w:rFonts w:ascii="Calibri" w:hAnsi="Calibri"/>
          <w:bCs/>
        </w:rPr>
        <w:t>4</w:t>
      </w:r>
      <w:r w:rsidR="009E1688" w:rsidRPr="002048A7">
        <w:rPr>
          <w:rFonts w:ascii="Calibri" w:hAnsi="Calibri"/>
          <w:bCs/>
        </w:rPr>
        <w:t xml:space="preserve"> tarihli ve 3</w:t>
      </w:r>
      <w:r w:rsidR="0085216E" w:rsidRPr="002048A7">
        <w:rPr>
          <w:rFonts w:ascii="Calibri" w:hAnsi="Calibri"/>
          <w:bCs/>
        </w:rPr>
        <w:t>2</w:t>
      </w:r>
      <w:r>
        <w:rPr>
          <w:rFonts w:ascii="Calibri" w:hAnsi="Calibri"/>
          <w:bCs/>
        </w:rPr>
        <w:t>755</w:t>
      </w:r>
      <w:r w:rsidR="009E1688" w:rsidRPr="002048A7">
        <w:rPr>
          <w:rFonts w:ascii="Calibri" w:hAnsi="Calibri"/>
          <w:bCs/>
        </w:rPr>
        <w:t xml:space="preserve"> sayılı Resmî </w:t>
      </w:r>
      <w:r w:rsidR="00274939" w:rsidRPr="002048A7">
        <w:rPr>
          <w:rFonts w:ascii="Calibri" w:hAnsi="Calibri"/>
          <w:bCs/>
        </w:rPr>
        <w:t>Gazetede</w:t>
      </w:r>
      <w:r w:rsidR="009E1688" w:rsidRPr="002048A7">
        <w:rPr>
          <w:rFonts w:ascii="Calibri" w:hAnsi="Calibri"/>
          <w:bCs/>
        </w:rPr>
        <w:t xml:space="preserve"> yayımlanan Değişiklik Yönetmeliği ile</w:t>
      </w:r>
      <w:r w:rsidR="009E1688" w:rsidRPr="002048A7">
        <w:rPr>
          <w:rFonts w:ascii="Calibri" w:hAnsi="Calibri"/>
          <w:b/>
          <w:bCs/>
        </w:rPr>
        <w:t xml:space="preserve"> </w:t>
      </w:r>
      <w:r w:rsidRPr="00750EA4">
        <w:rPr>
          <w:rFonts w:ascii="Calibri" w:hAnsi="Calibri"/>
          <w:b/>
        </w:rPr>
        <w:t>Elektrik Piyasası Dengeleme ve Uzlaştırma Yönetmeliğinin</w:t>
      </w:r>
    </w:p>
    <w:p w14:paraId="064EB978" w14:textId="77777777" w:rsidR="004F2451" w:rsidRPr="002048A7" w:rsidRDefault="004F2451" w:rsidP="004F2451">
      <w:pPr>
        <w:pStyle w:val="ListeParagraf"/>
        <w:spacing w:after="0"/>
        <w:rPr>
          <w:rFonts w:ascii="Calibri" w:hAnsi="Calibri"/>
          <w:i/>
        </w:rPr>
      </w:pPr>
    </w:p>
    <w:bookmarkEnd w:id="46"/>
    <w:p w14:paraId="152DF3CF" w14:textId="77777777" w:rsidR="009E1688" w:rsidRPr="002048A7" w:rsidRDefault="00750EA4" w:rsidP="0025080A">
      <w:pPr>
        <w:pStyle w:val="ListeParagraf"/>
        <w:numPr>
          <w:ilvl w:val="0"/>
          <w:numId w:val="21"/>
        </w:numPr>
        <w:spacing w:after="0"/>
        <w:rPr>
          <w:rFonts w:ascii="Calibri" w:hAnsi="Calibri"/>
          <w:iCs/>
        </w:rPr>
      </w:pPr>
      <w:proofErr w:type="gramStart"/>
      <w:r w:rsidRPr="00750EA4">
        <w:rPr>
          <w:rFonts w:ascii="Calibri" w:hAnsi="Calibri"/>
          <w:iCs/>
        </w:rPr>
        <w:t>4 üncü</w:t>
      </w:r>
      <w:proofErr w:type="gramEnd"/>
      <w:r w:rsidRPr="00750EA4">
        <w:rPr>
          <w:rFonts w:ascii="Calibri" w:hAnsi="Calibri"/>
          <w:iCs/>
        </w:rPr>
        <w:t xml:space="preserve"> maddesinin birinci fıkrasına aşağıdaki bentler eklenmiştir.</w:t>
      </w:r>
    </w:p>
    <w:p w14:paraId="1EEEFD0E" w14:textId="77777777" w:rsidR="009E1688" w:rsidRPr="002048A7" w:rsidRDefault="009E1688" w:rsidP="009E1688">
      <w:pPr>
        <w:pStyle w:val="ListeParagraf"/>
        <w:spacing w:after="0"/>
        <w:ind w:left="1440"/>
        <w:rPr>
          <w:rFonts w:ascii="Calibri" w:hAnsi="Calibri"/>
          <w:iCs/>
        </w:rPr>
      </w:pPr>
    </w:p>
    <w:p w14:paraId="516EC60C" w14:textId="77777777" w:rsidR="00750EA4" w:rsidRPr="00750EA4" w:rsidRDefault="00750EA4" w:rsidP="00750EA4">
      <w:pPr>
        <w:pStyle w:val="ListeParagraf"/>
        <w:spacing w:after="0"/>
        <w:ind w:left="1440"/>
        <w:rPr>
          <w:rFonts w:ascii="Calibri" w:hAnsi="Calibri"/>
          <w:i/>
        </w:rPr>
      </w:pPr>
      <w:r w:rsidRPr="00750EA4">
        <w:rPr>
          <w:rFonts w:ascii="Calibri" w:hAnsi="Calibri"/>
          <w:i/>
        </w:rPr>
        <w:t>“</w:t>
      </w:r>
      <w:proofErr w:type="gramStart"/>
      <w:r w:rsidRPr="00750EA4">
        <w:rPr>
          <w:rFonts w:ascii="Calibri" w:hAnsi="Calibri"/>
          <w:i/>
        </w:rPr>
        <w:t>kkkkkk</w:t>
      </w:r>
      <w:proofErr w:type="gramEnd"/>
      <w:r w:rsidRPr="00750EA4">
        <w:rPr>
          <w:rFonts w:ascii="Calibri" w:hAnsi="Calibri"/>
          <w:i/>
        </w:rPr>
        <w:t>) Dengeleme bölgesi: Toplayıcılık faaliyeti kapsamında yan hizmetler ve/veya dengeleme güç piyasasında faaliyette bulunmak isteyen üretim, tüketim tesisleri ve/veya elektrik depolama ünitesi/tesisinin birlikte yer aldığı TEİAŞ tarafından belirlenen şebekenin bölümünü,</w:t>
      </w:r>
    </w:p>
    <w:p w14:paraId="21B08A89" w14:textId="77777777" w:rsidR="00750EA4" w:rsidRPr="00750EA4" w:rsidRDefault="00750EA4" w:rsidP="00750EA4">
      <w:pPr>
        <w:pStyle w:val="ListeParagraf"/>
        <w:spacing w:after="0"/>
        <w:ind w:left="1440"/>
        <w:rPr>
          <w:rFonts w:ascii="Calibri" w:hAnsi="Calibri"/>
          <w:i/>
        </w:rPr>
      </w:pPr>
      <w:proofErr w:type="gramStart"/>
      <w:r w:rsidRPr="00750EA4">
        <w:rPr>
          <w:rFonts w:ascii="Calibri" w:hAnsi="Calibri"/>
          <w:i/>
        </w:rPr>
        <w:t>llllll</w:t>
      </w:r>
      <w:proofErr w:type="gramEnd"/>
      <w:r w:rsidRPr="00750EA4">
        <w:rPr>
          <w:rFonts w:ascii="Calibri" w:hAnsi="Calibri"/>
          <w:i/>
        </w:rPr>
        <w:t>) Minimum kararlı üretim düzeyi: Bir uzlaştırmaya esas veriş çekiş biriminin sürekli olarak çalışabileceği asgari aktif güç seviyesini,</w:t>
      </w:r>
    </w:p>
    <w:p w14:paraId="0CBF6AE3" w14:textId="77777777" w:rsidR="00750EA4" w:rsidRPr="00750EA4" w:rsidRDefault="00750EA4" w:rsidP="00750EA4">
      <w:pPr>
        <w:pStyle w:val="ListeParagraf"/>
        <w:spacing w:after="0"/>
        <w:ind w:left="1440"/>
        <w:rPr>
          <w:rFonts w:ascii="Calibri" w:hAnsi="Calibri"/>
          <w:i/>
        </w:rPr>
      </w:pPr>
      <w:proofErr w:type="gramStart"/>
      <w:r w:rsidRPr="00750EA4">
        <w:rPr>
          <w:rFonts w:ascii="Calibri" w:hAnsi="Calibri"/>
          <w:i/>
        </w:rPr>
        <w:t>mmmmmm</w:t>
      </w:r>
      <w:proofErr w:type="gramEnd"/>
      <w:r w:rsidRPr="00750EA4">
        <w:rPr>
          <w:rFonts w:ascii="Calibri" w:hAnsi="Calibri"/>
          <w:i/>
        </w:rPr>
        <w:t>) Toplayıcı: Bir veya birden fazla şebeke kullanıcısı ile söz konusu şebeke kullanıcıları adına elektrik piyasasında toplayıcılık faaliyeti yürütmek üzere anlaşma imzalamış olan toplayıcı lisansı veya tedarik lisansı sahibi tüzel kişiyi,</w:t>
      </w:r>
    </w:p>
    <w:p w14:paraId="26743406" w14:textId="77777777" w:rsidR="009E1688" w:rsidRPr="002048A7" w:rsidRDefault="00750EA4" w:rsidP="00750EA4">
      <w:pPr>
        <w:pStyle w:val="ListeParagraf"/>
        <w:spacing w:after="0"/>
        <w:ind w:left="1440"/>
        <w:rPr>
          <w:rFonts w:ascii="Calibri" w:hAnsi="Calibri"/>
          <w:i/>
        </w:rPr>
      </w:pPr>
      <w:proofErr w:type="gramStart"/>
      <w:r w:rsidRPr="00750EA4">
        <w:rPr>
          <w:rFonts w:ascii="Calibri" w:hAnsi="Calibri"/>
          <w:i/>
        </w:rPr>
        <w:t>nnnnnn</w:t>
      </w:r>
      <w:proofErr w:type="gramEnd"/>
      <w:r w:rsidRPr="00750EA4">
        <w:rPr>
          <w:rFonts w:ascii="Calibri" w:hAnsi="Calibri"/>
          <w:i/>
        </w:rPr>
        <w:t>) Toplayıcılık: Toplayıcı tarafından bir veya birden fazla şebeke kullanıcısının tüketim ve/veya üretimlerinin birleştirilerek işletilmesi kapsamında gerçekleştirilen piyasa faaliyetini,”</w:t>
      </w:r>
    </w:p>
    <w:p w14:paraId="52FC8E70" w14:textId="77777777" w:rsidR="009E1688" w:rsidRPr="002048A7" w:rsidRDefault="009E1688" w:rsidP="009E1688">
      <w:pPr>
        <w:pStyle w:val="ListeParagraf"/>
        <w:spacing w:after="0"/>
        <w:ind w:left="1440"/>
        <w:rPr>
          <w:rFonts w:ascii="Calibri" w:hAnsi="Calibri"/>
          <w:i/>
        </w:rPr>
      </w:pPr>
    </w:p>
    <w:p w14:paraId="3DF14ABC" w14:textId="77777777" w:rsidR="009E1688" w:rsidRPr="002048A7" w:rsidRDefault="00750EA4" w:rsidP="0025080A">
      <w:pPr>
        <w:pStyle w:val="ListeParagraf"/>
        <w:numPr>
          <w:ilvl w:val="0"/>
          <w:numId w:val="21"/>
        </w:numPr>
        <w:spacing w:after="0"/>
        <w:rPr>
          <w:rFonts w:ascii="Calibri" w:hAnsi="Calibri"/>
          <w:iCs/>
        </w:rPr>
      </w:pPr>
      <w:r w:rsidRPr="00750EA4">
        <w:rPr>
          <w:rFonts w:ascii="Calibri" w:hAnsi="Calibri"/>
          <w:iCs/>
        </w:rPr>
        <w:t>10 uncu maddesinin birinci fıkrasına aşağıdaki bent eklenmiştir.</w:t>
      </w:r>
    </w:p>
    <w:p w14:paraId="6CCCE549" w14:textId="77777777" w:rsidR="0085216E" w:rsidRDefault="0085216E" w:rsidP="0085216E">
      <w:pPr>
        <w:pStyle w:val="ListeParagraf"/>
        <w:spacing w:after="0"/>
        <w:ind w:left="1440"/>
        <w:rPr>
          <w:rFonts w:ascii="Calibri" w:hAnsi="Calibri"/>
          <w:iCs/>
        </w:rPr>
      </w:pPr>
    </w:p>
    <w:p w14:paraId="0B851D4E" w14:textId="77777777" w:rsidR="00750EA4" w:rsidRDefault="00750EA4" w:rsidP="0085216E">
      <w:pPr>
        <w:pStyle w:val="ListeParagraf"/>
        <w:spacing w:after="0"/>
        <w:ind w:left="1440"/>
        <w:rPr>
          <w:rFonts w:ascii="Calibri" w:hAnsi="Calibri"/>
          <w:i/>
        </w:rPr>
      </w:pPr>
      <w:r w:rsidRPr="00750EA4">
        <w:rPr>
          <w:rFonts w:ascii="Calibri" w:hAnsi="Calibri"/>
          <w:i/>
        </w:rPr>
        <w:t>“</w:t>
      </w:r>
      <w:proofErr w:type="gramStart"/>
      <w:r w:rsidRPr="00750EA4">
        <w:rPr>
          <w:rFonts w:ascii="Calibri" w:hAnsi="Calibri"/>
          <w:i/>
        </w:rPr>
        <w:t>e</w:t>
      </w:r>
      <w:proofErr w:type="gramEnd"/>
      <w:r w:rsidRPr="00750EA4">
        <w:rPr>
          <w:rFonts w:ascii="Calibri" w:hAnsi="Calibri"/>
          <w:i/>
        </w:rPr>
        <w:t>) Toplayıcı lisansı sahibi,”</w:t>
      </w:r>
    </w:p>
    <w:p w14:paraId="0CC1EF83" w14:textId="77777777" w:rsidR="00750EA4" w:rsidRPr="002048A7" w:rsidRDefault="00750EA4" w:rsidP="0085216E">
      <w:pPr>
        <w:pStyle w:val="ListeParagraf"/>
        <w:spacing w:after="0"/>
        <w:ind w:left="1440"/>
        <w:rPr>
          <w:rFonts w:ascii="Calibri" w:hAnsi="Calibri"/>
          <w:iCs/>
        </w:rPr>
      </w:pPr>
    </w:p>
    <w:p w14:paraId="070E3495" w14:textId="77777777" w:rsidR="009E1688" w:rsidRPr="002048A7" w:rsidRDefault="00750EA4" w:rsidP="0025080A">
      <w:pPr>
        <w:pStyle w:val="ListeParagraf"/>
        <w:numPr>
          <w:ilvl w:val="0"/>
          <w:numId w:val="21"/>
        </w:numPr>
        <w:spacing w:after="0"/>
        <w:rPr>
          <w:rFonts w:ascii="Calibri" w:hAnsi="Calibri"/>
          <w:iCs/>
        </w:rPr>
      </w:pPr>
      <w:proofErr w:type="gramStart"/>
      <w:r w:rsidRPr="00750EA4">
        <w:rPr>
          <w:rFonts w:ascii="Calibri" w:hAnsi="Calibri"/>
          <w:iCs/>
        </w:rPr>
        <w:t>12 nci</w:t>
      </w:r>
      <w:proofErr w:type="gramEnd"/>
      <w:r w:rsidRPr="00750EA4">
        <w:rPr>
          <w:rFonts w:ascii="Calibri" w:hAnsi="Calibri"/>
          <w:iCs/>
        </w:rPr>
        <w:t xml:space="preserve"> maddesinin birinci fıkrasının (f) bendi aşağıdaki şekilde değiştirilmiş ve aynı maddeye aşağıdaki bent eklenmiştir.</w:t>
      </w:r>
    </w:p>
    <w:p w14:paraId="4703F040" w14:textId="77777777" w:rsidR="009E1688" w:rsidRDefault="009E1688" w:rsidP="009E1688">
      <w:pPr>
        <w:pStyle w:val="ListeParagraf"/>
        <w:spacing w:after="0"/>
        <w:ind w:left="1440"/>
        <w:rPr>
          <w:rFonts w:ascii="Calibri" w:hAnsi="Calibri"/>
          <w:i/>
        </w:rPr>
      </w:pPr>
    </w:p>
    <w:p w14:paraId="7D24A2F5" w14:textId="77777777" w:rsidR="00750EA4" w:rsidRPr="00750EA4" w:rsidRDefault="00750EA4" w:rsidP="00750EA4">
      <w:pPr>
        <w:pStyle w:val="ListeParagraf"/>
        <w:spacing w:after="0"/>
        <w:ind w:left="1440"/>
        <w:rPr>
          <w:rFonts w:ascii="Calibri" w:hAnsi="Calibri"/>
          <w:i/>
        </w:rPr>
      </w:pPr>
      <w:r w:rsidRPr="00750EA4">
        <w:rPr>
          <w:rFonts w:ascii="Calibri" w:hAnsi="Calibri"/>
          <w:i/>
        </w:rPr>
        <w:t>“</w:t>
      </w:r>
      <w:proofErr w:type="gramStart"/>
      <w:r w:rsidRPr="00750EA4">
        <w:rPr>
          <w:rFonts w:ascii="Calibri" w:hAnsi="Calibri"/>
          <w:i/>
        </w:rPr>
        <w:t>f</w:t>
      </w:r>
      <w:proofErr w:type="gramEnd"/>
      <w:r w:rsidRPr="00750EA4">
        <w:rPr>
          <w:rFonts w:ascii="Calibri" w:hAnsi="Calibri"/>
          <w:i/>
        </w:rPr>
        <w:t>) Dengeleme ve teklif bölgeleri ile ticaret sınırlarının belirlenmesi.”</w:t>
      </w:r>
    </w:p>
    <w:p w14:paraId="018C9DCC" w14:textId="77777777" w:rsidR="00750EA4" w:rsidRDefault="00750EA4" w:rsidP="00750EA4">
      <w:pPr>
        <w:pStyle w:val="ListeParagraf"/>
        <w:spacing w:after="0"/>
        <w:ind w:left="1440"/>
        <w:rPr>
          <w:rFonts w:ascii="Calibri" w:hAnsi="Calibri"/>
          <w:i/>
        </w:rPr>
      </w:pPr>
      <w:r w:rsidRPr="00750EA4">
        <w:rPr>
          <w:rFonts w:ascii="Calibri" w:hAnsi="Calibri"/>
          <w:i/>
        </w:rPr>
        <w:t>“</w:t>
      </w:r>
      <w:proofErr w:type="gramStart"/>
      <w:r w:rsidRPr="00750EA4">
        <w:rPr>
          <w:rFonts w:ascii="Calibri" w:hAnsi="Calibri"/>
          <w:i/>
        </w:rPr>
        <w:t>k</w:t>
      </w:r>
      <w:proofErr w:type="gramEnd"/>
      <w:r w:rsidRPr="00750EA4">
        <w:rPr>
          <w:rFonts w:ascii="Calibri" w:hAnsi="Calibri"/>
          <w:i/>
        </w:rPr>
        <w:t>) Dengeleme bölgesi içerisinde yer alan trafo merkezi listesinin istenen formatta piyasa işletmecisine sunulması.”</w:t>
      </w:r>
    </w:p>
    <w:p w14:paraId="0A8E5A47" w14:textId="77777777" w:rsidR="00750EA4" w:rsidRPr="002048A7" w:rsidRDefault="00750EA4" w:rsidP="009E1688">
      <w:pPr>
        <w:pStyle w:val="ListeParagraf"/>
        <w:spacing w:after="0"/>
        <w:ind w:left="1440"/>
        <w:rPr>
          <w:rFonts w:ascii="Calibri" w:hAnsi="Calibri"/>
          <w:i/>
        </w:rPr>
      </w:pPr>
    </w:p>
    <w:p w14:paraId="122A0DFE" w14:textId="77777777" w:rsidR="0085216E" w:rsidRDefault="00750EA4" w:rsidP="0025080A">
      <w:pPr>
        <w:pStyle w:val="ListeParagraf"/>
        <w:numPr>
          <w:ilvl w:val="0"/>
          <w:numId w:val="21"/>
        </w:numPr>
        <w:spacing w:after="0"/>
        <w:rPr>
          <w:rFonts w:ascii="Calibri" w:hAnsi="Calibri"/>
          <w:iCs/>
        </w:rPr>
      </w:pPr>
      <w:r w:rsidRPr="00750EA4">
        <w:rPr>
          <w:rFonts w:ascii="Calibri" w:hAnsi="Calibri"/>
          <w:iCs/>
        </w:rPr>
        <w:t>15 inci maddesinin birinci fıkrasına aşağıdaki bent eklenmiştir.</w:t>
      </w:r>
    </w:p>
    <w:p w14:paraId="72679117" w14:textId="77777777" w:rsidR="00750EA4" w:rsidRPr="002048A7" w:rsidRDefault="00750EA4" w:rsidP="00750EA4">
      <w:pPr>
        <w:pStyle w:val="ListeParagraf"/>
        <w:spacing w:after="0"/>
        <w:ind w:left="1440"/>
        <w:rPr>
          <w:rFonts w:ascii="Calibri" w:hAnsi="Calibri"/>
          <w:iCs/>
        </w:rPr>
      </w:pPr>
    </w:p>
    <w:p w14:paraId="0A361050" w14:textId="77777777" w:rsidR="0085216E" w:rsidRDefault="00750EA4" w:rsidP="0085216E">
      <w:pPr>
        <w:pStyle w:val="ListeParagraf"/>
        <w:spacing w:after="0"/>
        <w:ind w:left="1440"/>
        <w:rPr>
          <w:rFonts w:ascii="Calibri" w:hAnsi="Calibri"/>
          <w:i/>
        </w:rPr>
      </w:pPr>
      <w:r w:rsidRPr="00750EA4">
        <w:rPr>
          <w:rFonts w:ascii="Calibri" w:hAnsi="Calibri"/>
          <w:i/>
        </w:rPr>
        <w:t>“</w:t>
      </w:r>
      <w:proofErr w:type="gramStart"/>
      <w:r w:rsidRPr="00750EA4">
        <w:rPr>
          <w:rFonts w:ascii="Calibri" w:hAnsi="Calibri"/>
          <w:i/>
        </w:rPr>
        <w:t>g</w:t>
      </w:r>
      <w:proofErr w:type="gramEnd"/>
      <w:r w:rsidRPr="00750EA4">
        <w:rPr>
          <w:rFonts w:ascii="Calibri" w:hAnsi="Calibri"/>
          <w:i/>
        </w:rPr>
        <w:t>) Toplayıcılık portföyüne kaydı gerçekleştirilen lisanssız üretim tesislerine ilişkin sayaç verilerini toplu olarak yüklemek.”</w:t>
      </w:r>
    </w:p>
    <w:p w14:paraId="571C8CFA" w14:textId="77777777" w:rsidR="00750EA4" w:rsidRDefault="00750EA4" w:rsidP="0085216E">
      <w:pPr>
        <w:pStyle w:val="ListeParagraf"/>
        <w:spacing w:after="0"/>
        <w:ind w:left="1440"/>
        <w:rPr>
          <w:rFonts w:ascii="Calibri" w:hAnsi="Calibri"/>
          <w:i/>
        </w:rPr>
      </w:pPr>
    </w:p>
    <w:p w14:paraId="7D592A55" w14:textId="77777777" w:rsidR="00750EA4" w:rsidRDefault="00750EA4" w:rsidP="0025080A">
      <w:pPr>
        <w:pStyle w:val="ListeParagraf"/>
        <w:numPr>
          <w:ilvl w:val="0"/>
          <w:numId w:val="21"/>
        </w:numPr>
        <w:spacing w:after="0"/>
        <w:rPr>
          <w:rFonts w:ascii="Calibri" w:hAnsi="Calibri"/>
          <w:iCs/>
        </w:rPr>
      </w:pPr>
      <w:r w:rsidRPr="00750EA4">
        <w:rPr>
          <w:rFonts w:ascii="Calibri" w:hAnsi="Calibri"/>
          <w:iCs/>
        </w:rPr>
        <w:t xml:space="preserve">18/B maddesinin birinci fıkrasında yer alan </w:t>
      </w:r>
      <w:r w:rsidRPr="00750EA4">
        <w:rPr>
          <w:rFonts w:ascii="Calibri" w:hAnsi="Calibri"/>
          <w:i/>
          <w:iCs/>
        </w:rPr>
        <w:t>“ve tedarik”</w:t>
      </w:r>
      <w:r w:rsidRPr="00750EA4">
        <w:rPr>
          <w:rFonts w:ascii="Calibri" w:hAnsi="Calibri"/>
          <w:iCs/>
        </w:rPr>
        <w:t xml:space="preserve"> ibaresi </w:t>
      </w:r>
      <w:r w:rsidRPr="00750EA4">
        <w:rPr>
          <w:rFonts w:ascii="Calibri" w:hAnsi="Calibri"/>
          <w:i/>
          <w:iCs/>
        </w:rPr>
        <w:t>“, tedarik ve toplayıcı”</w:t>
      </w:r>
      <w:r w:rsidRPr="00750EA4">
        <w:rPr>
          <w:rFonts w:ascii="Calibri" w:hAnsi="Calibri"/>
          <w:iCs/>
        </w:rPr>
        <w:t xml:space="preserve"> şeklinde değiştirilmiştir.</w:t>
      </w:r>
    </w:p>
    <w:p w14:paraId="60BA0513" w14:textId="77777777" w:rsidR="00750EA4" w:rsidRPr="002048A7" w:rsidRDefault="00750EA4" w:rsidP="00750EA4">
      <w:pPr>
        <w:pStyle w:val="ListeParagraf"/>
        <w:spacing w:after="0"/>
        <w:ind w:left="1440"/>
        <w:rPr>
          <w:rFonts w:ascii="Calibri" w:hAnsi="Calibri"/>
          <w:iCs/>
        </w:rPr>
      </w:pPr>
    </w:p>
    <w:p w14:paraId="5B619007" w14:textId="77777777" w:rsidR="00750EA4" w:rsidRDefault="00750EA4" w:rsidP="0025080A">
      <w:pPr>
        <w:pStyle w:val="ListeParagraf"/>
        <w:numPr>
          <w:ilvl w:val="0"/>
          <w:numId w:val="21"/>
        </w:numPr>
        <w:spacing w:after="0"/>
        <w:rPr>
          <w:rFonts w:ascii="Calibri" w:hAnsi="Calibri"/>
          <w:iCs/>
        </w:rPr>
      </w:pPr>
      <w:proofErr w:type="gramStart"/>
      <w:r w:rsidRPr="00750EA4">
        <w:rPr>
          <w:rFonts w:ascii="Calibri" w:hAnsi="Calibri"/>
          <w:iCs/>
        </w:rPr>
        <w:t>20 nci</w:t>
      </w:r>
      <w:proofErr w:type="gramEnd"/>
      <w:r w:rsidRPr="00750EA4">
        <w:rPr>
          <w:rFonts w:ascii="Calibri" w:hAnsi="Calibri"/>
          <w:iCs/>
        </w:rPr>
        <w:t xml:space="preserve"> maddesine aşağıdaki fıkra eklenmiştir.</w:t>
      </w:r>
    </w:p>
    <w:p w14:paraId="48DF4C7C" w14:textId="77777777" w:rsidR="00750EA4" w:rsidRPr="002048A7" w:rsidRDefault="00750EA4" w:rsidP="00750EA4">
      <w:pPr>
        <w:pStyle w:val="ListeParagraf"/>
        <w:spacing w:after="0"/>
        <w:ind w:left="1440"/>
        <w:rPr>
          <w:rFonts w:ascii="Calibri" w:hAnsi="Calibri"/>
          <w:iCs/>
        </w:rPr>
      </w:pPr>
    </w:p>
    <w:p w14:paraId="3986191F" w14:textId="77777777" w:rsidR="00750EA4" w:rsidRDefault="00750EA4" w:rsidP="00750EA4">
      <w:pPr>
        <w:pStyle w:val="ListeParagraf"/>
        <w:spacing w:after="0"/>
        <w:ind w:left="1440"/>
        <w:rPr>
          <w:rFonts w:ascii="Calibri" w:hAnsi="Calibri"/>
          <w:i/>
        </w:rPr>
      </w:pPr>
      <w:r w:rsidRPr="00750EA4">
        <w:rPr>
          <w:rFonts w:ascii="Calibri" w:hAnsi="Calibri"/>
          <w:i/>
        </w:rPr>
        <w:t>“(4) Toplayıcı lisansı sahibi tüzel kişiler ile tedarik lisansına toplayıcılık faaliyeti dercedilen tüzel kişiler, dengeden sorumlu grubun üyesi ya da grubun tarafı olamaz.”</w:t>
      </w:r>
    </w:p>
    <w:p w14:paraId="687E9F90" w14:textId="77777777" w:rsidR="00750EA4" w:rsidRPr="002048A7" w:rsidRDefault="00750EA4" w:rsidP="0085216E">
      <w:pPr>
        <w:pStyle w:val="ListeParagraf"/>
        <w:spacing w:after="0"/>
        <w:ind w:left="1440"/>
        <w:rPr>
          <w:rFonts w:ascii="Calibri" w:hAnsi="Calibri"/>
          <w:i/>
        </w:rPr>
      </w:pPr>
    </w:p>
    <w:p w14:paraId="5CBC4754" w14:textId="77777777" w:rsidR="00750EA4" w:rsidRDefault="00750EA4" w:rsidP="0025080A">
      <w:pPr>
        <w:pStyle w:val="ListeParagraf"/>
        <w:numPr>
          <w:ilvl w:val="0"/>
          <w:numId w:val="21"/>
        </w:numPr>
        <w:spacing w:after="0"/>
        <w:rPr>
          <w:rFonts w:ascii="Calibri" w:hAnsi="Calibri"/>
          <w:iCs/>
        </w:rPr>
      </w:pPr>
      <w:r w:rsidRPr="00750EA4">
        <w:rPr>
          <w:rFonts w:ascii="Calibri" w:hAnsi="Calibri"/>
          <w:iCs/>
        </w:rPr>
        <w:t>21 inci maddesinin ikinci fıkrasına aşağıdaki bentler eklenmiştir.</w:t>
      </w:r>
    </w:p>
    <w:p w14:paraId="3E09508F" w14:textId="77777777" w:rsidR="00750EA4" w:rsidRPr="002048A7" w:rsidRDefault="00750EA4" w:rsidP="00750EA4">
      <w:pPr>
        <w:pStyle w:val="ListeParagraf"/>
        <w:spacing w:after="0"/>
        <w:ind w:left="1440"/>
        <w:rPr>
          <w:rFonts w:ascii="Calibri" w:hAnsi="Calibri"/>
          <w:iCs/>
        </w:rPr>
      </w:pPr>
    </w:p>
    <w:p w14:paraId="06645F23" w14:textId="77777777" w:rsidR="00750EA4" w:rsidRPr="00750EA4" w:rsidRDefault="00750EA4" w:rsidP="00750EA4">
      <w:pPr>
        <w:pStyle w:val="ListeParagraf"/>
        <w:spacing w:after="0"/>
        <w:ind w:left="1440"/>
        <w:rPr>
          <w:rFonts w:ascii="Calibri" w:hAnsi="Calibri"/>
          <w:i/>
        </w:rPr>
      </w:pPr>
      <w:r w:rsidRPr="00750EA4">
        <w:rPr>
          <w:rFonts w:ascii="Calibri" w:hAnsi="Calibri"/>
          <w:i/>
        </w:rPr>
        <w:t>“</w:t>
      </w:r>
      <w:proofErr w:type="gramStart"/>
      <w:r w:rsidRPr="00750EA4">
        <w:rPr>
          <w:rFonts w:ascii="Calibri" w:hAnsi="Calibri"/>
          <w:i/>
        </w:rPr>
        <w:t>ğ</w:t>
      </w:r>
      <w:proofErr w:type="gramEnd"/>
      <w:r w:rsidRPr="00750EA4">
        <w:rPr>
          <w:rFonts w:ascii="Calibri" w:hAnsi="Calibri"/>
          <w:i/>
        </w:rPr>
        <w:t>) On yıl alım garantisini doldurmuş olan ve kaynak bazında bir araya getirilen lisanssız elektrik üretim tesis veya tesislerinden kaynak bazında bir araya getirilebilen ve dengeleme bölgesi bazında oluşturulan topluluk.</w:t>
      </w:r>
    </w:p>
    <w:p w14:paraId="53A26561" w14:textId="77777777" w:rsidR="00750EA4" w:rsidRPr="00750EA4" w:rsidRDefault="00750EA4" w:rsidP="00750EA4">
      <w:pPr>
        <w:pStyle w:val="ListeParagraf"/>
        <w:spacing w:after="0"/>
        <w:ind w:left="1440"/>
        <w:rPr>
          <w:rFonts w:ascii="Calibri" w:hAnsi="Calibri"/>
          <w:i/>
        </w:rPr>
      </w:pPr>
      <w:r w:rsidRPr="00750EA4">
        <w:rPr>
          <w:rFonts w:ascii="Calibri" w:hAnsi="Calibri"/>
          <w:i/>
        </w:rPr>
        <w:t>h) Dengeleme birimi olmayan lisanslı üretim tesislerinin toplayıcılık faaliyeti kapsamında dengeleme güç piyasası ve/veya yan hizmetlere katılımı için dengeleme bölgesi bazında oluşturulan topluluk.</w:t>
      </w:r>
    </w:p>
    <w:p w14:paraId="181825C3" w14:textId="77777777" w:rsidR="00750EA4" w:rsidRDefault="00750EA4" w:rsidP="00750EA4">
      <w:pPr>
        <w:pStyle w:val="ListeParagraf"/>
        <w:spacing w:after="0"/>
        <w:ind w:left="1440"/>
        <w:rPr>
          <w:rFonts w:ascii="Calibri" w:hAnsi="Calibri"/>
          <w:i/>
        </w:rPr>
      </w:pPr>
      <w:r w:rsidRPr="00750EA4">
        <w:rPr>
          <w:rFonts w:ascii="Calibri" w:hAnsi="Calibri"/>
          <w:i/>
        </w:rPr>
        <w:t>ı) TEİAŞ tarafından belirlenen kriterlerin sağlanması kaydıyla tüketim tesislerinin bir araya getirilerek toplayıcılık faaliyeti kapsamında dengeleme güç piyasası ve/veya yan hizmetlere katılımı için dengeleme bölgesi bazında oluşturulan topluluk.”</w:t>
      </w:r>
    </w:p>
    <w:p w14:paraId="716D766A" w14:textId="77777777" w:rsidR="002806A0" w:rsidRDefault="002806A0" w:rsidP="0085216E">
      <w:pPr>
        <w:pStyle w:val="ListeParagraf"/>
        <w:spacing w:after="0"/>
        <w:ind w:left="1440"/>
        <w:rPr>
          <w:rFonts w:ascii="Calibri" w:hAnsi="Calibri"/>
          <w:i/>
        </w:rPr>
      </w:pPr>
    </w:p>
    <w:p w14:paraId="0F64B2C7" w14:textId="77777777" w:rsidR="00750EA4" w:rsidRDefault="00A9507E" w:rsidP="0025080A">
      <w:pPr>
        <w:pStyle w:val="ListeParagraf"/>
        <w:numPr>
          <w:ilvl w:val="0"/>
          <w:numId w:val="21"/>
        </w:numPr>
        <w:spacing w:after="0"/>
        <w:rPr>
          <w:rFonts w:ascii="Calibri" w:hAnsi="Calibri"/>
          <w:iCs/>
        </w:rPr>
      </w:pPr>
      <w:proofErr w:type="gramStart"/>
      <w:r w:rsidRPr="00A9507E">
        <w:rPr>
          <w:rFonts w:ascii="Calibri" w:hAnsi="Calibri"/>
          <w:iCs/>
        </w:rPr>
        <w:t>22 nci</w:t>
      </w:r>
      <w:proofErr w:type="gramEnd"/>
      <w:r w:rsidRPr="00A9507E">
        <w:rPr>
          <w:rFonts w:ascii="Calibri" w:hAnsi="Calibri"/>
          <w:iCs/>
        </w:rPr>
        <w:t xml:space="preserve"> maddesinin ikinci ve dördüncü fıkraları aşağıdaki şekilde değiştirilmiş, aynı maddeye aşağıdaki fıkra eklenmiştir.</w:t>
      </w:r>
    </w:p>
    <w:p w14:paraId="252B2FEC" w14:textId="77777777" w:rsidR="00750EA4" w:rsidRPr="002048A7" w:rsidRDefault="00750EA4" w:rsidP="00750EA4">
      <w:pPr>
        <w:pStyle w:val="ListeParagraf"/>
        <w:spacing w:after="0"/>
        <w:ind w:left="1440"/>
        <w:rPr>
          <w:rFonts w:ascii="Calibri" w:hAnsi="Calibri"/>
          <w:iCs/>
        </w:rPr>
      </w:pPr>
    </w:p>
    <w:p w14:paraId="04DA29FC" w14:textId="77777777" w:rsidR="00A9507E" w:rsidRPr="00A9507E" w:rsidRDefault="00A9507E" w:rsidP="00A9507E">
      <w:pPr>
        <w:pStyle w:val="ListeParagraf"/>
        <w:spacing w:after="0"/>
        <w:ind w:left="1440"/>
        <w:rPr>
          <w:rFonts w:ascii="Calibri" w:hAnsi="Calibri"/>
          <w:i/>
        </w:rPr>
      </w:pPr>
      <w:r w:rsidRPr="00A9507E">
        <w:rPr>
          <w:rFonts w:ascii="Calibri" w:hAnsi="Calibri"/>
          <w:i/>
        </w:rPr>
        <w:t>“(2) Bağımsız olarak yük alabilen, yük atabilen ve ilgili mevzuat hükümleri doğrultusunda tesis edilmiş sayaçlar vasıtasıyla uzlaştırma dönemi bazında bağımsız olarak ölçülebilen üretim, tüketim ya da elektrik depolama tesislerinden ya da ünitelerden aşağıdakilerden her biri bir dengeleme birimidir:</w:t>
      </w:r>
    </w:p>
    <w:p w14:paraId="40895355" w14:textId="77777777" w:rsidR="00A9507E" w:rsidRPr="00A9507E" w:rsidRDefault="00A9507E" w:rsidP="00A9507E">
      <w:pPr>
        <w:pStyle w:val="ListeParagraf"/>
        <w:spacing w:after="0"/>
        <w:ind w:left="1440"/>
        <w:rPr>
          <w:rFonts w:ascii="Calibri" w:hAnsi="Calibri"/>
          <w:i/>
        </w:rPr>
      </w:pPr>
      <w:r w:rsidRPr="00A9507E">
        <w:rPr>
          <w:rFonts w:ascii="Calibri" w:hAnsi="Calibri"/>
          <w:i/>
        </w:rPr>
        <w:t>a) Lisanslı üretim tesisleri veya bu üretim tesislerine ait üniteler.</w:t>
      </w:r>
    </w:p>
    <w:p w14:paraId="6F4EB2DA" w14:textId="77777777" w:rsidR="00A9507E" w:rsidRPr="00A9507E" w:rsidRDefault="00A9507E" w:rsidP="00A9507E">
      <w:pPr>
        <w:pStyle w:val="ListeParagraf"/>
        <w:spacing w:after="0"/>
        <w:ind w:left="1440"/>
        <w:rPr>
          <w:rFonts w:ascii="Calibri" w:hAnsi="Calibri"/>
          <w:i/>
        </w:rPr>
      </w:pPr>
      <w:r w:rsidRPr="00A9507E">
        <w:rPr>
          <w:rFonts w:ascii="Calibri" w:hAnsi="Calibri"/>
          <w:i/>
        </w:rPr>
        <w:t>b) Tüketimi Sistem İşletmecisi tarafından verilecek talimatlarla değiştirilebilecek ya da devreden çıkarılabilecek nitelikteki, adına kayıtlı bulunduğu piyasa katılımcısı tarafından talep edilen ve katılımı Sistem İşletmecisi tarafından uygun bulunan tüketim tesisleri.</w:t>
      </w:r>
    </w:p>
    <w:p w14:paraId="39304045" w14:textId="77777777" w:rsidR="00A9507E" w:rsidRPr="00A9507E" w:rsidRDefault="00A9507E" w:rsidP="00A9507E">
      <w:pPr>
        <w:pStyle w:val="ListeParagraf"/>
        <w:spacing w:after="0"/>
        <w:ind w:left="1440"/>
        <w:rPr>
          <w:rFonts w:ascii="Calibri" w:hAnsi="Calibri"/>
          <w:i/>
        </w:rPr>
      </w:pPr>
      <w:r w:rsidRPr="00A9507E">
        <w:rPr>
          <w:rFonts w:ascii="Calibri" w:hAnsi="Calibri"/>
          <w:i/>
        </w:rPr>
        <w:t>c) Adına kayıtlı bulunduğu piyasa katılımcısı tarafından talep edilen ve katılımı Sistem İşletmecisi tarafından uygun bulunan elektrik depolama ünitesi veya tesisleri.”</w:t>
      </w:r>
    </w:p>
    <w:p w14:paraId="0B1E6046" w14:textId="77777777" w:rsidR="00A9507E" w:rsidRPr="00A9507E" w:rsidRDefault="00A9507E" w:rsidP="00A9507E">
      <w:pPr>
        <w:pStyle w:val="ListeParagraf"/>
        <w:spacing w:after="0"/>
        <w:ind w:left="1440"/>
        <w:rPr>
          <w:rFonts w:ascii="Calibri" w:hAnsi="Calibri"/>
          <w:i/>
        </w:rPr>
      </w:pPr>
      <w:r w:rsidRPr="00A9507E">
        <w:rPr>
          <w:rFonts w:ascii="Calibri" w:hAnsi="Calibri"/>
          <w:i/>
        </w:rPr>
        <w:t>“(4) Aşağıdaki üretim tesisleri dengeleme birimi olma yükümlülüğünden muaf olup, ilgili piyasa katılımcısı tarafından talep edilmesi ve Sistem İşletmecisi tarafından uygun bulunması halinde dengeleme birimi olabilirler;</w:t>
      </w:r>
    </w:p>
    <w:p w14:paraId="276022AA" w14:textId="77777777" w:rsidR="00A9507E" w:rsidRPr="00A9507E" w:rsidRDefault="00A9507E" w:rsidP="00A9507E">
      <w:pPr>
        <w:pStyle w:val="ListeParagraf"/>
        <w:spacing w:after="0"/>
        <w:ind w:left="1440"/>
        <w:rPr>
          <w:rFonts w:ascii="Calibri" w:hAnsi="Calibri"/>
          <w:i/>
        </w:rPr>
      </w:pPr>
      <w:r w:rsidRPr="00A9507E">
        <w:rPr>
          <w:rFonts w:ascii="Calibri" w:hAnsi="Calibri"/>
          <w:i/>
        </w:rPr>
        <w:t>a) Kanal veya nehir tipi hidroelektrik üretim tesisleri,</w:t>
      </w:r>
    </w:p>
    <w:p w14:paraId="2E1EA74E" w14:textId="77777777" w:rsidR="00A9507E" w:rsidRPr="00A9507E" w:rsidRDefault="00A9507E" w:rsidP="00A9507E">
      <w:pPr>
        <w:pStyle w:val="ListeParagraf"/>
        <w:spacing w:after="0"/>
        <w:ind w:left="1440"/>
        <w:rPr>
          <w:rFonts w:ascii="Calibri" w:hAnsi="Calibri"/>
          <w:i/>
        </w:rPr>
      </w:pPr>
      <w:r w:rsidRPr="00A9507E">
        <w:rPr>
          <w:rFonts w:ascii="Calibri" w:hAnsi="Calibri"/>
          <w:i/>
        </w:rPr>
        <w:t xml:space="preserve">b) </w:t>
      </w:r>
      <w:proofErr w:type="gramStart"/>
      <w:r w:rsidRPr="00A9507E">
        <w:rPr>
          <w:rFonts w:ascii="Calibri" w:hAnsi="Calibri"/>
          <w:i/>
        </w:rPr>
        <w:t>Rüzgar</w:t>
      </w:r>
      <w:proofErr w:type="gramEnd"/>
      <w:r w:rsidRPr="00A9507E">
        <w:rPr>
          <w:rFonts w:ascii="Calibri" w:hAnsi="Calibri"/>
          <w:i/>
        </w:rPr>
        <w:t xml:space="preserve"> enerjisine dayalı üretim tesisleri,</w:t>
      </w:r>
    </w:p>
    <w:p w14:paraId="6905231D" w14:textId="77777777" w:rsidR="00A9507E" w:rsidRPr="00A9507E" w:rsidRDefault="00A9507E" w:rsidP="00A9507E">
      <w:pPr>
        <w:pStyle w:val="ListeParagraf"/>
        <w:spacing w:after="0"/>
        <w:ind w:left="1440"/>
        <w:rPr>
          <w:rFonts w:ascii="Calibri" w:hAnsi="Calibri"/>
          <w:i/>
        </w:rPr>
      </w:pPr>
      <w:r w:rsidRPr="00A9507E">
        <w:rPr>
          <w:rFonts w:ascii="Calibri" w:hAnsi="Calibri"/>
          <w:i/>
        </w:rPr>
        <w:t>c) Güneş enerjisine dayalı üretim tesisleri,</w:t>
      </w:r>
    </w:p>
    <w:p w14:paraId="05211031" w14:textId="77777777" w:rsidR="00A9507E" w:rsidRPr="00A9507E" w:rsidRDefault="00A9507E" w:rsidP="00A9507E">
      <w:pPr>
        <w:pStyle w:val="ListeParagraf"/>
        <w:spacing w:after="0"/>
        <w:ind w:left="1440"/>
        <w:rPr>
          <w:rFonts w:ascii="Calibri" w:hAnsi="Calibri"/>
          <w:i/>
        </w:rPr>
      </w:pPr>
      <w:proofErr w:type="gramStart"/>
      <w:r w:rsidRPr="00A9507E">
        <w:rPr>
          <w:rFonts w:ascii="Calibri" w:hAnsi="Calibri"/>
          <w:i/>
        </w:rPr>
        <w:t>ç</w:t>
      </w:r>
      <w:proofErr w:type="gramEnd"/>
      <w:r w:rsidRPr="00A9507E">
        <w:rPr>
          <w:rFonts w:ascii="Calibri" w:hAnsi="Calibri"/>
          <w:i/>
        </w:rPr>
        <w:t>) Dalga enerjisine dayalı üretim tesisleri,</w:t>
      </w:r>
    </w:p>
    <w:p w14:paraId="6076D68E" w14:textId="77777777" w:rsidR="00A9507E" w:rsidRPr="00A9507E" w:rsidRDefault="00A9507E" w:rsidP="00A9507E">
      <w:pPr>
        <w:pStyle w:val="ListeParagraf"/>
        <w:spacing w:after="0"/>
        <w:ind w:left="1440"/>
        <w:rPr>
          <w:rFonts w:ascii="Calibri" w:hAnsi="Calibri"/>
          <w:i/>
        </w:rPr>
      </w:pPr>
      <w:r w:rsidRPr="00A9507E">
        <w:rPr>
          <w:rFonts w:ascii="Calibri" w:hAnsi="Calibri"/>
          <w:i/>
        </w:rPr>
        <w:t>d) Gel-git enerjisine dayalı üretim tesisleri,</w:t>
      </w:r>
    </w:p>
    <w:p w14:paraId="4A11EC9D" w14:textId="77777777" w:rsidR="00A9507E" w:rsidRPr="00A9507E" w:rsidRDefault="00A9507E" w:rsidP="00A9507E">
      <w:pPr>
        <w:pStyle w:val="ListeParagraf"/>
        <w:spacing w:after="0"/>
        <w:ind w:left="1440"/>
        <w:rPr>
          <w:rFonts w:ascii="Calibri" w:hAnsi="Calibri"/>
          <w:i/>
        </w:rPr>
      </w:pPr>
      <w:r w:rsidRPr="00A9507E">
        <w:rPr>
          <w:rFonts w:ascii="Calibri" w:hAnsi="Calibri"/>
          <w:i/>
        </w:rPr>
        <w:t>e) Kojenerasyon tesisleri,</w:t>
      </w:r>
    </w:p>
    <w:p w14:paraId="2CAF1382" w14:textId="77777777" w:rsidR="00A9507E" w:rsidRPr="00A9507E" w:rsidRDefault="00A9507E" w:rsidP="00A9507E">
      <w:pPr>
        <w:pStyle w:val="ListeParagraf"/>
        <w:spacing w:after="0"/>
        <w:ind w:left="1440"/>
        <w:rPr>
          <w:rFonts w:ascii="Calibri" w:hAnsi="Calibri"/>
          <w:i/>
        </w:rPr>
      </w:pPr>
      <w:r w:rsidRPr="00A9507E">
        <w:rPr>
          <w:rFonts w:ascii="Calibri" w:hAnsi="Calibri"/>
          <w:i/>
        </w:rPr>
        <w:t>f) Jeotermal üretim tesisleri,</w:t>
      </w:r>
    </w:p>
    <w:p w14:paraId="538C3F36" w14:textId="77777777" w:rsidR="00A9507E" w:rsidRPr="00A9507E" w:rsidRDefault="00A9507E" w:rsidP="00A9507E">
      <w:pPr>
        <w:pStyle w:val="ListeParagraf"/>
        <w:spacing w:after="0"/>
        <w:ind w:left="1440"/>
        <w:rPr>
          <w:rFonts w:ascii="Calibri" w:hAnsi="Calibri"/>
          <w:i/>
        </w:rPr>
      </w:pPr>
      <w:r w:rsidRPr="00A9507E">
        <w:rPr>
          <w:rFonts w:ascii="Calibri" w:hAnsi="Calibri"/>
          <w:i/>
        </w:rPr>
        <w:t>g) Biyokütleye dayalı üretim tesisleri,</w:t>
      </w:r>
    </w:p>
    <w:p w14:paraId="4661E46A" w14:textId="77777777" w:rsidR="00A9507E" w:rsidRPr="00A9507E" w:rsidRDefault="00A9507E" w:rsidP="00A9507E">
      <w:pPr>
        <w:pStyle w:val="ListeParagraf"/>
        <w:spacing w:after="0"/>
        <w:ind w:left="1440"/>
        <w:rPr>
          <w:rFonts w:ascii="Calibri" w:hAnsi="Calibri"/>
          <w:i/>
        </w:rPr>
      </w:pPr>
      <w:proofErr w:type="gramStart"/>
      <w:r w:rsidRPr="00A9507E">
        <w:rPr>
          <w:rFonts w:ascii="Calibri" w:hAnsi="Calibri"/>
          <w:i/>
        </w:rPr>
        <w:lastRenderedPageBreak/>
        <w:t>ğ</w:t>
      </w:r>
      <w:proofErr w:type="gramEnd"/>
      <w:r w:rsidRPr="00A9507E">
        <w:rPr>
          <w:rFonts w:ascii="Calibri" w:hAnsi="Calibri"/>
          <w:i/>
        </w:rPr>
        <w:t>) Toplayıcı tarafından dengeleme bölgesi bazında talep edilen ve bağımsız olarak yük alabilen ve/veya yük atabilen lisanslı elektrik üretim tesisleri topluluğu,</w:t>
      </w:r>
    </w:p>
    <w:p w14:paraId="3484A2A1" w14:textId="77777777" w:rsidR="00A9507E" w:rsidRPr="00A9507E" w:rsidRDefault="00A9507E" w:rsidP="00A9507E">
      <w:pPr>
        <w:pStyle w:val="ListeParagraf"/>
        <w:spacing w:after="0"/>
        <w:ind w:left="1440"/>
        <w:rPr>
          <w:rFonts w:ascii="Calibri" w:hAnsi="Calibri"/>
          <w:i/>
        </w:rPr>
      </w:pPr>
      <w:r w:rsidRPr="00A9507E">
        <w:rPr>
          <w:rFonts w:ascii="Calibri" w:hAnsi="Calibri"/>
          <w:i/>
        </w:rPr>
        <w:t>h) Toplayıcı tarafından dengeleme bölgesi bazında talep edilen ve bağımsız olarak yük alabilen ve/veya yük atabilen lisanssız elektrik üretim tesisleri topluluğu,</w:t>
      </w:r>
    </w:p>
    <w:p w14:paraId="5F5FD872" w14:textId="77777777" w:rsidR="00A9507E" w:rsidRPr="00A9507E" w:rsidRDefault="00A9507E" w:rsidP="00A9507E">
      <w:pPr>
        <w:pStyle w:val="ListeParagraf"/>
        <w:spacing w:after="0"/>
        <w:ind w:left="1440"/>
        <w:rPr>
          <w:rFonts w:ascii="Calibri" w:hAnsi="Calibri"/>
          <w:i/>
        </w:rPr>
      </w:pPr>
      <w:r w:rsidRPr="00A9507E">
        <w:rPr>
          <w:rFonts w:ascii="Calibri" w:hAnsi="Calibri"/>
          <w:i/>
        </w:rPr>
        <w:t>ı) Toplayıcı tarafından dengeleme bölgesi bazında talep edilen ve bağımsız olarak yük alabilen ve/veya yük atabilen tüketim tesisleri topluluğu.”</w:t>
      </w:r>
    </w:p>
    <w:p w14:paraId="7AFF8512" w14:textId="77777777" w:rsidR="00750EA4" w:rsidRDefault="00A9507E" w:rsidP="00A9507E">
      <w:pPr>
        <w:pStyle w:val="ListeParagraf"/>
        <w:spacing w:after="0"/>
        <w:ind w:left="1440"/>
        <w:rPr>
          <w:rFonts w:ascii="Calibri" w:hAnsi="Calibri"/>
          <w:i/>
        </w:rPr>
      </w:pPr>
      <w:r w:rsidRPr="00A9507E">
        <w:rPr>
          <w:rFonts w:ascii="Calibri" w:hAnsi="Calibri"/>
          <w:i/>
        </w:rPr>
        <w:t>“(9) Halihazırda dengeleme birimi olan ya da dengeleme birimi olarak yeni kaydedilecek olan üretim tesisleri veya bu üretim tesislerine ait üniteler ile aynı ölçüm noktasında kurulan yardımcı kaynak ünitelerinin dengeleme birimi kaydı, yardımcı kaynağı olmayan tesisler veya bu üretim tesislerine ait ünitelerin kaydı ile aynı şekilde gerçekleştirilir. Yardımcı kaynağın, ana kaynağa dayalı üretim tesisleri veya bu üretim tesislerine ait üniteler ile farklı ölçüm noktasında kurulması halinde yardımcı kaynak üniteleri, ana kaynağa dayalı tesisin ünitesine ait dengeleme birimi altına kaydedilir. İlgili ölçüm noktası, piyasa katılımcısı tarafından talep edilmesi ve Sistem İşletmecisi tarafından uygun bulunması halinde ayrı bir uzlaştırmaya esas veriş-çekiş birimi olarak kaydedilebilir.”</w:t>
      </w:r>
    </w:p>
    <w:p w14:paraId="37A106D0" w14:textId="77777777" w:rsidR="00A9507E" w:rsidRDefault="00A9507E" w:rsidP="00A9507E">
      <w:pPr>
        <w:pStyle w:val="ListeParagraf"/>
        <w:spacing w:after="0"/>
        <w:ind w:left="1440"/>
        <w:rPr>
          <w:rFonts w:ascii="Calibri" w:hAnsi="Calibri"/>
          <w:i/>
        </w:rPr>
      </w:pPr>
    </w:p>
    <w:p w14:paraId="378F3C65" w14:textId="77777777" w:rsidR="00A9507E" w:rsidRDefault="00A9507E" w:rsidP="0025080A">
      <w:pPr>
        <w:pStyle w:val="ListeParagraf"/>
        <w:numPr>
          <w:ilvl w:val="0"/>
          <w:numId w:val="21"/>
        </w:numPr>
        <w:spacing w:after="0"/>
        <w:rPr>
          <w:rFonts w:ascii="Calibri" w:hAnsi="Calibri"/>
          <w:iCs/>
        </w:rPr>
      </w:pPr>
      <w:proofErr w:type="gramStart"/>
      <w:r w:rsidRPr="00A9507E">
        <w:rPr>
          <w:rFonts w:ascii="Calibri" w:hAnsi="Calibri"/>
          <w:iCs/>
        </w:rPr>
        <w:t>24 üncü</w:t>
      </w:r>
      <w:proofErr w:type="gramEnd"/>
      <w:r w:rsidRPr="00A9507E">
        <w:rPr>
          <w:rFonts w:ascii="Calibri" w:hAnsi="Calibri"/>
          <w:iCs/>
        </w:rPr>
        <w:t xml:space="preserve"> maddesinin birinci fıkrasının (e) bendi aşağıdaki şekilde değiştirilmiş ve aynı fıkraya aşağıdaki bent eklenmiştir.</w:t>
      </w:r>
    </w:p>
    <w:p w14:paraId="0D0CB893" w14:textId="77777777" w:rsidR="00A9507E" w:rsidRPr="002048A7" w:rsidRDefault="00A9507E" w:rsidP="00A9507E">
      <w:pPr>
        <w:pStyle w:val="ListeParagraf"/>
        <w:spacing w:after="0"/>
        <w:ind w:left="1440"/>
        <w:rPr>
          <w:rFonts w:ascii="Calibri" w:hAnsi="Calibri"/>
          <w:iCs/>
        </w:rPr>
      </w:pPr>
    </w:p>
    <w:p w14:paraId="3C1196A0" w14:textId="77777777" w:rsidR="00A9507E" w:rsidRPr="00A9507E" w:rsidRDefault="00A9507E" w:rsidP="00A9507E">
      <w:pPr>
        <w:pStyle w:val="ListeParagraf"/>
        <w:spacing w:after="0"/>
        <w:ind w:left="1440"/>
        <w:rPr>
          <w:rFonts w:ascii="Calibri" w:hAnsi="Calibri"/>
          <w:i/>
        </w:rPr>
      </w:pPr>
      <w:r w:rsidRPr="00A9507E">
        <w:rPr>
          <w:rFonts w:ascii="Calibri" w:hAnsi="Calibri"/>
          <w:i/>
        </w:rPr>
        <w:t>“</w:t>
      </w:r>
      <w:proofErr w:type="gramStart"/>
      <w:r w:rsidRPr="00A9507E">
        <w:rPr>
          <w:rFonts w:ascii="Calibri" w:hAnsi="Calibri"/>
          <w:i/>
        </w:rPr>
        <w:t>e</w:t>
      </w:r>
      <w:proofErr w:type="gramEnd"/>
      <w:r w:rsidRPr="00A9507E">
        <w:rPr>
          <w:rFonts w:ascii="Calibri" w:hAnsi="Calibri"/>
          <w:i/>
        </w:rPr>
        <w:t>) Piyasa katılımcılarının gün öncesi piyasası, gün içi piyasası ve vadeli elektrik piyasası katılımlarına,”</w:t>
      </w:r>
    </w:p>
    <w:p w14:paraId="09CC4CF3" w14:textId="77777777" w:rsidR="00A9507E" w:rsidRDefault="00A9507E" w:rsidP="00A9507E">
      <w:pPr>
        <w:pStyle w:val="ListeParagraf"/>
        <w:spacing w:after="0"/>
        <w:ind w:left="1440"/>
        <w:rPr>
          <w:rFonts w:ascii="Calibri" w:hAnsi="Calibri"/>
          <w:i/>
        </w:rPr>
      </w:pPr>
      <w:r w:rsidRPr="00A9507E">
        <w:rPr>
          <w:rFonts w:ascii="Calibri" w:hAnsi="Calibri"/>
          <w:i/>
        </w:rPr>
        <w:t>“</w:t>
      </w:r>
      <w:proofErr w:type="gramStart"/>
      <w:r w:rsidRPr="00A9507E">
        <w:rPr>
          <w:rFonts w:ascii="Calibri" w:hAnsi="Calibri"/>
          <w:i/>
        </w:rPr>
        <w:t>g</w:t>
      </w:r>
      <w:proofErr w:type="gramEnd"/>
      <w:r w:rsidRPr="00A9507E">
        <w:rPr>
          <w:rFonts w:ascii="Calibri" w:hAnsi="Calibri"/>
          <w:i/>
        </w:rPr>
        <w:t>) Toplayıcılık faaliyeti kapsamındaki üretim, elektrik depolama ve/veya tüketim tesislerine,”</w:t>
      </w:r>
    </w:p>
    <w:p w14:paraId="7DB0AB10" w14:textId="77777777" w:rsidR="00A9507E" w:rsidRPr="00750EA4" w:rsidRDefault="00A9507E" w:rsidP="00A9507E">
      <w:pPr>
        <w:pStyle w:val="ListeParagraf"/>
        <w:spacing w:after="0"/>
        <w:ind w:left="1440"/>
        <w:rPr>
          <w:rFonts w:ascii="Calibri" w:hAnsi="Calibri"/>
          <w:i/>
        </w:rPr>
      </w:pPr>
    </w:p>
    <w:p w14:paraId="7D9F8C21" w14:textId="77777777" w:rsidR="00A9507E" w:rsidRDefault="00A9507E" w:rsidP="0025080A">
      <w:pPr>
        <w:pStyle w:val="ListeParagraf"/>
        <w:numPr>
          <w:ilvl w:val="0"/>
          <w:numId w:val="21"/>
        </w:numPr>
        <w:spacing w:after="0"/>
        <w:rPr>
          <w:rFonts w:ascii="Calibri" w:hAnsi="Calibri"/>
          <w:iCs/>
        </w:rPr>
      </w:pPr>
      <w:proofErr w:type="gramStart"/>
      <w:r w:rsidRPr="00A9507E">
        <w:rPr>
          <w:rFonts w:ascii="Calibri" w:hAnsi="Calibri"/>
          <w:iCs/>
        </w:rPr>
        <w:t>26 ncı</w:t>
      </w:r>
      <w:proofErr w:type="gramEnd"/>
      <w:r w:rsidRPr="00A9507E">
        <w:rPr>
          <w:rFonts w:ascii="Calibri" w:hAnsi="Calibri"/>
          <w:iCs/>
        </w:rPr>
        <w:t xml:space="preserve"> maddesinin ikinci ve dördüncü fıkraları aşağıdaki şekilde değiştirilmiştir.</w:t>
      </w:r>
    </w:p>
    <w:p w14:paraId="6CCFCFFD" w14:textId="77777777" w:rsidR="00A9507E" w:rsidRPr="002048A7" w:rsidRDefault="00A9507E" w:rsidP="00A9507E">
      <w:pPr>
        <w:pStyle w:val="ListeParagraf"/>
        <w:spacing w:after="0"/>
        <w:ind w:left="1440"/>
        <w:rPr>
          <w:rFonts w:ascii="Calibri" w:hAnsi="Calibri"/>
          <w:iCs/>
        </w:rPr>
      </w:pPr>
    </w:p>
    <w:p w14:paraId="7B6AFC71" w14:textId="77777777" w:rsidR="00A9507E" w:rsidRPr="00A9507E" w:rsidRDefault="00A9507E" w:rsidP="00A9507E">
      <w:pPr>
        <w:pStyle w:val="ListeParagraf"/>
        <w:spacing w:after="0"/>
        <w:ind w:left="1440"/>
        <w:rPr>
          <w:rFonts w:ascii="Calibri" w:hAnsi="Calibri"/>
          <w:i/>
        </w:rPr>
      </w:pPr>
      <w:r w:rsidRPr="00A9507E">
        <w:rPr>
          <w:rFonts w:ascii="Calibri" w:hAnsi="Calibri"/>
          <w:i/>
        </w:rPr>
        <w:t>“(2) Tedarik veya toplayıcı lisansı alan piyasa katılımcıları lisans yürürlük tarihlerini takip eden 15 iş günü içerisinde Piyasa İşletmecisine tüzel kişilik kayıt başvurusunda bulunur.”</w:t>
      </w:r>
    </w:p>
    <w:p w14:paraId="52636BAB" w14:textId="77777777" w:rsidR="00750EA4" w:rsidRDefault="00A9507E" w:rsidP="00A9507E">
      <w:pPr>
        <w:pStyle w:val="ListeParagraf"/>
        <w:spacing w:after="0"/>
        <w:ind w:left="1440"/>
        <w:rPr>
          <w:rFonts w:ascii="Calibri" w:hAnsi="Calibri"/>
          <w:i/>
        </w:rPr>
      </w:pPr>
      <w:r w:rsidRPr="00A9507E">
        <w:rPr>
          <w:rFonts w:ascii="Calibri" w:hAnsi="Calibri"/>
          <w:i/>
        </w:rPr>
        <w:t>“(4) Piyasa katılımcılarının, onaylanmak üzere tüzel kişilik bilgilerini PYS’ye girmeleri zorunludur. PYS’de onaylanmak üzere tüzel kişilik bilgileri bulunmayan piyasa katılımcılarının kayıt müracaatları işleme konmaz ve bu durum ilgili piyasa katılımcısına PYS üzerinden bildirilir. Kayıt süreci, piyasa katılımcılarının PYS’ye onaylanmak üzere tüzel kişilik bilgilerinin girilmesini müteakip başlar.”</w:t>
      </w:r>
    </w:p>
    <w:p w14:paraId="4B265942" w14:textId="77777777" w:rsidR="00A9507E" w:rsidRDefault="00A9507E" w:rsidP="00A9507E">
      <w:pPr>
        <w:pStyle w:val="ListeParagraf"/>
        <w:spacing w:after="0"/>
        <w:ind w:left="1440"/>
        <w:rPr>
          <w:rFonts w:ascii="Calibri" w:hAnsi="Calibri"/>
          <w:i/>
        </w:rPr>
      </w:pPr>
    </w:p>
    <w:p w14:paraId="193B2686" w14:textId="77777777" w:rsidR="00A9507E" w:rsidRDefault="00A9507E" w:rsidP="0025080A">
      <w:pPr>
        <w:pStyle w:val="ListeParagraf"/>
        <w:numPr>
          <w:ilvl w:val="0"/>
          <w:numId w:val="21"/>
        </w:numPr>
        <w:spacing w:after="0"/>
        <w:rPr>
          <w:rFonts w:ascii="Calibri" w:hAnsi="Calibri"/>
          <w:iCs/>
        </w:rPr>
      </w:pPr>
      <w:proofErr w:type="gramStart"/>
      <w:r w:rsidRPr="00A9507E">
        <w:rPr>
          <w:rFonts w:ascii="Calibri" w:hAnsi="Calibri"/>
          <w:iCs/>
        </w:rPr>
        <w:t>27 nci</w:t>
      </w:r>
      <w:proofErr w:type="gramEnd"/>
      <w:r w:rsidRPr="00A9507E">
        <w:rPr>
          <w:rFonts w:ascii="Calibri" w:hAnsi="Calibri"/>
          <w:iCs/>
        </w:rPr>
        <w:t xml:space="preserve"> maddesinin altıncı fıkrası aşağıdaki şekilde değiştirilmiştir.</w:t>
      </w:r>
    </w:p>
    <w:p w14:paraId="0D41AB97" w14:textId="77777777" w:rsidR="00A9507E" w:rsidRPr="002048A7" w:rsidRDefault="00A9507E" w:rsidP="00A9507E">
      <w:pPr>
        <w:pStyle w:val="ListeParagraf"/>
        <w:spacing w:after="0"/>
        <w:ind w:left="1440"/>
        <w:rPr>
          <w:rFonts w:ascii="Calibri" w:hAnsi="Calibri"/>
          <w:iCs/>
        </w:rPr>
      </w:pPr>
    </w:p>
    <w:p w14:paraId="2B606938" w14:textId="77777777" w:rsidR="00A9507E" w:rsidRDefault="00A9507E" w:rsidP="00A9507E">
      <w:pPr>
        <w:pStyle w:val="ListeParagraf"/>
        <w:spacing w:after="0"/>
        <w:ind w:left="1440"/>
        <w:rPr>
          <w:rFonts w:ascii="Calibri" w:hAnsi="Calibri"/>
          <w:i/>
        </w:rPr>
      </w:pPr>
      <w:r w:rsidRPr="00A9507E">
        <w:rPr>
          <w:rFonts w:ascii="Calibri" w:hAnsi="Calibri"/>
          <w:i/>
        </w:rPr>
        <w:t>“(6) Piyasa katılımcıları, ancak tüzel kişilik kayıt işlemlerinin tamamlanmasından sonra, kayıt sürecinin diğer aşamalarına geçebilir. Piyasa Katılım Anlaşmasını imzalamış ve tüzel kişilik kayıt sürecini tamamlamış olan bir tedarik ya da toplayıcı lisansı sahibi tüzel kişi niteliğindeki piyasa katılımcısı, dengeden sorumlu taraf olarak kaydedilir. Piyasa Katılım Anlaşmasını imzalamış ve tüzel kişilik kayıt sürecini tamamlamış diğer tüm piyasa katılımcılarının dengeden sorumlu taraf olarak kaydedilebilmeleri için sorumlu oldukları tüm uzlaştırmaya esas veriş-çekiş birimlerine ilişkin kayıtları tamamlamış olmaları esastır.”</w:t>
      </w:r>
    </w:p>
    <w:p w14:paraId="2CB14703" w14:textId="77777777" w:rsidR="00A9507E" w:rsidRDefault="00A9507E" w:rsidP="00A9507E">
      <w:pPr>
        <w:pStyle w:val="ListeParagraf"/>
        <w:spacing w:after="0"/>
        <w:ind w:left="1440"/>
        <w:rPr>
          <w:rFonts w:ascii="Calibri" w:hAnsi="Calibri"/>
          <w:i/>
        </w:rPr>
      </w:pPr>
    </w:p>
    <w:p w14:paraId="27FE0460" w14:textId="77777777" w:rsidR="00A9507E" w:rsidRDefault="00A9507E" w:rsidP="0025080A">
      <w:pPr>
        <w:pStyle w:val="ListeParagraf"/>
        <w:numPr>
          <w:ilvl w:val="0"/>
          <w:numId w:val="21"/>
        </w:numPr>
        <w:spacing w:after="0"/>
        <w:rPr>
          <w:rFonts w:ascii="Calibri" w:hAnsi="Calibri"/>
          <w:iCs/>
        </w:rPr>
      </w:pPr>
      <w:r w:rsidRPr="00A9507E">
        <w:rPr>
          <w:rFonts w:ascii="Calibri" w:hAnsi="Calibri"/>
          <w:iCs/>
        </w:rPr>
        <w:t>28 inci maddesinin birinci ve beşinci fıkraları aşağıdaki şekilde değiştirilmiştir.</w:t>
      </w:r>
    </w:p>
    <w:p w14:paraId="56FA98E3" w14:textId="77777777" w:rsidR="00A9507E" w:rsidRPr="002048A7" w:rsidRDefault="00A9507E" w:rsidP="00A9507E">
      <w:pPr>
        <w:pStyle w:val="ListeParagraf"/>
        <w:spacing w:after="0"/>
        <w:ind w:left="1440"/>
        <w:rPr>
          <w:rFonts w:ascii="Calibri" w:hAnsi="Calibri"/>
          <w:iCs/>
        </w:rPr>
      </w:pPr>
    </w:p>
    <w:p w14:paraId="66C81747" w14:textId="77777777" w:rsidR="00A9507E" w:rsidRPr="00A9507E" w:rsidRDefault="00A9507E" w:rsidP="00A9507E">
      <w:pPr>
        <w:pStyle w:val="ListeParagraf"/>
        <w:spacing w:after="0"/>
        <w:ind w:left="1440"/>
        <w:rPr>
          <w:rFonts w:ascii="Calibri" w:hAnsi="Calibri"/>
          <w:i/>
        </w:rPr>
      </w:pPr>
      <w:r w:rsidRPr="00A9507E">
        <w:rPr>
          <w:rFonts w:ascii="Calibri" w:hAnsi="Calibri"/>
          <w:i/>
        </w:rPr>
        <w:lastRenderedPageBreak/>
        <w:t>“(1) Piyasa katılımcıları, sorumlu oldukları uzlaştırmaya esas veriş-çekiş birimlerini Piyasa İşletmecisine kayıt ettirirken;</w:t>
      </w:r>
    </w:p>
    <w:p w14:paraId="2531DE54" w14:textId="77777777" w:rsidR="00A9507E" w:rsidRPr="00A9507E" w:rsidRDefault="00A9507E" w:rsidP="00A9507E">
      <w:pPr>
        <w:pStyle w:val="ListeParagraf"/>
        <w:spacing w:after="0"/>
        <w:ind w:left="1440"/>
        <w:rPr>
          <w:rFonts w:ascii="Calibri" w:hAnsi="Calibri"/>
          <w:i/>
        </w:rPr>
      </w:pPr>
      <w:r w:rsidRPr="00A9507E">
        <w:rPr>
          <w:rFonts w:ascii="Calibri" w:hAnsi="Calibri"/>
          <w:i/>
        </w:rPr>
        <w:t>a) Kayıt edilecek uzlaştırmaya esas veriş-çekiş birimlerine ait ölçüm ve bağlantı noktalarını gösteren ve ilgili dağıtım lisansı sahibi tüzel kişi ya da TEİAŞ tarafından onaylı tek hat şeması,</w:t>
      </w:r>
    </w:p>
    <w:p w14:paraId="052B06B3" w14:textId="77777777" w:rsidR="00A9507E" w:rsidRPr="00A9507E" w:rsidRDefault="00A9507E" w:rsidP="00A9507E">
      <w:pPr>
        <w:pStyle w:val="ListeParagraf"/>
        <w:spacing w:after="0"/>
        <w:ind w:left="1440"/>
        <w:rPr>
          <w:rFonts w:ascii="Calibri" w:hAnsi="Calibri"/>
          <w:i/>
        </w:rPr>
      </w:pPr>
      <w:r w:rsidRPr="00A9507E">
        <w:rPr>
          <w:rFonts w:ascii="Calibri" w:hAnsi="Calibri"/>
          <w:i/>
        </w:rPr>
        <w:t>b) Bağlantı anlaşmasının ve/veya sistem kullanım anlaşmasının birer kopyası,</w:t>
      </w:r>
    </w:p>
    <w:p w14:paraId="5EACADC2" w14:textId="77777777" w:rsidR="00A9507E" w:rsidRPr="00A9507E" w:rsidRDefault="00A9507E" w:rsidP="00A9507E">
      <w:pPr>
        <w:pStyle w:val="ListeParagraf"/>
        <w:spacing w:after="0"/>
        <w:ind w:left="1440"/>
        <w:rPr>
          <w:rFonts w:ascii="Calibri" w:hAnsi="Calibri"/>
          <w:i/>
        </w:rPr>
      </w:pPr>
      <w:r w:rsidRPr="00A9507E">
        <w:rPr>
          <w:rFonts w:ascii="Calibri" w:hAnsi="Calibri"/>
          <w:i/>
        </w:rPr>
        <w:t>c) Tüzel kişilik kaydı sırasında teslim edilmiş olanlar hariç olmak üzere, üretim tesislerine ait lisanslar ile depolamalı elektrik üretim tesisleri bünyesindeki elektrik depolama ünitesi, üretim tesisine bütünleşik elektrik depolama ünitesi veya müstakil elektrik depolama tesislerinin derç edildiği üretim veya tedarik lisanslarının temsil ve ilzama yetkili kişi veya kişilerce şirket kaşesi üzerine imzalanmış sureti,</w:t>
      </w:r>
    </w:p>
    <w:p w14:paraId="2192D62D" w14:textId="77777777" w:rsidR="00A9507E" w:rsidRPr="00A9507E" w:rsidRDefault="00A9507E" w:rsidP="00A9507E">
      <w:pPr>
        <w:pStyle w:val="ListeParagraf"/>
        <w:spacing w:after="0"/>
        <w:ind w:left="1440"/>
        <w:rPr>
          <w:rFonts w:ascii="Calibri" w:hAnsi="Calibri"/>
          <w:i/>
        </w:rPr>
      </w:pPr>
      <w:proofErr w:type="gramStart"/>
      <w:r w:rsidRPr="00A9507E">
        <w:rPr>
          <w:rFonts w:ascii="Calibri" w:hAnsi="Calibri"/>
          <w:i/>
        </w:rPr>
        <w:t>ç</w:t>
      </w:r>
      <w:proofErr w:type="gramEnd"/>
      <w:r w:rsidRPr="00A9507E">
        <w:rPr>
          <w:rFonts w:ascii="Calibri" w:hAnsi="Calibri"/>
          <w:i/>
        </w:rPr>
        <w:t>) Üretim tesisleri, depolamalı elektrik üretim tesisleri bünyesindeki elektrik depolama ünitesi, üretim tesisine bütünleşik elektrik depolama ünitesi ile müstakil elektrik depolama tesislerine ait kabul tutanağı,</w:t>
      </w:r>
    </w:p>
    <w:p w14:paraId="192F4901" w14:textId="77777777" w:rsidR="00A9507E" w:rsidRPr="00A9507E" w:rsidRDefault="00A9507E" w:rsidP="00A9507E">
      <w:pPr>
        <w:pStyle w:val="ListeParagraf"/>
        <w:spacing w:after="0"/>
        <w:ind w:left="1440"/>
        <w:rPr>
          <w:rFonts w:ascii="Calibri" w:hAnsi="Calibri"/>
          <w:i/>
        </w:rPr>
      </w:pPr>
      <w:r w:rsidRPr="00A9507E">
        <w:rPr>
          <w:rFonts w:ascii="Calibri" w:hAnsi="Calibri"/>
          <w:i/>
        </w:rPr>
        <w:t xml:space="preserve">d) </w:t>
      </w:r>
      <w:proofErr w:type="gramStart"/>
      <w:r w:rsidRPr="00A9507E">
        <w:rPr>
          <w:rFonts w:ascii="Calibri" w:hAnsi="Calibri"/>
          <w:i/>
        </w:rPr>
        <w:t>17 nci</w:t>
      </w:r>
      <w:proofErr w:type="gramEnd"/>
      <w:r w:rsidRPr="00A9507E">
        <w:rPr>
          <w:rFonts w:ascii="Calibri" w:hAnsi="Calibri"/>
          <w:i/>
        </w:rPr>
        <w:t xml:space="preserve"> maddenin ikinci fıkrasının (a) ve (b) bentleri uyarınca oluşturulacak kategoriler için dağıtım lisansı sahibi tüzel kişilerce belirlenmiş uzlaştırmaya esas veriş-çekiş birimi konfigürasyonları,</w:t>
      </w:r>
    </w:p>
    <w:p w14:paraId="461057DF" w14:textId="77777777" w:rsidR="00A9507E" w:rsidRPr="00A9507E" w:rsidRDefault="00A9507E" w:rsidP="00A9507E">
      <w:pPr>
        <w:pStyle w:val="ListeParagraf"/>
        <w:spacing w:after="0"/>
        <w:ind w:left="1440"/>
        <w:rPr>
          <w:rFonts w:ascii="Calibri" w:hAnsi="Calibri"/>
          <w:i/>
        </w:rPr>
      </w:pPr>
      <w:r w:rsidRPr="00A9507E">
        <w:rPr>
          <w:rFonts w:ascii="Calibri" w:hAnsi="Calibri"/>
          <w:i/>
        </w:rPr>
        <w:t>e) Yardımcı kaynaklara dayalı ünitelerin, ana kaynağa dayalı tesise ait ölçüm noktasından farklı bir ölçüm noktası olarak kaydedilebilmesini teminen, ilgili ünitenin bağlantı noktası ve gerilim seviyesinin ana kaynağa dayalı tesis ile aynı olduğuna dair ilgili şebeke işletmecisi tarafından verilen belge,</w:t>
      </w:r>
    </w:p>
    <w:p w14:paraId="7C07DBCD" w14:textId="77777777" w:rsidR="00A9507E" w:rsidRPr="00A9507E" w:rsidRDefault="00A9507E" w:rsidP="00A9507E">
      <w:pPr>
        <w:pStyle w:val="ListeParagraf"/>
        <w:spacing w:after="0"/>
        <w:ind w:left="1440"/>
        <w:rPr>
          <w:rFonts w:ascii="Calibri" w:hAnsi="Calibri"/>
          <w:i/>
        </w:rPr>
      </w:pPr>
      <w:r w:rsidRPr="00A9507E">
        <w:rPr>
          <w:rFonts w:ascii="Calibri" w:hAnsi="Calibri"/>
          <w:i/>
        </w:rPr>
        <w:t>Piyasa İşletmecisine sunulur.”</w:t>
      </w:r>
    </w:p>
    <w:p w14:paraId="548846DA" w14:textId="77777777" w:rsidR="00A9507E" w:rsidRPr="00A9507E" w:rsidRDefault="00A9507E" w:rsidP="00A9507E">
      <w:pPr>
        <w:pStyle w:val="ListeParagraf"/>
        <w:spacing w:after="0"/>
        <w:ind w:left="1440"/>
        <w:rPr>
          <w:rFonts w:ascii="Calibri" w:hAnsi="Calibri"/>
          <w:i/>
        </w:rPr>
      </w:pPr>
      <w:r w:rsidRPr="00A9507E">
        <w:rPr>
          <w:rFonts w:ascii="Calibri" w:hAnsi="Calibri"/>
          <w:i/>
        </w:rPr>
        <w:t>“(5) Uzlaştırmaya esas veriş-çekiş biriminin kaydının tamamlanabilmesi için;</w:t>
      </w:r>
    </w:p>
    <w:p w14:paraId="0B12EAF2" w14:textId="77777777" w:rsidR="00A9507E" w:rsidRPr="00A9507E" w:rsidRDefault="00A9507E" w:rsidP="00A9507E">
      <w:pPr>
        <w:pStyle w:val="ListeParagraf"/>
        <w:spacing w:after="0"/>
        <w:ind w:left="1440"/>
        <w:rPr>
          <w:rFonts w:ascii="Calibri" w:hAnsi="Calibri"/>
          <w:i/>
        </w:rPr>
      </w:pPr>
      <w:r w:rsidRPr="00A9507E">
        <w:rPr>
          <w:rFonts w:ascii="Calibri" w:hAnsi="Calibri"/>
          <w:i/>
        </w:rPr>
        <w:t>a) Uzlaştırmaya esas veriş-çekiş birimi konfigürasyonu içerisinde yer alan sayaçların en az birinin kaydının tamamlanmış olması,</w:t>
      </w:r>
    </w:p>
    <w:p w14:paraId="6FCBFFE8" w14:textId="77777777" w:rsidR="00A9507E" w:rsidRPr="00A9507E" w:rsidRDefault="00A9507E" w:rsidP="00A9507E">
      <w:pPr>
        <w:pStyle w:val="ListeParagraf"/>
        <w:spacing w:after="0"/>
        <w:ind w:left="1440"/>
        <w:rPr>
          <w:rFonts w:ascii="Calibri" w:hAnsi="Calibri"/>
          <w:i/>
        </w:rPr>
      </w:pPr>
      <w:r w:rsidRPr="00A9507E">
        <w:rPr>
          <w:rFonts w:ascii="Calibri" w:hAnsi="Calibri"/>
          <w:i/>
        </w:rPr>
        <w:t>b) Toplayıcılık faaliyeti kapsamında tüketim tesisleri için dengeleme güç piyasasına katılmak üzere oluşturulacak topluluğun Sistem İşletmecisi tarafından uygun bulunması,</w:t>
      </w:r>
    </w:p>
    <w:p w14:paraId="002557C1" w14:textId="77777777" w:rsidR="00A9507E" w:rsidRPr="00A9507E" w:rsidRDefault="00A9507E" w:rsidP="00A9507E">
      <w:pPr>
        <w:pStyle w:val="ListeParagraf"/>
        <w:spacing w:after="0"/>
        <w:ind w:left="1440"/>
        <w:rPr>
          <w:rFonts w:ascii="Calibri" w:hAnsi="Calibri"/>
          <w:i/>
        </w:rPr>
      </w:pPr>
      <w:r w:rsidRPr="00A9507E">
        <w:rPr>
          <w:rFonts w:ascii="Calibri" w:hAnsi="Calibri"/>
          <w:i/>
        </w:rPr>
        <w:t>c) Toplayıcılık faaliyeti kapsamında dengeleme birimi olmayan lisanslı üretim tesisleri ile dengeleme güç piyasası ve/veya yan hizmetlere katılmak üzere oluşturulan topluluğun Sistem İşletmecisi tarafından uygun bulunması,</w:t>
      </w:r>
    </w:p>
    <w:p w14:paraId="33A42CF4" w14:textId="77777777" w:rsidR="00A9507E" w:rsidRPr="00A9507E" w:rsidRDefault="00A9507E" w:rsidP="00A9507E">
      <w:pPr>
        <w:pStyle w:val="ListeParagraf"/>
        <w:spacing w:after="0"/>
        <w:ind w:left="1440"/>
        <w:rPr>
          <w:rFonts w:ascii="Calibri" w:hAnsi="Calibri"/>
          <w:i/>
        </w:rPr>
      </w:pPr>
      <w:proofErr w:type="gramStart"/>
      <w:r w:rsidRPr="00A9507E">
        <w:rPr>
          <w:rFonts w:ascii="Calibri" w:hAnsi="Calibri"/>
          <w:i/>
        </w:rPr>
        <w:t>ç</w:t>
      </w:r>
      <w:proofErr w:type="gramEnd"/>
      <w:r w:rsidRPr="00A9507E">
        <w:rPr>
          <w:rFonts w:ascii="Calibri" w:hAnsi="Calibri"/>
          <w:i/>
        </w:rPr>
        <w:t>) Toplayıcılık faaliyeti kapsamında lisanssız üretim tesisleri için oluşturulacak uzlaştırmaya esas veriş-çekiş birimi ile ilişkilendirilecek sayacın kaydının tamamlanmış olması,</w:t>
      </w:r>
    </w:p>
    <w:p w14:paraId="3C5D5C11" w14:textId="77777777" w:rsidR="00A9507E" w:rsidRDefault="00A9507E" w:rsidP="00A9507E">
      <w:pPr>
        <w:pStyle w:val="ListeParagraf"/>
        <w:spacing w:after="0"/>
        <w:ind w:left="1440"/>
        <w:rPr>
          <w:rFonts w:ascii="Calibri" w:hAnsi="Calibri"/>
          <w:i/>
        </w:rPr>
      </w:pPr>
      <w:proofErr w:type="gramStart"/>
      <w:r w:rsidRPr="00A9507E">
        <w:rPr>
          <w:rFonts w:ascii="Calibri" w:hAnsi="Calibri"/>
          <w:i/>
        </w:rPr>
        <w:t>gereklidir</w:t>
      </w:r>
      <w:proofErr w:type="gramEnd"/>
      <w:r w:rsidRPr="00A9507E">
        <w:rPr>
          <w:rFonts w:ascii="Calibri" w:hAnsi="Calibri"/>
          <w:i/>
        </w:rPr>
        <w:t>.”</w:t>
      </w:r>
    </w:p>
    <w:p w14:paraId="64A1CEB7" w14:textId="77777777" w:rsidR="00A9507E" w:rsidRDefault="00A9507E" w:rsidP="00A9507E">
      <w:pPr>
        <w:pStyle w:val="ListeParagraf"/>
        <w:spacing w:after="0"/>
        <w:ind w:left="1440"/>
        <w:rPr>
          <w:rFonts w:ascii="Calibri" w:hAnsi="Calibri"/>
          <w:i/>
        </w:rPr>
      </w:pPr>
    </w:p>
    <w:p w14:paraId="2E843AD1" w14:textId="77777777" w:rsidR="00A9507E" w:rsidRDefault="00A9507E" w:rsidP="0025080A">
      <w:pPr>
        <w:pStyle w:val="ListeParagraf"/>
        <w:numPr>
          <w:ilvl w:val="0"/>
          <w:numId w:val="21"/>
        </w:numPr>
        <w:spacing w:after="0"/>
        <w:rPr>
          <w:rFonts w:ascii="Calibri" w:hAnsi="Calibri"/>
          <w:iCs/>
        </w:rPr>
      </w:pPr>
      <w:r w:rsidRPr="00A9507E">
        <w:rPr>
          <w:rFonts w:ascii="Calibri" w:hAnsi="Calibri"/>
          <w:iCs/>
        </w:rPr>
        <w:t>30/A maddesinin ikinci fıkrasının (a) bendi ve üçüncü fıkrası aşağıdaki şekilde değiştirilmiş, aynı maddeye aşağıdaki fıkralar eklenmiştir.</w:t>
      </w:r>
    </w:p>
    <w:p w14:paraId="21D132D4" w14:textId="77777777" w:rsidR="00A9507E" w:rsidRPr="002048A7" w:rsidRDefault="00A9507E" w:rsidP="00A9507E">
      <w:pPr>
        <w:pStyle w:val="ListeParagraf"/>
        <w:spacing w:after="0"/>
        <w:ind w:left="1440"/>
        <w:rPr>
          <w:rFonts w:ascii="Calibri" w:hAnsi="Calibri"/>
          <w:iCs/>
        </w:rPr>
      </w:pPr>
    </w:p>
    <w:p w14:paraId="7197ACC1" w14:textId="77777777" w:rsidR="00A9507E" w:rsidRPr="00A9507E" w:rsidRDefault="00A9507E" w:rsidP="00A9507E">
      <w:pPr>
        <w:pStyle w:val="ListeParagraf"/>
        <w:spacing w:after="0"/>
        <w:ind w:left="1440"/>
        <w:rPr>
          <w:rFonts w:ascii="Calibri" w:hAnsi="Calibri"/>
          <w:i/>
        </w:rPr>
      </w:pPr>
      <w:r w:rsidRPr="00A9507E">
        <w:rPr>
          <w:rFonts w:ascii="Calibri" w:hAnsi="Calibri"/>
          <w:i/>
        </w:rPr>
        <w:t xml:space="preserve">“a) Tedarikçi değiştirmesi veya Kurulca onaylanmış perakende satış tarifelerinden enerji almaktayken ilgili görevli tedarik şirketinden ikili anlaşma ile enerji alması durumunda serbest tüketicinin yeni tedarikçisi olmak isteyen piyasa katılımcısı veya serbest tüketiciye ikili anlaşma ile enerji satmak isteyen görevli tedarik şirketi, portföy değişikliği ile ilgili talebini, içinde bulunulan ayın en geç altıncı gününden önceki son iş günü saat 24:00’a kadar bilgi girişlerini PYS üzerinden yaparak, ilgili serbest tüketici ile ikili anlaşması olduğunu PYS üzerinden beyan eder. Yeni tedarikçi tarafından yapılan bilgi girişleri, serbest tüketicinin mevcut tedarikçisine, PYS aracılığıyla içinde bulunulan ayın yirminci gününden önceki son iş günü saat 17:00’da duyurulur. Talep tarafı katılımı hizmeti kapsamında portföyünde yer alan tüketicilere aynı zamanda tedarik </w:t>
      </w:r>
      <w:r w:rsidRPr="00A9507E">
        <w:rPr>
          <w:rFonts w:ascii="Calibri" w:hAnsi="Calibri"/>
          <w:i/>
        </w:rPr>
        <w:lastRenderedPageBreak/>
        <w:t>hizmeti de sunan bir toplayıcının portföyünde talep tarafı katılımı hizmeti kapsamında yer alan serbest tüketici için bir başka tedarikçi tarafından yapılan portföye ekleme talebi, bu tüketici için aynı fatura döneminde 32/C maddesinin dördüncü fıkrası kapsamında TEİAŞ tarafından toplayıcısının talep tarafı katılımı hizmetine yönelik olarak portföyünden çıkış bildirimi yapılmamış olması kaydıyla, Piyasa İşletmecisi tarafından reddedilir. Bir toplayıcının portföyünde dengeleme güç piyasasına katılım sağlayan tüketici için bir başka tedarikçi tarafından yapılan portföye ekleme talebi, bu tüketici için aynı fatura döneminde 32/C maddesinin dördüncü fıkrası kapsamında TEİAŞ tarafından toplayıcısının dengeleme güç piyasasına katılımına yönelik olarak portföyünden çıkış bildirimi yapılmamış olması kaydıyla Piyasa İşletmecisi tarafından reddedilir. Talep tarafı katılımı hizmeti kapsamında portföyünde yer alan tüketicilere tedarik hizmeti sunmayan bir toplayıcı tarafından bir serbest tüketici için yapılan portföye ekleme talebi, ilgili tüketicinin toplayıcının portföyünde talep tarafı katılım hizmeti kapsamında yer alması durumunda Piyasa İşletmecisi tarafından reddedilir.”</w:t>
      </w:r>
    </w:p>
    <w:p w14:paraId="62CB5BBA" w14:textId="77777777" w:rsidR="00A9507E" w:rsidRPr="00A9507E" w:rsidRDefault="00A9507E" w:rsidP="00A9507E">
      <w:pPr>
        <w:pStyle w:val="ListeParagraf"/>
        <w:spacing w:after="0"/>
        <w:ind w:left="1440"/>
        <w:rPr>
          <w:rFonts w:ascii="Calibri" w:hAnsi="Calibri"/>
          <w:i/>
        </w:rPr>
      </w:pPr>
      <w:r w:rsidRPr="00A9507E">
        <w:rPr>
          <w:rFonts w:ascii="Calibri" w:hAnsi="Calibri"/>
          <w:i/>
        </w:rPr>
        <w:t>“(3) Bir piyasa katılımcısı, bir serbest tüketiciye ait çekiş birimini portföyünden çıkartmayı talep etmesi durumunda, içinde bulunulan ayın en geç altıncı gününden önceki son iş günü saat 24:00’a kadar, Piyasa İşletmecisine PYS aracılığıyla başvuruda bulunur ve serbest tüketiciyi portföyden çıkarma işlemi gerçekleşir. Piyasa katılımcısı, Piyasa İşletmecisine yapacağı bu başvurudan önce ilgili tüketiciyi yazılı olarak bilgilendirir. Portföyden çıkarma talebi;</w:t>
      </w:r>
    </w:p>
    <w:p w14:paraId="2E8AD2E7" w14:textId="77777777" w:rsidR="00A9507E" w:rsidRPr="00A9507E" w:rsidRDefault="00A9507E" w:rsidP="00A9507E">
      <w:pPr>
        <w:pStyle w:val="ListeParagraf"/>
        <w:spacing w:after="0"/>
        <w:ind w:left="1440"/>
        <w:rPr>
          <w:rFonts w:ascii="Calibri" w:hAnsi="Calibri"/>
          <w:i/>
        </w:rPr>
      </w:pPr>
      <w:r w:rsidRPr="00A9507E">
        <w:rPr>
          <w:rFonts w:ascii="Calibri" w:hAnsi="Calibri"/>
          <w:i/>
        </w:rPr>
        <w:t>a) Talebi yapan piyasa katılımcısının talep tarafı katılım hizmeti kapsamında portföyünde yer alan tüketicilere aynı zamanda tedarik hizmeti de sunan bir toplayıcı olması ve ilgili tüketicinin talep tarafı katılımı hizmetine katılım sağlayan bir tüketici olması veya,</w:t>
      </w:r>
    </w:p>
    <w:p w14:paraId="1EC9A3B7" w14:textId="77777777" w:rsidR="00A9507E" w:rsidRPr="00A9507E" w:rsidRDefault="00A9507E" w:rsidP="00A9507E">
      <w:pPr>
        <w:pStyle w:val="ListeParagraf"/>
        <w:spacing w:after="0"/>
        <w:ind w:left="1440"/>
        <w:rPr>
          <w:rFonts w:ascii="Calibri" w:hAnsi="Calibri"/>
          <w:i/>
        </w:rPr>
      </w:pPr>
      <w:r w:rsidRPr="00A9507E">
        <w:rPr>
          <w:rFonts w:ascii="Calibri" w:hAnsi="Calibri"/>
          <w:i/>
        </w:rPr>
        <w:t>b) Portföyden çıkarılan tüketicinin bir toplayıcı portföyünde dengeleme güç piyasasına katılım sağlayan bir tüketici olması,</w:t>
      </w:r>
    </w:p>
    <w:p w14:paraId="389A5502" w14:textId="77777777" w:rsidR="00A9507E" w:rsidRPr="00A9507E" w:rsidRDefault="00A9507E" w:rsidP="00A9507E">
      <w:pPr>
        <w:pStyle w:val="ListeParagraf"/>
        <w:spacing w:after="0"/>
        <w:ind w:left="1440"/>
        <w:rPr>
          <w:rFonts w:ascii="Calibri" w:hAnsi="Calibri"/>
          <w:i/>
        </w:rPr>
      </w:pPr>
      <w:proofErr w:type="gramStart"/>
      <w:r w:rsidRPr="00A9507E">
        <w:rPr>
          <w:rFonts w:ascii="Calibri" w:hAnsi="Calibri"/>
          <w:i/>
        </w:rPr>
        <w:t>halinde</w:t>
      </w:r>
      <w:proofErr w:type="gramEnd"/>
      <w:r w:rsidRPr="00A9507E">
        <w:rPr>
          <w:rFonts w:ascii="Calibri" w:hAnsi="Calibri"/>
          <w:i/>
        </w:rPr>
        <w:t xml:space="preserve"> Piyasa İşletmecisi tarafından reddedilir.”</w:t>
      </w:r>
    </w:p>
    <w:p w14:paraId="13BC0A0B" w14:textId="77777777" w:rsidR="00A9507E" w:rsidRPr="00A9507E" w:rsidRDefault="00A9507E" w:rsidP="00A9507E">
      <w:pPr>
        <w:pStyle w:val="ListeParagraf"/>
        <w:spacing w:after="0"/>
        <w:ind w:left="1440"/>
        <w:rPr>
          <w:rFonts w:ascii="Calibri" w:hAnsi="Calibri"/>
          <w:i/>
        </w:rPr>
      </w:pPr>
      <w:r w:rsidRPr="00A9507E">
        <w:rPr>
          <w:rFonts w:ascii="Calibri" w:hAnsi="Calibri"/>
          <w:i/>
        </w:rPr>
        <w:t>“(16) Farklı bir tedarikçinin portföyünde yer alan serbest tüketicinin, toplayıcılık hizmeti anlaşması kapsamında talep tarafı katılımı hizmeti ve/veya dengeleme güç piyasasına katılım amacıyla toplayıcının portföyüne girmesi halinde, söz konusu serbest tüketici mevcut tedarikçisinin portföyünden çıkarılarak ilgili tüketicinin enerji tedariki toplayıcı tarafından yapılır. Tüketicilere, talep tarafı katılımı hizmetini tedarik hizmetiyle birlikte sunmak istemediğini 32/C maddesinin üçüncü fıkrası kapsamında bildirmiş olan piyasa katılımcılarının portföyüne talep tarafı katılımı hizmetine katılım sağlamak üzere eklenecek olan tüketiciler için bu hüküm uygulanmaz. Serbest tüketicinin başka bir tedarikçi tarafından da talep edilmiş olması durumunda, on beşinci fıkra hükümleri uygulanmaksızın diğer tedarikçinin talebi reddedilir.</w:t>
      </w:r>
    </w:p>
    <w:p w14:paraId="2FD9F315" w14:textId="77777777" w:rsidR="00A9507E" w:rsidRPr="00A9507E" w:rsidRDefault="00A9507E" w:rsidP="00A9507E">
      <w:pPr>
        <w:pStyle w:val="ListeParagraf"/>
        <w:spacing w:after="0"/>
        <w:ind w:left="1440"/>
        <w:rPr>
          <w:rFonts w:ascii="Calibri" w:hAnsi="Calibri"/>
          <w:i/>
        </w:rPr>
      </w:pPr>
      <w:r w:rsidRPr="00A9507E">
        <w:rPr>
          <w:rFonts w:ascii="Calibri" w:hAnsi="Calibri"/>
          <w:i/>
        </w:rPr>
        <w:t>(17) Talep tarafı katılımı hizmeti kapsamında;</w:t>
      </w:r>
    </w:p>
    <w:p w14:paraId="574F311D" w14:textId="77777777" w:rsidR="00A9507E" w:rsidRPr="00A9507E" w:rsidRDefault="00A9507E" w:rsidP="00A9507E">
      <w:pPr>
        <w:pStyle w:val="ListeParagraf"/>
        <w:spacing w:after="0"/>
        <w:ind w:left="1440"/>
        <w:rPr>
          <w:rFonts w:ascii="Calibri" w:hAnsi="Calibri"/>
          <w:i/>
        </w:rPr>
      </w:pPr>
      <w:r w:rsidRPr="00A9507E">
        <w:rPr>
          <w:rFonts w:ascii="Calibri" w:hAnsi="Calibri"/>
          <w:i/>
        </w:rPr>
        <w:t>a) Portföyüne aldığı tüketim tesislerinin enerji tedarikini sunarken sonradan ilgili tüketicilere bu hizmeti sunmak istememesi veya,</w:t>
      </w:r>
    </w:p>
    <w:p w14:paraId="141C0020" w14:textId="77777777" w:rsidR="00A9507E" w:rsidRPr="00A9507E" w:rsidRDefault="00A9507E" w:rsidP="00A9507E">
      <w:pPr>
        <w:pStyle w:val="ListeParagraf"/>
        <w:spacing w:after="0"/>
        <w:ind w:left="1440"/>
        <w:rPr>
          <w:rFonts w:ascii="Calibri" w:hAnsi="Calibri"/>
          <w:i/>
        </w:rPr>
      </w:pPr>
      <w:r w:rsidRPr="00A9507E">
        <w:rPr>
          <w:rFonts w:ascii="Calibri" w:hAnsi="Calibri"/>
          <w:i/>
        </w:rPr>
        <w:t>b) Portföyündeki tüketim tesislerine enerji tedarik etmeksizin sadece toplayıcılık hizmeti sunarken sonradan ilgili tüketicilere bu hizmeti sunmak istemesi,</w:t>
      </w:r>
    </w:p>
    <w:p w14:paraId="113D9642" w14:textId="77777777" w:rsidR="00A9507E" w:rsidRPr="00A9507E" w:rsidRDefault="00A9507E" w:rsidP="00A9507E">
      <w:pPr>
        <w:pStyle w:val="ListeParagraf"/>
        <w:spacing w:after="0"/>
        <w:ind w:left="1440"/>
        <w:rPr>
          <w:rFonts w:ascii="Calibri" w:hAnsi="Calibri"/>
          <w:i/>
        </w:rPr>
      </w:pPr>
      <w:proofErr w:type="gramStart"/>
      <w:r w:rsidRPr="00A9507E">
        <w:rPr>
          <w:rFonts w:ascii="Calibri" w:hAnsi="Calibri"/>
          <w:i/>
        </w:rPr>
        <w:t>durumunda</w:t>
      </w:r>
      <w:proofErr w:type="gramEnd"/>
      <w:r w:rsidRPr="00A9507E">
        <w:rPr>
          <w:rFonts w:ascii="Calibri" w:hAnsi="Calibri"/>
          <w:i/>
        </w:rPr>
        <w:t xml:space="preserve"> toplayıcı bu talebini, Piyasa İşletmecisine PYS üzerinden ayın 20’sinden önceki son iş günü saat 17:00’a kadar bildirir. Bildirimi takip eden fatura döneminden itibaren geçerli olacak şekilde, talebin içeriğine göre toplayıcının ilgili tüketicilere yönelik enerji tedarikinin başlatılmasına veya sonlandırılmasına ilişkin işlem 32/C maddesinin üçüncü fıkrası hükmü saklı kalmak kaydıyla, PYS üzerinden Piyasa İşletmecisi tarafından re’sen gerçekleştirilir. Portföyden çıkarılan serbest tüketiciler, başka bir tedarikçi ile anlaşmaması halinde görevli tedarik şirketinin portföyüne aktarılır. Bu fıkra kapsamında Piyasa İşletmecisi tarafından bir toplayıcının </w:t>
      </w:r>
      <w:r w:rsidRPr="00A9507E">
        <w:rPr>
          <w:rFonts w:ascii="Calibri" w:hAnsi="Calibri"/>
          <w:i/>
        </w:rPr>
        <w:lastRenderedPageBreak/>
        <w:t>portföyüne re'sen eklenen bir serbest tüketicinin başka bir tedarikçi tarafından da talep edilmiş olması durumunda, on beşinci fıkra hükümleri uygulanmaksızın diğer tedarikçinin talebi reddedilir. Toplayıcılar tarafından (a) bendi kapsamında yapılan bildirimler doğrultusunda toplayıcının portföyünde talep tarafı katılımı hizmetine ve dengeleme güç piyasasına birlikte katılan tüketicilerin ilgili toplayıcı altında dengeleme güç piyasasına katılımı da Piyasa İşletmecisi tarafından re’sen sonlandırılır.</w:t>
      </w:r>
    </w:p>
    <w:p w14:paraId="02BA1229" w14:textId="77777777" w:rsidR="00A9507E" w:rsidRDefault="00A9507E" w:rsidP="00A9507E">
      <w:pPr>
        <w:pStyle w:val="ListeParagraf"/>
        <w:spacing w:after="0"/>
        <w:ind w:left="1440"/>
        <w:rPr>
          <w:rFonts w:ascii="Calibri" w:hAnsi="Calibri"/>
          <w:i/>
        </w:rPr>
      </w:pPr>
      <w:r w:rsidRPr="00A9507E">
        <w:rPr>
          <w:rFonts w:ascii="Calibri" w:hAnsi="Calibri"/>
          <w:i/>
        </w:rPr>
        <w:t>(18) Toplayıcı lisansı sahibi tüzel kişiler, mahiyetine uygun olmak kaydıyla, tedarik lisansı sahibi tüzel kişilere tedarik faaliyetine ilişkin ilgili maddelerde tanınan hak ve yükümlülüklere sahiptir.”</w:t>
      </w:r>
    </w:p>
    <w:p w14:paraId="37575A81" w14:textId="77777777" w:rsidR="00A9507E" w:rsidRDefault="00A9507E" w:rsidP="00A9507E">
      <w:pPr>
        <w:pStyle w:val="ListeParagraf"/>
        <w:spacing w:after="0"/>
        <w:ind w:left="1440"/>
        <w:rPr>
          <w:rFonts w:ascii="Calibri" w:hAnsi="Calibri"/>
          <w:i/>
        </w:rPr>
      </w:pPr>
    </w:p>
    <w:p w14:paraId="2D37D5C4" w14:textId="77777777" w:rsidR="00A9507E" w:rsidRDefault="00A9507E" w:rsidP="0025080A">
      <w:pPr>
        <w:pStyle w:val="ListeParagraf"/>
        <w:numPr>
          <w:ilvl w:val="0"/>
          <w:numId w:val="21"/>
        </w:numPr>
        <w:spacing w:after="0"/>
        <w:rPr>
          <w:rFonts w:ascii="Calibri" w:hAnsi="Calibri"/>
          <w:iCs/>
        </w:rPr>
      </w:pPr>
      <w:r w:rsidRPr="00A9507E">
        <w:rPr>
          <w:rFonts w:ascii="Calibri" w:hAnsi="Calibri"/>
          <w:iCs/>
        </w:rPr>
        <w:t>32/B maddesinden sonra gelmek üzere aşağıdaki madde eklenmiştir.</w:t>
      </w:r>
    </w:p>
    <w:p w14:paraId="521094F2" w14:textId="77777777" w:rsidR="00A9507E" w:rsidRPr="002048A7" w:rsidRDefault="00A9507E" w:rsidP="00A9507E">
      <w:pPr>
        <w:pStyle w:val="ListeParagraf"/>
        <w:spacing w:after="0"/>
        <w:ind w:left="1440"/>
        <w:rPr>
          <w:rFonts w:ascii="Calibri" w:hAnsi="Calibri"/>
          <w:iCs/>
        </w:rPr>
      </w:pPr>
    </w:p>
    <w:p w14:paraId="612EF276" w14:textId="77777777" w:rsidR="00A9507E" w:rsidRPr="00A9507E" w:rsidRDefault="00A9507E" w:rsidP="00A9507E">
      <w:pPr>
        <w:pStyle w:val="ListeParagraf"/>
        <w:spacing w:after="0"/>
        <w:ind w:left="1440"/>
        <w:rPr>
          <w:rFonts w:ascii="Calibri" w:hAnsi="Calibri"/>
          <w:i/>
        </w:rPr>
      </w:pPr>
      <w:r w:rsidRPr="00A9507E">
        <w:rPr>
          <w:rFonts w:ascii="Calibri" w:hAnsi="Calibri"/>
          <w:i/>
        </w:rPr>
        <w:t>“Toplayıcılık faaliyeti kapsamındaki kayıt süreçleri</w:t>
      </w:r>
    </w:p>
    <w:p w14:paraId="61187DF2" w14:textId="77777777" w:rsidR="00A9507E" w:rsidRPr="00A9507E" w:rsidRDefault="00A9507E" w:rsidP="00A9507E">
      <w:pPr>
        <w:pStyle w:val="ListeParagraf"/>
        <w:spacing w:after="0"/>
        <w:ind w:left="1440"/>
        <w:rPr>
          <w:rFonts w:ascii="Calibri" w:hAnsi="Calibri"/>
          <w:i/>
        </w:rPr>
      </w:pPr>
      <w:r w:rsidRPr="00A9507E">
        <w:rPr>
          <w:rFonts w:ascii="Calibri" w:hAnsi="Calibri"/>
          <w:i/>
        </w:rPr>
        <w:t>MADDE 32/C – (1) Bir piyasa katılımcısının müstakil elektrik depolama tesisi ve lisanslı üretim tesislerini 17/12/2024 tarihli ve 32755 sayılı Resmî Gazete’de yayımlanan Elektrik Piyasasında Toplayıcılık Faaliyetleri Yönetmeliği kapsamında bir toplayıcının portföyüne kaydettirmek üzere Piyasa İşletmecisine yapacağı başvuru, ilgili piyasa katılımcısı ve toplayıcılık faaliyeti gösteren piyasa katılımcısı tarafından PYS üzerinden toplayıcının talebi ve ilgili piyasa katılımcısının onayı ile yapılır. Müstakil elektrik depolama tesisi ve lisanslı üretim tesisinin toplayıcının portföyünden ayrılmasına ilişkin başvuru, ilgili piyasa katılımcısı ya da toplayıcı tarafından PYS üzerinden gerçekleştirilir. Söz konusu başvurular, başvurunun yapıldığı fatura dönemini takip eden ilk fatura döneminden itibaren geçerli olur.</w:t>
      </w:r>
    </w:p>
    <w:p w14:paraId="03A48808" w14:textId="77777777" w:rsidR="00A9507E" w:rsidRPr="00A9507E" w:rsidRDefault="00A9507E" w:rsidP="00A9507E">
      <w:pPr>
        <w:pStyle w:val="ListeParagraf"/>
        <w:spacing w:after="0"/>
        <w:ind w:left="1440"/>
        <w:rPr>
          <w:rFonts w:ascii="Calibri" w:hAnsi="Calibri"/>
          <w:i/>
        </w:rPr>
      </w:pPr>
      <w:r w:rsidRPr="00A9507E">
        <w:rPr>
          <w:rFonts w:ascii="Calibri" w:hAnsi="Calibri"/>
          <w:i/>
        </w:rPr>
        <w:t>(2) On yıllık alım garanti süresini doldurmuş olan lisanssız üretim tesis veya tesislerini portföyüne eklemek ya da portföyünden çıkarmak isteyen toplayıcı, ilgili şebeke işletmecisine başvuru yapar. Portföye ekleme için yapılan başvuruda toplayıcı tarafından ilgili şebeke işletmecisine portföyüne eklemek istediği lisanssız üretim tesisinin sahibi ile aralarında imzalayacakları muvafakatname sunulur. Toplayıcı tarafından yapılan söz konusu başvuru;</w:t>
      </w:r>
    </w:p>
    <w:p w14:paraId="5A034996" w14:textId="77777777" w:rsidR="00A9507E" w:rsidRPr="00A9507E" w:rsidRDefault="00A9507E" w:rsidP="00A9507E">
      <w:pPr>
        <w:pStyle w:val="ListeParagraf"/>
        <w:spacing w:after="0"/>
        <w:ind w:left="1440"/>
        <w:rPr>
          <w:rFonts w:ascii="Calibri" w:hAnsi="Calibri"/>
          <w:i/>
        </w:rPr>
      </w:pPr>
      <w:r w:rsidRPr="00A9507E">
        <w:rPr>
          <w:rFonts w:ascii="Calibri" w:hAnsi="Calibri"/>
          <w:i/>
        </w:rPr>
        <w:t>a) Ayın ilk 20 günü içerisinde yapılması halinde takip eden fatura döneminden,</w:t>
      </w:r>
    </w:p>
    <w:p w14:paraId="4B2ADF8D" w14:textId="77777777" w:rsidR="00A9507E" w:rsidRPr="00A9507E" w:rsidRDefault="00A9507E" w:rsidP="00A9507E">
      <w:pPr>
        <w:pStyle w:val="ListeParagraf"/>
        <w:spacing w:after="0"/>
        <w:ind w:left="1440"/>
        <w:rPr>
          <w:rFonts w:ascii="Calibri" w:hAnsi="Calibri"/>
          <w:i/>
        </w:rPr>
      </w:pPr>
      <w:r w:rsidRPr="00A9507E">
        <w:rPr>
          <w:rFonts w:ascii="Calibri" w:hAnsi="Calibri"/>
          <w:i/>
        </w:rPr>
        <w:t>b) Daha sonra yapılan başvurular takip eden ikinci fatura döneminden,</w:t>
      </w:r>
    </w:p>
    <w:p w14:paraId="46CEF8D1" w14:textId="77777777" w:rsidR="00A9507E" w:rsidRPr="00A9507E" w:rsidRDefault="00A9507E" w:rsidP="00A9507E">
      <w:pPr>
        <w:pStyle w:val="ListeParagraf"/>
        <w:spacing w:after="0"/>
        <w:ind w:left="1440"/>
        <w:rPr>
          <w:rFonts w:ascii="Calibri" w:hAnsi="Calibri"/>
          <w:i/>
        </w:rPr>
      </w:pPr>
      <w:proofErr w:type="gramStart"/>
      <w:r w:rsidRPr="00A9507E">
        <w:rPr>
          <w:rFonts w:ascii="Calibri" w:hAnsi="Calibri"/>
          <w:i/>
        </w:rPr>
        <w:t>itibaren</w:t>
      </w:r>
      <w:proofErr w:type="gramEnd"/>
      <w:r w:rsidRPr="00A9507E">
        <w:rPr>
          <w:rFonts w:ascii="Calibri" w:hAnsi="Calibri"/>
          <w:i/>
        </w:rPr>
        <w:t xml:space="preserve"> geçerli olur. Söz konusu geçişin sağlanması halinde, ilgili şebeke işletmecisi tarafından lisanssız üretim tesisinin ilgisine göre, mevcut ve yeni toplayıcısı ile ilgili görevli tedarik şirketine bilgilendirme yapılır. Toplayıcı portföylerine ilişkin ayın ilk 20 günü gelen başvurular sonucunda, ilgili şebeke işletmecisi tarafından kaynak ve dengeleme bölgesi bazında, takip eden fatura dönemi için toplam kurulu güç düzeyinde ortaya çıkan değişiklikler içinde bulunulan ayın 25’ine kadar fatura dönemi bazlı olarak Piyasa İşletmecisine PYS üzerinden bildirilir. Lisanssız üreticilerinin kurulu güç değişimlerinden kaynaklı değişiklikler, şebeke işletmecisi tarafından kurulu güç değişimlerinin gerçekleşmesini müteakip Piyasa İşletmecisine PYS üzerinden bildirilir.</w:t>
      </w:r>
    </w:p>
    <w:p w14:paraId="0D2C468A" w14:textId="77777777" w:rsidR="00A9507E" w:rsidRPr="00A9507E" w:rsidRDefault="00A9507E" w:rsidP="00A9507E">
      <w:pPr>
        <w:pStyle w:val="ListeParagraf"/>
        <w:spacing w:after="0"/>
        <w:ind w:left="1440"/>
        <w:rPr>
          <w:rFonts w:ascii="Calibri" w:hAnsi="Calibri"/>
          <w:i/>
        </w:rPr>
      </w:pPr>
      <w:r w:rsidRPr="00A9507E">
        <w:rPr>
          <w:rFonts w:ascii="Calibri" w:hAnsi="Calibri"/>
          <w:i/>
        </w:rPr>
        <w:t>(3) Toplayıcı, yan hizmetler ile dengeleme güç piyasasına katılımı için portföyüne aldığı tüketim tesislerinin enerji tedarikini gerçekleştirmesi zorunludur. Toplayıcı, talep tarafı katılımı kapsamında portföyüne aldığı tüketim tesislerinin enerji tedarik faaliyetini yürütmek istememesi halinde bu hususu, Piyasa İşletmecisine PYS üzerinden bildirir. Toplayıcının bahse konu kararında değişiklik olması durumunda toplayıcı, değişikliği Piyasa İşletmecisine PYS üzerinden bildirir. Söz konusu bildirim ve değişikliklerin, ilgili ayın 20’sinden önceki iş günü saat 17:00’a kadar yapılması halinde bir sonraki fatura döneminden, bu tarihten sonra yapılan bildirimler ise iki sonraki fatura döneminden itibaren geçerli olur.</w:t>
      </w:r>
    </w:p>
    <w:p w14:paraId="769AE316" w14:textId="77777777" w:rsidR="00A9507E" w:rsidRPr="00A9507E" w:rsidRDefault="00A9507E" w:rsidP="00A9507E">
      <w:pPr>
        <w:pStyle w:val="ListeParagraf"/>
        <w:spacing w:after="0"/>
        <w:ind w:left="1440"/>
        <w:rPr>
          <w:rFonts w:ascii="Calibri" w:hAnsi="Calibri"/>
          <w:i/>
        </w:rPr>
      </w:pPr>
      <w:r w:rsidRPr="00A9507E">
        <w:rPr>
          <w:rFonts w:ascii="Calibri" w:hAnsi="Calibri"/>
          <w:i/>
        </w:rPr>
        <w:lastRenderedPageBreak/>
        <w:t>(4) Toplayıcıların, yan hizmetler ve dengeleme güç piyasası kapsamında uzlaştırma işlemlerinin yürütülmesi amacıyla portföylerine eklenmesini veya portföylerinden çıkarılmasını talep ettiği tüketim tesislerine ilişkin bilgileri ilgili ayın 15’inden önceki iş gününe kadar TEİAŞ’a bildirmesi halinde TEİAŞ söz konusu bildirimlerden uygun bulduğu tüketim tesislerini Piyasa İşletmecisine ilgili ayın 20’sinden önceki son iş günü saat 17:00’a kadar bildirir. Ancak toplayıcının tüketim tesislerini portföyüne ekleme veya çıkarma talebi, TEİAŞ tarafından yalnızca daha önce ilan ettiği kriterler çerçevesinde uygun bulunmayabilir. Bu tarihe kadar yapılan bildirim takip eden fatura döneminden itibaren, bu tarihten sonra yapılan bildirimler takip eden ikinci fatura döneminden itibaren geçerli olur. Yapılan bildirimde yer alan tüketim tesislerine ilişkin PYS’de yer alan bilgilerden kaynaklı olarak toplayıcının portföyüne eklenmesini engelleyecek bir durumun bulunmaması halinde, Piyasa İşletmecisi tarafından toplayıcılık faaliyeti gösterecek olan piyasa katılımcısının portföyü kayıt altına alınır. Tedarik lisansına toplayıcılık faaliyeti dercedilmiş tüzel kişilerin toplayıcı portföyüne eklenecek tüketim tesislerinin tedariki, TEİAŞ tarafından yapılan bildirim tarihinde ilgili tedarik lisansı sahibi tüzel kişi tarafından gerçekleştiriliyor ise ekleme talebi reddedilir.</w:t>
      </w:r>
    </w:p>
    <w:p w14:paraId="2F06C3B8" w14:textId="77777777" w:rsidR="00A9507E" w:rsidRPr="00A9507E" w:rsidRDefault="00A9507E" w:rsidP="00A9507E">
      <w:pPr>
        <w:pStyle w:val="ListeParagraf"/>
        <w:spacing w:after="0"/>
        <w:ind w:left="1440"/>
        <w:rPr>
          <w:rFonts w:ascii="Calibri" w:hAnsi="Calibri"/>
          <w:i/>
        </w:rPr>
      </w:pPr>
      <w:r w:rsidRPr="00A9507E">
        <w:rPr>
          <w:rFonts w:ascii="Calibri" w:hAnsi="Calibri"/>
          <w:i/>
        </w:rPr>
        <w:t>(5) Portföyünde serbest tüketici olan üretim lisansı sahibi bir tüzel kişi tüm santrallerini toplayıcılık faaliyeti yapan başka bir organizasyonun portföyüne dahil edemez ve tüm santrallerini devretmesi halinde yeni serbest tüketici talep etmesine izin verilmez.</w:t>
      </w:r>
    </w:p>
    <w:p w14:paraId="318F4615" w14:textId="77777777" w:rsidR="00A9507E" w:rsidRDefault="00A9507E" w:rsidP="00A9507E">
      <w:pPr>
        <w:pStyle w:val="ListeParagraf"/>
        <w:spacing w:after="0"/>
        <w:ind w:left="1440"/>
        <w:rPr>
          <w:rFonts w:ascii="Calibri" w:hAnsi="Calibri"/>
          <w:i/>
        </w:rPr>
      </w:pPr>
      <w:r w:rsidRPr="00A9507E">
        <w:rPr>
          <w:rFonts w:ascii="Calibri" w:hAnsi="Calibri"/>
          <w:i/>
        </w:rPr>
        <w:t>(6) Devrin gerçekleşeceği tarihte geçerli olacak şekilde PYS’de onaylı ikili anlaşması bulunan üretim lisansı sahibi bir tüzel kişi, tüm santrallerini toplayıcı portföyüne dâhil edemez. Tüm santrallerini toplayıcının portföyüne dâhil eden piyasa katılımcısı, santral veya santrallerin ilgili portföye geçtiği uzlaştırma dönemi ve sonrasındaki uzlaştırma dönemleri için geçerli olacak şekilde ikili anlaşmaya giremez.”</w:t>
      </w:r>
    </w:p>
    <w:p w14:paraId="60805E1B" w14:textId="77777777" w:rsidR="00A9507E" w:rsidRDefault="00A9507E" w:rsidP="00A9507E">
      <w:pPr>
        <w:pStyle w:val="ListeParagraf"/>
        <w:spacing w:after="0"/>
        <w:ind w:left="1440"/>
        <w:rPr>
          <w:rFonts w:ascii="Calibri" w:hAnsi="Calibri"/>
          <w:i/>
        </w:rPr>
      </w:pPr>
    </w:p>
    <w:p w14:paraId="37A720C7" w14:textId="77777777" w:rsidR="00A9507E" w:rsidRDefault="00A9507E" w:rsidP="0025080A">
      <w:pPr>
        <w:pStyle w:val="ListeParagraf"/>
        <w:numPr>
          <w:ilvl w:val="0"/>
          <w:numId w:val="21"/>
        </w:numPr>
        <w:spacing w:after="0"/>
        <w:rPr>
          <w:rFonts w:ascii="Calibri" w:hAnsi="Calibri"/>
          <w:iCs/>
        </w:rPr>
      </w:pPr>
      <w:proofErr w:type="gramStart"/>
      <w:r w:rsidRPr="00A9507E">
        <w:rPr>
          <w:rFonts w:ascii="Calibri" w:hAnsi="Calibri"/>
          <w:iCs/>
        </w:rPr>
        <w:t>34 üncü</w:t>
      </w:r>
      <w:proofErr w:type="gramEnd"/>
      <w:r w:rsidRPr="00A9507E">
        <w:rPr>
          <w:rFonts w:ascii="Calibri" w:hAnsi="Calibri"/>
          <w:iCs/>
        </w:rPr>
        <w:t xml:space="preserve"> maddesinin birinci fıkrası aşağıdaki şekilde değiştirilmiş ve aynı maddeye aşağıdaki fıkralar eklenmiştir.</w:t>
      </w:r>
    </w:p>
    <w:p w14:paraId="21A14C82" w14:textId="77777777" w:rsidR="00A9507E" w:rsidRPr="002048A7" w:rsidRDefault="00A9507E" w:rsidP="00A9507E">
      <w:pPr>
        <w:pStyle w:val="ListeParagraf"/>
        <w:spacing w:after="0"/>
        <w:ind w:left="1440"/>
        <w:rPr>
          <w:rFonts w:ascii="Calibri" w:hAnsi="Calibri"/>
          <w:iCs/>
        </w:rPr>
      </w:pPr>
    </w:p>
    <w:p w14:paraId="4400E560" w14:textId="77777777" w:rsidR="00A9507E" w:rsidRPr="00A9507E" w:rsidRDefault="00A9507E" w:rsidP="00A9507E">
      <w:pPr>
        <w:pStyle w:val="ListeParagraf"/>
        <w:spacing w:after="0"/>
        <w:ind w:left="1440"/>
        <w:rPr>
          <w:rFonts w:ascii="Calibri" w:hAnsi="Calibri"/>
          <w:i/>
        </w:rPr>
      </w:pPr>
      <w:r w:rsidRPr="00A9507E">
        <w:rPr>
          <w:rFonts w:ascii="Calibri" w:hAnsi="Calibri"/>
          <w:i/>
        </w:rPr>
        <w:t>“(1) Bir piyasa katılımcısının dahil olduğu dengeden sorumlu gruptan ayrılmasına ilişkin kayıt değişikliği başvurusu, ilgili piyasa katılımcısı ve dengeden sorumlu grup adına denge sorumluluğunu üstlenmiş dengeden sorumlu taraf arasındaki anlaşmanın bu konuya ilişkin hükümleri doğrultusunda, ilgili piyasa katılımcısı veya dengeden sorumlu tarafça PYS üzerinden yapılır. Bir piyasa katılımcısının bir dengeden sorumlu gruptan ayrılmasının işlerlik kazanması, gruptan ayrılma ile ilgili işlemlerin tamamlandığı fatura dönemini takip eden ilk fatura dönemi itibarıyla başlar.”</w:t>
      </w:r>
    </w:p>
    <w:p w14:paraId="716C7F05" w14:textId="77777777" w:rsidR="00A9507E" w:rsidRPr="00A9507E" w:rsidRDefault="00A9507E" w:rsidP="00A9507E">
      <w:pPr>
        <w:pStyle w:val="ListeParagraf"/>
        <w:spacing w:after="0"/>
        <w:ind w:left="1440"/>
        <w:rPr>
          <w:rFonts w:ascii="Calibri" w:hAnsi="Calibri"/>
          <w:i/>
        </w:rPr>
      </w:pPr>
      <w:r w:rsidRPr="00A9507E">
        <w:rPr>
          <w:rFonts w:ascii="Calibri" w:hAnsi="Calibri"/>
          <w:i/>
        </w:rPr>
        <w:t>“(3) Dengeden sorumlu grubun tarafı olan üretim lisansı sahibi bir tüzel kişinin tüm lisanslı santrallerini toplayıcılık faaliyeti gösteren piyasa katılımcısının portföyüne dahil etmesi halinde, portföye dahil olduğu fatura dönemi itibarıyla ilgili dengeden sorumlu grup dağıtılır.</w:t>
      </w:r>
    </w:p>
    <w:p w14:paraId="6A51D947" w14:textId="77777777" w:rsidR="00A9507E" w:rsidRPr="00A9507E" w:rsidRDefault="00A9507E" w:rsidP="00A9507E">
      <w:pPr>
        <w:pStyle w:val="ListeParagraf"/>
        <w:spacing w:after="0"/>
        <w:ind w:left="1440"/>
        <w:rPr>
          <w:rFonts w:ascii="Calibri" w:hAnsi="Calibri"/>
          <w:i/>
        </w:rPr>
      </w:pPr>
      <w:r w:rsidRPr="00A9507E">
        <w:rPr>
          <w:rFonts w:ascii="Calibri" w:hAnsi="Calibri"/>
          <w:i/>
        </w:rPr>
        <w:t>(4) Dengeden sorumlu grubun üyesi olan üretim lisansı sahibi bir tüzel kişinin tüm lisanslı santrallerini toplayıcılık faaliyeti gösteren piyasa katılımcısının portföyüne dahil etmesi halinde, portföye dahil olduğu fatura dönemi itibarıyla ilgili dengeden sorumlu gruptan çıkarılır.</w:t>
      </w:r>
    </w:p>
    <w:p w14:paraId="61095960" w14:textId="77777777" w:rsidR="00A9507E" w:rsidRDefault="00A9507E" w:rsidP="00A9507E">
      <w:pPr>
        <w:pStyle w:val="ListeParagraf"/>
        <w:spacing w:after="0"/>
        <w:ind w:left="1440"/>
        <w:rPr>
          <w:rFonts w:ascii="Calibri" w:hAnsi="Calibri"/>
          <w:i/>
        </w:rPr>
      </w:pPr>
      <w:r w:rsidRPr="00A9507E">
        <w:rPr>
          <w:rFonts w:ascii="Calibri" w:hAnsi="Calibri"/>
          <w:i/>
        </w:rPr>
        <w:t>(5) Üretim lisansı sahibi bir tüzel kişinin tüm lisanslı santrallerini devretmiş olması halinde; devir işlemine ilişkin kaydın Piyasa İşletmecisi tarafından gerçekleştirildiği tarih itibarıyla; dengeden sorumlu grubun üyesi ise dengeden sorumlu gruptan çıkarılır, dengeden sorumlu grubun tarafı ise dengeden sorumlu grup dağıtılır.”</w:t>
      </w:r>
    </w:p>
    <w:p w14:paraId="3EB696E2" w14:textId="77777777" w:rsidR="00A9507E" w:rsidRDefault="00A9507E" w:rsidP="00A9507E">
      <w:pPr>
        <w:pStyle w:val="ListeParagraf"/>
        <w:spacing w:after="0"/>
        <w:ind w:left="1440"/>
        <w:rPr>
          <w:rFonts w:ascii="Calibri" w:hAnsi="Calibri"/>
          <w:i/>
        </w:rPr>
      </w:pPr>
    </w:p>
    <w:p w14:paraId="7DC7423A" w14:textId="77777777" w:rsidR="00A9507E" w:rsidRDefault="00A9507E" w:rsidP="0025080A">
      <w:pPr>
        <w:pStyle w:val="ListeParagraf"/>
        <w:numPr>
          <w:ilvl w:val="0"/>
          <w:numId w:val="21"/>
        </w:numPr>
        <w:spacing w:after="0"/>
        <w:rPr>
          <w:rFonts w:ascii="Calibri" w:hAnsi="Calibri"/>
          <w:iCs/>
        </w:rPr>
      </w:pPr>
      <w:proofErr w:type="gramStart"/>
      <w:r w:rsidRPr="00A9507E">
        <w:rPr>
          <w:rFonts w:ascii="Calibri" w:hAnsi="Calibri"/>
          <w:iCs/>
        </w:rPr>
        <w:lastRenderedPageBreak/>
        <w:t>67 nci</w:t>
      </w:r>
      <w:proofErr w:type="gramEnd"/>
      <w:r w:rsidRPr="00A9507E">
        <w:rPr>
          <w:rFonts w:ascii="Calibri" w:hAnsi="Calibri"/>
          <w:iCs/>
        </w:rPr>
        <w:t xml:space="preserve"> maddesinin birinci fıkrasının (b) ve (f) bentleri aşağıdaki şekilde değiştirilmiştir.</w:t>
      </w:r>
    </w:p>
    <w:p w14:paraId="60449B03" w14:textId="77777777" w:rsidR="00A9507E" w:rsidRPr="002048A7" w:rsidRDefault="00A9507E" w:rsidP="00A9507E">
      <w:pPr>
        <w:pStyle w:val="ListeParagraf"/>
        <w:spacing w:after="0"/>
        <w:ind w:left="1440"/>
        <w:rPr>
          <w:rFonts w:ascii="Calibri" w:hAnsi="Calibri"/>
          <w:iCs/>
        </w:rPr>
      </w:pPr>
    </w:p>
    <w:p w14:paraId="42FBAA51" w14:textId="77777777" w:rsidR="00A9507E" w:rsidRPr="00A9507E" w:rsidRDefault="00A9507E" w:rsidP="00A9507E">
      <w:pPr>
        <w:pStyle w:val="ListeParagraf"/>
        <w:spacing w:after="0"/>
        <w:ind w:left="1440"/>
        <w:rPr>
          <w:rFonts w:ascii="Calibri" w:hAnsi="Calibri"/>
          <w:i/>
        </w:rPr>
      </w:pPr>
      <w:r w:rsidRPr="00A9507E">
        <w:rPr>
          <w:rFonts w:ascii="Calibri" w:hAnsi="Calibri"/>
          <w:i/>
        </w:rPr>
        <w:t>“</w:t>
      </w:r>
      <w:proofErr w:type="gramStart"/>
      <w:r w:rsidRPr="00A9507E">
        <w:rPr>
          <w:rFonts w:ascii="Calibri" w:hAnsi="Calibri"/>
          <w:i/>
        </w:rPr>
        <w:t>b</w:t>
      </w:r>
      <w:proofErr w:type="gramEnd"/>
      <w:r w:rsidRPr="00A9507E">
        <w:rPr>
          <w:rFonts w:ascii="Calibri" w:hAnsi="Calibri"/>
          <w:i/>
        </w:rPr>
        <w:t>) Dengeleme güç piyasasına sunulan tüm teklifler belli bir dengeleme birimi, belli bir dengeleme bölgesi, belli bir teklif bölgesi, belli bir gün ve o gün içindeki belli bir zaman dilimi için geçerlidir,”</w:t>
      </w:r>
    </w:p>
    <w:p w14:paraId="4BC1B24D" w14:textId="77777777" w:rsidR="00A9507E" w:rsidRPr="00A9507E" w:rsidRDefault="00A9507E" w:rsidP="00A9507E">
      <w:pPr>
        <w:pStyle w:val="ListeParagraf"/>
        <w:spacing w:after="0"/>
        <w:ind w:left="1440"/>
        <w:rPr>
          <w:rFonts w:ascii="Calibri" w:hAnsi="Calibri"/>
          <w:i/>
        </w:rPr>
      </w:pPr>
      <w:r w:rsidRPr="00A9507E">
        <w:rPr>
          <w:rFonts w:ascii="Calibri" w:hAnsi="Calibri"/>
          <w:i/>
        </w:rPr>
        <w:t>“</w:t>
      </w:r>
      <w:proofErr w:type="gramStart"/>
      <w:r w:rsidRPr="00A9507E">
        <w:rPr>
          <w:rFonts w:ascii="Calibri" w:hAnsi="Calibri"/>
          <w:i/>
        </w:rPr>
        <w:t>f</w:t>
      </w:r>
      <w:proofErr w:type="gramEnd"/>
      <w:r w:rsidRPr="00A9507E">
        <w:rPr>
          <w:rFonts w:ascii="Calibri" w:hAnsi="Calibri"/>
          <w:i/>
        </w:rPr>
        <w:t>) Dengeleme güç piyasasında sonuçlandırılan her bir işlem, ilgili talimat süresince, aktif elektrik enerjisinin uzlaştırmaya esas elektrik enerjisi teslim noktasında teslim edilmesi veya teslim alınması suretiyle,</w:t>
      </w:r>
    </w:p>
    <w:p w14:paraId="60E21BBF" w14:textId="77777777" w:rsidR="00A9507E" w:rsidRDefault="00A9507E" w:rsidP="00A9507E">
      <w:pPr>
        <w:pStyle w:val="ListeParagraf"/>
        <w:spacing w:after="0"/>
        <w:ind w:left="1440"/>
        <w:rPr>
          <w:rFonts w:ascii="Calibri" w:hAnsi="Calibri"/>
          <w:i/>
        </w:rPr>
      </w:pPr>
      <w:proofErr w:type="gramStart"/>
      <w:r w:rsidRPr="00A9507E">
        <w:rPr>
          <w:rFonts w:ascii="Calibri" w:hAnsi="Calibri"/>
          <w:i/>
        </w:rPr>
        <w:t>gerçekleştirilir</w:t>
      </w:r>
      <w:proofErr w:type="gramEnd"/>
      <w:r w:rsidRPr="00A9507E">
        <w:rPr>
          <w:rFonts w:ascii="Calibri" w:hAnsi="Calibri"/>
          <w:i/>
        </w:rPr>
        <w:t>.”</w:t>
      </w:r>
    </w:p>
    <w:p w14:paraId="5D4F5E2E" w14:textId="77777777" w:rsidR="00A9507E" w:rsidRDefault="00A9507E" w:rsidP="00A9507E">
      <w:pPr>
        <w:pStyle w:val="ListeParagraf"/>
        <w:spacing w:after="0"/>
        <w:ind w:left="1440"/>
        <w:rPr>
          <w:rFonts w:ascii="Calibri" w:hAnsi="Calibri"/>
          <w:i/>
        </w:rPr>
      </w:pPr>
    </w:p>
    <w:p w14:paraId="48DCE4D9" w14:textId="77777777" w:rsidR="00A9507E" w:rsidRDefault="00A9507E" w:rsidP="0025080A">
      <w:pPr>
        <w:pStyle w:val="ListeParagraf"/>
        <w:numPr>
          <w:ilvl w:val="0"/>
          <w:numId w:val="21"/>
        </w:numPr>
        <w:spacing w:after="0"/>
        <w:rPr>
          <w:rFonts w:ascii="Calibri" w:hAnsi="Calibri"/>
          <w:iCs/>
        </w:rPr>
      </w:pPr>
      <w:r w:rsidRPr="00A9507E">
        <w:rPr>
          <w:rFonts w:ascii="Calibri" w:hAnsi="Calibri"/>
          <w:iCs/>
        </w:rPr>
        <w:t>68 inci maddesinin birinci fıkrasının (a) bendi aşağıdaki şekilde değiştirilmiştir.</w:t>
      </w:r>
    </w:p>
    <w:p w14:paraId="5D444660" w14:textId="77777777" w:rsidR="00A9507E" w:rsidRPr="002048A7" w:rsidRDefault="00A9507E" w:rsidP="00A9507E">
      <w:pPr>
        <w:pStyle w:val="ListeParagraf"/>
        <w:spacing w:after="0"/>
        <w:ind w:left="1440"/>
        <w:rPr>
          <w:rFonts w:ascii="Calibri" w:hAnsi="Calibri"/>
          <w:iCs/>
        </w:rPr>
      </w:pPr>
    </w:p>
    <w:p w14:paraId="1F4CC025" w14:textId="77777777" w:rsidR="00A9507E" w:rsidRDefault="00A9507E" w:rsidP="00A9507E">
      <w:pPr>
        <w:pStyle w:val="ListeParagraf"/>
        <w:spacing w:after="0"/>
        <w:ind w:left="1440"/>
        <w:rPr>
          <w:rFonts w:ascii="Calibri" w:hAnsi="Calibri"/>
          <w:i/>
        </w:rPr>
      </w:pPr>
      <w:r w:rsidRPr="00A9507E">
        <w:rPr>
          <w:rFonts w:ascii="Calibri" w:hAnsi="Calibri"/>
          <w:i/>
        </w:rPr>
        <w:t>“</w:t>
      </w:r>
      <w:proofErr w:type="gramStart"/>
      <w:r w:rsidRPr="00A9507E">
        <w:rPr>
          <w:rFonts w:ascii="Calibri" w:hAnsi="Calibri"/>
          <w:i/>
        </w:rPr>
        <w:t>a</w:t>
      </w:r>
      <w:proofErr w:type="gramEnd"/>
      <w:r w:rsidRPr="00A9507E">
        <w:rPr>
          <w:rFonts w:ascii="Calibri" w:hAnsi="Calibri"/>
          <w:i/>
        </w:rPr>
        <w:t>) Her gün saat 15:30’a kadar, dengeleme güç piyasasına katılan her bir piyasa katılımcısı, kendi adına kayıtlı üretim, elektrik depolama ünitesi veya tesisi ve tüketim tesisi niteliğindeki tüm uzlaştırmaya esas veriş-çekiş birimleri için saatlik üretim ya da tüketim değerlerini içeren kesinleşmiş gün öncesi üretim/tüketim programlarını ve dengeleme güç piyasasına ilişkin yük alma, yük atma tekliflerini PYS aracılığıyla Sistem İşletmecisine bildirir.”</w:t>
      </w:r>
    </w:p>
    <w:p w14:paraId="5E741B2A" w14:textId="77777777" w:rsidR="00A9507E" w:rsidRDefault="00A9507E" w:rsidP="00A9507E">
      <w:pPr>
        <w:pStyle w:val="ListeParagraf"/>
        <w:spacing w:after="0"/>
        <w:ind w:left="1440"/>
        <w:rPr>
          <w:rFonts w:ascii="Calibri" w:hAnsi="Calibri"/>
          <w:i/>
        </w:rPr>
      </w:pPr>
    </w:p>
    <w:p w14:paraId="2742FE4A" w14:textId="77777777" w:rsidR="00A9507E" w:rsidRDefault="00A9507E" w:rsidP="0025080A">
      <w:pPr>
        <w:pStyle w:val="ListeParagraf"/>
        <w:numPr>
          <w:ilvl w:val="0"/>
          <w:numId w:val="21"/>
        </w:numPr>
        <w:spacing w:after="0"/>
        <w:rPr>
          <w:rFonts w:ascii="Calibri" w:hAnsi="Calibri"/>
          <w:iCs/>
        </w:rPr>
      </w:pPr>
      <w:r w:rsidRPr="00A9507E">
        <w:rPr>
          <w:rFonts w:ascii="Calibri" w:hAnsi="Calibri"/>
          <w:iCs/>
        </w:rPr>
        <w:t>69 uncu maddesinin birinci ve ikinci fıkraları aşağıdaki şekilde değiştirilmiş ve aynı maddeye aşağıdaki fıkralar eklenmiştir.</w:t>
      </w:r>
    </w:p>
    <w:p w14:paraId="5022232A" w14:textId="77777777" w:rsidR="00A9507E" w:rsidRPr="002048A7" w:rsidRDefault="00A9507E" w:rsidP="00A9507E">
      <w:pPr>
        <w:pStyle w:val="ListeParagraf"/>
        <w:spacing w:after="0"/>
        <w:ind w:left="1440"/>
        <w:rPr>
          <w:rFonts w:ascii="Calibri" w:hAnsi="Calibri"/>
          <w:iCs/>
        </w:rPr>
      </w:pPr>
    </w:p>
    <w:p w14:paraId="48ABEAA2" w14:textId="77777777" w:rsidR="00A9507E" w:rsidRPr="00A9507E" w:rsidRDefault="00A9507E" w:rsidP="00A9507E">
      <w:pPr>
        <w:pStyle w:val="ListeParagraf"/>
        <w:spacing w:after="0"/>
        <w:ind w:left="1440"/>
        <w:rPr>
          <w:rFonts w:ascii="Calibri" w:hAnsi="Calibri"/>
          <w:i/>
        </w:rPr>
      </w:pPr>
      <w:r w:rsidRPr="00A9507E">
        <w:rPr>
          <w:rFonts w:ascii="Calibri" w:hAnsi="Calibri"/>
          <w:i/>
        </w:rPr>
        <w:t xml:space="preserve">“(1) Her bir piyasa katılımcısının, denge sorumluluğuna ilişkin yükümlülüklerine ve gün öncesi piyasası sonucuna bağlı olarak bir sonraki gün için saatlik olarak gerçekleştirmesi öngörülen üretim ya da tüketim değerlerine ilişkin kesinleşmiş gün öncesi üretim/tüketim programları ve emre amade kapasiteleri her gün saat 15:30’a kadar Sistem İşletmecisine bildirilir. Sistem İşletmecisi, KGÜP’lerini bildirmemeyi itiyat haline getiren piyasa katılımcıları için bir rapor düzenleyerek Kanunun </w:t>
      </w:r>
      <w:proofErr w:type="gramStart"/>
      <w:r w:rsidRPr="00A9507E">
        <w:rPr>
          <w:rFonts w:ascii="Calibri" w:hAnsi="Calibri"/>
          <w:i/>
        </w:rPr>
        <w:t>16 ncı</w:t>
      </w:r>
      <w:proofErr w:type="gramEnd"/>
      <w:r w:rsidRPr="00A9507E">
        <w:rPr>
          <w:rFonts w:ascii="Calibri" w:hAnsi="Calibri"/>
          <w:i/>
        </w:rPr>
        <w:t xml:space="preserve"> maddesi uyarınca yaptırım uygulanmak üzere Kuruma bildirir. Bildirilen KGÜP’ler en geç gün içi piyasasının kapı kapanış zamanını takip eden yarım saat sonrasına kadar ilgili piyasa katılımcısı tarafından güncellenebilir. Dengeleme biriminin sisteme bağlantısının kısıt kayıtlı bağlantı niteliği taşıması halinde emre amade kapasite, Sistem İşletmecisi tarafından belirlenen teknik olarak gerçekleştirilebilecek azami kapasite ile sınırlandırılır. PYS’ye erişimi olmayan piyasa katılımcıları emre amade kapasiteleri ve kesinleşmiş gün öncesi üretim/tüketim programlarını saat 14:30’a kadar üretim tesisinin bağlı olduğu BYTM’ye bildirir. Bu durumda, BYTM’ler kendilerine bildirilen kesinleşmiş gün öncesi üretim/tüketim programlarını ve emre amade kapasitelerini PYS’ye girerler. BYTM’ler kendi bölgeleri içindeki üretim tesisi niteliğindeki uzlaştırmaya esas veriş-çekiş birimlerine ilişkin kesinleşmiş gün öncesi üretim/tüketim programlarını ve emre amade kapasitelerini her gün saat 15:30’a kadar PYS’ye girilmesini takip etmek ve piyasa katılımcısının PYS’ye girişini zamanında tamamlamasını sağlamakla sorumludurlar.</w:t>
      </w:r>
    </w:p>
    <w:p w14:paraId="065523AB" w14:textId="77777777" w:rsidR="00A9507E" w:rsidRPr="00A9507E" w:rsidRDefault="00A9507E" w:rsidP="00A9507E">
      <w:pPr>
        <w:pStyle w:val="ListeParagraf"/>
        <w:spacing w:after="0"/>
        <w:ind w:left="1440"/>
        <w:rPr>
          <w:rFonts w:ascii="Calibri" w:hAnsi="Calibri"/>
          <w:i/>
        </w:rPr>
      </w:pPr>
      <w:r w:rsidRPr="00A9507E">
        <w:rPr>
          <w:rFonts w:ascii="Calibri" w:hAnsi="Calibri"/>
          <w:i/>
        </w:rPr>
        <w:t xml:space="preserve">(2) Üretim tesisi niteliğinde olan tüm uzlaştırmaya esas veriş-çekiş birimleri, kesinleşmiş gün öncesi üretim/tüketim programlarını ve emre amade kapasitelerini bildirmekle yükümlüdür. Kesinleşmiş gün öncesi üretim/tüketim programı piyasa katılımcısı adına kayıtlı, üretim ve tüketim tesisi niteliğindeki tüm dengeleme birimleri ve dengeleme birimi olmayan üretim tesisi niteliğindeki uzlaştırmaya esas veriş-çekiş birimleri için saatlik üretim ya da tüketim değerlerini içerir. Kesinleşmiş gün öncesi üretim/tüketim programları dengeleme birimleri ve dengeleme </w:t>
      </w:r>
      <w:r w:rsidRPr="00A9507E">
        <w:rPr>
          <w:rFonts w:ascii="Calibri" w:hAnsi="Calibri"/>
          <w:i/>
        </w:rPr>
        <w:lastRenderedPageBreak/>
        <w:t>birimi olmayan üretim ve tüketim tesisi niteliğindeki uzlaştırmaya esas veriş-çekiş birimleri için, dengeleme birimi bazında ayrı ayrı bildirilir.”</w:t>
      </w:r>
    </w:p>
    <w:p w14:paraId="0B46104C" w14:textId="77777777" w:rsidR="00A9507E" w:rsidRPr="00A9507E" w:rsidRDefault="00A9507E" w:rsidP="00A9507E">
      <w:pPr>
        <w:pStyle w:val="ListeParagraf"/>
        <w:spacing w:after="0"/>
        <w:ind w:left="1440"/>
        <w:rPr>
          <w:rFonts w:ascii="Calibri" w:hAnsi="Calibri"/>
          <w:i/>
        </w:rPr>
      </w:pPr>
      <w:r w:rsidRPr="00A9507E">
        <w:rPr>
          <w:rFonts w:ascii="Calibri" w:hAnsi="Calibri"/>
          <w:i/>
        </w:rPr>
        <w:t>“(8) Toplayıcı, lisanslı veya lisanssız elektrik üretim, tüketim ve müstakil elektrik depolama tesisleri için oluşturulan uzlaştırmaya esas veriş-çekiş birimlerine ilişkin KGÜP’lerini ve emre amade kapasitelerini Sistem İşletmecisine bildirmekle yükümlüdür.</w:t>
      </w:r>
    </w:p>
    <w:p w14:paraId="19EBD76E" w14:textId="77777777" w:rsidR="00A9507E" w:rsidRPr="00A9507E" w:rsidRDefault="00A9507E" w:rsidP="00A9507E">
      <w:pPr>
        <w:pStyle w:val="ListeParagraf"/>
        <w:spacing w:after="0"/>
        <w:ind w:left="1440"/>
        <w:rPr>
          <w:rFonts w:ascii="Calibri" w:hAnsi="Calibri"/>
          <w:i/>
        </w:rPr>
      </w:pPr>
      <w:r w:rsidRPr="00A9507E">
        <w:rPr>
          <w:rFonts w:ascii="Calibri" w:hAnsi="Calibri"/>
          <w:i/>
        </w:rPr>
        <w:t>(9) Toplayıcı, dengeleme birimi olmayan lisanslı üretim tesisleri ile dengeleme güç piyasasına katılmak üzere oluşturulan toplulukta, yer alan her bir üretim tesisinin KGÜP değerlerini Sistem İşletmecisine bildirmekle yükümlüdür. Söz konusu topluluğun uzlaştırma dönemindeki KGÜP değeri, topluluk içerisinde yer alan her bir üretim tesisinin ilgili uzlaştırma dönemindeki münferit olarak bildirilmiş KGÜP değerlerinin toplamıdır.”</w:t>
      </w:r>
    </w:p>
    <w:p w14:paraId="07B443B2" w14:textId="77777777" w:rsidR="00A9507E" w:rsidRDefault="00A9507E" w:rsidP="00A9507E">
      <w:pPr>
        <w:pStyle w:val="ListeParagraf"/>
        <w:spacing w:after="0"/>
        <w:ind w:left="1440"/>
        <w:rPr>
          <w:rFonts w:ascii="Calibri" w:hAnsi="Calibri"/>
          <w:i/>
        </w:rPr>
      </w:pPr>
    </w:p>
    <w:p w14:paraId="2995C800" w14:textId="77777777" w:rsidR="00A9507E" w:rsidRDefault="00A9507E" w:rsidP="0025080A">
      <w:pPr>
        <w:pStyle w:val="ListeParagraf"/>
        <w:numPr>
          <w:ilvl w:val="0"/>
          <w:numId w:val="21"/>
        </w:numPr>
        <w:spacing w:after="0"/>
        <w:rPr>
          <w:rFonts w:ascii="Calibri" w:hAnsi="Calibri"/>
          <w:iCs/>
        </w:rPr>
      </w:pPr>
      <w:r w:rsidRPr="00A9507E">
        <w:rPr>
          <w:rFonts w:ascii="Calibri" w:hAnsi="Calibri"/>
          <w:iCs/>
        </w:rPr>
        <w:t>70 inci maddesinin yedinci fıkrası aşağıdaki şekilde değiştirilmiş ve aynı maddeye aşağıdaki fıkra eklenmiştir.</w:t>
      </w:r>
    </w:p>
    <w:p w14:paraId="722674A6" w14:textId="77777777" w:rsidR="00A9507E" w:rsidRPr="002048A7" w:rsidRDefault="00A9507E" w:rsidP="00A9507E">
      <w:pPr>
        <w:pStyle w:val="ListeParagraf"/>
        <w:spacing w:after="0"/>
        <w:ind w:left="1440"/>
        <w:rPr>
          <w:rFonts w:ascii="Calibri" w:hAnsi="Calibri"/>
          <w:iCs/>
        </w:rPr>
      </w:pPr>
    </w:p>
    <w:p w14:paraId="4855FD8A" w14:textId="77777777" w:rsidR="00A9507E" w:rsidRPr="00A9507E" w:rsidRDefault="00A9507E" w:rsidP="00A9507E">
      <w:pPr>
        <w:pStyle w:val="ListeParagraf"/>
        <w:spacing w:after="0"/>
        <w:ind w:left="1440"/>
        <w:rPr>
          <w:rFonts w:ascii="Calibri" w:hAnsi="Calibri"/>
          <w:i/>
        </w:rPr>
      </w:pPr>
      <w:r w:rsidRPr="00A9507E">
        <w:rPr>
          <w:rFonts w:ascii="Calibri" w:hAnsi="Calibri"/>
          <w:i/>
        </w:rPr>
        <w:t>“(7) Dengeleme güç piyasasına katılan piyasa katılımcılarının, dengeleme güç piyasası kapsamında verilen yük alma ve yük atma teklifleri ile birlikte, dengeleme birimlerine ilişkin minimum kararlı üretim düzeyi ve emre amade kapasiteyi Sistem İşletmecisine bildirmeleri esastır.”</w:t>
      </w:r>
    </w:p>
    <w:p w14:paraId="25EC6D14" w14:textId="77777777" w:rsidR="00A9507E" w:rsidRDefault="00A9507E" w:rsidP="00A9507E">
      <w:pPr>
        <w:pStyle w:val="ListeParagraf"/>
        <w:spacing w:after="0"/>
        <w:ind w:left="1440"/>
        <w:rPr>
          <w:rFonts w:ascii="Calibri" w:hAnsi="Calibri"/>
          <w:i/>
        </w:rPr>
      </w:pPr>
      <w:r w:rsidRPr="00A9507E">
        <w:rPr>
          <w:rFonts w:ascii="Calibri" w:hAnsi="Calibri"/>
          <w:i/>
        </w:rPr>
        <w:t>“(8) Toplayıcı portföyünde yer alan tüketim ile lisanslı ve lisanssız elektrik üretim tesisleri topluluğuna ilişkin dengeleme birimine ait yük alma ve/veya yük atma teklifleri, topluluğa ilişkin oluşturulan dengeleme birimi bazında verilir.”</w:t>
      </w:r>
    </w:p>
    <w:p w14:paraId="7A2158DA" w14:textId="77777777" w:rsidR="00A9507E" w:rsidRDefault="00A9507E" w:rsidP="00A9507E">
      <w:pPr>
        <w:pStyle w:val="ListeParagraf"/>
        <w:spacing w:after="0"/>
        <w:ind w:left="1440"/>
        <w:rPr>
          <w:rFonts w:ascii="Calibri" w:hAnsi="Calibri"/>
          <w:i/>
        </w:rPr>
      </w:pPr>
    </w:p>
    <w:p w14:paraId="6C5A9310" w14:textId="77777777" w:rsidR="00A9507E" w:rsidRDefault="00A9507E" w:rsidP="0025080A">
      <w:pPr>
        <w:pStyle w:val="ListeParagraf"/>
        <w:numPr>
          <w:ilvl w:val="0"/>
          <w:numId w:val="21"/>
        </w:numPr>
        <w:spacing w:after="0"/>
        <w:rPr>
          <w:rFonts w:ascii="Calibri" w:hAnsi="Calibri"/>
          <w:iCs/>
        </w:rPr>
      </w:pPr>
      <w:r w:rsidRPr="00A9507E">
        <w:rPr>
          <w:rFonts w:ascii="Calibri" w:hAnsi="Calibri"/>
          <w:iCs/>
        </w:rPr>
        <w:t>71 inci maddesinin birinci fıkrası aşağıdaki şekilde değiştirilmiştir.</w:t>
      </w:r>
    </w:p>
    <w:p w14:paraId="69C8ADFE" w14:textId="77777777" w:rsidR="00A9507E" w:rsidRPr="002048A7" w:rsidRDefault="00A9507E" w:rsidP="00A9507E">
      <w:pPr>
        <w:pStyle w:val="ListeParagraf"/>
        <w:spacing w:after="0"/>
        <w:ind w:left="1440"/>
        <w:rPr>
          <w:rFonts w:ascii="Calibri" w:hAnsi="Calibri"/>
          <w:iCs/>
        </w:rPr>
      </w:pPr>
    </w:p>
    <w:p w14:paraId="52C7D9BD" w14:textId="77777777" w:rsidR="00A9507E" w:rsidRDefault="00A9507E" w:rsidP="00A9507E">
      <w:pPr>
        <w:pStyle w:val="ListeParagraf"/>
        <w:spacing w:after="0"/>
        <w:ind w:left="1440"/>
        <w:rPr>
          <w:rFonts w:ascii="Calibri" w:hAnsi="Calibri"/>
          <w:i/>
        </w:rPr>
      </w:pPr>
      <w:r w:rsidRPr="00A9507E">
        <w:rPr>
          <w:rFonts w:ascii="Calibri" w:hAnsi="Calibri"/>
          <w:i/>
        </w:rPr>
        <w:t xml:space="preserve">“(1) Dengeleme güç piyasasına katılan piyasa katılımcıları tarafından, bir sonraki güne ilişkin dengeleme güç piyasası kapsamındaki dengeleme birimi bazında belirlenen yük alma, yük atma teklifleri her gün saat 15:30’a kadar, PYS aracılığıyla Sistem İşletmecisine bildirilirler. Yük alma ve yük atma tekliflerinin belirtilen zamana kadar, </w:t>
      </w:r>
      <w:proofErr w:type="gramStart"/>
      <w:r w:rsidRPr="00A9507E">
        <w:rPr>
          <w:rFonts w:ascii="Calibri" w:hAnsi="Calibri"/>
          <w:i/>
        </w:rPr>
        <w:t>77 nci</w:t>
      </w:r>
      <w:proofErr w:type="gramEnd"/>
      <w:r w:rsidRPr="00A9507E">
        <w:rPr>
          <w:rFonts w:ascii="Calibri" w:hAnsi="Calibri"/>
          <w:i/>
        </w:rPr>
        <w:t xml:space="preserve"> maddede belirtildiği şekilde, mevcut olan tüm iletişim imkanlarının kullanılarak Sistem İşletmecisine bildirilmesi zorunludur.”</w:t>
      </w:r>
    </w:p>
    <w:p w14:paraId="57F91A26" w14:textId="77777777" w:rsidR="00A9507E" w:rsidRDefault="00A9507E" w:rsidP="00A9507E">
      <w:pPr>
        <w:pStyle w:val="ListeParagraf"/>
        <w:spacing w:after="0"/>
        <w:ind w:left="1440"/>
        <w:rPr>
          <w:rFonts w:ascii="Calibri" w:hAnsi="Calibri"/>
          <w:i/>
        </w:rPr>
      </w:pPr>
    </w:p>
    <w:p w14:paraId="0A6D12A1" w14:textId="77777777" w:rsidR="00A9507E" w:rsidRDefault="00A9507E" w:rsidP="0025080A">
      <w:pPr>
        <w:pStyle w:val="ListeParagraf"/>
        <w:numPr>
          <w:ilvl w:val="0"/>
          <w:numId w:val="21"/>
        </w:numPr>
        <w:spacing w:after="0"/>
        <w:rPr>
          <w:rFonts w:ascii="Calibri" w:hAnsi="Calibri"/>
          <w:iCs/>
        </w:rPr>
      </w:pPr>
      <w:proofErr w:type="gramStart"/>
      <w:r w:rsidRPr="00A9507E">
        <w:rPr>
          <w:rFonts w:ascii="Calibri" w:hAnsi="Calibri"/>
          <w:iCs/>
        </w:rPr>
        <w:t>73 üncü</w:t>
      </w:r>
      <w:proofErr w:type="gramEnd"/>
      <w:r w:rsidRPr="00A9507E">
        <w:rPr>
          <w:rFonts w:ascii="Calibri" w:hAnsi="Calibri"/>
          <w:iCs/>
        </w:rPr>
        <w:t xml:space="preserve"> maddesine aşağıdaki fıkralar eklenmiştir.</w:t>
      </w:r>
    </w:p>
    <w:p w14:paraId="15705068" w14:textId="77777777" w:rsidR="00A9507E" w:rsidRPr="002048A7" w:rsidRDefault="00A9507E" w:rsidP="00A9507E">
      <w:pPr>
        <w:pStyle w:val="ListeParagraf"/>
        <w:spacing w:after="0"/>
        <w:ind w:left="1440"/>
        <w:rPr>
          <w:rFonts w:ascii="Calibri" w:hAnsi="Calibri"/>
          <w:iCs/>
        </w:rPr>
      </w:pPr>
    </w:p>
    <w:p w14:paraId="10C955D0" w14:textId="77777777" w:rsidR="00A9507E" w:rsidRPr="00A9507E" w:rsidRDefault="00A9507E" w:rsidP="00A9507E">
      <w:pPr>
        <w:pStyle w:val="ListeParagraf"/>
        <w:spacing w:after="0"/>
        <w:ind w:left="1440"/>
        <w:rPr>
          <w:rFonts w:ascii="Calibri" w:hAnsi="Calibri"/>
          <w:i/>
        </w:rPr>
      </w:pPr>
      <w:r w:rsidRPr="00A9507E">
        <w:rPr>
          <w:rFonts w:ascii="Calibri" w:hAnsi="Calibri"/>
          <w:i/>
        </w:rPr>
        <w:t>“(6) Toplayıcının portföyünde yer alan dengeleme birimi olmayan lisanslı elektrik üretim tesisleri topluluğuna ilişkin dengeleme birimine verilen, kabul edilen ve yerine getirilen talimatın tespiti dengeleme birimine ilişkin oluşturulan uzlaştırmaya esas veriş-çekiş birimi bazındaki veriler dikkate alınarak gerçekleştirilir.</w:t>
      </w:r>
    </w:p>
    <w:p w14:paraId="16EDD09A" w14:textId="77777777" w:rsidR="00A9507E" w:rsidRDefault="00A9507E" w:rsidP="00A9507E">
      <w:pPr>
        <w:pStyle w:val="ListeParagraf"/>
        <w:spacing w:after="0"/>
        <w:ind w:left="1440"/>
        <w:rPr>
          <w:rFonts w:ascii="Calibri" w:hAnsi="Calibri"/>
          <w:i/>
        </w:rPr>
      </w:pPr>
      <w:r w:rsidRPr="00A9507E">
        <w:rPr>
          <w:rFonts w:ascii="Calibri" w:hAnsi="Calibri"/>
          <w:i/>
        </w:rPr>
        <w:t xml:space="preserve">(7) Toplayıcının portföyünde yer alan lisanslı elektrik üretim tesislerinin dengeleme birimi topluluğu altında yer alması ve ilgili topluluğa talimat verilmesi durumunda, bahse konu talimatın yerine getirilmemesi halinde söz konusu topluluğa 1/10/2013 tarihli ve 28782 sayılı Resmî Gazete’de yayımlanan Yenilenebilir Enerji Kaynaklarının Belgelendirilmesi ve Desteklenmesine İlişkin Yönetmeliğin </w:t>
      </w:r>
      <w:proofErr w:type="gramStart"/>
      <w:r w:rsidRPr="00A9507E">
        <w:rPr>
          <w:rFonts w:ascii="Calibri" w:hAnsi="Calibri"/>
          <w:i/>
        </w:rPr>
        <w:t>23 üncü</w:t>
      </w:r>
      <w:proofErr w:type="gramEnd"/>
      <w:r w:rsidRPr="00A9507E">
        <w:rPr>
          <w:rFonts w:ascii="Calibri" w:hAnsi="Calibri"/>
          <w:i/>
        </w:rPr>
        <w:t xml:space="preserve"> maddesinin altıncı fıkrası uygulanmaz. Ancak topluluk içerisinde yer alan elektrik üretim tesislerine münferiden talimat verilmesi halinde Yenilenebilir Enerji Kaynaklarının Belgelendirilmesi ve Desteklenmesine İlişkin Yönetmeliğin </w:t>
      </w:r>
      <w:proofErr w:type="gramStart"/>
      <w:r w:rsidRPr="00A9507E">
        <w:rPr>
          <w:rFonts w:ascii="Calibri" w:hAnsi="Calibri"/>
          <w:i/>
        </w:rPr>
        <w:t>23 üncü</w:t>
      </w:r>
      <w:proofErr w:type="gramEnd"/>
      <w:r w:rsidRPr="00A9507E">
        <w:rPr>
          <w:rFonts w:ascii="Calibri" w:hAnsi="Calibri"/>
          <w:i/>
        </w:rPr>
        <w:t xml:space="preserve"> maddesinin altıncı fıkrası hükmü uyarınca işlem tesis edilir.”</w:t>
      </w:r>
    </w:p>
    <w:p w14:paraId="3C6854B9" w14:textId="77777777" w:rsidR="00A9507E" w:rsidRDefault="00A9507E" w:rsidP="00A9507E">
      <w:pPr>
        <w:pStyle w:val="ListeParagraf"/>
        <w:spacing w:after="0"/>
        <w:ind w:left="1440"/>
        <w:rPr>
          <w:rFonts w:ascii="Calibri" w:hAnsi="Calibri"/>
          <w:i/>
        </w:rPr>
      </w:pPr>
    </w:p>
    <w:p w14:paraId="09872091" w14:textId="77777777" w:rsidR="00A9507E" w:rsidRDefault="00A9507E" w:rsidP="0025080A">
      <w:pPr>
        <w:pStyle w:val="ListeParagraf"/>
        <w:numPr>
          <w:ilvl w:val="0"/>
          <w:numId w:val="21"/>
        </w:numPr>
        <w:spacing w:after="0"/>
        <w:rPr>
          <w:rFonts w:ascii="Calibri" w:hAnsi="Calibri"/>
          <w:iCs/>
        </w:rPr>
      </w:pPr>
      <w:proofErr w:type="gramStart"/>
      <w:r w:rsidRPr="00A9507E">
        <w:rPr>
          <w:rFonts w:ascii="Calibri" w:hAnsi="Calibri"/>
          <w:iCs/>
        </w:rPr>
        <w:lastRenderedPageBreak/>
        <w:t>77 nci</w:t>
      </w:r>
      <w:proofErr w:type="gramEnd"/>
      <w:r w:rsidRPr="00A9507E">
        <w:rPr>
          <w:rFonts w:ascii="Calibri" w:hAnsi="Calibri"/>
          <w:iCs/>
        </w:rPr>
        <w:t xml:space="preserve"> maddesinin birinci fıkrasının (a) bendi aşağıdaki şekilde değiştirilmiştir.</w:t>
      </w:r>
    </w:p>
    <w:p w14:paraId="1FF9089C" w14:textId="77777777" w:rsidR="00A9507E" w:rsidRPr="002048A7" w:rsidRDefault="00A9507E" w:rsidP="00A9507E">
      <w:pPr>
        <w:pStyle w:val="ListeParagraf"/>
        <w:spacing w:after="0"/>
        <w:ind w:left="1440"/>
        <w:rPr>
          <w:rFonts w:ascii="Calibri" w:hAnsi="Calibri"/>
          <w:iCs/>
        </w:rPr>
      </w:pPr>
    </w:p>
    <w:p w14:paraId="2FCC0969" w14:textId="77777777" w:rsidR="00A9507E" w:rsidRDefault="00A9507E" w:rsidP="00A9507E">
      <w:pPr>
        <w:pStyle w:val="ListeParagraf"/>
        <w:spacing w:after="0"/>
        <w:ind w:left="1440"/>
        <w:rPr>
          <w:rFonts w:ascii="Calibri" w:hAnsi="Calibri"/>
          <w:i/>
        </w:rPr>
      </w:pPr>
      <w:r w:rsidRPr="00A9507E">
        <w:rPr>
          <w:rFonts w:ascii="Calibri" w:hAnsi="Calibri"/>
          <w:i/>
        </w:rPr>
        <w:t>“</w:t>
      </w:r>
      <w:proofErr w:type="gramStart"/>
      <w:r w:rsidRPr="00A9507E">
        <w:rPr>
          <w:rFonts w:ascii="Calibri" w:hAnsi="Calibri"/>
          <w:i/>
        </w:rPr>
        <w:t>a</w:t>
      </w:r>
      <w:proofErr w:type="gramEnd"/>
      <w:r w:rsidRPr="00A9507E">
        <w:rPr>
          <w:rFonts w:ascii="Calibri" w:hAnsi="Calibri"/>
          <w:i/>
        </w:rPr>
        <w:t>) Piyasa katılımcıları tarafından gün öncesi üretim/tüketim programlarının ve yük alma, yük atma tekliflerinin, emre amade kapasiteleri ile minimum kararlı üretim düzeyi değerlerinin Sistem İşletmecisine bildirilmesi,”</w:t>
      </w:r>
    </w:p>
    <w:p w14:paraId="4191D896" w14:textId="77777777" w:rsidR="00A9507E" w:rsidRDefault="00A9507E" w:rsidP="00A9507E">
      <w:pPr>
        <w:pStyle w:val="ListeParagraf"/>
        <w:spacing w:after="0"/>
        <w:ind w:left="1440"/>
        <w:rPr>
          <w:rFonts w:ascii="Calibri" w:hAnsi="Calibri"/>
          <w:i/>
        </w:rPr>
      </w:pPr>
    </w:p>
    <w:p w14:paraId="132ECB5C" w14:textId="77777777" w:rsidR="00A9507E" w:rsidRDefault="00A9507E" w:rsidP="0025080A">
      <w:pPr>
        <w:pStyle w:val="ListeParagraf"/>
        <w:numPr>
          <w:ilvl w:val="0"/>
          <w:numId w:val="21"/>
        </w:numPr>
        <w:spacing w:after="0"/>
        <w:rPr>
          <w:rFonts w:ascii="Calibri" w:hAnsi="Calibri"/>
          <w:iCs/>
        </w:rPr>
      </w:pPr>
      <w:r w:rsidRPr="00A9507E">
        <w:rPr>
          <w:rFonts w:ascii="Calibri" w:hAnsi="Calibri"/>
          <w:iCs/>
        </w:rPr>
        <w:t>110 uncu maddesinin üçüncü ve beşinci fıkraları aşağıdaki şekilde değiştirilmiş ve aynı maddeye aşağıdaki fıkra eklenmiştir.</w:t>
      </w:r>
    </w:p>
    <w:p w14:paraId="053C4C3C" w14:textId="77777777" w:rsidR="00A9507E" w:rsidRPr="002048A7" w:rsidRDefault="00A9507E" w:rsidP="00A9507E">
      <w:pPr>
        <w:pStyle w:val="ListeParagraf"/>
        <w:spacing w:after="0"/>
        <w:ind w:left="1440"/>
        <w:rPr>
          <w:rFonts w:ascii="Calibri" w:hAnsi="Calibri"/>
          <w:iCs/>
        </w:rPr>
      </w:pPr>
    </w:p>
    <w:p w14:paraId="75455C08" w14:textId="77777777" w:rsidR="002B3E8B" w:rsidRDefault="002B3E8B" w:rsidP="002B3E8B">
      <w:pPr>
        <w:pStyle w:val="ListeParagraf"/>
        <w:spacing w:after="0"/>
        <w:ind w:left="1440"/>
        <w:rPr>
          <w:rFonts w:ascii="Calibri" w:hAnsi="Calibri"/>
          <w:i/>
        </w:rPr>
      </w:pPr>
      <w:r w:rsidRPr="002B3E8B">
        <w:rPr>
          <w:rFonts w:ascii="Calibri" w:hAnsi="Calibri"/>
          <w:i/>
        </w:rPr>
        <w:t>“(3) Bir piyasa katılımcısının adına kayıtlı ve KGÜP bildirmekle yükümlü olan bir uzlaştırmaya esas veriş-çekiş biriminin bir uzlaştırma dönemine ait kesinleşmiş günlük üretim/tüketim programından sapma tutarı aşağıdaki formüle göre hesaplanır:</w:t>
      </w:r>
    </w:p>
    <w:p w14:paraId="00E88EA1" w14:textId="77777777" w:rsidR="002B3E8B" w:rsidRPr="002B3E8B" w:rsidRDefault="002B3E8B" w:rsidP="002B3E8B">
      <w:pPr>
        <w:pStyle w:val="ListeParagraf"/>
        <w:spacing w:after="0"/>
        <w:ind w:left="1440"/>
        <w:rPr>
          <w:rFonts w:ascii="Calibri" w:hAnsi="Calibri"/>
          <w:i/>
        </w:rPr>
      </w:pPr>
      <w:r w:rsidRPr="00071236">
        <w:rPr>
          <w:rFonts w:ascii="Times New Roman" w:eastAsia="Times New Roman" w:hAnsi="Times New Roman"/>
          <w:noProof/>
          <w:sz w:val="18"/>
          <w:szCs w:val="18"/>
          <w:lang w:eastAsia="tr-TR"/>
        </w:rPr>
        <w:drawing>
          <wp:inline distT="0" distB="0" distL="0" distR="0" wp14:anchorId="4A726F0E" wp14:editId="231B5BE2">
            <wp:extent cx="4429125" cy="561975"/>
            <wp:effectExtent l="0" t="0" r="9525" b="9525"/>
            <wp:docPr id="7" name="Resim 7" descr="https://www.resmigazete.gov.tr/eskiler/2024/12/20241217-22_dosyalar/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resmigazete.gov.tr/eskiler/2024/12/20241217-22_dosyalar/image002.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29125" cy="561975"/>
                    </a:xfrm>
                    <a:prstGeom prst="rect">
                      <a:avLst/>
                    </a:prstGeom>
                    <a:noFill/>
                    <a:ln>
                      <a:noFill/>
                    </a:ln>
                  </pic:spPr>
                </pic:pic>
              </a:graphicData>
            </a:graphic>
          </wp:inline>
        </w:drawing>
      </w:r>
    </w:p>
    <w:p w14:paraId="74B4635E" w14:textId="77777777" w:rsidR="002B3E8B" w:rsidRPr="002B3E8B" w:rsidRDefault="002B3E8B" w:rsidP="002B3E8B">
      <w:pPr>
        <w:pStyle w:val="ListeParagraf"/>
        <w:spacing w:after="0"/>
        <w:ind w:left="1440"/>
        <w:rPr>
          <w:rFonts w:ascii="Calibri" w:hAnsi="Calibri"/>
          <w:i/>
        </w:rPr>
      </w:pPr>
      <w:r w:rsidRPr="002B3E8B">
        <w:rPr>
          <w:rFonts w:ascii="Calibri" w:hAnsi="Calibri"/>
          <w:i/>
        </w:rPr>
        <w:t xml:space="preserve"> </w:t>
      </w:r>
    </w:p>
    <w:p w14:paraId="475505C9" w14:textId="77777777" w:rsidR="002B3E8B" w:rsidRPr="002B3E8B" w:rsidRDefault="002B3E8B" w:rsidP="002B3E8B">
      <w:pPr>
        <w:pStyle w:val="ListeParagraf"/>
        <w:spacing w:after="0"/>
        <w:ind w:left="1440"/>
        <w:rPr>
          <w:rFonts w:ascii="Calibri" w:hAnsi="Calibri"/>
          <w:i/>
        </w:rPr>
      </w:pPr>
      <w:r w:rsidRPr="002B3E8B">
        <w:rPr>
          <w:rFonts w:ascii="Calibri" w:hAnsi="Calibri"/>
          <w:i/>
        </w:rPr>
        <w:t>“(5) Kurul, bu madde kapsamında enerji dengesizlik ve kesinleşmiş günlük üretim/tüketim programından sapma tutarının hesaplanmasında kaynak bazlı ve depolamalı elektrik üretim tesisleri ile tüketim tesisleri için farklı metodolojiler veya katsayılar uygulayabilir.”</w:t>
      </w:r>
    </w:p>
    <w:p w14:paraId="23CBBFF8" w14:textId="77777777" w:rsidR="002B3E8B" w:rsidRPr="002B3E8B" w:rsidRDefault="002B3E8B" w:rsidP="002B3E8B">
      <w:pPr>
        <w:pStyle w:val="ListeParagraf"/>
        <w:spacing w:after="0"/>
        <w:ind w:left="1440"/>
        <w:rPr>
          <w:rFonts w:ascii="Calibri" w:hAnsi="Calibri"/>
          <w:i/>
        </w:rPr>
      </w:pPr>
      <w:r w:rsidRPr="002B3E8B">
        <w:rPr>
          <w:rFonts w:ascii="Calibri" w:hAnsi="Calibri"/>
          <w:i/>
        </w:rPr>
        <w:t>“(6) Toplayıcı portföyünde yer alan dengeleme birimi olmayan lisanslı ve lisanssız elektrik üretim tesisleri ile müstakil elektrik depolama tesislerinin KÜPST hesaplaması;</w:t>
      </w:r>
    </w:p>
    <w:p w14:paraId="5A905FAA" w14:textId="77777777" w:rsidR="002B3E8B" w:rsidRPr="002B3E8B" w:rsidRDefault="002B3E8B" w:rsidP="002B3E8B">
      <w:pPr>
        <w:pStyle w:val="ListeParagraf"/>
        <w:spacing w:after="0"/>
        <w:ind w:left="1440"/>
        <w:rPr>
          <w:rFonts w:ascii="Calibri" w:hAnsi="Calibri"/>
          <w:i/>
        </w:rPr>
      </w:pPr>
      <w:r w:rsidRPr="002B3E8B">
        <w:rPr>
          <w:rFonts w:ascii="Calibri" w:hAnsi="Calibri"/>
          <w:i/>
        </w:rPr>
        <w:t>a) Dengeleme birimi olmak üzere topluluk için oluşturulan uzlaştırmaya esas veriş-çekiş birimi bazında,</w:t>
      </w:r>
    </w:p>
    <w:p w14:paraId="6FB2DD0A" w14:textId="77777777" w:rsidR="002B3E8B" w:rsidRPr="002B3E8B" w:rsidRDefault="002B3E8B" w:rsidP="002B3E8B">
      <w:pPr>
        <w:pStyle w:val="ListeParagraf"/>
        <w:spacing w:after="0"/>
        <w:ind w:left="1440"/>
        <w:rPr>
          <w:rFonts w:ascii="Calibri" w:hAnsi="Calibri"/>
          <w:i/>
        </w:rPr>
      </w:pPr>
      <w:r w:rsidRPr="002B3E8B">
        <w:rPr>
          <w:rFonts w:ascii="Calibri" w:hAnsi="Calibri"/>
          <w:i/>
        </w:rPr>
        <w:t>b) Tesislerin topluluk oluşturmaması halinde ilgili üretim tesisleri için münferit olarak,</w:t>
      </w:r>
    </w:p>
    <w:p w14:paraId="3BD6B222" w14:textId="77777777" w:rsidR="002B3E8B" w:rsidRPr="002B3E8B" w:rsidRDefault="002B3E8B" w:rsidP="002B3E8B">
      <w:pPr>
        <w:pStyle w:val="ListeParagraf"/>
        <w:spacing w:after="0"/>
        <w:ind w:left="1440"/>
        <w:rPr>
          <w:rFonts w:ascii="Calibri" w:hAnsi="Calibri"/>
          <w:i/>
        </w:rPr>
      </w:pPr>
      <w:proofErr w:type="gramStart"/>
      <w:r w:rsidRPr="002B3E8B">
        <w:rPr>
          <w:rFonts w:ascii="Calibri" w:hAnsi="Calibri"/>
          <w:i/>
        </w:rPr>
        <w:t>gerçekleştirilir</w:t>
      </w:r>
      <w:proofErr w:type="gramEnd"/>
      <w:r w:rsidRPr="002B3E8B">
        <w:rPr>
          <w:rFonts w:ascii="Calibri" w:hAnsi="Calibri"/>
          <w:i/>
        </w:rPr>
        <w:t>. Bu kapsamda uygulanacak olan tolerans katsayısı Kurul kararı ile belirlenir.”</w:t>
      </w:r>
    </w:p>
    <w:p w14:paraId="367C929A" w14:textId="77777777" w:rsidR="00A9507E" w:rsidRDefault="00A9507E" w:rsidP="002B3E8B">
      <w:pPr>
        <w:pStyle w:val="ListeParagraf"/>
        <w:spacing w:after="0"/>
        <w:ind w:left="1440"/>
        <w:rPr>
          <w:rFonts w:ascii="Calibri" w:hAnsi="Calibri"/>
          <w:i/>
        </w:rPr>
      </w:pPr>
    </w:p>
    <w:p w14:paraId="6410E606" w14:textId="77777777" w:rsidR="002B3E8B" w:rsidRDefault="002B3E8B" w:rsidP="0025080A">
      <w:pPr>
        <w:pStyle w:val="ListeParagraf"/>
        <w:numPr>
          <w:ilvl w:val="0"/>
          <w:numId w:val="21"/>
        </w:numPr>
        <w:spacing w:after="0"/>
        <w:rPr>
          <w:rFonts w:ascii="Calibri" w:hAnsi="Calibri"/>
          <w:iCs/>
        </w:rPr>
      </w:pPr>
      <w:r w:rsidRPr="002B3E8B">
        <w:rPr>
          <w:rFonts w:ascii="Calibri" w:hAnsi="Calibri"/>
          <w:iCs/>
        </w:rPr>
        <w:t>111 inci maddesine aşağıdaki fıkralar eklenmiştir.</w:t>
      </w:r>
    </w:p>
    <w:p w14:paraId="77556A57" w14:textId="77777777" w:rsidR="002B3E8B" w:rsidRPr="002048A7" w:rsidRDefault="002B3E8B" w:rsidP="002B3E8B">
      <w:pPr>
        <w:pStyle w:val="ListeParagraf"/>
        <w:spacing w:after="0"/>
        <w:ind w:left="1440"/>
        <w:rPr>
          <w:rFonts w:ascii="Calibri" w:hAnsi="Calibri"/>
          <w:iCs/>
        </w:rPr>
      </w:pPr>
    </w:p>
    <w:p w14:paraId="22DD769B" w14:textId="77777777" w:rsidR="002B3E8B" w:rsidRPr="002B3E8B" w:rsidRDefault="002B3E8B" w:rsidP="002B3E8B">
      <w:pPr>
        <w:pStyle w:val="ListeParagraf"/>
        <w:spacing w:after="0"/>
        <w:ind w:left="1440"/>
        <w:rPr>
          <w:rFonts w:ascii="Calibri" w:hAnsi="Calibri"/>
          <w:i/>
        </w:rPr>
      </w:pPr>
      <w:r w:rsidRPr="002B3E8B">
        <w:rPr>
          <w:rFonts w:ascii="Calibri" w:hAnsi="Calibri"/>
          <w:i/>
        </w:rPr>
        <w:t>“(3) Dengeden sorumlu grup üyelerinin her biri için enerji dengesizlik oranı aşağıdaki formüle göre hesaplanır:</w:t>
      </w:r>
    </w:p>
    <w:p w14:paraId="251BDA79" w14:textId="77777777" w:rsidR="002B3E8B" w:rsidRPr="002B3E8B" w:rsidRDefault="002B3E8B" w:rsidP="002B3E8B">
      <w:pPr>
        <w:pStyle w:val="ListeParagraf"/>
        <w:spacing w:after="0"/>
        <w:ind w:left="1440"/>
        <w:rPr>
          <w:rFonts w:ascii="Calibri" w:hAnsi="Calibri"/>
          <w:i/>
        </w:rPr>
      </w:pPr>
      <w:r w:rsidRPr="002B3E8B">
        <w:rPr>
          <w:rFonts w:ascii="Calibri" w:hAnsi="Calibri"/>
          <w:i/>
        </w:rPr>
        <w:t xml:space="preserve"> </w:t>
      </w:r>
      <w:r w:rsidRPr="00071236">
        <w:rPr>
          <w:rFonts w:ascii="Times New Roman" w:eastAsia="Times New Roman" w:hAnsi="Times New Roman"/>
          <w:noProof/>
          <w:sz w:val="18"/>
          <w:szCs w:val="18"/>
          <w:lang w:eastAsia="tr-TR"/>
        </w:rPr>
        <w:drawing>
          <wp:inline distT="0" distB="0" distL="0" distR="0" wp14:anchorId="6BA0A0E0" wp14:editId="0C489EEC">
            <wp:extent cx="4429125" cy="1790700"/>
            <wp:effectExtent l="0" t="0" r="9525" b="0"/>
            <wp:docPr id="19" name="Resim 19" descr="https://www.resmigazete.gov.tr/eskiler/2024/12/20241217-22_dosyalar/image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resmigazete.gov.tr/eskiler/2024/12/20241217-22_dosyalar/image004.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429125" cy="1790700"/>
                    </a:xfrm>
                    <a:prstGeom prst="rect">
                      <a:avLst/>
                    </a:prstGeom>
                    <a:noFill/>
                    <a:ln>
                      <a:noFill/>
                    </a:ln>
                  </pic:spPr>
                </pic:pic>
              </a:graphicData>
            </a:graphic>
          </wp:inline>
        </w:drawing>
      </w:r>
    </w:p>
    <w:p w14:paraId="38991658" w14:textId="77777777" w:rsidR="002B3E8B" w:rsidRPr="002B3E8B" w:rsidRDefault="002B3E8B" w:rsidP="002B3E8B">
      <w:pPr>
        <w:pStyle w:val="ListeParagraf"/>
        <w:spacing w:after="0"/>
        <w:ind w:left="1440"/>
        <w:rPr>
          <w:rFonts w:ascii="Calibri" w:hAnsi="Calibri"/>
          <w:i/>
        </w:rPr>
      </w:pPr>
      <w:r w:rsidRPr="002B3E8B">
        <w:rPr>
          <w:rFonts w:ascii="Calibri" w:hAnsi="Calibri"/>
          <w:i/>
        </w:rPr>
        <w:t>(</w:t>
      </w:r>
      <w:proofErr w:type="gramStart"/>
      <w:r w:rsidRPr="002B3E8B">
        <w:rPr>
          <w:rFonts w:ascii="Calibri" w:hAnsi="Calibri"/>
          <w:i/>
        </w:rPr>
        <w:t>4 )</w:t>
      </w:r>
      <w:proofErr w:type="gramEnd"/>
      <w:r w:rsidRPr="002B3E8B">
        <w:rPr>
          <w:rFonts w:ascii="Calibri" w:hAnsi="Calibri"/>
          <w:i/>
        </w:rPr>
        <w:t xml:space="preserve"> Üçüncü fıkradaki formülde geçen;</w:t>
      </w:r>
    </w:p>
    <w:p w14:paraId="63FB0542" w14:textId="77777777" w:rsidR="002B3E8B" w:rsidRPr="002B3E8B" w:rsidRDefault="002B3E8B" w:rsidP="002B3E8B">
      <w:pPr>
        <w:pStyle w:val="ListeParagraf"/>
        <w:spacing w:after="0"/>
        <w:ind w:left="1440"/>
        <w:rPr>
          <w:rFonts w:ascii="Calibri" w:hAnsi="Calibri"/>
          <w:i/>
        </w:rPr>
      </w:pPr>
      <w:proofErr w:type="gramStart"/>
      <w:r w:rsidRPr="002B3E8B">
        <w:rPr>
          <w:rFonts w:ascii="Calibri" w:hAnsi="Calibri"/>
          <w:i/>
        </w:rPr>
        <w:t>TAMp,t</w:t>
      </w:r>
      <w:proofErr w:type="gramEnd"/>
      <w:r w:rsidRPr="002B3E8B">
        <w:rPr>
          <w:rFonts w:ascii="Calibri" w:hAnsi="Calibri"/>
          <w:i/>
        </w:rPr>
        <w:t>,u               “p” piyasa katılımcısının, “t” teklif bölgesi ve “u” uzlaştırma dönemi için vadeli elektrik piyasası, gün öncesi piyasası, gün içi piyasası alışları ile uzlaştırmaya esas ikili anlaşma alış miktarları ve dengeleme güç piyasası kapsamındaki kabul edilen ve yerine getirilmiş yük atma teklifi miktarları toplamını (MWh),</w:t>
      </w:r>
    </w:p>
    <w:p w14:paraId="3005A645" w14:textId="77777777" w:rsidR="002B3E8B" w:rsidRPr="002B3E8B" w:rsidRDefault="002B3E8B" w:rsidP="002B3E8B">
      <w:pPr>
        <w:pStyle w:val="ListeParagraf"/>
        <w:spacing w:after="0"/>
        <w:ind w:left="1440"/>
        <w:rPr>
          <w:rFonts w:ascii="Calibri" w:hAnsi="Calibri"/>
          <w:i/>
        </w:rPr>
      </w:pPr>
      <w:proofErr w:type="gramStart"/>
      <w:r w:rsidRPr="002B3E8B">
        <w:rPr>
          <w:rFonts w:ascii="Calibri" w:hAnsi="Calibri"/>
          <w:i/>
        </w:rPr>
        <w:lastRenderedPageBreak/>
        <w:t>NAMp,t</w:t>
      </w:r>
      <w:proofErr w:type="gramEnd"/>
      <w:r w:rsidRPr="002B3E8B">
        <w:rPr>
          <w:rFonts w:ascii="Calibri" w:hAnsi="Calibri"/>
          <w:i/>
        </w:rPr>
        <w:t>,u              “p” piyasa katılımcısının, “t” teklif bölgesi ve “u” uzlaştırma dönemi için uzlaştırmaya esas veriş miktarı ile toplam alış ve satış miktarlarının kullanılması ile tespit edilen net alış miktarını (MWh),</w:t>
      </w:r>
    </w:p>
    <w:p w14:paraId="63C8711E" w14:textId="77777777" w:rsidR="002B3E8B" w:rsidRPr="002B3E8B" w:rsidRDefault="002B3E8B" w:rsidP="002B3E8B">
      <w:pPr>
        <w:pStyle w:val="ListeParagraf"/>
        <w:spacing w:after="0"/>
        <w:ind w:left="1440"/>
        <w:rPr>
          <w:rFonts w:ascii="Calibri" w:hAnsi="Calibri"/>
          <w:i/>
        </w:rPr>
      </w:pPr>
      <w:proofErr w:type="gramStart"/>
      <w:r w:rsidRPr="002B3E8B">
        <w:rPr>
          <w:rFonts w:ascii="Calibri" w:hAnsi="Calibri"/>
          <w:i/>
        </w:rPr>
        <w:t>VEPAMp,t</w:t>
      </w:r>
      <w:proofErr w:type="gramEnd"/>
      <w:r w:rsidRPr="002B3E8B">
        <w:rPr>
          <w:rFonts w:ascii="Calibri" w:hAnsi="Calibri"/>
          <w:i/>
        </w:rPr>
        <w:t>,u          “p” piyasa katılımcısının, “t” teklif bölgesi ve “u” uzlaştırma dönemi için vadeli elektrik piyasasında gerçekleştirmiş olduğu toplam alış miktarını (MWh),</w:t>
      </w:r>
    </w:p>
    <w:p w14:paraId="1BA873C0" w14:textId="77777777" w:rsidR="002B3E8B" w:rsidRPr="002B3E8B" w:rsidRDefault="002B3E8B" w:rsidP="002B3E8B">
      <w:pPr>
        <w:pStyle w:val="ListeParagraf"/>
        <w:spacing w:after="0"/>
        <w:ind w:left="1440"/>
        <w:rPr>
          <w:rFonts w:ascii="Calibri" w:hAnsi="Calibri"/>
          <w:i/>
        </w:rPr>
      </w:pPr>
      <w:proofErr w:type="gramStart"/>
      <w:r w:rsidRPr="002B3E8B">
        <w:rPr>
          <w:rFonts w:ascii="Calibri" w:hAnsi="Calibri"/>
          <w:i/>
        </w:rPr>
        <w:t>KEYATMp,t</w:t>
      </w:r>
      <w:proofErr w:type="gramEnd"/>
      <w:r w:rsidRPr="002B3E8B">
        <w:rPr>
          <w:rFonts w:ascii="Calibri" w:hAnsi="Calibri"/>
          <w:i/>
        </w:rPr>
        <w:t>,u       “p” piyasa katılımcısının, “t” teklif bölgesi ve “u” uzlaştırma dönemi için, dengeleme güç piyasasındaki toplam kabul edilen ve yerine getirilmiş yük atma teklifi miktarını (MWh),</w:t>
      </w:r>
    </w:p>
    <w:p w14:paraId="286D5D26" w14:textId="77777777" w:rsidR="002B3E8B" w:rsidRPr="002B3E8B" w:rsidRDefault="002B3E8B" w:rsidP="002B3E8B">
      <w:pPr>
        <w:pStyle w:val="ListeParagraf"/>
        <w:spacing w:after="0"/>
        <w:ind w:left="1440"/>
        <w:rPr>
          <w:rFonts w:ascii="Calibri" w:hAnsi="Calibri"/>
          <w:i/>
        </w:rPr>
      </w:pPr>
      <w:proofErr w:type="gramStart"/>
      <w:r w:rsidRPr="002B3E8B">
        <w:rPr>
          <w:rFonts w:ascii="Calibri" w:hAnsi="Calibri"/>
          <w:i/>
        </w:rPr>
        <w:t>İAAMp,t</w:t>
      </w:r>
      <w:proofErr w:type="gramEnd"/>
      <w:r w:rsidRPr="002B3E8B">
        <w:rPr>
          <w:rFonts w:ascii="Calibri" w:hAnsi="Calibri"/>
          <w:i/>
        </w:rPr>
        <w:t>,u             “p” piyasa katılımcısının, “t” teklif bölgesi ve “u” uzlaştırma dönemi için uzlaştırmaya esas ikili anlaşma alış miktarını (MWh),</w:t>
      </w:r>
    </w:p>
    <w:p w14:paraId="069B50D4" w14:textId="77777777" w:rsidR="002B3E8B" w:rsidRPr="002B3E8B" w:rsidRDefault="002B3E8B" w:rsidP="002B3E8B">
      <w:pPr>
        <w:pStyle w:val="ListeParagraf"/>
        <w:spacing w:after="0"/>
        <w:ind w:left="1440"/>
        <w:rPr>
          <w:rFonts w:ascii="Calibri" w:hAnsi="Calibri"/>
          <w:i/>
        </w:rPr>
      </w:pPr>
      <w:proofErr w:type="gramStart"/>
      <w:r w:rsidRPr="002B3E8B">
        <w:rPr>
          <w:rFonts w:ascii="Calibri" w:hAnsi="Calibri"/>
          <w:i/>
        </w:rPr>
        <w:t>SAMp,t</w:t>
      </w:r>
      <w:proofErr w:type="gramEnd"/>
      <w:r w:rsidRPr="002B3E8B">
        <w:rPr>
          <w:rFonts w:ascii="Calibri" w:hAnsi="Calibri"/>
          <w:i/>
        </w:rPr>
        <w:t>,u               “p” piyasa katılımcısının, “t” teklif bölgesi ve “u” uzlaştırma dönemi için gün öncesi piyasasında gerçekleştirmiş olduğu toplam alış miktarını (MWh),</w:t>
      </w:r>
    </w:p>
    <w:p w14:paraId="0F787636" w14:textId="77777777" w:rsidR="002B3E8B" w:rsidRPr="002B3E8B" w:rsidRDefault="002B3E8B" w:rsidP="002B3E8B">
      <w:pPr>
        <w:pStyle w:val="ListeParagraf"/>
        <w:spacing w:after="0"/>
        <w:ind w:left="1440"/>
        <w:rPr>
          <w:rFonts w:ascii="Calibri" w:hAnsi="Calibri"/>
          <w:i/>
        </w:rPr>
      </w:pPr>
      <w:proofErr w:type="gramStart"/>
      <w:r w:rsidRPr="002B3E8B">
        <w:rPr>
          <w:rFonts w:ascii="Calibri" w:hAnsi="Calibri"/>
          <w:i/>
        </w:rPr>
        <w:t>GİPAMp,t</w:t>
      </w:r>
      <w:proofErr w:type="gramEnd"/>
      <w:r w:rsidRPr="002B3E8B">
        <w:rPr>
          <w:rFonts w:ascii="Calibri" w:hAnsi="Calibri"/>
          <w:i/>
        </w:rPr>
        <w:t>,u           “p” piyasa katılımcısının, “t” teklif bölgesi ve “u” uzlaştırma dönemi için gün içi piyasasında gerçekleştirmiş olduğu toplam alış miktarını (MWh),</w:t>
      </w:r>
    </w:p>
    <w:p w14:paraId="1B5BBB01" w14:textId="77777777" w:rsidR="002B3E8B" w:rsidRPr="002B3E8B" w:rsidRDefault="002B3E8B" w:rsidP="002B3E8B">
      <w:pPr>
        <w:pStyle w:val="ListeParagraf"/>
        <w:spacing w:after="0"/>
        <w:ind w:left="1440"/>
        <w:rPr>
          <w:rFonts w:ascii="Calibri" w:hAnsi="Calibri"/>
          <w:i/>
        </w:rPr>
      </w:pPr>
      <w:proofErr w:type="gramStart"/>
      <w:r w:rsidRPr="002B3E8B">
        <w:rPr>
          <w:rFonts w:ascii="Calibri" w:hAnsi="Calibri"/>
          <w:i/>
        </w:rPr>
        <w:t>TSMp,t</w:t>
      </w:r>
      <w:proofErr w:type="gramEnd"/>
      <w:r w:rsidRPr="002B3E8B">
        <w:rPr>
          <w:rFonts w:ascii="Calibri" w:hAnsi="Calibri"/>
          <w:i/>
        </w:rPr>
        <w:t>,u                “p” piyasa katılımcısının, “t” teklif bölgesi ve “u” uzlaştırma dönemi için vadeli elektrik piyasası, gün öncesi piyasası, gün içi piyasası satışları ile uzlaştırmaya esas ikili anlaşma satış miktarları ve dengeleme güç piyasası kapsamındaki kabul edilen ve yerine getirilmiş yük alma teklifi miktarları toplamını (MWh),</w:t>
      </w:r>
    </w:p>
    <w:p w14:paraId="2921D07C" w14:textId="77777777" w:rsidR="002B3E8B" w:rsidRPr="002B3E8B" w:rsidRDefault="002B3E8B" w:rsidP="002B3E8B">
      <w:pPr>
        <w:pStyle w:val="ListeParagraf"/>
        <w:spacing w:after="0"/>
        <w:ind w:left="1440"/>
        <w:rPr>
          <w:rFonts w:ascii="Calibri" w:hAnsi="Calibri"/>
          <w:i/>
        </w:rPr>
      </w:pPr>
      <w:proofErr w:type="gramStart"/>
      <w:r w:rsidRPr="002B3E8B">
        <w:rPr>
          <w:rFonts w:ascii="Calibri" w:hAnsi="Calibri"/>
          <w:i/>
        </w:rPr>
        <w:t>NSMp,t</w:t>
      </w:r>
      <w:proofErr w:type="gramEnd"/>
      <w:r w:rsidRPr="002B3E8B">
        <w:rPr>
          <w:rFonts w:ascii="Calibri" w:hAnsi="Calibri"/>
          <w:i/>
        </w:rPr>
        <w:t>,u               “p” piyasa katılımcısının, “t” teklif bölgesi ve “u” uzlaştırma dönemi için uzlaştırmaya esas çekiş miktarı ile toplam alış ve satış miktarlarının kullanılması ile tespit edilen net satış miktarını (MWh),</w:t>
      </w:r>
    </w:p>
    <w:p w14:paraId="1147E497" w14:textId="77777777" w:rsidR="002B3E8B" w:rsidRPr="002B3E8B" w:rsidRDefault="002B3E8B" w:rsidP="002B3E8B">
      <w:pPr>
        <w:pStyle w:val="ListeParagraf"/>
        <w:spacing w:after="0"/>
        <w:ind w:left="1440"/>
        <w:rPr>
          <w:rFonts w:ascii="Calibri" w:hAnsi="Calibri"/>
          <w:i/>
        </w:rPr>
      </w:pPr>
      <w:proofErr w:type="gramStart"/>
      <w:r w:rsidRPr="002B3E8B">
        <w:rPr>
          <w:rFonts w:ascii="Calibri" w:hAnsi="Calibri"/>
          <w:i/>
        </w:rPr>
        <w:t>VEPSMp,t</w:t>
      </w:r>
      <w:proofErr w:type="gramEnd"/>
      <w:r w:rsidRPr="002B3E8B">
        <w:rPr>
          <w:rFonts w:ascii="Calibri" w:hAnsi="Calibri"/>
          <w:i/>
        </w:rPr>
        <w:t>,u          “p” piyasa katılımcısının, “t” teklif bölgesi ve “u” uzlaştırma dönemi için vadeli elektrik piyasasında gerçekleştirmiş olduğu toplam satış miktarını (MWh),</w:t>
      </w:r>
    </w:p>
    <w:p w14:paraId="0E192989" w14:textId="77777777" w:rsidR="002B3E8B" w:rsidRPr="002B3E8B" w:rsidRDefault="002B3E8B" w:rsidP="002B3E8B">
      <w:pPr>
        <w:pStyle w:val="ListeParagraf"/>
        <w:spacing w:after="0"/>
        <w:ind w:left="1440"/>
        <w:rPr>
          <w:rFonts w:ascii="Calibri" w:hAnsi="Calibri"/>
          <w:i/>
        </w:rPr>
      </w:pPr>
      <w:proofErr w:type="gramStart"/>
      <w:r w:rsidRPr="002B3E8B">
        <w:rPr>
          <w:rFonts w:ascii="Calibri" w:hAnsi="Calibri"/>
          <w:i/>
        </w:rPr>
        <w:t>KEYALMp,t</w:t>
      </w:r>
      <w:proofErr w:type="gramEnd"/>
      <w:r w:rsidRPr="002B3E8B">
        <w:rPr>
          <w:rFonts w:ascii="Calibri" w:hAnsi="Calibri"/>
          <w:i/>
        </w:rPr>
        <w:t>,u       “p” piyasa katılımcısının, “t” teklif bölgesi ve “u” uzlaştırma dönemi için, dengeleme güç piyasasındaki toplam kabul edilen ve yerine getirilmiş yük alma teklifi miktarını (MWh),</w:t>
      </w:r>
    </w:p>
    <w:p w14:paraId="765B147B" w14:textId="77777777" w:rsidR="002B3E8B" w:rsidRPr="002B3E8B" w:rsidRDefault="002B3E8B" w:rsidP="002B3E8B">
      <w:pPr>
        <w:pStyle w:val="ListeParagraf"/>
        <w:spacing w:after="0"/>
        <w:ind w:left="1440"/>
        <w:rPr>
          <w:rFonts w:ascii="Calibri" w:hAnsi="Calibri"/>
          <w:i/>
        </w:rPr>
      </w:pPr>
      <w:proofErr w:type="gramStart"/>
      <w:r w:rsidRPr="002B3E8B">
        <w:rPr>
          <w:rFonts w:ascii="Calibri" w:hAnsi="Calibri"/>
          <w:i/>
        </w:rPr>
        <w:t>İASMp,t</w:t>
      </w:r>
      <w:proofErr w:type="gramEnd"/>
      <w:r w:rsidRPr="002B3E8B">
        <w:rPr>
          <w:rFonts w:ascii="Calibri" w:hAnsi="Calibri"/>
          <w:i/>
        </w:rPr>
        <w:t>,u              “p” piyasa katılımcısının, “t” teklif bölgesi ve “u” uzlaştırma dönemi için uzlaştırmaya esas ikili anlaşma satış miktarını (MWh),</w:t>
      </w:r>
    </w:p>
    <w:p w14:paraId="1F2D96DD" w14:textId="77777777" w:rsidR="002B3E8B" w:rsidRPr="002B3E8B" w:rsidRDefault="002B3E8B" w:rsidP="002B3E8B">
      <w:pPr>
        <w:pStyle w:val="ListeParagraf"/>
        <w:spacing w:after="0"/>
        <w:ind w:left="1440"/>
        <w:rPr>
          <w:rFonts w:ascii="Calibri" w:hAnsi="Calibri"/>
          <w:i/>
        </w:rPr>
      </w:pPr>
      <w:proofErr w:type="gramStart"/>
      <w:r w:rsidRPr="002B3E8B">
        <w:rPr>
          <w:rFonts w:ascii="Calibri" w:hAnsi="Calibri"/>
          <w:i/>
        </w:rPr>
        <w:t>SSMp,t</w:t>
      </w:r>
      <w:proofErr w:type="gramEnd"/>
      <w:r w:rsidRPr="002B3E8B">
        <w:rPr>
          <w:rFonts w:ascii="Calibri" w:hAnsi="Calibri"/>
          <w:i/>
        </w:rPr>
        <w:t>,u                “p” piyasa katılımcısının, “t” teklif bölgesi ve “u” uzlaştırma dönemi için gün öncesi piyasasında gerçekleştirmiş olduğu toplam satış miktarını (MWh),</w:t>
      </w:r>
    </w:p>
    <w:p w14:paraId="33017095" w14:textId="77777777" w:rsidR="002B3E8B" w:rsidRPr="002B3E8B" w:rsidRDefault="002B3E8B" w:rsidP="002B3E8B">
      <w:pPr>
        <w:pStyle w:val="ListeParagraf"/>
        <w:spacing w:after="0"/>
        <w:ind w:left="1440"/>
        <w:rPr>
          <w:rFonts w:ascii="Calibri" w:hAnsi="Calibri"/>
          <w:i/>
        </w:rPr>
      </w:pPr>
      <w:proofErr w:type="gramStart"/>
      <w:r w:rsidRPr="002B3E8B">
        <w:rPr>
          <w:rFonts w:ascii="Calibri" w:hAnsi="Calibri"/>
          <w:i/>
        </w:rPr>
        <w:t>GİPSMp,t</w:t>
      </w:r>
      <w:proofErr w:type="gramEnd"/>
      <w:r w:rsidRPr="002B3E8B">
        <w:rPr>
          <w:rFonts w:ascii="Calibri" w:hAnsi="Calibri"/>
          <w:i/>
        </w:rPr>
        <w:t>,u           “p” piyasa katılımcısının, “t” teklif bölgesi ve “u” uzlaştırma dönemi için gün içi piyasasında gerçekleştirmiş olduğu toplam satış miktarını (MWh),</w:t>
      </w:r>
    </w:p>
    <w:p w14:paraId="5948C4DE" w14:textId="77777777" w:rsidR="002B3E8B" w:rsidRPr="002B3E8B" w:rsidRDefault="002B3E8B" w:rsidP="002B3E8B">
      <w:pPr>
        <w:pStyle w:val="ListeParagraf"/>
        <w:spacing w:after="0"/>
        <w:ind w:left="1440"/>
        <w:rPr>
          <w:rFonts w:ascii="Calibri" w:hAnsi="Calibri"/>
          <w:i/>
        </w:rPr>
      </w:pPr>
      <w:proofErr w:type="gramStart"/>
      <w:r w:rsidRPr="002B3E8B">
        <w:rPr>
          <w:rFonts w:ascii="Calibri" w:hAnsi="Calibri"/>
          <w:i/>
        </w:rPr>
        <w:t>BEDMp,t</w:t>
      </w:r>
      <w:proofErr w:type="gramEnd"/>
      <w:r w:rsidRPr="002B3E8B">
        <w:rPr>
          <w:rFonts w:ascii="Calibri" w:hAnsi="Calibri"/>
          <w:i/>
        </w:rPr>
        <w:t>,u            “p” piyasa katılımcısının, “t” teklif bölgesi ve “u” uzlaştırma dönemi için dengesizlik oranı tespitinde kullanılan birinci fıkra uyarınca hesaplanan bireysel enerji dengesizlik miktarını (MWh),</w:t>
      </w:r>
    </w:p>
    <w:p w14:paraId="57B55017" w14:textId="77777777" w:rsidR="002B3E8B" w:rsidRPr="002B3E8B" w:rsidRDefault="002B3E8B" w:rsidP="002B3E8B">
      <w:pPr>
        <w:pStyle w:val="ListeParagraf"/>
        <w:spacing w:after="0"/>
        <w:ind w:left="1440"/>
        <w:rPr>
          <w:rFonts w:ascii="Calibri" w:hAnsi="Calibri"/>
          <w:i/>
        </w:rPr>
      </w:pPr>
      <w:proofErr w:type="gramStart"/>
      <w:r w:rsidRPr="002B3E8B">
        <w:rPr>
          <w:rFonts w:ascii="Calibri" w:hAnsi="Calibri"/>
          <w:i/>
        </w:rPr>
        <w:t>DOp,t</w:t>
      </w:r>
      <w:proofErr w:type="gramEnd"/>
      <w:r w:rsidRPr="002B3E8B">
        <w:rPr>
          <w:rFonts w:ascii="Calibri" w:hAnsi="Calibri"/>
          <w:i/>
        </w:rPr>
        <w:t>,u                  “p” piyasa katılımcısının, “t” teklif bölgesi ve “u” uzlaştırma dönemi için belirlenen enerji dengesizlik oranını,</w:t>
      </w:r>
    </w:p>
    <w:p w14:paraId="61CE5B38" w14:textId="77777777" w:rsidR="002B3E8B" w:rsidRPr="002B3E8B" w:rsidRDefault="002B3E8B" w:rsidP="002B3E8B">
      <w:pPr>
        <w:pStyle w:val="ListeParagraf"/>
        <w:spacing w:after="0"/>
        <w:ind w:left="1440"/>
        <w:rPr>
          <w:rFonts w:ascii="Calibri" w:hAnsi="Calibri"/>
          <w:i/>
        </w:rPr>
      </w:pPr>
      <w:proofErr w:type="gramStart"/>
      <w:r w:rsidRPr="002B3E8B">
        <w:rPr>
          <w:rFonts w:ascii="Calibri" w:hAnsi="Calibri"/>
          <w:i/>
        </w:rPr>
        <w:t>PHp,t</w:t>
      </w:r>
      <w:proofErr w:type="gramEnd"/>
      <w:r w:rsidRPr="002B3E8B">
        <w:rPr>
          <w:rFonts w:ascii="Calibri" w:hAnsi="Calibri"/>
          <w:i/>
        </w:rPr>
        <w:t>,u                   “p” piyasa katılımcısının, “t” teklif bölgesi ve “u” uzlaştırma dönemi için net alış miktarı ile net satış miktarı kullanılarak belirlenen piyasa hacmini (MWh),</w:t>
      </w:r>
    </w:p>
    <w:p w14:paraId="448E5D84" w14:textId="77777777" w:rsidR="002B3E8B" w:rsidRPr="002B3E8B" w:rsidRDefault="002B3E8B" w:rsidP="002B3E8B">
      <w:pPr>
        <w:pStyle w:val="ListeParagraf"/>
        <w:spacing w:after="0"/>
        <w:ind w:left="1440"/>
        <w:rPr>
          <w:rFonts w:ascii="Calibri" w:hAnsi="Calibri"/>
          <w:i/>
        </w:rPr>
      </w:pPr>
      <w:proofErr w:type="gramStart"/>
      <w:r w:rsidRPr="002B3E8B">
        <w:rPr>
          <w:rFonts w:ascii="Calibri" w:hAnsi="Calibri"/>
          <w:i/>
        </w:rPr>
        <w:t>ifade</w:t>
      </w:r>
      <w:proofErr w:type="gramEnd"/>
      <w:r w:rsidRPr="002B3E8B">
        <w:rPr>
          <w:rFonts w:ascii="Calibri" w:hAnsi="Calibri"/>
          <w:i/>
        </w:rPr>
        <w:t xml:space="preserve"> eder.</w:t>
      </w:r>
    </w:p>
    <w:p w14:paraId="24A6798E" w14:textId="77777777" w:rsidR="00A9507E" w:rsidRDefault="002B3E8B" w:rsidP="002B3E8B">
      <w:pPr>
        <w:pStyle w:val="ListeParagraf"/>
        <w:spacing w:after="0"/>
        <w:ind w:left="1440"/>
        <w:rPr>
          <w:rFonts w:ascii="Calibri" w:hAnsi="Calibri"/>
          <w:i/>
        </w:rPr>
      </w:pPr>
      <w:r w:rsidRPr="002B3E8B">
        <w:rPr>
          <w:rFonts w:ascii="Calibri" w:hAnsi="Calibri"/>
          <w:i/>
        </w:rPr>
        <w:t xml:space="preserve">(5) Dengeden sorumlu grup üyesi piyasa katılımcısı için ilgili teklif bölgesi ve uzlaştırma dönemi bazında hesaplanan dengesizlik oranının yüzde ondan küçük veya eşit olması halinde ilgili piyasa katılımcısının bireysel enerji dengesizlik miktarının tamamı dengeden sorumlu grup içerisinde değerlendirilir. İlgili piyasa katılımcısının dengesizlik oranının yüzde ondan büyük olması halinde; dördüncü fıkra kapsamında belirlenen piyasa hacminin yüzde onuna denk gelen bireysel enerji </w:t>
      </w:r>
      <w:r w:rsidRPr="002B3E8B">
        <w:rPr>
          <w:rFonts w:ascii="Calibri" w:hAnsi="Calibri"/>
          <w:i/>
        </w:rPr>
        <w:lastRenderedPageBreak/>
        <w:t>dengesizlik miktarı dengeden sorumlu grup içerisinde değerlendirilirken, piyasa hacminin yüzde onunu aşan bireysel dengesizlik miktarı için ilgili piyasa katılımcısının bireysel enerji dengesizlik tutarı, 110 uncu maddenin birinci fıkrası uyarınca hesaplanarak dengeden sorumlu tarafa ayrıca yansıtılır. Bu fıkra kapsamında uygulanan dengesizlik oranının ne kadar düşürüleceği, her yılın 1 Aralık tarihine kadar Kurul kararı ile belirlenir.”</w:t>
      </w:r>
    </w:p>
    <w:p w14:paraId="219205F1" w14:textId="77777777" w:rsidR="004454E7" w:rsidRDefault="004454E7" w:rsidP="002B3E8B">
      <w:pPr>
        <w:pStyle w:val="ListeParagraf"/>
        <w:spacing w:after="0"/>
        <w:ind w:left="1440"/>
        <w:rPr>
          <w:rFonts w:ascii="Calibri" w:hAnsi="Calibri"/>
          <w:i/>
        </w:rPr>
      </w:pPr>
    </w:p>
    <w:p w14:paraId="79FAC1B8" w14:textId="77777777" w:rsidR="004454E7" w:rsidRDefault="00942786" w:rsidP="0025080A">
      <w:pPr>
        <w:pStyle w:val="ListeParagraf"/>
        <w:numPr>
          <w:ilvl w:val="0"/>
          <w:numId w:val="21"/>
        </w:numPr>
        <w:spacing w:after="0"/>
        <w:rPr>
          <w:rFonts w:ascii="Calibri" w:hAnsi="Calibri"/>
          <w:iCs/>
        </w:rPr>
      </w:pPr>
      <w:r w:rsidRPr="00942786">
        <w:rPr>
          <w:rFonts w:ascii="Calibri" w:hAnsi="Calibri"/>
          <w:iCs/>
        </w:rPr>
        <w:t>132/E maddesinin beşinci fıkrasına aşağıdaki bentler eklenmiştir.</w:t>
      </w:r>
    </w:p>
    <w:p w14:paraId="23E6A183" w14:textId="77777777" w:rsidR="004454E7" w:rsidRPr="002048A7" w:rsidRDefault="004454E7" w:rsidP="004454E7">
      <w:pPr>
        <w:pStyle w:val="ListeParagraf"/>
        <w:spacing w:after="0"/>
        <w:ind w:left="1440"/>
        <w:rPr>
          <w:rFonts w:ascii="Calibri" w:hAnsi="Calibri"/>
          <w:iCs/>
        </w:rPr>
      </w:pPr>
    </w:p>
    <w:p w14:paraId="61CEE732" w14:textId="77777777" w:rsidR="00942786" w:rsidRPr="00942786" w:rsidRDefault="00942786" w:rsidP="00942786">
      <w:pPr>
        <w:pStyle w:val="ListeParagraf"/>
        <w:spacing w:after="0"/>
        <w:ind w:left="1440"/>
        <w:rPr>
          <w:rFonts w:ascii="Calibri" w:hAnsi="Calibri"/>
          <w:i/>
        </w:rPr>
      </w:pPr>
      <w:r w:rsidRPr="00942786">
        <w:rPr>
          <w:rFonts w:ascii="Calibri" w:hAnsi="Calibri"/>
          <w:i/>
        </w:rPr>
        <w:t>“</w:t>
      </w:r>
      <w:proofErr w:type="gramStart"/>
      <w:r w:rsidRPr="00942786">
        <w:rPr>
          <w:rFonts w:ascii="Calibri" w:hAnsi="Calibri"/>
          <w:i/>
        </w:rPr>
        <w:t>l</w:t>
      </w:r>
      <w:proofErr w:type="gramEnd"/>
      <w:r w:rsidRPr="00942786">
        <w:rPr>
          <w:rFonts w:ascii="Calibri" w:hAnsi="Calibri"/>
          <w:i/>
        </w:rPr>
        <w:t>) Toplayıcının toplam teminat seviyesinin karşılanamadığı üçüncü iş gününü takip eden günden itibaren geçerli olacak şekilde portföyü dağıtılır. Toplayıcının portföyünde yer alan lisanslı üretim santralleri, ilgili santrallere ilişkin lisansa sahip piyasa katılımcılarına; lisanssız üretim santralleri, ilgili bölgede faaliyet gösteren görevli tedarik şirketlerine aktarılır ve PYS’de kayıtlı tüm serbest tüketicilerin kayıtları katılımcının teminat seviyesinin 11:00 itibarıyla sunması gereken toplam teminat tutarını karşılamadığı üçüncü iş gününü takip eden günden itibaren geçerli olacak şekilde silinir. Durumla ilgili olarak (ç) bendi kapsamındaki diğer hükümler uygulanır. Piyasa katılımcısının portföyünde yer alan ve kendi tüzel kişiliğine ait olmayan serbest tüketiciler ve ilgili görevli tedarik şirketinin enerji sağladığı serbest olmayan tüketiciler hariç olmak üzere, portföyünde bulunan tüm uzlaştırmaya esas veriş- çekiş birimlerine ilişkin olarak; sisteme bağlantı durumuna göre ilgili dağıtım şirketine, dağıtım lisansına sahip ilgili OSB’ye ve TEİAŞ’a ilgili katılımcının sistem bağlantısının kesilmesi için Piyasa İşletmecisi tarafından bildirimi yapılır. Bu piyasa katılımcısının piyasa işletmecisine karşı tüm mali yükümlülüklerini tamamlamasını takip eden üç fatura dönemi için portföyüne lisanslı ve lisanssız elektrik üretim tesisleri ile tüketim tesisi kaydetmesine izin verilmez.</w:t>
      </w:r>
    </w:p>
    <w:p w14:paraId="59884360" w14:textId="77777777" w:rsidR="00942786" w:rsidRPr="00942786" w:rsidRDefault="00942786" w:rsidP="00942786">
      <w:pPr>
        <w:pStyle w:val="ListeParagraf"/>
        <w:spacing w:after="0"/>
        <w:ind w:left="1440"/>
        <w:rPr>
          <w:rFonts w:ascii="Calibri" w:hAnsi="Calibri"/>
          <w:i/>
        </w:rPr>
      </w:pPr>
      <w:r w:rsidRPr="00942786">
        <w:rPr>
          <w:rFonts w:ascii="Calibri" w:hAnsi="Calibri"/>
          <w:i/>
        </w:rPr>
        <w:t>m) Temerrüde düşen piyasa katılımcısının toplayıcının portföyünde yer alan santralleri ile ilgili olarak, söz konusu santraller; toplam teminat seviyesinin birbirini takip eden üç iş günü boyunca saat 11:00 itibari ile sağlanamadığı üçüncü iş gününü takip eden günden itibaren geçerli olacak şekilde portföyünden çıkartılır ve bu madde kapsamındaki işlemler tesis edilir. İlgili piyasa katılımcısı için teminat hesabı, Teminat Usul ve Esaslarında yer alan hükümlere göre tekrar yapılır.</w:t>
      </w:r>
    </w:p>
    <w:p w14:paraId="5B8DAE63" w14:textId="77777777" w:rsidR="004454E7" w:rsidRPr="00A9507E" w:rsidRDefault="00942786" w:rsidP="00942786">
      <w:pPr>
        <w:pStyle w:val="ListeParagraf"/>
        <w:spacing w:after="0"/>
        <w:ind w:left="1440"/>
        <w:rPr>
          <w:rFonts w:ascii="Calibri" w:hAnsi="Calibri"/>
          <w:i/>
        </w:rPr>
      </w:pPr>
      <w:r w:rsidRPr="00942786">
        <w:rPr>
          <w:rFonts w:ascii="Calibri" w:hAnsi="Calibri"/>
          <w:i/>
        </w:rPr>
        <w:t>n) Temerrüde düşen piyasa katılımcısının portföyünde yer alan santrallerini temerrütte olduğu süre boyunca toplayıcının portföyüne dahil etmesine izin verilmez.”</w:t>
      </w:r>
    </w:p>
    <w:p w14:paraId="6567F71C" w14:textId="77777777" w:rsidR="004454E7" w:rsidRDefault="004454E7" w:rsidP="002B3E8B">
      <w:pPr>
        <w:pStyle w:val="ListeParagraf"/>
        <w:spacing w:after="0"/>
        <w:ind w:left="1440"/>
        <w:rPr>
          <w:rFonts w:ascii="Calibri" w:hAnsi="Calibri"/>
          <w:i/>
        </w:rPr>
      </w:pPr>
    </w:p>
    <w:p w14:paraId="607FE3A2" w14:textId="77777777" w:rsidR="00942786" w:rsidRDefault="00942786" w:rsidP="0025080A">
      <w:pPr>
        <w:pStyle w:val="ListeParagraf"/>
        <w:numPr>
          <w:ilvl w:val="0"/>
          <w:numId w:val="21"/>
        </w:numPr>
        <w:spacing w:after="0"/>
        <w:rPr>
          <w:rFonts w:ascii="Calibri" w:hAnsi="Calibri"/>
          <w:iCs/>
        </w:rPr>
      </w:pPr>
      <w:r w:rsidRPr="00942786">
        <w:rPr>
          <w:rFonts w:ascii="Calibri" w:hAnsi="Calibri"/>
          <w:iCs/>
        </w:rPr>
        <w:t>132/G maddesinin birinci fıkrasına aşağıdaki bentler eklenmiştir.</w:t>
      </w:r>
    </w:p>
    <w:p w14:paraId="254C9E5C" w14:textId="77777777" w:rsidR="00942786" w:rsidRPr="002048A7" w:rsidRDefault="00942786" w:rsidP="00942786">
      <w:pPr>
        <w:pStyle w:val="ListeParagraf"/>
        <w:spacing w:after="0"/>
        <w:ind w:left="1440"/>
        <w:rPr>
          <w:rFonts w:ascii="Calibri" w:hAnsi="Calibri"/>
          <w:iCs/>
        </w:rPr>
      </w:pPr>
    </w:p>
    <w:p w14:paraId="07640777" w14:textId="77777777" w:rsidR="00942786" w:rsidRPr="00942786" w:rsidRDefault="00942786" w:rsidP="00942786">
      <w:pPr>
        <w:pStyle w:val="ListeParagraf"/>
        <w:spacing w:after="0"/>
        <w:ind w:left="1440"/>
        <w:rPr>
          <w:rFonts w:ascii="Calibri" w:hAnsi="Calibri"/>
          <w:i/>
        </w:rPr>
      </w:pPr>
      <w:r w:rsidRPr="00942786">
        <w:rPr>
          <w:rFonts w:ascii="Calibri" w:hAnsi="Calibri"/>
          <w:i/>
        </w:rPr>
        <w:t>“</w:t>
      </w:r>
      <w:proofErr w:type="gramStart"/>
      <w:r w:rsidRPr="00942786">
        <w:rPr>
          <w:rFonts w:ascii="Calibri" w:hAnsi="Calibri"/>
          <w:i/>
        </w:rPr>
        <w:t>f</w:t>
      </w:r>
      <w:proofErr w:type="gramEnd"/>
      <w:r w:rsidRPr="00942786">
        <w:rPr>
          <w:rFonts w:ascii="Calibri" w:hAnsi="Calibri"/>
          <w:i/>
        </w:rPr>
        <w:t>) Söz konusu piyasa katılımcısının toplayıcı olması ve toplayıcılık lisansının iptal edilmesi veya sona ermesi ya da tedarik lisansından toplayıcılık faaliyetinin terkin edilmesi durumunda, toplayıcı olarak sorumlu olduğu portföy, sona erme veya iptal kararının piyasa işletmecisine bildirildiği tarihten itibaren geçerli olacak şekilde dağıtılır. Toplayıcının portföyünde yer alan lisanslı üretim tesisleri, ilgili tesislere ilişkin lisansa sahip piyasa katılımcılarına; lisanssız üretim tesisleri ise ilgili bölgede faaliyet gösteren görevli tedarik şirketlerine aktarılır. Ayrıca PYS’de toplayıcı adına kayıtlı olan tüm serbest tüketiciler için (c) ile (ç) bentlerinde yer alan hükümler uygulanır.</w:t>
      </w:r>
    </w:p>
    <w:p w14:paraId="237F241E" w14:textId="77777777" w:rsidR="002B3E8B" w:rsidRDefault="00942786" w:rsidP="00942786">
      <w:pPr>
        <w:pStyle w:val="ListeParagraf"/>
        <w:spacing w:after="0"/>
        <w:ind w:left="1440"/>
        <w:rPr>
          <w:rFonts w:ascii="Calibri" w:hAnsi="Calibri"/>
          <w:i/>
        </w:rPr>
      </w:pPr>
      <w:r w:rsidRPr="00942786">
        <w:rPr>
          <w:rFonts w:ascii="Calibri" w:hAnsi="Calibri"/>
          <w:i/>
        </w:rPr>
        <w:t xml:space="preserve">g) Bir piyasa katılımcısı, kendisine ait müstakil elektrik depolama tesisini veya lisanslı üretim tesislerini toplayıcının portföyüne kaydettirdikten sonra ilgili tesisleri başka bir piyasa katılımcısına devretmesi ve ilgili tesisi bu suretle devralan piyasa katılımcısının mevcut </w:t>
      </w:r>
      <w:r w:rsidRPr="00942786">
        <w:rPr>
          <w:rFonts w:ascii="Calibri" w:hAnsi="Calibri"/>
          <w:i/>
        </w:rPr>
        <w:lastRenderedPageBreak/>
        <w:t>toplayıcının portföyünden çıkmak istemesi halinde, devir işlemine ilişkin kaydın Piyasa İşletmecisi tarafından gerçekleştirildiği tarih itibarıyla söz konusu tesisler kayıtlı oldukları toplayıcılık portföyünden çıkarılır ve devir alan piyasa katılımcısı adına kaydedilir. Devir işlemi sonrasında lisanslı santrali kalmayan bir piyasa katılımcısının PYS’de kayıtlı serbest tüketici kaydının bulunması halinde, devir işlemine ilişkin kaydın Piyasa İşletmecisi tarafından gerçekleştirildiği tarih itibarıyla PYS’de kayıtlı serbest tüketicilerin kayıtları silinir.”</w:t>
      </w:r>
    </w:p>
    <w:p w14:paraId="5F995C1A" w14:textId="77777777" w:rsidR="00942786" w:rsidRDefault="00942786" w:rsidP="00942786">
      <w:pPr>
        <w:pStyle w:val="ListeParagraf"/>
        <w:spacing w:after="0"/>
        <w:ind w:left="1440"/>
        <w:rPr>
          <w:rFonts w:ascii="Calibri" w:hAnsi="Calibri"/>
          <w:i/>
        </w:rPr>
      </w:pPr>
    </w:p>
    <w:p w14:paraId="196F3D0C" w14:textId="77777777" w:rsidR="00942786" w:rsidRDefault="00942786" w:rsidP="0025080A">
      <w:pPr>
        <w:pStyle w:val="ListeParagraf"/>
        <w:numPr>
          <w:ilvl w:val="0"/>
          <w:numId w:val="21"/>
        </w:numPr>
        <w:spacing w:after="0"/>
        <w:rPr>
          <w:rFonts w:ascii="Calibri" w:hAnsi="Calibri"/>
          <w:iCs/>
        </w:rPr>
      </w:pPr>
      <w:r w:rsidRPr="00942786">
        <w:rPr>
          <w:rFonts w:ascii="Calibri" w:hAnsi="Calibri"/>
          <w:iCs/>
        </w:rPr>
        <w:t>132/İ maddesinin yedinci fıkrasının (c) bendi aşağıdaki şekilde değiştirilmiş ve aynı fıkraya aşağıdaki bent eklenmiştir.</w:t>
      </w:r>
    </w:p>
    <w:p w14:paraId="5B85A28A" w14:textId="77777777" w:rsidR="00942786" w:rsidRPr="002048A7" w:rsidRDefault="00942786" w:rsidP="00942786">
      <w:pPr>
        <w:pStyle w:val="ListeParagraf"/>
        <w:spacing w:after="0"/>
        <w:ind w:left="1440"/>
        <w:rPr>
          <w:rFonts w:ascii="Calibri" w:hAnsi="Calibri"/>
          <w:iCs/>
        </w:rPr>
      </w:pPr>
    </w:p>
    <w:p w14:paraId="30B97647" w14:textId="77777777" w:rsidR="00942786" w:rsidRPr="00942786" w:rsidRDefault="00942786" w:rsidP="00942786">
      <w:pPr>
        <w:pStyle w:val="ListeParagraf"/>
        <w:spacing w:after="0"/>
        <w:ind w:left="1440"/>
        <w:rPr>
          <w:rFonts w:ascii="Calibri" w:hAnsi="Calibri"/>
          <w:i/>
        </w:rPr>
      </w:pPr>
      <w:r w:rsidRPr="00942786">
        <w:rPr>
          <w:rFonts w:ascii="Calibri" w:hAnsi="Calibri"/>
          <w:i/>
        </w:rPr>
        <w:t>“</w:t>
      </w:r>
      <w:proofErr w:type="gramStart"/>
      <w:r w:rsidRPr="00942786">
        <w:rPr>
          <w:rFonts w:ascii="Calibri" w:hAnsi="Calibri"/>
          <w:i/>
        </w:rPr>
        <w:t>c</w:t>
      </w:r>
      <w:proofErr w:type="gramEnd"/>
      <w:r w:rsidRPr="00942786">
        <w:rPr>
          <w:rFonts w:ascii="Calibri" w:hAnsi="Calibri"/>
          <w:i/>
        </w:rPr>
        <w:t>) 132/E maddesinin beşinci fıkrasının (a), (ç), (d), (i), (j), (k), (l) ve (m) bentleri hükümleri uygulanır.”</w:t>
      </w:r>
    </w:p>
    <w:p w14:paraId="55FB5C15" w14:textId="77777777" w:rsidR="00942786" w:rsidRDefault="00942786" w:rsidP="00942786">
      <w:pPr>
        <w:pStyle w:val="ListeParagraf"/>
        <w:spacing w:after="0"/>
        <w:ind w:left="1440"/>
        <w:rPr>
          <w:rFonts w:ascii="Calibri" w:hAnsi="Calibri"/>
          <w:i/>
        </w:rPr>
      </w:pPr>
      <w:r w:rsidRPr="00942786">
        <w:rPr>
          <w:rFonts w:ascii="Calibri" w:hAnsi="Calibri"/>
          <w:i/>
        </w:rPr>
        <w:t>“</w:t>
      </w:r>
      <w:proofErr w:type="gramStart"/>
      <w:r w:rsidRPr="00942786">
        <w:rPr>
          <w:rFonts w:ascii="Calibri" w:hAnsi="Calibri"/>
          <w:i/>
        </w:rPr>
        <w:t>d</w:t>
      </w:r>
      <w:proofErr w:type="gramEnd"/>
      <w:r w:rsidRPr="00942786">
        <w:rPr>
          <w:rFonts w:ascii="Calibri" w:hAnsi="Calibri"/>
          <w:i/>
        </w:rPr>
        <w:t>) Temerrüde düşen piyasa katılımcısının portföyünde yer alan santrallerini, temerrütte olduğu süre boyunca toplayıcının portföyüne dahil etmesine izin verilmez.”</w:t>
      </w:r>
    </w:p>
    <w:p w14:paraId="270866C0" w14:textId="77777777" w:rsidR="00942786" w:rsidRDefault="00942786" w:rsidP="00942786">
      <w:pPr>
        <w:pStyle w:val="ListeParagraf"/>
        <w:spacing w:after="0"/>
        <w:ind w:left="1440"/>
        <w:rPr>
          <w:rFonts w:ascii="Calibri" w:hAnsi="Calibri"/>
          <w:i/>
        </w:rPr>
      </w:pPr>
    </w:p>
    <w:p w14:paraId="085A946B" w14:textId="77777777" w:rsidR="00942786" w:rsidRDefault="00942786" w:rsidP="0025080A">
      <w:pPr>
        <w:pStyle w:val="ListeParagraf"/>
        <w:numPr>
          <w:ilvl w:val="0"/>
          <w:numId w:val="21"/>
        </w:numPr>
        <w:spacing w:after="0"/>
        <w:rPr>
          <w:rFonts w:ascii="Calibri" w:hAnsi="Calibri"/>
          <w:iCs/>
        </w:rPr>
      </w:pPr>
      <w:r w:rsidRPr="00942786">
        <w:rPr>
          <w:rFonts w:ascii="Calibri" w:hAnsi="Calibri"/>
          <w:iCs/>
        </w:rPr>
        <w:t>138 inci maddesi aşağıdaki şekilde değiştirilmiştir.</w:t>
      </w:r>
    </w:p>
    <w:p w14:paraId="15FC76FC" w14:textId="77777777" w:rsidR="00942786" w:rsidRPr="002048A7" w:rsidRDefault="00942786" w:rsidP="00942786">
      <w:pPr>
        <w:pStyle w:val="ListeParagraf"/>
        <w:spacing w:after="0"/>
        <w:ind w:left="1440"/>
        <w:rPr>
          <w:rFonts w:ascii="Calibri" w:hAnsi="Calibri"/>
          <w:iCs/>
        </w:rPr>
      </w:pPr>
    </w:p>
    <w:p w14:paraId="116D582C" w14:textId="77777777" w:rsidR="00942786" w:rsidRPr="00942786" w:rsidRDefault="00942786" w:rsidP="00942786">
      <w:pPr>
        <w:pStyle w:val="ListeParagraf"/>
        <w:spacing w:after="0"/>
        <w:ind w:left="1440"/>
        <w:rPr>
          <w:rFonts w:ascii="Calibri" w:hAnsi="Calibri"/>
          <w:i/>
        </w:rPr>
      </w:pPr>
      <w:r w:rsidRPr="00942786">
        <w:rPr>
          <w:rFonts w:ascii="Calibri" w:hAnsi="Calibri"/>
          <w:i/>
        </w:rPr>
        <w:t>“MADDE 138- (1) Bu Yönetmelik kapsamındaki yükümlülüklerle ilgili olarak yapılan, dengeden sorumlu grup oluşturma ve toplayıcılık haricindeki, devir, temlik ve taşınır rehinleri Piyasa İşletmecisine karşı hüküm ifade etmez. Bu Yönetmelik kapsamındaki alacak ve haklar ise ancak Piyasa İşletmecisi tarafından belirlenen hususlara uygun olarak ve Piyasa İşletmecisinden onay almak kaydıyla rehin ve temlik edilebilir.”</w:t>
      </w:r>
    </w:p>
    <w:p w14:paraId="2ADC536C" w14:textId="77777777" w:rsidR="00942786" w:rsidRDefault="00942786" w:rsidP="00942786">
      <w:pPr>
        <w:pStyle w:val="ListeParagraf"/>
        <w:spacing w:after="0"/>
        <w:ind w:left="1440"/>
        <w:rPr>
          <w:rFonts w:ascii="Calibri" w:hAnsi="Calibri"/>
          <w:i/>
        </w:rPr>
      </w:pPr>
    </w:p>
    <w:p w14:paraId="61791BFE" w14:textId="77777777" w:rsidR="00942786" w:rsidRDefault="00942786" w:rsidP="0025080A">
      <w:pPr>
        <w:pStyle w:val="ListeParagraf"/>
        <w:numPr>
          <w:ilvl w:val="0"/>
          <w:numId w:val="21"/>
        </w:numPr>
        <w:spacing w:after="0"/>
        <w:rPr>
          <w:rFonts w:ascii="Calibri" w:hAnsi="Calibri"/>
          <w:iCs/>
        </w:rPr>
      </w:pPr>
      <w:r w:rsidRPr="00942786">
        <w:rPr>
          <w:rFonts w:ascii="Calibri" w:hAnsi="Calibri"/>
          <w:iCs/>
        </w:rPr>
        <w:t>- Aynı Yönetmeliğe aşağıdaki geçici madde eklenmiştir.</w:t>
      </w:r>
    </w:p>
    <w:p w14:paraId="7E33BD3B" w14:textId="77777777" w:rsidR="00942786" w:rsidRPr="002048A7" w:rsidRDefault="00942786" w:rsidP="00942786">
      <w:pPr>
        <w:pStyle w:val="ListeParagraf"/>
        <w:spacing w:after="0"/>
        <w:ind w:left="1440"/>
        <w:rPr>
          <w:rFonts w:ascii="Calibri" w:hAnsi="Calibri"/>
          <w:iCs/>
        </w:rPr>
      </w:pPr>
    </w:p>
    <w:p w14:paraId="21EF7819" w14:textId="77777777" w:rsidR="00942786" w:rsidRPr="00942786" w:rsidRDefault="00942786" w:rsidP="00942786">
      <w:pPr>
        <w:pStyle w:val="ListeParagraf"/>
        <w:spacing w:after="0"/>
        <w:ind w:left="1440"/>
        <w:rPr>
          <w:rFonts w:ascii="Calibri" w:hAnsi="Calibri"/>
          <w:i/>
        </w:rPr>
      </w:pPr>
      <w:r w:rsidRPr="00942786">
        <w:rPr>
          <w:rFonts w:ascii="Calibri" w:hAnsi="Calibri"/>
          <w:i/>
        </w:rPr>
        <w:t>“Dengesizlik oranı uygulaması</w:t>
      </w:r>
    </w:p>
    <w:p w14:paraId="7ADF0DB4" w14:textId="77777777" w:rsidR="00942786" w:rsidRPr="002048A7" w:rsidRDefault="00942786" w:rsidP="00942786">
      <w:pPr>
        <w:pStyle w:val="ListeParagraf"/>
        <w:spacing w:after="0"/>
        <w:ind w:left="1440"/>
        <w:rPr>
          <w:rFonts w:ascii="Calibri" w:hAnsi="Calibri"/>
          <w:i/>
        </w:rPr>
      </w:pPr>
      <w:r w:rsidRPr="00942786">
        <w:rPr>
          <w:rFonts w:ascii="Calibri" w:hAnsi="Calibri"/>
          <w:i/>
        </w:rPr>
        <w:t>GEÇİCİ MADDE 39- (1) Dağıtım lisansı sahibi tüzel kişiler ile bölgelerindeki görevli tedarik şirketlerinin bir araya gelmek suretiyle oluşturdukları dengeden sorumlu gruplar için 111 inci maddenin beşinci fıkrasında yer alan dengesizlik oranı, 1/1/2027 tarihine kadar yüzde yüz olarak uygulanır.”</w:t>
      </w:r>
    </w:p>
    <w:p w14:paraId="5A1D9C30" w14:textId="77777777" w:rsidR="00F74C1B" w:rsidRPr="002048A7" w:rsidRDefault="00F74C1B" w:rsidP="0025080A">
      <w:pPr>
        <w:numPr>
          <w:ilvl w:val="0"/>
          <w:numId w:val="22"/>
        </w:numPr>
        <w:spacing w:after="0"/>
        <w:contextualSpacing/>
        <w:rPr>
          <w:rFonts w:ascii="Calibri" w:hAnsi="Calibri"/>
          <w:bCs/>
        </w:rPr>
      </w:pPr>
      <w:bookmarkStart w:id="47" w:name="_Hlk115951614"/>
      <w:r w:rsidRPr="002048A7">
        <w:rPr>
          <w:rFonts w:ascii="Calibri" w:hAnsi="Calibri"/>
          <w:bCs/>
        </w:rPr>
        <w:t>17.</w:t>
      </w:r>
      <w:r w:rsidR="00942786">
        <w:rPr>
          <w:rFonts w:ascii="Calibri" w:hAnsi="Calibri"/>
          <w:bCs/>
        </w:rPr>
        <w:t>12</w:t>
      </w:r>
      <w:r w:rsidRPr="002048A7">
        <w:rPr>
          <w:rFonts w:ascii="Calibri" w:hAnsi="Calibri"/>
          <w:bCs/>
        </w:rPr>
        <w:t>.202</w:t>
      </w:r>
      <w:r w:rsidR="00942786">
        <w:rPr>
          <w:rFonts w:ascii="Calibri" w:hAnsi="Calibri"/>
          <w:bCs/>
        </w:rPr>
        <w:t>4</w:t>
      </w:r>
      <w:r w:rsidRPr="002048A7">
        <w:rPr>
          <w:rFonts w:ascii="Calibri" w:hAnsi="Calibri"/>
          <w:bCs/>
        </w:rPr>
        <w:t xml:space="preserve"> tarihli ve 32</w:t>
      </w:r>
      <w:r w:rsidR="00942786">
        <w:rPr>
          <w:rFonts w:ascii="Calibri" w:hAnsi="Calibri"/>
          <w:bCs/>
        </w:rPr>
        <w:t>755</w:t>
      </w:r>
      <w:r w:rsidRPr="002048A7">
        <w:rPr>
          <w:rFonts w:ascii="Calibri" w:hAnsi="Calibri"/>
          <w:bCs/>
        </w:rPr>
        <w:t xml:space="preserve"> sayılı</w:t>
      </w:r>
      <w:r w:rsidR="009E1688" w:rsidRPr="002048A7">
        <w:rPr>
          <w:rFonts w:ascii="Calibri" w:hAnsi="Calibri"/>
          <w:bCs/>
        </w:rPr>
        <w:t xml:space="preserve"> Resmî </w:t>
      </w:r>
      <w:r w:rsidR="00274939" w:rsidRPr="002048A7">
        <w:rPr>
          <w:rFonts w:ascii="Calibri" w:hAnsi="Calibri"/>
          <w:bCs/>
        </w:rPr>
        <w:t>Gazetede</w:t>
      </w:r>
      <w:r w:rsidR="009E1688" w:rsidRPr="002048A7">
        <w:rPr>
          <w:rFonts w:ascii="Calibri" w:hAnsi="Calibri"/>
          <w:bCs/>
        </w:rPr>
        <w:t xml:space="preserve"> yayımlanan Değişiklik Yönetmeliği ile</w:t>
      </w:r>
      <w:r w:rsidR="009E1688" w:rsidRPr="002048A7">
        <w:rPr>
          <w:rFonts w:ascii="Calibri" w:hAnsi="Calibri"/>
          <w:b/>
          <w:bCs/>
        </w:rPr>
        <w:t xml:space="preserve"> </w:t>
      </w:r>
      <w:bookmarkEnd w:id="47"/>
      <w:r w:rsidR="00942786" w:rsidRPr="00942786">
        <w:rPr>
          <w:rFonts w:ascii="Calibri" w:hAnsi="Calibri"/>
          <w:b/>
          <w:bCs/>
        </w:rPr>
        <w:t>Elektrik Piyasası Lisans Yönetmeliğinin</w:t>
      </w:r>
      <w:r w:rsidR="009E1688" w:rsidRPr="002048A7">
        <w:rPr>
          <w:rFonts w:ascii="Calibri" w:hAnsi="Calibri"/>
          <w:b/>
          <w:bCs/>
        </w:rPr>
        <w:t xml:space="preserve"> </w:t>
      </w:r>
    </w:p>
    <w:p w14:paraId="3CFDC98F" w14:textId="77777777" w:rsidR="009E1688" w:rsidRPr="002048A7" w:rsidRDefault="00942786" w:rsidP="0025080A">
      <w:pPr>
        <w:pStyle w:val="ListeParagraf"/>
        <w:numPr>
          <w:ilvl w:val="0"/>
          <w:numId w:val="21"/>
        </w:numPr>
        <w:spacing w:after="0"/>
        <w:rPr>
          <w:rFonts w:ascii="Calibri" w:hAnsi="Calibri"/>
          <w:bCs/>
        </w:rPr>
      </w:pPr>
      <w:proofErr w:type="gramStart"/>
      <w:r w:rsidRPr="00942786">
        <w:rPr>
          <w:rFonts w:ascii="Calibri" w:hAnsi="Calibri"/>
          <w:bCs/>
        </w:rPr>
        <w:t>4 üncü</w:t>
      </w:r>
      <w:proofErr w:type="gramEnd"/>
      <w:r w:rsidRPr="00942786">
        <w:rPr>
          <w:rFonts w:ascii="Calibri" w:hAnsi="Calibri"/>
          <w:bCs/>
        </w:rPr>
        <w:t xml:space="preserve"> maddesinin birinci fıkrasına aşağıdaki bentler eklenmiştir.</w:t>
      </w:r>
    </w:p>
    <w:p w14:paraId="6F2A50E8" w14:textId="77777777" w:rsidR="009E1688" w:rsidRPr="002048A7" w:rsidRDefault="009E1688" w:rsidP="009E1688">
      <w:pPr>
        <w:spacing w:after="0"/>
        <w:ind w:left="720"/>
        <w:contextualSpacing/>
        <w:rPr>
          <w:rFonts w:ascii="Calibri" w:hAnsi="Calibri"/>
          <w:b/>
          <w:bCs/>
        </w:rPr>
      </w:pPr>
    </w:p>
    <w:p w14:paraId="456ECBF1" w14:textId="77777777" w:rsidR="00942786" w:rsidRPr="00942786" w:rsidRDefault="00942786" w:rsidP="00942786">
      <w:pPr>
        <w:pStyle w:val="ListeParagraf"/>
        <w:spacing w:after="0"/>
        <w:ind w:left="1440"/>
        <w:rPr>
          <w:rFonts w:ascii="Calibri" w:hAnsi="Calibri"/>
          <w:bCs/>
          <w:i/>
        </w:rPr>
      </w:pPr>
      <w:r w:rsidRPr="00942786">
        <w:rPr>
          <w:rFonts w:ascii="Calibri" w:hAnsi="Calibri"/>
          <w:bCs/>
          <w:i/>
        </w:rPr>
        <w:t>“</w:t>
      </w:r>
      <w:proofErr w:type="gramStart"/>
      <w:r w:rsidRPr="00942786">
        <w:rPr>
          <w:rFonts w:ascii="Calibri" w:hAnsi="Calibri"/>
          <w:bCs/>
          <w:i/>
        </w:rPr>
        <w:t>gggg</w:t>
      </w:r>
      <w:proofErr w:type="gramEnd"/>
      <w:r w:rsidRPr="00942786">
        <w:rPr>
          <w:rFonts w:ascii="Calibri" w:hAnsi="Calibri"/>
          <w:bCs/>
          <w:i/>
        </w:rPr>
        <w:t>) Toplayıcı: Bir veya birden fazla şebeke kullanıcısı ile söz konusu şebeke kullanıcıları adına elektrik piyasasında toplayıcılık faaliyeti yürütmek üzere anlaşma imzalamış olan toplayıcı lisansı veya lisansına dercedilmek kaydıyla tedarik lisansı sahibi tüzel kişiyi,</w:t>
      </w:r>
    </w:p>
    <w:p w14:paraId="4692B989" w14:textId="77777777" w:rsidR="00942786" w:rsidRPr="00942786" w:rsidRDefault="00942786" w:rsidP="00942786">
      <w:pPr>
        <w:pStyle w:val="ListeParagraf"/>
        <w:spacing w:after="0"/>
        <w:ind w:left="1440"/>
        <w:rPr>
          <w:rFonts w:ascii="Calibri" w:hAnsi="Calibri"/>
          <w:bCs/>
          <w:i/>
        </w:rPr>
      </w:pPr>
      <w:proofErr w:type="gramStart"/>
      <w:r w:rsidRPr="00942786">
        <w:rPr>
          <w:rFonts w:ascii="Calibri" w:hAnsi="Calibri"/>
          <w:bCs/>
          <w:i/>
        </w:rPr>
        <w:t>ğğğğ</w:t>
      </w:r>
      <w:proofErr w:type="gramEnd"/>
      <w:r w:rsidRPr="00942786">
        <w:rPr>
          <w:rFonts w:ascii="Calibri" w:hAnsi="Calibri"/>
          <w:bCs/>
          <w:i/>
        </w:rPr>
        <w:t>) Toplayıcılık: Toplayıcı tarafından bir veya birden fazla şebeke kullanıcısının üretim ve/veya tüketimlerinin birleştirilerek işletilmesi kapsamında gerçekleştirilen piyasa faaliyetini,</w:t>
      </w:r>
    </w:p>
    <w:p w14:paraId="05E4A692" w14:textId="77777777" w:rsidR="009E1688" w:rsidRDefault="00942786" w:rsidP="00942786">
      <w:pPr>
        <w:pStyle w:val="ListeParagraf"/>
        <w:spacing w:after="0"/>
        <w:ind w:left="1440"/>
        <w:rPr>
          <w:rFonts w:ascii="Calibri" w:hAnsi="Calibri"/>
          <w:bCs/>
          <w:i/>
        </w:rPr>
      </w:pPr>
      <w:r w:rsidRPr="00942786">
        <w:rPr>
          <w:rFonts w:ascii="Calibri" w:hAnsi="Calibri"/>
          <w:bCs/>
          <w:i/>
        </w:rPr>
        <w:t xml:space="preserve">hhhh) Toplayıcılık hizmeti anlaşması: Toplayıcılar ile üretim lisansı sahibi tüzel kişiler, serbest tüketiciler, müstakil depolama tesisi sahibi tüzel kişiler ve 12/5/2019 tarihli ve 30772 sayılı Resmî Gazete’de yayımlanan Elektrik Piyasasında Lisanssız Elektrik Üretim Yönetmeliği kapsamında faaliyet gösteren gerçek veya tüzel kişiler arasında özel hukuk hükümlerine tabi olarak, toplayıcıların söz konusu şebeke kullanıcıları adına elektrik enerjisi ve/veya kapasitesini alıp </w:t>
      </w:r>
      <w:r w:rsidRPr="00942786">
        <w:rPr>
          <w:rFonts w:ascii="Calibri" w:hAnsi="Calibri"/>
          <w:bCs/>
          <w:i/>
        </w:rPr>
        <w:lastRenderedPageBreak/>
        <w:t>satmasına ve yan hizmetlere ilişkin tedarik süreçlerine katılabilmesine dair yapılan ve Kurul onayına tabi olmayan ticari anlaşmayı,”</w:t>
      </w:r>
    </w:p>
    <w:p w14:paraId="2FD6F4CC" w14:textId="77777777" w:rsidR="00942786" w:rsidRPr="002048A7" w:rsidRDefault="00942786" w:rsidP="00942786">
      <w:pPr>
        <w:pStyle w:val="ListeParagraf"/>
        <w:spacing w:after="0"/>
        <w:ind w:left="1440"/>
        <w:rPr>
          <w:rFonts w:ascii="Calibri" w:hAnsi="Calibri"/>
          <w:bCs/>
          <w:i/>
        </w:rPr>
      </w:pPr>
    </w:p>
    <w:p w14:paraId="647A1411" w14:textId="77777777" w:rsidR="00F74C1B" w:rsidRPr="002048A7" w:rsidRDefault="00942786" w:rsidP="0025080A">
      <w:pPr>
        <w:pStyle w:val="ListeParagraf"/>
        <w:numPr>
          <w:ilvl w:val="0"/>
          <w:numId w:val="21"/>
        </w:numPr>
        <w:spacing w:after="0"/>
        <w:rPr>
          <w:rFonts w:ascii="Calibri" w:hAnsi="Calibri"/>
          <w:bCs/>
        </w:rPr>
      </w:pPr>
      <w:proofErr w:type="gramStart"/>
      <w:r w:rsidRPr="00942786">
        <w:rPr>
          <w:rFonts w:ascii="Calibri" w:hAnsi="Calibri"/>
          <w:bCs/>
        </w:rPr>
        <w:t>6 ncı</w:t>
      </w:r>
      <w:proofErr w:type="gramEnd"/>
      <w:r w:rsidRPr="00942786">
        <w:rPr>
          <w:rFonts w:ascii="Calibri" w:hAnsi="Calibri"/>
          <w:bCs/>
        </w:rPr>
        <w:t xml:space="preserve"> maddesinin birinci fıkrasına aşağıdaki bent eklenmiştir.</w:t>
      </w:r>
    </w:p>
    <w:p w14:paraId="3A60C7D6" w14:textId="77777777" w:rsidR="0013200A" w:rsidRPr="002048A7" w:rsidRDefault="0013200A" w:rsidP="0013200A">
      <w:pPr>
        <w:pStyle w:val="ListeParagraf"/>
        <w:spacing w:after="0"/>
        <w:ind w:left="1440"/>
        <w:rPr>
          <w:rFonts w:ascii="Calibri" w:hAnsi="Calibri"/>
          <w:bCs/>
        </w:rPr>
      </w:pPr>
    </w:p>
    <w:p w14:paraId="2DDF39A8" w14:textId="77777777" w:rsidR="009E1688" w:rsidRPr="002048A7" w:rsidRDefault="00942786" w:rsidP="00F74C1B">
      <w:pPr>
        <w:pStyle w:val="ListeParagraf"/>
        <w:spacing w:after="0"/>
        <w:ind w:left="1440"/>
        <w:rPr>
          <w:rFonts w:ascii="Calibri" w:hAnsi="Calibri"/>
          <w:bCs/>
          <w:i/>
        </w:rPr>
      </w:pPr>
      <w:r w:rsidRPr="00942786">
        <w:rPr>
          <w:rFonts w:ascii="Calibri" w:hAnsi="Calibri"/>
          <w:bCs/>
          <w:i/>
        </w:rPr>
        <w:t>“</w:t>
      </w:r>
      <w:proofErr w:type="gramStart"/>
      <w:r w:rsidRPr="00942786">
        <w:rPr>
          <w:rFonts w:ascii="Calibri" w:hAnsi="Calibri"/>
          <w:bCs/>
          <w:i/>
        </w:rPr>
        <w:t>ğ</w:t>
      </w:r>
      <w:proofErr w:type="gramEnd"/>
      <w:r w:rsidRPr="00942786">
        <w:rPr>
          <w:rFonts w:ascii="Calibri" w:hAnsi="Calibri"/>
          <w:bCs/>
          <w:i/>
        </w:rPr>
        <w:t>) Toplayıcılık,”</w:t>
      </w:r>
    </w:p>
    <w:p w14:paraId="67B39E7F" w14:textId="77777777" w:rsidR="0013200A" w:rsidRPr="002048A7" w:rsidRDefault="0013200A" w:rsidP="00F74C1B">
      <w:pPr>
        <w:pStyle w:val="ListeParagraf"/>
        <w:spacing w:after="0"/>
        <w:ind w:left="1440"/>
        <w:rPr>
          <w:rFonts w:ascii="Calibri" w:hAnsi="Calibri"/>
          <w:bCs/>
          <w:i/>
        </w:rPr>
      </w:pPr>
    </w:p>
    <w:p w14:paraId="70D45E60" w14:textId="77777777" w:rsidR="0013200A" w:rsidRPr="002048A7" w:rsidRDefault="00942786" w:rsidP="0025080A">
      <w:pPr>
        <w:pStyle w:val="ListeParagraf"/>
        <w:numPr>
          <w:ilvl w:val="0"/>
          <w:numId w:val="21"/>
        </w:numPr>
        <w:spacing w:after="0"/>
        <w:rPr>
          <w:rFonts w:ascii="Calibri" w:hAnsi="Calibri"/>
          <w:bCs/>
        </w:rPr>
      </w:pPr>
      <w:r w:rsidRPr="00942786">
        <w:rPr>
          <w:rFonts w:ascii="Calibri" w:hAnsi="Calibri"/>
          <w:bCs/>
        </w:rPr>
        <w:t>8 inci maddesinin birinci fıkrasına aşağıdaki bent eklenmiştir.</w:t>
      </w:r>
    </w:p>
    <w:p w14:paraId="1E358CD3" w14:textId="77777777" w:rsidR="0013200A" w:rsidRPr="002048A7" w:rsidRDefault="0013200A" w:rsidP="0013200A">
      <w:pPr>
        <w:pStyle w:val="ListeParagraf"/>
        <w:spacing w:after="0"/>
        <w:ind w:left="1440"/>
        <w:rPr>
          <w:rFonts w:ascii="Calibri" w:hAnsi="Calibri"/>
          <w:bCs/>
        </w:rPr>
      </w:pPr>
    </w:p>
    <w:p w14:paraId="07684F8D" w14:textId="77777777" w:rsidR="0013200A" w:rsidRPr="002048A7" w:rsidRDefault="00942786" w:rsidP="0013200A">
      <w:pPr>
        <w:pStyle w:val="ListeParagraf"/>
        <w:spacing w:after="0"/>
        <w:ind w:left="1440"/>
        <w:rPr>
          <w:rFonts w:ascii="Calibri" w:hAnsi="Calibri"/>
          <w:bCs/>
          <w:i/>
        </w:rPr>
      </w:pPr>
      <w:r w:rsidRPr="00942786">
        <w:rPr>
          <w:rFonts w:ascii="Calibri" w:hAnsi="Calibri"/>
          <w:bCs/>
          <w:i/>
        </w:rPr>
        <w:t>“</w:t>
      </w:r>
      <w:proofErr w:type="gramStart"/>
      <w:r w:rsidRPr="00942786">
        <w:rPr>
          <w:rFonts w:ascii="Calibri" w:hAnsi="Calibri"/>
          <w:bCs/>
          <w:i/>
        </w:rPr>
        <w:t>g</w:t>
      </w:r>
      <w:proofErr w:type="gramEnd"/>
      <w:r w:rsidRPr="00942786">
        <w:rPr>
          <w:rFonts w:ascii="Calibri" w:hAnsi="Calibri"/>
          <w:bCs/>
          <w:i/>
        </w:rPr>
        <w:t>) Toplayıcı lisansı.”</w:t>
      </w:r>
    </w:p>
    <w:p w14:paraId="47C07FFB" w14:textId="77777777" w:rsidR="0013200A" w:rsidRPr="002048A7" w:rsidRDefault="0013200A" w:rsidP="0013200A">
      <w:pPr>
        <w:pStyle w:val="ListeParagraf"/>
        <w:spacing w:after="0"/>
        <w:ind w:left="1440"/>
        <w:rPr>
          <w:rFonts w:ascii="Calibri" w:hAnsi="Calibri"/>
          <w:bCs/>
          <w:i/>
        </w:rPr>
      </w:pPr>
    </w:p>
    <w:p w14:paraId="3EFA9D05" w14:textId="77777777" w:rsidR="0013200A" w:rsidRPr="002048A7" w:rsidRDefault="00942786" w:rsidP="0025080A">
      <w:pPr>
        <w:pStyle w:val="ListeParagraf"/>
        <w:numPr>
          <w:ilvl w:val="0"/>
          <w:numId w:val="21"/>
        </w:numPr>
        <w:spacing w:after="0"/>
        <w:rPr>
          <w:rFonts w:ascii="Calibri" w:hAnsi="Calibri"/>
          <w:bCs/>
        </w:rPr>
      </w:pPr>
      <w:r w:rsidRPr="00942786">
        <w:rPr>
          <w:rFonts w:ascii="Calibri" w:hAnsi="Calibri"/>
          <w:bCs/>
        </w:rPr>
        <w:t xml:space="preserve">10 uncu maddesinin yedinci fıkrasında yer alan </w:t>
      </w:r>
      <w:r w:rsidRPr="00714AF1">
        <w:rPr>
          <w:rFonts w:ascii="Calibri" w:hAnsi="Calibri"/>
          <w:bCs/>
          <w:i/>
        </w:rPr>
        <w:t>“Tedarik lisansında,”</w:t>
      </w:r>
      <w:r w:rsidRPr="00942786">
        <w:rPr>
          <w:rFonts w:ascii="Calibri" w:hAnsi="Calibri"/>
          <w:bCs/>
        </w:rPr>
        <w:t xml:space="preserve"> ibaresi </w:t>
      </w:r>
      <w:r w:rsidRPr="00714AF1">
        <w:rPr>
          <w:rFonts w:ascii="Calibri" w:hAnsi="Calibri"/>
          <w:bCs/>
          <w:i/>
        </w:rPr>
        <w:t>“Tedarik lisansı veya toplayıcılık lisansında,”</w:t>
      </w:r>
      <w:r w:rsidRPr="00942786">
        <w:rPr>
          <w:rFonts w:ascii="Calibri" w:hAnsi="Calibri"/>
          <w:bCs/>
        </w:rPr>
        <w:t xml:space="preserve"> şeklinde değiştirilmiş, aynı maddeye aşağıdaki fıkra eklenmiştir.</w:t>
      </w:r>
    </w:p>
    <w:p w14:paraId="2F66A4AE" w14:textId="77777777" w:rsidR="0013200A" w:rsidRPr="002048A7" w:rsidRDefault="0013200A" w:rsidP="0013200A">
      <w:pPr>
        <w:pStyle w:val="ListeParagraf"/>
        <w:spacing w:after="0"/>
        <w:ind w:left="1440"/>
        <w:rPr>
          <w:rFonts w:ascii="Calibri" w:hAnsi="Calibri"/>
          <w:bCs/>
        </w:rPr>
      </w:pPr>
    </w:p>
    <w:p w14:paraId="0FC87537" w14:textId="77777777" w:rsidR="0013200A" w:rsidRPr="002048A7" w:rsidRDefault="00942786" w:rsidP="0013200A">
      <w:pPr>
        <w:pStyle w:val="ListeParagraf"/>
        <w:spacing w:after="0"/>
        <w:ind w:left="1440"/>
        <w:rPr>
          <w:rFonts w:ascii="Calibri" w:hAnsi="Calibri"/>
          <w:bCs/>
          <w:i/>
        </w:rPr>
      </w:pPr>
      <w:r w:rsidRPr="00942786">
        <w:rPr>
          <w:rFonts w:ascii="Calibri" w:hAnsi="Calibri"/>
          <w:bCs/>
          <w:i/>
        </w:rPr>
        <w:t>“(9) Tedarik lisansında, varsa toplayıcılık faaliyetine ilişkin hususa da yer verilir.”</w:t>
      </w:r>
    </w:p>
    <w:p w14:paraId="184575D5" w14:textId="77777777" w:rsidR="0013200A" w:rsidRPr="002048A7" w:rsidRDefault="0013200A" w:rsidP="0013200A">
      <w:pPr>
        <w:pStyle w:val="ListeParagraf"/>
        <w:spacing w:after="0"/>
        <w:ind w:left="1440"/>
        <w:rPr>
          <w:rFonts w:ascii="Calibri" w:hAnsi="Calibri"/>
          <w:bCs/>
          <w:i/>
        </w:rPr>
      </w:pPr>
    </w:p>
    <w:p w14:paraId="3BC61E5B" w14:textId="77777777" w:rsidR="0013200A" w:rsidRPr="002048A7" w:rsidRDefault="00942786" w:rsidP="0025080A">
      <w:pPr>
        <w:pStyle w:val="ListeParagraf"/>
        <w:numPr>
          <w:ilvl w:val="0"/>
          <w:numId w:val="21"/>
        </w:numPr>
        <w:spacing w:after="0"/>
        <w:rPr>
          <w:rFonts w:ascii="Calibri" w:hAnsi="Calibri"/>
          <w:bCs/>
        </w:rPr>
      </w:pPr>
      <w:proofErr w:type="gramStart"/>
      <w:r w:rsidRPr="00942786">
        <w:rPr>
          <w:rFonts w:ascii="Calibri" w:hAnsi="Calibri"/>
          <w:bCs/>
        </w:rPr>
        <w:t>12 nci</w:t>
      </w:r>
      <w:proofErr w:type="gramEnd"/>
      <w:r w:rsidRPr="00942786">
        <w:rPr>
          <w:rFonts w:ascii="Calibri" w:hAnsi="Calibri"/>
          <w:bCs/>
        </w:rPr>
        <w:t xml:space="preserve"> maddesinin beşinci fıkrasında yer alan </w:t>
      </w:r>
      <w:r w:rsidRPr="00942786">
        <w:rPr>
          <w:rFonts w:ascii="Calibri" w:hAnsi="Calibri"/>
          <w:bCs/>
          <w:i/>
        </w:rPr>
        <w:t>“25/11/2014 tarihli ve 29186 sayılı”</w:t>
      </w:r>
      <w:r w:rsidRPr="00942786">
        <w:rPr>
          <w:rFonts w:ascii="Calibri" w:hAnsi="Calibri"/>
          <w:bCs/>
        </w:rPr>
        <w:t xml:space="preserve"> ibaresi </w:t>
      </w:r>
      <w:r w:rsidRPr="00942786">
        <w:rPr>
          <w:rFonts w:ascii="Calibri" w:hAnsi="Calibri"/>
          <w:bCs/>
          <w:i/>
        </w:rPr>
        <w:t>“29/7/2022 tarihli ve 31907 sayılı”</w:t>
      </w:r>
      <w:r w:rsidRPr="00942786">
        <w:rPr>
          <w:rFonts w:ascii="Calibri" w:hAnsi="Calibri"/>
          <w:bCs/>
        </w:rPr>
        <w:t xml:space="preserve"> şeklinde değiştirilmiştir.</w:t>
      </w:r>
    </w:p>
    <w:p w14:paraId="3A8768D1" w14:textId="77777777" w:rsidR="0013200A" w:rsidRPr="002048A7" w:rsidRDefault="0013200A" w:rsidP="0013200A">
      <w:pPr>
        <w:pStyle w:val="ListeParagraf"/>
        <w:spacing w:after="0"/>
        <w:ind w:left="1440"/>
        <w:rPr>
          <w:rFonts w:ascii="Calibri" w:hAnsi="Calibri"/>
          <w:bCs/>
        </w:rPr>
      </w:pPr>
    </w:p>
    <w:p w14:paraId="77CCF902" w14:textId="77777777" w:rsidR="00942786" w:rsidRPr="002048A7" w:rsidRDefault="00942786" w:rsidP="0025080A">
      <w:pPr>
        <w:pStyle w:val="ListeParagraf"/>
        <w:numPr>
          <w:ilvl w:val="0"/>
          <w:numId w:val="21"/>
        </w:numPr>
        <w:spacing w:after="0"/>
        <w:rPr>
          <w:rFonts w:ascii="Calibri" w:hAnsi="Calibri"/>
          <w:bCs/>
        </w:rPr>
      </w:pPr>
      <w:proofErr w:type="gramStart"/>
      <w:r w:rsidRPr="00942786">
        <w:rPr>
          <w:rFonts w:ascii="Calibri" w:hAnsi="Calibri"/>
          <w:bCs/>
        </w:rPr>
        <w:t>17 nci</w:t>
      </w:r>
      <w:proofErr w:type="gramEnd"/>
      <w:r w:rsidRPr="00942786">
        <w:rPr>
          <w:rFonts w:ascii="Calibri" w:hAnsi="Calibri"/>
          <w:bCs/>
        </w:rPr>
        <w:t xml:space="preserve"> maddesinin birinci fıkrasının (d) bendinde yer alan </w:t>
      </w:r>
      <w:r w:rsidRPr="00942786">
        <w:rPr>
          <w:rFonts w:ascii="Calibri" w:hAnsi="Calibri"/>
          <w:bCs/>
          <w:i/>
        </w:rPr>
        <w:t>“için”</w:t>
      </w:r>
      <w:r w:rsidRPr="00942786">
        <w:rPr>
          <w:rFonts w:ascii="Calibri" w:hAnsi="Calibri"/>
          <w:bCs/>
        </w:rPr>
        <w:t xml:space="preserve"> ibaresinden sonra gelmek üzere </w:t>
      </w:r>
      <w:r w:rsidRPr="00942786">
        <w:rPr>
          <w:rFonts w:ascii="Calibri" w:hAnsi="Calibri"/>
          <w:bCs/>
          <w:i/>
        </w:rPr>
        <w:t>“üretim lisansı başvurusu yapılacak ünite güç ve koordinat bilgileriyle uyumlu”</w:t>
      </w:r>
      <w:r w:rsidRPr="00942786">
        <w:rPr>
          <w:rFonts w:ascii="Calibri" w:hAnsi="Calibri"/>
          <w:bCs/>
        </w:rPr>
        <w:t xml:space="preserve"> ibaresi eklenmiş ve aynı maddenin ikinci fıkrasının (b) bendi yürürlükten kaldırılmıştır.</w:t>
      </w:r>
    </w:p>
    <w:p w14:paraId="0D79AED3" w14:textId="77777777" w:rsidR="00942786" w:rsidRPr="002048A7" w:rsidRDefault="00942786" w:rsidP="00942786">
      <w:pPr>
        <w:pStyle w:val="ListeParagraf"/>
        <w:spacing w:after="0"/>
        <w:ind w:left="1440"/>
        <w:rPr>
          <w:rFonts w:ascii="Calibri" w:hAnsi="Calibri"/>
          <w:bCs/>
        </w:rPr>
      </w:pPr>
    </w:p>
    <w:p w14:paraId="10349A1D" w14:textId="77777777" w:rsidR="00942786" w:rsidRPr="002048A7" w:rsidRDefault="00942786" w:rsidP="0025080A">
      <w:pPr>
        <w:pStyle w:val="ListeParagraf"/>
        <w:numPr>
          <w:ilvl w:val="0"/>
          <w:numId w:val="21"/>
        </w:numPr>
        <w:spacing w:after="0"/>
        <w:rPr>
          <w:rFonts w:ascii="Calibri" w:hAnsi="Calibri"/>
          <w:bCs/>
        </w:rPr>
      </w:pPr>
      <w:r w:rsidRPr="00942786">
        <w:rPr>
          <w:rFonts w:ascii="Calibri" w:hAnsi="Calibri"/>
          <w:bCs/>
        </w:rPr>
        <w:t xml:space="preserve">18 inci maddesinin altıncı fıkrasında yer alan </w:t>
      </w:r>
      <w:r w:rsidRPr="00942786">
        <w:rPr>
          <w:rFonts w:ascii="Calibri" w:hAnsi="Calibri"/>
          <w:bCs/>
          <w:i/>
        </w:rPr>
        <w:t>“ve/veya rüzgâr enerjisine dayalı üretim tesisleri için Teknik Etkileşim İzni belgesinin alınması amacıyla ilgili kurumlara başvuru yapıldığına ilişkin belgenin Kuruma sunulması”</w:t>
      </w:r>
      <w:r w:rsidRPr="00942786">
        <w:rPr>
          <w:rFonts w:ascii="Calibri" w:hAnsi="Calibri"/>
          <w:bCs/>
        </w:rPr>
        <w:t xml:space="preserve"> ibaresi ile aynı maddenin on ikinci fıkrasında yer alan </w:t>
      </w:r>
      <w:r w:rsidRPr="00942786">
        <w:rPr>
          <w:rFonts w:ascii="Calibri" w:hAnsi="Calibri"/>
          <w:bCs/>
          <w:i/>
        </w:rPr>
        <w:t>“, rüzgar enerjisine dayalı üretim tesisleri için Teknik Etkileşim İzni belgesinin alınması amacıyla ilgili kurumlara başvuru yapıldığına ilişkin belgenin”</w:t>
      </w:r>
      <w:r w:rsidRPr="00942786">
        <w:rPr>
          <w:rFonts w:ascii="Calibri" w:hAnsi="Calibri"/>
          <w:bCs/>
        </w:rPr>
        <w:t xml:space="preserve"> ibaresi ve aynı maddenin on birinci fıkrasının (a) bendi ile aynı fıkranın ikinci ve üçüncü cümleleri yürürlükten kaldırılmış, aynı maddenin sekizinci ve dokuzuncu fıkraları aşağıdaki şekilde ve aynı maddenin onuncu fıkrasında yer alan </w:t>
      </w:r>
      <w:r w:rsidRPr="00942786">
        <w:rPr>
          <w:rFonts w:ascii="Calibri" w:hAnsi="Calibri"/>
          <w:bCs/>
          <w:i/>
        </w:rPr>
        <w:t>“otuz gün”</w:t>
      </w:r>
      <w:r w:rsidRPr="00942786">
        <w:rPr>
          <w:rFonts w:ascii="Calibri" w:hAnsi="Calibri"/>
          <w:bCs/>
        </w:rPr>
        <w:t xml:space="preserve"> ibaresi </w:t>
      </w:r>
      <w:r w:rsidRPr="00942786">
        <w:rPr>
          <w:rFonts w:ascii="Calibri" w:hAnsi="Calibri"/>
          <w:bCs/>
          <w:i/>
        </w:rPr>
        <w:t>“kırk beş gün”</w:t>
      </w:r>
      <w:r w:rsidRPr="00942786">
        <w:rPr>
          <w:rFonts w:ascii="Calibri" w:hAnsi="Calibri"/>
          <w:bCs/>
        </w:rPr>
        <w:t xml:space="preserve"> şeklinde değiştirilmiştir.</w:t>
      </w:r>
    </w:p>
    <w:p w14:paraId="4D090C9F" w14:textId="77777777" w:rsidR="00942786" w:rsidRPr="002048A7" w:rsidRDefault="00942786" w:rsidP="00942786">
      <w:pPr>
        <w:pStyle w:val="ListeParagraf"/>
        <w:spacing w:after="0"/>
        <w:ind w:left="1440"/>
        <w:rPr>
          <w:rFonts w:ascii="Calibri" w:hAnsi="Calibri"/>
          <w:bCs/>
        </w:rPr>
      </w:pPr>
    </w:p>
    <w:p w14:paraId="6F36118A" w14:textId="77777777" w:rsidR="00942786" w:rsidRPr="00942786" w:rsidRDefault="00942786" w:rsidP="00942786">
      <w:pPr>
        <w:pStyle w:val="ListeParagraf"/>
        <w:spacing w:after="0"/>
        <w:ind w:left="1440"/>
        <w:rPr>
          <w:rFonts w:ascii="Calibri" w:hAnsi="Calibri"/>
          <w:bCs/>
          <w:i/>
        </w:rPr>
      </w:pPr>
      <w:r w:rsidRPr="00942786">
        <w:rPr>
          <w:rFonts w:ascii="Calibri" w:hAnsi="Calibri"/>
          <w:bCs/>
          <w:i/>
        </w:rPr>
        <w:t>“(8) Önlisansa kayıtlı ünite koordinat ve/veya santral sahası koordinat bilgilerinin tadil edilmesinin uygun bulunması halinde, Çevresel Etki Değerlendirmesi Yönetmeliği kapsamında alınması gerekli kararın alınması için ilgili kurumlara başvuru yapıldığına ilişkin belgenin, Kurul kararının veya ilgili ana hizmet birimi işleminin tebliğ tarihinden itibaren kırk beş gün içerisinde Kuruma sunulması kaydıyla önlisans tadili Kurum tarafından gerçekleştirilir.</w:t>
      </w:r>
    </w:p>
    <w:p w14:paraId="084BDCEA" w14:textId="77777777" w:rsidR="00942786" w:rsidRPr="00942786" w:rsidRDefault="00942786" w:rsidP="00942786">
      <w:pPr>
        <w:pStyle w:val="ListeParagraf"/>
        <w:spacing w:after="0"/>
        <w:ind w:left="1440"/>
        <w:rPr>
          <w:rFonts w:ascii="Calibri" w:hAnsi="Calibri"/>
          <w:bCs/>
          <w:i/>
        </w:rPr>
      </w:pPr>
      <w:r w:rsidRPr="00942786">
        <w:rPr>
          <w:rFonts w:ascii="Calibri" w:hAnsi="Calibri"/>
          <w:bCs/>
          <w:i/>
        </w:rPr>
        <w:t>(9) İlgili ana hizmet birimi;</w:t>
      </w:r>
    </w:p>
    <w:p w14:paraId="6166A132" w14:textId="77777777" w:rsidR="00942786" w:rsidRPr="00942786" w:rsidRDefault="00942786" w:rsidP="00942786">
      <w:pPr>
        <w:pStyle w:val="ListeParagraf"/>
        <w:spacing w:after="0"/>
        <w:ind w:left="1440"/>
        <w:rPr>
          <w:rFonts w:ascii="Calibri" w:hAnsi="Calibri"/>
          <w:bCs/>
          <w:i/>
        </w:rPr>
      </w:pPr>
      <w:r w:rsidRPr="00942786">
        <w:rPr>
          <w:rFonts w:ascii="Calibri" w:hAnsi="Calibri"/>
          <w:bCs/>
          <w:i/>
        </w:rPr>
        <w:t>a) Önlisans sahibi tüzel kişinin unvan ve nev’i değişikliğine,</w:t>
      </w:r>
    </w:p>
    <w:p w14:paraId="3942F11A" w14:textId="77777777" w:rsidR="00942786" w:rsidRPr="00942786" w:rsidRDefault="00942786" w:rsidP="00942786">
      <w:pPr>
        <w:pStyle w:val="ListeParagraf"/>
        <w:spacing w:after="0"/>
        <w:ind w:left="1440"/>
        <w:rPr>
          <w:rFonts w:ascii="Calibri" w:hAnsi="Calibri"/>
          <w:bCs/>
          <w:i/>
        </w:rPr>
      </w:pPr>
      <w:r w:rsidRPr="00942786">
        <w:rPr>
          <w:rFonts w:ascii="Calibri" w:hAnsi="Calibri"/>
          <w:bCs/>
          <w:i/>
        </w:rPr>
        <w:t>b) (ç) bendinde belirtilen hüküm saklı kalmak koşuluyla, önlisansın özel hükümlerinde yer alan bağlantı noktası ve kurulu gücü değişmemek kaydıyla ünite sayısı, ünite gücü, ünite koordinatları, depolama alanı koordinatları, yıllık elektrik enerjisi üretim miktarı, bulunduğu il, ilçe, mevki ve üretim tesisi adına,</w:t>
      </w:r>
    </w:p>
    <w:p w14:paraId="58284889" w14:textId="77777777" w:rsidR="00942786" w:rsidRPr="00942786" w:rsidRDefault="00942786" w:rsidP="00942786">
      <w:pPr>
        <w:pStyle w:val="ListeParagraf"/>
        <w:spacing w:after="0"/>
        <w:ind w:left="1440"/>
        <w:rPr>
          <w:rFonts w:ascii="Calibri" w:hAnsi="Calibri"/>
          <w:bCs/>
          <w:i/>
        </w:rPr>
      </w:pPr>
      <w:r w:rsidRPr="00942786">
        <w:rPr>
          <w:rFonts w:ascii="Calibri" w:hAnsi="Calibri"/>
          <w:bCs/>
          <w:i/>
        </w:rPr>
        <w:t>c) Önlisansın özel hükümlerinde yer alan bildirim adresi değişikliğine,</w:t>
      </w:r>
    </w:p>
    <w:p w14:paraId="1C73A4A9" w14:textId="77777777" w:rsidR="00942786" w:rsidRPr="00942786" w:rsidRDefault="00942786" w:rsidP="00942786">
      <w:pPr>
        <w:pStyle w:val="ListeParagraf"/>
        <w:spacing w:after="0"/>
        <w:ind w:left="1440"/>
        <w:rPr>
          <w:rFonts w:ascii="Calibri" w:hAnsi="Calibri"/>
          <w:bCs/>
          <w:i/>
        </w:rPr>
      </w:pPr>
      <w:proofErr w:type="gramStart"/>
      <w:r w:rsidRPr="00942786">
        <w:rPr>
          <w:rFonts w:ascii="Calibri" w:hAnsi="Calibri"/>
          <w:bCs/>
          <w:i/>
        </w:rPr>
        <w:lastRenderedPageBreak/>
        <w:t>ç</w:t>
      </w:r>
      <w:proofErr w:type="gramEnd"/>
      <w:r w:rsidRPr="00942786">
        <w:rPr>
          <w:rFonts w:ascii="Calibri" w:hAnsi="Calibri"/>
          <w:bCs/>
          <w:i/>
        </w:rPr>
        <w:t>) 10 MW’ı geçmemek kaydıyla kurulu gücün toplamda yüzde onuna kadar değiştirilmesi kapsamında yapılacak değişikliklere,</w:t>
      </w:r>
    </w:p>
    <w:p w14:paraId="1B80A8A9" w14:textId="77777777" w:rsidR="00942786" w:rsidRDefault="00942786" w:rsidP="00942786">
      <w:pPr>
        <w:pStyle w:val="ListeParagraf"/>
        <w:spacing w:after="0"/>
        <w:ind w:left="1440"/>
        <w:rPr>
          <w:rFonts w:ascii="Calibri" w:hAnsi="Calibri"/>
          <w:bCs/>
          <w:i/>
        </w:rPr>
      </w:pPr>
      <w:proofErr w:type="gramStart"/>
      <w:r w:rsidRPr="00942786">
        <w:rPr>
          <w:rFonts w:ascii="Calibri" w:hAnsi="Calibri"/>
          <w:bCs/>
          <w:i/>
        </w:rPr>
        <w:t>ilişkin</w:t>
      </w:r>
      <w:proofErr w:type="gramEnd"/>
      <w:r w:rsidRPr="00942786">
        <w:rPr>
          <w:rFonts w:ascii="Calibri" w:hAnsi="Calibri"/>
          <w:bCs/>
          <w:i/>
        </w:rPr>
        <w:t xml:space="preserve"> tadil talepleri ile 57 nci maddenin birinci ve ikinci fıkraları kapsamında belirtilen bildirim yükümlülüklerine ilişkin işlemleri sonuçlandırır. </w:t>
      </w:r>
      <w:proofErr w:type="gramStart"/>
      <w:r w:rsidRPr="00942786">
        <w:rPr>
          <w:rFonts w:ascii="Calibri" w:hAnsi="Calibri"/>
          <w:bCs/>
          <w:i/>
        </w:rPr>
        <w:t>Rüzgar</w:t>
      </w:r>
      <w:proofErr w:type="gramEnd"/>
      <w:r w:rsidRPr="00942786">
        <w:rPr>
          <w:rFonts w:ascii="Calibri" w:hAnsi="Calibri"/>
          <w:bCs/>
          <w:i/>
        </w:rPr>
        <w:t xml:space="preserve"> enerjisine dayalı önlisanslarda (b) bendi kapsamındaki ünite sayısı, ünite gücü ve ünite koordinat tadili ile depolama alanı koordinat tadili Enerji İşleri Genel Müdürlüğünün uygunluk belgesine binaen sonuçlandırılır. (</w:t>
      </w:r>
      <w:proofErr w:type="gramStart"/>
      <w:r w:rsidRPr="00942786">
        <w:rPr>
          <w:rFonts w:ascii="Calibri" w:hAnsi="Calibri"/>
          <w:bCs/>
          <w:i/>
        </w:rPr>
        <w:t>ç</w:t>
      </w:r>
      <w:proofErr w:type="gramEnd"/>
      <w:r w:rsidRPr="00942786">
        <w:rPr>
          <w:rFonts w:ascii="Calibri" w:hAnsi="Calibri"/>
          <w:bCs/>
          <w:i/>
        </w:rPr>
        <w:t>) bendi kapsamında belirlenen orana kadar yapılacak tadiller için bu Yönetmeliğin sermaye ve teminat yükümlülüklerine ilişkin hükümleri uygulanmaz. Bu fıkra kapsamında yapılan tadil işlemlerine üçüncü kişiler tarafından itiraz edilmesi halinde, söz konusu itiraz ve itiraza konu tadil işlemi Kurul tarafından sonuçlandırılır.”</w:t>
      </w:r>
    </w:p>
    <w:p w14:paraId="31D316E4" w14:textId="77777777" w:rsidR="00942786" w:rsidRDefault="00942786" w:rsidP="00942786">
      <w:pPr>
        <w:pStyle w:val="ListeParagraf"/>
        <w:spacing w:after="0"/>
        <w:ind w:left="1440"/>
        <w:rPr>
          <w:rFonts w:ascii="Calibri" w:hAnsi="Calibri"/>
          <w:bCs/>
        </w:rPr>
      </w:pPr>
    </w:p>
    <w:p w14:paraId="0A21E4D9" w14:textId="77777777" w:rsidR="00942786" w:rsidRPr="002048A7" w:rsidRDefault="00942786" w:rsidP="0025080A">
      <w:pPr>
        <w:pStyle w:val="ListeParagraf"/>
        <w:numPr>
          <w:ilvl w:val="0"/>
          <w:numId w:val="21"/>
        </w:numPr>
        <w:spacing w:after="0"/>
        <w:rPr>
          <w:rFonts w:ascii="Calibri" w:hAnsi="Calibri"/>
          <w:bCs/>
        </w:rPr>
      </w:pPr>
      <w:proofErr w:type="gramStart"/>
      <w:r w:rsidRPr="00942786">
        <w:rPr>
          <w:rFonts w:ascii="Calibri" w:hAnsi="Calibri"/>
          <w:bCs/>
        </w:rPr>
        <w:t>20 nci</w:t>
      </w:r>
      <w:proofErr w:type="gramEnd"/>
      <w:r w:rsidRPr="00942786">
        <w:rPr>
          <w:rFonts w:ascii="Calibri" w:hAnsi="Calibri"/>
          <w:bCs/>
        </w:rPr>
        <w:t xml:space="preserve"> maddesinin dördüncü fıkrasının (b) ve (ç) bentleri aşağıdaki şekilde değiştirilmiştir.</w:t>
      </w:r>
    </w:p>
    <w:p w14:paraId="51551F44" w14:textId="77777777" w:rsidR="00942786" w:rsidRPr="002048A7" w:rsidRDefault="00942786" w:rsidP="00942786">
      <w:pPr>
        <w:pStyle w:val="ListeParagraf"/>
        <w:spacing w:after="0"/>
        <w:ind w:left="1440"/>
        <w:rPr>
          <w:rFonts w:ascii="Calibri" w:hAnsi="Calibri"/>
          <w:bCs/>
        </w:rPr>
      </w:pPr>
    </w:p>
    <w:p w14:paraId="499D43A7" w14:textId="77777777" w:rsidR="00714AF1" w:rsidRPr="00714AF1" w:rsidRDefault="00714AF1" w:rsidP="00714AF1">
      <w:pPr>
        <w:pStyle w:val="ListeParagraf"/>
        <w:spacing w:after="0"/>
        <w:ind w:left="1440"/>
        <w:rPr>
          <w:rFonts w:ascii="Calibri" w:hAnsi="Calibri"/>
          <w:bCs/>
          <w:i/>
        </w:rPr>
      </w:pPr>
      <w:r w:rsidRPr="00714AF1">
        <w:rPr>
          <w:rFonts w:ascii="Calibri" w:hAnsi="Calibri"/>
          <w:bCs/>
          <w:i/>
        </w:rPr>
        <w:t>“</w:t>
      </w:r>
      <w:proofErr w:type="gramStart"/>
      <w:r w:rsidRPr="00714AF1">
        <w:rPr>
          <w:rFonts w:ascii="Calibri" w:hAnsi="Calibri"/>
          <w:bCs/>
          <w:i/>
        </w:rPr>
        <w:t>b</w:t>
      </w:r>
      <w:proofErr w:type="gramEnd"/>
      <w:r w:rsidRPr="00714AF1">
        <w:rPr>
          <w:rFonts w:ascii="Calibri" w:hAnsi="Calibri"/>
          <w:bCs/>
          <w:i/>
        </w:rPr>
        <w:t>) Şirketin sermayesinin asgari olarak;</w:t>
      </w:r>
    </w:p>
    <w:p w14:paraId="3139303D" w14:textId="77777777" w:rsidR="00714AF1" w:rsidRPr="00714AF1" w:rsidRDefault="00714AF1" w:rsidP="00714AF1">
      <w:pPr>
        <w:pStyle w:val="ListeParagraf"/>
        <w:spacing w:after="0"/>
        <w:ind w:left="1440"/>
        <w:rPr>
          <w:rFonts w:ascii="Calibri" w:hAnsi="Calibri"/>
          <w:bCs/>
          <w:i/>
        </w:rPr>
      </w:pPr>
      <w:r w:rsidRPr="00714AF1">
        <w:rPr>
          <w:rFonts w:ascii="Calibri" w:hAnsi="Calibri"/>
          <w:bCs/>
          <w:i/>
        </w:rPr>
        <w:t>1) Tedarik lisansı ve toplayıcı lisansı başvurularında Kurul tarafından belirlenen tutarda,</w:t>
      </w:r>
    </w:p>
    <w:p w14:paraId="79FC7471" w14:textId="77777777" w:rsidR="00714AF1" w:rsidRPr="00714AF1" w:rsidRDefault="00714AF1" w:rsidP="00714AF1">
      <w:pPr>
        <w:pStyle w:val="ListeParagraf"/>
        <w:spacing w:after="0"/>
        <w:ind w:left="1440"/>
        <w:rPr>
          <w:rFonts w:ascii="Calibri" w:hAnsi="Calibri"/>
          <w:bCs/>
          <w:i/>
        </w:rPr>
      </w:pPr>
      <w:r w:rsidRPr="00714AF1">
        <w:rPr>
          <w:rFonts w:ascii="Calibri" w:hAnsi="Calibri"/>
          <w:bCs/>
          <w:i/>
        </w:rPr>
        <w:t>2) Dağıtım lisansı ile piyasa işletim lisansı ve görevli tedarik şirketlerinin tedarik lisansı başvurularında Kurul tarafından belirlenen oran ve/veya tutarda,</w:t>
      </w:r>
    </w:p>
    <w:p w14:paraId="650BFC8C" w14:textId="77777777" w:rsidR="00714AF1" w:rsidRPr="00714AF1" w:rsidRDefault="00714AF1" w:rsidP="00714AF1">
      <w:pPr>
        <w:pStyle w:val="ListeParagraf"/>
        <w:spacing w:after="0"/>
        <w:ind w:left="1440"/>
        <w:rPr>
          <w:rFonts w:ascii="Calibri" w:hAnsi="Calibri"/>
          <w:bCs/>
          <w:i/>
        </w:rPr>
      </w:pPr>
      <w:proofErr w:type="gramStart"/>
      <w:r w:rsidRPr="00714AF1">
        <w:rPr>
          <w:rFonts w:ascii="Calibri" w:hAnsi="Calibri"/>
          <w:bCs/>
          <w:i/>
        </w:rPr>
        <w:t>olduğuna</w:t>
      </w:r>
      <w:proofErr w:type="gramEnd"/>
      <w:r w:rsidRPr="00714AF1">
        <w:rPr>
          <w:rFonts w:ascii="Calibri" w:hAnsi="Calibri"/>
          <w:bCs/>
          <w:i/>
        </w:rPr>
        <w:t xml:space="preserve"> ilişkin şirket esas sözleşmesinin sunulması zorunludur. Dağıtım lisansı sahibi tüzel kişiler ile görevli tedarik şirketlerinin lisansları süresince sağlamaları gereken sermaye yeterliliğine ilişkin hususlar Kurul kararı ile belirlenir.”</w:t>
      </w:r>
    </w:p>
    <w:p w14:paraId="17E47D79" w14:textId="77777777" w:rsidR="00942786" w:rsidRPr="002048A7" w:rsidRDefault="00714AF1" w:rsidP="00714AF1">
      <w:pPr>
        <w:pStyle w:val="ListeParagraf"/>
        <w:spacing w:after="0"/>
        <w:ind w:left="1440"/>
        <w:rPr>
          <w:rFonts w:ascii="Calibri" w:hAnsi="Calibri"/>
          <w:bCs/>
          <w:i/>
        </w:rPr>
      </w:pPr>
      <w:r w:rsidRPr="00714AF1">
        <w:rPr>
          <w:rFonts w:ascii="Calibri" w:hAnsi="Calibri"/>
          <w:bCs/>
          <w:i/>
        </w:rPr>
        <w:t>“</w:t>
      </w:r>
      <w:proofErr w:type="gramStart"/>
      <w:r w:rsidRPr="00714AF1">
        <w:rPr>
          <w:rFonts w:ascii="Calibri" w:hAnsi="Calibri"/>
          <w:bCs/>
          <w:i/>
        </w:rPr>
        <w:t>ç</w:t>
      </w:r>
      <w:proofErr w:type="gramEnd"/>
      <w:r w:rsidRPr="00714AF1">
        <w:rPr>
          <w:rFonts w:ascii="Calibri" w:hAnsi="Calibri"/>
          <w:bCs/>
          <w:i/>
        </w:rPr>
        <w:t>) Tedarik lisansı veya toplayıcı lisansı başvurusunda bulunan tüzel kişiler, lisanslarına müstakil elektrik depolama tesisi de eklemek istemeleri halinde birinci fıkrada belirtilen şekilde Kuruma başvuruda bulunur. Bu kapsamda başvuruda bulunulması halinde, söz konusu müstakil elektrik depolama tesisinin sisteme bağlantısı ve sistem kullanımı hakkında 15 inci maddenin ikinci fıkrası hükmü uygulanır. Bu kapsamdaki tesis için sermaye yeterliliği ile teminat yükümlülüğü aranmaz. Talebin Kurul tarafından uygun bulunması halinde, Çevresel Etki Değerlendirmesi Yönetmeliği kapsamında gerekli olan kararın Kurul kararında belirlenen süre içerisinde Kuruma sunulması hâlinde ilgili ana hizmet birimi tarafından depolama tesisine ilişkin bilgiler lisansa dercedilir.”</w:t>
      </w:r>
    </w:p>
    <w:p w14:paraId="33AE530A" w14:textId="77777777" w:rsidR="00942786" w:rsidRDefault="00942786" w:rsidP="00942786">
      <w:pPr>
        <w:pStyle w:val="ListeParagraf"/>
        <w:spacing w:after="0"/>
        <w:ind w:left="1440"/>
        <w:rPr>
          <w:rFonts w:ascii="Calibri" w:hAnsi="Calibri"/>
          <w:bCs/>
        </w:rPr>
      </w:pPr>
    </w:p>
    <w:p w14:paraId="41B4766F" w14:textId="77777777" w:rsidR="00942786" w:rsidRPr="002048A7" w:rsidRDefault="00714AF1" w:rsidP="0025080A">
      <w:pPr>
        <w:pStyle w:val="ListeParagraf"/>
        <w:numPr>
          <w:ilvl w:val="0"/>
          <w:numId w:val="21"/>
        </w:numPr>
        <w:spacing w:after="0"/>
        <w:rPr>
          <w:rFonts w:ascii="Calibri" w:hAnsi="Calibri"/>
          <w:bCs/>
        </w:rPr>
      </w:pPr>
      <w:proofErr w:type="gramStart"/>
      <w:r w:rsidRPr="00714AF1">
        <w:rPr>
          <w:rFonts w:ascii="Calibri" w:hAnsi="Calibri"/>
          <w:bCs/>
        </w:rPr>
        <w:t>24 üncü</w:t>
      </w:r>
      <w:proofErr w:type="gramEnd"/>
      <w:r w:rsidRPr="00714AF1">
        <w:rPr>
          <w:rFonts w:ascii="Calibri" w:hAnsi="Calibri"/>
          <w:bCs/>
        </w:rPr>
        <w:t xml:space="preserve"> maddesinin on birinci fıkrasının (b) bendinde yer alan </w:t>
      </w:r>
      <w:r w:rsidRPr="00714AF1">
        <w:rPr>
          <w:rFonts w:ascii="Calibri" w:hAnsi="Calibri"/>
          <w:bCs/>
          <w:i/>
        </w:rPr>
        <w:t>“ünite koordinatları,”</w:t>
      </w:r>
      <w:r w:rsidRPr="00714AF1">
        <w:rPr>
          <w:rFonts w:ascii="Calibri" w:hAnsi="Calibri"/>
          <w:bCs/>
        </w:rPr>
        <w:t xml:space="preserve"> ibaresinden sonra gelmek üzere </w:t>
      </w:r>
      <w:r w:rsidRPr="00714AF1">
        <w:rPr>
          <w:rFonts w:ascii="Calibri" w:hAnsi="Calibri"/>
          <w:bCs/>
          <w:i/>
        </w:rPr>
        <w:t>“depolama alanı koordinatları,”</w:t>
      </w:r>
      <w:r w:rsidRPr="00714AF1">
        <w:rPr>
          <w:rFonts w:ascii="Calibri" w:hAnsi="Calibri"/>
          <w:bCs/>
        </w:rPr>
        <w:t xml:space="preserve"> ibaresi eklenmiş, aynı fıkranın (d) bendi aşağıdaki şekilde değiştirilmiş, aynı maddenin on altıncı fıkrasının (a) bendi ile aynı fıkranın ikinci ve üçüncü cümleleri yürürlükten kaldırılmış, aynı maddenin on dokuzuncu ve yirminci fıkraları aşağıdaki şekilde değiştirilmiş ve aynı maddeye aşağıdaki fıkra eklenmiştir.</w:t>
      </w:r>
    </w:p>
    <w:p w14:paraId="433044F5" w14:textId="77777777" w:rsidR="00942786" w:rsidRPr="002048A7" w:rsidRDefault="00942786" w:rsidP="00942786">
      <w:pPr>
        <w:pStyle w:val="ListeParagraf"/>
        <w:spacing w:after="0"/>
        <w:ind w:left="1440"/>
        <w:rPr>
          <w:rFonts w:ascii="Calibri" w:hAnsi="Calibri"/>
          <w:bCs/>
        </w:rPr>
      </w:pPr>
    </w:p>
    <w:p w14:paraId="2DD25388" w14:textId="77777777" w:rsidR="00714AF1" w:rsidRPr="00714AF1" w:rsidRDefault="00714AF1" w:rsidP="00714AF1">
      <w:pPr>
        <w:pStyle w:val="ListeParagraf"/>
        <w:spacing w:after="0"/>
        <w:ind w:left="1440"/>
        <w:rPr>
          <w:rFonts w:ascii="Calibri" w:hAnsi="Calibri"/>
          <w:bCs/>
          <w:i/>
        </w:rPr>
      </w:pPr>
      <w:r w:rsidRPr="00714AF1">
        <w:rPr>
          <w:rFonts w:ascii="Calibri" w:hAnsi="Calibri"/>
          <w:bCs/>
          <w:i/>
        </w:rPr>
        <w:t>“</w:t>
      </w:r>
      <w:proofErr w:type="gramStart"/>
      <w:r w:rsidRPr="00714AF1">
        <w:rPr>
          <w:rFonts w:ascii="Calibri" w:hAnsi="Calibri"/>
          <w:bCs/>
          <w:i/>
        </w:rPr>
        <w:t>d</w:t>
      </w:r>
      <w:proofErr w:type="gramEnd"/>
      <w:r w:rsidRPr="00714AF1">
        <w:rPr>
          <w:rFonts w:ascii="Calibri" w:hAnsi="Calibri"/>
          <w:bCs/>
          <w:i/>
        </w:rPr>
        <w:t>) Rüzgar enerjisine dayalı üretim lisanslarında komşu sahalardaki türbin koordinatlarının etkilenmediği yönünde Enerji İşleri Genel Müdürlüğünden alınacak uygunluk belgesine binaen yapılan üretim tesisi sahası içerisindeki türbin koordinatlarına ait bilgilerin değiştirilmesi.”</w:t>
      </w:r>
    </w:p>
    <w:p w14:paraId="78DB4ACA" w14:textId="77777777" w:rsidR="00714AF1" w:rsidRPr="00714AF1" w:rsidRDefault="00714AF1" w:rsidP="00714AF1">
      <w:pPr>
        <w:pStyle w:val="ListeParagraf"/>
        <w:spacing w:after="0"/>
        <w:ind w:left="1440"/>
        <w:rPr>
          <w:rFonts w:ascii="Calibri" w:hAnsi="Calibri"/>
          <w:bCs/>
          <w:i/>
        </w:rPr>
      </w:pPr>
      <w:r w:rsidRPr="00714AF1">
        <w:rPr>
          <w:rFonts w:ascii="Calibri" w:hAnsi="Calibri"/>
          <w:bCs/>
          <w:i/>
        </w:rPr>
        <w:t xml:space="preserve">“(19) Tedarik lisansı veya toplayıcı lisansı sahibi tüzel kişiler, müstakil elektrik depolama tesisi kurmak istemeleri halinde söz konusu tesisin lisansına eklenmesi için Kuruma lisans tadil başvurusunda bulunur. Bu kapsamda talepte bulunulması halinde, söz konusu elektrik depolama tesisinin sisteme bağlantısı ve sistem kullanımı hakkında 15 inci maddenin ikinci fıkrası hükmü uygulanır. Talebin Kurul tarafından uygun bulunması halinde, Çevresel Etki Değerlendirmesi Yönetmeliği kapsamında gerekli olan kararın alınması için, uygun bulma Kurul kararının tebliğ tarihinden itibaren kırk beş gün içerisinde ilgili kurumlara başvurulması ve Kurul kararında </w:t>
      </w:r>
      <w:r w:rsidRPr="00714AF1">
        <w:rPr>
          <w:rFonts w:ascii="Calibri" w:hAnsi="Calibri"/>
          <w:bCs/>
          <w:i/>
        </w:rPr>
        <w:lastRenderedPageBreak/>
        <w:t>belirlenen süre içerisinde söz konusu kararın Kuruma sunulması kaydıyla lisans tadili yapılır. Üçüncü fıkra hükmü kapsamında; üretim tesislerinin süre uzatımına ilişkin lisans tadil talepleri için uygulanan hükümler, müstakil elektrik depolama tesisleri için de uygulanır. Bu kapsamdaki tesis için sermaye yeterliliği ile teminat yükümlülüğü aranmaz. Tedarik lisansı veya toplayıcı lisansına eklenecek her bir müstakil elektrik depolama tesisi için ayrı lisans tadili başvurusunda bulunulur.</w:t>
      </w:r>
    </w:p>
    <w:p w14:paraId="0FD1250A" w14:textId="77777777" w:rsidR="00714AF1" w:rsidRPr="00714AF1" w:rsidRDefault="00714AF1" w:rsidP="00714AF1">
      <w:pPr>
        <w:pStyle w:val="ListeParagraf"/>
        <w:spacing w:after="0"/>
        <w:ind w:left="1440"/>
        <w:rPr>
          <w:rFonts w:ascii="Calibri" w:hAnsi="Calibri"/>
          <w:bCs/>
          <w:i/>
        </w:rPr>
      </w:pPr>
      <w:r w:rsidRPr="00714AF1">
        <w:rPr>
          <w:rFonts w:ascii="Calibri" w:hAnsi="Calibri"/>
          <w:bCs/>
          <w:i/>
        </w:rPr>
        <w:t>(20) Mevcut tedarik lisansı veya toplayıcı lisansına müstakil elektrik depolama tesisi eklenmesi kapsamında Kuruma yapılan lisans tadil başvurularında depolama tesisinin gerekli teknik kriterlere uygunluğu hakkında TEİAŞ’tan görüş istenir.”</w:t>
      </w:r>
    </w:p>
    <w:p w14:paraId="6586BBA2" w14:textId="77777777" w:rsidR="00942786" w:rsidRPr="002048A7" w:rsidRDefault="00714AF1" w:rsidP="00714AF1">
      <w:pPr>
        <w:pStyle w:val="ListeParagraf"/>
        <w:spacing w:after="0"/>
        <w:ind w:left="1440"/>
        <w:rPr>
          <w:rFonts w:ascii="Calibri" w:hAnsi="Calibri"/>
          <w:bCs/>
          <w:i/>
        </w:rPr>
      </w:pPr>
      <w:r w:rsidRPr="00714AF1">
        <w:rPr>
          <w:rFonts w:ascii="Calibri" w:hAnsi="Calibri"/>
          <w:bCs/>
          <w:i/>
        </w:rPr>
        <w:t>“(23) Tedarik lisansı sahibi tüzel kişiler, elektrik piyasasında toplayıcılık faaliyetinde bulunmak istemeleri halinde, söz konusu faaliyetin lisansına eklenmesi için Kuruma lisans tadil başvurusunda bulunur. Başvurunun Kurul tarafından uygun bulunması halinde, tedarikçinin toplayıcılık faaliyetinde bulunabileceğine ilişkin husus tedarik lisansına dercedilir.”</w:t>
      </w:r>
    </w:p>
    <w:p w14:paraId="7CD92F3B" w14:textId="77777777" w:rsidR="00942786" w:rsidRDefault="00942786" w:rsidP="00942786">
      <w:pPr>
        <w:pStyle w:val="ListeParagraf"/>
        <w:spacing w:after="0"/>
        <w:ind w:left="1440"/>
        <w:rPr>
          <w:rFonts w:ascii="Calibri" w:hAnsi="Calibri"/>
          <w:bCs/>
        </w:rPr>
      </w:pPr>
    </w:p>
    <w:p w14:paraId="32F5F487" w14:textId="77777777" w:rsidR="00714AF1" w:rsidRPr="002048A7" w:rsidRDefault="00714AF1" w:rsidP="0025080A">
      <w:pPr>
        <w:pStyle w:val="ListeParagraf"/>
        <w:numPr>
          <w:ilvl w:val="0"/>
          <w:numId w:val="21"/>
        </w:numPr>
        <w:spacing w:after="0"/>
        <w:rPr>
          <w:rFonts w:ascii="Calibri" w:hAnsi="Calibri"/>
          <w:bCs/>
        </w:rPr>
      </w:pPr>
      <w:r w:rsidRPr="00714AF1">
        <w:rPr>
          <w:rFonts w:ascii="Calibri" w:hAnsi="Calibri"/>
          <w:bCs/>
        </w:rPr>
        <w:t xml:space="preserve">25 inci maddesinin ikinci fıkrasında yer alan </w:t>
      </w:r>
      <w:r w:rsidRPr="00714AF1">
        <w:rPr>
          <w:rFonts w:ascii="Calibri" w:hAnsi="Calibri"/>
          <w:bCs/>
          <w:i/>
        </w:rPr>
        <w:t>“tedarik lisansı”</w:t>
      </w:r>
      <w:r w:rsidRPr="00714AF1">
        <w:rPr>
          <w:rFonts w:ascii="Calibri" w:hAnsi="Calibri"/>
          <w:bCs/>
        </w:rPr>
        <w:t xml:space="preserve"> ibaresinden sonra gelmek üzere </w:t>
      </w:r>
      <w:r w:rsidRPr="00714AF1">
        <w:rPr>
          <w:rFonts w:ascii="Calibri" w:hAnsi="Calibri"/>
          <w:bCs/>
          <w:i/>
        </w:rPr>
        <w:t>“ve toplayıcı lisansı”</w:t>
      </w:r>
      <w:r w:rsidRPr="00714AF1">
        <w:rPr>
          <w:rFonts w:ascii="Calibri" w:hAnsi="Calibri"/>
          <w:bCs/>
        </w:rPr>
        <w:t xml:space="preserve"> ibaresi eklenmiştir.</w:t>
      </w:r>
    </w:p>
    <w:p w14:paraId="20B2AFE5" w14:textId="77777777" w:rsidR="00714AF1" w:rsidRPr="002048A7" w:rsidRDefault="00714AF1" w:rsidP="00714AF1">
      <w:pPr>
        <w:pStyle w:val="ListeParagraf"/>
        <w:spacing w:after="0"/>
        <w:ind w:left="1440"/>
        <w:rPr>
          <w:rFonts w:ascii="Calibri" w:hAnsi="Calibri"/>
          <w:bCs/>
        </w:rPr>
      </w:pPr>
    </w:p>
    <w:p w14:paraId="0212974C" w14:textId="77777777" w:rsidR="00714AF1" w:rsidRPr="002048A7" w:rsidRDefault="00714AF1" w:rsidP="0025080A">
      <w:pPr>
        <w:pStyle w:val="ListeParagraf"/>
        <w:numPr>
          <w:ilvl w:val="0"/>
          <w:numId w:val="21"/>
        </w:numPr>
        <w:spacing w:after="0"/>
        <w:rPr>
          <w:rFonts w:ascii="Calibri" w:hAnsi="Calibri"/>
          <w:bCs/>
        </w:rPr>
      </w:pPr>
      <w:proofErr w:type="gramStart"/>
      <w:r w:rsidRPr="00714AF1">
        <w:rPr>
          <w:rFonts w:ascii="Calibri" w:hAnsi="Calibri"/>
          <w:bCs/>
        </w:rPr>
        <w:t>33 üncü</w:t>
      </w:r>
      <w:proofErr w:type="gramEnd"/>
      <w:r w:rsidRPr="00714AF1">
        <w:rPr>
          <w:rFonts w:ascii="Calibri" w:hAnsi="Calibri"/>
          <w:bCs/>
        </w:rPr>
        <w:t xml:space="preserve"> maddesinin ikinci fıkrasına aşağıdaki bent ve aynı maddeye aşağıdaki fıkralar eklenmiştir.</w:t>
      </w:r>
    </w:p>
    <w:p w14:paraId="1E42ED71" w14:textId="77777777" w:rsidR="00714AF1" w:rsidRPr="002048A7" w:rsidRDefault="00714AF1" w:rsidP="00714AF1">
      <w:pPr>
        <w:pStyle w:val="ListeParagraf"/>
        <w:spacing w:after="0"/>
        <w:ind w:left="1440"/>
        <w:rPr>
          <w:rFonts w:ascii="Calibri" w:hAnsi="Calibri"/>
          <w:bCs/>
        </w:rPr>
      </w:pPr>
    </w:p>
    <w:p w14:paraId="089BCFB0" w14:textId="77777777" w:rsidR="00714AF1" w:rsidRPr="00714AF1" w:rsidRDefault="00714AF1" w:rsidP="00714AF1">
      <w:pPr>
        <w:pStyle w:val="ListeParagraf"/>
        <w:spacing w:after="0"/>
        <w:ind w:left="1440"/>
        <w:rPr>
          <w:rFonts w:ascii="Calibri" w:hAnsi="Calibri"/>
          <w:bCs/>
          <w:i/>
        </w:rPr>
      </w:pPr>
      <w:r w:rsidRPr="00714AF1">
        <w:rPr>
          <w:rFonts w:ascii="Calibri" w:hAnsi="Calibri"/>
          <w:bCs/>
          <w:i/>
        </w:rPr>
        <w:t>“bb) Toplayıcının ilgili mevzuat kapsamındaki yükümlülüklerini yerine getirebilmesi için toplayıcı tarafından talep edilmesi halinde toplayıcılık faaliyeti gösteren tüzel kişilere; kullanıcının sisteme bağlantı noktasından sonra olması koşulu ile sayaç, enerji analizörü gibi teçhizatın kurulumu için gerekli kolaylığı sağlamak ile portfoyünde olan ya da toplayıcı tarafından 24/3/2016 tarihli ve 6698 sayılı Kişisel Verilerin Korunması Kanunu kapsamında muvafakatname alınan kullanıcıların sayaç verilerini vermek,”</w:t>
      </w:r>
    </w:p>
    <w:p w14:paraId="5C7B4FED" w14:textId="77777777" w:rsidR="00714AF1" w:rsidRPr="00714AF1" w:rsidRDefault="00714AF1" w:rsidP="00714AF1">
      <w:pPr>
        <w:pStyle w:val="ListeParagraf"/>
        <w:spacing w:after="0"/>
        <w:ind w:left="1440"/>
        <w:rPr>
          <w:rFonts w:ascii="Calibri" w:hAnsi="Calibri"/>
          <w:bCs/>
          <w:i/>
        </w:rPr>
      </w:pPr>
      <w:r w:rsidRPr="00714AF1">
        <w:rPr>
          <w:rFonts w:ascii="Calibri" w:hAnsi="Calibri"/>
          <w:bCs/>
          <w:i/>
        </w:rPr>
        <w:t>“(8) Dağıtım şirketlerinin faaliyetlerini sürdürebilmek için ihtiyaç duydukları yönetim ve destek hizmetlerine (muhasebe, finans, hukuk, insan kaynakları ve benzeri) ait birimler, kendileri tarafından oluşturulur veya bu hizmetler, bu Yönetmeliğin 48 inci maddesi kapsamında hizmet alımı yoluyla karşılanabilir. Ancak, dağıtım şirketleri, bu hizmetlere ilişkin alımlarını, aynı ortaklık yapısına sahip diğer elektrik dağıtım şirketleri dışında, ilgili ana şirketten ve bu şirketin kontrolünde olan şirketlerden temin edemezler.</w:t>
      </w:r>
    </w:p>
    <w:p w14:paraId="01B631C2" w14:textId="77777777" w:rsidR="00714AF1" w:rsidRDefault="00714AF1" w:rsidP="00714AF1">
      <w:pPr>
        <w:pStyle w:val="ListeParagraf"/>
        <w:spacing w:after="0"/>
        <w:ind w:left="1440"/>
        <w:rPr>
          <w:rFonts w:ascii="Calibri" w:hAnsi="Calibri"/>
          <w:bCs/>
          <w:i/>
        </w:rPr>
      </w:pPr>
      <w:r w:rsidRPr="00714AF1">
        <w:rPr>
          <w:rFonts w:ascii="Calibri" w:hAnsi="Calibri"/>
          <w:bCs/>
          <w:i/>
        </w:rPr>
        <w:t>(9) Dağıtım şirketi, görevli tedarik şirketlerinden farklı fiziksel ortam ve bilgi sistemleri altyapısı kullanarak hizmet verir.”</w:t>
      </w:r>
    </w:p>
    <w:p w14:paraId="459FA037" w14:textId="77777777" w:rsidR="00714AF1" w:rsidRDefault="00714AF1" w:rsidP="00714AF1">
      <w:pPr>
        <w:pStyle w:val="ListeParagraf"/>
        <w:spacing w:after="0"/>
        <w:ind w:left="1440"/>
        <w:rPr>
          <w:rFonts w:ascii="Calibri" w:hAnsi="Calibri"/>
          <w:bCs/>
        </w:rPr>
      </w:pPr>
    </w:p>
    <w:p w14:paraId="17D2356D" w14:textId="77777777" w:rsidR="00714AF1" w:rsidRPr="002048A7" w:rsidRDefault="00714AF1" w:rsidP="0025080A">
      <w:pPr>
        <w:pStyle w:val="ListeParagraf"/>
        <w:numPr>
          <w:ilvl w:val="0"/>
          <w:numId w:val="21"/>
        </w:numPr>
        <w:spacing w:after="0"/>
        <w:rPr>
          <w:rFonts w:ascii="Calibri" w:hAnsi="Calibri"/>
          <w:bCs/>
        </w:rPr>
      </w:pPr>
      <w:proofErr w:type="gramStart"/>
      <w:r w:rsidRPr="00714AF1">
        <w:rPr>
          <w:rFonts w:ascii="Calibri" w:hAnsi="Calibri"/>
          <w:bCs/>
        </w:rPr>
        <w:t>34 üncü</w:t>
      </w:r>
      <w:proofErr w:type="gramEnd"/>
      <w:r w:rsidRPr="00714AF1">
        <w:rPr>
          <w:rFonts w:ascii="Calibri" w:hAnsi="Calibri"/>
          <w:bCs/>
        </w:rPr>
        <w:t xml:space="preserve"> maddesine aşağıdaki fıkralar eklenmiştir.</w:t>
      </w:r>
    </w:p>
    <w:p w14:paraId="76586019" w14:textId="77777777" w:rsidR="00714AF1" w:rsidRPr="002048A7" w:rsidRDefault="00714AF1" w:rsidP="00714AF1">
      <w:pPr>
        <w:pStyle w:val="ListeParagraf"/>
        <w:spacing w:after="0"/>
        <w:ind w:left="1440"/>
        <w:rPr>
          <w:rFonts w:ascii="Calibri" w:hAnsi="Calibri"/>
          <w:bCs/>
        </w:rPr>
      </w:pPr>
    </w:p>
    <w:p w14:paraId="376BA68E" w14:textId="77777777" w:rsidR="00714AF1" w:rsidRPr="00714AF1" w:rsidRDefault="00714AF1" w:rsidP="00714AF1">
      <w:pPr>
        <w:pStyle w:val="ListeParagraf"/>
        <w:spacing w:after="0"/>
        <w:ind w:left="1440"/>
        <w:rPr>
          <w:rFonts w:ascii="Calibri" w:hAnsi="Calibri"/>
          <w:bCs/>
          <w:i/>
        </w:rPr>
      </w:pPr>
      <w:r w:rsidRPr="00714AF1">
        <w:rPr>
          <w:rFonts w:ascii="Calibri" w:hAnsi="Calibri"/>
          <w:bCs/>
          <w:i/>
        </w:rPr>
        <w:t>“(12) Görevli tedarik şirketleri dışındaki tedarik lisansı sahibi tüzel kişiler, lisansına dercedilmek kaydıyla elektrik piyasasında toplayıcılık faaliyetinde bulunabilir. Bu kapsamda faaliyet gösteren tedarik lisansı sahibi tüzel kişiler ayrıca bu Yönetmeliğin 34/A maddesi hükümlerine tabidir.</w:t>
      </w:r>
    </w:p>
    <w:p w14:paraId="37E158A6" w14:textId="77777777" w:rsidR="00714AF1" w:rsidRPr="00714AF1" w:rsidRDefault="00714AF1" w:rsidP="00714AF1">
      <w:pPr>
        <w:pStyle w:val="ListeParagraf"/>
        <w:spacing w:after="0"/>
        <w:ind w:left="1440"/>
        <w:rPr>
          <w:rFonts w:ascii="Calibri" w:hAnsi="Calibri"/>
          <w:bCs/>
          <w:i/>
        </w:rPr>
      </w:pPr>
      <w:r w:rsidRPr="00714AF1">
        <w:rPr>
          <w:rFonts w:ascii="Calibri" w:hAnsi="Calibri"/>
          <w:bCs/>
          <w:i/>
        </w:rPr>
        <w:t>(13) Toplayıcılık faaliyeti lisansına dercedilmiş olan tedarik lisansı sahibi tüzel kişiler, elektrik tedarik etmek üzere anlaşmalı oldukları şebeke kullanıcıları adına toplayıcılık faaliyetinde bulunamaz.</w:t>
      </w:r>
    </w:p>
    <w:p w14:paraId="5B12A195" w14:textId="77777777" w:rsidR="00714AF1" w:rsidRDefault="00714AF1" w:rsidP="00714AF1">
      <w:pPr>
        <w:pStyle w:val="ListeParagraf"/>
        <w:spacing w:after="0"/>
        <w:ind w:left="1440"/>
        <w:rPr>
          <w:rFonts w:ascii="Calibri" w:hAnsi="Calibri"/>
          <w:bCs/>
          <w:i/>
        </w:rPr>
      </w:pPr>
      <w:r w:rsidRPr="00714AF1">
        <w:rPr>
          <w:rFonts w:ascii="Calibri" w:hAnsi="Calibri"/>
          <w:bCs/>
          <w:i/>
        </w:rPr>
        <w:t>(14) Görevli tedarik şirketi, dağıtım şirketlerinden farklı fiziksel ortam ve bilgi sistemleri alt yapısı kullanarak hizmet verir.”</w:t>
      </w:r>
    </w:p>
    <w:p w14:paraId="74CDC3B1" w14:textId="77777777" w:rsidR="00714AF1" w:rsidRDefault="00714AF1" w:rsidP="00714AF1">
      <w:pPr>
        <w:pStyle w:val="ListeParagraf"/>
        <w:spacing w:after="0"/>
        <w:ind w:left="1440"/>
        <w:rPr>
          <w:rFonts w:ascii="Calibri" w:hAnsi="Calibri"/>
          <w:bCs/>
        </w:rPr>
      </w:pPr>
    </w:p>
    <w:p w14:paraId="14D95317" w14:textId="77777777" w:rsidR="00714AF1" w:rsidRPr="002048A7" w:rsidRDefault="00714AF1" w:rsidP="0025080A">
      <w:pPr>
        <w:pStyle w:val="ListeParagraf"/>
        <w:numPr>
          <w:ilvl w:val="0"/>
          <w:numId w:val="21"/>
        </w:numPr>
        <w:spacing w:after="0"/>
        <w:rPr>
          <w:rFonts w:ascii="Calibri" w:hAnsi="Calibri"/>
          <w:bCs/>
        </w:rPr>
      </w:pPr>
      <w:proofErr w:type="gramStart"/>
      <w:r w:rsidRPr="00714AF1">
        <w:rPr>
          <w:rFonts w:ascii="Calibri" w:hAnsi="Calibri"/>
          <w:bCs/>
        </w:rPr>
        <w:t>34 üncü</w:t>
      </w:r>
      <w:proofErr w:type="gramEnd"/>
      <w:r w:rsidRPr="00714AF1">
        <w:rPr>
          <w:rFonts w:ascii="Calibri" w:hAnsi="Calibri"/>
          <w:bCs/>
        </w:rPr>
        <w:t xml:space="preserve"> maddeden sonra gelmek üzere aşağıdaki madde eklenmiştir.</w:t>
      </w:r>
    </w:p>
    <w:p w14:paraId="70556182" w14:textId="77777777" w:rsidR="00714AF1" w:rsidRPr="002048A7" w:rsidRDefault="00714AF1" w:rsidP="00714AF1">
      <w:pPr>
        <w:pStyle w:val="ListeParagraf"/>
        <w:spacing w:after="0"/>
        <w:ind w:left="1440"/>
        <w:rPr>
          <w:rFonts w:ascii="Calibri" w:hAnsi="Calibri"/>
          <w:bCs/>
        </w:rPr>
      </w:pPr>
    </w:p>
    <w:p w14:paraId="168AB55C" w14:textId="77777777" w:rsidR="00714AF1" w:rsidRPr="00714AF1" w:rsidRDefault="00714AF1" w:rsidP="00714AF1">
      <w:pPr>
        <w:pStyle w:val="ListeParagraf"/>
        <w:spacing w:after="0"/>
        <w:ind w:left="1440"/>
        <w:rPr>
          <w:rFonts w:ascii="Calibri" w:hAnsi="Calibri"/>
          <w:bCs/>
          <w:i/>
        </w:rPr>
      </w:pPr>
      <w:r w:rsidRPr="00714AF1">
        <w:rPr>
          <w:rFonts w:ascii="Calibri" w:hAnsi="Calibri"/>
          <w:bCs/>
          <w:i/>
        </w:rPr>
        <w:t>“Toplayıcı lisansı sahibinin hak ve yükümlülükleri</w:t>
      </w:r>
    </w:p>
    <w:p w14:paraId="625C4B15" w14:textId="77777777" w:rsidR="00714AF1" w:rsidRPr="00714AF1" w:rsidRDefault="00714AF1" w:rsidP="00714AF1">
      <w:pPr>
        <w:pStyle w:val="ListeParagraf"/>
        <w:spacing w:after="0"/>
        <w:ind w:left="1440"/>
        <w:rPr>
          <w:rFonts w:ascii="Calibri" w:hAnsi="Calibri"/>
          <w:bCs/>
          <w:i/>
        </w:rPr>
      </w:pPr>
      <w:r w:rsidRPr="00714AF1">
        <w:rPr>
          <w:rFonts w:ascii="Calibri" w:hAnsi="Calibri"/>
          <w:bCs/>
          <w:i/>
        </w:rPr>
        <w:t>MADDE 34/A- (1) Toplayıcı lisansı, lisans sahibine;</w:t>
      </w:r>
    </w:p>
    <w:p w14:paraId="09B95B78" w14:textId="77777777" w:rsidR="00714AF1" w:rsidRPr="00714AF1" w:rsidRDefault="00714AF1" w:rsidP="00714AF1">
      <w:pPr>
        <w:pStyle w:val="ListeParagraf"/>
        <w:spacing w:after="0"/>
        <w:ind w:left="1440"/>
        <w:rPr>
          <w:rFonts w:ascii="Calibri" w:hAnsi="Calibri"/>
          <w:bCs/>
          <w:i/>
        </w:rPr>
      </w:pPr>
      <w:r w:rsidRPr="00714AF1">
        <w:rPr>
          <w:rFonts w:ascii="Calibri" w:hAnsi="Calibri"/>
          <w:bCs/>
          <w:i/>
        </w:rPr>
        <w:t>a) Portföyünde yer alan şebeke kullanıcılarının üretim ve/veya tüketim programlarını yönetme,</w:t>
      </w:r>
    </w:p>
    <w:p w14:paraId="26F6C138" w14:textId="77777777" w:rsidR="00714AF1" w:rsidRPr="00714AF1" w:rsidRDefault="00714AF1" w:rsidP="00714AF1">
      <w:pPr>
        <w:pStyle w:val="ListeParagraf"/>
        <w:spacing w:after="0"/>
        <w:ind w:left="1440"/>
        <w:rPr>
          <w:rFonts w:ascii="Calibri" w:hAnsi="Calibri"/>
          <w:bCs/>
          <w:i/>
        </w:rPr>
      </w:pPr>
      <w:r w:rsidRPr="00714AF1">
        <w:rPr>
          <w:rFonts w:ascii="Calibri" w:hAnsi="Calibri"/>
          <w:bCs/>
          <w:i/>
        </w:rPr>
        <w:t>b) Portföyünde yer alan şebeke kullanıcılarının üretim ve/veya tüketim tesisleri için elektrik enerjisi ve/veya kapasitesi ticareti yapma,</w:t>
      </w:r>
    </w:p>
    <w:p w14:paraId="635F44C7" w14:textId="77777777" w:rsidR="00714AF1" w:rsidRPr="00714AF1" w:rsidRDefault="00714AF1" w:rsidP="00714AF1">
      <w:pPr>
        <w:pStyle w:val="ListeParagraf"/>
        <w:spacing w:after="0"/>
        <w:ind w:left="1440"/>
        <w:rPr>
          <w:rFonts w:ascii="Calibri" w:hAnsi="Calibri"/>
          <w:bCs/>
          <w:i/>
        </w:rPr>
      </w:pPr>
      <w:r w:rsidRPr="00714AF1">
        <w:rPr>
          <w:rFonts w:ascii="Calibri" w:hAnsi="Calibri"/>
          <w:bCs/>
          <w:i/>
        </w:rPr>
        <w:t>c) Portföyünde yer alan serbest tüketiciler için, elektrik enerjisi ve/veya kapasitesi ticareti yapabilme,</w:t>
      </w:r>
    </w:p>
    <w:p w14:paraId="58DE726A" w14:textId="77777777" w:rsidR="00714AF1" w:rsidRPr="00714AF1" w:rsidRDefault="00714AF1" w:rsidP="00714AF1">
      <w:pPr>
        <w:pStyle w:val="ListeParagraf"/>
        <w:spacing w:after="0"/>
        <w:ind w:left="1440"/>
        <w:rPr>
          <w:rFonts w:ascii="Calibri" w:hAnsi="Calibri"/>
          <w:bCs/>
          <w:i/>
        </w:rPr>
      </w:pPr>
      <w:proofErr w:type="gramStart"/>
      <w:r w:rsidRPr="00714AF1">
        <w:rPr>
          <w:rFonts w:ascii="Calibri" w:hAnsi="Calibri"/>
          <w:bCs/>
          <w:i/>
        </w:rPr>
        <w:t>ç</w:t>
      </w:r>
      <w:proofErr w:type="gramEnd"/>
      <w:r w:rsidRPr="00714AF1">
        <w:rPr>
          <w:rFonts w:ascii="Calibri" w:hAnsi="Calibri"/>
          <w:bCs/>
          <w:i/>
        </w:rPr>
        <w:t>) Portföyünde yer alan şebeke kullanıcılarının elektrik enerjisi ve/veya kapasitesinin alınıp satılmasına ilişkin piyasa işlemlerini yürütme, yan hizmet anlaşmaları kapsamında yan hizmetlere ilişkin tedarik süreçlerine katılma,</w:t>
      </w:r>
    </w:p>
    <w:p w14:paraId="68D82A77" w14:textId="77777777" w:rsidR="00714AF1" w:rsidRPr="00714AF1" w:rsidRDefault="00714AF1" w:rsidP="00714AF1">
      <w:pPr>
        <w:pStyle w:val="ListeParagraf"/>
        <w:spacing w:after="0"/>
        <w:ind w:left="1440"/>
        <w:rPr>
          <w:rFonts w:ascii="Calibri" w:hAnsi="Calibri"/>
          <w:bCs/>
          <w:i/>
        </w:rPr>
      </w:pPr>
      <w:r w:rsidRPr="00714AF1">
        <w:rPr>
          <w:rFonts w:ascii="Calibri" w:hAnsi="Calibri"/>
          <w:bCs/>
          <w:i/>
        </w:rPr>
        <w:t>d) Portföyünü dengelemek amacıyla lisansı kapsamında müstakil elektrik depolama tesis veya tesislerini kurma ve işletme,</w:t>
      </w:r>
    </w:p>
    <w:p w14:paraId="47E20EE4" w14:textId="77777777" w:rsidR="00714AF1" w:rsidRPr="00714AF1" w:rsidRDefault="00714AF1" w:rsidP="00714AF1">
      <w:pPr>
        <w:pStyle w:val="ListeParagraf"/>
        <w:spacing w:after="0"/>
        <w:ind w:left="1440"/>
        <w:rPr>
          <w:rFonts w:ascii="Calibri" w:hAnsi="Calibri"/>
          <w:bCs/>
          <w:i/>
        </w:rPr>
      </w:pPr>
      <w:proofErr w:type="gramStart"/>
      <w:r w:rsidRPr="00714AF1">
        <w:rPr>
          <w:rFonts w:ascii="Calibri" w:hAnsi="Calibri"/>
          <w:bCs/>
          <w:i/>
        </w:rPr>
        <w:t>hakkını</w:t>
      </w:r>
      <w:proofErr w:type="gramEnd"/>
      <w:r w:rsidRPr="00714AF1">
        <w:rPr>
          <w:rFonts w:ascii="Calibri" w:hAnsi="Calibri"/>
          <w:bCs/>
          <w:i/>
        </w:rPr>
        <w:t xml:space="preserve"> verir.</w:t>
      </w:r>
    </w:p>
    <w:p w14:paraId="46621DBD" w14:textId="77777777" w:rsidR="00714AF1" w:rsidRPr="00714AF1" w:rsidRDefault="00714AF1" w:rsidP="00714AF1">
      <w:pPr>
        <w:pStyle w:val="ListeParagraf"/>
        <w:spacing w:after="0"/>
        <w:ind w:left="1440"/>
        <w:rPr>
          <w:rFonts w:ascii="Calibri" w:hAnsi="Calibri"/>
          <w:bCs/>
          <w:i/>
        </w:rPr>
      </w:pPr>
      <w:r w:rsidRPr="00714AF1">
        <w:rPr>
          <w:rFonts w:ascii="Calibri" w:hAnsi="Calibri"/>
          <w:bCs/>
          <w:i/>
        </w:rPr>
        <w:t>(2) Toplayıcı lisansı, lisans sahibine birinci fıkrada sayılanların yanı sıra; ilgili şebeke işletmecisine başvuru yapılması ve uygun donanım ile teçhizat kullanılması suretiyle, portföyünde yer alan şebeke kullanıcılarının anlık üretim ve/veya tüketim verilerini izleyebilme, analiz etme ve raporlama hakkını verir.</w:t>
      </w:r>
    </w:p>
    <w:p w14:paraId="3D1BBE7E" w14:textId="77777777" w:rsidR="00714AF1" w:rsidRPr="00714AF1" w:rsidRDefault="00714AF1" w:rsidP="00714AF1">
      <w:pPr>
        <w:pStyle w:val="ListeParagraf"/>
        <w:spacing w:after="0"/>
        <w:ind w:left="1440"/>
        <w:rPr>
          <w:rFonts w:ascii="Calibri" w:hAnsi="Calibri"/>
          <w:bCs/>
          <w:i/>
        </w:rPr>
      </w:pPr>
      <w:r w:rsidRPr="00714AF1">
        <w:rPr>
          <w:rFonts w:ascii="Calibri" w:hAnsi="Calibri"/>
          <w:bCs/>
          <w:i/>
        </w:rPr>
        <w:t>(3) Toplayıcı, ilgili mevzuatta sayılanların yanı sıra portföyü kapsamında;</w:t>
      </w:r>
    </w:p>
    <w:p w14:paraId="6C67B1A6" w14:textId="77777777" w:rsidR="00714AF1" w:rsidRPr="00714AF1" w:rsidRDefault="00714AF1" w:rsidP="00714AF1">
      <w:pPr>
        <w:pStyle w:val="ListeParagraf"/>
        <w:spacing w:after="0"/>
        <w:ind w:left="1440"/>
        <w:rPr>
          <w:rFonts w:ascii="Calibri" w:hAnsi="Calibri"/>
          <w:bCs/>
          <w:i/>
        </w:rPr>
      </w:pPr>
      <w:r w:rsidRPr="00714AF1">
        <w:rPr>
          <w:rFonts w:ascii="Calibri" w:hAnsi="Calibri"/>
          <w:bCs/>
          <w:i/>
        </w:rPr>
        <w:t>a) Portföyünün dengelenmesi ile dengeleme mekanizması ve uzlaştırmaya katılımları sonucu oluşan alacak ve borçlarının mali açıdan uzlaştırılması ile diğer hususlara ilişkin hükümlere uymak,</w:t>
      </w:r>
    </w:p>
    <w:p w14:paraId="61173140" w14:textId="77777777" w:rsidR="00714AF1" w:rsidRPr="00714AF1" w:rsidRDefault="00714AF1" w:rsidP="00714AF1">
      <w:pPr>
        <w:pStyle w:val="ListeParagraf"/>
        <w:spacing w:after="0"/>
        <w:ind w:left="1440"/>
        <w:rPr>
          <w:rFonts w:ascii="Calibri" w:hAnsi="Calibri"/>
          <w:bCs/>
          <w:i/>
        </w:rPr>
      </w:pPr>
      <w:r w:rsidRPr="00714AF1">
        <w:rPr>
          <w:rFonts w:ascii="Calibri" w:hAnsi="Calibri"/>
          <w:bCs/>
          <w:i/>
        </w:rPr>
        <w:t>b) Yan hizmetler piyasasında faaliyet gösterecek olması halinde, yan hizmetler kapsamında gerekli belgelendirilmelerin yapılması ve hizmetlerin sağlanması, izlenmesi, kontrolü, incelenmesi, yapılacak ödemelerin gerçekleştirilmesi, taraflara uygulanacak yaptırımlar ve diğer hususlara ilişkin hükümlere uymak,</w:t>
      </w:r>
    </w:p>
    <w:p w14:paraId="51C95F82" w14:textId="77777777" w:rsidR="00714AF1" w:rsidRPr="00714AF1" w:rsidRDefault="00714AF1" w:rsidP="00714AF1">
      <w:pPr>
        <w:pStyle w:val="ListeParagraf"/>
        <w:spacing w:after="0"/>
        <w:ind w:left="1440"/>
        <w:rPr>
          <w:rFonts w:ascii="Calibri" w:hAnsi="Calibri"/>
          <w:bCs/>
          <w:i/>
        </w:rPr>
      </w:pPr>
      <w:r w:rsidRPr="00714AF1">
        <w:rPr>
          <w:rFonts w:ascii="Calibri" w:hAnsi="Calibri"/>
          <w:bCs/>
          <w:i/>
        </w:rPr>
        <w:t>c) Yan hizmetler ve/veya dengeleme güç piyasasında yürüteceği faaliyetler kapsamında TEİAŞ tarafından talep edilecek teknik donanım ve verileri sağlamak,</w:t>
      </w:r>
    </w:p>
    <w:p w14:paraId="3561D059" w14:textId="77777777" w:rsidR="00714AF1" w:rsidRPr="00714AF1" w:rsidRDefault="00714AF1" w:rsidP="00714AF1">
      <w:pPr>
        <w:pStyle w:val="ListeParagraf"/>
        <w:spacing w:after="0"/>
        <w:ind w:left="1440"/>
        <w:rPr>
          <w:rFonts w:ascii="Calibri" w:hAnsi="Calibri"/>
          <w:bCs/>
          <w:i/>
        </w:rPr>
      </w:pPr>
      <w:proofErr w:type="gramStart"/>
      <w:r w:rsidRPr="00714AF1">
        <w:rPr>
          <w:rFonts w:ascii="Calibri" w:hAnsi="Calibri"/>
          <w:bCs/>
          <w:i/>
        </w:rPr>
        <w:t>ile</w:t>
      </w:r>
      <w:proofErr w:type="gramEnd"/>
      <w:r w:rsidRPr="00714AF1">
        <w:rPr>
          <w:rFonts w:ascii="Calibri" w:hAnsi="Calibri"/>
          <w:bCs/>
          <w:i/>
        </w:rPr>
        <w:t xml:space="preserve"> yükümlüdür.</w:t>
      </w:r>
    </w:p>
    <w:p w14:paraId="0482C32C" w14:textId="77777777" w:rsidR="00714AF1" w:rsidRPr="00714AF1" w:rsidRDefault="00714AF1" w:rsidP="00714AF1">
      <w:pPr>
        <w:pStyle w:val="ListeParagraf"/>
        <w:spacing w:after="0"/>
        <w:ind w:left="1440"/>
        <w:rPr>
          <w:rFonts w:ascii="Calibri" w:hAnsi="Calibri"/>
          <w:bCs/>
          <w:i/>
        </w:rPr>
      </w:pPr>
      <w:r w:rsidRPr="00714AF1">
        <w:rPr>
          <w:rFonts w:ascii="Calibri" w:hAnsi="Calibri"/>
          <w:bCs/>
          <w:i/>
        </w:rPr>
        <w:t>(4) Toplayıcı, portföyünde yer alan şebeke kullanıcıları adına teminat ve dengesizlik de dahil olmak üzere, ikili anlaşmalar ile organize toptan elektrik piyasaları işlemlerine ilişkin ilgili mevzuat kapsamındaki tüm yükümlülüklerin yerine getirilmesinden sorumludur.</w:t>
      </w:r>
    </w:p>
    <w:p w14:paraId="2786247C" w14:textId="77777777" w:rsidR="00714AF1" w:rsidRPr="00714AF1" w:rsidRDefault="00714AF1" w:rsidP="00714AF1">
      <w:pPr>
        <w:pStyle w:val="ListeParagraf"/>
        <w:spacing w:after="0"/>
        <w:ind w:left="1440"/>
        <w:rPr>
          <w:rFonts w:ascii="Calibri" w:hAnsi="Calibri"/>
          <w:bCs/>
          <w:i/>
        </w:rPr>
      </w:pPr>
      <w:r w:rsidRPr="00714AF1">
        <w:rPr>
          <w:rFonts w:ascii="Calibri" w:hAnsi="Calibri"/>
          <w:bCs/>
          <w:i/>
        </w:rPr>
        <w:t>(5) Toplayıcı, toplayıcı lisansı veya lisansına dercedilmek kaydıyla tedarik lisansı kapsamındaki toplayıcılık faaliyetine ilişkin toptan satış faaliyetinde bulunamaz. Ancak portföyünü dengelemek amacıyla yapmış olduğu alış ve satışlar bu kapsamda değerlendirilmez.</w:t>
      </w:r>
    </w:p>
    <w:p w14:paraId="6032770C" w14:textId="77777777" w:rsidR="00714AF1" w:rsidRDefault="00714AF1" w:rsidP="00714AF1">
      <w:pPr>
        <w:pStyle w:val="ListeParagraf"/>
        <w:spacing w:after="0"/>
        <w:ind w:left="1440"/>
        <w:rPr>
          <w:rFonts w:ascii="Calibri" w:hAnsi="Calibri"/>
          <w:bCs/>
          <w:i/>
        </w:rPr>
      </w:pPr>
      <w:r w:rsidRPr="00714AF1">
        <w:rPr>
          <w:rFonts w:ascii="Calibri" w:hAnsi="Calibri"/>
          <w:bCs/>
          <w:i/>
        </w:rPr>
        <w:t>(6) Toplayıcılık faaliyeti gösteren tüzel kişilerin doğrudan ve dolaylı ortakları ile kontrolünde olan tüzel kişilerin, bu tüzel kişilerin doğrudan ve dolaylı ortaklıklarında istihdam edilen kişilerin ve bu kişilerin kontrolünde olan tüzel kişilerin ortaklık yapısında yer aldığı toplayıcı lisansı ve/veya toplayıcılık faaliyeti lisansına dercedilmiş tedarik lisansı kapsamında oluşturulan portföylerde yer alan üretim tesislerinin işletmedeki elektriksel kurulu güçleri toplamı, 17/12/2024 tarihli ve 32755 sayılı Resmî Gazete’de yayımlanan Elektrik Piyasasında Toplayıcılık Faaliyeti Yönetmeliği çerçevesinde belirlenen üst limit değerini geçemez.”</w:t>
      </w:r>
    </w:p>
    <w:p w14:paraId="0B0DE493" w14:textId="77777777" w:rsidR="00714AF1" w:rsidRDefault="00714AF1" w:rsidP="00714AF1">
      <w:pPr>
        <w:pStyle w:val="ListeParagraf"/>
        <w:spacing w:after="0"/>
        <w:ind w:left="1440"/>
        <w:rPr>
          <w:rFonts w:ascii="Calibri" w:hAnsi="Calibri"/>
          <w:bCs/>
        </w:rPr>
      </w:pPr>
    </w:p>
    <w:p w14:paraId="2F068D62" w14:textId="77777777" w:rsidR="00714AF1" w:rsidRPr="002048A7" w:rsidRDefault="00714AF1" w:rsidP="0025080A">
      <w:pPr>
        <w:pStyle w:val="ListeParagraf"/>
        <w:numPr>
          <w:ilvl w:val="0"/>
          <w:numId w:val="21"/>
        </w:numPr>
        <w:spacing w:after="0"/>
        <w:rPr>
          <w:rFonts w:ascii="Calibri" w:hAnsi="Calibri"/>
          <w:bCs/>
        </w:rPr>
      </w:pPr>
      <w:proofErr w:type="gramStart"/>
      <w:r w:rsidRPr="00714AF1">
        <w:rPr>
          <w:rFonts w:ascii="Calibri" w:hAnsi="Calibri"/>
          <w:bCs/>
        </w:rPr>
        <w:lastRenderedPageBreak/>
        <w:t>43 üncü</w:t>
      </w:r>
      <w:proofErr w:type="gramEnd"/>
      <w:r w:rsidRPr="00714AF1">
        <w:rPr>
          <w:rFonts w:ascii="Calibri" w:hAnsi="Calibri"/>
          <w:bCs/>
        </w:rPr>
        <w:t xml:space="preserve"> maddesinin yedinci fıkrasının (b) bendinde yer alan </w:t>
      </w:r>
      <w:r w:rsidRPr="00714AF1">
        <w:rPr>
          <w:rFonts w:ascii="Calibri" w:hAnsi="Calibri"/>
          <w:bCs/>
          <w:i/>
        </w:rPr>
        <w:t>“Tedarik”</w:t>
      </w:r>
      <w:r w:rsidRPr="00714AF1">
        <w:rPr>
          <w:rFonts w:ascii="Calibri" w:hAnsi="Calibri"/>
          <w:bCs/>
        </w:rPr>
        <w:t xml:space="preserve"> ibaresinden sonra gelmek üzere </w:t>
      </w:r>
      <w:r w:rsidRPr="00714AF1">
        <w:rPr>
          <w:rFonts w:ascii="Calibri" w:hAnsi="Calibri"/>
          <w:bCs/>
          <w:i/>
        </w:rPr>
        <w:t>“ve toplayıcı”</w:t>
      </w:r>
      <w:r w:rsidRPr="00714AF1">
        <w:rPr>
          <w:rFonts w:ascii="Calibri" w:hAnsi="Calibri"/>
          <w:bCs/>
        </w:rPr>
        <w:t xml:space="preserve"> ibaresi eklenmiş, aynı maddenin on dokuzuncu fıkrasında yer alan </w:t>
      </w:r>
      <w:r w:rsidRPr="00714AF1">
        <w:rPr>
          <w:rFonts w:ascii="Calibri" w:hAnsi="Calibri"/>
          <w:bCs/>
          <w:i/>
        </w:rPr>
        <w:t xml:space="preserve">“Tedarik lisansına” </w:t>
      </w:r>
      <w:r w:rsidRPr="00714AF1">
        <w:rPr>
          <w:rFonts w:ascii="Calibri" w:hAnsi="Calibri"/>
          <w:bCs/>
        </w:rPr>
        <w:t xml:space="preserve">ibaresi </w:t>
      </w:r>
      <w:r w:rsidRPr="00714AF1">
        <w:rPr>
          <w:rFonts w:ascii="Calibri" w:hAnsi="Calibri"/>
          <w:bCs/>
          <w:i/>
        </w:rPr>
        <w:t>“Tedarik lisansı veya toplayıcı lisansına”</w:t>
      </w:r>
      <w:r w:rsidRPr="00714AF1">
        <w:rPr>
          <w:rFonts w:ascii="Calibri" w:hAnsi="Calibri"/>
          <w:bCs/>
        </w:rPr>
        <w:t xml:space="preserve"> şeklinde değiştirilmiş ve aynı maddeye aşağıdaki fıkralar eklenmiştir.</w:t>
      </w:r>
    </w:p>
    <w:p w14:paraId="296AA200" w14:textId="77777777" w:rsidR="00714AF1" w:rsidRPr="002048A7" w:rsidRDefault="00714AF1" w:rsidP="00714AF1">
      <w:pPr>
        <w:pStyle w:val="ListeParagraf"/>
        <w:spacing w:after="0"/>
        <w:ind w:left="1440"/>
        <w:rPr>
          <w:rFonts w:ascii="Calibri" w:hAnsi="Calibri"/>
          <w:bCs/>
        </w:rPr>
      </w:pPr>
    </w:p>
    <w:p w14:paraId="7AD592B8" w14:textId="77777777" w:rsidR="00714AF1" w:rsidRPr="00714AF1" w:rsidRDefault="00714AF1" w:rsidP="00714AF1">
      <w:pPr>
        <w:pStyle w:val="ListeParagraf"/>
        <w:spacing w:after="0"/>
        <w:ind w:left="1440"/>
        <w:rPr>
          <w:rFonts w:ascii="Calibri" w:hAnsi="Calibri"/>
          <w:bCs/>
          <w:i/>
        </w:rPr>
      </w:pPr>
      <w:r w:rsidRPr="00714AF1">
        <w:rPr>
          <w:rFonts w:ascii="Calibri" w:hAnsi="Calibri"/>
          <w:bCs/>
          <w:i/>
        </w:rPr>
        <w:t>“(20) Tedarik lisansı sahibi tüzel kişilerin elektrik piyasasında toplayıcılık faaliyeti yürütmek üzere Kuruma yapmış oldukları lisans tadil başvurusu kapsamında, içerisinde bulunulan yıl itibarıyla geçerli olan toplayıcı lisansı alma bedeli kadar tutar, lisans tadil bedeli olarak alınır.</w:t>
      </w:r>
    </w:p>
    <w:p w14:paraId="6E6A89F0" w14:textId="77777777" w:rsidR="00714AF1" w:rsidRPr="00714AF1" w:rsidRDefault="00714AF1" w:rsidP="00714AF1">
      <w:pPr>
        <w:pStyle w:val="ListeParagraf"/>
        <w:spacing w:after="0"/>
        <w:ind w:left="1440"/>
        <w:rPr>
          <w:rFonts w:ascii="Calibri" w:hAnsi="Calibri"/>
          <w:bCs/>
          <w:i/>
        </w:rPr>
      </w:pPr>
      <w:r w:rsidRPr="00714AF1">
        <w:rPr>
          <w:rFonts w:ascii="Calibri" w:hAnsi="Calibri"/>
          <w:bCs/>
          <w:i/>
        </w:rPr>
        <w:t>(21) Çevresel Etki Değerlendirmesi Yönetmeliği kapsamında gerekli olan kararın alınması ile ilgili olarak;</w:t>
      </w:r>
    </w:p>
    <w:p w14:paraId="083AA803" w14:textId="77777777" w:rsidR="00714AF1" w:rsidRPr="00714AF1" w:rsidRDefault="00714AF1" w:rsidP="00714AF1">
      <w:pPr>
        <w:pStyle w:val="ListeParagraf"/>
        <w:spacing w:after="0"/>
        <w:ind w:left="1440"/>
        <w:rPr>
          <w:rFonts w:ascii="Calibri" w:hAnsi="Calibri"/>
          <w:bCs/>
          <w:i/>
        </w:rPr>
      </w:pPr>
      <w:r w:rsidRPr="00714AF1">
        <w:rPr>
          <w:rFonts w:ascii="Calibri" w:hAnsi="Calibri"/>
          <w:bCs/>
          <w:i/>
        </w:rPr>
        <w:t xml:space="preserve">a) </w:t>
      </w:r>
      <w:proofErr w:type="gramStart"/>
      <w:r w:rsidRPr="00714AF1">
        <w:rPr>
          <w:rFonts w:ascii="Calibri" w:hAnsi="Calibri"/>
          <w:bCs/>
          <w:i/>
        </w:rPr>
        <w:t>17 nci</w:t>
      </w:r>
      <w:proofErr w:type="gramEnd"/>
      <w:r w:rsidRPr="00714AF1">
        <w:rPr>
          <w:rFonts w:ascii="Calibri" w:hAnsi="Calibri"/>
          <w:bCs/>
          <w:i/>
        </w:rPr>
        <w:t xml:space="preserve"> maddenin ikinci fıkrası gereği doksan gün içerisinde ilgili kuruma başvuru yapılmadığının tespiti halinde, ilgili tüzel kişiden tadil bedelinin üç katı kadar bir bedel alınır.</w:t>
      </w:r>
    </w:p>
    <w:p w14:paraId="4D4C3D40" w14:textId="77777777" w:rsidR="00714AF1" w:rsidRDefault="00714AF1" w:rsidP="00714AF1">
      <w:pPr>
        <w:pStyle w:val="ListeParagraf"/>
        <w:spacing w:after="0"/>
        <w:ind w:left="1440"/>
        <w:rPr>
          <w:rFonts w:ascii="Calibri" w:hAnsi="Calibri"/>
          <w:bCs/>
          <w:i/>
        </w:rPr>
      </w:pPr>
      <w:r w:rsidRPr="00714AF1">
        <w:rPr>
          <w:rFonts w:ascii="Calibri" w:hAnsi="Calibri"/>
          <w:bCs/>
          <w:i/>
        </w:rPr>
        <w:t xml:space="preserve">b) </w:t>
      </w:r>
      <w:proofErr w:type="gramStart"/>
      <w:r w:rsidRPr="00714AF1">
        <w:rPr>
          <w:rFonts w:ascii="Calibri" w:hAnsi="Calibri"/>
          <w:bCs/>
          <w:i/>
        </w:rPr>
        <w:t>24 üncü</w:t>
      </w:r>
      <w:proofErr w:type="gramEnd"/>
      <w:r w:rsidRPr="00714AF1">
        <w:rPr>
          <w:rFonts w:ascii="Calibri" w:hAnsi="Calibri"/>
          <w:bCs/>
          <w:i/>
        </w:rPr>
        <w:t xml:space="preserve"> madde kapsamında yapılacak tadil işlemleri gereği kırk beş gün içerisinde ilgili kuruma başvuru yapılmadığının tespiti halinde, lisans tadil bedeli üç kat olarak uygulanır.”</w:t>
      </w:r>
    </w:p>
    <w:p w14:paraId="00D6A901" w14:textId="77777777" w:rsidR="00714AF1" w:rsidRDefault="00714AF1" w:rsidP="00714AF1">
      <w:pPr>
        <w:pStyle w:val="ListeParagraf"/>
        <w:spacing w:after="0"/>
        <w:ind w:left="1440"/>
        <w:rPr>
          <w:rFonts w:ascii="Calibri" w:hAnsi="Calibri"/>
          <w:bCs/>
        </w:rPr>
      </w:pPr>
    </w:p>
    <w:p w14:paraId="461E3C4B" w14:textId="77777777" w:rsidR="00714AF1" w:rsidRPr="002048A7" w:rsidRDefault="00714AF1" w:rsidP="0025080A">
      <w:pPr>
        <w:pStyle w:val="ListeParagraf"/>
        <w:numPr>
          <w:ilvl w:val="0"/>
          <w:numId w:val="21"/>
        </w:numPr>
        <w:spacing w:after="0"/>
        <w:rPr>
          <w:rFonts w:ascii="Calibri" w:hAnsi="Calibri"/>
          <w:bCs/>
        </w:rPr>
      </w:pPr>
      <w:proofErr w:type="gramStart"/>
      <w:r w:rsidRPr="00714AF1">
        <w:rPr>
          <w:rFonts w:ascii="Calibri" w:hAnsi="Calibri"/>
          <w:bCs/>
        </w:rPr>
        <w:t>56 ncı</w:t>
      </w:r>
      <w:proofErr w:type="gramEnd"/>
      <w:r w:rsidRPr="00714AF1">
        <w:rPr>
          <w:rFonts w:ascii="Calibri" w:hAnsi="Calibri"/>
          <w:bCs/>
        </w:rPr>
        <w:t xml:space="preserve"> maddesine aşağıdaki fıkra eklenmiştir.</w:t>
      </w:r>
    </w:p>
    <w:p w14:paraId="10FBD42E" w14:textId="77777777" w:rsidR="00714AF1" w:rsidRPr="002048A7" w:rsidRDefault="00714AF1" w:rsidP="00714AF1">
      <w:pPr>
        <w:pStyle w:val="ListeParagraf"/>
        <w:spacing w:after="0"/>
        <w:ind w:left="1440"/>
        <w:rPr>
          <w:rFonts w:ascii="Calibri" w:hAnsi="Calibri"/>
          <w:bCs/>
        </w:rPr>
      </w:pPr>
    </w:p>
    <w:p w14:paraId="280799DE" w14:textId="77777777" w:rsidR="00714AF1" w:rsidRDefault="00714AF1" w:rsidP="00714AF1">
      <w:pPr>
        <w:pStyle w:val="ListeParagraf"/>
        <w:spacing w:after="0"/>
        <w:ind w:left="1440"/>
        <w:rPr>
          <w:rFonts w:ascii="Calibri" w:hAnsi="Calibri"/>
          <w:bCs/>
          <w:i/>
        </w:rPr>
      </w:pPr>
      <w:r w:rsidRPr="00714AF1">
        <w:rPr>
          <w:rFonts w:ascii="Calibri" w:hAnsi="Calibri"/>
          <w:bCs/>
          <w:i/>
        </w:rPr>
        <w:t>“(4) Toplayıcılık faaliyeti kapsamında, toplayıcı lisansı sahibi veya tedarik lisansı sahibi tüzel kişiler ile söz konusu tüzel kişilerin portföylerinde yer alan şebeke kullanıcıları arasında doğan anlaşmazlıklar, özel hukuk hükümleri çerçevesinde çözüme kavuşturulur.”</w:t>
      </w:r>
    </w:p>
    <w:p w14:paraId="46A6931E" w14:textId="77777777" w:rsidR="00714AF1" w:rsidRDefault="00714AF1" w:rsidP="00714AF1">
      <w:pPr>
        <w:pStyle w:val="ListeParagraf"/>
        <w:spacing w:after="0"/>
        <w:ind w:left="1440"/>
        <w:rPr>
          <w:rFonts w:ascii="Calibri" w:hAnsi="Calibri"/>
          <w:bCs/>
        </w:rPr>
      </w:pPr>
    </w:p>
    <w:p w14:paraId="7F66CBF2" w14:textId="77777777" w:rsidR="00714AF1" w:rsidRDefault="00714AF1" w:rsidP="0025080A">
      <w:pPr>
        <w:pStyle w:val="ListeParagraf"/>
        <w:numPr>
          <w:ilvl w:val="0"/>
          <w:numId w:val="21"/>
        </w:numPr>
        <w:spacing w:after="0"/>
        <w:rPr>
          <w:rFonts w:ascii="Calibri" w:hAnsi="Calibri"/>
          <w:bCs/>
        </w:rPr>
      </w:pPr>
      <w:proofErr w:type="gramStart"/>
      <w:r w:rsidRPr="00714AF1">
        <w:rPr>
          <w:rFonts w:ascii="Calibri" w:hAnsi="Calibri"/>
          <w:bCs/>
        </w:rPr>
        <w:t>57 nci</w:t>
      </w:r>
      <w:proofErr w:type="gramEnd"/>
      <w:r w:rsidRPr="00714AF1">
        <w:rPr>
          <w:rFonts w:ascii="Calibri" w:hAnsi="Calibri"/>
          <w:bCs/>
        </w:rPr>
        <w:t xml:space="preserve"> maddesinin ikinci fıkrasında yer alan </w:t>
      </w:r>
      <w:r w:rsidRPr="00714AF1">
        <w:rPr>
          <w:rFonts w:ascii="Calibri" w:hAnsi="Calibri"/>
          <w:bCs/>
          <w:i/>
        </w:rPr>
        <w:t>“Tarifesi düzenlemeye tabi faaliyet yürüten lisans sahibi tüzel kişiler için”</w:t>
      </w:r>
      <w:r w:rsidRPr="00714AF1">
        <w:rPr>
          <w:rFonts w:ascii="Calibri" w:hAnsi="Calibri"/>
          <w:bCs/>
        </w:rPr>
        <w:t xml:space="preserve"> ibaresinden sonra gelmek üzere </w:t>
      </w:r>
      <w:r w:rsidRPr="00714AF1">
        <w:rPr>
          <w:rFonts w:ascii="Calibri" w:hAnsi="Calibri"/>
          <w:bCs/>
          <w:i/>
        </w:rPr>
        <w:t>“veraset işlemleri dışında;”</w:t>
      </w:r>
      <w:r w:rsidRPr="00714AF1">
        <w:rPr>
          <w:rFonts w:ascii="Calibri" w:hAnsi="Calibri"/>
          <w:bCs/>
        </w:rPr>
        <w:t xml:space="preserve"> ibaresi eklenmiştir.</w:t>
      </w:r>
    </w:p>
    <w:p w14:paraId="25AB1241" w14:textId="77777777" w:rsidR="00714AF1" w:rsidRDefault="00714AF1" w:rsidP="00714AF1">
      <w:pPr>
        <w:pStyle w:val="ListeParagraf"/>
        <w:spacing w:after="0"/>
        <w:ind w:left="1440"/>
        <w:rPr>
          <w:rFonts w:ascii="Calibri" w:hAnsi="Calibri"/>
          <w:bCs/>
        </w:rPr>
      </w:pPr>
    </w:p>
    <w:p w14:paraId="2EE80D86" w14:textId="77777777" w:rsidR="00714AF1" w:rsidRPr="002048A7" w:rsidRDefault="00714AF1" w:rsidP="0025080A">
      <w:pPr>
        <w:pStyle w:val="ListeParagraf"/>
        <w:numPr>
          <w:ilvl w:val="0"/>
          <w:numId w:val="21"/>
        </w:numPr>
        <w:spacing w:after="0"/>
        <w:rPr>
          <w:rFonts w:ascii="Calibri" w:hAnsi="Calibri"/>
          <w:bCs/>
        </w:rPr>
      </w:pPr>
      <w:r w:rsidRPr="00714AF1">
        <w:rPr>
          <w:rFonts w:ascii="Calibri" w:hAnsi="Calibri"/>
          <w:bCs/>
        </w:rPr>
        <w:t>60 ıncı maddesinin birinci fıkrasının son cümlesi aşağıdaki şekilde değiştirilmiştir.</w:t>
      </w:r>
    </w:p>
    <w:p w14:paraId="175B9337" w14:textId="77777777" w:rsidR="00714AF1" w:rsidRPr="002048A7" w:rsidRDefault="00714AF1" w:rsidP="00714AF1">
      <w:pPr>
        <w:pStyle w:val="ListeParagraf"/>
        <w:spacing w:after="0"/>
        <w:ind w:left="1440"/>
        <w:rPr>
          <w:rFonts w:ascii="Calibri" w:hAnsi="Calibri"/>
          <w:bCs/>
        </w:rPr>
      </w:pPr>
    </w:p>
    <w:p w14:paraId="2F2B6E09" w14:textId="77777777" w:rsidR="00714AF1" w:rsidRDefault="00714AF1" w:rsidP="00714AF1">
      <w:pPr>
        <w:pStyle w:val="ListeParagraf"/>
        <w:spacing w:after="0"/>
        <w:ind w:left="1440"/>
        <w:rPr>
          <w:rFonts w:ascii="Calibri" w:hAnsi="Calibri"/>
          <w:bCs/>
          <w:i/>
        </w:rPr>
      </w:pPr>
      <w:r w:rsidRPr="00714AF1">
        <w:rPr>
          <w:rFonts w:ascii="Calibri" w:hAnsi="Calibri"/>
          <w:bCs/>
          <w:i/>
        </w:rPr>
        <w:t>“Söz konusu faaliyetin ticarete konu edilecek olması durumunda ilgili mevzuatta belirtilen koşullar çerçevesinde lisans alınması zorunludur.”</w:t>
      </w:r>
    </w:p>
    <w:p w14:paraId="30292CEE" w14:textId="77777777" w:rsidR="00714AF1" w:rsidRDefault="00714AF1" w:rsidP="00714AF1">
      <w:pPr>
        <w:pStyle w:val="ListeParagraf"/>
        <w:spacing w:after="0"/>
        <w:ind w:left="1440"/>
        <w:rPr>
          <w:rFonts w:ascii="Calibri" w:hAnsi="Calibri"/>
          <w:bCs/>
          <w:i/>
        </w:rPr>
      </w:pPr>
    </w:p>
    <w:p w14:paraId="36AD8240" w14:textId="77777777" w:rsidR="00714AF1" w:rsidRPr="002048A7" w:rsidRDefault="00714AF1" w:rsidP="0025080A">
      <w:pPr>
        <w:pStyle w:val="ListeParagraf"/>
        <w:numPr>
          <w:ilvl w:val="0"/>
          <w:numId w:val="21"/>
        </w:numPr>
        <w:spacing w:after="0"/>
        <w:rPr>
          <w:rFonts w:ascii="Calibri" w:hAnsi="Calibri"/>
          <w:bCs/>
        </w:rPr>
      </w:pPr>
      <w:r w:rsidRPr="00714AF1">
        <w:rPr>
          <w:rFonts w:ascii="Calibri" w:hAnsi="Calibri"/>
          <w:bCs/>
        </w:rPr>
        <w:t xml:space="preserve">Aynı Yönetmeliğin geçici </w:t>
      </w:r>
      <w:proofErr w:type="gramStart"/>
      <w:r w:rsidRPr="00714AF1">
        <w:rPr>
          <w:rFonts w:ascii="Calibri" w:hAnsi="Calibri"/>
          <w:bCs/>
        </w:rPr>
        <w:t>4 üncü</w:t>
      </w:r>
      <w:proofErr w:type="gramEnd"/>
      <w:r w:rsidRPr="00714AF1">
        <w:rPr>
          <w:rFonts w:ascii="Calibri" w:hAnsi="Calibri"/>
          <w:bCs/>
        </w:rPr>
        <w:t xml:space="preserve"> maddesi yürürlükten kaldırılmıştır.</w:t>
      </w:r>
    </w:p>
    <w:p w14:paraId="396A9848" w14:textId="77777777" w:rsidR="00714AF1" w:rsidRDefault="00714AF1" w:rsidP="00714AF1">
      <w:pPr>
        <w:pStyle w:val="ListeParagraf"/>
        <w:spacing w:after="0"/>
        <w:ind w:left="1440"/>
        <w:rPr>
          <w:rFonts w:ascii="Calibri" w:hAnsi="Calibri"/>
          <w:bCs/>
        </w:rPr>
      </w:pPr>
    </w:p>
    <w:p w14:paraId="4960E37D" w14:textId="77777777" w:rsidR="00714AF1" w:rsidRPr="002048A7" w:rsidRDefault="00714AF1" w:rsidP="0025080A">
      <w:pPr>
        <w:pStyle w:val="ListeParagraf"/>
        <w:numPr>
          <w:ilvl w:val="0"/>
          <w:numId w:val="21"/>
        </w:numPr>
        <w:spacing w:after="0"/>
        <w:rPr>
          <w:rFonts w:ascii="Calibri" w:hAnsi="Calibri"/>
          <w:bCs/>
        </w:rPr>
      </w:pPr>
      <w:r w:rsidRPr="00714AF1">
        <w:rPr>
          <w:rFonts w:ascii="Calibri" w:hAnsi="Calibri"/>
          <w:bCs/>
        </w:rPr>
        <w:t>Aynı Yönetmeliğe aşağıdaki geçici madde eklenmiştir.</w:t>
      </w:r>
    </w:p>
    <w:p w14:paraId="25040A61" w14:textId="77777777" w:rsidR="00714AF1" w:rsidRPr="002048A7" w:rsidRDefault="00714AF1" w:rsidP="00714AF1">
      <w:pPr>
        <w:pStyle w:val="ListeParagraf"/>
        <w:spacing w:after="0"/>
        <w:ind w:left="1440"/>
        <w:rPr>
          <w:rFonts w:ascii="Calibri" w:hAnsi="Calibri"/>
          <w:bCs/>
        </w:rPr>
      </w:pPr>
    </w:p>
    <w:p w14:paraId="270EE828" w14:textId="77777777" w:rsidR="00714AF1" w:rsidRPr="00714AF1" w:rsidRDefault="00714AF1" w:rsidP="00714AF1">
      <w:pPr>
        <w:pStyle w:val="ListeParagraf"/>
        <w:spacing w:after="0"/>
        <w:ind w:left="1440"/>
        <w:rPr>
          <w:rFonts w:ascii="Calibri" w:hAnsi="Calibri"/>
          <w:bCs/>
          <w:i/>
        </w:rPr>
      </w:pPr>
      <w:r w:rsidRPr="00714AF1">
        <w:rPr>
          <w:rFonts w:ascii="Calibri" w:hAnsi="Calibri"/>
          <w:bCs/>
          <w:i/>
        </w:rPr>
        <w:t>“Toplayıcılık faaliyetine ilişkin başvuruların alınması</w:t>
      </w:r>
    </w:p>
    <w:p w14:paraId="01ED13DD" w14:textId="77777777" w:rsidR="00714AF1" w:rsidRDefault="00714AF1" w:rsidP="00714AF1">
      <w:pPr>
        <w:pStyle w:val="ListeParagraf"/>
        <w:spacing w:after="0"/>
        <w:ind w:left="1440"/>
        <w:rPr>
          <w:rFonts w:ascii="Calibri" w:hAnsi="Calibri"/>
          <w:bCs/>
          <w:i/>
        </w:rPr>
      </w:pPr>
      <w:r w:rsidRPr="00714AF1">
        <w:rPr>
          <w:rFonts w:ascii="Calibri" w:hAnsi="Calibri"/>
          <w:bCs/>
          <w:i/>
        </w:rPr>
        <w:t>GEÇİCİ MADDE 42- (1) Elektrik piyasasında toplayıcılık faaliyetine ilişkin Kuruma yapılacak toplayıcı lisansı başvuruları ile tedarik lisansına toplayıcılık faaliyeti dercedilmesine ilişkin tadil başvuruları, 1/1/2025 tarihinden itibaren alınır.”</w:t>
      </w:r>
    </w:p>
    <w:p w14:paraId="7F1FA3C7" w14:textId="77777777" w:rsidR="00714AF1" w:rsidRPr="002048A7" w:rsidRDefault="00714AF1" w:rsidP="00714AF1">
      <w:pPr>
        <w:pStyle w:val="ListeParagraf"/>
        <w:spacing w:after="0"/>
        <w:ind w:left="1440"/>
        <w:rPr>
          <w:rFonts w:ascii="Calibri" w:hAnsi="Calibri"/>
          <w:bCs/>
        </w:rPr>
      </w:pPr>
    </w:p>
    <w:p w14:paraId="7BDB06B9" w14:textId="77777777" w:rsidR="00AB660C" w:rsidRPr="002048A7" w:rsidRDefault="00785337" w:rsidP="0025080A">
      <w:pPr>
        <w:pStyle w:val="ListeParagraf"/>
        <w:numPr>
          <w:ilvl w:val="0"/>
          <w:numId w:val="22"/>
        </w:numPr>
        <w:spacing w:after="0"/>
        <w:rPr>
          <w:rFonts w:ascii="Calibri" w:hAnsi="Calibri"/>
          <w:i/>
        </w:rPr>
      </w:pPr>
      <w:r w:rsidRPr="002048A7">
        <w:rPr>
          <w:rFonts w:ascii="Calibri" w:hAnsi="Calibri"/>
          <w:bCs/>
        </w:rPr>
        <w:t>1</w:t>
      </w:r>
      <w:r w:rsidR="00714AF1">
        <w:rPr>
          <w:rFonts w:ascii="Calibri" w:hAnsi="Calibri"/>
          <w:bCs/>
        </w:rPr>
        <w:t>7</w:t>
      </w:r>
      <w:r w:rsidRPr="002048A7">
        <w:rPr>
          <w:rFonts w:ascii="Calibri" w:hAnsi="Calibri"/>
          <w:bCs/>
        </w:rPr>
        <w:t>.</w:t>
      </w:r>
      <w:r w:rsidR="00714AF1">
        <w:rPr>
          <w:rFonts w:ascii="Calibri" w:hAnsi="Calibri"/>
          <w:bCs/>
        </w:rPr>
        <w:t>12</w:t>
      </w:r>
      <w:r w:rsidRPr="002048A7">
        <w:rPr>
          <w:rFonts w:ascii="Calibri" w:hAnsi="Calibri"/>
          <w:bCs/>
        </w:rPr>
        <w:t>.202</w:t>
      </w:r>
      <w:r w:rsidR="00714AF1">
        <w:rPr>
          <w:rFonts w:ascii="Calibri" w:hAnsi="Calibri"/>
          <w:bCs/>
        </w:rPr>
        <w:t>4</w:t>
      </w:r>
      <w:r w:rsidRPr="002048A7">
        <w:rPr>
          <w:rFonts w:ascii="Calibri" w:hAnsi="Calibri"/>
          <w:bCs/>
        </w:rPr>
        <w:t xml:space="preserve"> tarihli ve 32</w:t>
      </w:r>
      <w:r w:rsidR="00714AF1">
        <w:rPr>
          <w:rFonts w:ascii="Calibri" w:hAnsi="Calibri"/>
          <w:bCs/>
        </w:rPr>
        <w:t>755</w:t>
      </w:r>
      <w:r w:rsidRPr="002048A7">
        <w:rPr>
          <w:rFonts w:ascii="Calibri" w:hAnsi="Calibri"/>
          <w:bCs/>
        </w:rPr>
        <w:t xml:space="preserve"> sayılı </w:t>
      </w:r>
      <w:r w:rsidR="00AB660C" w:rsidRPr="002048A7">
        <w:rPr>
          <w:rFonts w:ascii="Calibri" w:hAnsi="Calibri"/>
          <w:bCs/>
        </w:rPr>
        <w:t xml:space="preserve">Resmî </w:t>
      </w:r>
      <w:r w:rsidR="00274939" w:rsidRPr="002048A7">
        <w:rPr>
          <w:rFonts w:ascii="Calibri" w:hAnsi="Calibri"/>
          <w:bCs/>
        </w:rPr>
        <w:t>Gazetede</w:t>
      </w:r>
      <w:r w:rsidR="00AB660C" w:rsidRPr="002048A7">
        <w:rPr>
          <w:rFonts w:ascii="Calibri" w:hAnsi="Calibri"/>
          <w:bCs/>
        </w:rPr>
        <w:t xml:space="preserve"> yayımlanan Değişiklik Yönetmeliği ile</w:t>
      </w:r>
      <w:r w:rsidR="00AB660C" w:rsidRPr="002048A7">
        <w:rPr>
          <w:rFonts w:ascii="Calibri" w:hAnsi="Calibri"/>
          <w:b/>
          <w:bCs/>
        </w:rPr>
        <w:t xml:space="preserve"> </w:t>
      </w:r>
      <w:r w:rsidR="00714AF1" w:rsidRPr="00714AF1">
        <w:rPr>
          <w:rFonts w:ascii="Calibri" w:hAnsi="Calibri"/>
          <w:b/>
        </w:rPr>
        <w:t>Elektrik Piyasası Yan Hizmetler Yönetmeliğinin</w:t>
      </w:r>
      <w:r w:rsidR="00AB660C" w:rsidRPr="002048A7">
        <w:rPr>
          <w:rFonts w:ascii="Calibri" w:hAnsi="Calibri"/>
          <w:b/>
        </w:rPr>
        <w:t xml:space="preserve"> </w:t>
      </w:r>
    </w:p>
    <w:p w14:paraId="1C9DDAAD" w14:textId="77777777" w:rsidR="00AB660C" w:rsidRPr="002048A7" w:rsidRDefault="00AB660C" w:rsidP="00AB660C">
      <w:pPr>
        <w:pStyle w:val="ListeParagraf"/>
        <w:spacing w:after="0"/>
        <w:ind w:left="1440"/>
        <w:rPr>
          <w:rFonts w:ascii="Calibri" w:hAnsi="Calibri"/>
          <w:i/>
        </w:rPr>
      </w:pPr>
    </w:p>
    <w:p w14:paraId="6EDACEE0" w14:textId="77777777" w:rsidR="00714AF1" w:rsidRPr="002048A7" w:rsidRDefault="00714AF1" w:rsidP="0025080A">
      <w:pPr>
        <w:pStyle w:val="ListeParagraf"/>
        <w:numPr>
          <w:ilvl w:val="0"/>
          <w:numId w:val="21"/>
        </w:numPr>
        <w:spacing w:after="0"/>
        <w:rPr>
          <w:rFonts w:ascii="Calibri" w:hAnsi="Calibri"/>
          <w:bCs/>
        </w:rPr>
      </w:pPr>
      <w:proofErr w:type="gramStart"/>
      <w:r w:rsidRPr="00714AF1">
        <w:rPr>
          <w:rFonts w:ascii="Calibri" w:hAnsi="Calibri"/>
          <w:bCs/>
        </w:rPr>
        <w:t>4 üncü</w:t>
      </w:r>
      <w:proofErr w:type="gramEnd"/>
      <w:r w:rsidRPr="00714AF1">
        <w:rPr>
          <w:rFonts w:ascii="Calibri" w:hAnsi="Calibri"/>
          <w:bCs/>
        </w:rPr>
        <w:t xml:space="preserve"> maddesinin birinci fıkrasının (jjjj) bendi yürürlükten kaldırılmış, aynı fıkranın (kkkk) ve (llll) bentleri aşağıdaki şekilde değiştirilmiş ve aynı maddeye aşağıdaki bentler eklenmiştir.</w:t>
      </w:r>
    </w:p>
    <w:p w14:paraId="5B3F51C6" w14:textId="77777777" w:rsidR="00714AF1" w:rsidRPr="002048A7" w:rsidRDefault="00714AF1" w:rsidP="00714AF1">
      <w:pPr>
        <w:pStyle w:val="ListeParagraf"/>
        <w:spacing w:after="0"/>
        <w:ind w:left="1440"/>
        <w:rPr>
          <w:rFonts w:ascii="Calibri" w:hAnsi="Calibri"/>
          <w:bCs/>
        </w:rPr>
      </w:pPr>
    </w:p>
    <w:p w14:paraId="2730F013" w14:textId="77777777" w:rsidR="00714AF1" w:rsidRPr="00714AF1" w:rsidRDefault="00714AF1" w:rsidP="00714AF1">
      <w:pPr>
        <w:pStyle w:val="ListeParagraf"/>
        <w:spacing w:after="0"/>
        <w:ind w:left="1440"/>
        <w:rPr>
          <w:rFonts w:ascii="Calibri" w:hAnsi="Calibri"/>
          <w:bCs/>
          <w:i/>
        </w:rPr>
      </w:pPr>
      <w:r w:rsidRPr="00714AF1">
        <w:rPr>
          <w:rFonts w:ascii="Calibri" w:hAnsi="Calibri"/>
          <w:bCs/>
          <w:i/>
        </w:rPr>
        <w:lastRenderedPageBreak/>
        <w:t>“</w:t>
      </w:r>
      <w:proofErr w:type="gramStart"/>
      <w:r w:rsidRPr="00714AF1">
        <w:rPr>
          <w:rFonts w:ascii="Calibri" w:hAnsi="Calibri"/>
          <w:bCs/>
          <w:i/>
        </w:rPr>
        <w:t>kkkk</w:t>
      </w:r>
      <w:proofErr w:type="gramEnd"/>
      <w:r w:rsidRPr="00714AF1">
        <w:rPr>
          <w:rFonts w:ascii="Calibri" w:hAnsi="Calibri"/>
          <w:bCs/>
          <w:i/>
        </w:rPr>
        <w:t>) Talep tarafı katılımı hizmeti: Sistem işletmecisinin bu Yönetmelik kapsamında talimatı doğrultusunda, toplayıcılar vasıtasıyla toplayıcıların portföyünde yer alarak hizmete katılan tüketim tesislerinin, tüketim miktarının düşürülmesi suretiyle verilen hizmeti,</w:t>
      </w:r>
    </w:p>
    <w:p w14:paraId="1B76C5E6" w14:textId="77777777" w:rsidR="00714AF1" w:rsidRPr="00714AF1" w:rsidRDefault="00714AF1" w:rsidP="00714AF1">
      <w:pPr>
        <w:pStyle w:val="ListeParagraf"/>
        <w:spacing w:after="0"/>
        <w:ind w:left="1440"/>
        <w:rPr>
          <w:rFonts w:ascii="Calibri" w:hAnsi="Calibri"/>
          <w:bCs/>
          <w:i/>
        </w:rPr>
      </w:pPr>
      <w:proofErr w:type="gramStart"/>
      <w:r w:rsidRPr="00714AF1">
        <w:rPr>
          <w:rFonts w:ascii="Calibri" w:hAnsi="Calibri"/>
          <w:bCs/>
          <w:i/>
        </w:rPr>
        <w:t>llll</w:t>
      </w:r>
      <w:proofErr w:type="gramEnd"/>
      <w:r w:rsidRPr="00714AF1">
        <w:rPr>
          <w:rFonts w:ascii="Calibri" w:hAnsi="Calibri"/>
          <w:bCs/>
          <w:i/>
        </w:rPr>
        <w:t>) Talep tarafı katılımı hizmeti test raporu: Talep tarafı katılımı hizmetine ilişkin tedarik sürecine katılmak isteyen toplayıcıların gerekli kontrol, ölçme, izleme, doğrulama ve hizmeti sağlamak için gerekli iletişim altyapılarına sahip olunduğunun tespit edilmesi halinde ilgili toplayıcı için sistem işletmecisi tarafından düzenlenen belgeyi,”</w:t>
      </w:r>
    </w:p>
    <w:p w14:paraId="3692B67D" w14:textId="77777777" w:rsidR="00714AF1" w:rsidRPr="00714AF1" w:rsidRDefault="00714AF1" w:rsidP="00714AF1">
      <w:pPr>
        <w:pStyle w:val="ListeParagraf"/>
        <w:spacing w:after="0"/>
        <w:ind w:left="1440"/>
        <w:rPr>
          <w:rFonts w:ascii="Calibri" w:hAnsi="Calibri"/>
          <w:bCs/>
          <w:i/>
        </w:rPr>
      </w:pPr>
      <w:r w:rsidRPr="00714AF1">
        <w:rPr>
          <w:rFonts w:ascii="Calibri" w:hAnsi="Calibri"/>
          <w:bCs/>
          <w:i/>
        </w:rPr>
        <w:t>“</w:t>
      </w:r>
      <w:proofErr w:type="gramStart"/>
      <w:r w:rsidRPr="00714AF1">
        <w:rPr>
          <w:rFonts w:ascii="Calibri" w:hAnsi="Calibri"/>
          <w:bCs/>
          <w:i/>
        </w:rPr>
        <w:t>öööö</w:t>
      </w:r>
      <w:proofErr w:type="gramEnd"/>
      <w:r w:rsidRPr="00714AF1">
        <w:rPr>
          <w:rFonts w:ascii="Calibri" w:hAnsi="Calibri"/>
          <w:bCs/>
          <w:i/>
        </w:rPr>
        <w:t>) Sınırlı frekans hassasiyeti düşük frekans modu: Sınırlı frekans hassasiyet modlarında çalışan üretim tesislerine ait ünitelerin, nominal aktif güçlerinin altında çalıştıkları süreçte, sistem frekansının 49,8 Hz’nin altına düşmesi durumunda, aktif çıkış güçlerini artırarak sistem frekansının dengelenmesi yönünde çalışmasını,</w:t>
      </w:r>
    </w:p>
    <w:p w14:paraId="356F9A26" w14:textId="77777777" w:rsidR="00714AF1" w:rsidRPr="00714AF1" w:rsidRDefault="00714AF1" w:rsidP="00714AF1">
      <w:pPr>
        <w:pStyle w:val="ListeParagraf"/>
        <w:spacing w:after="0"/>
        <w:ind w:left="1440"/>
        <w:rPr>
          <w:rFonts w:ascii="Calibri" w:hAnsi="Calibri"/>
          <w:bCs/>
          <w:i/>
        </w:rPr>
      </w:pPr>
      <w:proofErr w:type="gramStart"/>
      <w:r w:rsidRPr="00714AF1">
        <w:rPr>
          <w:rFonts w:ascii="Calibri" w:hAnsi="Calibri"/>
          <w:bCs/>
          <w:i/>
        </w:rPr>
        <w:t>pppp</w:t>
      </w:r>
      <w:proofErr w:type="gramEnd"/>
      <w:r w:rsidRPr="00714AF1">
        <w:rPr>
          <w:rFonts w:ascii="Calibri" w:hAnsi="Calibri"/>
          <w:bCs/>
          <w:i/>
        </w:rPr>
        <w:t>) Sınırlı frekans hassasiyeti yüksek frekans modu: Sınırlı frekans hassasiyet modlarında çalışan üretim tesislerine ait ünitelerin, minimum kararlı üretim düzeyi üzerinde çalıştıkları süreçte, sistem frekansının 50,2 Hz’nin üzerine çıkması durumunda aktif çıkış güçlerini azaltarak sistem frekansının dengelenmesi yönünde çalışmasını,</w:t>
      </w:r>
    </w:p>
    <w:p w14:paraId="15797B40" w14:textId="77777777" w:rsidR="00714AF1" w:rsidRPr="00714AF1" w:rsidRDefault="00714AF1" w:rsidP="00714AF1">
      <w:pPr>
        <w:pStyle w:val="ListeParagraf"/>
        <w:spacing w:after="0"/>
        <w:ind w:left="1440"/>
        <w:rPr>
          <w:rFonts w:ascii="Calibri" w:hAnsi="Calibri"/>
          <w:bCs/>
          <w:i/>
        </w:rPr>
      </w:pPr>
      <w:proofErr w:type="gramStart"/>
      <w:r w:rsidRPr="00714AF1">
        <w:rPr>
          <w:rFonts w:ascii="Calibri" w:hAnsi="Calibri"/>
          <w:bCs/>
          <w:i/>
        </w:rPr>
        <w:t>rrrr</w:t>
      </w:r>
      <w:proofErr w:type="gramEnd"/>
      <w:r w:rsidRPr="00714AF1">
        <w:rPr>
          <w:rFonts w:ascii="Calibri" w:hAnsi="Calibri"/>
          <w:bCs/>
          <w:i/>
        </w:rPr>
        <w:t>) Kritik ay: TEİAŞ tarafından, talep tarafı katılımı hizmeti tedarik şartnamesinde belirlenen ve söz konusu hizmete katılan toplayıcılara talep tarafı katılımı hizmeti kapsamında tüketim düşürme talimatı verilebilecek ayları,</w:t>
      </w:r>
    </w:p>
    <w:p w14:paraId="7079F8C0" w14:textId="77777777" w:rsidR="00714AF1" w:rsidRPr="00714AF1" w:rsidRDefault="00714AF1" w:rsidP="00714AF1">
      <w:pPr>
        <w:pStyle w:val="ListeParagraf"/>
        <w:spacing w:after="0"/>
        <w:ind w:left="1440"/>
        <w:rPr>
          <w:rFonts w:ascii="Calibri" w:hAnsi="Calibri"/>
          <w:bCs/>
          <w:i/>
        </w:rPr>
      </w:pPr>
      <w:proofErr w:type="gramStart"/>
      <w:r w:rsidRPr="00714AF1">
        <w:rPr>
          <w:rFonts w:ascii="Calibri" w:hAnsi="Calibri"/>
          <w:bCs/>
          <w:i/>
        </w:rPr>
        <w:t>ssss</w:t>
      </w:r>
      <w:proofErr w:type="gramEnd"/>
      <w:r w:rsidRPr="00714AF1">
        <w:rPr>
          <w:rFonts w:ascii="Calibri" w:hAnsi="Calibri"/>
          <w:bCs/>
          <w:i/>
        </w:rPr>
        <w:t>) Kritik gün: TEİAŞ tarafından talep tarafı katılımı hizmeti kapsamında, kritik aylar içerisinde bir gün önceden toplayıcılara tüketimi düşürme talimatı verilecek gün olarak ilan edilen günleri,</w:t>
      </w:r>
    </w:p>
    <w:p w14:paraId="1248C7ED" w14:textId="77777777" w:rsidR="00714AF1" w:rsidRPr="00714AF1" w:rsidRDefault="00714AF1" w:rsidP="00714AF1">
      <w:pPr>
        <w:pStyle w:val="ListeParagraf"/>
        <w:spacing w:after="0"/>
        <w:ind w:left="1440"/>
        <w:rPr>
          <w:rFonts w:ascii="Calibri" w:hAnsi="Calibri"/>
          <w:bCs/>
          <w:i/>
        </w:rPr>
      </w:pPr>
      <w:proofErr w:type="gramStart"/>
      <w:r w:rsidRPr="00714AF1">
        <w:rPr>
          <w:rFonts w:ascii="Calibri" w:hAnsi="Calibri"/>
          <w:bCs/>
          <w:i/>
        </w:rPr>
        <w:t>şşşş</w:t>
      </w:r>
      <w:proofErr w:type="gramEnd"/>
      <w:r w:rsidRPr="00714AF1">
        <w:rPr>
          <w:rFonts w:ascii="Calibri" w:hAnsi="Calibri"/>
          <w:bCs/>
          <w:i/>
        </w:rPr>
        <w:t>) Kritik saat: TEİAŞ tarafından, talep tarafı katılımı hizmeti tedarik şartnamesinde belirlenen ve söz konusu hizmete katılan toplayıcılara söz konusu hizmet kapsamında gün içerisinde tüketim düşürme talimatı verilebilecek saatleri,</w:t>
      </w:r>
    </w:p>
    <w:p w14:paraId="0D2A916A" w14:textId="77777777" w:rsidR="00714AF1" w:rsidRDefault="00714AF1" w:rsidP="00714AF1">
      <w:pPr>
        <w:pStyle w:val="ListeParagraf"/>
        <w:spacing w:after="0"/>
        <w:ind w:left="1440"/>
        <w:rPr>
          <w:rFonts w:ascii="Calibri" w:hAnsi="Calibri"/>
          <w:bCs/>
          <w:i/>
        </w:rPr>
      </w:pPr>
      <w:proofErr w:type="gramStart"/>
      <w:r w:rsidRPr="00714AF1">
        <w:rPr>
          <w:rFonts w:ascii="Calibri" w:hAnsi="Calibri"/>
          <w:bCs/>
          <w:i/>
        </w:rPr>
        <w:t>tttt</w:t>
      </w:r>
      <w:proofErr w:type="gramEnd"/>
      <w:r w:rsidRPr="00714AF1">
        <w:rPr>
          <w:rFonts w:ascii="Calibri" w:hAnsi="Calibri"/>
          <w:bCs/>
          <w:i/>
        </w:rPr>
        <w:t>) Temel tüketim değeri: Talep tarafı katılımı hizmetine katılan toplayıcıların, yan hizmet anlaşmalarına kaydettirdiği her bir tüketim tesisi için bir sonraki güne ilişkin gerçekleştirmeyi öngördüğü ve TEİAŞ’a gün öncesinde bildirdiği tüketim değerlerinin toplanması sonucu elde edilen tüketim değerini,”</w:t>
      </w:r>
    </w:p>
    <w:p w14:paraId="35193978" w14:textId="77777777" w:rsidR="00237BCB" w:rsidRPr="002048A7" w:rsidRDefault="00237BCB" w:rsidP="00AB660C">
      <w:pPr>
        <w:pStyle w:val="ListeParagraf"/>
        <w:spacing w:after="0"/>
        <w:ind w:left="1440"/>
        <w:rPr>
          <w:rFonts w:ascii="Calibri" w:hAnsi="Calibri"/>
          <w:i/>
        </w:rPr>
      </w:pPr>
    </w:p>
    <w:p w14:paraId="23BE7FA5" w14:textId="77777777" w:rsidR="00714AF1" w:rsidRPr="002048A7" w:rsidRDefault="00714AF1" w:rsidP="0025080A">
      <w:pPr>
        <w:pStyle w:val="ListeParagraf"/>
        <w:numPr>
          <w:ilvl w:val="0"/>
          <w:numId w:val="21"/>
        </w:numPr>
        <w:spacing w:after="0"/>
        <w:rPr>
          <w:rFonts w:ascii="Calibri" w:hAnsi="Calibri"/>
          <w:bCs/>
        </w:rPr>
      </w:pPr>
      <w:r w:rsidRPr="00714AF1">
        <w:rPr>
          <w:rFonts w:ascii="Calibri" w:hAnsi="Calibri"/>
          <w:bCs/>
        </w:rPr>
        <w:t>8 inci maddesinin birinci, ikinci ve üçüncü fıkraları aşağıdaki şeklide değiştirilmiş ve aynı maddeye aşağıdaki fıkra eklenmiştir.</w:t>
      </w:r>
    </w:p>
    <w:p w14:paraId="5E33A89E" w14:textId="77777777" w:rsidR="00714AF1" w:rsidRPr="002048A7" w:rsidRDefault="00714AF1" w:rsidP="00714AF1">
      <w:pPr>
        <w:pStyle w:val="ListeParagraf"/>
        <w:spacing w:after="0"/>
        <w:ind w:left="1440"/>
        <w:rPr>
          <w:rFonts w:ascii="Calibri" w:hAnsi="Calibri"/>
          <w:bCs/>
        </w:rPr>
      </w:pPr>
    </w:p>
    <w:p w14:paraId="7ED8A0C4" w14:textId="77777777" w:rsidR="00714AF1" w:rsidRPr="00714AF1" w:rsidRDefault="00714AF1" w:rsidP="00714AF1">
      <w:pPr>
        <w:pStyle w:val="ListeParagraf"/>
        <w:spacing w:after="0"/>
        <w:ind w:left="1440"/>
        <w:rPr>
          <w:rFonts w:ascii="Calibri" w:hAnsi="Calibri"/>
          <w:bCs/>
          <w:i/>
        </w:rPr>
      </w:pPr>
      <w:r w:rsidRPr="00714AF1">
        <w:rPr>
          <w:rFonts w:ascii="Calibri" w:hAnsi="Calibri"/>
          <w:bCs/>
          <w:i/>
        </w:rPr>
        <w:t>“(1) Yan hizmet anlaşmaları kapsamında veya tedarik süreci neticesinde yan hizmet sağlamak üzere yükümlülük üstlenen veya bu hizmeti yükümlenen tüzel kişiden transfer yoluyla devralan veya bu hizmeti sunmak isteyen tüzel kişiler talep tarafı katılımı hizmeti, sekonder frekans kontrol hizmeti ve bölgesel kapasite kiralama hizmeti hariç olmak üzere diğer yan hizmetleri sağlayacakları tesislerinin ilgili yan hizmeti sağlama niteliğine sahip olduğunu TEİAŞ’a sunulacak bir sertifika aracılığıyla belgelendirirler. Tüzel kişiler, sekonder frekans kontrol hizmetini sağlayacağı tesislerinin bu hizmeti sağlama niteliğine sahip olduğunu, TEİAŞ’ın ilgili birimi tarafından gerçekleştirilecek performans testleri neticesinde TEİAŞ tarafından onaylanan standart sekonder frekans kontrol performans test raporu ile belgelendirirler. Talep tarafı katılımı hizmetine katılmak isteyen toplayıcılar, hizmeti sağlama niteliğine sahip olduklarını, TEİAŞ tarafından verilecek talep tarafı katılımı test raporu ile belgelendirirler.</w:t>
      </w:r>
    </w:p>
    <w:p w14:paraId="579C8A92" w14:textId="77777777" w:rsidR="00714AF1" w:rsidRPr="00714AF1" w:rsidRDefault="00714AF1" w:rsidP="00714AF1">
      <w:pPr>
        <w:pStyle w:val="ListeParagraf"/>
        <w:spacing w:after="0"/>
        <w:ind w:left="1440"/>
        <w:rPr>
          <w:rFonts w:ascii="Calibri" w:hAnsi="Calibri"/>
          <w:bCs/>
          <w:i/>
        </w:rPr>
      </w:pPr>
      <w:r w:rsidRPr="00714AF1">
        <w:rPr>
          <w:rFonts w:ascii="Calibri" w:hAnsi="Calibri"/>
          <w:bCs/>
          <w:i/>
        </w:rPr>
        <w:t xml:space="preserve">(2) Yan hizmet piyasa katılımcısı tüzel kişiler, devrede olan yan hizmet birimleri için hazırlanmış olan yan hizmet sertifikalarını, sekonder frekans kontrol performans test raporunu, talep tarafı katılımı hizmetine ilişkin olarak talep tarafı katılımı test raporunu ilgili yan hizmeti sunmaya </w:t>
      </w:r>
      <w:r w:rsidRPr="00714AF1">
        <w:rPr>
          <w:rFonts w:ascii="Calibri" w:hAnsi="Calibri"/>
          <w:bCs/>
          <w:i/>
        </w:rPr>
        <w:lastRenderedPageBreak/>
        <w:t>başlamadan önce, ilgili yan hizmet için bu Yönetmelikte düzenlenen tedarik sürecinde belirtilen aşamada veya yan hizmet anlaşmasında yer alan şartlar dahilinde TEİAŞ’a sunar.</w:t>
      </w:r>
    </w:p>
    <w:p w14:paraId="2B7CD72F" w14:textId="77777777" w:rsidR="00714AF1" w:rsidRPr="00714AF1" w:rsidRDefault="00714AF1" w:rsidP="00714AF1">
      <w:pPr>
        <w:pStyle w:val="ListeParagraf"/>
        <w:spacing w:after="0"/>
        <w:ind w:left="1440"/>
        <w:rPr>
          <w:rFonts w:ascii="Calibri" w:hAnsi="Calibri"/>
          <w:bCs/>
          <w:i/>
        </w:rPr>
      </w:pPr>
      <w:r w:rsidRPr="00714AF1">
        <w:rPr>
          <w:rFonts w:ascii="Calibri" w:hAnsi="Calibri"/>
          <w:bCs/>
          <w:i/>
        </w:rPr>
        <w:t>(3) TEİAŞ’ın yaptığı izleme ya da kontroller neticesinde yan hizmet sunan bir tesisin veya toplayıcının ilgili hizmeti yan hizmetler anlaşmasında belirtilen esaslar çerçevesinde sağlamadığının tespit edilmesi durumunda, TEİAŞ ilgili tesisin veya toplayıcının yan hizmet sertifikasının, sekonder frekans kontrol performans test raporunun veya talep tarafı katılımı test raporunun yenilenmesini talep edebilir. TEİAŞ’ın talep etmesi halinde, tüzel kişinin ilgili yan hizmeti sunmaya ilişkin sertifikasını, sekonder frekans kontrol performans test raporunu veya talep tarafı katılımı test raporunun yenilenmesi zorunludur. TEİAŞ’ın talep tarafı katılımı test raporu veya sekonder frekans kontrol performans test raporuna ilişkin yan hizmet sertifikasının yenilenmesi talebinden itibaren ilgili test raporu veya sertifika geçersiz sayılır ve söz konusu tesisten ilgili yan hizmet alınmaz. Zorunlu yan hizmetlere katılan tesisler bu süre içerisinde ilgili hizmetlere katılmakla yükümlü olup, bu hizmetlere ilişkin yenilenmiş test sertifikalarını 60 gün içerisinde TEİAŞ’a sunmakla yükümlüdür.”</w:t>
      </w:r>
    </w:p>
    <w:p w14:paraId="6F57FF3C" w14:textId="77777777" w:rsidR="00D2549D" w:rsidRDefault="00714AF1" w:rsidP="00714AF1">
      <w:pPr>
        <w:pStyle w:val="ListeParagraf"/>
        <w:spacing w:after="0"/>
        <w:ind w:left="1440"/>
        <w:rPr>
          <w:rFonts w:ascii="Calibri" w:hAnsi="Calibri"/>
          <w:bCs/>
          <w:i/>
        </w:rPr>
      </w:pPr>
      <w:r w:rsidRPr="00714AF1">
        <w:rPr>
          <w:rFonts w:ascii="Calibri" w:hAnsi="Calibri"/>
          <w:bCs/>
          <w:i/>
        </w:rPr>
        <w:t>“(8) 1/1/2025 tarihinden sonra elektrik üretim lisansı almış üretim tesisleri, sınırlı frekans hassasiyet modu hizmeti testini yapmakla yükümlüdür.”</w:t>
      </w:r>
    </w:p>
    <w:p w14:paraId="1DE7A6D9" w14:textId="77777777" w:rsidR="00714AF1" w:rsidRDefault="00714AF1" w:rsidP="00714AF1">
      <w:pPr>
        <w:pStyle w:val="ListeParagraf"/>
        <w:spacing w:after="0"/>
        <w:ind w:left="1440"/>
        <w:rPr>
          <w:rFonts w:ascii="Calibri" w:hAnsi="Calibri"/>
          <w:i/>
        </w:rPr>
      </w:pPr>
    </w:p>
    <w:p w14:paraId="5AF884A8" w14:textId="77777777" w:rsidR="00714AF1" w:rsidRPr="002048A7" w:rsidRDefault="00001A2A" w:rsidP="0025080A">
      <w:pPr>
        <w:pStyle w:val="ListeParagraf"/>
        <w:numPr>
          <w:ilvl w:val="0"/>
          <w:numId w:val="21"/>
        </w:numPr>
        <w:spacing w:after="0"/>
        <w:rPr>
          <w:rFonts w:ascii="Calibri" w:hAnsi="Calibri"/>
          <w:bCs/>
        </w:rPr>
      </w:pPr>
      <w:r w:rsidRPr="00001A2A">
        <w:rPr>
          <w:rFonts w:ascii="Calibri" w:hAnsi="Calibri"/>
          <w:bCs/>
        </w:rPr>
        <w:t>11 inci maddesinin ikinci fıkrasının (a) ve (b) bentleri aşağıdaki şekilde değiştirilmiş ve aynı fıkraya aşağıdaki bent eklenmiştir.</w:t>
      </w:r>
    </w:p>
    <w:p w14:paraId="0B061938" w14:textId="77777777" w:rsidR="00714AF1" w:rsidRPr="002048A7" w:rsidRDefault="00714AF1" w:rsidP="00714AF1">
      <w:pPr>
        <w:pStyle w:val="ListeParagraf"/>
        <w:spacing w:after="0"/>
        <w:ind w:left="1440"/>
        <w:rPr>
          <w:rFonts w:ascii="Calibri" w:hAnsi="Calibri"/>
          <w:bCs/>
        </w:rPr>
      </w:pPr>
    </w:p>
    <w:p w14:paraId="04023A50"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w:t>
      </w:r>
      <w:proofErr w:type="gramStart"/>
      <w:r w:rsidRPr="00001A2A">
        <w:rPr>
          <w:rFonts w:ascii="Calibri" w:hAnsi="Calibri"/>
          <w:bCs/>
          <w:i/>
        </w:rPr>
        <w:t>a</w:t>
      </w:r>
      <w:proofErr w:type="gramEnd"/>
      <w:r w:rsidRPr="00001A2A">
        <w:rPr>
          <w:rFonts w:ascii="Calibri" w:hAnsi="Calibri"/>
          <w:bCs/>
          <w:i/>
        </w:rPr>
        <w:t>) Elektrik Piyasası Dengeleme ve Uzlaştırma Yönetmeliği uyarınca dengeleme birimi olarak kaydı yapılmış, lisanslı toplam kurulu gücü 30 MW ve üzerinde olan, tedarik süreci katılım anlaşmalarında belirtilen asgari PFK ve/veya SFK rezerv miktarını sağlayabilen ve iletim sistemine bağlı olan üretim tesisleri veya bu üretim tesislerine ait dengeleme birimi olmayan can suyu üniteleri hariç olmak üzere üniteler.</w:t>
      </w:r>
    </w:p>
    <w:p w14:paraId="6483AEAE"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b) Elektrik tüketimi ihale ilanında belirtilen seviyenin üzerinde olan ve anlık talep kontrol röleleri vasıtasıyla otomatik olarak devreden çıkarılabilecek nitelikte olup katılımı sistem işletmecisi tarafından uygun bulunan tüketim tesisleri.”</w:t>
      </w:r>
    </w:p>
    <w:p w14:paraId="2AD13C14" w14:textId="77777777" w:rsidR="00714AF1" w:rsidRDefault="00001A2A" w:rsidP="00001A2A">
      <w:pPr>
        <w:pStyle w:val="ListeParagraf"/>
        <w:spacing w:after="0"/>
        <w:ind w:left="1440"/>
        <w:rPr>
          <w:rFonts w:ascii="Calibri" w:hAnsi="Calibri"/>
          <w:bCs/>
          <w:i/>
        </w:rPr>
      </w:pPr>
      <w:r w:rsidRPr="00001A2A">
        <w:rPr>
          <w:rFonts w:ascii="Calibri" w:hAnsi="Calibri"/>
          <w:bCs/>
          <w:i/>
        </w:rPr>
        <w:t>“</w:t>
      </w:r>
      <w:proofErr w:type="gramStart"/>
      <w:r w:rsidRPr="00001A2A">
        <w:rPr>
          <w:rFonts w:ascii="Calibri" w:hAnsi="Calibri"/>
          <w:bCs/>
          <w:i/>
        </w:rPr>
        <w:t>ç</w:t>
      </w:r>
      <w:proofErr w:type="gramEnd"/>
      <w:r w:rsidRPr="00001A2A">
        <w:rPr>
          <w:rFonts w:ascii="Calibri" w:hAnsi="Calibri"/>
          <w:bCs/>
          <w:i/>
        </w:rPr>
        <w:t>) Toplayıcı portföyünde yer alan üretim ve/veya tüketim tesisleri.”</w:t>
      </w:r>
    </w:p>
    <w:p w14:paraId="37FA9033" w14:textId="77777777" w:rsidR="00714AF1" w:rsidRDefault="00714AF1" w:rsidP="00714AF1">
      <w:pPr>
        <w:pStyle w:val="ListeParagraf"/>
        <w:spacing w:after="0"/>
        <w:ind w:left="1440"/>
        <w:rPr>
          <w:rFonts w:ascii="Calibri" w:hAnsi="Calibri"/>
          <w:i/>
        </w:rPr>
      </w:pPr>
    </w:p>
    <w:p w14:paraId="227AD291" w14:textId="77777777" w:rsidR="00714AF1" w:rsidRPr="002048A7" w:rsidRDefault="00001A2A" w:rsidP="0025080A">
      <w:pPr>
        <w:pStyle w:val="ListeParagraf"/>
        <w:numPr>
          <w:ilvl w:val="0"/>
          <w:numId w:val="21"/>
        </w:numPr>
        <w:spacing w:after="0"/>
        <w:rPr>
          <w:rFonts w:ascii="Calibri" w:hAnsi="Calibri"/>
          <w:bCs/>
        </w:rPr>
      </w:pPr>
      <w:proofErr w:type="gramStart"/>
      <w:r w:rsidRPr="00001A2A">
        <w:rPr>
          <w:rFonts w:ascii="Calibri" w:hAnsi="Calibri"/>
          <w:bCs/>
        </w:rPr>
        <w:t>12 nci</w:t>
      </w:r>
      <w:proofErr w:type="gramEnd"/>
      <w:r w:rsidRPr="00001A2A">
        <w:rPr>
          <w:rFonts w:ascii="Calibri" w:hAnsi="Calibri"/>
          <w:bCs/>
        </w:rPr>
        <w:t xml:space="preserve"> maddesinin birinci fıkrası aşağıdaki şekilde değiştirilmiş, ikinci fıkrasında yer alan </w:t>
      </w:r>
      <w:r w:rsidRPr="00001A2A">
        <w:rPr>
          <w:rFonts w:ascii="Calibri" w:hAnsi="Calibri"/>
          <w:bCs/>
          <w:i/>
        </w:rPr>
        <w:t>“dengeleme güç piyasasına teklif edildiğinin”</w:t>
      </w:r>
      <w:r w:rsidRPr="00001A2A">
        <w:rPr>
          <w:rFonts w:ascii="Calibri" w:hAnsi="Calibri"/>
          <w:bCs/>
        </w:rPr>
        <w:t xml:space="preserve"> ibaresinden sonra gelmek üzere </w:t>
      </w:r>
      <w:r w:rsidRPr="00001A2A">
        <w:rPr>
          <w:rFonts w:ascii="Calibri" w:hAnsi="Calibri"/>
          <w:bCs/>
          <w:i/>
        </w:rPr>
        <w:t>“veya bildirimde bulunduğu primer frekans kontrolü rezervi için yeterli kapasite ayırmadığının”</w:t>
      </w:r>
      <w:r w:rsidRPr="00001A2A">
        <w:rPr>
          <w:rFonts w:ascii="Calibri" w:hAnsi="Calibri"/>
          <w:bCs/>
        </w:rPr>
        <w:t xml:space="preserve"> ibaresi eklenmiştir.</w:t>
      </w:r>
    </w:p>
    <w:p w14:paraId="5CECB694" w14:textId="77777777" w:rsidR="00714AF1" w:rsidRPr="002048A7" w:rsidRDefault="00714AF1" w:rsidP="00714AF1">
      <w:pPr>
        <w:pStyle w:val="ListeParagraf"/>
        <w:spacing w:after="0"/>
        <w:ind w:left="1440"/>
        <w:rPr>
          <w:rFonts w:ascii="Calibri" w:hAnsi="Calibri"/>
          <w:bCs/>
        </w:rPr>
      </w:pPr>
    </w:p>
    <w:p w14:paraId="0025248F" w14:textId="77777777" w:rsidR="00714AF1" w:rsidRDefault="00001A2A" w:rsidP="00714AF1">
      <w:pPr>
        <w:pStyle w:val="ListeParagraf"/>
        <w:spacing w:after="0"/>
        <w:ind w:left="1440"/>
        <w:rPr>
          <w:rFonts w:ascii="Calibri" w:hAnsi="Calibri"/>
          <w:bCs/>
          <w:i/>
        </w:rPr>
      </w:pPr>
      <w:r w:rsidRPr="00001A2A">
        <w:rPr>
          <w:rFonts w:ascii="Calibri" w:hAnsi="Calibri"/>
          <w:bCs/>
          <w:i/>
        </w:rPr>
        <w:t>“(1) Lisanslı üretim tesisleri ve müstakil elektrik depolama tesislerinden 8 inci madde uyarınca belgelendirilmiş yan hizmet birimleri tarafından sağlanacak primer frekans kontrol yedeği, TEİAŞ tarafından yürütülen ve bu Yönetmelikte düzenlenen tedarik süreci sonunda doğrudan veya yükümlülüklerin transfer yoluyla devralınması neticesinde ilgili yan hizmet birimleri tarafından sağlanır.”</w:t>
      </w:r>
    </w:p>
    <w:p w14:paraId="2BF83ECB" w14:textId="77777777" w:rsidR="00714AF1" w:rsidRDefault="00714AF1" w:rsidP="00714AF1">
      <w:pPr>
        <w:pStyle w:val="ListeParagraf"/>
        <w:spacing w:after="0"/>
        <w:ind w:left="1440"/>
        <w:rPr>
          <w:rFonts w:ascii="Calibri" w:hAnsi="Calibri"/>
          <w:i/>
        </w:rPr>
      </w:pPr>
    </w:p>
    <w:p w14:paraId="6D8DB81A" w14:textId="77777777" w:rsidR="00714AF1" w:rsidRPr="002048A7" w:rsidRDefault="00001A2A" w:rsidP="0025080A">
      <w:pPr>
        <w:pStyle w:val="ListeParagraf"/>
        <w:numPr>
          <w:ilvl w:val="0"/>
          <w:numId w:val="21"/>
        </w:numPr>
        <w:spacing w:after="0"/>
        <w:rPr>
          <w:rFonts w:ascii="Calibri" w:hAnsi="Calibri"/>
          <w:bCs/>
        </w:rPr>
      </w:pPr>
      <w:proofErr w:type="gramStart"/>
      <w:r w:rsidRPr="00001A2A">
        <w:rPr>
          <w:rFonts w:ascii="Calibri" w:hAnsi="Calibri"/>
          <w:bCs/>
        </w:rPr>
        <w:t>13 üncü</w:t>
      </w:r>
      <w:proofErr w:type="gramEnd"/>
      <w:r w:rsidRPr="00001A2A">
        <w:rPr>
          <w:rFonts w:ascii="Calibri" w:hAnsi="Calibri"/>
          <w:bCs/>
        </w:rPr>
        <w:t xml:space="preserve"> maddesinin birinci fıkrasının (b) bendinde yer alan </w:t>
      </w:r>
      <w:r w:rsidRPr="00001A2A">
        <w:rPr>
          <w:rFonts w:ascii="Calibri" w:hAnsi="Calibri"/>
          <w:bCs/>
          <w:i/>
        </w:rPr>
        <w:t>“yedeğininin”</w:t>
      </w:r>
      <w:r w:rsidRPr="00001A2A">
        <w:rPr>
          <w:rFonts w:ascii="Calibri" w:hAnsi="Calibri"/>
          <w:bCs/>
        </w:rPr>
        <w:t xml:space="preserve"> ibaresi </w:t>
      </w:r>
      <w:r w:rsidRPr="00001A2A">
        <w:rPr>
          <w:rFonts w:ascii="Calibri" w:hAnsi="Calibri"/>
          <w:bCs/>
          <w:i/>
        </w:rPr>
        <w:t>“yedeğinin”</w:t>
      </w:r>
      <w:r w:rsidRPr="00001A2A">
        <w:rPr>
          <w:rFonts w:ascii="Calibri" w:hAnsi="Calibri"/>
          <w:bCs/>
        </w:rPr>
        <w:t xml:space="preserve"> şeklinde değiştirilmiş, aynı fıkranın (e) bendinde yer alan </w:t>
      </w:r>
      <w:r w:rsidRPr="00001A2A">
        <w:rPr>
          <w:rFonts w:ascii="Calibri" w:hAnsi="Calibri"/>
          <w:bCs/>
          <w:i/>
        </w:rPr>
        <w:t>“1 (bir) saat”</w:t>
      </w:r>
      <w:r w:rsidRPr="00001A2A">
        <w:rPr>
          <w:rFonts w:ascii="Calibri" w:hAnsi="Calibri"/>
          <w:bCs/>
        </w:rPr>
        <w:t xml:space="preserve"> ibaresi </w:t>
      </w:r>
      <w:r w:rsidRPr="00001A2A">
        <w:rPr>
          <w:rFonts w:ascii="Calibri" w:hAnsi="Calibri"/>
          <w:bCs/>
          <w:i/>
        </w:rPr>
        <w:t>“30 (otuz) dakika”</w:t>
      </w:r>
      <w:r w:rsidRPr="00001A2A">
        <w:rPr>
          <w:rFonts w:ascii="Calibri" w:hAnsi="Calibri"/>
          <w:bCs/>
        </w:rPr>
        <w:t xml:space="preserve"> şeklinde değiştirilmiş, aynı fıkranın (ğ) bendinin (2) numaralı alt bendi aşağıdaki şekilde </w:t>
      </w:r>
      <w:r w:rsidRPr="00001A2A">
        <w:rPr>
          <w:rFonts w:ascii="Calibri" w:hAnsi="Calibri"/>
          <w:bCs/>
        </w:rPr>
        <w:lastRenderedPageBreak/>
        <w:t>değiştirilmiş, aynı bende aşağıdaki alt bent eklenmiş, üçüncü fıkrası aşağıdaki şekilde değiştirilmiş ve aynı maddeye aşağıdaki fıkra eklenmiştir.</w:t>
      </w:r>
    </w:p>
    <w:p w14:paraId="70DCBB2C" w14:textId="77777777" w:rsidR="00714AF1" w:rsidRPr="002048A7" w:rsidRDefault="00714AF1" w:rsidP="00714AF1">
      <w:pPr>
        <w:pStyle w:val="ListeParagraf"/>
        <w:spacing w:after="0"/>
        <w:ind w:left="1440"/>
        <w:rPr>
          <w:rFonts w:ascii="Calibri" w:hAnsi="Calibri"/>
          <w:bCs/>
        </w:rPr>
      </w:pPr>
    </w:p>
    <w:p w14:paraId="5F057F64"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“2) İlgili tedarik dönemi için yürütülen primer frekans kontrol kapasitesi tedarik sürecinde fiyat sırasına dizilen ve teklifleri (g) bendi uyarınca geçerli olan teklif sahipleri, teklif edilen primer frekans kontrol rezerv miktarını, bulunduğu çalışma seviyesinin durumuna göre arttırmak ya da azaltmak istemeleri halinde teslim saatinden en geç 2 (iki) saat öncesine kadar miktar güncellemesi yapabilir. Miktarın arttırılması durumunda, artan miktar kadar rezerv kapasitesi, katılımcının mevcut primer rezerv teklif fiyat seviyelerinin en düşük olanı üzerinden arttırılır. Miktarın azaltılması durumunda ise, primer rezerv kapasitesinin teklif fiyat seviyesi en yüksek olanından başlanacak şekilde rezerv miktarı azaltılır.”</w:t>
      </w:r>
    </w:p>
    <w:p w14:paraId="70F51BA2"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“3) TEİAŞ, ek rezerv tedarik süreci için geçerli teklifi bulunan bir yan hizmetler piyasası katılımcısına, ilgili saat içerisinde ek rezerv tedarik sürecinde seçilme sırası kendisine gelmesine rağmen adına kayıtlı yan hizmet birimlerinin çalışma seviyesinin uygun olmadığı durumlarda, ilgili yan hizmet biriminin asgari PFK rezerv miktarından az olmayacak ve ilgili saatteki çalışma seviyesine uygun olacak şekilde kısmi ek rezerv talimatı verebilir. Ek rezerv tedarik süreci için geçerli teklifi bulunan bir yan hizmetler piyasası katılımcısına ait yan hizmet birimlerinin arıza ve benzeri nedenlerle devre dışı olması nedeniyle kendisinden ek rezerv tedarik edilemeyen rezerv miktarı ile kısmi ek rezerv talimatı kapsamında seçilemeyen rezerv miktarı kadar; söz konusu piyasa katılımcısının ilgili saat için hizmeti yerine getirmediği kabul edilir ve 30 uncu madde uyarınca yaptırım uygulanır.”</w:t>
      </w:r>
    </w:p>
    <w:p w14:paraId="0631FCCF"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“(3) TEİAŞ tarafından birinci fıkranın (ğ) bendinin (2) numaralı alt bendi uyarınca yürütülen ek rezerv tedarik sürecinden sonra, ek primer frekans kontrol rezerv ihtiyacının tamamının veya bir kısmının tedarik edilememesi durumunda; TEİAŞ ihtiyaç duyulan ek rezerv miktarını Yükümlülük Transfer Platformu üzerinden, rezervin sağlanacağı saate en geç 90 (doksan) dakika öncesine kadar ilan eder ve Yükümlülük Transfer Platformunun İşletilmesine İlişkin Usul ve Esaslar doğrultusunda rezervin sağlanacağı saate en geç 70 (yetmiş) dakika öncesine kadar platform üzerinden tedarik edebilir.”</w:t>
      </w:r>
    </w:p>
    <w:p w14:paraId="46BC347E" w14:textId="77777777" w:rsidR="00714AF1" w:rsidRDefault="00001A2A" w:rsidP="00001A2A">
      <w:pPr>
        <w:pStyle w:val="ListeParagraf"/>
        <w:spacing w:after="0"/>
        <w:ind w:left="1440"/>
        <w:rPr>
          <w:rFonts w:ascii="Calibri" w:hAnsi="Calibri"/>
          <w:bCs/>
          <w:i/>
        </w:rPr>
      </w:pPr>
      <w:r w:rsidRPr="00001A2A">
        <w:rPr>
          <w:rFonts w:ascii="Calibri" w:hAnsi="Calibri"/>
          <w:bCs/>
          <w:i/>
        </w:rPr>
        <w:t>“(4) TEİAŞ tarafından transfer platformu üzerinden primer frekans kontrolü ek rezerv duyurusuna çıkılan saatler için, transfer işlemlerinin bitiş zamanından en geç 5 dakika öncesine kadar, piyasa katılımcıları transfer platformu üzerinden PFK transfer işlemleri için yeni teklif girişi, mevcut tekliflerinin güncellenmesi ve mevcut tekliflerinin silinmesi işlemlerini yapabilirler.”</w:t>
      </w:r>
    </w:p>
    <w:p w14:paraId="3D368E74" w14:textId="77777777" w:rsidR="00001A2A" w:rsidRDefault="00001A2A" w:rsidP="00001A2A">
      <w:pPr>
        <w:pStyle w:val="ListeParagraf"/>
        <w:spacing w:after="0"/>
        <w:ind w:left="1440"/>
        <w:rPr>
          <w:rFonts w:ascii="Calibri" w:hAnsi="Calibri"/>
          <w:i/>
        </w:rPr>
      </w:pPr>
    </w:p>
    <w:p w14:paraId="7103D952" w14:textId="77777777" w:rsidR="00001A2A" w:rsidRPr="002048A7" w:rsidRDefault="00001A2A" w:rsidP="0025080A">
      <w:pPr>
        <w:pStyle w:val="ListeParagraf"/>
        <w:numPr>
          <w:ilvl w:val="0"/>
          <w:numId w:val="21"/>
        </w:numPr>
        <w:spacing w:after="0"/>
        <w:rPr>
          <w:rFonts w:ascii="Calibri" w:hAnsi="Calibri"/>
          <w:bCs/>
        </w:rPr>
      </w:pPr>
      <w:proofErr w:type="gramStart"/>
      <w:r w:rsidRPr="00001A2A">
        <w:rPr>
          <w:rFonts w:ascii="Calibri" w:hAnsi="Calibri"/>
          <w:bCs/>
        </w:rPr>
        <w:t>17 nci</w:t>
      </w:r>
      <w:proofErr w:type="gramEnd"/>
      <w:r w:rsidRPr="00001A2A">
        <w:rPr>
          <w:rFonts w:ascii="Calibri" w:hAnsi="Calibri"/>
          <w:bCs/>
        </w:rPr>
        <w:t xml:space="preserve"> maddesinin beşinci fıkrasında yer alan </w:t>
      </w:r>
      <w:r w:rsidRPr="00001A2A">
        <w:rPr>
          <w:rFonts w:ascii="Calibri" w:hAnsi="Calibri"/>
          <w:bCs/>
          <w:i/>
        </w:rPr>
        <w:t>“90 (doksan)”</w:t>
      </w:r>
      <w:r w:rsidRPr="00001A2A">
        <w:rPr>
          <w:rFonts w:ascii="Calibri" w:hAnsi="Calibri"/>
          <w:bCs/>
        </w:rPr>
        <w:t xml:space="preserve"> ibaresi </w:t>
      </w:r>
      <w:r w:rsidRPr="00001A2A">
        <w:rPr>
          <w:rFonts w:ascii="Calibri" w:hAnsi="Calibri"/>
          <w:bCs/>
          <w:i/>
        </w:rPr>
        <w:t>“70 (yetmiş)”</w:t>
      </w:r>
      <w:r w:rsidRPr="00001A2A">
        <w:rPr>
          <w:rFonts w:ascii="Calibri" w:hAnsi="Calibri"/>
          <w:bCs/>
        </w:rPr>
        <w:t xml:space="preserve"> şeklinde değiştirilmiştir.</w:t>
      </w:r>
    </w:p>
    <w:p w14:paraId="3BB50F2F" w14:textId="77777777" w:rsidR="00001A2A" w:rsidRPr="002048A7" w:rsidRDefault="00001A2A" w:rsidP="00001A2A">
      <w:pPr>
        <w:pStyle w:val="ListeParagraf"/>
        <w:spacing w:after="0"/>
        <w:ind w:left="1440"/>
        <w:rPr>
          <w:rFonts w:ascii="Calibri" w:hAnsi="Calibri"/>
          <w:bCs/>
        </w:rPr>
      </w:pPr>
    </w:p>
    <w:p w14:paraId="2C14433C" w14:textId="77777777" w:rsidR="00001A2A" w:rsidRPr="002048A7" w:rsidRDefault="00001A2A" w:rsidP="0025080A">
      <w:pPr>
        <w:pStyle w:val="ListeParagraf"/>
        <w:numPr>
          <w:ilvl w:val="0"/>
          <w:numId w:val="21"/>
        </w:numPr>
        <w:spacing w:after="0"/>
        <w:rPr>
          <w:rFonts w:ascii="Calibri" w:hAnsi="Calibri"/>
          <w:bCs/>
        </w:rPr>
      </w:pPr>
      <w:r w:rsidRPr="00001A2A">
        <w:rPr>
          <w:rFonts w:ascii="Calibri" w:hAnsi="Calibri"/>
          <w:bCs/>
        </w:rPr>
        <w:t>19 uncu maddesine aşağıdaki fıkra eklenmiştir.</w:t>
      </w:r>
    </w:p>
    <w:p w14:paraId="20642160" w14:textId="77777777" w:rsidR="00001A2A" w:rsidRPr="002048A7" w:rsidRDefault="00001A2A" w:rsidP="00001A2A">
      <w:pPr>
        <w:pStyle w:val="ListeParagraf"/>
        <w:spacing w:after="0"/>
        <w:ind w:left="1440"/>
        <w:rPr>
          <w:rFonts w:ascii="Calibri" w:hAnsi="Calibri"/>
          <w:bCs/>
        </w:rPr>
      </w:pPr>
    </w:p>
    <w:p w14:paraId="3C612BC7" w14:textId="77777777" w:rsidR="00001A2A" w:rsidRDefault="00001A2A" w:rsidP="00001A2A">
      <w:pPr>
        <w:pStyle w:val="ListeParagraf"/>
        <w:spacing w:after="0"/>
        <w:ind w:left="1440"/>
        <w:rPr>
          <w:rFonts w:ascii="Calibri" w:hAnsi="Calibri"/>
          <w:bCs/>
          <w:i/>
        </w:rPr>
      </w:pPr>
      <w:r w:rsidRPr="00001A2A">
        <w:rPr>
          <w:rFonts w:ascii="Calibri" w:hAnsi="Calibri"/>
          <w:bCs/>
          <w:i/>
        </w:rPr>
        <w:t>“(4) TEİAŞ tarafından ek primer frekans kontrol rezervinin tedarik edildiği saatlerde ek rezerv sağlayan piyasa katılımcısının aynı saat içerisinde eksik primer frekans kontrol rezerv bildirimi, primer frekans kontrol arıza bildirimi veya seçilemeyen primer frekans kontrol ek rezerv teklifinin olması durumunda, ilgili piyasa katılımcısına teklif bedeli veya ek rezerv bedeli ödenirken ilgili saatteki eksik bildirim, arıza bildirimi ve seçilemeyen ek rezerv toplam miktarına kadar ilgili saatteki yan hizmet kapasite bedeli üzerinden, kalan ek rezerv miktarına ise teklif bedeli veya ek rezerv bedeli üzerinden ödeme yapılır.”</w:t>
      </w:r>
    </w:p>
    <w:p w14:paraId="76D94B34" w14:textId="77777777" w:rsidR="00001A2A" w:rsidRDefault="00001A2A" w:rsidP="00001A2A">
      <w:pPr>
        <w:pStyle w:val="ListeParagraf"/>
        <w:spacing w:after="0"/>
        <w:ind w:left="1440"/>
        <w:rPr>
          <w:rFonts w:ascii="Calibri" w:hAnsi="Calibri"/>
          <w:i/>
        </w:rPr>
      </w:pPr>
    </w:p>
    <w:p w14:paraId="092708E6" w14:textId="77777777" w:rsidR="00001A2A" w:rsidRPr="002048A7" w:rsidRDefault="00001A2A" w:rsidP="0025080A">
      <w:pPr>
        <w:pStyle w:val="ListeParagraf"/>
        <w:numPr>
          <w:ilvl w:val="0"/>
          <w:numId w:val="21"/>
        </w:numPr>
        <w:spacing w:after="0"/>
        <w:rPr>
          <w:rFonts w:ascii="Calibri" w:hAnsi="Calibri"/>
          <w:bCs/>
        </w:rPr>
      </w:pPr>
      <w:proofErr w:type="gramStart"/>
      <w:r w:rsidRPr="00001A2A">
        <w:rPr>
          <w:rFonts w:ascii="Calibri" w:hAnsi="Calibri"/>
          <w:bCs/>
        </w:rPr>
        <w:t>20 nci</w:t>
      </w:r>
      <w:proofErr w:type="gramEnd"/>
      <w:r w:rsidRPr="00001A2A">
        <w:rPr>
          <w:rFonts w:ascii="Calibri" w:hAnsi="Calibri"/>
          <w:bCs/>
        </w:rPr>
        <w:t xml:space="preserve"> maddesinin birinci ve üçüncü fıkraları aşağıdaki şekilde değiştirilmiştir.</w:t>
      </w:r>
    </w:p>
    <w:p w14:paraId="398D0E89" w14:textId="77777777" w:rsidR="00001A2A" w:rsidRPr="002048A7" w:rsidRDefault="00001A2A" w:rsidP="00001A2A">
      <w:pPr>
        <w:pStyle w:val="ListeParagraf"/>
        <w:spacing w:after="0"/>
        <w:ind w:left="1440"/>
        <w:rPr>
          <w:rFonts w:ascii="Calibri" w:hAnsi="Calibri"/>
          <w:bCs/>
        </w:rPr>
      </w:pPr>
    </w:p>
    <w:p w14:paraId="73737356"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“(1) Lisanslı üretim tesisleri ve müstakil elektrik depolama tesislerinden 8 inci madde uyarınca belgelendirilmiş yan hizmet birimleri tarafından sağlanacak sekonder frekans kontrolü yedeği, bu Yönetmelikte ele alınan usul ve esaslar çerçevesinde TEİAŞ tarafından yürütülen bu Yönetmelikte düzenlenen tedarik süreci sonunda doğrudan veya yükümlülüklerin transfer yoluyla devralınması neticesinde ilgili yan hizmet birimleri tarafından sağlanır.”</w:t>
      </w:r>
    </w:p>
    <w:p w14:paraId="2F1C94B7" w14:textId="77777777" w:rsidR="00001A2A" w:rsidRDefault="00001A2A" w:rsidP="00001A2A">
      <w:pPr>
        <w:pStyle w:val="ListeParagraf"/>
        <w:spacing w:after="0"/>
        <w:ind w:left="1440"/>
        <w:rPr>
          <w:rFonts w:ascii="Calibri" w:hAnsi="Calibri"/>
          <w:bCs/>
          <w:i/>
        </w:rPr>
      </w:pPr>
      <w:r w:rsidRPr="00001A2A">
        <w:rPr>
          <w:rFonts w:ascii="Calibri" w:hAnsi="Calibri"/>
          <w:bCs/>
          <w:i/>
        </w:rPr>
        <w:t>“(3) Yan hizmet piyasa katılımcıları, birinci fıkrada belirtilen sekonder frekans kontrolü için ayırmış oldukları rezervleri dengeleme mekanizması kapsamında başka bir piyasaya teklif edemez veya ikili anlaşmalar yoluyla satamazlar. Sekonder frekans kontrolü hizmeti kapsamında yükümlülüğü bulunan bir uzlaştırmaya esas veriş çekiş biriminin, emre amade kapasitesi içerisinden ayırmakla yükümlü olduğu sekonder frekans kontrolü rezervinin, ilgili yan hizmet piyasası katılımcısı tarafından ayırmakla yükümlü olduğu sekonder frekans kontrolü rezervinin, ilgili yan hizmet piyasası katılımcısı tarafından dengeleme güç piyasasına teklif edildiğinin veya bildirimde bulunduğu sekonder frekans kontrolü rezervi için yeterli kapasite ayırmadığının tespit edilmesi halinde, yükümlülük yerine getirilmemiş kabul edilir ve 31 inci madde gereği yerine getirmeme bedeli uygulanır.”</w:t>
      </w:r>
    </w:p>
    <w:p w14:paraId="76820EAA" w14:textId="77777777" w:rsidR="00001A2A" w:rsidRDefault="00001A2A" w:rsidP="00001A2A">
      <w:pPr>
        <w:pStyle w:val="ListeParagraf"/>
        <w:spacing w:after="0"/>
        <w:ind w:left="1440"/>
        <w:rPr>
          <w:rFonts w:ascii="Calibri" w:hAnsi="Calibri"/>
          <w:i/>
        </w:rPr>
      </w:pPr>
    </w:p>
    <w:p w14:paraId="767975F5" w14:textId="77777777" w:rsidR="00001A2A" w:rsidRPr="002048A7" w:rsidRDefault="00001A2A" w:rsidP="0025080A">
      <w:pPr>
        <w:pStyle w:val="ListeParagraf"/>
        <w:numPr>
          <w:ilvl w:val="0"/>
          <w:numId w:val="21"/>
        </w:numPr>
        <w:spacing w:after="0"/>
        <w:rPr>
          <w:rFonts w:ascii="Calibri" w:hAnsi="Calibri"/>
          <w:bCs/>
        </w:rPr>
      </w:pPr>
      <w:r w:rsidRPr="00001A2A">
        <w:rPr>
          <w:rFonts w:ascii="Calibri" w:hAnsi="Calibri"/>
          <w:bCs/>
        </w:rPr>
        <w:t xml:space="preserve">21 inci maddesinin birinci fıkrasının (e) bendinde yer alan </w:t>
      </w:r>
      <w:r w:rsidRPr="00001A2A">
        <w:rPr>
          <w:rFonts w:ascii="Calibri" w:hAnsi="Calibri"/>
          <w:bCs/>
          <w:i/>
        </w:rPr>
        <w:t>“1 (bir) saat”</w:t>
      </w:r>
      <w:r w:rsidRPr="00001A2A">
        <w:rPr>
          <w:rFonts w:ascii="Calibri" w:hAnsi="Calibri"/>
          <w:bCs/>
        </w:rPr>
        <w:t xml:space="preserve"> ibaresi </w:t>
      </w:r>
      <w:r w:rsidRPr="00001A2A">
        <w:rPr>
          <w:rFonts w:ascii="Calibri" w:hAnsi="Calibri"/>
          <w:bCs/>
          <w:i/>
        </w:rPr>
        <w:t>“30 (otuz) dakika”</w:t>
      </w:r>
      <w:r w:rsidRPr="00001A2A">
        <w:rPr>
          <w:rFonts w:ascii="Calibri" w:hAnsi="Calibri"/>
          <w:bCs/>
        </w:rPr>
        <w:t xml:space="preserve"> şeklinde değiştirilmiş, aynı fıkranın (g) bendinin (2) numaralı alt bendi aşağıdaki şekilde değiştirilmiş, aynı bende aşağıdaki alt bent eklenmiş, üçüncü fıkrası aşağıdaki şekilde değiştirilmiş ve aynı maddeye aşağıdaki fıkra eklenmiştir.</w:t>
      </w:r>
    </w:p>
    <w:p w14:paraId="2CAF2EEB" w14:textId="77777777" w:rsidR="00001A2A" w:rsidRPr="002048A7" w:rsidRDefault="00001A2A" w:rsidP="00001A2A">
      <w:pPr>
        <w:pStyle w:val="ListeParagraf"/>
        <w:spacing w:after="0"/>
        <w:ind w:left="1440"/>
        <w:rPr>
          <w:rFonts w:ascii="Calibri" w:hAnsi="Calibri"/>
          <w:bCs/>
        </w:rPr>
      </w:pPr>
    </w:p>
    <w:p w14:paraId="57A7AB09"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“2) İlgili tedarik dönemi için yürütülen sekonder frekans kontrol kapasitesi tedarik sürecinde fiyat sırasına dizilen ve teklifleri (f) bendi uyarınca geçerli olan teklif sahipleri teklif edilen sekonder frekans kontrol rezerv miktarını çalışma seviyesinin durumuna göre arttırmak ya da azaltmak istemeleri halinde teslim saatinden en geç 2 (iki) saat öncesine kadar miktar güncellemesi yapabilir. Miktarın arttırılması durumunda, artan miktar kadarlık rezerv kapasitesi katılımcının mevcut sekonder rezerv teklif fiyat seviyelerinin en düşük olanı üzerinden arttırılır. Miktarın azaltılması durumunda ise sekonder rezerv kapasitesinin teklif fiyat seviyesi en yüksek olanından başlanacak şekilde rezerv miktarı azaltılır.”</w:t>
      </w:r>
    </w:p>
    <w:p w14:paraId="565964EA"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“3) Ek rezerv tedarik süreci için geçerli teklifi bulunan bir yan hizmetler piyasası katılımcısına, ilgili saat içerisinde TEİAŞ tarafından ek rezerv tedarik sürecinde seçilme sırası kendisine gelmesine rağmen yan hizmet biriminin çalışma seviyesi uygun olmadığı durumlarda, ilgili yan hizmet biriminin asgari SFK rezerv miktarından az olmayacak ve ilgili saatteki çalışma seviyesine uygun olacak şekilde kısmi ek rezerv talimatı verebilir. Ek rezerv tedarik süreci için geçerli teklifi bulunan yan hizmet birimlerinin arıza ve benzeri nedenlerle devre dışı olması nedeniyle kendisinden ek rezerv tedarik edilemeyen rezerv miktarı ile kısmi ek rezerv talimatı kapsamında seçilemeyen rezerv miktarı kadar; söz konusu piyasa katılımcısının ilgili saat için hizmeti yerine getirmediği kabul edilir ve 31 inci madde uyarınca yaptırım uygulanır.”</w:t>
      </w:r>
    </w:p>
    <w:p w14:paraId="3E814D62"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 xml:space="preserve">“(3) TEİAŞ tarafından birinci fıkranın (g) bendinin (2) numaralı alt bendi uyarınca yürütülen ek rezerv tedarik sürecinden sonra, ek sekonder frekans kontrol rezerv ihtiyacının tamamının veya bir kısmının tedarik edilememesi durumunda; TEİAŞ ihtiyaç duyulan ek rezerv miktarını Yükümlülük Transfer Platformu üzerinden rezervin sağlanacağı saate en geç 90 (doksan) dakika </w:t>
      </w:r>
      <w:r w:rsidRPr="00001A2A">
        <w:rPr>
          <w:rFonts w:ascii="Calibri" w:hAnsi="Calibri"/>
          <w:bCs/>
          <w:i/>
        </w:rPr>
        <w:lastRenderedPageBreak/>
        <w:t>öncesine kadar ilan eder ve Yükümlülük Transfer Platformunun İşletilmesine İlişkin Usul ve Esaslar doğrultusunda platform üzerinden tedarik edebilir.”</w:t>
      </w:r>
    </w:p>
    <w:p w14:paraId="0182836B" w14:textId="77777777" w:rsidR="00001A2A" w:rsidRDefault="00001A2A" w:rsidP="00001A2A">
      <w:pPr>
        <w:pStyle w:val="ListeParagraf"/>
        <w:spacing w:after="0"/>
        <w:ind w:left="1440"/>
        <w:rPr>
          <w:rFonts w:ascii="Calibri" w:hAnsi="Calibri"/>
          <w:bCs/>
          <w:i/>
        </w:rPr>
      </w:pPr>
      <w:r w:rsidRPr="00001A2A">
        <w:rPr>
          <w:rFonts w:ascii="Calibri" w:hAnsi="Calibri"/>
          <w:bCs/>
          <w:i/>
        </w:rPr>
        <w:t>“(4) TEİAŞ tarafından transfer platformu üzerinden sekonder frekans kontrol ek rezerv duyurusuna çıkılan saatler için, transfer işlemlerinin bitiş zamanından en geç 5 dakika öncesine kadar piyasa katılımcıları transfer platformu üzerinden sekonder frekans kontrol transfer işlemleri için yeni teklif girişi, mevcut tekliflerinin güncellenmesi ve mevcut tekliflerinin silinmesi işlemlerini yapabilirler.”</w:t>
      </w:r>
    </w:p>
    <w:p w14:paraId="06F8590C" w14:textId="77777777" w:rsidR="00001A2A" w:rsidRDefault="00001A2A" w:rsidP="00001A2A">
      <w:pPr>
        <w:pStyle w:val="ListeParagraf"/>
        <w:spacing w:after="0"/>
        <w:ind w:left="1440"/>
        <w:rPr>
          <w:rFonts w:ascii="Calibri" w:hAnsi="Calibri"/>
          <w:i/>
        </w:rPr>
      </w:pPr>
    </w:p>
    <w:p w14:paraId="007CC52E" w14:textId="77777777" w:rsidR="00001A2A" w:rsidRPr="002048A7" w:rsidRDefault="00001A2A" w:rsidP="0025080A">
      <w:pPr>
        <w:pStyle w:val="ListeParagraf"/>
        <w:numPr>
          <w:ilvl w:val="0"/>
          <w:numId w:val="21"/>
        </w:numPr>
        <w:spacing w:after="0"/>
        <w:rPr>
          <w:rFonts w:ascii="Calibri" w:hAnsi="Calibri"/>
          <w:bCs/>
        </w:rPr>
      </w:pPr>
      <w:r w:rsidRPr="00001A2A">
        <w:rPr>
          <w:rFonts w:ascii="Calibri" w:hAnsi="Calibri"/>
          <w:bCs/>
        </w:rPr>
        <w:t xml:space="preserve">25 inci maddesinin dördüncü fıkrasında yer alan </w:t>
      </w:r>
      <w:r w:rsidRPr="00001A2A">
        <w:rPr>
          <w:rFonts w:ascii="Calibri" w:hAnsi="Calibri"/>
          <w:bCs/>
          <w:i/>
        </w:rPr>
        <w:t>“90 (doksan)”</w:t>
      </w:r>
      <w:r w:rsidRPr="00001A2A">
        <w:rPr>
          <w:rFonts w:ascii="Calibri" w:hAnsi="Calibri"/>
          <w:bCs/>
        </w:rPr>
        <w:t xml:space="preserve"> ibaresi </w:t>
      </w:r>
      <w:r w:rsidRPr="00001A2A">
        <w:rPr>
          <w:rFonts w:ascii="Calibri" w:hAnsi="Calibri"/>
          <w:bCs/>
          <w:i/>
        </w:rPr>
        <w:t>“70 (yetmiş)”</w:t>
      </w:r>
      <w:r w:rsidRPr="00001A2A">
        <w:rPr>
          <w:rFonts w:ascii="Calibri" w:hAnsi="Calibri"/>
          <w:bCs/>
        </w:rPr>
        <w:t xml:space="preserve"> şeklinde değiştirilmiştir.</w:t>
      </w:r>
    </w:p>
    <w:p w14:paraId="4DA52DF2" w14:textId="77777777" w:rsidR="00001A2A" w:rsidRPr="002048A7" w:rsidRDefault="00001A2A" w:rsidP="00001A2A">
      <w:pPr>
        <w:pStyle w:val="ListeParagraf"/>
        <w:spacing w:after="0"/>
        <w:ind w:left="1440"/>
        <w:rPr>
          <w:rFonts w:ascii="Calibri" w:hAnsi="Calibri"/>
          <w:bCs/>
        </w:rPr>
      </w:pPr>
    </w:p>
    <w:p w14:paraId="54E06FE6" w14:textId="77777777" w:rsidR="00001A2A" w:rsidRPr="002048A7" w:rsidRDefault="00001A2A" w:rsidP="0025080A">
      <w:pPr>
        <w:pStyle w:val="ListeParagraf"/>
        <w:numPr>
          <w:ilvl w:val="0"/>
          <w:numId w:val="21"/>
        </w:numPr>
        <w:spacing w:after="0"/>
        <w:rPr>
          <w:rFonts w:ascii="Calibri" w:hAnsi="Calibri"/>
          <w:bCs/>
        </w:rPr>
      </w:pPr>
      <w:proofErr w:type="gramStart"/>
      <w:r w:rsidRPr="00001A2A">
        <w:rPr>
          <w:rFonts w:ascii="Calibri" w:hAnsi="Calibri"/>
          <w:bCs/>
        </w:rPr>
        <w:t>27 nci</w:t>
      </w:r>
      <w:proofErr w:type="gramEnd"/>
      <w:r w:rsidRPr="00001A2A">
        <w:rPr>
          <w:rFonts w:ascii="Calibri" w:hAnsi="Calibri"/>
          <w:bCs/>
        </w:rPr>
        <w:t xml:space="preserve"> maddesine aşağıdaki fıkra eklenmiştir.</w:t>
      </w:r>
    </w:p>
    <w:p w14:paraId="4131A31F" w14:textId="77777777" w:rsidR="00001A2A" w:rsidRPr="002048A7" w:rsidRDefault="00001A2A" w:rsidP="00001A2A">
      <w:pPr>
        <w:pStyle w:val="ListeParagraf"/>
        <w:spacing w:after="0"/>
        <w:ind w:left="1440"/>
        <w:rPr>
          <w:rFonts w:ascii="Calibri" w:hAnsi="Calibri"/>
          <w:bCs/>
        </w:rPr>
      </w:pPr>
    </w:p>
    <w:p w14:paraId="284BAA90" w14:textId="77777777" w:rsidR="00001A2A" w:rsidRDefault="00001A2A" w:rsidP="00001A2A">
      <w:pPr>
        <w:pStyle w:val="ListeParagraf"/>
        <w:spacing w:after="0"/>
        <w:ind w:left="1440"/>
        <w:rPr>
          <w:rFonts w:ascii="Calibri" w:hAnsi="Calibri"/>
          <w:bCs/>
          <w:i/>
        </w:rPr>
      </w:pPr>
      <w:r w:rsidRPr="00001A2A">
        <w:rPr>
          <w:rFonts w:ascii="Calibri" w:hAnsi="Calibri"/>
          <w:bCs/>
          <w:i/>
        </w:rPr>
        <w:t>“(4) TEİAŞ tarafından ek sekonder frekans kontrol rezervinin tedarik edildiği saatlerde ek rezerv sağlayan piyasa katılımcısının aynı saat içerisinde eksik sekonder frekans kontrol rezerv bildirimi veya sekonder frekans kontrol arıza bildirimi veya seçilemeyen sekonder frekans kontrol ek rezerv teklifinin olması durumunda, ilgili piyasa katılımcısına teklif bedeli veya ek rezerv bedeli ödenirken ilgili saatteki eksik bildirim, arıza bildirimi ve seçilemeyen ek rezerv toplam miktarına kadar ilgili saatteki yan hizmet kapasite bedeli üzerinden kalan ek rezerv miktarına ise teklif bedeli veya ek rezerv bedeli üzerinden ödeme yapılır.”</w:t>
      </w:r>
    </w:p>
    <w:p w14:paraId="79DB2908" w14:textId="77777777" w:rsidR="00001A2A" w:rsidRDefault="00001A2A" w:rsidP="00001A2A">
      <w:pPr>
        <w:pStyle w:val="ListeParagraf"/>
        <w:spacing w:after="0"/>
        <w:ind w:left="1440"/>
        <w:rPr>
          <w:rFonts w:ascii="Calibri" w:hAnsi="Calibri"/>
          <w:i/>
        </w:rPr>
      </w:pPr>
    </w:p>
    <w:p w14:paraId="67C20620" w14:textId="77777777" w:rsidR="00001A2A" w:rsidRPr="002048A7" w:rsidRDefault="00001A2A" w:rsidP="0025080A">
      <w:pPr>
        <w:pStyle w:val="ListeParagraf"/>
        <w:numPr>
          <w:ilvl w:val="0"/>
          <w:numId w:val="21"/>
        </w:numPr>
        <w:spacing w:after="0"/>
        <w:rPr>
          <w:rFonts w:ascii="Calibri" w:hAnsi="Calibri"/>
          <w:bCs/>
        </w:rPr>
      </w:pPr>
      <w:r w:rsidRPr="00001A2A">
        <w:rPr>
          <w:rFonts w:ascii="Calibri" w:hAnsi="Calibri"/>
          <w:bCs/>
        </w:rPr>
        <w:t>29 uncu maddesinin dördüncü fıkrasının (c) bendi aşağıdaki şekilde değiştirilmiş, beşinci fıkrasının (ç) bendi aşağıdaki şekilde değiştirilmiş, altıncı fıkrasının (ç) bendi aşağıdaki şekilde değiştirilmiş ve aynı maddeye aşağıdaki fıkra eklenmiştir.</w:t>
      </w:r>
    </w:p>
    <w:p w14:paraId="1971DAF6" w14:textId="77777777" w:rsidR="00001A2A" w:rsidRPr="002048A7" w:rsidRDefault="00001A2A" w:rsidP="00001A2A">
      <w:pPr>
        <w:pStyle w:val="ListeParagraf"/>
        <w:spacing w:after="0"/>
        <w:ind w:left="1440"/>
        <w:rPr>
          <w:rFonts w:ascii="Calibri" w:hAnsi="Calibri"/>
          <w:bCs/>
        </w:rPr>
      </w:pPr>
    </w:p>
    <w:p w14:paraId="3FE9C0F8"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w:t>
      </w:r>
      <w:proofErr w:type="gramStart"/>
      <w:r w:rsidRPr="00001A2A">
        <w:rPr>
          <w:rFonts w:ascii="Calibri" w:hAnsi="Calibri"/>
          <w:bCs/>
          <w:i/>
        </w:rPr>
        <w:t>c</w:t>
      </w:r>
      <w:proofErr w:type="gramEnd"/>
      <w:r w:rsidRPr="00001A2A">
        <w:rPr>
          <w:rFonts w:ascii="Calibri" w:hAnsi="Calibri"/>
          <w:bCs/>
          <w:i/>
        </w:rPr>
        <w:t>) Yan hizmet birimine ait aktif çıkış gücü verilerinin tolerans bandının dışında olduğu süre, göz önünde bulundurularak, ilgili saat için yan hizmet biriminin PFK izleme sonuçları;</w:t>
      </w:r>
    </w:p>
    <w:p w14:paraId="059CCD61"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 xml:space="preserve">1) Tolerans bandının dışında olan sürenin ilgili uzlaştırma döneminin </w:t>
      </w:r>
      <w:proofErr w:type="gramStart"/>
      <w:r w:rsidRPr="00001A2A">
        <w:rPr>
          <w:rFonts w:ascii="Calibri" w:hAnsi="Calibri"/>
          <w:bCs/>
          <w:i/>
        </w:rPr>
        <w:t>% 10</w:t>
      </w:r>
      <w:proofErr w:type="gramEnd"/>
      <w:r w:rsidRPr="00001A2A">
        <w:rPr>
          <w:rFonts w:ascii="Calibri" w:hAnsi="Calibri"/>
          <w:bCs/>
          <w:i/>
        </w:rPr>
        <w:t>’una eşit veya %10 değerinden daha küçük olduğu durumda “sağladı”,</w:t>
      </w:r>
    </w:p>
    <w:p w14:paraId="6B7FA933"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 xml:space="preserve">2) Tolerans bandının dışında olan sürenin ilgili uzlaştırma döneminin </w:t>
      </w:r>
      <w:proofErr w:type="gramStart"/>
      <w:r w:rsidRPr="00001A2A">
        <w:rPr>
          <w:rFonts w:ascii="Calibri" w:hAnsi="Calibri"/>
          <w:bCs/>
          <w:i/>
        </w:rPr>
        <w:t>% 10</w:t>
      </w:r>
      <w:proofErr w:type="gramEnd"/>
      <w:r w:rsidRPr="00001A2A">
        <w:rPr>
          <w:rFonts w:ascii="Calibri" w:hAnsi="Calibri"/>
          <w:bCs/>
          <w:i/>
        </w:rPr>
        <w:t>’undan büyük ve % 50 değerinden daha küçük olduğu durumda “sağlamadı”,</w:t>
      </w:r>
    </w:p>
    <w:p w14:paraId="1B8AF4C1"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 xml:space="preserve">3) Tolerans bandının dışında olan sürenin ilgili uzlaştırma döneminin </w:t>
      </w:r>
      <w:proofErr w:type="gramStart"/>
      <w:r w:rsidRPr="00001A2A">
        <w:rPr>
          <w:rFonts w:ascii="Calibri" w:hAnsi="Calibri"/>
          <w:bCs/>
          <w:i/>
        </w:rPr>
        <w:t>% 50</w:t>
      </w:r>
      <w:proofErr w:type="gramEnd"/>
      <w:r w:rsidRPr="00001A2A">
        <w:rPr>
          <w:rFonts w:ascii="Calibri" w:hAnsi="Calibri"/>
          <w:bCs/>
          <w:i/>
        </w:rPr>
        <w:t>’sine eşit veya % 50 değerinden büyük olduğu durumda “katılmadı”,</w:t>
      </w:r>
    </w:p>
    <w:p w14:paraId="3CDC40E4" w14:textId="77777777" w:rsidR="00001A2A" w:rsidRPr="00001A2A" w:rsidRDefault="00001A2A" w:rsidP="00001A2A">
      <w:pPr>
        <w:pStyle w:val="ListeParagraf"/>
        <w:spacing w:after="0"/>
        <w:ind w:left="1440"/>
        <w:rPr>
          <w:rFonts w:ascii="Calibri" w:hAnsi="Calibri"/>
          <w:bCs/>
          <w:i/>
        </w:rPr>
      </w:pPr>
      <w:proofErr w:type="gramStart"/>
      <w:r w:rsidRPr="00001A2A">
        <w:rPr>
          <w:rFonts w:ascii="Calibri" w:hAnsi="Calibri"/>
          <w:bCs/>
          <w:i/>
        </w:rPr>
        <w:t>olarak</w:t>
      </w:r>
      <w:proofErr w:type="gramEnd"/>
      <w:r w:rsidRPr="00001A2A">
        <w:rPr>
          <w:rFonts w:ascii="Calibri" w:hAnsi="Calibri"/>
          <w:bCs/>
          <w:i/>
        </w:rPr>
        <w:t xml:space="preserve"> değerlendirilir.”</w:t>
      </w:r>
    </w:p>
    <w:p w14:paraId="68B24E2E"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“ç) Ek rezerv talimatı ile TEİAŞ tarafından Sekonder Frekans Kontrolü hizmetine dahil edilen yan hizmet birimleri bu ek rezerv talimatını hizmeti yerine getireceği saat içinde veya talimatın gönderildiği anda MKÜD’ün üzerinde ve bildirmiş olduğu KGÜP seviyesinde üretim gerçekleştiren yan hizmet birimleri hariç olmak üzere hizmetin yerine getirileceği saate 15 dakikadan daha az süre kala almışsa, hizmetin sağlanmaya başladığı dakikadan itibaren saat sonuna kadar kalan süre için % 10’luk tolerans dahilinde hizmeti yerine getirip getirmediğine bakılır. Bu durumda olan santrallere o saat için ödenecek sekonder hizmet bedeli, hizmeti yerine getirdikleri dakikaların toplamının 60’a bölünmesi suretiyle çıkan oran değeri ile çarpılması suretiyle hesaplanır.”</w:t>
      </w:r>
    </w:p>
    <w:p w14:paraId="1B6E355F"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 xml:space="preserve">“ç) Primer frekans kontrolü ve sekonder frekans kontrolü hizmetlerine eşzamanlı olarak katılan bir yan hizmet biriminin, ilgili saatin içerisinde dengeleme güç piyasası kapsamında almış olduğu </w:t>
      </w:r>
      <w:r w:rsidRPr="00001A2A">
        <w:rPr>
          <w:rFonts w:ascii="Calibri" w:hAnsi="Calibri"/>
          <w:bCs/>
          <w:i/>
        </w:rPr>
        <w:lastRenderedPageBreak/>
        <w:t>yük alma ve yük atma talimatları, KGÜP değişiklikleri veya arıza bildirimleri haricinde TEİAŞ’ın SCADA sisteminde yer alan Otomatik Üretim Kontrol (AGC) programında kayıtlı MAXC-MINC değerlerinin değişmesi halinde ilgili saat için primer frekans kontrolü ve sekonder frekans kontrolü hizmetini sağlamadığı kabul edilir.”</w:t>
      </w:r>
    </w:p>
    <w:p w14:paraId="6E023E3F" w14:textId="77777777" w:rsidR="00001A2A" w:rsidRDefault="00001A2A" w:rsidP="00001A2A">
      <w:pPr>
        <w:pStyle w:val="ListeParagraf"/>
        <w:spacing w:after="0"/>
        <w:ind w:left="1440"/>
        <w:rPr>
          <w:rFonts w:ascii="Calibri" w:hAnsi="Calibri"/>
          <w:bCs/>
          <w:i/>
        </w:rPr>
      </w:pPr>
      <w:r w:rsidRPr="00001A2A">
        <w:rPr>
          <w:rFonts w:ascii="Calibri" w:hAnsi="Calibri"/>
          <w:bCs/>
          <w:i/>
        </w:rPr>
        <w:t>“(8) Yan hizmet birimlerinin PFK ve/veya SFK hizmetlerine katılmadan önce yan hizmet birimi ile TEİAŞ arasında veri, haberleşme ve kontrol sinyallerinin karşılıklı olarak ve doğru biçimde iletildiğinin tespiti amacıyla Point-to-Point testlerini başarıyla tamamlamaları gerekmektedir.”</w:t>
      </w:r>
    </w:p>
    <w:p w14:paraId="671AF4B0" w14:textId="77777777" w:rsidR="00001A2A" w:rsidRDefault="00001A2A" w:rsidP="00001A2A">
      <w:pPr>
        <w:pStyle w:val="ListeParagraf"/>
        <w:spacing w:after="0"/>
        <w:ind w:left="1440"/>
        <w:rPr>
          <w:rFonts w:ascii="Calibri" w:hAnsi="Calibri"/>
          <w:i/>
        </w:rPr>
      </w:pPr>
    </w:p>
    <w:p w14:paraId="102A033E" w14:textId="77777777" w:rsidR="00001A2A" w:rsidRPr="002048A7" w:rsidRDefault="00001A2A" w:rsidP="0025080A">
      <w:pPr>
        <w:pStyle w:val="ListeParagraf"/>
        <w:numPr>
          <w:ilvl w:val="0"/>
          <w:numId w:val="21"/>
        </w:numPr>
        <w:spacing w:after="0"/>
        <w:rPr>
          <w:rFonts w:ascii="Calibri" w:hAnsi="Calibri"/>
          <w:bCs/>
        </w:rPr>
      </w:pPr>
      <w:r w:rsidRPr="00001A2A">
        <w:rPr>
          <w:rFonts w:ascii="Calibri" w:hAnsi="Calibri"/>
          <w:bCs/>
        </w:rPr>
        <w:t>30 uncu maddesinin ikinci fıkrası aşağıdaki şekilde değiştirilmiş ve aynı maddeye aşağıdaki fıkralar eklenmiştir.</w:t>
      </w:r>
    </w:p>
    <w:p w14:paraId="36CB2C4E" w14:textId="77777777" w:rsidR="00001A2A" w:rsidRPr="002048A7" w:rsidRDefault="00001A2A" w:rsidP="00001A2A">
      <w:pPr>
        <w:pStyle w:val="ListeParagraf"/>
        <w:spacing w:after="0"/>
        <w:ind w:left="1440"/>
        <w:rPr>
          <w:rFonts w:ascii="Calibri" w:hAnsi="Calibri"/>
          <w:bCs/>
        </w:rPr>
      </w:pPr>
    </w:p>
    <w:p w14:paraId="2B6F6A74"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 xml:space="preserve">“(2) 13 üncü madde kapsamında yükümlülük üstlenmiş veya 17 nci madde kapsamındaki yükümlülük transferi suretiyle yükümlülük devralmış ve devrede olan bir yan hizmet biriminin, primer frekans kontrol hizmetine katılımını engelleyen bir arıza sebebiyle primer frekans kontrol rezerv miktarını sağlayamaması, beklenmedik işletme şartları sebebiyle devre harici olması veya beklenmedik işletme şartları sebebiyle MKÜD’ün altına düşmesi durumlarında, olayı müteakiben önce sözlü daha sonra da arızanın başladığı ilgili saat içinde YHPYS aracılığıyla olmak üzere; yükümlü olduğu primer frekans kontrol rezerv miktarının tamamını ya da bir kısmını içerecek şekilde arızaya düşen rezerv miktarını arızaya sebep olan teknik gerekçe ile birlikte TEİAŞ’a bildirmesi kaydıyla; ilgili yan hizmet piyasası katılımcısı tüzel kişiye, bildirimin yapıldığı saat ve takip eden 1 (bir) saat için, arıza bildirdiği miktar kadar kapasite bedeli ödenmez ve ilgili yan hizmet piyasası katılımcısı tüzel kişi, primer frekans kontrol yükümlülüğünden arıza bildirdiği miktar kadar muaf sayılır. Ancak, bu süre içerisinde arızanın giderildiği ve yan hizmet biriminin MKÜD seviyesine çıktığı andan itibaren, ilgili yan hizmet biriminin yükümlülüğü yeniden başlar. Benzer bir durumun bu süreyi takip eden saatlerde tekrar etmesi veya devam etmesi halinde ise, </w:t>
      </w:r>
      <w:proofErr w:type="gramStart"/>
      <w:r w:rsidRPr="00001A2A">
        <w:rPr>
          <w:rFonts w:ascii="Calibri" w:hAnsi="Calibri"/>
          <w:bCs/>
          <w:i/>
        </w:rPr>
        <w:t>13 üncü</w:t>
      </w:r>
      <w:proofErr w:type="gramEnd"/>
      <w:r w:rsidRPr="00001A2A">
        <w:rPr>
          <w:rFonts w:ascii="Calibri" w:hAnsi="Calibri"/>
          <w:bCs/>
          <w:i/>
        </w:rPr>
        <w:t xml:space="preserve"> madde uyarıca yükümlülük üstlenmiş olan yan hizmet piyasa katılımcısı tüzel kişinin, yükümlülüğünü, uzlaştırma hesabına kayıtlı bulunan diğer yan hizmet birimlerinden sağlaması veya transfer etmesi gerekir. Aksi takdirde, yükümlülük yerine getirilmemiş sayılarak kapasite bedeli ödenmez ve birinci fıkrada yer alan yerine getirmeme bedeli uygulanır. Arıza bildirimi yapılacak yan hizmet biriminin, arıza başlangıç saatindeki nihai KGÜP değerinin ilgili saatte bildirilen PFK rezerv miktarından büyük olmaması halinde yan hizmet biriminden arıza bildirimi yapılamaz.”</w:t>
      </w:r>
    </w:p>
    <w:p w14:paraId="6C53ADDE"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 xml:space="preserve">“(4) Sistem işletmecisinin eksik PFK rezervini sağlamak için </w:t>
      </w:r>
      <w:proofErr w:type="gramStart"/>
      <w:r w:rsidRPr="00001A2A">
        <w:rPr>
          <w:rFonts w:ascii="Calibri" w:hAnsi="Calibri"/>
          <w:bCs/>
          <w:i/>
        </w:rPr>
        <w:t>13 üncü</w:t>
      </w:r>
      <w:proofErr w:type="gramEnd"/>
      <w:r w:rsidRPr="00001A2A">
        <w:rPr>
          <w:rFonts w:ascii="Calibri" w:hAnsi="Calibri"/>
          <w:bCs/>
          <w:i/>
        </w:rPr>
        <w:t xml:space="preserve"> maddenin birinci fıkrasının (ğ) bendinde belirtilen adımların uygulanması suretiyle belirlenecek ek rezerv oluşturma maliyeti, rezerv sağlama yükümlülüğünü yerine getirmeyen ve 29 uncu madde kapsamında “katılmadı” olarak değerlendirilen yan hizmetler piyasası katılımcısı tüzel kişilerden karşılanır. </w:t>
      </w:r>
      <w:proofErr w:type="gramStart"/>
      <w:r w:rsidRPr="00001A2A">
        <w:rPr>
          <w:rFonts w:ascii="Calibri" w:hAnsi="Calibri"/>
          <w:bCs/>
          <w:i/>
        </w:rPr>
        <w:t>13 üncü</w:t>
      </w:r>
      <w:proofErr w:type="gramEnd"/>
      <w:r w:rsidRPr="00001A2A">
        <w:rPr>
          <w:rFonts w:ascii="Calibri" w:hAnsi="Calibri"/>
          <w:bCs/>
          <w:i/>
        </w:rPr>
        <w:t xml:space="preserve"> madde kapsamında yükümlülük üstlenmiş olan bir yan hizmet piyasa katılımcısına, hizmete katılım durumunun “katılmadı” olarak değerlendirilmiş olduğu uzlaştırma dönemi için MW başına ödenmesi öngörülen PFK kapasite bedelinin %25’i kadar yerine getirmeme bedeli uygulanır. İhlalin gerçekleştirildiği uzlaştırma dönemindeki toplam ek rezerv maliyetinin söz konusu yan hizmet piyasası katılımcısının payına düşen kısmının, ilgili uzlaştırma döneminde yan hizmet piyasası katılımcısına ödenmesi öngörülen PFK kapasite bedelinin %25’ini aşması halinde söz konusu uzlaştırma dönemine ilişkin ek rezerv tedarik maliyetinin yan hizmet piyasası katılımcısının payına düşen kısmı aşağıdaki formül uyarınca ilgili saatin yerine getirmeme bedeli olarak hesaplanır:</w:t>
      </w:r>
    </w:p>
    <w:p w14:paraId="614213A9" w14:textId="77777777" w:rsidR="00001A2A" w:rsidRPr="00001A2A" w:rsidRDefault="00001A2A" w:rsidP="00001A2A">
      <w:pPr>
        <w:pStyle w:val="ListeParagraf"/>
        <w:spacing w:after="0"/>
        <w:ind w:left="1440"/>
        <w:rPr>
          <w:rFonts w:ascii="Calibri" w:hAnsi="Calibri"/>
          <w:bCs/>
          <w:i/>
        </w:rPr>
      </w:pPr>
      <w:proofErr w:type="gramStart"/>
      <w:r w:rsidRPr="00001A2A">
        <w:rPr>
          <w:rFonts w:ascii="Calibri" w:hAnsi="Calibri"/>
          <w:bCs/>
          <w:i/>
        </w:rPr>
        <w:lastRenderedPageBreak/>
        <w:t>YGBp,f</w:t>
      </w:r>
      <w:proofErr w:type="gramEnd"/>
      <w:r w:rsidRPr="00001A2A">
        <w:rPr>
          <w:rFonts w:ascii="Calibri" w:hAnsi="Calibri"/>
          <w:bCs/>
          <w:i/>
        </w:rPr>
        <w:t>,y,s = maks [((PKBf,y,s x YGPRMf,p,y,s)÷4), (TEMf,s x (YGPRMf,p,y,s</w:t>
      </w:r>
    </w:p>
    <w:p w14:paraId="3EF91788"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w:t>
      </w:r>
      <w:proofErr w:type="gramStart"/>
      <w:r w:rsidRPr="00001A2A">
        <w:rPr>
          <w:rFonts w:ascii="Calibri" w:hAnsi="Calibri"/>
          <w:bCs/>
          <w:i/>
        </w:rPr>
        <w:t>TYGRMf,s</w:t>
      </w:r>
      <w:proofErr w:type="gramEnd"/>
      <w:r w:rsidRPr="00001A2A">
        <w:rPr>
          <w:rFonts w:ascii="Calibri" w:hAnsi="Calibri"/>
          <w:bCs/>
          <w:i/>
        </w:rPr>
        <w:t>))]</w:t>
      </w:r>
    </w:p>
    <w:p w14:paraId="75088DC7"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(5) Dördüncü fıkradaki formülde geçen;</w:t>
      </w:r>
    </w:p>
    <w:p w14:paraId="6433EF2C"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 xml:space="preserve">a) </w:t>
      </w:r>
      <w:proofErr w:type="gramStart"/>
      <w:r w:rsidRPr="00001A2A">
        <w:rPr>
          <w:rFonts w:ascii="Calibri" w:hAnsi="Calibri"/>
          <w:bCs/>
          <w:i/>
        </w:rPr>
        <w:t>YGBp,f</w:t>
      </w:r>
      <w:proofErr w:type="gramEnd"/>
      <w:r w:rsidRPr="00001A2A">
        <w:rPr>
          <w:rFonts w:ascii="Calibri" w:hAnsi="Calibri"/>
          <w:bCs/>
          <w:i/>
        </w:rPr>
        <w:t>,y,s: 21 inci madde uyarınca adına kayıtlı “y” yan hizmet birimi için yükümlülük üstlenmiş olan yan hizmet piyasası katılımcısı “p” tüzel kişisine, yükümlülüğü bulunan “f” fatura döneminin “s” saati için hizmete katılım durumunun 29 uncu madde kapsamında “katılmadı” olarak değerlendirilmesi halinde tahakkuk ettirilecek yerine getirilmeme bedelini (TL),</w:t>
      </w:r>
    </w:p>
    <w:p w14:paraId="376B49C5"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 xml:space="preserve">b) </w:t>
      </w:r>
      <w:proofErr w:type="gramStart"/>
      <w:r w:rsidRPr="00001A2A">
        <w:rPr>
          <w:rFonts w:ascii="Calibri" w:hAnsi="Calibri"/>
          <w:bCs/>
          <w:i/>
        </w:rPr>
        <w:t>PKBf,y</w:t>
      </w:r>
      <w:proofErr w:type="gramEnd"/>
      <w:r w:rsidRPr="00001A2A">
        <w:rPr>
          <w:rFonts w:ascii="Calibri" w:hAnsi="Calibri"/>
          <w:bCs/>
          <w:i/>
        </w:rPr>
        <w:t>,s: 21 inci madde uyarınca adına kayıtlı “y” yan hizmet birimi tarafından sağlanmak üzere üstlenmiş olduğu yükümlülük çerçevesinde “f” fatura döneminin “s” saati için yan hizmet piyasa katılımcısına uygulanacak olan ve 26 ncı madde uyarınca belirlenen saatlik primer frekans kontrol kapasite bedelini (TL/MW),</w:t>
      </w:r>
    </w:p>
    <w:p w14:paraId="29F9DBCA"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 xml:space="preserve">c) </w:t>
      </w:r>
      <w:proofErr w:type="gramStart"/>
      <w:r w:rsidRPr="00001A2A">
        <w:rPr>
          <w:rFonts w:ascii="Calibri" w:hAnsi="Calibri"/>
          <w:bCs/>
          <w:i/>
        </w:rPr>
        <w:t>YGPRMf,p</w:t>
      </w:r>
      <w:proofErr w:type="gramEnd"/>
      <w:r w:rsidRPr="00001A2A">
        <w:rPr>
          <w:rFonts w:ascii="Calibri" w:hAnsi="Calibri"/>
          <w:bCs/>
          <w:i/>
        </w:rPr>
        <w:t>,y,s: Yan hizmet piyasa katılımcısı “p” tüzel kişisinin “f” fatura döneminin “s” saatinde, adına kayıtlı “y” yan hizmet birimi tarafından sağlanmak üzere yükümlülüğü bulunan ancak hizmete katılım durumu “katılmadı” olarak değerlendirilen primer frekans kontrol rezerv miktarını (MW),</w:t>
      </w:r>
    </w:p>
    <w:p w14:paraId="7171AA53" w14:textId="77777777" w:rsidR="00001A2A" w:rsidRPr="00001A2A" w:rsidRDefault="00001A2A" w:rsidP="00001A2A">
      <w:pPr>
        <w:pStyle w:val="ListeParagraf"/>
        <w:spacing w:after="0"/>
        <w:ind w:left="1440"/>
        <w:rPr>
          <w:rFonts w:ascii="Calibri" w:hAnsi="Calibri"/>
          <w:bCs/>
          <w:i/>
        </w:rPr>
      </w:pPr>
      <w:proofErr w:type="gramStart"/>
      <w:r w:rsidRPr="00001A2A">
        <w:rPr>
          <w:rFonts w:ascii="Calibri" w:hAnsi="Calibri"/>
          <w:bCs/>
          <w:i/>
        </w:rPr>
        <w:t>ç</w:t>
      </w:r>
      <w:proofErr w:type="gramEnd"/>
      <w:r w:rsidRPr="00001A2A">
        <w:rPr>
          <w:rFonts w:ascii="Calibri" w:hAnsi="Calibri"/>
          <w:bCs/>
          <w:i/>
        </w:rPr>
        <w:t>) TEMf,s: TEİAŞ tarafından “f” fatura döneminin “s” saati için tedarik süreci ile belirlenmiş yan hizmet birimlerinin yükümlülüklerini yerine getirmemesi veya eksik olarak yerine getirmesi neticesinde primer frekans kontrol rezerv miktarları toplamının yetersiz kalması ve ek primer frekans kontrol rezerv miktarı ihtiyacı doğması halinde 13 üncü madde uyarınca “s” saati için TEİAŞ tarafından tedarik edilen primer frekans kontrol ek rezervlerin toplam maliyetini (TL),</w:t>
      </w:r>
    </w:p>
    <w:p w14:paraId="30A0191B"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 xml:space="preserve">d) </w:t>
      </w:r>
      <w:proofErr w:type="gramStart"/>
      <w:r w:rsidRPr="00001A2A">
        <w:rPr>
          <w:rFonts w:ascii="Calibri" w:hAnsi="Calibri"/>
          <w:bCs/>
          <w:i/>
        </w:rPr>
        <w:t>TYGRMf,s</w:t>
      </w:r>
      <w:proofErr w:type="gramEnd"/>
      <w:r w:rsidRPr="00001A2A">
        <w:rPr>
          <w:rFonts w:ascii="Calibri" w:hAnsi="Calibri"/>
          <w:bCs/>
          <w:i/>
        </w:rPr>
        <w:t>: TEİAŞ tarafından “f” fatura döneminin “s” saati için tedarik süreci ile belirlenmiş yan hizmet birimleri tarafından “s” saatinde hizmete katılım durumu “katılmadı” olarak değerlendirilen toplam primer frekans kontrol rezerv miktarını (MW),</w:t>
      </w:r>
    </w:p>
    <w:p w14:paraId="08EFEA77" w14:textId="77777777" w:rsidR="00001A2A" w:rsidRDefault="00001A2A" w:rsidP="00001A2A">
      <w:pPr>
        <w:pStyle w:val="ListeParagraf"/>
        <w:spacing w:after="0"/>
        <w:ind w:left="1440"/>
        <w:rPr>
          <w:rFonts w:ascii="Calibri" w:hAnsi="Calibri"/>
          <w:bCs/>
          <w:i/>
        </w:rPr>
      </w:pPr>
      <w:proofErr w:type="gramStart"/>
      <w:r w:rsidRPr="00001A2A">
        <w:rPr>
          <w:rFonts w:ascii="Calibri" w:hAnsi="Calibri"/>
          <w:bCs/>
          <w:i/>
        </w:rPr>
        <w:t>ifade</w:t>
      </w:r>
      <w:proofErr w:type="gramEnd"/>
      <w:r w:rsidRPr="00001A2A">
        <w:rPr>
          <w:rFonts w:ascii="Calibri" w:hAnsi="Calibri"/>
          <w:bCs/>
          <w:i/>
        </w:rPr>
        <w:t xml:space="preserve"> eder.”</w:t>
      </w:r>
    </w:p>
    <w:p w14:paraId="77029FE8" w14:textId="77777777" w:rsidR="00001A2A" w:rsidRDefault="00001A2A" w:rsidP="00001A2A">
      <w:pPr>
        <w:pStyle w:val="ListeParagraf"/>
        <w:spacing w:after="0"/>
        <w:ind w:left="1440"/>
        <w:rPr>
          <w:rFonts w:ascii="Calibri" w:hAnsi="Calibri"/>
          <w:i/>
        </w:rPr>
      </w:pPr>
    </w:p>
    <w:p w14:paraId="3ABD8ED4" w14:textId="77777777" w:rsidR="00001A2A" w:rsidRPr="002048A7" w:rsidRDefault="00001A2A" w:rsidP="0025080A">
      <w:pPr>
        <w:pStyle w:val="ListeParagraf"/>
        <w:numPr>
          <w:ilvl w:val="0"/>
          <w:numId w:val="21"/>
        </w:numPr>
        <w:spacing w:after="0"/>
        <w:rPr>
          <w:rFonts w:ascii="Calibri" w:hAnsi="Calibri"/>
          <w:bCs/>
        </w:rPr>
      </w:pPr>
      <w:r w:rsidRPr="00001A2A">
        <w:rPr>
          <w:rFonts w:ascii="Calibri" w:hAnsi="Calibri"/>
          <w:bCs/>
        </w:rPr>
        <w:t>31 inci maddesinin ikinci fıkrası aşağıdaki şekilde değiştirilmiştir.</w:t>
      </w:r>
    </w:p>
    <w:p w14:paraId="151D251F" w14:textId="77777777" w:rsidR="00001A2A" w:rsidRPr="002048A7" w:rsidRDefault="00001A2A" w:rsidP="00001A2A">
      <w:pPr>
        <w:pStyle w:val="ListeParagraf"/>
        <w:spacing w:after="0"/>
        <w:ind w:left="1440"/>
        <w:rPr>
          <w:rFonts w:ascii="Calibri" w:hAnsi="Calibri"/>
          <w:bCs/>
        </w:rPr>
      </w:pPr>
    </w:p>
    <w:p w14:paraId="1A25E264"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 xml:space="preserve">“(2) 21 inci madde kapsamında yükümlülük üstlenmiş veya 25 inci madde kapsamında yükümlülük devralmış ve devrede olan bir yan hizmet biriminin, sekonder frekans kontrol hizmetine katılımını engelleyen bir arıza sebebiyle bu hizmeti sağlayamaması veya beklenmedik işletme şartları sebebiyle devre harici olması veya beklenmedik işletme şartları sebebiyle minimum kararlı üretim düzeyinin altına düşmesi durumlarında, olayı müteakiben önce sözlü daha sonra da arızanın başladığı ilgili saat içerisinde YHPYS aracılığıyla olmak üzere; yükümlü olduğu sekonder frekans kontrol rezerv miktarının tamamını ya da bir kısmını içerecek şekilde, arızaya düşen rezerv miktarını arızaya sebep olan teknik gerekçe ile birlikte TEİAŞ’a bildirmek kaydıyla; ilgili yan hizmet piyasası katılımcısı tüzel kişiye, arızanın bildirildiği saat ve takip eden 1 (bir) saat için kapasite bedeli ödenmez ve ilgili yan hizmet piyasası katılımcısı tüzel kişi, sekonder frekans kontrol yükümlülüğünden arıza bildirdiği miktar kadar muaf sayılır. Ancak, bu süre içerisinde arızanın giderildiği ve yan hizmet biriminin minimum kararlı üretim düzeyi seviyesine çıktığı andan itibaren yükümlülüğü yeniden başlar. Benzer bir durumun bu süreyi takip eden saatlerde de tekrar etmesi veya devam etmesi halinde, 21 inci madde kapsamında yükümlülük üstlenmiş olan yan hizmet piyasa katılımcısı tüzel kişinin, yükümlülüğünü, adına kayıtlı bulunan diğer yan hizmet birimlerinden sağlaması veya yükümlülüğünü transfer etmesi gerekir. Aksi takdirde sistem işletmecisinin bu rezervi sağlamak için 21 inci maddenin birinci fıkrasının (g) bendinde belirtilen adımların uygulanması suretiyle belirlenecek ek rezerv </w:t>
      </w:r>
      <w:r w:rsidRPr="00001A2A">
        <w:rPr>
          <w:rFonts w:ascii="Calibri" w:hAnsi="Calibri"/>
          <w:bCs/>
          <w:i/>
        </w:rPr>
        <w:lastRenderedPageBreak/>
        <w:t>oluşturma maliyeti, rezerv sağlama yükümlülüğünü yerine getirmeyen ve 29 uncu madde kapsamında “katılmadı” olarak değerlendirilen yan hizmetler piyasası katılımcısı tüzel kişilerden karşılanır. Arıza bildirimi yapılacak yan hizmet biriminin, arıza başlangıç saatindeki nihai KGÜP değerinin ilgili saatte bildirilen SFK rezerv miktarından büyük olmaması halinde yan hizmet biriminden arıza bildirimi yapılamaz. 21 inci madde kapsamında yükümlülük üstlenmiş olan bir yan hizmet piyasa katılımcısına hizmete katılım durumunun “katılmadı” olarak değerlendirilmiş olduğu uzlaştırma dönemi için MW başına ödenmesi öngörülen sekonder frekans kontrol kapasite bedelinin %25’i kadar yerine getirmeme bedeli uygulanır. İhlalin gerçekleştirildiği uzlaştırma dönemindeki toplam ek rezerv maliyetinin söz konusu yan hizmet piyasası katılımcısının payına düşen kısmının, ilgili uzlaştırma döneminde yan hizmet piyasası katılımcısına ödenmesi öngörülen sekonder frekans kontrol kapasite bedelinin %25’ini aşması halinde söz konusu uzlaştırma dönemine ilişkin ek rezerv tedarik maliyetinin yan hizmet piyasası katılımcısının payına düşen kısmı aşağıdaki formül uyarınca ilgili saatin yerine getirmeme bedeli olarak hesaplanır:</w:t>
      </w:r>
    </w:p>
    <w:p w14:paraId="3A6ADEC9" w14:textId="77777777" w:rsidR="00001A2A" w:rsidRPr="00001A2A" w:rsidRDefault="00001A2A" w:rsidP="00001A2A">
      <w:pPr>
        <w:pStyle w:val="ListeParagraf"/>
        <w:spacing w:after="0"/>
        <w:ind w:left="1440"/>
        <w:rPr>
          <w:rFonts w:ascii="Calibri" w:hAnsi="Calibri"/>
          <w:bCs/>
          <w:i/>
        </w:rPr>
      </w:pPr>
      <w:proofErr w:type="gramStart"/>
      <w:r w:rsidRPr="00001A2A">
        <w:rPr>
          <w:rFonts w:ascii="Calibri" w:hAnsi="Calibri"/>
          <w:bCs/>
          <w:i/>
        </w:rPr>
        <w:t>YGBp,f</w:t>
      </w:r>
      <w:proofErr w:type="gramEnd"/>
      <w:r w:rsidRPr="00001A2A">
        <w:rPr>
          <w:rFonts w:ascii="Calibri" w:hAnsi="Calibri"/>
          <w:bCs/>
          <w:i/>
        </w:rPr>
        <w:t>,y,s = maks [((SKBf,y,s x YGSRMf,p,y,s)÷4), (TEMf,s x (YGSRMf,p,y,s</w:t>
      </w:r>
    </w:p>
    <w:p w14:paraId="30F1914C" w14:textId="77777777" w:rsidR="00001A2A" w:rsidRDefault="00001A2A" w:rsidP="00001A2A">
      <w:pPr>
        <w:pStyle w:val="ListeParagraf"/>
        <w:spacing w:after="0"/>
        <w:ind w:left="1440"/>
        <w:rPr>
          <w:rFonts w:ascii="Calibri" w:hAnsi="Calibri"/>
          <w:bCs/>
          <w:i/>
        </w:rPr>
      </w:pPr>
      <w:r w:rsidRPr="00001A2A">
        <w:rPr>
          <w:rFonts w:ascii="Calibri" w:hAnsi="Calibri"/>
          <w:bCs/>
          <w:i/>
        </w:rPr>
        <w:t>÷</w:t>
      </w:r>
      <w:proofErr w:type="gramStart"/>
      <w:r w:rsidRPr="00001A2A">
        <w:rPr>
          <w:rFonts w:ascii="Calibri" w:hAnsi="Calibri"/>
          <w:bCs/>
          <w:i/>
        </w:rPr>
        <w:t>TYGRMf,s</w:t>
      </w:r>
      <w:proofErr w:type="gramEnd"/>
      <w:r w:rsidRPr="00001A2A">
        <w:rPr>
          <w:rFonts w:ascii="Calibri" w:hAnsi="Calibri"/>
          <w:bCs/>
          <w:i/>
        </w:rPr>
        <w:t>))]”</w:t>
      </w:r>
    </w:p>
    <w:p w14:paraId="3E5FE701" w14:textId="77777777" w:rsidR="00001A2A" w:rsidRDefault="00001A2A" w:rsidP="00001A2A">
      <w:pPr>
        <w:pStyle w:val="ListeParagraf"/>
        <w:spacing w:after="0"/>
        <w:ind w:left="1440"/>
        <w:rPr>
          <w:rFonts w:ascii="Calibri" w:hAnsi="Calibri"/>
          <w:i/>
        </w:rPr>
      </w:pPr>
    </w:p>
    <w:p w14:paraId="002DD567" w14:textId="77777777" w:rsidR="00001A2A" w:rsidRPr="002048A7" w:rsidRDefault="00001A2A" w:rsidP="0025080A">
      <w:pPr>
        <w:pStyle w:val="ListeParagraf"/>
        <w:numPr>
          <w:ilvl w:val="0"/>
          <w:numId w:val="21"/>
        </w:numPr>
        <w:spacing w:after="0"/>
        <w:rPr>
          <w:rFonts w:ascii="Calibri" w:hAnsi="Calibri"/>
          <w:bCs/>
        </w:rPr>
      </w:pPr>
      <w:r w:rsidRPr="00001A2A">
        <w:rPr>
          <w:rFonts w:ascii="Calibri" w:hAnsi="Calibri"/>
          <w:bCs/>
        </w:rPr>
        <w:t>5/A bölümü başlığı ile birlikte aşağıdaki şekilde değiştirilmiştir.</w:t>
      </w:r>
    </w:p>
    <w:p w14:paraId="79608131" w14:textId="77777777" w:rsidR="00001A2A" w:rsidRPr="002048A7" w:rsidRDefault="00001A2A" w:rsidP="00001A2A">
      <w:pPr>
        <w:pStyle w:val="ListeParagraf"/>
        <w:spacing w:after="0"/>
        <w:ind w:left="1440"/>
        <w:rPr>
          <w:rFonts w:ascii="Calibri" w:hAnsi="Calibri"/>
          <w:bCs/>
        </w:rPr>
      </w:pPr>
    </w:p>
    <w:p w14:paraId="06493E86"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“BÖLÜM 5/A</w:t>
      </w:r>
    </w:p>
    <w:p w14:paraId="42F056FF"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Sınırlı Frekans Hassasiyet Modu Esasları</w:t>
      </w:r>
    </w:p>
    <w:p w14:paraId="194656F2"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Sınırlı frekans hassasiyet modu esasları</w:t>
      </w:r>
    </w:p>
    <w:p w14:paraId="3A824161"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MADDE 31/A- (1) Sınırlı frekans hassasiyet modu hizmetine katılmakla yükümlü olan yan hizmet birimi sahibi tüzel kişilerin TEİAŞ ile hizmete ilişkin yan hizmet anlaşmasını imzalar.</w:t>
      </w:r>
    </w:p>
    <w:p w14:paraId="3212FA4F"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(2) İlgili yan hizmet anlaşmasında yer alan üniteler, TEİAŞ’ın belirleyeceği teknik kriterler doğrultusunda sınırlı frekans hassasiyet modu hizmetine katılmakla yükümlüdür.</w:t>
      </w:r>
    </w:p>
    <w:p w14:paraId="1D197AE6"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(3) Sınırlı frekans hassasiyet modu hizmetine katılan yan hizmet birimlerinin hizmeti sağlayıp sağlamadıkları ilgili yan hizmet anlaşmasında yer alan kriterler ile belirlenir.</w:t>
      </w:r>
    </w:p>
    <w:p w14:paraId="758C86FE"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(4) Sınırlı frekans hassasiyet modu hizmetine katılan yan hizmet birimlerine yansıtılacak yerine getirmeme bedellerinin detayları ilgili yan hizmet anlaşmasında yer alır.</w:t>
      </w:r>
    </w:p>
    <w:p w14:paraId="2B23BC61" w14:textId="77777777" w:rsidR="00001A2A" w:rsidRDefault="00001A2A" w:rsidP="00001A2A">
      <w:pPr>
        <w:pStyle w:val="ListeParagraf"/>
        <w:spacing w:after="0"/>
        <w:ind w:left="1440"/>
        <w:rPr>
          <w:rFonts w:ascii="Calibri" w:hAnsi="Calibri"/>
          <w:bCs/>
          <w:i/>
        </w:rPr>
      </w:pPr>
      <w:r w:rsidRPr="00001A2A">
        <w:rPr>
          <w:rFonts w:ascii="Calibri" w:hAnsi="Calibri"/>
          <w:bCs/>
          <w:i/>
        </w:rPr>
        <w:t>(5) Sınırlı frekans hassasiyet modu hizmetini sağlayan yan hizmet birimlerine, rezervin kullanılması halinde sağlanan rezerv miktarına karşılık gelen tutar kesinleşmiş üretim tüketim programı sapma tutarına dahil edilmez.”</w:t>
      </w:r>
    </w:p>
    <w:p w14:paraId="14FEA3B1" w14:textId="77777777" w:rsidR="00001A2A" w:rsidRDefault="00001A2A" w:rsidP="00001A2A">
      <w:pPr>
        <w:pStyle w:val="ListeParagraf"/>
        <w:spacing w:after="0"/>
        <w:ind w:left="1440"/>
        <w:rPr>
          <w:rFonts w:ascii="Calibri" w:hAnsi="Calibri"/>
          <w:i/>
        </w:rPr>
      </w:pPr>
    </w:p>
    <w:p w14:paraId="07DA7799" w14:textId="77777777" w:rsidR="00001A2A" w:rsidRPr="002048A7" w:rsidRDefault="00001A2A" w:rsidP="0025080A">
      <w:pPr>
        <w:pStyle w:val="ListeParagraf"/>
        <w:numPr>
          <w:ilvl w:val="0"/>
          <w:numId w:val="21"/>
        </w:numPr>
        <w:spacing w:after="0"/>
        <w:rPr>
          <w:rFonts w:ascii="Calibri" w:hAnsi="Calibri"/>
          <w:bCs/>
        </w:rPr>
      </w:pPr>
      <w:r w:rsidRPr="00001A2A">
        <w:rPr>
          <w:rFonts w:ascii="Calibri" w:hAnsi="Calibri"/>
          <w:bCs/>
        </w:rPr>
        <w:t>5/A bölümünden sonra gelmek üzere aşağıdaki bölüm eklenmiştir.</w:t>
      </w:r>
    </w:p>
    <w:p w14:paraId="632AE832" w14:textId="77777777" w:rsidR="00001A2A" w:rsidRPr="002048A7" w:rsidRDefault="00001A2A" w:rsidP="00001A2A">
      <w:pPr>
        <w:pStyle w:val="ListeParagraf"/>
        <w:spacing w:after="0"/>
        <w:ind w:left="1440"/>
        <w:rPr>
          <w:rFonts w:ascii="Calibri" w:hAnsi="Calibri"/>
          <w:bCs/>
        </w:rPr>
      </w:pPr>
    </w:p>
    <w:p w14:paraId="001AA82D"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“BÖLÜM 5/B</w:t>
      </w:r>
    </w:p>
    <w:p w14:paraId="19B269F1"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Talep Tarafı Katılımı Hizmeti</w:t>
      </w:r>
    </w:p>
    <w:p w14:paraId="6C9700BE"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Talep tarafı katılımı hizmeti tedarik esasları</w:t>
      </w:r>
    </w:p>
    <w:p w14:paraId="78045816"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MADDE 31/</w:t>
      </w:r>
      <w:proofErr w:type="gramStart"/>
      <w:r w:rsidRPr="00001A2A">
        <w:rPr>
          <w:rFonts w:ascii="Calibri" w:hAnsi="Calibri"/>
          <w:bCs/>
          <w:i/>
        </w:rPr>
        <w:t>B -</w:t>
      </w:r>
      <w:proofErr w:type="gramEnd"/>
      <w:r w:rsidRPr="00001A2A">
        <w:rPr>
          <w:rFonts w:ascii="Calibri" w:hAnsi="Calibri"/>
          <w:bCs/>
          <w:i/>
        </w:rPr>
        <w:t xml:space="preserve"> (1) Şebekedeki arz-talep dengesinin sağlanması amacıyla, TEİAŞ tarafından yürütülen ve bu Yönetmelikte düzenlenen tedarik süreci sonucunda toplayıcılar aracılığıyla bölgesel veya ülke genelinde talep tarafı katılımı hizmeti alınabilir.</w:t>
      </w:r>
    </w:p>
    <w:p w14:paraId="59B438F4"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(2) Toplayıcılar, talep tarafı katılımı hizmetine toplayıcılık hizmet anlaşması imzaladıkları tüketim tesislerinin yüklerinin düşürülmesi suretiyle katılırlar.</w:t>
      </w:r>
    </w:p>
    <w:p w14:paraId="71F9D74F"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lastRenderedPageBreak/>
        <w:t xml:space="preserve">(3) Toplayıcıların toplayıcılık hizmet anlaşması imzaladıkları tüketiciler, tedarik sürecine ilişkin TEİAŞ tarafından yapılan duyuruda belirtilen nitelikleri haiz olmalıdır. Tedarik süreci duyurusunda TEİAŞ tarafından belirlenecek teknik kriterler kapsamında gerekli olan sayaç, uzaktan okuma, uzaktan kumanda, izleme, doğrulama ile diğer donanım ve yazılıma ilişkin yatırımlar toplayıcı tarafından Elektrik Piyasasında Toplayıcılık Faaliyeti Yönetmeliğinin </w:t>
      </w:r>
      <w:proofErr w:type="gramStart"/>
      <w:r w:rsidRPr="00001A2A">
        <w:rPr>
          <w:rFonts w:ascii="Calibri" w:hAnsi="Calibri"/>
          <w:bCs/>
          <w:i/>
        </w:rPr>
        <w:t>13 üncü</w:t>
      </w:r>
      <w:proofErr w:type="gramEnd"/>
      <w:r w:rsidRPr="00001A2A">
        <w:rPr>
          <w:rFonts w:ascii="Calibri" w:hAnsi="Calibri"/>
          <w:bCs/>
          <w:i/>
        </w:rPr>
        <w:t xml:space="preserve"> maddesi uyarınca yapılır.</w:t>
      </w:r>
    </w:p>
    <w:p w14:paraId="18C5D668"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(4) Talep tarafı katılımı tedarik ihalesine teklif verecek olan toplayıcının, tedarik dönemi boyunca kendisinin ve anlaşmasında kayıtlı olan tüketim tesislerinin gerekli kontrol, ölçme, izleme ve doğrulama altyapısına sahip olduğunu ve TEİAŞ’ın istediği şekilde gerekli veri akışını sağlayabileceğini TEİAŞ tarafından belirlenecek gerekli bilgi, belge ve/veya sertifikalarla belgelendirmesi ve buna dair TEİAŞ tarafından verilen test raporuna sahip olması zorunludur.</w:t>
      </w:r>
    </w:p>
    <w:p w14:paraId="78BF0C0D"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(5) Toplayıcı, yan hizmet anlaşmasında kayıtlı olan tüketim tesislerinin bağlı olduğu ilgili şebeke işletmecisine ait kontrol sayaçlarına TEİAŞ’ın belirleyeceği niteliklere sahip uygun donanım, teçhizat ve cihaz altyapılarıyla bağlantı sağlar. EPİAŞ gerekli kontrol, ölçme, izleme ve doğrulama işlemleri için ilgili toplayıcının yan hizmet anlaşmasında kayıtlı olan kullanıcıların sayaç verilerini TEİAŞ ile paylaşır. TEİAŞ gerekmesi halinde ilgili dağıtım şirketlerinden ihtiyaç duyulan verileri temin eder.</w:t>
      </w:r>
    </w:p>
    <w:p w14:paraId="543E385F"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(6) Toplayıcı, portföyünde yer alan ve talep tarafı katılımı hizmetine katılacak iletim veya dağıtım sistemine bağlı tüketim tesislerini ilgili yan hizmet anlaşmasına kaydettirir.</w:t>
      </w:r>
    </w:p>
    <w:p w14:paraId="720572D8"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(7) Toplayıcılar, TEİAŞ’a başvurduğu aydan geriye dönük olarak nihai uzlaştırmaya esas son on iki aya ilişkin toplam asgari elektrik enerjisi tüketim miktarı 5.000 (beş bin) MWh olan tüketim tesislerini talep tarafı katılımı portföyüne dahil edebilir. Söz konusu verisi bulunmayan tüketim tesisleri için asgari anlaşma gücü 3 MW’tır.</w:t>
      </w:r>
    </w:p>
    <w:p w14:paraId="5613BC9B"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(8) Toplayıcı, portföyünde yer alan ve talep tarafı katılımı hizmetine katılacak iletim veya dağıtım sistemine bağlı tüketim tesislerini ilgili yan hizmet anlaşmasına kaydettirir.</w:t>
      </w:r>
    </w:p>
    <w:p w14:paraId="4E377521"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(9) Bir tüketim tesisine ait sayaçların tamamı aynı toplayıcının yan hizmet anlaşmasına kaydedilir.</w:t>
      </w:r>
    </w:p>
    <w:p w14:paraId="40953F44"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 xml:space="preserve">(10) Toplayıcının yan hizmet anlaşmasında kayıtlı olan tüketim </w:t>
      </w:r>
      <w:proofErr w:type="gramStart"/>
      <w:r w:rsidRPr="00001A2A">
        <w:rPr>
          <w:rFonts w:ascii="Calibri" w:hAnsi="Calibri"/>
          <w:bCs/>
          <w:i/>
        </w:rPr>
        <w:t>tesislerinde,</w:t>
      </w:r>
      <w:proofErr w:type="gramEnd"/>
      <w:r w:rsidRPr="00001A2A">
        <w:rPr>
          <w:rFonts w:ascii="Calibri" w:hAnsi="Calibri"/>
          <w:bCs/>
          <w:i/>
        </w:rPr>
        <w:t xml:space="preserve"> veya tüketim tesisi ile ilişkili sayaç bilgilerinde veya sayılarında değişiklik olması, bir tüketim tesisinin sahibi gerçek veya tüzel kişi ile toplayıcı arasındaki anlaşmanın sona ermesi veya feshedilmesi durumlarında, en geç 3 (üç) iş günü içerisinde toplayıcı tarafından TEİAŞ’a bildirim yapılır.</w:t>
      </w:r>
    </w:p>
    <w:p w14:paraId="38A8EA19"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(11) Toplayıcının yan hizmet anlaşmasına kayıtlı tüketim tesislerinin sahibi olan gerçek ve tüzel kişiler, toplayıcılık faaliyeti kapsamında ilgili mevzuat hükümleri çerçevesinde TEİAŞ’tan herhangi bir hak talep edemez.</w:t>
      </w:r>
    </w:p>
    <w:p w14:paraId="4329851E"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Talep tarafı katılımı hizmeti tedarik süreci</w:t>
      </w:r>
    </w:p>
    <w:p w14:paraId="2AE4A70B"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MADDE 31/C- (1) Talep tarafı katılımı hizmeti tedarik süreci bu Yönetmelik hükümlerine göre yürütülür. Tedarik süreci, kapasite tedariki ve aktivasyon tedariki olmak üzere iki aşamadan oluşur.</w:t>
      </w:r>
    </w:p>
    <w:p w14:paraId="20E90DFD"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(2) Kapasite tedarik sürecine, TEİAŞ ile talep tarafı katılımı hizmetine ilişkin yan hizmet anlaşması imzalamış olan ve kapasite tedarik ihalesinden, ihale şartnamesinde belirtilen süre kadar önce emreamade kapasitesini talep tarafı katılımı hizmeti testi ile doğrulayan toplayıcılar katılabilir.</w:t>
      </w:r>
    </w:p>
    <w:p w14:paraId="27CA7735"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(3) Kapasite tedarik süreci aşağıdaki adımlardan meydana gelir:</w:t>
      </w:r>
    </w:p>
    <w:p w14:paraId="1D4BECFF"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a) TEİAŞ kapasite tedarik sürecini, kapasite tedarikinin gerçekleşeceği günden en geç 90 gün önce TEİAŞ internet sitesinde duyurur. Duyuruda;</w:t>
      </w:r>
    </w:p>
    <w:p w14:paraId="04CFA3B8"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lastRenderedPageBreak/>
        <w:t>1) Hizmetin tedarik edileceği bir veya birden fazla dengeleme bölgesinden oluşan bölge veya bölgeleri,</w:t>
      </w:r>
    </w:p>
    <w:p w14:paraId="2CC87C59"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2) Bir yılı geçmeyecek şekilde belirlenen tedarik dönemi,</w:t>
      </w:r>
    </w:p>
    <w:p w14:paraId="22572625"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3) Sistemin kritik günlerde ihtiyaç duyacağı öngörülen talep tarafı katılımı kapasitesinin minimum ve maksimum değerleri,</w:t>
      </w:r>
    </w:p>
    <w:p w14:paraId="045F1BAF"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4) Kritik ayları,</w:t>
      </w:r>
    </w:p>
    <w:p w14:paraId="4FB5AB91"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5) Kritik saatler ve kritik günlerde talimat verilecek azami saat sayısı,</w:t>
      </w:r>
    </w:p>
    <w:p w14:paraId="0783ACDA"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6) Kapasite tedarik ihalesinin yapılacağı günü,</w:t>
      </w:r>
    </w:p>
    <w:p w14:paraId="618ACC22"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7) Toplayıcı tarafından kapasite tedarikine teklif verilebilecek MW cinsinden asgari ve azami kapasite miktarı ile asgari portföy büyüklüğü,</w:t>
      </w:r>
    </w:p>
    <w:p w14:paraId="24C6233F"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8) Tedarik sürecine katılacak toplayıcılar tarafından teklif edilebilecek azami kapasite fiyatı, fiyat yapısı ve içeriği,</w:t>
      </w:r>
    </w:p>
    <w:p w14:paraId="6042FB21"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9) Teklif verecek toplayıcıların portföyünde bulunan tüketim tesislerinin sağlaması gereken, teklif dönemi öncesindeki TEİAŞ’a başvurduğu aydan geriye dönük olarak nihai uzlaştırmaya esas son kayıt tarihinden önceki on iki aya ilişkin MWh cinsinden toplam tüketim miktarı, nihai uzlaştırmaya esas son on iki aylık tüketim verisi olmayan tüketim tesisleri için ise MW cinsinden belirlenecek asgari anlaşma gücü,</w:t>
      </w:r>
    </w:p>
    <w:p w14:paraId="04A919A0"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10) Aktivasyon tedariki için MWh cinsinden verilecek tekliflerin fiyat yapısı ve içeriği,</w:t>
      </w:r>
    </w:p>
    <w:p w14:paraId="6648D388"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11) TEİAŞ tarafından verilecek aktivasyon talimatlarının ne şekilde verileceği,</w:t>
      </w:r>
    </w:p>
    <w:p w14:paraId="12E80265"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12) Tedarik sürecinin hangi şartlarda sonlandırılacağı,</w:t>
      </w:r>
    </w:p>
    <w:p w14:paraId="69B08513"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13) Kapasite tedarikine ilişkin sürecin iptal şartları,</w:t>
      </w:r>
    </w:p>
    <w:p w14:paraId="33EE266F"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14) TEİAŞ tarafından gerekli görülen diğer konular,</w:t>
      </w:r>
    </w:p>
    <w:p w14:paraId="524545D1" w14:textId="77777777" w:rsidR="00001A2A" w:rsidRPr="00001A2A" w:rsidRDefault="00001A2A" w:rsidP="00001A2A">
      <w:pPr>
        <w:pStyle w:val="ListeParagraf"/>
        <w:spacing w:after="0"/>
        <w:ind w:left="1440"/>
        <w:rPr>
          <w:rFonts w:ascii="Calibri" w:hAnsi="Calibri"/>
          <w:bCs/>
          <w:i/>
        </w:rPr>
      </w:pPr>
      <w:proofErr w:type="gramStart"/>
      <w:r w:rsidRPr="00001A2A">
        <w:rPr>
          <w:rFonts w:ascii="Calibri" w:hAnsi="Calibri"/>
          <w:bCs/>
          <w:i/>
        </w:rPr>
        <w:t>yer</w:t>
      </w:r>
      <w:proofErr w:type="gramEnd"/>
      <w:r w:rsidRPr="00001A2A">
        <w:rPr>
          <w:rFonts w:ascii="Calibri" w:hAnsi="Calibri"/>
          <w:bCs/>
          <w:i/>
        </w:rPr>
        <w:t xml:space="preserve"> alır.</w:t>
      </w:r>
    </w:p>
    <w:p w14:paraId="4694466E"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b) Kapasite tedariki ihalesine katılan toplayıcılar 31/C maddesi ve tedarik süreci duyurusu kapsamında hazırladıkları tekliflerini TEİAŞ’a sunarlar. Söz konusu niteliklere sahip olmayan teklifler değerlendirmeye alınmaz ve değerlendirmeye alınmama gerekçeleri başvuru sahibine bildirilir.</w:t>
      </w:r>
    </w:p>
    <w:p w14:paraId="415ECC31"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c) TEİAŞ, verilen tekliflerin fiyat sıralamasını gözeterek, tedarik süreci duyurusunda yer alan minimum ve maksimum miktarları (MW) dikkate alarak teklif edilen toplam talep tarafı katılımı rezerv miktarına eşit teklifi seçer.</w:t>
      </w:r>
    </w:p>
    <w:p w14:paraId="6CCC52A8" w14:textId="77777777" w:rsidR="00001A2A" w:rsidRPr="00001A2A" w:rsidRDefault="00001A2A" w:rsidP="00001A2A">
      <w:pPr>
        <w:pStyle w:val="ListeParagraf"/>
        <w:spacing w:after="0"/>
        <w:ind w:left="1440"/>
        <w:rPr>
          <w:rFonts w:ascii="Calibri" w:hAnsi="Calibri"/>
          <w:bCs/>
          <w:i/>
        </w:rPr>
      </w:pPr>
      <w:proofErr w:type="gramStart"/>
      <w:r w:rsidRPr="00001A2A">
        <w:rPr>
          <w:rFonts w:ascii="Calibri" w:hAnsi="Calibri"/>
          <w:bCs/>
          <w:i/>
        </w:rPr>
        <w:t>ç</w:t>
      </w:r>
      <w:proofErr w:type="gramEnd"/>
      <w:r w:rsidRPr="00001A2A">
        <w:rPr>
          <w:rFonts w:ascii="Calibri" w:hAnsi="Calibri"/>
          <w:bCs/>
          <w:i/>
        </w:rPr>
        <w:t>) Kapasite tedariki sonucunda talep tarafı katılımı hizmeti sağlamaya hak kazanan toplayıcıların kazanmış oldukları kapasite miktarları, bu miktarların hangi tüketim tesislerinden sağlanacağı ve tüketim tesisleri ile ilişkili tüm sayaçlar yan hizmet anlaşmasının ekinde yer alır.</w:t>
      </w:r>
    </w:p>
    <w:p w14:paraId="758BF595"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d) Kapasite tedariki sonucunda seçilen ve kazanmış oldukları kapasite miktarları ile bu miktarların sağlanacağı tüketim tesisleri yan hizmet anlaşmasına kaydedilen toplayıcılar, imzalamış oldukları yan hizmet anlaşmasına uygun olarak talep tarafı katılımı hizmetini yerine getirmeyi kabul etmiş sayılır.</w:t>
      </w:r>
    </w:p>
    <w:p w14:paraId="15594D64"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e) TEİAŞ, kritik günden bir önceki gün en geç saat 18.00’ye kadar kritik gün duyurusunu yapar. Teklif sunma süresi, itiraz süresi, teklifleri seçilen toplayıcılara bildirim süresi ve kritik gün ilanının emreamadelik kontrolü kapsamında olup olmadığı hususu ile ihtiyaç duyulan diğer hususlar duyuruda belirtilir.</w:t>
      </w:r>
    </w:p>
    <w:p w14:paraId="1DFABD56"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(4) Aktivasyon tedarik sürecine, TEİAŞ tarafından yapılan kapasite tedarik sürecinde seçilen toplayıcılar katılır.</w:t>
      </w:r>
    </w:p>
    <w:p w14:paraId="373E5513"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(5) Aktivasyon tedarik süreci aşağıdaki adımlardan meydana gelir:</w:t>
      </w:r>
    </w:p>
    <w:p w14:paraId="6D5282A8"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lastRenderedPageBreak/>
        <w:t>a) TEİAŞ, kapasite tedarik ihalesinde belirtilen kritik aylar içerisinde gerekli gördüğü durumlarda ertesi gün için kritik gün ilanında bulunur ve aktivasyon tedarik süreci başlatılır.</w:t>
      </w:r>
    </w:p>
    <w:p w14:paraId="116B4F2F"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b) Kapasite tedariki sonucunda teklifleri seçilen toplayıcılar aktivasyon tedarik ihalesine kapasite tedarik ihalesinde hizmet kapsamında sunmayı taahhüt ettiği kapasitenin tamamı kadar teklif verir. Fiyat teklifi vermeyen toplayıcının kapasite tedarik sürecinde sunmayı taahhüt ettiği kapasitenin tamamı için teklif fiyatı 0 TL/MWh olarak kabul edilir.</w:t>
      </w:r>
    </w:p>
    <w:p w14:paraId="5CC98421"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c) TEİAŞ verilen teklifleri fiyat sıralamasını gözeterek kritik günde ihtiyaç duyulan kapasite kadar teklifi seçer ve tüm teklif sahiplerine bildirimde bulunur. TEİAŞ, seçilen son teklif için kısmi aktivasyon talimatı verebilir.</w:t>
      </w:r>
    </w:p>
    <w:p w14:paraId="39DEDFD3" w14:textId="77777777" w:rsidR="00001A2A" w:rsidRPr="00001A2A" w:rsidRDefault="00001A2A" w:rsidP="00001A2A">
      <w:pPr>
        <w:pStyle w:val="ListeParagraf"/>
        <w:spacing w:after="0"/>
        <w:ind w:left="1440"/>
        <w:rPr>
          <w:rFonts w:ascii="Calibri" w:hAnsi="Calibri"/>
          <w:bCs/>
          <w:i/>
        </w:rPr>
      </w:pPr>
      <w:proofErr w:type="gramStart"/>
      <w:r w:rsidRPr="00001A2A">
        <w:rPr>
          <w:rFonts w:ascii="Calibri" w:hAnsi="Calibri"/>
          <w:bCs/>
          <w:i/>
        </w:rPr>
        <w:t>ç</w:t>
      </w:r>
      <w:proofErr w:type="gramEnd"/>
      <w:r w:rsidRPr="00001A2A">
        <w:rPr>
          <w:rFonts w:ascii="Calibri" w:hAnsi="Calibri"/>
          <w:bCs/>
          <w:i/>
        </w:rPr>
        <w:t>) Aktivasyon tedariki sonucunda seçilen toplayıcı, kritik gün için yükümlenmiş olduğu talep tarafı katılımı rezervini, anlaşmalı olduğu tüketim tesislerinde ihale şartnamesinde belirtilen kritik saatlerde emreamade bulundurur ve kritik günde TEİAŞ tarafından verilen yük düşümü talimatını yerine getirerek talep tarafı katılımı hizmetini sağlar.</w:t>
      </w:r>
    </w:p>
    <w:p w14:paraId="363D6277"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d) Kritik olarak ilan edilen günde, aktivasyon tedarikinde seçilen toplayıcılara TEİAŞ tarafından bu maddenin (c) bendinde duyurulan aktivasyon miktarı kadar en az bir saatlik yük düşümü talimatı verilir.</w:t>
      </w:r>
    </w:p>
    <w:p w14:paraId="6BF74DA3"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e) Aktivasyon talimatları en geç gerçek zamandan iki saat önce verilir.</w:t>
      </w:r>
    </w:p>
    <w:p w14:paraId="096A6153"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(6)TEİAŞ, kritik aylar içerisinde aktivasyon süreci işletilmeksizin, toplayıcıların emreamadeliğini kontrol etmek amacıyla kapasite tedarik süreci sonucunda hizmeti sağlamaya hak kazanan toplayıcılara en fazla iki defa ve en fazla birer saat olacak şekilde eşit miktarda yük düşme talimatı verebilir.</w:t>
      </w:r>
    </w:p>
    <w:p w14:paraId="51247169"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(7) Aktivasyon talimatları, tedarik süreci sonucunda hizmeti tedarik etmeye hak kazanan toplayıcılar arasında ayrım gözetilmeyecek şekilde oluşturulur.</w:t>
      </w:r>
    </w:p>
    <w:p w14:paraId="7E1FB530"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(8) Tedarik süreci duyurusunda yer alan kritik aylar ve saatler ile tedarik dönemi boyunca ilan edilen kritik günler dışında ve tedarik süreci duyurusunda yer alan azami kritik saat sayısını aşacak şekilde aktivasyon talimatı verilemez.</w:t>
      </w:r>
    </w:p>
    <w:p w14:paraId="2176EFCB"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(9) Ertesi günün kritik gün ilan edilmesi halinde aktivasyon tedarikinde seçilen toplayıcıların, dengeleme güç piyasası kapsamında vermiş oldukları teklifleri kritik saatler için silinir.</w:t>
      </w:r>
    </w:p>
    <w:p w14:paraId="6ADA143D"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Talep tarafı katılımı hizmeti sağlanmasına ilişkin tekliflerin yapısı ve içeriği</w:t>
      </w:r>
    </w:p>
    <w:p w14:paraId="4B474BAA"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MADDE 31/Ç- (1) Kapasite tedarikinde verilen teklifler, yük düşümüne esas rezerv kapasitesini (MW) ve birim rezerv kapasitesine teklif edilen saatlik kapasite bedelini (TL/MW) içerecek yapıda ve TEİAŞ’ın tedarik süreci duyurusunda belirtildiği şekilde TEİAŞ’a bildirilir.</w:t>
      </w:r>
    </w:p>
    <w:p w14:paraId="092E9AFE"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(2) Aktivasyon tedarikinde verilen teklifler, yük düşümüne bağlı olarak oluşacak elektrik enerjisi miktarını (MWh) ve birim elektrik enerjisi miktarı için teklif edilen bedeli (TL/MWh) içerecek yapıda ve TEİAŞ’ın tedarik süreci duyurusunda belirtildiği şekilde TEİAŞ’a bildirilir.</w:t>
      </w:r>
    </w:p>
    <w:p w14:paraId="5BFCBAC5"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(3) Aktivasyon tedariki için teklif edilen MW başına saatlik aktivasyon bedeli, ilgili kritik aydaki “Gün Öncesi Piyasasında ve Dengeleme Güç Piyasasında Asgari ve Azami Fiyat Limitlerinin Belirlenmesine İlişkin Usul ve Esaslar” uyarınca belirlenen fiyatın 1,5 katını geçemez.</w:t>
      </w:r>
    </w:p>
    <w:p w14:paraId="0995EFC3"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(4) Tüm teklif fiyatları, Türk Lirası (TL) cinsinden 1 TL ve katları olacak şekilde bildirilir.</w:t>
      </w:r>
    </w:p>
    <w:p w14:paraId="581BB74C"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Talep tarafı katılımı hizmetine ilişkin tekliflerin değerlendirilmesi</w:t>
      </w:r>
    </w:p>
    <w:p w14:paraId="3A53C5F0"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MADDE 31/</w:t>
      </w:r>
      <w:proofErr w:type="gramStart"/>
      <w:r w:rsidRPr="00001A2A">
        <w:rPr>
          <w:rFonts w:ascii="Calibri" w:hAnsi="Calibri"/>
          <w:bCs/>
          <w:i/>
        </w:rPr>
        <w:t>D -</w:t>
      </w:r>
      <w:proofErr w:type="gramEnd"/>
      <w:r w:rsidRPr="00001A2A">
        <w:rPr>
          <w:rFonts w:ascii="Calibri" w:hAnsi="Calibri"/>
          <w:bCs/>
          <w:i/>
        </w:rPr>
        <w:t xml:space="preserve"> (1) TEİAŞ, kapasite tedarikinde verilen teklifleri toplam talep tarafı katılımı kapasite tedarik maliyetini en aza indirecek şekilde seçer. Kapasite tedariki için verilen teklifler fiyat sırasına göre dizilerek tedarik dönemi için sistemin ihtiyaç duyacağı öngörülen talep tarafı katılımı rezerv miktarı kadar teklif seçilir ve tüm teklif sahiplerine bildirimde bulunulur.</w:t>
      </w:r>
    </w:p>
    <w:p w14:paraId="3ADD4E2C"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lastRenderedPageBreak/>
        <w:t>(2) Kapasite tedarikinde rezerv miktarı içerisinde kalan fiyat sıralamasının sonunda yer alan teklifin sahibi toplayıcıdan, rezerv miktarını tamamlayacak şekilde, teklif ettiği kapasitenin altında kapasite tedarik edilebilir. Bu durumda ilgili toplayıcıdan tedarik edilecek kapasitenin, tedarik süreci duyurusunda yer alan kapasite tedarikine teklif verilebilecek asgari kapasitenin altında kalması halinde, ilgili toplayıcıdan asgari kapasiteye eşit kapasite tedarik edilir ve kapasite tedarik süreci duyurusunda yer alan talep tarafı katılımı rezerv miktarının üzerinde kapasite tedarik edilebilir.</w:t>
      </w:r>
    </w:p>
    <w:p w14:paraId="570CBA7C"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(3) Aktivasyon tedarikinde verilen teklifler fiyat sırasına dizilerek ilan edilen kritik gün ve kritik saatler için sistemin ihtiyaç duyacağı öngörülen talep tarafı katılımı rezerv miktarı kadar teklif seçilir ve tüm teklif sahiplerine bildirimde bulunulur.</w:t>
      </w:r>
    </w:p>
    <w:p w14:paraId="1E5B1259"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(4) TEİAŞ, talep tarafı katılımı hizmetine ilişkin tekliflerin değerlendirilmesi hususunda, teknik ve bölgesel gereklilikler ile sistem şartlarını dikkate alarak eşit taraflar arasında ayrım gözetmeksizin hareket eder.</w:t>
      </w:r>
    </w:p>
    <w:p w14:paraId="26DB9801"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Talep tarafı katılımı hizmetinin ücretlendirilmesi</w:t>
      </w:r>
    </w:p>
    <w:p w14:paraId="516336A1"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MADDE 31/E- (1) Kapasite tedariki sonucunda hizmeti sağlamaya hak kazanan her bir toplayıcı için, ilgili tedarik dönemine ilişkin tedarik süreci duyurusunda belirtilen azami teklif fiyatını aşmamak koşuluyla, kapasite tedariki için vermiş olduğu teklif, ödenecek saatlik kapasite bedeli (TL/MW) olarak belirlenir.</w:t>
      </w:r>
    </w:p>
    <w:p w14:paraId="66339747"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(2) Hizmeti sağlamaya hak kazanan toplayıcılar için, ilgili tedarik dönemine ilişkin tedarik süreci duyurusunda belirtilen azami teklif fiyatını aşmamak koşuluyla, aktivasyon tedariki sonucunda oluşan en yüksek teklif fiyatı aktivasyon bedeli (TL/MWh) olarak belirlenir.</w:t>
      </w:r>
    </w:p>
    <w:p w14:paraId="643F61FF"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(3) Toplayıcılara kritik ayları takip eden fatura dönemlerinde talep tarafı katılımı hizmeti kapsamında yapılacak ödemeler, aylık kapasite bedeli ile aktivasyon talimatı alıp yerine getirilmesi halinde oluşan aktivasyon bedelinin toplamından oluşur ve aşağıdaki formüller uyarınca hesaplanır:</w:t>
      </w:r>
    </w:p>
    <w:p w14:paraId="6E9F605B"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 xml:space="preserve"> </w:t>
      </w:r>
      <w:r w:rsidR="00A81A50" w:rsidRPr="00071236">
        <w:rPr>
          <w:rFonts w:ascii="Times New Roman" w:eastAsia="Times New Roman" w:hAnsi="Times New Roman"/>
          <w:noProof/>
          <w:sz w:val="18"/>
          <w:szCs w:val="18"/>
          <w:lang w:eastAsia="tr-TR"/>
        </w:rPr>
        <w:drawing>
          <wp:inline distT="0" distB="0" distL="0" distR="0" wp14:anchorId="59058CCA" wp14:editId="44F6FF0B">
            <wp:extent cx="4429125" cy="1019175"/>
            <wp:effectExtent l="0" t="0" r="9525" b="9525"/>
            <wp:docPr id="20" name="Resim 20" descr="https://www.resmigazete.gov.tr/eskiler/2024/12/20241217-24_dosyalar/image0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resmigazete.gov.tr/eskiler/2024/12/20241217-24_dosyalar/image005.gif"/>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429125" cy="1019175"/>
                    </a:xfrm>
                    <a:prstGeom prst="rect">
                      <a:avLst/>
                    </a:prstGeom>
                    <a:noFill/>
                    <a:ln>
                      <a:noFill/>
                    </a:ln>
                  </pic:spPr>
                </pic:pic>
              </a:graphicData>
            </a:graphic>
          </wp:inline>
        </w:drawing>
      </w:r>
    </w:p>
    <w:p w14:paraId="73407266"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(4) Üçüncü fıkradaki formülde geçen;</w:t>
      </w:r>
    </w:p>
    <w:p w14:paraId="0A71B043"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 xml:space="preserve">a) </w:t>
      </w:r>
      <w:proofErr w:type="gramStart"/>
      <w:r w:rsidRPr="00001A2A">
        <w:rPr>
          <w:rFonts w:ascii="Calibri" w:hAnsi="Calibri"/>
          <w:bCs/>
          <w:i/>
        </w:rPr>
        <w:t>TTKÖTt,f</w:t>
      </w:r>
      <w:proofErr w:type="gramEnd"/>
      <w:r w:rsidRPr="00001A2A">
        <w:rPr>
          <w:rFonts w:ascii="Calibri" w:hAnsi="Calibri"/>
          <w:bCs/>
          <w:i/>
        </w:rPr>
        <w:t>: “t” toplayıcının “f” fatura döneminde talep tarafı katılımı hizmetinden dolayı tahakkuk ettirilecek ödeme tutarını (TL),</w:t>
      </w:r>
    </w:p>
    <w:p w14:paraId="4683C1E5"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 xml:space="preserve">b) </w:t>
      </w:r>
      <w:proofErr w:type="gramStart"/>
      <w:r w:rsidRPr="00001A2A">
        <w:rPr>
          <w:rFonts w:ascii="Calibri" w:hAnsi="Calibri"/>
          <w:bCs/>
          <w:i/>
        </w:rPr>
        <w:t>KBÖTt,f</w:t>
      </w:r>
      <w:proofErr w:type="gramEnd"/>
      <w:r w:rsidRPr="00001A2A">
        <w:rPr>
          <w:rFonts w:ascii="Calibri" w:hAnsi="Calibri"/>
          <w:bCs/>
          <w:i/>
        </w:rPr>
        <w:t>: “t” toplayıcının “f” fatura döneminde emre amade tuttuğu talep tarafı katılımı hizmetinden dolayı tahakkuk ettirilecek kapasite bedeli ödeme tutarını (TL),</w:t>
      </w:r>
    </w:p>
    <w:p w14:paraId="47B259F0"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 xml:space="preserve">c) </w:t>
      </w:r>
      <w:proofErr w:type="gramStart"/>
      <w:r w:rsidRPr="00001A2A">
        <w:rPr>
          <w:rFonts w:ascii="Calibri" w:hAnsi="Calibri"/>
          <w:bCs/>
          <w:i/>
        </w:rPr>
        <w:t>ABÖTt,f</w:t>
      </w:r>
      <w:proofErr w:type="gramEnd"/>
      <w:r w:rsidRPr="00001A2A">
        <w:rPr>
          <w:rFonts w:ascii="Calibri" w:hAnsi="Calibri"/>
          <w:bCs/>
          <w:i/>
        </w:rPr>
        <w:t>: “t” toplayıcının “f” fatura döneminde sağladığı talep tarafı katılımı hizmetinden dolayı tahakkuk ettirilecek aktivasyon bedeli ödeme tutarını (TL),</w:t>
      </w:r>
    </w:p>
    <w:p w14:paraId="20312DAC" w14:textId="77777777" w:rsidR="00001A2A" w:rsidRPr="00001A2A" w:rsidRDefault="00001A2A" w:rsidP="00001A2A">
      <w:pPr>
        <w:pStyle w:val="ListeParagraf"/>
        <w:spacing w:after="0"/>
        <w:ind w:left="1440"/>
        <w:rPr>
          <w:rFonts w:ascii="Calibri" w:hAnsi="Calibri"/>
          <w:bCs/>
          <w:i/>
        </w:rPr>
      </w:pPr>
      <w:proofErr w:type="gramStart"/>
      <w:r w:rsidRPr="00001A2A">
        <w:rPr>
          <w:rFonts w:ascii="Calibri" w:hAnsi="Calibri"/>
          <w:bCs/>
          <w:i/>
        </w:rPr>
        <w:t>ç</w:t>
      </w:r>
      <w:proofErr w:type="gramEnd"/>
      <w:r w:rsidRPr="00001A2A">
        <w:rPr>
          <w:rFonts w:ascii="Calibri" w:hAnsi="Calibri"/>
          <w:bCs/>
          <w:i/>
        </w:rPr>
        <w:t>) TTKKMt,f: “t” toplayıcının “f” fatura döneminde talep tarafı katılımı için tedarik edilen kapasite miktarını (MW),</w:t>
      </w:r>
    </w:p>
    <w:p w14:paraId="19B1DF07"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 xml:space="preserve">d) </w:t>
      </w:r>
      <w:proofErr w:type="gramStart"/>
      <w:r w:rsidRPr="00001A2A">
        <w:rPr>
          <w:rFonts w:ascii="Calibri" w:hAnsi="Calibri"/>
          <w:bCs/>
          <w:i/>
        </w:rPr>
        <w:t>TTKKBt,f</w:t>
      </w:r>
      <w:proofErr w:type="gramEnd"/>
      <w:r w:rsidRPr="00001A2A">
        <w:rPr>
          <w:rFonts w:ascii="Calibri" w:hAnsi="Calibri"/>
          <w:bCs/>
          <w:i/>
        </w:rPr>
        <w:t>,s: “t” toplayıcının “f” fatura döneminde “s” saatinde talep tarafı katılımı hizmeti için uygulanacak saatlik kapasite bedelini (TL/MW),</w:t>
      </w:r>
    </w:p>
    <w:p w14:paraId="57C5C437"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 xml:space="preserve">e) </w:t>
      </w:r>
      <w:proofErr w:type="gramStart"/>
      <w:r w:rsidRPr="00001A2A">
        <w:rPr>
          <w:rFonts w:ascii="Calibri" w:hAnsi="Calibri"/>
          <w:bCs/>
          <w:i/>
        </w:rPr>
        <w:t>TTKAYMt,f</w:t>
      </w:r>
      <w:proofErr w:type="gramEnd"/>
      <w:r w:rsidRPr="00001A2A">
        <w:rPr>
          <w:rFonts w:ascii="Calibri" w:hAnsi="Calibri"/>
          <w:bCs/>
          <w:i/>
        </w:rPr>
        <w:t>,s: “t” toplayıcının “f” fatura dönemine ait “s” saati için de yükünün düşülmesi suretiyle sağladığı talep tarafı katılımı miktarı (MWh),</w:t>
      </w:r>
    </w:p>
    <w:p w14:paraId="5905666B"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 xml:space="preserve">f) </w:t>
      </w:r>
      <w:proofErr w:type="gramStart"/>
      <w:r w:rsidRPr="00001A2A">
        <w:rPr>
          <w:rFonts w:ascii="Calibri" w:hAnsi="Calibri"/>
          <w:bCs/>
          <w:i/>
        </w:rPr>
        <w:t>TTKABt,f</w:t>
      </w:r>
      <w:proofErr w:type="gramEnd"/>
      <w:r w:rsidRPr="00001A2A">
        <w:rPr>
          <w:rFonts w:ascii="Calibri" w:hAnsi="Calibri"/>
          <w:bCs/>
          <w:i/>
        </w:rPr>
        <w:t>,s: “t” toplayıcının “f” fatura döneminde “s” saatinde talep tarafı katılımı hizmeti için uygulanacak saatlik aktivasyon bedelini (TL/MWh),</w:t>
      </w:r>
    </w:p>
    <w:p w14:paraId="3F36FB0D"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lastRenderedPageBreak/>
        <w:t xml:space="preserve">g) </w:t>
      </w:r>
      <w:proofErr w:type="gramStart"/>
      <w:r w:rsidRPr="00001A2A">
        <w:rPr>
          <w:rFonts w:ascii="Calibri" w:hAnsi="Calibri"/>
          <w:bCs/>
          <w:i/>
        </w:rPr>
        <w:t>TTKTMt,f</w:t>
      </w:r>
      <w:proofErr w:type="gramEnd"/>
      <w:r w:rsidRPr="00001A2A">
        <w:rPr>
          <w:rFonts w:ascii="Calibri" w:hAnsi="Calibri"/>
          <w:bCs/>
          <w:i/>
        </w:rPr>
        <w:t>,s: “t” toplayıcının “f” fatura döneminde “s” saatinde talep tarafı katılımı hizmeti kapsamında emreamadeliğin kontrolü için verilen talimat miktarı (MWh),</w:t>
      </w:r>
    </w:p>
    <w:p w14:paraId="3B49F5F1" w14:textId="77777777" w:rsidR="00001A2A" w:rsidRPr="00001A2A" w:rsidRDefault="00001A2A" w:rsidP="00001A2A">
      <w:pPr>
        <w:pStyle w:val="ListeParagraf"/>
        <w:spacing w:after="0"/>
        <w:ind w:left="1440"/>
        <w:rPr>
          <w:rFonts w:ascii="Calibri" w:hAnsi="Calibri"/>
          <w:bCs/>
          <w:i/>
        </w:rPr>
      </w:pPr>
      <w:proofErr w:type="gramStart"/>
      <w:r w:rsidRPr="00001A2A">
        <w:rPr>
          <w:rFonts w:ascii="Calibri" w:hAnsi="Calibri"/>
          <w:bCs/>
          <w:i/>
        </w:rPr>
        <w:t>ğ</w:t>
      </w:r>
      <w:proofErr w:type="gramEnd"/>
      <w:r w:rsidRPr="00001A2A">
        <w:rPr>
          <w:rFonts w:ascii="Calibri" w:hAnsi="Calibri"/>
          <w:bCs/>
          <w:i/>
        </w:rPr>
        <w:t>) AFLf,s: Elektrik Piyasası Dengeleme ve Uzlaştırma Yönetmeliği uygulamaları uyarınca “f” fatura döneminin “s” saatine ilişkin ilgili mevzuat uyarınca Kurul kararı ile belirlenen “Gün Öncesi Piyasasında ve Dengeleme Güç Piyasasında Asgari ve Azami Fiyat Limitlerinin Belirlenmesine İlişkin Usul ve Esaslar” uyarınca belirlenen azami fiyat limiti (TL/MWh),</w:t>
      </w:r>
    </w:p>
    <w:p w14:paraId="1F6CFEB0"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h) m: “d” döneminde yer alan saat sayısını,</w:t>
      </w:r>
    </w:p>
    <w:p w14:paraId="33735B23"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ı) h: Kritik gün ilan edilebilecek asgari günler için azami aktivasyon saat sayısı,</w:t>
      </w:r>
    </w:p>
    <w:p w14:paraId="6B7C2634"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i) n: Asgari kritik gün sayısına ulaştıktan sonra aktivasyon yapılacak kritik gün sayısı,</w:t>
      </w:r>
    </w:p>
    <w:p w14:paraId="14D28697"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j) KAS: Kritik ay sayısı,</w:t>
      </w:r>
    </w:p>
    <w:p w14:paraId="6B81FF55"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k) ATS: Kritik gündeki azami aktivasyon saat sayısı,</w:t>
      </w:r>
    </w:p>
    <w:p w14:paraId="752D4DB9"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l) k: Emre amadeliğin kontrolü için talimat verilmesi ve hizmetin sağlanması durumunda “1” diğer durumlarda “0” olan katsayıyı,</w:t>
      </w:r>
    </w:p>
    <w:p w14:paraId="660B9722" w14:textId="77777777" w:rsidR="00001A2A" w:rsidRPr="00001A2A" w:rsidRDefault="00001A2A" w:rsidP="00001A2A">
      <w:pPr>
        <w:pStyle w:val="ListeParagraf"/>
        <w:spacing w:after="0"/>
        <w:ind w:left="1440"/>
        <w:rPr>
          <w:rFonts w:ascii="Calibri" w:hAnsi="Calibri"/>
          <w:bCs/>
          <w:i/>
        </w:rPr>
      </w:pPr>
      <w:proofErr w:type="gramStart"/>
      <w:r w:rsidRPr="00001A2A">
        <w:rPr>
          <w:rFonts w:ascii="Calibri" w:hAnsi="Calibri"/>
          <w:bCs/>
          <w:i/>
        </w:rPr>
        <w:t>ifade</w:t>
      </w:r>
      <w:proofErr w:type="gramEnd"/>
      <w:r w:rsidRPr="00001A2A">
        <w:rPr>
          <w:rFonts w:ascii="Calibri" w:hAnsi="Calibri"/>
          <w:bCs/>
          <w:i/>
        </w:rPr>
        <w:t xml:space="preserve"> eder.</w:t>
      </w:r>
    </w:p>
    <w:p w14:paraId="65B1E6F7"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Talep tarafı katılımı hizmetinin izlenmesi ve kontrolü</w:t>
      </w:r>
    </w:p>
    <w:p w14:paraId="74F675FB"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MADDE 31/F- (1) Toplayıcılar, portföyünde yer alan her bir tüketim tesisinin tüketim değerlerini sayaç bazlı olarak ve portföyünde yer alan tüm tüketim tesislerinin toplam tüketim değerini anlık olarak izler ve elde ettiği verileri eş zamanlı olarak Talep Tarafı Katılımı Modülü üzerinden TEİAŞ’a iletir.</w:t>
      </w:r>
    </w:p>
    <w:p w14:paraId="2E191FBC"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(2) Aktivasyon tedarik süreci sonucunda seçilen toplayıcıların tüketim düşüm miktarlarının izlenmesi ve tüketim düşümlerinin toplayıcı tarafından sağlanıp sağlanamadığının tespiti amacıyla TEİAŞ aşağıdaki veri ve bilgileri dikkate alır:</w:t>
      </w:r>
    </w:p>
    <w:p w14:paraId="14E34B63"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a) Toplayıcıların portföyünde yer alan tüketim tesislerine ait sayaçlar vasıtasıyla elde edilen veri ve bilgiler.</w:t>
      </w:r>
    </w:p>
    <w:p w14:paraId="6ECFD181"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b) Toplayıcılar tarafından Talep Tarafı Katılımı Modülü aracılığıyla yapılan bildirimler.</w:t>
      </w:r>
    </w:p>
    <w:p w14:paraId="35A53913"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 xml:space="preserve">(3) Talep tarafı hizmeti kapsamında kapasite ihalesini kazanan toplayıcılar, TEİAŞ tarafından kritik ilan edilen aylarda, pazar ve </w:t>
      </w:r>
      <w:proofErr w:type="gramStart"/>
      <w:r w:rsidRPr="00001A2A">
        <w:rPr>
          <w:rFonts w:ascii="Calibri" w:hAnsi="Calibri"/>
          <w:bCs/>
          <w:i/>
        </w:rPr>
        <w:t>resmi</w:t>
      </w:r>
      <w:proofErr w:type="gramEnd"/>
      <w:r w:rsidRPr="00001A2A">
        <w:rPr>
          <w:rFonts w:ascii="Calibri" w:hAnsi="Calibri"/>
          <w:bCs/>
          <w:i/>
        </w:rPr>
        <w:t xml:space="preserve"> tatil günleri hariç olmak üzere, her gün için bir gün önce saat 15:30’a kadar toplayıcılık hizmeti anlaşması yaptıkları ve yan hizmet anlaşmasına kayıtlı tüketim tesislerine ait her bir sayaç için ertesi güne ait saatlik tüketim programlarını TEİAŞ’a bildirir. TEİAŞ yapılan bildirim çerçevesinde her bir toplayıcının temel tüketim değerini belirler ve temel tüketim değerinden sapma olması durumunda ilgili toplayıcıya temel tüketim değerinden sapma tutarı yansıtır. Temel tüketim değerinden sapma tutarının hesaplanmasına ilişkin metodoloji Kurul Kararı ile belirlenir.</w:t>
      </w:r>
    </w:p>
    <w:p w14:paraId="1E8B6772"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(4) Toplayıcının portföyünde yer alan tüketim tesislerine ait sayaçlardan elde edilen tüketim verilerinin olmadığı durumlarda, her bir eksik tüketim miktarı kadar yük düşme talimatının yerine getirilmediği kabul edilir.</w:t>
      </w:r>
    </w:p>
    <w:p w14:paraId="650C3636"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(5) Talep tarafı katılımı hizmetine katılan toplayıcıların aktivasyon tedarikinin izlenmesi saatlik bazda; toplayıcıların, kendilerine talimat verilen aktivasyon miktarı ile toplayıcılar tarafından gün öncesinde TEİAŞ’a bildirilen tüketim programından, toplayıcıların portföyünde yer alan tüketim tesislerine ait toplam tüketim verilerinin çıkarılması sonucunda elde edilen fark karşılaştırılarak fiilen düşülen yük miktarı belirlenir.</w:t>
      </w:r>
    </w:p>
    <w:p w14:paraId="20889F7E"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(6) Toplayıcının toplayıcılık hizmeti anlaşması yaptıkları tüketim tesislerinin, TEİAŞ tarafından talimat verilen her bir saat için sağladıkları toplam talep tarafı katılım miktarının, verilen talimat miktarına oranına göre izleme sonuçları;</w:t>
      </w:r>
    </w:p>
    <w:p w14:paraId="345B7180"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lastRenderedPageBreak/>
        <w:t>a) Talimat verilen aktivasyon miktarı ile düşülen yük miktarı arasındaki fark, talimat miktarının %10’una eşit veya daha küçük ise “sağladı”,</w:t>
      </w:r>
    </w:p>
    <w:p w14:paraId="331E1557"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b) Talimat verilen aktivasyon miktarı ile düşülen yük miktarı arasındaki fark, talimat miktarının %10’u ile %25 arasında ise “sağlamadı”,</w:t>
      </w:r>
    </w:p>
    <w:p w14:paraId="24257C48"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c) Talimat verilen aktivasyon miktarı ile düşülen yük miktarı arasındaki fark, talimat miktarının %25’ine eşit veya daha büyük ise “katılmadı”,</w:t>
      </w:r>
    </w:p>
    <w:p w14:paraId="4D1D892F" w14:textId="77777777" w:rsidR="00001A2A" w:rsidRPr="00001A2A" w:rsidRDefault="00001A2A" w:rsidP="00001A2A">
      <w:pPr>
        <w:pStyle w:val="ListeParagraf"/>
        <w:spacing w:after="0"/>
        <w:ind w:left="1440"/>
        <w:rPr>
          <w:rFonts w:ascii="Calibri" w:hAnsi="Calibri"/>
          <w:bCs/>
          <w:i/>
        </w:rPr>
      </w:pPr>
      <w:proofErr w:type="gramStart"/>
      <w:r w:rsidRPr="00001A2A">
        <w:rPr>
          <w:rFonts w:ascii="Calibri" w:hAnsi="Calibri"/>
          <w:bCs/>
          <w:i/>
        </w:rPr>
        <w:t>olarak</w:t>
      </w:r>
      <w:proofErr w:type="gramEnd"/>
      <w:r w:rsidRPr="00001A2A">
        <w:rPr>
          <w:rFonts w:ascii="Calibri" w:hAnsi="Calibri"/>
          <w:bCs/>
          <w:i/>
        </w:rPr>
        <w:t xml:space="preserve"> değerlendirilir.</w:t>
      </w:r>
    </w:p>
    <w:p w14:paraId="01249E4E"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(7) TEİAŞ tarafından kritik gün ilan edilen günlerde toplayıcılar tarafından yapılan KGÜP değişiklikleri bu hizmet kapsamında dikkate alınmaz.</w:t>
      </w:r>
    </w:p>
    <w:p w14:paraId="74D9BBB9"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Talep tarafı katılımı hizmetine ilişkin yerine getirmeme bedelleri</w:t>
      </w:r>
    </w:p>
    <w:p w14:paraId="60039A8C"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MADDE 31/G- (1) 31/B maddesi kapsamında üstlendiği yükümlülük kapsamında herhangi bir sebeple 31/E maddesi kapsamında yapılan izleme sonucunda talep tarafı katılımı hizmetini “sağlamadı” olarak tespit edildiği durumda, 31/B maddesi kapsamında yükümlülük üstlenmiş olan ilgili toplayıcıya ihlalin söz konusu olduğu fatura dönemi için kapasite bedeli ödenir ancak aktivasyon bedeli ödemesi yapılmaz.</w:t>
      </w:r>
    </w:p>
    <w:p w14:paraId="054CD949"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(2) 31/B maddesi kapsamında üstlendiği yükümlülük kapsamında herhangi bir sebeple 31/E maddesi kapsamında yapılan izleme sonucunda talep tarafı katılımı hizmetine “katılmadı” olarak tespit edildiği durumda, 31/B maddesi kapsamında yükümlülük üstlenmiş olan ilgili toplayıcıya ihlalin söz konusu olduğu fatura dönemi için aktivasyon bedeli ve fatura dönemi için de kapasite bedeli ödemesi yapılmaz.</w:t>
      </w:r>
    </w:p>
    <w:p w14:paraId="703872A0"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(3) İkinci fıkra kapsamında “katılmadı” olarak değerlendirilen fatura dönemleri için toplayıcıya aşağıdaki formül ile hesaplanan yerine getirmeme bedelleri uygulanır.</w:t>
      </w:r>
    </w:p>
    <w:p w14:paraId="40924B4D"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 xml:space="preserve"> </w:t>
      </w:r>
      <w:r w:rsidR="00A81A50" w:rsidRPr="00071236">
        <w:rPr>
          <w:rFonts w:ascii="Times New Roman" w:eastAsia="Times New Roman" w:hAnsi="Times New Roman"/>
          <w:noProof/>
          <w:sz w:val="18"/>
          <w:szCs w:val="18"/>
          <w:lang w:eastAsia="tr-TR"/>
        </w:rPr>
        <w:drawing>
          <wp:inline distT="0" distB="0" distL="0" distR="0" wp14:anchorId="52A324C8" wp14:editId="57C6FA0D">
            <wp:extent cx="4429125" cy="447675"/>
            <wp:effectExtent l="0" t="0" r="9525" b="9525"/>
            <wp:docPr id="23" name="Resim 23" descr="https://www.resmigazete.gov.tr/eskiler/2024/12/20241217-24_dosyalar/image0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www.resmigazete.gov.tr/eskiler/2024/12/20241217-24_dosyalar/image006.gif"/>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429125" cy="447675"/>
                    </a:xfrm>
                    <a:prstGeom prst="rect">
                      <a:avLst/>
                    </a:prstGeom>
                    <a:noFill/>
                    <a:ln>
                      <a:noFill/>
                    </a:ln>
                  </pic:spPr>
                </pic:pic>
              </a:graphicData>
            </a:graphic>
          </wp:inline>
        </w:drawing>
      </w:r>
    </w:p>
    <w:p w14:paraId="475FA775"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(4) Üçüncü fıkradaki formülde geçen;</w:t>
      </w:r>
    </w:p>
    <w:p w14:paraId="3BA80F37"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 xml:space="preserve">a) </w:t>
      </w:r>
      <w:proofErr w:type="gramStart"/>
      <w:r w:rsidRPr="00001A2A">
        <w:rPr>
          <w:rFonts w:ascii="Calibri" w:hAnsi="Calibri"/>
          <w:bCs/>
          <w:i/>
        </w:rPr>
        <w:t>TTKYGBt,f</w:t>
      </w:r>
      <w:proofErr w:type="gramEnd"/>
      <w:r w:rsidRPr="00001A2A">
        <w:rPr>
          <w:rFonts w:ascii="Calibri" w:hAnsi="Calibri"/>
          <w:bCs/>
          <w:i/>
        </w:rPr>
        <w:t>: “t” toplayıcının “f” fatura dönemine ait talep tarafı katılımını yerine getirmeme bedelini (TL),</w:t>
      </w:r>
    </w:p>
    <w:p w14:paraId="395C9768"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 xml:space="preserve">b) </w:t>
      </w:r>
      <w:proofErr w:type="gramStart"/>
      <w:r w:rsidRPr="00001A2A">
        <w:rPr>
          <w:rFonts w:ascii="Calibri" w:hAnsi="Calibri"/>
          <w:bCs/>
          <w:i/>
        </w:rPr>
        <w:t>TTKARMt,f</w:t>
      </w:r>
      <w:proofErr w:type="gramEnd"/>
      <w:r w:rsidRPr="00001A2A">
        <w:rPr>
          <w:rFonts w:ascii="Calibri" w:hAnsi="Calibri"/>
          <w:bCs/>
          <w:i/>
        </w:rPr>
        <w:t>,s: “t” toplayıcıdan “f” fatura dönemine ait “s” saatinde talep tarafı katılımı hizmeti için aktive edilmek üzere tedarik edilen rezerv miktarını (MW),</w:t>
      </w:r>
    </w:p>
    <w:p w14:paraId="3029563C"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 xml:space="preserve">c) </w:t>
      </w:r>
      <w:proofErr w:type="gramStart"/>
      <w:r w:rsidRPr="00001A2A">
        <w:rPr>
          <w:rFonts w:ascii="Calibri" w:hAnsi="Calibri"/>
          <w:bCs/>
          <w:i/>
        </w:rPr>
        <w:t>TTKABt,f</w:t>
      </w:r>
      <w:proofErr w:type="gramEnd"/>
      <w:r w:rsidRPr="00001A2A">
        <w:rPr>
          <w:rFonts w:ascii="Calibri" w:hAnsi="Calibri"/>
          <w:bCs/>
          <w:i/>
        </w:rPr>
        <w:t>,s: “t” toplayıcısı için “f” fatura döneminin “s” saatinde talep tarafı katılımı hizmeti için uygulanacak saatlik aktivasyon bedelini (TL/MW),</w:t>
      </w:r>
    </w:p>
    <w:p w14:paraId="3CDE1363" w14:textId="77777777" w:rsidR="00001A2A" w:rsidRPr="00001A2A" w:rsidRDefault="00001A2A" w:rsidP="00001A2A">
      <w:pPr>
        <w:pStyle w:val="ListeParagraf"/>
        <w:spacing w:after="0"/>
        <w:ind w:left="1440"/>
        <w:rPr>
          <w:rFonts w:ascii="Calibri" w:hAnsi="Calibri"/>
          <w:bCs/>
          <w:i/>
        </w:rPr>
      </w:pPr>
      <w:proofErr w:type="gramStart"/>
      <w:r w:rsidRPr="00001A2A">
        <w:rPr>
          <w:rFonts w:ascii="Calibri" w:hAnsi="Calibri"/>
          <w:bCs/>
          <w:i/>
        </w:rPr>
        <w:t>ç</w:t>
      </w:r>
      <w:proofErr w:type="gramEnd"/>
      <w:r w:rsidRPr="00001A2A">
        <w:rPr>
          <w:rFonts w:ascii="Calibri" w:hAnsi="Calibri"/>
          <w:bCs/>
          <w:i/>
        </w:rPr>
        <w:t>) m: “f” fatura dönemindeki kritik günlerde verilen aktivasyon talimatının saat sayısını,</w:t>
      </w:r>
    </w:p>
    <w:p w14:paraId="2E9AA3C5"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 xml:space="preserve">d) </w:t>
      </w:r>
      <w:proofErr w:type="gramStart"/>
      <w:r w:rsidRPr="00001A2A">
        <w:rPr>
          <w:rFonts w:ascii="Calibri" w:hAnsi="Calibri"/>
          <w:bCs/>
          <w:i/>
        </w:rPr>
        <w:t>pt,f,:</w:t>
      </w:r>
      <w:proofErr w:type="gramEnd"/>
      <w:r w:rsidRPr="00001A2A">
        <w:rPr>
          <w:rFonts w:ascii="Calibri" w:hAnsi="Calibri"/>
          <w:bCs/>
          <w:i/>
        </w:rPr>
        <w:t xml:space="preserve"> “t” toplayıcısı için “f” fatura döneminde talep tarafı katılımı hizmetine katılımın “katılmadı” olarak değerlendirildiği uzlaştırma dönemleri için “1”, diğer durumlarda “0” değerini alan katsayıyı,</w:t>
      </w:r>
    </w:p>
    <w:p w14:paraId="7D897822"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e) k: ceza katsayısını,</w:t>
      </w:r>
    </w:p>
    <w:p w14:paraId="1DD299B4"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f) n: “t” toplayıcısına, “f” fatura döneminde verilen aktivasyon talimat sayısı,</w:t>
      </w:r>
    </w:p>
    <w:p w14:paraId="335F50DA" w14:textId="77777777" w:rsidR="00001A2A" w:rsidRPr="00001A2A" w:rsidRDefault="00001A2A" w:rsidP="00001A2A">
      <w:pPr>
        <w:pStyle w:val="ListeParagraf"/>
        <w:spacing w:after="0"/>
        <w:ind w:left="1440"/>
        <w:rPr>
          <w:rFonts w:ascii="Calibri" w:hAnsi="Calibri"/>
          <w:bCs/>
          <w:i/>
        </w:rPr>
      </w:pPr>
      <w:proofErr w:type="gramStart"/>
      <w:r w:rsidRPr="00001A2A">
        <w:rPr>
          <w:rFonts w:ascii="Calibri" w:hAnsi="Calibri"/>
          <w:bCs/>
          <w:i/>
        </w:rPr>
        <w:t>ifade</w:t>
      </w:r>
      <w:proofErr w:type="gramEnd"/>
      <w:r w:rsidRPr="00001A2A">
        <w:rPr>
          <w:rFonts w:ascii="Calibri" w:hAnsi="Calibri"/>
          <w:bCs/>
          <w:i/>
        </w:rPr>
        <w:t xml:space="preserve"> eder.</w:t>
      </w:r>
    </w:p>
    <w:p w14:paraId="6AAD9974"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(5) Üçüncü fıkra kapsamında uygulanacak k ceza katsayısı, Aynı fatura dönemi içerisinde her biri farklı talimatlar kapsamında olmak üzere; birinci ve ikinci ihlalde 1, üçüncü ihlalde 2 ve dördüncü ve üzeri sayıdaki ihlallerde 3 olarak uygulanır. Dördüncü ihlalde toplayıcı mevcut tedarik sürecinden çıkartılır.</w:t>
      </w:r>
    </w:p>
    <w:p w14:paraId="20E4E450"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 xml:space="preserve">(6) Üçüncü fıkra kapsamında hesaplanacak yerine getirmeme bedellerinde aktivasyon bedelinin 0 TL/MWh olarak oluştuğu durumda yerine getirmeme bedeli “Gün Öncesi Piyasasında ve </w:t>
      </w:r>
      <w:r w:rsidRPr="00001A2A">
        <w:rPr>
          <w:rFonts w:ascii="Calibri" w:hAnsi="Calibri"/>
          <w:bCs/>
          <w:i/>
        </w:rPr>
        <w:lastRenderedPageBreak/>
        <w:t>Dengeleme Güç Piyasasında Asgari ve Azami Fiyat Limitlerinin Belirlenmesine İlişkin Usul ve Esaslar” uyarınca belirlenen azami fiyat limiti (TL/MWh) üzerinden hesaplanır.</w:t>
      </w:r>
    </w:p>
    <w:p w14:paraId="08179D7E"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Talep tarafı katılımı hizmetine ilişkin yan hizmet anlaşmaları</w:t>
      </w:r>
    </w:p>
    <w:p w14:paraId="0D01A8BE"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MADDE 31/</w:t>
      </w:r>
      <w:proofErr w:type="gramStart"/>
      <w:r w:rsidRPr="00001A2A">
        <w:rPr>
          <w:rFonts w:ascii="Calibri" w:hAnsi="Calibri"/>
          <w:bCs/>
          <w:i/>
        </w:rPr>
        <w:t>Ğ -</w:t>
      </w:r>
      <w:proofErr w:type="gramEnd"/>
      <w:r w:rsidRPr="00001A2A">
        <w:rPr>
          <w:rFonts w:ascii="Calibri" w:hAnsi="Calibri"/>
          <w:bCs/>
          <w:i/>
        </w:rPr>
        <w:t xml:space="preserve"> (1) Talep tarafı katılımı hizmetini sağlamak üzere tedarik sürecine katılmak isteyen toplayıcı ile TEİAŞ arasında, genel hükümleri Kurul tarafından onaylanan talep tarafı katılımı hizmeti sağlanmasına dair yan hizmet anlaşması imzalanır.</w:t>
      </w:r>
    </w:p>
    <w:p w14:paraId="13B33CD2"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(2) TEİAŞ ile yan hizmet anlaşması imzalayacak olan toplayıcılar, anlaşmanın imzalanabilmesi için gerekli şartların sağlandığının tespit edilmesi amacıyla TEİAŞ’a başvurur. Başvuru için talep edilen bilgi ve belgeler ile gerekli şartlar TEİAŞ tarafından hazırlanarak internet sitesinde yayımlanır.</w:t>
      </w:r>
    </w:p>
    <w:p w14:paraId="5E30F5D1"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(3) TEİAŞ ikinci fıkra kapsamındaki başvuruları, başvuru tarihinden itibaren bir ay içerisinde sonuçlandırarak sonucu başvuru sahibine bildirir.</w:t>
      </w:r>
    </w:p>
    <w:p w14:paraId="17532F3E"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(4) Başvurusu kabul edilen toplayıcı ile TEİAŞ arasında Talep Tarafı Katılımı Hizmeti Sağlanmasına Dair Yan Hizmet Anlaşması imzalanır.</w:t>
      </w:r>
    </w:p>
    <w:p w14:paraId="6D48089B"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(5) Talep Tarafı Katılımı Hizmeti Sağlanmasına Dair Yan Hizmet Anlaşması aşağıdaki bilgi ve belgeleri içerir:</w:t>
      </w:r>
    </w:p>
    <w:p w14:paraId="7F7F0D27"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a) Anlaşmanın kapsadığı süre.</w:t>
      </w:r>
    </w:p>
    <w:p w14:paraId="48289245"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b) Toplayıcının anlaşma yapmış olduğu tüketim tesislerine ilişkin sayaç bilgileri, tüzel kişilik bilgileri, anlaşma güçleri ve varsa geçmiş on iki aya ilişkin tüketim değerleri.</w:t>
      </w:r>
    </w:p>
    <w:p w14:paraId="578039B5"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c) Kapasite tedariki sonucunda teklifi kabul edilmiş olan toplayıcının yükümlendiği kapasite.</w:t>
      </w:r>
    </w:p>
    <w:p w14:paraId="6D32AA05" w14:textId="77777777" w:rsidR="00001A2A" w:rsidRPr="00001A2A" w:rsidRDefault="00001A2A" w:rsidP="00001A2A">
      <w:pPr>
        <w:pStyle w:val="ListeParagraf"/>
        <w:spacing w:after="0"/>
        <w:ind w:left="1440"/>
        <w:rPr>
          <w:rFonts w:ascii="Calibri" w:hAnsi="Calibri"/>
          <w:bCs/>
          <w:i/>
        </w:rPr>
      </w:pPr>
      <w:proofErr w:type="gramStart"/>
      <w:r w:rsidRPr="00001A2A">
        <w:rPr>
          <w:rFonts w:ascii="Calibri" w:hAnsi="Calibri"/>
          <w:bCs/>
          <w:i/>
        </w:rPr>
        <w:t>ç</w:t>
      </w:r>
      <w:proofErr w:type="gramEnd"/>
      <w:r w:rsidRPr="00001A2A">
        <w:rPr>
          <w:rFonts w:ascii="Calibri" w:hAnsi="Calibri"/>
          <w:bCs/>
          <w:i/>
        </w:rPr>
        <w:t>) Toplayıcılık lisans belgesinin veya tedarik lisansının tadil edildiğine ilişkin belgenin aslı, noter onaylı sureti veya lisans suretinin aslı.</w:t>
      </w:r>
    </w:p>
    <w:p w14:paraId="4BB176C7"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d) Anlaşmanın feshi veya sonlandırılmasına ilişkin hükümler.</w:t>
      </w:r>
    </w:p>
    <w:p w14:paraId="72269EF6"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e) TEİAŞ’ın anlaşmada yer almasını uygun gördüğü ve ilgili mevzuat ile tedarik süreci duyurusunda yer alan hususlarla çelişmeyen nitelikteki diğer hususlar.</w:t>
      </w:r>
    </w:p>
    <w:p w14:paraId="4EAD2812"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(6) Toplayıcı, yan hizmet anlaşmasına kayıtlı tüketim tesislerine ilişkin bilgileri, hizmeti sağlamaya hak kazandığı bir tedarik döneminde yer alan kritik aylarda değiştiremez, kaydedilen tüketim tesislerine ekleme veya çıkarma yapamaz. Ancak, anlaşmaya kaydedilen bir tüketim tesisine ilişkin sayaç bilgilerinin sehven yanlış kaydedilmiş olması veya tüketim tesisine ilişkin sayaçların sehven eksik kaydedilmiş olması veya tüketim tesislerinin kapasite artışına bağlı olarak kayıtlı tüketim tesislerine sayaç ilave edilmesi durumlarında, kritik aylarda anlaşmada kayıtlı tüketim tesislerine ilişkin bilgiler değiştirilebilir.</w:t>
      </w:r>
    </w:p>
    <w:p w14:paraId="63E7192C" w14:textId="77777777" w:rsidR="00001A2A" w:rsidRPr="00001A2A" w:rsidRDefault="00001A2A" w:rsidP="00001A2A">
      <w:pPr>
        <w:pStyle w:val="ListeParagraf"/>
        <w:spacing w:after="0"/>
        <w:ind w:left="1440"/>
        <w:rPr>
          <w:rFonts w:ascii="Calibri" w:hAnsi="Calibri"/>
          <w:bCs/>
          <w:i/>
        </w:rPr>
      </w:pPr>
      <w:r w:rsidRPr="00001A2A">
        <w:rPr>
          <w:rFonts w:ascii="Calibri" w:hAnsi="Calibri"/>
          <w:bCs/>
          <w:i/>
        </w:rPr>
        <w:t>(7) Toplayıcı, yan hizmet anlaşmasına kayıtlı tüketim tesislerine ilişkin bilgileri, hizmeti sağlamaya hak kazandığı bir tedarik döneminde yer alan kritik aylarda değiştiremez, kaydedilen tüketim tesislerine ekleme veya çıkarma yapamaz. Ancak, bir tüketim tesisinin toplayıcı ile olan anlaşmasının herhangi bir sebebe bağlı olarak sona ermesi veya feshedilmesi durumunda, toplayıcı bu durumu en geç bir hafta içerisinde TEİAŞ’a bildirir. TEİAŞ toplayıcı ile anlaşması sona eren veya feshedilen tüketiciyi anlaşmadan çıkarır. Toplayıcının anlaşmasında kayıtlı kapasitenin, kapasite tedarikinde kazanılan toplam kapasitenin altına düşmesi durumunda, toplayıcı ilgili kritik ay veya aylar için kapasite bedeli alamaz ve aktivasyon tedarikine katılamaz.</w:t>
      </w:r>
    </w:p>
    <w:p w14:paraId="33BD96A2" w14:textId="77777777" w:rsidR="00001A2A" w:rsidRDefault="00001A2A" w:rsidP="00001A2A">
      <w:pPr>
        <w:pStyle w:val="ListeParagraf"/>
        <w:spacing w:after="0"/>
        <w:ind w:left="1440"/>
        <w:rPr>
          <w:rFonts w:ascii="Calibri" w:hAnsi="Calibri"/>
          <w:bCs/>
          <w:i/>
        </w:rPr>
      </w:pPr>
      <w:r w:rsidRPr="00001A2A">
        <w:rPr>
          <w:rFonts w:ascii="Calibri" w:hAnsi="Calibri"/>
          <w:bCs/>
          <w:i/>
        </w:rPr>
        <w:t>(8) Toplayıcının anlaşmasında kayıtlı tüketim tesisine sayaç ilave edilmesi durumunda kritik aylarda anlaşmada kayıtlı tüketim tesislerine ilişkin bilgiler değiştirilir.”</w:t>
      </w:r>
    </w:p>
    <w:p w14:paraId="0B48A30A" w14:textId="77777777" w:rsidR="00001A2A" w:rsidRDefault="00001A2A" w:rsidP="00001A2A">
      <w:pPr>
        <w:pStyle w:val="ListeParagraf"/>
        <w:spacing w:after="0"/>
        <w:ind w:left="1440"/>
        <w:rPr>
          <w:rFonts w:ascii="Calibri" w:hAnsi="Calibri"/>
          <w:i/>
        </w:rPr>
      </w:pPr>
    </w:p>
    <w:p w14:paraId="7CA37678" w14:textId="77777777" w:rsidR="00001A2A" w:rsidRPr="002048A7" w:rsidRDefault="00A81A50" w:rsidP="0025080A">
      <w:pPr>
        <w:pStyle w:val="ListeParagraf"/>
        <w:numPr>
          <w:ilvl w:val="0"/>
          <w:numId w:val="21"/>
        </w:numPr>
        <w:spacing w:after="0"/>
        <w:rPr>
          <w:rFonts w:ascii="Calibri" w:hAnsi="Calibri"/>
          <w:bCs/>
        </w:rPr>
      </w:pPr>
      <w:proofErr w:type="gramStart"/>
      <w:r w:rsidRPr="00A81A50">
        <w:rPr>
          <w:rFonts w:ascii="Calibri" w:hAnsi="Calibri"/>
          <w:bCs/>
        </w:rPr>
        <w:t>63 üncü</w:t>
      </w:r>
      <w:proofErr w:type="gramEnd"/>
      <w:r w:rsidRPr="00A81A50">
        <w:rPr>
          <w:rFonts w:ascii="Calibri" w:hAnsi="Calibri"/>
          <w:bCs/>
        </w:rPr>
        <w:t xml:space="preserve"> maddesi aşağıdaki şekilde değiştirilmiştir.</w:t>
      </w:r>
    </w:p>
    <w:p w14:paraId="2604D082" w14:textId="77777777" w:rsidR="00001A2A" w:rsidRPr="002048A7" w:rsidRDefault="00001A2A" w:rsidP="00001A2A">
      <w:pPr>
        <w:pStyle w:val="ListeParagraf"/>
        <w:spacing w:after="0"/>
        <w:ind w:left="1440"/>
        <w:rPr>
          <w:rFonts w:ascii="Calibri" w:hAnsi="Calibri"/>
          <w:bCs/>
        </w:rPr>
      </w:pPr>
    </w:p>
    <w:p w14:paraId="21BFC8E5" w14:textId="77777777" w:rsidR="00A81A50" w:rsidRPr="00A81A50" w:rsidRDefault="00A81A50" w:rsidP="00A81A50">
      <w:pPr>
        <w:pStyle w:val="ListeParagraf"/>
        <w:spacing w:after="0"/>
        <w:ind w:left="1440"/>
        <w:rPr>
          <w:rFonts w:ascii="Calibri" w:hAnsi="Calibri"/>
          <w:bCs/>
          <w:i/>
        </w:rPr>
      </w:pPr>
      <w:r w:rsidRPr="00A81A50">
        <w:rPr>
          <w:rFonts w:ascii="Calibri" w:hAnsi="Calibri"/>
          <w:bCs/>
          <w:i/>
        </w:rPr>
        <w:lastRenderedPageBreak/>
        <w:t xml:space="preserve">“MADDE 63- (1) Bir önceki fatura döneminde sağlanan yan hizmetlere ilişkin 60 ıncı maddede belirtilen süre içinde tespit edilemeyen hatalara ilişkin itirazlar Elektrik Piyasası Dengeleme ve Uzlaştırma Yönetmeliğinin </w:t>
      </w:r>
      <w:proofErr w:type="gramStart"/>
      <w:r w:rsidRPr="00A81A50">
        <w:rPr>
          <w:rFonts w:ascii="Calibri" w:hAnsi="Calibri"/>
          <w:bCs/>
          <w:i/>
        </w:rPr>
        <w:t>133 üncü</w:t>
      </w:r>
      <w:proofErr w:type="gramEnd"/>
      <w:r w:rsidRPr="00A81A50">
        <w:rPr>
          <w:rFonts w:ascii="Calibri" w:hAnsi="Calibri"/>
          <w:bCs/>
          <w:i/>
        </w:rPr>
        <w:t xml:space="preserve"> maddesinde belirtilen süreler dahilinde yazılı olarak yapılır. Yan hizmet sağlayan tüzel kişiler tarafından yapılan ödeme bildirimlerine ilişkin itirazların içeriğine uygun olarak EPİAŞ veya TEİAŞ tarafından değerlendirilmesi sonucunda haklı bulunması durumunda gerekli düzeltmeler EPİAŞ tarafından gerçekleştirilir. İtirazın sonuçlandırılmasını takiben EPİAŞ tarafından ilgili yan hizmet faaliyetini gösteren tüzel kişiye sistem üzerinden bildirim yapılır. Yapılan düzeltme sonucunda, tüzel kişi ya da kişilere yapılması gereken veya tüzel kişi ya da kişilerin yapması gereken ödeme, düzeltmeye ilişkin bildirimin yapıldığı tarihten sonraki ödeme bildiriminde, geçmişe dönük düzeltme kalemi olarak yer alır.</w:t>
      </w:r>
    </w:p>
    <w:p w14:paraId="558ABF79" w14:textId="77777777" w:rsidR="00A81A50" w:rsidRPr="00A81A50" w:rsidRDefault="00A81A50" w:rsidP="00A81A50">
      <w:pPr>
        <w:pStyle w:val="ListeParagraf"/>
        <w:spacing w:after="0"/>
        <w:ind w:left="1440"/>
        <w:rPr>
          <w:rFonts w:ascii="Calibri" w:hAnsi="Calibri"/>
          <w:bCs/>
          <w:i/>
        </w:rPr>
      </w:pPr>
      <w:r w:rsidRPr="00A81A50">
        <w:rPr>
          <w:rFonts w:ascii="Calibri" w:hAnsi="Calibri"/>
          <w:bCs/>
          <w:i/>
        </w:rPr>
        <w:t>(2) Reaktif güç desteği sağlayan tüzel kişilere yansıtılan yerine getirmeme bedellerine ilişkin itirazlar Elektrik Piyasası Dengeleme ve Uzlaştırma Yönetmeliğinde belirtilen süreler dahilinde TEİAŞ’a yazılı olarak yapılır. Yan hizmet sağlayan tüzel kişiler tarafından yapılan itirazların içeriğine uygun olarak TEİAŞ tarafından değerlendirilmesi sonucunda haklı bulunması durumunda gerekli düzeltmeler TEİAŞ tarafından gerçekleştirilir.</w:t>
      </w:r>
    </w:p>
    <w:p w14:paraId="46E06D55" w14:textId="77777777" w:rsidR="00001A2A" w:rsidRDefault="00A81A50" w:rsidP="00A81A50">
      <w:pPr>
        <w:pStyle w:val="ListeParagraf"/>
        <w:spacing w:after="0"/>
        <w:ind w:left="1440"/>
        <w:rPr>
          <w:rFonts w:ascii="Calibri" w:hAnsi="Calibri"/>
          <w:bCs/>
          <w:i/>
        </w:rPr>
      </w:pPr>
      <w:r w:rsidRPr="00A81A50">
        <w:rPr>
          <w:rFonts w:ascii="Calibri" w:hAnsi="Calibri"/>
          <w:bCs/>
          <w:i/>
        </w:rPr>
        <w:t>(3) 63/A maddesi kapsamında yapılacak düzeltmeler süre sınırına tabi olmaksızın yapılır.”</w:t>
      </w:r>
    </w:p>
    <w:p w14:paraId="2ACF30B2" w14:textId="77777777" w:rsidR="00A81A50" w:rsidRDefault="00A81A50" w:rsidP="00A81A50">
      <w:pPr>
        <w:pStyle w:val="ListeParagraf"/>
        <w:spacing w:after="0"/>
        <w:ind w:left="1440"/>
        <w:rPr>
          <w:rFonts w:ascii="Calibri" w:hAnsi="Calibri"/>
          <w:i/>
        </w:rPr>
      </w:pPr>
    </w:p>
    <w:p w14:paraId="698BD5D5" w14:textId="77777777" w:rsidR="00A81A50" w:rsidRPr="002048A7" w:rsidRDefault="00A81A50" w:rsidP="0025080A">
      <w:pPr>
        <w:pStyle w:val="ListeParagraf"/>
        <w:numPr>
          <w:ilvl w:val="0"/>
          <w:numId w:val="21"/>
        </w:numPr>
        <w:spacing w:after="0"/>
        <w:rPr>
          <w:rFonts w:ascii="Calibri" w:hAnsi="Calibri"/>
          <w:bCs/>
        </w:rPr>
      </w:pPr>
      <w:r w:rsidRPr="00A81A50">
        <w:rPr>
          <w:rFonts w:ascii="Calibri" w:hAnsi="Calibri"/>
          <w:bCs/>
        </w:rPr>
        <w:t>Aynı Yönetmeliğe aşağıdaki geçici maddeler eklenmiştir.</w:t>
      </w:r>
    </w:p>
    <w:p w14:paraId="34973CEC" w14:textId="77777777" w:rsidR="00A81A50" w:rsidRPr="002048A7" w:rsidRDefault="00A81A50" w:rsidP="00A81A50">
      <w:pPr>
        <w:pStyle w:val="ListeParagraf"/>
        <w:spacing w:after="0"/>
        <w:ind w:left="1440"/>
        <w:rPr>
          <w:rFonts w:ascii="Calibri" w:hAnsi="Calibri"/>
          <w:bCs/>
        </w:rPr>
      </w:pPr>
    </w:p>
    <w:p w14:paraId="2908FCD5" w14:textId="77777777" w:rsidR="00A81A50" w:rsidRPr="00A81A50" w:rsidRDefault="00A81A50" w:rsidP="00A81A50">
      <w:pPr>
        <w:pStyle w:val="ListeParagraf"/>
        <w:spacing w:after="0"/>
        <w:ind w:left="1440"/>
        <w:rPr>
          <w:rFonts w:ascii="Calibri" w:hAnsi="Calibri"/>
          <w:bCs/>
          <w:i/>
        </w:rPr>
      </w:pPr>
      <w:r w:rsidRPr="00A81A50">
        <w:rPr>
          <w:rFonts w:ascii="Calibri" w:hAnsi="Calibri"/>
          <w:bCs/>
          <w:i/>
        </w:rPr>
        <w:t>“Talep tarafı katılımı hizmetine ilişkin maddelerin yürürlüğe girme tarihi ve ilk ihale duyurusu</w:t>
      </w:r>
    </w:p>
    <w:p w14:paraId="58D83BB6" w14:textId="77777777" w:rsidR="00A81A50" w:rsidRPr="00A81A50" w:rsidRDefault="00A81A50" w:rsidP="00A81A50">
      <w:pPr>
        <w:pStyle w:val="ListeParagraf"/>
        <w:spacing w:after="0"/>
        <w:ind w:left="1440"/>
        <w:rPr>
          <w:rFonts w:ascii="Calibri" w:hAnsi="Calibri"/>
          <w:bCs/>
          <w:i/>
        </w:rPr>
      </w:pPr>
      <w:r w:rsidRPr="00A81A50">
        <w:rPr>
          <w:rFonts w:ascii="Calibri" w:hAnsi="Calibri"/>
          <w:bCs/>
          <w:i/>
        </w:rPr>
        <w:t xml:space="preserve">GEÇİCİ MADDE </w:t>
      </w:r>
      <w:proofErr w:type="gramStart"/>
      <w:r w:rsidRPr="00A81A50">
        <w:rPr>
          <w:rFonts w:ascii="Calibri" w:hAnsi="Calibri"/>
          <w:bCs/>
          <w:i/>
        </w:rPr>
        <w:t>7 -</w:t>
      </w:r>
      <w:proofErr w:type="gramEnd"/>
      <w:r w:rsidRPr="00A81A50">
        <w:rPr>
          <w:rFonts w:ascii="Calibri" w:hAnsi="Calibri"/>
          <w:bCs/>
          <w:i/>
        </w:rPr>
        <w:t xml:space="preserve"> TEİAŞ, talep tarafı katılımı hizmeti alımı için ilk ihale duyurusunu en geç 1/3/2025 tarihine kadar yapar.</w:t>
      </w:r>
    </w:p>
    <w:p w14:paraId="7A77A821" w14:textId="77777777" w:rsidR="00A81A50" w:rsidRPr="00A81A50" w:rsidRDefault="00A81A50" w:rsidP="00A81A50">
      <w:pPr>
        <w:pStyle w:val="ListeParagraf"/>
        <w:spacing w:after="0"/>
        <w:ind w:left="1440"/>
        <w:rPr>
          <w:rFonts w:ascii="Calibri" w:hAnsi="Calibri"/>
          <w:bCs/>
          <w:i/>
        </w:rPr>
      </w:pPr>
      <w:r w:rsidRPr="00A81A50">
        <w:rPr>
          <w:rFonts w:ascii="Calibri" w:hAnsi="Calibri"/>
          <w:bCs/>
          <w:i/>
        </w:rPr>
        <w:t>Talep tarafı katılımı hizmetine katılım için aranacak asgari tüketim miktarı</w:t>
      </w:r>
    </w:p>
    <w:p w14:paraId="5B79F339" w14:textId="77777777" w:rsidR="00A81A50" w:rsidRPr="00A81A50" w:rsidRDefault="00A81A50" w:rsidP="00A81A50">
      <w:pPr>
        <w:pStyle w:val="ListeParagraf"/>
        <w:spacing w:after="0"/>
        <w:ind w:left="1440"/>
        <w:rPr>
          <w:rFonts w:ascii="Calibri" w:hAnsi="Calibri"/>
          <w:bCs/>
          <w:i/>
        </w:rPr>
      </w:pPr>
      <w:r w:rsidRPr="00A81A50">
        <w:rPr>
          <w:rFonts w:ascii="Calibri" w:hAnsi="Calibri"/>
          <w:bCs/>
          <w:i/>
        </w:rPr>
        <w:t>GEÇİCİ MADDE 8- (1) Bu Yönetmeliğin 31/B maddesinin yedinci fıkrasında belirtilen 5.000 (beşbin) MWh tüketim değeri, 2025 yılı için 10.000 (onbin) MWh olarak uygulanır.</w:t>
      </w:r>
    </w:p>
    <w:p w14:paraId="7074A7A6" w14:textId="77777777" w:rsidR="00A81A50" w:rsidRPr="00A81A50" w:rsidRDefault="00A81A50" w:rsidP="00A81A50">
      <w:pPr>
        <w:pStyle w:val="ListeParagraf"/>
        <w:spacing w:after="0"/>
        <w:ind w:left="1440"/>
        <w:rPr>
          <w:rFonts w:ascii="Calibri" w:hAnsi="Calibri"/>
          <w:bCs/>
          <w:i/>
        </w:rPr>
      </w:pPr>
      <w:r w:rsidRPr="00A81A50">
        <w:rPr>
          <w:rFonts w:ascii="Calibri" w:hAnsi="Calibri"/>
          <w:bCs/>
          <w:i/>
        </w:rPr>
        <w:t>Yan Hizmet Anlaşmalarının Güncellenmesi ve Sınırlı Frekans Hassasiyet Modu Yan Hizmeti Anlaşması</w:t>
      </w:r>
    </w:p>
    <w:p w14:paraId="46507242" w14:textId="77777777" w:rsidR="00A81A50" w:rsidRPr="00A81A50" w:rsidRDefault="00A81A50" w:rsidP="00A81A50">
      <w:pPr>
        <w:pStyle w:val="ListeParagraf"/>
        <w:spacing w:after="0"/>
        <w:ind w:left="1440"/>
        <w:rPr>
          <w:rFonts w:ascii="Calibri" w:hAnsi="Calibri"/>
          <w:bCs/>
          <w:i/>
        </w:rPr>
      </w:pPr>
      <w:r w:rsidRPr="00A81A50">
        <w:rPr>
          <w:rFonts w:ascii="Calibri" w:hAnsi="Calibri"/>
          <w:bCs/>
          <w:i/>
        </w:rPr>
        <w:t>GEÇİCİ MADDE 9</w:t>
      </w:r>
      <w:proofErr w:type="gramStart"/>
      <w:r w:rsidRPr="00A81A50">
        <w:rPr>
          <w:rFonts w:ascii="Calibri" w:hAnsi="Calibri"/>
          <w:bCs/>
          <w:i/>
        </w:rPr>
        <w:t>–(</w:t>
      </w:r>
      <w:proofErr w:type="gramEnd"/>
      <w:r w:rsidRPr="00A81A50">
        <w:rPr>
          <w:rFonts w:ascii="Calibri" w:hAnsi="Calibri"/>
          <w:bCs/>
          <w:i/>
        </w:rPr>
        <w:t>1) TEİAŞ, mevcut yan hizmet anlaşmalarını bu Yönetmeliğin yayımı tarihi itibarıyla iki ay içerisinde güncelleyerek Kuruma sunar.</w:t>
      </w:r>
    </w:p>
    <w:p w14:paraId="173C17A2" w14:textId="77777777" w:rsidR="00A81A50" w:rsidRDefault="00A81A50" w:rsidP="00A81A50">
      <w:pPr>
        <w:pStyle w:val="ListeParagraf"/>
        <w:spacing w:after="0"/>
        <w:ind w:left="1440"/>
        <w:rPr>
          <w:rFonts w:ascii="Calibri" w:hAnsi="Calibri"/>
          <w:bCs/>
          <w:i/>
        </w:rPr>
      </w:pPr>
      <w:r w:rsidRPr="00A81A50">
        <w:rPr>
          <w:rFonts w:ascii="Calibri" w:hAnsi="Calibri"/>
          <w:bCs/>
          <w:i/>
        </w:rPr>
        <w:t>(2) TEİAŞ sınırlı frekans hassasiyet modu hizmetine ilişkin yan hizmet anlaşmasını hazırlayarak 1/3/2025 tarihine kadar Kuruma sunar.”</w:t>
      </w:r>
    </w:p>
    <w:p w14:paraId="77636A87" w14:textId="77777777" w:rsidR="00A81A50" w:rsidRDefault="00A81A50" w:rsidP="00A81A50">
      <w:pPr>
        <w:pStyle w:val="ListeParagraf"/>
        <w:spacing w:after="0"/>
        <w:ind w:left="1440"/>
        <w:rPr>
          <w:rFonts w:ascii="Calibri" w:hAnsi="Calibri"/>
          <w:i/>
        </w:rPr>
      </w:pPr>
    </w:p>
    <w:p w14:paraId="3BFAC497" w14:textId="77777777" w:rsidR="00D2549D" w:rsidRPr="002048A7" w:rsidRDefault="00D2549D" w:rsidP="0025080A">
      <w:pPr>
        <w:pStyle w:val="ListeParagraf"/>
        <w:numPr>
          <w:ilvl w:val="0"/>
          <w:numId w:val="22"/>
        </w:numPr>
        <w:spacing w:after="0"/>
        <w:rPr>
          <w:rFonts w:ascii="Calibri" w:hAnsi="Calibri"/>
          <w:i/>
        </w:rPr>
      </w:pPr>
      <w:r w:rsidRPr="002048A7">
        <w:rPr>
          <w:rFonts w:ascii="Calibri" w:hAnsi="Calibri"/>
          <w:bCs/>
        </w:rPr>
        <w:t>1</w:t>
      </w:r>
      <w:r w:rsidR="00A81A50">
        <w:rPr>
          <w:rFonts w:ascii="Calibri" w:hAnsi="Calibri"/>
          <w:bCs/>
        </w:rPr>
        <w:t>7</w:t>
      </w:r>
      <w:r w:rsidRPr="002048A7">
        <w:rPr>
          <w:rFonts w:ascii="Calibri" w:hAnsi="Calibri"/>
          <w:bCs/>
        </w:rPr>
        <w:t>.</w:t>
      </w:r>
      <w:r w:rsidR="00785337" w:rsidRPr="002048A7">
        <w:rPr>
          <w:rFonts w:ascii="Calibri" w:hAnsi="Calibri"/>
          <w:bCs/>
        </w:rPr>
        <w:t>1</w:t>
      </w:r>
      <w:r w:rsidR="00A81A50">
        <w:rPr>
          <w:rFonts w:ascii="Calibri" w:hAnsi="Calibri"/>
          <w:bCs/>
        </w:rPr>
        <w:t>2</w:t>
      </w:r>
      <w:r w:rsidRPr="002048A7">
        <w:rPr>
          <w:rFonts w:ascii="Calibri" w:hAnsi="Calibri"/>
          <w:bCs/>
        </w:rPr>
        <w:t>.202</w:t>
      </w:r>
      <w:r w:rsidR="00A81A50">
        <w:rPr>
          <w:rFonts w:ascii="Calibri" w:hAnsi="Calibri"/>
          <w:bCs/>
        </w:rPr>
        <w:t>4</w:t>
      </w:r>
      <w:r w:rsidRPr="002048A7">
        <w:rPr>
          <w:rFonts w:ascii="Calibri" w:hAnsi="Calibri"/>
          <w:bCs/>
        </w:rPr>
        <w:t xml:space="preserve"> tarihli ve 3</w:t>
      </w:r>
      <w:r w:rsidR="00785337" w:rsidRPr="002048A7">
        <w:rPr>
          <w:rFonts w:ascii="Calibri" w:hAnsi="Calibri"/>
          <w:bCs/>
        </w:rPr>
        <w:t>2</w:t>
      </w:r>
      <w:r w:rsidR="00A81A50">
        <w:rPr>
          <w:rFonts w:ascii="Calibri" w:hAnsi="Calibri"/>
          <w:bCs/>
        </w:rPr>
        <w:t>755</w:t>
      </w:r>
      <w:r w:rsidRPr="002048A7">
        <w:rPr>
          <w:rFonts w:ascii="Calibri" w:hAnsi="Calibri"/>
          <w:bCs/>
        </w:rPr>
        <w:t xml:space="preserve"> sayılı Resmî </w:t>
      </w:r>
      <w:r w:rsidR="00274939" w:rsidRPr="002048A7">
        <w:rPr>
          <w:rFonts w:ascii="Calibri" w:hAnsi="Calibri"/>
          <w:bCs/>
        </w:rPr>
        <w:t>Gazetede</w:t>
      </w:r>
      <w:r w:rsidRPr="002048A7">
        <w:rPr>
          <w:rFonts w:ascii="Calibri" w:hAnsi="Calibri"/>
          <w:bCs/>
        </w:rPr>
        <w:t xml:space="preserve"> yayımlanan Değişiklik Yönetmeliği ile</w:t>
      </w:r>
      <w:r w:rsidRPr="002048A7">
        <w:rPr>
          <w:rFonts w:ascii="Calibri" w:hAnsi="Calibri"/>
          <w:b/>
          <w:bCs/>
        </w:rPr>
        <w:t xml:space="preserve"> </w:t>
      </w:r>
      <w:r w:rsidR="00A81A50" w:rsidRPr="00A81A50">
        <w:rPr>
          <w:rFonts w:ascii="Calibri" w:hAnsi="Calibri"/>
          <w:b/>
        </w:rPr>
        <w:t>Elektrik Piyasasında Depolama Faaliyetleri Yönetmeliğinin</w:t>
      </w:r>
    </w:p>
    <w:p w14:paraId="1E549EF6" w14:textId="77777777" w:rsidR="004F2451" w:rsidRPr="002048A7" w:rsidRDefault="004F2451" w:rsidP="004F2451">
      <w:pPr>
        <w:pStyle w:val="ListeParagraf"/>
        <w:spacing w:after="0"/>
        <w:rPr>
          <w:rFonts w:ascii="Calibri" w:hAnsi="Calibri"/>
          <w:i/>
        </w:rPr>
      </w:pPr>
    </w:p>
    <w:p w14:paraId="2F630F7F" w14:textId="77777777" w:rsidR="00D2549D" w:rsidRPr="002048A7" w:rsidRDefault="00A81A50" w:rsidP="0025080A">
      <w:pPr>
        <w:pStyle w:val="ListeParagraf"/>
        <w:numPr>
          <w:ilvl w:val="0"/>
          <w:numId w:val="21"/>
        </w:numPr>
        <w:spacing w:after="0"/>
        <w:rPr>
          <w:rFonts w:ascii="Calibri" w:hAnsi="Calibri"/>
          <w:iCs/>
        </w:rPr>
      </w:pPr>
      <w:r w:rsidRPr="00A81A50">
        <w:rPr>
          <w:rFonts w:ascii="Calibri" w:hAnsi="Calibri"/>
          <w:iCs/>
        </w:rPr>
        <w:t>5 inci maddesinin yedinci fıkrası aşağıdaki şekilde değiştirilmiştir.</w:t>
      </w:r>
    </w:p>
    <w:p w14:paraId="06564399" w14:textId="77777777" w:rsidR="002806A0" w:rsidRPr="002048A7" w:rsidRDefault="002806A0" w:rsidP="002806A0">
      <w:pPr>
        <w:pStyle w:val="ListeParagraf"/>
        <w:spacing w:after="0"/>
        <w:ind w:left="1440"/>
        <w:rPr>
          <w:rFonts w:ascii="Calibri" w:hAnsi="Calibri"/>
          <w:iCs/>
        </w:rPr>
      </w:pPr>
    </w:p>
    <w:p w14:paraId="366BEA7F" w14:textId="77777777" w:rsidR="000A333E" w:rsidRDefault="00A81A50" w:rsidP="00785337">
      <w:pPr>
        <w:pStyle w:val="ListeParagraf"/>
        <w:spacing w:after="0"/>
        <w:ind w:left="1440"/>
        <w:rPr>
          <w:rFonts w:ascii="Calibri" w:hAnsi="Calibri"/>
          <w:i/>
        </w:rPr>
      </w:pPr>
      <w:r w:rsidRPr="00A81A50">
        <w:rPr>
          <w:rFonts w:ascii="Calibri" w:hAnsi="Calibri"/>
          <w:i/>
        </w:rPr>
        <w:t>“(7) Depolamalı elektrik üretim tesisleri ile bütünleşik elektrik depolama ünitesinin yer aldığı üretim tesislerinin uzlaştırma dönemi bazında sisteme vereceği enerji miktarı, ana kaynağa dayalı geçici kabulü yapılmış olan ünitelerin toplam elektriksel kurulu gücü ile yapabileceği üretim miktarını geçemez.”</w:t>
      </w:r>
    </w:p>
    <w:p w14:paraId="650FE087" w14:textId="77777777" w:rsidR="00A81A50" w:rsidRPr="002048A7" w:rsidRDefault="00A81A50" w:rsidP="00785337">
      <w:pPr>
        <w:pStyle w:val="ListeParagraf"/>
        <w:spacing w:after="0"/>
        <w:ind w:left="1440"/>
        <w:rPr>
          <w:rFonts w:ascii="Calibri" w:hAnsi="Calibri"/>
          <w:iCs/>
        </w:rPr>
      </w:pPr>
    </w:p>
    <w:p w14:paraId="2D258571" w14:textId="77777777" w:rsidR="000A333E" w:rsidRPr="002048A7" w:rsidRDefault="00A81A50" w:rsidP="0025080A">
      <w:pPr>
        <w:pStyle w:val="ListeParagraf"/>
        <w:numPr>
          <w:ilvl w:val="0"/>
          <w:numId w:val="21"/>
        </w:numPr>
        <w:spacing w:after="0"/>
        <w:rPr>
          <w:rFonts w:ascii="Calibri" w:hAnsi="Calibri"/>
          <w:iCs/>
        </w:rPr>
      </w:pPr>
      <w:proofErr w:type="gramStart"/>
      <w:r w:rsidRPr="00A81A50">
        <w:rPr>
          <w:rFonts w:ascii="Calibri" w:hAnsi="Calibri"/>
          <w:iCs/>
        </w:rPr>
        <w:t>7 nci</w:t>
      </w:r>
      <w:proofErr w:type="gramEnd"/>
      <w:r w:rsidRPr="00A81A50">
        <w:rPr>
          <w:rFonts w:ascii="Calibri" w:hAnsi="Calibri"/>
          <w:iCs/>
        </w:rPr>
        <w:t xml:space="preserve"> maddesinin birinci fıkrası aşağıdaki şekilde değiştirilmiştir.</w:t>
      </w:r>
    </w:p>
    <w:p w14:paraId="137D1732" w14:textId="77777777" w:rsidR="000A333E" w:rsidRDefault="000A333E" w:rsidP="000A333E">
      <w:pPr>
        <w:pStyle w:val="ListeParagraf"/>
        <w:spacing w:after="0"/>
        <w:ind w:left="1440"/>
        <w:rPr>
          <w:rFonts w:ascii="Calibri" w:hAnsi="Calibri"/>
          <w:iCs/>
        </w:rPr>
      </w:pPr>
    </w:p>
    <w:p w14:paraId="40EF9628" w14:textId="77777777" w:rsidR="00A81A50" w:rsidRDefault="00A81A50" w:rsidP="000A333E">
      <w:pPr>
        <w:pStyle w:val="ListeParagraf"/>
        <w:spacing w:after="0"/>
        <w:ind w:left="1440"/>
        <w:rPr>
          <w:rFonts w:ascii="Calibri" w:hAnsi="Calibri"/>
          <w:i/>
        </w:rPr>
      </w:pPr>
      <w:r w:rsidRPr="00A81A50">
        <w:rPr>
          <w:rFonts w:ascii="Calibri" w:hAnsi="Calibri"/>
          <w:i/>
        </w:rPr>
        <w:lastRenderedPageBreak/>
        <w:t>“(1) Tedarik veya toplayıcı lisansına sahip olmak ve 2 MW kurulu gücünden düşük olmamak kaydıyla, aynı tedarik veya toplayıcı lisansı kapsamında bir veya birden fazla müstakil elektrik depolama tesisi kurulabilir. Bu tesislerin sisteme verdiği ve sistemden çektiği enerji, ilgili piyasa katılımcısının uzlaştırmaya esas veriş çekiş miktarında dikkate alınır.”</w:t>
      </w:r>
    </w:p>
    <w:p w14:paraId="426050D3" w14:textId="77777777" w:rsidR="002E6439" w:rsidRPr="002048A7" w:rsidRDefault="002E6439" w:rsidP="002E6439">
      <w:pPr>
        <w:pStyle w:val="ListeParagraf"/>
        <w:spacing w:after="0"/>
        <w:ind w:left="1440"/>
        <w:rPr>
          <w:rFonts w:ascii="Calibri" w:hAnsi="Calibri"/>
          <w:i/>
        </w:rPr>
      </w:pPr>
    </w:p>
    <w:p w14:paraId="040995C2" w14:textId="77777777" w:rsidR="00BC3DA0" w:rsidRPr="002048A7" w:rsidRDefault="00A81A50" w:rsidP="0025080A">
      <w:pPr>
        <w:pStyle w:val="ListeParagraf"/>
        <w:numPr>
          <w:ilvl w:val="0"/>
          <w:numId w:val="22"/>
        </w:numPr>
        <w:spacing w:after="0"/>
        <w:rPr>
          <w:rFonts w:ascii="Calibri" w:hAnsi="Calibri"/>
          <w:i/>
        </w:rPr>
      </w:pPr>
      <w:r>
        <w:rPr>
          <w:rFonts w:ascii="Calibri" w:hAnsi="Calibri"/>
          <w:bCs/>
        </w:rPr>
        <w:t>17</w:t>
      </w:r>
      <w:r w:rsidR="00BC3DA0" w:rsidRPr="002048A7">
        <w:rPr>
          <w:rFonts w:ascii="Calibri" w:hAnsi="Calibri"/>
          <w:bCs/>
        </w:rPr>
        <w:t>.</w:t>
      </w:r>
      <w:r w:rsidR="00785337" w:rsidRPr="002048A7">
        <w:rPr>
          <w:rFonts w:ascii="Calibri" w:hAnsi="Calibri"/>
          <w:bCs/>
        </w:rPr>
        <w:t>1</w:t>
      </w:r>
      <w:r>
        <w:rPr>
          <w:rFonts w:ascii="Calibri" w:hAnsi="Calibri"/>
          <w:bCs/>
        </w:rPr>
        <w:t>2</w:t>
      </w:r>
      <w:r w:rsidR="00BC3DA0" w:rsidRPr="002048A7">
        <w:rPr>
          <w:rFonts w:ascii="Calibri" w:hAnsi="Calibri"/>
          <w:bCs/>
        </w:rPr>
        <w:t>.202</w:t>
      </w:r>
      <w:r>
        <w:rPr>
          <w:rFonts w:ascii="Calibri" w:hAnsi="Calibri"/>
          <w:bCs/>
        </w:rPr>
        <w:t>4</w:t>
      </w:r>
      <w:r w:rsidR="00BC3DA0" w:rsidRPr="002048A7">
        <w:rPr>
          <w:rFonts w:ascii="Calibri" w:hAnsi="Calibri"/>
          <w:bCs/>
        </w:rPr>
        <w:t xml:space="preserve"> tarihli ve 3</w:t>
      </w:r>
      <w:r w:rsidR="00785337" w:rsidRPr="002048A7">
        <w:rPr>
          <w:rFonts w:ascii="Calibri" w:hAnsi="Calibri"/>
          <w:bCs/>
        </w:rPr>
        <w:t>2</w:t>
      </w:r>
      <w:r>
        <w:rPr>
          <w:rFonts w:ascii="Calibri" w:hAnsi="Calibri"/>
          <w:bCs/>
        </w:rPr>
        <w:t>755</w:t>
      </w:r>
      <w:r w:rsidR="00BC3DA0" w:rsidRPr="002048A7">
        <w:rPr>
          <w:rFonts w:ascii="Calibri" w:hAnsi="Calibri"/>
          <w:bCs/>
        </w:rPr>
        <w:t xml:space="preserve"> sayılı Resmî </w:t>
      </w:r>
      <w:r w:rsidR="00274939" w:rsidRPr="002048A7">
        <w:rPr>
          <w:rFonts w:ascii="Calibri" w:hAnsi="Calibri"/>
          <w:bCs/>
        </w:rPr>
        <w:t>Gazetede</w:t>
      </w:r>
      <w:r w:rsidR="00BC3DA0" w:rsidRPr="002048A7">
        <w:rPr>
          <w:rFonts w:ascii="Calibri" w:hAnsi="Calibri"/>
          <w:bCs/>
        </w:rPr>
        <w:t xml:space="preserve"> yayımlanan Değişiklik Yönetmeliği ile</w:t>
      </w:r>
      <w:r w:rsidR="00BC3DA0" w:rsidRPr="002048A7">
        <w:rPr>
          <w:rFonts w:ascii="Calibri" w:hAnsi="Calibri"/>
          <w:b/>
          <w:bCs/>
        </w:rPr>
        <w:t xml:space="preserve"> </w:t>
      </w:r>
      <w:r w:rsidRPr="00A81A50">
        <w:rPr>
          <w:rFonts w:ascii="Calibri" w:hAnsi="Calibri"/>
          <w:b/>
        </w:rPr>
        <w:t>Elektrik Piyasasında Lisanssız Elektrik Üretim Yönetmeliğinin</w:t>
      </w:r>
    </w:p>
    <w:p w14:paraId="7EC2E48D" w14:textId="77777777" w:rsidR="004F2451" w:rsidRPr="002048A7" w:rsidRDefault="004F2451" w:rsidP="004F2451">
      <w:pPr>
        <w:pStyle w:val="ListeParagraf"/>
        <w:spacing w:after="0"/>
        <w:rPr>
          <w:rFonts w:ascii="Calibri" w:hAnsi="Calibri"/>
          <w:i/>
        </w:rPr>
      </w:pPr>
    </w:p>
    <w:p w14:paraId="15C6F474" w14:textId="77777777" w:rsidR="00BC3DA0" w:rsidRPr="002048A7" w:rsidRDefault="00A81A50" w:rsidP="0025080A">
      <w:pPr>
        <w:pStyle w:val="ListeParagraf"/>
        <w:numPr>
          <w:ilvl w:val="0"/>
          <w:numId w:val="21"/>
        </w:numPr>
        <w:spacing w:after="0"/>
        <w:rPr>
          <w:rFonts w:ascii="Calibri" w:hAnsi="Calibri"/>
          <w:iCs/>
        </w:rPr>
      </w:pPr>
      <w:r w:rsidRPr="00A81A50">
        <w:rPr>
          <w:rFonts w:ascii="Calibri" w:hAnsi="Calibri"/>
          <w:iCs/>
        </w:rPr>
        <w:t>28 inci maddesinin yedinci fıkrası aşağıdaki şekilde değiştirilmiştir.</w:t>
      </w:r>
    </w:p>
    <w:p w14:paraId="0C9CCA1B" w14:textId="77777777" w:rsidR="00BC3DA0" w:rsidRPr="002048A7" w:rsidRDefault="00BC3DA0" w:rsidP="00BC3DA0">
      <w:pPr>
        <w:pStyle w:val="ListeParagraf"/>
        <w:spacing w:after="0"/>
        <w:ind w:left="1440"/>
        <w:rPr>
          <w:rFonts w:ascii="Calibri" w:hAnsi="Calibri"/>
          <w:iCs/>
        </w:rPr>
      </w:pPr>
    </w:p>
    <w:p w14:paraId="7602179E" w14:textId="77777777" w:rsidR="00BC3DA0" w:rsidRPr="002048A7" w:rsidRDefault="00A81A50" w:rsidP="003D6E95">
      <w:pPr>
        <w:pStyle w:val="ListeParagraf"/>
        <w:spacing w:after="0"/>
        <w:ind w:left="1440"/>
        <w:rPr>
          <w:rFonts w:ascii="Calibri" w:hAnsi="Calibri"/>
          <w:i/>
        </w:rPr>
      </w:pPr>
      <w:r w:rsidRPr="00A81A50">
        <w:rPr>
          <w:rFonts w:ascii="Calibri" w:hAnsi="Calibri"/>
          <w:i/>
        </w:rPr>
        <w:t>“ (7) Bu Yönetmelik kapsamında bağlantı anlaşmasına çağrı mektubu sahibi ve bağlantı anlaşması imzalayan gerçek veya tüzel kişiler uhdesindeki üretim tesisi ile ilişkilendirilen tüketim tesisi veya tesislerine ilişkin aboneliğe ait kaçak elektrik enerjisi tüketiminin tespit edilmesi halinde, ilgili döneme ve takip eden altı fatura dönemine ilişkin üretilen enerjinin, kaçak elektrik enerjisi tespiti yapılan tüketim tesisinin tespit anındaki sözleşme gücünün, ilişkili tüm tüketim tesislerinin toplam sözleşme gücüne oranı kadarının görevli tedarik şirketi tarafından üretilerek sisteme verilmiş olduğu kabul edilerek bu orana tekabül eden enerji ile ilgili olarak piyasa işletmecisi ve görevli tedarik şirketi tarafından bu fıkrada belirtilen süre boyunca herhangi bir ödeme yapılmaz ve bu kapsamda sisteme verilen enerji YEKDEM’e bedelsiz katkı olarak dikkate alınır.”</w:t>
      </w:r>
    </w:p>
    <w:p w14:paraId="4950EFE0" w14:textId="77777777" w:rsidR="00BC3DA0" w:rsidRPr="002048A7" w:rsidRDefault="00BC3DA0" w:rsidP="002E6439">
      <w:pPr>
        <w:pStyle w:val="ListeParagraf"/>
        <w:spacing w:after="0"/>
        <w:ind w:left="1440"/>
        <w:rPr>
          <w:rFonts w:ascii="Calibri" w:hAnsi="Calibri"/>
          <w:i/>
        </w:rPr>
      </w:pPr>
    </w:p>
    <w:p w14:paraId="410F385F" w14:textId="77777777" w:rsidR="003D6E95" w:rsidRPr="002048A7" w:rsidRDefault="00A81A50" w:rsidP="0025080A">
      <w:pPr>
        <w:pStyle w:val="ListeParagraf"/>
        <w:numPr>
          <w:ilvl w:val="0"/>
          <w:numId w:val="21"/>
        </w:numPr>
        <w:spacing w:after="0"/>
        <w:rPr>
          <w:rFonts w:ascii="Calibri" w:hAnsi="Calibri"/>
          <w:iCs/>
        </w:rPr>
      </w:pPr>
      <w:r w:rsidRPr="00A81A50">
        <w:rPr>
          <w:rFonts w:ascii="Calibri" w:hAnsi="Calibri"/>
          <w:iCs/>
        </w:rPr>
        <w:t>Aynı Yönetmeliğe aşağıdaki ek maddeler eklenmiştir.</w:t>
      </w:r>
    </w:p>
    <w:p w14:paraId="7FF25FBC" w14:textId="77777777" w:rsidR="003D6E95" w:rsidRPr="002048A7" w:rsidRDefault="003D6E95" w:rsidP="003D6E95">
      <w:pPr>
        <w:pStyle w:val="ListeParagraf"/>
        <w:spacing w:after="0"/>
        <w:ind w:left="1440"/>
        <w:rPr>
          <w:rFonts w:ascii="Calibri" w:hAnsi="Calibri"/>
          <w:iCs/>
        </w:rPr>
      </w:pPr>
    </w:p>
    <w:p w14:paraId="104FBD97" w14:textId="77777777" w:rsidR="00A81A50" w:rsidRPr="00A81A50" w:rsidRDefault="00A81A50" w:rsidP="00A81A50">
      <w:pPr>
        <w:pStyle w:val="ListeParagraf"/>
        <w:spacing w:after="0"/>
        <w:ind w:left="1440"/>
        <w:rPr>
          <w:rFonts w:ascii="Calibri" w:hAnsi="Calibri"/>
          <w:i/>
        </w:rPr>
      </w:pPr>
      <w:r w:rsidRPr="00A81A50">
        <w:rPr>
          <w:rFonts w:ascii="Calibri" w:hAnsi="Calibri"/>
          <w:i/>
        </w:rPr>
        <w:t>“Birleştirme işlemleri</w:t>
      </w:r>
    </w:p>
    <w:p w14:paraId="5E28FAEF" w14:textId="77777777" w:rsidR="00A81A50" w:rsidRPr="00A81A50" w:rsidRDefault="00A81A50" w:rsidP="00A81A50">
      <w:pPr>
        <w:pStyle w:val="ListeParagraf"/>
        <w:spacing w:after="0"/>
        <w:ind w:left="1440"/>
        <w:rPr>
          <w:rFonts w:ascii="Calibri" w:hAnsi="Calibri"/>
          <w:i/>
        </w:rPr>
      </w:pPr>
      <w:r w:rsidRPr="00A81A50">
        <w:rPr>
          <w:rFonts w:ascii="Calibri" w:hAnsi="Calibri"/>
          <w:i/>
        </w:rPr>
        <w:t xml:space="preserve">EK MADDE 1- (1) Mevcut bağlantı anlaşmasına çağrı mektupları kapsamında, aynı kişiye ait </w:t>
      </w:r>
      <w:proofErr w:type="gramStart"/>
      <w:r w:rsidRPr="00A81A50">
        <w:rPr>
          <w:rFonts w:ascii="Calibri" w:hAnsi="Calibri"/>
          <w:i/>
        </w:rPr>
        <w:t>rüzgar</w:t>
      </w:r>
      <w:proofErr w:type="gramEnd"/>
      <w:r w:rsidRPr="00A81A50">
        <w:rPr>
          <w:rFonts w:ascii="Calibri" w:hAnsi="Calibri"/>
          <w:i/>
        </w:rPr>
        <w:t xml:space="preserve"> enerjisine dayalı üretim tesisleri, bağlanacakları trafo merkezi değişmemek kaydıyla, mevcut bağlantı anlaşması çağrı mektuplarından birinin kapsamında birleştirilebilir.</w:t>
      </w:r>
    </w:p>
    <w:p w14:paraId="652F7BB0" w14:textId="77777777" w:rsidR="00A81A50" w:rsidRPr="00A81A50" w:rsidRDefault="00A81A50" w:rsidP="00A81A50">
      <w:pPr>
        <w:pStyle w:val="ListeParagraf"/>
        <w:spacing w:after="0"/>
        <w:ind w:left="1440"/>
        <w:rPr>
          <w:rFonts w:ascii="Calibri" w:hAnsi="Calibri"/>
          <w:i/>
        </w:rPr>
      </w:pPr>
      <w:r w:rsidRPr="00A81A50">
        <w:rPr>
          <w:rFonts w:ascii="Calibri" w:hAnsi="Calibri"/>
          <w:i/>
        </w:rPr>
        <w:t xml:space="preserve">(2) Birleştirme işlemi için, yeni güce göre oluşturulan bilgi ve belgeler ile birlikte ilgili şebeke işletmecisine başvuruda bulunulur. Başvurunun teknik yönden uygun bulunması halinde </w:t>
      </w:r>
      <w:proofErr w:type="gramStart"/>
      <w:r w:rsidRPr="00A81A50">
        <w:rPr>
          <w:rFonts w:ascii="Calibri" w:hAnsi="Calibri"/>
          <w:i/>
        </w:rPr>
        <w:t>16 ncı</w:t>
      </w:r>
      <w:proofErr w:type="gramEnd"/>
      <w:r w:rsidRPr="00A81A50">
        <w:rPr>
          <w:rFonts w:ascii="Calibri" w:hAnsi="Calibri"/>
          <w:i/>
        </w:rPr>
        <w:t xml:space="preserve"> madde hükümleri uygulanır.</w:t>
      </w:r>
    </w:p>
    <w:p w14:paraId="69A8F91C" w14:textId="77777777" w:rsidR="00A81A50" w:rsidRPr="00A81A50" w:rsidRDefault="00A81A50" w:rsidP="00A81A50">
      <w:pPr>
        <w:pStyle w:val="ListeParagraf"/>
        <w:spacing w:after="0"/>
        <w:ind w:left="1440"/>
        <w:rPr>
          <w:rFonts w:ascii="Calibri" w:hAnsi="Calibri"/>
          <w:i/>
        </w:rPr>
      </w:pPr>
      <w:r w:rsidRPr="00A81A50">
        <w:rPr>
          <w:rFonts w:ascii="Calibri" w:hAnsi="Calibri"/>
          <w:i/>
        </w:rPr>
        <w:t>(3) Birleştirilecek üretim tesisleri için oluşturulan bağlantı anlaşmasına çağrı mektubunun süresi, altında birleştirilen bağlantı anlaşması çağrı mektubu esas alınarak belirlenir.</w:t>
      </w:r>
    </w:p>
    <w:p w14:paraId="12698FC6" w14:textId="77777777" w:rsidR="00A81A50" w:rsidRPr="00A81A50" w:rsidRDefault="00A81A50" w:rsidP="00A81A50">
      <w:pPr>
        <w:pStyle w:val="ListeParagraf"/>
        <w:spacing w:after="0"/>
        <w:ind w:left="1440"/>
        <w:rPr>
          <w:rFonts w:ascii="Calibri" w:hAnsi="Calibri"/>
          <w:i/>
        </w:rPr>
      </w:pPr>
      <w:r w:rsidRPr="00A81A50">
        <w:rPr>
          <w:rFonts w:ascii="Calibri" w:hAnsi="Calibri"/>
          <w:i/>
        </w:rPr>
        <w:t>(4) Kabulü yapılan bir üretim tesisiyle kabulü yapılmayan bir üretim tesisi birleştirilemez.</w:t>
      </w:r>
    </w:p>
    <w:p w14:paraId="76BD6848" w14:textId="77777777" w:rsidR="00A81A50" w:rsidRPr="00A81A50" w:rsidRDefault="00A81A50" w:rsidP="00A81A50">
      <w:pPr>
        <w:pStyle w:val="ListeParagraf"/>
        <w:spacing w:after="0"/>
        <w:ind w:left="1440"/>
        <w:rPr>
          <w:rFonts w:ascii="Calibri" w:hAnsi="Calibri"/>
          <w:i/>
        </w:rPr>
      </w:pPr>
      <w:r w:rsidRPr="00A81A50">
        <w:rPr>
          <w:rFonts w:ascii="Calibri" w:hAnsi="Calibri"/>
          <w:i/>
        </w:rPr>
        <w:t>Lisanssız elektrik üretim tesislerinin toplayıcılık faaliyetine katılımı</w:t>
      </w:r>
    </w:p>
    <w:p w14:paraId="5B568BB0" w14:textId="77777777" w:rsidR="00A81A50" w:rsidRPr="00A81A50" w:rsidRDefault="00A81A50" w:rsidP="00A81A50">
      <w:pPr>
        <w:pStyle w:val="ListeParagraf"/>
        <w:spacing w:after="0"/>
        <w:ind w:left="1440"/>
        <w:rPr>
          <w:rFonts w:ascii="Calibri" w:hAnsi="Calibri"/>
          <w:i/>
        </w:rPr>
      </w:pPr>
      <w:r w:rsidRPr="00A81A50">
        <w:rPr>
          <w:rFonts w:ascii="Calibri" w:hAnsi="Calibri"/>
          <w:i/>
        </w:rPr>
        <w:t>EK MADDE 2- (1) On yıllık alım garantisini doldurmuş olan lisanssız elektrik üretim tesisleri, 17/12/2024 tarihli ve 32755 sayılı Resmî Gazete’de yayımlanan Elektrik Piyasasında Toplayıcılık Faaliyeti Yönetmeliği kapsamında toplayıcı lisansı sahibi veya tedarik lisansına toplayıcılık faaliyeti dercedilmiş tüzel kişilerin toplayıcı portföyüne katılabilirler.</w:t>
      </w:r>
    </w:p>
    <w:p w14:paraId="2239D0C1" w14:textId="77777777" w:rsidR="00A81A50" w:rsidRPr="00A81A50" w:rsidRDefault="00A81A50" w:rsidP="00A81A50">
      <w:pPr>
        <w:pStyle w:val="ListeParagraf"/>
        <w:spacing w:after="0"/>
        <w:ind w:left="1440"/>
        <w:rPr>
          <w:rFonts w:ascii="Calibri" w:hAnsi="Calibri"/>
          <w:i/>
        </w:rPr>
      </w:pPr>
      <w:r w:rsidRPr="00A81A50">
        <w:rPr>
          <w:rFonts w:ascii="Calibri" w:hAnsi="Calibri"/>
          <w:i/>
        </w:rPr>
        <w:t>(2) Toplayıcılık faaliyeti kapsamında lisanssız elektrik üretim tesislerinde üretilen ihtiyaç fazlası elektrik enerjisine ilişkin tespit ilgili şebeke işletmecisi tarafından gerçekleştirilir. İhtiyaç fazlası enerjinin değerlendirilmesi ve söz konusu enerjiye ilişkin lisanssız elektrik üretim tesisi sahibi gerçek veya tüzel kişiye yapılacak olan ödemelerden toplayıcılık faaliyeti gösteren piyasa katılımcısı sorumludur.</w:t>
      </w:r>
    </w:p>
    <w:p w14:paraId="1F0A5295" w14:textId="77777777" w:rsidR="00A81A50" w:rsidRPr="00A81A50" w:rsidRDefault="00A81A50" w:rsidP="00A81A50">
      <w:pPr>
        <w:pStyle w:val="ListeParagraf"/>
        <w:spacing w:after="0"/>
        <w:ind w:left="1440"/>
        <w:rPr>
          <w:rFonts w:ascii="Calibri" w:hAnsi="Calibri"/>
          <w:i/>
        </w:rPr>
      </w:pPr>
      <w:r w:rsidRPr="00A81A50">
        <w:rPr>
          <w:rFonts w:ascii="Calibri" w:hAnsi="Calibri"/>
          <w:i/>
        </w:rPr>
        <w:t>(3) Lisanssız elektrik üretim tesislerine uygulanan fiyat ve mahsuplaşmaya ilişkin işlemler bu madde kapsamında yer alan lisanssız elektrik üretim tesisleri için de uygulanmaya devam eder.</w:t>
      </w:r>
    </w:p>
    <w:p w14:paraId="6A0EE921" w14:textId="77777777" w:rsidR="003D6E95" w:rsidRPr="002048A7" w:rsidRDefault="00A81A50" w:rsidP="00A81A50">
      <w:pPr>
        <w:pStyle w:val="ListeParagraf"/>
        <w:spacing w:after="0"/>
        <w:ind w:left="1440"/>
        <w:rPr>
          <w:rFonts w:ascii="Calibri" w:hAnsi="Calibri"/>
          <w:i/>
        </w:rPr>
      </w:pPr>
      <w:r w:rsidRPr="00A81A50">
        <w:rPr>
          <w:rFonts w:ascii="Calibri" w:hAnsi="Calibri"/>
          <w:i/>
        </w:rPr>
        <w:lastRenderedPageBreak/>
        <w:t xml:space="preserve">(4) </w:t>
      </w:r>
      <w:proofErr w:type="gramStart"/>
      <w:r w:rsidRPr="00A81A50">
        <w:rPr>
          <w:rFonts w:ascii="Calibri" w:hAnsi="Calibri"/>
          <w:i/>
        </w:rPr>
        <w:t>24 üncü</w:t>
      </w:r>
      <w:proofErr w:type="gramEnd"/>
      <w:r w:rsidRPr="00A81A50">
        <w:rPr>
          <w:rFonts w:ascii="Calibri" w:hAnsi="Calibri"/>
          <w:i/>
        </w:rPr>
        <w:t xml:space="preserve"> maddenin altıncı fıkrası hariç olmak üzere, bu Yönetmelikte görevli tedarik şirketlerine tanımlanan görev, yetki ve sorumluluklar, portföyünde lisanssız elektrik üretim tesisi bulunduran toplayıcılık faaliyeti gösteren tüzel kişiler için de geçerlidir.”</w:t>
      </w:r>
    </w:p>
    <w:p w14:paraId="5912905F" w14:textId="77777777" w:rsidR="00785337" w:rsidRPr="002048A7" w:rsidRDefault="00785337" w:rsidP="00785337">
      <w:pPr>
        <w:pStyle w:val="ListeParagraf"/>
        <w:spacing w:after="0"/>
        <w:ind w:left="1440"/>
        <w:rPr>
          <w:rFonts w:ascii="Calibri" w:hAnsi="Calibri"/>
          <w:i/>
        </w:rPr>
      </w:pPr>
    </w:p>
    <w:p w14:paraId="3839703E" w14:textId="77777777" w:rsidR="00014F58" w:rsidRPr="002048A7" w:rsidRDefault="00A81A50" w:rsidP="0025080A">
      <w:pPr>
        <w:pStyle w:val="ListeParagraf"/>
        <w:numPr>
          <w:ilvl w:val="0"/>
          <w:numId w:val="22"/>
        </w:numPr>
        <w:spacing w:after="0"/>
        <w:rPr>
          <w:rFonts w:ascii="Calibri" w:hAnsi="Calibri"/>
          <w:bCs/>
        </w:rPr>
      </w:pPr>
      <w:r>
        <w:rPr>
          <w:rFonts w:ascii="Calibri" w:hAnsi="Calibri"/>
          <w:bCs/>
        </w:rPr>
        <w:t>17</w:t>
      </w:r>
      <w:r w:rsidR="00014F58" w:rsidRPr="002048A7">
        <w:rPr>
          <w:rFonts w:ascii="Calibri" w:hAnsi="Calibri"/>
          <w:bCs/>
        </w:rPr>
        <w:t>.12.202</w:t>
      </w:r>
      <w:r>
        <w:rPr>
          <w:rFonts w:ascii="Calibri" w:hAnsi="Calibri"/>
          <w:bCs/>
        </w:rPr>
        <w:t>4</w:t>
      </w:r>
      <w:r w:rsidR="00014F58" w:rsidRPr="002048A7">
        <w:rPr>
          <w:rFonts w:ascii="Calibri" w:hAnsi="Calibri"/>
          <w:bCs/>
        </w:rPr>
        <w:t xml:space="preserve"> tarihli ve 32</w:t>
      </w:r>
      <w:r>
        <w:rPr>
          <w:rFonts w:ascii="Calibri" w:hAnsi="Calibri"/>
          <w:bCs/>
        </w:rPr>
        <w:t>755</w:t>
      </w:r>
      <w:r w:rsidR="00014F58" w:rsidRPr="002048A7">
        <w:rPr>
          <w:rFonts w:ascii="Calibri" w:hAnsi="Calibri"/>
          <w:bCs/>
        </w:rPr>
        <w:t xml:space="preserve"> sayılı Resmî Gazetede amacı </w:t>
      </w:r>
      <w:r w:rsidRPr="00A81A50">
        <w:rPr>
          <w:rFonts w:ascii="Calibri" w:hAnsi="Calibri"/>
          <w:bCs/>
        </w:rPr>
        <w:t>toplayıcıların elektrik piyasasında yürütebileceği faaliyetler ile toplayıcılık faaliyeti kapsamında yürütülecek işlemlere ilişkin usul ve esasların düzenlenmesi</w:t>
      </w:r>
      <w:r w:rsidR="00014F58" w:rsidRPr="002048A7">
        <w:rPr>
          <w:rFonts w:ascii="Calibri" w:hAnsi="Calibri"/>
          <w:bCs/>
        </w:rPr>
        <w:t xml:space="preserve"> olan </w:t>
      </w:r>
      <w:r w:rsidRPr="00A81A50">
        <w:rPr>
          <w:rFonts w:ascii="Calibri" w:hAnsi="Calibri"/>
          <w:b/>
          <w:bCs/>
        </w:rPr>
        <w:t>Elektrik Piyasasında Toplayıcılık Faaliyeti Yönetmeliği</w:t>
      </w:r>
      <w:r w:rsidRPr="002048A7">
        <w:rPr>
          <w:rFonts w:ascii="Calibri" w:hAnsi="Calibri"/>
          <w:bCs/>
        </w:rPr>
        <w:t xml:space="preserve"> </w:t>
      </w:r>
      <w:r w:rsidR="00014F58" w:rsidRPr="002048A7">
        <w:rPr>
          <w:rFonts w:ascii="Calibri" w:hAnsi="Calibri"/>
          <w:bCs/>
        </w:rPr>
        <w:t>yayımlanmıştır.</w:t>
      </w:r>
    </w:p>
    <w:p w14:paraId="0E93CB4D" w14:textId="77777777" w:rsidR="002806A0" w:rsidRPr="002048A7" w:rsidRDefault="002806A0" w:rsidP="002806A0">
      <w:pPr>
        <w:spacing w:after="0"/>
        <w:rPr>
          <w:rFonts w:ascii="Calibri" w:hAnsi="Calibri"/>
          <w:bCs/>
        </w:rPr>
      </w:pPr>
    </w:p>
    <w:p w14:paraId="56EAF51B" w14:textId="77777777" w:rsidR="002806A0" w:rsidRPr="002048A7" w:rsidRDefault="00A81A50" w:rsidP="0025080A">
      <w:pPr>
        <w:pStyle w:val="ListeParagraf"/>
        <w:numPr>
          <w:ilvl w:val="0"/>
          <w:numId w:val="38"/>
        </w:numPr>
        <w:spacing w:after="0"/>
        <w:rPr>
          <w:rFonts w:ascii="Calibri" w:hAnsi="Calibri"/>
          <w:bCs/>
        </w:rPr>
      </w:pPr>
      <w:r>
        <w:rPr>
          <w:rFonts w:ascii="Calibri" w:hAnsi="Calibri"/>
          <w:bCs/>
        </w:rPr>
        <w:t>17</w:t>
      </w:r>
      <w:r w:rsidR="002806A0" w:rsidRPr="002048A7">
        <w:rPr>
          <w:rFonts w:ascii="Calibri" w:hAnsi="Calibri"/>
          <w:bCs/>
        </w:rPr>
        <w:t>.12.202</w:t>
      </w:r>
      <w:r>
        <w:rPr>
          <w:rFonts w:ascii="Calibri" w:hAnsi="Calibri"/>
          <w:bCs/>
        </w:rPr>
        <w:t>4</w:t>
      </w:r>
      <w:r w:rsidR="002806A0" w:rsidRPr="002048A7">
        <w:rPr>
          <w:rFonts w:ascii="Calibri" w:hAnsi="Calibri"/>
          <w:bCs/>
        </w:rPr>
        <w:t xml:space="preserve"> tarihli ve 32</w:t>
      </w:r>
      <w:r>
        <w:rPr>
          <w:rFonts w:ascii="Calibri" w:hAnsi="Calibri"/>
          <w:bCs/>
        </w:rPr>
        <w:t>755</w:t>
      </w:r>
      <w:r w:rsidR="002806A0" w:rsidRPr="002048A7">
        <w:rPr>
          <w:rFonts w:ascii="Calibri" w:hAnsi="Calibri"/>
          <w:bCs/>
        </w:rPr>
        <w:t xml:space="preserve"> sayılı Resmî Gazetede yayımlanan Değişiklik Yönetmeliği ile </w:t>
      </w:r>
      <w:r w:rsidRPr="00A81A50">
        <w:rPr>
          <w:rFonts w:ascii="Calibri" w:hAnsi="Calibri"/>
          <w:b/>
          <w:bCs/>
        </w:rPr>
        <w:t>Elektrik Piyasasında Yenilenebilir Enerji Kaynak Garanti Belgesi Yönetmeliğinin</w:t>
      </w:r>
    </w:p>
    <w:p w14:paraId="0EC9E620" w14:textId="77777777" w:rsidR="00577AAF" w:rsidRPr="002048A7" w:rsidRDefault="00577AAF" w:rsidP="00577AAF">
      <w:pPr>
        <w:pStyle w:val="ListeParagraf"/>
        <w:spacing w:after="0"/>
        <w:rPr>
          <w:rFonts w:ascii="Calibri" w:hAnsi="Calibri"/>
          <w:bCs/>
        </w:rPr>
      </w:pPr>
    </w:p>
    <w:p w14:paraId="728E20E1" w14:textId="77777777" w:rsidR="002806A0" w:rsidRPr="002048A7" w:rsidRDefault="00A81A50" w:rsidP="0025080A">
      <w:pPr>
        <w:pStyle w:val="metin0"/>
        <w:numPr>
          <w:ilvl w:val="0"/>
          <w:numId w:val="39"/>
        </w:numPr>
        <w:spacing w:before="0" w:beforeAutospacing="0" w:after="0" w:afterAutospacing="0" w:line="240" w:lineRule="atLeast"/>
        <w:rPr>
          <w:rFonts w:ascii="Calibri" w:hAnsi="Calibri" w:cs="Calibri"/>
          <w:color w:val="000000"/>
          <w:sz w:val="22"/>
          <w:szCs w:val="22"/>
        </w:rPr>
      </w:pPr>
      <w:proofErr w:type="gramStart"/>
      <w:r w:rsidRPr="00A81A50">
        <w:rPr>
          <w:rFonts w:ascii="Calibri" w:hAnsi="Calibri" w:cs="Calibri"/>
          <w:color w:val="000000"/>
          <w:sz w:val="22"/>
          <w:szCs w:val="22"/>
        </w:rPr>
        <w:t>2 nci</w:t>
      </w:r>
      <w:proofErr w:type="gramEnd"/>
      <w:r w:rsidRPr="00A81A50">
        <w:rPr>
          <w:rFonts w:ascii="Calibri" w:hAnsi="Calibri" w:cs="Calibri"/>
          <w:color w:val="000000"/>
          <w:sz w:val="22"/>
          <w:szCs w:val="22"/>
        </w:rPr>
        <w:t xml:space="preserve"> maddesinin birinci fıkrası aşağıdaki şekilde değiştirilmiştir.</w:t>
      </w:r>
    </w:p>
    <w:p w14:paraId="51904DF9" w14:textId="77777777" w:rsidR="00577AAF" w:rsidRPr="002048A7" w:rsidRDefault="00577AAF" w:rsidP="00577AAF">
      <w:pPr>
        <w:pStyle w:val="metin0"/>
        <w:spacing w:before="0" w:beforeAutospacing="0" w:after="0" w:afterAutospacing="0" w:line="240" w:lineRule="atLeast"/>
        <w:ind w:left="1440"/>
        <w:rPr>
          <w:rFonts w:ascii="Calibri" w:hAnsi="Calibri" w:cs="Calibri"/>
          <w:color w:val="000000"/>
          <w:sz w:val="22"/>
          <w:szCs w:val="22"/>
        </w:rPr>
      </w:pPr>
    </w:p>
    <w:p w14:paraId="280C3B93" w14:textId="77777777" w:rsidR="002806A0" w:rsidRPr="002048A7" w:rsidRDefault="00A81A50" w:rsidP="00577AAF">
      <w:pPr>
        <w:pStyle w:val="ListeParagraf"/>
        <w:spacing w:after="0"/>
        <w:ind w:left="1440"/>
        <w:rPr>
          <w:rFonts w:ascii="Calibri" w:hAnsi="Calibri"/>
          <w:i/>
        </w:rPr>
      </w:pPr>
      <w:r w:rsidRPr="00A81A50">
        <w:rPr>
          <w:rFonts w:ascii="Calibri" w:hAnsi="Calibri"/>
          <w:i/>
        </w:rPr>
        <w:t>“(1) Bu Yönetmelik; üretim, tedarik, toplayıcı ve şarj ağı işletmeci lisansı sahibi tüzel kişilerin yenilenebilir enerji kaynak garanti sistemine katılımına ilişkin hükümleri, yenilenebilir enerji kaynak garanti sistemi ile organize yenilenebilir enerji kaynak garanti piyasasının oluşturulması ve işletilmesine ilişkin esasları, Piyasa İşletmecisinin görev ve yetkileri ile lisans sahibi tüzel kişilerin hak ve yükümlülüklerini kapsar.”</w:t>
      </w:r>
    </w:p>
    <w:p w14:paraId="78564260" w14:textId="77777777" w:rsidR="002806A0" w:rsidRPr="002048A7" w:rsidRDefault="002806A0" w:rsidP="002806A0">
      <w:pPr>
        <w:spacing w:after="0" w:line="240" w:lineRule="atLeast"/>
        <w:ind w:firstLine="566"/>
        <w:rPr>
          <w:rFonts w:ascii="Calibri" w:eastAsia="Times New Roman" w:hAnsi="Calibri" w:cs="Calibri"/>
          <w:color w:val="000000"/>
          <w:lang w:eastAsia="tr-TR"/>
        </w:rPr>
      </w:pPr>
    </w:p>
    <w:p w14:paraId="203D641F" w14:textId="77777777" w:rsidR="002806A0" w:rsidRPr="002048A7" w:rsidRDefault="004A6C99" w:rsidP="0025080A">
      <w:pPr>
        <w:pStyle w:val="ListeParagraf"/>
        <w:numPr>
          <w:ilvl w:val="0"/>
          <w:numId w:val="39"/>
        </w:numPr>
        <w:spacing w:after="0" w:line="240" w:lineRule="atLeast"/>
        <w:rPr>
          <w:rFonts w:ascii="Calibri" w:eastAsia="Times New Roman" w:hAnsi="Calibri" w:cs="Calibri"/>
          <w:color w:val="000000"/>
          <w:lang w:eastAsia="tr-TR"/>
        </w:rPr>
      </w:pPr>
      <w:proofErr w:type="gramStart"/>
      <w:r w:rsidRPr="004A6C99">
        <w:rPr>
          <w:rFonts w:ascii="Calibri" w:eastAsia="Times New Roman" w:hAnsi="Calibri" w:cs="Calibri"/>
          <w:color w:val="000000"/>
          <w:lang w:eastAsia="tr-TR"/>
        </w:rPr>
        <w:t>4 üncü</w:t>
      </w:r>
      <w:proofErr w:type="gramEnd"/>
      <w:r w:rsidRPr="004A6C99">
        <w:rPr>
          <w:rFonts w:ascii="Calibri" w:eastAsia="Times New Roman" w:hAnsi="Calibri" w:cs="Calibri"/>
          <w:color w:val="000000"/>
          <w:lang w:eastAsia="tr-TR"/>
        </w:rPr>
        <w:t xml:space="preserve"> maddesinin birinci fıkrasının (f) bendi aşağıdaki şekilde değiştirilmiştir.</w:t>
      </w:r>
    </w:p>
    <w:p w14:paraId="6E36CDDA" w14:textId="77777777" w:rsidR="002806A0" w:rsidRDefault="002806A0" w:rsidP="002806A0">
      <w:pPr>
        <w:spacing w:after="0" w:line="240" w:lineRule="atLeast"/>
        <w:rPr>
          <w:rFonts w:ascii="Calibri" w:eastAsia="Times New Roman" w:hAnsi="Calibri" w:cs="Calibri"/>
          <w:color w:val="000000"/>
          <w:lang w:eastAsia="tr-TR"/>
        </w:rPr>
      </w:pPr>
    </w:p>
    <w:p w14:paraId="4784272B" w14:textId="77777777" w:rsidR="004A6C99" w:rsidRPr="002048A7" w:rsidRDefault="004A6C99" w:rsidP="004A6C99">
      <w:pPr>
        <w:pStyle w:val="ListeParagraf"/>
        <w:spacing w:after="0"/>
        <w:ind w:left="1440"/>
        <w:rPr>
          <w:rFonts w:ascii="Calibri" w:hAnsi="Calibri"/>
          <w:i/>
        </w:rPr>
      </w:pPr>
      <w:r w:rsidRPr="004A6C99">
        <w:rPr>
          <w:rFonts w:ascii="Calibri" w:hAnsi="Calibri"/>
          <w:i/>
        </w:rPr>
        <w:t>“</w:t>
      </w:r>
      <w:proofErr w:type="gramStart"/>
      <w:r w:rsidRPr="004A6C99">
        <w:rPr>
          <w:rFonts w:ascii="Calibri" w:hAnsi="Calibri"/>
          <w:i/>
        </w:rPr>
        <w:t>f</w:t>
      </w:r>
      <w:proofErr w:type="gramEnd"/>
      <w:r w:rsidRPr="004A6C99">
        <w:rPr>
          <w:rFonts w:ascii="Calibri" w:hAnsi="Calibri"/>
          <w:i/>
        </w:rPr>
        <w:t>) İfşa: Tedarikçiler veya toplayıcılar tarafından tüketicilere tedarik edilen elektrik enerjisinin, şarj ağı işletmecileri tarafından şarj hizmetine konu elektrik enerjisinin belirli bir miktar veya oranının, yenilenebilir enerji kaynaklarından üretildiğinin ve YEK-G belgesi vasıtasıyla belgelendirildiğinin, fatura ve/veya başka bir bildirim aracı ile açıklanmasını,”</w:t>
      </w:r>
    </w:p>
    <w:p w14:paraId="33DF89F1" w14:textId="77777777" w:rsidR="004A6C99" w:rsidRPr="002048A7" w:rsidRDefault="004A6C99" w:rsidP="002806A0">
      <w:pPr>
        <w:spacing w:after="0" w:line="240" w:lineRule="atLeast"/>
        <w:rPr>
          <w:rFonts w:ascii="Calibri" w:eastAsia="Times New Roman" w:hAnsi="Calibri" w:cs="Calibri"/>
          <w:color w:val="000000"/>
          <w:lang w:eastAsia="tr-TR"/>
        </w:rPr>
      </w:pPr>
    </w:p>
    <w:p w14:paraId="21BBBCEB" w14:textId="77777777" w:rsidR="002806A0" w:rsidRPr="002048A7" w:rsidRDefault="004A6C99" w:rsidP="0025080A">
      <w:pPr>
        <w:pStyle w:val="ListeParagraf"/>
        <w:numPr>
          <w:ilvl w:val="0"/>
          <w:numId w:val="39"/>
        </w:numPr>
        <w:spacing w:after="0" w:line="240" w:lineRule="atLeast"/>
        <w:rPr>
          <w:rFonts w:ascii="Calibri" w:eastAsia="Times New Roman" w:hAnsi="Calibri" w:cs="Calibri"/>
          <w:color w:val="000000"/>
          <w:lang w:eastAsia="tr-TR"/>
        </w:rPr>
      </w:pPr>
      <w:r w:rsidRPr="004A6C99">
        <w:rPr>
          <w:rFonts w:ascii="Calibri" w:eastAsia="Times New Roman" w:hAnsi="Calibri" w:cs="Calibri"/>
          <w:color w:val="000000"/>
          <w:lang w:eastAsia="tr-TR"/>
        </w:rPr>
        <w:t>5 inci maddesinin birinci fıkrası ve ikinci fıkrasının (c) bendi aşağıdaki şekilde değiştirilmiştir.</w:t>
      </w:r>
    </w:p>
    <w:p w14:paraId="3A4B3918" w14:textId="77777777" w:rsidR="002806A0" w:rsidRPr="002048A7" w:rsidRDefault="002806A0" w:rsidP="002806A0">
      <w:pPr>
        <w:pStyle w:val="ListeParagraf"/>
        <w:spacing w:after="0" w:line="240" w:lineRule="atLeast"/>
        <w:ind w:left="1440"/>
        <w:rPr>
          <w:rFonts w:ascii="Calibri" w:eastAsia="Times New Roman" w:hAnsi="Calibri" w:cs="Calibri"/>
          <w:color w:val="000000"/>
          <w:lang w:eastAsia="tr-TR"/>
        </w:rPr>
      </w:pPr>
    </w:p>
    <w:p w14:paraId="72DA309F" w14:textId="77777777" w:rsidR="004A6C99" w:rsidRPr="004A6C99" w:rsidRDefault="004A6C99" w:rsidP="004A6C99">
      <w:pPr>
        <w:pStyle w:val="ListeParagraf"/>
        <w:spacing w:after="0"/>
        <w:ind w:left="1440"/>
        <w:rPr>
          <w:rFonts w:ascii="Calibri" w:hAnsi="Calibri"/>
          <w:i/>
        </w:rPr>
      </w:pPr>
      <w:r w:rsidRPr="004A6C99">
        <w:rPr>
          <w:rFonts w:ascii="Calibri" w:hAnsi="Calibri"/>
          <w:i/>
        </w:rPr>
        <w:t>“(1) YEK-G belgesi; tedarikçiler veya toplayıcılar tarafından tüketicilere tedarik edilen elektrik enerjisinin belirli bir miktarının veya oranının, yenilenebilir enerji kaynaklarından üretildiğinin ve bu elektrik enerjisinin kaynak türünün tüketiciye ispat ve ifşa edilmesi ile YEK-G belgelerinin ticaretinin yapılabilmesi amaçlarıyla Piyasa İşletmecisi tarafından ihraç edilir.”</w:t>
      </w:r>
    </w:p>
    <w:p w14:paraId="37883AF9" w14:textId="77777777" w:rsidR="002806A0" w:rsidRPr="002048A7" w:rsidRDefault="004A6C99" w:rsidP="004A6C99">
      <w:pPr>
        <w:pStyle w:val="ListeParagraf"/>
        <w:spacing w:after="0"/>
        <w:ind w:left="1440"/>
        <w:rPr>
          <w:rFonts w:ascii="Calibri" w:hAnsi="Calibri"/>
          <w:i/>
        </w:rPr>
      </w:pPr>
      <w:r w:rsidRPr="004A6C99">
        <w:rPr>
          <w:rFonts w:ascii="Calibri" w:hAnsi="Calibri"/>
          <w:i/>
        </w:rPr>
        <w:t>“</w:t>
      </w:r>
      <w:proofErr w:type="gramStart"/>
      <w:r w:rsidRPr="004A6C99">
        <w:rPr>
          <w:rFonts w:ascii="Calibri" w:hAnsi="Calibri"/>
          <w:i/>
        </w:rPr>
        <w:t>c</w:t>
      </w:r>
      <w:proofErr w:type="gramEnd"/>
      <w:r w:rsidRPr="004A6C99">
        <w:rPr>
          <w:rFonts w:ascii="Calibri" w:hAnsi="Calibri"/>
          <w:i/>
        </w:rPr>
        <w:t>) YEK-G belgesi, yenilenebilir enerji kaynaklarına dayalı lisanslı üretim tesislerinde üretilen belgelendirilebilir üretim miktarı dikkate alınarak ve ilgili üretim lisansı sahibi tüzel kişiler veya toplayıcılar tarafından talep edilmesi halinde ihraç edilir.”</w:t>
      </w:r>
    </w:p>
    <w:p w14:paraId="004B3C00" w14:textId="77777777" w:rsidR="002806A0" w:rsidRPr="002048A7" w:rsidRDefault="002806A0" w:rsidP="002806A0">
      <w:pPr>
        <w:spacing w:after="0"/>
        <w:ind w:left="709" w:hanging="425"/>
        <w:rPr>
          <w:rFonts w:ascii="Calibri" w:hAnsi="Calibri"/>
          <w:bCs/>
        </w:rPr>
      </w:pPr>
    </w:p>
    <w:p w14:paraId="614981CC" w14:textId="77777777" w:rsidR="002806A0" w:rsidRPr="002048A7" w:rsidRDefault="004A6C99" w:rsidP="0025080A">
      <w:pPr>
        <w:pStyle w:val="ListeParagraf"/>
        <w:numPr>
          <w:ilvl w:val="0"/>
          <w:numId w:val="39"/>
        </w:numPr>
        <w:spacing w:after="0"/>
        <w:rPr>
          <w:rFonts w:ascii="Calibri" w:hAnsi="Calibri"/>
          <w:bCs/>
        </w:rPr>
      </w:pPr>
      <w:proofErr w:type="gramStart"/>
      <w:r w:rsidRPr="004A6C99">
        <w:rPr>
          <w:rFonts w:ascii="Calibri" w:hAnsi="Calibri"/>
          <w:bCs/>
        </w:rPr>
        <w:t>6 ncı</w:t>
      </w:r>
      <w:proofErr w:type="gramEnd"/>
      <w:r w:rsidRPr="004A6C99">
        <w:rPr>
          <w:rFonts w:ascii="Calibri" w:hAnsi="Calibri"/>
          <w:bCs/>
        </w:rPr>
        <w:t xml:space="preserve"> maddesinin birinci fıkrasına aşağıdaki bent eklenmiştir.</w:t>
      </w:r>
    </w:p>
    <w:p w14:paraId="5C0558FC" w14:textId="77777777" w:rsidR="002806A0" w:rsidRPr="002048A7" w:rsidRDefault="002806A0" w:rsidP="002806A0">
      <w:pPr>
        <w:spacing w:after="0"/>
        <w:rPr>
          <w:rFonts w:ascii="Calibri" w:hAnsi="Calibri"/>
          <w:bCs/>
        </w:rPr>
      </w:pPr>
    </w:p>
    <w:p w14:paraId="543396A9" w14:textId="77777777" w:rsidR="002806A0" w:rsidRDefault="004A6C99" w:rsidP="00577AAF">
      <w:pPr>
        <w:pStyle w:val="ListeParagraf"/>
        <w:spacing w:after="0"/>
        <w:ind w:left="1440"/>
        <w:rPr>
          <w:rFonts w:ascii="Calibri" w:hAnsi="Calibri"/>
          <w:i/>
        </w:rPr>
      </w:pPr>
      <w:r w:rsidRPr="004A6C99">
        <w:rPr>
          <w:rFonts w:ascii="Calibri" w:hAnsi="Calibri"/>
          <w:i/>
        </w:rPr>
        <w:t>“</w:t>
      </w:r>
      <w:proofErr w:type="gramStart"/>
      <w:r w:rsidRPr="004A6C99">
        <w:rPr>
          <w:rFonts w:ascii="Calibri" w:hAnsi="Calibri"/>
          <w:i/>
        </w:rPr>
        <w:t>ç</w:t>
      </w:r>
      <w:proofErr w:type="gramEnd"/>
      <w:r w:rsidRPr="004A6C99">
        <w:rPr>
          <w:rFonts w:ascii="Calibri" w:hAnsi="Calibri"/>
          <w:i/>
        </w:rPr>
        <w:t>) Toplayıcı lisansı sahibi,”</w:t>
      </w:r>
    </w:p>
    <w:p w14:paraId="5A27A670" w14:textId="77777777" w:rsidR="004A6C99" w:rsidRDefault="004A6C99" w:rsidP="00577AAF">
      <w:pPr>
        <w:pStyle w:val="ListeParagraf"/>
        <w:spacing w:after="0"/>
        <w:ind w:left="1440"/>
        <w:rPr>
          <w:rFonts w:ascii="Calibri" w:hAnsi="Calibri"/>
          <w:i/>
        </w:rPr>
      </w:pPr>
    </w:p>
    <w:p w14:paraId="3E28F6BF" w14:textId="77777777" w:rsidR="004A6C99" w:rsidRPr="002048A7" w:rsidRDefault="004A6C99" w:rsidP="0025080A">
      <w:pPr>
        <w:pStyle w:val="ListeParagraf"/>
        <w:numPr>
          <w:ilvl w:val="0"/>
          <w:numId w:val="39"/>
        </w:numPr>
        <w:spacing w:after="0"/>
        <w:rPr>
          <w:rFonts w:ascii="Calibri" w:hAnsi="Calibri"/>
          <w:bCs/>
        </w:rPr>
      </w:pPr>
      <w:proofErr w:type="gramStart"/>
      <w:r w:rsidRPr="004A6C99">
        <w:rPr>
          <w:rFonts w:ascii="Calibri" w:hAnsi="Calibri"/>
          <w:bCs/>
        </w:rPr>
        <w:t>7 nci</w:t>
      </w:r>
      <w:proofErr w:type="gramEnd"/>
      <w:r w:rsidRPr="004A6C99">
        <w:rPr>
          <w:rFonts w:ascii="Calibri" w:hAnsi="Calibri"/>
          <w:bCs/>
        </w:rPr>
        <w:t xml:space="preserve"> maddesinin altıncı ve yedinci fıkraları aşağıdaki şekilde değiştirilmiş, aynı maddeye aşağıdaki fıkra eklenmiştir.</w:t>
      </w:r>
    </w:p>
    <w:p w14:paraId="448ED1FB" w14:textId="77777777" w:rsidR="004A6C99" w:rsidRPr="002048A7" w:rsidRDefault="004A6C99" w:rsidP="004A6C99">
      <w:pPr>
        <w:spacing w:after="0"/>
        <w:rPr>
          <w:rFonts w:ascii="Calibri" w:hAnsi="Calibri"/>
          <w:bCs/>
        </w:rPr>
      </w:pPr>
    </w:p>
    <w:p w14:paraId="361A66CC" w14:textId="77777777" w:rsidR="004A6C99" w:rsidRPr="004A6C99" w:rsidRDefault="004A6C99" w:rsidP="004A6C99">
      <w:pPr>
        <w:pStyle w:val="ListeParagraf"/>
        <w:spacing w:after="0"/>
        <w:ind w:left="1440"/>
        <w:rPr>
          <w:rFonts w:ascii="Calibri" w:hAnsi="Calibri"/>
          <w:i/>
        </w:rPr>
      </w:pPr>
      <w:r w:rsidRPr="004A6C99">
        <w:rPr>
          <w:rFonts w:ascii="Calibri" w:hAnsi="Calibri"/>
          <w:i/>
        </w:rPr>
        <w:t xml:space="preserve">“(6) YEK-G sistem kullanıcısı ve/veya piyasa katılımcısı olan şarj ağı işletmecileri, üretim lisansı sahibi sistem katılımcılarına ve toplayıcılara tanınanlar hariç olmak üzere bu Yönetmelik ile Usul </w:t>
      </w:r>
      <w:r w:rsidRPr="004A6C99">
        <w:rPr>
          <w:rFonts w:ascii="Calibri" w:hAnsi="Calibri"/>
          <w:i/>
        </w:rPr>
        <w:lastRenderedPageBreak/>
        <w:t>ve Esaslar kapsamında sistem kullanıcılarına ve piyasa katılımcılarına tanınan hak ve yükümlülüklere sahiptir.</w:t>
      </w:r>
    </w:p>
    <w:p w14:paraId="2DE66711" w14:textId="77777777" w:rsidR="004A6C99" w:rsidRPr="004A6C99" w:rsidRDefault="004A6C99" w:rsidP="004A6C99">
      <w:pPr>
        <w:pStyle w:val="ListeParagraf"/>
        <w:spacing w:after="0"/>
        <w:ind w:left="1440"/>
        <w:rPr>
          <w:rFonts w:ascii="Calibri" w:hAnsi="Calibri"/>
          <w:i/>
        </w:rPr>
      </w:pPr>
      <w:r w:rsidRPr="004A6C99">
        <w:rPr>
          <w:rFonts w:ascii="Calibri" w:hAnsi="Calibri"/>
          <w:i/>
        </w:rPr>
        <w:t>(7) Üretim lisansı sahibi tüzel kişiler ve toplayıcılar, sahip oldukları yenilenebilir enerji kaynaklarına dayalı üretim tesislerine ilişkin kayıt işlemini gerçekleştirebilmek için YEK-G sistemi katılım taahhütnamesini Piyasa İşletmecisine sunmakla yükümlüdür. YEK-G sistemi katılım taahhütnamesine aykırı hareket edildiğinin tespiti halinde ilgili tüzel kişinin YEK-G sistemi ve organize YEK-G piyasasında işlem yapması engellenir. Söz konusu ihlal, Piyasa İşletmecisi tarafından Kuruma raporlanır ve Elektrik Piyasası Kanunu çerçevesinde işlem tesis edilir.”</w:t>
      </w:r>
    </w:p>
    <w:p w14:paraId="7B0CD189" w14:textId="77777777" w:rsidR="004A6C99" w:rsidRDefault="004A6C99" w:rsidP="004A6C99">
      <w:pPr>
        <w:pStyle w:val="ListeParagraf"/>
        <w:spacing w:after="0"/>
        <w:ind w:left="1440"/>
        <w:rPr>
          <w:rFonts w:ascii="Calibri" w:hAnsi="Calibri"/>
          <w:i/>
        </w:rPr>
      </w:pPr>
      <w:r w:rsidRPr="004A6C99">
        <w:rPr>
          <w:rFonts w:ascii="Calibri" w:hAnsi="Calibri"/>
          <w:i/>
        </w:rPr>
        <w:t>“(10) Toplayıcı lisansı sahibi tüzel kişiler, bu Yönetmelik kapsamında iş ve işlemleri yürütmekle sorumludur. Ayrıca toplayıcı lisansı sahibi tüzel kişiler ilgisine göre bu Yönetmelikteki tüm yükümlülükleri yerine getirmekle sorumludur.”</w:t>
      </w:r>
    </w:p>
    <w:p w14:paraId="35CF7738" w14:textId="77777777" w:rsidR="004A6C99" w:rsidRPr="002048A7" w:rsidRDefault="004A6C99" w:rsidP="0025080A">
      <w:pPr>
        <w:pStyle w:val="ListeParagraf"/>
        <w:numPr>
          <w:ilvl w:val="0"/>
          <w:numId w:val="38"/>
        </w:numPr>
        <w:spacing w:after="0"/>
        <w:rPr>
          <w:rFonts w:ascii="Calibri" w:hAnsi="Calibri"/>
          <w:bCs/>
        </w:rPr>
      </w:pPr>
      <w:r>
        <w:rPr>
          <w:rFonts w:ascii="Calibri" w:hAnsi="Calibri"/>
          <w:bCs/>
        </w:rPr>
        <w:t>17</w:t>
      </w:r>
      <w:r w:rsidRPr="002048A7">
        <w:rPr>
          <w:rFonts w:ascii="Calibri" w:hAnsi="Calibri"/>
          <w:bCs/>
        </w:rPr>
        <w:t>.12.202</w:t>
      </w:r>
      <w:r>
        <w:rPr>
          <w:rFonts w:ascii="Calibri" w:hAnsi="Calibri"/>
          <w:bCs/>
        </w:rPr>
        <w:t>4</w:t>
      </w:r>
      <w:r w:rsidRPr="002048A7">
        <w:rPr>
          <w:rFonts w:ascii="Calibri" w:hAnsi="Calibri"/>
          <w:bCs/>
        </w:rPr>
        <w:t xml:space="preserve"> tarihli ve 32</w:t>
      </w:r>
      <w:r>
        <w:rPr>
          <w:rFonts w:ascii="Calibri" w:hAnsi="Calibri"/>
          <w:bCs/>
        </w:rPr>
        <w:t>755</w:t>
      </w:r>
      <w:r w:rsidRPr="002048A7">
        <w:rPr>
          <w:rFonts w:ascii="Calibri" w:hAnsi="Calibri"/>
          <w:bCs/>
        </w:rPr>
        <w:t xml:space="preserve"> sayılı Resmî Gazetede yayımlanan Değişiklik Yönetmeliği ile </w:t>
      </w:r>
      <w:r w:rsidRPr="004A6C99">
        <w:rPr>
          <w:rFonts w:ascii="Calibri" w:hAnsi="Calibri"/>
          <w:b/>
          <w:bCs/>
        </w:rPr>
        <w:t>Elektrik Şebeke Yönetmeliğinin</w:t>
      </w:r>
    </w:p>
    <w:p w14:paraId="731D8252" w14:textId="77777777" w:rsidR="004A6C99" w:rsidRPr="002048A7" w:rsidRDefault="004A6C99" w:rsidP="004A6C99">
      <w:pPr>
        <w:pStyle w:val="ListeParagraf"/>
        <w:spacing w:after="0"/>
        <w:rPr>
          <w:rFonts w:ascii="Calibri" w:hAnsi="Calibri"/>
          <w:bCs/>
        </w:rPr>
      </w:pPr>
    </w:p>
    <w:p w14:paraId="4E1D81F8" w14:textId="77777777" w:rsidR="004A6C99" w:rsidRPr="002048A7" w:rsidRDefault="004A6C99" w:rsidP="0025080A">
      <w:pPr>
        <w:pStyle w:val="metin0"/>
        <w:numPr>
          <w:ilvl w:val="0"/>
          <w:numId w:val="39"/>
        </w:numPr>
        <w:spacing w:before="0" w:beforeAutospacing="0" w:after="0" w:afterAutospacing="0" w:line="240" w:lineRule="atLeast"/>
        <w:rPr>
          <w:rFonts w:ascii="Calibri" w:hAnsi="Calibri" w:cs="Calibri"/>
          <w:color w:val="000000"/>
          <w:sz w:val="22"/>
          <w:szCs w:val="22"/>
        </w:rPr>
      </w:pPr>
      <w:proofErr w:type="gramStart"/>
      <w:r w:rsidRPr="004A6C99">
        <w:rPr>
          <w:rFonts w:ascii="Calibri" w:hAnsi="Calibri" w:cs="Calibri"/>
          <w:color w:val="000000"/>
          <w:sz w:val="22"/>
          <w:szCs w:val="22"/>
        </w:rPr>
        <w:t>4 üncü</w:t>
      </w:r>
      <w:proofErr w:type="gramEnd"/>
      <w:r w:rsidRPr="004A6C99">
        <w:rPr>
          <w:rFonts w:ascii="Calibri" w:hAnsi="Calibri" w:cs="Calibri"/>
          <w:color w:val="000000"/>
          <w:sz w:val="22"/>
          <w:szCs w:val="22"/>
        </w:rPr>
        <w:t xml:space="preserve"> maddesinin birinci fıkrasının (ğğğğğğğ) bendinde yer alan </w:t>
      </w:r>
      <w:r w:rsidRPr="004A6C99">
        <w:rPr>
          <w:rFonts w:ascii="Calibri" w:hAnsi="Calibri" w:cs="Calibri"/>
          <w:i/>
          <w:color w:val="000000"/>
          <w:sz w:val="22"/>
          <w:szCs w:val="22"/>
        </w:rPr>
        <w:t>“27/12/2008 tarihli ve 27093 sayılı”</w:t>
      </w:r>
      <w:r w:rsidRPr="004A6C99">
        <w:rPr>
          <w:rFonts w:ascii="Calibri" w:hAnsi="Calibri" w:cs="Calibri"/>
          <w:color w:val="000000"/>
          <w:sz w:val="22"/>
          <w:szCs w:val="22"/>
        </w:rPr>
        <w:t xml:space="preserve"> ibaresi </w:t>
      </w:r>
      <w:r w:rsidRPr="004A6C99">
        <w:rPr>
          <w:rFonts w:ascii="Calibri" w:hAnsi="Calibri" w:cs="Calibri"/>
          <w:i/>
          <w:color w:val="000000"/>
          <w:sz w:val="22"/>
          <w:szCs w:val="22"/>
        </w:rPr>
        <w:t>“26/11/2017 tarihli ve 30252 sayılı”</w:t>
      </w:r>
      <w:r w:rsidRPr="004A6C99">
        <w:rPr>
          <w:rFonts w:ascii="Calibri" w:hAnsi="Calibri" w:cs="Calibri"/>
          <w:color w:val="000000"/>
          <w:sz w:val="22"/>
          <w:szCs w:val="22"/>
        </w:rPr>
        <w:t xml:space="preserve"> şeklinde değiştirilmiş ve aynı fıkraya aşağıdaki bentler eklenmiştir.</w:t>
      </w:r>
    </w:p>
    <w:p w14:paraId="5D0FDC70" w14:textId="77777777" w:rsidR="004A6C99" w:rsidRPr="002048A7" w:rsidRDefault="004A6C99" w:rsidP="004A6C99">
      <w:pPr>
        <w:pStyle w:val="metin0"/>
        <w:spacing w:before="0" w:beforeAutospacing="0" w:after="0" w:afterAutospacing="0" w:line="240" w:lineRule="atLeast"/>
        <w:ind w:left="1440"/>
        <w:rPr>
          <w:rFonts w:ascii="Calibri" w:hAnsi="Calibri" w:cs="Calibri"/>
          <w:color w:val="000000"/>
          <w:sz w:val="22"/>
          <w:szCs w:val="22"/>
        </w:rPr>
      </w:pPr>
    </w:p>
    <w:p w14:paraId="44888A41" w14:textId="77777777" w:rsidR="004A6C99" w:rsidRPr="004A6C99" w:rsidRDefault="004A6C99" w:rsidP="004A6C99">
      <w:pPr>
        <w:pStyle w:val="ListeParagraf"/>
        <w:spacing w:after="0"/>
        <w:ind w:left="1440"/>
        <w:rPr>
          <w:rFonts w:ascii="Calibri" w:hAnsi="Calibri"/>
          <w:i/>
        </w:rPr>
      </w:pPr>
      <w:r w:rsidRPr="004A6C99">
        <w:rPr>
          <w:rFonts w:ascii="Calibri" w:hAnsi="Calibri"/>
          <w:i/>
        </w:rPr>
        <w:t>“</w:t>
      </w:r>
      <w:proofErr w:type="gramStart"/>
      <w:r w:rsidRPr="004A6C99">
        <w:rPr>
          <w:rFonts w:ascii="Calibri" w:hAnsi="Calibri"/>
          <w:i/>
        </w:rPr>
        <w:t>rrrrrrr</w:t>
      </w:r>
      <w:proofErr w:type="gramEnd"/>
      <w:r w:rsidRPr="004A6C99">
        <w:rPr>
          <w:rFonts w:ascii="Calibri" w:hAnsi="Calibri"/>
          <w:i/>
        </w:rPr>
        <w:t>) Talep tarafı katılımı: Sistem işletmecisinin talimatı doğrultusunda, hizmete katılan toplayıcıların portföyünde yer alan tüketim tesislerinin tüketimlerinin düşürülmesi suretiyle verilen hizmeti,</w:t>
      </w:r>
    </w:p>
    <w:p w14:paraId="452CCA16" w14:textId="77777777" w:rsidR="004A6C99" w:rsidRPr="004A6C99" w:rsidRDefault="004A6C99" w:rsidP="004A6C99">
      <w:pPr>
        <w:pStyle w:val="ListeParagraf"/>
        <w:spacing w:after="0"/>
        <w:ind w:left="1440"/>
        <w:rPr>
          <w:rFonts w:ascii="Calibri" w:hAnsi="Calibri"/>
          <w:i/>
        </w:rPr>
      </w:pPr>
      <w:proofErr w:type="gramStart"/>
      <w:r w:rsidRPr="004A6C99">
        <w:rPr>
          <w:rFonts w:ascii="Calibri" w:hAnsi="Calibri"/>
          <w:i/>
        </w:rPr>
        <w:t>sssssss</w:t>
      </w:r>
      <w:proofErr w:type="gramEnd"/>
      <w:r w:rsidRPr="004A6C99">
        <w:rPr>
          <w:rFonts w:ascii="Calibri" w:hAnsi="Calibri"/>
          <w:i/>
        </w:rPr>
        <w:t>) Minimum kararlı üretim düzeyi (MKÜD): Bir uzlaştırmaya esas veriş çekiş biriminin sürekli olarak çalışabileceği asgari aktif güç seviyesini,</w:t>
      </w:r>
    </w:p>
    <w:p w14:paraId="62518C1A" w14:textId="77777777" w:rsidR="004A6C99" w:rsidRPr="004A6C99" w:rsidRDefault="004A6C99" w:rsidP="004A6C99">
      <w:pPr>
        <w:pStyle w:val="ListeParagraf"/>
        <w:spacing w:after="0"/>
        <w:ind w:left="1440"/>
        <w:rPr>
          <w:rFonts w:ascii="Calibri" w:hAnsi="Calibri"/>
          <w:i/>
        </w:rPr>
      </w:pPr>
      <w:proofErr w:type="gramStart"/>
      <w:r w:rsidRPr="004A6C99">
        <w:rPr>
          <w:rFonts w:ascii="Calibri" w:hAnsi="Calibri"/>
          <w:i/>
        </w:rPr>
        <w:t>şşşşşşş</w:t>
      </w:r>
      <w:proofErr w:type="gramEnd"/>
      <w:r w:rsidRPr="004A6C99">
        <w:rPr>
          <w:rFonts w:ascii="Calibri" w:hAnsi="Calibri"/>
          <w:i/>
        </w:rPr>
        <w:t>) Sınırlı frekans hassasiyeti düşük frekans modu: Sınırlı frekans hassasiyet modlarında çalışan üretim tesislerine ait ünitelerin, nominal aktif güçlerinin altında çalıştıkları süreçte, sistem frekansının 49,8 Hz’nin altına düşmesi durumunda, aktif çıkış güçlerini artırarak sistem frekansının dengelenmesi yönünde çalışmasını,</w:t>
      </w:r>
    </w:p>
    <w:p w14:paraId="6D78A0AD" w14:textId="77777777" w:rsidR="004A6C99" w:rsidRDefault="004A6C99" w:rsidP="004A6C99">
      <w:pPr>
        <w:pStyle w:val="ListeParagraf"/>
        <w:spacing w:after="0"/>
        <w:ind w:left="1440"/>
        <w:rPr>
          <w:rFonts w:ascii="Calibri" w:hAnsi="Calibri"/>
          <w:i/>
        </w:rPr>
      </w:pPr>
      <w:proofErr w:type="gramStart"/>
      <w:r w:rsidRPr="004A6C99">
        <w:rPr>
          <w:rFonts w:ascii="Calibri" w:hAnsi="Calibri"/>
          <w:i/>
        </w:rPr>
        <w:t>ttttttt</w:t>
      </w:r>
      <w:proofErr w:type="gramEnd"/>
      <w:r w:rsidRPr="004A6C99">
        <w:rPr>
          <w:rFonts w:ascii="Calibri" w:hAnsi="Calibri"/>
          <w:i/>
        </w:rPr>
        <w:t>) Sınırlı frekans hassasiyeti yüksek frekans modu: Sınırlı frekans hassasiyet modlarında çalışan üretim tesislerine ait ünitelerin, minimum kararlı üretim düzeyi üzerinde çalıştıkları süreçte, sistem frekansının 50,2 Hz’nin üzerine çıkması durumunda aktif çıkış güçlerini azaltarak sistem frekansının dengelenmesi yönünde çalışmasını,”</w:t>
      </w:r>
    </w:p>
    <w:p w14:paraId="47B907E1" w14:textId="77777777" w:rsidR="004A6C99" w:rsidRDefault="004A6C99" w:rsidP="004A6C99">
      <w:pPr>
        <w:pStyle w:val="ListeParagraf"/>
        <w:spacing w:after="0"/>
        <w:ind w:left="1440"/>
        <w:rPr>
          <w:rFonts w:ascii="Calibri" w:hAnsi="Calibri"/>
          <w:i/>
        </w:rPr>
      </w:pPr>
    </w:p>
    <w:p w14:paraId="20702678" w14:textId="77777777" w:rsidR="004A6C99" w:rsidRPr="002048A7" w:rsidRDefault="004A6C99" w:rsidP="0025080A">
      <w:pPr>
        <w:pStyle w:val="metin0"/>
        <w:numPr>
          <w:ilvl w:val="0"/>
          <w:numId w:val="39"/>
        </w:numPr>
        <w:spacing w:before="0" w:beforeAutospacing="0" w:after="0" w:afterAutospacing="0" w:line="240" w:lineRule="atLeast"/>
        <w:rPr>
          <w:rFonts w:ascii="Calibri" w:hAnsi="Calibri" w:cs="Calibri"/>
          <w:color w:val="000000"/>
          <w:sz w:val="22"/>
          <w:szCs w:val="22"/>
        </w:rPr>
      </w:pPr>
      <w:proofErr w:type="gramStart"/>
      <w:r w:rsidRPr="004A6C99">
        <w:rPr>
          <w:rFonts w:ascii="Calibri" w:hAnsi="Calibri" w:cs="Calibri"/>
          <w:color w:val="000000"/>
          <w:sz w:val="22"/>
          <w:szCs w:val="22"/>
        </w:rPr>
        <w:t>6 ncı</w:t>
      </w:r>
      <w:proofErr w:type="gramEnd"/>
      <w:r w:rsidRPr="004A6C99">
        <w:rPr>
          <w:rFonts w:ascii="Calibri" w:hAnsi="Calibri" w:cs="Calibri"/>
          <w:color w:val="000000"/>
          <w:sz w:val="22"/>
          <w:szCs w:val="22"/>
        </w:rPr>
        <w:t xml:space="preserve"> maddesinin on sekizinci fıkrası aşağıdaki şekilde değiştirilmiştir.</w:t>
      </w:r>
    </w:p>
    <w:p w14:paraId="09809A5F" w14:textId="77777777" w:rsidR="004A6C99" w:rsidRPr="002048A7" w:rsidRDefault="004A6C99" w:rsidP="004A6C99">
      <w:pPr>
        <w:pStyle w:val="metin0"/>
        <w:spacing w:before="0" w:beforeAutospacing="0" w:after="0" w:afterAutospacing="0" w:line="240" w:lineRule="atLeast"/>
        <w:ind w:left="1440"/>
        <w:rPr>
          <w:rFonts w:ascii="Calibri" w:hAnsi="Calibri" w:cs="Calibri"/>
          <w:color w:val="000000"/>
          <w:sz w:val="22"/>
          <w:szCs w:val="22"/>
        </w:rPr>
      </w:pPr>
    </w:p>
    <w:p w14:paraId="25AEDAA5" w14:textId="77777777" w:rsidR="004A6C99" w:rsidRDefault="004A6C99" w:rsidP="004A6C99">
      <w:pPr>
        <w:pStyle w:val="ListeParagraf"/>
        <w:spacing w:after="0"/>
        <w:ind w:left="1440"/>
        <w:rPr>
          <w:rFonts w:ascii="Calibri" w:hAnsi="Calibri"/>
          <w:i/>
        </w:rPr>
      </w:pPr>
      <w:r w:rsidRPr="004A6C99">
        <w:rPr>
          <w:rFonts w:ascii="Calibri" w:hAnsi="Calibri"/>
          <w:i/>
        </w:rPr>
        <w:t xml:space="preserve">“(18) Sistemde şönt kompanzasyon, şönt reaktörler ve şönt kapasitörlerle yapılır. Şönt reaktörler 400 kV seviyesinde hem hatta hem de baraya, havai hat olmaması durumunda ise baraya bağlanabilecek şekilde tasarlanır. 154 kV seviyesinde baraya bağlanabilecek şekilde ve ototransformatörlerin tersiyer sargılarına bağlanabilecek şekilde tasarlanır. Şönt kapasitörler ise 154 kV transformatör merkezlerinin primer veya sekonder tarafındaki baralara tesis edilir. 400 kV sistemde tesis edilen şönt reaktörlerin standart kapasiteleri 420 kV gerilim seviyesinde 73,3 MVAr, 97,73 MVAr, 122,16 MVAr, 146,59 MVAr, 183,24 MVAr ve 160-250 MVAr’dır. 154 kV sistemde tesis edilen şönt reaktörlerin standart kapasiteleri ise 170 kV gerilim seviyesinde 6,09 MVAr, 12,18 MVAr ve 24,37 MVAr ve 50 MVAr’dır. Şönt reaktörler 420 kV ve 170 kV sistem gerilimlerinde sürekli çalışabilecek şekilde tasarlanır. Şönt reaktörler, ayarlı olarak da tesis edilebilir. 154 kV transformatör merkezlerindeki 154 kV şönt reaktörler ve kapasitörler transformatör merkezinin kısa devre gücü ve harmonik rezonans riskleri hesaplanarak tesis </w:t>
      </w:r>
      <w:r w:rsidRPr="004A6C99">
        <w:rPr>
          <w:rFonts w:ascii="Calibri" w:hAnsi="Calibri"/>
          <w:i/>
        </w:rPr>
        <w:lastRenderedPageBreak/>
        <w:t>edilir. 154 kV transformatör merkezlerindeki 31,25 MVA, 62,5 MVA, 100 MVA ve transformatörlerin sekonder tarafındaki baraya gerilim regülasyonu amacıyla 5 MVAr, 10 MVAr ve 2x10 MVAr gücünde şönt kapasitör grupları ve dinamik kompanzasyon sistemleri veya uygun güçte reaktörler tesis edilir. Şönt kapasitörler, transformatör kapasitesinin %20’sini geçmeyecek şekilde ve gerektiğinde ayrı fiderlere bağlı iki kapasitör grubu şeklinde tesis edilir. Şönt reaktörler ve kapasitörler, bağlantı noktalarına kesici ve ayırıcı üzerinden bağlanır. İhtiyaç duyulması halinde farklı değerlerde reaktör ve kapasitör tasarlanabilir.”</w:t>
      </w:r>
    </w:p>
    <w:p w14:paraId="4006C542" w14:textId="77777777" w:rsidR="004A6C99" w:rsidRDefault="004A6C99" w:rsidP="004A6C99">
      <w:pPr>
        <w:pStyle w:val="ListeParagraf"/>
        <w:spacing w:after="0"/>
        <w:ind w:left="1440"/>
        <w:rPr>
          <w:rFonts w:ascii="Calibri" w:hAnsi="Calibri"/>
          <w:i/>
        </w:rPr>
      </w:pPr>
    </w:p>
    <w:p w14:paraId="5ECA3C3B" w14:textId="77777777" w:rsidR="004A6C99" w:rsidRPr="002048A7" w:rsidRDefault="004A6C99" w:rsidP="0025080A">
      <w:pPr>
        <w:pStyle w:val="metin0"/>
        <w:numPr>
          <w:ilvl w:val="0"/>
          <w:numId w:val="39"/>
        </w:numPr>
        <w:spacing w:before="0" w:beforeAutospacing="0" w:after="0" w:afterAutospacing="0" w:line="240" w:lineRule="atLeast"/>
        <w:rPr>
          <w:rFonts w:ascii="Calibri" w:hAnsi="Calibri" w:cs="Calibri"/>
          <w:color w:val="000000"/>
          <w:sz w:val="22"/>
          <w:szCs w:val="22"/>
        </w:rPr>
      </w:pPr>
      <w:proofErr w:type="gramStart"/>
      <w:r w:rsidRPr="004A6C99">
        <w:rPr>
          <w:rFonts w:ascii="Calibri" w:hAnsi="Calibri" w:cs="Calibri"/>
          <w:color w:val="000000"/>
          <w:sz w:val="22"/>
          <w:szCs w:val="22"/>
        </w:rPr>
        <w:t>20 nci</w:t>
      </w:r>
      <w:proofErr w:type="gramEnd"/>
      <w:r w:rsidRPr="004A6C99">
        <w:rPr>
          <w:rFonts w:ascii="Calibri" w:hAnsi="Calibri" w:cs="Calibri"/>
          <w:color w:val="000000"/>
          <w:sz w:val="22"/>
          <w:szCs w:val="22"/>
        </w:rPr>
        <w:t xml:space="preserve"> maddesinin sekizinci fıkrası aşağıdaki şekilde değiştirilmiştir.</w:t>
      </w:r>
    </w:p>
    <w:p w14:paraId="0F7599AC" w14:textId="77777777" w:rsidR="004A6C99" w:rsidRPr="002048A7" w:rsidRDefault="004A6C99" w:rsidP="004A6C99">
      <w:pPr>
        <w:pStyle w:val="metin0"/>
        <w:spacing w:before="0" w:beforeAutospacing="0" w:after="0" w:afterAutospacing="0" w:line="240" w:lineRule="atLeast"/>
        <w:ind w:left="1440"/>
        <w:rPr>
          <w:rFonts w:ascii="Calibri" w:hAnsi="Calibri" w:cs="Calibri"/>
          <w:color w:val="000000"/>
          <w:sz w:val="22"/>
          <w:szCs w:val="22"/>
        </w:rPr>
      </w:pPr>
    </w:p>
    <w:p w14:paraId="2D952717" w14:textId="77777777" w:rsidR="004A6C99" w:rsidRPr="004A6C99" w:rsidRDefault="004A6C99" w:rsidP="004A6C99">
      <w:pPr>
        <w:pStyle w:val="ListeParagraf"/>
        <w:spacing w:after="0"/>
        <w:ind w:left="1440"/>
        <w:rPr>
          <w:rFonts w:ascii="Calibri" w:hAnsi="Calibri"/>
          <w:i/>
        </w:rPr>
      </w:pPr>
      <w:r w:rsidRPr="004A6C99">
        <w:rPr>
          <w:rFonts w:ascii="Calibri" w:hAnsi="Calibri"/>
          <w:i/>
        </w:rPr>
        <w:t>“(8) Sistem frekansının kararsız işletme koşullarında 51,5 Hz’e çıkabileceği veya 47,5 Hz’e düşebileceği göz önünde bulundurularak, toplam kurulu gücü 1 MW ve üzerinde olan üretim tesisleri ve/veya TEİAŞ teçhizatının aşağıdaki tabloda belirtilen minimum süre kadar iletim şebekesine bağlı kalarak çalışacak şekilde tasarlanması zorunludur.</w:t>
      </w:r>
    </w:p>
    <w:p w14:paraId="4E095B65" w14:textId="77777777" w:rsidR="004A6C99" w:rsidRPr="00071236" w:rsidRDefault="004A6C99" w:rsidP="004A6C99">
      <w:pPr>
        <w:spacing w:after="0" w:line="240" w:lineRule="atLeast"/>
        <w:ind w:firstLine="566"/>
        <w:rPr>
          <w:rFonts w:ascii="Times New Roman" w:eastAsia="Times New Roman" w:hAnsi="Times New Roman"/>
          <w:sz w:val="19"/>
          <w:szCs w:val="19"/>
          <w:lang w:eastAsia="tr-TR"/>
        </w:rPr>
      </w:pPr>
    </w:p>
    <w:tbl>
      <w:tblPr>
        <w:tblW w:w="6237" w:type="dxa"/>
        <w:jc w:val="center"/>
        <w:tblCellMar>
          <w:left w:w="0" w:type="dxa"/>
          <w:right w:w="0" w:type="dxa"/>
        </w:tblCellMar>
        <w:tblLook w:val="04A0" w:firstRow="1" w:lastRow="0" w:firstColumn="1" w:lastColumn="0" w:noHBand="0" w:noVBand="1"/>
      </w:tblPr>
      <w:tblGrid>
        <w:gridCol w:w="2802"/>
        <w:gridCol w:w="3435"/>
      </w:tblGrid>
      <w:tr w:rsidR="004A6C99" w:rsidRPr="00071236" w14:paraId="1019645B" w14:textId="77777777" w:rsidTr="00E05AA4">
        <w:trPr>
          <w:trHeight w:val="20"/>
          <w:jc w:val="center"/>
        </w:trPr>
        <w:tc>
          <w:tcPr>
            <w:tcW w:w="2127" w:type="dxa"/>
            <w:tcBorders>
              <w:top w:val="single" w:sz="8" w:space="0" w:color="000000"/>
              <w:left w:val="single" w:sz="8" w:space="0" w:color="000000"/>
              <w:bottom w:val="single" w:sz="8" w:space="0" w:color="000000"/>
              <w:right w:val="single" w:sz="8" w:space="0" w:color="000000"/>
            </w:tcBorders>
            <w:hideMark/>
          </w:tcPr>
          <w:p w14:paraId="58041AD1" w14:textId="77777777" w:rsidR="004A6C99" w:rsidRPr="00071236" w:rsidRDefault="004A6C99" w:rsidP="00E05AA4">
            <w:pPr>
              <w:spacing w:after="0" w:line="240" w:lineRule="atLeast"/>
              <w:ind w:left="65"/>
              <w:rPr>
                <w:rFonts w:ascii="Calibri" w:eastAsia="Times New Roman" w:hAnsi="Calibri" w:cs="Calibri"/>
                <w:lang w:eastAsia="tr-TR"/>
              </w:rPr>
            </w:pPr>
            <w:r w:rsidRPr="00071236">
              <w:rPr>
                <w:rFonts w:ascii="Times New Roman" w:eastAsia="Times New Roman" w:hAnsi="Times New Roman"/>
                <w:spacing w:val="-1"/>
                <w:sz w:val="18"/>
                <w:szCs w:val="18"/>
                <w:lang w:val="en-US" w:eastAsia="tr-TR"/>
              </w:rPr>
              <w:t>Frekans</w:t>
            </w:r>
            <w:r w:rsidRPr="00071236">
              <w:rPr>
                <w:rFonts w:ascii="Times New Roman" w:eastAsia="Times New Roman" w:hAnsi="Times New Roman"/>
                <w:sz w:val="18"/>
                <w:szCs w:val="18"/>
                <w:lang w:val="en-US" w:eastAsia="tr-TR"/>
              </w:rPr>
              <w:t> Aralığı</w:t>
            </w:r>
          </w:p>
        </w:tc>
        <w:tc>
          <w:tcPr>
            <w:tcW w:w="2607" w:type="dxa"/>
            <w:tcBorders>
              <w:top w:val="single" w:sz="8" w:space="0" w:color="000000"/>
              <w:left w:val="nil"/>
              <w:bottom w:val="single" w:sz="8" w:space="0" w:color="000000"/>
              <w:right w:val="single" w:sz="8" w:space="0" w:color="000000"/>
            </w:tcBorders>
            <w:hideMark/>
          </w:tcPr>
          <w:p w14:paraId="308597B2" w14:textId="77777777" w:rsidR="004A6C99" w:rsidRPr="00071236" w:rsidRDefault="004A6C99" w:rsidP="00E05AA4">
            <w:pPr>
              <w:spacing w:after="0" w:line="240" w:lineRule="atLeast"/>
              <w:ind w:left="64"/>
              <w:rPr>
                <w:rFonts w:ascii="Calibri" w:eastAsia="Times New Roman" w:hAnsi="Calibri" w:cs="Calibri"/>
                <w:lang w:eastAsia="tr-TR"/>
              </w:rPr>
            </w:pPr>
            <w:r w:rsidRPr="00071236">
              <w:rPr>
                <w:rFonts w:ascii="Times New Roman" w:eastAsia="Times New Roman" w:hAnsi="Times New Roman"/>
                <w:spacing w:val="-1"/>
                <w:sz w:val="18"/>
                <w:szCs w:val="18"/>
                <w:lang w:val="en-US" w:eastAsia="tr-TR"/>
              </w:rPr>
              <w:t>Minimum</w:t>
            </w:r>
            <w:r w:rsidRPr="00071236">
              <w:rPr>
                <w:rFonts w:ascii="Times New Roman" w:eastAsia="Times New Roman" w:hAnsi="Times New Roman"/>
                <w:spacing w:val="-5"/>
                <w:sz w:val="18"/>
                <w:szCs w:val="18"/>
                <w:lang w:val="en-US" w:eastAsia="tr-TR"/>
              </w:rPr>
              <w:t> </w:t>
            </w:r>
            <w:r w:rsidRPr="00071236">
              <w:rPr>
                <w:rFonts w:ascii="Times New Roman" w:eastAsia="Times New Roman" w:hAnsi="Times New Roman"/>
                <w:spacing w:val="-1"/>
                <w:sz w:val="18"/>
                <w:szCs w:val="18"/>
                <w:lang w:val="en-US" w:eastAsia="tr-TR"/>
              </w:rPr>
              <w:t>Çalışma</w:t>
            </w:r>
            <w:r w:rsidRPr="00071236">
              <w:rPr>
                <w:rFonts w:ascii="Times New Roman" w:eastAsia="Times New Roman" w:hAnsi="Times New Roman"/>
                <w:spacing w:val="-5"/>
                <w:sz w:val="18"/>
                <w:szCs w:val="18"/>
                <w:lang w:val="en-US" w:eastAsia="tr-TR"/>
              </w:rPr>
              <w:t> </w:t>
            </w:r>
            <w:r w:rsidRPr="00071236">
              <w:rPr>
                <w:rFonts w:ascii="Times New Roman" w:eastAsia="Times New Roman" w:hAnsi="Times New Roman"/>
                <w:spacing w:val="-1"/>
                <w:sz w:val="18"/>
                <w:szCs w:val="18"/>
                <w:lang w:val="en-US" w:eastAsia="tr-TR"/>
              </w:rPr>
              <w:t>Süresi</w:t>
            </w:r>
          </w:p>
        </w:tc>
      </w:tr>
      <w:tr w:rsidR="004A6C99" w:rsidRPr="00071236" w14:paraId="617FD2D3" w14:textId="77777777" w:rsidTr="00E05AA4">
        <w:trPr>
          <w:trHeight w:val="20"/>
          <w:jc w:val="center"/>
        </w:trPr>
        <w:tc>
          <w:tcPr>
            <w:tcW w:w="2127" w:type="dxa"/>
            <w:tcBorders>
              <w:top w:val="nil"/>
              <w:left w:val="single" w:sz="8" w:space="0" w:color="000000"/>
              <w:bottom w:val="single" w:sz="8" w:space="0" w:color="000000"/>
              <w:right w:val="single" w:sz="8" w:space="0" w:color="000000"/>
            </w:tcBorders>
            <w:hideMark/>
          </w:tcPr>
          <w:p w14:paraId="392B9E9F" w14:textId="77777777" w:rsidR="004A6C99" w:rsidRPr="00071236" w:rsidRDefault="004A6C99" w:rsidP="00E05AA4">
            <w:pPr>
              <w:spacing w:after="0" w:line="240" w:lineRule="atLeast"/>
              <w:ind w:left="65"/>
              <w:rPr>
                <w:rFonts w:ascii="Calibri" w:eastAsia="Times New Roman" w:hAnsi="Calibri" w:cs="Calibri"/>
                <w:lang w:eastAsia="tr-TR"/>
              </w:rPr>
            </w:pPr>
            <w:r w:rsidRPr="00071236">
              <w:rPr>
                <w:rFonts w:ascii="Times New Roman" w:eastAsia="Times New Roman" w:hAnsi="Times New Roman"/>
                <w:sz w:val="18"/>
                <w:szCs w:val="18"/>
                <w:lang w:val="en-US" w:eastAsia="tr-TR"/>
              </w:rPr>
              <w:t>51 Hz≤f&lt;51,5 </w:t>
            </w:r>
            <w:r w:rsidRPr="00071236">
              <w:rPr>
                <w:rFonts w:ascii="Times New Roman" w:eastAsia="Times New Roman" w:hAnsi="Times New Roman"/>
                <w:spacing w:val="-1"/>
                <w:sz w:val="18"/>
                <w:szCs w:val="18"/>
                <w:lang w:val="en-US" w:eastAsia="tr-TR"/>
              </w:rPr>
              <w:t>Hz</w:t>
            </w:r>
          </w:p>
        </w:tc>
        <w:tc>
          <w:tcPr>
            <w:tcW w:w="2607" w:type="dxa"/>
            <w:tcBorders>
              <w:top w:val="nil"/>
              <w:left w:val="nil"/>
              <w:bottom w:val="single" w:sz="8" w:space="0" w:color="000000"/>
              <w:right w:val="single" w:sz="8" w:space="0" w:color="000000"/>
            </w:tcBorders>
            <w:hideMark/>
          </w:tcPr>
          <w:p w14:paraId="59711001" w14:textId="77777777" w:rsidR="004A6C99" w:rsidRPr="00071236" w:rsidRDefault="004A6C99" w:rsidP="00E05AA4">
            <w:pPr>
              <w:spacing w:after="0" w:line="240" w:lineRule="atLeast"/>
              <w:ind w:left="64"/>
              <w:rPr>
                <w:rFonts w:ascii="Calibri" w:eastAsia="Times New Roman" w:hAnsi="Calibri" w:cs="Calibri"/>
                <w:lang w:eastAsia="tr-TR"/>
              </w:rPr>
            </w:pPr>
            <w:r w:rsidRPr="00071236">
              <w:rPr>
                <w:rFonts w:ascii="Times New Roman" w:eastAsia="Times New Roman" w:hAnsi="Times New Roman"/>
                <w:sz w:val="18"/>
                <w:szCs w:val="18"/>
                <w:lang w:val="en-US" w:eastAsia="tr-TR"/>
              </w:rPr>
              <w:t>30</w:t>
            </w:r>
            <w:r w:rsidRPr="00071236">
              <w:rPr>
                <w:rFonts w:ascii="Times New Roman" w:eastAsia="Times New Roman" w:hAnsi="Times New Roman"/>
                <w:spacing w:val="-7"/>
                <w:sz w:val="18"/>
                <w:szCs w:val="18"/>
                <w:lang w:val="en-US" w:eastAsia="tr-TR"/>
              </w:rPr>
              <w:t> </w:t>
            </w:r>
            <w:r w:rsidRPr="00071236">
              <w:rPr>
                <w:rFonts w:ascii="Times New Roman" w:eastAsia="Times New Roman" w:hAnsi="Times New Roman"/>
                <w:sz w:val="18"/>
                <w:szCs w:val="18"/>
                <w:lang w:val="en-US" w:eastAsia="tr-TR"/>
              </w:rPr>
              <w:t>dakika</w:t>
            </w:r>
          </w:p>
        </w:tc>
      </w:tr>
      <w:tr w:rsidR="004A6C99" w:rsidRPr="00071236" w14:paraId="169FE3B7" w14:textId="77777777" w:rsidTr="00E05AA4">
        <w:trPr>
          <w:trHeight w:val="20"/>
          <w:jc w:val="center"/>
        </w:trPr>
        <w:tc>
          <w:tcPr>
            <w:tcW w:w="2127" w:type="dxa"/>
            <w:tcBorders>
              <w:top w:val="nil"/>
              <w:left w:val="single" w:sz="8" w:space="0" w:color="000000"/>
              <w:bottom w:val="single" w:sz="8" w:space="0" w:color="000000"/>
              <w:right w:val="single" w:sz="8" w:space="0" w:color="000000"/>
            </w:tcBorders>
            <w:hideMark/>
          </w:tcPr>
          <w:p w14:paraId="7FC7C808" w14:textId="77777777" w:rsidR="004A6C99" w:rsidRPr="00071236" w:rsidRDefault="004A6C99" w:rsidP="00E05AA4">
            <w:pPr>
              <w:spacing w:after="0" w:line="240" w:lineRule="atLeast"/>
              <w:ind w:left="65"/>
              <w:rPr>
                <w:rFonts w:ascii="Calibri" w:eastAsia="Times New Roman" w:hAnsi="Calibri" w:cs="Calibri"/>
                <w:lang w:eastAsia="tr-TR"/>
              </w:rPr>
            </w:pPr>
            <w:r w:rsidRPr="00071236">
              <w:rPr>
                <w:rFonts w:ascii="Times New Roman" w:eastAsia="Times New Roman" w:hAnsi="Times New Roman"/>
                <w:sz w:val="18"/>
                <w:szCs w:val="18"/>
                <w:lang w:val="en-US" w:eastAsia="tr-TR"/>
              </w:rPr>
              <w:t>49 </w:t>
            </w:r>
            <w:r w:rsidRPr="00071236">
              <w:rPr>
                <w:rFonts w:ascii="Times New Roman" w:eastAsia="Times New Roman" w:hAnsi="Times New Roman"/>
                <w:spacing w:val="-1"/>
                <w:sz w:val="18"/>
                <w:szCs w:val="18"/>
                <w:lang w:val="en-US" w:eastAsia="tr-TR"/>
              </w:rPr>
              <w:t>Hz</w:t>
            </w:r>
            <w:r w:rsidRPr="00071236">
              <w:rPr>
                <w:rFonts w:ascii="Times New Roman" w:eastAsia="Times New Roman" w:hAnsi="Times New Roman"/>
                <w:sz w:val="18"/>
                <w:szCs w:val="18"/>
                <w:lang w:val="en-US" w:eastAsia="tr-TR"/>
              </w:rPr>
              <w:t> ≤f&lt;51 </w:t>
            </w:r>
            <w:r w:rsidRPr="00071236">
              <w:rPr>
                <w:rFonts w:ascii="Times New Roman" w:eastAsia="Times New Roman" w:hAnsi="Times New Roman"/>
                <w:spacing w:val="-1"/>
                <w:sz w:val="18"/>
                <w:szCs w:val="18"/>
                <w:lang w:val="en-US" w:eastAsia="tr-TR"/>
              </w:rPr>
              <w:t>Hz</w:t>
            </w:r>
          </w:p>
        </w:tc>
        <w:tc>
          <w:tcPr>
            <w:tcW w:w="2607" w:type="dxa"/>
            <w:tcBorders>
              <w:top w:val="nil"/>
              <w:left w:val="nil"/>
              <w:bottom w:val="single" w:sz="8" w:space="0" w:color="000000"/>
              <w:right w:val="single" w:sz="8" w:space="0" w:color="000000"/>
            </w:tcBorders>
            <w:hideMark/>
          </w:tcPr>
          <w:p w14:paraId="2E51E3E0" w14:textId="77777777" w:rsidR="004A6C99" w:rsidRPr="00071236" w:rsidRDefault="004A6C99" w:rsidP="00E05AA4">
            <w:pPr>
              <w:spacing w:after="0" w:line="240" w:lineRule="atLeast"/>
              <w:ind w:left="64"/>
              <w:rPr>
                <w:rFonts w:ascii="Calibri" w:eastAsia="Times New Roman" w:hAnsi="Calibri" w:cs="Calibri"/>
                <w:lang w:eastAsia="tr-TR"/>
              </w:rPr>
            </w:pPr>
            <w:r w:rsidRPr="00071236">
              <w:rPr>
                <w:rFonts w:ascii="Times New Roman" w:eastAsia="Times New Roman" w:hAnsi="Times New Roman"/>
                <w:spacing w:val="-1"/>
                <w:sz w:val="18"/>
                <w:szCs w:val="18"/>
                <w:lang w:val="en-US" w:eastAsia="tr-TR"/>
              </w:rPr>
              <w:t>Sürekli</w:t>
            </w:r>
          </w:p>
        </w:tc>
      </w:tr>
      <w:tr w:rsidR="004A6C99" w:rsidRPr="00071236" w14:paraId="7952E2BA" w14:textId="77777777" w:rsidTr="00E05AA4">
        <w:trPr>
          <w:trHeight w:val="20"/>
          <w:jc w:val="center"/>
        </w:trPr>
        <w:tc>
          <w:tcPr>
            <w:tcW w:w="2127" w:type="dxa"/>
            <w:tcBorders>
              <w:top w:val="nil"/>
              <w:left w:val="single" w:sz="8" w:space="0" w:color="000000"/>
              <w:bottom w:val="single" w:sz="8" w:space="0" w:color="000000"/>
              <w:right w:val="single" w:sz="8" w:space="0" w:color="000000"/>
            </w:tcBorders>
            <w:hideMark/>
          </w:tcPr>
          <w:p w14:paraId="0EEFA712" w14:textId="77777777" w:rsidR="004A6C99" w:rsidRPr="00071236" w:rsidRDefault="004A6C99" w:rsidP="00E05AA4">
            <w:pPr>
              <w:spacing w:after="0" w:line="240" w:lineRule="atLeast"/>
              <w:ind w:left="65"/>
              <w:rPr>
                <w:rFonts w:ascii="Calibri" w:eastAsia="Times New Roman" w:hAnsi="Calibri" w:cs="Calibri"/>
                <w:lang w:eastAsia="tr-TR"/>
              </w:rPr>
            </w:pPr>
            <w:r w:rsidRPr="00071236">
              <w:rPr>
                <w:rFonts w:ascii="Times New Roman" w:eastAsia="Times New Roman" w:hAnsi="Times New Roman"/>
                <w:sz w:val="18"/>
                <w:szCs w:val="18"/>
                <w:lang w:val="en-US" w:eastAsia="tr-TR"/>
              </w:rPr>
              <w:t>48,5 </w:t>
            </w:r>
            <w:r w:rsidRPr="00071236">
              <w:rPr>
                <w:rFonts w:ascii="Times New Roman" w:eastAsia="Times New Roman" w:hAnsi="Times New Roman"/>
                <w:spacing w:val="-1"/>
                <w:sz w:val="18"/>
                <w:szCs w:val="18"/>
                <w:lang w:val="en-US" w:eastAsia="tr-TR"/>
              </w:rPr>
              <w:t>Hz</w:t>
            </w:r>
            <w:r w:rsidRPr="00071236">
              <w:rPr>
                <w:rFonts w:ascii="Times New Roman" w:eastAsia="Times New Roman" w:hAnsi="Times New Roman"/>
                <w:sz w:val="18"/>
                <w:szCs w:val="18"/>
                <w:lang w:val="en-US" w:eastAsia="tr-TR"/>
              </w:rPr>
              <w:t> ≤f&lt; 49 </w:t>
            </w:r>
            <w:r w:rsidRPr="00071236">
              <w:rPr>
                <w:rFonts w:ascii="Times New Roman" w:eastAsia="Times New Roman" w:hAnsi="Times New Roman"/>
                <w:spacing w:val="-1"/>
                <w:sz w:val="18"/>
                <w:szCs w:val="18"/>
                <w:lang w:val="en-US" w:eastAsia="tr-TR"/>
              </w:rPr>
              <w:t>Hz</w:t>
            </w:r>
          </w:p>
        </w:tc>
        <w:tc>
          <w:tcPr>
            <w:tcW w:w="2607" w:type="dxa"/>
            <w:tcBorders>
              <w:top w:val="nil"/>
              <w:left w:val="nil"/>
              <w:bottom w:val="single" w:sz="8" w:space="0" w:color="000000"/>
              <w:right w:val="single" w:sz="8" w:space="0" w:color="000000"/>
            </w:tcBorders>
            <w:hideMark/>
          </w:tcPr>
          <w:p w14:paraId="1AE90AE0" w14:textId="77777777" w:rsidR="004A6C99" w:rsidRPr="00071236" w:rsidRDefault="004A6C99" w:rsidP="00E05AA4">
            <w:pPr>
              <w:spacing w:after="0" w:line="240" w:lineRule="atLeast"/>
              <w:ind w:left="64"/>
              <w:rPr>
                <w:rFonts w:ascii="Calibri" w:eastAsia="Times New Roman" w:hAnsi="Calibri" w:cs="Calibri"/>
                <w:lang w:eastAsia="tr-TR"/>
              </w:rPr>
            </w:pPr>
            <w:r w:rsidRPr="00071236">
              <w:rPr>
                <w:rFonts w:ascii="Times New Roman" w:eastAsia="Times New Roman" w:hAnsi="Times New Roman"/>
                <w:sz w:val="18"/>
                <w:szCs w:val="18"/>
                <w:lang w:val="en-US" w:eastAsia="tr-TR"/>
              </w:rPr>
              <w:t>1</w:t>
            </w:r>
            <w:r w:rsidRPr="00071236">
              <w:rPr>
                <w:rFonts w:ascii="Times New Roman" w:eastAsia="Times New Roman" w:hAnsi="Times New Roman"/>
                <w:spacing w:val="-4"/>
                <w:sz w:val="18"/>
                <w:szCs w:val="18"/>
                <w:lang w:val="en-US" w:eastAsia="tr-TR"/>
              </w:rPr>
              <w:t> </w:t>
            </w:r>
            <w:r w:rsidRPr="00071236">
              <w:rPr>
                <w:rFonts w:ascii="Times New Roman" w:eastAsia="Times New Roman" w:hAnsi="Times New Roman"/>
                <w:spacing w:val="-1"/>
                <w:sz w:val="18"/>
                <w:szCs w:val="18"/>
                <w:lang w:val="en-US" w:eastAsia="tr-TR"/>
              </w:rPr>
              <w:t>saat</w:t>
            </w:r>
          </w:p>
        </w:tc>
      </w:tr>
      <w:tr w:rsidR="004A6C99" w:rsidRPr="00071236" w14:paraId="4171B2A7" w14:textId="77777777" w:rsidTr="00E05AA4">
        <w:trPr>
          <w:trHeight w:val="20"/>
          <w:jc w:val="center"/>
        </w:trPr>
        <w:tc>
          <w:tcPr>
            <w:tcW w:w="2127" w:type="dxa"/>
            <w:tcBorders>
              <w:top w:val="nil"/>
              <w:left w:val="single" w:sz="8" w:space="0" w:color="000000"/>
              <w:bottom w:val="single" w:sz="8" w:space="0" w:color="000000"/>
              <w:right w:val="single" w:sz="8" w:space="0" w:color="000000"/>
            </w:tcBorders>
            <w:hideMark/>
          </w:tcPr>
          <w:p w14:paraId="7BD0F1FA" w14:textId="77777777" w:rsidR="004A6C99" w:rsidRPr="00071236" w:rsidRDefault="004A6C99" w:rsidP="00E05AA4">
            <w:pPr>
              <w:spacing w:after="0" w:line="240" w:lineRule="atLeast"/>
              <w:ind w:left="65"/>
              <w:rPr>
                <w:rFonts w:ascii="Calibri" w:eastAsia="Times New Roman" w:hAnsi="Calibri" w:cs="Calibri"/>
                <w:lang w:eastAsia="tr-TR"/>
              </w:rPr>
            </w:pPr>
            <w:r w:rsidRPr="00071236">
              <w:rPr>
                <w:rFonts w:ascii="Times New Roman" w:eastAsia="Times New Roman" w:hAnsi="Times New Roman"/>
                <w:sz w:val="18"/>
                <w:szCs w:val="18"/>
                <w:lang w:val="en-US" w:eastAsia="tr-TR"/>
              </w:rPr>
              <w:t>47,5 </w:t>
            </w:r>
            <w:r w:rsidRPr="00071236">
              <w:rPr>
                <w:rFonts w:ascii="Times New Roman" w:eastAsia="Times New Roman" w:hAnsi="Times New Roman"/>
                <w:spacing w:val="-1"/>
                <w:sz w:val="18"/>
                <w:szCs w:val="18"/>
                <w:lang w:val="en-US" w:eastAsia="tr-TR"/>
              </w:rPr>
              <w:t>Hz</w:t>
            </w:r>
            <w:r w:rsidRPr="00071236">
              <w:rPr>
                <w:rFonts w:ascii="Times New Roman" w:eastAsia="Times New Roman" w:hAnsi="Times New Roman"/>
                <w:sz w:val="18"/>
                <w:szCs w:val="18"/>
                <w:lang w:val="en-US" w:eastAsia="tr-TR"/>
              </w:rPr>
              <w:t> ≤f&lt; 48,5 </w:t>
            </w:r>
            <w:r w:rsidRPr="00071236">
              <w:rPr>
                <w:rFonts w:ascii="Times New Roman" w:eastAsia="Times New Roman" w:hAnsi="Times New Roman"/>
                <w:spacing w:val="-1"/>
                <w:sz w:val="18"/>
                <w:szCs w:val="18"/>
                <w:lang w:val="en-US" w:eastAsia="tr-TR"/>
              </w:rPr>
              <w:t>Hz</w:t>
            </w:r>
          </w:p>
        </w:tc>
        <w:tc>
          <w:tcPr>
            <w:tcW w:w="2607" w:type="dxa"/>
            <w:tcBorders>
              <w:top w:val="nil"/>
              <w:left w:val="nil"/>
              <w:bottom w:val="single" w:sz="8" w:space="0" w:color="000000"/>
              <w:right w:val="single" w:sz="8" w:space="0" w:color="000000"/>
            </w:tcBorders>
            <w:hideMark/>
          </w:tcPr>
          <w:p w14:paraId="19E00021" w14:textId="77777777" w:rsidR="004A6C99" w:rsidRPr="00071236" w:rsidRDefault="004A6C99" w:rsidP="00E05AA4">
            <w:pPr>
              <w:spacing w:after="0" w:line="240" w:lineRule="atLeast"/>
              <w:ind w:left="64"/>
              <w:rPr>
                <w:rFonts w:ascii="Calibri" w:eastAsia="Times New Roman" w:hAnsi="Calibri" w:cs="Calibri"/>
                <w:lang w:eastAsia="tr-TR"/>
              </w:rPr>
            </w:pPr>
            <w:r w:rsidRPr="00071236">
              <w:rPr>
                <w:rFonts w:ascii="Times New Roman" w:eastAsia="Times New Roman" w:hAnsi="Times New Roman"/>
                <w:sz w:val="18"/>
                <w:szCs w:val="18"/>
                <w:lang w:val="en-US" w:eastAsia="tr-TR"/>
              </w:rPr>
              <w:t>30</w:t>
            </w:r>
            <w:r w:rsidRPr="00071236">
              <w:rPr>
                <w:rFonts w:ascii="Times New Roman" w:eastAsia="Times New Roman" w:hAnsi="Times New Roman"/>
                <w:spacing w:val="-7"/>
                <w:sz w:val="18"/>
                <w:szCs w:val="18"/>
                <w:lang w:val="en-US" w:eastAsia="tr-TR"/>
              </w:rPr>
              <w:t> </w:t>
            </w:r>
            <w:r w:rsidRPr="00071236">
              <w:rPr>
                <w:rFonts w:ascii="Times New Roman" w:eastAsia="Times New Roman" w:hAnsi="Times New Roman"/>
                <w:sz w:val="18"/>
                <w:szCs w:val="18"/>
                <w:lang w:val="en-US" w:eastAsia="tr-TR"/>
              </w:rPr>
              <w:t>dakika</w:t>
            </w:r>
          </w:p>
        </w:tc>
      </w:tr>
    </w:tbl>
    <w:p w14:paraId="41DF8124" w14:textId="77777777" w:rsidR="004A6C99" w:rsidRDefault="004A6C99" w:rsidP="004A6C99">
      <w:pPr>
        <w:pStyle w:val="ListeParagraf"/>
        <w:spacing w:after="0"/>
        <w:ind w:left="1440"/>
        <w:rPr>
          <w:rFonts w:ascii="Calibri" w:hAnsi="Calibri"/>
          <w:i/>
        </w:rPr>
      </w:pPr>
    </w:p>
    <w:p w14:paraId="366A1F11" w14:textId="77777777" w:rsidR="004A6C99" w:rsidRPr="002048A7" w:rsidRDefault="004A6C99" w:rsidP="0025080A">
      <w:pPr>
        <w:pStyle w:val="metin0"/>
        <w:numPr>
          <w:ilvl w:val="0"/>
          <w:numId w:val="39"/>
        </w:numPr>
        <w:spacing w:before="0" w:beforeAutospacing="0" w:after="0" w:afterAutospacing="0" w:line="240" w:lineRule="atLeast"/>
        <w:rPr>
          <w:rFonts w:ascii="Calibri" w:hAnsi="Calibri" w:cs="Calibri"/>
          <w:color w:val="000000"/>
          <w:sz w:val="22"/>
          <w:szCs w:val="22"/>
        </w:rPr>
      </w:pPr>
      <w:r w:rsidRPr="004A6C99">
        <w:rPr>
          <w:rFonts w:ascii="Calibri" w:hAnsi="Calibri" w:cs="Calibri"/>
          <w:color w:val="000000"/>
          <w:sz w:val="22"/>
          <w:szCs w:val="22"/>
        </w:rPr>
        <w:t xml:space="preserve">21 inci maddesinin altıncı fıkrasının (b) bendinde yer alan </w:t>
      </w:r>
      <w:r w:rsidRPr="004A6C99">
        <w:rPr>
          <w:rFonts w:ascii="Calibri" w:hAnsi="Calibri" w:cs="Calibri"/>
          <w:i/>
          <w:color w:val="000000"/>
          <w:sz w:val="22"/>
          <w:szCs w:val="22"/>
        </w:rPr>
        <w:t>“47,5-52,5”</w:t>
      </w:r>
      <w:r w:rsidRPr="004A6C99">
        <w:rPr>
          <w:rFonts w:ascii="Calibri" w:hAnsi="Calibri" w:cs="Calibri"/>
          <w:color w:val="000000"/>
          <w:sz w:val="22"/>
          <w:szCs w:val="22"/>
        </w:rPr>
        <w:t xml:space="preserve"> ibaresi </w:t>
      </w:r>
      <w:r w:rsidRPr="004A6C99">
        <w:rPr>
          <w:rFonts w:ascii="Calibri" w:hAnsi="Calibri" w:cs="Calibri"/>
          <w:i/>
          <w:color w:val="000000"/>
          <w:sz w:val="22"/>
          <w:szCs w:val="22"/>
        </w:rPr>
        <w:t>“47,5-51,5”</w:t>
      </w:r>
      <w:r w:rsidRPr="004A6C99">
        <w:rPr>
          <w:rFonts w:ascii="Calibri" w:hAnsi="Calibri" w:cs="Calibri"/>
          <w:color w:val="000000"/>
          <w:sz w:val="22"/>
          <w:szCs w:val="22"/>
        </w:rPr>
        <w:t xml:space="preserve"> şeklinde değiştirilmiştir.</w:t>
      </w:r>
    </w:p>
    <w:p w14:paraId="2036929D" w14:textId="77777777" w:rsidR="004A6C99" w:rsidRPr="002048A7" w:rsidRDefault="004A6C99" w:rsidP="004A6C99">
      <w:pPr>
        <w:pStyle w:val="metin0"/>
        <w:spacing w:before="0" w:beforeAutospacing="0" w:after="0" w:afterAutospacing="0" w:line="240" w:lineRule="atLeast"/>
        <w:ind w:left="1440"/>
        <w:rPr>
          <w:rFonts w:ascii="Calibri" w:hAnsi="Calibri" w:cs="Calibri"/>
          <w:color w:val="000000"/>
          <w:sz w:val="22"/>
          <w:szCs w:val="22"/>
        </w:rPr>
      </w:pPr>
    </w:p>
    <w:p w14:paraId="68A356CB" w14:textId="77777777" w:rsidR="004A6C99" w:rsidRPr="002048A7" w:rsidRDefault="004A6C99" w:rsidP="0025080A">
      <w:pPr>
        <w:pStyle w:val="metin0"/>
        <w:numPr>
          <w:ilvl w:val="0"/>
          <w:numId w:val="39"/>
        </w:numPr>
        <w:spacing w:before="0" w:beforeAutospacing="0" w:after="0" w:afterAutospacing="0" w:line="240" w:lineRule="atLeast"/>
        <w:rPr>
          <w:rFonts w:ascii="Calibri" w:hAnsi="Calibri" w:cs="Calibri"/>
          <w:color w:val="000000"/>
          <w:sz w:val="22"/>
          <w:szCs w:val="22"/>
        </w:rPr>
      </w:pPr>
      <w:proofErr w:type="gramStart"/>
      <w:r w:rsidRPr="004A6C99">
        <w:rPr>
          <w:rFonts w:ascii="Calibri" w:hAnsi="Calibri" w:cs="Calibri"/>
          <w:color w:val="000000"/>
          <w:sz w:val="22"/>
          <w:szCs w:val="22"/>
        </w:rPr>
        <w:t>36 ncı</w:t>
      </w:r>
      <w:proofErr w:type="gramEnd"/>
      <w:r w:rsidRPr="004A6C99">
        <w:rPr>
          <w:rFonts w:ascii="Calibri" w:hAnsi="Calibri" w:cs="Calibri"/>
          <w:color w:val="000000"/>
          <w:sz w:val="22"/>
          <w:szCs w:val="22"/>
        </w:rPr>
        <w:t xml:space="preserve"> maddesinin beşinci fıkrası aşağıdaki şekilde değiştirilmiştir.</w:t>
      </w:r>
    </w:p>
    <w:p w14:paraId="5D4587B4" w14:textId="77777777" w:rsidR="004A6C99" w:rsidRPr="002048A7" w:rsidRDefault="004A6C99" w:rsidP="004A6C99">
      <w:pPr>
        <w:pStyle w:val="metin0"/>
        <w:spacing w:before="0" w:beforeAutospacing="0" w:after="0" w:afterAutospacing="0" w:line="240" w:lineRule="atLeast"/>
        <w:ind w:left="1440"/>
        <w:rPr>
          <w:rFonts w:ascii="Calibri" w:hAnsi="Calibri" w:cs="Calibri"/>
          <w:color w:val="000000"/>
          <w:sz w:val="22"/>
          <w:szCs w:val="22"/>
        </w:rPr>
      </w:pPr>
    </w:p>
    <w:p w14:paraId="4F73FC0D" w14:textId="77777777" w:rsidR="004A6C99" w:rsidRPr="004A6C99" w:rsidRDefault="004A6C99" w:rsidP="004A6C99">
      <w:pPr>
        <w:pStyle w:val="ListeParagraf"/>
        <w:spacing w:after="0"/>
        <w:ind w:left="1440"/>
        <w:rPr>
          <w:rFonts w:ascii="Calibri" w:hAnsi="Calibri"/>
          <w:i/>
        </w:rPr>
      </w:pPr>
      <w:r w:rsidRPr="004A6C99">
        <w:rPr>
          <w:rFonts w:ascii="Calibri" w:hAnsi="Calibri"/>
          <w:i/>
        </w:rPr>
        <w:t>“(5) Yeni devreye girecek iletimden bağlı olan üretim tesislerinden;</w:t>
      </w:r>
    </w:p>
    <w:p w14:paraId="2F995BA3" w14:textId="77777777" w:rsidR="004A6C99" w:rsidRPr="004A6C99" w:rsidRDefault="004A6C99" w:rsidP="004A6C99">
      <w:pPr>
        <w:pStyle w:val="ListeParagraf"/>
        <w:spacing w:after="0"/>
        <w:ind w:left="1440"/>
        <w:rPr>
          <w:rFonts w:ascii="Calibri" w:hAnsi="Calibri"/>
          <w:i/>
        </w:rPr>
      </w:pPr>
      <w:r w:rsidRPr="004A6C99">
        <w:rPr>
          <w:rFonts w:ascii="Calibri" w:hAnsi="Calibri"/>
          <w:i/>
        </w:rPr>
        <w:t>a) Reaktif güç destek hizmeti sunmakla yükümlü olan üretim tesisi sahibi tüzel kişiler, reaktif güç destek hizmeti yan hizmet sertifikasını geçici kabul tarihinden itibaren 120 gün içerisinde ve reaktif güç destek hizmeti sunmakla yükümlü olan nükleer üretim tesisi sahibi tüzel kişiler ise ön kabul tarihi itibarıyla 120 gün içerisinde,</w:t>
      </w:r>
    </w:p>
    <w:p w14:paraId="295D38AF" w14:textId="77777777" w:rsidR="004A6C99" w:rsidRPr="004A6C99" w:rsidRDefault="004A6C99" w:rsidP="004A6C99">
      <w:pPr>
        <w:pStyle w:val="ListeParagraf"/>
        <w:spacing w:after="0"/>
        <w:ind w:left="1440"/>
        <w:rPr>
          <w:rFonts w:ascii="Calibri" w:hAnsi="Calibri"/>
          <w:i/>
        </w:rPr>
      </w:pPr>
      <w:r w:rsidRPr="004A6C99">
        <w:rPr>
          <w:rFonts w:ascii="Calibri" w:hAnsi="Calibri"/>
          <w:i/>
        </w:rPr>
        <w:t>b) Kurulu gücü 30 MW ve üzerinde olan ve en az 3 MW primer frekans kontrol rezervi sağlayabilen ünite veya üniteler içeren yan hizmet birimlerinin primer frekans kontrol hizmeti sağlama niteliğine sahip olduğuna dair primer frekans kontrol yan hizmet test sertifikasını geçici kabul tarihinden itibaren 120 gün içerisinde,</w:t>
      </w:r>
    </w:p>
    <w:p w14:paraId="78545B73" w14:textId="77777777" w:rsidR="004A6C99" w:rsidRPr="004A6C99" w:rsidRDefault="004A6C99" w:rsidP="004A6C99">
      <w:pPr>
        <w:pStyle w:val="ListeParagraf"/>
        <w:spacing w:after="0"/>
        <w:ind w:left="1440"/>
        <w:rPr>
          <w:rFonts w:ascii="Calibri" w:hAnsi="Calibri"/>
          <w:i/>
        </w:rPr>
      </w:pPr>
      <w:r w:rsidRPr="004A6C99">
        <w:rPr>
          <w:rFonts w:ascii="Calibri" w:hAnsi="Calibri"/>
          <w:i/>
        </w:rPr>
        <w:t>c) Sınırlı Frekans Hassasiyet Modu hizmetine katılma yükümlülüğü olan üretim tesisi sahibi tüzel kişiler, Sınırlı Frekans Hassasiyet Modu hizmetine dair yan hizmet sertifikasını geçici kabul tarihinden itibaren 120 gün içerisinde,</w:t>
      </w:r>
    </w:p>
    <w:p w14:paraId="57454EBA" w14:textId="77777777" w:rsidR="004A6C99" w:rsidRDefault="004A6C99" w:rsidP="004A6C99">
      <w:pPr>
        <w:pStyle w:val="ListeParagraf"/>
        <w:spacing w:after="0"/>
        <w:ind w:left="1440"/>
        <w:rPr>
          <w:rFonts w:ascii="Calibri" w:hAnsi="Calibri"/>
          <w:i/>
        </w:rPr>
      </w:pPr>
      <w:r w:rsidRPr="004A6C99">
        <w:rPr>
          <w:rFonts w:ascii="Calibri" w:hAnsi="Calibri"/>
          <w:i/>
        </w:rPr>
        <w:t>TEİAŞ’a sunmakla yükümlüdür.”</w:t>
      </w:r>
    </w:p>
    <w:p w14:paraId="18EA0A77" w14:textId="77777777" w:rsidR="004A6C99" w:rsidRDefault="004A6C99" w:rsidP="004A6C99">
      <w:pPr>
        <w:pStyle w:val="ListeParagraf"/>
        <w:spacing w:after="0"/>
        <w:ind w:left="1440"/>
        <w:rPr>
          <w:rFonts w:ascii="Calibri" w:hAnsi="Calibri"/>
          <w:i/>
        </w:rPr>
      </w:pPr>
    </w:p>
    <w:p w14:paraId="65A0495A" w14:textId="77777777" w:rsidR="004A6C99" w:rsidRPr="002048A7" w:rsidRDefault="004A6C99" w:rsidP="0025080A">
      <w:pPr>
        <w:pStyle w:val="metin0"/>
        <w:numPr>
          <w:ilvl w:val="0"/>
          <w:numId w:val="39"/>
        </w:numPr>
        <w:spacing w:before="0" w:beforeAutospacing="0" w:after="0" w:afterAutospacing="0" w:line="240" w:lineRule="atLeast"/>
        <w:rPr>
          <w:rFonts w:ascii="Calibri" w:hAnsi="Calibri" w:cs="Calibri"/>
          <w:color w:val="000000"/>
          <w:sz w:val="22"/>
          <w:szCs w:val="22"/>
        </w:rPr>
      </w:pPr>
      <w:proofErr w:type="gramStart"/>
      <w:r w:rsidRPr="004A6C99">
        <w:rPr>
          <w:rFonts w:ascii="Calibri" w:hAnsi="Calibri" w:cs="Calibri"/>
          <w:color w:val="000000"/>
          <w:sz w:val="22"/>
          <w:szCs w:val="22"/>
        </w:rPr>
        <w:t>63 üncü</w:t>
      </w:r>
      <w:proofErr w:type="gramEnd"/>
      <w:r w:rsidRPr="004A6C99">
        <w:rPr>
          <w:rFonts w:ascii="Calibri" w:hAnsi="Calibri" w:cs="Calibri"/>
          <w:color w:val="000000"/>
          <w:sz w:val="22"/>
          <w:szCs w:val="22"/>
        </w:rPr>
        <w:t xml:space="preserve"> maddesinin birinci fıkrasının (c) bendinde yer alan </w:t>
      </w:r>
      <w:r w:rsidRPr="004A6C99">
        <w:rPr>
          <w:rFonts w:ascii="Calibri" w:hAnsi="Calibri" w:cs="Calibri"/>
          <w:i/>
          <w:color w:val="000000"/>
          <w:sz w:val="22"/>
          <w:szCs w:val="22"/>
        </w:rPr>
        <w:t>“52,5Hz”</w:t>
      </w:r>
      <w:r w:rsidRPr="004A6C99">
        <w:rPr>
          <w:rFonts w:ascii="Calibri" w:hAnsi="Calibri" w:cs="Calibri"/>
          <w:color w:val="000000"/>
          <w:sz w:val="22"/>
          <w:szCs w:val="22"/>
        </w:rPr>
        <w:t xml:space="preserve"> ibaresi </w:t>
      </w:r>
      <w:r w:rsidRPr="004A6C99">
        <w:rPr>
          <w:rFonts w:ascii="Calibri" w:hAnsi="Calibri" w:cs="Calibri"/>
          <w:i/>
          <w:color w:val="000000"/>
          <w:sz w:val="22"/>
          <w:szCs w:val="22"/>
        </w:rPr>
        <w:t>“51,5Hz”</w:t>
      </w:r>
      <w:r w:rsidRPr="004A6C99">
        <w:rPr>
          <w:rFonts w:ascii="Calibri" w:hAnsi="Calibri" w:cs="Calibri"/>
          <w:color w:val="000000"/>
          <w:sz w:val="22"/>
          <w:szCs w:val="22"/>
        </w:rPr>
        <w:t xml:space="preserve"> şeklinde değiştirilmiştir.</w:t>
      </w:r>
    </w:p>
    <w:p w14:paraId="512ADE88" w14:textId="77777777" w:rsidR="004A6C99" w:rsidRPr="002048A7" w:rsidRDefault="004A6C99" w:rsidP="004A6C99">
      <w:pPr>
        <w:pStyle w:val="metin0"/>
        <w:spacing w:before="0" w:beforeAutospacing="0" w:after="0" w:afterAutospacing="0" w:line="240" w:lineRule="atLeast"/>
        <w:ind w:left="1440"/>
        <w:rPr>
          <w:rFonts w:ascii="Calibri" w:hAnsi="Calibri" w:cs="Calibri"/>
          <w:color w:val="000000"/>
          <w:sz w:val="22"/>
          <w:szCs w:val="22"/>
        </w:rPr>
      </w:pPr>
    </w:p>
    <w:p w14:paraId="74A7E344" w14:textId="77777777" w:rsidR="004A6C99" w:rsidRPr="002048A7" w:rsidRDefault="004A6C99" w:rsidP="0025080A">
      <w:pPr>
        <w:pStyle w:val="metin0"/>
        <w:numPr>
          <w:ilvl w:val="0"/>
          <w:numId w:val="39"/>
        </w:numPr>
        <w:spacing w:before="0" w:beforeAutospacing="0" w:after="0" w:afterAutospacing="0" w:line="240" w:lineRule="atLeast"/>
        <w:rPr>
          <w:rFonts w:ascii="Calibri" w:hAnsi="Calibri" w:cs="Calibri"/>
          <w:color w:val="000000"/>
          <w:sz w:val="22"/>
          <w:szCs w:val="22"/>
        </w:rPr>
      </w:pPr>
      <w:proofErr w:type="gramStart"/>
      <w:r w:rsidRPr="004A6C99">
        <w:rPr>
          <w:rFonts w:ascii="Calibri" w:hAnsi="Calibri" w:cs="Calibri"/>
          <w:color w:val="000000"/>
          <w:sz w:val="22"/>
          <w:szCs w:val="22"/>
        </w:rPr>
        <w:t>67 nci</w:t>
      </w:r>
      <w:proofErr w:type="gramEnd"/>
      <w:r w:rsidRPr="004A6C99">
        <w:rPr>
          <w:rFonts w:ascii="Calibri" w:hAnsi="Calibri" w:cs="Calibri"/>
          <w:color w:val="000000"/>
          <w:sz w:val="22"/>
          <w:szCs w:val="22"/>
        </w:rPr>
        <w:t xml:space="preserve"> maddesi aşağıdaki şekilde değiştirilmiştir.</w:t>
      </w:r>
    </w:p>
    <w:p w14:paraId="67C69C11" w14:textId="77777777" w:rsidR="004A6C99" w:rsidRPr="002048A7" w:rsidRDefault="004A6C99" w:rsidP="004A6C99">
      <w:pPr>
        <w:pStyle w:val="metin0"/>
        <w:spacing w:before="0" w:beforeAutospacing="0" w:after="0" w:afterAutospacing="0" w:line="240" w:lineRule="atLeast"/>
        <w:ind w:left="1440"/>
        <w:rPr>
          <w:rFonts w:ascii="Calibri" w:hAnsi="Calibri" w:cs="Calibri"/>
          <w:color w:val="000000"/>
          <w:sz w:val="22"/>
          <w:szCs w:val="22"/>
        </w:rPr>
      </w:pPr>
    </w:p>
    <w:p w14:paraId="495E1576" w14:textId="77777777" w:rsidR="004A6C99" w:rsidRPr="004A6C99" w:rsidRDefault="004A6C99" w:rsidP="004A6C99">
      <w:pPr>
        <w:pStyle w:val="ListeParagraf"/>
        <w:spacing w:after="0"/>
        <w:ind w:left="1440"/>
        <w:rPr>
          <w:rFonts w:ascii="Calibri" w:hAnsi="Calibri"/>
          <w:i/>
        </w:rPr>
      </w:pPr>
      <w:r w:rsidRPr="004A6C99">
        <w:rPr>
          <w:rFonts w:ascii="Calibri" w:hAnsi="Calibri"/>
          <w:i/>
        </w:rPr>
        <w:t xml:space="preserve">“MADDE 67- (1) Düşük frekans röleleri ile talebin otomatik olarak zorunlu kesilmesi, kısa dönemli bir arz talep dengesizliğini ortadan kaldırmak amacıyla yapılır. Talebin otomatik olarak zorunlu </w:t>
      </w:r>
      <w:r w:rsidRPr="004A6C99">
        <w:rPr>
          <w:rFonts w:ascii="Calibri" w:hAnsi="Calibri"/>
          <w:i/>
        </w:rPr>
        <w:lastRenderedPageBreak/>
        <w:t>kesilmesi düşük frekans röleleri ile transformatöre bağlı kesicilerin açtırılması suretiyle yapılır. Gerekmesi halinde fiderler de açtırılabilir.</w:t>
      </w:r>
    </w:p>
    <w:p w14:paraId="396A2F2D" w14:textId="77777777" w:rsidR="004A6C99" w:rsidRPr="004A6C99" w:rsidRDefault="004A6C99" w:rsidP="004A6C99">
      <w:pPr>
        <w:pStyle w:val="ListeParagraf"/>
        <w:spacing w:after="0"/>
        <w:ind w:left="1440"/>
        <w:rPr>
          <w:rFonts w:ascii="Calibri" w:hAnsi="Calibri"/>
          <w:i/>
        </w:rPr>
      </w:pPr>
      <w:r w:rsidRPr="004A6C99">
        <w:rPr>
          <w:rFonts w:ascii="Calibri" w:hAnsi="Calibri"/>
          <w:i/>
        </w:rPr>
        <w:t xml:space="preserve">(2) Sistem frekansının 49,0- 48,0 </w:t>
      </w:r>
      <w:proofErr w:type="gramStart"/>
      <w:r w:rsidRPr="004A6C99">
        <w:rPr>
          <w:rFonts w:ascii="Calibri" w:hAnsi="Calibri"/>
          <w:i/>
        </w:rPr>
        <w:t>Hz</w:t>
      </w:r>
      <w:proofErr w:type="gramEnd"/>
      <w:r w:rsidRPr="004A6C99">
        <w:rPr>
          <w:rFonts w:ascii="Calibri" w:hAnsi="Calibri"/>
          <w:i/>
        </w:rPr>
        <w:t xml:space="preserve"> aralığına düşmesi durumunda, talep düşük frekans röleleri ile otomatik olarak kesilir. Sistem frekansının 49,0 Hz’e düşmesi durumunda talebin en az %5’i otomatik olarak zorunlu kesilir. 49,0 Hz’i takip eden her bir frekans kademesinde kesilecek talep miktarı ve toplamda kesilecek talep miktarı, sistem kullanıcılarının teknik gereksinimleri göz önünde bulundurularak sistem işletmecisi tarafından belirlenir. Her bir kademede azami olarak şebeke yükünün %10’una denk gelecek kadar kesinti yapılabilir.</w:t>
      </w:r>
    </w:p>
    <w:p w14:paraId="39A0ACFC" w14:textId="77777777" w:rsidR="004A6C99" w:rsidRPr="004A6C99" w:rsidRDefault="004A6C99" w:rsidP="004A6C99">
      <w:pPr>
        <w:pStyle w:val="ListeParagraf"/>
        <w:spacing w:after="0"/>
        <w:ind w:left="1440"/>
        <w:rPr>
          <w:rFonts w:ascii="Calibri" w:hAnsi="Calibri"/>
          <w:i/>
        </w:rPr>
      </w:pPr>
      <w:r w:rsidRPr="004A6C99">
        <w:rPr>
          <w:rFonts w:ascii="Calibri" w:hAnsi="Calibri"/>
          <w:i/>
        </w:rPr>
        <w:t xml:space="preserve">(3) İlk frekans kademesi 49,0 </w:t>
      </w:r>
      <w:proofErr w:type="gramStart"/>
      <w:r w:rsidRPr="004A6C99">
        <w:rPr>
          <w:rFonts w:ascii="Calibri" w:hAnsi="Calibri"/>
          <w:i/>
        </w:rPr>
        <w:t>Hz</w:t>
      </w:r>
      <w:proofErr w:type="gramEnd"/>
      <w:r w:rsidRPr="004A6C99">
        <w:rPr>
          <w:rFonts w:ascii="Calibri" w:hAnsi="Calibri"/>
          <w:i/>
        </w:rPr>
        <w:t xml:space="preserve"> olmak üzere frekans kademelerinin sayısı en az altı en fazla on olması gerekir.</w:t>
      </w:r>
    </w:p>
    <w:p w14:paraId="64191F01" w14:textId="77777777" w:rsidR="004A6C99" w:rsidRPr="004A6C99" w:rsidRDefault="004A6C99" w:rsidP="004A6C99">
      <w:pPr>
        <w:pStyle w:val="ListeParagraf"/>
        <w:spacing w:after="0"/>
        <w:ind w:left="1440"/>
        <w:rPr>
          <w:rFonts w:ascii="Calibri" w:hAnsi="Calibri"/>
          <w:i/>
        </w:rPr>
      </w:pPr>
      <w:r w:rsidRPr="004A6C99">
        <w:rPr>
          <w:rFonts w:ascii="Calibri" w:hAnsi="Calibri"/>
          <w:i/>
        </w:rPr>
        <w:t xml:space="preserve">(4) Sistem işletmecisi tarafından ihtiyaç duyulması halinde düşük frekans rölelerine ilave olarak 49,8-49,0 </w:t>
      </w:r>
      <w:proofErr w:type="gramStart"/>
      <w:r w:rsidRPr="004A6C99">
        <w:rPr>
          <w:rFonts w:ascii="Calibri" w:hAnsi="Calibri"/>
          <w:i/>
        </w:rPr>
        <w:t>Hz</w:t>
      </w:r>
      <w:proofErr w:type="gramEnd"/>
      <w:r w:rsidRPr="004A6C99">
        <w:rPr>
          <w:rFonts w:ascii="Calibri" w:hAnsi="Calibri"/>
          <w:i/>
        </w:rPr>
        <w:t xml:space="preserve"> aralığında sistem güvenliğini sağlamak için df/dt özelliği içeren ve ihtiyaç halinde talebin otomatik olarak zorunlu kesilmesini sağlayan fonksiyon devreye alınabilir.</w:t>
      </w:r>
    </w:p>
    <w:p w14:paraId="32C752F0" w14:textId="77777777" w:rsidR="004A6C99" w:rsidRPr="004A6C99" w:rsidRDefault="004A6C99" w:rsidP="004A6C99">
      <w:pPr>
        <w:pStyle w:val="ListeParagraf"/>
        <w:spacing w:after="0"/>
        <w:ind w:left="1440"/>
        <w:rPr>
          <w:rFonts w:ascii="Calibri" w:hAnsi="Calibri"/>
          <w:i/>
        </w:rPr>
      </w:pPr>
      <w:r w:rsidRPr="004A6C99">
        <w:rPr>
          <w:rFonts w:ascii="Calibri" w:hAnsi="Calibri"/>
          <w:i/>
        </w:rPr>
        <w:t>(5) Sistem frekansının belirlenen kademelere düşmesi durumunda, düşük frekans röleleri ile atılacak yükün atılma süresi, kesici açma süresi de dahil olmak üzere maksimum 300 milisaniye olmalıdır. Düşük frekans rölelerinin hassasiyet değerinin 30 mHz’yi aşmaması gerekir.”</w:t>
      </w:r>
    </w:p>
    <w:p w14:paraId="23C59868" w14:textId="77777777" w:rsidR="004A6C99" w:rsidRDefault="004A6C99" w:rsidP="004A6C99">
      <w:pPr>
        <w:pStyle w:val="ListeParagraf"/>
        <w:spacing w:after="0"/>
        <w:ind w:left="1440"/>
        <w:rPr>
          <w:rFonts w:ascii="Calibri" w:hAnsi="Calibri"/>
          <w:i/>
        </w:rPr>
      </w:pPr>
    </w:p>
    <w:p w14:paraId="6E7491BD" w14:textId="77777777" w:rsidR="004A6C99" w:rsidRPr="002048A7" w:rsidRDefault="004A6C99" w:rsidP="0025080A">
      <w:pPr>
        <w:pStyle w:val="metin0"/>
        <w:numPr>
          <w:ilvl w:val="0"/>
          <w:numId w:val="39"/>
        </w:numPr>
        <w:spacing w:before="0" w:beforeAutospacing="0" w:after="0" w:afterAutospacing="0" w:line="240" w:lineRule="atLeast"/>
        <w:rPr>
          <w:rFonts w:ascii="Calibri" w:hAnsi="Calibri" w:cs="Calibri"/>
          <w:color w:val="000000"/>
          <w:sz w:val="22"/>
          <w:szCs w:val="22"/>
        </w:rPr>
      </w:pPr>
      <w:r w:rsidRPr="004A6C99">
        <w:rPr>
          <w:rFonts w:ascii="Calibri" w:hAnsi="Calibri" w:cs="Calibri"/>
          <w:color w:val="000000"/>
          <w:sz w:val="22"/>
          <w:szCs w:val="22"/>
        </w:rPr>
        <w:t>88 inci maddesi aşağıdaki şekilde değiştirilmiştir.</w:t>
      </w:r>
    </w:p>
    <w:p w14:paraId="0907F633" w14:textId="77777777" w:rsidR="004A6C99" w:rsidRPr="002048A7" w:rsidRDefault="004A6C99" w:rsidP="004A6C99">
      <w:pPr>
        <w:pStyle w:val="metin0"/>
        <w:spacing w:before="0" w:beforeAutospacing="0" w:after="0" w:afterAutospacing="0" w:line="240" w:lineRule="atLeast"/>
        <w:ind w:left="1440"/>
        <w:rPr>
          <w:rFonts w:ascii="Calibri" w:hAnsi="Calibri" w:cs="Calibri"/>
          <w:color w:val="000000"/>
          <w:sz w:val="22"/>
          <w:szCs w:val="22"/>
        </w:rPr>
      </w:pPr>
    </w:p>
    <w:p w14:paraId="117CC3CB" w14:textId="77777777" w:rsidR="004A6C99" w:rsidRPr="004A6C99" w:rsidRDefault="004A6C99" w:rsidP="004A6C99">
      <w:pPr>
        <w:pStyle w:val="ListeParagraf"/>
        <w:spacing w:after="0"/>
        <w:ind w:left="1440"/>
        <w:rPr>
          <w:rFonts w:ascii="Calibri" w:hAnsi="Calibri"/>
          <w:i/>
        </w:rPr>
      </w:pPr>
      <w:r w:rsidRPr="004A6C99">
        <w:rPr>
          <w:rFonts w:ascii="Calibri" w:hAnsi="Calibri"/>
          <w:i/>
        </w:rPr>
        <w:t>“MADDE 88- (1) Sistem toparlanması esasları;</w:t>
      </w:r>
    </w:p>
    <w:p w14:paraId="7A6FFE3C" w14:textId="77777777" w:rsidR="004A6C99" w:rsidRPr="004A6C99" w:rsidRDefault="004A6C99" w:rsidP="004A6C99">
      <w:pPr>
        <w:pStyle w:val="ListeParagraf"/>
        <w:spacing w:after="0"/>
        <w:ind w:left="1440"/>
        <w:rPr>
          <w:rFonts w:ascii="Calibri" w:hAnsi="Calibri"/>
          <w:i/>
        </w:rPr>
      </w:pPr>
      <w:r w:rsidRPr="004A6C99">
        <w:rPr>
          <w:rFonts w:ascii="Calibri" w:hAnsi="Calibri"/>
          <w:i/>
        </w:rPr>
        <w:t>a) TEİAŞ’a,</w:t>
      </w:r>
    </w:p>
    <w:p w14:paraId="35794C8B" w14:textId="77777777" w:rsidR="004A6C99" w:rsidRPr="004A6C99" w:rsidRDefault="004A6C99" w:rsidP="004A6C99">
      <w:pPr>
        <w:pStyle w:val="ListeParagraf"/>
        <w:spacing w:after="0"/>
        <w:ind w:left="1440"/>
        <w:rPr>
          <w:rFonts w:ascii="Calibri" w:hAnsi="Calibri"/>
          <w:i/>
        </w:rPr>
      </w:pPr>
      <w:r w:rsidRPr="004A6C99">
        <w:rPr>
          <w:rFonts w:ascii="Calibri" w:hAnsi="Calibri"/>
          <w:i/>
        </w:rPr>
        <w:t>b) İletim sistemine doğrudan bağlı olan üretim ve tüketim tesislerine ilişkin gerçek veya tüzel kişilere,</w:t>
      </w:r>
    </w:p>
    <w:p w14:paraId="097A3702" w14:textId="77777777" w:rsidR="004A6C99" w:rsidRPr="004A6C99" w:rsidRDefault="004A6C99" w:rsidP="004A6C99">
      <w:pPr>
        <w:pStyle w:val="ListeParagraf"/>
        <w:spacing w:after="0"/>
        <w:ind w:left="1440"/>
        <w:rPr>
          <w:rFonts w:ascii="Calibri" w:hAnsi="Calibri"/>
          <w:i/>
        </w:rPr>
      </w:pPr>
      <w:r w:rsidRPr="004A6C99">
        <w:rPr>
          <w:rFonts w:ascii="Calibri" w:hAnsi="Calibri"/>
          <w:i/>
        </w:rPr>
        <w:t>c) İthalat yapan tüzel kişilere,</w:t>
      </w:r>
    </w:p>
    <w:p w14:paraId="309CF848" w14:textId="77777777" w:rsidR="004A6C99" w:rsidRPr="004A6C99" w:rsidRDefault="004A6C99" w:rsidP="004A6C99">
      <w:pPr>
        <w:pStyle w:val="ListeParagraf"/>
        <w:spacing w:after="0"/>
        <w:ind w:left="1440"/>
        <w:rPr>
          <w:rFonts w:ascii="Calibri" w:hAnsi="Calibri"/>
          <w:i/>
        </w:rPr>
      </w:pPr>
      <w:proofErr w:type="gramStart"/>
      <w:r w:rsidRPr="004A6C99">
        <w:rPr>
          <w:rFonts w:ascii="Calibri" w:hAnsi="Calibri"/>
          <w:i/>
        </w:rPr>
        <w:t>ç</w:t>
      </w:r>
      <w:proofErr w:type="gramEnd"/>
      <w:r w:rsidRPr="004A6C99">
        <w:rPr>
          <w:rFonts w:ascii="Calibri" w:hAnsi="Calibri"/>
          <w:i/>
        </w:rPr>
        <w:t>) Dağıtım lisansı sahibi tüzel kişilere,</w:t>
      </w:r>
    </w:p>
    <w:p w14:paraId="10EDB09C" w14:textId="77777777" w:rsidR="004A6C99" w:rsidRDefault="004A6C99" w:rsidP="004A6C99">
      <w:pPr>
        <w:pStyle w:val="ListeParagraf"/>
        <w:spacing w:after="0"/>
        <w:ind w:left="1440"/>
        <w:rPr>
          <w:rFonts w:ascii="Calibri" w:hAnsi="Calibri"/>
          <w:i/>
        </w:rPr>
      </w:pPr>
      <w:proofErr w:type="gramStart"/>
      <w:r w:rsidRPr="004A6C99">
        <w:rPr>
          <w:rFonts w:ascii="Calibri" w:hAnsi="Calibri"/>
          <w:i/>
        </w:rPr>
        <w:t>uygulanır</w:t>
      </w:r>
      <w:proofErr w:type="gramEnd"/>
      <w:r w:rsidRPr="004A6C99">
        <w:rPr>
          <w:rFonts w:ascii="Calibri" w:hAnsi="Calibri"/>
          <w:i/>
        </w:rPr>
        <w:t>.”</w:t>
      </w:r>
    </w:p>
    <w:p w14:paraId="099D0AF8" w14:textId="77777777" w:rsidR="004A6C99" w:rsidRDefault="004A6C99" w:rsidP="004A6C99">
      <w:pPr>
        <w:pStyle w:val="ListeParagraf"/>
        <w:spacing w:after="0"/>
        <w:ind w:left="1440"/>
        <w:rPr>
          <w:rFonts w:ascii="Calibri" w:hAnsi="Calibri"/>
          <w:i/>
        </w:rPr>
      </w:pPr>
    </w:p>
    <w:p w14:paraId="68BA8BB5" w14:textId="77777777" w:rsidR="004A6C99" w:rsidRPr="002048A7" w:rsidRDefault="004A6C99" w:rsidP="0025080A">
      <w:pPr>
        <w:pStyle w:val="metin0"/>
        <w:numPr>
          <w:ilvl w:val="0"/>
          <w:numId w:val="39"/>
        </w:numPr>
        <w:spacing w:before="0" w:beforeAutospacing="0" w:after="0" w:afterAutospacing="0" w:line="240" w:lineRule="atLeast"/>
        <w:rPr>
          <w:rFonts w:ascii="Calibri" w:hAnsi="Calibri" w:cs="Calibri"/>
          <w:color w:val="000000"/>
          <w:sz w:val="22"/>
          <w:szCs w:val="22"/>
        </w:rPr>
      </w:pPr>
      <w:r w:rsidRPr="004A6C99">
        <w:rPr>
          <w:rFonts w:ascii="Calibri" w:hAnsi="Calibri" w:cs="Calibri"/>
          <w:color w:val="000000"/>
          <w:sz w:val="22"/>
          <w:szCs w:val="22"/>
        </w:rPr>
        <w:t>Altıncı Kısmının Gün Öncesi Planlama başlıklı Birinci Bölümü yürürlükten kaldırılmıştır.</w:t>
      </w:r>
    </w:p>
    <w:p w14:paraId="578E80C2" w14:textId="77777777" w:rsidR="004A6C99" w:rsidRPr="002048A7" w:rsidRDefault="004A6C99" w:rsidP="004A6C99">
      <w:pPr>
        <w:pStyle w:val="metin0"/>
        <w:spacing w:before="0" w:beforeAutospacing="0" w:after="0" w:afterAutospacing="0" w:line="240" w:lineRule="atLeast"/>
        <w:ind w:left="1440"/>
        <w:rPr>
          <w:rFonts w:ascii="Calibri" w:hAnsi="Calibri" w:cs="Calibri"/>
          <w:color w:val="000000"/>
          <w:sz w:val="22"/>
          <w:szCs w:val="22"/>
        </w:rPr>
      </w:pPr>
    </w:p>
    <w:p w14:paraId="10EE82CC" w14:textId="77777777" w:rsidR="004A6C99" w:rsidRPr="002048A7" w:rsidRDefault="004A6C99" w:rsidP="0025080A">
      <w:pPr>
        <w:pStyle w:val="metin0"/>
        <w:numPr>
          <w:ilvl w:val="0"/>
          <w:numId w:val="39"/>
        </w:numPr>
        <w:spacing w:before="0" w:beforeAutospacing="0" w:after="0" w:afterAutospacing="0" w:line="240" w:lineRule="atLeast"/>
        <w:rPr>
          <w:rFonts w:ascii="Calibri" w:hAnsi="Calibri" w:cs="Calibri"/>
          <w:color w:val="000000"/>
          <w:sz w:val="22"/>
          <w:szCs w:val="22"/>
        </w:rPr>
      </w:pPr>
      <w:proofErr w:type="gramStart"/>
      <w:r w:rsidRPr="004A6C99">
        <w:rPr>
          <w:rFonts w:ascii="Calibri" w:hAnsi="Calibri" w:cs="Calibri"/>
          <w:color w:val="000000"/>
          <w:sz w:val="22"/>
          <w:szCs w:val="22"/>
        </w:rPr>
        <w:t>104 üncü</w:t>
      </w:r>
      <w:proofErr w:type="gramEnd"/>
      <w:r w:rsidRPr="004A6C99">
        <w:rPr>
          <w:rFonts w:ascii="Calibri" w:hAnsi="Calibri" w:cs="Calibri"/>
          <w:color w:val="000000"/>
          <w:sz w:val="22"/>
          <w:szCs w:val="22"/>
        </w:rPr>
        <w:t xml:space="preserve"> maddesinin birinci fıkrasına aşağıdaki bentler eklenmiş ve üçüncü fıkrası aşağıdaki şekilde değiştirilmiştir.</w:t>
      </w:r>
    </w:p>
    <w:p w14:paraId="291C8A4D" w14:textId="77777777" w:rsidR="004A6C99" w:rsidRPr="002048A7" w:rsidRDefault="004A6C99" w:rsidP="004A6C99">
      <w:pPr>
        <w:pStyle w:val="metin0"/>
        <w:spacing w:before="0" w:beforeAutospacing="0" w:after="0" w:afterAutospacing="0" w:line="240" w:lineRule="atLeast"/>
        <w:ind w:left="1440"/>
        <w:rPr>
          <w:rFonts w:ascii="Calibri" w:hAnsi="Calibri" w:cs="Calibri"/>
          <w:color w:val="000000"/>
          <w:sz w:val="22"/>
          <w:szCs w:val="22"/>
        </w:rPr>
      </w:pPr>
    </w:p>
    <w:p w14:paraId="46F27CAC" w14:textId="77777777" w:rsidR="004A6C99" w:rsidRPr="004A6C99" w:rsidRDefault="004A6C99" w:rsidP="004A6C99">
      <w:pPr>
        <w:pStyle w:val="ListeParagraf"/>
        <w:spacing w:after="0"/>
        <w:ind w:left="1440"/>
        <w:rPr>
          <w:rFonts w:ascii="Calibri" w:hAnsi="Calibri"/>
          <w:i/>
        </w:rPr>
      </w:pPr>
      <w:r w:rsidRPr="004A6C99">
        <w:rPr>
          <w:rFonts w:ascii="Calibri" w:hAnsi="Calibri"/>
          <w:i/>
        </w:rPr>
        <w:t>“</w:t>
      </w:r>
      <w:proofErr w:type="gramStart"/>
      <w:r w:rsidRPr="004A6C99">
        <w:rPr>
          <w:rFonts w:ascii="Calibri" w:hAnsi="Calibri"/>
          <w:i/>
        </w:rPr>
        <w:t>g</w:t>
      </w:r>
      <w:proofErr w:type="gramEnd"/>
      <w:r w:rsidRPr="004A6C99">
        <w:rPr>
          <w:rFonts w:ascii="Calibri" w:hAnsi="Calibri"/>
          <w:i/>
        </w:rPr>
        <w:t>) Talep tarafı katılımı.</w:t>
      </w:r>
    </w:p>
    <w:p w14:paraId="5FA59E03" w14:textId="77777777" w:rsidR="004A6C99" w:rsidRPr="004A6C99" w:rsidRDefault="004A6C99" w:rsidP="004A6C99">
      <w:pPr>
        <w:pStyle w:val="ListeParagraf"/>
        <w:spacing w:after="0"/>
        <w:ind w:left="1440"/>
        <w:rPr>
          <w:rFonts w:ascii="Calibri" w:hAnsi="Calibri"/>
          <w:i/>
        </w:rPr>
      </w:pPr>
      <w:proofErr w:type="gramStart"/>
      <w:r w:rsidRPr="004A6C99">
        <w:rPr>
          <w:rFonts w:ascii="Calibri" w:hAnsi="Calibri"/>
          <w:i/>
        </w:rPr>
        <w:t>ğ</w:t>
      </w:r>
      <w:proofErr w:type="gramEnd"/>
      <w:r w:rsidRPr="004A6C99">
        <w:rPr>
          <w:rFonts w:ascii="Calibri" w:hAnsi="Calibri"/>
          <w:i/>
        </w:rPr>
        <w:t>) Sınırlı frekans hassasiyet modu.”</w:t>
      </w:r>
    </w:p>
    <w:p w14:paraId="6FABB686" w14:textId="77777777" w:rsidR="004A6C99" w:rsidRDefault="004A6C99" w:rsidP="004A6C99">
      <w:pPr>
        <w:pStyle w:val="ListeParagraf"/>
        <w:spacing w:after="0"/>
        <w:ind w:left="1440"/>
        <w:rPr>
          <w:rFonts w:ascii="Calibri" w:hAnsi="Calibri"/>
          <w:i/>
        </w:rPr>
      </w:pPr>
      <w:r w:rsidRPr="004A6C99">
        <w:rPr>
          <w:rFonts w:ascii="Calibri" w:hAnsi="Calibri"/>
          <w:i/>
        </w:rPr>
        <w:t>“(3) Yan hizmet sunacak olan tüzel kişiler ilgili yan hizmete katılımları için tesislerine gerekli sistem ve teçhizatı kurmak, test ederek servise almak zorundadır.”</w:t>
      </w:r>
    </w:p>
    <w:p w14:paraId="29861FED" w14:textId="77777777" w:rsidR="004A6C99" w:rsidRDefault="004A6C99" w:rsidP="004A6C99">
      <w:pPr>
        <w:pStyle w:val="ListeParagraf"/>
        <w:spacing w:after="0"/>
        <w:ind w:left="1440"/>
        <w:rPr>
          <w:rFonts w:ascii="Calibri" w:hAnsi="Calibri"/>
          <w:i/>
        </w:rPr>
      </w:pPr>
    </w:p>
    <w:p w14:paraId="19839AA5" w14:textId="77777777" w:rsidR="004A6C99" w:rsidRPr="002048A7" w:rsidRDefault="004A6C99" w:rsidP="0025080A">
      <w:pPr>
        <w:pStyle w:val="metin0"/>
        <w:numPr>
          <w:ilvl w:val="0"/>
          <w:numId w:val="39"/>
        </w:numPr>
        <w:spacing w:before="0" w:beforeAutospacing="0" w:after="0" w:afterAutospacing="0" w:line="240" w:lineRule="atLeast"/>
        <w:rPr>
          <w:rFonts w:ascii="Calibri" w:hAnsi="Calibri" w:cs="Calibri"/>
          <w:color w:val="000000"/>
          <w:sz w:val="22"/>
          <w:szCs w:val="22"/>
        </w:rPr>
      </w:pPr>
      <w:r w:rsidRPr="004A6C99">
        <w:rPr>
          <w:rFonts w:ascii="Calibri" w:hAnsi="Calibri" w:cs="Calibri"/>
          <w:color w:val="000000"/>
          <w:sz w:val="22"/>
          <w:szCs w:val="22"/>
        </w:rPr>
        <w:t>105 inci maddeden sonra gelmek üzere aşağıdaki madde eklenmiştir.</w:t>
      </w:r>
    </w:p>
    <w:p w14:paraId="68D073B8" w14:textId="77777777" w:rsidR="004A6C99" w:rsidRPr="002048A7" w:rsidRDefault="004A6C99" w:rsidP="004A6C99">
      <w:pPr>
        <w:pStyle w:val="metin0"/>
        <w:spacing w:before="0" w:beforeAutospacing="0" w:after="0" w:afterAutospacing="0" w:line="240" w:lineRule="atLeast"/>
        <w:ind w:left="1440"/>
        <w:rPr>
          <w:rFonts w:ascii="Calibri" w:hAnsi="Calibri" w:cs="Calibri"/>
          <w:color w:val="000000"/>
          <w:sz w:val="22"/>
          <w:szCs w:val="22"/>
        </w:rPr>
      </w:pPr>
    </w:p>
    <w:p w14:paraId="1FF45A7F" w14:textId="77777777" w:rsidR="00E05AA4" w:rsidRPr="00E05AA4" w:rsidRDefault="00E05AA4" w:rsidP="00E05AA4">
      <w:pPr>
        <w:pStyle w:val="ListeParagraf"/>
        <w:spacing w:after="0"/>
        <w:ind w:left="1440"/>
        <w:rPr>
          <w:rFonts w:ascii="Calibri" w:hAnsi="Calibri"/>
          <w:i/>
        </w:rPr>
      </w:pPr>
      <w:r w:rsidRPr="00E05AA4">
        <w:rPr>
          <w:rFonts w:ascii="Calibri" w:hAnsi="Calibri"/>
          <w:i/>
        </w:rPr>
        <w:t>“Sınırlı frekans hassasiyet modu</w:t>
      </w:r>
    </w:p>
    <w:p w14:paraId="7C408F40" w14:textId="77777777" w:rsidR="00E05AA4" w:rsidRPr="00E05AA4" w:rsidRDefault="00E05AA4" w:rsidP="00E05AA4">
      <w:pPr>
        <w:pStyle w:val="ListeParagraf"/>
        <w:spacing w:after="0"/>
        <w:ind w:left="1440"/>
        <w:rPr>
          <w:rFonts w:ascii="Calibri" w:hAnsi="Calibri"/>
          <w:i/>
        </w:rPr>
      </w:pPr>
      <w:r w:rsidRPr="00E05AA4">
        <w:rPr>
          <w:rFonts w:ascii="Calibri" w:hAnsi="Calibri"/>
          <w:i/>
        </w:rPr>
        <w:t>MADDE 105/A- (1) Sınırlı frekans hassasiyet modlarında çalışan üretim tesisleri, sistem frekansının sınırlı frekans hassasiyet modları için belirlenen limitlerin dışına çıkması durumunda aktif çıkış güçlerini otomatik olarak ayarlamakla yükümlüdür.</w:t>
      </w:r>
    </w:p>
    <w:p w14:paraId="53C497A4" w14:textId="77777777" w:rsidR="00E05AA4" w:rsidRPr="00E05AA4" w:rsidRDefault="00E05AA4" w:rsidP="00E05AA4">
      <w:pPr>
        <w:pStyle w:val="ListeParagraf"/>
        <w:spacing w:after="0"/>
        <w:ind w:left="1440"/>
        <w:rPr>
          <w:rFonts w:ascii="Calibri" w:hAnsi="Calibri"/>
          <w:i/>
        </w:rPr>
      </w:pPr>
      <w:r w:rsidRPr="00E05AA4">
        <w:rPr>
          <w:rFonts w:ascii="Calibri" w:hAnsi="Calibri"/>
          <w:i/>
        </w:rPr>
        <w:t>(2) Sınırlı frekans hassasiyet modları için droop ayarı ilgili yan hizmet anlaşmasında belirtilen değere ayarlanır.</w:t>
      </w:r>
    </w:p>
    <w:p w14:paraId="37FA3F20" w14:textId="77777777" w:rsidR="00E05AA4" w:rsidRPr="00E05AA4" w:rsidRDefault="00E05AA4" w:rsidP="00E05AA4">
      <w:pPr>
        <w:pStyle w:val="ListeParagraf"/>
        <w:spacing w:after="0"/>
        <w:ind w:left="1440"/>
        <w:rPr>
          <w:rFonts w:ascii="Calibri" w:hAnsi="Calibri"/>
          <w:i/>
        </w:rPr>
      </w:pPr>
      <w:r w:rsidRPr="00E05AA4">
        <w:rPr>
          <w:rFonts w:ascii="Calibri" w:hAnsi="Calibri"/>
          <w:i/>
        </w:rPr>
        <w:lastRenderedPageBreak/>
        <w:t>(3) Aşağıda belirtilen şartların tamamını taşıyan üretim tesislerine ait üniteler, sınırlı frekans hassasiyeti düşük frekans modunda çalışmakla yükümlüdür:</w:t>
      </w:r>
    </w:p>
    <w:p w14:paraId="16549295" w14:textId="77777777" w:rsidR="00E05AA4" w:rsidRPr="00E05AA4" w:rsidRDefault="00E05AA4" w:rsidP="00E05AA4">
      <w:pPr>
        <w:pStyle w:val="ListeParagraf"/>
        <w:spacing w:after="0"/>
        <w:ind w:left="1440"/>
        <w:rPr>
          <w:rFonts w:ascii="Calibri" w:hAnsi="Calibri"/>
          <w:i/>
        </w:rPr>
      </w:pPr>
      <w:r w:rsidRPr="00E05AA4">
        <w:rPr>
          <w:rFonts w:ascii="Calibri" w:hAnsi="Calibri"/>
          <w:i/>
        </w:rPr>
        <w:t>a) Kayıtlı olduğu UEVÇB’si yan hizmet birimi olan.</w:t>
      </w:r>
    </w:p>
    <w:p w14:paraId="45881D71" w14:textId="77777777" w:rsidR="00E05AA4" w:rsidRPr="00E05AA4" w:rsidRDefault="00E05AA4" w:rsidP="00E05AA4">
      <w:pPr>
        <w:pStyle w:val="ListeParagraf"/>
        <w:spacing w:after="0"/>
        <w:ind w:left="1440"/>
        <w:rPr>
          <w:rFonts w:ascii="Calibri" w:hAnsi="Calibri"/>
          <w:i/>
        </w:rPr>
      </w:pPr>
      <w:r w:rsidRPr="00E05AA4">
        <w:rPr>
          <w:rFonts w:ascii="Calibri" w:hAnsi="Calibri"/>
          <w:i/>
        </w:rPr>
        <w:t>b) Kurulu gücü 60 MW ve üzeri olup primer frekans kontrol yeterliliği olan.</w:t>
      </w:r>
    </w:p>
    <w:p w14:paraId="11DE648D" w14:textId="77777777" w:rsidR="00E05AA4" w:rsidRPr="00E05AA4" w:rsidRDefault="00E05AA4" w:rsidP="00E05AA4">
      <w:pPr>
        <w:pStyle w:val="ListeParagraf"/>
        <w:spacing w:after="0"/>
        <w:ind w:left="1440"/>
        <w:rPr>
          <w:rFonts w:ascii="Calibri" w:hAnsi="Calibri"/>
          <w:i/>
        </w:rPr>
      </w:pPr>
      <w:r w:rsidRPr="00E05AA4">
        <w:rPr>
          <w:rFonts w:ascii="Calibri" w:hAnsi="Calibri"/>
          <w:i/>
        </w:rPr>
        <w:t>c) Devrede olup nominal aktif güç değerinin altında üretim yapan.</w:t>
      </w:r>
    </w:p>
    <w:p w14:paraId="1BC4294D" w14:textId="77777777" w:rsidR="00E05AA4" w:rsidRPr="00E05AA4" w:rsidRDefault="00E05AA4" w:rsidP="00E05AA4">
      <w:pPr>
        <w:pStyle w:val="ListeParagraf"/>
        <w:spacing w:after="0"/>
        <w:ind w:left="1440"/>
        <w:rPr>
          <w:rFonts w:ascii="Calibri" w:hAnsi="Calibri"/>
          <w:i/>
        </w:rPr>
      </w:pPr>
      <w:proofErr w:type="gramStart"/>
      <w:r w:rsidRPr="00E05AA4">
        <w:rPr>
          <w:rFonts w:ascii="Calibri" w:hAnsi="Calibri"/>
          <w:i/>
        </w:rPr>
        <w:t>ç</w:t>
      </w:r>
      <w:proofErr w:type="gramEnd"/>
      <w:r w:rsidRPr="00E05AA4">
        <w:rPr>
          <w:rFonts w:ascii="Calibri" w:hAnsi="Calibri"/>
          <w:i/>
        </w:rPr>
        <w:t>) İlgili saatte primer frekans kontrol rezervi yükümlülüğü olmayan.</w:t>
      </w:r>
    </w:p>
    <w:p w14:paraId="4F712BAA" w14:textId="77777777" w:rsidR="00E05AA4" w:rsidRPr="00E05AA4" w:rsidRDefault="00E05AA4" w:rsidP="00E05AA4">
      <w:pPr>
        <w:pStyle w:val="ListeParagraf"/>
        <w:spacing w:after="0"/>
        <w:ind w:left="1440"/>
        <w:rPr>
          <w:rFonts w:ascii="Calibri" w:hAnsi="Calibri"/>
          <w:i/>
        </w:rPr>
      </w:pPr>
      <w:r w:rsidRPr="00E05AA4">
        <w:rPr>
          <w:rFonts w:ascii="Calibri" w:hAnsi="Calibri"/>
          <w:i/>
        </w:rPr>
        <w:t>(4) Aşağıda belirtilen şartların tamamını taşıyan üretim tesislerine ait üniteler sınırlı frekans hassasiyeti yüksek frekans modunda çalışmakla yükümlüdür:</w:t>
      </w:r>
    </w:p>
    <w:p w14:paraId="43A4F78B" w14:textId="77777777" w:rsidR="00E05AA4" w:rsidRPr="00E05AA4" w:rsidRDefault="00E05AA4" w:rsidP="00E05AA4">
      <w:pPr>
        <w:pStyle w:val="ListeParagraf"/>
        <w:spacing w:after="0"/>
        <w:ind w:left="1440"/>
        <w:rPr>
          <w:rFonts w:ascii="Calibri" w:hAnsi="Calibri"/>
          <w:i/>
        </w:rPr>
      </w:pPr>
      <w:r w:rsidRPr="00E05AA4">
        <w:rPr>
          <w:rFonts w:ascii="Calibri" w:hAnsi="Calibri"/>
          <w:i/>
        </w:rPr>
        <w:t>a) Kayıtlı olduğu UEVÇB’si yan hizmet birimi olan.</w:t>
      </w:r>
    </w:p>
    <w:p w14:paraId="2AB960B8" w14:textId="77777777" w:rsidR="00E05AA4" w:rsidRPr="00E05AA4" w:rsidRDefault="00E05AA4" w:rsidP="00E05AA4">
      <w:pPr>
        <w:pStyle w:val="ListeParagraf"/>
        <w:spacing w:after="0"/>
        <w:ind w:left="1440"/>
        <w:rPr>
          <w:rFonts w:ascii="Calibri" w:hAnsi="Calibri"/>
          <w:i/>
        </w:rPr>
      </w:pPr>
      <w:r w:rsidRPr="00E05AA4">
        <w:rPr>
          <w:rFonts w:ascii="Calibri" w:hAnsi="Calibri"/>
          <w:i/>
        </w:rPr>
        <w:t>b) Kurulu gücü 60 MW ve üzeri olup frekans değişimine tepki verebilen ünitelere sahip üretim tesisleri.</w:t>
      </w:r>
    </w:p>
    <w:p w14:paraId="24C048CA" w14:textId="77777777" w:rsidR="00E05AA4" w:rsidRPr="00E05AA4" w:rsidRDefault="00E05AA4" w:rsidP="00E05AA4">
      <w:pPr>
        <w:pStyle w:val="ListeParagraf"/>
        <w:spacing w:after="0"/>
        <w:ind w:left="1440"/>
        <w:rPr>
          <w:rFonts w:ascii="Calibri" w:hAnsi="Calibri"/>
          <w:i/>
        </w:rPr>
      </w:pPr>
      <w:r w:rsidRPr="00E05AA4">
        <w:rPr>
          <w:rFonts w:ascii="Calibri" w:hAnsi="Calibri"/>
          <w:i/>
        </w:rPr>
        <w:t>c) Devrede olup MKÜD üzerinde üretim yapan.</w:t>
      </w:r>
    </w:p>
    <w:p w14:paraId="7FB52DF8" w14:textId="77777777" w:rsidR="004A6C99" w:rsidRDefault="00E05AA4" w:rsidP="00E05AA4">
      <w:pPr>
        <w:pStyle w:val="ListeParagraf"/>
        <w:spacing w:after="0"/>
        <w:ind w:left="1440"/>
        <w:rPr>
          <w:rFonts w:ascii="Calibri" w:hAnsi="Calibri"/>
          <w:i/>
        </w:rPr>
      </w:pPr>
      <w:proofErr w:type="gramStart"/>
      <w:r w:rsidRPr="00E05AA4">
        <w:rPr>
          <w:rFonts w:ascii="Calibri" w:hAnsi="Calibri"/>
          <w:i/>
        </w:rPr>
        <w:t>ç</w:t>
      </w:r>
      <w:proofErr w:type="gramEnd"/>
      <w:r w:rsidRPr="00E05AA4">
        <w:rPr>
          <w:rFonts w:ascii="Calibri" w:hAnsi="Calibri"/>
          <w:i/>
        </w:rPr>
        <w:t>) İlgili saatte primer frekans kontrolü rezerv yükümlülüğü olmayan.”</w:t>
      </w:r>
    </w:p>
    <w:p w14:paraId="64B172F6" w14:textId="77777777" w:rsidR="004A6C99" w:rsidRDefault="004A6C99" w:rsidP="004A6C99">
      <w:pPr>
        <w:pStyle w:val="ListeParagraf"/>
        <w:spacing w:after="0"/>
        <w:ind w:left="1440"/>
        <w:rPr>
          <w:rFonts w:ascii="Calibri" w:hAnsi="Calibri"/>
          <w:i/>
        </w:rPr>
      </w:pPr>
    </w:p>
    <w:p w14:paraId="0694288E" w14:textId="77777777" w:rsidR="004A6C99" w:rsidRPr="002048A7" w:rsidRDefault="00E05AA4" w:rsidP="0025080A">
      <w:pPr>
        <w:pStyle w:val="metin0"/>
        <w:numPr>
          <w:ilvl w:val="0"/>
          <w:numId w:val="39"/>
        </w:numPr>
        <w:spacing w:before="0" w:beforeAutospacing="0" w:after="0" w:afterAutospacing="0" w:line="240" w:lineRule="atLeast"/>
        <w:rPr>
          <w:rFonts w:ascii="Calibri" w:hAnsi="Calibri" w:cs="Calibri"/>
          <w:color w:val="000000"/>
          <w:sz w:val="22"/>
          <w:szCs w:val="22"/>
        </w:rPr>
      </w:pPr>
      <w:proofErr w:type="gramStart"/>
      <w:r w:rsidRPr="00E05AA4">
        <w:rPr>
          <w:rFonts w:ascii="Calibri" w:hAnsi="Calibri" w:cs="Calibri"/>
          <w:color w:val="000000"/>
          <w:sz w:val="22"/>
          <w:szCs w:val="22"/>
        </w:rPr>
        <w:t>106 ncı</w:t>
      </w:r>
      <w:proofErr w:type="gramEnd"/>
      <w:r w:rsidRPr="00E05AA4">
        <w:rPr>
          <w:rFonts w:ascii="Calibri" w:hAnsi="Calibri" w:cs="Calibri"/>
          <w:color w:val="000000"/>
          <w:sz w:val="22"/>
          <w:szCs w:val="22"/>
        </w:rPr>
        <w:t xml:space="preserve"> maddesinin üçüncü fıkrasının (d) ve (e) bentleri aşağıdaki şekilde değiştirilmiştir.</w:t>
      </w:r>
    </w:p>
    <w:p w14:paraId="7CE47340" w14:textId="77777777" w:rsidR="004A6C99" w:rsidRPr="002048A7" w:rsidRDefault="004A6C99" w:rsidP="004A6C99">
      <w:pPr>
        <w:pStyle w:val="metin0"/>
        <w:spacing w:before="0" w:beforeAutospacing="0" w:after="0" w:afterAutospacing="0" w:line="240" w:lineRule="atLeast"/>
        <w:ind w:left="1440"/>
        <w:rPr>
          <w:rFonts w:ascii="Calibri" w:hAnsi="Calibri" w:cs="Calibri"/>
          <w:color w:val="000000"/>
          <w:sz w:val="22"/>
          <w:szCs w:val="22"/>
        </w:rPr>
      </w:pPr>
    </w:p>
    <w:p w14:paraId="632649C5" w14:textId="77777777" w:rsidR="00E05AA4" w:rsidRPr="00E05AA4" w:rsidRDefault="00E05AA4" w:rsidP="00E05AA4">
      <w:pPr>
        <w:pStyle w:val="ListeParagraf"/>
        <w:spacing w:after="0"/>
        <w:ind w:left="1440"/>
        <w:rPr>
          <w:rFonts w:ascii="Calibri" w:hAnsi="Calibri"/>
          <w:i/>
        </w:rPr>
      </w:pPr>
      <w:r w:rsidRPr="00E05AA4">
        <w:rPr>
          <w:rFonts w:ascii="Calibri" w:hAnsi="Calibri"/>
          <w:i/>
        </w:rPr>
        <w:t>“</w:t>
      </w:r>
      <w:proofErr w:type="gramStart"/>
      <w:r w:rsidRPr="00E05AA4">
        <w:rPr>
          <w:rFonts w:ascii="Calibri" w:hAnsi="Calibri"/>
          <w:i/>
        </w:rPr>
        <w:t>d</w:t>
      </w:r>
      <w:proofErr w:type="gramEnd"/>
      <w:r w:rsidRPr="00E05AA4">
        <w:rPr>
          <w:rFonts w:ascii="Calibri" w:hAnsi="Calibri"/>
          <w:i/>
        </w:rPr>
        <w:t>) Yakıt olarak taş kömürü kullanan üretim tesisleri için nominal aktif gücün dakikada en az %2’si kadar,</w:t>
      </w:r>
    </w:p>
    <w:p w14:paraId="4EE8FD95" w14:textId="77777777" w:rsidR="004A6C99" w:rsidRDefault="00E05AA4" w:rsidP="00E05AA4">
      <w:pPr>
        <w:pStyle w:val="ListeParagraf"/>
        <w:spacing w:after="0"/>
        <w:ind w:left="1440"/>
        <w:rPr>
          <w:rFonts w:ascii="Calibri" w:hAnsi="Calibri"/>
          <w:i/>
        </w:rPr>
      </w:pPr>
      <w:r w:rsidRPr="00E05AA4">
        <w:rPr>
          <w:rFonts w:ascii="Calibri" w:hAnsi="Calibri"/>
          <w:i/>
        </w:rPr>
        <w:t>e) Yakıt olarak linyit kullanan üretim tesisleri için nominal aktif gücün dakikada en az %1’i kadar,”</w:t>
      </w:r>
    </w:p>
    <w:p w14:paraId="5B551000" w14:textId="77777777" w:rsidR="004A6C99" w:rsidRDefault="004A6C99" w:rsidP="004A6C99">
      <w:pPr>
        <w:pStyle w:val="ListeParagraf"/>
        <w:spacing w:after="0"/>
        <w:ind w:left="1440"/>
        <w:rPr>
          <w:rFonts w:ascii="Calibri" w:hAnsi="Calibri"/>
          <w:i/>
        </w:rPr>
      </w:pPr>
    </w:p>
    <w:p w14:paraId="6953A5CA" w14:textId="77777777" w:rsidR="004A6C99" w:rsidRPr="002048A7" w:rsidRDefault="00E05AA4" w:rsidP="0025080A">
      <w:pPr>
        <w:pStyle w:val="metin0"/>
        <w:numPr>
          <w:ilvl w:val="0"/>
          <w:numId w:val="39"/>
        </w:numPr>
        <w:spacing w:before="0" w:beforeAutospacing="0" w:after="0" w:afterAutospacing="0" w:line="240" w:lineRule="atLeast"/>
        <w:rPr>
          <w:rFonts w:ascii="Calibri" w:hAnsi="Calibri" w:cs="Calibri"/>
          <w:color w:val="000000"/>
          <w:sz w:val="22"/>
          <w:szCs w:val="22"/>
        </w:rPr>
      </w:pPr>
      <w:r w:rsidRPr="00E05AA4">
        <w:rPr>
          <w:rFonts w:ascii="Calibri" w:hAnsi="Calibri" w:cs="Calibri"/>
          <w:color w:val="000000"/>
          <w:sz w:val="22"/>
          <w:szCs w:val="22"/>
        </w:rPr>
        <w:t>108 inci maddeden sonra gelmek üzere aşağıdaki madde eklenmiştir.</w:t>
      </w:r>
    </w:p>
    <w:p w14:paraId="490C35C3" w14:textId="77777777" w:rsidR="004A6C99" w:rsidRPr="002048A7" w:rsidRDefault="004A6C99" w:rsidP="004A6C99">
      <w:pPr>
        <w:pStyle w:val="metin0"/>
        <w:spacing w:before="0" w:beforeAutospacing="0" w:after="0" w:afterAutospacing="0" w:line="240" w:lineRule="atLeast"/>
        <w:ind w:left="1440"/>
        <w:rPr>
          <w:rFonts w:ascii="Calibri" w:hAnsi="Calibri" w:cs="Calibri"/>
          <w:color w:val="000000"/>
          <w:sz w:val="22"/>
          <w:szCs w:val="22"/>
        </w:rPr>
      </w:pPr>
    </w:p>
    <w:p w14:paraId="74774B95" w14:textId="77777777" w:rsidR="00E05AA4" w:rsidRPr="00E05AA4" w:rsidRDefault="00E05AA4" w:rsidP="00E05AA4">
      <w:pPr>
        <w:pStyle w:val="ListeParagraf"/>
        <w:spacing w:after="0"/>
        <w:ind w:left="1440"/>
        <w:rPr>
          <w:rFonts w:ascii="Calibri" w:hAnsi="Calibri"/>
          <w:i/>
        </w:rPr>
      </w:pPr>
      <w:r w:rsidRPr="00E05AA4">
        <w:rPr>
          <w:rFonts w:ascii="Calibri" w:hAnsi="Calibri"/>
          <w:i/>
        </w:rPr>
        <w:t>“Talep tarafı katılımı</w:t>
      </w:r>
    </w:p>
    <w:p w14:paraId="1F9B99DA" w14:textId="77777777" w:rsidR="00E05AA4" w:rsidRPr="00E05AA4" w:rsidRDefault="00E05AA4" w:rsidP="00E05AA4">
      <w:pPr>
        <w:pStyle w:val="ListeParagraf"/>
        <w:spacing w:after="0"/>
        <w:ind w:left="1440"/>
        <w:rPr>
          <w:rFonts w:ascii="Calibri" w:hAnsi="Calibri"/>
          <w:i/>
        </w:rPr>
      </w:pPr>
      <w:r w:rsidRPr="00E05AA4">
        <w:rPr>
          <w:rFonts w:ascii="Calibri" w:hAnsi="Calibri"/>
          <w:i/>
        </w:rPr>
        <w:t>MADDE 108/A- (1) Sistem işletmecisi, kritik aylar içerisinde kritik olarak ilan edilen günlerde, talimatı doğrultusunda hizmete katılan toplayıcılar vasıtasıyla tüketim tesislerinin elektrik enerjisi tüketim miktarının düşürülmesi yoluyla talep tarafı katılımı hizmeti alabilir.</w:t>
      </w:r>
    </w:p>
    <w:p w14:paraId="2F6A0A73" w14:textId="77777777" w:rsidR="00E05AA4" w:rsidRPr="00E05AA4" w:rsidRDefault="00E05AA4" w:rsidP="00E05AA4">
      <w:pPr>
        <w:pStyle w:val="ListeParagraf"/>
        <w:spacing w:after="0"/>
        <w:ind w:left="1440"/>
        <w:rPr>
          <w:rFonts w:ascii="Calibri" w:hAnsi="Calibri"/>
          <w:i/>
        </w:rPr>
      </w:pPr>
      <w:r w:rsidRPr="00E05AA4">
        <w:rPr>
          <w:rFonts w:ascii="Calibri" w:hAnsi="Calibri"/>
          <w:i/>
        </w:rPr>
        <w:t>(2) Talep tarafı katılımı hizmeti Elektrik Piyasası Yan Hizmetler Yönetmeliğinin ilgili hükümleri uyarınca yürütülür.</w:t>
      </w:r>
    </w:p>
    <w:p w14:paraId="121FB7D8" w14:textId="77777777" w:rsidR="00E05AA4" w:rsidRPr="00E05AA4" w:rsidRDefault="00E05AA4" w:rsidP="00E05AA4">
      <w:pPr>
        <w:pStyle w:val="ListeParagraf"/>
        <w:spacing w:after="0"/>
        <w:ind w:left="1440"/>
        <w:rPr>
          <w:rFonts w:ascii="Calibri" w:hAnsi="Calibri"/>
          <w:i/>
        </w:rPr>
      </w:pPr>
      <w:r w:rsidRPr="00E05AA4">
        <w:rPr>
          <w:rFonts w:ascii="Calibri" w:hAnsi="Calibri"/>
          <w:i/>
        </w:rPr>
        <w:t>(3) Talep tarafı katılımı hizmetine katılacak olan toplayıcılar, toplayıcılık hizmet anlaşması imzaladıkları tüketim tesislerini, sayaç bazında iletim sistem işletmecisine kaydettirmek ve sistem işletmecisinin veri iletişimine ilişkin talep ettiği teknik yeterlilikleri sağlamakla yükümlüdür.</w:t>
      </w:r>
    </w:p>
    <w:p w14:paraId="65DC99AE" w14:textId="77777777" w:rsidR="004A6C99" w:rsidRDefault="00E05AA4" w:rsidP="00E05AA4">
      <w:pPr>
        <w:pStyle w:val="ListeParagraf"/>
        <w:spacing w:after="0"/>
        <w:ind w:left="1440"/>
        <w:rPr>
          <w:rFonts w:ascii="Calibri" w:hAnsi="Calibri"/>
          <w:i/>
        </w:rPr>
      </w:pPr>
      <w:r w:rsidRPr="00E05AA4">
        <w:rPr>
          <w:rFonts w:ascii="Calibri" w:hAnsi="Calibri"/>
          <w:i/>
        </w:rPr>
        <w:t>(4) Talep tarafı katılımı hizmeti, Ek-17’de yer alan talep tarafı katılımı hizmetinin sağlanmasına ilişkin performans testleri sonucunda talep tarafı katılımı hizmeti verme yeterliliğine sahip olduğu tespit edilen toplayıcılardan tedarik edilir.”</w:t>
      </w:r>
    </w:p>
    <w:p w14:paraId="5B009B99" w14:textId="77777777" w:rsidR="004A6C99" w:rsidRDefault="004A6C99" w:rsidP="004A6C99">
      <w:pPr>
        <w:pStyle w:val="ListeParagraf"/>
        <w:spacing w:after="0"/>
        <w:ind w:left="1440"/>
        <w:rPr>
          <w:rFonts w:ascii="Calibri" w:hAnsi="Calibri"/>
          <w:i/>
        </w:rPr>
      </w:pPr>
    </w:p>
    <w:p w14:paraId="415E324B" w14:textId="77777777" w:rsidR="004A6C99" w:rsidRPr="002048A7" w:rsidRDefault="00E05AA4" w:rsidP="0025080A">
      <w:pPr>
        <w:pStyle w:val="metin0"/>
        <w:numPr>
          <w:ilvl w:val="0"/>
          <w:numId w:val="39"/>
        </w:numPr>
        <w:spacing w:before="0" w:beforeAutospacing="0" w:after="0" w:afterAutospacing="0" w:line="240" w:lineRule="atLeast"/>
        <w:rPr>
          <w:rFonts w:ascii="Calibri" w:hAnsi="Calibri" w:cs="Calibri"/>
          <w:color w:val="000000"/>
          <w:sz w:val="22"/>
          <w:szCs w:val="22"/>
        </w:rPr>
      </w:pPr>
      <w:proofErr w:type="gramStart"/>
      <w:r w:rsidRPr="00E05AA4">
        <w:rPr>
          <w:rFonts w:ascii="Calibri" w:hAnsi="Calibri" w:cs="Calibri"/>
          <w:color w:val="000000"/>
          <w:sz w:val="22"/>
          <w:szCs w:val="22"/>
        </w:rPr>
        <w:t>117 nci</w:t>
      </w:r>
      <w:proofErr w:type="gramEnd"/>
      <w:r w:rsidRPr="00E05AA4">
        <w:rPr>
          <w:rFonts w:ascii="Calibri" w:hAnsi="Calibri" w:cs="Calibri"/>
          <w:color w:val="000000"/>
          <w:sz w:val="22"/>
          <w:szCs w:val="22"/>
        </w:rPr>
        <w:t xml:space="preserve"> maddesi aşağıdaki şekilde değiştirilmiştir.</w:t>
      </w:r>
    </w:p>
    <w:p w14:paraId="55BC4ECC" w14:textId="77777777" w:rsidR="004A6C99" w:rsidRPr="002048A7" w:rsidRDefault="004A6C99" w:rsidP="004A6C99">
      <w:pPr>
        <w:pStyle w:val="metin0"/>
        <w:spacing w:before="0" w:beforeAutospacing="0" w:after="0" w:afterAutospacing="0" w:line="240" w:lineRule="atLeast"/>
        <w:ind w:left="1440"/>
        <w:rPr>
          <w:rFonts w:ascii="Calibri" w:hAnsi="Calibri" w:cs="Calibri"/>
          <w:color w:val="000000"/>
          <w:sz w:val="22"/>
          <w:szCs w:val="22"/>
        </w:rPr>
      </w:pPr>
    </w:p>
    <w:p w14:paraId="3427C300" w14:textId="77777777" w:rsidR="00E05AA4" w:rsidRPr="00E05AA4" w:rsidRDefault="00E05AA4" w:rsidP="00E05AA4">
      <w:pPr>
        <w:pStyle w:val="ListeParagraf"/>
        <w:spacing w:after="0"/>
        <w:ind w:left="1440"/>
        <w:rPr>
          <w:rFonts w:ascii="Calibri" w:hAnsi="Calibri"/>
          <w:i/>
        </w:rPr>
      </w:pPr>
      <w:r w:rsidRPr="00E05AA4">
        <w:rPr>
          <w:rFonts w:ascii="Calibri" w:hAnsi="Calibri"/>
          <w:i/>
        </w:rPr>
        <w:t>“MADDE 117- (1) Elektriksel zaman hatası düzeltmesi;</w:t>
      </w:r>
    </w:p>
    <w:p w14:paraId="74709723" w14:textId="77777777" w:rsidR="00E05AA4" w:rsidRPr="00E05AA4" w:rsidRDefault="00E05AA4" w:rsidP="00E05AA4">
      <w:pPr>
        <w:pStyle w:val="ListeParagraf"/>
        <w:spacing w:after="0"/>
        <w:ind w:left="1440"/>
        <w:rPr>
          <w:rFonts w:ascii="Calibri" w:hAnsi="Calibri"/>
          <w:i/>
        </w:rPr>
      </w:pPr>
      <w:r w:rsidRPr="00E05AA4">
        <w:rPr>
          <w:rFonts w:ascii="Calibri" w:hAnsi="Calibri"/>
          <w:i/>
        </w:rPr>
        <w:t>a) Türkiye elektrik enterkonnekte sisteminin ENTSO-E şebekesinden izole olarak işletildiği dönemlerde, MYTM tarafından belirli periyotlarda sistem frekansına uygun dengeleme yapılarak gerçekleştirilir.</w:t>
      </w:r>
    </w:p>
    <w:p w14:paraId="1E630623" w14:textId="77777777" w:rsidR="004A6C99" w:rsidRDefault="00E05AA4" w:rsidP="00E05AA4">
      <w:pPr>
        <w:pStyle w:val="ListeParagraf"/>
        <w:spacing w:after="0"/>
        <w:ind w:left="1440"/>
        <w:rPr>
          <w:rFonts w:ascii="Calibri" w:hAnsi="Calibri"/>
          <w:i/>
        </w:rPr>
      </w:pPr>
      <w:r w:rsidRPr="00E05AA4">
        <w:rPr>
          <w:rFonts w:ascii="Calibri" w:hAnsi="Calibri"/>
          <w:i/>
        </w:rPr>
        <w:t>b) Ulusal enterkonnekte sisteminin ENTSO-E şebekesi ile senkron paralel olarak işletildiği dönemlerde, elektrik zaman hatasının belirlenmiş sınırlar içinde tutulması ENTSO-E koordinasyonunda yürütülür.”</w:t>
      </w:r>
    </w:p>
    <w:p w14:paraId="57EF4042" w14:textId="77777777" w:rsidR="004A6C99" w:rsidRDefault="004A6C99" w:rsidP="004A6C99">
      <w:pPr>
        <w:pStyle w:val="ListeParagraf"/>
        <w:spacing w:after="0"/>
        <w:ind w:left="1440"/>
        <w:rPr>
          <w:rFonts w:ascii="Calibri" w:hAnsi="Calibri"/>
          <w:i/>
        </w:rPr>
      </w:pPr>
    </w:p>
    <w:p w14:paraId="10811220" w14:textId="77777777" w:rsidR="004A6C99" w:rsidRPr="002048A7" w:rsidRDefault="00E05AA4" w:rsidP="0025080A">
      <w:pPr>
        <w:pStyle w:val="metin0"/>
        <w:numPr>
          <w:ilvl w:val="0"/>
          <w:numId w:val="39"/>
        </w:numPr>
        <w:spacing w:before="0" w:beforeAutospacing="0" w:after="0" w:afterAutospacing="0" w:line="240" w:lineRule="atLeast"/>
        <w:rPr>
          <w:rFonts w:ascii="Calibri" w:hAnsi="Calibri" w:cs="Calibri"/>
          <w:color w:val="000000"/>
          <w:sz w:val="22"/>
          <w:szCs w:val="22"/>
        </w:rPr>
      </w:pPr>
      <w:r w:rsidRPr="00E05AA4">
        <w:rPr>
          <w:rFonts w:ascii="Calibri" w:hAnsi="Calibri" w:cs="Calibri"/>
          <w:color w:val="000000"/>
          <w:sz w:val="22"/>
          <w:szCs w:val="22"/>
        </w:rPr>
        <w:lastRenderedPageBreak/>
        <w:t>Geçici</w:t>
      </w:r>
      <w:r>
        <w:rPr>
          <w:rFonts w:ascii="Calibri" w:hAnsi="Calibri" w:cs="Calibri"/>
          <w:color w:val="000000"/>
          <w:sz w:val="22"/>
          <w:szCs w:val="22"/>
        </w:rPr>
        <w:t xml:space="preserve"> </w:t>
      </w:r>
      <w:r w:rsidRPr="00E05AA4">
        <w:rPr>
          <w:rFonts w:ascii="Calibri" w:hAnsi="Calibri" w:cs="Calibri"/>
          <w:color w:val="000000"/>
          <w:sz w:val="22"/>
          <w:szCs w:val="22"/>
        </w:rPr>
        <w:t>1 inci maddesi başlığıyla birlikte aşağıdaki şekilde değiştirilmiştir.</w:t>
      </w:r>
    </w:p>
    <w:p w14:paraId="42A1098D" w14:textId="77777777" w:rsidR="004A6C99" w:rsidRPr="002048A7" w:rsidRDefault="004A6C99" w:rsidP="004A6C99">
      <w:pPr>
        <w:pStyle w:val="metin0"/>
        <w:spacing w:before="0" w:beforeAutospacing="0" w:after="0" w:afterAutospacing="0" w:line="240" w:lineRule="atLeast"/>
        <w:ind w:left="1440"/>
        <w:rPr>
          <w:rFonts w:ascii="Calibri" w:hAnsi="Calibri" w:cs="Calibri"/>
          <w:color w:val="000000"/>
          <w:sz w:val="22"/>
          <w:szCs w:val="22"/>
        </w:rPr>
      </w:pPr>
    </w:p>
    <w:p w14:paraId="36F83B58" w14:textId="77777777" w:rsidR="00E05AA4" w:rsidRPr="00E05AA4" w:rsidRDefault="00E05AA4" w:rsidP="00E05AA4">
      <w:pPr>
        <w:pStyle w:val="ListeParagraf"/>
        <w:spacing w:after="0"/>
        <w:ind w:left="1440"/>
        <w:rPr>
          <w:rFonts w:ascii="Calibri" w:hAnsi="Calibri"/>
          <w:i/>
        </w:rPr>
      </w:pPr>
      <w:r w:rsidRPr="00E05AA4">
        <w:rPr>
          <w:rFonts w:ascii="Calibri" w:hAnsi="Calibri"/>
          <w:i/>
        </w:rPr>
        <w:t>“Elektrik depolama ünite ve tesislerine ilişkin düzenlemeler</w:t>
      </w:r>
    </w:p>
    <w:p w14:paraId="6C095FA1" w14:textId="77777777" w:rsidR="004A6C99" w:rsidRDefault="00E05AA4" w:rsidP="00E05AA4">
      <w:pPr>
        <w:pStyle w:val="ListeParagraf"/>
        <w:spacing w:after="0"/>
        <w:ind w:left="1440"/>
        <w:rPr>
          <w:rFonts w:ascii="Calibri" w:hAnsi="Calibri"/>
          <w:i/>
        </w:rPr>
      </w:pPr>
      <w:r w:rsidRPr="00E05AA4">
        <w:rPr>
          <w:rFonts w:ascii="Calibri" w:hAnsi="Calibri"/>
          <w:i/>
        </w:rPr>
        <w:t>GEÇİCİ MADDE 1- (1) Elektrik depolama üniteleri veya tesislerinin izlenmesi ve kontrol edilmesi, yan hizmetlerde kullanılması ve şebekeye bağlantı ilişkin teknik kriterler TEİAŞ tarafından 1/1/2025 tarihine kadar hazırlanarak TEİAŞ’ın internet sayfasında yayımlanır.”</w:t>
      </w:r>
    </w:p>
    <w:p w14:paraId="3EA69A53" w14:textId="77777777" w:rsidR="004A6C99" w:rsidRDefault="004A6C99" w:rsidP="004A6C99">
      <w:pPr>
        <w:pStyle w:val="ListeParagraf"/>
        <w:spacing w:after="0"/>
        <w:ind w:left="1440"/>
        <w:rPr>
          <w:rFonts w:ascii="Calibri" w:hAnsi="Calibri"/>
          <w:i/>
        </w:rPr>
      </w:pPr>
    </w:p>
    <w:p w14:paraId="187B3F4A" w14:textId="77777777" w:rsidR="004A6C99" w:rsidRPr="002048A7" w:rsidRDefault="00E05AA4" w:rsidP="0025080A">
      <w:pPr>
        <w:pStyle w:val="metin0"/>
        <w:numPr>
          <w:ilvl w:val="0"/>
          <w:numId w:val="39"/>
        </w:numPr>
        <w:spacing w:before="0" w:beforeAutospacing="0" w:after="0" w:afterAutospacing="0" w:line="240" w:lineRule="atLeast"/>
        <w:rPr>
          <w:rFonts w:ascii="Calibri" w:hAnsi="Calibri" w:cs="Calibri"/>
          <w:color w:val="000000"/>
          <w:sz w:val="22"/>
          <w:szCs w:val="22"/>
        </w:rPr>
      </w:pPr>
      <w:r w:rsidRPr="00E05AA4">
        <w:rPr>
          <w:rFonts w:ascii="Calibri" w:hAnsi="Calibri" w:cs="Calibri"/>
          <w:color w:val="000000"/>
          <w:sz w:val="22"/>
          <w:szCs w:val="22"/>
        </w:rPr>
        <w:t>Aynı Yönetmeliğe aşağıdaki geçici madde eklenmiştir.</w:t>
      </w:r>
    </w:p>
    <w:p w14:paraId="4B37CB41" w14:textId="77777777" w:rsidR="004A6C99" w:rsidRPr="002048A7" w:rsidRDefault="004A6C99" w:rsidP="004A6C99">
      <w:pPr>
        <w:pStyle w:val="metin0"/>
        <w:spacing w:before="0" w:beforeAutospacing="0" w:after="0" w:afterAutospacing="0" w:line="240" w:lineRule="atLeast"/>
        <w:ind w:left="1440"/>
        <w:rPr>
          <w:rFonts w:ascii="Calibri" w:hAnsi="Calibri" w:cs="Calibri"/>
          <w:color w:val="000000"/>
          <w:sz w:val="22"/>
          <w:szCs w:val="22"/>
        </w:rPr>
      </w:pPr>
    </w:p>
    <w:p w14:paraId="367D607E" w14:textId="77777777" w:rsidR="00E05AA4" w:rsidRPr="00E05AA4" w:rsidRDefault="00E05AA4" w:rsidP="00E05AA4">
      <w:pPr>
        <w:pStyle w:val="ListeParagraf"/>
        <w:spacing w:after="0"/>
        <w:ind w:left="1440"/>
        <w:rPr>
          <w:rFonts w:ascii="Calibri" w:hAnsi="Calibri"/>
          <w:i/>
        </w:rPr>
      </w:pPr>
      <w:r w:rsidRPr="00E05AA4">
        <w:rPr>
          <w:rFonts w:ascii="Calibri" w:hAnsi="Calibri"/>
          <w:i/>
        </w:rPr>
        <w:t>“Sınırlı frekans hassasiyet modu yan hizmetlere ilişkin test prosedürlerinin hazırlanması</w:t>
      </w:r>
    </w:p>
    <w:p w14:paraId="02EBA07D" w14:textId="77777777" w:rsidR="004A6C99" w:rsidRDefault="00E05AA4" w:rsidP="00E05AA4">
      <w:pPr>
        <w:pStyle w:val="ListeParagraf"/>
        <w:spacing w:after="0"/>
        <w:ind w:left="1440"/>
        <w:rPr>
          <w:rFonts w:ascii="Calibri" w:hAnsi="Calibri"/>
          <w:i/>
        </w:rPr>
      </w:pPr>
      <w:r w:rsidRPr="00E05AA4">
        <w:rPr>
          <w:rFonts w:ascii="Calibri" w:hAnsi="Calibri"/>
          <w:i/>
        </w:rPr>
        <w:t>GEÇİCİ MADDE 11- (1) Sınırlı Frekans Hassasiyet Modu test prosedürleri TEİAŞ tarafından 1/3/2025 tarihine kadar TEİAŞ’ın internet sitesinde yayımlanır.”</w:t>
      </w:r>
    </w:p>
    <w:p w14:paraId="24787F4E" w14:textId="77777777" w:rsidR="004A6C99" w:rsidRDefault="004A6C99" w:rsidP="004A6C99">
      <w:pPr>
        <w:pStyle w:val="ListeParagraf"/>
        <w:spacing w:after="0"/>
        <w:ind w:left="1440"/>
        <w:rPr>
          <w:rFonts w:ascii="Calibri" w:hAnsi="Calibri"/>
          <w:i/>
        </w:rPr>
      </w:pPr>
    </w:p>
    <w:p w14:paraId="3DB8870A" w14:textId="77777777" w:rsidR="004A6C99" w:rsidRDefault="00E05AA4" w:rsidP="0025080A">
      <w:pPr>
        <w:pStyle w:val="metin0"/>
        <w:numPr>
          <w:ilvl w:val="0"/>
          <w:numId w:val="39"/>
        </w:numPr>
        <w:spacing w:before="0" w:beforeAutospacing="0" w:after="0" w:afterAutospacing="0" w:line="240" w:lineRule="atLeast"/>
        <w:rPr>
          <w:rFonts w:ascii="Calibri" w:hAnsi="Calibri" w:cs="Calibri"/>
          <w:color w:val="000000"/>
          <w:sz w:val="22"/>
          <w:szCs w:val="22"/>
        </w:rPr>
      </w:pPr>
      <w:r w:rsidRPr="00E05AA4">
        <w:rPr>
          <w:rFonts w:ascii="Calibri" w:hAnsi="Calibri" w:cs="Calibri"/>
          <w:color w:val="000000"/>
          <w:sz w:val="22"/>
          <w:szCs w:val="22"/>
        </w:rPr>
        <w:t>Aynı Yönetmeliğin EK 1’i, EK 3’ü ve EK 4’ü ekteki şekilde değiştirilmiştir.</w:t>
      </w:r>
    </w:p>
    <w:p w14:paraId="6B2161D9" w14:textId="77777777" w:rsidR="00E05AA4" w:rsidRDefault="00E05AA4" w:rsidP="00E05AA4">
      <w:pPr>
        <w:pStyle w:val="metin0"/>
        <w:spacing w:before="0" w:beforeAutospacing="0" w:after="0" w:afterAutospacing="0" w:line="240" w:lineRule="atLeast"/>
        <w:ind w:left="1440"/>
        <w:rPr>
          <w:rFonts w:ascii="Calibri" w:hAnsi="Calibri" w:cs="Calibri"/>
          <w:color w:val="000000"/>
          <w:sz w:val="22"/>
          <w:szCs w:val="22"/>
        </w:rPr>
      </w:pPr>
    </w:p>
    <w:p w14:paraId="7AB3AC27" w14:textId="77777777" w:rsidR="00E05AA4" w:rsidRPr="002048A7" w:rsidRDefault="00E05AA4" w:rsidP="0025080A">
      <w:pPr>
        <w:pStyle w:val="metin0"/>
        <w:numPr>
          <w:ilvl w:val="0"/>
          <w:numId w:val="39"/>
        </w:numPr>
        <w:spacing w:before="0" w:beforeAutospacing="0" w:after="0" w:afterAutospacing="0" w:line="240" w:lineRule="atLeast"/>
        <w:rPr>
          <w:rFonts w:ascii="Calibri" w:hAnsi="Calibri" w:cs="Calibri"/>
          <w:color w:val="000000"/>
          <w:sz w:val="22"/>
          <w:szCs w:val="22"/>
        </w:rPr>
      </w:pPr>
      <w:r w:rsidRPr="00E05AA4">
        <w:rPr>
          <w:rFonts w:ascii="Calibri" w:hAnsi="Calibri" w:cs="Calibri"/>
          <w:color w:val="000000"/>
          <w:sz w:val="22"/>
          <w:szCs w:val="22"/>
        </w:rPr>
        <w:t>EK 17’sinin E.17.A. maddesine birinci fıkradan sonra gelmek üzere aşağıdaki fıkralar eklenmiş ve diğer fıkralar buna göre teselsül ettirilmiş, aynı ekin E.17.B. ve E.17.C.2. maddesi ekteki şekilde değiştirilmiş, E.17.C.3. maddesi yürürlükten kaldırılmış ve aynı eke ekteki E.17.F. maddesi eklenmiştir.</w:t>
      </w:r>
    </w:p>
    <w:p w14:paraId="59E04AC7" w14:textId="77777777" w:rsidR="004A6C99" w:rsidRPr="002048A7" w:rsidRDefault="004A6C99" w:rsidP="004A6C99">
      <w:pPr>
        <w:pStyle w:val="metin0"/>
        <w:spacing w:before="0" w:beforeAutospacing="0" w:after="0" w:afterAutospacing="0" w:line="240" w:lineRule="atLeast"/>
        <w:ind w:left="1440"/>
        <w:rPr>
          <w:rFonts w:ascii="Calibri" w:hAnsi="Calibri" w:cs="Calibri"/>
          <w:color w:val="000000"/>
          <w:sz w:val="22"/>
          <w:szCs w:val="22"/>
        </w:rPr>
      </w:pPr>
    </w:p>
    <w:p w14:paraId="0CA1A2D1" w14:textId="77777777" w:rsidR="00E05AA4" w:rsidRPr="00E05AA4" w:rsidRDefault="00E05AA4" w:rsidP="00E05AA4">
      <w:pPr>
        <w:pStyle w:val="ListeParagraf"/>
        <w:spacing w:after="0"/>
        <w:ind w:left="1440"/>
        <w:rPr>
          <w:rFonts w:ascii="Calibri" w:hAnsi="Calibri"/>
          <w:i/>
        </w:rPr>
      </w:pPr>
      <w:r w:rsidRPr="00E05AA4">
        <w:rPr>
          <w:rFonts w:ascii="Calibri" w:hAnsi="Calibri"/>
          <w:i/>
        </w:rPr>
        <w:t>“(2) Birden çok kaynaklı elektrik üretim tesislerinde E.17.A.1. ve E.17.A.2. maddelerinde belirtilen primer frekans kontrol rezerv testi ve primer frekans kontrol hassasiyet testi primer frekans kontrolüne katılma yeterliliği bulunan her bir ünite için ayrı ayrı gerçekleştirilecektir. Yapılan testlerden sonra yardımcı kaynak üniteleri dahil tüm üniteler devrede iken primer frekans kontrolüne katılma yeterliliği bulunan üniteler için testler eş zamanlı olarak yapılır. Bu testler sırasında yardımcı kaynak ünitesinin ünite kurulu gücünün asgari olarak %60’ı seviyesinde üretim yapması gerekmektedir.</w:t>
      </w:r>
    </w:p>
    <w:p w14:paraId="2FEFDC55" w14:textId="77777777" w:rsidR="004A6C99" w:rsidRDefault="00E05AA4" w:rsidP="00E05AA4">
      <w:pPr>
        <w:pStyle w:val="ListeParagraf"/>
        <w:spacing w:after="0"/>
        <w:ind w:left="1440"/>
        <w:rPr>
          <w:rFonts w:ascii="Calibri" w:hAnsi="Calibri"/>
          <w:i/>
        </w:rPr>
      </w:pPr>
      <w:r w:rsidRPr="00E05AA4">
        <w:rPr>
          <w:rFonts w:ascii="Calibri" w:hAnsi="Calibri"/>
          <w:i/>
        </w:rPr>
        <w:t>(3) Birden çok kaynaklı elektrik üretim tesislerinde E.17.A.3. maddesinde açıklanan doğrulama testi yardımcı kaynak üniteleri dahil tüm üniteler için eş zamanlı olarak yapılır. Bu testler sırasında yardımcı kaynak ünitesinin en az 4 saat süre boyunca ünite kurulu gücünün en az %60’ı seviyesinde üretim yapması gerekmektedir.”</w:t>
      </w:r>
    </w:p>
    <w:p w14:paraId="1FE46965" w14:textId="77777777" w:rsidR="00E05AA4" w:rsidRDefault="00E05AA4" w:rsidP="00E05AA4">
      <w:pPr>
        <w:pStyle w:val="ListeParagraf"/>
        <w:spacing w:after="0"/>
        <w:ind w:left="1440"/>
        <w:rPr>
          <w:rFonts w:ascii="Calibri" w:hAnsi="Calibri"/>
          <w:i/>
        </w:rPr>
      </w:pPr>
    </w:p>
    <w:p w14:paraId="18AC0A3B" w14:textId="77777777" w:rsidR="00E05AA4" w:rsidRPr="002048A7" w:rsidRDefault="00E05AA4" w:rsidP="0025080A">
      <w:pPr>
        <w:pStyle w:val="metin0"/>
        <w:numPr>
          <w:ilvl w:val="0"/>
          <w:numId w:val="39"/>
        </w:numPr>
        <w:spacing w:before="0" w:beforeAutospacing="0" w:after="0" w:afterAutospacing="0" w:line="240" w:lineRule="atLeast"/>
        <w:rPr>
          <w:rFonts w:ascii="Calibri" w:hAnsi="Calibri" w:cs="Calibri"/>
          <w:color w:val="000000"/>
          <w:sz w:val="22"/>
          <w:szCs w:val="22"/>
        </w:rPr>
      </w:pPr>
      <w:r w:rsidRPr="00E05AA4">
        <w:rPr>
          <w:rFonts w:ascii="Calibri" w:hAnsi="Calibri" w:cs="Calibri"/>
          <w:color w:val="000000"/>
          <w:sz w:val="22"/>
          <w:szCs w:val="22"/>
        </w:rPr>
        <w:t>EK 18’inin E.18.1, E.18.4 ve E.18.9 maddeleri aşağıdaki şekilde değiştirilmiştir.</w:t>
      </w:r>
    </w:p>
    <w:p w14:paraId="1B11384D" w14:textId="77777777" w:rsidR="00E05AA4" w:rsidRPr="002048A7" w:rsidRDefault="00E05AA4" w:rsidP="00E05AA4">
      <w:pPr>
        <w:pStyle w:val="metin0"/>
        <w:spacing w:before="0" w:beforeAutospacing="0" w:after="0" w:afterAutospacing="0" w:line="240" w:lineRule="atLeast"/>
        <w:ind w:left="1440"/>
        <w:rPr>
          <w:rFonts w:ascii="Calibri" w:hAnsi="Calibri" w:cs="Calibri"/>
          <w:color w:val="000000"/>
          <w:sz w:val="22"/>
          <w:szCs w:val="22"/>
        </w:rPr>
      </w:pPr>
    </w:p>
    <w:p w14:paraId="7EA9A4A8" w14:textId="77777777" w:rsidR="00E05AA4" w:rsidRPr="00E05AA4" w:rsidRDefault="00E05AA4" w:rsidP="00E05AA4">
      <w:pPr>
        <w:pStyle w:val="ListeParagraf"/>
        <w:spacing w:after="0"/>
        <w:ind w:left="1440"/>
        <w:rPr>
          <w:rFonts w:ascii="Calibri" w:hAnsi="Calibri"/>
          <w:i/>
        </w:rPr>
      </w:pPr>
      <w:r w:rsidRPr="00E05AA4">
        <w:rPr>
          <w:rFonts w:ascii="Calibri" w:hAnsi="Calibri"/>
          <w:i/>
        </w:rPr>
        <w:t>“E.18.1 KAPSAM</w:t>
      </w:r>
    </w:p>
    <w:p w14:paraId="4D1EB432" w14:textId="77777777" w:rsidR="00E05AA4" w:rsidRPr="00E05AA4" w:rsidRDefault="00E05AA4" w:rsidP="00E05AA4">
      <w:pPr>
        <w:pStyle w:val="ListeParagraf"/>
        <w:spacing w:after="0"/>
        <w:ind w:left="1440"/>
        <w:rPr>
          <w:rFonts w:ascii="Calibri" w:hAnsi="Calibri"/>
          <w:i/>
        </w:rPr>
      </w:pPr>
      <w:r w:rsidRPr="00E05AA4">
        <w:rPr>
          <w:rFonts w:ascii="Calibri" w:hAnsi="Calibri"/>
          <w:i/>
        </w:rPr>
        <w:t>Bu kriterler, aşağıda belirtilen üretim tesislerine uygulanır:</w:t>
      </w:r>
    </w:p>
    <w:p w14:paraId="2DF3C30C" w14:textId="77777777" w:rsidR="00E05AA4" w:rsidRPr="00E05AA4" w:rsidRDefault="00E05AA4" w:rsidP="00E05AA4">
      <w:pPr>
        <w:pStyle w:val="ListeParagraf"/>
        <w:spacing w:after="0"/>
        <w:ind w:left="1440"/>
        <w:rPr>
          <w:rFonts w:ascii="Calibri" w:hAnsi="Calibri"/>
          <w:i/>
        </w:rPr>
      </w:pPr>
      <w:r w:rsidRPr="00E05AA4">
        <w:rPr>
          <w:rFonts w:ascii="Calibri" w:hAnsi="Calibri"/>
          <w:i/>
        </w:rPr>
        <w:t xml:space="preserve">• İletim sistemine bağlı </w:t>
      </w:r>
      <w:proofErr w:type="gramStart"/>
      <w:r w:rsidRPr="00E05AA4">
        <w:rPr>
          <w:rFonts w:ascii="Calibri" w:hAnsi="Calibri"/>
          <w:i/>
        </w:rPr>
        <w:t>rüzgar</w:t>
      </w:r>
      <w:proofErr w:type="gramEnd"/>
      <w:r w:rsidRPr="00E05AA4">
        <w:rPr>
          <w:rFonts w:ascii="Calibri" w:hAnsi="Calibri"/>
          <w:i/>
        </w:rPr>
        <w:t xml:space="preserve"> ve güneş enerjisine dayalı fotovoltaik üretim tesisleri</w:t>
      </w:r>
    </w:p>
    <w:p w14:paraId="7B8E77E0" w14:textId="77777777" w:rsidR="00E05AA4" w:rsidRPr="00E05AA4" w:rsidRDefault="00E05AA4" w:rsidP="00E05AA4">
      <w:pPr>
        <w:pStyle w:val="ListeParagraf"/>
        <w:spacing w:after="0"/>
        <w:ind w:left="1440"/>
        <w:rPr>
          <w:rFonts w:ascii="Calibri" w:hAnsi="Calibri"/>
          <w:i/>
        </w:rPr>
      </w:pPr>
      <w:r w:rsidRPr="00E05AA4">
        <w:rPr>
          <w:rFonts w:ascii="Calibri" w:hAnsi="Calibri"/>
          <w:i/>
        </w:rPr>
        <w:t>• Dağıtım sistemine orta gerilim seviyesinden bağlı güneş enerjisine dayalı lisans sahibi fotovoltaik üretim tesisleri</w:t>
      </w:r>
    </w:p>
    <w:p w14:paraId="2399C862" w14:textId="77777777" w:rsidR="00E05AA4" w:rsidRPr="00E05AA4" w:rsidRDefault="00E05AA4" w:rsidP="00E05AA4">
      <w:pPr>
        <w:pStyle w:val="ListeParagraf"/>
        <w:spacing w:after="0"/>
        <w:ind w:left="1440"/>
        <w:rPr>
          <w:rFonts w:ascii="Calibri" w:hAnsi="Calibri"/>
          <w:i/>
        </w:rPr>
      </w:pPr>
      <w:r w:rsidRPr="00E05AA4">
        <w:rPr>
          <w:rFonts w:ascii="Calibri" w:hAnsi="Calibri"/>
          <w:i/>
        </w:rPr>
        <w:t xml:space="preserve">• Kurulu gücü 10 MW ve üzerinde olan dağıtım sistemine bağlı </w:t>
      </w:r>
      <w:proofErr w:type="gramStart"/>
      <w:r w:rsidRPr="00E05AA4">
        <w:rPr>
          <w:rFonts w:ascii="Calibri" w:hAnsi="Calibri"/>
          <w:i/>
        </w:rPr>
        <w:t>rüzgar</w:t>
      </w:r>
      <w:proofErr w:type="gramEnd"/>
      <w:r w:rsidRPr="00E05AA4">
        <w:rPr>
          <w:rFonts w:ascii="Calibri" w:hAnsi="Calibri"/>
          <w:i/>
        </w:rPr>
        <w:t xml:space="preserve"> enerjisine dayalı lisans sahibi üretim tesisleri</w:t>
      </w:r>
    </w:p>
    <w:p w14:paraId="5DA922C1" w14:textId="77777777" w:rsidR="00E05AA4" w:rsidRPr="00E05AA4" w:rsidRDefault="00E05AA4" w:rsidP="00E05AA4">
      <w:pPr>
        <w:pStyle w:val="ListeParagraf"/>
        <w:spacing w:after="0"/>
        <w:ind w:left="1440"/>
        <w:rPr>
          <w:rFonts w:ascii="Calibri" w:hAnsi="Calibri"/>
          <w:i/>
        </w:rPr>
      </w:pPr>
      <w:r w:rsidRPr="00E05AA4">
        <w:rPr>
          <w:rFonts w:ascii="Calibri" w:hAnsi="Calibri"/>
          <w:i/>
        </w:rPr>
        <w:t>• Birden çok kaynaklı elektrik üretim tesislerine ait mekaniksel kurulu gücü 5 MW ve üzerinde olan yardımcı kaynak üniteleri”</w:t>
      </w:r>
    </w:p>
    <w:p w14:paraId="3CA72712" w14:textId="77777777" w:rsidR="00E05AA4" w:rsidRPr="00E05AA4" w:rsidRDefault="00E05AA4" w:rsidP="00E05AA4">
      <w:pPr>
        <w:pStyle w:val="ListeParagraf"/>
        <w:spacing w:after="0"/>
        <w:ind w:left="1440"/>
        <w:rPr>
          <w:rFonts w:ascii="Calibri" w:hAnsi="Calibri"/>
          <w:i/>
        </w:rPr>
      </w:pPr>
      <w:r w:rsidRPr="00E05AA4">
        <w:rPr>
          <w:rFonts w:ascii="Calibri" w:hAnsi="Calibri"/>
          <w:i/>
        </w:rPr>
        <w:t>“E.18.4 FREKANS TEPKİSİ</w:t>
      </w:r>
    </w:p>
    <w:p w14:paraId="7392B906" w14:textId="77777777" w:rsidR="00E05AA4" w:rsidRPr="00E05AA4" w:rsidRDefault="00E05AA4" w:rsidP="00E05AA4">
      <w:pPr>
        <w:pStyle w:val="ListeParagraf"/>
        <w:spacing w:after="0"/>
        <w:ind w:left="1440"/>
        <w:rPr>
          <w:rFonts w:ascii="Calibri" w:hAnsi="Calibri"/>
          <w:i/>
        </w:rPr>
      </w:pPr>
      <w:proofErr w:type="gramStart"/>
      <w:r w:rsidRPr="00E05AA4">
        <w:rPr>
          <w:rFonts w:ascii="Calibri" w:hAnsi="Calibri"/>
          <w:i/>
        </w:rPr>
        <w:t>Rüzgar</w:t>
      </w:r>
      <w:proofErr w:type="gramEnd"/>
      <w:r w:rsidRPr="00E05AA4">
        <w:rPr>
          <w:rFonts w:ascii="Calibri" w:hAnsi="Calibri"/>
          <w:i/>
        </w:rPr>
        <w:t xml:space="preserve"> ve güneş enerjisine dayalı fotovoltaik üretim tesisleri çalıştığı süre boyunca aşağıda yer alan şekil E.18.2’deki frekans aralıkları esas olmak üzere üretim yapmalıdır.</w:t>
      </w:r>
    </w:p>
    <w:p w14:paraId="5ED11310" w14:textId="77777777" w:rsidR="00E05AA4" w:rsidRDefault="00E05AA4" w:rsidP="00E05AA4">
      <w:pPr>
        <w:pStyle w:val="ListeParagraf"/>
        <w:spacing w:after="0"/>
        <w:ind w:left="1440"/>
        <w:rPr>
          <w:rFonts w:ascii="Calibri" w:hAnsi="Calibri"/>
          <w:i/>
        </w:rPr>
      </w:pPr>
      <w:r w:rsidRPr="00E05AA4">
        <w:rPr>
          <w:rFonts w:ascii="Calibri" w:hAnsi="Calibri"/>
          <w:i/>
        </w:rPr>
        <w:lastRenderedPageBreak/>
        <w:t>Söz konusu santralların tasarım ve çalışması esnasında aşağıdaki tablo E.18.1’de yer alan frekans çalışma aralıklarındaki çalışma süreleri esas alınacaktır.</w:t>
      </w:r>
    </w:p>
    <w:p w14:paraId="15D53EA2" w14:textId="77777777" w:rsidR="00E05AA4" w:rsidRPr="00071236" w:rsidRDefault="00E05AA4" w:rsidP="00E05AA4">
      <w:pPr>
        <w:spacing w:after="100" w:line="240" w:lineRule="atLeast"/>
        <w:ind w:firstLine="567"/>
        <w:rPr>
          <w:rFonts w:ascii="Times New Roman" w:eastAsia="Times New Roman" w:hAnsi="Times New Roman"/>
          <w:sz w:val="19"/>
          <w:szCs w:val="19"/>
          <w:lang w:eastAsia="tr-TR"/>
        </w:rPr>
      </w:pPr>
    </w:p>
    <w:tbl>
      <w:tblPr>
        <w:tblW w:w="6237" w:type="dxa"/>
        <w:jc w:val="center"/>
        <w:tblCellMar>
          <w:left w:w="0" w:type="dxa"/>
          <w:right w:w="0" w:type="dxa"/>
        </w:tblCellMar>
        <w:tblLook w:val="04A0" w:firstRow="1" w:lastRow="0" w:firstColumn="1" w:lastColumn="0" w:noHBand="0" w:noVBand="1"/>
      </w:tblPr>
      <w:tblGrid>
        <w:gridCol w:w="2811"/>
        <w:gridCol w:w="3426"/>
      </w:tblGrid>
      <w:tr w:rsidR="00E05AA4" w:rsidRPr="00071236" w14:paraId="1892B5C0" w14:textId="77777777" w:rsidTr="00E05AA4">
        <w:trPr>
          <w:trHeight w:val="20"/>
          <w:jc w:val="center"/>
        </w:trPr>
        <w:tc>
          <w:tcPr>
            <w:tcW w:w="2204"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0D07CF5" w14:textId="77777777" w:rsidR="00E05AA4" w:rsidRPr="00071236" w:rsidRDefault="00E05AA4" w:rsidP="00E05AA4">
            <w:pPr>
              <w:spacing w:after="0" w:line="240" w:lineRule="atLeast"/>
              <w:ind w:left="74" w:right="6"/>
              <w:rPr>
                <w:rFonts w:ascii="Times New Roman" w:eastAsia="Times New Roman" w:hAnsi="Times New Roman"/>
                <w:sz w:val="24"/>
                <w:szCs w:val="24"/>
                <w:lang w:eastAsia="tr-TR"/>
              </w:rPr>
            </w:pPr>
            <w:r w:rsidRPr="00071236">
              <w:rPr>
                <w:rFonts w:ascii="Times New Roman" w:eastAsia="Times New Roman" w:hAnsi="Times New Roman"/>
                <w:sz w:val="18"/>
                <w:szCs w:val="18"/>
                <w:lang w:eastAsia="tr-TR"/>
              </w:rPr>
              <w:t>Frekans Aralığı</w:t>
            </w:r>
          </w:p>
        </w:tc>
        <w:tc>
          <w:tcPr>
            <w:tcW w:w="2687"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49568E02" w14:textId="77777777" w:rsidR="00E05AA4" w:rsidRPr="00071236" w:rsidRDefault="00E05AA4" w:rsidP="00E05AA4">
            <w:pPr>
              <w:spacing w:after="0" w:line="240" w:lineRule="atLeast"/>
              <w:ind w:left="74" w:right="6"/>
              <w:rPr>
                <w:rFonts w:ascii="Times New Roman" w:eastAsia="Times New Roman" w:hAnsi="Times New Roman"/>
                <w:sz w:val="24"/>
                <w:szCs w:val="24"/>
                <w:lang w:eastAsia="tr-TR"/>
              </w:rPr>
            </w:pPr>
            <w:r w:rsidRPr="00071236">
              <w:rPr>
                <w:rFonts w:ascii="Times New Roman" w:eastAsia="Times New Roman" w:hAnsi="Times New Roman"/>
                <w:sz w:val="18"/>
                <w:szCs w:val="18"/>
                <w:lang w:eastAsia="tr-TR"/>
              </w:rPr>
              <w:t>Minimum Çalışma Süresi</w:t>
            </w:r>
          </w:p>
        </w:tc>
      </w:tr>
      <w:tr w:rsidR="00E05AA4" w:rsidRPr="00071236" w14:paraId="7FBEAFFA" w14:textId="77777777" w:rsidTr="00E05AA4">
        <w:trPr>
          <w:trHeight w:val="20"/>
          <w:jc w:val="center"/>
        </w:trPr>
        <w:tc>
          <w:tcPr>
            <w:tcW w:w="2204"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F53441E" w14:textId="77777777" w:rsidR="00E05AA4" w:rsidRPr="00071236" w:rsidRDefault="00E05AA4" w:rsidP="00E05AA4">
            <w:pPr>
              <w:spacing w:after="0" w:line="240" w:lineRule="atLeast"/>
              <w:ind w:left="74" w:right="6"/>
              <w:rPr>
                <w:rFonts w:ascii="Times New Roman" w:eastAsia="Times New Roman" w:hAnsi="Times New Roman"/>
                <w:sz w:val="24"/>
                <w:szCs w:val="24"/>
                <w:lang w:eastAsia="tr-TR"/>
              </w:rPr>
            </w:pPr>
            <w:r w:rsidRPr="00071236">
              <w:rPr>
                <w:rFonts w:ascii="Times New Roman" w:eastAsia="Times New Roman" w:hAnsi="Times New Roman"/>
                <w:sz w:val="18"/>
                <w:szCs w:val="18"/>
                <w:lang w:eastAsia="tr-TR"/>
              </w:rPr>
              <w:t>51,0 Hz≤f&lt;51,5 Hz</w:t>
            </w:r>
          </w:p>
        </w:tc>
        <w:tc>
          <w:tcPr>
            <w:tcW w:w="2687"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86903AC" w14:textId="77777777" w:rsidR="00E05AA4" w:rsidRPr="00071236" w:rsidRDefault="00E05AA4" w:rsidP="00E05AA4">
            <w:pPr>
              <w:spacing w:after="0" w:line="240" w:lineRule="atLeast"/>
              <w:ind w:left="74" w:right="6"/>
              <w:rPr>
                <w:rFonts w:ascii="Times New Roman" w:eastAsia="Times New Roman" w:hAnsi="Times New Roman"/>
                <w:sz w:val="24"/>
                <w:szCs w:val="24"/>
                <w:lang w:eastAsia="tr-TR"/>
              </w:rPr>
            </w:pPr>
            <w:r w:rsidRPr="00071236">
              <w:rPr>
                <w:rFonts w:ascii="Times New Roman" w:eastAsia="Times New Roman" w:hAnsi="Times New Roman"/>
                <w:sz w:val="18"/>
                <w:szCs w:val="18"/>
                <w:lang w:eastAsia="tr-TR"/>
              </w:rPr>
              <w:t> 30 dakika</w:t>
            </w:r>
          </w:p>
        </w:tc>
      </w:tr>
      <w:tr w:rsidR="00E05AA4" w:rsidRPr="00071236" w14:paraId="0E51F45A" w14:textId="77777777" w:rsidTr="00E05AA4">
        <w:trPr>
          <w:trHeight w:val="20"/>
          <w:jc w:val="center"/>
        </w:trPr>
        <w:tc>
          <w:tcPr>
            <w:tcW w:w="2204"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172097F" w14:textId="77777777" w:rsidR="00E05AA4" w:rsidRPr="00071236" w:rsidRDefault="00E05AA4" w:rsidP="00E05AA4">
            <w:pPr>
              <w:spacing w:after="0" w:line="240" w:lineRule="atLeast"/>
              <w:ind w:left="74" w:right="6"/>
              <w:rPr>
                <w:rFonts w:ascii="Times New Roman" w:eastAsia="Times New Roman" w:hAnsi="Times New Roman"/>
                <w:sz w:val="24"/>
                <w:szCs w:val="24"/>
                <w:lang w:eastAsia="tr-TR"/>
              </w:rPr>
            </w:pPr>
            <w:r w:rsidRPr="00071236">
              <w:rPr>
                <w:rFonts w:ascii="Times New Roman" w:eastAsia="Times New Roman" w:hAnsi="Times New Roman"/>
                <w:sz w:val="18"/>
                <w:szCs w:val="18"/>
                <w:lang w:eastAsia="tr-TR"/>
              </w:rPr>
              <w:t>49 Hz ≤f&lt;51,0 Hz</w:t>
            </w:r>
          </w:p>
        </w:tc>
        <w:tc>
          <w:tcPr>
            <w:tcW w:w="2687"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EE33AC2" w14:textId="77777777" w:rsidR="00E05AA4" w:rsidRPr="00071236" w:rsidRDefault="00E05AA4" w:rsidP="00E05AA4">
            <w:pPr>
              <w:spacing w:after="0" w:line="240" w:lineRule="atLeast"/>
              <w:ind w:left="74" w:right="6"/>
              <w:rPr>
                <w:rFonts w:ascii="Times New Roman" w:eastAsia="Times New Roman" w:hAnsi="Times New Roman"/>
                <w:sz w:val="24"/>
                <w:szCs w:val="24"/>
                <w:lang w:eastAsia="tr-TR"/>
              </w:rPr>
            </w:pPr>
            <w:r w:rsidRPr="00071236">
              <w:rPr>
                <w:rFonts w:ascii="Times New Roman" w:eastAsia="Times New Roman" w:hAnsi="Times New Roman"/>
                <w:sz w:val="18"/>
                <w:szCs w:val="18"/>
                <w:lang w:eastAsia="tr-TR"/>
              </w:rPr>
              <w:t>Sürekli</w:t>
            </w:r>
          </w:p>
        </w:tc>
      </w:tr>
      <w:tr w:rsidR="00E05AA4" w:rsidRPr="00071236" w14:paraId="5E93D036" w14:textId="77777777" w:rsidTr="00E05AA4">
        <w:trPr>
          <w:trHeight w:val="20"/>
          <w:jc w:val="center"/>
        </w:trPr>
        <w:tc>
          <w:tcPr>
            <w:tcW w:w="2204"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917EC4B" w14:textId="77777777" w:rsidR="00E05AA4" w:rsidRPr="00071236" w:rsidRDefault="00E05AA4" w:rsidP="00E05AA4">
            <w:pPr>
              <w:spacing w:after="0" w:line="240" w:lineRule="atLeast"/>
              <w:ind w:left="74" w:right="6"/>
              <w:rPr>
                <w:rFonts w:ascii="Times New Roman" w:eastAsia="Times New Roman" w:hAnsi="Times New Roman"/>
                <w:sz w:val="24"/>
                <w:szCs w:val="24"/>
                <w:lang w:eastAsia="tr-TR"/>
              </w:rPr>
            </w:pPr>
            <w:r w:rsidRPr="00071236">
              <w:rPr>
                <w:rFonts w:ascii="Times New Roman" w:eastAsia="Times New Roman" w:hAnsi="Times New Roman"/>
                <w:sz w:val="18"/>
                <w:szCs w:val="18"/>
                <w:lang w:eastAsia="tr-TR"/>
              </w:rPr>
              <w:t xml:space="preserve">48,5 Hz ≤f </w:t>
            </w:r>
            <w:proofErr w:type="gramStart"/>
            <w:r w:rsidRPr="00071236">
              <w:rPr>
                <w:rFonts w:ascii="Times New Roman" w:eastAsia="Times New Roman" w:hAnsi="Times New Roman"/>
                <w:sz w:val="18"/>
                <w:szCs w:val="18"/>
                <w:lang w:eastAsia="tr-TR"/>
              </w:rPr>
              <w:t>&lt; 49</w:t>
            </w:r>
            <w:proofErr w:type="gramEnd"/>
            <w:r w:rsidRPr="00071236">
              <w:rPr>
                <w:rFonts w:ascii="Times New Roman" w:eastAsia="Times New Roman" w:hAnsi="Times New Roman"/>
                <w:sz w:val="18"/>
                <w:szCs w:val="18"/>
                <w:lang w:eastAsia="tr-TR"/>
              </w:rPr>
              <w:t xml:space="preserve"> Hz</w:t>
            </w:r>
          </w:p>
        </w:tc>
        <w:tc>
          <w:tcPr>
            <w:tcW w:w="2687"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5D10404" w14:textId="77777777" w:rsidR="00E05AA4" w:rsidRPr="00071236" w:rsidRDefault="00E05AA4" w:rsidP="00E05AA4">
            <w:pPr>
              <w:spacing w:after="0" w:line="240" w:lineRule="atLeast"/>
              <w:ind w:left="74" w:right="6"/>
              <w:rPr>
                <w:rFonts w:ascii="Times New Roman" w:eastAsia="Times New Roman" w:hAnsi="Times New Roman"/>
                <w:sz w:val="24"/>
                <w:szCs w:val="24"/>
                <w:lang w:eastAsia="tr-TR"/>
              </w:rPr>
            </w:pPr>
            <w:r w:rsidRPr="00071236">
              <w:rPr>
                <w:rFonts w:ascii="Times New Roman" w:eastAsia="Times New Roman" w:hAnsi="Times New Roman"/>
                <w:sz w:val="18"/>
                <w:szCs w:val="18"/>
                <w:lang w:eastAsia="tr-TR"/>
              </w:rPr>
              <w:t>1 saat</w:t>
            </w:r>
          </w:p>
        </w:tc>
      </w:tr>
      <w:tr w:rsidR="00E05AA4" w:rsidRPr="00071236" w14:paraId="6AC3D99C" w14:textId="77777777" w:rsidTr="00E05AA4">
        <w:trPr>
          <w:trHeight w:val="20"/>
          <w:jc w:val="center"/>
        </w:trPr>
        <w:tc>
          <w:tcPr>
            <w:tcW w:w="2204"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7A7A1C0" w14:textId="77777777" w:rsidR="00E05AA4" w:rsidRPr="00071236" w:rsidRDefault="00E05AA4" w:rsidP="00E05AA4">
            <w:pPr>
              <w:spacing w:after="0" w:line="240" w:lineRule="atLeast"/>
              <w:ind w:left="74" w:right="6"/>
              <w:rPr>
                <w:rFonts w:ascii="Times New Roman" w:eastAsia="Times New Roman" w:hAnsi="Times New Roman"/>
                <w:sz w:val="24"/>
                <w:szCs w:val="24"/>
                <w:lang w:eastAsia="tr-TR"/>
              </w:rPr>
            </w:pPr>
            <w:r w:rsidRPr="00071236">
              <w:rPr>
                <w:rFonts w:ascii="Times New Roman" w:eastAsia="Times New Roman" w:hAnsi="Times New Roman"/>
                <w:sz w:val="18"/>
                <w:szCs w:val="18"/>
                <w:lang w:eastAsia="tr-TR"/>
              </w:rPr>
              <w:t>47,5 Hz ≤</w:t>
            </w:r>
            <w:proofErr w:type="gramStart"/>
            <w:r w:rsidRPr="00071236">
              <w:rPr>
                <w:rFonts w:ascii="Times New Roman" w:eastAsia="Times New Roman" w:hAnsi="Times New Roman"/>
                <w:sz w:val="18"/>
                <w:szCs w:val="18"/>
                <w:lang w:eastAsia="tr-TR"/>
              </w:rPr>
              <w:t>f&lt; 48</w:t>
            </w:r>
            <w:proofErr w:type="gramEnd"/>
            <w:r w:rsidRPr="00071236">
              <w:rPr>
                <w:rFonts w:ascii="Times New Roman" w:eastAsia="Times New Roman" w:hAnsi="Times New Roman"/>
                <w:sz w:val="18"/>
                <w:szCs w:val="18"/>
                <w:lang w:eastAsia="tr-TR"/>
              </w:rPr>
              <w:t>,5 Hz</w:t>
            </w:r>
          </w:p>
        </w:tc>
        <w:tc>
          <w:tcPr>
            <w:tcW w:w="2687"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4F51F70" w14:textId="77777777" w:rsidR="00E05AA4" w:rsidRPr="00071236" w:rsidRDefault="00E05AA4" w:rsidP="00E05AA4">
            <w:pPr>
              <w:spacing w:after="0" w:line="240" w:lineRule="atLeast"/>
              <w:ind w:left="74" w:right="6"/>
              <w:rPr>
                <w:rFonts w:ascii="Times New Roman" w:eastAsia="Times New Roman" w:hAnsi="Times New Roman"/>
                <w:sz w:val="24"/>
                <w:szCs w:val="24"/>
                <w:lang w:eastAsia="tr-TR"/>
              </w:rPr>
            </w:pPr>
            <w:r w:rsidRPr="00071236">
              <w:rPr>
                <w:rFonts w:ascii="Times New Roman" w:eastAsia="Times New Roman" w:hAnsi="Times New Roman"/>
                <w:sz w:val="18"/>
                <w:szCs w:val="18"/>
                <w:lang w:eastAsia="tr-TR"/>
              </w:rPr>
              <w:t>30 dakika</w:t>
            </w:r>
          </w:p>
        </w:tc>
      </w:tr>
    </w:tbl>
    <w:p w14:paraId="76803246" w14:textId="77777777" w:rsidR="00E05AA4" w:rsidRDefault="00E05AA4" w:rsidP="00E05AA4">
      <w:pPr>
        <w:pStyle w:val="ListeParagraf"/>
        <w:spacing w:after="0"/>
        <w:ind w:left="1440"/>
        <w:rPr>
          <w:rFonts w:ascii="Calibri" w:hAnsi="Calibri"/>
          <w:i/>
        </w:rPr>
      </w:pPr>
    </w:p>
    <w:p w14:paraId="2F15AA41" w14:textId="77777777" w:rsidR="00E05AA4" w:rsidRPr="00E05AA4" w:rsidRDefault="00E05AA4" w:rsidP="00E05AA4">
      <w:pPr>
        <w:pStyle w:val="ListeParagraf"/>
        <w:spacing w:after="0"/>
        <w:ind w:left="1440"/>
        <w:rPr>
          <w:rFonts w:ascii="Calibri" w:hAnsi="Calibri"/>
          <w:i/>
        </w:rPr>
      </w:pPr>
      <w:r w:rsidRPr="00E05AA4">
        <w:rPr>
          <w:rFonts w:ascii="Calibri" w:hAnsi="Calibri"/>
          <w:i/>
        </w:rPr>
        <w:t xml:space="preserve">Tablo E.18.1 </w:t>
      </w:r>
      <w:proofErr w:type="gramStart"/>
      <w:r w:rsidRPr="00E05AA4">
        <w:rPr>
          <w:rFonts w:ascii="Calibri" w:hAnsi="Calibri"/>
          <w:i/>
        </w:rPr>
        <w:t>Rüzgar</w:t>
      </w:r>
      <w:proofErr w:type="gramEnd"/>
      <w:r w:rsidRPr="00E05AA4">
        <w:rPr>
          <w:rFonts w:ascii="Calibri" w:hAnsi="Calibri"/>
          <w:i/>
        </w:rPr>
        <w:t xml:space="preserve"> ve güneş enerjisine dayalı fotovoltaik üretim tesisleri için frekans aralıklarındaki çalışma süreleri”</w:t>
      </w:r>
    </w:p>
    <w:p w14:paraId="6D315F25" w14:textId="77777777" w:rsidR="00E05AA4" w:rsidRPr="00E05AA4" w:rsidRDefault="00E05AA4" w:rsidP="00E05AA4">
      <w:pPr>
        <w:pStyle w:val="ListeParagraf"/>
        <w:spacing w:after="0"/>
        <w:ind w:left="1440"/>
        <w:rPr>
          <w:rFonts w:ascii="Calibri" w:hAnsi="Calibri"/>
          <w:i/>
        </w:rPr>
      </w:pPr>
      <w:r w:rsidRPr="00E05AA4">
        <w:rPr>
          <w:rFonts w:ascii="Calibri" w:hAnsi="Calibri"/>
          <w:i/>
        </w:rPr>
        <w:t xml:space="preserve">“E.18.9 </w:t>
      </w:r>
      <w:proofErr w:type="gramStart"/>
      <w:r w:rsidRPr="00E05AA4">
        <w:rPr>
          <w:rFonts w:ascii="Calibri" w:hAnsi="Calibri"/>
          <w:i/>
        </w:rPr>
        <w:t>RÜZGAR</w:t>
      </w:r>
      <w:proofErr w:type="gramEnd"/>
      <w:r w:rsidRPr="00E05AA4">
        <w:rPr>
          <w:rFonts w:ascii="Calibri" w:hAnsi="Calibri"/>
          <w:i/>
        </w:rPr>
        <w:t xml:space="preserve"> ENERJİSİ SANTRALLARININ İZLENMESİ</w:t>
      </w:r>
    </w:p>
    <w:p w14:paraId="1A1BFEFD" w14:textId="77777777" w:rsidR="00E05AA4" w:rsidRDefault="00E05AA4" w:rsidP="00E05AA4">
      <w:pPr>
        <w:pStyle w:val="ListeParagraf"/>
        <w:spacing w:after="0"/>
        <w:ind w:left="1440"/>
        <w:rPr>
          <w:rFonts w:ascii="Calibri" w:hAnsi="Calibri"/>
          <w:i/>
        </w:rPr>
      </w:pPr>
      <w:r w:rsidRPr="00E05AA4">
        <w:rPr>
          <w:rFonts w:ascii="Calibri" w:hAnsi="Calibri"/>
          <w:i/>
        </w:rPr>
        <w:t xml:space="preserve">Elektriksel kurulu gücü 10 MW ve üzerinde olan lisanslı ve lisanssız </w:t>
      </w:r>
      <w:proofErr w:type="gramStart"/>
      <w:r w:rsidRPr="00E05AA4">
        <w:rPr>
          <w:rFonts w:ascii="Calibri" w:hAnsi="Calibri"/>
          <w:i/>
        </w:rPr>
        <w:t>rüzgar</w:t>
      </w:r>
      <w:proofErr w:type="gramEnd"/>
      <w:r w:rsidRPr="00E05AA4">
        <w:rPr>
          <w:rFonts w:ascii="Calibri" w:hAnsi="Calibri"/>
          <w:i/>
        </w:rPr>
        <w:t xml:space="preserve"> enerjisi santralları, merkezi TEİAŞ olan Rüzgar Gücü İzleme ve Tahmin Merkezinden (RİTM) ve dolayısıyla TEİAŞ Yük Tevzi Merkezlerinden izlenmesini sağlamak üzere gerekli altyapıyı kurar. Teknik donanımların taşıyacağı özellikler TEİAŞ tarafından RİTM internet sayfasında yayımlanır.”</w:t>
      </w:r>
    </w:p>
    <w:p w14:paraId="3F11DCCB" w14:textId="77777777" w:rsidR="00E05AA4" w:rsidRDefault="00E05AA4" w:rsidP="00E05AA4">
      <w:pPr>
        <w:pStyle w:val="ListeParagraf"/>
        <w:spacing w:after="0"/>
        <w:ind w:left="1440"/>
        <w:rPr>
          <w:rFonts w:ascii="Calibri" w:hAnsi="Calibri"/>
          <w:i/>
        </w:rPr>
      </w:pPr>
    </w:p>
    <w:p w14:paraId="2B502A05" w14:textId="77777777" w:rsidR="004A6C99" w:rsidRPr="002048A7" w:rsidRDefault="004A6C99" w:rsidP="0025080A">
      <w:pPr>
        <w:pStyle w:val="ListeParagraf"/>
        <w:numPr>
          <w:ilvl w:val="0"/>
          <w:numId w:val="38"/>
        </w:numPr>
        <w:spacing w:after="0"/>
        <w:rPr>
          <w:rFonts w:ascii="Calibri" w:hAnsi="Calibri"/>
          <w:bCs/>
        </w:rPr>
      </w:pPr>
      <w:r>
        <w:rPr>
          <w:rFonts w:ascii="Calibri" w:hAnsi="Calibri"/>
          <w:bCs/>
        </w:rPr>
        <w:t>17</w:t>
      </w:r>
      <w:r w:rsidRPr="002048A7">
        <w:rPr>
          <w:rFonts w:ascii="Calibri" w:hAnsi="Calibri"/>
          <w:bCs/>
        </w:rPr>
        <w:t>.12.202</w:t>
      </w:r>
      <w:r>
        <w:rPr>
          <w:rFonts w:ascii="Calibri" w:hAnsi="Calibri"/>
          <w:bCs/>
        </w:rPr>
        <w:t>4</w:t>
      </w:r>
      <w:r w:rsidRPr="002048A7">
        <w:rPr>
          <w:rFonts w:ascii="Calibri" w:hAnsi="Calibri"/>
          <w:bCs/>
        </w:rPr>
        <w:t xml:space="preserve"> tarihli ve 32</w:t>
      </w:r>
      <w:r>
        <w:rPr>
          <w:rFonts w:ascii="Calibri" w:hAnsi="Calibri"/>
          <w:bCs/>
        </w:rPr>
        <w:t>755</w:t>
      </w:r>
      <w:r w:rsidRPr="002048A7">
        <w:rPr>
          <w:rFonts w:ascii="Calibri" w:hAnsi="Calibri"/>
          <w:bCs/>
        </w:rPr>
        <w:t xml:space="preserve"> sayılı Resmî Gazetede yayımlanan Değişiklik Yönetmeliği ile </w:t>
      </w:r>
      <w:r w:rsidR="00E05AA4" w:rsidRPr="00E05AA4">
        <w:rPr>
          <w:rFonts w:ascii="Calibri" w:hAnsi="Calibri"/>
          <w:b/>
          <w:bCs/>
        </w:rPr>
        <w:t>Yenilenebilir Enerji Kaynaklarının Belgelendirilmesi ve Desteklenmesine İlişkin Yönetmeliğin</w:t>
      </w:r>
    </w:p>
    <w:p w14:paraId="3D68C63A" w14:textId="77777777" w:rsidR="004A6C99" w:rsidRPr="002048A7" w:rsidRDefault="004A6C99" w:rsidP="004A6C99">
      <w:pPr>
        <w:pStyle w:val="ListeParagraf"/>
        <w:spacing w:after="0"/>
        <w:rPr>
          <w:rFonts w:ascii="Calibri" w:hAnsi="Calibri"/>
          <w:bCs/>
        </w:rPr>
      </w:pPr>
    </w:p>
    <w:p w14:paraId="778972B0" w14:textId="77777777" w:rsidR="004A6C99" w:rsidRPr="002048A7" w:rsidRDefault="00E05AA4" w:rsidP="0025080A">
      <w:pPr>
        <w:pStyle w:val="metin0"/>
        <w:numPr>
          <w:ilvl w:val="0"/>
          <w:numId w:val="39"/>
        </w:numPr>
        <w:spacing w:before="0" w:beforeAutospacing="0" w:after="0" w:afterAutospacing="0" w:line="240" w:lineRule="atLeast"/>
        <w:rPr>
          <w:rFonts w:ascii="Calibri" w:hAnsi="Calibri" w:cs="Calibri"/>
          <w:color w:val="000000"/>
          <w:sz w:val="22"/>
          <w:szCs w:val="22"/>
        </w:rPr>
      </w:pPr>
      <w:proofErr w:type="gramStart"/>
      <w:r w:rsidRPr="00E05AA4">
        <w:rPr>
          <w:rFonts w:ascii="Calibri" w:hAnsi="Calibri" w:cs="Calibri"/>
          <w:color w:val="000000"/>
          <w:sz w:val="22"/>
          <w:szCs w:val="22"/>
        </w:rPr>
        <w:t>3 üncü</w:t>
      </w:r>
      <w:proofErr w:type="gramEnd"/>
      <w:r w:rsidRPr="00E05AA4">
        <w:rPr>
          <w:rFonts w:ascii="Calibri" w:hAnsi="Calibri" w:cs="Calibri"/>
          <w:color w:val="000000"/>
          <w:sz w:val="22"/>
          <w:szCs w:val="22"/>
        </w:rPr>
        <w:t xml:space="preserve"> maddesinin birinci fıkrasının (i), (s), (ü) ve (dd) bentleri aşağıdaki şekilde değiştirilmiştir.</w:t>
      </w:r>
    </w:p>
    <w:p w14:paraId="6F01BF0C" w14:textId="77777777" w:rsidR="004A6C99" w:rsidRPr="002048A7" w:rsidRDefault="004A6C99" w:rsidP="004A6C99">
      <w:pPr>
        <w:pStyle w:val="metin0"/>
        <w:spacing w:before="0" w:beforeAutospacing="0" w:after="0" w:afterAutospacing="0" w:line="240" w:lineRule="atLeast"/>
        <w:ind w:left="1440"/>
        <w:rPr>
          <w:rFonts w:ascii="Calibri" w:hAnsi="Calibri" w:cs="Calibri"/>
          <w:color w:val="000000"/>
          <w:sz w:val="22"/>
          <w:szCs w:val="22"/>
        </w:rPr>
      </w:pPr>
    </w:p>
    <w:p w14:paraId="310B2BF7" w14:textId="77777777" w:rsidR="00E05AA4" w:rsidRPr="00E05AA4" w:rsidRDefault="00E05AA4" w:rsidP="00E05AA4">
      <w:pPr>
        <w:pStyle w:val="ListeParagraf"/>
        <w:spacing w:after="0"/>
        <w:ind w:left="1440"/>
        <w:rPr>
          <w:rFonts w:ascii="Calibri" w:hAnsi="Calibri"/>
          <w:i/>
        </w:rPr>
      </w:pPr>
      <w:r w:rsidRPr="00E05AA4">
        <w:rPr>
          <w:rFonts w:ascii="Calibri" w:hAnsi="Calibri"/>
          <w:i/>
        </w:rPr>
        <w:t>“</w:t>
      </w:r>
      <w:proofErr w:type="gramStart"/>
      <w:r w:rsidRPr="00E05AA4">
        <w:rPr>
          <w:rFonts w:ascii="Calibri" w:hAnsi="Calibri"/>
          <w:i/>
        </w:rPr>
        <w:t>i</w:t>
      </w:r>
      <w:proofErr w:type="gramEnd"/>
      <w:r w:rsidRPr="00E05AA4">
        <w:rPr>
          <w:rFonts w:ascii="Calibri" w:hAnsi="Calibri"/>
          <w:i/>
        </w:rPr>
        <w:t>) Muafiyetli üretim miktarı: Her bir görevli tedarik şirketinin kendi bölgesinde veya toplayıcının portföyünde, lisanssız üretim kapsamında yenilenebilir enerji kaynaklarına dayalı olarak üretilip sisteme verilen ihtiyaç fazlası elektrik enerjisi miktarını,”</w:t>
      </w:r>
    </w:p>
    <w:p w14:paraId="14A27F45" w14:textId="77777777" w:rsidR="00E05AA4" w:rsidRPr="00E05AA4" w:rsidRDefault="00E05AA4" w:rsidP="00E05AA4">
      <w:pPr>
        <w:pStyle w:val="ListeParagraf"/>
        <w:spacing w:after="0"/>
        <w:ind w:left="1440"/>
        <w:rPr>
          <w:rFonts w:ascii="Calibri" w:hAnsi="Calibri"/>
          <w:i/>
        </w:rPr>
      </w:pPr>
      <w:r w:rsidRPr="00E05AA4">
        <w:rPr>
          <w:rFonts w:ascii="Calibri" w:hAnsi="Calibri"/>
          <w:i/>
        </w:rPr>
        <w:t>“s) YEK Destekleme Mekanizması (YEKDEM): Bu Yönetmelik kapsamındaki yenilenebilir enerji kaynaklarına dayalı üretim faaliyeti gösteren üretim lisansı sahibi tüzel kişilerin bizzat veya toplayıcı aracılığıyla ve LÜY kapsamında yenilenebilir enerji kaynaklarından üretim yapan kişilerin bölgelerinde bulundukları görevli tedarik şirketleri veya toplayıcı aracılığıyla faydalanabileceği fiyatlar, süreler, miktarlar ve bunlara yapılacak ödemelere ilişkin usul ve esasları içeren destekleme mekanizmasını,”</w:t>
      </w:r>
    </w:p>
    <w:p w14:paraId="38F93A0E" w14:textId="77777777" w:rsidR="00E05AA4" w:rsidRPr="00E05AA4" w:rsidRDefault="00E05AA4" w:rsidP="00E05AA4">
      <w:pPr>
        <w:pStyle w:val="ListeParagraf"/>
        <w:spacing w:after="0"/>
        <w:ind w:left="1440"/>
        <w:rPr>
          <w:rFonts w:ascii="Calibri" w:hAnsi="Calibri"/>
          <w:i/>
        </w:rPr>
      </w:pPr>
      <w:r w:rsidRPr="00E05AA4">
        <w:rPr>
          <w:rFonts w:ascii="Calibri" w:hAnsi="Calibri"/>
          <w:i/>
        </w:rPr>
        <w:t>“</w:t>
      </w:r>
      <w:proofErr w:type="gramStart"/>
      <w:r w:rsidRPr="00E05AA4">
        <w:rPr>
          <w:rFonts w:ascii="Calibri" w:hAnsi="Calibri"/>
          <w:i/>
        </w:rPr>
        <w:t>ü</w:t>
      </w:r>
      <w:proofErr w:type="gramEnd"/>
      <w:r w:rsidRPr="00E05AA4">
        <w:rPr>
          <w:rFonts w:ascii="Calibri" w:hAnsi="Calibri"/>
          <w:i/>
        </w:rPr>
        <w:t>) YEKDEM katılımcısı: YEKDEM’e tabi olan her bir lisanslı üretim tesisinin sahibi tüzel kişiyi, görevli tedarik şirketlerini veya toplayıcıyı,”</w:t>
      </w:r>
    </w:p>
    <w:p w14:paraId="4C350992" w14:textId="77777777" w:rsidR="004A6C99" w:rsidRDefault="00E05AA4" w:rsidP="00E05AA4">
      <w:pPr>
        <w:pStyle w:val="ListeParagraf"/>
        <w:spacing w:after="0"/>
        <w:ind w:left="1440"/>
        <w:rPr>
          <w:rFonts w:ascii="Calibri" w:hAnsi="Calibri"/>
          <w:i/>
        </w:rPr>
      </w:pPr>
      <w:r w:rsidRPr="00E05AA4">
        <w:rPr>
          <w:rFonts w:ascii="Calibri" w:hAnsi="Calibri"/>
          <w:i/>
        </w:rPr>
        <w:t>“</w:t>
      </w:r>
      <w:proofErr w:type="gramStart"/>
      <w:r w:rsidRPr="00E05AA4">
        <w:rPr>
          <w:rFonts w:ascii="Calibri" w:hAnsi="Calibri"/>
          <w:i/>
        </w:rPr>
        <w:t>dd</w:t>
      </w:r>
      <w:proofErr w:type="gramEnd"/>
      <w:r w:rsidRPr="00E05AA4">
        <w:rPr>
          <w:rFonts w:ascii="Calibri" w:hAnsi="Calibri"/>
          <w:i/>
        </w:rPr>
        <w:t>) YEK Fiyatı: YEK Kanununun EK-I ve EK-II sayılı cetvellerinde yer alan fiyatlar ile enerjinin sisteme verildiği tarihteki Türkiye Cumhuriyet Merkez Bankası döviz alış kurunun çarpılması ile elde edilen fiyatı veya 30/4/2023 tarihli ve 7189 sayılı Cumhurbaşkanı Kararının Eki Karar kapsamında yenilenebilir enerji kaynaklarına dayalı elektrik üretim tesisleri için uygulanacak fiyatı,”</w:t>
      </w:r>
    </w:p>
    <w:p w14:paraId="29BD01C1" w14:textId="77777777" w:rsidR="00E05AA4" w:rsidRDefault="00E05AA4" w:rsidP="00E05AA4">
      <w:pPr>
        <w:pStyle w:val="ListeParagraf"/>
        <w:spacing w:after="0"/>
        <w:ind w:left="1440"/>
        <w:rPr>
          <w:rFonts w:ascii="Calibri" w:hAnsi="Calibri"/>
          <w:i/>
        </w:rPr>
      </w:pPr>
    </w:p>
    <w:p w14:paraId="52F9092D" w14:textId="77777777" w:rsidR="00E05AA4" w:rsidRPr="002048A7" w:rsidRDefault="00E05AA4" w:rsidP="0025080A">
      <w:pPr>
        <w:pStyle w:val="metin0"/>
        <w:numPr>
          <w:ilvl w:val="0"/>
          <w:numId w:val="39"/>
        </w:numPr>
        <w:spacing w:before="0" w:beforeAutospacing="0" w:after="0" w:afterAutospacing="0" w:line="240" w:lineRule="atLeast"/>
        <w:rPr>
          <w:rFonts w:ascii="Calibri" w:hAnsi="Calibri" w:cs="Calibri"/>
          <w:color w:val="000000"/>
          <w:sz w:val="22"/>
          <w:szCs w:val="22"/>
        </w:rPr>
      </w:pPr>
      <w:proofErr w:type="gramStart"/>
      <w:r w:rsidRPr="00E05AA4">
        <w:rPr>
          <w:rFonts w:ascii="Calibri" w:hAnsi="Calibri" w:cs="Calibri"/>
          <w:color w:val="000000"/>
          <w:sz w:val="22"/>
          <w:szCs w:val="22"/>
        </w:rPr>
        <w:t>4 üncü</w:t>
      </w:r>
      <w:proofErr w:type="gramEnd"/>
      <w:r w:rsidRPr="00E05AA4">
        <w:rPr>
          <w:rFonts w:ascii="Calibri" w:hAnsi="Calibri" w:cs="Calibri"/>
          <w:color w:val="000000"/>
          <w:sz w:val="22"/>
          <w:szCs w:val="22"/>
        </w:rPr>
        <w:t xml:space="preserve"> maddesinin birinci fıkrasının (b) ve (ç) bentleri aşağıdaki şekilde değiştirilmiş ve aynı maddenin altıncı fıkrasında yer alan </w:t>
      </w:r>
      <w:r w:rsidRPr="00E05AA4">
        <w:rPr>
          <w:rFonts w:ascii="Calibri" w:hAnsi="Calibri" w:cs="Calibri"/>
          <w:i/>
          <w:color w:val="000000"/>
          <w:sz w:val="22"/>
          <w:szCs w:val="22"/>
        </w:rPr>
        <w:t>“29/1/2021 tarihli ve 3453 sayılı Cumhurbaşkanı Kararı”</w:t>
      </w:r>
      <w:r w:rsidRPr="00E05AA4">
        <w:rPr>
          <w:rFonts w:ascii="Calibri" w:hAnsi="Calibri" w:cs="Calibri"/>
          <w:color w:val="000000"/>
          <w:sz w:val="22"/>
          <w:szCs w:val="22"/>
        </w:rPr>
        <w:t xml:space="preserve"> ibaresi </w:t>
      </w:r>
      <w:r w:rsidRPr="00E05AA4">
        <w:rPr>
          <w:rFonts w:ascii="Calibri" w:hAnsi="Calibri" w:cs="Calibri"/>
          <w:i/>
          <w:color w:val="000000"/>
          <w:sz w:val="22"/>
          <w:szCs w:val="22"/>
        </w:rPr>
        <w:t>“7189 sayılı Cumhurbaşkanı Kararı”</w:t>
      </w:r>
      <w:r w:rsidRPr="00E05AA4">
        <w:rPr>
          <w:rFonts w:ascii="Calibri" w:hAnsi="Calibri" w:cs="Calibri"/>
          <w:color w:val="000000"/>
          <w:sz w:val="22"/>
          <w:szCs w:val="22"/>
        </w:rPr>
        <w:t xml:space="preserve"> şeklinde değiştirilmiştir.</w:t>
      </w:r>
    </w:p>
    <w:p w14:paraId="36E1E8CD" w14:textId="77777777" w:rsidR="00E05AA4" w:rsidRPr="002048A7" w:rsidRDefault="00E05AA4" w:rsidP="00E05AA4">
      <w:pPr>
        <w:pStyle w:val="metin0"/>
        <w:spacing w:before="0" w:beforeAutospacing="0" w:after="0" w:afterAutospacing="0" w:line="240" w:lineRule="atLeast"/>
        <w:ind w:left="1440"/>
        <w:rPr>
          <w:rFonts w:ascii="Calibri" w:hAnsi="Calibri" w:cs="Calibri"/>
          <w:color w:val="000000"/>
          <w:sz w:val="22"/>
          <w:szCs w:val="22"/>
        </w:rPr>
      </w:pPr>
    </w:p>
    <w:p w14:paraId="13ACD811" w14:textId="77777777" w:rsidR="00E05AA4" w:rsidRPr="00E05AA4" w:rsidRDefault="00E05AA4" w:rsidP="00E05AA4">
      <w:pPr>
        <w:pStyle w:val="ListeParagraf"/>
        <w:spacing w:after="0"/>
        <w:ind w:left="1440"/>
        <w:rPr>
          <w:rFonts w:ascii="Calibri" w:hAnsi="Calibri"/>
          <w:i/>
        </w:rPr>
      </w:pPr>
      <w:r w:rsidRPr="00E05AA4">
        <w:rPr>
          <w:rFonts w:ascii="Calibri" w:hAnsi="Calibri"/>
          <w:i/>
        </w:rPr>
        <w:t>“</w:t>
      </w:r>
      <w:proofErr w:type="gramStart"/>
      <w:r w:rsidRPr="00E05AA4">
        <w:rPr>
          <w:rFonts w:ascii="Calibri" w:hAnsi="Calibri"/>
          <w:i/>
        </w:rPr>
        <w:t>b</w:t>
      </w:r>
      <w:proofErr w:type="gramEnd"/>
      <w:r w:rsidRPr="00E05AA4">
        <w:rPr>
          <w:rFonts w:ascii="Calibri" w:hAnsi="Calibri"/>
          <w:i/>
        </w:rPr>
        <w:t xml:space="preserve">) LÜY kapsamında yenilenebilir enerji kaynaklarından elektrik üretimi yapan kişilerin ilgisine göre bölgesinde bulundukları görevli tedarik şirketi veya toplayıcı aracılığıyla faydalanacakları </w:t>
      </w:r>
      <w:r w:rsidRPr="00E05AA4">
        <w:rPr>
          <w:rFonts w:ascii="Calibri" w:hAnsi="Calibri"/>
          <w:i/>
        </w:rPr>
        <w:lastRenderedPageBreak/>
        <w:t>YEK Kanununa ekli I sayılı Cetvel veya elektrik piyasasında oluşan piyasa takas fiyatını geçmemek üzere 7189 sayılı Cumhurbaşkanı Kararı uyarınca belirlenecek fiyatı,”</w:t>
      </w:r>
    </w:p>
    <w:p w14:paraId="68E9C49D" w14:textId="77777777" w:rsidR="00E05AA4" w:rsidRDefault="00E05AA4" w:rsidP="00E05AA4">
      <w:pPr>
        <w:pStyle w:val="ListeParagraf"/>
        <w:spacing w:after="0"/>
        <w:ind w:left="1440"/>
        <w:rPr>
          <w:rFonts w:ascii="Calibri" w:hAnsi="Calibri"/>
          <w:i/>
        </w:rPr>
      </w:pPr>
      <w:r w:rsidRPr="00E05AA4">
        <w:rPr>
          <w:rFonts w:ascii="Calibri" w:hAnsi="Calibri"/>
          <w:i/>
        </w:rPr>
        <w:t>“</w:t>
      </w:r>
      <w:proofErr w:type="gramStart"/>
      <w:r w:rsidRPr="00E05AA4">
        <w:rPr>
          <w:rFonts w:ascii="Calibri" w:hAnsi="Calibri"/>
          <w:i/>
        </w:rPr>
        <w:t>ç</w:t>
      </w:r>
      <w:proofErr w:type="gramEnd"/>
      <w:r w:rsidRPr="00E05AA4">
        <w:rPr>
          <w:rFonts w:ascii="Calibri" w:hAnsi="Calibri"/>
          <w:i/>
        </w:rPr>
        <w:t>) (a) ve (b) bentleri kapsamında yapılacak ödemelere ilişkin usul ve esasları,”</w:t>
      </w:r>
    </w:p>
    <w:p w14:paraId="6B289CF7" w14:textId="77777777" w:rsidR="00E05AA4" w:rsidRDefault="00E05AA4" w:rsidP="00E05AA4">
      <w:pPr>
        <w:pStyle w:val="ListeParagraf"/>
        <w:spacing w:after="0"/>
        <w:ind w:left="1440"/>
        <w:rPr>
          <w:rFonts w:ascii="Calibri" w:hAnsi="Calibri"/>
          <w:i/>
        </w:rPr>
      </w:pPr>
    </w:p>
    <w:p w14:paraId="101A9915" w14:textId="77777777" w:rsidR="00E05AA4" w:rsidRPr="002048A7" w:rsidRDefault="00E05AA4" w:rsidP="0025080A">
      <w:pPr>
        <w:pStyle w:val="metin0"/>
        <w:numPr>
          <w:ilvl w:val="0"/>
          <w:numId w:val="39"/>
        </w:numPr>
        <w:spacing w:before="0" w:beforeAutospacing="0" w:after="0" w:afterAutospacing="0" w:line="240" w:lineRule="atLeast"/>
        <w:rPr>
          <w:rFonts w:ascii="Calibri" w:hAnsi="Calibri" w:cs="Calibri"/>
          <w:color w:val="000000"/>
          <w:sz w:val="22"/>
          <w:szCs w:val="22"/>
        </w:rPr>
      </w:pPr>
      <w:r w:rsidRPr="00E05AA4">
        <w:rPr>
          <w:rFonts w:ascii="Calibri" w:hAnsi="Calibri" w:cs="Calibri"/>
          <w:color w:val="000000"/>
          <w:sz w:val="22"/>
          <w:szCs w:val="22"/>
        </w:rPr>
        <w:t>5 inci maddesinin üçüncü fıkrası aşağıdaki şekilde değiştirilmiş ve aynı maddeye aşağıdaki fıkra eklenmiştir.</w:t>
      </w:r>
    </w:p>
    <w:p w14:paraId="676F7D17" w14:textId="77777777" w:rsidR="00E05AA4" w:rsidRPr="002048A7" w:rsidRDefault="00E05AA4" w:rsidP="00E05AA4">
      <w:pPr>
        <w:pStyle w:val="metin0"/>
        <w:spacing w:before="0" w:beforeAutospacing="0" w:after="0" w:afterAutospacing="0" w:line="240" w:lineRule="atLeast"/>
        <w:ind w:left="1440"/>
        <w:rPr>
          <w:rFonts w:ascii="Calibri" w:hAnsi="Calibri" w:cs="Calibri"/>
          <w:color w:val="000000"/>
          <w:sz w:val="22"/>
          <w:szCs w:val="22"/>
        </w:rPr>
      </w:pPr>
    </w:p>
    <w:p w14:paraId="3B1EB99E" w14:textId="77777777" w:rsidR="00E05AA4" w:rsidRPr="00E05AA4" w:rsidRDefault="00E05AA4" w:rsidP="00E05AA4">
      <w:pPr>
        <w:pStyle w:val="ListeParagraf"/>
        <w:spacing w:after="0"/>
        <w:ind w:left="1440"/>
        <w:rPr>
          <w:rFonts w:ascii="Calibri" w:hAnsi="Calibri"/>
          <w:i/>
        </w:rPr>
      </w:pPr>
      <w:r w:rsidRPr="00E05AA4">
        <w:rPr>
          <w:rFonts w:ascii="Calibri" w:hAnsi="Calibri"/>
          <w:i/>
        </w:rPr>
        <w:t>“(3) Görevli tedarik şirketleri; kendi bölgesinde lisanssız üretim kapsamında yenilenebilir enerji kaynaklarına dayalı olarak üretim tesisi kuran ve herhangi bir toplayıcı portföyünde yer almayan gerçek veya tüzel kişilerin sisteme verdikleri ihtiyaç fazlası elektrik enerjisini satın almakla yükümlüdür. Görevli tedarik şirketlerinin, lisans süreleri boyunca, herhangi bir başvuruya gerek olmaksızın YEKDEM kayıtları yapılır.”</w:t>
      </w:r>
    </w:p>
    <w:p w14:paraId="24C3A935" w14:textId="77777777" w:rsidR="00E05AA4" w:rsidRDefault="00E05AA4" w:rsidP="00E05AA4">
      <w:pPr>
        <w:pStyle w:val="ListeParagraf"/>
        <w:spacing w:after="0"/>
        <w:ind w:left="1440"/>
        <w:rPr>
          <w:rFonts w:ascii="Calibri" w:hAnsi="Calibri"/>
          <w:i/>
        </w:rPr>
      </w:pPr>
      <w:r w:rsidRPr="00E05AA4">
        <w:rPr>
          <w:rFonts w:ascii="Calibri" w:hAnsi="Calibri"/>
          <w:i/>
        </w:rPr>
        <w:t>“(5) Toplayıcıların, portföylerinde lisanssız elektrik üretim tesisi bulundurduğu fatura dönemleri için, herhangi bir başvuruya gerek olmaksızın YEKDEM kayıtları yapılır.”</w:t>
      </w:r>
    </w:p>
    <w:p w14:paraId="013F22AF" w14:textId="77777777" w:rsidR="00E05AA4" w:rsidRDefault="00E05AA4" w:rsidP="00E05AA4">
      <w:pPr>
        <w:pStyle w:val="ListeParagraf"/>
        <w:spacing w:after="0"/>
        <w:ind w:left="1440"/>
        <w:rPr>
          <w:rFonts w:ascii="Calibri" w:hAnsi="Calibri"/>
          <w:i/>
        </w:rPr>
      </w:pPr>
    </w:p>
    <w:p w14:paraId="6E22518A" w14:textId="77777777" w:rsidR="00E05AA4" w:rsidRPr="002048A7" w:rsidRDefault="00E05AA4" w:rsidP="0025080A">
      <w:pPr>
        <w:pStyle w:val="metin0"/>
        <w:numPr>
          <w:ilvl w:val="0"/>
          <w:numId w:val="39"/>
        </w:numPr>
        <w:spacing w:before="0" w:beforeAutospacing="0" w:after="0" w:afterAutospacing="0" w:line="240" w:lineRule="atLeast"/>
        <w:rPr>
          <w:rFonts w:ascii="Calibri" w:hAnsi="Calibri" w:cs="Calibri"/>
          <w:color w:val="000000"/>
          <w:sz w:val="22"/>
          <w:szCs w:val="22"/>
        </w:rPr>
      </w:pPr>
      <w:r w:rsidRPr="00E05AA4">
        <w:rPr>
          <w:rFonts w:ascii="Calibri" w:hAnsi="Calibri" w:cs="Calibri"/>
          <w:color w:val="000000"/>
          <w:sz w:val="22"/>
          <w:szCs w:val="22"/>
        </w:rPr>
        <w:t>8 inci maddesinin üçüncü fıkrası aşağıdaki şekilde değiştirilmiştir.</w:t>
      </w:r>
    </w:p>
    <w:p w14:paraId="359EFD4A" w14:textId="77777777" w:rsidR="00E05AA4" w:rsidRPr="002048A7" w:rsidRDefault="00E05AA4" w:rsidP="00E05AA4">
      <w:pPr>
        <w:pStyle w:val="metin0"/>
        <w:spacing w:before="0" w:beforeAutospacing="0" w:after="0" w:afterAutospacing="0" w:line="240" w:lineRule="atLeast"/>
        <w:ind w:left="1440"/>
        <w:rPr>
          <w:rFonts w:ascii="Calibri" w:hAnsi="Calibri" w:cs="Calibri"/>
          <w:color w:val="000000"/>
          <w:sz w:val="22"/>
          <w:szCs w:val="22"/>
        </w:rPr>
      </w:pPr>
    </w:p>
    <w:p w14:paraId="2F67E350" w14:textId="77777777" w:rsidR="00E05AA4" w:rsidRPr="00E05AA4" w:rsidRDefault="00E05AA4" w:rsidP="00E05AA4">
      <w:pPr>
        <w:pStyle w:val="ListeParagraf"/>
        <w:spacing w:after="0"/>
        <w:ind w:left="1440"/>
        <w:rPr>
          <w:rFonts w:ascii="Calibri" w:hAnsi="Calibri"/>
          <w:i/>
        </w:rPr>
      </w:pPr>
      <w:r w:rsidRPr="00E05AA4">
        <w:rPr>
          <w:rFonts w:ascii="Calibri" w:hAnsi="Calibri"/>
          <w:i/>
        </w:rPr>
        <w:t>“(3) LÜY kapsamında yenilenebilir enerji kaynaklarından ürettiği elektrik enerjisi muafiyetli üretim miktarı kapsamında olan gerçek veya tüzel kişiler, üretim tesislerinin tamamen veya kısmen işletmeye girdiği tarihten itibaren;</w:t>
      </w:r>
    </w:p>
    <w:p w14:paraId="3F884F53" w14:textId="77777777" w:rsidR="00E05AA4" w:rsidRPr="00E05AA4" w:rsidRDefault="00E05AA4" w:rsidP="00E05AA4">
      <w:pPr>
        <w:pStyle w:val="ListeParagraf"/>
        <w:spacing w:after="0"/>
        <w:ind w:left="1440"/>
        <w:rPr>
          <w:rFonts w:ascii="Calibri" w:hAnsi="Calibri"/>
          <w:i/>
        </w:rPr>
      </w:pPr>
      <w:r w:rsidRPr="00E05AA4">
        <w:rPr>
          <w:rFonts w:ascii="Calibri" w:hAnsi="Calibri"/>
          <w:i/>
        </w:rPr>
        <w:t>a) On yıl süreyle bölgesinde bulundukları görevli tedarik şirketleri,</w:t>
      </w:r>
    </w:p>
    <w:p w14:paraId="6B580621" w14:textId="77777777" w:rsidR="00E05AA4" w:rsidRPr="00E05AA4" w:rsidRDefault="00E05AA4" w:rsidP="00E05AA4">
      <w:pPr>
        <w:pStyle w:val="ListeParagraf"/>
        <w:spacing w:after="0"/>
        <w:ind w:left="1440"/>
        <w:rPr>
          <w:rFonts w:ascii="Calibri" w:hAnsi="Calibri"/>
          <w:i/>
        </w:rPr>
      </w:pPr>
      <w:r w:rsidRPr="00E05AA4">
        <w:rPr>
          <w:rFonts w:ascii="Calibri" w:hAnsi="Calibri"/>
          <w:i/>
        </w:rPr>
        <w:t>b) On yıllık sürenin bitiminden itibaren toplayıcı veya bölgesinde bulundukları görevli tedarik şirketleri,</w:t>
      </w:r>
    </w:p>
    <w:p w14:paraId="2AF01E2B" w14:textId="77777777" w:rsidR="00E05AA4" w:rsidRDefault="00E05AA4" w:rsidP="00E05AA4">
      <w:pPr>
        <w:pStyle w:val="ListeParagraf"/>
        <w:spacing w:after="0"/>
        <w:ind w:left="1440"/>
        <w:rPr>
          <w:rFonts w:ascii="Calibri" w:hAnsi="Calibri"/>
          <w:i/>
        </w:rPr>
      </w:pPr>
      <w:proofErr w:type="gramStart"/>
      <w:r w:rsidRPr="00E05AA4">
        <w:rPr>
          <w:rFonts w:ascii="Calibri" w:hAnsi="Calibri"/>
          <w:i/>
        </w:rPr>
        <w:t>aracılığıyla</w:t>
      </w:r>
      <w:proofErr w:type="gramEnd"/>
      <w:r w:rsidRPr="00E05AA4">
        <w:rPr>
          <w:rFonts w:ascii="Calibri" w:hAnsi="Calibri"/>
          <w:i/>
        </w:rPr>
        <w:t xml:space="preserve"> YEKDEM’den yararlanır.”</w:t>
      </w:r>
    </w:p>
    <w:p w14:paraId="58C22CF7" w14:textId="77777777" w:rsidR="00E05AA4" w:rsidRDefault="00E05AA4" w:rsidP="00E05AA4">
      <w:pPr>
        <w:pStyle w:val="ListeParagraf"/>
        <w:spacing w:after="0"/>
        <w:ind w:left="1440"/>
        <w:rPr>
          <w:rFonts w:ascii="Calibri" w:hAnsi="Calibri"/>
          <w:i/>
        </w:rPr>
      </w:pPr>
    </w:p>
    <w:p w14:paraId="2C43D54D" w14:textId="77777777" w:rsidR="00E05AA4" w:rsidRPr="002048A7" w:rsidRDefault="00E05AA4" w:rsidP="0025080A">
      <w:pPr>
        <w:pStyle w:val="metin0"/>
        <w:numPr>
          <w:ilvl w:val="0"/>
          <w:numId w:val="39"/>
        </w:numPr>
        <w:spacing w:before="0" w:beforeAutospacing="0" w:after="0" w:afterAutospacing="0" w:line="240" w:lineRule="atLeast"/>
        <w:rPr>
          <w:rFonts w:ascii="Calibri" w:hAnsi="Calibri" w:cs="Calibri"/>
          <w:color w:val="000000"/>
          <w:sz w:val="22"/>
          <w:szCs w:val="22"/>
        </w:rPr>
      </w:pPr>
      <w:r w:rsidRPr="00E05AA4">
        <w:rPr>
          <w:rFonts w:ascii="Calibri" w:hAnsi="Calibri" w:cs="Calibri"/>
          <w:color w:val="000000"/>
          <w:sz w:val="22"/>
          <w:szCs w:val="22"/>
        </w:rPr>
        <w:t>9 uncu maddesinin üçüncü fıkrası aşağıdaki şekilde değiştirilmiştir.</w:t>
      </w:r>
    </w:p>
    <w:p w14:paraId="415AAF15" w14:textId="77777777" w:rsidR="00E05AA4" w:rsidRPr="002048A7" w:rsidRDefault="00E05AA4" w:rsidP="00E05AA4">
      <w:pPr>
        <w:pStyle w:val="metin0"/>
        <w:spacing w:before="0" w:beforeAutospacing="0" w:after="0" w:afterAutospacing="0" w:line="240" w:lineRule="atLeast"/>
        <w:ind w:left="1440"/>
        <w:rPr>
          <w:rFonts w:ascii="Calibri" w:hAnsi="Calibri" w:cs="Calibri"/>
          <w:color w:val="000000"/>
          <w:sz w:val="22"/>
          <w:szCs w:val="22"/>
        </w:rPr>
      </w:pPr>
    </w:p>
    <w:p w14:paraId="4EFB96BD" w14:textId="77777777" w:rsidR="00E05AA4" w:rsidRDefault="00E05AA4" w:rsidP="00E05AA4">
      <w:pPr>
        <w:pStyle w:val="ListeParagraf"/>
        <w:spacing w:after="0"/>
        <w:ind w:left="1440"/>
        <w:rPr>
          <w:rFonts w:ascii="Calibri" w:hAnsi="Calibri"/>
          <w:i/>
        </w:rPr>
      </w:pPr>
      <w:r w:rsidRPr="00E05AA4">
        <w:rPr>
          <w:rFonts w:ascii="Calibri" w:hAnsi="Calibri"/>
          <w:i/>
        </w:rPr>
        <w:t>“(3) LÜY hükümleri uyarınca dağıtım sistemine verilecek muafiyetli üretim miktarı için ilgisine göre toplayıcı veya görevli tedarik şirketleri adına, LÜY’de belirlenen şekilde ve dengeleme ve uzlaştırma işlemlerini düzenleyen ilgili mevzuat hükümleri uyarınca UEVÇB ve sayaç kayıtları yapılır.”</w:t>
      </w:r>
    </w:p>
    <w:p w14:paraId="24D2AFE5" w14:textId="77777777" w:rsidR="00E05AA4" w:rsidRDefault="00E05AA4" w:rsidP="00E05AA4">
      <w:pPr>
        <w:pStyle w:val="ListeParagraf"/>
        <w:spacing w:after="0"/>
        <w:ind w:left="1440"/>
        <w:rPr>
          <w:rFonts w:ascii="Calibri" w:hAnsi="Calibri"/>
          <w:i/>
        </w:rPr>
      </w:pPr>
    </w:p>
    <w:p w14:paraId="41B2B8DC" w14:textId="77777777" w:rsidR="00E05AA4" w:rsidRPr="002048A7" w:rsidRDefault="00E05AA4" w:rsidP="0025080A">
      <w:pPr>
        <w:pStyle w:val="metin0"/>
        <w:numPr>
          <w:ilvl w:val="0"/>
          <w:numId w:val="39"/>
        </w:numPr>
        <w:spacing w:before="0" w:beforeAutospacing="0" w:after="0" w:afterAutospacing="0" w:line="240" w:lineRule="atLeast"/>
        <w:rPr>
          <w:rFonts w:ascii="Calibri" w:hAnsi="Calibri" w:cs="Calibri"/>
          <w:color w:val="000000"/>
          <w:sz w:val="22"/>
          <w:szCs w:val="22"/>
        </w:rPr>
      </w:pPr>
      <w:r w:rsidRPr="00E05AA4">
        <w:rPr>
          <w:rFonts w:ascii="Calibri" w:hAnsi="Calibri" w:cs="Calibri"/>
          <w:color w:val="000000"/>
          <w:sz w:val="22"/>
          <w:szCs w:val="22"/>
        </w:rPr>
        <w:t xml:space="preserve">12 nci maddesinin birinci fıkrasında yer alan </w:t>
      </w:r>
      <w:r w:rsidRPr="00E05AA4">
        <w:rPr>
          <w:rFonts w:ascii="Calibri" w:hAnsi="Calibri" w:cs="Calibri"/>
          <w:i/>
          <w:color w:val="000000"/>
          <w:sz w:val="22"/>
          <w:szCs w:val="22"/>
        </w:rPr>
        <w:t>“</w:t>
      </w:r>
      <w:proofErr w:type="gramStart"/>
      <w:r w:rsidRPr="00E05AA4">
        <w:rPr>
          <w:rFonts w:ascii="Calibri" w:hAnsi="Calibri" w:cs="Calibri"/>
          <w:i/>
          <w:color w:val="000000"/>
          <w:sz w:val="22"/>
          <w:szCs w:val="22"/>
        </w:rPr>
        <w:t>LÜYTOB</w:t>
      </w:r>
      <w:r w:rsidRPr="00E05AA4">
        <w:rPr>
          <w:rFonts w:ascii="Calibri" w:hAnsi="Calibri" w:cs="Calibri"/>
          <w:i/>
          <w:color w:val="000000"/>
          <w:sz w:val="22"/>
          <w:szCs w:val="22"/>
          <w:vertAlign w:val="subscript"/>
        </w:rPr>
        <w:t>j</w:t>
      </w:r>
      <w:r w:rsidRPr="00E05AA4">
        <w:rPr>
          <w:rFonts w:ascii="Calibri" w:hAnsi="Calibri" w:cs="Calibri"/>
          <w:i/>
          <w:color w:val="000000"/>
          <w:sz w:val="22"/>
          <w:szCs w:val="22"/>
        </w:rPr>
        <w:t xml:space="preserve"> ”</w:t>
      </w:r>
      <w:proofErr w:type="gramEnd"/>
      <w:r w:rsidRPr="00E05AA4">
        <w:rPr>
          <w:rFonts w:ascii="Calibri" w:hAnsi="Calibri" w:cs="Calibri"/>
          <w:color w:val="000000"/>
          <w:sz w:val="22"/>
          <w:szCs w:val="22"/>
        </w:rPr>
        <w:t xml:space="preserve"> tanımına  “j” ibaresinden sonra gelmek üzere </w:t>
      </w:r>
      <w:r w:rsidRPr="008A0A74">
        <w:rPr>
          <w:rFonts w:ascii="Calibri" w:hAnsi="Calibri" w:cs="Calibri"/>
          <w:i/>
          <w:color w:val="000000"/>
          <w:sz w:val="22"/>
          <w:szCs w:val="22"/>
        </w:rPr>
        <w:t>“toplayıcısı ya da”</w:t>
      </w:r>
      <w:r w:rsidRPr="00E05AA4">
        <w:rPr>
          <w:rFonts w:ascii="Calibri" w:hAnsi="Calibri" w:cs="Calibri"/>
          <w:color w:val="000000"/>
          <w:sz w:val="22"/>
          <w:szCs w:val="22"/>
        </w:rPr>
        <w:t xml:space="preserve"> ibaresi eklenmiş ve aynı fıkrada yer alan </w:t>
      </w:r>
      <w:r w:rsidRPr="008A0A74">
        <w:rPr>
          <w:rFonts w:ascii="Calibri" w:hAnsi="Calibri" w:cs="Calibri"/>
          <w:i/>
          <w:color w:val="000000"/>
          <w:sz w:val="22"/>
          <w:szCs w:val="22"/>
        </w:rPr>
        <w:t>“m”</w:t>
      </w:r>
      <w:r w:rsidRPr="00E05AA4">
        <w:rPr>
          <w:rFonts w:ascii="Calibri" w:hAnsi="Calibri" w:cs="Calibri"/>
          <w:color w:val="000000"/>
          <w:sz w:val="22"/>
          <w:szCs w:val="22"/>
        </w:rPr>
        <w:t xml:space="preserve"> tanımına </w:t>
      </w:r>
      <w:r w:rsidRPr="008A0A74">
        <w:rPr>
          <w:rFonts w:ascii="Calibri" w:hAnsi="Calibri" w:cs="Calibri"/>
          <w:i/>
          <w:color w:val="000000"/>
          <w:sz w:val="22"/>
          <w:szCs w:val="22"/>
        </w:rPr>
        <w:t>“YEKDEM katılımcısı olan”</w:t>
      </w:r>
      <w:r w:rsidRPr="00E05AA4">
        <w:rPr>
          <w:rFonts w:ascii="Calibri" w:hAnsi="Calibri" w:cs="Calibri"/>
          <w:color w:val="000000"/>
          <w:sz w:val="22"/>
          <w:szCs w:val="22"/>
        </w:rPr>
        <w:t xml:space="preserve"> ibaresinden sonra gelmek üzere </w:t>
      </w:r>
      <w:r w:rsidRPr="008A0A74">
        <w:rPr>
          <w:rFonts w:ascii="Calibri" w:hAnsi="Calibri" w:cs="Calibri"/>
          <w:i/>
          <w:color w:val="000000"/>
          <w:sz w:val="22"/>
          <w:szCs w:val="22"/>
        </w:rPr>
        <w:t>“toplayıcı ve”</w:t>
      </w:r>
      <w:r w:rsidRPr="00E05AA4">
        <w:rPr>
          <w:rFonts w:ascii="Calibri" w:hAnsi="Calibri" w:cs="Calibri"/>
          <w:color w:val="000000"/>
          <w:sz w:val="22"/>
          <w:szCs w:val="22"/>
        </w:rPr>
        <w:t xml:space="preserve"> ibaresi eklenmiştir.</w:t>
      </w:r>
    </w:p>
    <w:p w14:paraId="006AB381" w14:textId="77777777" w:rsidR="00E05AA4" w:rsidRPr="002048A7" w:rsidRDefault="00E05AA4" w:rsidP="00E05AA4">
      <w:pPr>
        <w:pStyle w:val="metin0"/>
        <w:spacing w:before="0" w:beforeAutospacing="0" w:after="0" w:afterAutospacing="0" w:line="240" w:lineRule="atLeast"/>
        <w:ind w:left="1440"/>
        <w:rPr>
          <w:rFonts w:ascii="Calibri" w:hAnsi="Calibri" w:cs="Calibri"/>
          <w:color w:val="000000"/>
          <w:sz w:val="22"/>
          <w:szCs w:val="22"/>
        </w:rPr>
      </w:pPr>
    </w:p>
    <w:p w14:paraId="18751EB4" w14:textId="77777777" w:rsidR="00E05AA4" w:rsidRPr="002048A7" w:rsidRDefault="008A0A74" w:rsidP="0025080A">
      <w:pPr>
        <w:pStyle w:val="metin0"/>
        <w:numPr>
          <w:ilvl w:val="0"/>
          <w:numId w:val="39"/>
        </w:numPr>
        <w:spacing w:before="0" w:beforeAutospacing="0" w:after="0" w:afterAutospacing="0" w:line="240" w:lineRule="atLeast"/>
        <w:rPr>
          <w:rFonts w:ascii="Calibri" w:hAnsi="Calibri" w:cs="Calibri"/>
          <w:color w:val="000000"/>
          <w:sz w:val="22"/>
          <w:szCs w:val="22"/>
        </w:rPr>
      </w:pPr>
      <w:r w:rsidRPr="008A0A74">
        <w:rPr>
          <w:rFonts w:ascii="Calibri" w:hAnsi="Calibri" w:cs="Calibri"/>
          <w:color w:val="000000"/>
          <w:sz w:val="22"/>
          <w:szCs w:val="22"/>
        </w:rPr>
        <w:t>15 inci maddesinin ikinci fıkrası aşağıdaki şekilde değiştirilmiştir.</w:t>
      </w:r>
    </w:p>
    <w:p w14:paraId="602793C4" w14:textId="77777777" w:rsidR="00E05AA4" w:rsidRPr="002048A7" w:rsidRDefault="00E05AA4" w:rsidP="00E05AA4">
      <w:pPr>
        <w:pStyle w:val="metin0"/>
        <w:spacing w:before="0" w:beforeAutospacing="0" w:after="0" w:afterAutospacing="0" w:line="240" w:lineRule="atLeast"/>
        <w:ind w:left="1440"/>
        <w:rPr>
          <w:rFonts w:ascii="Calibri" w:hAnsi="Calibri" w:cs="Calibri"/>
          <w:color w:val="000000"/>
          <w:sz w:val="22"/>
          <w:szCs w:val="22"/>
        </w:rPr>
      </w:pPr>
    </w:p>
    <w:p w14:paraId="695CAA45" w14:textId="77777777" w:rsidR="00E05AA4" w:rsidRDefault="008A0A74" w:rsidP="00E05AA4">
      <w:pPr>
        <w:pStyle w:val="ListeParagraf"/>
        <w:spacing w:after="0"/>
        <w:ind w:left="1440"/>
        <w:rPr>
          <w:rFonts w:ascii="Calibri" w:hAnsi="Calibri"/>
          <w:i/>
        </w:rPr>
      </w:pPr>
      <w:r w:rsidRPr="008A0A74">
        <w:rPr>
          <w:rFonts w:ascii="Calibri" w:hAnsi="Calibri"/>
          <w:i/>
        </w:rPr>
        <w:t>“(2) YEKDEM geliri aşağıda yer alan formüle göre hesaplanır:</w:t>
      </w:r>
    </w:p>
    <w:p w14:paraId="22FCF5FB" w14:textId="77777777" w:rsidR="008A0A74" w:rsidRDefault="008A0A74" w:rsidP="00E05AA4">
      <w:pPr>
        <w:pStyle w:val="ListeParagraf"/>
        <w:spacing w:after="0"/>
        <w:ind w:left="1440"/>
        <w:rPr>
          <w:rFonts w:ascii="Calibri" w:hAnsi="Calibri"/>
          <w:i/>
        </w:rPr>
      </w:pPr>
      <w:r w:rsidRPr="00071236">
        <w:rPr>
          <w:rFonts w:ascii="Times New Roman" w:eastAsia="Times New Roman" w:hAnsi="Times New Roman"/>
          <w:noProof/>
          <w:sz w:val="18"/>
          <w:szCs w:val="18"/>
          <w:lang w:eastAsia="tr-TR"/>
        </w:rPr>
        <w:drawing>
          <wp:inline distT="0" distB="0" distL="0" distR="0" wp14:anchorId="0773A60F" wp14:editId="7AB63F0C">
            <wp:extent cx="4429125" cy="447675"/>
            <wp:effectExtent l="0" t="0" r="9525" b="9525"/>
            <wp:docPr id="24" name="Resim 24" descr="https://www.resmigazete.gov.tr/eskiler/2024/12/20241217-30_dosyalar/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www.resmigazete.gov.tr/eskiler/2024/12/20241217-30_dosyalar/image002.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429125" cy="447675"/>
                    </a:xfrm>
                    <a:prstGeom prst="rect">
                      <a:avLst/>
                    </a:prstGeom>
                    <a:noFill/>
                    <a:ln>
                      <a:noFill/>
                    </a:ln>
                  </pic:spPr>
                </pic:pic>
              </a:graphicData>
            </a:graphic>
          </wp:inline>
        </w:drawing>
      </w:r>
    </w:p>
    <w:p w14:paraId="5D755AA6" w14:textId="77777777" w:rsidR="008A0A74" w:rsidRPr="008A0A74" w:rsidRDefault="008A0A74" w:rsidP="008A0A74">
      <w:pPr>
        <w:pStyle w:val="ListeParagraf"/>
        <w:spacing w:after="0"/>
        <w:ind w:left="1440"/>
        <w:rPr>
          <w:rFonts w:ascii="Calibri" w:hAnsi="Calibri"/>
          <w:i/>
        </w:rPr>
      </w:pPr>
      <w:r w:rsidRPr="008A0A74">
        <w:rPr>
          <w:rFonts w:ascii="Calibri" w:hAnsi="Calibri"/>
          <w:i/>
        </w:rPr>
        <w:t>Bu formülde geçen;</w:t>
      </w:r>
    </w:p>
    <w:p w14:paraId="7A23828B" w14:textId="77777777" w:rsidR="008A0A74" w:rsidRPr="008A0A74" w:rsidRDefault="008A0A74" w:rsidP="008A0A74">
      <w:pPr>
        <w:pStyle w:val="ListeParagraf"/>
        <w:spacing w:after="0"/>
        <w:ind w:left="1440"/>
        <w:rPr>
          <w:rFonts w:ascii="Calibri" w:hAnsi="Calibri"/>
          <w:i/>
        </w:rPr>
      </w:pPr>
      <w:r w:rsidRPr="008A0A74">
        <w:rPr>
          <w:rFonts w:ascii="Calibri" w:hAnsi="Calibri"/>
          <w:i/>
        </w:rPr>
        <w:t xml:space="preserve">YG                </w:t>
      </w:r>
      <w:proofErr w:type="gramStart"/>
      <w:r w:rsidRPr="008A0A74">
        <w:rPr>
          <w:rFonts w:ascii="Calibri" w:hAnsi="Calibri"/>
          <w:i/>
        </w:rPr>
        <w:t xml:space="preserve">  :</w:t>
      </w:r>
      <w:proofErr w:type="gramEnd"/>
      <w:r w:rsidRPr="008A0A74">
        <w:rPr>
          <w:rFonts w:ascii="Calibri" w:hAnsi="Calibri"/>
          <w:i/>
        </w:rPr>
        <w:t xml:space="preserve"> Bir fatura dönemi için YEKDEM gelirini (TL),</w:t>
      </w:r>
    </w:p>
    <w:p w14:paraId="3F541272" w14:textId="77777777" w:rsidR="008A0A74" w:rsidRPr="008A0A74" w:rsidRDefault="008A0A74" w:rsidP="008A0A74">
      <w:pPr>
        <w:pStyle w:val="ListeParagraf"/>
        <w:spacing w:after="0"/>
        <w:ind w:left="1440"/>
        <w:rPr>
          <w:rFonts w:ascii="Calibri" w:hAnsi="Calibri"/>
          <w:i/>
        </w:rPr>
      </w:pPr>
      <w:proofErr w:type="gramStart"/>
      <w:r w:rsidRPr="008A0A74">
        <w:rPr>
          <w:rFonts w:ascii="Calibri" w:hAnsi="Calibri"/>
          <w:i/>
        </w:rPr>
        <w:t>PTFt,u</w:t>
      </w:r>
      <w:proofErr w:type="gramEnd"/>
      <w:r w:rsidRPr="008A0A74">
        <w:rPr>
          <w:rFonts w:ascii="Calibri" w:hAnsi="Calibri"/>
          <w:i/>
        </w:rPr>
        <w:t xml:space="preserve">              : t teklif bölgesi ve u uzlaştırma dönemine ait Piyasa Takas Fiyatını (TL/MWh),</w:t>
      </w:r>
    </w:p>
    <w:p w14:paraId="17547450" w14:textId="77777777" w:rsidR="008A0A74" w:rsidRPr="008A0A74" w:rsidRDefault="008A0A74" w:rsidP="008A0A74">
      <w:pPr>
        <w:pStyle w:val="ListeParagraf"/>
        <w:spacing w:after="0"/>
        <w:ind w:left="1440"/>
        <w:rPr>
          <w:rFonts w:ascii="Calibri" w:hAnsi="Calibri"/>
          <w:i/>
        </w:rPr>
      </w:pPr>
      <w:proofErr w:type="gramStart"/>
      <w:r w:rsidRPr="008A0A74">
        <w:rPr>
          <w:rFonts w:ascii="Calibri" w:hAnsi="Calibri"/>
          <w:i/>
        </w:rPr>
        <w:lastRenderedPageBreak/>
        <w:t>UEVMi,b</w:t>
      </w:r>
      <w:proofErr w:type="gramEnd"/>
      <w:r w:rsidRPr="008A0A74">
        <w:rPr>
          <w:rFonts w:ascii="Calibri" w:hAnsi="Calibri"/>
          <w:i/>
        </w:rPr>
        <w:t>,t,u   : Lisanslı üretim tesisleri için, i YEKDEM katılımcısının YEKDEM kapsamındaki b uzlaştırmaya esas veriş-çekiş biriminin, t teklif bölgesindeki u uzlaştırma dönemine ait YEKDEM kapsamındaki uzlaştırmaya esas veriş miktarını (MWh),</w:t>
      </w:r>
    </w:p>
    <w:p w14:paraId="1DFECCD3" w14:textId="77777777" w:rsidR="008A0A74" w:rsidRPr="008A0A74" w:rsidRDefault="008A0A74" w:rsidP="008A0A74">
      <w:pPr>
        <w:pStyle w:val="ListeParagraf"/>
        <w:spacing w:after="0"/>
        <w:ind w:left="1440"/>
        <w:rPr>
          <w:rFonts w:ascii="Calibri" w:hAnsi="Calibri"/>
          <w:i/>
        </w:rPr>
      </w:pPr>
      <w:proofErr w:type="gramStart"/>
      <w:r w:rsidRPr="008A0A74">
        <w:rPr>
          <w:rFonts w:ascii="Calibri" w:hAnsi="Calibri"/>
          <w:i/>
        </w:rPr>
        <w:t>yi,b</w:t>
      </w:r>
      <w:proofErr w:type="gramEnd"/>
      <w:r w:rsidRPr="008A0A74">
        <w:rPr>
          <w:rFonts w:ascii="Calibri" w:hAnsi="Calibri"/>
          <w:i/>
        </w:rPr>
        <w:t>,t,u                : i YEKDEM katılımcısının YEKDEM kapsamındaki b uzlaştırmaya esas veriş-çekiş biriminin, t teklif bölgesindeki u uzlaştırma dönemine ait YEK Kanununun 6/C maddesinin ikinci fıkrası kapsamında yapılan kurulu güç artışı nedeniyle hesaplanan katsayıyı,</w:t>
      </w:r>
    </w:p>
    <w:p w14:paraId="53047120" w14:textId="77777777" w:rsidR="008A0A74" w:rsidRPr="008A0A74" w:rsidRDefault="008A0A74" w:rsidP="008A0A74">
      <w:pPr>
        <w:pStyle w:val="ListeParagraf"/>
        <w:spacing w:after="0"/>
        <w:ind w:left="1440"/>
        <w:rPr>
          <w:rFonts w:ascii="Calibri" w:hAnsi="Calibri"/>
          <w:i/>
        </w:rPr>
      </w:pPr>
      <w:proofErr w:type="gramStart"/>
      <w:r w:rsidRPr="008A0A74">
        <w:rPr>
          <w:rFonts w:ascii="Calibri" w:hAnsi="Calibri"/>
          <w:i/>
        </w:rPr>
        <w:t>LÜNETm,t</w:t>
      </w:r>
      <w:proofErr w:type="gramEnd"/>
      <w:r w:rsidRPr="008A0A74">
        <w:rPr>
          <w:rFonts w:ascii="Calibri" w:hAnsi="Calibri"/>
          <w:i/>
        </w:rPr>
        <w:t>,u      : m YEKDEM katılımcısı toplayıcı ya da görevli tedarik şirketinin t teklif bölgesindeki u uzlaştırma dönemi için YEKDEM kapsamındaki lisanssız üretim tesisleri için LÜY’ün ilgili hükümleri uyarınca piyasa işletmecisine bildirilen net üretim değerini (MWh),</w:t>
      </w:r>
    </w:p>
    <w:p w14:paraId="6C74B47C" w14:textId="77777777" w:rsidR="008A0A74" w:rsidRPr="008A0A74" w:rsidRDefault="008A0A74" w:rsidP="008A0A74">
      <w:pPr>
        <w:pStyle w:val="ListeParagraf"/>
        <w:spacing w:after="0"/>
        <w:ind w:left="1440"/>
        <w:rPr>
          <w:rFonts w:ascii="Calibri" w:hAnsi="Calibri"/>
          <w:i/>
        </w:rPr>
      </w:pPr>
      <w:r w:rsidRPr="008A0A74">
        <w:rPr>
          <w:rFonts w:ascii="Calibri" w:hAnsi="Calibri"/>
          <w:i/>
        </w:rPr>
        <w:t xml:space="preserve">KBc               </w:t>
      </w:r>
      <w:proofErr w:type="gramStart"/>
      <w:r w:rsidRPr="008A0A74">
        <w:rPr>
          <w:rFonts w:ascii="Calibri" w:hAnsi="Calibri"/>
          <w:i/>
        </w:rPr>
        <w:t xml:space="preserve">  :</w:t>
      </w:r>
      <w:proofErr w:type="gramEnd"/>
      <w:r w:rsidRPr="008A0A74">
        <w:rPr>
          <w:rFonts w:ascii="Calibri" w:hAnsi="Calibri"/>
          <w:i/>
        </w:rPr>
        <w:t xml:space="preserve"> c piyasa katılımcısının Yarışma Yönetmeliği uyarınca ödemekle yükümlü olduğu, dördüncü fıkra uyarınca hesaplanan katılım bedelini (TL),</w:t>
      </w:r>
    </w:p>
    <w:p w14:paraId="543CED69" w14:textId="77777777" w:rsidR="008A0A74" w:rsidRPr="008A0A74" w:rsidRDefault="008A0A74" w:rsidP="008A0A74">
      <w:pPr>
        <w:pStyle w:val="ListeParagraf"/>
        <w:spacing w:after="0"/>
        <w:ind w:left="1440"/>
        <w:rPr>
          <w:rFonts w:ascii="Calibri" w:hAnsi="Calibri"/>
          <w:i/>
        </w:rPr>
      </w:pPr>
      <w:r w:rsidRPr="008A0A74">
        <w:rPr>
          <w:rFonts w:ascii="Calibri" w:hAnsi="Calibri"/>
          <w:i/>
        </w:rPr>
        <w:t xml:space="preserve">FBo                </w:t>
      </w:r>
      <w:proofErr w:type="gramStart"/>
      <w:r w:rsidRPr="008A0A74">
        <w:rPr>
          <w:rFonts w:ascii="Calibri" w:hAnsi="Calibri"/>
          <w:i/>
        </w:rPr>
        <w:t xml:space="preserve">  :</w:t>
      </w:r>
      <w:proofErr w:type="gramEnd"/>
      <w:r w:rsidRPr="008A0A74">
        <w:rPr>
          <w:rFonts w:ascii="Calibri" w:hAnsi="Calibri"/>
          <w:i/>
        </w:rPr>
        <w:t xml:space="preserve"> Kanunun 17 nci maddesinin dördüncü fıkrası kapsamında yenilenebilir enerji kaynaklarının desteklenmesi amacıyla belirlenen tarifeler ile tüm tüketiciler için geçerli olmak üzere aynı bağlantı şekli ve tüketici grubuna göre belirlenen perakende satış tarifesi arasındaki farkın tüketim miktarı esas alınarak o görevli tedarik şirketi bazında ilgili fatura dönemi için hesaplanan fark bedelini (TL),</w:t>
      </w:r>
    </w:p>
    <w:p w14:paraId="406CB26E" w14:textId="77777777" w:rsidR="008A0A74" w:rsidRPr="008A0A74" w:rsidRDefault="008A0A74" w:rsidP="008A0A74">
      <w:pPr>
        <w:pStyle w:val="ListeParagraf"/>
        <w:spacing w:after="0"/>
        <w:ind w:left="1440"/>
        <w:rPr>
          <w:rFonts w:ascii="Calibri" w:hAnsi="Calibri"/>
          <w:i/>
        </w:rPr>
      </w:pPr>
      <w:r w:rsidRPr="008A0A74">
        <w:rPr>
          <w:rFonts w:ascii="Calibri" w:hAnsi="Calibri"/>
          <w:i/>
        </w:rPr>
        <w:t xml:space="preserve">LKBz             </w:t>
      </w:r>
      <w:proofErr w:type="gramStart"/>
      <w:r w:rsidRPr="008A0A74">
        <w:rPr>
          <w:rFonts w:ascii="Calibri" w:hAnsi="Calibri"/>
          <w:i/>
        </w:rPr>
        <w:t xml:space="preserve">  :</w:t>
      </w:r>
      <w:proofErr w:type="gramEnd"/>
      <w:r w:rsidRPr="008A0A74">
        <w:rPr>
          <w:rFonts w:ascii="Calibri" w:hAnsi="Calibri"/>
          <w:i/>
        </w:rPr>
        <w:t xml:space="preserve"> On yıl alım garantisini doldurmuş olan lisanssız üretim faaliyeti kapsamındaki tesislerin üretim lisansı alması halinde, lisans süresi boyunca elektrik piyasasında oluşan saatlik piyasa takas fiyatının, YEK Kanununun 6 ncı maddesinin ikinci fıkrası kapsamında tesis tipi bazında uygulanan güncel YEK Destekleme Mekanizması fiyatından fazla olması halinde aradaki fiyat farkından elde edilen YEK Destekleme Mekanizmasına katkı bedelini,</w:t>
      </w:r>
    </w:p>
    <w:p w14:paraId="25060546" w14:textId="77777777" w:rsidR="008A0A74" w:rsidRPr="008A0A74" w:rsidRDefault="008A0A74" w:rsidP="008A0A74">
      <w:pPr>
        <w:pStyle w:val="ListeParagraf"/>
        <w:spacing w:after="0"/>
        <w:ind w:left="1440"/>
        <w:rPr>
          <w:rFonts w:ascii="Calibri" w:hAnsi="Calibri"/>
          <w:i/>
        </w:rPr>
      </w:pPr>
      <w:proofErr w:type="gramStart"/>
      <w:r w:rsidRPr="008A0A74">
        <w:rPr>
          <w:rFonts w:ascii="Calibri" w:hAnsi="Calibri"/>
          <w:i/>
        </w:rPr>
        <w:t>a</w:t>
      </w:r>
      <w:proofErr w:type="gramEnd"/>
      <w:r w:rsidRPr="008A0A74">
        <w:rPr>
          <w:rFonts w:ascii="Calibri" w:hAnsi="Calibri"/>
          <w:i/>
        </w:rPr>
        <w:t xml:space="preserve">                      : Lisanslı üretim tesisi olan YEKDEM katılımcı sayısını,</w:t>
      </w:r>
    </w:p>
    <w:p w14:paraId="730503B3" w14:textId="77777777" w:rsidR="008A0A74" w:rsidRPr="008A0A74" w:rsidRDefault="008A0A74" w:rsidP="008A0A74">
      <w:pPr>
        <w:pStyle w:val="ListeParagraf"/>
        <w:spacing w:after="0"/>
        <w:ind w:left="1440"/>
        <w:rPr>
          <w:rFonts w:ascii="Calibri" w:hAnsi="Calibri"/>
          <w:i/>
        </w:rPr>
      </w:pPr>
      <w:proofErr w:type="gramStart"/>
      <w:r w:rsidRPr="008A0A74">
        <w:rPr>
          <w:rFonts w:ascii="Calibri" w:hAnsi="Calibri"/>
          <w:i/>
        </w:rPr>
        <w:t>d</w:t>
      </w:r>
      <w:proofErr w:type="gramEnd"/>
      <w:r w:rsidRPr="008A0A74">
        <w:rPr>
          <w:rFonts w:ascii="Calibri" w:hAnsi="Calibri"/>
          <w:i/>
        </w:rPr>
        <w:t xml:space="preserve">                      : YEKDEM katılımcısı toplayıcı ve görevli tedarik şirketi sayısını,</w:t>
      </w:r>
    </w:p>
    <w:p w14:paraId="226BEFDA" w14:textId="77777777" w:rsidR="008A0A74" w:rsidRPr="008A0A74" w:rsidRDefault="008A0A74" w:rsidP="008A0A74">
      <w:pPr>
        <w:pStyle w:val="ListeParagraf"/>
        <w:spacing w:after="0"/>
        <w:ind w:left="1440"/>
        <w:rPr>
          <w:rFonts w:ascii="Calibri" w:hAnsi="Calibri"/>
          <w:i/>
        </w:rPr>
      </w:pPr>
      <w:proofErr w:type="gramStart"/>
      <w:r w:rsidRPr="008A0A74">
        <w:rPr>
          <w:rFonts w:ascii="Calibri" w:hAnsi="Calibri"/>
          <w:i/>
        </w:rPr>
        <w:t>ni</w:t>
      </w:r>
      <w:proofErr w:type="gramEnd"/>
      <w:r w:rsidRPr="008A0A74">
        <w:rPr>
          <w:rFonts w:ascii="Calibri" w:hAnsi="Calibri"/>
          <w:i/>
        </w:rPr>
        <w:t xml:space="preserve">                     : i YEKDEM katılımcısının YEKDEM kapsamındaki uzlaştırmaya esas veriş-çekiş birimi sayısını,</w:t>
      </w:r>
    </w:p>
    <w:p w14:paraId="21DD418F" w14:textId="77777777" w:rsidR="008A0A74" w:rsidRPr="008A0A74" w:rsidRDefault="008A0A74" w:rsidP="008A0A74">
      <w:pPr>
        <w:pStyle w:val="ListeParagraf"/>
        <w:spacing w:after="0"/>
        <w:ind w:left="1440"/>
        <w:rPr>
          <w:rFonts w:ascii="Calibri" w:hAnsi="Calibri"/>
          <w:i/>
        </w:rPr>
      </w:pPr>
      <w:proofErr w:type="gramStart"/>
      <w:r w:rsidRPr="008A0A74">
        <w:rPr>
          <w:rFonts w:ascii="Calibri" w:hAnsi="Calibri"/>
          <w:i/>
        </w:rPr>
        <w:t>l</w:t>
      </w:r>
      <w:proofErr w:type="gramEnd"/>
      <w:r w:rsidRPr="008A0A74">
        <w:rPr>
          <w:rFonts w:ascii="Calibri" w:hAnsi="Calibri"/>
          <w:i/>
        </w:rPr>
        <w:t xml:space="preserve">                       : t teklif bölgesi sayısını,</w:t>
      </w:r>
    </w:p>
    <w:p w14:paraId="4028C9BD" w14:textId="77777777" w:rsidR="008A0A74" w:rsidRPr="008A0A74" w:rsidRDefault="008A0A74" w:rsidP="008A0A74">
      <w:pPr>
        <w:pStyle w:val="ListeParagraf"/>
        <w:spacing w:after="0"/>
        <w:ind w:left="1440"/>
        <w:rPr>
          <w:rFonts w:ascii="Calibri" w:hAnsi="Calibri"/>
          <w:i/>
        </w:rPr>
      </w:pPr>
      <w:proofErr w:type="gramStart"/>
      <w:r w:rsidRPr="008A0A74">
        <w:rPr>
          <w:rFonts w:ascii="Calibri" w:hAnsi="Calibri"/>
          <w:i/>
        </w:rPr>
        <w:t>k</w:t>
      </w:r>
      <w:proofErr w:type="gramEnd"/>
      <w:r w:rsidRPr="008A0A74">
        <w:rPr>
          <w:rFonts w:ascii="Calibri" w:hAnsi="Calibri"/>
          <w:i/>
        </w:rPr>
        <w:t xml:space="preserve">                      : Bir fatura dönemine ilişkin uzlaştırma dönemi sayısını,</w:t>
      </w:r>
    </w:p>
    <w:p w14:paraId="77D039BD" w14:textId="77777777" w:rsidR="008A0A74" w:rsidRPr="008A0A74" w:rsidRDefault="008A0A74" w:rsidP="008A0A74">
      <w:pPr>
        <w:pStyle w:val="ListeParagraf"/>
        <w:spacing w:after="0"/>
        <w:ind w:left="1440"/>
        <w:rPr>
          <w:rFonts w:ascii="Calibri" w:hAnsi="Calibri"/>
          <w:i/>
        </w:rPr>
      </w:pPr>
      <w:proofErr w:type="gramStart"/>
      <w:r w:rsidRPr="008A0A74">
        <w:rPr>
          <w:rFonts w:ascii="Calibri" w:hAnsi="Calibri"/>
          <w:i/>
        </w:rPr>
        <w:t>j</w:t>
      </w:r>
      <w:proofErr w:type="gramEnd"/>
      <w:r w:rsidRPr="008A0A74">
        <w:rPr>
          <w:rFonts w:ascii="Calibri" w:hAnsi="Calibri"/>
          <w:i/>
        </w:rPr>
        <w:t xml:space="preserve">                       : Kurul tarafından lisanslı üretim tesisleri için belirlenen tolerans katsayısını,</w:t>
      </w:r>
    </w:p>
    <w:p w14:paraId="0A43FEF3" w14:textId="77777777" w:rsidR="008A0A74" w:rsidRPr="008A0A74" w:rsidRDefault="008A0A74" w:rsidP="008A0A74">
      <w:pPr>
        <w:pStyle w:val="ListeParagraf"/>
        <w:spacing w:after="0"/>
        <w:ind w:left="1440"/>
        <w:rPr>
          <w:rFonts w:ascii="Calibri" w:hAnsi="Calibri"/>
          <w:i/>
        </w:rPr>
      </w:pPr>
      <w:proofErr w:type="gramStart"/>
      <w:r w:rsidRPr="008A0A74">
        <w:rPr>
          <w:rFonts w:ascii="Calibri" w:hAnsi="Calibri"/>
          <w:i/>
        </w:rPr>
        <w:t>p</w:t>
      </w:r>
      <w:proofErr w:type="gramEnd"/>
      <w:r w:rsidRPr="008A0A74">
        <w:rPr>
          <w:rFonts w:ascii="Calibri" w:hAnsi="Calibri"/>
          <w:i/>
        </w:rPr>
        <w:t xml:space="preserve">                      : Kurul tarafından muafiyetli üretim için belirlenen tolerans katsayısını,</w:t>
      </w:r>
    </w:p>
    <w:p w14:paraId="6D986A58" w14:textId="77777777" w:rsidR="008A0A74" w:rsidRPr="008A0A74" w:rsidRDefault="008A0A74" w:rsidP="008A0A74">
      <w:pPr>
        <w:pStyle w:val="ListeParagraf"/>
        <w:spacing w:after="0"/>
        <w:ind w:left="1440"/>
        <w:rPr>
          <w:rFonts w:ascii="Calibri" w:hAnsi="Calibri"/>
          <w:i/>
        </w:rPr>
      </w:pPr>
      <w:proofErr w:type="gramStart"/>
      <w:r w:rsidRPr="008A0A74">
        <w:rPr>
          <w:rFonts w:ascii="Calibri" w:hAnsi="Calibri"/>
          <w:i/>
        </w:rPr>
        <w:t>g</w:t>
      </w:r>
      <w:proofErr w:type="gramEnd"/>
      <w:r w:rsidRPr="008A0A74">
        <w:rPr>
          <w:rFonts w:ascii="Calibri" w:hAnsi="Calibri"/>
          <w:i/>
        </w:rPr>
        <w:t xml:space="preserve">                      : Yarışma Yönetmeliği uyarınca ödeme yükümlülüğü bulunan katılımcı sayısını,</w:t>
      </w:r>
    </w:p>
    <w:p w14:paraId="0B34A968" w14:textId="77777777" w:rsidR="008A0A74" w:rsidRPr="008A0A74" w:rsidRDefault="008A0A74" w:rsidP="008A0A74">
      <w:pPr>
        <w:pStyle w:val="ListeParagraf"/>
        <w:spacing w:after="0"/>
        <w:ind w:left="1440"/>
        <w:rPr>
          <w:rFonts w:ascii="Calibri" w:hAnsi="Calibri"/>
          <w:i/>
        </w:rPr>
      </w:pPr>
      <w:proofErr w:type="gramStart"/>
      <w:r w:rsidRPr="008A0A74">
        <w:rPr>
          <w:rFonts w:ascii="Calibri" w:hAnsi="Calibri"/>
          <w:i/>
        </w:rPr>
        <w:t>h</w:t>
      </w:r>
      <w:proofErr w:type="gramEnd"/>
      <w:r w:rsidRPr="008A0A74">
        <w:rPr>
          <w:rFonts w:ascii="Calibri" w:hAnsi="Calibri"/>
          <w:i/>
        </w:rPr>
        <w:t xml:space="preserve">                      : Kanunun 17 nci maddesinin dördüncü fıkrası kapsamında yenilenebilir enerji kaynaklarının desteklenmesi amacıyla belirlenen tarifeler kapsamında portföyünde tüketici bulunan görevli tedarik şirketi sayısını,</w:t>
      </w:r>
    </w:p>
    <w:p w14:paraId="7E53C2EF" w14:textId="77777777" w:rsidR="008A0A74" w:rsidRPr="008A0A74" w:rsidRDefault="008A0A74" w:rsidP="008A0A74">
      <w:pPr>
        <w:pStyle w:val="ListeParagraf"/>
        <w:spacing w:after="0"/>
        <w:ind w:left="1440"/>
        <w:rPr>
          <w:rFonts w:ascii="Calibri" w:hAnsi="Calibri"/>
          <w:i/>
        </w:rPr>
      </w:pPr>
      <w:proofErr w:type="gramStart"/>
      <w:r w:rsidRPr="008A0A74">
        <w:rPr>
          <w:rFonts w:ascii="Calibri" w:hAnsi="Calibri"/>
          <w:i/>
        </w:rPr>
        <w:t>v</w:t>
      </w:r>
      <w:proofErr w:type="gramEnd"/>
      <w:r w:rsidRPr="008A0A74">
        <w:rPr>
          <w:rFonts w:ascii="Calibri" w:hAnsi="Calibri"/>
          <w:i/>
        </w:rPr>
        <w:t xml:space="preserve">                      : YEK Kanununun 6 ncı maddesinin ikinci fıkrası hükümleri uyarınca lisans alan piyasa katılımcısı sayısını,</w:t>
      </w:r>
    </w:p>
    <w:p w14:paraId="6E6A47F4" w14:textId="77777777" w:rsidR="008A0A74" w:rsidRDefault="008A0A74" w:rsidP="008A0A74">
      <w:pPr>
        <w:pStyle w:val="ListeParagraf"/>
        <w:spacing w:after="0"/>
        <w:ind w:left="1440"/>
        <w:rPr>
          <w:rFonts w:ascii="Calibri" w:hAnsi="Calibri"/>
          <w:i/>
        </w:rPr>
      </w:pPr>
      <w:proofErr w:type="gramStart"/>
      <w:r w:rsidRPr="008A0A74">
        <w:rPr>
          <w:rFonts w:ascii="Calibri" w:hAnsi="Calibri"/>
          <w:i/>
        </w:rPr>
        <w:t>ifade</w:t>
      </w:r>
      <w:proofErr w:type="gramEnd"/>
      <w:r w:rsidRPr="008A0A74">
        <w:rPr>
          <w:rFonts w:ascii="Calibri" w:hAnsi="Calibri"/>
          <w:i/>
        </w:rPr>
        <w:t xml:space="preserve"> eder.”</w:t>
      </w:r>
    </w:p>
    <w:p w14:paraId="7E5742AA" w14:textId="77777777" w:rsidR="00E05AA4" w:rsidRPr="002048A7" w:rsidRDefault="008A0A74" w:rsidP="0025080A">
      <w:pPr>
        <w:pStyle w:val="metin0"/>
        <w:numPr>
          <w:ilvl w:val="0"/>
          <w:numId w:val="39"/>
        </w:numPr>
        <w:spacing w:before="0" w:beforeAutospacing="0" w:after="0" w:afterAutospacing="0" w:line="240" w:lineRule="atLeast"/>
        <w:rPr>
          <w:rFonts w:ascii="Calibri" w:hAnsi="Calibri" w:cs="Calibri"/>
          <w:color w:val="000000"/>
          <w:sz w:val="22"/>
          <w:szCs w:val="22"/>
        </w:rPr>
      </w:pPr>
      <w:r w:rsidRPr="008A0A74">
        <w:rPr>
          <w:rFonts w:ascii="Calibri" w:hAnsi="Calibri" w:cs="Calibri"/>
          <w:color w:val="000000"/>
          <w:sz w:val="22"/>
          <w:szCs w:val="22"/>
        </w:rPr>
        <w:t>18 inci maddesi aşağıdaki şekilde değiştirilmiştir.</w:t>
      </w:r>
    </w:p>
    <w:p w14:paraId="74A56AAB" w14:textId="77777777" w:rsidR="00E05AA4" w:rsidRPr="002048A7" w:rsidRDefault="00E05AA4" w:rsidP="00E05AA4">
      <w:pPr>
        <w:pStyle w:val="metin0"/>
        <w:spacing w:before="0" w:beforeAutospacing="0" w:after="0" w:afterAutospacing="0" w:line="240" w:lineRule="atLeast"/>
        <w:ind w:left="1440"/>
        <w:rPr>
          <w:rFonts w:ascii="Calibri" w:hAnsi="Calibri" w:cs="Calibri"/>
          <w:color w:val="000000"/>
          <w:sz w:val="22"/>
          <w:szCs w:val="22"/>
        </w:rPr>
      </w:pPr>
    </w:p>
    <w:p w14:paraId="08FA0627" w14:textId="77777777" w:rsidR="00E05AA4" w:rsidRDefault="008A0A74" w:rsidP="00E05AA4">
      <w:pPr>
        <w:pStyle w:val="ListeParagraf"/>
        <w:spacing w:after="0"/>
        <w:ind w:left="1440"/>
        <w:rPr>
          <w:rFonts w:ascii="Calibri" w:hAnsi="Calibri"/>
          <w:i/>
        </w:rPr>
      </w:pPr>
      <w:r w:rsidRPr="008A0A74">
        <w:rPr>
          <w:rFonts w:ascii="Calibri" w:hAnsi="Calibri"/>
          <w:i/>
        </w:rPr>
        <w:t>“MADDE 18- (1) YEKDEM katılımcısı olan her bir lisanslı üretim tesisi için ilgili YEKDEM katılımcısına ödenecek ya da ilgili YEKDEM katılımcısı tarafından piyasa işletmecisine ödenecek YEK bedeli (YEKBED) YEKDEM gelirini de içerecek şekilde aşağıdaki formül uyarınca hesaplanır:</w:t>
      </w:r>
    </w:p>
    <w:p w14:paraId="7ACACC86" w14:textId="77777777" w:rsidR="008A0A74" w:rsidRDefault="008A0A74" w:rsidP="00E05AA4">
      <w:pPr>
        <w:pStyle w:val="ListeParagraf"/>
        <w:spacing w:after="0"/>
        <w:ind w:left="1440"/>
        <w:rPr>
          <w:rFonts w:ascii="Calibri" w:hAnsi="Calibri"/>
          <w:i/>
        </w:rPr>
      </w:pPr>
      <w:r w:rsidRPr="00071236">
        <w:rPr>
          <w:rFonts w:ascii="Times New Roman" w:eastAsia="Times New Roman" w:hAnsi="Times New Roman"/>
          <w:noProof/>
          <w:sz w:val="18"/>
          <w:szCs w:val="18"/>
          <w:lang w:eastAsia="tr-TR"/>
        </w:rPr>
        <w:drawing>
          <wp:inline distT="0" distB="0" distL="0" distR="0" wp14:anchorId="3C9DB901" wp14:editId="09CF28C5">
            <wp:extent cx="4429125" cy="371475"/>
            <wp:effectExtent l="0" t="0" r="9525" b="9525"/>
            <wp:docPr id="25" name="Resim 25" descr="https://www.resmigazete.gov.tr/eskiler/2024/12/20241217-30_dosyalar/image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www.resmigazete.gov.tr/eskiler/2024/12/20241217-30_dosyalar/image004.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429125" cy="371475"/>
                    </a:xfrm>
                    <a:prstGeom prst="rect">
                      <a:avLst/>
                    </a:prstGeom>
                    <a:noFill/>
                    <a:ln>
                      <a:noFill/>
                    </a:ln>
                  </pic:spPr>
                </pic:pic>
              </a:graphicData>
            </a:graphic>
          </wp:inline>
        </w:drawing>
      </w:r>
    </w:p>
    <w:p w14:paraId="51152006" w14:textId="77777777" w:rsidR="008A0A74" w:rsidRPr="008A0A74" w:rsidRDefault="008A0A74" w:rsidP="008A0A74">
      <w:pPr>
        <w:pStyle w:val="ListeParagraf"/>
        <w:spacing w:after="0"/>
        <w:ind w:left="1440"/>
        <w:rPr>
          <w:rFonts w:ascii="Calibri" w:hAnsi="Calibri"/>
          <w:i/>
        </w:rPr>
      </w:pPr>
      <w:r w:rsidRPr="008A0A74">
        <w:rPr>
          <w:rFonts w:ascii="Calibri" w:hAnsi="Calibri"/>
          <w:i/>
        </w:rPr>
        <w:t>Bu formülde geçen;</w:t>
      </w:r>
    </w:p>
    <w:p w14:paraId="327A5D06" w14:textId="77777777" w:rsidR="008A0A74" w:rsidRPr="008A0A74" w:rsidRDefault="008A0A74" w:rsidP="008A0A74">
      <w:pPr>
        <w:pStyle w:val="ListeParagraf"/>
        <w:spacing w:after="0"/>
        <w:ind w:left="1440"/>
        <w:rPr>
          <w:rFonts w:ascii="Calibri" w:hAnsi="Calibri"/>
          <w:i/>
        </w:rPr>
      </w:pPr>
      <w:r w:rsidRPr="008A0A74">
        <w:rPr>
          <w:rFonts w:ascii="Calibri" w:hAnsi="Calibri"/>
          <w:i/>
        </w:rPr>
        <w:lastRenderedPageBreak/>
        <w:t xml:space="preserve">             YEKBEDi     </w:t>
      </w:r>
      <w:proofErr w:type="gramStart"/>
      <w:r w:rsidRPr="008A0A74">
        <w:rPr>
          <w:rFonts w:ascii="Calibri" w:hAnsi="Calibri"/>
          <w:i/>
        </w:rPr>
        <w:t xml:space="preserve">  :</w:t>
      </w:r>
      <w:proofErr w:type="gramEnd"/>
      <w:r w:rsidRPr="008A0A74">
        <w:rPr>
          <w:rFonts w:ascii="Calibri" w:hAnsi="Calibri"/>
          <w:i/>
        </w:rPr>
        <w:t xml:space="preserve"> Bir fatura dönemi için i YEKDEM katılımcısına ödenecek ya da katılımcı tarafından piyasa işletmecisine ödenecek YEK bedelini (TL),</w:t>
      </w:r>
    </w:p>
    <w:p w14:paraId="1B4F76AA" w14:textId="77777777" w:rsidR="008A0A74" w:rsidRPr="008A0A74" w:rsidRDefault="008A0A74" w:rsidP="008A0A74">
      <w:pPr>
        <w:pStyle w:val="ListeParagraf"/>
        <w:spacing w:after="0"/>
        <w:ind w:left="1440"/>
        <w:rPr>
          <w:rFonts w:ascii="Calibri" w:hAnsi="Calibri"/>
          <w:i/>
        </w:rPr>
      </w:pPr>
      <w:r w:rsidRPr="008A0A74">
        <w:rPr>
          <w:rFonts w:ascii="Calibri" w:hAnsi="Calibri"/>
          <w:i/>
        </w:rPr>
        <w:t xml:space="preserve">             </w:t>
      </w:r>
      <w:proofErr w:type="gramStart"/>
      <w:r w:rsidRPr="008A0A74">
        <w:rPr>
          <w:rFonts w:ascii="Calibri" w:hAnsi="Calibri"/>
          <w:i/>
        </w:rPr>
        <w:t>UEVMi,b</w:t>
      </w:r>
      <w:proofErr w:type="gramEnd"/>
      <w:r w:rsidRPr="008A0A74">
        <w:rPr>
          <w:rFonts w:ascii="Calibri" w:hAnsi="Calibri"/>
          <w:i/>
        </w:rPr>
        <w:t>,t,u      : i YEKDEM katılımcısının YEKDEM kapsamındaki b uzlaştırmaya esas veriş-çekiş biriminin, u uzlaştırma dönemine ait  YEKDEM kapsamındaki uzlaştırmaya esas veriş miktarını (MWh),</w:t>
      </w:r>
    </w:p>
    <w:p w14:paraId="5288162C" w14:textId="77777777" w:rsidR="008A0A74" w:rsidRPr="008A0A74" w:rsidRDefault="008A0A74" w:rsidP="008A0A74">
      <w:pPr>
        <w:pStyle w:val="ListeParagraf"/>
        <w:spacing w:after="0"/>
        <w:ind w:left="1440"/>
        <w:rPr>
          <w:rFonts w:ascii="Calibri" w:hAnsi="Calibri"/>
          <w:i/>
        </w:rPr>
      </w:pPr>
      <w:r w:rsidRPr="008A0A74">
        <w:rPr>
          <w:rFonts w:ascii="Calibri" w:hAnsi="Calibri"/>
          <w:i/>
        </w:rPr>
        <w:t xml:space="preserve">             </w:t>
      </w:r>
      <w:proofErr w:type="gramStart"/>
      <w:r w:rsidRPr="008A0A74">
        <w:rPr>
          <w:rFonts w:ascii="Calibri" w:hAnsi="Calibri"/>
          <w:i/>
        </w:rPr>
        <w:t>yi,b</w:t>
      </w:r>
      <w:proofErr w:type="gramEnd"/>
      <w:r w:rsidRPr="008A0A74">
        <w:rPr>
          <w:rFonts w:ascii="Calibri" w:hAnsi="Calibri"/>
          <w:i/>
        </w:rPr>
        <w:t>,t,u                          : i YEKDEM katılımcısının YEKDEM kapsamındaki b uzlaştırmaya esas veriş-çekiş biriminin, t teklif bölgesindeki u uzlaştırma dönemine ait YEK Kanununun 6/C maddesinin ikinci fıkrası kapsamında yapılan kurulu güç artışı nedeniyle hesaplanan katsayıyı,</w:t>
      </w:r>
    </w:p>
    <w:p w14:paraId="49C77B96" w14:textId="77777777" w:rsidR="008A0A74" w:rsidRPr="008A0A74" w:rsidRDefault="008A0A74" w:rsidP="008A0A74">
      <w:pPr>
        <w:pStyle w:val="ListeParagraf"/>
        <w:spacing w:after="0"/>
        <w:ind w:left="1440"/>
        <w:rPr>
          <w:rFonts w:ascii="Calibri" w:hAnsi="Calibri"/>
          <w:i/>
        </w:rPr>
      </w:pPr>
      <w:r w:rsidRPr="008A0A74">
        <w:rPr>
          <w:rFonts w:ascii="Calibri" w:hAnsi="Calibri"/>
          <w:i/>
        </w:rPr>
        <w:t xml:space="preserve">             </w:t>
      </w:r>
      <w:proofErr w:type="gramStart"/>
      <w:r w:rsidRPr="008A0A74">
        <w:rPr>
          <w:rFonts w:ascii="Calibri" w:hAnsi="Calibri"/>
          <w:i/>
        </w:rPr>
        <w:t>YEKFi,b</w:t>
      </w:r>
      <w:proofErr w:type="gramEnd"/>
      <w:r w:rsidRPr="008A0A74">
        <w:rPr>
          <w:rFonts w:ascii="Calibri" w:hAnsi="Calibri"/>
          <w:i/>
        </w:rPr>
        <w:t xml:space="preserve">                     : i YEKDEM katılımcısına b uzlaştırmaya esas veriş-çekiş biriminin bağlı olduğu üretim tesisi için uygulanacak YEK Fiyatını,</w:t>
      </w:r>
    </w:p>
    <w:p w14:paraId="04DD0F06" w14:textId="77777777" w:rsidR="008A0A74" w:rsidRPr="008A0A74" w:rsidRDefault="008A0A74" w:rsidP="008A0A74">
      <w:pPr>
        <w:pStyle w:val="ListeParagraf"/>
        <w:spacing w:after="0"/>
        <w:ind w:left="1440"/>
        <w:rPr>
          <w:rFonts w:ascii="Calibri" w:hAnsi="Calibri"/>
          <w:i/>
        </w:rPr>
      </w:pPr>
      <w:r w:rsidRPr="008A0A74">
        <w:rPr>
          <w:rFonts w:ascii="Calibri" w:hAnsi="Calibri"/>
          <w:i/>
        </w:rPr>
        <w:t xml:space="preserve">             </w:t>
      </w:r>
      <w:proofErr w:type="gramStart"/>
      <w:r w:rsidRPr="008A0A74">
        <w:rPr>
          <w:rFonts w:ascii="Calibri" w:hAnsi="Calibri"/>
          <w:i/>
        </w:rPr>
        <w:t>PTFt,u</w:t>
      </w:r>
      <w:proofErr w:type="gramEnd"/>
      <w:r w:rsidRPr="008A0A74">
        <w:rPr>
          <w:rFonts w:ascii="Calibri" w:hAnsi="Calibri"/>
          <w:i/>
        </w:rPr>
        <w:t xml:space="preserve">                         : t teklif bölgesi ve u uzlaştırma dönemine ait Piyasa Takas Fiyatını (TL/MWh),</w:t>
      </w:r>
    </w:p>
    <w:p w14:paraId="2F961161" w14:textId="77777777" w:rsidR="008A0A74" w:rsidRPr="008A0A74" w:rsidRDefault="008A0A74" w:rsidP="008A0A74">
      <w:pPr>
        <w:pStyle w:val="ListeParagraf"/>
        <w:spacing w:after="0"/>
        <w:ind w:left="1440"/>
        <w:rPr>
          <w:rFonts w:ascii="Calibri" w:hAnsi="Calibri"/>
          <w:i/>
        </w:rPr>
      </w:pPr>
      <w:r w:rsidRPr="008A0A74">
        <w:rPr>
          <w:rFonts w:ascii="Calibri" w:hAnsi="Calibri"/>
          <w:i/>
        </w:rPr>
        <w:t xml:space="preserve">             </w:t>
      </w:r>
      <w:proofErr w:type="gramStart"/>
      <w:r w:rsidRPr="008A0A74">
        <w:rPr>
          <w:rFonts w:ascii="Calibri" w:hAnsi="Calibri"/>
          <w:i/>
        </w:rPr>
        <w:t>k</w:t>
      </w:r>
      <w:proofErr w:type="gramEnd"/>
      <w:r w:rsidRPr="008A0A74">
        <w:rPr>
          <w:rFonts w:ascii="Calibri" w:hAnsi="Calibri"/>
          <w:i/>
        </w:rPr>
        <w:t xml:space="preserve">                                : İlgili fatura dönemine ilişkin uzlaştırma dönemlerinin sayısını,</w:t>
      </w:r>
    </w:p>
    <w:p w14:paraId="2B25728F" w14:textId="77777777" w:rsidR="008A0A74" w:rsidRPr="008A0A74" w:rsidRDefault="008A0A74" w:rsidP="008A0A74">
      <w:pPr>
        <w:pStyle w:val="ListeParagraf"/>
        <w:spacing w:after="0"/>
        <w:ind w:left="1440"/>
        <w:rPr>
          <w:rFonts w:ascii="Calibri" w:hAnsi="Calibri"/>
          <w:i/>
        </w:rPr>
      </w:pPr>
      <w:r w:rsidRPr="008A0A74">
        <w:rPr>
          <w:rFonts w:ascii="Calibri" w:hAnsi="Calibri"/>
          <w:i/>
        </w:rPr>
        <w:t xml:space="preserve">             </w:t>
      </w:r>
      <w:proofErr w:type="gramStart"/>
      <w:r w:rsidRPr="008A0A74">
        <w:rPr>
          <w:rFonts w:ascii="Calibri" w:hAnsi="Calibri"/>
          <w:i/>
        </w:rPr>
        <w:t>l</w:t>
      </w:r>
      <w:proofErr w:type="gramEnd"/>
      <w:r w:rsidRPr="008A0A74">
        <w:rPr>
          <w:rFonts w:ascii="Calibri" w:hAnsi="Calibri"/>
          <w:i/>
        </w:rPr>
        <w:t xml:space="preserve">                                 : t teklif bölgesi sayısını,</w:t>
      </w:r>
    </w:p>
    <w:p w14:paraId="56A893E4" w14:textId="77777777" w:rsidR="008A0A74" w:rsidRPr="008A0A74" w:rsidRDefault="008A0A74" w:rsidP="008A0A74">
      <w:pPr>
        <w:pStyle w:val="ListeParagraf"/>
        <w:spacing w:after="0"/>
        <w:ind w:left="1440"/>
        <w:rPr>
          <w:rFonts w:ascii="Calibri" w:hAnsi="Calibri"/>
          <w:i/>
        </w:rPr>
      </w:pPr>
      <w:r w:rsidRPr="008A0A74">
        <w:rPr>
          <w:rFonts w:ascii="Calibri" w:hAnsi="Calibri"/>
          <w:i/>
        </w:rPr>
        <w:t xml:space="preserve">             </w:t>
      </w:r>
      <w:proofErr w:type="gramStart"/>
      <w:r w:rsidRPr="008A0A74">
        <w:rPr>
          <w:rFonts w:ascii="Calibri" w:hAnsi="Calibri"/>
          <w:i/>
        </w:rPr>
        <w:t>j</w:t>
      </w:r>
      <w:proofErr w:type="gramEnd"/>
      <w:r w:rsidRPr="008A0A74">
        <w:rPr>
          <w:rFonts w:ascii="Calibri" w:hAnsi="Calibri"/>
          <w:i/>
        </w:rPr>
        <w:t xml:space="preserve">                                 : Kurul tarafından lisanslı üretim tesisleri için belirlenen tolerans katsayısını,</w:t>
      </w:r>
    </w:p>
    <w:p w14:paraId="1C3E77A8" w14:textId="77777777" w:rsidR="008A0A74" w:rsidRPr="008A0A74" w:rsidRDefault="008A0A74" w:rsidP="008A0A74">
      <w:pPr>
        <w:pStyle w:val="ListeParagraf"/>
        <w:spacing w:after="0"/>
        <w:ind w:left="1440"/>
        <w:rPr>
          <w:rFonts w:ascii="Calibri" w:hAnsi="Calibri"/>
          <w:i/>
        </w:rPr>
      </w:pPr>
      <w:r w:rsidRPr="008A0A74">
        <w:rPr>
          <w:rFonts w:ascii="Calibri" w:hAnsi="Calibri"/>
          <w:i/>
        </w:rPr>
        <w:t xml:space="preserve">             </w:t>
      </w:r>
      <w:proofErr w:type="gramStart"/>
      <w:r w:rsidRPr="008A0A74">
        <w:rPr>
          <w:rFonts w:ascii="Calibri" w:hAnsi="Calibri"/>
          <w:i/>
        </w:rPr>
        <w:t>n</w:t>
      </w:r>
      <w:proofErr w:type="gramEnd"/>
      <w:r w:rsidRPr="008A0A74">
        <w:rPr>
          <w:rFonts w:ascii="Calibri" w:hAnsi="Calibri"/>
          <w:i/>
        </w:rPr>
        <w:t xml:space="preserve">                                : i YEKDEM katılımcısına ait YEKDEM kapsamındaki uzlaştırmaya esas veriş-çekiş birimi sayısını,</w:t>
      </w:r>
    </w:p>
    <w:p w14:paraId="23813C1A" w14:textId="77777777" w:rsidR="008A0A74" w:rsidRPr="008A0A74" w:rsidRDefault="008A0A74" w:rsidP="008A0A74">
      <w:pPr>
        <w:pStyle w:val="ListeParagraf"/>
        <w:spacing w:after="0"/>
        <w:ind w:left="1440"/>
        <w:rPr>
          <w:rFonts w:ascii="Calibri" w:hAnsi="Calibri"/>
          <w:i/>
        </w:rPr>
      </w:pPr>
      <w:proofErr w:type="gramStart"/>
      <w:r w:rsidRPr="008A0A74">
        <w:rPr>
          <w:rFonts w:ascii="Calibri" w:hAnsi="Calibri"/>
          <w:i/>
        </w:rPr>
        <w:t>ifade</w:t>
      </w:r>
      <w:proofErr w:type="gramEnd"/>
      <w:r w:rsidRPr="008A0A74">
        <w:rPr>
          <w:rFonts w:ascii="Calibri" w:hAnsi="Calibri"/>
          <w:i/>
        </w:rPr>
        <w:t xml:space="preserve"> eder.</w:t>
      </w:r>
    </w:p>
    <w:p w14:paraId="2FEB83A5" w14:textId="77777777" w:rsidR="008A0A74" w:rsidRDefault="008A0A74" w:rsidP="008A0A74">
      <w:pPr>
        <w:pStyle w:val="ListeParagraf"/>
        <w:spacing w:after="0"/>
        <w:ind w:left="1440"/>
        <w:rPr>
          <w:rFonts w:ascii="Calibri" w:hAnsi="Calibri"/>
          <w:i/>
        </w:rPr>
      </w:pPr>
      <w:r w:rsidRPr="008A0A74">
        <w:rPr>
          <w:rFonts w:ascii="Calibri" w:hAnsi="Calibri"/>
          <w:i/>
        </w:rPr>
        <w:t>(2) LÜY kapsamında yenilenebilir enerji kaynaklarından elektrik üretimi yapan kişiler nam ve hesabına YEKDEM katılımcısı olan her bir toplayıcı veya görevli tedarik şirketine ödenecek ya da toplayıcı veya görevli tedarik şirketi tarafından piyasa işletmecisine ödenecek YEK bedeli (YEKBED) aşağıdaki formül uyarınca hesaplanır:</w:t>
      </w:r>
    </w:p>
    <w:p w14:paraId="79260E61" w14:textId="77777777" w:rsidR="008A0A74" w:rsidRDefault="008A0A74" w:rsidP="008A0A74">
      <w:pPr>
        <w:pStyle w:val="ListeParagraf"/>
        <w:spacing w:after="0"/>
        <w:ind w:left="1440"/>
        <w:rPr>
          <w:rFonts w:ascii="Calibri" w:hAnsi="Calibri"/>
          <w:i/>
        </w:rPr>
      </w:pPr>
      <w:r w:rsidRPr="00071236">
        <w:rPr>
          <w:rFonts w:ascii="Times New Roman" w:eastAsia="Times New Roman" w:hAnsi="Times New Roman"/>
          <w:noProof/>
          <w:sz w:val="18"/>
          <w:szCs w:val="18"/>
          <w:lang w:eastAsia="tr-TR"/>
        </w:rPr>
        <w:drawing>
          <wp:inline distT="0" distB="0" distL="0" distR="0" wp14:anchorId="6B5BB307" wp14:editId="37F00CDA">
            <wp:extent cx="4429125" cy="238125"/>
            <wp:effectExtent l="0" t="0" r="9525" b="9525"/>
            <wp:docPr id="26" name="Resim 26" descr="https://www.resmigazete.gov.tr/eskiler/2024/12/20241217-30_dosyalar/image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www.resmigazete.gov.tr/eskiler/2024/12/20241217-30_dosyalar/image006.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429125" cy="238125"/>
                    </a:xfrm>
                    <a:prstGeom prst="rect">
                      <a:avLst/>
                    </a:prstGeom>
                    <a:noFill/>
                    <a:ln>
                      <a:noFill/>
                    </a:ln>
                  </pic:spPr>
                </pic:pic>
              </a:graphicData>
            </a:graphic>
          </wp:inline>
        </w:drawing>
      </w:r>
    </w:p>
    <w:p w14:paraId="44029D58" w14:textId="77777777" w:rsidR="008A0A74" w:rsidRPr="008A0A74" w:rsidRDefault="008A0A74" w:rsidP="008A0A74">
      <w:pPr>
        <w:pStyle w:val="ListeParagraf"/>
        <w:spacing w:after="0"/>
        <w:ind w:left="1440"/>
        <w:rPr>
          <w:rFonts w:ascii="Calibri" w:hAnsi="Calibri"/>
          <w:i/>
        </w:rPr>
      </w:pPr>
      <w:r w:rsidRPr="008A0A74">
        <w:rPr>
          <w:rFonts w:ascii="Calibri" w:hAnsi="Calibri"/>
          <w:i/>
        </w:rPr>
        <w:t>Bu formülde geçen;</w:t>
      </w:r>
    </w:p>
    <w:p w14:paraId="335B076B" w14:textId="77777777" w:rsidR="008A0A74" w:rsidRPr="008A0A74" w:rsidRDefault="008A0A74" w:rsidP="008A0A74">
      <w:pPr>
        <w:pStyle w:val="ListeParagraf"/>
        <w:spacing w:after="0"/>
        <w:ind w:left="1440"/>
        <w:rPr>
          <w:rFonts w:ascii="Calibri" w:hAnsi="Calibri"/>
          <w:i/>
        </w:rPr>
      </w:pPr>
      <w:r w:rsidRPr="008A0A74">
        <w:rPr>
          <w:rFonts w:ascii="Calibri" w:hAnsi="Calibri"/>
          <w:i/>
        </w:rPr>
        <w:t xml:space="preserve">YEKBEDm </w:t>
      </w:r>
      <w:proofErr w:type="gramStart"/>
      <w:r w:rsidRPr="008A0A74">
        <w:rPr>
          <w:rFonts w:ascii="Calibri" w:hAnsi="Calibri"/>
          <w:i/>
        </w:rPr>
        <w:t xml:space="preserve">  :</w:t>
      </w:r>
      <w:proofErr w:type="gramEnd"/>
      <w:r w:rsidRPr="008A0A74">
        <w:rPr>
          <w:rFonts w:ascii="Calibri" w:hAnsi="Calibri"/>
          <w:i/>
        </w:rPr>
        <w:t xml:space="preserve"> Bir fatura dönemi için m YEKDEM katılımcısı toplayıcı veya görevli tedarik şirketine ödenecek ya da katılımcı tarafından piyasa işletmecisine ödenecek YEK bedelini (TL),</w:t>
      </w:r>
    </w:p>
    <w:p w14:paraId="46387487" w14:textId="77777777" w:rsidR="008A0A74" w:rsidRPr="008A0A74" w:rsidRDefault="008A0A74" w:rsidP="008A0A74">
      <w:pPr>
        <w:pStyle w:val="ListeParagraf"/>
        <w:spacing w:after="0"/>
        <w:ind w:left="1440"/>
        <w:rPr>
          <w:rFonts w:ascii="Calibri" w:hAnsi="Calibri"/>
          <w:i/>
        </w:rPr>
      </w:pPr>
      <w:r w:rsidRPr="008A0A74">
        <w:rPr>
          <w:rFonts w:ascii="Calibri" w:hAnsi="Calibri"/>
          <w:i/>
        </w:rPr>
        <w:t xml:space="preserve">LÜYTOBm </w:t>
      </w:r>
      <w:proofErr w:type="gramStart"/>
      <w:r w:rsidRPr="008A0A74">
        <w:rPr>
          <w:rFonts w:ascii="Calibri" w:hAnsi="Calibri"/>
          <w:i/>
        </w:rPr>
        <w:t xml:space="preserve">  :</w:t>
      </w:r>
      <w:proofErr w:type="gramEnd"/>
      <w:r w:rsidRPr="008A0A74">
        <w:rPr>
          <w:rFonts w:ascii="Calibri" w:hAnsi="Calibri"/>
          <w:i/>
        </w:rPr>
        <w:t xml:space="preserve"> Her bir fatura dönemi için m YEKDEM katılımcısı toplayıcı veya görevli tedarik şirketi tarafından bölgesindeki muafiyetli üretime ilişkin olarak hesaplanan ve bölgesindeki gerçek ve/veya tüzel kişilere ödenecek toplam bedeli (TL),</w:t>
      </w:r>
    </w:p>
    <w:p w14:paraId="7EDB4504" w14:textId="77777777" w:rsidR="008A0A74" w:rsidRPr="008A0A74" w:rsidRDefault="008A0A74" w:rsidP="008A0A74">
      <w:pPr>
        <w:pStyle w:val="ListeParagraf"/>
        <w:spacing w:after="0"/>
        <w:ind w:left="1440"/>
        <w:rPr>
          <w:rFonts w:ascii="Calibri" w:hAnsi="Calibri"/>
          <w:i/>
        </w:rPr>
      </w:pPr>
      <w:proofErr w:type="gramStart"/>
      <w:r w:rsidRPr="008A0A74">
        <w:rPr>
          <w:rFonts w:ascii="Calibri" w:hAnsi="Calibri"/>
          <w:i/>
        </w:rPr>
        <w:t>LÜNETm,t</w:t>
      </w:r>
      <w:proofErr w:type="gramEnd"/>
      <w:r w:rsidRPr="008A0A74">
        <w:rPr>
          <w:rFonts w:ascii="Calibri" w:hAnsi="Calibri"/>
          <w:i/>
        </w:rPr>
        <w:t>,u   : m YEKDEM katılımcısı toplayıcı veya görevli tedarik şirketinin t teklif bölgesindeki u uzlaştırma dönemi için YEKDEM kapsamındaki lisanssız üretim tesisleri için LÜY’ün ilgili hükümleri uyarınca piyasa işletmecisine bildirilen üretim değerini (MWh),</w:t>
      </w:r>
    </w:p>
    <w:p w14:paraId="3CF3B2D3" w14:textId="77777777" w:rsidR="008A0A74" w:rsidRPr="008A0A74" w:rsidRDefault="008A0A74" w:rsidP="008A0A74">
      <w:pPr>
        <w:pStyle w:val="ListeParagraf"/>
        <w:spacing w:after="0"/>
        <w:ind w:left="1440"/>
        <w:rPr>
          <w:rFonts w:ascii="Calibri" w:hAnsi="Calibri"/>
          <w:i/>
        </w:rPr>
      </w:pPr>
      <w:proofErr w:type="gramStart"/>
      <w:r w:rsidRPr="008A0A74">
        <w:rPr>
          <w:rFonts w:ascii="Calibri" w:hAnsi="Calibri"/>
          <w:i/>
        </w:rPr>
        <w:t>PTFt,u</w:t>
      </w:r>
      <w:proofErr w:type="gramEnd"/>
      <w:r w:rsidRPr="008A0A74">
        <w:rPr>
          <w:rFonts w:ascii="Calibri" w:hAnsi="Calibri"/>
          <w:i/>
        </w:rPr>
        <w:t xml:space="preserve"> : t teklif bölgesi ve u uzlaştırma dönemine ait Piyasa Takas Fiyatını (TL/MWh),</w:t>
      </w:r>
    </w:p>
    <w:p w14:paraId="6C20129B" w14:textId="77777777" w:rsidR="008A0A74" w:rsidRPr="008A0A74" w:rsidRDefault="008A0A74" w:rsidP="008A0A74">
      <w:pPr>
        <w:pStyle w:val="ListeParagraf"/>
        <w:spacing w:after="0"/>
        <w:ind w:left="1440"/>
        <w:rPr>
          <w:rFonts w:ascii="Calibri" w:hAnsi="Calibri"/>
          <w:i/>
        </w:rPr>
      </w:pPr>
      <w:proofErr w:type="gramStart"/>
      <w:r w:rsidRPr="008A0A74">
        <w:rPr>
          <w:rFonts w:ascii="Calibri" w:hAnsi="Calibri"/>
          <w:i/>
        </w:rPr>
        <w:t>k :</w:t>
      </w:r>
      <w:proofErr w:type="gramEnd"/>
      <w:r w:rsidRPr="008A0A74">
        <w:rPr>
          <w:rFonts w:ascii="Calibri" w:hAnsi="Calibri"/>
          <w:i/>
        </w:rPr>
        <w:t xml:space="preserve"> İlgili fatura dönemine ilişkin uzlaştırma dönemlerinin sayısını,</w:t>
      </w:r>
    </w:p>
    <w:p w14:paraId="2576A8DD" w14:textId="77777777" w:rsidR="008A0A74" w:rsidRPr="008A0A74" w:rsidRDefault="008A0A74" w:rsidP="008A0A74">
      <w:pPr>
        <w:pStyle w:val="ListeParagraf"/>
        <w:spacing w:after="0"/>
        <w:ind w:left="1440"/>
        <w:rPr>
          <w:rFonts w:ascii="Calibri" w:hAnsi="Calibri"/>
          <w:i/>
        </w:rPr>
      </w:pPr>
      <w:proofErr w:type="gramStart"/>
      <w:r w:rsidRPr="008A0A74">
        <w:rPr>
          <w:rFonts w:ascii="Calibri" w:hAnsi="Calibri"/>
          <w:i/>
        </w:rPr>
        <w:t>l :</w:t>
      </w:r>
      <w:proofErr w:type="gramEnd"/>
      <w:r w:rsidRPr="008A0A74">
        <w:rPr>
          <w:rFonts w:ascii="Calibri" w:hAnsi="Calibri"/>
          <w:i/>
        </w:rPr>
        <w:t xml:space="preserve"> t teklif bölgesi sayısını,</w:t>
      </w:r>
    </w:p>
    <w:p w14:paraId="5438F722" w14:textId="77777777" w:rsidR="008A0A74" w:rsidRPr="008A0A74" w:rsidRDefault="008A0A74" w:rsidP="008A0A74">
      <w:pPr>
        <w:pStyle w:val="ListeParagraf"/>
        <w:spacing w:after="0"/>
        <w:ind w:left="1440"/>
        <w:rPr>
          <w:rFonts w:ascii="Calibri" w:hAnsi="Calibri"/>
          <w:i/>
        </w:rPr>
      </w:pPr>
      <w:proofErr w:type="gramStart"/>
      <w:r w:rsidRPr="008A0A74">
        <w:rPr>
          <w:rFonts w:ascii="Calibri" w:hAnsi="Calibri"/>
          <w:i/>
        </w:rPr>
        <w:t>p :</w:t>
      </w:r>
      <w:proofErr w:type="gramEnd"/>
      <w:r w:rsidRPr="008A0A74">
        <w:rPr>
          <w:rFonts w:ascii="Calibri" w:hAnsi="Calibri"/>
          <w:i/>
        </w:rPr>
        <w:t xml:space="preserve"> Kurul tarafından muafiyetli üretim kapsamında şebekeye verilmiş ihtiyaç fazlası elektrik enerjisi için belirlenen tolerans katsayısını,</w:t>
      </w:r>
    </w:p>
    <w:p w14:paraId="286DACD1" w14:textId="77777777" w:rsidR="008A0A74" w:rsidRPr="008A0A74" w:rsidRDefault="008A0A74" w:rsidP="008A0A74">
      <w:pPr>
        <w:pStyle w:val="ListeParagraf"/>
        <w:spacing w:after="0"/>
        <w:ind w:left="1440"/>
        <w:rPr>
          <w:rFonts w:ascii="Calibri" w:hAnsi="Calibri"/>
          <w:i/>
        </w:rPr>
      </w:pPr>
      <w:proofErr w:type="gramStart"/>
      <w:r w:rsidRPr="008A0A74">
        <w:rPr>
          <w:rFonts w:ascii="Calibri" w:hAnsi="Calibri"/>
          <w:i/>
        </w:rPr>
        <w:t>ifade</w:t>
      </w:r>
      <w:proofErr w:type="gramEnd"/>
      <w:r w:rsidRPr="008A0A74">
        <w:rPr>
          <w:rFonts w:ascii="Calibri" w:hAnsi="Calibri"/>
          <w:i/>
        </w:rPr>
        <w:t xml:space="preserve"> eder.</w:t>
      </w:r>
    </w:p>
    <w:p w14:paraId="128BA31F" w14:textId="77777777" w:rsidR="008A0A74" w:rsidRDefault="008A0A74" w:rsidP="008A0A74">
      <w:pPr>
        <w:pStyle w:val="ListeParagraf"/>
        <w:spacing w:after="0"/>
        <w:ind w:left="1440"/>
        <w:rPr>
          <w:rFonts w:ascii="Calibri" w:hAnsi="Calibri"/>
          <w:i/>
        </w:rPr>
      </w:pPr>
      <w:r w:rsidRPr="008A0A74">
        <w:rPr>
          <w:rFonts w:ascii="Calibri" w:hAnsi="Calibri"/>
          <w:i/>
        </w:rPr>
        <w:t>(3) YEK Kanununun 6/B maddesinin birinci fıkrası kapsamında 30/6/2021 tarihinden sonra işletmeye giren ve YEKDEM’e kayıt olmayan üretim tesislerinde yerli aksam kullanılması halinde 7189 sayılı Cumhurbaşkanı Kararı uyarınca belirlenen ve söz konusu tesisin ilgili uzlaştırma dönemine ait uzlaştırmaya esas veriş miktarı dikkate alınarak hesaplanan yerli aksam destek fiyatı YEK Bedeli olarak ilgili kişiye ödenir.”</w:t>
      </w:r>
    </w:p>
    <w:p w14:paraId="11FDA3E5" w14:textId="77777777" w:rsidR="00E05AA4" w:rsidRDefault="00E05AA4" w:rsidP="00E05AA4">
      <w:pPr>
        <w:pStyle w:val="ListeParagraf"/>
        <w:spacing w:after="0"/>
        <w:ind w:left="1440"/>
        <w:rPr>
          <w:rFonts w:ascii="Calibri" w:hAnsi="Calibri"/>
          <w:i/>
        </w:rPr>
      </w:pPr>
    </w:p>
    <w:p w14:paraId="4A85548B" w14:textId="77777777" w:rsidR="00E05AA4" w:rsidRPr="002048A7" w:rsidRDefault="008A0A74" w:rsidP="0025080A">
      <w:pPr>
        <w:pStyle w:val="metin0"/>
        <w:numPr>
          <w:ilvl w:val="0"/>
          <w:numId w:val="39"/>
        </w:numPr>
        <w:spacing w:before="0" w:beforeAutospacing="0" w:after="0" w:afterAutospacing="0" w:line="240" w:lineRule="atLeast"/>
        <w:rPr>
          <w:rFonts w:ascii="Calibri" w:hAnsi="Calibri" w:cs="Calibri"/>
          <w:color w:val="000000"/>
          <w:sz w:val="22"/>
          <w:szCs w:val="22"/>
        </w:rPr>
      </w:pPr>
      <w:r w:rsidRPr="008A0A74">
        <w:rPr>
          <w:rFonts w:ascii="Calibri" w:hAnsi="Calibri" w:cs="Calibri"/>
          <w:color w:val="000000"/>
          <w:sz w:val="22"/>
          <w:szCs w:val="22"/>
        </w:rPr>
        <w:lastRenderedPageBreak/>
        <w:t>21 inci maddesine aşağıdaki fıkra eklenmiştir.</w:t>
      </w:r>
    </w:p>
    <w:p w14:paraId="780935DB" w14:textId="77777777" w:rsidR="00E05AA4" w:rsidRPr="002048A7" w:rsidRDefault="00E05AA4" w:rsidP="00E05AA4">
      <w:pPr>
        <w:pStyle w:val="metin0"/>
        <w:spacing w:before="0" w:beforeAutospacing="0" w:after="0" w:afterAutospacing="0" w:line="240" w:lineRule="atLeast"/>
        <w:ind w:left="1440"/>
        <w:rPr>
          <w:rFonts w:ascii="Calibri" w:hAnsi="Calibri" w:cs="Calibri"/>
          <w:color w:val="000000"/>
          <w:sz w:val="22"/>
          <w:szCs w:val="22"/>
        </w:rPr>
      </w:pPr>
    </w:p>
    <w:p w14:paraId="1463F8D7" w14:textId="77777777" w:rsidR="00E05AA4" w:rsidRDefault="008A0A74" w:rsidP="00E05AA4">
      <w:pPr>
        <w:pStyle w:val="ListeParagraf"/>
        <w:spacing w:after="0"/>
        <w:ind w:left="1440"/>
        <w:rPr>
          <w:rFonts w:ascii="Calibri" w:hAnsi="Calibri"/>
          <w:i/>
        </w:rPr>
      </w:pPr>
      <w:r w:rsidRPr="008A0A74">
        <w:rPr>
          <w:rFonts w:ascii="Calibri" w:hAnsi="Calibri"/>
          <w:i/>
        </w:rPr>
        <w:t>“(3) YEKDEM katılımcısı lisanslı elektrik üretim tesisinin toplayıcı portföyünde yer aldığı fatura dönemlerinde toplayıcı, ilgisine göre bu Yönetmelikte yer alan yükümlülükleri yerine getirir.”</w:t>
      </w:r>
    </w:p>
    <w:p w14:paraId="5A4E0155" w14:textId="77777777" w:rsidR="008A0A74" w:rsidRDefault="008A0A74" w:rsidP="00E05AA4">
      <w:pPr>
        <w:pStyle w:val="ListeParagraf"/>
        <w:spacing w:after="0"/>
        <w:ind w:left="1440"/>
        <w:rPr>
          <w:rFonts w:ascii="Calibri" w:hAnsi="Calibri"/>
          <w:i/>
        </w:rPr>
      </w:pPr>
    </w:p>
    <w:p w14:paraId="7D9600AD" w14:textId="77777777" w:rsidR="00E05AA4" w:rsidRPr="002048A7" w:rsidRDefault="008A0A74" w:rsidP="0025080A">
      <w:pPr>
        <w:pStyle w:val="metin0"/>
        <w:numPr>
          <w:ilvl w:val="0"/>
          <w:numId w:val="39"/>
        </w:numPr>
        <w:spacing w:before="0" w:beforeAutospacing="0" w:after="0" w:afterAutospacing="0" w:line="240" w:lineRule="atLeast"/>
        <w:rPr>
          <w:rFonts w:ascii="Calibri" w:hAnsi="Calibri" w:cs="Calibri"/>
          <w:color w:val="000000"/>
          <w:sz w:val="22"/>
          <w:szCs w:val="22"/>
        </w:rPr>
      </w:pPr>
      <w:proofErr w:type="gramStart"/>
      <w:r w:rsidRPr="008A0A74">
        <w:rPr>
          <w:rFonts w:ascii="Calibri" w:hAnsi="Calibri" w:cs="Calibri"/>
          <w:color w:val="000000"/>
          <w:sz w:val="22"/>
          <w:szCs w:val="22"/>
        </w:rPr>
        <w:t>23 üncü</w:t>
      </w:r>
      <w:proofErr w:type="gramEnd"/>
      <w:r w:rsidRPr="008A0A74">
        <w:rPr>
          <w:rFonts w:ascii="Calibri" w:hAnsi="Calibri" w:cs="Calibri"/>
          <w:color w:val="000000"/>
          <w:sz w:val="22"/>
          <w:szCs w:val="22"/>
        </w:rPr>
        <w:t xml:space="preserve"> maddesinin birinci ve altıncı fıkraları aşağıdaki şekilde değiştirilmiş ve aynı maddeye aşağıdaki fıkralar eklenmiştir.</w:t>
      </w:r>
    </w:p>
    <w:p w14:paraId="7EA4F524" w14:textId="77777777" w:rsidR="00E05AA4" w:rsidRPr="002048A7" w:rsidRDefault="00E05AA4" w:rsidP="00E05AA4">
      <w:pPr>
        <w:pStyle w:val="metin0"/>
        <w:spacing w:before="0" w:beforeAutospacing="0" w:after="0" w:afterAutospacing="0" w:line="240" w:lineRule="atLeast"/>
        <w:ind w:left="1440"/>
        <w:rPr>
          <w:rFonts w:ascii="Calibri" w:hAnsi="Calibri" w:cs="Calibri"/>
          <w:color w:val="000000"/>
          <w:sz w:val="22"/>
          <w:szCs w:val="22"/>
        </w:rPr>
      </w:pPr>
    </w:p>
    <w:p w14:paraId="195D4F81" w14:textId="77777777" w:rsidR="008A0A74" w:rsidRPr="008A0A74" w:rsidRDefault="008A0A74" w:rsidP="008A0A74">
      <w:pPr>
        <w:pStyle w:val="ListeParagraf"/>
        <w:spacing w:after="0"/>
        <w:ind w:left="1440"/>
        <w:rPr>
          <w:rFonts w:ascii="Calibri" w:hAnsi="Calibri"/>
          <w:i/>
        </w:rPr>
      </w:pPr>
      <w:r w:rsidRPr="008A0A74">
        <w:rPr>
          <w:rFonts w:ascii="Calibri" w:hAnsi="Calibri"/>
          <w:i/>
        </w:rPr>
        <w:t>“(1</w:t>
      </w:r>
      <w:proofErr w:type="gramStart"/>
      <w:r w:rsidRPr="008A0A74">
        <w:rPr>
          <w:rFonts w:ascii="Calibri" w:hAnsi="Calibri"/>
          <w:i/>
        </w:rPr>
        <w:t>)  Her</w:t>
      </w:r>
      <w:proofErr w:type="gramEnd"/>
      <w:r w:rsidRPr="008A0A74">
        <w:rPr>
          <w:rFonts w:ascii="Calibri" w:hAnsi="Calibri"/>
          <w:i/>
        </w:rPr>
        <w:t xml:space="preserve"> bir YEKDEM katılımcısı, lisansı veya toplayıcı portföyü kapsamındaki tesiste gerçekleşen üretimi serbest piyasada değerlendirir ve bu üretime karşılık piyasa işletmecisine referans fiyat olan PTF’nın tolerans katsayısı ile çarpılması ile belirlenen fiyat üzerinden hesaplanan YEKDEM gelirini öder.”</w:t>
      </w:r>
    </w:p>
    <w:p w14:paraId="2BBFD138" w14:textId="77777777" w:rsidR="008A0A74" w:rsidRPr="008A0A74" w:rsidRDefault="008A0A74" w:rsidP="008A0A74">
      <w:pPr>
        <w:pStyle w:val="ListeParagraf"/>
        <w:spacing w:after="0"/>
        <w:ind w:left="1440"/>
        <w:rPr>
          <w:rFonts w:ascii="Calibri" w:hAnsi="Calibri"/>
          <w:i/>
        </w:rPr>
      </w:pPr>
      <w:r w:rsidRPr="008A0A74">
        <w:rPr>
          <w:rFonts w:ascii="Calibri" w:hAnsi="Calibri"/>
          <w:i/>
        </w:rPr>
        <w:t>“(6) Sistem İşletmecisi tarafından verilen acil durum ve/veya dengeleme güç piyasası yük atma talimatlarına uymayan YEKDEM katılımcıları için ilgili uzlaştırma döneminde verilen talimatın yerine getirilmeyen kısmına tekabül eden üretim miktarı YEKDEM hesaplamalarına dâhil edilmez ve ilgili piyasa katılımcısına YEK bedeli ödemesi yapılmaz. Bu fıkra kapsamında yapılan hesaplamalarda, piyasa katılımcıları tarafından ilgili mevzuatta belirtilen talimat mutabakat süresi içerisinde bildirilen ve yerine getirilmeyen enerji miktarı, verilen talimat miktarlarından düşülmez.”</w:t>
      </w:r>
    </w:p>
    <w:p w14:paraId="78CA2483" w14:textId="77777777" w:rsidR="008A0A74" w:rsidRPr="008A0A74" w:rsidRDefault="008A0A74" w:rsidP="008A0A74">
      <w:pPr>
        <w:pStyle w:val="ListeParagraf"/>
        <w:spacing w:after="0"/>
        <w:ind w:left="1440"/>
        <w:rPr>
          <w:rFonts w:ascii="Calibri" w:hAnsi="Calibri"/>
          <w:i/>
        </w:rPr>
      </w:pPr>
      <w:r w:rsidRPr="008A0A74">
        <w:rPr>
          <w:rFonts w:ascii="Calibri" w:hAnsi="Calibri"/>
          <w:i/>
        </w:rPr>
        <w:t>“(7) Toplayıcı portföyünde yer alan lisanslı elektrik üretim tesislerinin dengeleme birimi topluluğu altında yer alması ve ilgili topluluğa talimat verilmesi durumunda, bahse konu talimatın yerine getirilmemesi halinde söz konusu topluluğa altıncı fıkra hükümleri uygulanmaz.</w:t>
      </w:r>
    </w:p>
    <w:p w14:paraId="7DE7A741" w14:textId="77777777" w:rsidR="00E05AA4" w:rsidRDefault="008A0A74" w:rsidP="008A0A74">
      <w:pPr>
        <w:pStyle w:val="ListeParagraf"/>
        <w:spacing w:after="0"/>
        <w:ind w:left="1440"/>
        <w:rPr>
          <w:rFonts w:ascii="Calibri" w:hAnsi="Calibri"/>
          <w:i/>
        </w:rPr>
      </w:pPr>
      <w:r w:rsidRPr="008A0A74">
        <w:rPr>
          <w:rFonts w:ascii="Calibri" w:hAnsi="Calibri"/>
          <w:i/>
        </w:rPr>
        <w:t xml:space="preserve">(8) Toplayıcı portföyünde tüketim tesisi veya </w:t>
      </w:r>
      <w:proofErr w:type="gramStart"/>
      <w:r w:rsidRPr="008A0A74">
        <w:rPr>
          <w:rFonts w:ascii="Calibri" w:hAnsi="Calibri"/>
          <w:i/>
        </w:rPr>
        <w:t>13 üncü</w:t>
      </w:r>
      <w:proofErr w:type="gramEnd"/>
      <w:r w:rsidRPr="008A0A74">
        <w:rPr>
          <w:rFonts w:ascii="Calibri" w:hAnsi="Calibri"/>
          <w:i/>
        </w:rPr>
        <w:t xml:space="preserve"> maddenin ikinci ve üçüncü fıkraları kapsamında bir tesis bulunması halinde, bu Yönetmelik hükümleri kapsamında tedarikçi tarafından yerine getirilmesi gereken yükümlülükler toplayıcı tarafından da yerine getirilir.”</w:t>
      </w:r>
    </w:p>
    <w:p w14:paraId="3B085795" w14:textId="77777777" w:rsidR="008A0A74" w:rsidRDefault="008A0A74" w:rsidP="008A0A74">
      <w:pPr>
        <w:pStyle w:val="ListeParagraf"/>
        <w:spacing w:after="0"/>
        <w:ind w:left="1440"/>
        <w:rPr>
          <w:rFonts w:ascii="Calibri" w:hAnsi="Calibri"/>
          <w:i/>
        </w:rPr>
      </w:pPr>
    </w:p>
    <w:p w14:paraId="4A14C96B" w14:textId="77777777" w:rsidR="004A6C99" w:rsidRPr="002048A7" w:rsidRDefault="008A0A74" w:rsidP="0025080A">
      <w:pPr>
        <w:pStyle w:val="ListeParagraf"/>
        <w:numPr>
          <w:ilvl w:val="0"/>
          <w:numId w:val="38"/>
        </w:numPr>
        <w:spacing w:after="0"/>
        <w:rPr>
          <w:rFonts w:ascii="Calibri" w:hAnsi="Calibri"/>
          <w:bCs/>
        </w:rPr>
      </w:pPr>
      <w:r>
        <w:rPr>
          <w:rFonts w:ascii="Calibri" w:hAnsi="Calibri"/>
          <w:bCs/>
        </w:rPr>
        <w:t>21</w:t>
      </w:r>
      <w:r w:rsidR="004A6C99" w:rsidRPr="002048A7">
        <w:rPr>
          <w:rFonts w:ascii="Calibri" w:hAnsi="Calibri"/>
          <w:bCs/>
        </w:rPr>
        <w:t>.12.202</w:t>
      </w:r>
      <w:r w:rsidR="004A6C99">
        <w:rPr>
          <w:rFonts w:ascii="Calibri" w:hAnsi="Calibri"/>
          <w:bCs/>
        </w:rPr>
        <w:t>4</w:t>
      </w:r>
      <w:r w:rsidR="004A6C99" w:rsidRPr="002048A7">
        <w:rPr>
          <w:rFonts w:ascii="Calibri" w:hAnsi="Calibri"/>
          <w:bCs/>
        </w:rPr>
        <w:t xml:space="preserve"> tarihli ve 32</w:t>
      </w:r>
      <w:r w:rsidR="004A6C99">
        <w:rPr>
          <w:rFonts w:ascii="Calibri" w:hAnsi="Calibri"/>
          <w:bCs/>
        </w:rPr>
        <w:t>75</w:t>
      </w:r>
      <w:r>
        <w:rPr>
          <w:rFonts w:ascii="Calibri" w:hAnsi="Calibri"/>
          <w:bCs/>
        </w:rPr>
        <w:t>9</w:t>
      </w:r>
      <w:r w:rsidR="004A6C99" w:rsidRPr="002048A7">
        <w:rPr>
          <w:rFonts w:ascii="Calibri" w:hAnsi="Calibri"/>
          <w:bCs/>
        </w:rPr>
        <w:t xml:space="preserve"> sayılı Resmî Gazetede yayımlanan Değişiklik Yönetmeliği ile </w:t>
      </w:r>
      <w:r w:rsidRPr="008A0A74">
        <w:rPr>
          <w:rFonts w:ascii="Calibri" w:hAnsi="Calibri"/>
          <w:b/>
          <w:bCs/>
        </w:rPr>
        <w:t>Elektrik Piyasası Ölçüm Sistemleri Yönetmeliğinin</w:t>
      </w:r>
    </w:p>
    <w:p w14:paraId="1A7FE2FE" w14:textId="77777777" w:rsidR="004A6C99" w:rsidRPr="002048A7" w:rsidRDefault="004A6C99" w:rsidP="004A6C99">
      <w:pPr>
        <w:pStyle w:val="ListeParagraf"/>
        <w:spacing w:after="0"/>
        <w:rPr>
          <w:rFonts w:ascii="Calibri" w:hAnsi="Calibri"/>
          <w:bCs/>
        </w:rPr>
      </w:pPr>
    </w:p>
    <w:p w14:paraId="3733EAF0" w14:textId="77777777" w:rsidR="004A6C99" w:rsidRPr="002048A7" w:rsidRDefault="008A0A74" w:rsidP="0025080A">
      <w:pPr>
        <w:pStyle w:val="metin0"/>
        <w:numPr>
          <w:ilvl w:val="0"/>
          <w:numId w:val="39"/>
        </w:numPr>
        <w:spacing w:before="0" w:beforeAutospacing="0" w:after="0" w:afterAutospacing="0" w:line="240" w:lineRule="atLeast"/>
        <w:rPr>
          <w:rFonts w:ascii="Calibri" w:hAnsi="Calibri" w:cs="Calibri"/>
          <w:color w:val="000000"/>
          <w:sz w:val="22"/>
          <w:szCs w:val="22"/>
        </w:rPr>
      </w:pPr>
      <w:r w:rsidRPr="008A0A74">
        <w:rPr>
          <w:rFonts w:ascii="Calibri" w:hAnsi="Calibri" w:cs="Calibri"/>
          <w:color w:val="000000"/>
          <w:sz w:val="22"/>
          <w:szCs w:val="22"/>
        </w:rPr>
        <w:t xml:space="preserve">15 inci maddesinin ikinci fıkrasında yer alan </w:t>
      </w:r>
      <w:r w:rsidRPr="008A0A74">
        <w:rPr>
          <w:rFonts w:ascii="Calibri" w:hAnsi="Calibri" w:cs="Calibri"/>
          <w:i/>
          <w:color w:val="000000"/>
          <w:sz w:val="22"/>
          <w:szCs w:val="22"/>
        </w:rPr>
        <w:t>“az”</w:t>
      </w:r>
      <w:r w:rsidRPr="008A0A74">
        <w:rPr>
          <w:rFonts w:ascii="Calibri" w:hAnsi="Calibri" w:cs="Calibri"/>
          <w:color w:val="000000"/>
          <w:sz w:val="22"/>
          <w:szCs w:val="22"/>
        </w:rPr>
        <w:t xml:space="preserve"> ibaresi </w:t>
      </w:r>
      <w:r w:rsidRPr="008A0A74">
        <w:rPr>
          <w:rFonts w:ascii="Calibri" w:hAnsi="Calibri" w:cs="Calibri"/>
          <w:i/>
          <w:color w:val="000000"/>
          <w:sz w:val="22"/>
          <w:szCs w:val="22"/>
        </w:rPr>
        <w:t>“fazla”</w:t>
      </w:r>
      <w:r w:rsidRPr="008A0A74">
        <w:rPr>
          <w:rFonts w:ascii="Calibri" w:hAnsi="Calibri" w:cs="Calibri"/>
          <w:color w:val="000000"/>
          <w:sz w:val="22"/>
          <w:szCs w:val="22"/>
        </w:rPr>
        <w:t xml:space="preserve"> şeklinde değiştirilmiştir.</w:t>
      </w:r>
    </w:p>
    <w:p w14:paraId="5DC8C9A9" w14:textId="77777777" w:rsidR="004A6C99" w:rsidRPr="002048A7" w:rsidRDefault="004A6C99" w:rsidP="004A6C99">
      <w:pPr>
        <w:pStyle w:val="metin0"/>
        <w:spacing w:before="0" w:beforeAutospacing="0" w:after="0" w:afterAutospacing="0" w:line="240" w:lineRule="atLeast"/>
        <w:ind w:left="1440"/>
        <w:rPr>
          <w:rFonts w:ascii="Calibri" w:hAnsi="Calibri" w:cs="Calibri"/>
          <w:color w:val="000000"/>
          <w:sz w:val="22"/>
          <w:szCs w:val="22"/>
        </w:rPr>
      </w:pPr>
    </w:p>
    <w:p w14:paraId="7AED3561" w14:textId="77777777" w:rsidR="008A0A74" w:rsidRPr="002048A7" w:rsidRDefault="008A0A74" w:rsidP="0025080A">
      <w:pPr>
        <w:pStyle w:val="metin0"/>
        <w:numPr>
          <w:ilvl w:val="0"/>
          <w:numId w:val="39"/>
        </w:numPr>
        <w:spacing w:before="0" w:beforeAutospacing="0" w:after="0" w:afterAutospacing="0" w:line="240" w:lineRule="atLeast"/>
        <w:rPr>
          <w:rFonts w:ascii="Calibri" w:hAnsi="Calibri" w:cs="Calibri"/>
          <w:color w:val="000000"/>
          <w:sz w:val="22"/>
          <w:szCs w:val="22"/>
        </w:rPr>
      </w:pPr>
      <w:r w:rsidRPr="008A0A74">
        <w:rPr>
          <w:rFonts w:ascii="Calibri" w:hAnsi="Calibri" w:cs="Calibri"/>
          <w:color w:val="000000"/>
          <w:sz w:val="22"/>
          <w:szCs w:val="22"/>
        </w:rPr>
        <w:t>Geçici</w:t>
      </w:r>
      <w:r>
        <w:rPr>
          <w:rFonts w:ascii="Calibri" w:hAnsi="Calibri" w:cs="Calibri"/>
          <w:color w:val="000000"/>
          <w:sz w:val="22"/>
          <w:szCs w:val="22"/>
        </w:rPr>
        <w:t xml:space="preserve"> </w:t>
      </w:r>
      <w:proofErr w:type="gramStart"/>
      <w:r w:rsidRPr="008A0A74">
        <w:rPr>
          <w:rFonts w:ascii="Calibri" w:hAnsi="Calibri" w:cs="Calibri"/>
          <w:color w:val="000000"/>
          <w:sz w:val="22"/>
          <w:szCs w:val="22"/>
        </w:rPr>
        <w:t>3 üncü</w:t>
      </w:r>
      <w:proofErr w:type="gramEnd"/>
      <w:r w:rsidRPr="008A0A74">
        <w:rPr>
          <w:rFonts w:ascii="Calibri" w:hAnsi="Calibri" w:cs="Calibri"/>
          <w:color w:val="000000"/>
          <w:sz w:val="22"/>
          <w:szCs w:val="22"/>
        </w:rPr>
        <w:t xml:space="preserve"> maddesinin birinci, ikinci ve üçüncü fıkralarında yer alan </w:t>
      </w:r>
      <w:r w:rsidRPr="008A0A74">
        <w:rPr>
          <w:rFonts w:ascii="Calibri" w:hAnsi="Calibri" w:cs="Calibri"/>
          <w:i/>
          <w:color w:val="000000"/>
          <w:sz w:val="22"/>
          <w:szCs w:val="22"/>
        </w:rPr>
        <w:t>“1/1/2025”</w:t>
      </w:r>
      <w:r w:rsidRPr="008A0A74">
        <w:rPr>
          <w:rFonts w:ascii="Calibri" w:hAnsi="Calibri" w:cs="Calibri"/>
          <w:color w:val="000000"/>
          <w:sz w:val="22"/>
          <w:szCs w:val="22"/>
        </w:rPr>
        <w:t xml:space="preserve"> ibareleri, altıncı fıkrasında yer alan </w:t>
      </w:r>
      <w:r w:rsidRPr="008A0A74">
        <w:rPr>
          <w:rFonts w:ascii="Calibri" w:hAnsi="Calibri" w:cs="Calibri"/>
          <w:i/>
          <w:color w:val="000000"/>
          <w:sz w:val="22"/>
          <w:szCs w:val="22"/>
        </w:rPr>
        <w:t>“1/4/2025</w:t>
      </w:r>
      <w:r w:rsidRPr="008A0A74">
        <w:rPr>
          <w:rFonts w:ascii="Calibri" w:hAnsi="Calibri" w:cs="Calibri"/>
          <w:color w:val="000000"/>
          <w:sz w:val="22"/>
          <w:szCs w:val="22"/>
        </w:rPr>
        <w:t xml:space="preserve">” ibaresi, yedinci fıkrasında yer alan </w:t>
      </w:r>
      <w:r w:rsidRPr="008A0A74">
        <w:rPr>
          <w:rFonts w:ascii="Calibri" w:hAnsi="Calibri" w:cs="Calibri"/>
          <w:i/>
          <w:color w:val="000000"/>
          <w:sz w:val="22"/>
          <w:szCs w:val="22"/>
        </w:rPr>
        <w:t>“1/8/2025”</w:t>
      </w:r>
      <w:r w:rsidRPr="008A0A74">
        <w:rPr>
          <w:rFonts w:ascii="Calibri" w:hAnsi="Calibri" w:cs="Calibri"/>
          <w:color w:val="000000"/>
          <w:sz w:val="22"/>
          <w:szCs w:val="22"/>
        </w:rPr>
        <w:t xml:space="preserve"> ibaresi ve sekizinci fıkrasında yer alan </w:t>
      </w:r>
      <w:r w:rsidRPr="008A0A74">
        <w:rPr>
          <w:rFonts w:ascii="Calibri" w:hAnsi="Calibri" w:cs="Calibri"/>
          <w:i/>
          <w:color w:val="000000"/>
          <w:sz w:val="22"/>
          <w:szCs w:val="22"/>
        </w:rPr>
        <w:t>“1/6/2025”</w:t>
      </w:r>
      <w:r w:rsidRPr="008A0A74">
        <w:rPr>
          <w:rFonts w:ascii="Calibri" w:hAnsi="Calibri" w:cs="Calibri"/>
          <w:color w:val="000000"/>
          <w:sz w:val="22"/>
          <w:szCs w:val="22"/>
        </w:rPr>
        <w:t xml:space="preserve"> ibaresi </w:t>
      </w:r>
      <w:r w:rsidRPr="008A0A74">
        <w:rPr>
          <w:rFonts w:ascii="Calibri" w:hAnsi="Calibri" w:cs="Calibri"/>
          <w:i/>
          <w:color w:val="000000"/>
          <w:sz w:val="22"/>
          <w:szCs w:val="22"/>
        </w:rPr>
        <w:t>“1/1/2026”</w:t>
      </w:r>
      <w:r w:rsidRPr="008A0A74">
        <w:rPr>
          <w:rFonts w:ascii="Calibri" w:hAnsi="Calibri" w:cs="Calibri"/>
          <w:color w:val="000000"/>
          <w:sz w:val="22"/>
          <w:szCs w:val="22"/>
        </w:rPr>
        <w:t xml:space="preserve"> şeklinde değiştirilmiş ve aynı maddeye aşağıdaki fıkralar eklenmiştir.</w:t>
      </w:r>
    </w:p>
    <w:p w14:paraId="7925B409" w14:textId="77777777" w:rsidR="008A0A74" w:rsidRPr="002048A7" w:rsidRDefault="008A0A74" w:rsidP="008A0A74">
      <w:pPr>
        <w:pStyle w:val="metin0"/>
        <w:spacing w:before="0" w:beforeAutospacing="0" w:after="0" w:afterAutospacing="0" w:line="240" w:lineRule="atLeast"/>
        <w:ind w:left="1440"/>
        <w:rPr>
          <w:rFonts w:ascii="Calibri" w:hAnsi="Calibri" w:cs="Calibri"/>
          <w:color w:val="000000"/>
          <w:sz w:val="22"/>
          <w:szCs w:val="22"/>
        </w:rPr>
      </w:pPr>
    </w:p>
    <w:p w14:paraId="3678A964" w14:textId="77777777" w:rsidR="008A0A74" w:rsidRPr="008A0A74" w:rsidRDefault="008A0A74" w:rsidP="008A0A74">
      <w:pPr>
        <w:pStyle w:val="ListeParagraf"/>
        <w:spacing w:after="0"/>
        <w:ind w:left="1440"/>
        <w:rPr>
          <w:rFonts w:ascii="Calibri" w:hAnsi="Calibri"/>
          <w:i/>
        </w:rPr>
      </w:pPr>
      <w:r w:rsidRPr="008A0A74">
        <w:rPr>
          <w:rFonts w:ascii="Calibri" w:hAnsi="Calibri"/>
          <w:i/>
        </w:rPr>
        <w:t xml:space="preserve">“(9) </w:t>
      </w:r>
      <w:proofErr w:type="gramStart"/>
      <w:r w:rsidRPr="008A0A74">
        <w:rPr>
          <w:rFonts w:ascii="Calibri" w:hAnsi="Calibri"/>
          <w:i/>
        </w:rPr>
        <w:t>13 üncü</w:t>
      </w:r>
      <w:proofErr w:type="gramEnd"/>
      <w:r w:rsidRPr="008A0A74">
        <w:rPr>
          <w:rFonts w:ascii="Calibri" w:hAnsi="Calibri"/>
          <w:i/>
        </w:rPr>
        <w:t xml:space="preserve"> maddenin ikinci fıkrasının (d) bendi kapsamında önceki yıl tüketimi veya yıl içerisindeki tüketimi 10 MWh üzeri olan kullanım yerlerindeki mevcut sayaçlar, yüksek tüketimlilerden başlamak ve dağıtım şirketi bazında yüzde kırkından az olmamak üzere, 1/1/2026 tarihine kadar Akıllı Sayaç PRO veya Otomatik Sayaç Okuma Sistemiyle uyumlu sayaç ve modem ile değiştirilir.</w:t>
      </w:r>
    </w:p>
    <w:p w14:paraId="4E073F5D" w14:textId="77777777" w:rsidR="008A0A74" w:rsidRPr="008A0A74" w:rsidRDefault="008A0A74" w:rsidP="008A0A74">
      <w:pPr>
        <w:pStyle w:val="ListeParagraf"/>
        <w:spacing w:after="0"/>
        <w:ind w:left="1440"/>
        <w:rPr>
          <w:rFonts w:ascii="Calibri" w:hAnsi="Calibri"/>
          <w:i/>
        </w:rPr>
      </w:pPr>
      <w:r w:rsidRPr="008A0A74">
        <w:rPr>
          <w:rFonts w:ascii="Calibri" w:hAnsi="Calibri"/>
          <w:i/>
        </w:rPr>
        <w:t xml:space="preserve">(10) </w:t>
      </w:r>
      <w:proofErr w:type="gramStart"/>
      <w:r w:rsidRPr="008A0A74">
        <w:rPr>
          <w:rFonts w:ascii="Calibri" w:hAnsi="Calibri"/>
          <w:i/>
        </w:rPr>
        <w:t>TEDAŞ -</w:t>
      </w:r>
      <w:proofErr w:type="gramEnd"/>
      <w:r w:rsidRPr="008A0A74">
        <w:rPr>
          <w:rFonts w:ascii="Calibri" w:hAnsi="Calibri"/>
          <w:i/>
        </w:rPr>
        <w:t xml:space="preserve"> MLZ/2017-062.A kodlu Elektronik Elektrik Sayaçları Teknik Şartnamesine göre temin edilmesi şartıyla, 13 üncü maddenin dördüncü fıkrası kapsamında akıllı sayaç dönüşümü sonucunda ortaya çıkan ve damga süresinin dolmasına en az iki yıl süre bulunan elektronik sayaçlar, arıza nedeniyle değiştirilmesi gereken aynı tip sayaçların yerine 1/1/2028 tarihine </w:t>
      </w:r>
      <w:r w:rsidRPr="008A0A74">
        <w:rPr>
          <w:rFonts w:ascii="Calibri" w:hAnsi="Calibri"/>
          <w:i/>
        </w:rPr>
        <w:lastRenderedPageBreak/>
        <w:t>kadar tesis edilebilir. Bu kapsamdaki sayaçlar, 1/1/2026 tarihinden sonra ilk kez sayaç tesis edilecek yerlerde kullanılamaz.</w:t>
      </w:r>
    </w:p>
    <w:p w14:paraId="0716AB0E" w14:textId="77777777" w:rsidR="008A0A74" w:rsidRPr="002048A7" w:rsidRDefault="008A0A74" w:rsidP="008A0A74">
      <w:pPr>
        <w:pStyle w:val="ListeParagraf"/>
        <w:spacing w:after="0"/>
        <w:ind w:left="1440"/>
        <w:rPr>
          <w:rFonts w:ascii="Calibri" w:hAnsi="Calibri"/>
          <w:i/>
        </w:rPr>
      </w:pPr>
      <w:r w:rsidRPr="008A0A74">
        <w:rPr>
          <w:rFonts w:ascii="Calibri" w:hAnsi="Calibri"/>
          <w:i/>
        </w:rPr>
        <w:t xml:space="preserve">(11) </w:t>
      </w:r>
      <w:proofErr w:type="gramStart"/>
      <w:r w:rsidRPr="008A0A74">
        <w:rPr>
          <w:rFonts w:ascii="Calibri" w:hAnsi="Calibri"/>
          <w:i/>
        </w:rPr>
        <w:t>13 üncü</w:t>
      </w:r>
      <w:proofErr w:type="gramEnd"/>
      <w:r w:rsidRPr="008A0A74">
        <w:rPr>
          <w:rFonts w:ascii="Calibri" w:hAnsi="Calibri"/>
          <w:i/>
        </w:rPr>
        <w:t xml:space="preserve"> maddenin üçüncü fıkrasında yer alan kullanım yerlerinde uzaktan haberleşme özelliği olmayan sayaçların ilgili şebeke işletmecisi tarafından müteakip ay içerisinde değiştirilmesine ilişkin süre, 1/1/2026 tarihine kadar müteakip 3 ay olarak uygulanır.”</w:t>
      </w:r>
    </w:p>
    <w:p w14:paraId="0BACEA84" w14:textId="77777777" w:rsidR="0055561D" w:rsidRPr="002048A7" w:rsidRDefault="003F1E81" w:rsidP="000A5A56">
      <w:pPr>
        <w:pStyle w:val="Balk3"/>
        <w:numPr>
          <w:ilvl w:val="2"/>
          <w:numId w:val="11"/>
        </w:numPr>
        <w:spacing w:after="240"/>
        <w:rPr>
          <w:rFonts w:asciiTheme="minorHAnsi" w:hAnsiTheme="minorHAnsi" w:cstheme="minorHAnsi"/>
          <w:color w:val="auto"/>
        </w:rPr>
      </w:pPr>
      <w:bookmarkStart w:id="48" w:name="_Toc66267335"/>
      <w:bookmarkStart w:id="49" w:name="_Toc195868670"/>
      <w:r w:rsidRPr="002048A7">
        <w:rPr>
          <w:rFonts w:asciiTheme="minorHAnsi" w:hAnsiTheme="minorHAnsi" w:cstheme="minorHAnsi"/>
          <w:color w:val="auto"/>
        </w:rPr>
        <w:t>Tebliğler</w:t>
      </w:r>
      <w:bookmarkEnd w:id="48"/>
      <w:bookmarkEnd w:id="49"/>
    </w:p>
    <w:p w14:paraId="03AD86CD" w14:textId="3D4D5501" w:rsidR="003F1E81" w:rsidRPr="002048A7" w:rsidRDefault="003F1E81" w:rsidP="003F1E81">
      <w:pPr>
        <w:spacing w:after="0"/>
        <w:rPr>
          <w:rFonts w:cstheme="minorHAnsi"/>
          <w:color w:val="000000" w:themeColor="text1"/>
        </w:rPr>
      </w:pPr>
      <w:r w:rsidRPr="002048A7">
        <w:rPr>
          <w:rFonts w:cstheme="minorHAnsi"/>
          <w:color w:val="000000" w:themeColor="text1"/>
        </w:rPr>
        <w:t>202</w:t>
      </w:r>
      <w:r w:rsidR="00C87FB4">
        <w:rPr>
          <w:rFonts w:cstheme="minorHAnsi"/>
          <w:color w:val="000000" w:themeColor="text1"/>
        </w:rPr>
        <w:t>4</w:t>
      </w:r>
      <w:r w:rsidR="0055561D" w:rsidRPr="002048A7">
        <w:rPr>
          <w:rFonts w:cstheme="minorHAnsi"/>
          <w:color w:val="000000" w:themeColor="text1"/>
        </w:rPr>
        <w:t xml:space="preserve"> </w:t>
      </w:r>
      <w:r w:rsidRPr="002048A7">
        <w:rPr>
          <w:rFonts w:cstheme="minorHAnsi"/>
          <w:color w:val="000000" w:themeColor="text1"/>
        </w:rPr>
        <w:t>yılında elektrik piyasasında aşağıda belirtilen Tebliğ çalışmaları yapılmıştır:</w:t>
      </w:r>
    </w:p>
    <w:p w14:paraId="33190678" w14:textId="77777777" w:rsidR="00D234A7" w:rsidRPr="002048A7" w:rsidRDefault="00D234A7" w:rsidP="003F1E81">
      <w:pPr>
        <w:spacing w:after="0"/>
        <w:rPr>
          <w:rFonts w:cstheme="minorHAnsi"/>
          <w:color w:val="000000" w:themeColor="text1"/>
        </w:rPr>
      </w:pPr>
    </w:p>
    <w:p w14:paraId="6219F292" w14:textId="77777777" w:rsidR="006D30BE" w:rsidRPr="002048A7" w:rsidRDefault="00E90A7A" w:rsidP="0025080A">
      <w:pPr>
        <w:pStyle w:val="ListeParagraf"/>
        <w:numPr>
          <w:ilvl w:val="0"/>
          <w:numId w:val="22"/>
        </w:numPr>
        <w:spacing w:after="0"/>
        <w:rPr>
          <w:rFonts w:ascii="Calibri" w:hAnsi="Calibri"/>
          <w:bCs/>
        </w:rPr>
      </w:pPr>
      <w:r w:rsidRPr="002048A7">
        <w:rPr>
          <w:rFonts w:ascii="Calibri" w:hAnsi="Calibri"/>
          <w:bCs/>
        </w:rPr>
        <w:t>2</w:t>
      </w:r>
      <w:r w:rsidR="008A0A74">
        <w:rPr>
          <w:rFonts w:ascii="Calibri" w:hAnsi="Calibri"/>
          <w:bCs/>
        </w:rPr>
        <w:t>6</w:t>
      </w:r>
      <w:r w:rsidR="0055561D" w:rsidRPr="002048A7">
        <w:rPr>
          <w:rFonts w:ascii="Calibri" w:hAnsi="Calibri"/>
          <w:bCs/>
        </w:rPr>
        <w:t>.12.202</w:t>
      </w:r>
      <w:r w:rsidR="008A0A74">
        <w:rPr>
          <w:rFonts w:ascii="Calibri" w:hAnsi="Calibri"/>
          <w:bCs/>
        </w:rPr>
        <w:t>4</w:t>
      </w:r>
      <w:r w:rsidR="0055561D" w:rsidRPr="002048A7">
        <w:rPr>
          <w:rFonts w:ascii="Calibri" w:hAnsi="Calibri"/>
          <w:bCs/>
        </w:rPr>
        <w:t xml:space="preserve"> tarihli ve </w:t>
      </w:r>
      <w:r w:rsidRPr="002048A7">
        <w:rPr>
          <w:rFonts w:ascii="Calibri" w:hAnsi="Calibri"/>
          <w:bCs/>
        </w:rPr>
        <w:t>32</w:t>
      </w:r>
      <w:r w:rsidR="008A0A74">
        <w:rPr>
          <w:rFonts w:ascii="Calibri" w:hAnsi="Calibri"/>
          <w:bCs/>
        </w:rPr>
        <w:t>764</w:t>
      </w:r>
      <w:r w:rsidR="0055561D" w:rsidRPr="002048A7">
        <w:rPr>
          <w:rFonts w:ascii="Calibri" w:hAnsi="Calibri"/>
          <w:bCs/>
        </w:rPr>
        <w:t xml:space="preserve"> sayılı Resmî </w:t>
      </w:r>
      <w:r w:rsidR="00274939" w:rsidRPr="002048A7">
        <w:rPr>
          <w:rFonts w:ascii="Calibri" w:hAnsi="Calibri"/>
          <w:bCs/>
        </w:rPr>
        <w:t>Gazetede</w:t>
      </w:r>
      <w:r w:rsidR="0055561D" w:rsidRPr="002048A7">
        <w:rPr>
          <w:rFonts w:ascii="Calibri" w:hAnsi="Calibri"/>
          <w:bCs/>
        </w:rPr>
        <w:t xml:space="preserve"> yayımlanan</w:t>
      </w:r>
      <w:r w:rsidR="006770B7">
        <w:rPr>
          <w:rFonts w:ascii="Calibri" w:hAnsi="Calibri"/>
          <w:bCs/>
        </w:rPr>
        <w:t xml:space="preserve"> </w:t>
      </w:r>
      <w:r w:rsidR="006770B7" w:rsidRPr="002048A7">
        <w:t>6446 Sayılı Elektrik Piyasası Kanununun 16’ncı Maddesi uyarınca 202</w:t>
      </w:r>
      <w:r w:rsidR="008A0A74">
        <w:t>5</w:t>
      </w:r>
      <w:r w:rsidR="006770B7" w:rsidRPr="002048A7">
        <w:t xml:space="preserve"> Yılında Uygulanacak İdari Para Cezaları Hakkında Tebliğ</w:t>
      </w:r>
      <w:r w:rsidR="006770B7">
        <w:t xml:space="preserve"> ile</w:t>
      </w:r>
      <w:r w:rsidR="00BA3B20">
        <w:t>,</w:t>
      </w:r>
      <w:r w:rsidR="0055561D" w:rsidRPr="002048A7">
        <w:rPr>
          <w:rFonts w:ascii="Calibri" w:hAnsi="Calibri"/>
          <w:bCs/>
        </w:rPr>
        <w:t xml:space="preserve"> </w:t>
      </w:r>
      <w:r w:rsidRPr="002048A7">
        <w:rPr>
          <w:rFonts w:ascii="Calibri" w:hAnsi="Calibri"/>
          <w:bCs/>
        </w:rPr>
        <w:t>14/3/2013 tarihli ve 6446 sayılı Elektrik Piyasası Kanununun 16</w:t>
      </w:r>
      <w:r w:rsidR="000E7C37" w:rsidRPr="002048A7">
        <w:rPr>
          <w:rFonts w:ascii="Calibri" w:hAnsi="Calibri"/>
          <w:bCs/>
        </w:rPr>
        <w:t>’</w:t>
      </w:r>
      <w:r w:rsidRPr="002048A7">
        <w:rPr>
          <w:rFonts w:ascii="Calibri" w:hAnsi="Calibri"/>
          <w:bCs/>
        </w:rPr>
        <w:t>ncı maddesinde düzenlenmiş olan idari para cezaları 2</w:t>
      </w:r>
      <w:r w:rsidR="008A0A74">
        <w:rPr>
          <w:rFonts w:ascii="Calibri" w:hAnsi="Calibri"/>
          <w:bCs/>
        </w:rPr>
        <w:t>7</w:t>
      </w:r>
      <w:r w:rsidRPr="002048A7">
        <w:rPr>
          <w:rFonts w:ascii="Calibri" w:hAnsi="Calibri"/>
          <w:bCs/>
        </w:rPr>
        <w:t>/11/202</w:t>
      </w:r>
      <w:r w:rsidR="008A0A74">
        <w:rPr>
          <w:rFonts w:ascii="Calibri" w:hAnsi="Calibri"/>
          <w:bCs/>
        </w:rPr>
        <w:t>4</w:t>
      </w:r>
      <w:r w:rsidRPr="002048A7">
        <w:rPr>
          <w:rFonts w:ascii="Calibri" w:hAnsi="Calibri"/>
          <w:bCs/>
        </w:rPr>
        <w:t xml:space="preserve"> tarihli ve 32</w:t>
      </w:r>
      <w:r w:rsidR="008A0A74">
        <w:rPr>
          <w:rFonts w:ascii="Calibri" w:hAnsi="Calibri"/>
          <w:bCs/>
        </w:rPr>
        <w:t>735</w:t>
      </w:r>
      <w:r w:rsidRPr="002048A7">
        <w:rPr>
          <w:rFonts w:ascii="Calibri" w:hAnsi="Calibri"/>
          <w:bCs/>
        </w:rPr>
        <w:t xml:space="preserve"> sayılı Resmî </w:t>
      </w:r>
      <w:r w:rsidR="00274939" w:rsidRPr="002048A7">
        <w:rPr>
          <w:rFonts w:ascii="Calibri" w:hAnsi="Calibri"/>
          <w:bCs/>
        </w:rPr>
        <w:t>Gazetede</w:t>
      </w:r>
      <w:r w:rsidRPr="002048A7">
        <w:rPr>
          <w:rFonts w:ascii="Calibri" w:hAnsi="Calibri"/>
          <w:bCs/>
        </w:rPr>
        <w:t xml:space="preserve"> yayımlanan Vergi Usul Kanunu Genel Tebliği (Sıra No: 5</w:t>
      </w:r>
      <w:r w:rsidR="008A0A74">
        <w:rPr>
          <w:rFonts w:ascii="Calibri" w:hAnsi="Calibri"/>
          <w:bCs/>
        </w:rPr>
        <w:t>7</w:t>
      </w:r>
      <w:r w:rsidR="00A56376" w:rsidRPr="002048A7">
        <w:rPr>
          <w:rFonts w:ascii="Calibri" w:hAnsi="Calibri"/>
          <w:bCs/>
        </w:rPr>
        <w:t>4</w:t>
      </w:r>
      <w:r w:rsidRPr="002048A7">
        <w:rPr>
          <w:rFonts w:ascii="Calibri" w:hAnsi="Calibri"/>
          <w:bCs/>
        </w:rPr>
        <w:t>)’nde 202</w:t>
      </w:r>
      <w:r w:rsidR="008A0A74">
        <w:rPr>
          <w:rFonts w:ascii="Calibri" w:hAnsi="Calibri"/>
          <w:bCs/>
        </w:rPr>
        <w:t>4</w:t>
      </w:r>
      <w:r w:rsidRPr="002048A7">
        <w:rPr>
          <w:rFonts w:ascii="Calibri" w:hAnsi="Calibri"/>
          <w:bCs/>
        </w:rPr>
        <w:t xml:space="preserve"> yılı için yeniden değerleme oranı olarak tespit edilen % </w:t>
      </w:r>
      <w:r w:rsidR="008A0A74">
        <w:rPr>
          <w:rFonts w:ascii="Calibri" w:hAnsi="Calibri"/>
          <w:bCs/>
        </w:rPr>
        <w:t>43</w:t>
      </w:r>
      <w:r w:rsidRPr="002048A7">
        <w:rPr>
          <w:rFonts w:ascii="Calibri" w:hAnsi="Calibri"/>
          <w:bCs/>
        </w:rPr>
        <w:t>,</w:t>
      </w:r>
      <w:r w:rsidR="008A0A74">
        <w:rPr>
          <w:rFonts w:ascii="Calibri" w:hAnsi="Calibri"/>
          <w:bCs/>
        </w:rPr>
        <w:t>93</w:t>
      </w:r>
      <w:r w:rsidRPr="002048A7">
        <w:rPr>
          <w:rFonts w:ascii="Calibri" w:hAnsi="Calibri"/>
          <w:bCs/>
        </w:rPr>
        <w:t xml:space="preserve"> (</w:t>
      </w:r>
      <w:r w:rsidR="008A0A74">
        <w:rPr>
          <w:rFonts w:ascii="Calibri" w:hAnsi="Calibri"/>
          <w:bCs/>
        </w:rPr>
        <w:t>kırk üç virgül doksan üç</w:t>
      </w:r>
      <w:r w:rsidRPr="002048A7">
        <w:rPr>
          <w:rFonts w:ascii="Calibri" w:hAnsi="Calibri"/>
          <w:bCs/>
        </w:rPr>
        <w:t>) oranında artırıl</w:t>
      </w:r>
      <w:r w:rsidR="00BA3B20">
        <w:rPr>
          <w:rFonts w:ascii="Calibri" w:hAnsi="Calibri"/>
          <w:bCs/>
        </w:rPr>
        <w:t>mıştır.</w:t>
      </w:r>
    </w:p>
    <w:p w14:paraId="187BC819" w14:textId="77777777" w:rsidR="0055561D" w:rsidRPr="002048A7" w:rsidRDefault="003F1E81" w:rsidP="000A5A56">
      <w:pPr>
        <w:pStyle w:val="Balk3"/>
        <w:numPr>
          <w:ilvl w:val="2"/>
          <w:numId w:val="11"/>
        </w:numPr>
        <w:spacing w:after="240"/>
        <w:rPr>
          <w:rFonts w:asciiTheme="minorHAnsi" w:hAnsiTheme="minorHAnsi" w:cstheme="minorHAnsi"/>
          <w:color w:val="auto"/>
        </w:rPr>
      </w:pPr>
      <w:bookmarkStart w:id="50" w:name="_Toc66267336"/>
      <w:bookmarkStart w:id="51" w:name="_Toc195868671"/>
      <w:r w:rsidRPr="002048A7">
        <w:rPr>
          <w:rFonts w:asciiTheme="minorHAnsi" w:hAnsiTheme="minorHAnsi" w:cstheme="minorHAnsi"/>
          <w:color w:val="auto"/>
        </w:rPr>
        <w:t>Kurul Kararları</w:t>
      </w:r>
      <w:bookmarkEnd w:id="50"/>
      <w:bookmarkEnd w:id="51"/>
    </w:p>
    <w:p w14:paraId="5FB820A0" w14:textId="77777777" w:rsidR="00DD27E2" w:rsidRPr="002048A7" w:rsidRDefault="003F1E81" w:rsidP="003F1E81">
      <w:pPr>
        <w:spacing w:after="0"/>
        <w:rPr>
          <w:rFonts w:cstheme="minorHAnsi"/>
          <w:color w:val="000000" w:themeColor="text1"/>
        </w:rPr>
      </w:pPr>
      <w:r w:rsidRPr="002048A7">
        <w:rPr>
          <w:rFonts w:cstheme="minorHAnsi"/>
          <w:color w:val="000000" w:themeColor="text1"/>
        </w:rPr>
        <w:t>202</w:t>
      </w:r>
      <w:r w:rsidR="00227EED">
        <w:rPr>
          <w:rFonts w:cstheme="minorHAnsi"/>
          <w:color w:val="000000" w:themeColor="text1"/>
        </w:rPr>
        <w:t>4</w:t>
      </w:r>
      <w:r w:rsidRPr="002048A7">
        <w:rPr>
          <w:rFonts w:cstheme="minorHAnsi"/>
          <w:color w:val="000000" w:themeColor="text1"/>
        </w:rPr>
        <w:t xml:space="preserve"> yılında elektrik piyasasında düzenleyici işlem niteliğinde aşağıdaki Kurul Kararları ihdas edilmiştir</w:t>
      </w:r>
      <w:r w:rsidR="00061520" w:rsidRPr="002048A7">
        <w:rPr>
          <w:rFonts w:cstheme="minorHAnsi"/>
          <w:color w:val="000000" w:themeColor="text1"/>
        </w:rPr>
        <w:t>.</w:t>
      </w:r>
    </w:p>
    <w:p w14:paraId="35C88726" w14:textId="77777777" w:rsidR="003F5D54" w:rsidRPr="002048A7" w:rsidRDefault="003F1E81" w:rsidP="003B60E3">
      <w:pPr>
        <w:spacing w:after="0"/>
        <w:rPr>
          <w:rFonts w:cstheme="minorHAnsi"/>
          <w:color w:val="000000" w:themeColor="text1"/>
        </w:rPr>
      </w:pPr>
      <w:r w:rsidRPr="002048A7">
        <w:rPr>
          <w:rFonts w:cstheme="minorHAnsi"/>
          <w:color w:val="000000" w:themeColor="text1"/>
        </w:rPr>
        <w:t xml:space="preserve"> </w:t>
      </w:r>
      <w:r w:rsidR="00DD27E2" w:rsidRPr="002048A7">
        <w:rPr>
          <w:rFonts w:cstheme="minorHAnsi"/>
          <w:color w:val="000000" w:themeColor="text1"/>
        </w:rPr>
        <w:tab/>
      </w:r>
    </w:p>
    <w:tbl>
      <w:tblPr>
        <w:tblStyle w:val="TabloKlavuzu"/>
        <w:tblW w:w="0" w:type="auto"/>
        <w:tblLook w:val="04A0" w:firstRow="1" w:lastRow="0" w:firstColumn="1" w:lastColumn="0" w:noHBand="0" w:noVBand="1"/>
      </w:tblPr>
      <w:tblGrid>
        <w:gridCol w:w="2547"/>
        <w:gridCol w:w="7365"/>
      </w:tblGrid>
      <w:tr w:rsidR="002806A0" w:rsidRPr="002048A7" w14:paraId="72DABACF" w14:textId="77777777" w:rsidTr="007A0D8D">
        <w:trPr>
          <w:tblHeader/>
        </w:trPr>
        <w:tc>
          <w:tcPr>
            <w:tcW w:w="2547" w:type="dxa"/>
            <w:tcBorders>
              <w:top w:val="single" w:sz="4" w:space="0" w:color="auto"/>
              <w:left w:val="single" w:sz="4" w:space="0" w:color="auto"/>
              <w:bottom w:val="single" w:sz="4" w:space="0" w:color="auto"/>
              <w:right w:val="single" w:sz="4" w:space="0" w:color="auto"/>
            </w:tcBorders>
            <w:hideMark/>
          </w:tcPr>
          <w:p w14:paraId="68F57B4B" w14:textId="77777777" w:rsidR="002806A0" w:rsidRPr="002048A7" w:rsidRDefault="00940CB5">
            <w:pPr>
              <w:jc w:val="center"/>
              <w:rPr>
                <w:rFonts w:cstheme="minorHAnsi"/>
                <w:b/>
                <w:color w:val="000000" w:themeColor="text1"/>
              </w:rPr>
            </w:pPr>
            <w:bookmarkStart w:id="52" w:name="_Toc130290873"/>
            <w:r w:rsidRPr="00940CB5">
              <w:rPr>
                <w:rFonts w:cstheme="minorHAnsi"/>
                <w:b/>
                <w:color w:val="000000" w:themeColor="text1"/>
              </w:rPr>
              <w:t>Resmî</w:t>
            </w:r>
            <w:r w:rsidR="002806A0" w:rsidRPr="002048A7">
              <w:rPr>
                <w:rFonts w:cstheme="minorHAnsi"/>
                <w:b/>
                <w:color w:val="000000" w:themeColor="text1"/>
              </w:rPr>
              <w:t xml:space="preserve"> Gazete Tarih/Sayı</w:t>
            </w:r>
          </w:p>
          <w:p w14:paraId="2C87D8D2" w14:textId="77777777" w:rsidR="002806A0" w:rsidRPr="002048A7" w:rsidRDefault="002806A0">
            <w:pPr>
              <w:jc w:val="center"/>
              <w:rPr>
                <w:rFonts w:cstheme="minorHAnsi"/>
                <w:b/>
                <w:color w:val="000000" w:themeColor="text1"/>
              </w:rPr>
            </w:pPr>
            <w:r w:rsidRPr="002048A7">
              <w:rPr>
                <w:rFonts w:cstheme="minorHAnsi"/>
                <w:b/>
                <w:color w:val="000000" w:themeColor="text1"/>
              </w:rPr>
              <w:t>Kurul Kararı Tarih/Sayı</w:t>
            </w:r>
          </w:p>
        </w:tc>
        <w:tc>
          <w:tcPr>
            <w:tcW w:w="7365" w:type="dxa"/>
            <w:tcBorders>
              <w:top w:val="single" w:sz="4" w:space="0" w:color="auto"/>
              <w:left w:val="single" w:sz="4" w:space="0" w:color="auto"/>
              <w:bottom w:val="single" w:sz="4" w:space="0" w:color="auto"/>
              <w:right w:val="single" w:sz="4" w:space="0" w:color="auto"/>
            </w:tcBorders>
            <w:hideMark/>
          </w:tcPr>
          <w:p w14:paraId="7295AB54" w14:textId="77777777" w:rsidR="002806A0" w:rsidRPr="002048A7" w:rsidRDefault="002806A0">
            <w:pPr>
              <w:jc w:val="center"/>
              <w:rPr>
                <w:rFonts w:cstheme="minorHAnsi"/>
                <w:b/>
                <w:color w:val="000000" w:themeColor="text1"/>
              </w:rPr>
            </w:pPr>
            <w:r w:rsidRPr="002048A7">
              <w:rPr>
                <w:rFonts w:cstheme="minorHAnsi"/>
                <w:b/>
                <w:color w:val="000000" w:themeColor="text1"/>
              </w:rPr>
              <w:t>Konusu</w:t>
            </w:r>
          </w:p>
        </w:tc>
      </w:tr>
      <w:tr w:rsidR="00F45E83" w:rsidRPr="002048A7" w14:paraId="6B4BA140" w14:textId="77777777" w:rsidTr="007A0D8D">
        <w:tc>
          <w:tcPr>
            <w:tcW w:w="2547" w:type="dxa"/>
            <w:tcBorders>
              <w:top w:val="single" w:sz="4" w:space="0" w:color="auto"/>
              <w:left w:val="single" w:sz="4" w:space="0" w:color="auto"/>
              <w:bottom w:val="single" w:sz="4" w:space="0" w:color="auto"/>
              <w:right w:val="single" w:sz="4" w:space="0" w:color="auto"/>
            </w:tcBorders>
          </w:tcPr>
          <w:p w14:paraId="4C3D9CCC" w14:textId="77777777" w:rsidR="00F45E83" w:rsidRPr="002048A7" w:rsidRDefault="00F45E83" w:rsidP="00F45E83">
            <w:pPr>
              <w:rPr>
                <w:rFonts w:ascii="Calibri" w:hAnsi="Calibri" w:cs="Calibri"/>
                <w:color w:val="000000"/>
              </w:rPr>
            </w:pPr>
            <w:r>
              <w:rPr>
                <w:rFonts w:ascii="Calibri" w:hAnsi="Calibri" w:cs="Calibri"/>
                <w:color w:val="000000"/>
              </w:rPr>
              <w:t>24</w:t>
            </w:r>
            <w:r w:rsidRPr="002048A7">
              <w:rPr>
                <w:rFonts w:ascii="Calibri" w:hAnsi="Calibri" w:cs="Calibri"/>
                <w:color w:val="000000"/>
              </w:rPr>
              <w:t>.</w:t>
            </w:r>
            <w:r>
              <w:rPr>
                <w:rFonts w:ascii="Calibri" w:hAnsi="Calibri" w:cs="Calibri"/>
                <w:color w:val="000000"/>
              </w:rPr>
              <w:t>01</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w:t>
            </w:r>
            <w:r>
              <w:rPr>
                <w:rFonts w:ascii="Calibri" w:hAnsi="Calibri" w:cs="Calibri"/>
                <w:color w:val="000000"/>
              </w:rPr>
              <w:t>32439</w:t>
            </w:r>
          </w:p>
          <w:p w14:paraId="72B512DA" w14:textId="77777777" w:rsidR="00F45E83" w:rsidRDefault="00F45E83" w:rsidP="00F45E83">
            <w:pPr>
              <w:rPr>
                <w:rFonts w:ascii="Calibri" w:hAnsi="Calibri" w:cs="Calibri"/>
                <w:color w:val="000000"/>
              </w:rPr>
            </w:pPr>
            <w:r>
              <w:rPr>
                <w:rFonts w:ascii="Calibri" w:hAnsi="Calibri" w:cs="Calibri"/>
                <w:color w:val="000000"/>
              </w:rPr>
              <w:t>18</w:t>
            </w:r>
            <w:r w:rsidRPr="002048A7">
              <w:rPr>
                <w:rFonts w:ascii="Calibri" w:hAnsi="Calibri" w:cs="Calibri"/>
                <w:color w:val="000000"/>
              </w:rPr>
              <w:t>.</w:t>
            </w:r>
            <w:r>
              <w:rPr>
                <w:rFonts w:ascii="Calibri" w:hAnsi="Calibri" w:cs="Calibri"/>
                <w:color w:val="000000"/>
              </w:rPr>
              <w:t>01</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w:t>
            </w:r>
            <w:r>
              <w:rPr>
                <w:rFonts w:ascii="Calibri" w:hAnsi="Calibri" w:cs="Calibri"/>
                <w:color w:val="000000"/>
              </w:rPr>
              <w:t>12357</w:t>
            </w:r>
          </w:p>
        </w:tc>
        <w:tc>
          <w:tcPr>
            <w:tcW w:w="7365" w:type="dxa"/>
            <w:tcBorders>
              <w:top w:val="single" w:sz="4" w:space="0" w:color="auto"/>
              <w:left w:val="single" w:sz="4" w:space="0" w:color="auto"/>
              <w:bottom w:val="single" w:sz="4" w:space="0" w:color="auto"/>
              <w:right w:val="single" w:sz="4" w:space="0" w:color="auto"/>
            </w:tcBorders>
          </w:tcPr>
          <w:p w14:paraId="27A11FBF" w14:textId="77777777" w:rsidR="00F45E83" w:rsidRPr="00D97311" w:rsidRDefault="00F45E83" w:rsidP="00F45E83">
            <w:pPr>
              <w:rPr>
                <w:rFonts w:ascii="Calibri" w:hAnsi="Calibri" w:cs="Calibri"/>
                <w:color w:val="000000"/>
              </w:rPr>
            </w:pPr>
            <w:r w:rsidRPr="00D97311">
              <w:rPr>
                <w:rFonts w:ascii="Calibri" w:hAnsi="Calibri" w:cs="Calibri"/>
                <w:color w:val="000000"/>
              </w:rPr>
              <w:t xml:space="preserve">Kullanıcı Tarafından Dağıtım Varlıklarının Tesis Edilme Metodolojisi’nde Değişiklik Yapılmasına Dair Kurul Kararı  </w:t>
            </w:r>
          </w:p>
        </w:tc>
      </w:tr>
      <w:tr w:rsidR="007A0D8D" w:rsidRPr="002048A7" w14:paraId="50824724" w14:textId="77777777" w:rsidTr="007A0D8D">
        <w:tc>
          <w:tcPr>
            <w:tcW w:w="2547" w:type="dxa"/>
            <w:tcBorders>
              <w:top w:val="single" w:sz="4" w:space="0" w:color="auto"/>
              <w:left w:val="single" w:sz="4" w:space="0" w:color="auto"/>
              <w:bottom w:val="single" w:sz="4" w:space="0" w:color="auto"/>
              <w:right w:val="single" w:sz="4" w:space="0" w:color="auto"/>
            </w:tcBorders>
          </w:tcPr>
          <w:p w14:paraId="4F75FD4D" w14:textId="77777777" w:rsidR="007A0D8D" w:rsidRPr="009D7496" w:rsidRDefault="007A0D8D" w:rsidP="007A0D8D">
            <w:pPr>
              <w:rPr>
                <w:rFonts w:ascii="Calibri" w:hAnsi="Calibri" w:cs="Calibri"/>
                <w:color w:val="000000"/>
              </w:rPr>
            </w:pPr>
            <w:r w:rsidRPr="009D7496">
              <w:rPr>
                <w:rFonts w:ascii="Calibri" w:hAnsi="Calibri" w:cs="Calibri"/>
                <w:color w:val="000000"/>
              </w:rPr>
              <w:t>16.03.2024/32491</w:t>
            </w:r>
          </w:p>
          <w:p w14:paraId="7C833FEC" w14:textId="77777777" w:rsidR="007A0D8D" w:rsidRPr="009D7496" w:rsidRDefault="007A0D8D" w:rsidP="007A0D8D">
            <w:pPr>
              <w:rPr>
                <w:rFonts w:ascii="Calibri" w:hAnsi="Calibri" w:cs="Calibri"/>
                <w:color w:val="000000"/>
              </w:rPr>
            </w:pPr>
            <w:r w:rsidRPr="009D7496">
              <w:rPr>
                <w:rFonts w:ascii="Calibri" w:hAnsi="Calibri" w:cs="Calibri"/>
                <w:color w:val="000000"/>
              </w:rPr>
              <w:t>14.03.2024/12495</w:t>
            </w:r>
          </w:p>
        </w:tc>
        <w:tc>
          <w:tcPr>
            <w:tcW w:w="7365" w:type="dxa"/>
            <w:tcBorders>
              <w:top w:val="single" w:sz="4" w:space="0" w:color="auto"/>
              <w:left w:val="single" w:sz="4" w:space="0" w:color="auto"/>
              <w:bottom w:val="single" w:sz="4" w:space="0" w:color="auto"/>
              <w:right w:val="single" w:sz="4" w:space="0" w:color="auto"/>
            </w:tcBorders>
          </w:tcPr>
          <w:p w14:paraId="52382F7A" w14:textId="77777777" w:rsidR="007A0D8D" w:rsidRPr="009D7496" w:rsidRDefault="007A0D8D" w:rsidP="007A0D8D">
            <w:r w:rsidRPr="009D7496">
              <w:t>Teminat Usul ve Esaslarında değişiklik yapılmasına dair karar</w:t>
            </w:r>
          </w:p>
        </w:tc>
      </w:tr>
      <w:tr w:rsidR="007A0D8D" w:rsidRPr="002048A7" w14:paraId="066F1CBC" w14:textId="77777777" w:rsidTr="007A0D8D">
        <w:tc>
          <w:tcPr>
            <w:tcW w:w="2547" w:type="dxa"/>
            <w:tcBorders>
              <w:top w:val="single" w:sz="4" w:space="0" w:color="auto"/>
              <w:left w:val="single" w:sz="4" w:space="0" w:color="auto"/>
              <w:bottom w:val="single" w:sz="4" w:space="0" w:color="auto"/>
              <w:right w:val="single" w:sz="4" w:space="0" w:color="auto"/>
            </w:tcBorders>
          </w:tcPr>
          <w:p w14:paraId="30F01888" w14:textId="77777777" w:rsidR="007A0D8D" w:rsidRPr="002048A7" w:rsidRDefault="007A0D8D" w:rsidP="007A0D8D">
            <w:pPr>
              <w:rPr>
                <w:rFonts w:ascii="Calibri" w:hAnsi="Calibri" w:cs="Calibri"/>
                <w:color w:val="000000"/>
              </w:rPr>
            </w:pPr>
            <w:r>
              <w:rPr>
                <w:rFonts w:ascii="Calibri" w:hAnsi="Calibri" w:cs="Calibri"/>
                <w:color w:val="000000"/>
              </w:rPr>
              <w:t>29</w:t>
            </w:r>
            <w:r w:rsidRPr="002048A7">
              <w:rPr>
                <w:rFonts w:ascii="Calibri" w:hAnsi="Calibri" w:cs="Calibri"/>
                <w:color w:val="000000"/>
              </w:rPr>
              <w:t>.</w:t>
            </w:r>
            <w:r>
              <w:rPr>
                <w:rFonts w:ascii="Calibri" w:hAnsi="Calibri" w:cs="Calibri"/>
                <w:color w:val="000000"/>
              </w:rPr>
              <w:t>03</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w:t>
            </w:r>
            <w:r>
              <w:rPr>
                <w:rFonts w:ascii="Calibri" w:hAnsi="Calibri" w:cs="Calibri"/>
                <w:color w:val="000000"/>
              </w:rPr>
              <w:t>32504</w:t>
            </w:r>
          </w:p>
          <w:p w14:paraId="05E9D4D4" w14:textId="77777777" w:rsidR="007A0D8D" w:rsidRDefault="007A0D8D" w:rsidP="007A0D8D">
            <w:pPr>
              <w:rPr>
                <w:rFonts w:ascii="Calibri" w:hAnsi="Calibri" w:cs="Calibri"/>
                <w:color w:val="000000"/>
              </w:rPr>
            </w:pPr>
            <w:r>
              <w:rPr>
                <w:rFonts w:ascii="Calibri" w:hAnsi="Calibri" w:cs="Calibri"/>
                <w:color w:val="000000"/>
              </w:rPr>
              <w:t>28</w:t>
            </w:r>
            <w:r w:rsidRPr="002048A7">
              <w:rPr>
                <w:rFonts w:ascii="Calibri" w:hAnsi="Calibri" w:cs="Calibri"/>
                <w:color w:val="000000"/>
              </w:rPr>
              <w:t>.</w:t>
            </w:r>
            <w:r>
              <w:rPr>
                <w:rFonts w:ascii="Calibri" w:hAnsi="Calibri" w:cs="Calibri"/>
                <w:color w:val="000000"/>
              </w:rPr>
              <w:t>03</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w:t>
            </w:r>
            <w:r>
              <w:rPr>
                <w:rFonts w:ascii="Calibri" w:hAnsi="Calibri" w:cs="Calibri"/>
                <w:color w:val="000000"/>
              </w:rPr>
              <w:t>12532</w:t>
            </w:r>
          </w:p>
        </w:tc>
        <w:tc>
          <w:tcPr>
            <w:tcW w:w="7365" w:type="dxa"/>
            <w:tcBorders>
              <w:top w:val="single" w:sz="4" w:space="0" w:color="auto"/>
              <w:left w:val="single" w:sz="4" w:space="0" w:color="auto"/>
              <w:bottom w:val="single" w:sz="4" w:space="0" w:color="auto"/>
              <w:right w:val="single" w:sz="4" w:space="0" w:color="auto"/>
            </w:tcBorders>
          </w:tcPr>
          <w:p w14:paraId="76967E10" w14:textId="77777777" w:rsidR="007A0D8D" w:rsidRPr="00D97311" w:rsidRDefault="007A0D8D" w:rsidP="007A0D8D">
            <w:pPr>
              <w:rPr>
                <w:rFonts w:ascii="Calibri" w:hAnsi="Calibri" w:cs="Calibri"/>
                <w:color w:val="000000"/>
              </w:rPr>
            </w:pPr>
            <w:r w:rsidRPr="00B73428">
              <w:rPr>
                <w:rFonts w:ascii="Calibri" w:hAnsi="Calibri" w:cs="Calibri"/>
                <w:color w:val="000000"/>
              </w:rPr>
              <w:t xml:space="preserve">6 Şubat 2023 tarihli Kahramanmaraş merkezli depremlerin etkilerinin devam etmesi nedeniyle, Elektrik Piyasası Dengeleme ve Uzlaştırma Yönetmeliğinin (Yönetmelik) </w:t>
            </w:r>
            <w:proofErr w:type="gramStart"/>
            <w:r w:rsidRPr="00B73428">
              <w:rPr>
                <w:rFonts w:ascii="Calibri" w:hAnsi="Calibri" w:cs="Calibri"/>
                <w:color w:val="000000"/>
              </w:rPr>
              <w:t>140 ncı</w:t>
            </w:r>
            <w:proofErr w:type="gramEnd"/>
            <w:r w:rsidRPr="00B73428">
              <w:rPr>
                <w:rFonts w:ascii="Calibri" w:hAnsi="Calibri" w:cs="Calibri"/>
                <w:color w:val="000000"/>
              </w:rPr>
              <w:t xml:space="preserve"> maddesi uyarınca, 30 Eylül 2024 tarihine kadar uygulanmasına ilişkin  </w:t>
            </w:r>
          </w:p>
        </w:tc>
      </w:tr>
      <w:tr w:rsidR="007A0D8D" w:rsidRPr="002048A7" w14:paraId="39734AA2" w14:textId="77777777" w:rsidTr="002806A0">
        <w:tc>
          <w:tcPr>
            <w:tcW w:w="2547" w:type="dxa"/>
            <w:tcBorders>
              <w:top w:val="single" w:sz="4" w:space="0" w:color="auto"/>
              <w:left w:val="single" w:sz="4" w:space="0" w:color="auto"/>
              <w:bottom w:val="single" w:sz="4" w:space="0" w:color="auto"/>
              <w:right w:val="single" w:sz="4" w:space="0" w:color="auto"/>
            </w:tcBorders>
          </w:tcPr>
          <w:p w14:paraId="6FAE0194" w14:textId="77777777" w:rsidR="007A0D8D" w:rsidRPr="002048A7" w:rsidRDefault="007A0D8D" w:rsidP="007A0D8D">
            <w:pPr>
              <w:rPr>
                <w:rFonts w:ascii="Calibri" w:hAnsi="Calibri" w:cs="Calibri"/>
                <w:color w:val="000000"/>
              </w:rPr>
            </w:pPr>
            <w:r>
              <w:rPr>
                <w:rFonts w:ascii="Calibri" w:hAnsi="Calibri" w:cs="Calibri"/>
                <w:color w:val="000000"/>
              </w:rPr>
              <w:t>14</w:t>
            </w:r>
            <w:r w:rsidRPr="002048A7">
              <w:rPr>
                <w:rFonts w:ascii="Calibri" w:hAnsi="Calibri" w:cs="Calibri"/>
                <w:color w:val="000000"/>
              </w:rPr>
              <w:t>.0</w:t>
            </w:r>
            <w:r>
              <w:rPr>
                <w:rFonts w:ascii="Calibri" w:hAnsi="Calibri" w:cs="Calibri"/>
                <w:color w:val="000000"/>
              </w:rPr>
              <w:t>8</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w:t>
            </w:r>
            <w:r>
              <w:rPr>
                <w:rFonts w:ascii="Calibri" w:hAnsi="Calibri" w:cs="Calibri"/>
                <w:color w:val="000000"/>
              </w:rPr>
              <w:t>32632</w:t>
            </w:r>
          </w:p>
          <w:p w14:paraId="017F8E32" w14:textId="77777777" w:rsidR="007A0D8D" w:rsidRPr="002048A7" w:rsidRDefault="007A0D8D" w:rsidP="007A0D8D">
            <w:pPr>
              <w:rPr>
                <w:rFonts w:cstheme="minorHAnsi"/>
                <w:b/>
                <w:color w:val="000000" w:themeColor="text1"/>
              </w:rPr>
            </w:pPr>
            <w:r w:rsidRPr="002048A7">
              <w:rPr>
                <w:rFonts w:ascii="Calibri" w:hAnsi="Calibri" w:cs="Calibri"/>
                <w:color w:val="000000"/>
              </w:rPr>
              <w:t>0</w:t>
            </w:r>
            <w:r>
              <w:rPr>
                <w:rFonts w:ascii="Calibri" w:hAnsi="Calibri" w:cs="Calibri"/>
                <w:color w:val="000000"/>
              </w:rPr>
              <w:t>8</w:t>
            </w:r>
            <w:r w:rsidRPr="002048A7">
              <w:rPr>
                <w:rFonts w:ascii="Calibri" w:hAnsi="Calibri" w:cs="Calibri"/>
                <w:color w:val="000000"/>
              </w:rPr>
              <w:t>.0</w:t>
            </w:r>
            <w:r>
              <w:rPr>
                <w:rFonts w:ascii="Calibri" w:hAnsi="Calibri" w:cs="Calibri"/>
                <w:color w:val="000000"/>
              </w:rPr>
              <w:t>8</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w:t>
            </w:r>
            <w:r>
              <w:rPr>
                <w:rFonts w:ascii="Calibri" w:hAnsi="Calibri" w:cs="Calibri"/>
                <w:color w:val="000000"/>
              </w:rPr>
              <w:t>12799-1/2</w:t>
            </w:r>
          </w:p>
        </w:tc>
        <w:tc>
          <w:tcPr>
            <w:tcW w:w="7365" w:type="dxa"/>
            <w:tcBorders>
              <w:top w:val="single" w:sz="4" w:space="0" w:color="auto"/>
              <w:left w:val="single" w:sz="4" w:space="0" w:color="auto"/>
              <w:bottom w:val="single" w:sz="4" w:space="0" w:color="auto"/>
              <w:right w:val="single" w:sz="4" w:space="0" w:color="auto"/>
            </w:tcBorders>
            <w:hideMark/>
          </w:tcPr>
          <w:p w14:paraId="157EB85B" w14:textId="77777777" w:rsidR="007A0D8D" w:rsidRPr="00F45E83" w:rsidRDefault="007A0D8D" w:rsidP="007A0D8D">
            <w:pPr>
              <w:rPr>
                <w:rFonts w:cstheme="minorHAnsi"/>
                <w:color w:val="000000" w:themeColor="text1"/>
              </w:rPr>
            </w:pPr>
            <w:r w:rsidRPr="00F45E83">
              <w:rPr>
                <w:rFonts w:cstheme="minorHAnsi"/>
                <w:color w:val="000000" w:themeColor="text1"/>
              </w:rPr>
              <w:t>OSB Dağıtım ve OSB Üretim Lisans Başvurularında Sunulması Gereken Bilgi ve Belgeler Listesi Hakkında</w:t>
            </w:r>
          </w:p>
        </w:tc>
      </w:tr>
      <w:tr w:rsidR="007A0D8D" w:rsidRPr="002048A7" w14:paraId="73B732FC" w14:textId="77777777" w:rsidTr="002806A0">
        <w:tc>
          <w:tcPr>
            <w:tcW w:w="2547" w:type="dxa"/>
            <w:tcBorders>
              <w:top w:val="single" w:sz="4" w:space="0" w:color="auto"/>
              <w:left w:val="single" w:sz="4" w:space="0" w:color="auto"/>
              <w:bottom w:val="single" w:sz="4" w:space="0" w:color="auto"/>
              <w:right w:val="single" w:sz="4" w:space="0" w:color="auto"/>
            </w:tcBorders>
          </w:tcPr>
          <w:p w14:paraId="17030A73" w14:textId="77777777" w:rsidR="007A0D8D" w:rsidRPr="002048A7" w:rsidRDefault="007A0D8D" w:rsidP="007A0D8D">
            <w:pPr>
              <w:rPr>
                <w:rFonts w:ascii="Calibri" w:hAnsi="Calibri" w:cs="Calibri"/>
                <w:color w:val="000000"/>
              </w:rPr>
            </w:pPr>
            <w:r>
              <w:rPr>
                <w:rFonts w:ascii="Calibri" w:hAnsi="Calibri" w:cs="Calibri"/>
                <w:color w:val="000000"/>
              </w:rPr>
              <w:t>14</w:t>
            </w:r>
            <w:r w:rsidRPr="002048A7">
              <w:rPr>
                <w:rFonts w:ascii="Calibri" w:hAnsi="Calibri" w:cs="Calibri"/>
                <w:color w:val="000000"/>
              </w:rPr>
              <w:t>.0</w:t>
            </w:r>
            <w:r>
              <w:rPr>
                <w:rFonts w:ascii="Calibri" w:hAnsi="Calibri" w:cs="Calibri"/>
                <w:color w:val="000000"/>
              </w:rPr>
              <w:t>8</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w:t>
            </w:r>
            <w:r>
              <w:rPr>
                <w:rFonts w:ascii="Calibri" w:hAnsi="Calibri" w:cs="Calibri"/>
                <w:color w:val="000000"/>
              </w:rPr>
              <w:t>32632</w:t>
            </w:r>
          </w:p>
          <w:p w14:paraId="6AB4949F" w14:textId="77777777" w:rsidR="007A0D8D" w:rsidRPr="00FB5103" w:rsidRDefault="007A0D8D" w:rsidP="007A0D8D">
            <w:pPr>
              <w:rPr>
                <w:rFonts w:ascii="Calibri" w:hAnsi="Calibri" w:cs="Calibri"/>
                <w:color w:val="000000"/>
              </w:rPr>
            </w:pPr>
            <w:r w:rsidRPr="002048A7">
              <w:rPr>
                <w:rFonts w:ascii="Calibri" w:hAnsi="Calibri" w:cs="Calibri"/>
                <w:color w:val="000000"/>
              </w:rPr>
              <w:t>0</w:t>
            </w:r>
            <w:r>
              <w:rPr>
                <w:rFonts w:ascii="Calibri" w:hAnsi="Calibri" w:cs="Calibri"/>
                <w:color w:val="000000"/>
              </w:rPr>
              <w:t>8</w:t>
            </w:r>
            <w:r w:rsidRPr="002048A7">
              <w:rPr>
                <w:rFonts w:ascii="Calibri" w:hAnsi="Calibri" w:cs="Calibri"/>
                <w:color w:val="000000"/>
              </w:rPr>
              <w:t>.0</w:t>
            </w:r>
            <w:r>
              <w:rPr>
                <w:rFonts w:ascii="Calibri" w:hAnsi="Calibri" w:cs="Calibri"/>
                <w:color w:val="000000"/>
              </w:rPr>
              <w:t>8</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w:t>
            </w:r>
            <w:r>
              <w:rPr>
                <w:rFonts w:ascii="Calibri" w:hAnsi="Calibri" w:cs="Calibri"/>
                <w:color w:val="000000"/>
              </w:rPr>
              <w:t>12799-3</w:t>
            </w:r>
          </w:p>
        </w:tc>
        <w:tc>
          <w:tcPr>
            <w:tcW w:w="7365" w:type="dxa"/>
            <w:tcBorders>
              <w:top w:val="single" w:sz="4" w:space="0" w:color="auto"/>
              <w:left w:val="single" w:sz="4" w:space="0" w:color="auto"/>
              <w:bottom w:val="single" w:sz="4" w:space="0" w:color="auto"/>
              <w:right w:val="single" w:sz="4" w:space="0" w:color="auto"/>
            </w:tcBorders>
          </w:tcPr>
          <w:p w14:paraId="2CB69678" w14:textId="77777777" w:rsidR="007A0D8D" w:rsidRPr="00D97311" w:rsidRDefault="007A0D8D" w:rsidP="007A0D8D">
            <w:pPr>
              <w:rPr>
                <w:rFonts w:ascii="Calibri" w:hAnsi="Calibri" w:cs="Calibri"/>
                <w:color w:val="000000"/>
              </w:rPr>
            </w:pPr>
            <w:r w:rsidRPr="00D97311">
              <w:rPr>
                <w:rFonts w:ascii="Calibri" w:hAnsi="Calibri" w:cs="Calibri"/>
                <w:color w:val="000000"/>
              </w:rPr>
              <w:t>OSB / EB önlisans, OSB üretim lisansı ve EB üretim lisansı başvurularında sunulması gereken teminat mektubu tutarları hk.</w:t>
            </w:r>
          </w:p>
        </w:tc>
      </w:tr>
      <w:tr w:rsidR="007A0D8D" w:rsidRPr="002048A7" w14:paraId="212B3870" w14:textId="77777777" w:rsidTr="002806A0">
        <w:tc>
          <w:tcPr>
            <w:tcW w:w="2547" w:type="dxa"/>
            <w:tcBorders>
              <w:top w:val="single" w:sz="4" w:space="0" w:color="auto"/>
              <w:left w:val="single" w:sz="4" w:space="0" w:color="auto"/>
              <w:bottom w:val="single" w:sz="4" w:space="0" w:color="auto"/>
              <w:right w:val="single" w:sz="4" w:space="0" w:color="auto"/>
            </w:tcBorders>
          </w:tcPr>
          <w:p w14:paraId="562BF2FE" w14:textId="77777777" w:rsidR="007A0D8D" w:rsidRPr="002048A7" w:rsidRDefault="007A0D8D" w:rsidP="007A0D8D">
            <w:pPr>
              <w:rPr>
                <w:rFonts w:ascii="Calibri" w:hAnsi="Calibri" w:cs="Calibri"/>
                <w:color w:val="000000"/>
              </w:rPr>
            </w:pPr>
            <w:r>
              <w:rPr>
                <w:rFonts w:ascii="Calibri" w:hAnsi="Calibri" w:cs="Calibri"/>
                <w:color w:val="000000"/>
              </w:rPr>
              <w:t>14</w:t>
            </w:r>
            <w:r w:rsidRPr="002048A7">
              <w:rPr>
                <w:rFonts w:ascii="Calibri" w:hAnsi="Calibri" w:cs="Calibri"/>
                <w:color w:val="000000"/>
              </w:rPr>
              <w:t>.0</w:t>
            </w:r>
            <w:r>
              <w:rPr>
                <w:rFonts w:ascii="Calibri" w:hAnsi="Calibri" w:cs="Calibri"/>
                <w:color w:val="000000"/>
              </w:rPr>
              <w:t>8</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w:t>
            </w:r>
            <w:r>
              <w:rPr>
                <w:rFonts w:ascii="Calibri" w:hAnsi="Calibri" w:cs="Calibri"/>
                <w:color w:val="000000"/>
              </w:rPr>
              <w:t>32632</w:t>
            </w:r>
          </w:p>
          <w:p w14:paraId="6F15E771" w14:textId="77777777" w:rsidR="007A0D8D" w:rsidRDefault="007A0D8D" w:rsidP="007A0D8D">
            <w:r w:rsidRPr="002048A7">
              <w:rPr>
                <w:rFonts w:ascii="Calibri" w:hAnsi="Calibri" w:cs="Calibri"/>
                <w:color w:val="000000"/>
              </w:rPr>
              <w:t>0</w:t>
            </w:r>
            <w:r>
              <w:rPr>
                <w:rFonts w:ascii="Calibri" w:hAnsi="Calibri" w:cs="Calibri"/>
                <w:color w:val="000000"/>
              </w:rPr>
              <w:t>8</w:t>
            </w:r>
            <w:r w:rsidRPr="002048A7">
              <w:rPr>
                <w:rFonts w:ascii="Calibri" w:hAnsi="Calibri" w:cs="Calibri"/>
                <w:color w:val="000000"/>
              </w:rPr>
              <w:t>.0</w:t>
            </w:r>
            <w:r>
              <w:rPr>
                <w:rFonts w:ascii="Calibri" w:hAnsi="Calibri" w:cs="Calibri"/>
                <w:color w:val="000000"/>
              </w:rPr>
              <w:t>8</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w:t>
            </w:r>
            <w:r>
              <w:rPr>
                <w:rFonts w:ascii="Calibri" w:hAnsi="Calibri" w:cs="Calibri"/>
                <w:color w:val="000000"/>
              </w:rPr>
              <w:t>12799-4</w:t>
            </w:r>
          </w:p>
        </w:tc>
        <w:tc>
          <w:tcPr>
            <w:tcW w:w="7365" w:type="dxa"/>
            <w:tcBorders>
              <w:top w:val="single" w:sz="4" w:space="0" w:color="auto"/>
              <w:left w:val="single" w:sz="4" w:space="0" w:color="auto"/>
              <w:bottom w:val="single" w:sz="4" w:space="0" w:color="auto"/>
              <w:right w:val="single" w:sz="4" w:space="0" w:color="auto"/>
            </w:tcBorders>
          </w:tcPr>
          <w:p w14:paraId="365CCCD8" w14:textId="77777777" w:rsidR="007A0D8D" w:rsidRPr="00D97311" w:rsidRDefault="007A0D8D" w:rsidP="007A0D8D">
            <w:pPr>
              <w:rPr>
                <w:rFonts w:ascii="Calibri" w:hAnsi="Calibri" w:cs="Calibri"/>
                <w:color w:val="000000"/>
              </w:rPr>
            </w:pPr>
            <w:r w:rsidRPr="00D97311">
              <w:rPr>
                <w:rFonts w:ascii="Calibri" w:hAnsi="Calibri" w:cs="Calibri"/>
                <w:color w:val="000000"/>
              </w:rPr>
              <w:t xml:space="preserve">OSB veya EB Dağıtım Faaliyeti İçin Lisans Başvurularında Sunulması Gereken Bilgi ve Belgeler Listesi Hk.  </w:t>
            </w:r>
          </w:p>
        </w:tc>
      </w:tr>
      <w:tr w:rsidR="007A0D8D" w:rsidRPr="002048A7" w14:paraId="1B46F6EE" w14:textId="77777777" w:rsidTr="002806A0">
        <w:tc>
          <w:tcPr>
            <w:tcW w:w="2547" w:type="dxa"/>
            <w:tcBorders>
              <w:top w:val="single" w:sz="4" w:space="0" w:color="auto"/>
              <w:left w:val="single" w:sz="4" w:space="0" w:color="auto"/>
              <w:bottom w:val="single" w:sz="4" w:space="0" w:color="auto"/>
              <w:right w:val="single" w:sz="4" w:space="0" w:color="auto"/>
            </w:tcBorders>
          </w:tcPr>
          <w:p w14:paraId="1220DC7C" w14:textId="77777777" w:rsidR="007A0D8D" w:rsidRPr="002048A7" w:rsidRDefault="007A0D8D" w:rsidP="007A0D8D">
            <w:pPr>
              <w:rPr>
                <w:rFonts w:ascii="Calibri" w:hAnsi="Calibri" w:cs="Calibri"/>
                <w:color w:val="000000"/>
              </w:rPr>
            </w:pPr>
            <w:r>
              <w:rPr>
                <w:rFonts w:ascii="Calibri" w:hAnsi="Calibri" w:cs="Calibri"/>
                <w:color w:val="000000"/>
              </w:rPr>
              <w:t>14</w:t>
            </w:r>
            <w:r w:rsidRPr="002048A7">
              <w:rPr>
                <w:rFonts w:ascii="Calibri" w:hAnsi="Calibri" w:cs="Calibri"/>
                <w:color w:val="000000"/>
              </w:rPr>
              <w:t>.0</w:t>
            </w:r>
            <w:r>
              <w:rPr>
                <w:rFonts w:ascii="Calibri" w:hAnsi="Calibri" w:cs="Calibri"/>
                <w:color w:val="000000"/>
              </w:rPr>
              <w:t>8</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w:t>
            </w:r>
            <w:r>
              <w:rPr>
                <w:rFonts w:ascii="Calibri" w:hAnsi="Calibri" w:cs="Calibri"/>
                <w:color w:val="000000"/>
              </w:rPr>
              <w:t>32632</w:t>
            </w:r>
          </w:p>
          <w:p w14:paraId="11B73294" w14:textId="77777777" w:rsidR="007A0D8D" w:rsidRPr="00FB5103" w:rsidRDefault="007A0D8D" w:rsidP="007A0D8D">
            <w:pPr>
              <w:rPr>
                <w:rFonts w:ascii="Calibri" w:hAnsi="Calibri" w:cs="Calibri"/>
                <w:color w:val="000000"/>
              </w:rPr>
            </w:pPr>
            <w:r w:rsidRPr="002048A7">
              <w:rPr>
                <w:rFonts w:ascii="Calibri" w:hAnsi="Calibri" w:cs="Calibri"/>
                <w:color w:val="000000"/>
              </w:rPr>
              <w:t>0</w:t>
            </w:r>
            <w:r>
              <w:rPr>
                <w:rFonts w:ascii="Calibri" w:hAnsi="Calibri" w:cs="Calibri"/>
                <w:color w:val="000000"/>
              </w:rPr>
              <w:t>8</w:t>
            </w:r>
            <w:r w:rsidRPr="002048A7">
              <w:rPr>
                <w:rFonts w:ascii="Calibri" w:hAnsi="Calibri" w:cs="Calibri"/>
                <w:color w:val="000000"/>
              </w:rPr>
              <w:t>.0</w:t>
            </w:r>
            <w:r>
              <w:rPr>
                <w:rFonts w:ascii="Calibri" w:hAnsi="Calibri" w:cs="Calibri"/>
                <w:color w:val="000000"/>
              </w:rPr>
              <w:t>8</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w:t>
            </w:r>
            <w:r>
              <w:rPr>
                <w:rFonts w:ascii="Calibri" w:hAnsi="Calibri" w:cs="Calibri"/>
                <w:color w:val="000000"/>
              </w:rPr>
              <w:t>12799-5</w:t>
            </w:r>
          </w:p>
        </w:tc>
        <w:tc>
          <w:tcPr>
            <w:tcW w:w="7365" w:type="dxa"/>
            <w:tcBorders>
              <w:top w:val="single" w:sz="4" w:space="0" w:color="auto"/>
              <w:left w:val="single" w:sz="4" w:space="0" w:color="auto"/>
              <w:bottom w:val="single" w:sz="4" w:space="0" w:color="auto"/>
              <w:right w:val="single" w:sz="4" w:space="0" w:color="auto"/>
            </w:tcBorders>
          </w:tcPr>
          <w:p w14:paraId="3C1C0DB7" w14:textId="77777777" w:rsidR="007A0D8D" w:rsidRPr="00D97311" w:rsidRDefault="007A0D8D" w:rsidP="007A0D8D">
            <w:pPr>
              <w:rPr>
                <w:rFonts w:ascii="Calibri" w:hAnsi="Calibri" w:cs="Calibri"/>
                <w:color w:val="000000"/>
              </w:rPr>
            </w:pPr>
            <w:r w:rsidRPr="00D97311">
              <w:rPr>
                <w:rFonts w:ascii="Calibri" w:hAnsi="Calibri" w:cs="Calibri"/>
                <w:color w:val="000000"/>
              </w:rPr>
              <w:t>OSB veya EB Dağıtım Faaliyeti İçin Lisans Tadil Başvurularında Sunulması Gereken Bilgi ve Belgeler Listesi Hk.</w:t>
            </w:r>
          </w:p>
        </w:tc>
      </w:tr>
      <w:tr w:rsidR="007A0D8D" w:rsidRPr="002048A7" w14:paraId="52E68551" w14:textId="77777777" w:rsidTr="002806A0">
        <w:tc>
          <w:tcPr>
            <w:tcW w:w="2547" w:type="dxa"/>
            <w:tcBorders>
              <w:top w:val="single" w:sz="4" w:space="0" w:color="auto"/>
              <w:left w:val="single" w:sz="4" w:space="0" w:color="auto"/>
              <w:bottom w:val="single" w:sz="4" w:space="0" w:color="auto"/>
              <w:right w:val="single" w:sz="4" w:space="0" w:color="auto"/>
            </w:tcBorders>
          </w:tcPr>
          <w:p w14:paraId="0C7BCCF3" w14:textId="77777777" w:rsidR="007A0D8D" w:rsidRPr="002048A7" w:rsidRDefault="007A0D8D" w:rsidP="007A0D8D">
            <w:pPr>
              <w:rPr>
                <w:rFonts w:ascii="Calibri" w:hAnsi="Calibri" w:cs="Calibri"/>
                <w:color w:val="000000"/>
              </w:rPr>
            </w:pPr>
            <w:r>
              <w:rPr>
                <w:rFonts w:ascii="Calibri" w:hAnsi="Calibri" w:cs="Calibri"/>
                <w:color w:val="000000"/>
              </w:rPr>
              <w:t>14</w:t>
            </w:r>
            <w:r w:rsidRPr="002048A7">
              <w:rPr>
                <w:rFonts w:ascii="Calibri" w:hAnsi="Calibri" w:cs="Calibri"/>
                <w:color w:val="000000"/>
              </w:rPr>
              <w:t>.0</w:t>
            </w:r>
            <w:r>
              <w:rPr>
                <w:rFonts w:ascii="Calibri" w:hAnsi="Calibri" w:cs="Calibri"/>
                <w:color w:val="000000"/>
              </w:rPr>
              <w:t>8</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w:t>
            </w:r>
            <w:r>
              <w:rPr>
                <w:rFonts w:ascii="Calibri" w:hAnsi="Calibri" w:cs="Calibri"/>
                <w:color w:val="000000"/>
              </w:rPr>
              <w:t>32632</w:t>
            </w:r>
          </w:p>
          <w:p w14:paraId="04723A82" w14:textId="77777777" w:rsidR="007A0D8D" w:rsidRDefault="007A0D8D" w:rsidP="007A0D8D">
            <w:r w:rsidRPr="002048A7">
              <w:rPr>
                <w:rFonts w:ascii="Calibri" w:hAnsi="Calibri" w:cs="Calibri"/>
                <w:color w:val="000000"/>
              </w:rPr>
              <w:t>0</w:t>
            </w:r>
            <w:r>
              <w:rPr>
                <w:rFonts w:ascii="Calibri" w:hAnsi="Calibri" w:cs="Calibri"/>
                <w:color w:val="000000"/>
              </w:rPr>
              <w:t>8</w:t>
            </w:r>
            <w:r w:rsidRPr="002048A7">
              <w:rPr>
                <w:rFonts w:ascii="Calibri" w:hAnsi="Calibri" w:cs="Calibri"/>
                <w:color w:val="000000"/>
              </w:rPr>
              <w:t>.0</w:t>
            </w:r>
            <w:r>
              <w:rPr>
                <w:rFonts w:ascii="Calibri" w:hAnsi="Calibri" w:cs="Calibri"/>
                <w:color w:val="000000"/>
              </w:rPr>
              <w:t>8</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w:t>
            </w:r>
            <w:r>
              <w:rPr>
                <w:rFonts w:ascii="Calibri" w:hAnsi="Calibri" w:cs="Calibri"/>
                <w:color w:val="000000"/>
              </w:rPr>
              <w:t>12799-7</w:t>
            </w:r>
          </w:p>
        </w:tc>
        <w:tc>
          <w:tcPr>
            <w:tcW w:w="7365" w:type="dxa"/>
            <w:tcBorders>
              <w:top w:val="single" w:sz="4" w:space="0" w:color="auto"/>
              <w:left w:val="single" w:sz="4" w:space="0" w:color="auto"/>
              <w:bottom w:val="single" w:sz="4" w:space="0" w:color="auto"/>
              <w:right w:val="single" w:sz="4" w:space="0" w:color="auto"/>
            </w:tcBorders>
          </w:tcPr>
          <w:p w14:paraId="2D3B317E" w14:textId="77777777" w:rsidR="007A0D8D" w:rsidRPr="00D97311" w:rsidRDefault="007A0D8D" w:rsidP="007A0D8D">
            <w:pPr>
              <w:rPr>
                <w:rFonts w:ascii="Calibri" w:hAnsi="Calibri" w:cs="Calibri"/>
                <w:color w:val="000000"/>
              </w:rPr>
            </w:pPr>
            <w:r w:rsidRPr="00D97311">
              <w:rPr>
                <w:rFonts w:ascii="Calibri" w:hAnsi="Calibri" w:cs="Calibri"/>
                <w:color w:val="000000"/>
              </w:rPr>
              <w:t>OSB veya EB Üretim Faaliyeti İçin Önlisans ve Lisans Başvurularında Sunulması Gereken Bilgi ve Belgeler Listesi Hk.</w:t>
            </w:r>
          </w:p>
        </w:tc>
      </w:tr>
      <w:tr w:rsidR="007A0D8D" w:rsidRPr="002048A7" w14:paraId="05FEDD83" w14:textId="77777777" w:rsidTr="002806A0">
        <w:tc>
          <w:tcPr>
            <w:tcW w:w="2547" w:type="dxa"/>
            <w:tcBorders>
              <w:top w:val="single" w:sz="4" w:space="0" w:color="auto"/>
              <w:left w:val="single" w:sz="4" w:space="0" w:color="auto"/>
              <w:bottom w:val="single" w:sz="4" w:space="0" w:color="auto"/>
              <w:right w:val="single" w:sz="4" w:space="0" w:color="auto"/>
            </w:tcBorders>
          </w:tcPr>
          <w:p w14:paraId="70954665" w14:textId="77777777" w:rsidR="007A0D8D" w:rsidRPr="002048A7" w:rsidRDefault="007A0D8D" w:rsidP="007A0D8D">
            <w:pPr>
              <w:rPr>
                <w:rFonts w:ascii="Calibri" w:hAnsi="Calibri" w:cs="Calibri"/>
                <w:color w:val="000000"/>
              </w:rPr>
            </w:pPr>
            <w:r>
              <w:rPr>
                <w:rFonts w:ascii="Calibri" w:hAnsi="Calibri" w:cs="Calibri"/>
                <w:color w:val="000000"/>
              </w:rPr>
              <w:t>14</w:t>
            </w:r>
            <w:r w:rsidRPr="002048A7">
              <w:rPr>
                <w:rFonts w:ascii="Calibri" w:hAnsi="Calibri" w:cs="Calibri"/>
                <w:color w:val="000000"/>
              </w:rPr>
              <w:t>.0</w:t>
            </w:r>
            <w:r>
              <w:rPr>
                <w:rFonts w:ascii="Calibri" w:hAnsi="Calibri" w:cs="Calibri"/>
                <w:color w:val="000000"/>
              </w:rPr>
              <w:t>8</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w:t>
            </w:r>
            <w:r>
              <w:rPr>
                <w:rFonts w:ascii="Calibri" w:hAnsi="Calibri" w:cs="Calibri"/>
                <w:color w:val="000000"/>
              </w:rPr>
              <w:t>32632</w:t>
            </w:r>
          </w:p>
          <w:p w14:paraId="29BA85F5" w14:textId="77777777" w:rsidR="007A0D8D" w:rsidRDefault="007A0D8D" w:rsidP="007A0D8D">
            <w:r w:rsidRPr="002048A7">
              <w:rPr>
                <w:rFonts w:ascii="Calibri" w:hAnsi="Calibri" w:cs="Calibri"/>
                <w:color w:val="000000"/>
              </w:rPr>
              <w:t>0</w:t>
            </w:r>
            <w:r>
              <w:rPr>
                <w:rFonts w:ascii="Calibri" w:hAnsi="Calibri" w:cs="Calibri"/>
                <w:color w:val="000000"/>
              </w:rPr>
              <w:t>8</w:t>
            </w:r>
            <w:r w:rsidRPr="002048A7">
              <w:rPr>
                <w:rFonts w:ascii="Calibri" w:hAnsi="Calibri" w:cs="Calibri"/>
                <w:color w:val="000000"/>
              </w:rPr>
              <w:t>.0</w:t>
            </w:r>
            <w:r>
              <w:rPr>
                <w:rFonts w:ascii="Calibri" w:hAnsi="Calibri" w:cs="Calibri"/>
                <w:color w:val="000000"/>
              </w:rPr>
              <w:t>8</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w:t>
            </w:r>
            <w:r>
              <w:rPr>
                <w:rFonts w:ascii="Calibri" w:hAnsi="Calibri" w:cs="Calibri"/>
                <w:color w:val="000000"/>
              </w:rPr>
              <w:t>12799-9</w:t>
            </w:r>
          </w:p>
        </w:tc>
        <w:tc>
          <w:tcPr>
            <w:tcW w:w="7365" w:type="dxa"/>
            <w:tcBorders>
              <w:top w:val="single" w:sz="4" w:space="0" w:color="auto"/>
              <w:left w:val="single" w:sz="4" w:space="0" w:color="auto"/>
              <w:bottom w:val="single" w:sz="4" w:space="0" w:color="auto"/>
              <w:right w:val="single" w:sz="4" w:space="0" w:color="auto"/>
            </w:tcBorders>
          </w:tcPr>
          <w:p w14:paraId="73B1C5D1" w14:textId="77777777" w:rsidR="007A0D8D" w:rsidRPr="00D97311" w:rsidRDefault="007A0D8D" w:rsidP="007A0D8D">
            <w:pPr>
              <w:rPr>
                <w:rFonts w:ascii="Calibri" w:hAnsi="Calibri" w:cs="Calibri"/>
                <w:color w:val="000000"/>
              </w:rPr>
            </w:pPr>
            <w:r w:rsidRPr="00D97311">
              <w:rPr>
                <w:rFonts w:ascii="Calibri" w:hAnsi="Calibri" w:cs="Calibri"/>
                <w:color w:val="000000"/>
              </w:rPr>
              <w:t>OSB veya EB Üretim Faaliyeti İçin Önlisans ve Lisans Tadil Başvurularında Sunulması Gereken Bilgi ve Belgeler Listesi</w:t>
            </w:r>
            <w:r>
              <w:rPr>
                <w:rFonts w:ascii="Segoe UI" w:hAnsi="Segoe UI" w:cs="Segoe UI"/>
                <w:color w:val="000000"/>
                <w:sz w:val="20"/>
                <w:szCs w:val="20"/>
                <w:shd w:val="clear" w:color="auto" w:fill="F1F1F1"/>
              </w:rPr>
              <w:t> </w:t>
            </w:r>
          </w:p>
        </w:tc>
      </w:tr>
      <w:tr w:rsidR="007A0D8D" w:rsidRPr="002048A7" w14:paraId="2E4EEAF7" w14:textId="77777777" w:rsidTr="002806A0">
        <w:tc>
          <w:tcPr>
            <w:tcW w:w="2547" w:type="dxa"/>
            <w:tcBorders>
              <w:top w:val="single" w:sz="4" w:space="0" w:color="auto"/>
              <w:left w:val="single" w:sz="4" w:space="0" w:color="auto"/>
              <w:bottom w:val="single" w:sz="4" w:space="0" w:color="auto"/>
              <w:right w:val="single" w:sz="4" w:space="0" w:color="auto"/>
            </w:tcBorders>
          </w:tcPr>
          <w:p w14:paraId="1D84A45D" w14:textId="77777777" w:rsidR="007A0D8D" w:rsidRDefault="007A0D8D" w:rsidP="007A0D8D">
            <w:pPr>
              <w:rPr>
                <w:rFonts w:ascii="Calibri" w:hAnsi="Calibri" w:cs="Calibri"/>
                <w:color w:val="000000"/>
              </w:rPr>
            </w:pPr>
            <w:r>
              <w:rPr>
                <w:rFonts w:ascii="Calibri" w:hAnsi="Calibri" w:cs="Calibri"/>
                <w:color w:val="000000"/>
              </w:rPr>
              <w:t>09.11.2024/32717</w:t>
            </w:r>
          </w:p>
          <w:p w14:paraId="04A238FD" w14:textId="77777777" w:rsidR="007A0D8D" w:rsidRDefault="007A0D8D" w:rsidP="007A0D8D">
            <w:pPr>
              <w:rPr>
                <w:rFonts w:ascii="Calibri" w:hAnsi="Calibri" w:cs="Calibri"/>
                <w:color w:val="000000"/>
              </w:rPr>
            </w:pPr>
            <w:r>
              <w:rPr>
                <w:rFonts w:ascii="Calibri" w:hAnsi="Calibri" w:cs="Calibri"/>
                <w:color w:val="000000"/>
              </w:rPr>
              <w:t>07.11.2024/12993</w:t>
            </w:r>
          </w:p>
        </w:tc>
        <w:tc>
          <w:tcPr>
            <w:tcW w:w="7365" w:type="dxa"/>
            <w:tcBorders>
              <w:top w:val="single" w:sz="4" w:space="0" w:color="auto"/>
              <w:left w:val="single" w:sz="4" w:space="0" w:color="auto"/>
              <w:bottom w:val="single" w:sz="4" w:space="0" w:color="auto"/>
              <w:right w:val="single" w:sz="4" w:space="0" w:color="auto"/>
            </w:tcBorders>
          </w:tcPr>
          <w:p w14:paraId="5E70F409" w14:textId="77777777" w:rsidR="007A0D8D" w:rsidRDefault="007A0D8D" w:rsidP="007A0D8D">
            <w:pPr>
              <w:rPr>
                <w:rFonts w:ascii="Calibri" w:hAnsi="Calibri" w:cs="Calibri"/>
              </w:rPr>
            </w:pPr>
            <w:r w:rsidRPr="007A506E">
              <w:rPr>
                <w:rFonts w:ascii="Calibri" w:hAnsi="Calibri" w:cs="Calibri"/>
              </w:rPr>
              <w:t xml:space="preserve">Elektrik Piyasası Lisans Yönetmeliğinin (Yönetmelik) </w:t>
            </w:r>
            <w:proofErr w:type="gramStart"/>
            <w:r w:rsidRPr="007A506E">
              <w:rPr>
                <w:rFonts w:ascii="Calibri" w:hAnsi="Calibri" w:cs="Calibri"/>
              </w:rPr>
              <w:t>57 nci</w:t>
            </w:r>
            <w:proofErr w:type="gramEnd"/>
            <w:r w:rsidRPr="007A506E">
              <w:rPr>
                <w:rFonts w:ascii="Calibri" w:hAnsi="Calibri" w:cs="Calibri"/>
              </w:rPr>
              <w:t xml:space="preserve"> maddesinin birinci fıkrasının (c) bendi kapsamında %10 ve üzerinde değişiklikle yeni dolaylı ortağın gelmesi halinde ve (ı) bendi kapsamında yapılması planlanan pay devirlerine ilişkin</w:t>
            </w:r>
            <w:r>
              <w:rPr>
                <w:rFonts w:ascii="Calibri" w:hAnsi="Calibri" w:cs="Calibri"/>
              </w:rPr>
              <w:t xml:space="preserve"> karar</w:t>
            </w:r>
          </w:p>
        </w:tc>
      </w:tr>
      <w:tr w:rsidR="007A0D8D" w:rsidRPr="002048A7" w14:paraId="153D2158" w14:textId="77777777" w:rsidTr="002806A0">
        <w:tc>
          <w:tcPr>
            <w:tcW w:w="2547" w:type="dxa"/>
            <w:tcBorders>
              <w:top w:val="single" w:sz="4" w:space="0" w:color="auto"/>
              <w:left w:val="single" w:sz="4" w:space="0" w:color="auto"/>
              <w:bottom w:val="single" w:sz="4" w:space="0" w:color="auto"/>
              <w:right w:val="single" w:sz="4" w:space="0" w:color="auto"/>
            </w:tcBorders>
          </w:tcPr>
          <w:p w14:paraId="2498DC93" w14:textId="77777777" w:rsidR="007A0D8D" w:rsidRPr="002048A7" w:rsidRDefault="007A0D8D" w:rsidP="007A0D8D">
            <w:pPr>
              <w:rPr>
                <w:rFonts w:ascii="Calibri" w:hAnsi="Calibri" w:cs="Calibri"/>
                <w:color w:val="000000"/>
              </w:rPr>
            </w:pPr>
            <w:r>
              <w:rPr>
                <w:rFonts w:ascii="Calibri" w:hAnsi="Calibri" w:cs="Calibri"/>
                <w:color w:val="000000"/>
              </w:rPr>
              <w:t>17</w:t>
            </w:r>
            <w:r w:rsidRPr="002048A7">
              <w:rPr>
                <w:rFonts w:ascii="Calibri" w:hAnsi="Calibri" w:cs="Calibri"/>
                <w:color w:val="000000"/>
              </w:rPr>
              <w:t>.</w:t>
            </w:r>
            <w:r>
              <w:rPr>
                <w:rFonts w:ascii="Calibri" w:hAnsi="Calibri" w:cs="Calibri"/>
                <w:color w:val="000000"/>
              </w:rPr>
              <w:t>12</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w:t>
            </w:r>
            <w:r>
              <w:rPr>
                <w:rFonts w:ascii="Calibri" w:hAnsi="Calibri" w:cs="Calibri"/>
                <w:color w:val="000000"/>
              </w:rPr>
              <w:t>32755</w:t>
            </w:r>
          </w:p>
          <w:p w14:paraId="1752BAE3" w14:textId="77777777" w:rsidR="007A0D8D" w:rsidRDefault="007A0D8D" w:rsidP="007A0D8D">
            <w:pPr>
              <w:rPr>
                <w:rFonts w:ascii="Calibri" w:hAnsi="Calibri" w:cs="Calibri"/>
                <w:color w:val="000000"/>
              </w:rPr>
            </w:pPr>
            <w:r>
              <w:rPr>
                <w:rFonts w:ascii="Calibri" w:hAnsi="Calibri" w:cs="Calibri"/>
                <w:color w:val="000000"/>
              </w:rPr>
              <w:t>12</w:t>
            </w:r>
            <w:r w:rsidRPr="002048A7">
              <w:rPr>
                <w:rFonts w:ascii="Calibri" w:hAnsi="Calibri" w:cs="Calibri"/>
                <w:color w:val="000000"/>
              </w:rPr>
              <w:t>.</w:t>
            </w:r>
            <w:r>
              <w:rPr>
                <w:rFonts w:ascii="Calibri" w:hAnsi="Calibri" w:cs="Calibri"/>
                <w:color w:val="000000"/>
              </w:rPr>
              <w:t>12</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w:t>
            </w:r>
            <w:r>
              <w:rPr>
                <w:rFonts w:ascii="Calibri" w:hAnsi="Calibri" w:cs="Calibri"/>
                <w:color w:val="000000"/>
              </w:rPr>
              <w:t>13064</w:t>
            </w:r>
          </w:p>
        </w:tc>
        <w:tc>
          <w:tcPr>
            <w:tcW w:w="7365" w:type="dxa"/>
            <w:tcBorders>
              <w:top w:val="single" w:sz="4" w:space="0" w:color="auto"/>
              <w:left w:val="single" w:sz="4" w:space="0" w:color="auto"/>
              <w:bottom w:val="single" w:sz="4" w:space="0" w:color="auto"/>
              <w:right w:val="single" w:sz="4" w:space="0" w:color="auto"/>
            </w:tcBorders>
          </w:tcPr>
          <w:p w14:paraId="5BD854E1" w14:textId="68C5E36C" w:rsidR="007A0D8D" w:rsidRPr="00D97311" w:rsidRDefault="007A0D8D" w:rsidP="007A0D8D">
            <w:pPr>
              <w:rPr>
                <w:rFonts w:ascii="Calibri" w:hAnsi="Calibri" w:cs="Calibri"/>
                <w:color w:val="000000"/>
              </w:rPr>
            </w:pPr>
            <w:r w:rsidRPr="00D97311">
              <w:rPr>
                <w:rFonts w:ascii="Calibri" w:hAnsi="Calibri" w:cs="Calibri"/>
                <w:color w:val="000000"/>
              </w:rPr>
              <w:t xml:space="preserve">2025 yılı için </w:t>
            </w:r>
            <w:r w:rsidR="00FA0A5F">
              <w:rPr>
                <w:rFonts w:ascii="Calibri" w:hAnsi="Calibri" w:cs="Calibri"/>
                <w:color w:val="000000"/>
              </w:rPr>
              <w:t>l</w:t>
            </w:r>
            <w:r w:rsidRPr="00D97311">
              <w:rPr>
                <w:rFonts w:ascii="Calibri" w:hAnsi="Calibri" w:cs="Calibri"/>
                <w:color w:val="000000"/>
              </w:rPr>
              <w:t>isans sahibi bir tüzel kişinin bir takvim yılı içerisinde lisansına kayıtlı olan yıllık elektrik enerjisi üretim miktarının piyasada satabileceği oran</w:t>
            </w:r>
            <w:r w:rsidR="00FA0A5F">
              <w:rPr>
                <w:rFonts w:ascii="Calibri" w:hAnsi="Calibri" w:cs="Calibri"/>
                <w:color w:val="000000"/>
              </w:rPr>
              <w:t>ı</w:t>
            </w:r>
          </w:p>
        </w:tc>
      </w:tr>
      <w:tr w:rsidR="007A0D8D" w:rsidRPr="002048A7" w14:paraId="78058D75" w14:textId="77777777" w:rsidTr="002806A0">
        <w:tc>
          <w:tcPr>
            <w:tcW w:w="2547" w:type="dxa"/>
            <w:tcBorders>
              <w:top w:val="single" w:sz="4" w:space="0" w:color="auto"/>
              <w:left w:val="single" w:sz="4" w:space="0" w:color="auto"/>
              <w:bottom w:val="single" w:sz="4" w:space="0" w:color="auto"/>
              <w:right w:val="single" w:sz="4" w:space="0" w:color="auto"/>
            </w:tcBorders>
          </w:tcPr>
          <w:p w14:paraId="6534EC22" w14:textId="77777777" w:rsidR="007A0D8D" w:rsidRPr="002048A7" w:rsidRDefault="007A0D8D" w:rsidP="007A0D8D">
            <w:pPr>
              <w:rPr>
                <w:rFonts w:ascii="Calibri" w:hAnsi="Calibri" w:cs="Calibri"/>
                <w:color w:val="000000"/>
              </w:rPr>
            </w:pPr>
            <w:r>
              <w:rPr>
                <w:rFonts w:ascii="Calibri" w:hAnsi="Calibri" w:cs="Calibri"/>
                <w:color w:val="000000"/>
              </w:rPr>
              <w:lastRenderedPageBreak/>
              <w:t>17</w:t>
            </w:r>
            <w:r w:rsidRPr="002048A7">
              <w:rPr>
                <w:rFonts w:ascii="Calibri" w:hAnsi="Calibri" w:cs="Calibri"/>
                <w:color w:val="000000"/>
              </w:rPr>
              <w:t>.</w:t>
            </w:r>
            <w:r>
              <w:rPr>
                <w:rFonts w:ascii="Calibri" w:hAnsi="Calibri" w:cs="Calibri"/>
                <w:color w:val="000000"/>
              </w:rPr>
              <w:t>12</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w:t>
            </w:r>
            <w:r>
              <w:rPr>
                <w:rFonts w:ascii="Calibri" w:hAnsi="Calibri" w:cs="Calibri"/>
                <w:color w:val="000000"/>
              </w:rPr>
              <w:t>32755</w:t>
            </w:r>
          </w:p>
          <w:p w14:paraId="3A53B2E9" w14:textId="77777777" w:rsidR="007A0D8D" w:rsidRDefault="007A0D8D" w:rsidP="007A0D8D">
            <w:pPr>
              <w:rPr>
                <w:rFonts w:ascii="Calibri" w:hAnsi="Calibri" w:cs="Calibri"/>
                <w:color w:val="000000"/>
              </w:rPr>
            </w:pPr>
            <w:r>
              <w:rPr>
                <w:rFonts w:ascii="Calibri" w:hAnsi="Calibri" w:cs="Calibri"/>
                <w:color w:val="000000"/>
              </w:rPr>
              <w:t>12</w:t>
            </w:r>
            <w:r w:rsidRPr="002048A7">
              <w:rPr>
                <w:rFonts w:ascii="Calibri" w:hAnsi="Calibri" w:cs="Calibri"/>
                <w:color w:val="000000"/>
              </w:rPr>
              <w:t>.</w:t>
            </w:r>
            <w:r>
              <w:rPr>
                <w:rFonts w:ascii="Calibri" w:hAnsi="Calibri" w:cs="Calibri"/>
                <w:color w:val="000000"/>
              </w:rPr>
              <w:t>12</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w:t>
            </w:r>
            <w:r>
              <w:rPr>
                <w:rFonts w:ascii="Calibri" w:hAnsi="Calibri" w:cs="Calibri"/>
                <w:color w:val="000000"/>
              </w:rPr>
              <w:t>13065</w:t>
            </w:r>
          </w:p>
        </w:tc>
        <w:tc>
          <w:tcPr>
            <w:tcW w:w="7365" w:type="dxa"/>
            <w:tcBorders>
              <w:top w:val="single" w:sz="4" w:space="0" w:color="auto"/>
              <w:left w:val="single" w:sz="4" w:space="0" w:color="auto"/>
              <w:bottom w:val="single" w:sz="4" w:space="0" w:color="auto"/>
              <w:right w:val="single" w:sz="4" w:space="0" w:color="auto"/>
            </w:tcBorders>
          </w:tcPr>
          <w:p w14:paraId="38037753" w14:textId="77777777" w:rsidR="007A0D8D" w:rsidRPr="00D97311" w:rsidRDefault="007A0D8D" w:rsidP="007A0D8D">
            <w:pPr>
              <w:rPr>
                <w:rFonts w:ascii="Calibri" w:hAnsi="Calibri" w:cs="Calibri"/>
                <w:color w:val="000000"/>
              </w:rPr>
            </w:pPr>
            <w:r w:rsidRPr="00B73428">
              <w:rPr>
                <w:rFonts w:ascii="Calibri" w:hAnsi="Calibri" w:cs="Calibri"/>
                <w:color w:val="000000"/>
              </w:rPr>
              <w:t xml:space="preserve">2025 yılı için uygulanacak serbest tüketici limiti  </w:t>
            </w:r>
          </w:p>
        </w:tc>
      </w:tr>
      <w:tr w:rsidR="007A0D8D" w:rsidRPr="002048A7" w14:paraId="63368BC9" w14:textId="77777777" w:rsidTr="002806A0">
        <w:tc>
          <w:tcPr>
            <w:tcW w:w="2547" w:type="dxa"/>
            <w:tcBorders>
              <w:top w:val="single" w:sz="4" w:space="0" w:color="auto"/>
              <w:left w:val="single" w:sz="4" w:space="0" w:color="auto"/>
              <w:bottom w:val="single" w:sz="4" w:space="0" w:color="auto"/>
              <w:right w:val="single" w:sz="4" w:space="0" w:color="auto"/>
            </w:tcBorders>
          </w:tcPr>
          <w:p w14:paraId="0810A756" w14:textId="77777777" w:rsidR="007A0D8D" w:rsidRDefault="007A0D8D" w:rsidP="007A0D8D">
            <w:pPr>
              <w:rPr>
                <w:rFonts w:ascii="Calibri" w:hAnsi="Calibri" w:cs="Calibri"/>
                <w:color w:val="000000"/>
              </w:rPr>
            </w:pPr>
            <w:r>
              <w:rPr>
                <w:rFonts w:ascii="Calibri" w:hAnsi="Calibri" w:cs="Calibri"/>
                <w:color w:val="000000"/>
              </w:rPr>
              <w:t>28.09.2024/32676</w:t>
            </w:r>
          </w:p>
          <w:p w14:paraId="01F03C07" w14:textId="77777777" w:rsidR="007A0D8D" w:rsidRPr="008B7E92" w:rsidRDefault="007A0D8D" w:rsidP="007A0D8D">
            <w:pPr>
              <w:rPr>
                <w:rFonts w:ascii="Calibri" w:hAnsi="Calibri" w:cs="Calibri"/>
                <w:color w:val="000000"/>
              </w:rPr>
            </w:pPr>
            <w:r w:rsidRPr="008B7E92">
              <w:rPr>
                <w:rFonts w:ascii="Calibri" w:hAnsi="Calibri" w:cs="Calibri"/>
                <w:color w:val="000000"/>
              </w:rPr>
              <w:t>26.09.2024/12899</w:t>
            </w:r>
          </w:p>
          <w:p w14:paraId="783B8B57" w14:textId="77777777" w:rsidR="007A0D8D" w:rsidRPr="008B7E92" w:rsidRDefault="007A0D8D" w:rsidP="007A0D8D">
            <w:pPr>
              <w:rPr>
                <w:rFonts w:ascii="Calibri" w:hAnsi="Calibri" w:cs="Calibri"/>
                <w:color w:val="000000"/>
              </w:rPr>
            </w:pPr>
          </w:p>
        </w:tc>
        <w:tc>
          <w:tcPr>
            <w:tcW w:w="7365" w:type="dxa"/>
            <w:tcBorders>
              <w:top w:val="single" w:sz="4" w:space="0" w:color="auto"/>
              <w:left w:val="single" w:sz="4" w:space="0" w:color="auto"/>
              <w:bottom w:val="single" w:sz="4" w:space="0" w:color="auto"/>
              <w:right w:val="single" w:sz="4" w:space="0" w:color="auto"/>
            </w:tcBorders>
          </w:tcPr>
          <w:p w14:paraId="1F5D8EA8" w14:textId="77777777" w:rsidR="007A0D8D" w:rsidRPr="00F67B35" w:rsidRDefault="007A0D8D" w:rsidP="007A0D8D">
            <w:pPr>
              <w:rPr>
                <w:rFonts w:ascii="Calibri" w:hAnsi="Calibri" w:cs="Calibri"/>
                <w:color w:val="000000"/>
              </w:rPr>
            </w:pPr>
            <w:r w:rsidRPr="00F3449C">
              <w:t xml:space="preserve">Olağanüstü </w:t>
            </w:r>
            <w:proofErr w:type="gramStart"/>
            <w:r w:rsidRPr="00F3449C">
              <w:t>hal</w:t>
            </w:r>
            <w:proofErr w:type="gramEnd"/>
            <w:r w:rsidRPr="00F3449C">
              <w:t xml:space="preserve"> kararı alınan ve/veya afet bölgesi ilan edilen illerde faaliyet gösteren görevli tedarik şirketleri, elektrik dağıtım şirketleri ve organize sanayi bölgeleri için avans ödeme yükümlülüklerinin ertelenmesi işlemleri hakkında ka</w:t>
            </w:r>
            <w:r w:rsidRPr="00F67B35">
              <w:t>rar</w:t>
            </w:r>
          </w:p>
        </w:tc>
      </w:tr>
      <w:tr w:rsidR="007A0D8D" w:rsidRPr="002048A7" w14:paraId="252849A1" w14:textId="77777777" w:rsidTr="002806A0">
        <w:tc>
          <w:tcPr>
            <w:tcW w:w="2547" w:type="dxa"/>
            <w:tcBorders>
              <w:top w:val="single" w:sz="4" w:space="0" w:color="auto"/>
              <w:left w:val="single" w:sz="4" w:space="0" w:color="auto"/>
              <w:bottom w:val="single" w:sz="4" w:space="0" w:color="auto"/>
              <w:right w:val="single" w:sz="4" w:space="0" w:color="auto"/>
            </w:tcBorders>
          </w:tcPr>
          <w:p w14:paraId="3E9D862C" w14:textId="77777777" w:rsidR="007A0D8D" w:rsidRPr="00A00A9D" w:rsidRDefault="007A0D8D" w:rsidP="007A0D8D">
            <w:pPr>
              <w:rPr>
                <w:rFonts w:ascii="Calibri" w:hAnsi="Calibri" w:cs="Calibri"/>
                <w:color w:val="000000"/>
              </w:rPr>
            </w:pPr>
            <w:r w:rsidRPr="00A00A9D">
              <w:rPr>
                <w:rFonts w:ascii="Calibri" w:hAnsi="Calibri" w:cs="Calibri"/>
                <w:color w:val="000000"/>
              </w:rPr>
              <w:t>28.12.2024/32766</w:t>
            </w:r>
          </w:p>
          <w:p w14:paraId="3C310BE5" w14:textId="77777777" w:rsidR="007A0D8D" w:rsidRPr="00F15E7E" w:rsidRDefault="007A0D8D" w:rsidP="007A0D8D">
            <w:pPr>
              <w:rPr>
                <w:rFonts w:ascii="Calibri" w:hAnsi="Calibri" w:cs="Calibri"/>
                <w:color w:val="000000"/>
              </w:rPr>
            </w:pPr>
            <w:r w:rsidRPr="00F15E7E">
              <w:rPr>
                <w:rFonts w:ascii="Calibri" w:hAnsi="Calibri" w:cs="Calibri"/>
                <w:color w:val="000000"/>
              </w:rPr>
              <w:t>26.12.2024/13130-1</w:t>
            </w:r>
          </w:p>
        </w:tc>
        <w:tc>
          <w:tcPr>
            <w:tcW w:w="7365" w:type="dxa"/>
            <w:tcBorders>
              <w:top w:val="single" w:sz="4" w:space="0" w:color="auto"/>
              <w:left w:val="single" w:sz="4" w:space="0" w:color="auto"/>
              <w:bottom w:val="single" w:sz="4" w:space="0" w:color="auto"/>
              <w:right w:val="single" w:sz="4" w:space="0" w:color="auto"/>
            </w:tcBorders>
          </w:tcPr>
          <w:p w14:paraId="40A215BA" w14:textId="77777777" w:rsidR="007A0D8D" w:rsidRPr="00A00A9D" w:rsidRDefault="007A0D8D" w:rsidP="007A0D8D">
            <w:pPr>
              <w:rPr>
                <w:rFonts w:ascii="Calibri" w:hAnsi="Calibri" w:cs="Calibri"/>
              </w:rPr>
            </w:pPr>
            <w:r w:rsidRPr="00A00A9D">
              <w:rPr>
                <w:rFonts w:ascii="Calibri" w:hAnsi="Calibri" w:cs="Calibri"/>
              </w:rPr>
              <w:t>27/06/2019 tarihli ve 8674 sayılı Kurul Kararı ile onaylanan “Önlisans ve Lisans İşlemleri İle İlgili Başvurulara İlişkin Usul ve Esaslar”ın yürürlükten kaldırılmasına dair karar</w:t>
            </w:r>
          </w:p>
        </w:tc>
      </w:tr>
      <w:tr w:rsidR="007A0D8D" w:rsidRPr="002048A7" w14:paraId="3F89EAC4" w14:textId="77777777" w:rsidTr="002806A0">
        <w:tc>
          <w:tcPr>
            <w:tcW w:w="2547" w:type="dxa"/>
            <w:tcBorders>
              <w:top w:val="single" w:sz="4" w:space="0" w:color="auto"/>
              <w:left w:val="single" w:sz="4" w:space="0" w:color="auto"/>
              <w:bottom w:val="single" w:sz="4" w:space="0" w:color="auto"/>
              <w:right w:val="single" w:sz="4" w:space="0" w:color="auto"/>
            </w:tcBorders>
          </w:tcPr>
          <w:p w14:paraId="159D5CCA" w14:textId="77777777" w:rsidR="007A0D8D" w:rsidRPr="00A00A9D" w:rsidRDefault="007A0D8D" w:rsidP="007A0D8D">
            <w:pPr>
              <w:rPr>
                <w:rFonts w:ascii="Calibri" w:hAnsi="Calibri" w:cs="Calibri"/>
                <w:color w:val="000000"/>
              </w:rPr>
            </w:pPr>
            <w:r w:rsidRPr="00A00A9D">
              <w:rPr>
                <w:rFonts w:ascii="Calibri" w:hAnsi="Calibri" w:cs="Calibri"/>
                <w:color w:val="000000"/>
              </w:rPr>
              <w:t>28.12.2024/32766</w:t>
            </w:r>
          </w:p>
          <w:p w14:paraId="50FD66CE" w14:textId="77777777" w:rsidR="007A0D8D" w:rsidRPr="00A00A9D" w:rsidRDefault="007A0D8D" w:rsidP="007A0D8D">
            <w:pPr>
              <w:rPr>
                <w:rFonts w:ascii="Calibri" w:hAnsi="Calibri" w:cs="Calibri"/>
                <w:color w:val="000000"/>
              </w:rPr>
            </w:pPr>
            <w:r w:rsidRPr="00A00A9D">
              <w:rPr>
                <w:rFonts w:ascii="Calibri" w:hAnsi="Calibri" w:cs="Calibri"/>
                <w:color w:val="000000"/>
              </w:rPr>
              <w:t>26.12.2024/13130-2</w:t>
            </w:r>
          </w:p>
        </w:tc>
        <w:tc>
          <w:tcPr>
            <w:tcW w:w="7365" w:type="dxa"/>
            <w:tcBorders>
              <w:top w:val="single" w:sz="4" w:space="0" w:color="auto"/>
              <w:left w:val="single" w:sz="4" w:space="0" w:color="auto"/>
              <w:bottom w:val="single" w:sz="4" w:space="0" w:color="auto"/>
              <w:right w:val="single" w:sz="4" w:space="0" w:color="auto"/>
            </w:tcBorders>
          </w:tcPr>
          <w:p w14:paraId="245DDA3C" w14:textId="77777777" w:rsidR="007A0D8D" w:rsidRPr="00A00A9D" w:rsidRDefault="007A0D8D" w:rsidP="007A0D8D">
            <w:pPr>
              <w:rPr>
                <w:rFonts w:ascii="Calibri" w:hAnsi="Calibri" w:cs="Calibri"/>
              </w:rPr>
            </w:pPr>
            <w:r w:rsidRPr="00A00A9D">
              <w:rPr>
                <w:rFonts w:ascii="Calibri" w:hAnsi="Calibri" w:cs="Calibri"/>
              </w:rPr>
              <w:t>Yeni “Önlisans ve Lisans İşlemleri İle İlgili Başvurulara İlişkin Usul ve Esaslar”ın kabul edilmesine ilişkin karar</w:t>
            </w:r>
          </w:p>
        </w:tc>
      </w:tr>
      <w:tr w:rsidR="007A0D8D" w:rsidRPr="002048A7" w14:paraId="2CEC25BF" w14:textId="77777777" w:rsidTr="002806A0">
        <w:tc>
          <w:tcPr>
            <w:tcW w:w="2547" w:type="dxa"/>
            <w:tcBorders>
              <w:top w:val="single" w:sz="4" w:space="0" w:color="auto"/>
              <w:left w:val="single" w:sz="4" w:space="0" w:color="auto"/>
              <w:bottom w:val="single" w:sz="4" w:space="0" w:color="auto"/>
              <w:right w:val="single" w:sz="4" w:space="0" w:color="auto"/>
            </w:tcBorders>
          </w:tcPr>
          <w:p w14:paraId="2900392C" w14:textId="77777777" w:rsidR="007A0D8D" w:rsidRDefault="007A0D8D" w:rsidP="007A0D8D">
            <w:pPr>
              <w:rPr>
                <w:rFonts w:ascii="Calibri" w:hAnsi="Calibri" w:cs="Calibri"/>
                <w:color w:val="000000"/>
              </w:rPr>
            </w:pPr>
            <w:r>
              <w:rPr>
                <w:rFonts w:ascii="Calibri" w:hAnsi="Calibri" w:cs="Calibri"/>
                <w:color w:val="000000"/>
              </w:rPr>
              <w:t>29.12.2024/32767</w:t>
            </w:r>
          </w:p>
          <w:p w14:paraId="089E09E8" w14:textId="77777777" w:rsidR="007A0D8D" w:rsidRPr="008B7E92" w:rsidRDefault="007A0D8D" w:rsidP="007A0D8D">
            <w:pPr>
              <w:rPr>
                <w:rFonts w:ascii="Calibri" w:hAnsi="Calibri" w:cs="Calibri"/>
                <w:color w:val="000000"/>
              </w:rPr>
            </w:pPr>
            <w:r>
              <w:rPr>
                <w:rFonts w:ascii="Calibri" w:hAnsi="Calibri" w:cs="Calibri"/>
                <w:color w:val="000000"/>
              </w:rPr>
              <w:t>26.12.2024/13131-1</w:t>
            </w:r>
          </w:p>
        </w:tc>
        <w:tc>
          <w:tcPr>
            <w:tcW w:w="7365" w:type="dxa"/>
            <w:tcBorders>
              <w:top w:val="single" w:sz="4" w:space="0" w:color="auto"/>
              <w:left w:val="single" w:sz="4" w:space="0" w:color="auto"/>
              <w:bottom w:val="single" w:sz="4" w:space="0" w:color="auto"/>
              <w:right w:val="single" w:sz="4" w:space="0" w:color="auto"/>
            </w:tcBorders>
          </w:tcPr>
          <w:p w14:paraId="31EEB03F" w14:textId="77777777" w:rsidR="007A0D8D" w:rsidRPr="008B7E92" w:rsidRDefault="007A0D8D" w:rsidP="007A0D8D">
            <w:pPr>
              <w:rPr>
                <w:rFonts w:ascii="Calibri" w:hAnsi="Calibri" w:cs="Calibri"/>
              </w:rPr>
            </w:pPr>
            <w:r>
              <w:rPr>
                <w:rFonts w:ascii="Calibri" w:hAnsi="Calibri" w:cs="Calibri"/>
              </w:rPr>
              <w:t>27/10/2022 tarihli ve 11329-2 sayılı Kurul Kararının yürürlükten kaldırılmasına ilişkin karar</w:t>
            </w:r>
          </w:p>
        </w:tc>
      </w:tr>
      <w:tr w:rsidR="007A0D8D" w:rsidRPr="002048A7" w14:paraId="3D28671A" w14:textId="77777777" w:rsidTr="002806A0">
        <w:tc>
          <w:tcPr>
            <w:tcW w:w="2547" w:type="dxa"/>
            <w:tcBorders>
              <w:top w:val="single" w:sz="4" w:space="0" w:color="auto"/>
              <w:left w:val="single" w:sz="4" w:space="0" w:color="auto"/>
              <w:bottom w:val="single" w:sz="4" w:space="0" w:color="auto"/>
              <w:right w:val="single" w:sz="4" w:space="0" w:color="auto"/>
            </w:tcBorders>
          </w:tcPr>
          <w:p w14:paraId="7A70E773" w14:textId="77777777" w:rsidR="007A0D8D" w:rsidRDefault="007A0D8D" w:rsidP="007A0D8D">
            <w:pPr>
              <w:rPr>
                <w:rFonts w:ascii="Calibri" w:hAnsi="Calibri" w:cs="Calibri"/>
                <w:color w:val="000000"/>
              </w:rPr>
            </w:pPr>
            <w:r>
              <w:rPr>
                <w:rFonts w:ascii="Calibri" w:hAnsi="Calibri" w:cs="Calibri"/>
                <w:color w:val="000000"/>
              </w:rPr>
              <w:t>29.12.2024/32767</w:t>
            </w:r>
          </w:p>
          <w:p w14:paraId="586C2987" w14:textId="77777777" w:rsidR="007A0D8D" w:rsidRPr="008B7E92" w:rsidRDefault="007A0D8D" w:rsidP="007A0D8D">
            <w:pPr>
              <w:rPr>
                <w:rFonts w:ascii="Calibri" w:hAnsi="Calibri" w:cs="Calibri"/>
                <w:color w:val="000000"/>
              </w:rPr>
            </w:pPr>
            <w:r>
              <w:rPr>
                <w:rFonts w:ascii="Calibri" w:hAnsi="Calibri" w:cs="Calibri"/>
                <w:color w:val="000000"/>
              </w:rPr>
              <w:t>26.12.2024/13131-2</w:t>
            </w:r>
          </w:p>
        </w:tc>
        <w:tc>
          <w:tcPr>
            <w:tcW w:w="7365" w:type="dxa"/>
            <w:tcBorders>
              <w:top w:val="single" w:sz="4" w:space="0" w:color="auto"/>
              <w:left w:val="single" w:sz="4" w:space="0" w:color="auto"/>
              <w:bottom w:val="single" w:sz="4" w:space="0" w:color="auto"/>
              <w:right w:val="single" w:sz="4" w:space="0" w:color="auto"/>
            </w:tcBorders>
          </w:tcPr>
          <w:p w14:paraId="4881F888" w14:textId="77777777" w:rsidR="007A0D8D" w:rsidRPr="008B7E92" w:rsidRDefault="007A0D8D" w:rsidP="007A0D8D">
            <w:pPr>
              <w:rPr>
                <w:rFonts w:ascii="Calibri" w:hAnsi="Calibri" w:cs="Calibri"/>
              </w:rPr>
            </w:pPr>
            <w:r>
              <w:rPr>
                <w:rFonts w:ascii="Calibri" w:hAnsi="Calibri" w:cs="Calibri"/>
              </w:rPr>
              <w:t>“Önlisans Süreleri ile Tesis Tamamlanma Tarihinin Belirlenmesinde Referans Alınacak İnşaat Süreleri”ne ilişkin karar</w:t>
            </w:r>
          </w:p>
        </w:tc>
      </w:tr>
      <w:tr w:rsidR="007A0D8D" w:rsidRPr="002048A7" w14:paraId="139D8EEB" w14:textId="77777777" w:rsidTr="002806A0">
        <w:tc>
          <w:tcPr>
            <w:tcW w:w="2547" w:type="dxa"/>
            <w:tcBorders>
              <w:top w:val="single" w:sz="4" w:space="0" w:color="auto"/>
              <w:left w:val="single" w:sz="4" w:space="0" w:color="auto"/>
              <w:bottom w:val="single" w:sz="4" w:space="0" w:color="auto"/>
              <w:right w:val="single" w:sz="4" w:space="0" w:color="auto"/>
            </w:tcBorders>
          </w:tcPr>
          <w:p w14:paraId="52082749" w14:textId="77777777" w:rsidR="007A0D8D" w:rsidRDefault="007A0D8D" w:rsidP="007A0D8D">
            <w:pPr>
              <w:rPr>
                <w:rFonts w:ascii="Calibri" w:hAnsi="Calibri" w:cs="Calibri"/>
                <w:color w:val="000000"/>
              </w:rPr>
            </w:pPr>
            <w:r>
              <w:rPr>
                <w:rFonts w:ascii="Calibri" w:hAnsi="Calibri" w:cs="Calibri"/>
                <w:color w:val="000000"/>
              </w:rPr>
              <w:t>29.12.2024/32767</w:t>
            </w:r>
          </w:p>
          <w:p w14:paraId="1DD8095E" w14:textId="77777777" w:rsidR="007A0D8D" w:rsidRPr="008B7E92" w:rsidRDefault="007A0D8D" w:rsidP="007A0D8D">
            <w:pPr>
              <w:rPr>
                <w:rFonts w:ascii="Calibri" w:hAnsi="Calibri" w:cs="Calibri"/>
                <w:color w:val="000000"/>
              </w:rPr>
            </w:pPr>
            <w:r>
              <w:rPr>
                <w:rFonts w:ascii="Calibri" w:hAnsi="Calibri" w:cs="Calibri"/>
                <w:color w:val="000000"/>
              </w:rPr>
              <w:t>26.12.2024/13128</w:t>
            </w:r>
          </w:p>
        </w:tc>
        <w:tc>
          <w:tcPr>
            <w:tcW w:w="7365" w:type="dxa"/>
            <w:tcBorders>
              <w:top w:val="single" w:sz="4" w:space="0" w:color="auto"/>
              <w:left w:val="single" w:sz="4" w:space="0" w:color="auto"/>
              <w:bottom w:val="single" w:sz="4" w:space="0" w:color="auto"/>
              <w:right w:val="single" w:sz="4" w:space="0" w:color="auto"/>
            </w:tcBorders>
          </w:tcPr>
          <w:p w14:paraId="03EC1991" w14:textId="77777777" w:rsidR="007A0D8D" w:rsidRPr="008B7E92" w:rsidRDefault="007A0D8D" w:rsidP="007A0D8D">
            <w:pPr>
              <w:rPr>
                <w:rFonts w:ascii="Calibri" w:hAnsi="Calibri" w:cs="Calibri"/>
              </w:rPr>
            </w:pPr>
            <w:r>
              <w:rPr>
                <w:rFonts w:ascii="Calibri" w:hAnsi="Calibri" w:cs="Calibri"/>
              </w:rPr>
              <w:t>Tedarik Lisansa ve Toplayıcı Lisansı başvurusunda bulunacak tüzel kişiler için sermaye tutarına ilişkin karar</w:t>
            </w:r>
          </w:p>
        </w:tc>
      </w:tr>
      <w:tr w:rsidR="007A0D8D" w:rsidRPr="002048A7" w14:paraId="34B52779" w14:textId="77777777" w:rsidTr="002806A0">
        <w:tc>
          <w:tcPr>
            <w:tcW w:w="2547" w:type="dxa"/>
            <w:tcBorders>
              <w:top w:val="single" w:sz="4" w:space="0" w:color="auto"/>
              <w:left w:val="single" w:sz="4" w:space="0" w:color="auto"/>
              <w:bottom w:val="single" w:sz="4" w:space="0" w:color="auto"/>
              <w:right w:val="single" w:sz="4" w:space="0" w:color="auto"/>
            </w:tcBorders>
          </w:tcPr>
          <w:p w14:paraId="1E808C8A" w14:textId="77777777" w:rsidR="007A0D8D" w:rsidRDefault="007A0D8D" w:rsidP="007A0D8D">
            <w:pPr>
              <w:rPr>
                <w:rFonts w:ascii="Calibri" w:hAnsi="Calibri" w:cs="Calibri"/>
                <w:color w:val="000000"/>
              </w:rPr>
            </w:pPr>
            <w:r>
              <w:rPr>
                <w:rFonts w:ascii="Calibri" w:hAnsi="Calibri" w:cs="Calibri"/>
                <w:color w:val="000000"/>
              </w:rPr>
              <w:t>29.12.2024/32767</w:t>
            </w:r>
          </w:p>
          <w:p w14:paraId="449C4254" w14:textId="77777777" w:rsidR="007A0D8D" w:rsidRPr="00C053CC" w:rsidRDefault="007A0D8D" w:rsidP="007A0D8D">
            <w:pPr>
              <w:rPr>
                <w:rFonts w:ascii="Calibri" w:hAnsi="Calibri" w:cs="Calibri"/>
                <w:color w:val="000000"/>
              </w:rPr>
            </w:pPr>
            <w:r w:rsidRPr="00C053CC">
              <w:rPr>
                <w:rFonts w:ascii="Calibri" w:hAnsi="Calibri" w:cs="Calibri"/>
                <w:color w:val="000000"/>
              </w:rPr>
              <w:t>26.12.2024/13129</w:t>
            </w:r>
          </w:p>
        </w:tc>
        <w:tc>
          <w:tcPr>
            <w:tcW w:w="7365" w:type="dxa"/>
            <w:tcBorders>
              <w:top w:val="single" w:sz="4" w:space="0" w:color="auto"/>
              <w:left w:val="single" w:sz="4" w:space="0" w:color="auto"/>
              <w:bottom w:val="single" w:sz="4" w:space="0" w:color="auto"/>
              <w:right w:val="single" w:sz="4" w:space="0" w:color="auto"/>
            </w:tcBorders>
          </w:tcPr>
          <w:p w14:paraId="39A97332" w14:textId="77777777" w:rsidR="007A0D8D" w:rsidRPr="00F15E7E" w:rsidRDefault="007A0D8D" w:rsidP="007A0D8D">
            <w:pPr>
              <w:rPr>
                <w:rFonts w:ascii="Calibri" w:hAnsi="Calibri" w:cs="Calibri"/>
              </w:rPr>
            </w:pPr>
            <w:r w:rsidRPr="00C053CC">
              <w:rPr>
                <w:rFonts w:ascii="Calibri" w:hAnsi="Calibri" w:cs="Calibri"/>
              </w:rPr>
              <w:t>Toplayıcılık faaliyeti kapsamında 2025 yılında uygulanacak lisans alma, yıllık lisans, lisans tadili ve lisans sureti çıkarma bedeline ilişkin karar</w:t>
            </w:r>
          </w:p>
        </w:tc>
      </w:tr>
      <w:tr w:rsidR="007A0D8D" w:rsidRPr="002048A7" w14:paraId="6D4B1635" w14:textId="77777777" w:rsidTr="002806A0">
        <w:tc>
          <w:tcPr>
            <w:tcW w:w="2547" w:type="dxa"/>
            <w:tcBorders>
              <w:top w:val="single" w:sz="4" w:space="0" w:color="auto"/>
              <w:left w:val="single" w:sz="4" w:space="0" w:color="auto"/>
              <w:bottom w:val="single" w:sz="4" w:space="0" w:color="auto"/>
              <w:right w:val="single" w:sz="4" w:space="0" w:color="auto"/>
            </w:tcBorders>
          </w:tcPr>
          <w:p w14:paraId="24B80C6C" w14:textId="77777777" w:rsidR="007A0D8D" w:rsidRDefault="007A0D8D" w:rsidP="007A0D8D">
            <w:pPr>
              <w:rPr>
                <w:rFonts w:ascii="Calibri" w:hAnsi="Calibri" w:cs="Calibri"/>
                <w:color w:val="000000"/>
              </w:rPr>
            </w:pPr>
            <w:r>
              <w:rPr>
                <w:rFonts w:ascii="Calibri" w:hAnsi="Calibri" w:cs="Calibri"/>
                <w:color w:val="000000"/>
              </w:rPr>
              <w:t>29.12.2024/32767</w:t>
            </w:r>
          </w:p>
          <w:p w14:paraId="43C15F4E" w14:textId="77777777" w:rsidR="007A0D8D" w:rsidRPr="008B7E92" w:rsidRDefault="007A0D8D" w:rsidP="007A0D8D">
            <w:pPr>
              <w:rPr>
                <w:rFonts w:ascii="Calibri" w:hAnsi="Calibri" w:cs="Calibri"/>
                <w:color w:val="000000"/>
              </w:rPr>
            </w:pPr>
            <w:r>
              <w:rPr>
                <w:rFonts w:ascii="Calibri" w:hAnsi="Calibri" w:cs="Calibri"/>
                <w:color w:val="000000"/>
              </w:rPr>
              <w:t>26.12.2024/13134</w:t>
            </w:r>
          </w:p>
        </w:tc>
        <w:tc>
          <w:tcPr>
            <w:tcW w:w="7365" w:type="dxa"/>
            <w:tcBorders>
              <w:top w:val="single" w:sz="4" w:space="0" w:color="auto"/>
              <w:left w:val="single" w:sz="4" w:space="0" w:color="auto"/>
              <w:bottom w:val="single" w:sz="4" w:space="0" w:color="auto"/>
              <w:right w:val="single" w:sz="4" w:space="0" w:color="auto"/>
            </w:tcBorders>
          </w:tcPr>
          <w:p w14:paraId="6C720588" w14:textId="77777777" w:rsidR="007A0D8D" w:rsidRPr="008B7E92" w:rsidRDefault="007A0D8D" w:rsidP="007A0D8D">
            <w:pPr>
              <w:rPr>
                <w:rFonts w:ascii="Calibri" w:hAnsi="Calibri" w:cs="Calibri"/>
              </w:rPr>
            </w:pPr>
            <w:r>
              <w:rPr>
                <w:rFonts w:ascii="Calibri" w:hAnsi="Calibri" w:cs="Calibri"/>
              </w:rPr>
              <w:t>Önlisans ve üretim lisansı başvuruları ile tedarik ve toplayıcı lisansına müstakil elektrik depolama tesisi dercedilmesi halinde sağlanması gereken Sermaye ve teminat yükümlülüğünün hesaplanmasına ilişkin karar</w:t>
            </w:r>
          </w:p>
        </w:tc>
      </w:tr>
    </w:tbl>
    <w:p w14:paraId="749FED5B" w14:textId="77777777" w:rsidR="002806A0" w:rsidRPr="002048A7" w:rsidRDefault="002806A0" w:rsidP="002806A0">
      <w:pPr>
        <w:pStyle w:val="ListeParagraf"/>
        <w:spacing w:after="0" w:line="240" w:lineRule="auto"/>
        <w:ind w:left="360"/>
      </w:pPr>
    </w:p>
    <w:p w14:paraId="3661B0DF" w14:textId="77777777" w:rsidR="00DE1E2F" w:rsidRPr="002048A7" w:rsidRDefault="00DE1E2F" w:rsidP="00577AAF">
      <w:pPr>
        <w:pStyle w:val="Balk2"/>
        <w:numPr>
          <w:ilvl w:val="1"/>
          <w:numId w:val="11"/>
        </w:numPr>
        <w:spacing w:before="0" w:after="240"/>
        <w:rPr>
          <w:rFonts w:asciiTheme="minorHAnsi" w:hAnsiTheme="minorHAnsi"/>
          <w:color w:val="auto"/>
          <w:sz w:val="22"/>
          <w:szCs w:val="22"/>
        </w:rPr>
      </w:pPr>
      <w:bookmarkStart w:id="53" w:name="_Toc195868672"/>
      <w:r w:rsidRPr="002048A7">
        <w:rPr>
          <w:rFonts w:asciiTheme="minorHAnsi" w:hAnsiTheme="minorHAnsi"/>
          <w:color w:val="auto"/>
          <w:sz w:val="22"/>
          <w:szCs w:val="22"/>
        </w:rPr>
        <w:t>Şarj Hizmeti Piyasası Mevzuatı</w:t>
      </w:r>
      <w:bookmarkEnd w:id="52"/>
      <w:bookmarkEnd w:id="53"/>
    </w:p>
    <w:p w14:paraId="5CCB3BBE" w14:textId="77777777" w:rsidR="00DE1E2F" w:rsidRPr="002048A7" w:rsidRDefault="00DE1E2F" w:rsidP="00577AAF">
      <w:pPr>
        <w:pStyle w:val="Balk3"/>
        <w:numPr>
          <w:ilvl w:val="2"/>
          <w:numId w:val="11"/>
        </w:numPr>
        <w:spacing w:before="0" w:after="240"/>
        <w:rPr>
          <w:rFonts w:asciiTheme="minorHAnsi" w:hAnsiTheme="minorHAnsi"/>
          <w:color w:val="auto"/>
        </w:rPr>
      </w:pPr>
      <w:bookmarkStart w:id="54" w:name="_Toc130290875"/>
      <w:bookmarkStart w:id="55" w:name="_Toc195868673"/>
      <w:r w:rsidRPr="002048A7">
        <w:rPr>
          <w:rFonts w:asciiTheme="minorHAnsi" w:hAnsiTheme="minorHAnsi"/>
          <w:color w:val="auto"/>
        </w:rPr>
        <w:t>Yönetmelikler</w:t>
      </w:r>
      <w:bookmarkEnd w:id="54"/>
      <w:bookmarkEnd w:id="55"/>
    </w:p>
    <w:p w14:paraId="7BBFD4F7" w14:textId="77777777" w:rsidR="00DE1E2F" w:rsidRPr="002048A7" w:rsidRDefault="00DE1E2F" w:rsidP="00577AAF">
      <w:pPr>
        <w:spacing w:after="0"/>
      </w:pPr>
      <w:r w:rsidRPr="002048A7">
        <w:t>202</w:t>
      </w:r>
      <w:r w:rsidR="00B22DEF">
        <w:t>4</w:t>
      </w:r>
      <w:r w:rsidRPr="002048A7">
        <w:t xml:space="preserve"> yılında şarj hizmeti piyasasında aşağıda belirtilen Yönetmelik çalışmaları yapılmıştır:</w:t>
      </w:r>
    </w:p>
    <w:p w14:paraId="095A0BFC" w14:textId="77777777" w:rsidR="00DE1E2F" w:rsidRPr="002048A7" w:rsidRDefault="00E2687F" w:rsidP="0025080A">
      <w:pPr>
        <w:pStyle w:val="ListeParagraf"/>
        <w:numPr>
          <w:ilvl w:val="0"/>
          <w:numId w:val="20"/>
        </w:numPr>
        <w:spacing w:before="120" w:after="120" w:line="259" w:lineRule="auto"/>
        <w:contextualSpacing w:val="0"/>
        <w:rPr>
          <w:rFonts w:ascii="Calibri" w:hAnsi="Calibri"/>
        </w:rPr>
      </w:pPr>
      <w:r w:rsidRPr="002048A7">
        <w:rPr>
          <w:rFonts w:ascii="Calibri" w:hAnsi="Calibri"/>
        </w:rPr>
        <w:t>2</w:t>
      </w:r>
      <w:r w:rsidR="00B22DEF">
        <w:rPr>
          <w:rFonts w:ascii="Calibri" w:hAnsi="Calibri"/>
        </w:rPr>
        <w:t>3</w:t>
      </w:r>
      <w:r w:rsidRPr="002048A7">
        <w:rPr>
          <w:rFonts w:ascii="Calibri" w:hAnsi="Calibri"/>
        </w:rPr>
        <w:t>.</w:t>
      </w:r>
      <w:r w:rsidR="00B22DEF">
        <w:rPr>
          <w:rFonts w:ascii="Calibri" w:hAnsi="Calibri"/>
        </w:rPr>
        <w:t>10</w:t>
      </w:r>
      <w:r w:rsidRPr="002048A7">
        <w:rPr>
          <w:rFonts w:ascii="Calibri" w:hAnsi="Calibri"/>
        </w:rPr>
        <w:t>.202</w:t>
      </w:r>
      <w:r w:rsidR="00B22DEF">
        <w:rPr>
          <w:rFonts w:ascii="Calibri" w:hAnsi="Calibri"/>
        </w:rPr>
        <w:t>4</w:t>
      </w:r>
      <w:r w:rsidRPr="002048A7">
        <w:rPr>
          <w:rFonts w:ascii="Calibri" w:hAnsi="Calibri"/>
        </w:rPr>
        <w:t xml:space="preserve"> tarihli ve </w:t>
      </w:r>
      <w:r w:rsidR="00B22DEF">
        <w:rPr>
          <w:rFonts w:ascii="Calibri" w:hAnsi="Calibri"/>
        </w:rPr>
        <w:t>32701</w:t>
      </w:r>
      <w:r w:rsidRPr="002048A7">
        <w:rPr>
          <w:rFonts w:ascii="Calibri" w:hAnsi="Calibri"/>
        </w:rPr>
        <w:t xml:space="preserve"> sayılı Resmî Gazetede yayımlanan </w:t>
      </w:r>
      <w:r w:rsidR="00961B27" w:rsidRPr="002048A7">
        <w:rPr>
          <w:rFonts w:ascii="Calibri" w:hAnsi="Calibri"/>
        </w:rPr>
        <w:t xml:space="preserve">Şarj Hizmeti Yönetmeliğinde Değişiklik Yapılmasına Dair Yönetmelik </w:t>
      </w:r>
      <w:r w:rsidRPr="002048A7">
        <w:rPr>
          <w:rFonts w:ascii="Calibri" w:hAnsi="Calibri"/>
          <w:bCs/>
        </w:rPr>
        <w:t>ile</w:t>
      </w:r>
      <w:r w:rsidRPr="002048A7">
        <w:rPr>
          <w:rFonts w:ascii="Calibri" w:hAnsi="Calibri"/>
          <w:b/>
          <w:bCs/>
        </w:rPr>
        <w:t xml:space="preserve"> </w:t>
      </w:r>
      <w:r w:rsidRPr="002048A7">
        <w:rPr>
          <w:rFonts w:ascii="Calibri" w:hAnsi="Calibri"/>
          <w:b/>
        </w:rPr>
        <w:t>Şarj Hizmeti Yönetmeliğinin</w:t>
      </w:r>
    </w:p>
    <w:p w14:paraId="5E8A6696" w14:textId="77777777" w:rsidR="00E2687F" w:rsidRPr="002048A7" w:rsidRDefault="00B22DEF" w:rsidP="0025080A">
      <w:pPr>
        <w:pStyle w:val="ListeParagraf"/>
        <w:numPr>
          <w:ilvl w:val="0"/>
          <w:numId w:val="29"/>
        </w:numPr>
        <w:spacing w:after="160" w:line="259" w:lineRule="auto"/>
      </w:pPr>
      <w:r w:rsidRPr="00B22DEF">
        <w:t>Geçici</w:t>
      </w:r>
      <w:r>
        <w:t xml:space="preserve"> </w:t>
      </w:r>
      <w:proofErr w:type="gramStart"/>
      <w:r w:rsidRPr="00B22DEF">
        <w:t>2 nci</w:t>
      </w:r>
      <w:proofErr w:type="gramEnd"/>
      <w:r w:rsidRPr="00B22DEF">
        <w:t xml:space="preserve"> maddesinde yer alan </w:t>
      </w:r>
      <w:r w:rsidRPr="00B22DEF">
        <w:rPr>
          <w:i/>
        </w:rPr>
        <w:t>“31/7/2024”</w:t>
      </w:r>
      <w:r w:rsidRPr="00B22DEF">
        <w:t xml:space="preserve"> ibaresi </w:t>
      </w:r>
      <w:r w:rsidRPr="00B22DEF">
        <w:rPr>
          <w:i/>
        </w:rPr>
        <w:t>“31/7/2025”</w:t>
      </w:r>
      <w:r w:rsidRPr="00B22DEF">
        <w:t xml:space="preserve"> şeklinde değiştirilmiştir.</w:t>
      </w:r>
    </w:p>
    <w:p w14:paraId="7E8E707D" w14:textId="77777777" w:rsidR="00657DBF" w:rsidRPr="002048A7" w:rsidRDefault="001D2DA2" w:rsidP="00577AAF">
      <w:pPr>
        <w:pStyle w:val="Balk2"/>
        <w:numPr>
          <w:ilvl w:val="1"/>
          <w:numId w:val="11"/>
        </w:numPr>
        <w:rPr>
          <w:rFonts w:asciiTheme="minorHAnsi" w:hAnsiTheme="minorHAnsi"/>
          <w:color w:val="auto"/>
          <w:sz w:val="22"/>
          <w:szCs w:val="22"/>
        </w:rPr>
      </w:pPr>
      <w:bookmarkStart w:id="56" w:name="_Toc442431237"/>
      <w:bookmarkStart w:id="57" w:name="_Toc6684432"/>
      <w:bookmarkStart w:id="58" w:name="_Toc195868674"/>
      <w:r w:rsidRPr="002048A7">
        <w:rPr>
          <w:rFonts w:asciiTheme="minorHAnsi" w:hAnsiTheme="minorHAnsi"/>
          <w:color w:val="auto"/>
          <w:sz w:val="22"/>
          <w:szCs w:val="22"/>
        </w:rPr>
        <w:t>Doğal Gaz Piyasası Mevzuatı</w:t>
      </w:r>
      <w:bookmarkEnd w:id="56"/>
      <w:bookmarkEnd w:id="57"/>
      <w:bookmarkEnd w:id="58"/>
    </w:p>
    <w:p w14:paraId="397E701C" w14:textId="77777777" w:rsidR="00657DBF" w:rsidRPr="002048A7" w:rsidRDefault="00657DBF" w:rsidP="00577AAF">
      <w:pPr>
        <w:pStyle w:val="Balk3"/>
        <w:numPr>
          <w:ilvl w:val="2"/>
          <w:numId w:val="11"/>
        </w:numPr>
        <w:spacing w:after="240"/>
        <w:rPr>
          <w:rFonts w:asciiTheme="minorHAnsi" w:hAnsiTheme="minorHAnsi"/>
          <w:color w:val="auto"/>
        </w:rPr>
      </w:pPr>
      <w:bookmarkStart w:id="59" w:name="_Toc195868675"/>
      <w:r w:rsidRPr="002048A7">
        <w:rPr>
          <w:rFonts w:asciiTheme="minorHAnsi" w:hAnsiTheme="minorHAnsi"/>
          <w:color w:val="auto"/>
        </w:rPr>
        <w:t>Kanun</w:t>
      </w:r>
      <w:bookmarkEnd w:id="59"/>
    </w:p>
    <w:p w14:paraId="429FB006" w14:textId="77777777" w:rsidR="00657DBF" w:rsidRPr="002048A7" w:rsidRDefault="00657DBF" w:rsidP="00657DBF">
      <w:pPr>
        <w:spacing w:after="240"/>
        <w:rPr>
          <w:lang w:eastAsia="tr-TR"/>
        </w:rPr>
      </w:pPr>
      <w:r w:rsidRPr="002048A7">
        <w:rPr>
          <w:lang w:eastAsia="tr-TR"/>
        </w:rPr>
        <w:t>202</w:t>
      </w:r>
      <w:r w:rsidR="00B73C52">
        <w:rPr>
          <w:lang w:eastAsia="tr-TR"/>
        </w:rPr>
        <w:t>4</w:t>
      </w:r>
      <w:r w:rsidRPr="002048A7">
        <w:rPr>
          <w:lang w:eastAsia="tr-TR"/>
        </w:rPr>
        <w:t xml:space="preserve"> yılı içerisinde doğal gaz piyasasında aşağıdaki Kanun çalışmaları yapılmıştır</w:t>
      </w:r>
      <w:r w:rsidR="00502294" w:rsidRPr="002048A7">
        <w:rPr>
          <w:lang w:eastAsia="tr-TR"/>
        </w:rPr>
        <w:t>:</w:t>
      </w:r>
    </w:p>
    <w:p w14:paraId="0330A575" w14:textId="77777777" w:rsidR="001A340C" w:rsidRPr="002048A7" w:rsidRDefault="00B725D6" w:rsidP="0025080A">
      <w:pPr>
        <w:numPr>
          <w:ilvl w:val="0"/>
          <w:numId w:val="20"/>
        </w:numPr>
        <w:spacing w:before="120" w:after="120"/>
        <w:rPr>
          <w:rFonts w:ascii="Calibri" w:hAnsi="Calibri"/>
          <w:bCs/>
        </w:rPr>
      </w:pPr>
      <w:r w:rsidRPr="002048A7">
        <w:rPr>
          <w:rFonts w:ascii="Calibri" w:hAnsi="Calibri"/>
          <w:bCs/>
        </w:rPr>
        <w:t>1</w:t>
      </w:r>
      <w:r w:rsidR="007556F3">
        <w:rPr>
          <w:rFonts w:ascii="Calibri" w:hAnsi="Calibri"/>
          <w:bCs/>
        </w:rPr>
        <w:t>1</w:t>
      </w:r>
      <w:r w:rsidRPr="002048A7">
        <w:rPr>
          <w:rFonts w:ascii="Calibri" w:hAnsi="Calibri"/>
          <w:bCs/>
        </w:rPr>
        <w:t>.0</w:t>
      </w:r>
      <w:r w:rsidR="007556F3">
        <w:rPr>
          <w:rFonts w:ascii="Calibri" w:hAnsi="Calibri"/>
          <w:bCs/>
        </w:rPr>
        <w:t>5</w:t>
      </w:r>
      <w:r w:rsidRPr="002048A7">
        <w:rPr>
          <w:rFonts w:ascii="Calibri" w:hAnsi="Calibri"/>
          <w:bCs/>
        </w:rPr>
        <w:t>.202</w:t>
      </w:r>
      <w:r w:rsidR="007556F3">
        <w:rPr>
          <w:rFonts w:ascii="Calibri" w:hAnsi="Calibri"/>
          <w:bCs/>
        </w:rPr>
        <w:t>4</w:t>
      </w:r>
      <w:r w:rsidRPr="002048A7">
        <w:rPr>
          <w:rFonts w:ascii="Calibri" w:hAnsi="Calibri"/>
          <w:bCs/>
        </w:rPr>
        <w:t xml:space="preserve"> tarihli ve 32</w:t>
      </w:r>
      <w:r w:rsidR="007556F3">
        <w:rPr>
          <w:rFonts w:ascii="Calibri" w:hAnsi="Calibri"/>
          <w:bCs/>
        </w:rPr>
        <w:t>543</w:t>
      </w:r>
      <w:r w:rsidRPr="002048A7">
        <w:rPr>
          <w:rFonts w:ascii="Calibri" w:hAnsi="Calibri"/>
          <w:bCs/>
        </w:rPr>
        <w:t xml:space="preserve"> sayılı Resmî Gazetede yayımlanan </w:t>
      </w:r>
      <w:r w:rsidR="007556F3" w:rsidRPr="002048A7">
        <w:rPr>
          <w:lang w:eastAsia="tr-TR"/>
        </w:rPr>
        <w:t xml:space="preserve">7451 Sayılı </w:t>
      </w:r>
      <w:r w:rsidR="007556F3" w:rsidRPr="00AE67B6">
        <w:rPr>
          <w:bCs/>
          <w:lang w:eastAsia="tr-TR"/>
        </w:rPr>
        <w:t>Maden Kanunu İle Bazı Kanunlarda</w:t>
      </w:r>
      <w:r w:rsidR="007556F3">
        <w:rPr>
          <w:bCs/>
          <w:lang w:eastAsia="tr-TR"/>
        </w:rPr>
        <w:t xml:space="preserve"> </w:t>
      </w:r>
      <w:r w:rsidR="007556F3" w:rsidRPr="00AE67B6">
        <w:rPr>
          <w:bCs/>
          <w:lang w:eastAsia="tr-TR"/>
        </w:rPr>
        <w:t>Değişiklik Yapılmasına Dair Kanun ile</w:t>
      </w:r>
      <w:r w:rsidRPr="002048A7">
        <w:rPr>
          <w:rFonts w:ascii="Calibri" w:hAnsi="Calibri"/>
          <w:bCs/>
        </w:rPr>
        <w:t xml:space="preserve"> </w:t>
      </w:r>
      <w:r w:rsidR="001A340C" w:rsidRPr="002048A7">
        <w:rPr>
          <w:rFonts w:ascii="Calibri" w:hAnsi="Calibri"/>
          <w:bCs/>
        </w:rPr>
        <w:t>4646 sayılı Doğal Gaz Piyasası Kanunu</w:t>
      </w:r>
      <w:r w:rsidR="000E7C37" w:rsidRPr="002048A7">
        <w:rPr>
          <w:rFonts w:ascii="Calibri" w:hAnsi="Calibri"/>
          <w:bCs/>
        </w:rPr>
        <w:t>’</w:t>
      </w:r>
      <w:r w:rsidR="001A340C" w:rsidRPr="002048A7">
        <w:rPr>
          <w:rFonts w:ascii="Calibri" w:hAnsi="Calibri"/>
          <w:bCs/>
        </w:rPr>
        <w:t xml:space="preserve">nun </w:t>
      </w:r>
    </w:p>
    <w:p w14:paraId="7C4833B8" w14:textId="77777777" w:rsidR="001A340C" w:rsidRPr="002048A7" w:rsidRDefault="007556F3" w:rsidP="0025080A">
      <w:pPr>
        <w:pStyle w:val="ListeParagraf"/>
        <w:numPr>
          <w:ilvl w:val="0"/>
          <w:numId w:val="29"/>
        </w:numPr>
        <w:spacing w:after="160" w:line="259" w:lineRule="auto"/>
      </w:pPr>
      <w:proofErr w:type="gramStart"/>
      <w:r w:rsidRPr="007556F3">
        <w:t>3 üncü</w:t>
      </w:r>
      <w:proofErr w:type="gramEnd"/>
      <w:r w:rsidRPr="007556F3">
        <w:t xml:space="preserve"> maddesinin birinci fıkrasının (6) numaralı bendinde yer alan </w:t>
      </w:r>
      <w:r w:rsidRPr="007556F3">
        <w:rPr>
          <w:i/>
        </w:rPr>
        <w:t>“ticareti”</w:t>
      </w:r>
      <w:r w:rsidRPr="007556F3">
        <w:t xml:space="preserve"> ibaresinden sonra gelmek üzere </w:t>
      </w:r>
      <w:r w:rsidRPr="007556F3">
        <w:rPr>
          <w:i/>
        </w:rPr>
        <w:t>“, sıvılaştırılması”</w:t>
      </w:r>
      <w:r w:rsidRPr="007556F3">
        <w:t xml:space="preserve"> ibaresi, (36) numaralı bendinde yer alan </w:t>
      </w:r>
      <w:r w:rsidRPr="007556F3">
        <w:rPr>
          <w:i/>
        </w:rPr>
        <w:t>“ihracat”</w:t>
      </w:r>
      <w:r w:rsidRPr="007556F3">
        <w:t xml:space="preserve"> ibaresinden sonra gelmek üzere </w:t>
      </w:r>
      <w:r w:rsidRPr="007556F3">
        <w:rPr>
          <w:i/>
        </w:rPr>
        <w:t>“, sıvılaştırılması”</w:t>
      </w:r>
      <w:r w:rsidRPr="007556F3">
        <w:t xml:space="preserve"> ibaresi ve fıkraya aşağıdaki bent eklenmiştir.</w:t>
      </w:r>
    </w:p>
    <w:p w14:paraId="78F51F37" w14:textId="77777777" w:rsidR="001A340C" w:rsidRPr="002048A7" w:rsidRDefault="001A340C" w:rsidP="001A340C">
      <w:pPr>
        <w:pStyle w:val="ListeParagraf"/>
        <w:spacing w:after="160" w:line="259" w:lineRule="auto"/>
        <w:ind w:left="1440"/>
      </w:pPr>
    </w:p>
    <w:p w14:paraId="6EBB7E2F" w14:textId="77777777" w:rsidR="001A340C" w:rsidRPr="002048A7" w:rsidRDefault="007556F3" w:rsidP="001A340C">
      <w:pPr>
        <w:pStyle w:val="ListeParagraf"/>
        <w:spacing w:after="0"/>
        <w:ind w:left="1440"/>
        <w:rPr>
          <w:rFonts w:ascii="Calibri" w:hAnsi="Calibri"/>
          <w:i/>
        </w:rPr>
      </w:pPr>
      <w:r w:rsidRPr="007556F3">
        <w:rPr>
          <w:rFonts w:ascii="Calibri" w:hAnsi="Calibri"/>
          <w:i/>
        </w:rPr>
        <w:t>“45) Doğal gazın sıvılaştırılması: Yurt içinde üretilen ve/veya ithal edilen doğal gazın yurt dışına ihraç edilmesi ya da yurt içinde yeniden satışı amacıyla sıvılaştırılmasını,”</w:t>
      </w:r>
    </w:p>
    <w:p w14:paraId="29E4BEFF" w14:textId="77777777" w:rsidR="001A340C" w:rsidRPr="002048A7" w:rsidRDefault="001A340C" w:rsidP="001A340C">
      <w:pPr>
        <w:pStyle w:val="ListeParagraf"/>
        <w:spacing w:after="160" w:line="259" w:lineRule="auto"/>
        <w:ind w:left="1440"/>
      </w:pPr>
    </w:p>
    <w:p w14:paraId="47800218" w14:textId="77777777" w:rsidR="001A340C" w:rsidRPr="002048A7" w:rsidRDefault="007556F3" w:rsidP="0025080A">
      <w:pPr>
        <w:pStyle w:val="ListeParagraf"/>
        <w:numPr>
          <w:ilvl w:val="0"/>
          <w:numId w:val="29"/>
        </w:numPr>
        <w:spacing w:after="160" w:line="259" w:lineRule="auto"/>
      </w:pPr>
      <w:proofErr w:type="gramStart"/>
      <w:r w:rsidRPr="007556F3">
        <w:lastRenderedPageBreak/>
        <w:t>4 üncü</w:t>
      </w:r>
      <w:proofErr w:type="gramEnd"/>
      <w:r w:rsidRPr="007556F3">
        <w:t xml:space="preserve"> maddesinin dördüncü fıkrasının (d) bendinin (1) numaralı alt bendinin birinci paragrafına aşağıdaki cümle, (2) numaralı alt bendinin ikinci paragrafına aşağıdaki cümleler eklenmiş, fıkranın (f) bendinin (2) numaralı alt bendinde yer alan </w:t>
      </w:r>
      <w:r w:rsidRPr="007556F3">
        <w:rPr>
          <w:i/>
        </w:rPr>
        <w:t>“ülkeye”</w:t>
      </w:r>
      <w:r w:rsidRPr="007556F3">
        <w:t xml:space="preserve"> ibaresi </w:t>
      </w:r>
      <w:r w:rsidRPr="007556F3">
        <w:rPr>
          <w:i/>
        </w:rPr>
        <w:t>“ülkelere”</w:t>
      </w:r>
      <w:r w:rsidRPr="007556F3">
        <w:t xml:space="preserve"> şeklinde değiştirilmiş ve fıkraya aşağıdaki bent eklenmiştir.</w:t>
      </w:r>
    </w:p>
    <w:p w14:paraId="14DD3B2C" w14:textId="77777777" w:rsidR="001A340C" w:rsidRPr="002048A7" w:rsidRDefault="001A340C" w:rsidP="001A340C">
      <w:pPr>
        <w:pStyle w:val="ListeParagraf"/>
        <w:spacing w:after="160" w:line="259" w:lineRule="auto"/>
        <w:ind w:left="1440"/>
      </w:pPr>
    </w:p>
    <w:p w14:paraId="0633C268" w14:textId="77777777" w:rsidR="007556F3" w:rsidRPr="007556F3" w:rsidRDefault="007556F3" w:rsidP="007556F3">
      <w:pPr>
        <w:pStyle w:val="ListeParagraf"/>
        <w:spacing w:after="0"/>
        <w:ind w:left="1440"/>
        <w:rPr>
          <w:rFonts w:ascii="Calibri" w:hAnsi="Calibri"/>
          <w:i/>
        </w:rPr>
      </w:pPr>
      <w:r w:rsidRPr="007556F3">
        <w:rPr>
          <w:rFonts w:ascii="Calibri" w:hAnsi="Calibri"/>
          <w:i/>
        </w:rPr>
        <w:t>“Yüzen LNG tesislerinin işletilmesi ve yer değişikliği kapsamında Bakanlık görüşü alınarak sağlanacak istisnalar Kurul tarafından bu madde uyarınca yayımlanan usul ve esaslarda düzenlenir.”</w:t>
      </w:r>
    </w:p>
    <w:p w14:paraId="0AB5C4D6" w14:textId="77777777" w:rsidR="007556F3" w:rsidRPr="007556F3" w:rsidRDefault="007556F3" w:rsidP="007556F3">
      <w:pPr>
        <w:pStyle w:val="ListeParagraf"/>
        <w:spacing w:after="0"/>
        <w:ind w:left="1440"/>
        <w:rPr>
          <w:rFonts w:ascii="Calibri" w:hAnsi="Calibri"/>
          <w:i/>
        </w:rPr>
      </w:pPr>
      <w:r w:rsidRPr="007556F3">
        <w:rPr>
          <w:rFonts w:ascii="Calibri" w:hAnsi="Calibri"/>
          <w:i/>
        </w:rPr>
        <w:t>“Mevcut depolama tesisleri, mevcut tesislerdeki kapasite artışları veya yeni yapılacak tesisler, kullanım oranları ve/veya rekabet koşulları dikkate alınarak bu Kanunun sisteme erişime ilişkin hükümlerinden Bakanlık görüşü alınarak Kurul kararı ile belirli süre muaf tutulabilirler. Depolama şirketleri verecekleri hizmetlere ilişkin birim bedelleri ve tesis kapasitelerini yayımlamak zorundadır.”</w:t>
      </w:r>
    </w:p>
    <w:p w14:paraId="7A4CE9EE" w14:textId="77777777" w:rsidR="001A340C" w:rsidRDefault="007556F3" w:rsidP="007556F3">
      <w:pPr>
        <w:pStyle w:val="ListeParagraf"/>
        <w:spacing w:after="0"/>
        <w:ind w:left="1440"/>
        <w:rPr>
          <w:rFonts w:ascii="Calibri" w:hAnsi="Calibri"/>
          <w:i/>
        </w:rPr>
      </w:pPr>
      <w:r w:rsidRPr="007556F3">
        <w:rPr>
          <w:rFonts w:ascii="Calibri" w:hAnsi="Calibri"/>
          <w:i/>
        </w:rPr>
        <w:t>“ı) Doğal gazın sıvılaştırılması: Yurt içinde üretilen ve/veya ithal edilen doğal gazın sıvılaştırılarak yurt dışına ihraç edilmesi ya da yurt içinde yeniden satışı amacıyla kurulacak sıvılaştırma tesislerini işletecek tüzel kişilerin Kuruldan lisans almaları zorunludur. Doğal gaz sıvılaştırma lisansı başvurusunda bulunan tüzel kişilerin teknik ve ekonomik güce sahip olmaları ve yönetmeliklerde belirtilen diğer şartları taşımaları gerekir. Sıvılaştırma tesislerinde yürütülen faaliyetler depolama faaliyeti olarak sayılmaz. Sıvılaştırma tesisi işletmecileri faaliyet gösterdikleri tesislerin ilgili standartlara ve teknik kriterlere göre yapılması ve işletilmesinden sorumludur. Sıvılaştırma tesislerinde yürütülecek faaliyetlere ilişkin usul ve esaslar Bakanlık görüşü alınarak Kurul tarafından belirlenir.”</w:t>
      </w:r>
    </w:p>
    <w:p w14:paraId="73B74565" w14:textId="77777777" w:rsidR="007556F3" w:rsidRDefault="007556F3" w:rsidP="007556F3">
      <w:pPr>
        <w:pStyle w:val="ListeParagraf"/>
        <w:spacing w:after="0"/>
        <w:ind w:left="1440"/>
        <w:rPr>
          <w:rFonts w:ascii="Calibri" w:hAnsi="Calibri"/>
          <w:i/>
        </w:rPr>
      </w:pPr>
    </w:p>
    <w:p w14:paraId="58EE304C" w14:textId="77777777" w:rsidR="007556F3" w:rsidRPr="002048A7" w:rsidRDefault="007556F3" w:rsidP="0025080A">
      <w:pPr>
        <w:numPr>
          <w:ilvl w:val="0"/>
          <w:numId w:val="20"/>
        </w:numPr>
        <w:spacing w:before="120" w:after="120"/>
        <w:rPr>
          <w:rFonts w:ascii="Calibri" w:hAnsi="Calibri"/>
          <w:bCs/>
        </w:rPr>
      </w:pPr>
      <w:r>
        <w:rPr>
          <w:rFonts w:ascii="Calibri" w:hAnsi="Calibri"/>
          <w:bCs/>
        </w:rPr>
        <w:t>26</w:t>
      </w:r>
      <w:r w:rsidRPr="002048A7">
        <w:rPr>
          <w:rFonts w:ascii="Calibri" w:hAnsi="Calibri"/>
          <w:bCs/>
        </w:rPr>
        <w:t>.0</w:t>
      </w:r>
      <w:r>
        <w:rPr>
          <w:rFonts w:ascii="Calibri" w:hAnsi="Calibri"/>
          <w:bCs/>
        </w:rPr>
        <w:t>7</w:t>
      </w:r>
      <w:r w:rsidRPr="002048A7">
        <w:rPr>
          <w:rFonts w:ascii="Calibri" w:hAnsi="Calibri"/>
          <w:bCs/>
        </w:rPr>
        <w:t>.202</w:t>
      </w:r>
      <w:r>
        <w:rPr>
          <w:rFonts w:ascii="Calibri" w:hAnsi="Calibri"/>
          <w:bCs/>
        </w:rPr>
        <w:t>4</w:t>
      </w:r>
      <w:r w:rsidRPr="002048A7">
        <w:rPr>
          <w:rFonts w:ascii="Calibri" w:hAnsi="Calibri"/>
          <w:bCs/>
        </w:rPr>
        <w:t xml:space="preserve"> tarihli ve 32</w:t>
      </w:r>
      <w:r>
        <w:rPr>
          <w:rFonts w:ascii="Calibri" w:hAnsi="Calibri"/>
          <w:bCs/>
        </w:rPr>
        <w:t>613</w:t>
      </w:r>
      <w:r w:rsidRPr="002048A7">
        <w:rPr>
          <w:rFonts w:ascii="Calibri" w:hAnsi="Calibri"/>
          <w:bCs/>
        </w:rPr>
        <w:t xml:space="preserve"> sayılı Resmî Gazetede yayımlanan </w:t>
      </w:r>
      <w:r w:rsidRPr="002048A7">
        <w:rPr>
          <w:lang w:eastAsia="tr-TR"/>
        </w:rPr>
        <w:t>7</w:t>
      </w:r>
      <w:r>
        <w:rPr>
          <w:lang w:eastAsia="tr-TR"/>
        </w:rPr>
        <w:t>521</w:t>
      </w:r>
      <w:r w:rsidRPr="002048A7">
        <w:rPr>
          <w:lang w:eastAsia="tr-TR"/>
        </w:rPr>
        <w:t xml:space="preserve"> Sayılı </w:t>
      </w:r>
      <w:r w:rsidRPr="00AE67B6">
        <w:rPr>
          <w:bCs/>
          <w:lang w:eastAsia="tr-TR"/>
        </w:rPr>
        <w:t>Bazı Kanun</w:t>
      </w:r>
      <w:r>
        <w:rPr>
          <w:bCs/>
          <w:lang w:eastAsia="tr-TR"/>
        </w:rPr>
        <w:t xml:space="preserve"> </w:t>
      </w:r>
      <w:r w:rsidRPr="007556F3">
        <w:rPr>
          <w:bCs/>
          <w:lang w:eastAsia="tr-TR"/>
        </w:rPr>
        <w:t>Ve Kanun Hükmünde Kararnamelerde</w:t>
      </w:r>
      <w:r>
        <w:rPr>
          <w:bCs/>
          <w:lang w:eastAsia="tr-TR"/>
        </w:rPr>
        <w:t xml:space="preserve"> </w:t>
      </w:r>
      <w:r w:rsidRPr="00AE67B6">
        <w:rPr>
          <w:bCs/>
          <w:lang w:eastAsia="tr-TR"/>
        </w:rPr>
        <w:t>Değişiklik Yapılmasına Dair Kanun ile</w:t>
      </w:r>
      <w:r w:rsidRPr="007556F3">
        <w:rPr>
          <w:bCs/>
          <w:lang w:eastAsia="tr-TR"/>
        </w:rPr>
        <w:t xml:space="preserve"> 4646 sayılı Doğal Gaz</w:t>
      </w:r>
      <w:r w:rsidRPr="002048A7">
        <w:rPr>
          <w:rFonts w:ascii="Calibri" w:hAnsi="Calibri"/>
          <w:bCs/>
        </w:rPr>
        <w:t xml:space="preserve"> Piyasası Kanunu’</w:t>
      </w:r>
      <w:r>
        <w:rPr>
          <w:rFonts w:ascii="Calibri" w:hAnsi="Calibri"/>
          <w:bCs/>
        </w:rPr>
        <w:t xml:space="preserve">na </w:t>
      </w:r>
      <w:r w:rsidRPr="007556F3">
        <w:rPr>
          <w:rFonts w:ascii="Calibri" w:hAnsi="Calibri"/>
          <w:bCs/>
        </w:rPr>
        <w:t>aşağıdaki geçici madde eklenmiştir.</w:t>
      </w:r>
    </w:p>
    <w:p w14:paraId="44BFB025" w14:textId="77777777" w:rsidR="007556F3" w:rsidRPr="007556F3" w:rsidRDefault="007556F3" w:rsidP="007556F3">
      <w:pPr>
        <w:pStyle w:val="ListeParagraf"/>
        <w:spacing w:after="0"/>
        <w:ind w:left="1440"/>
        <w:rPr>
          <w:rFonts w:ascii="Calibri" w:hAnsi="Calibri"/>
          <w:i/>
        </w:rPr>
      </w:pPr>
      <w:r w:rsidRPr="007556F3">
        <w:rPr>
          <w:rFonts w:ascii="Calibri" w:hAnsi="Calibri"/>
          <w:i/>
        </w:rPr>
        <w:t>“GEÇİCİ MADDE 8- BOTAŞ’ın, bu maddenin yürürlüğe girdiği tarih itibarıyla Ticaret Bakanlığına bağlı tahsil dairelerine vadesi geldiği halde ödenmemiş olan her türlü vergi, fon ve paylar, idari para cezaları ile bunlara bağlı gecikme zammı ve gecikme faizi borçları BOTAŞ’ın Hazineden görevlendirme bedeli alacaklarına karşılık, merkezi yönetim bütçesinin gelir ve gider hesaplarıyla ilişkilendirilmeksizin mahsup suretiyle, Ticaret Bakanlığınca terkin edilir. Bu kapsamda mahsuba konu olacak borçlara bu maddenin yayımlandığı tarihten sonra feri alacak hesaplanmaz.</w:t>
      </w:r>
    </w:p>
    <w:p w14:paraId="08D561CC" w14:textId="77777777" w:rsidR="007556F3" w:rsidRPr="002048A7" w:rsidRDefault="007556F3" w:rsidP="007556F3">
      <w:pPr>
        <w:pStyle w:val="ListeParagraf"/>
        <w:spacing w:after="0"/>
        <w:ind w:left="1440"/>
        <w:rPr>
          <w:rFonts w:ascii="Calibri" w:hAnsi="Calibri"/>
          <w:i/>
        </w:rPr>
      </w:pPr>
      <w:r w:rsidRPr="007556F3">
        <w:rPr>
          <w:rFonts w:ascii="Calibri" w:hAnsi="Calibri"/>
          <w:i/>
        </w:rPr>
        <w:t>Bu madde kapsamında BOTAŞ’ın Hazineden olan görevlendirme bedeli alacağı tutarını tespit etmeye ve mahsup suretiyle yapılacak terkin işlemlerini belirlemeye Hazine ve Maliye Bakanı yetkilidir.”</w:t>
      </w:r>
    </w:p>
    <w:p w14:paraId="7D15873A" w14:textId="77777777" w:rsidR="009D550A" w:rsidRPr="002048A7" w:rsidRDefault="001D2DA2" w:rsidP="00577AAF">
      <w:pPr>
        <w:pStyle w:val="Balk3"/>
        <w:numPr>
          <w:ilvl w:val="2"/>
          <w:numId w:val="11"/>
        </w:numPr>
        <w:spacing w:after="240"/>
        <w:rPr>
          <w:rFonts w:asciiTheme="minorHAnsi" w:hAnsiTheme="minorHAnsi"/>
          <w:color w:val="auto"/>
        </w:rPr>
      </w:pPr>
      <w:bookmarkStart w:id="60" w:name="_Toc442431240"/>
      <w:bookmarkStart w:id="61" w:name="_Toc514251617"/>
      <w:bookmarkStart w:id="62" w:name="_Toc6684435"/>
      <w:bookmarkStart w:id="63" w:name="_Toc195868676"/>
      <w:r w:rsidRPr="002048A7">
        <w:rPr>
          <w:rFonts w:asciiTheme="minorHAnsi" w:hAnsiTheme="minorHAnsi"/>
          <w:color w:val="auto"/>
        </w:rPr>
        <w:t>Tebliğler</w:t>
      </w:r>
      <w:bookmarkStart w:id="64" w:name="_Toc442431241"/>
      <w:bookmarkStart w:id="65" w:name="_Toc514251618"/>
      <w:bookmarkEnd w:id="60"/>
      <w:bookmarkEnd w:id="61"/>
      <w:bookmarkEnd w:id="62"/>
      <w:bookmarkEnd w:id="63"/>
    </w:p>
    <w:p w14:paraId="3DF1BE25" w14:textId="77777777" w:rsidR="001D2DA2" w:rsidRPr="002048A7" w:rsidRDefault="00E11B45" w:rsidP="001D2DA2">
      <w:pPr>
        <w:spacing w:after="0"/>
        <w:rPr>
          <w:color w:val="00B0F0"/>
        </w:rPr>
      </w:pPr>
      <w:r w:rsidRPr="002048A7">
        <w:t>202</w:t>
      </w:r>
      <w:r w:rsidR="006C522A">
        <w:t>4</w:t>
      </w:r>
      <w:r w:rsidR="001D2DA2" w:rsidRPr="002048A7">
        <w:t xml:space="preserve"> yılında doğal gaz piyasasında aşağıda belirtilen Tebliğ çalışmaları yapılmıştır:</w:t>
      </w:r>
    </w:p>
    <w:p w14:paraId="7E1877DD" w14:textId="77777777" w:rsidR="009D550A" w:rsidRPr="002048A7" w:rsidRDefault="009D550A" w:rsidP="001D2DA2">
      <w:pPr>
        <w:spacing w:after="0"/>
        <w:rPr>
          <w:color w:val="00B0F0"/>
        </w:rPr>
      </w:pPr>
    </w:p>
    <w:p w14:paraId="0BBB651B" w14:textId="77777777" w:rsidR="00F23EE3" w:rsidRPr="002048A7" w:rsidRDefault="00C42C84" w:rsidP="001C4B7A">
      <w:pPr>
        <w:pStyle w:val="ListeParagraf"/>
        <w:numPr>
          <w:ilvl w:val="0"/>
          <w:numId w:val="6"/>
        </w:numPr>
        <w:rPr>
          <w:rFonts w:cstheme="minorHAnsi"/>
        </w:rPr>
      </w:pPr>
      <w:bookmarkStart w:id="66" w:name="_Hlk92873860"/>
      <w:bookmarkStart w:id="67" w:name="_Toc6684436"/>
      <w:r w:rsidRPr="002048A7">
        <w:rPr>
          <w:rFonts w:ascii="Calibri" w:hAnsi="Calibri"/>
          <w:bCs/>
        </w:rPr>
        <w:t>2</w:t>
      </w:r>
      <w:r w:rsidR="00CA176B">
        <w:rPr>
          <w:rFonts w:ascii="Calibri" w:hAnsi="Calibri"/>
          <w:bCs/>
        </w:rPr>
        <w:t>6</w:t>
      </w:r>
      <w:r w:rsidRPr="002048A7">
        <w:rPr>
          <w:rFonts w:ascii="Calibri" w:hAnsi="Calibri"/>
          <w:bCs/>
        </w:rPr>
        <w:t>.12.202</w:t>
      </w:r>
      <w:r w:rsidR="00CA176B">
        <w:rPr>
          <w:rFonts w:ascii="Calibri" w:hAnsi="Calibri"/>
          <w:bCs/>
        </w:rPr>
        <w:t>4</w:t>
      </w:r>
      <w:r w:rsidRPr="002048A7">
        <w:rPr>
          <w:rFonts w:ascii="Calibri" w:hAnsi="Calibri"/>
          <w:bCs/>
        </w:rPr>
        <w:t xml:space="preserve"> tarihli ve 32</w:t>
      </w:r>
      <w:r w:rsidR="00CA176B">
        <w:rPr>
          <w:rFonts w:ascii="Calibri" w:hAnsi="Calibri"/>
          <w:bCs/>
        </w:rPr>
        <w:t>764</w:t>
      </w:r>
      <w:r w:rsidRPr="002048A7">
        <w:rPr>
          <w:rFonts w:ascii="Calibri" w:hAnsi="Calibri"/>
          <w:bCs/>
        </w:rPr>
        <w:t xml:space="preserve"> sayılı Resmî Gazetede yayımlanan</w:t>
      </w:r>
      <w:r w:rsidR="00BA3B20">
        <w:rPr>
          <w:rFonts w:ascii="Calibri" w:hAnsi="Calibri"/>
          <w:bCs/>
        </w:rPr>
        <w:t xml:space="preserve"> </w:t>
      </w:r>
      <w:r w:rsidR="00BA3B20" w:rsidRPr="002048A7">
        <w:t>4646 Sayılı Doğal Gaz Piyasası Kanununun (Elektrik Piyasası Kanununda Değişiklik Yapılması Ve Doğal Gaz Piyasası Hakkında Kanun) 9 uncu Maddesi  Uyarınca 202</w:t>
      </w:r>
      <w:r w:rsidR="006C522A">
        <w:t>5</w:t>
      </w:r>
      <w:r w:rsidR="00BA3B20" w:rsidRPr="002048A7">
        <w:t xml:space="preserve"> Yılında Uygulanacak İdari Para Cezaları Hakkında Tebliğ</w:t>
      </w:r>
      <w:r w:rsidR="00BA3B20">
        <w:t xml:space="preserve"> ile,</w:t>
      </w:r>
      <w:r w:rsidRPr="002048A7">
        <w:rPr>
          <w:rFonts w:ascii="Calibri" w:hAnsi="Calibri"/>
          <w:bCs/>
        </w:rPr>
        <w:t xml:space="preserve"> 4646 sayılı Doğal Gaz Piyasası Kanununun 9</w:t>
      </w:r>
      <w:r w:rsidR="000E7C37" w:rsidRPr="002048A7">
        <w:rPr>
          <w:rFonts w:ascii="Calibri" w:hAnsi="Calibri"/>
          <w:bCs/>
        </w:rPr>
        <w:t>’</w:t>
      </w:r>
      <w:r w:rsidRPr="002048A7">
        <w:rPr>
          <w:rFonts w:ascii="Calibri" w:hAnsi="Calibri"/>
          <w:bCs/>
        </w:rPr>
        <w:t>uncu maddesinde düzenlenmiş olan idari para cezaları, 2</w:t>
      </w:r>
      <w:r w:rsidR="006C522A">
        <w:rPr>
          <w:rFonts w:ascii="Calibri" w:hAnsi="Calibri"/>
          <w:bCs/>
        </w:rPr>
        <w:t>7</w:t>
      </w:r>
      <w:r w:rsidRPr="002048A7">
        <w:rPr>
          <w:rFonts w:ascii="Calibri" w:hAnsi="Calibri"/>
          <w:bCs/>
        </w:rPr>
        <w:t>/11/202</w:t>
      </w:r>
      <w:r w:rsidR="006C522A">
        <w:rPr>
          <w:rFonts w:ascii="Calibri" w:hAnsi="Calibri"/>
          <w:bCs/>
        </w:rPr>
        <w:t>4</w:t>
      </w:r>
      <w:r w:rsidRPr="002048A7">
        <w:rPr>
          <w:rFonts w:ascii="Calibri" w:hAnsi="Calibri"/>
          <w:bCs/>
        </w:rPr>
        <w:t xml:space="preserve"> tarihli ve 32</w:t>
      </w:r>
      <w:r w:rsidR="006C522A">
        <w:rPr>
          <w:rFonts w:ascii="Calibri" w:hAnsi="Calibri"/>
          <w:bCs/>
        </w:rPr>
        <w:t>735</w:t>
      </w:r>
      <w:r w:rsidRPr="002048A7">
        <w:rPr>
          <w:rFonts w:ascii="Calibri" w:hAnsi="Calibri"/>
          <w:bCs/>
        </w:rPr>
        <w:t xml:space="preserve"> sayılı </w:t>
      </w:r>
      <w:r w:rsidRPr="002048A7">
        <w:rPr>
          <w:rFonts w:ascii="Calibri" w:hAnsi="Calibri"/>
          <w:bCs/>
        </w:rPr>
        <w:lastRenderedPageBreak/>
        <w:t>Resmî Gazetede yayımlanan Vergi Usul Kanunu Genel Tebliği (Sıra No: 5</w:t>
      </w:r>
      <w:r w:rsidR="006C522A">
        <w:rPr>
          <w:rFonts w:ascii="Calibri" w:hAnsi="Calibri"/>
          <w:bCs/>
        </w:rPr>
        <w:t>7</w:t>
      </w:r>
      <w:r w:rsidRPr="002048A7">
        <w:rPr>
          <w:rFonts w:ascii="Calibri" w:hAnsi="Calibri"/>
          <w:bCs/>
        </w:rPr>
        <w:t>4)’nde 202</w:t>
      </w:r>
      <w:r w:rsidR="006C522A">
        <w:rPr>
          <w:rFonts w:ascii="Calibri" w:hAnsi="Calibri"/>
          <w:bCs/>
        </w:rPr>
        <w:t>4</w:t>
      </w:r>
      <w:r w:rsidRPr="002048A7">
        <w:rPr>
          <w:rFonts w:ascii="Calibri" w:hAnsi="Calibri"/>
          <w:bCs/>
        </w:rPr>
        <w:t xml:space="preserve"> yılı için yeniden değerleme oranı olarak tespit edilen % </w:t>
      </w:r>
      <w:r w:rsidR="006C522A">
        <w:rPr>
          <w:rFonts w:ascii="Calibri" w:hAnsi="Calibri"/>
          <w:bCs/>
        </w:rPr>
        <w:t>43</w:t>
      </w:r>
      <w:r w:rsidRPr="002048A7">
        <w:rPr>
          <w:rFonts w:ascii="Calibri" w:hAnsi="Calibri"/>
          <w:bCs/>
        </w:rPr>
        <w:t>,</w:t>
      </w:r>
      <w:r w:rsidR="006C522A">
        <w:rPr>
          <w:rFonts w:ascii="Calibri" w:hAnsi="Calibri"/>
          <w:bCs/>
        </w:rPr>
        <w:t>93</w:t>
      </w:r>
      <w:r w:rsidRPr="002048A7">
        <w:rPr>
          <w:rFonts w:ascii="Calibri" w:hAnsi="Calibri"/>
          <w:bCs/>
        </w:rPr>
        <w:t xml:space="preserve"> (</w:t>
      </w:r>
      <w:r w:rsidR="006C522A" w:rsidRPr="006C522A">
        <w:rPr>
          <w:rFonts w:ascii="Calibri" w:hAnsi="Calibri"/>
          <w:bCs/>
        </w:rPr>
        <w:t>kırk üç virgül doksan üç</w:t>
      </w:r>
      <w:r w:rsidRPr="002048A7">
        <w:rPr>
          <w:rFonts w:ascii="Calibri" w:hAnsi="Calibri"/>
          <w:bCs/>
        </w:rPr>
        <w:t>) oranında artırıl</w:t>
      </w:r>
      <w:r w:rsidR="00BA3B20">
        <w:rPr>
          <w:rFonts w:ascii="Calibri" w:hAnsi="Calibri"/>
          <w:bCs/>
        </w:rPr>
        <w:t>mıştır.</w:t>
      </w:r>
    </w:p>
    <w:p w14:paraId="2F226E30" w14:textId="77777777" w:rsidR="001D2DA2" w:rsidRPr="002048A7" w:rsidRDefault="001D2DA2" w:rsidP="00577AAF">
      <w:pPr>
        <w:pStyle w:val="Balk3"/>
        <w:numPr>
          <w:ilvl w:val="2"/>
          <w:numId w:val="11"/>
        </w:numPr>
        <w:spacing w:after="240"/>
        <w:rPr>
          <w:rFonts w:asciiTheme="minorHAnsi" w:hAnsiTheme="minorHAnsi"/>
          <w:color w:val="auto"/>
        </w:rPr>
      </w:pPr>
      <w:bookmarkStart w:id="68" w:name="_Toc195868677"/>
      <w:bookmarkEnd w:id="66"/>
      <w:r w:rsidRPr="002048A7">
        <w:rPr>
          <w:rFonts w:asciiTheme="minorHAnsi" w:hAnsiTheme="minorHAnsi"/>
          <w:color w:val="auto"/>
        </w:rPr>
        <w:t>Kurul Kararları</w:t>
      </w:r>
      <w:bookmarkEnd w:id="64"/>
      <w:bookmarkEnd w:id="65"/>
      <w:bookmarkEnd w:id="67"/>
      <w:bookmarkEnd w:id="68"/>
    </w:p>
    <w:p w14:paraId="56E9F5D0" w14:textId="77777777" w:rsidR="007F076F" w:rsidRPr="002048A7" w:rsidRDefault="00410B0D" w:rsidP="001D2DA2">
      <w:pPr>
        <w:spacing w:after="0"/>
        <w:rPr>
          <w:color w:val="000000" w:themeColor="text1"/>
        </w:rPr>
      </w:pPr>
      <w:r w:rsidRPr="002048A7">
        <w:rPr>
          <w:color w:val="000000" w:themeColor="text1"/>
        </w:rPr>
        <w:t>202</w:t>
      </w:r>
      <w:r w:rsidR="001210FA">
        <w:rPr>
          <w:color w:val="000000" w:themeColor="text1"/>
        </w:rPr>
        <w:t>4</w:t>
      </w:r>
      <w:r w:rsidR="00794A7D" w:rsidRPr="002048A7">
        <w:rPr>
          <w:color w:val="000000" w:themeColor="text1"/>
        </w:rPr>
        <w:t xml:space="preserve"> </w:t>
      </w:r>
      <w:r w:rsidR="001D2DA2" w:rsidRPr="002048A7">
        <w:rPr>
          <w:color w:val="000000" w:themeColor="text1"/>
        </w:rPr>
        <w:t>yılında doğal gaz piyasasında düzenleyici işlem niteliğinde aşağıdaki Kurul Kararları ihdas edilmiştir</w:t>
      </w:r>
      <w:r w:rsidR="00061520" w:rsidRPr="002048A7">
        <w:rPr>
          <w:color w:val="000000" w:themeColor="text1"/>
        </w:rPr>
        <w:t>.</w:t>
      </w:r>
      <w:r w:rsidR="001D2DA2" w:rsidRPr="002048A7">
        <w:rPr>
          <w:color w:val="000000" w:themeColor="text1"/>
        </w:rPr>
        <w:t xml:space="preserve"> </w:t>
      </w:r>
    </w:p>
    <w:p w14:paraId="68880640" w14:textId="77777777" w:rsidR="00AF3D0A" w:rsidRPr="002048A7" w:rsidRDefault="00AF3D0A" w:rsidP="00AF3D0A">
      <w:pPr>
        <w:spacing w:after="0"/>
        <w:rPr>
          <w:rFonts w:cstheme="minorHAnsi"/>
          <w:color w:val="000000" w:themeColor="text1"/>
        </w:rPr>
      </w:pPr>
    </w:p>
    <w:tbl>
      <w:tblPr>
        <w:tblStyle w:val="TabloKlavuzu"/>
        <w:tblW w:w="0" w:type="auto"/>
        <w:tblLook w:val="04A0" w:firstRow="1" w:lastRow="0" w:firstColumn="1" w:lastColumn="0" w:noHBand="0" w:noVBand="1"/>
      </w:tblPr>
      <w:tblGrid>
        <w:gridCol w:w="2547"/>
        <w:gridCol w:w="7365"/>
      </w:tblGrid>
      <w:tr w:rsidR="00AF3D0A" w:rsidRPr="002048A7" w14:paraId="4D134B0D" w14:textId="77777777" w:rsidTr="002048A7">
        <w:trPr>
          <w:tblHeader/>
        </w:trPr>
        <w:tc>
          <w:tcPr>
            <w:tcW w:w="2547" w:type="dxa"/>
          </w:tcPr>
          <w:p w14:paraId="4564AF59" w14:textId="77777777" w:rsidR="00AF3D0A" w:rsidRPr="002048A7" w:rsidRDefault="00940CB5" w:rsidP="00AF3D0A">
            <w:pPr>
              <w:jc w:val="center"/>
              <w:rPr>
                <w:rFonts w:cstheme="minorHAnsi"/>
                <w:b/>
                <w:color w:val="000000" w:themeColor="text1"/>
              </w:rPr>
            </w:pPr>
            <w:r w:rsidRPr="002048A7">
              <w:rPr>
                <w:rFonts w:cstheme="minorHAnsi"/>
                <w:b/>
                <w:color w:val="000000" w:themeColor="text1"/>
              </w:rPr>
              <w:t>Resmî</w:t>
            </w:r>
            <w:r w:rsidR="00AF3D0A" w:rsidRPr="002048A7">
              <w:rPr>
                <w:rFonts w:cstheme="minorHAnsi"/>
                <w:b/>
                <w:color w:val="000000" w:themeColor="text1"/>
              </w:rPr>
              <w:t xml:space="preserve"> Gazete Tarih/Sayı</w:t>
            </w:r>
          </w:p>
          <w:p w14:paraId="42A7CAF7" w14:textId="77777777" w:rsidR="00AF3D0A" w:rsidRPr="002048A7" w:rsidRDefault="00AF3D0A" w:rsidP="00AF3D0A">
            <w:pPr>
              <w:jc w:val="center"/>
              <w:rPr>
                <w:rFonts w:cstheme="minorHAnsi"/>
                <w:b/>
                <w:color w:val="000000" w:themeColor="text1"/>
              </w:rPr>
            </w:pPr>
            <w:r w:rsidRPr="002048A7">
              <w:rPr>
                <w:rFonts w:cstheme="minorHAnsi"/>
                <w:b/>
                <w:color w:val="000000" w:themeColor="text1"/>
              </w:rPr>
              <w:t>Kurul Kararı Tarih/Sayı</w:t>
            </w:r>
          </w:p>
        </w:tc>
        <w:tc>
          <w:tcPr>
            <w:tcW w:w="7365" w:type="dxa"/>
          </w:tcPr>
          <w:p w14:paraId="3A223335" w14:textId="77777777" w:rsidR="00AF3D0A" w:rsidRPr="002048A7" w:rsidRDefault="00AF3D0A" w:rsidP="00AF3D0A">
            <w:pPr>
              <w:jc w:val="center"/>
              <w:rPr>
                <w:rFonts w:cstheme="minorHAnsi"/>
                <w:b/>
                <w:color w:val="000000" w:themeColor="text1"/>
              </w:rPr>
            </w:pPr>
            <w:r w:rsidRPr="002048A7">
              <w:rPr>
                <w:rFonts w:cstheme="minorHAnsi"/>
                <w:b/>
                <w:color w:val="000000" w:themeColor="text1"/>
              </w:rPr>
              <w:t>Konusu</w:t>
            </w:r>
          </w:p>
        </w:tc>
      </w:tr>
      <w:tr w:rsidR="00A0799E" w:rsidRPr="002048A7" w14:paraId="7315C779" w14:textId="77777777" w:rsidTr="002048A7">
        <w:trPr>
          <w:tblHeader/>
        </w:trPr>
        <w:tc>
          <w:tcPr>
            <w:tcW w:w="2547" w:type="dxa"/>
          </w:tcPr>
          <w:p w14:paraId="7833008B" w14:textId="77777777" w:rsidR="00A0799E" w:rsidRPr="002048A7" w:rsidRDefault="00A0799E" w:rsidP="00A0799E">
            <w:pPr>
              <w:rPr>
                <w:rFonts w:ascii="Calibri" w:hAnsi="Calibri" w:cs="Calibri"/>
                <w:color w:val="000000"/>
              </w:rPr>
            </w:pPr>
            <w:r w:rsidRPr="002048A7">
              <w:rPr>
                <w:rFonts w:ascii="Calibri" w:hAnsi="Calibri" w:cs="Calibri"/>
                <w:color w:val="000000"/>
              </w:rPr>
              <w:t>2</w:t>
            </w:r>
            <w:r>
              <w:rPr>
                <w:rFonts w:ascii="Calibri" w:hAnsi="Calibri" w:cs="Calibri"/>
                <w:color w:val="000000"/>
              </w:rPr>
              <w:t>7</w:t>
            </w:r>
            <w:r w:rsidRPr="002048A7">
              <w:rPr>
                <w:rFonts w:ascii="Calibri" w:hAnsi="Calibri" w:cs="Calibri"/>
                <w:color w:val="000000"/>
              </w:rPr>
              <w:t>.01.202</w:t>
            </w:r>
            <w:r>
              <w:rPr>
                <w:rFonts w:ascii="Calibri" w:hAnsi="Calibri" w:cs="Calibri"/>
                <w:color w:val="000000"/>
              </w:rPr>
              <w:t>4</w:t>
            </w:r>
            <w:r w:rsidRPr="002048A7">
              <w:rPr>
                <w:rFonts w:ascii="Calibri" w:hAnsi="Calibri" w:cs="Calibri"/>
                <w:color w:val="000000"/>
              </w:rPr>
              <w:t xml:space="preserve"> / 32</w:t>
            </w:r>
            <w:r>
              <w:rPr>
                <w:rFonts w:ascii="Calibri" w:hAnsi="Calibri" w:cs="Calibri"/>
                <w:color w:val="000000"/>
              </w:rPr>
              <w:t>442</w:t>
            </w:r>
            <w:r w:rsidRPr="002048A7">
              <w:rPr>
                <w:rFonts w:ascii="Calibri" w:hAnsi="Calibri" w:cs="Calibri"/>
                <w:color w:val="000000"/>
              </w:rPr>
              <w:t xml:space="preserve"> </w:t>
            </w:r>
          </w:p>
          <w:p w14:paraId="57A8D7FE" w14:textId="77777777" w:rsidR="00A0799E" w:rsidRPr="00A0799E" w:rsidRDefault="00A0799E" w:rsidP="00A0799E">
            <w:pPr>
              <w:rPr>
                <w:rFonts w:ascii="Calibri" w:hAnsi="Calibri" w:cs="Calibri"/>
                <w:color w:val="000000"/>
              </w:rPr>
            </w:pPr>
            <w:r>
              <w:rPr>
                <w:rFonts w:ascii="Calibri" w:hAnsi="Calibri" w:cs="Calibri"/>
                <w:color w:val="000000"/>
              </w:rPr>
              <w:t>25</w:t>
            </w:r>
            <w:r w:rsidRPr="002048A7">
              <w:rPr>
                <w:rFonts w:ascii="Calibri" w:hAnsi="Calibri" w:cs="Calibri"/>
                <w:color w:val="000000"/>
              </w:rPr>
              <w:t>.01.202</w:t>
            </w:r>
            <w:r>
              <w:rPr>
                <w:rFonts w:ascii="Calibri" w:hAnsi="Calibri" w:cs="Calibri"/>
                <w:color w:val="000000"/>
              </w:rPr>
              <w:t>4</w:t>
            </w:r>
            <w:r w:rsidRPr="002048A7">
              <w:rPr>
                <w:rFonts w:ascii="Calibri" w:hAnsi="Calibri" w:cs="Calibri"/>
                <w:color w:val="000000"/>
              </w:rPr>
              <w:t xml:space="preserve"> / 1</w:t>
            </w:r>
            <w:r>
              <w:rPr>
                <w:rFonts w:ascii="Calibri" w:hAnsi="Calibri" w:cs="Calibri"/>
                <w:color w:val="000000"/>
              </w:rPr>
              <w:t>2392</w:t>
            </w:r>
          </w:p>
        </w:tc>
        <w:tc>
          <w:tcPr>
            <w:tcW w:w="7365" w:type="dxa"/>
          </w:tcPr>
          <w:p w14:paraId="03732316" w14:textId="77777777" w:rsidR="00A0799E" w:rsidRPr="00A0799E" w:rsidRDefault="00A0799E" w:rsidP="00A0799E">
            <w:pPr>
              <w:rPr>
                <w:rFonts w:ascii="Calibri" w:hAnsi="Calibri" w:cs="Calibri"/>
                <w:color w:val="000000"/>
              </w:rPr>
            </w:pPr>
            <w:r w:rsidRPr="00A0799E">
              <w:rPr>
                <w:rFonts w:ascii="Calibri" w:hAnsi="Calibri" w:cs="Calibri"/>
                <w:color w:val="000000"/>
              </w:rPr>
              <w:t>Boru Hatları ile Petrol Taşıma A.Ş.’nin ulusal iletim şebekesi yatırım programının onaylanması için alınmış olan 16/03/2023 tarihli ve 11727 sayılı Kurul Kararında değişiklik yapılmasına ilişkin</w:t>
            </w:r>
          </w:p>
        </w:tc>
      </w:tr>
      <w:tr w:rsidR="00AF3D0A" w:rsidRPr="002048A7" w14:paraId="6B5DF151" w14:textId="77777777" w:rsidTr="00AF3D0A">
        <w:tc>
          <w:tcPr>
            <w:tcW w:w="2547" w:type="dxa"/>
          </w:tcPr>
          <w:p w14:paraId="25926DE9" w14:textId="77777777" w:rsidR="00AF3D0A" w:rsidRPr="002048A7" w:rsidRDefault="00DF0459" w:rsidP="00AF3D0A">
            <w:pPr>
              <w:rPr>
                <w:rFonts w:ascii="Calibri" w:hAnsi="Calibri" w:cs="Calibri"/>
                <w:color w:val="000000"/>
              </w:rPr>
            </w:pPr>
            <w:r w:rsidRPr="002048A7">
              <w:rPr>
                <w:rFonts w:ascii="Calibri" w:hAnsi="Calibri" w:cs="Calibri"/>
                <w:color w:val="000000"/>
              </w:rPr>
              <w:t>2</w:t>
            </w:r>
            <w:r w:rsidR="00A0799E">
              <w:rPr>
                <w:rFonts w:ascii="Calibri" w:hAnsi="Calibri" w:cs="Calibri"/>
                <w:color w:val="000000"/>
              </w:rPr>
              <w:t>7</w:t>
            </w:r>
            <w:r w:rsidR="00AF3D0A" w:rsidRPr="002048A7">
              <w:rPr>
                <w:rFonts w:ascii="Calibri" w:hAnsi="Calibri" w:cs="Calibri"/>
                <w:color w:val="000000"/>
              </w:rPr>
              <w:t>.01.202</w:t>
            </w:r>
            <w:r w:rsidR="00A0799E">
              <w:rPr>
                <w:rFonts w:ascii="Calibri" w:hAnsi="Calibri" w:cs="Calibri"/>
                <w:color w:val="000000"/>
              </w:rPr>
              <w:t>4</w:t>
            </w:r>
            <w:r w:rsidR="00AF3D0A" w:rsidRPr="002048A7">
              <w:rPr>
                <w:rFonts w:ascii="Calibri" w:hAnsi="Calibri" w:cs="Calibri"/>
                <w:color w:val="000000"/>
              </w:rPr>
              <w:t xml:space="preserve"> / 32</w:t>
            </w:r>
            <w:r w:rsidR="00A0799E">
              <w:rPr>
                <w:rFonts w:ascii="Calibri" w:hAnsi="Calibri" w:cs="Calibri"/>
                <w:color w:val="000000"/>
              </w:rPr>
              <w:t>442</w:t>
            </w:r>
            <w:r w:rsidR="00AF3D0A" w:rsidRPr="002048A7">
              <w:rPr>
                <w:rFonts w:ascii="Calibri" w:hAnsi="Calibri" w:cs="Calibri"/>
                <w:color w:val="000000"/>
              </w:rPr>
              <w:t xml:space="preserve"> </w:t>
            </w:r>
          </w:p>
          <w:p w14:paraId="7D8F4E58" w14:textId="77777777" w:rsidR="00AF3D0A" w:rsidRPr="002048A7" w:rsidRDefault="00A0799E" w:rsidP="00AF3D0A">
            <w:pPr>
              <w:rPr>
                <w:rFonts w:cstheme="minorHAnsi"/>
                <w:color w:val="000000" w:themeColor="text1"/>
              </w:rPr>
            </w:pPr>
            <w:r>
              <w:rPr>
                <w:rFonts w:ascii="Calibri" w:hAnsi="Calibri" w:cs="Calibri"/>
                <w:color w:val="000000"/>
              </w:rPr>
              <w:t>25</w:t>
            </w:r>
            <w:r w:rsidR="00AF3D0A" w:rsidRPr="002048A7">
              <w:rPr>
                <w:rFonts w:ascii="Calibri" w:hAnsi="Calibri" w:cs="Calibri"/>
                <w:color w:val="000000"/>
              </w:rPr>
              <w:t>.01.202</w:t>
            </w:r>
            <w:r>
              <w:rPr>
                <w:rFonts w:ascii="Calibri" w:hAnsi="Calibri" w:cs="Calibri"/>
                <w:color w:val="000000"/>
              </w:rPr>
              <w:t>4</w:t>
            </w:r>
            <w:r w:rsidR="00AF3D0A" w:rsidRPr="002048A7">
              <w:rPr>
                <w:rFonts w:ascii="Calibri" w:hAnsi="Calibri" w:cs="Calibri"/>
                <w:color w:val="000000"/>
              </w:rPr>
              <w:t xml:space="preserve"> / 1</w:t>
            </w:r>
            <w:r>
              <w:rPr>
                <w:rFonts w:ascii="Calibri" w:hAnsi="Calibri" w:cs="Calibri"/>
                <w:color w:val="000000"/>
              </w:rPr>
              <w:t>2393</w:t>
            </w:r>
          </w:p>
        </w:tc>
        <w:tc>
          <w:tcPr>
            <w:tcW w:w="7365" w:type="dxa"/>
          </w:tcPr>
          <w:p w14:paraId="7DBD89D7" w14:textId="77777777" w:rsidR="00AF3D0A" w:rsidRPr="002048A7" w:rsidRDefault="00A0799E" w:rsidP="00AF3D0A">
            <w:pPr>
              <w:rPr>
                <w:rFonts w:cstheme="minorHAnsi"/>
                <w:color w:val="000000" w:themeColor="text1"/>
              </w:rPr>
            </w:pPr>
            <w:r w:rsidRPr="00A0799E">
              <w:rPr>
                <w:rFonts w:ascii="Calibri" w:hAnsi="Calibri" w:cs="Calibri"/>
                <w:color w:val="000000"/>
              </w:rPr>
              <w:t>2024 yılı ulusal doğal gaz tüketim tahminine ilişkin</w:t>
            </w:r>
          </w:p>
        </w:tc>
      </w:tr>
      <w:tr w:rsidR="00A0799E" w:rsidRPr="002048A7" w14:paraId="1F670440" w14:textId="77777777" w:rsidTr="00AF3D0A">
        <w:tc>
          <w:tcPr>
            <w:tcW w:w="2547" w:type="dxa"/>
          </w:tcPr>
          <w:p w14:paraId="0DFFA624" w14:textId="77777777" w:rsidR="00A0799E" w:rsidRPr="002048A7" w:rsidRDefault="00A0799E" w:rsidP="00A0799E">
            <w:pPr>
              <w:rPr>
                <w:rFonts w:ascii="Calibri" w:hAnsi="Calibri" w:cs="Calibri"/>
                <w:color w:val="000000"/>
              </w:rPr>
            </w:pPr>
            <w:r>
              <w:rPr>
                <w:rFonts w:ascii="Calibri" w:hAnsi="Calibri" w:cs="Calibri"/>
                <w:color w:val="000000"/>
              </w:rPr>
              <w:t>02</w:t>
            </w:r>
            <w:r w:rsidRPr="002048A7">
              <w:rPr>
                <w:rFonts w:ascii="Calibri" w:hAnsi="Calibri" w:cs="Calibri"/>
                <w:color w:val="000000"/>
              </w:rPr>
              <w:t>.0</w:t>
            </w:r>
            <w:r>
              <w:rPr>
                <w:rFonts w:ascii="Calibri" w:hAnsi="Calibri" w:cs="Calibri"/>
                <w:color w:val="000000"/>
              </w:rPr>
              <w:t>3</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 32</w:t>
            </w:r>
            <w:r>
              <w:rPr>
                <w:rFonts w:ascii="Calibri" w:hAnsi="Calibri" w:cs="Calibri"/>
                <w:color w:val="000000"/>
              </w:rPr>
              <w:t>477</w:t>
            </w:r>
            <w:r w:rsidRPr="002048A7">
              <w:rPr>
                <w:rFonts w:ascii="Calibri" w:hAnsi="Calibri" w:cs="Calibri"/>
                <w:color w:val="000000"/>
              </w:rPr>
              <w:t xml:space="preserve"> </w:t>
            </w:r>
          </w:p>
          <w:p w14:paraId="23957458" w14:textId="77777777" w:rsidR="00A0799E" w:rsidRPr="002048A7" w:rsidRDefault="00A0799E" w:rsidP="00A0799E">
            <w:pPr>
              <w:rPr>
                <w:rFonts w:ascii="Calibri" w:hAnsi="Calibri" w:cs="Calibri"/>
                <w:color w:val="000000"/>
              </w:rPr>
            </w:pPr>
            <w:r>
              <w:rPr>
                <w:rFonts w:ascii="Calibri" w:hAnsi="Calibri" w:cs="Calibri"/>
                <w:color w:val="000000"/>
              </w:rPr>
              <w:t>29</w:t>
            </w:r>
            <w:r w:rsidRPr="002048A7">
              <w:rPr>
                <w:rFonts w:ascii="Calibri" w:hAnsi="Calibri" w:cs="Calibri"/>
                <w:color w:val="000000"/>
              </w:rPr>
              <w:t>.0</w:t>
            </w:r>
            <w:r>
              <w:rPr>
                <w:rFonts w:ascii="Calibri" w:hAnsi="Calibri" w:cs="Calibri"/>
                <w:color w:val="000000"/>
              </w:rPr>
              <w:t>2</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 1</w:t>
            </w:r>
            <w:r>
              <w:rPr>
                <w:rFonts w:ascii="Calibri" w:hAnsi="Calibri" w:cs="Calibri"/>
                <w:color w:val="000000"/>
              </w:rPr>
              <w:t>2468</w:t>
            </w:r>
          </w:p>
        </w:tc>
        <w:tc>
          <w:tcPr>
            <w:tcW w:w="7365" w:type="dxa"/>
          </w:tcPr>
          <w:p w14:paraId="379D0F76" w14:textId="77777777" w:rsidR="00A0799E" w:rsidRPr="00A0799E" w:rsidRDefault="00A0799E" w:rsidP="00AF3D0A">
            <w:pPr>
              <w:rPr>
                <w:rFonts w:ascii="Calibri" w:hAnsi="Calibri" w:cs="Calibri"/>
                <w:color w:val="000000"/>
              </w:rPr>
            </w:pPr>
            <w:r w:rsidRPr="00A0799E">
              <w:rPr>
                <w:rFonts w:ascii="Calibri" w:hAnsi="Calibri" w:cs="Calibri"/>
                <w:color w:val="000000"/>
              </w:rPr>
              <w:t>Boru Hatları ile Petrol Taşıma A.Ş.’nin (BOTAŞ) transit doğal gaz iletimi dâhil, 2024 Yılı Doğal Gaz İletim Şebekesi Yatırım Programının onaylanmasına ilişkin</w:t>
            </w:r>
          </w:p>
        </w:tc>
      </w:tr>
      <w:tr w:rsidR="00EF59A4" w:rsidRPr="002048A7" w14:paraId="6F6D88AE" w14:textId="77777777" w:rsidTr="00AF3D0A">
        <w:tc>
          <w:tcPr>
            <w:tcW w:w="2547" w:type="dxa"/>
          </w:tcPr>
          <w:p w14:paraId="4E1AD1AF" w14:textId="77777777" w:rsidR="00EF59A4" w:rsidRPr="002048A7" w:rsidRDefault="00EF59A4" w:rsidP="00EF59A4">
            <w:pPr>
              <w:rPr>
                <w:rFonts w:ascii="Calibri" w:hAnsi="Calibri" w:cs="Calibri"/>
                <w:color w:val="000000"/>
              </w:rPr>
            </w:pPr>
            <w:r>
              <w:rPr>
                <w:rFonts w:ascii="Calibri" w:hAnsi="Calibri" w:cs="Calibri"/>
                <w:color w:val="000000"/>
              </w:rPr>
              <w:t>23</w:t>
            </w:r>
            <w:r w:rsidRPr="002048A7">
              <w:rPr>
                <w:rFonts w:ascii="Calibri" w:hAnsi="Calibri" w:cs="Calibri"/>
                <w:color w:val="000000"/>
              </w:rPr>
              <w:t>.0</w:t>
            </w:r>
            <w:r>
              <w:rPr>
                <w:rFonts w:ascii="Calibri" w:hAnsi="Calibri" w:cs="Calibri"/>
                <w:color w:val="000000"/>
              </w:rPr>
              <w:t>3</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 32</w:t>
            </w:r>
            <w:r>
              <w:rPr>
                <w:rFonts w:ascii="Calibri" w:hAnsi="Calibri" w:cs="Calibri"/>
                <w:color w:val="000000"/>
              </w:rPr>
              <w:t>498</w:t>
            </w:r>
            <w:r w:rsidRPr="002048A7">
              <w:rPr>
                <w:rFonts w:ascii="Calibri" w:hAnsi="Calibri" w:cs="Calibri"/>
                <w:color w:val="000000"/>
              </w:rPr>
              <w:t xml:space="preserve"> </w:t>
            </w:r>
          </w:p>
          <w:p w14:paraId="75EAF685" w14:textId="77777777" w:rsidR="00EF59A4" w:rsidRPr="002048A7" w:rsidRDefault="00EF59A4" w:rsidP="00EF59A4">
            <w:pPr>
              <w:rPr>
                <w:rFonts w:ascii="Calibri" w:hAnsi="Calibri" w:cs="Calibri"/>
                <w:color w:val="000000"/>
              </w:rPr>
            </w:pPr>
            <w:r>
              <w:rPr>
                <w:rFonts w:ascii="Calibri" w:hAnsi="Calibri" w:cs="Calibri"/>
                <w:color w:val="000000"/>
              </w:rPr>
              <w:t>21</w:t>
            </w:r>
            <w:r w:rsidRPr="002048A7">
              <w:rPr>
                <w:rFonts w:ascii="Calibri" w:hAnsi="Calibri" w:cs="Calibri"/>
                <w:color w:val="000000"/>
              </w:rPr>
              <w:t>.0</w:t>
            </w:r>
            <w:r>
              <w:rPr>
                <w:rFonts w:ascii="Calibri" w:hAnsi="Calibri" w:cs="Calibri"/>
                <w:color w:val="000000"/>
              </w:rPr>
              <w:t>3</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 1</w:t>
            </w:r>
            <w:r>
              <w:rPr>
                <w:rFonts w:ascii="Calibri" w:hAnsi="Calibri" w:cs="Calibri"/>
                <w:color w:val="000000"/>
              </w:rPr>
              <w:t>2522</w:t>
            </w:r>
          </w:p>
        </w:tc>
        <w:tc>
          <w:tcPr>
            <w:tcW w:w="7365" w:type="dxa"/>
          </w:tcPr>
          <w:p w14:paraId="52004540" w14:textId="77777777" w:rsidR="00EF59A4" w:rsidRPr="00A0799E" w:rsidRDefault="00EF59A4" w:rsidP="00EF59A4">
            <w:pPr>
              <w:rPr>
                <w:rFonts w:ascii="Calibri" w:hAnsi="Calibri" w:cs="Calibri"/>
                <w:color w:val="000000"/>
              </w:rPr>
            </w:pPr>
            <w:r w:rsidRPr="00EF59A4">
              <w:rPr>
                <w:rFonts w:ascii="Calibri" w:hAnsi="Calibri" w:cs="Calibri"/>
                <w:color w:val="000000"/>
              </w:rPr>
              <w:t xml:space="preserve">Boru Hatları ile Petrol Taşıma Anonim Şirketi’ne ait Tuz Gölü Doğal Gaz Yer Altı Depolama Tesisi’nin ve Silivri Yer Altı Doğal Gaz Depolama Tesisi’nin 2024-2025 tarife uygulama dönemine ilişkin  </w:t>
            </w:r>
          </w:p>
        </w:tc>
      </w:tr>
      <w:tr w:rsidR="00EF59A4" w:rsidRPr="002048A7" w14:paraId="4249A0BA" w14:textId="77777777" w:rsidTr="00AF3D0A">
        <w:tc>
          <w:tcPr>
            <w:tcW w:w="2547" w:type="dxa"/>
          </w:tcPr>
          <w:p w14:paraId="582172A5" w14:textId="77777777" w:rsidR="00EF59A4" w:rsidRPr="002048A7" w:rsidRDefault="00EF59A4" w:rsidP="00EF59A4">
            <w:pPr>
              <w:rPr>
                <w:rFonts w:ascii="Calibri" w:hAnsi="Calibri" w:cs="Calibri"/>
                <w:color w:val="000000"/>
              </w:rPr>
            </w:pPr>
            <w:r>
              <w:rPr>
                <w:rFonts w:ascii="Calibri" w:hAnsi="Calibri" w:cs="Calibri"/>
                <w:color w:val="000000"/>
              </w:rPr>
              <w:t>12</w:t>
            </w:r>
            <w:r w:rsidRPr="002048A7">
              <w:rPr>
                <w:rFonts w:ascii="Calibri" w:hAnsi="Calibri" w:cs="Calibri"/>
                <w:color w:val="000000"/>
              </w:rPr>
              <w:t>.0</w:t>
            </w:r>
            <w:r>
              <w:rPr>
                <w:rFonts w:ascii="Calibri" w:hAnsi="Calibri" w:cs="Calibri"/>
                <w:color w:val="000000"/>
              </w:rPr>
              <w:t>7</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 32</w:t>
            </w:r>
            <w:r>
              <w:rPr>
                <w:rFonts w:ascii="Calibri" w:hAnsi="Calibri" w:cs="Calibri"/>
                <w:color w:val="000000"/>
              </w:rPr>
              <w:t>600</w:t>
            </w:r>
            <w:r w:rsidRPr="002048A7">
              <w:rPr>
                <w:rFonts w:ascii="Calibri" w:hAnsi="Calibri" w:cs="Calibri"/>
                <w:color w:val="000000"/>
              </w:rPr>
              <w:t xml:space="preserve"> </w:t>
            </w:r>
          </w:p>
          <w:p w14:paraId="16381277" w14:textId="77777777" w:rsidR="00EF59A4" w:rsidRDefault="00EF59A4" w:rsidP="00EF59A4">
            <w:pPr>
              <w:rPr>
                <w:rFonts w:ascii="Calibri" w:hAnsi="Calibri" w:cs="Calibri"/>
                <w:color w:val="000000"/>
              </w:rPr>
            </w:pPr>
            <w:r>
              <w:rPr>
                <w:rFonts w:ascii="Calibri" w:hAnsi="Calibri" w:cs="Calibri"/>
                <w:color w:val="000000"/>
              </w:rPr>
              <w:t>11</w:t>
            </w:r>
            <w:r w:rsidRPr="002048A7">
              <w:rPr>
                <w:rFonts w:ascii="Calibri" w:hAnsi="Calibri" w:cs="Calibri"/>
                <w:color w:val="000000"/>
              </w:rPr>
              <w:t>.0</w:t>
            </w:r>
            <w:r>
              <w:rPr>
                <w:rFonts w:ascii="Calibri" w:hAnsi="Calibri" w:cs="Calibri"/>
                <w:color w:val="000000"/>
              </w:rPr>
              <w:t>7</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 1</w:t>
            </w:r>
            <w:r>
              <w:rPr>
                <w:rFonts w:ascii="Calibri" w:hAnsi="Calibri" w:cs="Calibri"/>
                <w:color w:val="000000"/>
              </w:rPr>
              <w:t>2743</w:t>
            </w:r>
          </w:p>
        </w:tc>
        <w:tc>
          <w:tcPr>
            <w:tcW w:w="7365" w:type="dxa"/>
          </w:tcPr>
          <w:p w14:paraId="00290FA3" w14:textId="77777777" w:rsidR="00EF59A4" w:rsidRPr="00EF59A4" w:rsidRDefault="00EF59A4" w:rsidP="00EF59A4">
            <w:pPr>
              <w:rPr>
                <w:rFonts w:ascii="Calibri" w:hAnsi="Calibri" w:cs="Calibri"/>
                <w:color w:val="000000"/>
              </w:rPr>
            </w:pPr>
            <w:r w:rsidRPr="00EF59A4">
              <w:rPr>
                <w:rFonts w:ascii="Calibri" w:hAnsi="Calibri" w:cs="Calibri"/>
                <w:color w:val="000000"/>
              </w:rPr>
              <w:t xml:space="preserve">Doğal Gaz Tüketimine İlişkin Sistem Kullanım Bedelleri Hakkında Cumhurbaşkanlığı Kararnamesinin Uygulanmasına Dair Usul ve Esaslarda Değişiklik Yapılmasına İlişkin Usul ve Esaslar  </w:t>
            </w:r>
          </w:p>
        </w:tc>
      </w:tr>
      <w:tr w:rsidR="00EF59A4" w:rsidRPr="002048A7" w14:paraId="7593E669" w14:textId="77777777" w:rsidTr="00AF3D0A">
        <w:tc>
          <w:tcPr>
            <w:tcW w:w="2547" w:type="dxa"/>
          </w:tcPr>
          <w:p w14:paraId="1DA7E879" w14:textId="77777777" w:rsidR="00EF59A4" w:rsidRPr="002048A7" w:rsidRDefault="00EF59A4" w:rsidP="00EF59A4">
            <w:pPr>
              <w:rPr>
                <w:rFonts w:ascii="Calibri" w:hAnsi="Calibri" w:cs="Calibri"/>
                <w:color w:val="000000"/>
              </w:rPr>
            </w:pPr>
            <w:r>
              <w:rPr>
                <w:rFonts w:ascii="Calibri" w:hAnsi="Calibri" w:cs="Calibri"/>
                <w:color w:val="000000"/>
              </w:rPr>
              <w:t>14</w:t>
            </w:r>
            <w:r w:rsidRPr="002048A7">
              <w:rPr>
                <w:rFonts w:ascii="Calibri" w:hAnsi="Calibri" w:cs="Calibri"/>
                <w:color w:val="000000"/>
              </w:rPr>
              <w:t>.</w:t>
            </w:r>
            <w:r>
              <w:rPr>
                <w:rFonts w:ascii="Calibri" w:hAnsi="Calibri" w:cs="Calibri"/>
                <w:color w:val="000000"/>
              </w:rPr>
              <w:t>12</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 32</w:t>
            </w:r>
            <w:r>
              <w:rPr>
                <w:rFonts w:ascii="Calibri" w:hAnsi="Calibri" w:cs="Calibri"/>
                <w:color w:val="000000"/>
              </w:rPr>
              <w:t>752</w:t>
            </w:r>
            <w:r w:rsidRPr="002048A7">
              <w:rPr>
                <w:rFonts w:ascii="Calibri" w:hAnsi="Calibri" w:cs="Calibri"/>
                <w:color w:val="000000"/>
              </w:rPr>
              <w:t xml:space="preserve"> </w:t>
            </w:r>
          </w:p>
          <w:p w14:paraId="4D8E3735" w14:textId="77777777" w:rsidR="00EF59A4" w:rsidRDefault="00EF59A4" w:rsidP="00EF59A4">
            <w:pPr>
              <w:rPr>
                <w:rFonts w:ascii="Calibri" w:hAnsi="Calibri" w:cs="Calibri"/>
                <w:color w:val="000000"/>
              </w:rPr>
            </w:pPr>
            <w:r>
              <w:rPr>
                <w:rFonts w:ascii="Calibri" w:hAnsi="Calibri" w:cs="Calibri"/>
                <w:color w:val="000000"/>
              </w:rPr>
              <w:t>12</w:t>
            </w:r>
            <w:r w:rsidRPr="002048A7">
              <w:rPr>
                <w:rFonts w:ascii="Calibri" w:hAnsi="Calibri" w:cs="Calibri"/>
                <w:color w:val="000000"/>
              </w:rPr>
              <w:t>.</w:t>
            </w:r>
            <w:r>
              <w:rPr>
                <w:rFonts w:ascii="Calibri" w:hAnsi="Calibri" w:cs="Calibri"/>
                <w:color w:val="000000"/>
              </w:rPr>
              <w:t>12</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 1</w:t>
            </w:r>
            <w:r>
              <w:rPr>
                <w:rFonts w:ascii="Calibri" w:hAnsi="Calibri" w:cs="Calibri"/>
                <w:color w:val="000000"/>
              </w:rPr>
              <w:t>3075</w:t>
            </w:r>
          </w:p>
        </w:tc>
        <w:tc>
          <w:tcPr>
            <w:tcW w:w="7365" w:type="dxa"/>
          </w:tcPr>
          <w:p w14:paraId="63E8D082" w14:textId="77777777" w:rsidR="00EF59A4" w:rsidRPr="00A0799E" w:rsidRDefault="00EF59A4" w:rsidP="00EF59A4">
            <w:pPr>
              <w:rPr>
                <w:rFonts w:ascii="Calibri" w:hAnsi="Calibri" w:cs="Calibri"/>
                <w:color w:val="000000"/>
              </w:rPr>
            </w:pPr>
            <w:r w:rsidRPr="00A0799E">
              <w:rPr>
                <w:rFonts w:ascii="Calibri" w:hAnsi="Calibri" w:cs="Calibri"/>
                <w:color w:val="000000"/>
              </w:rPr>
              <w:t xml:space="preserve">Boru Hatları İle Petrol Taşıma Anonim Şirketi’nin (BOTAŞ) 2025 yılında uygulanacak iletim ve sevkiyat kontrol bedellerinin belirlenmesine ilişkin  </w:t>
            </w:r>
          </w:p>
        </w:tc>
      </w:tr>
      <w:tr w:rsidR="00EF59A4" w:rsidRPr="002048A7" w14:paraId="592B4D38" w14:textId="77777777" w:rsidTr="00AF3D0A">
        <w:tc>
          <w:tcPr>
            <w:tcW w:w="2547" w:type="dxa"/>
          </w:tcPr>
          <w:p w14:paraId="45FB4C85" w14:textId="77777777" w:rsidR="00EF59A4" w:rsidRPr="002048A7" w:rsidRDefault="00EF59A4" w:rsidP="00EF59A4">
            <w:pPr>
              <w:rPr>
                <w:rFonts w:ascii="Calibri" w:hAnsi="Calibri" w:cs="Calibri"/>
                <w:color w:val="000000"/>
              </w:rPr>
            </w:pPr>
            <w:r w:rsidRPr="002048A7">
              <w:rPr>
                <w:rFonts w:ascii="Calibri" w:hAnsi="Calibri" w:cs="Calibri"/>
                <w:color w:val="000000"/>
              </w:rPr>
              <w:t>2</w:t>
            </w:r>
            <w:r>
              <w:rPr>
                <w:rFonts w:ascii="Calibri" w:hAnsi="Calibri" w:cs="Calibri"/>
                <w:color w:val="000000"/>
              </w:rPr>
              <w:t>4</w:t>
            </w:r>
            <w:r w:rsidRPr="002048A7">
              <w:rPr>
                <w:rFonts w:ascii="Calibri" w:hAnsi="Calibri" w:cs="Calibri"/>
                <w:color w:val="000000"/>
              </w:rPr>
              <w:t>.</w:t>
            </w:r>
            <w:r>
              <w:rPr>
                <w:rFonts w:ascii="Calibri" w:hAnsi="Calibri" w:cs="Calibri"/>
                <w:color w:val="000000"/>
              </w:rPr>
              <w:t>12</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 32</w:t>
            </w:r>
            <w:r>
              <w:rPr>
                <w:rFonts w:ascii="Calibri" w:hAnsi="Calibri" w:cs="Calibri"/>
                <w:color w:val="000000"/>
              </w:rPr>
              <w:t>762</w:t>
            </w:r>
            <w:r w:rsidRPr="002048A7">
              <w:rPr>
                <w:rFonts w:ascii="Calibri" w:hAnsi="Calibri" w:cs="Calibri"/>
                <w:color w:val="000000"/>
              </w:rPr>
              <w:t xml:space="preserve"> </w:t>
            </w:r>
          </w:p>
          <w:p w14:paraId="54B36641" w14:textId="77777777" w:rsidR="00EF59A4" w:rsidRPr="002048A7" w:rsidRDefault="00EF59A4" w:rsidP="00EF59A4">
            <w:pPr>
              <w:rPr>
                <w:rFonts w:ascii="Calibri" w:hAnsi="Calibri" w:cs="Calibri"/>
                <w:color w:val="000000"/>
              </w:rPr>
            </w:pPr>
            <w:r>
              <w:rPr>
                <w:rFonts w:ascii="Calibri" w:hAnsi="Calibri" w:cs="Calibri"/>
                <w:color w:val="000000"/>
              </w:rPr>
              <w:t>19</w:t>
            </w:r>
            <w:r w:rsidRPr="002048A7">
              <w:rPr>
                <w:rFonts w:ascii="Calibri" w:hAnsi="Calibri" w:cs="Calibri"/>
                <w:color w:val="000000"/>
              </w:rPr>
              <w:t>.</w:t>
            </w:r>
            <w:r>
              <w:rPr>
                <w:rFonts w:ascii="Calibri" w:hAnsi="Calibri" w:cs="Calibri"/>
                <w:color w:val="000000"/>
              </w:rPr>
              <w:t>12</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 1</w:t>
            </w:r>
            <w:r>
              <w:rPr>
                <w:rFonts w:ascii="Calibri" w:hAnsi="Calibri" w:cs="Calibri"/>
                <w:color w:val="000000"/>
              </w:rPr>
              <w:t>3093</w:t>
            </w:r>
          </w:p>
        </w:tc>
        <w:tc>
          <w:tcPr>
            <w:tcW w:w="7365" w:type="dxa"/>
          </w:tcPr>
          <w:p w14:paraId="0166A096" w14:textId="77777777" w:rsidR="00EF59A4" w:rsidRPr="002048A7" w:rsidRDefault="00EF59A4" w:rsidP="00EF59A4">
            <w:pPr>
              <w:rPr>
                <w:rFonts w:ascii="Calibri" w:hAnsi="Calibri" w:cs="Calibri"/>
                <w:color w:val="000000"/>
              </w:rPr>
            </w:pPr>
            <w:r w:rsidRPr="00A0799E">
              <w:rPr>
                <w:rFonts w:ascii="Calibri" w:hAnsi="Calibri" w:cs="Calibri"/>
                <w:color w:val="000000"/>
              </w:rPr>
              <w:t xml:space="preserve">Doğal gaz piyasasında 2025 yılı boyunca uygulanmak üzere, serbest tüketici olma sınırına ilişkin  </w:t>
            </w:r>
          </w:p>
        </w:tc>
      </w:tr>
      <w:tr w:rsidR="00EF59A4" w:rsidRPr="002048A7" w14:paraId="79DA9DBF" w14:textId="77777777" w:rsidTr="00AF3D0A">
        <w:tc>
          <w:tcPr>
            <w:tcW w:w="2547" w:type="dxa"/>
          </w:tcPr>
          <w:p w14:paraId="6D3E360F" w14:textId="77777777" w:rsidR="00EF59A4" w:rsidRPr="002048A7" w:rsidRDefault="00EF59A4" w:rsidP="00EF59A4">
            <w:pPr>
              <w:rPr>
                <w:rFonts w:ascii="Calibri" w:hAnsi="Calibri" w:cs="Calibri"/>
                <w:color w:val="000000"/>
              </w:rPr>
            </w:pPr>
            <w:r w:rsidRPr="002048A7">
              <w:rPr>
                <w:rFonts w:ascii="Calibri" w:hAnsi="Calibri" w:cs="Calibri"/>
                <w:color w:val="000000"/>
              </w:rPr>
              <w:t>2</w:t>
            </w:r>
            <w:r>
              <w:rPr>
                <w:rFonts w:ascii="Calibri" w:hAnsi="Calibri" w:cs="Calibri"/>
                <w:color w:val="000000"/>
              </w:rPr>
              <w:t>4</w:t>
            </w:r>
            <w:r w:rsidRPr="002048A7">
              <w:rPr>
                <w:rFonts w:ascii="Calibri" w:hAnsi="Calibri" w:cs="Calibri"/>
                <w:color w:val="000000"/>
              </w:rPr>
              <w:t>.</w:t>
            </w:r>
            <w:r>
              <w:rPr>
                <w:rFonts w:ascii="Calibri" w:hAnsi="Calibri" w:cs="Calibri"/>
                <w:color w:val="000000"/>
              </w:rPr>
              <w:t>12</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 32</w:t>
            </w:r>
            <w:r>
              <w:rPr>
                <w:rFonts w:ascii="Calibri" w:hAnsi="Calibri" w:cs="Calibri"/>
                <w:color w:val="000000"/>
              </w:rPr>
              <w:t>762</w:t>
            </w:r>
            <w:r w:rsidRPr="002048A7">
              <w:rPr>
                <w:rFonts w:ascii="Calibri" w:hAnsi="Calibri" w:cs="Calibri"/>
                <w:color w:val="000000"/>
              </w:rPr>
              <w:t xml:space="preserve"> </w:t>
            </w:r>
          </w:p>
          <w:p w14:paraId="06ACC527" w14:textId="77777777" w:rsidR="00EF59A4" w:rsidRPr="002048A7" w:rsidRDefault="00EF59A4" w:rsidP="00EF59A4">
            <w:pPr>
              <w:rPr>
                <w:rFonts w:ascii="Calibri" w:hAnsi="Calibri" w:cs="Calibri"/>
                <w:color w:val="000000"/>
              </w:rPr>
            </w:pPr>
            <w:r>
              <w:rPr>
                <w:rFonts w:ascii="Calibri" w:hAnsi="Calibri" w:cs="Calibri"/>
                <w:color w:val="000000"/>
              </w:rPr>
              <w:t>19</w:t>
            </w:r>
            <w:r w:rsidRPr="002048A7">
              <w:rPr>
                <w:rFonts w:ascii="Calibri" w:hAnsi="Calibri" w:cs="Calibri"/>
                <w:color w:val="000000"/>
              </w:rPr>
              <w:t>.</w:t>
            </w:r>
            <w:r>
              <w:rPr>
                <w:rFonts w:ascii="Calibri" w:hAnsi="Calibri" w:cs="Calibri"/>
                <w:color w:val="000000"/>
              </w:rPr>
              <w:t>12</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 1</w:t>
            </w:r>
            <w:r>
              <w:rPr>
                <w:rFonts w:ascii="Calibri" w:hAnsi="Calibri" w:cs="Calibri"/>
                <w:color w:val="000000"/>
              </w:rPr>
              <w:t>3104</w:t>
            </w:r>
          </w:p>
        </w:tc>
        <w:tc>
          <w:tcPr>
            <w:tcW w:w="7365" w:type="dxa"/>
          </w:tcPr>
          <w:p w14:paraId="2D142BA1" w14:textId="77777777" w:rsidR="00EF59A4" w:rsidRPr="002048A7" w:rsidRDefault="00EF59A4" w:rsidP="00EF59A4">
            <w:pPr>
              <w:rPr>
                <w:rFonts w:ascii="Calibri" w:hAnsi="Calibri" w:cs="Calibri"/>
                <w:color w:val="000000"/>
              </w:rPr>
            </w:pPr>
            <w:r w:rsidRPr="00A0799E">
              <w:rPr>
                <w:rFonts w:ascii="Calibri" w:hAnsi="Calibri" w:cs="Calibri"/>
                <w:color w:val="000000"/>
              </w:rPr>
              <w:t xml:space="preserve">Vadeli Doğal Gaz Piyasası İşletim Gelir Tavanının Karşılanması İçin Uygulanacak Bedel ve Komisyonlar ile Uygulamaya İlişkin Yöntem Bildirimi  </w:t>
            </w:r>
          </w:p>
        </w:tc>
      </w:tr>
      <w:tr w:rsidR="00EF59A4" w:rsidRPr="002048A7" w14:paraId="395454F0" w14:textId="77777777" w:rsidTr="00AF3D0A">
        <w:tc>
          <w:tcPr>
            <w:tcW w:w="2547" w:type="dxa"/>
          </w:tcPr>
          <w:p w14:paraId="52E2958E" w14:textId="77777777" w:rsidR="00EF59A4" w:rsidRPr="002048A7" w:rsidRDefault="00EF59A4" w:rsidP="00EF59A4">
            <w:pPr>
              <w:rPr>
                <w:rFonts w:ascii="Calibri" w:hAnsi="Calibri" w:cs="Calibri"/>
                <w:color w:val="000000"/>
              </w:rPr>
            </w:pPr>
            <w:r w:rsidRPr="002048A7">
              <w:rPr>
                <w:rFonts w:ascii="Calibri" w:hAnsi="Calibri" w:cs="Calibri"/>
                <w:color w:val="000000"/>
              </w:rPr>
              <w:t>2</w:t>
            </w:r>
            <w:r>
              <w:rPr>
                <w:rFonts w:ascii="Calibri" w:hAnsi="Calibri" w:cs="Calibri"/>
                <w:color w:val="000000"/>
              </w:rPr>
              <w:t>4</w:t>
            </w:r>
            <w:r w:rsidRPr="002048A7">
              <w:rPr>
                <w:rFonts w:ascii="Calibri" w:hAnsi="Calibri" w:cs="Calibri"/>
                <w:color w:val="000000"/>
              </w:rPr>
              <w:t>.</w:t>
            </w:r>
            <w:r>
              <w:rPr>
                <w:rFonts w:ascii="Calibri" w:hAnsi="Calibri" w:cs="Calibri"/>
                <w:color w:val="000000"/>
              </w:rPr>
              <w:t>12</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 32</w:t>
            </w:r>
            <w:r>
              <w:rPr>
                <w:rFonts w:ascii="Calibri" w:hAnsi="Calibri" w:cs="Calibri"/>
                <w:color w:val="000000"/>
              </w:rPr>
              <w:t>762</w:t>
            </w:r>
            <w:r w:rsidRPr="002048A7">
              <w:rPr>
                <w:rFonts w:ascii="Calibri" w:hAnsi="Calibri" w:cs="Calibri"/>
                <w:color w:val="000000"/>
              </w:rPr>
              <w:t xml:space="preserve"> </w:t>
            </w:r>
          </w:p>
          <w:p w14:paraId="59905B73" w14:textId="77777777" w:rsidR="00EF59A4" w:rsidRPr="002048A7" w:rsidRDefault="00EF59A4" w:rsidP="00EF59A4">
            <w:pPr>
              <w:rPr>
                <w:rFonts w:ascii="Calibri" w:hAnsi="Calibri" w:cs="Calibri"/>
                <w:color w:val="000000"/>
              </w:rPr>
            </w:pPr>
            <w:r>
              <w:rPr>
                <w:rFonts w:ascii="Calibri" w:hAnsi="Calibri" w:cs="Calibri"/>
                <w:color w:val="000000"/>
              </w:rPr>
              <w:t>19</w:t>
            </w:r>
            <w:r w:rsidRPr="002048A7">
              <w:rPr>
                <w:rFonts w:ascii="Calibri" w:hAnsi="Calibri" w:cs="Calibri"/>
                <w:color w:val="000000"/>
              </w:rPr>
              <w:t>.</w:t>
            </w:r>
            <w:r>
              <w:rPr>
                <w:rFonts w:ascii="Calibri" w:hAnsi="Calibri" w:cs="Calibri"/>
                <w:color w:val="000000"/>
              </w:rPr>
              <w:t>12</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 1</w:t>
            </w:r>
            <w:r>
              <w:rPr>
                <w:rFonts w:ascii="Calibri" w:hAnsi="Calibri" w:cs="Calibri"/>
                <w:color w:val="000000"/>
              </w:rPr>
              <w:t>3109</w:t>
            </w:r>
          </w:p>
        </w:tc>
        <w:tc>
          <w:tcPr>
            <w:tcW w:w="7365" w:type="dxa"/>
          </w:tcPr>
          <w:p w14:paraId="12113614" w14:textId="77777777" w:rsidR="00EF59A4" w:rsidRPr="00A0799E" w:rsidRDefault="00EF59A4" w:rsidP="00EF59A4">
            <w:pPr>
              <w:rPr>
                <w:rFonts w:ascii="Calibri" w:hAnsi="Calibri" w:cs="Calibri"/>
                <w:color w:val="000000"/>
              </w:rPr>
            </w:pPr>
            <w:r w:rsidRPr="00A0799E">
              <w:rPr>
                <w:rFonts w:ascii="Calibri" w:hAnsi="Calibri" w:cs="Calibri"/>
                <w:color w:val="000000"/>
              </w:rPr>
              <w:t>Doğal Gaz Piyasasında 2025 yılında uygulanacak olan sertifika alma, sertifika yenileme, sertifika tadili, sertifika sureti çıkartma ve sertifika vize bedellerine ilişkin</w:t>
            </w:r>
          </w:p>
        </w:tc>
      </w:tr>
      <w:tr w:rsidR="00EF59A4" w:rsidRPr="002048A7" w14:paraId="1498A85A" w14:textId="77777777" w:rsidTr="00AF3D0A">
        <w:tc>
          <w:tcPr>
            <w:tcW w:w="2547" w:type="dxa"/>
          </w:tcPr>
          <w:p w14:paraId="734B5373" w14:textId="77777777" w:rsidR="00EF59A4" w:rsidRPr="002048A7" w:rsidRDefault="00EF59A4" w:rsidP="00EF59A4">
            <w:pPr>
              <w:rPr>
                <w:rFonts w:ascii="Calibri" w:hAnsi="Calibri" w:cs="Calibri"/>
                <w:color w:val="000000"/>
              </w:rPr>
            </w:pPr>
            <w:r w:rsidRPr="002048A7">
              <w:rPr>
                <w:rFonts w:ascii="Calibri" w:hAnsi="Calibri" w:cs="Calibri"/>
                <w:color w:val="000000"/>
              </w:rPr>
              <w:t>2</w:t>
            </w:r>
            <w:r>
              <w:rPr>
                <w:rFonts w:ascii="Calibri" w:hAnsi="Calibri" w:cs="Calibri"/>
                <w:color w:val="000000"/>
              </w:rPr>
              <w:t>4</w:t>
            </w:r>
            <w:r w:rsidRPr="002048A7">
              <w:rPr>
                <w:rFonts w:ascii="Calibri" w:hAnsi="Calibri" w:cs="Calibri"/>
                <w:color w:val="000000"/>
              </w:rPr>
              <w:t>.</w:t>
            </w:r>
            <w:r>
              <w:rPr>
                <w:rFonts w:ascii="Calibri" w:hAnsi="Calibri" w:cs="Calibri"/>
                <w:color w:val="000000"/>
              </w:rPr>
              <w:t>12</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 32</w:t>
            </w:r>
            <w:r>
              <w:rPr>
                <w:rFonts w:ascii="Calibri" w:hAnsi="Calibri" w:cs="Calibri"/>
                <w:color w:val="000000"/>
              </w:rPr>
              <w:t>762</w:t>
            </w:r>
            <w:r w:rsidRPr="002048A7">
              <w:rPr>
                <w:rFonts w:ascii="Calibri" w:hAnsi="Calibri" w:cs="Calibri"/>
                <w:color w:val="000000"/>
              </w:rPr>
              <w:t xml:space="preserve"> </w:t>
            </w:r>
          </w:p>
          <w:p w14:paraId="2BCD61EF" w14:textId="77777777" w:rsidR="00EF59A4" w:rsidRPr="002048A7" w:rsidRDefault="00EF59A4" w:rsidP="00EF59A4">
            <w:pPr>
              <w:rPr>
                <w:rFonts w:ascii="Calibri" w:hAnsi="Calibri" w:cs="Calibri"/>
                <w:color w:val="000000"/>
              </w:rPr>
            </w:pPr>
            <w:r>
              <w:rPr>
                <w:rFonts w:ascii="Calibri" w:hAnsi="Calibri" w:cs="Calibri"/>
                <w:color w:val="000000"/>
              </w:rPr>
              <w:t>19</w:t>
            </w:r>
            <w:r w:rsidRPr="002048A7">
              <w:rPr>
                <w:rFonts w:ascii="Calibri" w:hAnsi="Calibri" w:cs="Calibri"/>
                <w:color w:val="000000"/>
              </w:rPr>
              <w:t>.</w:t>
            </w:r>
            <w:r>
              <w:rPr>
                <w:rFonts w:ascii="Calibri" w:hAnsi="Calibri" w:cs="Calibri"/>
                <w:color w:val="000000"/>
              </w:rPr>
              <w:t>12</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 1</w:t>
            </w:r>
            <w:r>
              <w:rPr>
                <w:rFonts w:ascii="Calibri" w:hAnsi="Calibri" w:cs="Calibri"/>
                <w:color w:val="000000"/>
              </w:rPr>
              <w:t>3110</w:t>
            </w:r>
          </w:p>
        </w:tc>
        <w:tc>
          <w:tcPr>
            <w:tcW w:w="7365" w:type="dxa"/>
          </w:tcPr>
          <w:p w14:paraId="0132CABF" w14:textId="77777777" w:rsidR="00EF59A4" w:rsidRPr="002048A7" w:rsidRDefault="00EF59A4" w:rsidP="00EF59A4">
            <w:pPr>
              <w:rPr>
                <w:rFonts w:ascii="Calibri" w:hAnsi="Calibri" w:cs="Calibri"/>
                <w:color w:val="000000"/>
              </w:rPr>
            </w:pPr>
            <w:r w:rsidRPr="00A0799E">
              <w:rPr>
                <w:rFonts w:ascii="Calibri" w:hAnsi="Calibri" w:cs="Calibri"/>
                <w:color w:val="000000"/>
              </w:rPr>
              <w:t>Doğal Gaz Piyasasında 2025 yılında uygulanacak katılma payına ilişkin</w:t>
            </w:r>
          </w:p>
        </w:tc>
      </w:tr>
      <w:tr w:rsidR="00EF59A4" w:rsidRPr="002048A7" w14:paraId="702F71C8" w14:textId="77777777" w:rsidTr="00AF3D0A">
        <w:tc>
          <w:tcPr>
            <w:tcW w:w="2547" w:type="dxa"/>
          </w:tcPr>
          <w:p w14:paraId="3F7F498E" w14:textId="77777777" w:rsidR="00EF59A4" w:rsidRPr="002048A7" w:rsidRDefault="00EF59A4" w:rsidP="00EF59A4">
            <w:pPr>
              <w:rPr>
                <w:rFonts w:ascii="Calibri" w:hAnsi="Calibri" w:cs="Calibri"/>
                <w:color w:val="000000"/>
              </w:rPr>
            </w:pPr>
            <w:r>
              <w:rPr>
                <w:rFonts w:ascii="Calibri" w:hAnsi="Calibri" w:cs="Calibri"/>
                <w:color w:val="000000"/>
              </w:rPr>
              <w:t>31</w:t>
            </w:r>
            <w:r w:rsidRPr="002048A7">
              <w:rPr>
                <w:rFonts w:ascii="Calibri" w:hAnsi="Calibri" w:cs="Calibri"/>
                <w:color w:val="000000"/>
              </w:rPr>
              <w:t>.</w:t>
            </w:r>
            <w:r>
              <w:rPr>
                <w:rFonts w:ascii="Calibri" w:hAnsi="Calibri" w:cs="Calibri"/>
                <w:color w:val="000000"/>
              </w:rPr>
              <w:t>12</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 32</w:t>
            </w:r>
            <w:r>
              <w:rPr>
                <w:rFonts w:ascii="Calibri" w:hAnsi="Calibri" w:cs="Calibri"/>
                <w:color w:val="000000"/>
              </w:rPr>
              <w:t>769 (5. Mükerrer)</w:t>
            </w:r>
            <w:r w:rsidRPr="002048A7">
              <w:rPr>
                <w:rFonts w:ascii="Calibri" w:hAnsi="Calibri" w:cs="Calibri"/>
                <w:color w:val="000000"/>
              </w:rPr>
              <w:t xml:space="preserve"> </w:t>
            </w:r>
          </w:p>
          <w:p w14:paraId="1135AF28" w14:textId="77777777" w:rsidR="00EF59A4" w:rsidRPr="002048A7" w:rsidRDefault="00EF59A4" w:rsidP="00EF59A4">
            <w:pPr>
              <w:rPr>
                <w:rFonts w:ascii="Calibri" w:hAnsi="Calibri" w:cs="Calibri"/>
                <w:color w:val="000000"/>
              </w:rPr>
            </w:pPr>
            <w:r>
              <w:rPr>
                <w:rFonts w:ascii="Calibri" w:hAnsi="Calibri" w:cs="Calibri"/>
                <w:color w:val="000000"/>
              </w:rPr>
              <w:t>26</w:t>
            </w:r>
            <w:r w:rsidRPr="002048A7">
              <w:rPr>
                <w:rFonts w:ascii="Calibri" w:hAnsi="Calibri" w:cs="Calibri"/>
                <w:color w:val="000000"/>
              </w:rPr>
              <w:t>.</w:t>
            </w:r>
            <w:r>
              <w:rPr>
                <w:rFonts w:ascii="Calibri" w:hAnsi="Calibri" w:cs="Calibri"/>
                <w:color w:val="000000"/>
              </w:rPr>
              <w:t>12</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 1</w:t>
            </w:r>
            <w:r>
              <w:rPr>
                <w:rFonts w:ascii="Calibri" w:hAnsi="Calibri" w:cs="Calibri"/>
                <w:color w:val="000000"/>
              </w:rPr>
              <w:t>3155</w:t>
            </w:r>
          </w:p>
        </w:tc>
        <w:tc>
          <w:tcPr>
            <w:tcW w:w="7365" w:type="dxa"/>
          </w:tcPr>
          <w:p w14:paraId="538D562A" w14:textId="77777777" w:rsidR="00EF59A4" w:rsidRPr="002048A7" w:rsidRDefault="00EF59A4" w:rsidP="00EF59A4">
            <w:pPr>
              <w:rPr>
                <w:rFonts w:ascii="Calibri" w:hAnsi="Calibri" w:cs="Calibri"/>
                <w:color w:val="000000"/>
              </w:rPr>
            </w:pPr>
            <w:r w:rsidRPr="00EF59A4">
              <w:rPr>
                <w:rFonts w:ascii="Calibri" w:hAnsi="Calibri" w:cs="Calibri"/>
                <w:color w:val="000000"/>
              </w:rPr>
              <w:t xml:space="preserve">2025 yılı için “Doğal Gaz Dağıtım Sektörü Bağlantı ve Hizmet Bedellerine İlişkin Usul ve Esaslar” da yer verilen bedellerin belirlenmesine yönelik  </w:t>
            </w:r>
          </w:p>
        </w:tc>
      </w:tr>
    </w:tbl>
    <w:p w14:paraId="672CEE67" w14:textId="77777777" w:rsidR="007F076F" w:rsidRPr="002048A7" w:rsidRDefault="007F076F" w:rsidP="001D2DA2">
      <w:pPr>
        <w:spacing w:after="0"/>
        <w:rPr>
          <w:color w:val="000000" w:themeColor="text1"/>
        </w:rPr>
      </w:pPr>
    </w:p>
    <w:p w14:paraId="41C2E339" w14:textId="77777777" w:rsidR="001D2DA2" w:rsidRPr="002048A7" w:rsidRDefault="001D2DA2" w:rsidP="00577AAF">
      <w:pPr>
        <w:pStyle w:val="Balk2"/>
        <w:numPr>
          <w:ilvl w:val="1"/>
          <w:numId w:val="11"/>
        </w:numPr>
        <w:spacing w:before="0" w:after="240"/>
        <w:rPr>
          <w:rFonts w:asciiTheme="minorHAnsi" w:hAnsiTheme="minorHAnsi"/>
          <w:color w:val="auto"/>
          <w:sz w:val="22"/>
          <w:szCs w:val="22"/>
        </w:rPr>
      </w:pPr>
      <w:bookmarkStart w:id="69" w:name="_Toc442431242"/>
      <w:bookmarkStart w:id="70" w:name="_Toc6684437"/>
      <w:bookmarkStart w:id="71" w:name="_Toc195868678"/>
      <w:r w:rsidRPr="002048A7">
        <w:rPr>
          <w:rFonts w:asciiTheme="minorHAnsi" w:hAnsiTheme="minorHAnsi"/>
          <w:color w:val="auto"/>
          <w:sz w:val="22"/>
          <w:szCs w:val="22"/>
        </w:rPr>
        <w:t>Petrol Piyasası Mevzuatı</w:t>
      </w:r>
      <w:bookmarkEnd w:id="69"/>
      <w:bookmarkEnd w:id="70"/>
      <w:bookmarkEnd w:id="71"/>
    </w:p>
    <w:p w14:paraId="6C93DA92" w14:textId="77777777" w:rsidR="0092377E" w:rsidRPr="002048A7" w:rsidRDefault="0092377E" w:rsidP="00577AAF">
      <w:pPr>
        <w:pStyle w:val="Balk3"/>
        <w:numPr>
          <w:ilvl w:val="2"/>
          <w:numId w:val="11"/>
        </w:numPr>
        <w:spacing w:before="0" w:after="240"/>
        <w:rPr>
          <w:rFonts w:asciiTheme="minorHAnsi" w:hAnsiTheme="minorHAnsi"/>
          <w:color w:val="auto"/>
        </w:rPr>
      </w:pPr>
      <w:bookmarkStart w:id="72" w:name="_Toc195868679"/>
      <w:bookmarkStart w:id="73" w:name="_Toc442431244"/>
      <w:bookmarkStart w:id="74" w:name="_Toc6684439"/>
      <w:r w:rsidRPr="002048A7">
        <w:rPr>
          <w:rFonts w:asciiTheme="minorHAnsi" w:hAnsiTheme="minorHAnsi"/>
          <w:color w:val="auto"/>
        </w:rPr>
        <w:t>Kanun</w:t>
      </w:r>
      <w:bookmarkEnd w:id="72"/>
    </w:p>
    <w:p w14:paraId="7F34FD35" w14:textId="77777777" w:rsidR="0092377E" w:rsidRPr="002048A7" w:rsidRDefault="0092377E" w:rsidP="0092377E">
      <w:pPr>
        <w:spacing w:after="240"/>
        <w:ind w:left="360"/>
        <w:rPr>
          <w:lang w:eastAsia="tr-TR"/>
        </w:rPr>
      </w:pPr>
      <w:r w:rsidRPr="002048A7">
        <w:rPr>
          <w:lang w:eastAsia="tr-TR"/>
        </w:rPr>
        <w:t>202</w:t>
      </w:r>
      <w:r w:rsidR="007556F3">
        <w:rPr>
          <w:lang w:eastAsia="tr-TR"/>
        </w:rPr>
        <w:t>4</w:t>
      </w:r>
      <w:r w:rsidRPr="002048A7">
        <w:rPr>
          <w:lang w:eastAsia="tr-TR"/>
        </w:rPr>
        <w:t xml:space="preserve"> yılı içerisinde petrol piyasasında aşağıdaki Kanun çalışmaları yapılmıştır</w:t>
      </w:r>
      <w:r w:rsidR="0070684A" w:rsidRPr="002048A7">
        <w:rPr>
          <w:lang w:eastAsia="tr-TR"/>
        </w:rPr>
        <w:t>:</w:t>
      </w:r>
    </w:p>
    <w:p w14:paraId="2EE2E94B" w14:textId="77777777" w:rsidR="007556F3" w:rsidRPr="007556F3" w:rsidRDefault="007556F3" w:rsidP="0025080A">
      <w:pPr>
        <w:numPr>
          <w:ilvl w:val="0"/>
          <w:numId w:val="20"/>
        </w:numPr>
        <w:spacing w:before="120" w:after="120"/>
        <w:rPr>
          <w:rFonts w:ascii="Calibri" w:hAnsi="Calibri"/>
          <w:bCs/>
        </w:rPr>
      </w:pPr>
      <w:r>
        <w:rPr>
          <w:rFonts w:ascii="Calibri" w:hAnsi="Calibri"/>
          <w:bCs/>
        </w:rPr>
        <w:t>26</w:t>
      </w:r>
      <w:r w:rsidRPr="002048A7">
        <w:rPr>
          <w:rFonts w:ascii="Calibri" w:hAnsi="Calibri"/>
          <w:bCs/>
        </w:rPr>
        <w:t>.0</w:t>
      </w:r>
      <w:r>
        <w:rPr>
          <w:rFonts w:ascii="Calibri" w:hAnsi="Calibri"/>
          <w:bCs/>
        </w:rPr>
        <w:t>7</w:t>
      </w:r>
      <w:r w:rsidRPr="002048A7">
        <w:rPr>
          <w:rFonts w:ascii="Calibri" w:hAnsi="Calibri"/>
          <w:bCs/>
        </w:rPr>
        <w:t>.202</w:t>
      </w:r>
      <w:r>
        <w:rPr>
          <w:rFonts w:ascii="Calibri" w:hAnsi="Calibri"/>
          <w:bCs/>
        </w:rPr>
        <w:t>4</w:t>
      </w:r>
      <w:r w:rsidRPr="002048A7">
        <w:rPr>
          <w:rFonts w:ascii="Calibri" w:hAnsi="Calibri"/>
          <w:bCs/>
        </w:rPr>
        <w:t xml:space="preserve"> tarihli ve 32</w:t>
      </w:r>
      <w:r>
        <w:rPr>
          <w:rFonts w:ascii="Calibri" w:hAnsi="Calibri"/>
          <w:bCs/>
        </w:rPr>
        <w:t>613</w:t>
      </w:r>
      <w:r w:rsidRPr="002048A7">
        <w:rPr>
          <w:rFonts w:ascii="Calibri" w:hAnsi="Calibri"/>
          <w:bCs/>
        </w:rPr>
        <w:t xml:space="preserve"> sayılı Resmî Gazetede yayımlanan </w:t>
      </w:r>
      <w:r w:rsidRPr="002048A7">
        <w:rPr>
          <w:lang w:eastAsia="tr-TR"/>
        </w:rPr>
        <w:t>7</w:t>
      </w:r>
      <w:r>
        <w:rPr>
          <w:lang w:eastAsia="tr-TR"/>
        </w:rPr>
        <w:t>521</w:t>
      </w:r>
      <w:r w:rsidRPr="002048A7">
        <w:rPr>
          <w:lang w:eastAsia="tr-TR"/>
        </w:rPr>
        <w:t xml:space="preserve"> Sayılı </w:t>
      </w:r>
      <w:r w:rsidRPr="00AE67B6">
        <w:rPr>
          <w:bCs/>
          <w:lang w:eastAsia="tr-TR"/>
        </w:rPr>
        <w:t>Bazı Kanun</w:t>
      </w:r>
      <w:r>
        <w:rPr>
          <w:bCs/>
          <w:lang w:eastAsia="tr-TR"/>
        </w:rPr>
        <w:t xml:space="preserve"> </w:t>
      </w:r>
      <w:r w:rsidRPr="007556F3">
        <w:rPr>
          <w:bCs/>
          <w:lang w:eastAsia="tr-TR"/>
        </w:rPr>
        <w:t>Ve Kanun Hükmünde Kararnamelerde</w:t>
      </w:r>
      <w:r>
        <w:rPr>
          <w:bCs/>
          <w:lang w:eastAsia="tr-TR"/>
        </w:rPr>
        <w:t xml:space="preserve"> </w:t>
      </w:r>
      <w:r w:rsidRPr="00AE67B6">
        <w:rPr>
          <w:bCs/>
          <w:lang w:eastAsia="tr-TR"/>
        </w:rPr>
        <w:t>Değişiklik Yapılmasına Dair Kanun ile</w:t>
      </w:r>
      <w:r w:rsidRPr="007556F3">
        <w:rPr>
          <w:bCs/>
          <w:lang w:eastAsia="tr-TR"/>
        </w:rPr>
        <w:t xml:space="preserve"> 5015 sayılı Petrol Piyasası Kanununun</w:t>
      </w:r>
    </w:p>
    <w:p w14:paraId="521CB2A5" w14:textId="77777777" w:rsidR="007556F3" w:rsidRDefault="007556F3" w:rsidP="0025080A">
      <w:pPr>
        <w:pStyle w:val="ListeParagraf"/>
        <w:numPr>
          <w:ilvl w:val="0"/>
          <w:numId w:val="31"/>
        </w:numPr>
        <w:spacing w:after="0"/>
        <w:rPr>
          <w:rFonts w:ascii="Calibri" w:hAnsi="Calibri"/>
          <w:bCs/>
        </w:rPr>
      </w:pPr>
      <w:r w:rsidRPr="007556F3">
        <w:rPr>
          <w:rFonts w:ascii="Calibri" w:hAnsi="Calibri"/>
          <w:bCs/>
        </w:rPr>
        <w:t>9 uncu maddesinin yedinci fıkrası aşağıdaki şekilde değiştirilmiştir.</w:t>
      </w:r>
    </w:p>
    <w:p w14:paraId="31FE39F6" w14:textId="77777777" w:rsidR="0092377E" w:rsidRPr="002048A7" w:rsidRDefault="006C522A" w:rsidP="007556F3">
      <w:pPr>
        <w:pStyle w:val="ListeParagraf"/>
        <w:spacing w:before="120" w:after="120" w:line="240" w:lineRule="auto"/>
        <w:ind w:left="1440"/>
        <w:contextualSpacing w:val="0"/>
        <w:rPr>
          <w:i/>
        </w:rPr>
      </w:pPr>
      <w:r w:rsidRPr="006C522A">
        <w:rPr>
          <w:rFonts w:ascii="Calibri" w:hAnsi="Calibri"/>
          <w:i/>
        </w:rPr>
        <w:t xml:space="preserve">“Yeterli depolama ve kendi araçlarına akaryakıt ikmal kapasitesine sahip olmaları ve akaryakıtı kendi ihtiyaçları için kullanmaları şartıyla; kamu kurum ve kuruluşlarına, liman, havalimanı, fabrika, şantiye, maden veya taş ocaklarına yapılan teslimler hariç, araçlara yapılacak akaryakıt </w:t>
      </w:r>
      <w:r w:rsidRPr="006C522A">
        <w:rPr>
          <w:rFonts w:ascii="Calibri" w:hAnsi="Calibri"/>
          <w:i/>
        </w:rPr>
        <w:lastRenderedPageBreak/>
        <w:t>ikmali bayilik lisansı ve yeterli donanımı olan akaryakıt istasyonları dışında yapılamaz. Akaryakıt istasyonu dışında yapılacak akaryakıt teslimlerinde akaryakıtın alıcı deposuna taşınması veya taşıttırılması bayilik lisansına sahip satıcı tarafından gerçekleştirilir.”</w:t>
      </w:r>
    </w:p>
    <w:p w14:paraId="010259EE" w14:textId="77777777" w:rsidR="001D2DA2" w:rsidRPr="002048A7" w:rsidRDefault="001D2DA2" w:rsidP="00313CFE">
      <w:pPr>
        <w:pStyle w:val="Balk3"/>
        <w:numPr>
          <w:ilvl w:val="2"/>
          <w:numId w:val="11"/>
        </w:numPr>
        <w:spacing w:before="120" w:after="120" w:line="240" w:lineRule="auto"/>
        <w:rPr>
          <w:rFonts w:asciiTheme="minorHAnsi" w:hAnsiTheme="minorHAnsi"/>
          <w:color w:val="auto"/>
        </w:rPr>
      </w:pPr>
      <w:bookmarkStart w:id="75" w:name="_Toc195868680"/>
      <w:r w:rsidRPr="002048A7">
        <w:rPr>
          <w:rFonts w:asciiTheme="minorHAnsi" w:hAnsiTheme="minorHAnsi"/>
          <w:color w:val="auto"/>
        </w:rPr>
        <w:t>Yönetmelikler</w:t>
      </w:r>
      <w:bookmarkEnd w:id="73"/>
      <w:bookmarkEnd w:id="74"/>
      <w:bookmarkEnd w:id="75"/>
    </w:p>
    <w:p w14:paraId="52409E7B" w14:textId="77777777" w:rsidR="001D2DA2" w:rsidRDefault="000756F6" w:rsidP="001D2DA2">
      <w:pPr>
        <w:spacing w:after="0"/>
        <w:rPr>
          <w:color w:val="000000" w:themeColor="text1"/>
        </w:rPr>
      </w:pPr>
      <w:r w:rsidRPr="002048A7">
        <w:rPr>
          <w:color w:val="000000" w:themeColor="text1"/>
        </w:rPr>
        <w:t>202</w:t>
      </w:r>
      <w:r w:rsidR="006C522A">
        <w:rPr>
          <w:color w:val="000000" w:themeColor="text1"/>
        </w:rPr>
        <w:t>4</w:t>
      </w:r>
      <w:r w:rsidR="001D2DA2" w:rsidRPr="002048A7">
        <w:rPr>
          <w:color w:val="000000" w:themeColor="text1"/>
        </w:rPr>
        <w:t xml:space="preserve"> yılında petrol piyasasında aşağıda belirtilen Yönetmelik çalışmaları yapılmıştır: </w:t>
      </w:r>
    </w:p>
    <w:p w14:paraId="140CB62B" w14:textId="77777777" w:rsidR="00CF2AE8" w:rsidRDefault="00CF2AE8" w:rsidP="001D2DA2">
      <w:pPr>
        <w:spacing w:after="0"/>
        <w:rPr>
          <w:color w:val="000000" w:themeColor="text1"/>
        </w:rPr>
      </w:pPr>
    </w:p>
    <w:p w14:paraId="46B55AA0" w14:textId="77777777" w:rsidR="00CF2AE8" w:rsidRDefault="00CF2AE8" w:rsidP="0025080A">
      <w:pPr>
        <w:numPr>
          <w:ilvl w:val="0"/>
          <w:numId w:val="22"/>
        </w:numPr>
        <w:spacing w:after="0"/>
        <w:contextualSpacing/>
        <w:rPr>
          <w:rFonts w:ascii="Calibri" w:hAnsi="Calibri"/>
          <w:b/>
          <w:bCs/>
        </w:rPr>
      </w:pPr>
      <w:r>
        <w:rPr>
          <w:rFonts w:ascii="Calibri" w:hAnsi="Calibri"/>
          <w:bCs/>
        </w:rPr>
        <w:t>05</w:t>
      </w:r>
      <w:r w:rsidRPr="002048A7">
        <w:rPr>
          <w:rFonts w:ascii="Calibri" w:hAnsi="Calibri"/>
          <w:bCs/>
        </w:rPr>
        <w:t>.</w:t>
      </w:r>
      <w:r>
        <w:rPr>
          <w:rFonts w:ascii="Calibri" w:hAnsi="Calibri"/>
          <w:bCs/>
        </w:rPr>
        <w:t>04</w:t>
      </w:r>
      <w:r w:rsidRPr="002048A7">
        <w:rPr>
          <w:rFonts w:ascii="Calibri" w:hAnsi="Calibri"/>
          <w:bCs/>
        </w:rPr>
        <w:t>.202</w:t>
      </w:r>
      <w:r>
        <w:rPr>
          <w:rFonts w:ascii="Calibri" w:hAnsi="Calibri"/>
          <w:bCs/>
        </w:rPr>
        <w:t>4</w:t>
      </w:r>
      <w:r w:rsidRPr="002048A7">
        <w:rPr>
          <w:rFonts w:ascii="Calibri" w:hAnsi="Calibri"/>
          <w:bCs/>
        </w:rPr>
        <w:t xml:space="preserve"> tarihli ve 32</w:t>
      </w:r>
      <w:r>
        <w:rPr>
          <w:rFonts w:ascii="Calibri" w:hAnsi="Calibri"/>
          <w:bCs/>
        </w:rPr>
        <w:t>511</w:t>
      </w:r>
      <w:r w:rsidRPr="002048A7">
        <w:rPr>
          <w:rFonts w:ascii="Calibri" w:hAnsi="Calibri"/>
          <w:bCs/>
        </w:rPr>
        <w:t xml:space="preserve"> sayılı Resmî Gazetede yayımlanan Değişiklik Yönetmeliği ile</w:t>
      </w:r>
      <w:r w:rsidRPr="002048A7">
        <w:rPr>
          <w:rFonts w:ascii="Calibri" w:hAnsi="Calibri"/>
          <w:b/>
          <w:bCs/>
        </w:rPr>
        <w:t xml:space="preserve"> </w:t>
      </w:r>
      <w:r w:rsidRPr="00CF2AE8">
        <w:rPr>
          <w:rFonts w:ascii="Calibri" w:hAnsi="Calibri"/>
          <w:b/>
          <w:bCs/>
        </w:rPr>
        <w:t>Petrol Piyasası Lisans Yönetmeliğinin</w:t>
      </w:r>
    </w:p>
    <w:p w14:paraId="36627F25" w14:textId="77777777" w:rsidR="00CF2AE8" w:rsidRPr="002048A7" w:rsidRDefault="00CF2AE8" w:rsidP="00CF2AE8">
      <w:pPr>
        <w:spacing w:after="0"/>
        <w:ind w:left="720"/>
        <w:contextualSpacing/>
        <w:rPr>
          <w:rFonts w:ascii="Calibri" w:hAnsi="Calibri"/>
          <w:b/>
          <w:bCs/>
        </w:rPr>
      </w:pPr>
      <w:r w:rsidRPr="002048A7">
        <w:rPr>
          <w:rFonts w:ascii="Calibri" w:hAnsi="Calibri"/>
          <w:bCs/>
        </w:rPr>
        <w:t xml:space="preserve"> </w:t>
      </w:r>
    </w:p>
    <w:p w14:paraId="7BB4922B" w14:textId="77777777" w:rsidR="00CF2AE8" w:rsidRPr="00CF2AE8" w:rsidRDefault="00CF2AE8" w:rsidP="0025080A">
      <w:pPr>
        <w:pStyle w:val="ListeParagraf"/>
        <w:numPr>
          <w:ilvl w:val="0"/>
          <w:numId w:val="31"/>
        </w:numPr>
        <w:spacing w:after="0"/>
        <w:rPr>
          <w:rFonts w:ascii="Calibri" w:hAnsi="Calibri"/>
          <w:b/>
          <w:bCs/>
        </w:rPr>
      </w:pPr>
      <w:r w:rsidRPr="00CF2AE8">
        <w:rPr>
          <w:rFonts w:ascii="Calibri" w:hAnsi="Calibri"/>
          <w:bCs/>
        </w:rPr>
        <w:t xml:space="preserve">31 inci maddesinin birinci fıkrasının (a) bendinde yer alan </w:t>
      </w:r>
      <w:r w:rsidRPr="00CF2AE8">
        <w:rPr>
          <w:rFonts w:ascii="Calibri" w:hAnsi="Calibri"/>
          <w:bCs/>
          <w:i/>
        </w:rPr>
        <w:t>“İhrakiyenin, rafinerici, dağıtıcı”</w:t>
      </w:r>
      <w:r w:rsidRPr="00CF2AE8">
        <w:rPr>
          <w:rFonts w:ascii="Calibri" w:hAnsi="Calibri"/>
          <w:bCs/>
        </w:rPr>
        <w:t xml:space="preserve"> ibaresinden sonra gelmek üzere </w:t>
      </w:r>
      <w:r w:rsidRPr="00CF2AE8">
        <w:rPr>
          <w:rFonts w:ascii="Calibri" w:hAnsi="Calibri"/>
          <w:bCs/>
          <w:i/>
        </w:rPr>
        <w:t>“, işleme”</w:t>
      </w:r>
      <w:r w:rsidRPr="00CF2AE8">
        <w:rPr>
          <w:rFonts w:ascii="Calibri" w:hAnsi="Calibri"/>
          <w:bCs/>
        </w:rPr>
        <w:t xml:space="preserve"> ibaresi eklenmiştir.</w:t>
      </w:r>
    </w:p>
    <w:p w14:paraId="595872C2" w14:textId="77777777" w:rsidR="00CF2AE8" w:rsidRPr="002048A7" w:rsidRDefault="00CF2AE8" w:rsidP="001D2DA2">
      <w:pPr>
        <w:spacing w:after="0"/>
        <w:rPr>
          <w:color w:val="000000" w:themeColor="text1"/>
        </w:rPr>
      </w:pPr>
    </w:p>
    <w:p w14:paraId="31374F20" w14:textId="77777777" w:rsidR="00862C03" w:rsidRPr="002048A7" w:rsidRDefault="006C522A" w:rsidP="0025080A">
      <w:pPr>
        <w:numPr>
          <w:ilvl w:val="0"/>
          <w:numId w:val="22"/>
        </w:numPr>
        <w:spacing w:after="0"/>
        <w:contextualSpacing/>
        <w:rPr>
          <w:rFonts w:ascii="Calibri" w:hAnsi="Calibri"/>
          <w:b/>
          <w:bCs/>
        </w:rPr>
      </w:pPr>
      <w:r>
        <w:rPr>
          <w:rFonts w:ascii="Calibri" w:hAnsi="Calibri"/>
          <w:bCs/>
        </w:rPr>
        <w:t>05</w:t>
      </w:r>
      <w:r w:rsidR="00F6634E" w:rsidRPr="002048A7">
        <w:rPr>
          <w:rFonts w:ascii="Calibri" w:hAnsi="Calibri"/>
          <w:bCs/>
        </w:rPr>
        <w:t>.</w:t>
      </w:r>
      <w:r>
        <w:rPr>
          <w:rFonts w:ascii="Calibri" w:hAnsi="Calibri"/>
          <w:bCs/>
        </w:rPr>
        <w:t>04</w:t>
      </w:r>
      <w:r w:rsidR="00F6634E" w:rsidRPr="002048A7">
        <w:rPr>
          <w:rFonts w:ascii="Calibri" w:hAnsi="Calibri"/>
          <w:bCs/>
        </w:rPr>
        <w:t>.202</w:t>
      </w:r>
      <w:r>
        <w:rPr>
          <w:rFonts w:ascii="Calibri" w:hAnsi="Calibri"/>
          <w:bCs/>
        </w:rPr>
        <w:t>4</w:t>
      </w:r>
      <w:r w:rsidR="00F6634E" w:rsidRPr="002048A7">
        <w:rPr>
          <w:rFonts w:ascii="Calibri" w:hAnsi="Calibri"/>
          <w:bCs/>
        </w:rPr>
        <w:t xml:space="preserve"> tarihli ve 3</w:t>
      </w:r>
      <w:r w:rsidR="00862C03" w:rsidRPr="002048A7">
        <w:rPr>
          <w:rFonts w:ascii="Calibri" w:hAnsi="Calibri"/>
          <w:bCs/>
        </w:rPr>
        <w:t>2</w:t>
      </w:r>
      <w:r>
        <w:rPr>
          <w:rFonts w:ascii="Calibri" w:hAnsi="Calibri"/>
          <w:bCs/>
        </w:rPr>
        <w:t>511</w:t>
      </w:r>
      <w:r w:rsidR="00F6634E" w:rsidRPr="002048A7">
        <w:rPr>
          <w:rFonts w:ascii="Calibri" w:hAnsi="Calibri"/>
          <w:bCs/>
        </w:rPr>
        <w:t xml:space="preserve"> sayılı Resmî </w:t>
      </w:r>
      <w:r w:rsidR="00274939" w:rsidRPr="002048A7">
        <w:rPr>
          <w:rFonts w:ascii="Calibri" w:hAnsi="Calibri"/>
          <w:bCs/>
        </w:rPr>
        <w:t>Gazetede</w:t>
      </w:r>
      <w:r w:rsidR="00F6634E" w:rsidRPr="002048A7">
        <w:rPr>
          <w:rFonts w:ascii="Calibri" w:hAnsi="Calibri"/>
          <w:bCs/>
        </w:rPr>
        <w:t xml:space="preserve"> yayımlanan Değişiklik Yönetmeliği ile</w:t>
      </w:r>
      <w:r w:rsidR="00F6634E" w:rsidRPr="002048A7">
        <w:rPr>
          <w:rFonts w:ascii="Calibri" w:hAnsi="Calibri"/>
          <w:b/>
          <w:bCs/>
        </w:rPr>
        <w:t xml:space="preserve"> </w:t>
      </w:r>
      <w:r w:rsidRPr="006C522A">
        <w:rPr>
          <w:rFonts w:ascii="Calibri" w:hAnsi="Calibri"/>
          <w:b/>
          <w:bCs/>
        </w:rPr>
        <w:t>Petrol Piyasasında Uygulanacak Teknik Kriterler Hakkında Yönetmeliğin</w:t>
      </w:r>
      <w:r w:rsidR="00F6634E" w:rsidRPr="002048A7">
        <w:rPr>
          <w:rFonts w:ascii="Calibri" w:hAnsi="Calibri"/>
          <w:bCs/>
        </w:rPr>
        <w:t xml:space="preserve"> </w:t>
      </w:r>
    </w:p>
    <w:p w14:paraId="31E33F84" w14:textId="77777777" w:rsidR="00F6634E" w:rsidRPr="00CF2AE8" w:rsidRDefault="006C522A" w:rsidP="0025080A">
      <w:pPr>
        <w:pStyle w:val="ListeParagraf"/>
        <w:numPr>
          <w:ilvl w:val="0"/>
          <w:numId w:val="31"/>
        </w:numPr>
        <w:spacing w:after="0"/>
        <w:rPr>
          <w:rFonts w:ascii="Calibri" w:hAnsi="Calibri"/>
          <w:b/>
          <w:bCs/>
        </w:rPr>
      </w:pPr>
      <w:proofErr w:type="gramStart"/>
      <w:r w:rsidRPr="006C522A">
        <w:rPr>
          <w:rFonts w:ascii="Calibri" w:hAnsi="Calibri"/>
          <w:bCs/>
        </w:rPr>
        <w:t>4 üncü</w:t>
      </w:r>
      <w:proofErr w:type="gramEnd"/>
      <w:r w:rsidRPr="006C522A">
        <w:rPr>
          <w:rFonts w:ascii="Calibri" w:hAnsi="Calibri"/>
          <w:bCs/>
        </w:rPr>
        <w:t xml:space="preserve"> maddesinin birinci fıkrasının (ff) bendinde yer alan</w:t>
      </w:r>
      <w:r w:rsidRPr="00CF2AE8">
        <w:rPr>
          <w:rFonts w:ascii="Calibri" w:hAnsi="Calibri"/>
          <w:bCs/>
          <w:i/>
        </w:rPr>
        <w:t xml:space="preserve"> “25/3/2006 tarihli ve 26119 sayılı Resmî Gazete’de yayımlanan Uluslararası Gözetim Şirketi Statüsüne İlişkin Dış Ticarette Standardizasyon Tebliği Tebliğ No: (2006/21)”</w:t>
      </w:r>
      <w:r w:rsidRPr="006C522A">
        <w:rPr>
          <w:rFonts w:ascii="Calibri" w:hAnsi="Calibri"/>
          <w:bCs/>
        </w:rPr>
        <w:t xml:space="preserve"> ibaresi </w:t>
      </w:r>
      <w:r w:rsidRPr="00CF2AE8">
        <w:rPr>
          <w:rFonts w:ascii="Calibri" w:hAnsi="Calibri"/>
          <w:bCs/>
          <w:i/>
        </w:rPr>
        <w:t>“31/12/2014 tarihli ve 29222 sayılı Resmî Gazete’de yayımlanan Uluslararası Gözetim Şirketi Statüsüne İlişkin Tebliğ (Ürün Güvenliği ve Denetimi: 2015/24)”</w:t>
      </w:r>
      <w:r w:rsidRPr="006C522A">
        <w:rPr>
          <w:rFonts w:ascii="Calibri" w:hAnsi="Calibri"/>
          <w:bCs/>
        </w:rPr>
        <w:t xml:space="preserve"> şeklinde değiştirilmiş ve aynı fıkraya aşağıdaki bent eklenmiştir.</w:t>
      </w:r>
    </w:p>
    <w:p w14:paraId="760869F7" w14:textId="77777777" w:rsidR="00CF2AE8" w:rsidRPr="00CF2AE8" w:rsidRDefault="00CF2AE8" w:rsidP="00CF2AE8">
      <w:pPr>
        <w:pStyle w:val="ListeParagraf"/>
        <w:spacing w:after="0"/>
        <w:ind w:left="1440"/>
        <w:rPr>
          <w:rFonts w:ascii="Calibri" w:hAnsi="Calibri"/>
          <w:b/>
          <w:bCs/>
        </w:rPr>
      </w:pPr>
    </w:p>
    <w:p w14:paraId="3BD61FB8" w14:textId="77777777" w:rsidR="00CF2AE8" w:rsidRPr="00CF2AE8" w:rsidRDefault="00CF2AE8" w:rsidP="00CF2AE8">
      <w:pPr>
        <w:pStyle w:val="ListeParagraf"/>
        <w:spacing w:after="0"/>
        <w:ind w:left="1440"/>
        <w:rPr>
          <w:i/>
        </w:rPr>
      </w:pPr>
      <w:r w:rsidRPr="00CF2AE8">
        <w:rPr>
          <w:i/>
        </w:rPr>
        <w:t>“</w:t>
      </w:r>
      <w:proofErr w:type="gramStart"/>
      <w:r w:rsidRPr="00CF2AE8">
        <w:rPr>
          <w:i/>
        </w:rPr>
        <w:t>ğğ</w:t>
      </w:r>
      <w:proofErr w:type="gramEnd"/>
      <w:r w:rsidRPr="00CF2AE8">
        <w:rPr>
          <w:i/>
        </w:rPr>
        <w:t>) Sürdürülebilir Denizcilik Harmanlama Bileşeni (SDHB): Fosil olmayan kaynaklardan üretilen, denizcilik yakıtları ile harmanlanarak kullanılabilen ve uluslararası geçerliliği olan sürdürülebilirlik sertifikasına sahip ürünü,”</w:t>
      </w:r>
    </w:p>
    <w:p w14:paraId="208B9A68" w14:textId="77777777" w:rsidR="00862C03" w:rsidRPr="002048A7" w:rsidRDefault="00862C03" w:rsidP="00862C03">
      <w:pPr>
        <w:spacing w:after="0"/>
        <w:ind w:left="720"/>
        <w:contextualSpacing/>
        <w:rPr>
          <w:rFonts w:ascii="Calibri" w:hAnsi="Calibri"/>
          <w:b/>
          <w:bCs/>
        </w:rPr>
      </w:pPr>
    </w:p>
    <w:p w14:paraId="26AF42FA" w14:textId="77777777" w:rsidR="00F6634E" w:rsidRDefault="00CF2AE8" w:rsidP="0025080A">
      <w:pPr>
        <w:pStyle w:val="ListeParagraf"/>
        <w:numPr>
          <w:ilvl w:val="0"/>
          <w:numId w:val="31"/>
        </w:numPr>
        <w:spacing w:after="0"/>
        <w:rPr>
          <w:rFonts w:ascii="Calibri" w:hAnsi="Calibri"/>
          <w:bCs/>
        </w:rPr>
      </w:pPr>
      <w:r w:rsidRPr="00CF2AE8">
        <w:rPr>
          <w:rFonts w:ascii="Calibri" w:hAnsi="Calibri"/>
          <w:bCs/>
        </w:rPr>
        <w:t>8 inci maddesinin birinci fıkrasına aşağıdaki cümleler ve aynı maddenin üçüncü fıkrasına aşağıdaki cümle eklenmiştir.</w:t>
      </w:r>
    </w:p>
    <w:p w14:paraId="2CA93754" w14:textId="77777777" w:rsidR="00CF2AE8" w:rsidRPr="002048A7" w:rsidRDefault="00CF2AE8" w:rsidP="00CF2AE8">
      <w:pPr>
        <w:pStyle w:val="ListeParagraf"/>
        <w:spacing w:after="0"/>
        <w:ind w:left="1440"/>
        <w:rPr>
          <w:rFonts w:ascii="Calibri" w:hAnsi="Calibri"/>
          <w:bCs/>
        </w:rPr>
      </w:pPr>
    </w:p>
    <w:p w14:paraId="72BC686E" w14:textId="77777777" w:rsidR="00CF2AE8" w:rsidRPr="00CF2AE8" w:rsidRDefault="00CF2AE8" w:rsidP="00CF2AE8">
      <w:pPr>
        <w:pStyle w:val="ListeParagraf"/>
        <w:spacing w:after="0"/>
        <w:ind w:left="1440"/>
        <w:rPr>
          <w:i/>
        </w:rPr>
      </w:pPr>
      <w:r w:rsidRPr="00CF2AE8">
        <w:rPr>
          <w:i/>
        </w:rPr>
        <w:t>“Denizcilik yakıtlarının hazırlanmasında biodizel kullanılması halinde karıştırma oranı ve nihai üründe biodizel bulunduğu hususu kullanıcıya teslim edilecek analiz raporu veya belgelerde açık olarak belirtilir. Kullanıcının açık rızası olmadan biodizel içeren denizcilik yakıtları deniz araçlarına teslim edilemez.”</w:t>
      </w:r>
    </w:p>
    <w:p w14:paraId="40FF38C6" w14:textId="77777777" w:rsidR="00862C03" w:rsidRDefault="00CF2AE8" w:rsidP="00CF2AE8">
      <w:pPr>
        <w:pStyle w:val="ListeParagraf"/>
        <w:spacing w:after="0"/>
        <w:ind w:left="1440"/>
        <w:rPr>
          <w:i/>
        </w:rPr>
      </w:pPr>
      <w:r w:rsidRPr="00CF2AE8">
        <w:rPr>
          <w:i/>
        </w:rPr>
        <w:t>“Denizcilik yakıtlarının harmanlama işlemi, harmanlanacak ürünün miktarı %30’u (m/m) aşmayacak şekilde, antrepo sahasıyla sınırlı olmak ve transit rejime tabi ihrakiye kapsamındaki denizcilik yakıtlarının hazırlanması kaydıyla, ihrakiye teslim lisansı sahipleri tarafından yapılabilir.”</w:t>
      </w:r>
    </w:p>
    <w:p w14:paraId="1A31E4AA" w14:textId="77777777" w:rsidR="00CF2AE8" w:rsidRPr="00CF2AE8" w:rsidRDefault="00CF2AE8" w:rsidP="00CF2AE8">
      <w:pPr>
        <w:pStyle w:val="ListeParagraf"/>
        <w:spacing w:after="0"/>
        <w:ind w:left="1440"/>
        <w:rPr>
          <w:i/>
        </w:rPr>
      </w:pPr>
    </w:p>
    <w:p w14:paraId="071E1458" w14:textId="77777777" w:rsidR="00862C03" w:rsidRPr="002048A7" w:rsidRDefault="00CF2AE8" w:rsidP="0025080A">
      <w:pPr>
        <w:pStyle w:val="ListeParagraf"/>
        <w:numPr>
          <w:ilvl w:val="0"/>
          <w:numId w:val="31"/>
        </w:numPr>
        <w:spacing w:after="0"/>
        <w:rPr>
          <w:rFonts w:ascii="Calibri" w:hAnsi="Calibri"/>
          <w:bCs/>
        </w:rPr>
      </w:pPr>
      <w:r w:rsidRPr="00CF2AE8">
        <w:rPr>
          <w:rFonts w:ascii="Calibri" w:hAnsi="Calibri"/>
          <w:bCs/>
        </w:rPr>
        <w:t>10 uncu maddesinin altıncı fıkrasına aşağıdaki cümleler eklenmiştir.</w:t>
      </w:r>
    </w:p>
    <w:p w14:paraId="27FF2B7E" w14:textId="77777777" w:rsidR="00862C03" w:rsidRPr="002048A7" w:rsidRDefault="00862C03" w:rsidP="00862C03">
      <w:pPr>
        <w:pStyle w:val="ListeParagraf"/>
        <w:spacing w:after="0"/>
        <w:ind w:left="1440"/>
        <w:rPr>
          <w:rFonts w:ascii="Calibri" w:hAnsi="Calibri"/>
          <w:bCs/>
        </w:rPr>
      </w:pPr>
    </w:p>
    <w:p w14:paraId="03344B1B" w14:textId="77777777" w:rsidR="00862C03" w:rsidRPr="002048A7" w:rsidRDefault="00CF2AE8" w:rsidP="00862C03">
      <w:pPr>
        <w:pStyle w:val="ListeParagraf"/>
        <w:spacing w:after="0"/>
        <w:ind w:left="1440"/>
        <w:rPr>
          <w:i/>
        </w:rPr>
      </w:pPr>
      <w:r w:rsidRPr="00CF2AE8">
        <w:rPr>
          <w:i/>
        </w:rPr>
        <w:t>“Denizcilik yakıtlarına harmanlama yapılması halinde, harmanlama oranı ve nihai üründe SDHB bulunduğu hususu ile SDHB muhteviyatı hakkındaki bilgiler kullanıcıya teslim edilecek analiz raporu veya belgelerde açık olarak yer alması zorunludur. Kullanıcının açık rızası olmadan SDHB içeren denizcilik yakıtları deniz araçlarına teslim edilemez.”</w:t>
      </w:r>
    </w:p>
    <w:p w14:paraId="0832057B" w14:textId="77777777" w:rsidR="00862C03" w:rsidRPr="002048A7" w:rsidRDefault="00862C03" w:rsidP="00862C03">
      <w:pPr>
        <w:pStyle w:val="ListeParagraf"/>
        <w:spacing w:after="0"/>
        <w:ind w:left="1440"/>
        <w:rPr>
          <w:rFonts w:ascii="Calibri" w:hAnsi="Calibri"/>
          <w:bCs/>
        </w:rPr>
      </w:pPr>
    </w:p>
    <w:p w14:paraId="0208FBC8" w14:textId="77777777" w:rsidR="00F6634E" w:rsidRPr="002048A7" w:rsidRDefault="00CF2AE8" w:rsidP="0025080A">
      <w:pPr>
        <w:pStyle w:val="ListeParagraf"/>
        <w:numPr>
          <w:ilvl w:val="0"/>
          <w:numId w:val="24"/>
        </w:numPr>
        <w:spacing w:after="160" w:line="259" w:lineRule="auto"/>
        <w:rPr>
          <w:b/>
        </w:rPr>
      </w:pPr>
      <w:r>
        <w:t>03</w:t>
      </w:r>
      <w:r w:rsidR="00F6634E" w:rsidRPr="002048A7">
        <w:t>.</w:t>
      </w:r>
      <w:r>
        <w:t>10</w:t>
      </w:r>
      <w:r w:rsidR="00F6634E" w:rsidRPr="002048A7">
        <w:t>.202</w:t>
      </w:r>
      <w:r>
        <w:t>4</w:t>
      </w:r>
      <w:r w:rsidR="00F6634E" w:rsidRPr="002048A7">
        <w:t xml:space="preserve"> tarih ve 3</w:t>
      </w:r>
      <w:r w:rsidR="009731B8" w:rsidRPr="002048A7">
        <w:t>2</w:t>
      </w:r>
      <w:r>
        <w:t>681</w:t>
      </w:r>
      <w:r w:rsidR="00F6634E" w:rsidRPr="002048A7">
        <w:t xml:space="preserve"> sayılı Resmî </w:t>
      </w:r>
      <w:r w:rsidR="00274939" w:rsidRPr="002048A7">
        <w:t>Gazetede</w:t>
      </w:r>
      <w:r w:rsidR="00F6634E" w:rsidRPr="002048A7">
        <w:t xml:space="preserve"> yayımlanan Değişiklik </w:t>
      </w:r>
      <w:r w:rsidR="00DE08D4" w:rsidRPr="002048A7">
        <w:t xml:space="preserve">Yönetmeliği </w:t>
      </w:r>
      <w:r w:rsidR="00F6634E" w:rsidRPr="002048A7">
        <w:t xml:space="preserve">ile </w:t>
      </w:r>
      <w:r w:rsidRPr="00CF2AE8">
        <w:rPr>
          <w:b/>
        </w:rPr>
        <w:t>Petrol Piyasası Lisans Yönetmeliğinin</w:t>
      </w:r>
      <w:r w:rsidR="009731B8" w:rsidRPr="002048A7">
        <w:rPr>
          <w:b/>
        </w:rPr>
        <w:t xml:space="preserve"> </w:t>
      </w:r>
    </w:p>
    <w:p w14:paraId="2DAFE5B0" w14:textId="77777777" w:rsidR="00F6634E" w:rsidRPr="002048A7" w:rsidRDefault="00F6634E" w:rsidP="00F6634E">
      <w:pPr>
        <w:pStyle w:val="ListeParagraf"/>
      </w:pPr>
    </w:p>
    <w:p w14:paraId="500B6ACE" w14:textId="77777777" w:rsidR="00F6634E" w:rsidRPr="002048A7" w:rsidRDefault="00CF2AE8" w:rsidP="0025080A">
      <w:pPr>
        <w:pStyle w:val="ListeParagraf"/>
        <w:numPr>
          <w:ilvl w:val="0"/>
          <w:numId w:val="31"/>
        </w:numPr>
        <w:spacing w:after="0"/>
        <w:rPr>
          <w:rFonts w:ascii="Calibri" w:hAnsi="Calibri"/>
          <w:bCs/>
        </w:rPr>
      </w:pPr>
      <w:r w:rsidRPr="00CF2AE8">
        <w:rPr>
          <w:rFonts w:ascii="Calibri" w:hAnsi="Calibri"/>
          <w:bCs/>
        </w:rPr>
        <w:t>38 inci maddesinin birinci fıkrasının (b) bendi aşağıdaki şekilde değiştirilmiş ve aynı fıkraya aşağıdaki bent eklenmiştir.</w:t>
      </w:r>
    </w:p>
    <w:p w14:paraId="610D50ED" w14:textId="77777777" w:rsidR="00F6634E" w:rsidRDefault="00F6634E" w:rsidP="00DC14F4">
      <w:pPr>
        <w:pStyle w:val="ListeParagraf"/>
        <w:ind w:left="1430"/>
        <w:rPr>
          <w:i/>
        </w:rPr>
      </w:pPr>
    </w:p>
    <w:p w14:paraId="56E68A1C" w14:textId="77777777" w:rsidR="00CF2AE8" w:rsidRPr="00CF2AE8" w:rsidRDefault="00CF2AE8" w:rsidP="00CF2AE8">
      <w:pPr>
        <w:pStyle w:val="ListeParagraf"/>
        <w:ind w:left="1430"/>
        <w:rPr>
          <w:i/>
        </w:rPr>
      </w:pPr>
      <w:r w:rsidRPr="00CF2AE8">
        <w:rPr>
          <w:i/>
        </w:rPr>
        <w:t>“</w:t>
      </w:r>
      <w:proofErr w:type="gramStart"/>
      <w:r w:rsidRPr="00CF2AE8">
        <w:rPr>
          <w:i/>
        </w:rPr>
        <w:t>b</w:t>
      </w:r>
      <w:proofErr w:type="gramEnd"/>
      <w:r w:rsidRPr="00CF2AE8">
        <w:rPr>
          <w:i/>
        </w:rPr>
        <w:t>) Yeterli depolama ve kendi araçlarına akaryakıt ikmal kapasitesine sahip olmaları ve akaryakıtı kendi ihtiyaçları için kullanmaları şartıyla; kamu kurum ve kuruluşlarına, liman, havalimanı, fabrika, şantiye, maden veya taş ocaklarına yapılan teslimler hariç olmak üzere, araçlara akaryakıt istasyonları dışında akaryakıt ikmal ve satışının yapılmaması,”</w:t>
      </w:r>
    </w:p>
    <w:p w14:paraId="654D313B" w14:textId="77777777" w:rsidR="00CF2AE8" w:rsidRDefault="00CF2AE8" w:rsidP="00CF2AE8">
      <w:pPr>
        <w:pStyle w:val="ListeParagraf"/>
        <w:ind w:left="1430"/>
        <w:rPr>
          <w:i/>
        </w:rPr>
      </w:pPr>
      <w:r w:rsidRPr="00CF2AE8">
        <w:rPr>
          <w:i/>
        </w:rPr>
        <w:t>“</w:t>
      </w:r>
      <w:proofErr w:type="gramStart"/>
      <w:r w:rsidRPr="00CF2AE8">
        <w:rPr>
          <w:i/>
        </w:rPr>
        <w:t>k</w:t>
      </w:r>
      <w:proofErr w:type="gramEnd"/>
      <w:r w:rsidRPr="00CF2AE8">
        <w:rPr>
          <w:i/>
        </w:rPr>
        <w:t>) Akaryakıt istasyonu dışında yapılacak akaryakıt teslimlerinde akaryakıtın alıcı deposuna taşınması veya taşıttırılmasının gerçekleştirilmesi,”</w:t>
      </w:r>
    </w:p>
    <w:p w14:paraId="5D669533" w14:textId="77777777" w:rsidR="00CF2AE8" w:rsidRPr="002048A7" w:rsidRDefault="00CF2AE8" w:rsidP="00DC14F4">
      <w:pPr>
        <w:pStyle w:val="ListeParagraf"/>
        <w:ind w:left="1430"/>
        <w:rPr>
          <w:i/>
        </w:rPr>
      </w:pPr>
    </w:p>
    <w:p w14:paraId="4376AD87" w14:textId="77777777" w:rsidR="00DE08D4" w:rsidRPr="002048A7" w:rsidRDefault="00CF2AE8" w:rsidP="0025080A">
      <w:pPr>
        <w:pStyle w:val="ListeParagraf"/>
        <w:numPr>
          <w:ilvl w:val="0"/>
          <w:numId w:val="24"/>
        </w:numPr>
        <w:spacing w:after="160" w:line="259" w:lineRule="auto"/>
        <w:rPr>
          <w:b/>
        </w:rPr>
      </w:pPr>
      <w:r>
        <w:t>01</w:t>
      </w:r>
      <w:r w:rsidR="009731B8" w:rsidRPr="002048A7">
        <w:t>.</w:t>
      </w:r>
      <w:r>
        <w:t>1</w:t>
      </w:r>
      <w:r w:rsidR="009731B8" w:rsidRPr="002048A7">
        <w:t>1.202</w:t>
      </w:r>
      <w:r>
        <w:t>4</w:t>
      </w:r>
      <w:r w:rsidR="009731B8" w:rsidRPr="002048A7">
        <w:t xml:space="preserve"> tarih ve 32</w:t>
      </w:r>
      <w:r>
        <w:t>709</w:t>
      </w:r>
      <w:r w:rsidR="009731B8" w:rsidRPr="002048A7">
        <w:t xml:space="preserve"> sayılı Resmî Gazetede yayımlanan Değişiklik Yönetmeliği ile </w:t>
      </w:r>
      <w:r w:rsidRPr="00CF2AE8">
        <w:rPr>
          <w:b/>
        </w:rPr>
        <w:t>Petrol Piyasası Lisans Yönetmeliğinin</w:t>
      </w:r>
      <w:r w:rsidR="00DE08D4" w:rsidRPr="002048A7">
        <w:rPr>
          <w:b/>
        </w:rPr>
        <w:t xml:space="preserve"> </w:t>
      </w:r>
    </w:p>
    <w:p w14:paraId="3AEBF261" w14:textId="77777777" w:rsidR="00DE08D4" w:rsidRPr="002048A7" w:rsidRDefault="00DE08D4" w:rsidP="00DE08D4">
      <w:pPr>
        <w:pStyle w:val="ListeParagraf"/>
      </w:pPr>
    </w:p>
    <w:p w14:paraId="08BE4104" w14:textId="77777777" w:rsidR="009731B8" w:rsidRPr="002048A7" w:rsidRDefault="00CF2AE8" w:rsidP="0025080A">
      <w:pPr>
        <w:pStyle w:val="ListeParagraf"/>
        <w:numPr>
          <w:ilvl w:val="0"/>
          <w:numId w:val="31"/>
        </w:numPr>
        <w:spacing w:after="0"/>
        <w:rPr>
          <w:rFonts w:ascii="Calibri" w:hAnsi="Calibri"/>
          <w:bCs/>
        </w:rPr>
      </w:pPr>
      <w:r w:rsidRPr="00CF2AE8">
        <w:rPr>
          <w:rFonts w:ascii="Calibri" w:hAnsi="Calibri"/>
          <w:bCs/>
        </w:rPr>
        <w:t>5 inci maddesinin altıncı fıkrası aşağıdaki şekilde değiştirilmiştir.</w:t>
      </w:r>
    </w:p>
    <w:p w14:paraId="05D0FEC3" w14:textId="77777777" w:rsidR="009731B8" w:rsidRPr="002048A7" w:rsidRDefault="009731B8" w:rsidP="009731B8">
      <w:pPr>
        <w:pStyle w:val="ListeParagraf"/>
        <w:spacing w:after="0"/>
        <w:ind w:left="1440"/>
        <w:rPr>
          <w:rFonts w:ascii="Calibri" w:hAnsi="Calibri"/>
          <w:bCs/>
        </w:rPr>
      </w:pPr>
    </w:p>
    <w:p w14:paraId="3DCA3D2E" w14:textId="77777777" w:rsidR="00DE08D4" w:rsidRPr="002048A7" w:rsidRDefault="00CF2AE8" w:rsidP="00DE08D4">
      <w:pPr>
        <w:pStyle w:val="ListeParagraf"/>
        <w:ind w:left="1430"/>
        <w:rPr>
          <w:i/>
        </w:rPr>
      </w:pPr>
      <w:r w:rsidRPr="00CF2AE8">
        <w:rPr>
          <w:i/>
        </w:rPr>
        <w:t xml:space="preserve">“Lisans sahipleri Kurul Kararı ile belirlenen asgari ödenmiş sermaye miktarını sağlamak ve korumak ile yükümlüdür. Ödenmiş sermaye miktarını sağlayamayan lisans sahiplerine ilişkin olarak bu Yönetmeliğin </w:t>
      </w:r>
      <w:proofErr w:type="gramStart"/>
      <w:r w:rsidRPr="00CF2AE8">
        <w:rPr>
          <w:i/>
        </w:rPr>
        <w:t>17 nci</w:t>
      </w:r>
      <w:proofErr w:type="gramEnd"/>
      <w:r w:rsidRPr="00CF2AE8">
        <w:rPr>
          <w:i/>
        </w:rPr>
        <w:t xml:space="preserve"> maddesinin birinci fıkrasının (e) bendi uyarınca lisans sona erdirme işlemi uygulanır.”</w:t>
      </w:r>
    </w:p>
    <w:p w14:paraId="1299EC59" w14:textId="77777777" w:rsidR="009731B8" w:rsidRPr="002048A7" w:rsidRDefault="009731B8" w:rsidP="00DE08D4">
      <w:pPr>
        <w:pStyle w:val="ListeParagraf"/>
        <w:ind w:left="1430"/>
        <w:rPr>
          <w:i/>
        </w:rPr>
      </w:pPr>
    </w:p>
    <w:p w14:paraId="360CD59E" w14:textId="77777777" w:rsidR="009731B8" w:rsidRPr="002048A7" w:rsidRDefault="00CF2AE8" w:rsidP="0025080A">
      <w:pPr>
        <w:pStyle w:val="ListeParagraf"/>
        <w:numPr>
          <w:ilvl w:val="0"/>
          <w:numId w:val="31"/>
        </w:numPr>
        <w:spacing w:after="0"/>
        <w:rPr>
          <w:rFonts w:ascii="Calibri" w:hAnsi="Calibri"/>
          <w:bCs/>
        </w:rPr>
      </w:pPr>
      <w:proofErr w:type="gramStart"/>
      <w:r w:rsidRPr="00CF2AE8">
        <w:rPr>
          <w:rFonts w:ascii="Calibri" w:hAnsi="Calibri"/>
          <w:bCs/>
        </w:rPr>
        <w:t>7 nci</w:t>
      </w:r>
      <w:proofErr w:type="gramEnd"/>
      <w:r w:rsidRPr="00CF2AE8">
        <w:rPr>
          <w:rFonts w:ascii="Calibri" w:hAnsi="Calibri"/>
          <w:bCs/>
        </w:rPr>
        <w:t xml:space="preserve"> maddesinin yedinci fıkrasının (a) bendi aşağıdaki şekilde değiştirilmiştir.</w:t>
      </w:r>
    </w:p>
    <w:p w14:paraId="256BEC96" w14:textId="77777777" w:rsidR="009731B8" w:rsidRPr="002048A7" w:rsidRDefault="009731B8" w:rsidP="009731B8">
      <w:pPr>
        <w:pStyle w:val="ListeParagraf"/>
        <w:spacing w:after="0"/>
        <w:ind w:left="1440"/>
        <w:rPr>
          <w:rFonts w:ascii="Calibri" w:hAnsi="Calibri"/>
          <w:bCs/>
        </w:rPr>
      </w:pPr>
    </w:p>
    <w:p w14:paraId="385FF655" w14:textId="77777777" w:rsidR="009731B8" w:rsidRPr="002048A7" w:rsidRDefault="00CF2AE8" w:rsidP="009731B8">
      <w:pPr>
        <w:pStyle w:val="ListeParagraf"/>
        <w:ind w:left="1430"/>
        <w:rPr>
          <w:i/>
        </w:rPr>
      </w:pPr>
      <w:r w:rsidRPr="00CF2AE8">
        <w:rPr>
          <w:i/>
        </w:rPr>
        <w:t>“</w:t>
      </w:r>
      <w:proofErr w:type="gramStart"/>
      <w:r w:rsidRPr="00CF2AE8">
        <w:rPr>
          <w:i/>
        </w:rPr>
        <w:t>a</w:t>
      </w:r>
      <w:proofErr w:type="gramEnd"/>
      <w:r w:rsidRPr="00CF2AE8">
        <w:rPr>
          <w:i/>
        </w:rPr>
        <w:t>) Rafinerici, iletim, depolama, işleme, dağıtıcı ve ihrakiye teslimi lisansları için; başvuru sahibi tüzel kişinin; 13/1/2011 tarihli ve 6102 sayılı Türk Ticaret Kanunu hükümleri doğrultusunda anonim şirket ya da limited şirket olması ve Kurul Kararı ile belirlenen asgari ödenmiş sermayeyi sağlaması zorunludur.”</w:t>
      </w:r>
    </w:p>
    <w:p w14:paraId="5479EB6D" w14:textId="77777777" w:rsidR="001D2DA2" w:rsidRPr="002048A7" w:rsidRDefault="001D2DA2" w:rsidP="00577AAF">
      <w:pPr>
        <w:pStyle w:val="Balk3"/>
        <w:numPr>
          <w:ilvl w:val="2"/>
          <w:numId w:val="11"/>
        </w:numPr>
        <w:spacing w:after="240"/>
        <w:rPr>
          <w:rFonts w:asciiTheme="minorHAnsi" w:hAnsiTheme="minorHAnsi"/>
          <w:color w:val="auto"/>
        </w:rPr>
      </w:pPr>
      <w:bookmarkStart w:id="76" w:name="_Toc442431245"/>
      <w:bookmarkStart w:id="77" w:name="_Toc6684440"/>
      <w:bookmarkStart w:id="78" w:name="_Toc195868681"/>
      <w:r w:rsidRPr="002048A7">
        <w:rPr>
          <w:rFonts w:asciiTheme="minorHAnsi" w:hAnsiTheme="minorHAnsi"/>
          <w:color w:val="auto"/>
        </w:rPr>
        <w:t>Tebliğler</w:t>
      </w:r>
      <w:bookmarkEnd w:id="76"/>
      <w:bookmarkEnd w:id="77"/>
      <w:bookmarkEnd w:id="78"/>
    </w:p>
    <w:p w14:paraId="6449988D" w14:textId="77777777" w:rsidR="001D2DA2" w:rsidRDefault="0009547B" w:rsidP="001D2DA2">
      <w:pPr>
        <w:spacing w:after="0"/>
        <w:rPr>
          <w:color w:val="000000" w:themeColor="text1"/>
        </w:rPr>
      </w:pPr>
      <w:r w:rsidRPr="002048A7">
        <w:rPr>
          <w:color w:val="000000" w:themeColor="text1"/>
        </w:rPr>
        <w:t>202</w:t>
      </w:r>
      <w:r w:rsidR="00CF2AE8">
        <w:rPr>
          <w:color w:val="000000" w:themeColor="text1"/>
        </w:rPr>
        <w:t>4</w:t>
      </w:r>
      <w:r w:rsidR="001D2DA2" w:rsidRPr="002048A7">
        <w:rPr>
          <w:color w:val="000000" w:themeColor="text1"/>
        </w:rPr>
        <w:t xml:space="preserve"> yılında petrol piyasasında aşağıda belirtilen Tebliğ çalışmaları yapılmıştır:</w:t>
      </w:r>
    </w:p>
    <w:p w14:paraId="766E3EE6" w14:textId="77777777" w:rsidR="007A0D8D" w:rsidRDefault="007A0D8D" w:rsidP="001D2DA2">
      <w:pPr>
        <w:spacing w:after="0"/>
        <w:rPr>
          <w:color w:val="000000" w:themeColor="text1"/>
        </w:rPr>
      </w:pPr>
    </w:p>
    <w:p w14:paraId="7E6FEA0C" w14:textId="77777777" w:rsidR="007A0D8D" w:rsidRDefault="007A0D8D" w:rsidP="007A0D8D">
      <w:pPr>
        <w:pStyle w:val="ListeParagraf"/>
        <w:numPr>
          <w:ilvl w:val="0"/>
          <w:numId w:val="24"/>
        </w:numPr>
        <w:spacing w:after="0"/>
        <w:rPr>
          <w:color w:val="000000" w:themeColor="text1"/>
        </w:rPr>
      </w:pPr>
      <w:r>
        <w:rPr>
          <w:color w:val="000000" w:themeColor="text1"/>
        </w:rPr>
        <w:t xml:space="preserve">09.03.2024 tarih ve </w:t>
      </w:r>
      <w:r w:rsidRPr="007A02CD">
        <w:rPr>
          <w:color w:val="000000" w:themeColor="text1"/>
        </w:rPr>
        <w:t>32484</w:t>
      </w:r>
      <w:r>
        <w:rPr>
          <w:color w:val="000000" w:themeColor="text1"/>
        </w:rPr>
        <w:t xml:space="preserve"> sayılı </w:t>
      </w:r>
      <w:r w:rsidRPr="007A02CD">
        <w:rPr>
          <w:color w:val="000000" w:themeColor="text1"/>
        </w:rPr>
        <w:t>Resmî Gazetede yayımlanan Değişiklik Tebliği ile</w:t>
      </w:r>
      <w:r>
        <w:rPr>
          <w:color w:val="000000" w:themeColor="text1"/>
        </w:rPr>
        <w:t xml:space="preserve"> </w:t>
      </w:r>
      <w:r w:rsidRPr="00391C5C">
        <w:rPr>
          <w:b/>
          <w:color w:val="000000" w:themeColor="text1"/>
        </w:rPr>
        <w:t xml:space="preserve">Madeni Yağların Ambalajlanması Ve Piyasaya Sunumu Hakkında Tebliğin 11 inci Maddesinin </w:t>
      </w:r>
      <w:proofErr w:type="gramStart"/>
      <w:r w:rsidRPr="00391C5C">
        <w:rPr>
          <w:b/>
          <w:color w:val="000000" w:themeColor="text1"/>
        </w:rPr>
        <w:t>3 üncü</w:t>
      </w:r>
      <w:proofErr w:type="gramEnd"/>
      <w:r w:rsidRPr="00391C5C">
        <w:rPr>
          <w:b/>
          <w:color w:val="000000" w:themeColor="text1"/>
        </w:rPr>
        <w:t xml:space="preserve"> Fıkrası Uyarınca Yapılacak Üretimlere İlişkin Usul</w:t>
      </w:r>
      <w:r>
        <w:rPr>
          <w:b/>
          <w:color w:val="000000" w:themeColor="text1"/>
        </w:rPr>
        <w:t xml:space="preserve"> Ve Esaslara Dair Kurul Kararının </w:t>
      </w:r>
      <w:r w:rsidRPr="00391C5C">
        <w:rPr>
          <w:color w:val="000000" w:themeColor="text1"/>
        </w:rPr>
        <w:t xml:space="preserve">2 inci maddesinin ikinci fıkrası </w:t>
      </w:r>
    </w:p>
    <w:p w14:paraId="2672CF2A" w14:textId="77777777" w:rsidR="007A0D8D" w:rsidRPr="00391C5C" w:rsidRDefault="007A0D8D" w:rsidP="007A0D8D">
      <w:pPr>
        <w:pStyle w:val="ListeParagraf"/>
        <w:spacing w:after="0"/>
        <w:rPr>
          <w:color w:val="000000" w:themeColor="text1"/>
        </w:rPr>
      </w:pPr>
    </w:p>
    <w:p w14:paraId="1D823B07" w14:textId="77777777" w:rsidR="007A0D8D" w:rsidRPr="00391C5C" w:rsidRDefault="007A0D8D" w:rsidP="007A0D8D">
      <w:pPr>
        <w:pStyle w:val="ListeParagraf"/>
        <w:numPr>
          <w:ilvl w:val="0"/>
          <w:numId w:val="31"/>
        </w:numPr>
        <w:spacing w:after="0"/>
        <w:rPr>
          <w:color w:val="000000" w:themeColor="text1"/>
        </w:rPr>
      </w:pPr>
      <w:r>
        <w:rPr>
          <w:color w:val="000000" w:themeColor="text1"/>
        </w:rPr>
        <w:t>“</w:t>
      </w:r>
      <w:r w:rsidRPr="00391C5C">
        <w:rPr>
          <w:color w:val="000000" w:themeColor="text1"/>
        </w:rPr>
        <w:t>(2) Madeni yağ üretim tesislerinde gres üretim ünitesi bulunmayan ya da gres üretim kapasitesi yeterli olmayan madeni yağ lisansı sahipleri, durumlarının uygunluğunu gösterir bilgi ve belgeleri, öngörülen üretim miktarını, üretim yerini ve üretim tarihlerini sunarak Kurumdan alacakları izin kapsamında, kendi markaları altında başka madeni yağ lisanslı tesislerde, gres üretimi yaptırabilir.</w:t>
      </w:r>
      <w:r>
        <w:rPr>
          <w:color w:val="000000" w:themeColor="text1"/>
        </w:rPr>
        <w:t>” şeklinde değiştirilmiştir.</w:t>
      </w:r>
    </w:p>
    <w:p w14:paraId="281F3AEF" w14:textId="77777777" w:rsidR="002E39B8" w:rsidRPr="002048A7" w:rsidRDefault="002E39B8" w:rsidP="001D2DA2">
      <w:pPr>
        <w:spacing w:after="0"/>
        <w:rPr>
          <w:color w:val="000000" w:themeColor="text1"/>
        </w:rPr>
      </w:pPr>
    </w:p>
    <w:p w14:paraId="5124AFED" w14:textId="77777777" w:rsidR="00DC14F4" w:rsidRPr="002048A7" w:rsidRDefault="004E2DE2" w:rsidP="0025080A">
      <w:pPr>
        <w:pStyle w:val="ListeParagraf"/>
        <w:numPr>
          <w:ilvl w:val="0"/>
          <w:numId w:val="24"/>
        </w:numPr>
        <w:spacing w:after="160" w:line="259" w:lineRule="auto"/>
        <w:rPr>
          <w:b/>
        </w:rPr>
      </w:pPr>
      <w:bookmarkStart w:id="79" w:name="_Toc442431246"/>
      <w:r w:rsidRPr="002048A7">
        <w:t>2</w:t>
      </w:r>
      <w:r w:rsidR="00CA176B">
        <w:t>5</w:t>
      </w:r>
      <w:r w:rsidR="00DC14F4" w:rsidRPr="002048A7">
        <w:t>.</w:t>
      </w:r>
      <w:r w:rsidR="000036BF" w:rsidRPr="002048A7">
        <w:t>0</w:t>
      </w:r>
      <w:r w:rsidR="00CA176B">
        <w:t>7</w:t>
      </w:r>
      <w:r w:rsidR="00DC14F4" w:rsidRPr="002048A7">
        <w:t>.202</w:t>
      </w:r>
      <w:r w:rsidR="00CA176B">
        <w:t>4</w:t>
      </w:r>
      <w:r w:rsidR="00DC14F4" w:rsidRPr="002048A7">
        <w:t xml:space="preserve"> tarih ve 3</w:t>
      </w:r>
      <w:r w:rsidRPr="002048A7">
        <w:t>2</w:t>
      </w:r>
      <w:r w:rsidR="00CA176B">
        <w:t>612</w:t>
      </w:r>
      <w:r w:rsidR="00DC14F4" w:rsidRPr="002048A7">
        <w:t xml:space="preserve"> sayılı Resmî </w:t>
      </w:r>
      <w:r w:rsidR="00274939" w:rsidRPr="002048A7">
        <w:t>Gazetede</w:t>
      </w:r>
      <w:r w:rsidR="00DC14F4" w:rsidRPr="002048A7">
        <w:t xml:space="preserve"> yayımlanan Değişiklik Tebliği ile </w:t>
      </w:r>
      <w:r w:rsidR="00CA176B" w:rsidRPr="00CA176B">
        <w:rPr>
          <w:b/>
        </w:rPr>
        <w:t>Akaryakıt Haricinde Kalan Petrol Ürünlerinin Yurt İçi ve Yurt Dışı Kaynaklardan Teminine İlişkin Usul ve Esaslar Hakkında Tebliğin</w:t>
      </w:r>
    </w:p>
    <w:p w14:paraId="077DED6B" w14:textId="77777777" w:rsidR="00DC14F4" w:rsidRPr="002048A7" w:rsidRDefault="00DC14F4" w:rsidP="00DC14F4">
      <w:pPr>
        <w:pStyle w:val="ListeParagraf"/>
        <w:rPr>
          <w:b/>
        </w:rPr>
      </w:pPr>
    </w:p>
    <w:p w14:paraId="0509DEF1" w14:textId="77777777" w:rsidR="00DC14F4" w:rsidRPr="002048A7" w:rsidRDefault="00CA176B" w:rsidP="0025080A">
      <w:pPr>
        <w:pStyle w:val="ListeParagraf"/>
        <w:numPr>
          <w:ilvl w:val="0"/>
          <w:numId w:val="25"/>
        </w:numPr>
        <w:spacing w:after="160" w:line="259" w:lineRule="auto"/>
        <w:jc w:val="left"/>
      </w:pPr>
      <w:r w:rsidRPr="00CA176B">
        <w:lastRenderedPageBreak/>
        <w:t>Ek-1’indeki Akaryakıt Haricinde Kalan Petrol Ürünleri-1 tablosunda yer alan “2710.20.32.00.00” ve “2710.20.38.00.00” G.T.İ.P. numaralı satırlar yürürlükten kaldırılmıştır.</w:t>
      </w:r>
    </w:p>
    <w:p w14:paraId="66BA7873" w14:textId="77777777" w:rsidR="00DC14F4" w:rsidRPr="002048A7" w:rsidRDefault="00DC14F4" w:rsidP="00DC14F4">
      <w:pPr>
        <w:pStyle w:val="ListeParagraf"/>
        <w:ind w:left="1440"/>
        <w:rPr>
          <w:i/>
        </w:rPr>
      </w:pPr>
    </w:p>
    <w:p w14:paraId="1AABB6C3" w14:textId="77777777" w:rsidR="004738AE" w:rsidRPr="002048A7" w:rsidRDefault="00CA176B" w:rsidP="0025080A">
      <w:pPr>
        <w:pStyle w:val="ListeParagraf"/>
        <w:numPr>
          <w:ilvl w:val="0"/>
          <w:numId w:val="24"/>
        </w:numPr>
        <w:spacing w:after="160" w:line="259" w:lineRule="auto"/>
        <w:rPr>
          <w:b/>
        </w:rPr>
      </w:pPr>
      <w:r>
        <w:t>20</w:t>
      </w:r>
      <w:r w:rsidR="004738AE" w:rsidRPr="002048A7">
        <w:t>.</w:t>
      </w:r>
      <w:r w:rsidR="004E2DE2" w:rsidRPr="002048A7">
        <w:t>1</w:t>
      </w:r>
      <w:r>
        <w:t>2</w:t>
      </w:r>
      <w:r w:rsidR="004738AE" w:rsidRPr="002048A7">
        <w:t>.202</w:t>
      </w:r>
      <w:r>
        <w:t>4</w:t>
      </w:r>
      <w:r w:rsidR="004738AE" w:rsidRPr="002048A7">
        <w:t xml:space="preserve"> tarih ve 3</w:t>
      </w:r>
      <w:r w:rsidR="004E2DE2" w:rsidRPr="002048A7">
        <w:t>2</w:t>
      </w:r>
      <w:r>
        <w:t>7</w:t>
      </w:r>
      <w:r w:rsidR="004E2DE2" w:rsidRPr="002048A7">
        <w:t>58</w:t>
      </w:r>
      <w:r w:rsidR="004738AE" w:rsidRPr="002048A7">
        <w:t xml:space="preserve"> sayılı Resmî </w:t>
      </w:r>
      <w:r w:rsidR="00274939" w:rsidRPr="002048A7">
        <w:t>Gazetede</w:t>
      </w:r>
      <w:r w:rsidR="004738AE" w:rsidRPr="002048A7">
        <w:t xml:space="preserve"> yayımlanan Değişiklik Tebliği ile </w:t>
      </w:r>
      <w:r w:rsidRPr="00CA176B">
        <w:rPr>
          <w:b/>
        </w:rPr>
        <w:t>Akaryakıt Haricinde Kalan Petrol Ürünlerinin Yurt İçi ve Yurt Dışı Kaynaklardan Teminine İlişkin Usul ve Esaslar Hakkında Tebliğin</w:t>
      </w:r>
      <w:r w:rsidR="004E2DE2" w:rsidRPr="002048A7">
        <w:rPr>
          <w:b/>
        </w:rPr>
        <w:t xml:space="preserve"> </w:t>
      </w:r>
    </w:p>
    <w:p w14:paraId="488F084B" w14:textId="77777777" w:rsidR="004738AE" w:rsidRPr="002048A7" w:rsidRDefault="004738AE" w:rsidP="004738AE">
      <w:pPr>
        <w:pStyle w:val="ListeParagraf"/>
        <w:ind w:left="1440"/>
        <w:rPr>
          <w:i/>
        </w:rPr>
      </w:pPr>
    </w:p>
    <w:p w14:paraId="323DFA97" w14:textId="77777777" w:rsidR="004738AE" w:rsidRDefault="00CA176B" w:rsidP="0025080A">
      <w:pPr>
        <w:pStyle w:val="ListeParagraf"/>
        <w:numPr>
          <w:ilvl w:val="0"/>
          <w:numId w:val="25"/>
        </w:numPr>
        <w:spacing w:after="160" w:line="259" w:lineRule="auto"/>
        <w:jc w:val="left"/>
      </w:pPr>
      <w:r w:rsidRPr="00CA176B">
        <w:t>EK-1’i ekteki şekilde değiştirilmiştir.</w:t>
      </w:r>
    </w:p>
    <w:p w14:paraId="0EC3486D" w14:textId="77777777" w:rsidR="00CA176B" w:rsidRDefault="00CA176B" w:rsidP="00CA176B">
      <w:pPr>
        <w:pStyle w:val="ListeParagraf"/>
        <w:spacing w:after="160" w:line="259" w:lineRule="auto"/>
        <w:ind w:left="1440"/>
        <w:jc w:val="left"/>
      </w:pPr>
    </w:p>
    <w:p w14:paraId="74BE41B4" w14:textId="77777777" w:rsidR="00CA176B" w:rsidRPr="00CA176B" w:rsidRDefault="00CA176B" w:rsidP="0025080A">
      <w:pPr>
        <w:pStyle w:val="ListeParagraf"/>
        <w:numPr>
          <w:ilvl w:val="0"/>
          <w:numId w:val="24"/>
        </w:numPr>
        <w:spacing w:after="160" w:line="259" w:lineRule="auto"/>
      </w:pPr>
      <w:r w:rsidRPr="00CA176B">
        <w:t xml:space="preserve">26.12.2024 tarihli ve 32764 sayılı Resmî Gazetede yayımlanan </w:t>
      </w:r>
      <w:r w:rsidRPr="002048A7">
        <w:t>5015 Sayılı Petrol Piyasası Kanununun 19 uncu Maddesi Uyarınca 202</w:t>
      </w:r>
      <w:r>
        <w:t>5</w:t>
      </w:r>
      <w:r w:rsidRPr="002048A7">
        <w:t xml:space="preserve"> Yılında Uygulanacak İdari Para Cezaları Hakkında Tebliğ</w:t>
      </w:r>
      <w:r>
        <w:t xml:space="preserve"> ile,</w:t>
      </w:r>
      <w:r w:rsidRPr="00CA176B">
        <w:t xml:space="preserve"> 4/12/2003 tarihli ve 5015 sayılı Petrol Piyasası Kanununun 19 uncu maddesinde düzenlenmiş olan idari para cezaları, 27/11/2024 tarihli ve 32735 sayılı Resmî Gazetede yayımlanan Vergi Usul Kanunu Genel Tebliği (Sıra No: 574)’nde 2024 yılı için yeniden değerleme oranı olarak tespit edilen % 43,93 (kırk üç virgül doksan üç) oranında artırılmıştır.</w:t>
      </w:r>
    </w:p>
    <w:p w14:paraId="41EB9ADD" w14:textId="77777777" w:rsidR="001D2DA2" w:rsidRPr="002048A7" w:rsidRDefault="001D2DA2" w:rsidP="00577AAF">
      <w:pPr>
        <w:pStyle w:val="Balk3"/>
        <w:numPr>
          <w:ilvl w:val="2"/>
          <w:numId w:val="11"/>
        </w:numPr>
        <w:spacing w:after="240"/>
        <w:rPr>
          <w:rFonts w:asciiTheme="minorHAnsi" w:hAnsiTheme="minorHAnsi"/>
          <w:color w:val="auto"/>
        </w:rPr>
      </w:pPr>
      <w:bookmarkStart w:id="80" w:name="_Toc6684441"/>
      <w:bookmarkStart w:id="81" w:name="_Toc195868682"/>
      <w:r w:rsidRPr="002048A7">
        <w:rPr>
          <w:rFonts w:asciiTheme="minorHAnsi" w:hAnsiTheme="minorHAnsi"/>
          <w:color w:val="auto"/>
        </w:rPr>
        <w:t>Kurul Kararları</w:t>
      </w:r>
      <w:bookmarkEnd w:id="79"/>
      <w:bookmarkEnd w:id="80"/>
      <w:bookmarkEnd w:id="81"/>
    </w:p>
    <w:p w14:paraId="06A0EF86" w14:textId="77777777" w:rsidR="001D2DA2" w:rsidRPr="002048A7" w:rsidRDefault="001D2DA2" w:rsidP="001D2DA2">
      <w:pPr>
        <w:spacing w:after="0"/>
      </w:pPr>
      <w:r w:rsidRPr="002048A7">
        <w:t>202</w:t>
      </w:r>
      <w:r w:rsidR="00EF59A4">
        <w:t>4</w:t>
      </w:r>
      <w:r w:rsidRPr="002048A7">
        <w:t xml:space="preserve"> yılında petrol piyasasında düzenleyici işlem niteliğinde aşağıdaki Kurul Kararları ihdas edilmiştir</w:t>
      </w:r>
      <w:r w:rsidR="00061520" w:rsidRPr="002048A7">
        <w:t>.</w:t>
      </w:r>
    </w:p>
    <w:p w14:paraId="671195FC" w14:textId="77777777" w:rsidR="00F470DB" w:rsidRPr="002048A7" w:rsidRDefault="00F470DB" w:rsidP="00F470DB">
      <w:pPr>
        <w:spacing w:after="0"/>
        <w:rPr>
          <w:rFonts w:cstheme="minorHAnsi"/>
          <w:color w:val="000000" w:themeColor="text1"/>
        </w:rPr>
      </w:pPr>
    </w:p>
    <w:tbl>
      <w:tblPr>
        <w:tblStyle w:val="TabloKlavuzu"/>
        <w:tblW w:w="0" w:type="auto"/>
        <w:tblLook w:val="04A0" w:firstRow="1" w:lastRow="0" w:firstColumn="1" w:lastColumn="0" w:noHBand="0" w:noVBand="1"/>
      </w:tblPr>
      <w:tblGrid>
        <w:gridCol w:w="2547"/>
        <w:gridCol w:w="7365"/>
      </w:tblGrid>
      <w:tr w:rsidR="00F470DB" w:rsidRPr="002048A7" w14:paraId="4AC705E5" w14:textId="77777777" w:rsidTr="007E5FBA">
        <w:tc>
          <w:tcPr>
            <w:tcW w:w="2547" w:type="dxa"/>
          </w:tcPr>
          <w:p w14:paraId="28B3C821" w14:textId="77777777" w:rsidR="00F470DB" w:rsidRPr="002048A7" w:rsidRDefault="00F470DB" w:rsidP="007E5FBA">
            <w:pPr>
              <w:jc w:val="center"/>
              <w:rPr>
                <w:rFonts w:cstheme="minorHAnsi"/>
                <w:b/>
                <w:color w:val="000000" w:themeColor="text1"/>
              </w:rPr>
            </w:pPr>
            <w:proofErr w:type="gramStart"/>
            <w:r w:rsidRPr="002048A7">
              <w:rPr>
                <w:rFonts w:cstheme="minorHAnsi"/>
                <w:b/>
                <w:color w:val="000000" w:themeColor="text1"/>
              </w:rPr>
              <w:t>Resmi</w:t>
            </w:r>
            <w:proofErr w:type="gramEnd"/>
            <w:r w:rsidRPr="002048A7">
              <w:rPr>
                <w:rFonts w:cstheme="minorHAnsi"/>
                <w:b/>
                <w:color w:val="000000" w:themeColor="text1"/>
              </w:rPr>
              <w:t xml:space="preserve"> Gazete Tarih/Sayı</w:t>
            </w:r>
          </w:p>
          <w:p w14:paraId="14115CD4" w14:textId="77777777" w:rsidR="00F470DB" w:rsidRPr="002048A7" w:rsidRDefault="00F470DB" w:rsidP="007E5FBA">
            <w:pPr>
              <w:jc w:val="center"/>
              <w:rPr>
                <w:rFonts w:cstheme="minorHAnsi"/>
                <w:b/>
                <w:color w:val="000000" w:themeColor="text1"/>
              </w:rPr>
            </w:pPr>
            <w:r w:rsidRPr="002048A7">
              <w:rPr>
                <w:rFonts w:cstheme="minorHAnsi"/>
                <w:b/>
                <w:color w:val="000000" w:themeColor="text1"/>
              </w:rPr>
              <w:t>Kurul Kararı Tarih/Sayı</w:t>
            </w:r>
          </w:p>
        </w:tc>
        <w:tc>
          <w:tcPr>
            <w:tcW w:w="7365" w:type="dxa"/>
          </w:tcPr>
          <w:p w14:paraId="7922E563" w14:textId="77777777" w:rsidR="00F470DB" w:rsidRPr="002048A7" w:rsidRDefault="00F470DB" w:rsidP="007E5FBA">
            <w:pPr>
              <w:jc w:val="center"/>
              <w:rPr>
                <w:rFonts w:cstheme="minorHAnsi"/>
                <w:b/>
                <w:color w:val="000000" w:themeColor="text1"/>
              </w:rPr>
            </w:pPr>
            <w:r w:rsidRPr="002048A7">
              <w:rPr>
                <w:rFonts w:cstheme="minorHAnsi"/>
                <w:b/>
                <w:color w:val="000000" w:themeColor="text1"/>
              </w:rPr>
              <w:t>Konusu</w:t>
            </w:r>
          </w:p>
        </w:tc>
      </w:tr>
      <w:tr w:rsidR="00EF59A4" w:rsidRPr="002048A7" w14:paraId="597DC8EF" w14:textId="77777777" w:rsidTr="007E5FBA">
        <w:tc>
          <w:tcPr>
            <w:tcW w:w="2547" w:type="dxa"/>
          </w:tcPr>
          <w:p w14:paraId="5039F0A4" w14:textId="77777777" w:rsidR="00EF59A4" w:rsidRPr="002048A7" w:rsidRDefault="00EF59A4" w:rsidP="00EF59A4">
            <w:pPr>
              <w:rPr>
                <w:rFonts w:ascii="Calibri" w:hAnsi="Calibri" w:cs="Calibri"/>
                <w:color w:val="000000"/>
              </w:rPr>
            </w:pPr>
            <w:r>
              <w:rPr>
                <w:rFonts w:ascii="Calibri" w:hAnsi="Calibri" w:cs="Calibri"/>
                <w:color w:val="000000"/>
              </w:rPr>
              <w:t>05</w:t>
            </w:r>
            <w:r w:rsidRPr="002048A7">
              <w:rPr>
                <w:rFonts w:ascii="Calibri" w:hAnsi="Calibri" w:cs="Calibri"/>
                <w:color w:val="000000"/>
              </w:rPr>
              <w:t>.0</w:t>
            </w:r>
            <w:r>
              <w:rPr>
                <w:rFonts w:ascii="Calibri" w:hAnsi="Calibri" w:cs="Calibri"/>
                <w:color w:val="000000"/>
              </w:rPr>
              <w:t>4</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 32</w:t>
            </w:r>
            <w:r>
              <w:rPr>
                <w:rFonts w:ascii="Calibri" w:hAnsi="Calibri" w:cs="Calibri"/>
                <w:color w:val="000000"/>
              </w:rPr>
              <w:t>511</w:t>
            </w:r>
            <w:r w:rsidRPr="002048A7">
              <w:rPr>
                <w:rFonts w:ascii="Calibri" w:hAnsi="Calibri" w:cs="Calibri"/>
                <w:color w:val="000000"/>
              </w:rPr>
              <w:t xml:space="preserve"> </w:t>
            </w:r>
          </w:p>
          <w:p w14:paraId="59D1A43C" w14:textId="77777777" w:rsidR="00EF59A4" w:rsidRPr="002048A7" w:rsidRDefault="00EF59A4" w:rsidP="00EF59A4">
            <w:pPr>
              <w:rPr>
                <w:rFonts w:cstheme="minorHAnsi"/>
                <w:b/>
                <w:color w:val="000000" w:themeColor="text1"/>
              </w:rPr>
            </w:pPr>
            <w:r>
              <w:rPr>
                <w:rFonts w:ascii="Calibri" w:hAnsi="Calibri" w:cs="Calibri"/>
                <w:color w:val="000000"/>
              </w:rPr>
              <w:t>28</w:t>
            </w:r>
            <w:r w:rsidRPr="002048A7">
              <w:rPr>
                <w:rFonts w:ascii="Calibri" w:hAnsi="Calibri" w:cs="Calibri"/>
                <w:color w:val="000000"/>
              </w:rPr>
              <w:t>.0</w:t>
            </w:r>
            <w:r>
              <w:rPr>
                <w:rFonts w:ascii="Calibri" w:hAnsi="Calibri" w:cs="Calibri"/>
                <w:color w:val="000000"/>
              </w:rPr>
              <w:t>3</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 1</w:t>
            </w:r>
            <w:r>
              <w:rPr>
                <w:rFonts w:ascii="Calibri" w:hAnsi="Calibri" w:cs="Calibri"/>
                <w:color w:val="000000"/>
              </w:rPr>
              <w:t>2538</w:t>
            </w:r>
          </w:p>
        </w:tc>
        <w:tc>
          <w:tcPr>
            <w:tcW w:w="7365" w:type="dxa"/>
          </w:tcPr>
          <w:p w14:paraId="5A9677C6" w14:textId="77777777" w:rsidR="00EF59A4" w:rsidRPr="00EF59A4" w:rsidRDefault="00EF59A4" w:rsidP="00EF59A4">
            <w:pPr>
              <w:rPr>
                <w:rFonts w:ascii="Calibri" w:hAnsi="Calibri" w:cs="Calibri"/>
                <w:color w:val="000000"/>
              </w:rPr>
            </w:pPr>
            <w:r w:rsidRPr="00EF59A4">
              <w:rPr>
                <w:rFonts w:ascii="Calibri" w:hAnsi="Calibri" w:cs="Calibri"/>
                <w:color w:val="000000"/>
              </w:rPr>
              <w:t>9822 sayılı Ham Petrol, Akaryakıt, İhrakiye, Madeni Yağ, Baz Yağ ve Petrolle İlişkili Maddelere Dair Kararda Değişiklik Yapılmasına Dair Karar</w:t>
            </w:r>
          </w:p>
        </w:tc>
      </w:tr>
      <w:tr w:rsidR="00F470DB" w:rsidRPr="002048A7" w14:paraId="0E29A5C1" w14:textId="77777777" w:rsidTr="007E5FBA">
        <w:tc>
          <w:tcPr>
            <w:tcW w:w="2547" w:type="dxa"/>
          </w:tcPr>
          <w:p w14:paraId="49926924" w14:textId="77777777" w:rsidR="00F470DB" w:rsidRPr="002048A7" w:rsidRDefault="00EF59A4" w:rsidP="007E5FBA">
            <w:pPr>
              <w:rPr>
                <w:rFonts w:ascii="Calibri" w:hAnsi="Calibri" w:cs="Calibri"/>
                <w:color w:val="000000"/>
              </w:rPr>
            </w:pPr>
            <w:r>
              <w:rPr>
                <w:rFonts w:ascii="Calibri" w:hAnsi="Calibri" w:cs="Calibri"/>
                <w:color w:val="000000"/>
              </w:rPr>
              <w:t>04</w:t>
            </w:r>
            <w:r w:rsidR="00F470DB" w:rsidRPr="002048A7">
              <w:rPr>
                <w:rFonts w:ascii="Calibri" w:hAnsi="Calibri" w:cs="Calibri"/>
                <w:color w:val="000000"/>
              </w:rPr>
              <w:t>.0</w:t>
            </w:r>
            <w:r>
              <w:rPr>
                <w:rFonts w:ascii="Calibri" w:hAnsi="Calibri" w:cs="Calibri"/>
                <w:color w:val="000000"/>
              </w:rPr>
              <w:t>5</w:t>
            </w:r>
            <w:r w:rsidR="00F470DB" w:rsidRPr="002048A7">
              <w:rPr>
                <w:rFonts w:ascii="Calibri" w:hAnsi="Calibri" w:cs="Calibri"/>
                <w:color w:val="000000"/>
              </w:rPr>
              <w:t>.202</w:t>
            </w:r>
            <w:r>
              <w:rPr>
                <w:rFonts w:ascii="Calibri" w:hAnsi="Calibri" w:cs="Calibri"/>
                <w:color w:val="000000"/>
              </w:rPr>
              <w:t>4</w:t>
            </w:r>
            <w:r w:rsidR="00F470DB" w:rsidRPr="002048A7">
              <w:rPr>
                <w:rFonts w:ascii="Calibri" w:hAnsi="Calibri" w:cs="Calibri"/>
                <w:color w:val="000000"/>
              </w:rPr>
              <w:t xml:space="preserve"> / 32</w:t>
            </w:r>
            <w:r>
              <w:rPr>
                <w:rFonts w:ascii="Calibri" w:hAnsi="Calibri" w:cs="Calibri"/>
                <w:color w:val="000000"/>
              </w:rPr>
              <w:t>536</w:t>
            </w:r>
            <w:r w:rsidR="00F470DB" w:rsidRPr="002048A7">
              <w:rPr>
                <w:rFonts w:ascii="Calibri" w:hAnsi="Calibri" w:cs="Calibri"/>
                <w:color w:val="000000"/>
              </w:rPr>
              <w:t xml:space="preserve"> </w:t>
            </w:r>
          </w:p>
          <w:p w14:paraId="10D86EA3" w14:textId="77777777" w:rsidR="00F470DB" w:rsidRPr="002048A7" w:rsidRDefault="00EF59A4" w:rsidP="007E5FBA">
            <w:pPr>
              <w:rPr>
                <w:rFonts w:cstheme="minorHAnsi"/>
                <w:color w:val="000000" w:themeColor="text1"/>
              </w:rPr>
            </w:pPr>
            <w:r>
              <w:rPr>
                <w:rFonts w:ascii="Calibri" w:hAnsi="Calibri" w:cs="Calibri"/>
                <w:color w:val="000000"/>
              </w:rPr>
              <w:t>0</w:t>
            </w:r>
            <w:r w:rsidR="00F470DB" w:rsidRPr="002048A7">
              <w:rPr>
                <w:rFonts w:ascii="Calibri" w:hAnsi="Calibri" w:cs="Calibri"/>
                <w:color w:val="000000"/>
              </w:rPr>
              <w:t>2.0</w:t>
            </w:r>
            <w:r>
              <w:rPr>
                <w:rFonts w:ascii="Calibri" w:hAnsi="Calibri" w:cs="Calibri"/>
                <w:color w:val="000000"/>
              </w:rPr>
              <w:t>5</w:t>
            </w:r>
            <w:r w:rsidR="00F470DB" w:rsidRPr="002048A7">
              <w:rPr>
                <w:rFonts w:ascii="Calibri" w:hAnsi="Calibri" w:cs="Calibri"/>
                <w:color w:val="000000"/>
              </w:rPr>
              <w:t>.202</w:t>
            </w:r>
            <w:r>
              <w:rPr>
                <w:rFonts w:ascii="Calibri" w:hAnsi="Calibri" w:cs="Calibri"/>
                <w:color w:val="000000"/>
              </w:rPr>
              <w:t>4</w:t>
            </w:r>
            <w:r w:rsidR="00F470DB" w:rsidRPr="002048A7">
              <w:rPr>
                <w:rFonts w:ascii="Calibri" w:hAnsi="Calibri" w:cs="Calibri"/>
                <w:color w:val="000000"/>
              </w:rPr>
              <w:t xml:space="preserve"> / 1</w:t>
            </w:r>
            <w:r>
              <w:rPr>
                <w:rFonts w:ascii="Calibri" w:hAnsi="Calibri" w:cs="Calibri"/>
                <w:color w:val="000000"/>
              </w:rPr>
              <w:t>2599</w:t>
            </w:r>
          </w:p>
        </w:tc>
        <w:tc>
          <w:tcPr>
            <w:tcW w:w="7365" w:type="dxa"/>
          </w:tcPr>
          <w:p w14:paraId="5A190D8C" w14:textId="77777777" w:rsidR="00F470DB" w:rsidRPr="002048A7" w:rsidRDefault="00EF59A4" w:rsidP="007E5FBA">
            <w:pPr>
              <w:rPr>
                <w:rFonts w:cstheme="minorHAnsi"/>
                <w:color w:val="000000" w:themeColor="text1"/>
              </w:rPr>
            </w:pPr>
            <w:r w:rsidRPr="00EF59A4">
              <w:rPr>
                <w:rFonts w:ascii="Calibri" w:hAnsi="Calibri" w:cs="Calibri"/>
                <w:color w:val="000000"/>
              </w:rPr>
              <w:t>8730 Sayılı Farklılaştırılmış Akaryakıtlara İlişkin Kurul Kararında Değişiklik Yapılmasına İlişkin Kurul Kararı</w:t>
            </w:r>
          </w:p>
        </w:tc>
      </w:tr>
      <w:tr w:rsidR="00EF59A4" w:rsidRPr="002048A7" w14:paraId="0FD7D007" w14:textId="77777777" w:rsidTr="007E5FBA">
        <w:tc>
          <w:tcPr>
            <w:tcW w:w="2547" w:type="dxa"/>
          </w:tcPr>
          <w:p w14:paraId="6EC8942F" w14:textId="77777777" w:rsidR="00EF59A4" w:rsidRPr="002048A7" w:rsidRDefault="00532C3B" w:rsidP="00EF59A4">
            <w:pPr>
              <w:rPr>
                <w:rFonts w:ascii="Calibri" w:hAnsi="Calibri" w:cs="Calibri"/>
                <w:color w:val="000000"/>
              </w:rPr>
            </w:pPr>
            <w:r>
              <w:rPr>
                <w:rFonts w:ascii="Calibri" w:hAnsi="Calibri" w:cs="Calibri"/>
                <w:color w:val="000000"/>
              </w:rPr>
              <w:t>25</w:t>
            </w:r>
            <w:r w:rsidR="00EF59A4" w:rsidRPr="002048A7">
              <w:rPr>
                <w:rFonts w:ascii="Calibri" w:hAnsi="Calibri" w:cs="Calibri"/>
                <w:color w:val="000000"/>
              </w:rPr>
              <w:t>.0</w:t>
            </w:r>
            <w:r>
              <w:rPr>
                <w:rFonts w:ascii="Calibri" w:hAnsi="Calibri" w:cs="Calibri"/>
                <w:color w:val="000000"/>
              </w:rPr>
              <w:t>7</w:t>
            </w:r>
            <w:r w:rsidR="00EF59A4" w:rsidRPr="002048A7">
              <w:rPr>
                <w:rFonts w:ascii="Calibri" w:hAnsi="Calibri" w:cs="Calibri"/>
                <w:color w:val="000000"/>
              </w:rPr>
              <w:t>.202</w:t>
            </w:r>
            <w:r w:rsidR="00EF59A4">
              <w:rPr>
                <w:rFonts w:ascii="Calibri" w:hAnsi="Calibri" w:cs="Calibri"/>
                <w:color w:val="000000"/>
              </w:rPr>
              <w:t>4</w:t>
            </w:r>
            <w:r w:rsidR="00EF59A4" w:rsidRPr="002048A7">
              <w:rPr>
                <w:rFonts w:ascii="Calibri" w:hAnsi="Calibri" w:cs="Calibri"/>
                <w:color w:val="000000"/>
              </w:rPr>
              <w:t xml:space="preserve"> / 32</w:t>
            </w:r>
            <w:r>
              <w:rPr>
                <w:rFonts w:ascii="Calibri" w:hAnsi="Calibri" w:cs="Calibri"/>
                <w:color w:val="000000"/>
              </w:rPr>
              <w:t>612</w:t>
            </w:r>
            <w:r w:rsidR="00EF59A4" w:rsidRPr="002048A7">
              <w:rPr>
                <w:rFonts w:ascii="Calibri" w:hAnsi="Calibri" w:cs="Calibri"/>
                <w:color w:val="000000"/>
              </w:rPr>
              <w:t xml:space="preserve"> </w:t>
            </w:r>
          </w:p>
          <w:p w14:paraId="1FE9BC52" w14:textId="77777777" w:rsidR="00EF59A4" w:rsidRDefault="00532C3B" w:rsidP="00EF59A4">
            <w:pPr>
              <w:rPr>
                <w:rFonts w:ascii="Calibri" w:hAnsi="Calibri" w:cs="Calibri"/>
                <w:color w:val="000000"/>
              </w:rPr>
            </w:pPr>
            <w:r>
              <w:rPr>
                <w:rFonts w:ascii="Calibri" w:hAnsi="Calibri" w:cs="Calibri"/>
                <w:color w:val="000000"/>
              </w:rPr>
              <w:t>18</w:t>
            </w:r>
            <w:r w:rsidR="00EF59A4" w:rsidRPr="002048A7">
              <w:rPr>
                <w:rFonts w:ascii="Calibri" w:hAnsi="Calibri" w:cs="Calibri"/>
                <w:color w:val="000000"/>
              </w:rPr>
              <w:t>.0</w:t>
            </w:r>
            <w:r>
              <w:rPr>
                <w:rFonts w:ascii="Calibri" w:hAnsi="Calibri" w:cs="Calibri"/>
                <w:color w:val="000000"/>
              </w:rPr>
              <w:t>7</w:t>
            </w:r>
            <w:r w:rsidR="00EF59A4" w:rsidRPr="002048A7">
              <w:rPr>
                <w:rFonts w:ascii="Calibri" w:hAnsi="Calibri" w:cs="Calibri"/>
                <w:color w:val="000000"/>
              </w:rPr>
              <w:t>.202</w:t>
            </w:r>
            <w:r w:rsidR="00EF59A4">
              <w:rPr>
                <w:rFonts w:ascii="Calibri" w:hAnsi="Calibri" w:cs="Calibri"/>
                <w:color w:val="000000"/>
              </w:rPr>
              <w:t>4</w:t>
            </w:r>
            <w:r w:rsidR="00EF59A4" w:rsidRPr="002048A7">
              <w:rPr>
                <w:rFonts w:ascii="Calibri" w:hAnsi="Calibri" w:cs="Calibri"/>
                <w:color w:val="000000"/>
              </w:rPr>
              <w:t xml:space="preserve"> / 1</w:t>
            </w:r>
            <w:r w:rsidR="00EF59A4">
              <w:rPr>
                <w:rFonts w:ascii="Calibri" w:hAnsi="Calibri" w:cs="Calibri"/>
                <w:color w:val="000000"/>
              </w:rPr>
              <w:t>2</w:t>
            </w:r>
            <w:r>
              <w:rPr>
                <w:rFonts w:ascii="Calibri" w:hAnsi="Calibri" w:cs="Calibri"/>
                <w:color w:val="000000"/>
              </w:rPr>
              <w:t>753</w:t>
            </w:r>
          </w:p>
        </w:tc>
        <w:tc>
          <w:tcPr>
            <w:tcW w:w="7365" w:type="dxa"/>
          </w:tcPr>
          <w:p w14:paraId="64EA6955" w14:textId="77777777" w:rsidR="00EF59A4" w:rsidRPr="00EF59A4" w:rsidRDefault="00532C3B" w:rsidP="007E5FBA">
            <w:pPr>
              <w:rPr>
                <w:rFonts w:ascii="Calibri" w:hAnsi="Calibri" w:cs="Calibri"/>
                <w:color w:val="000000"/>
              </w:rPr>
            </w:pPr>
            <w:r w:rsidRPr="00532C3B">
              <w:rPr>
                <w:rFonts w:ascii="Calibri" w:hAnsi="Calibri" w:cs="Calibri"/>
                <w:color w:val="000000"/>
              </w:rPr>
              <w:t xml:space="preserve">Ham Petrol, Akaryakıt, İhrakiye, Madeni Yağ, Baz Yağ Ve Petrolle İlişkili Maddelere Dair Kararda Değişiklik Yapılmasına Dair Karar  </w:t>
            </w:r>
          </w:p>
        </w:tc>
      </w:tr>
      <w:tr w:rsidR="00532C3B" w:rsidRPr="002048A7" w14:paraId="733F94FD" w14:textId="77777777" w:rsidTr="007E5FBA">
        <w:tc>
          <w:tcPr>
            <w:tcW w:w="2547" w:type="dxa"/>
          </w:tcPr>
          <w:p w14:paraId="65545077" w14:textId="77777777" w:rsidR="00532C3B" w:rsidRPr="002048A7" w:rsidRDefault="00532C3B" w:rsidP="00532C3B">
            <w:pPr>
              <w:rPr>
                <w:rFonts w:ascii="Calibri" w:hAnsi="Calibri" w:cs="Calibri"/>
                <w:color w:val="000000"/>
              </w:rPr>
            </w:pPr>
            <w:r>
              <w:rPr>
                <w:rFonts w:ascii="Calibri" w:hAnsi="Calibri" w:cs="Calibri"/>
                <w:color w:val="000000"/>
              </w:rPr>
              <w:t>23</w:t>
            </w:r>
            <w:r w:rsidRPr="002048A7">
              <w:rPr>
                <w:rFonts w:ascii="Calibri" w:hAnsi="Calibri" w:cs="Calibri"/>
                <w:color w:val="000000"/>
              </w:rPr>
              <w:t>.0</w:t>
            </w:r>
            <w:r>
              <w:rPr>
                <w:rFonts w:ascii="Calibri" w:hAnsi="Calibri" w:cs="Calibri"/>
                <w:color w:val="000000"/>
              </w:rPr>
              <w:t>8</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 32</w:t>
            </w:r>
            <w:r>
              <w:rPr>
                <w:rFonts w:ascii="Calibri" w:hAnsi="Calibri" w:cs="Calibri"/>
                <w:color w:val="000000"/>
              </w:rPr>
              <w:t>641</w:t>
            </w:r>
            <w:r w:rsidRPr="002048A7">
              <w:rPr>
                <w:rFonts w:ascii="Calibri" w:hAnsi="Calibri" w:cs="Calibri"/>
                <w:color w:val="000000"/>
              </w:rPr>
              <w:t xml:space="preserve"> </w:t>
            </w:r>
          </w:p>
          <w:p w14:paraId="6E9FE0B6" w14:textId="77777777" w:rsidR="00532C3B" w:rsidRDefault="00532C3B" w:rsidP="00532C3B">
            <w:pPr>
              <w:rPr>
                <w:rFonts w:ascii="Calibri" w:hAnsi="Calibri" w:cs="Calibri"/>
                <w:color w:val="000000"/>
              </w:rPr>
            </w:pPr>
            <w:r>
              <w:rPr>
                <w:rFonts w:ascii="Calibri" w:hAnsi="Calibri" w:cs="Calibri"/>
                <w:color w:val="000000"/>
              </w:rPr>
              <w:t>22</w:t>
            </w:r>
            <w:r w:rsidRPr="002048A7">
              <w:rPr>
                <w:rFonts w:ascii="Calibri" w:hAnsi="Calibri" w:cs="Calibri"/>
                <w:color w:val="000000"/>
              </w:rPr>
              <w:t>.0</w:t>
            </w:r>
            <w:r>
              <w:rPr>
                <w:rFonts w:ascii="Calibri" w:hAnsi="Calibri" w:cs="Calibri"/>
                <w:color w:val="000000"/>
              </w:rPr>
              <w:t>8</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 1</w:t>
            </w:r>
            <w:r>
              <w:rPr>
                <w:rFonts w:ascii="Calibri" w:hAnsi="Calibri" w:cs="Calibri"/>
                <w:color w:val="000000"/>
              </w:rPr>
              <w:t>2829</w:t>
            </w:r>
          </w:p>
        </w:tc>
        <w:tc>
          <w:tcPr>
            <w:tcW w:w="7365" w:type="dxa"/>
          </w:tcPr>
          <w:p w14:paraId="067C8D26" w14:textId="77777777" w:rsidR="00532C3B" w:rsidRPr="00532C3B" w:rsidRDefault="00532C3B" w:rsidP="007E5FBA">
            <w:pPr>
              <w:rPr>
                <w:rFonts w:ascii="Calibri" w:hAnsi="Calibri" w:cs="Calibri"/>
                <w:color w:val="000000"/>
              </w:rPr>
            </w:pPr>
            <w:r w:rsidRPr="00532C3B">
              <w:rPr>
                <w:rFonts w:ascii="Calibri" w:hAnsi="Calibri" w:cs="Calibri"/>
                <w:color w:val="000000"/>
              </w:rPr>
              <w:t>TS 2177 Petrol ürünleri – Yakıtlar (Sınıf F) – Fuel Oil – Özellikler ve deney yöntemleri – Mart 2024 (T</w:t>
            </w:r>
            <w:proofErr w:type="gramStart"/>
            <w:r w:rsidRPr="00532C3B">
              <w:rPr>
                <w:rFonts w:ascii="Calibri" w:hAnsi="Calibri" w:cs="Calibri"/>
                <w:color w:val="000000"/>
              </w:rPr>
              <w:t>1:Temmuz</w:t>
            </w:r>
            <w:proofErr w:type="gramEnd"/>
            <w:r w:rsidRPr="00532C3B">
              <w:rPr>
                <w:rFonts w:ascii="Calibri" w:hAnsi="Calibri" w:cs="Calibri"/>
                <w:color w:val="000000"/>
              </w:rPr>
              <w:t xml:space="preserve"> 2024 tadili ile birlikte)” standardının teknik düzenlemesi hakkında  </w:t>
            </w:r>
          </w:p>
        </w:tc>
      </w:tr>
      <w:tr w:rsidR="00EF59A4" w:rsidRPr="002048A7" w14:paraId="23980182" w14:textId="77777777" w:rsidTr="007E5FBA">
        <w:tc>
          <w:tcPr>
            <w:tcW w:w="2547" w:type="dxa"/>
          </w:tcPr>
          <w:p w14:paraId="694391DD" w14:textId="77777777" w:rsidR="00EF59A4" w:rsidRPr="002048A7" w:rsidRDefault="00EF59A4" w:rsidP="00EF59A4">
            <w:pPr>
              <w:rPr>
                <w:rFonts w:ascii="Calibri" w:hAnsi="Calibri" w:cs="Calibri"/>
                <w:color w:val="000000"/>
              </w:rPr>
            </w:pPr>
            <w:r>
              <w:rPr>
                <w:rFonts w:ascii="Calibri" w:hAnsi="Calibri" w:cs="Calibri"/>
                <w:color w:val="000000"/>
              </w:rPr>
              <w:t>09</w:t>
            </w:r>
            <w:r w:rsidRPr="002048A7">
              <w:rPr>
                <w:rFonts w:ascii="Calibri" w:hAnsi="Calibri" w:cs="Calibri"/>
                <w:color w:val="000000"/>
              </w:rPr>
              <w:t>.</w:t>
            </w:r>
            <w:r>
              <w:rPr>
                <w:rFonts w:ascii="Calibri" w:hAnsi="Calibri" w:cs="Calibri"/>
                <w:color w:val="000000"/>
              </w:rPr>
              <w:t>11</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 32</w:t>
            </w:r>
            <w:r>
              <w:rPr>
                <w:rFonts w:ascii="Calibri" w:hAnsi="Calibri" w:cs="Calibri"/>
                <w:color w:val="000000"/>
              </w:rPr>
              <w:t>717</w:t>
            </w:r>
            <w:r w:rsidRPr="002048A7">
              <w:rPr>
                <w:rFonts w:ascii="Calibri" w:hAnsi="Calibri" w:cs="Calibri"/>
                <w:color w:val="000000"/>
              </w:rPr>
              <w:t xml:space="preserve"> </w:t>
            </w:r>
          </w:p>
          <w:p w14:paraId="603FB11C" w14:textId="77777777" w:rsidR="00EF59A4" w:rsidRDefault="00EF59A4" w:rsidP="00EF59A4">
            <w:pPr>
              <w:rPr>
                <w:rFonts w:ascii="Calibri" w:hAnsi="Calibri" w:cs="Calibri"/>
                <w:color w:val="000000"/>
              </w:rPr>
            </w:pPr>
            <w:r>
              <w:rPr>
                <w:rFonts w:ascii="Calibri" w:hAnsi="Calibri" w:cs="Calibri"/>
                <w:color w:val="000000"/>
              </w:rPr>
              <w:t>07</w:t>
            </w:r>
            <w:r w:rsidRPr="002048A7">
              <w:rPr>
                <w:rFonts w:ascii="Calibri" w:hAnsi="Calibri" w:cs="Calibri"/>
                <w:color w:val="000000"/>
              </w:rPr>
              <w:t>.</w:t>
            </w:r>
            <w:r>
              <w:rPr>
                <w:rFonts w:ascii="Calibri" w:hAnsi="Calibri" w:cs="Calibri"/>
                <w:color w:val="000000"/>
              </w:rPr>
              <w:t>11</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 1</w:t>
            </w:r>
            <w:r>
              <w:rPr>
                <w:rFonts w:ascii="Calibri" w:hAnsi="Calibri" w:cs="Calibri"/>
                <w:color w:val="000000"/>
              </w:rPr>
              <w:t>2980</w:t>
            </w:r>
          </w:p>
        </w:tc>
        <w:tc>
          <w:tcPr>
            <w:tcW w:w="7365" w:type="dxa"/>
          </w:tcPr>
          <w:p w14:paraId="067A799C" w14:textId="77777777" w:rsidR="00EF59A4" w:rsidRPr="00EF59A4" w:rsidRDefault="00EF59A4" w:rsidP="007E5FBA">
            <w:pPr>
              <w:rPr>
                <w:rFonts w:ascii="Calibri" w:hAnsi="Calibri" w:cs="Calibri"/>
                <w:color w:val="000000"/>
              </w:rPr>
            </w:pPr>
            <w:r w:rsidRPr="00EF59A4">
              <w:rPr>
                <w:rFonts w:ascii="Calibri" w:hAnsi="Calibri" w:cs="Calibri"/>
                <w:color w:val="000000"/>
              </w:rPr>
              <w:t xml:space="preserve">Lisans Başvuruları ile Lisans Sahiplerinin Asgari Ödenmiş Sermayelerine İlişkin Kurul Kararı  </w:t>
            </w:r>
          </w:p>
        </w:tc>
      </w:tr>
      <w:tr w:rsidR="00EF59A4" w:rsidRPr="002048A7" w14:paraId="7ECC4115" w14:textId="77777777" w:rsidTr="007E5FBA">
        <w:tc>
          <w:tcPr>
            <w:tcW w:w="2547" w:type="dxa"/>
          </w:tcPr>
          <w:p w14:paraId="197E95AC" w14:textId="77777777" w:rsidR="00EF59A4" w:rsidRPr="002048A7" w:rsidRDefault="00EF59A4" w:rsidP="00EF59A4">
            <w:pPr>
              <w:rPr>
                <w:rFonts w:ascii="Calibri" w:hAnsi="Calibri" w:cs="Calibri"/>
                <w:color w:val="000000"/>
              </w:rPr>
            </w:pPr>
            <w:r>
              <w:rPr>
                <w:rFonts w:ascii="Calibri" w:hAnsi="Calibri" w:cs="Calibri"/>
                <w:color w:val="000000"/>
              </w:rPr>
              <w:t>09</w:t>
            </w:r>
            <w:r w:rsidRPr="002048A7">
              <w:rPr>
                <w:rFonts w:ascii="Calibri" w:hAnsi="Calibri" w:cs="Calibri"/>
                <w:color w:val="000000"/>
              </w:rPr>
              <w:t>.</w:t>
            </w:r>
            <w:r>
              <w:rPr>
                <w:rFonts w:ascii="Calibri" w:hAnsi="Calibri" w:cs="Calibri"/>
                <w:color w:val="000000"/>
              </w:rPr>
              <w:t>11</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 32</w:t>
            </w:r>
            <w:r>
              <w:rPr>
                <w:rFonts w:ascii="Calibri" w:hAnsi="Calibri" w:cs="Calibri"/>
                <w:color w:val="000000"/>
              </w:rPr>
              <w:t>717</w:t>
            </w:r>
            <w:r w:rsidRPr="002048A7">
              <w:rPr>
                <w:rFonts w:ascii="Calibri" w:hAnsi="Calibri" w:cs="Calibri"/>
                <w:color w:val="000000"/>
              </w:rPr>
              <w:t xml:space="preserve"> </w:t>
            </w:r>
          </w:p>
          <w:p w14:paraId="284098DD" w14:textId="77777777" w:rsidR="00EF59A4" w:rsidRDefault="00EF59A4" w:rsidP="00EF59A4">
            <w:pPr>
              <w:rPr>
                <w:rFonts w:ascii="Calibri" w:hAnsi="Calibri" w:cs="Calibri"/>
                <w:color w:val="000000"/>
              </w:rPr>
            </w:pPr>
            <w:r>
              <w:rPr>
                <w:rFonts w:ascii="Calibri" w:hAnsi="Calibri" w:cs="Calibri"/>
                <w:color w:val="000000"/>
              </w:rPr>
              <w:t>07</w:t>
            </w:r>
            <w:r w:rsidRPr="002048A7">
              <w:rPr>
                <w:rFonts w:ascii="Calibri" w:hAnsi="Calibri" w:cs="Calibri"/>
                <w:color w:val="000000"/>
              </w:rPr>
              <w:t>.</w:t>
            </w:r>
            <w:r>
              <w:rPr>
                <w:rFonts w:ascii="Calibri" w:hAnsi="Calibri" w:cs="Calibri"/>
                <w:color w:val="000000"/>
              </w:rPr>
              <w:t>11</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 1</w:t>
            </w:r>
            <w:r>
              <w:rPr>
                <w:rFonts w:ascii="Calibri" w:hAnsi="Calibri" w:cs="Calibri"/>
                <w:color w:val="000000"/>
              </w:rPr>
              <w:t>2981</w:t>
            </w:r>
          </w:p>
        </w:tc>
        <w:tc>
          <w:tcPr>
            <w:tcW w:w="7365" w:type="dxa"/>
          </w:tcPr>
          <w:p w14:paraId="513524A9" w14:textId="77777777" w:rsidR="00EF59A4" w:rsidRPr="00EF59A4" w:rsidRDefault="00EF59A4" w:rsidP="007E5FBA">
            <w:pPr>
              <w:rPr>
                <w:rFonts w:ascii="Calibri" w:hAnsi="Calibri" w:cs="Calibri"/>
                <w:color w:val="000000"/>
              </w:rPr>
            </w:pPr>
            <w:r w:rsidRPr="00EF59A4">
              <w:rPr>
                <w:rFonts w:ascii="Calibri" w:hAnsi="Calibri" w:cs="Calibri"/>
                <w:color w:val="000000"/>
              </w:rPr>
              <w:t>10/12/2014 Tarihli ve 5352 Sayılı Kurul Kararında Değişiklik Yapılmasına İlişkin</w:t>
            </w:r>
          </w:p>
        </w:tc>
      </w:tr>
      <w:tr w:rsidR="00EF59A4" w:rsidRPr="002048A7" w14:paraId="2B95E5D1" w14:textId="77777777" w:rsidTr="007E5FBA">
        <w:tc>
          <w:tcPr>
            <w:tcW w:w="2547" w:type="dxa"/>
          </w:tcPr>
          <w:p w14:paraId="7CE9ACB9" w14:textId="77777777" w:rsidR="00EF59A4" w:rsidRPr="002048A7" w:rsidRDefault="00EF59A4" w:rsidP="00EF59A4">
            <w:pPr>
              <w:rPr>
                <w:rFonts w:ascii="Calibri" w:hAnsi="Calibri" w:cs="Calibri"/>
                <w:color w:val="000000"/>
              </w:rPr>
            </w:pPr>
            <w:r>
              <w:rPr>
                <w:rFonts w:ascii="Calibri" w:hAnsi="Calibri" w:cs="Calibri"/>
                <w:color w:val="000000"/>
              </w:rPr>
              <w:t>16</w:t>
            </w:r>
            <w:r w:rsidRPr="002048A7">
              <w:rPr>
                <w:rFonts w:ascii="Calibri" w:hAnsi="Calibri" w:cs="Calibri"/>
                <w:color w:val="000000"/>
              </w:rPr>
              <w:t>.</w:t>
            </w:r>
            <w:r>
              <w:rPr>
                <w:rFonts w:ascii="Calibri" w:hAnsi="Calibri" w:cs="Calibri"/>
                <w:color w:val="000000"/>
              </w:rPr>
              <w:t>11</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 32</w:t>
            </w:r>
            <w:r>
              <w:rPr>
                <w:rFonts w:ascii="Calibri" w:hAnsi="Calibri" w:cs="Calibri"/>
                <w:color w:val="000000"/>
              </w:rPr>
              <w:t>724</w:t>
            </w:r>
            <w:r w:rsidRPr="002048A7">
              <w:rPr>
                <w:rFonts w:ascii="Calibri" w:hAnsi="Calibri" w:cs="Calibri"/>
                <w:color w:val="000000"/>
              </w:rPr>
              <w:t xml:space="preserve"> </w:t>
            </w:r>
          </w:p>
          <w:p w14:paraId="2B943D34" w14:textId="77777777" w:rsidR="00EF59A4" w:rsidRPr="002048A7" w:rsidRDefault="00EF59A4" w:rsidP="00EF59A4">
            <w:pPr>
              <w:rPr>
                <w:rFonts w:ascii="Calibri" w:hAnsi="Calibri" w:cs="Calibri"/>
                <w:color w:val="000000"/>
              </w:rPr>
            </w:pPr>
            <w:r>
              <w:rPr>
                <w:rFonts w:ascii="Calibri" w:hAnsi="Calibri" w:cs="Calibri"/>
                <w:color w:val="000000"/>
              </w:rPr>
              <w:t>14</w:t>
            </w:r>
            <w:r w:rsidRPr="002048A7">
              <w:rPr>
                <w:rFonts w:ascii="Calibri" w:hAnsi="Calibri" w:cs="Calibri"/>
                <w:color w:val="000000"/>
              </w:rPr>
              <w:t>.</w:t>
            </w:r>
            <w:r>
              <w:rPr>
                <w:rFonts w:ascii="Calibri" w:hAnsi="Calibri" w:cs="Calibri"/>
                <w:color w:val="000000"/>
              </w:rPr>
              <w:t>11</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 1</w:t>
            </w:r>
            <w:r>
              <w:rPr>
                <w:rFonts w:ascii="Calibri" w:hAnsi="Calibri" w:cs="Calibri"/>
                <w:color w:val="000000"/>
              </w:rPr>
              <w:t>3003</w:t>
            </w:r>
          </w:p>
        </w:tc>
        <w:tc>
          <w:tcPr>
            <w:tcW w:w="7365" w:type="dxa"/>
          </w:tcPr>
          <w:p w14:paraId="70FCC170" w14:textId="77777777" w:rsidR="00EF59A4" w:rsidRPr="002048A7" w:rsidRDefault="00EF59A4" w:rsidP="007E5FBA">
            <w:pPr>
              <w:rPr>
                <w:rFonts w:ascii="Calibri" w:hAnsi="Calibri" w:cs="Calibri"/>
                <w:color w:val="000000"/>
              </w:rPr>
            </w:pPr>
            <w:r w:rsidRPr="00EF59A4">
              <w:rPr>
                <w:rFonts w:ascii="Calibri" w:hAnsi="Calibri" w:cs="Calibri"/>
                <w:color w:val="000000"/>
              </w:rPr>
              <w:t xml:space="preserve">Dağıtıcı Lisansı Sahiplerinin Bayi Denetim Sistemine İlişkin Usul ve Esaslar Hakkında Kararda Değişiklik Yapılmasına İlişkin Karar  </w:t>
            </w:r>
          </w:p>
        </w:tc>
      </w:tr>
      <w:tr w:rsidR="00EF59A4" w:rsidRPr="002048A7" w14:paraId="13AB82E1" w14:textId="77777777" w:rsidTr="007E5FBA">
        <w:tc>
          <w:tcPr>
            <w:tcW w:w="2547" w:type="dxa"/>
          </w:tcPr>
          <w:p w14:paraId="309E4DC8" w14:textId="77777777" w:rsidR="00EF59A4" w:rsidRPr="002048A7" w:rsidRDefault="00EF59A4" w:rsidP="00EF59A4">
            <w:pPr>
              <w:rPr>
                <w:rFonts w:ascii="Calibri" w:hAnsi="Calibri" w:cs="Calibri"/>
                <w:color w:val="000000"/>
              </w:rPr>
            </w:pPr>
            <w:r>
              <w:rPr>
                <w:rFonts w:ascii="Calibri" w:hAnsi="Calibri" w:cs="Calibri"/>
                <w:color w:val="000000"/>
              </w:rPr>
              <w:t>16</w:t>
            </w:r>
            <w:r w:rsidRPr="002048A7">
              <w:rPr>
                <w:rFonts w:ascii="Calibri" w:hAnsi="Calibri" w:cs="Calibri"/>
                <w:color w:val="000000"/>
              </w:rPr>
              <w:t>.</w:t>
            </w:r>
            <w:r>
              <w:rPr>
                <w:rFonts w:ascii="Calibri" w:hAnsi="Calibri" w:cs="Calibri"/>
                <w:color w:val="000000"/>
              </w:rPr>
              <w:t>11</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 32</w:t>
            </w:r>
            <w:r>
              <w:rPr>
                <w:rFonts w:ascii="Calibri" w:hAnsi="Calibri" w:cs="Calibri"/>
                <w:color w:val="000000"/>
              </w:rPr>
              <w:t>724</w:t>
            </w:r>
            <w:r w:rsidRPr="002048A7">
              <w:rPr>
                <w:rFonts w:ascii="Calibri" w:hAnsi="Calibri" w:cs="Calibri"/>
                <w:color w:val="000000"/>
              </w:rPr>
              <w:t xml:space="preserve"> </w:t>
            </w:r>
          </w:p>
          <w:p w14:paraId="441AB6BD" w14:textId="77777777" w:rsidR="00EF59A4" w:rsidRDefault="00EF59A4" w:rsidP="00EF59A4">
            <w:pPr>
              <w:rPr>
                <w:rFonts w:ascii="Calibri" w:hAnsi="Calibri" w:cs="Calibri"/>
                <w:color w:val="000000"/>
              </w:rPr>
            </w:pPr>
            <w:r>
              <w:rPr>
                <w:rFonts w:ascii="Calibri" w:hAnsi="Calibri" w:cs="Calibri"/>
                <w:color w:val="000000"/>
              </w:rPr>
              <w:t>14</w:t>
            </w:r>
            <w:r w:rsidRPr="002048A7">
              <w:rPr>
                <w:rFonts w:ascii="Calibri" w:hAnsi="Calibri" w:cs="Calibri"/>
                <w:color w:val="000000"/>
              </w:rPr>
              <w:t>.</w:t>
            </w:r>
            <w:r>
              <w:rPr>
                <w:rFonts w:ascii="Calibri" w:hAnsi="Calibri" w:cs="Calibri"/>
                <w:color w:val="000000"/>
              </w:rPr>
              <w:t>11</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 1</w:t>
            </w:r>
            <w:r>
              <w:rPr>
                <w:rFonts w:ascii="Calibri" w:hAnsi="Calibri" w:cs="Calibri"/>
                <w:color w:val="000000"/>
              </w:rPr>
              <w:t>3004</w:t>
            </w:r>
          </w:p>
        </w:tc>
        <w:tc>
          <w:tcPr>
            <w:tcW w:w="7365" w:type="dxa"/>
          </w:tcPr>
          <w:p w14:paraId="4FE15CA2" w14:textId="77777777" w:rsidR="00EF59A4" w:rsidRPr="00EF59A4" w:rsidRDefault="00EF59A4" w:rsidP="007E5FBA">
            <w:pPr>
              <w:rPr>
                <w:rFonts w:ascii="Calibri" w:hAnsi="Calibri" w:cs="Calibri"/>
                <w:color w:val="000000"/>
              </w:rPr>
            </w:pPr>
            <w:r w:rsidRPr="00EF59A4">
              <w:rPr>
                <w:rFonts w:ascii="Calibri" w:hAnsi="Calibri" w:cs="Calibri"/>
                <w:color w:val="000000"/>
              </w:rPr>
              <w:t xml:space="preserve">29.07.2021 tarihli ve 10338 sayılı Bayi Denetim Sisteminin Kurulması ve Uygulanması için Tüzel Kişilerin Yetkilendirilmesi Hakkında Kararda Değişiklik Yapılmasına İlişkin Karar  </w:t>
            </w:r>
          </w:p>
        </w:tc>
      </w:tr>
      <w:tr w:rsidR="00F470DB" w:rsidRPr="002048A7" w14:paraId="574F2CF0" w14:textId="77777777" w:rsidTr="007E5FBA">
        <w:tc>
          <w:tcPr>
            <w:tcW w:w="2547" w:type="dxa"/>
          </w:tcPr>
          <w:p w14:paraId="35C8A4EA" w14:textId="77777777" w:rsidR="00EF59A4" w:rsidRPr="002048A7" w:rsidRDefault="00EF59A4" w:rsidP="00EF59A4">
            <w:pPr>
              <w:rPr>
                <w:rFonts w:ascii="Calibri" w:hAnsi="Calibri" w:cs="Calibri"/>
                <w:color w:val="000000"/>
              </w:rPr>
            </w:pPr>
            <w:r>
              <w:rPr>
                <w:rFonts w:ascii="Calibri" w:hAnsi="Calibri" w:cs="Calibri"/>
                <w:color w:val="000000"/>
              </w:rPr>
              <w:t>17</w:t>
            </w:r>
            <w:r w:rsidRPr="002048A7">
              <w:rPr>
                <w:rFonts w:ascii="Calibri" w:hAnsi="Calibri" w:cs="Calibri"/>
                <w:color w:val="000000"/>
              </w:rPr>
              <w:t>.</w:t>
            </w:r>
            <w:r>
              <w:rPr>
                <w:rFonts w:ascii="Calibri" w:hAnsi="Calibri" w:cs="Calibri"/>
                <w:color w:val="000000"/>
              </w:rPr>
              <w:t>12</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 32</w:t>
            </w:r>
            <w:r>
              <w:rPr>
                <w:rFonts w:ascii="Calibri" w:hAnsi="Calibri" w:cs="Calibri"/>
                <w:color w:val="000000"/>
              </w:rPr>
              <w:t>755</w:t>
            </w:r>
            <w:r w:rsidRPr="002048A7">
              <w:rPr>
                <w:rFonts w:ascii="Calibri" w:hAnsi="Calibri" w:cs="Calibri"/>
                <w:color w:val="000000"/>
              </w:rPr>
              <w:t xml:space="preserve"> </w:t>
            </w:r>
          </w:p>
          <w:p w14:paraId="6D6B812B" w14:textId="77777777" w:rsidR="00F470DB" w:rsidRPr="002048A7" w:rsidRDefault="00EF59A4" w:rsidP="00EF59A4">
            <w:pPr>
              <w:rPr>
                <w:rFonts w:ascii="Calibri" w:hAnsi="Calibri" w:cs="Calibri"/>
                <w:color w:val="000000"/>
              </w:rPr>
            </w:pPr>
            <w:r>
              <w:rPr>
                <w:rFonts w:ascii="Calibri" w:hAnsi="Calibri" w:cs="Calibri"/>
                <w:color w:val="000000"/>
              </w:rPr>
              <w:t>1</w:t>
            </w:r>
            <w:r w:rsidRPr="002048A7">
              <w:rPr>
                <w:rFonts w:ascii="Calibri" w:hAnsi="Calibri" w:cs="Calibri"/>
                <w:color w:val="000000"/>
              </w:rPr>
              <w:t>2.</w:t>
            </w:r>
            <w:r>
              <w:rPr>
                <w:rFonts w:ascii="Calibri" w:hAnsi="Calibri" w:cs="Calibri"/>
                <w:color w:val="000000"/>
              </w:rPr>
              <w:t>12</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 1</w:t>
            </w:r>
            <w:r>
              <w:rPr>
                <w:rFonts w:ascii="Calibri" w:hAnsi="Calibri" w:cs="Calibri"/>
                <w:color w:val="000000"/>
              </w:rPr>
              <w:t>3069</w:t>
            </w:r>
          </w:p>
        </w:tc>
        <w:tc>
          <w:tcPr>
            <w:tcW w:w="7365" w:type="dxa"/>
          </w:tcPr>
          <w:p w14:paraId="5047387E" w14:textId="77777777" w:rsidR="00F470DB" w:rsidRPr="002048A7" w:rsidRDefault="00EF59A4" w:rsidP="007E5FBA">
            <w:pPr>
              <w:tabs>
                <w:tab w:val="left" w:pos="1635"/>
              </w:tabs>
              <w:rPr>
                <w:rFonts w:ascii="Calibri" w:hAnsi="Calibri" w:cs="Calibri"/>
                <w:color w:val="000000"/>
              </w:rPr>
            </w:pPr>
            <w:r w:rsidRPr="00EF59A4">
              <w:rPr>
                <w:rFonts w:ascii="Calibri" w:hAnsi="Calibri" w:cs="Calibri"/>
                <w:color w:val="000000"/>
              </w:rPr>
              <w:t>2025 yılında petrol piyasası faaliyetlerine ilişkin uygulanacak gelir payı bedelleri</w:t>
            </w:r>
          </w:p>
        </w:tc>
      </w:tr>
      <w:tr w:rsidR="00F470DB" w:rsidRPr="002048A7" w14:paraId="7343D797" w14:textId="77777777" w:rsidTr="007E5FBA">
        <w:tc>
          <w:tcPr>
            <w:tcW w:w="2547" w:type="dxa"/>
          </w:tcPr>
          <w:p w14:paraId="137BD3FF" w14:textId="77777777" w:rsidR="00532C3B" w:rsidRPr="00532C3B" w:rsidRDefault="00532C3B" w:rsidP="00532C3B">
            <w:pPr>
              <w:rPr>
                <w:rFonts w:ascii="Calibri" w:hAnsi="Calibri" w:cs="Calibri"/>
                <w:color w:val="000000"/>
              </w:rPr>
            </w:pPr>
            <w:r w:rsidRPr="00532C3B">
              <w:rPr>
                <w:rFonts w:ascii="Calibri" w:hAnsi="Calibri" w:cs="Calibri"/>
                <w:color w:val="000000"/>
              </w:rPr>
              <w:t xml:space="preserve">17.12.2024 / 32755 </w:t>
            </w:r>
          </w:p>
          <w:p w14:paraId="1080AB31" w14:textId="77777777" w:rsidR="00F470DB" w:rsidRPr="00532C3B" w:rsidRDefault="00532C3B" w:rsidP="00532C3B">
            <w:r w:rsidRPr="00532C3B">
              <w:rPr>
                <w:rFonts w:ascii="Calibri" w:hAnsi="Calibri" w:cs="Calibri"/>
                <w:color w:val="000000"/>
              </w:rPr>
              <w:t>12.12.2024 / 13070</w:t>
            </w:r>
          </w:p>
        </w:tc>
        <w:tc>
          <w:tcPr>
            <w:tcW w:w="7365" w:type="dxa"/>
          </w:tcPr>
          <w:p w14:paraId="33342A34" w14:textId="77777777" w:rsidR="00F470DB" w:rsidRPr="00532C3B" w:rsidRDefault="00532C3B" w:rsidP="007E5FBA">
            <w:r w:rsidRPr="00532C3B">
              <w:t>Ham Petrol, Akaryakıt, İhrakiye, Madeni Yağ, Baz Yağ ve Petrolle İlişkili Maddelere Dair Karar</w:t>
            </w:r>
          </w:p>
        </w:tc>
      </w:tr>
    </w:tbl>
    <w:p w14:paraId="0CB2BFBC" w14:textId="77777777" w:rsidR="00F470DB" w:rsidRPr="002048A7" w:rsidRDefault="00F470DB" w:rsidP="001D2DA2">
      <w:pPr>
        <w:spacing w:after="0"/>
      </w:pPr>
    </w:p>
    <w:p w14:paraId="407236C9" w14:textId="77777777" w:rsidR="001D2DA2" w:rsidRDefault="001D2DA2" w:rsidP="00577AAF">
      <w:pPr>
        <w:pStyle w:val="Balk2"/>
        <w:numPr>
          <w:ilvl w:val="1"/>
          <w:numId w:val="11"/>
        </w:numPr>
        <w:spacing w:before="0" w:after="240"/>
        <w:rPr>
          <w:rFonts w:asciiTheme="minorHAnsi" w:hAnsiTheme="minorHAnsi"/>
          <w:color w:val="auto"/>
          <w:sz w:val="22"/>
          <w:szCs w:val="22"/>
        </w:rPr>
      </w:pPr>
      <w:bookmarkStart w:id="82" w:name="_Toc442431247"/>
      <w:bookmarkStart w:id="83" w:name="_Toc6684442"/>
      <w:bookmarkStart w:id="84" w:name="_Toc195868683"/>
      <w:r w:rsidRPr="002048A7">
        <w:rPr>
          <w:rFonts w:asciiTheme="minorHAnsi" w:hAnsiTheme="minorHAnsi"/>
          <w:color w:val="auto"/>
          <w:sz w:val="22"/>
          <w:szCs w:val="22"/>
        </w:rPr>
        <w:lastRenderedPageBreak/>
        <w:t>Sıvılaştırılmış Petrol Gazları (LPG) Piyasası Mevzuatı</w:t>
      </w:r>
      <w:bookmarkEnd w:id="82"/>
      <w:bookmarkEnd w:id="83"/>
      <w:bookmarkEnd w:id="84"/>
    </w:p>
    <w:p w14:paraId="78AC8C4A" w14:textId="77777777" w:rsidR="0016009E" w:rsidRDefault="0016009E" w:rsidP="0016009E">
      <w:pPr>
        <w:pStyle w:val="Balk3"/>
        <w:numPr>
          <w:ilvl w:val="2"/>
          <w:numId w:val="11"/>
        </w:numPr>
        <w:spacing w:after="240"/>
        <w:rPr>
          <w:rFonts w:asciiTheme="minorHAnsi" w:hAnsiTheme="minorHAnsi"/>
          <w:color w:val="auto"/>
        </w:rPr>
      </w:pPr>
      <w:bookmarkStart w:id="85" w:name="_Toc195868684"/>
      <w:r>
        <w:rPr>
          <w:rFonts w:asciiTheme="minorHAnsi" w:hAnsiTheme="minorHAnsi"/>
          <w:color w:val="auto"/>
        </w:rPr>
        <w:t>Yönetmelikler</w:t>
      </w:r>
      <w:bookmarkEnd w:id="85"/>
    </w:p>
    <w:p w14:paraId="0E8EF9D5" w14:textId="2E7C6A5D" w:rsidR="0016009E" w:rsidRPr="00C87FB4" w:rsidRDefault="00C87FB4" w:rsidP="00C87FB4">
      <w:pPr>
        <w:ind w:firstLine="360"/>
        <w:rPr>
          <w:color w:val="000000" w:themeColor="text1"/>
        </w:rPr>
      </w:pPr>
      <w:r>
        <w:rPr>
          <w:color w:val="000000" w:themeColor="text1"/>
        </w:rPr>
        <w:t xml:space="preserve">2024 </w:t>
      </w:r>
      <w:r w:rsidR="0016009E" w:rsidRPr="00C87FB4">
        <w:rPr>
          <w:color w:val="000000" w:themeColor="text1"/>
        </w:rPr>
        <w:t>yılında LPG piyasasında aşağıda belirtilen Yönetmelik çalışmaları yapılmıştır:</w:t>
      </w:r>
    </w:p>
    <w:p w14:paraId="1E13191A" w14:textId="77777777" w:rsidR="0016009E" w:rsidRDefault="0016009E" w:rsidP="0016009E">
      <w:pPr>
        <w:rPr>
          <w:color w:val="000000" w:themeColor="text1"/>
        </w:rPr>
      </w:pPr>
    </w:p>
    <w:p w14:paraId="5DB6C12D" w14:textId="77777777" w:rsidR="0016009E" w:rsidRDefault="0016009E" w:rsidP="0025080A">
      <w:pPr>
        <w:numPr>
          <w:ilvl w:val="0"/>
          <w:numId w:val="22"/>
        </w:numPr>
        <w:spacing w:after="0"/>
        <w:contextualSpacing/>
        <w:rPr>
          <w:rFonts w:ascii="Calibri" w:hAnsi="Calibri"/>
          <w:b/>
          <w:bCs/>
        </w:rPr>
      </w:pPr>
      <w:r>
        <w:rPr>
          <w:rFonts w:ascii="Calibri" w:hAnsi="Calibri"/>
          <w:bCs/>
        </w:rPr>
        <w:t>23.11.2024 tarihli ve 32731 sayılı Resmî Gazetede yayımlanan Değişiklik Yönetmeliği ile</w:t>
      </w:r>
      <w:r>
        <w:rPr>
          <w:rFonts w:ascii="Calibri" w:hAnsi="Calibri"/>
          <w:b/>
          <w:bCs/>
        </w:rPr>
        <w:t xml:space="preserve"> Sıvılaştırılmış Petrol Gazları (LPG) Lisans Yönetmeliğin</w:t>
      </w:r>
      <w:r>
        <w:rPr>
          <w:rFonts w:ascii="Calibri" w:hAnsi="Calibri"/>
          <w:bCs/>
        </w:rPr>
        <w:t>in</w:t>
      </w:r>
    </w:p>
    <w:p w14:paraId="471DC72B" w14:textId="77777777" w:rsidR="0016009E" w:rsidRDefault="0016009E" w:rsidP="0025080A">
      <w:pPr>
        <w:pStyle w:val="ListeParagraf"/>
        <w:numPr>
          <w:ilvl w:val="0"/>
          <w:numId w:val="25"/>
        </w:numPr>
        <w:rPr>
          <w:rFonts w:eastAsiaTheme="minorHAnsi"/>
        </w:rPr>
      </w:pPr>
      <w:proofErr w:type="gramStart"/>
      <w:r w:rsidRPr="00AE6816">
        <w:rPr>
          <w:rFonts w:eastAsiaTheme="minorHAnsi"/>
        </w:rPr>
        <w:t>7 nci</w:t>
      </w:r>
      <w:proofErr w:type="gramEnd"/>
      <w:r w:rsidRPr="00AE6816">
        <w:rPr>
          <w:rFonts w:eastAsiaTheme="minorHAnsi"/>
        </w:rPr>
        <w:t xml:space="preserve"> maddesinin altıncı fıkrasının birinci cümlesi aşağıdaki şekilde değiştirilmiştir.</w:t>
      </w:r>
    </w:p>
    <w:p w14:paraId="5C6EA512" w14:textId="77777777" w:rsidR="0016009E" w:rsidRPr="00AE6816" w:rsidRDefault="0016009E" w:rsidP="0016009E">
      <w:pPr>
        <w:pStyle w:val="ListeParagraf"/>
        <w:ind w:left="1440"/>
        <w:rPr>
          <w:rFonts w:eastAsiaTheme="minorHAnsi"/>
        </w:rPr>
      </w:pPr>
    </w:p>
    <w:p w14:paraId="1BBF8553" w14:textId="77777777" w:rsidR="0016009E" w:rsidRPr="00AE6816" w:rsidRDefault="0016009E" w:rsidP="0016009E">
      <w:pPr>
        <w:pStyle w:val="ListeParagraf"/>
        <w:ind w:left="1416"/>
        <w:rPr>
          <w:rFonts w:eastAsiaTheme="minorHAnsi"/>
        </w:rPr>
      </w:pPr>
      <w:r w:rsidRPr="00AE6816">
        <w:rPr>
          <w:rFonts w:eastAsiaTheme="minorHAnsi"/>
        </w:rPr>
        <w:t>“Lisans başvurularının ilgili mevzuata uygun olarak yapılmadığının tespiti hâlinde, söz konusu aykırılıkların on iş günü içerisinde giderilmesi, aksi takdirde başvurunun yapılmamış sayılacağı başvuru sahibine yazılı ya da EPDK Başvuru Sistemi üzerinden elektronik ortamda bildirilir.”</w:t>
      </w:r>
    </w:p>
    <w:p w14:paraId="1D6A7634" w14:textId="77777777" w:rsidR="0016009E" w:rsidRDefault="0016009E" w:rsidP="0016009E">
      <w:pPr>
        <w:spacing w:after="0"/>
        <w:ind w:left="720"/>
        <w:contextualSpacing/>
        <w:rPr>
          <w:rFonts w:ascii="Calibri" w:hAnsi="Calibri"/>
          <w:b/>
          <w:bCs/>
        </w:rPr>
      </w:pPr>
    </w:p>
    <w:p w14:paraId="18457372" w14:textId="77777777" w:rsidR="0016009E" w:rsidRDefault="0016009E" w:rsidP="0025080A">
      <w:pPr>
        <w:pStyle w:val="ListeParagraf"/>
        <w:numPr>
          <w:ilvl w:val="0"/>
          <w:numId w:val="31"/>
        </w:numPr>
        <w:spacing w:after="0"/>
        <w:rPr>
          <w:rFonts w:ascii="Calibri" w:hAnsi="Calibri"/>
          <w:bCs/>
        </w:rPr>
      </w:pPr>
      <w:r>
        <w:rPr>
          <w:rFonts w:eastAsiaTheme="minorHAnsi"/>
        </w:rPr>
        <w:t>10 uncu maddesinin ikinci fıkrasının ikinci cümlesi ve</w:t>
      </w:r>
      <w:r w:rsidRPr="003A0E52">
        <w:rPr>
          <w:rFonts w:eastAsiaTheme="minorHAnsi"/>
        </w:rPr>
        <w:t xml:space="preserve"> </w:t>
      </w:r>
      <w:r>
        <w:rPr>
          <w:rFonts w:eastAsiaTheme="minorHAnsi"/>
        </w:rPr>
        <w:t>yedinci fıkrasının birinci cümlesi aşağıdaki şekilde değiştirilmiştir</w:t>
      </w:r>
      <w:r>
        <w:rPr>
          <w:rFonts w:ascii="Calibri" w:hAnsi="Calibri"/>
          <w:bCs/>
        </w:rPr>
        <w:t>.</w:t>
      </w:r>
    </w:p>
    <w:p w14:paraId="3B6AABFD" w14:textId="77777777" w:rsidR="0016009E" w:rsidRDefault="0016009E" w:rsidP="0016009E">
      <w:pPr>
        <w:pStyle w:val="ListeParagraf"/>
        <w:spacing w:after="0"/>
        <w:ind w:left="1440"/>
        <w:rPr>
          <w:rFonts w:ascii="Calibri" w:hAnsi="Calibri"/>
          <w:bCs/>
        </w:rPr>
      </w:pPr>
    </w:p>
    <w:p w14:paraId="0654DF02" w14:textId="77777777" w:rsidR="0016009E" w:rsidRDefault="0016009E" w:rsidP="0016009E">
      <w:pPr>
        <w:ind w:left="1440"/>
        <w:rPr>
          <w:rFonts w:eastAsiaTheme="minorHAnsi"/>
        </w:rPr>
      </w:pPr>
      <w:r>
        <w:rPr>
          <w:rFonts w:eastAsiaTheme="minorHAnsi"/>
        </w:rPr>
        <w:t>“Lisans başvurusunun Kurul kararıyla reddedilmesi durumunda, ret gerekçeleri başvuru sahibine yazılı ya da EPDK Başvuru Sistemi üzerinden elektronik ortamda bildirilir.”</w:t>
      </w:r>
    </w:p>
    <w:p w14:paraId="00FBF7E4" w14:textId="77777777" w:rsidR="0016009E" w:rsidRDefault="0016009E" w:rsidP="0016009E">
      <w:pPr>
        <w:ind w:left="1416" w:firstLine="24"/>
        <w:rPr>
          <w:rFonts w:eastAsiaTheme="minorHAnsi"/>
        </w:rPr>
      </w:pPr>
      <w:r w:rsidDel="003A0E52">
        <w:rPr>
          <w:rFonts w:eastAsiaTheme="minorHAnsi"/>
        </w:rPr>
        <w:t xml:space="preserve"> </w:t>
      </w:r>
      <w:r>
        <w:rPr>
          <w:rFonts w:eastAsiaTheme="minorHAnsi"/>
        </w:rPr>
        <w:t>“LPG Dağıtıcı Lisansı, LPG Depolama Lisansı ve LPG Otogaz Bayilik Lisansı başvuru taleplerinin yerine getirilmesi için başvuru sahibinin Sosyal Güvenlik Kurumuna vadesi geçmiş prim ve idari para cezası borcu ile 21/7/1953 tarihli ve 6183 sayılı Amme Alacaklarının Tahsil Usulü Hakkında Kanunun 22/A maddesi kapsamında vadesi geçmiş borcunun bulunmaması zorunludur.”</w:t>
      </w:r>
    </w:p>
    <w:p w14:paraId="5D61A717" w14:textId="77777777" w:rsidR="0016009E" w:rsidRDefault="0016009E" w:rsidP="0016009E">
      <w:pPr>
        <w:ind w:left="1416" w:firstLine="24"/>
        <w:rPr>
          <w:rFonts w:eastAsiaTheme="minorHAnsi"/>
        </w:rPr>
      </w:pPr>
    </w:p>
    <w:p w14:paraId="0653FF38" w14:textId="77777777" w:rsidR="0016009E" w:rsidRPr="00C2183E" w:rsidRDefault="0016009E" w:rsidP="0025080A">
      <w:pPr>
        <w:pStyle w:val="ListeParagraf"/>
        <w:numPr>
          <w:ilvl w:val="0"/>
          <w:numId w:val="31"/>
        </w:numPr>
        <w:rPr>
          <w:rFonts w:eastAsiaTheme="minorHAnsi"/>
        </w:rPr>
      </w:pPr>
      <w:r w:rsidRPr="00C2183E">
        <w:rPr>
          <w:rFonts w:eastAsiaTheme="minorHAnsi"/>
        </w:rPr>
        <w:t>12/A maddesi başlığı ile birlikte aşağıdaki şekilde değiştirilmiştir.</w:t>
      </w:r>
    </w:p>
    <w:p w14:paraId="5F72A876" w14:textId="77777777" w:rsidR="0016009E" w:rsidRPr="003A0E52" w:rsidRDefault="0016009E" w:rsidP="0016009E">
      <w:pPr>
        <w:ind w:left="1404" w:firstLine="720"/>
        <w:rPr>
          <w:rFonts w:eastAsiaTheme="minorHAnsi"/>
        </w:rPr>
      </w:pPr>
      <w:r>
        <w:rPr>
          <w:rFonts w:eastAsiaTheme="minorHAnsi"/>
        </w:rPr>
        <w:t>“</w:t>
      </w:r>
      <w:r w:rsidRPr="00321072">
        <w:rPr>
          <w:rFonts w:eastAsiaTheme="minorHAnsi"/>
        </w:rPr>
        <w:t>Birleşme ve bölünme</w:t>
      </w:r>
    </w:p>
    <w:p w14:paraId="4CB59BA5" w14:textId="77777777" w:rsidR="0016009E" w:rsidRDefault="0016009E" w:rsidP="0016009E">
      <w:pPr>
        <w:ind w:left="1404" w:firstLine="24"/>
        <w:rPr>
          <w:rFonts w:eastAsiaTheme="minorHAnsi"/>
        </w:rPr>
      </w:pPr>
      <w:r w:rsidRPr="00321072">
        <w:rPr>
          <w:rFonts w:eastAsiaTheme="minorHAnsi"/>
        </w:rPr>
        <w:t>MADDE 12/A</w:t>
      </w:r>
      <w:r>
        <w:rPr>
          <w:rFonts w:eastAsiaTheme="minorHAnsi"/>
          <w:b/>
        </w:rPr>
        <w:t xml:space="preserve"> –</w:t>
      </w:r>
      <w:r>
        <w:rPr>
          <w:rFonts w:eastAsiaTheme="minorHAnsi"/>
        </w:rPr>
        <w:t xml:space="preserve"> Lisans sahibi tüzel kişilerin aşağıda belirtilen hallerde bu işlemler hakkında Kuruma önceden bilgi vermeleri zorunludur:</w:t>
      </w:r>
    </w:p>
    <w:p w14:paraId="6E20EE8B" w14:textId="77777777" w:rsidR="0016009E" w:rsidRDefault="0016009E" w:rsidP="0016009E">
      <w:pPr>
        <w:ind w:left="1404" w:firstLine="24"/>
        <w:rPr>
          <w:rFonts w:eastAsiaTheme="minorHAnsi"/>
        </w:rPr>
      </w:pPr>
      <w:r>
        <w:rPr>
          <w:rFonts w:eastAsiaTheme="minorHAnsi"/>
        </w:rPr>
        <w:t>a) Lisans sahibi tüzel kişinin, başka bir lisans sahibi ile tüm aktif ve pasifleri ile birlikte birleşmek istemesi,</w:t>
      </w:r>
    </w:p>
    <w:p w14:paraId="006C3007" w14:textId="77777777" w:rsidR="0016009E" w:rsidRDefault="0016009E" w:rsidP="0016009E">
      <w:pPr>
        <w:ind w:left="1404" w:firstLine="24"/>
        <w:rPr>
          <w:rFonts w:eastAsiaTheme="minorHAnsi"/>
        </w:rPr>
      </w:pPr>
      <w:r>
        <w:rPr>
          <w:rFonts w:eastAsiaTheme="minorHAnsi"/>
        </w:rPr>
        <w:t>b) Lisans sahibi tüzel kişinin, lisans sahibi olmayan bir tüzel kişiyle birlikte, kendi tüzel kişiliği bünyesinde veya lisans sahibi olmayan diğer tüzel kişi bünyesinde tüm aktif ve pasifleri ile birlikte birleşmek istemesi,</w:t>
      </w:r>
    </w:p>
    <w:p w14:paraId="517B34D0" w14:textId="77777777" w:rsidR="0016009E" w:rsidRDefault="0016009E" w:rsidP="0016009E">
      <w:pPr>
        <w:ind w:left="684" w:firstLine="720"/>
        <w:rPr>
          <w:rFonts w:eastAsiaTheme="minorHAnsi"/>
        </w:rPr>
      </w:pPr>
      <w:r>
        <w:rPr>
          <w:rFonts w:eastAsiaTheme="minorHAnsi"/>
        </w:rPr>
        <w:t>c) Lisans sahibi bir tüzel kişinin tam veya kısmi olarak bölünmek istemesi.</w:t>
      </w:r>
    </w:p>
    <w:p w14:paraId="7EA5F936" w14:textId="77777777" w:rsidR="0016009E" w:rsidRDefault="0016009E" w:rsidP="0016009E">
      <w:pPr>
        <w:ind w:left="1404"/>
        <w:rPr>
          <w:rFonts w:eastAsiaTheme="minorHAnsi"/>
        </w:rPr>
      </w:pPr>
      <w:r>
        <w:rPr>
          <w:rFonts w:eastAsiaTheme="minorHAnsi"/>
        </w:rPr>
        <w:t>Diğer kamu kurum ve kuruluşlarından temin edilerek lisans başvurularında Kuruma ibraz edilmiş tüm belgeler, birleşmenin veya bölünmenin ticaret sicilinde tescilinden itibaren 1 yıl içerisinde güncellenerek Kuruma ibraz edilir.</w:t>
      </w:r>
    </w:p>
    <w:p w14:paraId="40567644" w14:textId="77777777" w:rsidR="0016009E" w:rsidRDefault="0016009E" w:rsidP="0016009E">
      <w:pPr>
        <w:ind w:left="1404" w:firstLine="24"/>
        <w:rPr>
          <w:rFonts w:eastAsiaTheme="minorHAnsi"/>
          <w:b/>
        </w:rPr>
      </w:pPr>
      <w:r>
        <w:rPr>
          <w:rFonts w:eastAsiaTheme="minorHAnsi"/>
        </w:rPr>
        <w:lastRenderedPageBreak/>
        <w:t>LPG Dağıtıcı lisansı sahibi şirketlerin birleşmesi veya bölünmesi durumunda LPG otogaz bayi/bayilerinin dağıtıcı bilgisi, re</w:t>
      </w:r>
      <w:r w:rsidRPr="00785425">
        <w:t>’</w:t>
      </w:r>
      <w:r>
        <w:rPr>
          <w:rFonts w:eastAsiaTheme="minorHAnsi"/>
        </w:rPr>
        <w:t>sen tadil edilir.”</w:t>
      </w:r>
    </w:p>
    <w:p w14:paraId="5003ED0A" w14:textId="77777777" w:rsidR="0016009E" w:rsidRDefault="0016009E" w:rsidP="0016009E">
      <w:pPr>
        <w:ind w:firstLine="720"/>
        <w:rPr>
          <w:rFonts w:eastAsiaTheme="minorHAnsi"/>
          <w:sz w:val="20"/>
          <w:szCs w:val="20"/>
        </w:rPr>
      </w:pPr>
    </w:p>
    <w:p w14:paraId="41A96669" w14:textId="77777777" w:rsidR="0016009E" w:rsidRPr="00AE6816" w:rsidRDefault="0016009E" w:rsidP="0025080A">
      <w:pPr>
        <w:pStyle w:val="ListeParagraf"/>
        <w:numPr>
          <w:ilvl w:val="0"/>
          <w:numId w:val="31"/>
        </w:numPr>
        <w:rPr>
          <w:rFonts w:eastAsiaTheme="minorHAnsi"/>
        </w:rPr>
      </w:pPr>
      <w:r w:rsidRPr="00AE6816">
        <w:rPr>
          <w:rFonts w:eastAsiaTheme="minorHAnsi"/>
        </w:rPr>
        <w:t>15 inci maddesinin ikinci fıkrasının ikinci cümlesi ve yedinci fıkrasının birinci cümlesi aşağıdaki şekilde değiştirilmiştir.</w:t>
      </w:r>
    </w:p>
    <w:p w14:paraId="1ACA9274" w14:textId="77777777" w:rsidR="0016009E" w:rsidRPr="00AE6816" w:rsidRDefault="0016009E" w:rsidP="0016009E">
      <w:pPr>
        <w:pStyle w:val="ListeParagraf"/>
        <w:ind w:left="1440"/>
        <w:rPr>
          <w:rFonts w:eastAsiaTheme="minorHAnsi"/>
        </w:rPr>
      </w:pPr>
      <w:r w:rsidRPr="00AE6816">
        <w:rPr>
          <w:rFonts w:eastAsiaTheme="minorHAnsi"/>
        </w:rPr>
        <w:t xml:space="preserve">“Lisans tadil başvurularının ilgili mevzuata uygun olarak yapılmadığının tespiti hâlinde, söz konusu aykırılıklarının on iş günü içerisinde giderilmesi, aksi takdirde tadil başvurusunun yapılmamış sayılacağı hususu, başvuru sahibine yazılı ya da EPDK Başvuru Sistemi üzerinden elektronik ortamda bildirilir.” </w:t>
      </w:r>
    </w:p>
    <w:p w14:paraId="68612A7B" w14:textId="77777777" w:rsidR="0016009E" w:rsidRPr="00AE6816" w:rsidRDefault="0016009E" w:rsidP="0016009E">
      <w:pPr>
        <w:pStyle w:val="ListeParagraf"/>
        <w:ind w:left="1440"/>
        <w:rPr>
          <w:rFonts w:eastAsiaTheme="minorHAnsi"/>
          <w:sz w:val="20"/>
          <w:szCs w:val="20"/>
        </w:rPr>
      </w:pPr>
    </w:p>
    <w:p w14:paraId="72A78F51" w14:textId="77777777" w:rsidR="0016009E" w:rsidRPr="00AE6816" w:rsidRDefault="0016009E" w:rsidP="0016009E">
      <w:pPr>
        <w:pStyle w:val="ListeParagraf"/>
        <w:ind w:left="1440"/>
        <w:rPr>
          <w:rFonts w:eastAsiaTheme="minorHAnsi"/>
        </w:rPr>
      </w:pPr>
      <w:r w:rsidRPr="00AE6816">
        <w:rPr>
          <w:rFonts w:eastAsiaTheme="minorHAnsi"/>
        </w:rPr>
        <w:t>“LPG Dağıtıcı Lisansı, LPG Depolama Lisansı ve LPG Otogaz Bayilik Lisansı tadil taleplerinin yerine getirilmesi için başvuru sahibinin Sosyal Güvenlik Kurumuna vadesi geçmiş prim ve idari para cezası borcu ile 6183 sayılı Kanunun 22/A maddesi kapsamında vadesi geçmiş borcunun bulunmaması zorunludur.”</w:t>
      </w:r>
    </w:p>
    <w:p w14:paraId="21320014" w14:textId="77777777" w:rsidR="0016009E" w:rsidRDefault="0016009E" w:rsidP="0016009E">
      <w:pPr>
        <w:pStyle w:val="ListeParagraf"/>
        <w:ind w:left="1440"/>
        <w:rPr>
          <w:rFonts w:eastAsiaTheme="minorHAnsi"/>
          <w:sz w:val="20"/>
          <w:szCs w:val="20"/>
        </w:rPr>
      </w:pPr>
    </w:p>
    <w:p w14:paraId="1639B73D" w14:textId="77777777" w:rsidR="0016009E" w:rsidRDefault="0016009E" w:rsidP="0016009E">
      <w:pPr>
        <w:pStyle w:val="ListeParagraf"/>
        <w:ind w:left="1440"/>
        <w:rPr>
          <w:rFonts w:eastAsiaTheme="minorHAnsi"/>
          <w:sz w:val="20"/>
          <w:szCs w:val="20"/>
        </w:rPr>
      </w:pPr>
    </w:p>
    <w:p w14:paraId="3F376CF0" w14:textId="77777777" w:rsidR="0016009E" w:rsidRDefault="0016009E" w:rsidP="0025080A">
      <w:pPr>
        <w:pStyle w:val="ListeParagraf"/>
        <w:numPr>
          <w:ilvl w:val="0"/>
          <w:numId w:val="31"/>
        </w:numPr>
        <w:rPr>
          <w:rFonts w:eastAsiaTheme="minorHAnsi"/>
        </w:rPr>
      </w:pPr>
      <w:proofErr w:type="gramStart"/>
      <w:r w:rsidRPr="00AE6816">
        <w:rPr>
          <w:rFonts w:eastAsiaTheme="minorHAnsi"/>
        </w:rPr>
        <w:t>16 ncı</w:t>
      </w:r>
      <w:proofErr w:type="gramEnd"/>
      <w:r w:rsidRPr="00AE6816">
        <w:rPr>
          <w:rFonts w:eastAsiaTheme="minorHAnsi"/>
        </w:rPr>
        <w:t xml:space="preserve"> maddesinin dördüncü fıkrasının ikinci cümlesi ve yedinci fıkrasının birinci cümlesi aşağıdaki şekilde değiştirilmiştir.</w:t>
      </w:r>
    </w:p>
    <w:p w14:paraId="4C5AFB7E" w14:textId="77777777" w:rsidR="0016009E" w:rsidRPr="00AE6816" w:rsidRDefault="0016009E" w:rsidP="0016009E">
      <w:pPr>
        <w:pStyle w:val="ListeParagraf"/>
        <w:ind w:left="1440"/>
        <w:rPr>
          <w:rFonts w:eastAsiaTheme="minorHAnsi"/>
        </w:rPr>
      </w:pPr>
    </w:p>
    <w:p w14:paraId="596EF57A" w14:textId="77777777" w:rsidR="0016009E" w:rsidRDefault="0016009E" w:rsidP="0016009E">
      <w:pPr>
        <w:pStyle w:val="ListeParagraf"/>
        <w:ind w:left="1440"/>
        <w:rPr>
          <w:rFonts w:eastAsiaTheme="minorHAnsi"/>
        </w:rPr>
      </w:pPr>
      <w:r w:rsidRPr="00AE6816">
        <w:rPr>
          <w:rFonts w:eastAsiaTheme="minorHAnsi"/>
        </w:rPr>
        <w:t xml:space="preserve">“Süre uzatım başvurusunun ilgili mevzuata uygun yapılmadığının tespiti halinde, belirlenen eksikliklerin on iş günü içerisinde giderilmesi hususu başvuru sahibine yazılı ya da EPDK Başvuru Sistemi üzerinden elektronik ortamda bildirilir, bu süre içerisinde eksiklikler giderilmez ise süre uzatım başvurusu yapılmamış sayılır.” </w:t>
      </w:r>
    </w:p>
    <w:p w14:paraId="10CC27F5" w14:textId="77777777" w:rsidR="0016009E" w:rsidRPr="00AE6816" w:rsidRDefault="0016009E" w:rsidP="0016009E">
      <w:pPr>
        <w:pStyle w:val="ListeParagraf"/>
        <w:ind w:left="1440"/>
        <w:rPr>
          <w:rFonts w:eastAsiaTheme="minorHAnsi"/>
        </w:rPr>
      </w:pPr>
    </w:p>
    <w:p w14:paraId="0325A54B" w14:textId="77777777" w:rsidR="0016009E" w:rsidRPr="00AE6816" w:rsidRDefault="0016009E" w:rsidP="0016009E">
      <w:pPr>
        <w:pStyle w:val="ListeParagraf"/>
        <w:ind w:left="1440"/>
        <w:rPr>
          <w:rFonts w:eastAsiaTheme="minorHAnsi"/>
        </w:rPr>
      </w:pPr>
      <w:r w:rsidRPr="00AE6816" w:rsidDel="003A0E52">
        <w:rPr>
          <w:rFonts w:eastAsiaTheme="minorHAnsi"/>
        </w:rPr>
        <w:t xml:space="preserve"> </w:t>
      </w:r>
      <w:r w:rsidRPr="00AE6816">
        <w:rPr>
          <w:rFonts w:eastAsiaTheme="minorHAnsi"/>
        </w:rPr>
        <w:t>“LPG Dağıtıcı Lisansı, LPG Depolama Lisansı ve LPG Otogaz Bayilik Lisansı süre uzatım taleplerinin yerine getirilmesi için başvuru sahibinin Sosyal Güvenlik Kurumuna vadesi geçmiş prim ve idari para cezası borcu ile 6183 sayılı Kanunun 22/A maddesi kapsamında vadesi geçmiş borcunun bulunmaması zorunludur.”</w:t>
      </w:r>
    </w:p>
    <w:p w14:paraId="5642E611" w14:textId="77777777" w:rsidR="0016009E" w:rsidRDefault="0016009E" w:rsidP="0016009E">
      <w:pPr>
        <w:pStyle w:val="ListeParagraf"/>
        <w:ind w:left="1440"/>
        <w:rPr>
          <w:rFonts w:eastAsiaTheme="minorHAnsi"/>
          <w:sz w:val="20"/>
          <w:szCs w:val="20"/>
        </w:rPr>
      </w:pPr>
    </w:p>
    <w:p w14:paraId="5F810061" w14:textId="77777777" w:rsidR="0016009E" w:rsidRDefault="0016009E" w:rsidP="0016009E">
      <w:pPr>
        <w:pStyle w:val="ListeParagraf"/>
        <w:ind w:left="1440"/>
        <w:rPr>
          <w:rFonts w:eastAsiaTheme="minorHAnsi"/>
          <w:sz w:val="20"/>
          <w:szCs w:val="20"/>
        </w:rPr>
      </w:pPr>
    </w:p>
    <w:p w14:paraId="72F870C9" w14:textId="77777777" w:rsidR="0016009E" w:rsidRPr="00AE6816" w:rsidRDefault="0016009E" w:rsidP="0025080A">
      <w:pPr>
        <w:pStyle w:val="ListeParagraf"/>
        <w:numPr>
          <w:ilvl w:val="0"/>
          <w:numId w:val="31"/>
        </w:numPr>
        <w:rPr>
          <w:rFonts w:eastAsiaTheme="minorHAnsi"/>
        </w:rPr>
      </w:pPr>
      <w:proofErr w:type="gramStart"/>
      <w:r w:rsidRPr="00AE6816">
        <w:rPr>
          <w:rFonts w:eastAsiaTheme="minorHAnsi"/>
        </w:rPr>
        <w:t>17 nci</w:t>
      </w:r>
      <w:proofErr w:type="gramEnd"/>
      <w:r w:rsidRPr="00AE6816">
        <w:rPr>
          <w:rFonts w:eastAsiaTheme="minorHAnsi"/>
        </w:rPr>
        <w:t xml:space="preserve"> maddesinin birinci fıkrasının (c) ve (f) bentleri aşağıdaki şekilde değiştirilmiştir.</w:t>
      </w:r>
    </w:p>
    <w:p w14:paraId="400BD045" w14:textId="77777777" w:rsidR="0016009E" w:rsidRDefault="0016009E" w:rsidP="0016009E">
      <w:pPr>
        <w:pStyle w:val="ListeParagraf"/>
        <w:ind w:left="1440"/>
        <w:rPr>
          <w:rFonts w:eastAsiaTheme="minorHAnsi"/>
        </w:rPr>
      </w:pPr>
    </w:p>
    <w:p w14:paraId="2041CDA5" w14:textId="77777777" w:rsidR="0016009E" w:rsidRPr="00AE6816" w:rsidRDefault="0016009E" w:rsidP="0016009E">
      <w:pPr>
        <w:pStyle w:val="ListeParagraf"/>
        <w:ind w:left="1440"/>
        <w:rPr>
          <w:rFonts w:eastAsiaTheme="minorHAnsi"/>
        </w:rPr>
      </w:pPr>
      <w:r w:rsidRPr="00AE6816">
        <w:rPr>
          <w:rFonts w:eastAsiaTheme="minorHAnsi"/>
        </w:rPr>
        <w:t>“</w:t>
      </w:r>
      <w:proofErr w:type="gramStart"/>
      <w:r w:rsidRPr="00AE6816">
        <w:rPr>
          <w:rFonts w:eastAsiaTheme="minorHAnsi"/>
        </w:rPr>
        <w:t>c</w:t>
      </w:r>
      <w:proofErr w:type="gramEnd"/>
      <w:r w:rsidRPr="00AE6816">
        <w:rPr>
          <w:rFonts w:eastAsiaTheme="minorHAnsi"/>
        </w:rPr>
        <w:t>) Lisans sahibinin ölümü veya birleşme ve bölünmeler de dahil olmak üzere tüzel kişiliğinin sona ermesi hallerinde LPG Dağıtıcı ve LPG Depolama Lisansları Kurul Kararıyla; LPG Otogaz Bayilik, LPG Tüpü Muayenesi, Tamiri ve Bakımı, LPG Tüpü İmalatı ve LPG Taşıma Lisansları Sıvılaştırılmış Petrol Gazları (LPG) Piyasası Dairesi Başkanlığı kararıyla,”</w:t>
      </w:r>
    </w:p>
    <w:p w14:paraId="177AFFF8" w14:textId="77777777" w:rsidR="0016009E" w:rsidRDefault="0016009E" w:rsidP="0016009E">
      <w:pPr>
        <w:pStyle w:val="ListeParagraf"/>
        <w:ind w:left="1440"/>
        <w:rPr>
          <w:rFonts w:eastAsiaTheme="minorHAnsi"/>
        </w:rPr>
      </w:pPr>
    </w:p>
    <w:p w14:paraId="64BA9C71" w14:textId="77777777" w:rsidR="0016009E" w:rsidRPr="00AE6816" w:rsidRDefault="0016009E" w:rsidP="0016009E">
      <w:pPr>
        <w:pStyle w:val="ListeParagraf"/>
        <w:ind w:left="1440"/>
        <w:rPr>
          <w:rFonts w:eastAsiaTheme="minorHAnsi"/>
        </w:rPr>
      </w:pPr>
      <w:r w:rsidRPr="00AE6816">
        <w:rPr>
          <w:rFonts w:eastAsiaTheme="minorHAnsi"/>
        </w:rPr>
        <w:t>“</w:t>
      </w:r>
      <w:proofErr w:type="gramStart"/>
      <w:r w:rsidRPr="00AE6816">
        <w:rPr>
          <w:rFonts w:eastAsiaTheme="minorHAnsi"/>
        </w:rPr>
        <w:t>f</w:t>
      </w:r>
      <w:proofErr w:type="gramEnd"/>
      <w:r w:rsidRPr="00AE6816">
        <w:rPr>
          <w:rFonts w:eastAsiaTheme="minorHAnsi"/>
        </w:rPr>
        <w:t>) Lisansa kayıt edilmiş belirli bir süre içerisinde yerine getirme yükümlülüğünün süresi içerisinde yerine getirilmemesi halinde LPG Dağıtıcı ve LPG Depolama Lisansları Kurul Kararıyla; LPG Otogaz Bayilik, LPG Tüpü Muayenesi, Tamiri ve Bakımı, LPG Tüpü İmalatı ve LPG Taşıma Lisansları Sıvılaştırılmış Petrol Gazları (LPG) Piyasası Dairesi Başkanlığı kararıyla,”</w:t>
      </w:r>
    </w:p>
    <w:p w14:paraId="6610829A" w14:textId="77777777" w:rsidR="0016009E" w:rsidRDefault="0016009E" w:rsidP="0016009E">
      <w:pPr>
        <w:rPr>
          <w:rFonts w:eastAsiaTheme="minorHAnsi"/>
          <w:sz w:val="20"/>
          <w:szCs w:val="20"/>
        </w:rPr>
      </w:pPr>
    </w:p>
    <w:p w14:paraId="226F28D6" w14:textId="77777777" w:rsidR="0016009E" w:rsidRPr="00AE6816" w:rsidRDefault="0016009E" w:rsidP="0025080A">
      <w:pPr>
        <w:pStyle w:val="ListeParagraf"/>
        <w:numPr>
          <w:ilvl w:val="0"/>
          <w:numId w:val="31"/>
        </w:numPr>
        <w:rPr>
          <w:rFonts w:eastAsiaTheme="minorHAnsi"/>
        </w:rPr>
      </w:pPr>
      <w:r w:rsidRPr="00AE6816">
        <w:rPr>
          <w:rFonts w:eastAsiaTheme="minorHAnsi"/>
        </w:rPr>
        <w:t>18 inci maddesinin sonuna aşağıdaki fıkra eklenmiştir.</w:t>
      </w:r>
    </w:p>
    <w:p w14:paraId="1D7E59E2" w14:textId="77777777" w:rsidR="0016009E" w:rsidRDefault="0016009E" w:rsidP="0016009E">
      <w:pPr>
        <w:pStyle w:val="ListeParagraf"/>
        <w:ind w:left="1440"/>
        <w:rPr>
          <w:rFonts w:eastAsiaTheme="minorHAnsi"/>
        </w:rPr>
      </w:pPr>
    </w:p>
    <w:p w14:paraId="134AF92A" w14:textId="77777777" w:rsidR="0016009E" w:rsidRPr="00AE6816" w:rsidRDefault="0016009E" w:rsidP="0016009E">
      <w:pPr>
        <w:pStyle w:val="ListeParagraf"/>
        <w:ind w:left="1440"/>
        <w:rPr>
          <w:rFonts w:eastAsiaTheme="minorHAnsi"/>
        </w:rPr>
      </w:pPr>
      <w:r w:rsidRPr="00AE6816">
        <w:rPr>
          <w:rFonts w:eastAsiaTheme="minorHAnsi"/>
        </w:rPr>
        <w:t>“LPG Dağıtıcı ve LPG Depolama Lisansı sahibi bir tüzel kişinin ortaklık yapısında, yönetim organı ile üst düzeyde temsil ve ilzama yetkili olanlarında değişiklik olması halinde lisans sahibi, değişikliğin gerçekleşmesinden veya değişikliğin Türkiye Ticaret Sicili Gazetesinde yayımlanması gereken bir değişiklik olması durumunda Türkiye Ticaret Sicili Gazetesinde yayımlanmasından itibaren en geç altı ay içerisinde bu durumu aşağıdaki belgelerle birlikte Kuruma bildirir:</w:t>
      </w:r>
    </w:p>
    <w:p w14:paraId="3E456D5D" w14:textId="77777777" w:rsidR="0016009E" w:rsidRPr="00AE6816" w:rsidRDefault="0016009E" w:rsidP="0016009E">
      <w:pPr>
        <w:pStyle w:val="ListeParagraf"/>
        <w:ind w:left="1440"/>
        <w:rPr>
          <w:rFonts w:eastAsiaTheme="minorHAnsi"/>
        </w:rPr>
      </w:pPr>
      <w:r w:rsidRPr="00AE6816">
        <w:rPr>
          <w:rFonts w:eastAsiaTheme="minorHAnsi"/>
        </w:rPr>
        <w:t>a) Dernek, vakıf, kooperatifler ve halka açık hisse sahiplerindeki değişiklikler yönünden anonim şirketler hariç olmak üzere, lisans sahibi tüzel kişinin ortaklık yapısında değişiklik olması halinde, söz konusu değişikliğin iradi olması durumunda pay devrine ilişkin sözleşmenin noter onaylı örneği ya da değişikliğe ilişkin Türkiye Ticaret Sicil Gazetesi; değişikliğin miras, mal rejimi ya da cebri icradan kaynaklanması hâlinde ise bunları gösterir belgeler,</w:t>
      </w:r>
    </w:p>
    <w:p w14:paraId="08816FF7" w14:textId="77777777" w:rsidR="0016009E" w:rsidRPr="00AE6816" w:rsidRDefault="0016009E" w:rsidP="0016009E">
      <w:pPr>
        <w:pStyle w:val="ListeParagraf"/>
        <w:ind w:left="1440"/>
        <w:rPr>
          <w:rFonts w:eastAsiaTheme="minorHAnsi"/>
        </w:rPr>
      </w:pPr>
      <w:r w:rsidRPr="00AE6816">
        <w:rPr>
          <w:rFonts w:eastAsiaTheme="minorHAnsi"/>
        </w:rPr>
        <w:t>b) Lisans sahibi tüzel kişinin yönetim organında değişiklik olması halinde değişikliğe ilişkin kararın yayımlandığı Türkiye Ticaret Sicil Gazetesi,</w:t>
      </w:r>
    </w:p>
    <w:p w14:paraId="68B10EC6" w14:textId="77777777" w:rsidR="0016009E" w:rsidRPr="00AE6816" w:rsidRDefault="0016009E" w:rsidP="0016009E">
      <w:pPr>
        <w:pStyle w:val="ListeParagraf"/>
        <w:ind w:left="1440"/>
        <w:rPr>
          <w:rFonts w:eastAsiaTheme="minorHAnsi"/>
        </w:rPr>
      </w:pPr>
      <w:r w:rsidRPr="00AE6816">
        <w:rPr>
          <w:rFonts w:eastAsiaTheme="minorHAnsi"/>
        </w:rPr>
        <w:t>c) Lisans sahibi tüzel kişinin temsil ve ilzama yetkililerinde değişiklik olması halinde noter onaylı yeni yetki belgesi.”</w:t>
      </w:r>
    </w:p>
    <w:p w14:paraId="6B90BD09" w14:textId="77777777" w:rsidR="0016009E" w:rsidRPr="00C2183E" w:rsidRDefault="0016009E" w:rsidP="0016009E">
      <w:pPr>
        <w:pStyle w:val="ListeParagraf"/>
        <w:ind w:left="1440"/>
        <w:rPr>
          <w:rFonts w:eastAsiaTheme="minorHAnsi"/>
          <w:sz w:val="20"/>
          <w:szCs w:val="20"/>
        </w:rPr>
      </w:pPr>
    </w:p>
    <w:p w14:paraId="2AB0ECD2" w14:textId="77777777" w:rsidR="0016009E" w:rsidRDefault="0016009E" w:rsidP="0025080A">
      <w:pPr>
        <w:pStyle w:val="ListeParagraf"/>
        <w:numPr>
          <w:ilvl w:val="0"/>
          <w:numId w:val="31"/>
        </w:numPr>
        <w:rPr>
          <w:rFonts w:eastAsiaTheme="minorHAnsi"/>
        </w:rPr>
      </w:pPr>
      <w:proofErr w:type="gramStart"/>
      <w:r w:rsidRPr="00AE6816">
        <w:rPr>
          <w:rFonts w:eastAsiaTheme="minorHAnsi"/>
        </w:rPr>
        <w:t>20 nci</w:t>
      </w:r>
      <w:proofErr w:type="gramEnd"/>
      <w:r w:rsidRPr="00AE6816">
        <w:rPr>
          <w:rFonts w:eastAsiaTheme="minorHAnsi"/>
        </w:rPr>
        <w:t xml:space="preserve"> maddesinin birinci fıkrasının (b) bendi aşağıdaki şekilde değiştirilmiştir.</w:t>
      </w:r>
    </w:p>
    <w:p w14:paraId="6079F327" w14:textId="77777777" w:rsidR="0016009E" w:rsidRPr="00C2183E" w:rsidRDefault="0016009E" w:rsidP="0016009E">
      <w:pPr>
        <w:pStyle w:val="ListeParagraf"/>
        <w:ind w:left="1440"/>
        <w:rPr>
          <w:rFonts w:eastAsiaTheme="minorHAnsi"/>
        </w:rPr>
      </w:pPr>
    </w:p>
    <w:p w14:paraId="41720838" w14:textId="77777777" w:rsidR="0016009E" w:rsidRPr="0016009E" w:rsidRDefault="0016009E" w:rsidP="0016009E">
      <w:r w:rsidRPr="00AE6816">
        <w:rPr>
          <w:rFonts w:eastAsiaTheme="minorHAnsi"/>
        </w:rPr>
        <w:t>“</w:t>
      </w:r>
      <w:proofErr w:type="gramStart"/>
      <w:r w:rsidRPr="00AE6816">
        <w:rPr>
          <w:rFonts w:eastAsiaTheme="minorHAnsi"/>
        </w:rPr>
        <w:t>b</w:t>
      </w:r>
      <w:proofErr w:type="gramEnd"/>
      <w:r w:rsidRPr="00AE6816">
        <w:rPr>
          <w:rFonts w:eastAsiaTheme="minorHAnsi"/>
        </w:rPr>
        <w:t>) LPG taşıma faaliyetini teknik düzenlemelere, ilgili ve diğer mevzuata uygun yapmak, LPG taşımasında kullanacağı karayolu taşıma araçlarını (tüp taşıma araçları hariç) lisanslarına işlenmeksizin taşıt bildirim talep girişi yaparak elektronik ortamda Kuruma bildirmek,”</w:t>
      </w:r>
    </w:p>
    <w:p w14:paraId="4EB21925" w14:textId="77777777" w:rsidR="007967DB" w:rsidRPr="002048A7" w:rsidRDefault="001D2DA2" w:rsidP="00577AAF">
      <w:pPr>
        <w:pStyle w:val="Balk3"/>
        <w:numPr>
          <w:ilvl w:val="2"/>
          <w:numId w:val="11"/>
        </w:numPr>
        <w:spacing w:after="240"/>
        <w:rPr>
          <w:rFonts w:asciiTheme="minorHAnsi" w:hAnsiTheme="minorHAnsi"/>
          <w:color w:val="auto"/>
        </w:rPr>
      </w:pPr>
      <w:bookmarkStart w:id="86" w:name="_Toc442431250"/>
      <w:bookmarkStart w:id="87" w:name="_Toc6684445"/>
      <w:bookmarkStart w:id="88" w:name="_Toc195868685"/>
      <w:r w:rsidRPr="002048A7">
        <w:rPr>
          <w:rFonts w:asciiTheme="minorHAnsi" w:hAnsiTheme="minorHAnsi"/>
          <w:color w:val="auto"/>
        </w:rPr>
        <w:t>Tebliğler</w:t>
      </w:r>
      <w:bookmarkEnd w:id="86"/>
      <w:bookmarkEnd w:id="87"/>
      <w:bookmarkEnd w:id="88"/>
    </w:p>
    <w:p w14:paraId="217B8140" w14:textId="77777777" w:rsidR="001D2DA2" w:rsidRDefault="00134610" w:rsidP="001D2DA2">
      <w:pPr>
        <w:spacing w:after="0"/>
        <w:rPr>
          <w:color w:val="000000" w:themeColor="text1"/>
        </w:rPr>
      </w:pPr>
      <w:r w:rsidRPr="002048A7">
        <w:rPr>
          <w:color w:val="000000" w:themeColor="text1"/>
        </w:rPr>
        <w:t>202</w:t>
      </w:r>
      <w:r w:rsidR="00CA176B">
        <w:rPr>
          <w:color w:val="000000" w:themeColor="text1"/>
        </w:rPr>
        <w:t>4</w:t>
      </w:r>
      <w:r w:rsidR="001D2DA2" w:rsidRPr="002048A7">
        <w:rPr>
          <w:color w:val="000000" w:themeColor="text1"/>
        </w:rPr>
        <w:t xml:space="preserve"> yılında LPG piyasasında aşağıda belirtilen Tebliğ çalışmaları yapılmıştır:</w:t>
      </w:r>
    </w:p>
    <w:p w14:paraId="1A1A41CE" w14:textId="77777777" w:rsidR="00CA176B" w:rsidRDefault="00CA176B" w:rsidP="001D2DA2">
      <w:pPr>
        <w:spacing w:after="0"/>
        <w:rPr>
          <w:color w:val="000000" w:themeColor="text1"/>
        </w:rPr>
      </w:pPr>
    </w:p>
    <w:p w14:paraId="7C5B2F3C" w14:textId="77777777" w:rsidR="00CA176B" w:rsidRPr="002048A7" w:rsidRDefault="00CA176B" w:rsidP="0025080A">
      <w:pPr>
        <w:pStyle w:val="ListeParagraf"/>
        <w:numPr>
          <w:ilvl w:val="0"/>
          <w:numId w:val="24"/>
        </w:numPr>
        <w:spacing w:after="160" w:line="259" w:lineRule="auto"/>
        <w:rPr>
          <w:b/>
        </w:rPr>
      </w:pPr>
      <w:r>
        <w:t>09</w:t>
      </w:r>
      <w:r w:rsidRPr="002048A7">
        <w:t>.0</w:t>
      </w:r>
      <w:r>
        <w:t>1</w:t>
      </w:r>
      <w:r w:rsidRPr="002048A7">
        <w:t>.202</w:t>
      </w:r>
      <w:r>
        <w:t>4</w:t>
      </w:r>
      <w:r w:rsidRPr="002048A7">
        <w:t xml:space="preserve"> tarih ve 32</w:t>
      </w:r>
      <w:r>
        <w:t>424</w:t>
      </w:r>
      <w:r w:rsidRPr="002048A7">
        <w:t xml:space="preserve"> sayılı Resmî Gazetede yayımlanan Değişiklik Tebliği ile </w:t>
      </w:r>
      <w:r w:rsidRPr="00CA176B">
        <w:rPr>
          <w:b/>
        </w:rPr>
        <w:t>Sıvılaştırılmış Petrol Gazları (LPG) Tüplerinin Piyasada Takip Edilmesine İlişkin Tebliğin</w:t>
      </w:r>
    </w:p>
    <w:p w14:paraId="513001DD" w14:textId="77777777" w:rsidR="00CA176B" w:rsidRPr="002048A7" w:rsidRDefault="00CA176B" w:rsidP="00CA176B">
      <w:pPr>
        <w:pStyle w:val="ListeParagraf"/>
        <w:rPr>
          <w:b/>
        </w:rPr>
      </w:pPr>
    </w:p>
    <w:p w14:paraId="39C458DF" w14:textId="77777777" w:rsidR="00CA176B" w:rsidRDefault="00CA176B" w:rsidP="0025080A">
      <w:pPr>
        <w:pStyle w:val="ListeParagraf"/>
        <w:numPr>
          <w:ilvl w:val="0"/>
          <w:numId w:val="25"/>
        </w:numPr>
        <w:spacing w:after="160" w:line="259" w:lineRule="auto"/>
        <w:jc w:val="left"/>
      </w:pPr>
      <w:r w:rsidRPr="00CA176B">
        <w:t>Geçici</w:t>
      </w:r>
      <w:r>
        <w:t xml:space="preserve"> </w:t>
      </w:r>
      <w:r w:rsidRPr="00CA176B">
        <w:t>1 inci maddesi aşağıdaki şekilde değiştirilmiştir.</w:t>
      </w:r>
    </w:p>
    <w:p w14:paraId="3C9237D5" w14:textId="77777777" w:rsidR="00CA176B" w:rsidRPr="00CA176B" w:rsidRDefault="00CA176B" w:rsidP="00CA176B">
      <w:pPr>
        <w:pStyle w:val="ListeParagraf"/>
        <w:spacing w:after="160" w:line="259" w:lineRule="auto"/>
        <w:ind w:left="1440"/>
        <w:jc w:val="left"/>
      </w:pPr>
    </w:p>
    <w:p w14:paraId="5074B188" w14:textId="77777777" w:rsidR="00782DC6" w:rsidRDefault="00CA176B" w:rsidP="00CA176B">
      <w:pPr>
        <w:pStyle w:val="ListeParagraf"/>
        <w:spacing w:after="0"/>
        <w:ind w:left="1440"/>
        <w:rPr>
          <w:i/>
        </w:rPr>
      </w:pPr>
      <w:r w:rsidRPr="00CA176B">
        <w:rPr>
          <w:i/>
        </w:rPr>
        <w:t>“GEÇİCİ MADDE 1- (1) Dağıtıcılar 31/12/2024 tarihine kadar takip sistemini kurar, bu tarihten itibaren kimliklendirilmemiş veya karekod etiketine sahip olmayan dolu LPG tüpleri dolum tesislerinde bulundurulmaz, bu tüplerin dolumu ve satışı yapılmaz.”</w:t>
      </w:r>
    </w:p>
    <w:p w14:paraId="27CB8F5E" w14:textId="77777777" w:rsidR="00790D29" w:rsidRDefault="00790D29" w:rsidP="00CA176B">
      <w:pPr>
        <w:pStyle w:val="ListeParagraf"/>
        <w:spacing w:after="0"/>
        <w:ind w:left="1440"/>
        <w:rPr>
          <w:i/>
        </w:rPr>
      </w:pPr>
    </w:p>
    <w:p w14:paraId="4747BE46" w14:textId="77777777" w:rsidR="00790D29" w:rsidRPr="002048A7" w:rsidRDefault="00790D29" w:rsidP="0025080A">
      <w:pPr>
        <w:pStyle w:val="ListeParagraf"/>
        <w:numPr>
          <w:ilvl w:val="0"/>
          <w:numId w:val="24"/>
        </w:numPr>
        <w:spacing w:after="160" w:line="259" w:lineRule="auto"/>
        <w:rPr>
          <w:b/>
        </w:rPr>
      </w:pPr>
      <w:r>
        <w:t>14</w:t>
      </w:r>
      <w:r w:rsidRPr="002048A7">
        <w:t>.</w:t>
      </w:r>
      <w:r>
        <w:t>12</w:t>
      </w:r>
      <w:r w:rsidRPr="002048A7">
        <w:t>.202</w:t>
      </w:r>
      <w:r>
        <w:t>4</w:t>
      </w:r>
      <w:r w:rsidRPr="002048A7">
        <w:t xml:space="preserve"> tarih ve 32</w:t>
      </w:r>
      <w:r>
        <w:t>752</w:t>
      </w:r>
      <w:r w:rsidRPr="002048A7">
        <w:t xml:space="preserve"> sayılı Resmî Gazetede yayımlanan Değişiklik Tebliği ile </w:t>
      </w:r>
      <w:r w:rsidRPr="00790D29">
        <w:rPr>
          <w:b/>
        </w:rPr>
        <w:t>Sıvılaştırılmış Petrol Gazları (LPG) Tüplerinin Piyasada Takip Edilmesine İlişkin Tebliğin</w:t>
      </w:r>
    </w:p>
    <w:p w14:paraId="265B54F4" w14:textId="77777777" w:rsidR="00790D29" w:rsidRPr="002048A7" w:rsidRDefault="00790D29" w:rsidP="00790D29">
      <w:pPr>
        <w:pStyle w:val="ListeParagraf"/>
        <w:rPr>
          <w:b/>
        </w:rPr>
      </w:pPr>
    </w:p>
    <w:p w14:paraId="18D6E019" w14:textId="77777777" w:rsidR="00790D29" w:rsidRDefault="00790D29" w:rsidP="0025080A">
      <w:pPr>
        <w:pStyle w:val="ListeParagraf"/>
        <w:numPr>
          <w:ilvl w:val="0"/>
          <w:numId w:val="25"/>
        </w:numPr>
        <w:spacing w:after="160" w:line="259" w:lineRule="auto"/>
        <w:jc w:val="left"/>
      </w:pPr>
      <w:r w:rsidRPr="00CA176B">
        <w:t>Geçici</w:t>
      </w:r>
      <w:r>
        <w:t xml:space="preserve"> </w:t>
      </w:r>
      <w:r w:rsidRPr="00CA176B">
        <w:t>1 inci maddesi aşağıdaki şekilde değiştirilmiştir.</w:t>
      </w:r>
    </w:p>
    <w:p w14:paraId="065FCF31" w14:textId="77777777" w:rsidR="00790D29" w:rsidRPr="00CA176B" w:rsidRDefault="00790D29" w:rsidP="00790D29">
      <w:pPr>
        <w:pStyle w:val="ListeParagraf"/>
        <w:spacing w:after="160" w:line="259" w:lineRule="auto"/>
        <w:ind w:left="1440"/>
        <w:jc w:val="left"/>
      </w:pPr>
    </w:p>
    <w:p w14:paraId="249C2F71" w14:textId="77777777" w:rsidR="00790D29" w:rsidRDefault="00790D29" w:rsidP="00790D29">
      <w:pPr>
        <w:pStyle w:val="ListeParagraf"/>
        <w:spacing w:after="0"/>
        <w:ind w:left="1440"/>
        <w:rPr>
          <w:i/>
        </w:rPr>
      </w:pPr>
      <w:r w:rsidRPr="00790D29">
        <w:rPr>
          <w:i/>
        </w:rPr>
        <w:t>“GEÇİCİ MADDE 1- (1) Dağıtıcılar 31/12/2025 tarihine kadar takip sistemini kurar, bu tarihten itibaren kimliklendirilmemiş veya karekod etiketine sahip olmayan dolu LPG tüpleri dolum tesislerinde bulundurulmaz, bu tüplerin dolumu ve satışı yapılmaz.”</w:t>
      </w:r>
    </w:p>
    <w:p w14:paraId="16D4D513" w14:textId="77777777" w:rsidR="00CA176B" w:rsidRPr="00CA176B" w:rsidRDefault="00CA176B" w:rsidP="00CA176B">
      <w:pPr>
        <w:pStyle w:val="ListeParagraf"/>
        <w:spacing w:after="0"/>
        <w:ind w:left="1440"/>
        <w:rPr>
          <w:color w:val="000000" w:themeColor="text1"/>
        </w:rPr>
      </w:pPr>
    </w:p>
    <w:p w14:paraId="7DFEF744" w14:textId="77777777" w:rsidR="00F72FA5" w:rsidRPr="002048A7" w:rsidRDefault="00F72FA5" w:rsidP="0025080A">
      <w:pPr>
        <w:pStyle w:val="ListeParagraf"/>
        <w:numPr>
          <w:ilvl w:val="0"/>
          <w:numId w:val="14"/>
        </w:numPr>
        <w:spacing w:after="0"/>
        <w:rPr>
          <w:rFonts w:ascii="Calibri" w:hAnsi="Calibri"/>
          <w:bCs/>
        </w:rPr>
      </w:pPr>
      <w:r w:rsidRPr="002048A7">
        <w:rPr>
          <w:rFonts w:ascii="Calibri" w:hAnsi="Calibri"/>
          <w:bCs/>
        </w:rPr>
        <w:lastRenderedPageBreak/>
        <w:t>2</w:t>
      </w:r>
      <w:r w:rsidR="00CA176B">
        <w:rPr>
          <w:rFonts w:ascii="Calibri" w:hAnsi="Calibri"/>
          <w:bCs/>
        </w:rPr>
        <w:t>6</w:t>
      </w:r>
      <w:r w:rsidRPr="002048A7">
        <w:rPr>
          <w:rFonts w:ascii="Calibri" w:hAnsi="Calibri"/>
          <w:bCs/>
        </w:rPr>
        <w:t>.12.202</w:t>
      </w:r>
      <w:r w:rsidR="00CA176B">
        <w:rPr>
          <w:rFonts w:ascii="Calibri" w:hAnsi="Calibri"/>
          <w:bCs/>
        </w:rPr>
        <w:t>4</w:t>
      </w:r>
      <w:r w:rsidRPr="002048A7">
        <w:rPr>
          <w:rFonts w:ascii="Calibri" w:hAnsi="Calibri"/>
          <w:bCs/>
        </w:rPr>
        <w:t xml:space="preserve"> tarihli ve 32</w:t>
      </w:r>
      <w:r w:rsidR="00CA176B">
        <w:rPr>
          <w:rFonts w:ascii="Calibri" w:hAnsi="Calibri"/>
          <w:bCs/>
        </w:rPr>
        <w:t>764</w:t>
      </w:r>
      <w:r w:rsidRPr="002048A7">
        <w:rPr>
          <w:rFonts w:ascii="Calibri" w:hAnsi="Calibri"/>
          <w:bCs/>
        </w:rPr>
        <w:t xml:space="preserve"> sayılı Resmî Gazetede yayımlanan</w:t>
      </w:r>
      <w:r w:rsidR="00BA3B20">
        <w:rPr>
          <w:rFonts w:ascii="Calibri" w:hAnsi="Calibri"/>
          <w:bCs/>
        </w:rPr>
        <w:t xml:space="preserve"> </w:t>
      </w:r>
      <w:r w:rsidR="00BA3B20" w:rsidRPr="002048A7">
        <w:t>5307 Sayılı Sıvılaştırılmış Petrol Gazları (LPG) Piyasası Kanunu Ve Elektrik Piyasası Kanununda Değişiklik Yapılmasına Dair Kanunun 16’ncı Maddesi Uyarınca 202</w:t>
      </w:r>
      <w:r w:rsidR="00CA176B">
        <w:t>5</w:t>
      </w:r>
      <w:r w:rsidR="00BA3B20" w:rsidRPr="002048A7">
        <w:t xml:space="preserve"> Yılında Uygulanacak İdari Para Cezaları Hakkında Tebliğ</w:t>
      </w:r>
      <w:r w:rsidR="00BA3B20">
        <w:t xml:space="preserve"> ile,</w:t>
      </w:r>
      <w:r w:rsidRPr="002048A7">
        <w:rPr>
          <w:rFonts w:ascii="Calibri" w:hAnsi="Calibri"/>
          <w:bCs/>
        </w:rPr>
        <w:t xml:space="preserve"> Kanunun 16 ncı maddesinde düzenlenmiş olan idari para cezaları 2</w:t>
      </w:r>
      <w:r w:rsidR="00CA176B">
        <w:rPr>
          <w:rFonts w:ascii="Calibri" w:hAnsi="Calibri"/>
          <w:bCs/>
        </w:rPr>
        <w:t>7</w:t>
      </w:r>
      <w:r w:rsidRPr="002048A7">
        <w:rPr>
          <w:rFonts w:ascii="Calibri" w:hAnsi="Calibri"/>
          <w:bCs/>
        </w:rPr>
        <w:t>/11/202</w:t>
      </w:r>
      <w:r w:rsidR="00CA176B">
        <w:rPr>
          <w:rFonts w:ascii="Calibri" w:hAnsi="Calibri"/>
          <w:bCs/>
        </w:rPr>
        <w:t>4</w:t>
      </w:r>
      <w:r w:rsidRPr="002048A7">
        <w:rPr>
          <w:rFonts w:ascii="Calibri" w:hAnsi="Calibri"/>
          <w:bCs/>
        </w:rPr>
        <w:t xml:space="preserve"> tarihli ve 32</w:t>
      </w:r>
      <w:r w:rsidR="00CA176B">
        <w:rPr>
          <w:rFonts w:ascii="Calibri" w:hAnsi="Calibri"/>
          <w:bCs/>
        </w:rPr>
        <w:t>735</w:t>
      </w:r>
      <w:r w:rsidRPr="002048A7">
        <w:rPr>
          <w:rFonts w:ascii="Calibri" w:hAnsi="Calibri"/>
          <w:bCs/>
        </w:rPr>
        <w:t xml:space="preserve"> sayılı Resmî Gazetede yayımlanan Vergi Usul Kanunu Genel Tebliği (Sıra No: 5</w:t>
      </w:r>
      <w:r w:rsidR="00CA176B">
        <w:rPr>
          <w:rFonts w:ascii="Calibri" w:hAnsi="Calibri"/>
          <w:bCs/>
        </w:rPr>
        <w:t>7</w:t>
      </w:r>
      <w:r w:rsidRPr="002048A7">
        <w:rPr>
          <w:rFonts w:ascii="Calibri" w:hAnsi="Calibri"/>
          <w:bCs/>
        </w:rPr>
        <w:t>4)’nde 202</w:t>
      </w:r>
      <w:r w:rsidR="00CA176B">
        <w:rPr>
          <w:rFonts w:ascii="Calibri" w:hAnsi="Calibri"/>
          <w:bCs/>
        </w:rPr>
        <w:t>4</w:t>
      </w:r>
      <w:r w:rsidRPr="002048A7">
        <w:rPr>
          <w:rFonts w:ascii="Calibri" w:hAnsi="Calibri"/>
          <w:bCs/>
        </w:rPr>
        <w:t xml:space="preserve"> yılı için yeniden değerleme oranı olarak tespit edilen </w:t>
      </w:r>
      <w:r w:rsidR="00CA176B" w:rsidRPr="00CA176B">
        <w:rPr>
          <w:rFonts w:ascii="Calibri" w:hAnsi="Calibri"/>
          <w:bCs/>
        </w:rPr>
        <w:t xml:space="preserve">% 43,93 (kırk üç virgül doksan üç) </w:t>
      </w:r>
      <w:r w:rsidRPr="002048A7">
        <w:rPr>
          <w:rFonts w:ascii="Calibri" w:hAnsi="Calibri"/>
          <w:bCs/>
        </w:rPr>
        <w:t>oranında artırıl</w:t>
      </w:r>
      <w:r w:rsidR="00BA3B20">
        <w:rPr>
          <w:rFonts w:ascii="Calibri" w:hAnsi="Calibri"/>
          <w:bCs/>
        </w:rPr>
        <w:t>mıştır.</w:t>
      </w:r>
    </w:p>
    <w:p w14:paraId="3960E2D7" w14:textId="77777777" w:rsidR="007967DB" w:rsidRPr="002048A7" w:rsidRDefault="001D2DA2" w:rsidP="00577AAF">
      <w:pPr>
        <w:pStyle w:val="Balk3"/>
        <w:numPr>
          <w:ilvl w:val="2"/>
          <w:numId w:val="11"/>
        </w:numPr>
        <w:spacing w:after="240"/>
        <w:rPr>
          <w:rFonts w:asciiTheme="minorHAnsi" w:hAnsiTheme="minorHAnsi"/>
          <w:color w:val="auto"/>
        </w:rPr>
      </w:pPr>
      <w:bookmarkStart w:id="89" w:name="_Toc442431251"/>
      <w:bookmarkStart w:id="90" w:name="_Toc6684446"/>
      <w:bookmarkStart w:id="91" w:name="_Toc195868686"/>
      <w:r w:rsidRPr="002048A7">
        <w:rPr>
          <w:rFonts w:asciiTheme="minorHAnsi" w:hAnsiTheme="minorHAnsi"/>
          <w:color w:val="auto"/>
        </w:rPr>
        <w:t>Kurul Kararları</w:t>
      </w:r>
      <w:bookmarkEnd w:id="89"/>
      <w:bookmarkEnd w:id="90"/>
      <w:bookmarkEnd w:id="91"/>
    </w:p>
    <w:p w14:paraId="54EB24C0" w14:textId="77777777" w:rsidR="003F0825" w:rsidRDefault="003F0825" w:rsidP="003F0825">
      <w:pPr>
        <w:spacing w:after="0"/>
        <w:rPr>
          <w:rFonts w:ascii="Calibri" w:hAnsi="Calibri" w:cs="Calibri"/>
          <w:color w:val="000000"/>
        </w:rPr>
      </w:pPr>
      <w:r w:rsidRPr="002048A7">
        <w:rPr>
          <w:rFonts w:ascii="Calibri" w:hAnsi="Calibri" w:cs="Calibri"/>
          <w:color w:val="000000"/>
        </w:rPr>
        <w:t>202</w:t>
      </w:r>
      <w:r w:rsidR="00060831">
        <w:rPr>
          <w:rFonts w:ascii="Calibri" w:hAnsi="Calibri" w:cs="Calibri"/>
          <w:color w:val="000000"/>
        </w:rPr>
        <w:t>4</w:t>
      </w:r>
      <w:r w:rsidRPr="002048A7">
        <w:rPr>
          <w:rFonts w:ascii="Calibri" w:hAnsi="Calibri" w:cs="Calibri"/>
          <w:color w:val="000000"/>
        </w:rPr>
        <w:t xml:space="preserve"> yılında LPG piyasasında düzenleyici işlem niteliğinde aşağıdaki Kurul Kararları ihdas edilmiştir</w:t>
      </w:r>
      <w:r w:rsidR="00061520" w:rsidRPr="002048A7">
        <w:rPr>
          <w:rFonts w:ascii="Calibri" w:hAnsi="Calibri" w:cs="Calibri"/>
          <w:color w:val="000000"/>
        </w:rPr>
        <w:t>.</w:t>
      </w:r>
    </w:p>
    <w:p w14:paraId="5BEDC100" w14:textId="77777777" w:rsidR="00ED7796" w:rsidRPr="002048A7" w:rsidRDefault="00ED7796" w:rsidP="003F0825">
      <w:pPr>
        <w:spacing w:after="0"/>
        <w:rPr>
          <w:rFonts w:ascii="Calibri" w:hAnsi="Calibri" w:cs="Calibri"/>
          <w:color w:val="000000"/>
        </w:rPr>
      </w:pPr>
    </w:p>
    <w:tbl>
      <w:tblPr>
        <w:tblStyle w:val="TabloKlavuzu"/>
        <w:tblW w:w="0" w:type="auto"/>
        <w:tblLook w:val="04A0" w:firstRow="1" w:lastRow="0" w:firstColumn="1" w:lastColumn="0" w:noHBand="0" w:noVBand="1"/>
      </w:tblPr>
      <w:tblGrid>
        <w:gridCol w:w="2547"/>
        <w:gridCol w:w="7365"/>
      </w:tblGrid>
      <w:tr w:rsidR="002E3201" w:rsidRPr="002048A7" w14:paraId="597C4506" w14:textId="77777777" w:rsidTr="007E5FBA">
        <w:tc>
          <w:tcPr>
            <w:tcW w:w="2547" w:type="dxa"/>
          </w:tcPr>
          <w:p w14:paraId="4B120261" w14:textId="77777777" w:rsidR="002E3201" w:rsidRPr="002048A7" w:rsidRDefault="003F0825" w:rsidP="007E5FBA">
            <w:pPr>
              <w:jc w:val="center"/>
              <w:rPr>
                <w:rFonts w:cstheme="minorHAnsi"/>
                <w:b/>
                <w:color w:val="000000" w:themeColor="text1"/>
              </w:rPr>
            </w:pPr>
            <w:r w:rsidRPr="002048A7">
              <w:rPr>
                <w:rFonts w:ascii="Calibri" w:hAnsi="Calibri" w:cs="Calibri"/>
                <w:color w:val="000000"/>
              </w:rPr>
              <w:t xml:space="preserve"> </w:t>
            </w:r>
            <w:r w:rsidR="00940CB5" w:rsidRPr="002048A7">
              <w:rPr>
                <w:rFonts w:cstheme="minorHAnsi"/>
                <w:b/>
                <w:color w:val="000000" w:themeColor="text1"/>
              </w:rPr>
              <w:t>Resmî</w:t>
            </w:r>
            <w:r w:rsidR="002E3201" w:rsidRPr="002048A7">
              <w:rPr>
                <w:rFonts w:cstheme="minorHAnsi"/>
                <w:b/>
                <w:color w:val="000000" w:themeColor="text1"/>
              </w:rPr>
              <w:t xml:space="preserve"> Gazete Tarih/Sayı</w:t>
            </w:r>
          </w:p>
          <w:p w14:paraId="0CF213DD" w14:textId="77777777" w:rsidR="002E3201" w:rsidRPr="002048A7" w:rsidRDefault="002E3201" w:rsidP="007E5FBA">
            <w:pPr>
              <w:jc w:val="center"/>
              <w:rPr>
                <w:rFonts w:cstheme="minorHAnsi"/>
                <w:b/>
                <w:color w:val="000000" w:themeColor="text1"/>
              </w:rPr>
            </w:pPr>
            <w:r w:rsidRPr="002048A7">
              <w:rPr>
                <w:rFonts w:cstheme="minorHAnsi"/>
                <w:b/>
                <w:color w:val="000000" w:themeColor="text1"/>
              </w:rPr>
              <w:t>Kurul Kararı Tarih/Sayı</w:t>
            </w:r>
          </w:p>
        </w:tc>
        <w:tc>
          <w:tcPr>
            <w:tcW w:w="7365" w:type="dxa"/>
          </w:tcPr>
          <w:p w14:paraId="3DF0C9D8" w14:textId="77777777" w:rsidR="002E3201" w:rsidRPr="002048A7" w:rsidRDefault="002E3201" w:rsidP="007E5FBA">
            <w:pPr>
              <w:jc w:val="center"/>
              <w:rPr>
                <w:rFonts w:cstheme="minorHAnsi"/>
                <w:b/>
                <w:color w:val="000000" w:themeColor="text1"/>
              </w:rPr>
            </w:pPr>
            <w:r w:rsidRPr="002048A7">
              <w:rPr>
                <w:rFonts w:cstheme="minorHAnsi"/>
                <w:b/>
                <w:color w:val="000000" w:themeColor="text1"/>
              </w:rPr>
              <w:t>Konusu</w:t>
            </w:r>
          </w:p>
        </w:tc>
      </w:tr>
      <w:tr w:rsidR="00060831" w:rsidRPr="002048A7" w14:paraId="0F83CC47" w14:textId="77777777" w:rsidTr="007E5FBA">
        <w:tc>
          <w:tcPr>
            <w:tcW w:w="2547" w:type="dxa"/>
          </w:tcPr>
          <w:p w14:paraId="0F70E40E" w14:textId="77777777" w:rsidR="00060831" w:rsidRPr="002048A7" w:rsidRDefault="00060831" w:rsidP="00060831">
            <w:pPr>
              <w:rPr>
                <w:rFonts w:ascii="Calibri" w:hAnsi="Calibri" w:cs="Calibri"/>
                <w:color w:val="000000"/>
              </w:rPr>
            </w:pPr>
            <w:r>
              <w:rPr>
                <w:rFonts w:ascii="Calibri" w:hAnsi="Calibri" w:cs="Calibri"/>
                <w:color w:val="000000"/>
              </w:rPr>
              <w:t>23</w:t>
            </w:r>
            <w:r w:rsidRPr="002048A7">
              <w:rPr>
                <w:rFonts w:ascii="Calibri" w:hAnsi="Calibri" w:cs="Calibri"/>
                <w:color w:val="000000"/>
              </w:rPr>
              <w:t>.</w:t>
            </w:r>
            <w:r>
              <w:rPr>
                <w:rFonts w:ascii="Calibri" w:hAnsi="Calibri" w:cs="Calibri"/>
                <w:color w:val="000000"/>
              </w:rPr>
              <w:t>11.</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 32</w:t>
            </w:r>
            <w:r>
              <w:rPr>
                <w:rFonts w:ascii="Calibri" w:hAnsi="Calibri" w:cs="Calibri"/>
                <w:color w:val="000000"/>
              </w:rPr>
              <w:t>731</w:t>
            </w:r>
            <w:r w:rsidRPr="002048A7">
              <w:rPr>
                <w:rFonts w:ascii="Calibri" w:hAnsi="Calibri" w:cs="Calibri"/>
                <w:color w:val="000000"/>
              </w:rPr>
              <w:t xml:space="preserve"> </w:t>
            </w:r>
          </w:p>
          <w:p w14:paraId="78E99DA3" w14:textId="77777777" w:rsidR="00060831" w:rsidRDefault="00060831" w:rsidP="00060831">
            <w:pPr>
              <w:rPr>
                <w:rFonts w:ascii="Calibri" w:hAnsi="Calibri" w:cs="Calibri"/>
                <w:color w:val="000000"/>
              </w:rPr>
            </w:pPr>
            <w:r>
              <w:rPr>
                <w:rFonts w:ascii="Calibri" w:hAnsi="Calibri" w:cs="Calibri"/>
                <w:color w:val="000000"/>
              </w:rPr>
              <w:t>31</w:t>
            </w:r>
            <w:r w:rsidRPr="002048A7">
              <w:rPr>
                <w:rFonts w:ascii="Calibri" w:hAnsi="Calibri" w:cs="Calibri"/>
                <w:color w:val="000000"/>
              </w:rPr>
              <w:t>.</w:t>
            </w:r>
            <w:r>
              <w:rPr>
                <w:rFonts w:ascii="Calibri" w:hAnsi="Calibri" w:cs="Calibri"/>
                <w:color w:val="000000"/>
              </w:rPr>
              <w:t>10</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 1</w:t>
            </w:r>
            <w:r>
              <w:rPr>
                <w:rFonts w:ascii="Calibri" w:hAnsi="Calibri" w:cs="Calibri"/>
                <w:color w:val="000000"/>
              </w:rPr>
              <w:t>2963</w:t>
            </w:r>
          </w:p>
        </w:tc>
        <w:tc>
          <w:tcPr>
            <w:tcW w:w="7365" w:type="dxa"/>
          </w:tcPr>
          <w:p w14:paraId="35516B07" w14:textId="77777777" w:rsidR="00060831" w:rsidRPr="00060831" w:rsidRDefault="000E274F" w:rsidP="009833F3">
            <w:pPr>
              <w:rPr>
                <w:rFonts w:ascii="Calibri" w:hAnsi="Calibri" w:cs="Calibri"/>
                <w:color w:val="000000"/>
              </w:rPr>
            </w:pPr>
            <w:r w:rsidRPr="000E274F">
              <w:rPr>
                <w:rFonts w:ascii="Calibri" w:hAnsi="Calibri" w:cs="Calibri"/>
                <w:color w:val="000000"/>
              </w:rPr>
              <w:t xml:space="preserve">3727 Sayılı Sıvılaştırılmış Petrol Gazları (Lpg) Piyasasında Lisans Başvurusuna İlişkin Kurul Kararında Değişiklik Yapılmasına Dair Kurul Kararı  </w:t>
            </w:r>
          </w:p>
        </w:tc>
      </w:tr>
      <w:tr w:rsidR="00060831" w:rsidRPr="002048A7" w14:paraId="3E6047A7" w14:textId="77777777" w:rsidTr="007E5FBA">
        <w:tc>
          <w:tcPr>
            <w:tcW w:w="2547" w:type="dxa"/>
          </w:tcPr>
          <w:p w14:paraId="4E408660" w14:textId="77777777" w:rsidR="00060831" w:rsidRPr="002048A7" w:rsidRDefault="00060831" w:rsidP="00060831">
            <w:pPr>
              <w:rPr>
                <w:rFonts w:ascii="Calibri" w:hAnsi="Calibri" w:cs="Calibri"/>
                <w:color w:val="000000"/>
              </w:rPr>
            </w:pPr>
            <w:r>
              <w:rPr>
                <w:rFonts w:ascii="Calibri" w:hAnsi="Calibri" w:cs="Calibri"/>
                <w:color w:val="000000"/>
              </w:rPr>
              <w:t>23</w:t>
            </w:r>
            <w:r w:rsidRPr="002048A7">
              <w:rPr>
                <w:rFonts w:ascii="Calibri" w:hAnsi="Calibri" w:cs="Calibri"/>
                <w:color w:val="000000"/>
              </w:rPr>
              <w:t>.</w:t>
            </w:r>
            <w:r>
              <w:rPr>
                <w:rFonts w:ascii="Calibri" w:hAnsi="Calibri" w:cs="Calibri"/>
                <w:color w:val="000000"/>
              </w:rPr>
              <w:t>11.</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 32</w:t>
            </w:r>
            <w:r>
              <w:rPr>
                <w:rFonts w:ascii="Calibri" w:hAnsi="Calibri" w:cs="Calibri"/>
                <w:color w:val="000000"/>
              </w:rPr>
              <w:t>731</w:t>
            </w:r>
            <w:r w:rsidRPr="002048A7">
              <w:rPr>
                <w:rFonts w:ascii="Calibri" w:hAnsi="Calibri" w:cs="Calibri"/>
                <w:color w:val="000000"/>
              </w:rPr>
              <w:t xml:space="preserve"> </w:t>
            </w:r>
          </w:p>
          <w:p w14:paraId="1C6FEEC3" w14:textId="77777777" w:rsidR="00060831" w:rsidRDefault="00060831" w:rsidP="00060831">
            <w:pPr>
              <w:rPr>
                <w:rFonts w:ascii="Calibri" w:hAnsi="Calibri" w:cs="Calibri"/>
                <w:color w:val="000000"/>
              </w:rPr>
            </w:pPr>
            <w:r>
              <w:rPr>
                <w:rFonts w:ascii="Calibri" w:hAnsi="Calibri" w:cs="Calibri"/>
                <w:color w:val="000000"/>
              </w:rPr>
              <w:t>31</w:t>
            </w:r>
            <w:r w:rsidRPr="002048A7">
              <w:rPr>
                <w:rFonts w:ascii="Calibri" w:hAnsi="Calibri" w:cs="Calibri"/>
                <w:color w:val="000000"/>
              </w:rPr>
              <w:t>.</w:t>
            </w:r>
            <w:r>
              <w:rPr>
                <w:rFonts w:ascii="Calibri" w:hAnsi="Calibri" w:cs="Calibri"/>
                <w:color w:val="000000"/>
              </w:rPr>
              <w:t>10</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 1</w:t>
            </w:r>
            <w:r>
              <w:rPr>
                <w:rFonts w:ascii="Calibri" w:hAnsi="Calibri" w:cs="Calibri"/>
                <w:color w:val="000000"/>
              </w:rPr>
              <w:t>2964</w:t>
            </w:r>
          </w:p>
        </w:tc>
        <w:tc>
          <w:tcPr>
            <w:tcW w:w="7365" w:type="dxa"/>
          </w:tcPr>
          <w:p w14:paraId="0D27792C" w14:textId="77777777" w:rsidR="00060831" w:rsidRPr="00060831" w:rsidRDefault="00060831" w:rsidP="009833F3">
            <w:pPr>
              <w:rPr>
                <w:rFonts w:ascii="Calibri" w:hAnsi="Calibri" w:cs="Calibri"/>
                <w:color w:val="000000"/>
              </w:rPr>
            </w:pPr>
            <w:r w:rsidRPr="00060831">
              <w:rPr>
                <w:rFonts w:ascii="Calibri" w:hAnsi="Calibri" w:cs="Calibri"/>
                <w:color w:val="000000"/>
              </w:rPr>
              <w:t xml:space="preserve">5307 sayılı Sıvılaştırılmış Petrol Gazları (LPG) Piyasası Kanunu ve </w:t>
            </w:r>
            <w:proofErr w:type="gramStart"/>
            <w:r w:rsidRPr="00060831">
              <w:rPr>
                <w:rFonts w:ascii="Calibri" w:hAnsi="Calibri" w:cs="Calibri"/>
                <w:color w:val="000000"/>
              </w:rPr>
              <w:t>Elektrik Piyasası Kanununda</w:t>
            </w:r>
            <w:proofErr w:type="gramEnd"/>
            <w:r w:rsidRPr="00060831">
              <w:rPr>
                <w:rFonts w:ascii="Calibri" w:hAnsi="Calibri" w:cs="Calibri"/>
                <w:color w:val="000000"/>
              </w:rPr>
              <w:t xml:space="preserve"> Değişiklik Yapılmasına Dair Kanun ve ilgili mevzuat mucibinde LPG piyasasında yürütülen lisans işlemleri, kupon sistemi ve LPG Dağıtıcı ve LPG Depolama Lisansı sahibi bir tüzel kişinin ortaklık yapısı bildirimi kapsamında</w:t>
            </w:r>
          </w:p>
        </w:tc>
      </w:tr>
      <w:tr w:rsidR="00060831" w:rsidRPr="002048A7" w14:paraId="1CE92C76" w14:textId="77777777" w:rsidTr="007E5FBA">
        <w:tc>
          <w:tcPr>
            <w:tcW w:w="2547" w:type="dxa"/>
          </w:tcPr>
          <w:p w14:paraId="0EA9B421" w14:textId="77777777" w:rsidR="00060831" w:rsidRPr="002048A7" w:rsidRDefault="00060831" w:rsidP="00060831">
            <w:pPr>
              <w:rPr>
                <w:rFonts w:ascii="Calibri" w:hAnsi="Calibri" w:cs="Calibri"/>
                <w:color w:val="000000"/>
              </w:rPr>
            </w:pPr>
            <w:r>
              <w:rPr>
                <w:rFonts w:ascii="Calibri" w:hAnsi="Calibri" w:cs="Calibri"/>
                <w:color w:val="000000"/>
              </w:rPr>
              <w:t>17</w:t>
            </w:r>
            <w:r w:rsidRPr="002048A7">
              <w:rPr>
                <w:rFonts w:ascii="Calibri" w:hAnsi="Calibri" w:cs="Calibri"/>
                <w:color w:val="000000"/>
              </w:rPr>
              <w:t>.</w:t>
            </w:r>
            <w:r>
              <w:rPr>
                <w:rFonts w:ascii="Calibri" w:hAnsi="Calibri" w:cs="Calibri"/>
                <w:color w:val="000000"/>
              </w:rPr>
              <w:t>12.</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 </w:t>
            </w:r>
            <w:r>
              <w:rPr>
                <w:rFonts w:ascii="Calibri" w:hAnsi="Calibri" w:cs="Calibri"/>
                <w:color w:val="000000"/>
              </w:rPr>
              <w:t>32755</w:t>
            </w:r>
            <w:r w:rsidRPr="002048A7">
              <w:rPr>
                <w:rFonts w:ascii="Calibri" w:hAnsi="Calibri" w:cs="Calibri"/>
                <w:color w:val="000000"/>
              </w:rPr>
              <w:t xml:space="preserve"> </w:t>
            </w:r>
          </w:p>
          <w:p w14:paraId="1F6FFD07" w14:textId="77777777" w:rsidR="00060831" w:rsidRDefault="00060831" w:rsidP="00060831">
            <w:pPr>
              <w:rPr>
                <w:rFonts w:ascii="Calibri" w:hAnsi="Calibri" w:cs="Calibri"/>
                <w:color w:val="000000"/>
              </w:rPr>
            </w:pPr>
            <w:r>
              <w:rPr>
                <w:rFonts w:ascii="Calibri" w:hAnsi="Calibri" w:cs="Calibri"/>
                <w:color w:val="000000"/>
              </w:rPr>
              <w:t>12</w:t>
            </w:r>
            <w:r w:rsidRPr="002048A7">
              <w:rPr>
                <w:rFonts w:ascii="Calibri" w:hAnsi="Calibri" w:cs="Calibri"/>
                <w:color w:val="000000"/>
              </w:rPr>
              <w:t>.</w:t>
            </w:r>
            <w:r>
              <w:rPr>
                <w:rFonts w:ascii="Calibri" w:hAnsi="Calibri" w:cs="Calibri"/>
                <w:color w:val="000000"/>
              </w:rPr>
              <w:t>12</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 1</w:t>
            </w:r>
            <w:r>
              <w:rPr>
                <w:rFonts w:ascii="Calibri" w:hAnsi="Calibri" w:cs="Calibri"/>
                <w:color w:val="000000"/>
              </w:rPr>
              <w:t>3080</w:t>
            </w:r>
          </w:p>
        </w:tc>
        <w:tc>
          <w:tcPr>
            <w:tcW w:w="7365" w:type="dxa"/>
          </w:tcPr>
          <w:p w14:paraId="264AC15F" w14:textId="77777777" w:rsidR="00060831" w:rsidRPr="00060831" w:rsidRDefault="00060831" w:rsidP="009833F3">
            <w:pPr>
              <w:rPr>
                <w:rFonts w:ascii="Calibri" w:hAnsi="Calibri" w:cs="Calibri"/>
                <w:color w:val="000000"/>
              </w:rPr>
            </w:pPr>
            <w:r w:rsidRPr="00060831">
              <w:rPr>
                <w:rFonts w:ascii="Calibri" w:hAnsi="Calibri" w:cs="Calibri"/>
                <w:color w:val="000000"/>
              </w:rPr>
              <w:t>Sıvılaştırılmış Petrol Gazları (LPG) Piyasasında 2025 yılı gelir payı bedeline ilişkin</w:t>
            </w:r>
          </w:p>
        </w:tc>
      </w:tr>
      <w:tr w:rsidR="00060831" w:rsidRPr="002048A7" w14:paraId="34D30B3A" w14:textId="77777777" w:rsidTr="007E5FBA">
        <w:tc>
          <w:tcPr>
            <w:tcW w:w="2547" w:type="dxa"/>
          </w:tcPr>
          <w:p w14:paraId="385B6144" w14:textId="77777777" w:rsidR="00060831" w:rsidRPr="002048A7" w:rsidRDefault="00060831" w:rsidP="00060831">
            <w:pPr>
              <w:rPr>
                <w:rFonts w:ascii="Calibri" w:hAnsi="Calibri" w:cs="Calibri"/>
                <w:color w:val="000000"/>
              </w:rPr>
            </w:pPr>
            <w:r>
              <w:rPr>
                <w:rFonts w:ascii="Calibri" w:hAnsi="Calibri" w:cs="Calibri"/>
                <w:color w:val="000000"/>
              </w:rPr>
              <w:t>29</w:t>
            </w:r>
            <w:r w:rsidRPr="002048A7">
              <w:rPr>
                <w:rFonts w:ascii="Calibri" w:hAnsi="Calibri" w:cs="Calibri"/>
                <w:color w:val="000000"/>
              </w:rPr>
              <w:t>.</w:t>
            </w:r>
            <w:r>
              <w:rPr>
                <w:rFonts w:ascii="Calibri" w:hAnsi="Calibri" w:cs="Calibri"/>
                <w:color w:val="000000"/>
              </w:rPr>
              <w:t>12.</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 </w:t>
            </w:r>
            <w:r>
              <w:rPr>
                <w:rFonts w:ascii="Calibri" w:hAnsi="Calibri" w:cs="Calibri"/>
                <w:color w:val="000000"/>
              </w:rPr>
              <w:t>32767</w:t>
            </w:r>
            <w:r w:rsidRPr="002048A7">
              <w:rPr>
                <w:rFonts w:ascii="Calibri" w:hAnsi="Calibri" w:cs="Calibri"/>
                <w:color w:val="000000"/>
              </w:rPr>
              <w:t xml:space="preserve"> </w:t>
            </w:r>
          </w:p>
          <w:p w14:paraId="24AF4299" w14:textId="77777777" w:rsidR="00060831" w:rsidRDefault="00060831" w:rsidP="00060831">
            <w:pPr>
              <w:rPr>
                <w:rFonts w:ascii="Calibri" w:hAnsi="Calibri" w:cs="Calibri"/>
                <w:color w:val="000000"/>
              </w:rPr>
            </w:pPr>
            <w:r>
              <w:rPr>
                <w:rFonts w:ascii="Calibri" w:hAnsi="Calibri" w:cs="Calibri"/>
                <w:color w:val="000000"/>
              </w:rPr>
              <w:t>26</w:t>
            </w:r>
            <w:r w:rsidRPr="002048A7">
              <w:rPr>
                <w:rFonts w:ascii="Calibri" w:hAnsi="Calibri" w:cs="Calibri"/>
                <w:color w:val="000000"/>
              </w:rPr>
              <w:t>.</w:t>
            </w:r>
            <w:r>
              <w:rPr>
                <w:rFonts w:ascii="Calibri" w:hAnsi="Calibri" w:cs="Calibri"/>
                <w:color w:val="000000"/>
              </w:rPr>
              <w:t>12</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 1</w:t>
            </w:r>
            <w:r>
              <w:rPr>
                <w:rFonts w:ascii="Calibri" w:hAnsi="Calibri" w:cs="Calibri"/>
                <w:color w:val="000000"/>
              </w:rPr>
              <w:t>3142</w:t>
            </w:r>
          </w:p>
        </w:tc>
        <w:tc>
          <w:tcPr>
            <w:tcW w:w="7365" w:type="dxa"/>
          </w:tcPr>
          <w:p w14:paraId="729AB9B3" w14:textId="77777777" w:rsidR="00060831" w:rsidRPr="00060831" w:rsidRDefault="00060831" w:rsidP="009833F3">
            <w:pPr>
              <w:rPr>
                <w:rFonts w:ascii="Calibri" w:hAnsi="Calibri" w:cs="Calibri"/>
                <w:color w:val="000000"/>
              </w:rPr>
            </w:pPr>
            <w:r w:rsidRPr="00060831">
              <w:rPr>
                <w:rFonts w:ascii="Calibri" w:hAnsi="Calibri" w:cs="Calibri"/>
                <w:color w:val="000000"/>
              </w:rPr>
              <w:t>LPG Piyasasında Zorunlu Petrol Stoğu ve Zorunlu Petrol Stoğunun Kupon Sistemi Kapsamında LPG Olarak Tutulabilmesine Dair Kararda Değişiklik Yapılmasına Dair</w:t>
            </w:r>
          </w:p>
        </w:tc>
      </w:tr>
    </w:tbl>
    <w:p w14:paraId="1F628C02" w14:textId="77777777" w:rsidR="003F0825" w:rsidRPr="002048A7" w:rsidRDefault="003F0825" w:rsidP="003F0825">
      <w:pPr>
        <w:spacing w:after="0"/>
        <w:rPr>
          <w:rFonts w:ascii="Calibri" w:hAnsi="Calibri" w:cs="Calibri"/>
          <w:color w:val="000000"/>
        </w:rPr>
      </w:pPr>
    </w:p>
    <w:p w14:paraId="22A1FDB3" w14:textId="77777777" w:rsidR="007967DB" w:rsidRPr="002048A7" w:rsidRDefault="001D2DA2" w:rsidP="00577AAF">
      <w:pPr>
        <w:pStyle w:val="Balk2"/>
        <w:numPr>
          <w:ilvl w:val="1"/>
          <w:numId w:val="11"/>
        </w:numPr>
        <w:spacing w:before="0" w:after="240"/>
        <w:rPr>
          <w:rFonts w:asciiTheme="minorHAnsi" w:hAnsiTheme="minorHAnsi"/>
          <w:color w:val="000000" w:themeColor="text1"/>
          <w:sz w:val="22"/>
          <w:szCs w:val="22"/>
        </w:rPr>
      </w:pPr>
      <w:bookmarkStart w:id="92" w:name="_Toc442431252"/>
      <w:bookmarkStart w:id="93" w:name="_Toc6684447"/>
      <w:bookmarkStart w:id="94" w:name="_Toc195868687"/>
      <w:r w:rsidRPr="002048A7">
        <w:rPr>
          <w:rFonts w:asciiTheme="minorHAnsi" w:hAnsiTheme="minorHAnsi"/>
          <w:color w:val="000000" w:themeColor="text1"/>
          <w:sz w:val="22"/>
          <w:szCs w:val="22"/>
        </w:rPr>
        <w:t>Diğer Mevzuat Faaliyetleri</w:t>
      </w:r>
      <w:bookmarkEnd w:id="92"/>
      <w:bookmarkEnd w:id="93"/>
      <w:bookmarkEnd w:id="94"/>
    </w:p>
    <w:p w14:paraId="3B8E6EC1" w14:textId="77777777" w:rsidR="001D2DA2" w:rsidRPr="002048A7" w:rsidRDefault="001D2DA2" w:rsidP="001D2DA2">
      <w:pPr>
        <w:spacing w:after="240"/>
      </w:pPr>
      <w:r w:rsidRPr="002048A7">
        <w:t>Bu kısımda, yukarıda belirtilen sektörel ayrımdan bağım</w:t>
      </w:r>
      <w:r w:rsidR="0056009F" w:rsidRPr="002048A7">
        <w:t>sız olarak Kurum tarafından 202</w:t>
      </w:r>
      <w:r w:rsidR="007C357D">
        <w:t>4</w:t>
      </w:r>
      <w:r w:rsidRPr="002048A7">
        <w:t xml:space="preserve"> yılında yapılmış mevzuat çalışmaları yer almaktadır.</w:t>
      </w:r>
    </w:p>
    <w:p w14:paraId="623BBAD4" w14:textId="77777777" w:rsidR="001D2DA2" w:rsidRPr="002048A7" w:rsidRDefault="001D2DA2" w:rsidP="00577AAF">
      <w:pPr>
        <w:pStyle w:val="Balk3"/>
        <w:numPr>
          <w:ilvl w:val="2"/>
          <w:numId w:val="11"/>
        </w:numPr>
        <w:spacing w:before="0" w:after="240"/>
        <w:rPr>
          <w:rFonts w:asciiTheme="minorHAnsi" w:hAnsiTheme="minorHAnsi"/>
          <w:color w:val="auto"/>
        </w:rPr>
      </w:pPr>
      <w:bookmarkStart w:id="95" w:name="_Toc514251630"/>
      <w:bookmarkStart w:id="96" w:name="_Toc195868688"/>
      <w:r w:rsidRPr="002048A7">
        <w:rPr>
          <w:rFonts w:asciiTheme="minorHAnsi" w:hAnsiTheme="minorHAnsi"/>
          <w:color w:val="auto"/>
        </w:rPr>
        <w:t>Enerji Piyasası Bildirimleri ile İlgili Mevzuat Değişiklikleri</w:t>
      </w:r>
      <w:bookmarkEnd w:id="95"/>
      <w:bookmarkEnd w:id="96"/>
    </w:p>
    <w:p w14:paraId="287B3341" w14:textId="77777777" w:rsidR="008A672F" w:rsidRPr="002048A7" w:rsidRDefault="00BD0415" w:rsidP="008736C8">
      <w:pPr>
        <w:spacing w:after="240"/>
      </w:pPr>
      <w:r w:rsidRPr="002048A7">
        <w:t xml:space="preserve">Bu kapsamdaki mevzuat değişiklikleri ile </w:t>
      </w:r>
      <w:r w:rsidR="00A20D2A" w:rsidRPr="002048A7">
        <w:t xml:space="preserve">enerji piyasalarında faaliyet gösteren </w:t>
      </w:r>
      <w:r w:rsidRPr="002048A7">
        <w:t>lisans sahiplerinin yapmakla yükümlü oldukları bazı bildirimlerin yapılma süre</w:t>
      </w:r>
      <w:r w:rsidR="00954CC1" w:rsidRPr="002048A7">
        <w:t>leri</w:t>
      </w:r>
      <w:r w:rsidR="00DA6F10" w:rsidRPr="002048A7">
        <w:t>nin</w:t>
      </w:r>
      <w:r w:rsidR="00954CC1" w:rsidRPr="002048A7">
        <w:t xml:space="preserve"> </w:t>
      </w:r>
      <w:r w:rsidRPr="002048A7">
        <w:t>değiştiri</w:t>
      </w:r>
      <w:r w:rsidR="00954CC1" w:rsidRPr="002048A7">
        <w:t>lmesi</w:t>
      </w:r>
      <w:r w:rsidRPr="002048A7">
        <w:t>, bazı durumlarda</w:t>
      </w:r>
      <w:r w:rsidR="00DA6F10" w:rsidRPr="002048A7">
        <w:t xml:space="preserve"> ilgili piyasalar için</w:t>
      </w:r>
      <w:r w:rsidRPr="002048A7">
        <w:t xml:space="preserve"> yeni bildirim türleri</w:t>
      </w:r>
      <w:r w:rsidR="00954CC1" w:rsidRPr="002048A7">
        <w:t>nin</w:t>
      </w:r>
      <w:r w:rsidRPr="002048A7">
        <w:t xml:space="preserve"> tanımlanm</w:t>
      </w:r>
      <w:r w:rsidR="00954CC1" w:rsidRPr="002048A7">
        <w:t>ası</w:t>
      </w:r>
      <w:r w:rsidRPr="002048A7">
        <w:t>, bir takım bildirimlerin muhatabı olan Daire Başkanlı</w:t>
      </w:r>
      <w:r w:rsidR="00954CC1" w:rsidRPr="002048A7">
        <w:t>klarında</w:t>
      </w:r>
      <w:r w:rsidRPr="002048A7">
        <w:t xml:space="preserve"> değişikliğe gidil</w:t>
      </w:r>
      <w:r w:rsidR="00954CC1" w:rsidRPr="002048A7">
        <w:t>mesi</w:t>
      </w:r>
      <w:r w:rsidRPr="002048A7">
        <w:t>, bildirim formlarının bazıların</w:t>
      </w:r>
      <w:r w:rsidR="00954CC1" w:rsidRPr="002048A7">
        <w:t xml:space="preserve">ın isminde ve/veya içeriğinde </w:t>
      </w:r>
      <w:r w:rsidRPr="002048A7">
        <w:t>revizyon</w:t>
      </w:r>
      <w:r w:rsidR="00954CC1" w:rsidRPr="002048A7">
        <w:t>lar</w:t>
      </w:r>
      <w:r w:rsidRPr="002048A7">
        <w:t xml:space="preserve"> gerçekleştirilm</w:t>
      </w:r>
      <w:r w:rsidR="00954CC1" w:rsidRPr="002048A7">
        <w:t>esi</w:t>
      </w:r>
      <w:r w:rsidR="0002539D" w:rsidRPr="002048A7">
        <w:t>, bildirimlerin bazılarına ise ilave form</w:t>
      </w:r>
      <w:r w:rsidR="00954CC1" w:rsidRPr="002048A7">
        <w:t>lar</w:t>
      </w:r>
      <w:r w:rsidR="0002539D" w:rsidRPr="002048A7">
        <w:t xml:space="preserve"> ekle</w:t>
      </w:r>
      <w:r w:rsidR="00954CC1" w:rsidRPr="002048A7">
        <w:t>nmesi</w:t>
      </w:r>
      <w:r w:rsidR="0002539D" w:rsidRPr="002048A7">
        <w:t>, bunun yanı sıra mevcut bildirim formlarından bazıları</w:t>
      </w:r>
      <w:r w:rsidR="00954CC1" w:rsidRPr="002048A7">
        <w:t>nın</w:t>
      </w:r>
      <w:r w:rsidR="0002539D" w:rsidRPr="002048A7">
        <w:t xml:space="preserve"> kaldırıl</w:t>
      </w:r>
      <w:r w:rsidR="00954CC1" w:rsidRPr="002048A7">
        <w:t>ması</w:t>
      </w:r>
      <w:r w:rsidR="0002539D" w:rsidRPr="002048A7">
        <w:t xml:space="preserve">, </w:t>
      </w:r>
      <w:r w:rsidR="00954CC1" w:rsidRPr="002048A7">
        <w:t xml:space="preserve">yine birtakım bildirim formlarının açıklama kısımlarında değişiklikler yapılması ile </w:t>
      </w:r>
      <w:r w:rsidR="00A971BC" w:rsidRPr="002048A7">
        <w:t xml:space="preserve">bildirimlere ilişkin </w:t>
      </w:r>
      <w:r w:rsidR="00954CC1" w:rsidRPr="002048A7">
        <w:t>yükümlü</w:t>
      </w:r>
      <w:r w:rsidR="00DA6F10" w:rsidRPr="002048A7">
        <w:t>lerin</w:t>
      </w:r>
      <w:r w:rsidR="00954CC1" w:rsidRPr="002048A7">
        <w:t xml:space="preserve"> </w:t>
      </w:r>
      <w:r w:rsidR="00A971BC" w:rsidRPr="002048A7">
        <w:t>hangi lisans sahipleri</w:t>
      </w:r>
      <w:r w:rsidR="00954CC1" w:rsidRPr="002048A7">
        <w:t xml:space="preserve"> olduğunun yeniden düzenlenmesi söz konusu</w:t>
      </w:r>
      <w:r w:rsidR="00A971BC" w:rsidRPr="002048A7">
        <w:t xml:space="preserve"> olmuştur.</w:t>
      </w:r>
    </w:p>
    <w:p w14:paraId="196A0F18" w14:textId="77777777" w:rsidR="00525158" w:rsidRPr="002048A7" w:rsidRDefault="001D2DA2" w:rsidP="00577AAF">
      <w:pPr>
        <w:pStyle w:val="Balk3"/>
        <w:numPr>
          <w:ilvl w:val="2"/>
          <w:numId w:val="11"/>
        </w:numPr>
        <w:spacing w:after="240"/>
        <w:rPr>
          <w:rFonts w:asciiTheme="minorHAnsi" w:hAnsiTheme="minorHAnsi"/>
          <w:color w:val="auto"/>
        </w:rPr>
      </w:pPr>
      <w:bookmarkStart w:id="97" w:name="_Toc6684448"/>
      <w:bookmarkStart w:id="98" w:name="_Toc195868689"/>
      <w:r w:rsidRPr="002048A7">
        <w:rPr>
          <w:rFonts w:asciiTheme="minorHAnsi" w:hAnsiTheme="minorHAnsi"/>
          <w:color w:val="auto"/>
        </w:rPr>
        <w:t>Diğer Değişiklikler</w:t>
      </w:r>
      <w:bookmarkEnd w:id="97"/>
      <w:bookmarkEnd w:id="98"/>
    </w:p>
    <w:p w14:paraId="14D1D454" w14:textId="77777777" w:rsidR="00E71A02" w:rsidRPr="002048A7" w:rsidRDefault="00E71A02" w:rsidP="0025080A">
      <w:pPr>
        <w:numPr>
          <w:ilvl w:val="0"/>
          <w:numId w:val="22"/>
        </w:numPr>
        <w:spacing w:after="0"/>
        <w:contextualSpacing/>
        <w:rPr>
          <w:rFonts w:ascii="Calibri" w:hAnsi="Calibri"/>
          <w:bCs/>
        </w:rPr>
      </w:pPr>
      <w:bookmarkStart w:id="99" w:name="_Hlk94693853"/>
      <w:r>
        <w:rPr>
          <w:rFonts w:ascii="Calibri" w:hAnsi="Calibri"/>
          <w:bCs/>
        </w:rPr>
        <w:t>28</w:t>
      </w:r>
      <w:r w:rsidRPr="002048A7">
        <w:rPr>
          <w:rFonts w:ascii="Calibri" w:hAnsi="Calibri"/>
          <w:bCs/>
        </w:rPr>
        <w:t>.0</w:t>
      </w:r>
      <w:r>
        <w:rPr>
          <w:rFonts w:ascii="Calibri" w:hAnsi="Calibri"/>
          <w:bCs/>
        </w:rPr>
        <w:t>1</w:t>
      </w:r>
      <w:r w:rsidRPr="002048A7">
        <w:rPr>
          <w:rFonts w:ascii="Calibri" w:hAnsi="Calibri"/>
          <w:bCs/>
        </w:rPr>
        <w:t>.202</w:t>
      </w:r>
      <w:r>
        <w:rPr>
          <w:rFonts w:ascii="Calibri" w:hAnsi="Calibri"/>
          <w:bCs/>
        </w:rPr>
        <w:t>4</w:t>
      </w:r>
      <w:r w:rsidRPr="002048A7">
        <w:rPr>
          <w:rFonts w:ascii="Calibri" w:hAnsi="Calibri"/>
          <w:bCs/>
        </w:rPr>
        <w:t xml:space="preserve"> tarihli ve 32</w:t>
      </w:r>
      <w:r>
        <w:rPr>
          <w:rFonts w:ascii="Calibri" w:hAnsi="Calibri"/>
          <w:bCs/>
        </w:rPr>
        <w:t>443</w:t>
      </w:r>
      <w:r w:rsidRPr="002048A7">
        <w:rPr>
          <w:rFonts w:ascii="Calibri" w:hAnsi="Calibri"/>
          <w:bCs/>
        </w:rPr>
        <w:t xml:space="preserve"> sayılı Resmî Gazetede yayımlanan Değişiklik Yönetmeliği ile</w:t>
      </w:r>
      <w:r w:rsidRPr="002048A7">
        <w:rPr>
          <w:rFonts w:ascii="Calibri" w:hAnsi="Calibri"/>
          <w:b/>
          <w:bCs/>
        </w:rPr>
        <w:t xml:space="preserve"> </w:t>
      </w:r>
      <w:r w:rsidRPr="00E71A02">
        <w:rPr>
          <w:rFonts w:ascii="Calibri" w:hAnsi="Calibri"/>
          <w:b/>
        </w:rPr>
        <w:t>Enerji Sektöründe Siber Güvenlik Yetkinlik Modeli Yönetmeliğinin</w:t>
      </w:r>
    </w:p>
    <w:p w14:paraId="50CB4E5E" w14:textId="77777777" w:rsidR="00E71A02" w:rsidRPr="002048A7" w:rsidRDefault="00E71A02" w:rsidP="0025080A">
      <w:pPr>
        <w:pStyle w:val="ListeParagraf"/>
        <w:numPr>
          <w:ilvl w:val="0"/>
          <w:numId w:val="30"/>
        </w:numPr>
        <w:spacing w:after="0"/>
        <w:rPr>
          <w:rFonts w:ascii="Calibri" w:hAnsi="Calibri"/>
          <w:bCs/>
        </w:rPr>
      </w:pPr>
      <w:proofErr w:type="gramStart"/>
      <w:r w:rsidRPr="00E71A02">
        <w:rPr>
          <w:rFonts w:ascii="Calibri" w:hAnsi="Calibri"/>
          <w:bCs/>
        </w:rPr>
        <w:t>2 nci</w:t>
      </w:r>
      <w:proofErr w:type="gramEnd"/>
      <w:r w:rsidRPr="00E71A02">
        <w:rPr>
          <w:rFonts w:ascii="Calibri" w:hAnsi="Calibri"/>
          <w:bCs/>
        </w:rPr>
        <w:t xml:space="preserve"> maddesi aşağıdaki şekilde değiştirilmiştir.</w:t>
      </w:r>
    </w:p>
    <w:p w14:paraId="228A3A4D" w14:textId="77777777" w:rsidR="00E71A02" w:rsidRPr="002048A7" w:rsidRDefault="00E71A02" w:rsidP="00E71A02">
      <w:pPr>
        <w:pStyle w:val="ListeParagraf"/>
        <w:spacing w:after="0"/>
        <w:ind w:left="1440"/>
        <w:rPr>
          <w:rFonts w:ascii="Calibri" w:hAnsi="Calibri"/>
          <w:bCs/>
          <w:i/>
          <w:iCs/>
        </w:rPr>
      </w:pPr>
    </w:p>
    <w:p w14:paraId="2BEB60C2" w14:textId="77777777" w:rsidR="00E71A02" w:rsidRPr="00E71A02" w:rsidRDefault="00E71A02" w:rsidP="00E71A02">
      <w:pPr>
        <w:pStyle w:val="ListeParagraf"/>
        <w:spacing w:after="0"/>
        <w:ind w:left="1440"/>
        <w:rPr>
          <w:rFonts w:ascii="Calibri" w:hAnsi="Calibri"/>
          <w:bCs/>
          <w:i/>
          <w:iCs/>
        </w:rPr>
      </w:pPr>
      <w:r w:rsidRPr="00E71A02">
        <w:rPr>
          <w:rFonts w:ascii="Calibri" w:hAnsi="Calibri"/>
          <w:bCs/>
          <w:i/>
          <w:iCs/>
        </w:rPr>
        <w:t xml:space="preserve">“MADDE 2- (1) Bu Yönetmelik; elektrik iletim lisansı sahibi, elektrik dağıtım lisansı sahibi, kabulü yapılmış ve işletmedeki kurulu gücü 100 MWe ve üzeri lisansa sahip her bir elektrik üretim tesisi sahibi, boru hattı ile iletim yapan doğal gaz iletim lisansı sahibi, sevkiyat kontrol merkezi </w:t>
      </w:r>
      <w:r w:rsidRPr="00E71A02">
        <w:rPr>
          <w:rFonts w:ascii="Calibri" w:hAnsi="Calibri"/>
          <w:bCs/>
          <w:i/>
          <w:iCs/>
        </w:rPr>
        <w:lastRenderedPageBreak/>
        <w:t>kurmakla yükümlü doğal gaz dağıtım lisansı sahibi, doğal gaz depolama lisansı sahibi (LNG, yer altı), ham petrol iletim lisansı sahibi ile rafinerici lisansı sahibi tüzel kişilerin endüstriyel kontrol sistemlerinin güvenliğinin ve güvenilirliğinin sağlanmasına ilişkin uygulanacak hükümleri kapsar.</w:t>
      </w:r>
    </w:p>
    <w:p w14:paraId="7FEBC292" w14:textId="77777777" w:rsidR="00E71A02" w:rsidRPr="00E71A02" w:rsidRDefault="00E71A02" w:rsidP="00E71A02">
      <w:pPr>
        <w:pStyle w:val="ListeParagraf"/>
        <w:spacing w:after="0"/>
        <w:ind w:left="1440"/>
        <w:rPr>
          <w:rFonts w:ascii="Calibri" w:hAnsi="Calibri"/>
          <w:bCs/>
          <w:i/>
          <w:iCs/>
        </w:rPr>
      </w:pPr>
      <w:r w:rsidRPr="00E71A02">
        <w:rPr>
          <w:rFonts w:ascii="Calibri" w:hAnsi="Calibri"/>
          <w:bCs/>
          <w:i/>
          <w:iCs/>
        </w:rPr>
        <w:t>(2) Kabulü yapılmış, Black-Start özelliğine sahip olup ulusal şebekeye katkı verebilecek olan elektrik üretim tesisi sahibi tüzel kişiler, bu Yönetmelik kapsamındadır.</w:t>
      </w:r>
    </w:p>
    <w:p w14:paraId="129461EA" w14:textId="77777777" w:rsidR="00E71A02" w:rsidRPr="00E71A02" w:rsidRDefault="00E71A02" w:rsidP="00E71A02">
      <w:pPr>
        <w:pStyle w:val="ListeParagraf"/>
        <w:spacing w:after="0"/>
        <w:ind w:left="1440"/>
        <w:rPr>
          <w:rFonts w:ascii="Calibri" w:hAnsi="Calibri"/>
          <w:bCs/>
          <w:i/>
          <w:iCs/>
        </w:rPr>
      </w:pPr>
      <w:r w:rsidRPr="00E71A02">
        <w:rPr>
          <w:rFonts w:ascii="Calibri" w:hAnsi="Calibri"/>
          <w:bCs/>
          <w:i/>
          <w:iCs/>
        </w:rPr>
        <w:t>(3) Kabulü yapılmış, TEİAŞ SCADA/EMS Sistemi ile seri tabanlı iletişim yöntemlerini kullanmadan haberleşmekte olan elektrik üretim tesisi sahibi tüzel kişiler, bu Yönetmelik kapsamındadır.</w:t>
      </w:r>
    </w:p>
    <w:p w14:paraId="617CFFAF" w14:textId="77777777" w:rsidR="00E71A02" w:rsidRDefault="00E71A02" w:rsidP="00E71A02">
      <w:pPr>
        <w:pStyle w:val="ListeParagraf"/>
        <w:spacing w:after="0"/>
        <w:ind w:left="1440"/>
        <w:rPr>
          <w:rFonts w:ascii="Calibri" w:hAnsi="Calibri"/>
          <w:bCs/>
          <w:i/>
          <w:iCs/>
        </w:rPr>
      </w:pPr>
      <w:r w:rsidRPr="00E71A02">
        <w:rPr>
          <w:rFonts w:ascii="Calibri" w:hAnsi="Calibri"/>
          <w:bCs/>
          <w:i/>
          <w:iCs/>
        </w:rPr>
        <w:t>(4) OSB dağıtım lisansı sahipleri ile OSB üretim lisansı sahipleri kapsam dışındadır.”</w:t>
      </w:r>
    </w:p>
    <w:p w14:paraId="1369C6D3" w14:textId="77777777" w:rsidR="00E71A02" w:rsidRDefault="00E71A02" w:rsidP="00E71A02">
      <w:pPr>
        <w:pStyle w:val="ListeParagraf"/>
        <w:spacing w:after="0"/>
        <w:ind w:left="1440"/>
        <w:rPr>
          <w:rFonts w:ascii="Calibri" w:hAnsi="Calibri"/>
          <w:bCs/>
          <w:i/>
          <w:iCs/>
        </w:rPr>
      </w:pPr>
    </w:p>
    <w:p w14:paraId="5BFD55DB" w14:textId="77777777" w:rsidR="00E71A02" w:rsidRPr="002048A7" w:rsidRDefault="00E71A02" w:rsidP="0025080A">
      <w:pPr>
        <w:pStyle w:val="ListeParagraf"/>
        <w:numPr>
          <w:ilvl w:val="0"/>
          <w:numId w:val="30"/>
        </w:numPr>
        <w:spacing w:after="0"/>
        <w:rPr>
          <w:rFonts w:ascii="Calibri" w:hAnsi="Calibri"/>
          <w:bCs/>
        </w:rPr>
      </w:pPr>
      <w:proofErr w:type="gramStart"/>
      <w:r w:rsidRPr="00E71A02">
        <w:rPr>
          <w:rFonts w:ascii="Calibri" w:hAnsi="Calibri"/>
          <w:bCs/>
        </w:rPr>
        <w:t>4 üncü</w:t>
      </w:r>
      <w:proofErr w:type="gramEnd"/>
      <w:r w:rsidRPr="00E71A02">
        <w:rPr>
          <w:rFonts w:ascii="Calibri" w:hAnsi="Calibri"/>
          <w:bCs/>
        </w:rPr>
        <w:t xml:space="preserve"> maddesinin birinci fıkrasına aşağıdaki bentler eklenmiştir.</w:t>
      </w:r>
    </w:p>
    <w:p w14:paraId="20D39E28" w14:textId="77777777" w:rsidR="00E71A02" w:rsidRPr="002048A7" w:rsidRDefault="00E71A02" w:rsidP="00E71A02">
      <w:pPr>
        <w:pStyle w:val="ListeParagraf"/>
        <w:spacing w:after="0"/>
        <w:ind w:left="1440"/>
        <w:rPr>
          <w:rFonts w:ascii="Calibri" w:hAnsi="Calibri"/>
          <w:bCs/>
          <w:i/>
          <w:iCs/>
        </w:rPr>
      </w:pPr>
    </w:p>
    <w:p w14:paraId="71673813" w14:textId="77777777" w:rsidR="00E71A02" w:rsidRPr="00E71A02" w:rsidRDefault="00E71A02" w:rsidP="00E71A02">
      <w:pPr>
        <w:pStyle w:val="ListeParagraf"/>
        <w:spacing w:after="0"/>
        <w:ind w:left="1440"/>
        <w:rPr>
          <w:rFonts w:ascii="Calibri" w:hAnsi="Calibri"/>
          <w:bCs/>
          <w:i/>
          <w:iCs/>
        </w:rPr>
      </w:pPr>
      <w:r w:rsidRPr="00E71A02">
        <w:rPr>
          <w:rFonts w:ascii="Calibri" w:hAnsi="Calibri"/>
          <w:bCs/>
          <w:i/>
          <w:iCs/>
        </w:rPr>
        <w:t>“ı) Black-Start: Bir elektrik santralinin veya bir elektrik şebekesinin bir bölümünün, tamamen veya kısmen kapandığında, harici elektrik güç iletim şebekesinin desteği olmadan yeniden başlatılmasını,</w:t>
      </w:r>
    </w:p>
    <w:p w14:paraId="1FDF1F0D" w14:textId="77777777" w:rsidR="00E71A02" w:rsidRPr="00E71A02" w:rsidRDefault="00E71A02" w:rsidP="00E71A02">
      <w:pPr>
        <w:pStyle w:val="ListeParagraf"/>
        <w:spacing w:after="0"/>
        <w:ind w:left="1440"/>
        <w:rPr>
          <w:rFonts w:ascii="Calibri" w:hAnsi="Calibri"/>
          <w:bCs/>
          <w:i/>
          <w:iCs/>
        </w:rPr>
      </w:pPr>
      <w:r w:rsidRPr="00E71A02">
        <w:rPr>
          <w:rFonts w:ascii="Calibri" w:hAnsi="Calibri"/>
          <w:bCs/>
          <w:i/>
          <w:iCs/>
        </w:rPr>
        <w:t>i) EMS: Enerji yönetim sistemini,</w:t>
      </w:r>
    </w:p>
    <w:p w14:paraId="4DB6E9CC" w14:textId="77777777" w:rsidR="00E71A02" w:rsidRDefault="00E71A02" w:rsidP="00E71A02">
      <w:pPr>
        <w:pStyle w:val="ListeParagraf"/>
        <w:spacing w:after="0"/>
        <w:ind w:left="1440"/>
        <w:rPr>
          <w:rFonts w:ascii="Calibri" w:hAnsi="Calibri"/>
          <w:bCs/>
          <w:i/>
          <w:iCs/>
        </w:rPr>
      </w:pPr>
      <w:r w:rsidRPr="00E71A02">
        <w:rPr>
          <w:rFonts w:ascii="Calibri" w:hAnsi="Calibri"/>
          <w:bCs/>
          <w:i/>
          <w:iCs/>
        </w:rPr>
        <w:t>j) Seri tabanlı iletişim: Veri aktarımında bir iletişim kanalı veya bilgisayar veriyolu üzerinden sırayla, her seferinde bir bit veri gönderme işlemini,”</w:t>
      </w:r>
    </w:p>
    <w:p w14:paraId="7D341A29" w14:textId="77777777" w:rsidR="00E71A02" w:rsidRDefault="00E71A02" w:rsidP="00E71A02">
      <w:pPr>
        <w:pStyle w:val="ListeParagraf"/>
        <w:spacing w:after="0"/>
        <w:ind w:left="1440"/>
        <w:rPr>
          <w:rFonts w:ascii="Calibri" w:hAnsi="Calibri"/>
          <w:bCs/>
          <w:i/>
          <w:iCs/>
        </w:rPr>
      </w:pPr>
    </w:p>
    <w:p w14:paraId="52DC9C0B" w14:textId="77777777" w:rsidR="00E71A02" w:rsidRPr="002048A7" w:rsidRDefault="00E71A02" w:rsidP="0025080A">
      <w:pPr>
        <w:pStyle w:val="ListeParagraf"/>
        <w:numPr>
          <w:ilvl w:val="0"/>
          <w:numId w:val="30"/>
        </w:numPr>
        <w:spacing w:after="0"/>
        <w:rPr>
          <w:rFonts w:ascii="Calibri" w:hAnsi="Calibri"/>
          <w:bCs/>
        </w:rPr>
      </w:pPr>
      <w:r w:rsidRPr="00E71A02">
        <w:rPr>
          <w:rFonts w:ascii="Calibri" w:hAnsi="Calibri"/>
          <w:bCs/>
        </w:rPr>
        <w:t>8 inci maddesinin birinci fıkrasında yer alan birinci tabloya aşağıdaki satırlar eklenmiştir.</w:t>
      </w:r>
    </w:p>
    <w:p w14:paraId="745B234A" w14:textId="77777777" w:rsidR="00E71A02" w:rsidRPr="002048A7" w:rsidRDefault="00E71A02" w:rsidP="00E71A02">
      <w:pPr>
        <w:pStyle w:val="ListeParagraf"/>
        <w:spacing w:after="0"/>
        <w:ind w:left="1440"/>
        <w:rPr>
          <w:rFonts w:ascii="Calibri" w:hAnsi="Calibri"/>
          <w:bCs/>
          <w:i/>
          <w:iCs/>
        </w:rPr>
      </w:pPr>
    </w:p>
    <w:tbl>
      <w:tblPr>
        <w:tblW w:w="8222" w:type="dxa"/>
        <w:jc w:val="center"/>
        <w:tblCellMar>
          <w:left w:w="0" w:type="dxa"/>
          <w:right w:w="0" w:type="dxa"/>
        </w:tblCellMar>
        <w:tblLook w:val="04A0" w:firstRow="1" w:lastRow="0" w:firstColumn="1" w:lastColumn="0" w:noHBand="0" w:noVBand="1"/>
      </w:tblPr>
      <w:tblGrid>
        <w:gridCol w:w="2241"/>
        <w:gridCol w:w="3572"/>
        <w:gridCol w:w="2409"/>
      </w:tblGrid>
      <w:tr w:rsidR="00E71A02" w:rsidRPr="00BE7D82" w14:paraId="4F864A58" w14:textId="77777777" w:rsidTr="00E71A02">
        <w:trPr>
          <w:trHeight w:val="270"/>
          <w:jc w:val="center"/>
        </w:trPr>
        <w:tc>
          <w:tcPr>
            <w:tcW w:w="1363"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bookmarkEnd w:id="99"/>
          <w:p w14:paraId="6765D128" w14:textId="77777777" w:rsidR="00E71A02" w:rsidRPr="00BE7D82" w:rsidRDefault="00E71A02" w:rsidP="009D5F4B">
            <w:pPr>
              <w:spacing w:after="0" w:line="240" w:lineRule="atLeast"/>
              <w:rPr>
                <w:rFonts w:ascii="Times New Roman" w:eastAsia="Times New Roman" w:hAnsi="Times New Roman"/>
                <w:sz w:val="24"/>
                <w:szCs w:val="24"/>
                <w:lang w:eastAsia="tr-TR"/>
              </w:rPr>
            </w:pPr>
            <w:r w:rsidRPr="00BE7D82">
              <w:rPr>
                <w:rFonts w:ascii="Times New Roman" w:eastAsia="Times New Roman" w:hAnsi="Times New Roman"/>
                <w:b/>
                <w:bCs/>
                <w:sz w:val="18"/>
                <w:szCs w:val="18"/>
                <w:lang w:val="en-GB" w:eastAsia="tr-TR"/>
              </w:rPr>
              <w:t>Elektrik Üretim</w:t>
            </w:r>
          </w:p>
        </w:tc>
        <w:tc>
          <w:tcPr>
            <w:tcW w:w="2172"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815CE5D" w14:textId="77777777" w:rsidR="00E71A02" w:rsidRPr="00BE7D82" w:rsidRDefault="00E71A02" w:rsidP="009D5F4B">
            <w:pPr>
              <w:spacing w:after="0" w:line="240" w:lineRule="atLeast"/>
              <w:rPr>
                <w:rFonts w:ascii="Times New Roman" w:eastAsia="Times New Roman" w:hAnsi="Times New Roman"/>
                <w:sz w:val="24"/>
                <w:szCs w:val="24"/>
                <w:lang w:eastAsia="tr-TR"/>
              </w:rPr>
            </w:pPr>
            <w:r w:rsidRPr="00BE7D82">
              <w:rPr>
                <w:rFonts w:ascii="Times New Roman" w:eastAsia="Times New Roman" w:hAnsi="Times New Roman"/>
                <w:sz w:val="18"/>
                <w:szCs w:val="18"/>
                <w:lang w:val="en-GB" w:eastAsia="tr-TR"/>
              </w:rPr>
              <w:t>Seviye 1</w:t>
            </w:r>
          </w:p>
        </w:tc>
        <w:tc>
          <w:tcPr>
            <w:tcW w:w="146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79A8FAB" w14:textId="77777777" w:rsidR="00E71A02" w:rsidRPr="00BE7D82" w:rsidRDefault="00E71A02" w:rsidP="009D5F4B">
            <w:pPr>
              <w:spacing w:after="0" w:line="240" w:lineRule="atLeast"/>
              <w:rPr>
                <w:rFonts w:ascii="Times New Roman" w:eastAsia="Times New Roman" w:hAnsi="Times New Roman"/>
                <w:sz w:val="24"/>
                <w:szCs w:val="24"/>
                <w:lang w:eastAsia="tr-TR"/>
              </w:rPr>
            </w:pPr>
            <w:r w:rsidRPr="00BE7D82">
              <w:rPr>
                <w:rFonts w:ascii="Times New Roman" w:eastAsia="Times New Roman" w:hAnsi="Times New Roman"/>
                <w:sz w:val="18"/>
                <w:szCs w:val="18"/>
                <w:lang w:val="en-GB" w:eastAsia="tr-TR"/>
              </w:rPr>
              <w:t>Yükümlü kuruluşa özel</w:t>
            </w:r>
          </w:p>
        </w:tc>
      </w:tr>
      <w:tr w:rsidR="00E71A02" w:rsidRPr="00BE7D82" w14:paraId="566870ED" w14:textId="77777777" w:rsidTr="00E71A02">
        <w:trPr>
          <w:trHeight w:val="159"/>
          <w:jc w:val="center"/>
        </w:trPr>
        <w:tc>
          <w:tcPr>
            <w:tcW w:w="1363"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DDEE6C9" w14:textId="77777777" w:rsidR="00E71A02" w:rsidRPr="00BE7D82" w:rsidRDefault="00E71A02" w:rsidP="009D5F4B">
            <w:pPr>
              <w:spacing w:after="0" w:line="240" w:lineRule="atLeast"/>
              <w:rPr>
                <w:rFonts w:ascii="Times New Roman" w:eastAsia="Times New Roman" w:hAnsi="Times New Roman"/>
                <w:sz w:val="24"/>
                <w:szCs w:val="24"/>
                <w:lang w:eastAsia="tr-TR"/>
              </w:rPr>
            </w:pPr>
            <w:r w:rsidRPr="00BE7D82">
              <w:rPr>
                <w:rFonts w:ascii="Times New Roman" w:eastAsia="Times New Roman" w:hAnsi="Times New Roman"/>
                <w:b/>
                <w:bCs/>
                <w:sz w:val="18"/>
                <w:szCs w:val="18"/>
                <w:lang w:val="en-GB" w:eastAsia="tr-TR"/>
              </w:rPr>
              <w:t>Rafineri</w:t>
            </w:r>
          </w:p>
        </w:tc>
        <w:tc>
          <w:tcPr>
            <w:tcW w:w="217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B489E8A" w14:textId="77777777" w:rsidR="00E71A02" w:rsidRPr="00BE7D82" w:rsidRDefault="00E71A02" w:rsidP="009D5F4B">
            <w:pPr>
              <w:spacing w:after="0" w:line="240" w:lineRule="atLeast"/>
              <w:rPr>
                <w:rFonts w:ascii="Times New Roman" w:eastAsia="Times New Roman" w:hAnsi="Times New Roman"/>
                <w:sz w:val="24"/>
                <w:szCs w:val="24"/>
                <w:lang w:eastAsia="tr-TR"/>
              </w:rPr>
            </w:pPr>
            <w:r w:rsidRPr="00BE7D82">
              <w:rPr>
                <w:rFonts w:ascii="Times New Roman" w:eastAsia="Times New Roman" w:hAnsi="Times New Roman"/>
                <w:sz w:val="18"/>
                <w:szCs w:val="18"/>
                <w:lang w:val="en-GB" w:eastAsia="tr-TR"/>
              </w:rPr>
              <w:t>Seviye 3</w:t>
            </w:r>
          </w:p>
        </w:tc>
        <w:tc>
          <w:tcPr>
            <w:tcW w:w="146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BF6CECD" w14:textId="77777777" w:rsidR="00E71A02" w:rsidRPr="00BE7D82" w:rsidRDefault="00E71A02" w:rsidP="009D5F4B">
            <w:pPr>
              <w:spacing w:after="0" w:line="240" w:lineRule="atLeast"/>
              <w:rPr>
                <w:rFonts w:ascii="Times New Roman" w:eastAsia="Times New Roman" w:hAnsi="Times New Roman"/>
                <w:sz w:val="24"/>
                <w:szCs w:val="24"/>
                <w:lang w:eastAsia="tr-TR"/>
              </w:rPr>
            </w:pPr>
            <w:r w:rsidRPr="00BE7D82">
              <w:rPr>
                <w:rFonts w:ascii="Times New Roman" w:eastAsia="Times New Roman" w:hAnsi="Times New Roman"/>
                <w:sz w:val="18"/>
                <w:szCs w:val="18"/>
                <w:lang w:val="en-GB" w:eastAsia="tr-TR"/>
              </w:rPr>
              <w:t>Yükümlü kuruluşa özel</w:t>
            </w:r>
          </w:p>
        </w:tc>
      </w:tr>
    </w:tbl>
    <w:p w14:paraId="7FC127DC" w14:textId="77777777" w:rsidR="00E71A02" w:rsidRDefault="00E71A02" w:rsidP="00E71A02">
      <w:pPr>
        <w:pStyle w:val="ListeParagraf"/>
        <w:spacing w:after="0"/>
        <w:ind w:left="1440"/>
        <w:rPr>
          <w:rFonts w:ascii="Calibri" w:hAnsi="Calibri"/>
          <w:bCs/>
        </w:rPr>
      </w:pPr>
    </w:p>
    <w:p w14:paraId="3023151D" w14:textId="77777777" w:rsidR="00E71A02" w:rsidRPr="002048A7" w:rsidRDefault="00E71A02" w:rsidP="0025080A">
      <w:pPr>
        <w:pStyle w:val="ListeParagraf"/>
        <w:numPr>
          <w:ilvl w:val="0"/>
          <w:numId w:val="30"/>
        </w:numPr>
        <w:spacing w:after="0"/>
        <w:rPr>
          <w:rFonts w:ascii="Calibri" w:hAnsi="Calibri"/>
          <w:bCs/>
        </w:rPr>
      </w:pPr>
      <w:r w:rsidRPr="00E71A02">
        <w:rPr>
          <w:rFonts w:ascii="Calibri" w:hAnsi="Calibri"/>
          <w:bCs/>
        </w:rPr>
        <w:t>9 uncu maddesinin beşinci fıkrasında yer alan “Ek-1 ile Ek-2’de” ibaresi “Ek-1, Ek-</w:t>
      </w:r>
      <w:proofErr w:type="gramStart"/>
      <w:r w:rsidRPr="00E71A02">
        <w:rPr>
          <w:rFonts w:ascii="Calibri" w:hAnsi="Calibri"/>
          <w:bCs/>
        </w:rPr>
        <w:t>1a</w:t>
      </w:r>
      <w:proofErr w:type="gramEnd"/>
      <w:r w:rsidRPr="00E71A02">
        <w:rPr>
          <w:rFonts w:ascii="Calibri" w:hAnsi="Calibri"/>
          <w:bCs/>
        </w:rPr>
        <w:t>, Ek-2, Ek-2a, Ek-3, Ek-3a ile Ek-4’te” şeklinde değiştirilmiş ve aynı fıkraya aşağıdaki bentler eklenmiştir.</w:t>
      </w:r>
    </w:p>
    <w:p w14:paraId="4CEDCC7B" w14:textId="77777777" w:rsidR="00E71A02" w:rsidRPr="002048A7" w:rsidRDefault="00E71A02" w:rsidP="00E71A02">
      <w:pPr>
        <w:pStyle w:val="ListeParagraf"/>
        <w:spacing w:after="0"/>
        <w:ind w:left="1440"/>
        <w:rPr>
          <w:rFonts w:ascii="Calibri" w:hAnsi="Calibri"/>
          <w:bCs/>
          <w:i/>
          <w:iCs/>
        </w:rPr>
      </w:pPr>
    </w:p>
    <w:p w14:paraId="59CA6772" w14:textId="77777777" w:rsidR="00E71A02" w:rsidRPr="00E71A02" w:rsidRDefault="00E71A02" w:rsidP="00E71A02">
      <w:pPr>
        <w:pStyle w:val="ListeParagraf"/>
        <w:spacing w:after="0"/>
        <w:ind w:left="1440"/>
        <w:rPr>
          <w:rFonts w:ascii="Calibri" w:hAnsi="Calibri"/>
          <w:bCs/>
          <w:i/>
          <w:iCs/>
        </w:rPr>
      </w:pPr>
      <w:r w:rsidRPr="00E71A02">
        <w:rPr>
          <w:rFonts w:ascii="Calibri" w:hAnsi="Calibri"/>
          <w:bCs/>
          <w:i/>
          <w:iCs/>
        </w:rPr>
        <w:t>“</w:t>
      </w:r>
      <w:proofErr w:type="gramStart"/>
      <w:r w:rsidRPr="00E71A02">
        <w:rPr>
          <w:rFonts w:ascii="Calibri" w:hAnsi="Calibri"/>
          <w:bCs/>
          <w:i/>
          <w:iCs/>
        </w:rPr>
        <w:t>c</w:t>
      </w:r>
      <w:proofErr w:type="gramEnd"/>
      <w:r w:rsidRPr="00E71A02">
        <w:rPr>
          <w:rFonts w:ascii="Calibri" w:hAnsi="Calibri"/>
          <w:bCs/>
          <w:i/>
          <w:iCs/>
        </w:rPr>
        <w:t>) Elektrik Üretim Sektörü Siber Güvenlik Yetkinlik Modeli Teknik Kontrol Maddeleri.</w:t>
      </w:r>
    </w:p>
    <w:p w14:paraId="44EF554F" w14:textId="77777777" w:rsidR="00E71A02" w:rsidRDefault="00E71A02" w:rsidP="00E71A02">
      <w:pPr>
        <w:pStyle w:val="ListeParagraf"/>
        <w:spacing w:after="0"/>
        <w:ind w:left="1440"/>
        <w:rPr>
          <w:rFonts w:ascii="Calibri" w:hAnsi="Calibri"/>
          <w:bCs/>
          <w:i/>
          <w:iCs/>
        </w:rPr>
      </w:pPr>
      <w:proofErr w:type="gramStart"/>
      <w:r w:rsidRPr="00E71A02">
        <w:rPr>
          <w:rFonts w:ascii="Calibri" w:hAnsi="Calibri"/>
          <w:bCs/>
          <w:i/>
          <w:iCs/>
        </w:rPr>
        <w:t>ç</w:t>
      </w:r>
      <w:proofErr w:type="gramEnd"/>
      <w:r w:rsidRPr="00E71A02">
        <w:rPr>
          <w:rFonts w:ascii="Calibri" w:hAnsi="Calibri"/>
          <w:bCs/>
          <w:i/>
          <w:iCs/>
        </w:rPr>
        <w:t>) Rafineri Sektörü Siber Güvenlik Yetkinlik Modeli Teknik Kontrol Maddeleri.”</w:t>
      </w:r>
    </w:p>
    <w:p w14:paraId="2CA889D2" w14:textId="77777777" w:rsidR="00E71A02" w:rsidRDefault="00E71A02" w:rsidP="00E71A02">
      <w:pPr>
        <w:pStyle w:val="ListeParagraf"/>
        <w:spacing w:after="0"/>
        <w:ind w:left="1440"/>
        <w:rPr>
          <w:rFonts w:ascii="Calibri" w:hAnsi="Calibri"/>
          <w:bCs/>
          <w:i/>
          <w:iCs/>
        </w:rPr>
      </w:pPr>
    </w:p>
    <w:p w14:paraId="58BC1A20" w14:textId="77777777" w:rsidR="00E71A02" w:rsidRDefault="00E71A02" w:rsidP="0025080A">
      <w:pPr>
        <w:pStyle w:val="ListeParagraf"/>
        <w:numPr>
          <w:ilvl w:val="0"/>
          <w:numId w:val="30"/>
        </w:numPr>
        <w:spacing w:after="0"/>
        <w:rPr>
          <w:rFonts w:ascii="Calibri" w:hAnsi="Calibri"/>
          <w:bCs/>
        </w:rPr>
      </w:pPr>
      <w:r w:rsidRPr="00E71A02">
        <w:rPr>
          <w:rFonts w:ascii="Calibri" w:hAnsi="Calibri"/>
          <w:bCs/>
        </w:rPr>
        <w:t xml:space="preserve">10 uncu maddesinin üçüncü fıkrasına </w:t>
      </w:r>
      <w:r w:rsidRPr="00E71A02">
        <w:rPr>
          <w:rFonts w:ascii="Calibri" w:hAnsi="Calibri"/>
          <w:bCs/>
          <w:i/>
        </w:rPr>
        <w:t>“tanımlanan uygulama süreleri sonunda”</w:t>
      </w:r>
      <w:r w:rsidRPr="00E71A02">
        <w:rPr>
          <w:rFonts w:ascii="Calibri" w:hAnsi="Calibri"/>
          <w:bCs/>
        </w:rPr>
        <w:t xml:space="preserve"> ibaresinden sonra gelmek üzere </w:t>
      </w:r>
      <w:r w:rsidRPr="00E71A02">
        <w:rPr>
          <w:rFonts w:ascii="Calibri" w:hAnsi="Calibri"/>
          <w:bCs/>
          <w:i/>
        </w:rPr>
        <w:t>“en geç bir ay içerisinde”</w:t>
      </w:r>
      <w:r w:rsidRPr="00E71A02">
        <w:rPr>
          <w:rFonts w:ascii="Calibri" w:hAnsi="Calibri"/>
          <w:bCs/>
        </w:rPr>
        <w:t xml:space="preserve"> ibaresi eklenmiştir.</w:t>
      </w:r>
    </w:p>
    <w:p w14:paraId="4343197D" w14:textId="77777777" w:rsidR="00E71A02" w:rsidRDefault="00E71A02" w:rsidP="00E71A02">
      <w:pPr>
        <w:pStyle w:val="ListeParagraf"/>
        <w:spacing w:after="0"/>
        <w:ind w:left="1440"/>
        <w:rPr>
          <w:rFonts w:ascii="Calibri" w:hAnsi="Calibri"/>
          <w:bCs/>
        </w:rPr>
      </w:pPr>
    </w:p>
    <w:p w14:paraId="00359E6A" w14:textId="77777777" w:rsidR="00E71A02" w:rsidRDefault="00E71A02" w:rsidP="0025080A">
      <w:pPr>
        <w:pStyle w:val="ListeParagraf"/>
        <w:numPr>
          <w:ilvl w:val="0"/>
          <w:numId w:val="30"/>
        </w:numPr>
        <w:spacing w:after="0"/>
        <w:rPr>
          <w:rFonts w:ascii="Calibri" w:hAnsi="Calibri"/>
          <w:bCs/>
        </w:rPr>
      </w:pPr>
      <w:proofErr w:type="gramStart"/>
      <w:r w:rsidRPr="00E71A02">
        <w:rPr>
          <w:rFonts w:ascii="Calibri" w:hAnsi="Calibri"/>
          <w:bCs/>
        </w:rPr>
        <w:t>14 üncü</w:t>
      </w:r>
      <w:proofErr w:type="gramEnd"/>
      <w:r w:rsidRPr="00E71A02">
        <w:rPr>
          <w:rFonts w:ascii="Calibri" w:hAnsi="Calibri"/>
          <w:bCs/>
        </w:rPr>
        <w:t xml:space="preserve"> maddesinin birinci fıkrasında yer alan </w:t>
      </w:r>
      <w:r w:rsidRPr="00E71A02">
        <w:rPr>
          <w:rFonts w:ascii="Calibri" w:hAnsi="Calibri"/>
          <w:bCs/>
          <w:i/>
        </w:rPr>
        <w:t>“12 nci maddesi”</w:t>
      </w:r>
      <w:r w:rsidRPr="00E71A02">
        <w:rPr>
          <w:rFonts w:ascii="Calibri" w:hAnsi="Calibri"/>
          <w:bCs/>
        </w:rPr>
        <w:t xml:space="preserve"> ibaresi </w:t>
      </w:r>
      <w:r w:rsidRPr="00E71A02">
        <w:rPr>
          <w:rFonts w:ascii="Calibri" w:hAnsi="Calibri"/>
          <w:bCs/>
          <w:i/>
        </w:rPr>
        <w:t>“12 nci madde”</w:t>
      </w:r>
      <w:r w:rsidRPr="00E71A02">
        <w:rPr>
          <w:rFonts w:ascii="Calibri" w:hAnsi="Calibri"/>
          <w:bCs/>
        </w:rPr>
        <w:t xml:space="preserve"> şeklinde değiştirilmiştir.</w:t>
      </w:r>
    </w:p>
    <w:p w14:paraId="240AFF5B" w14:textId="77777777" w:rsidR="00E71A02" w:rsidRPr="00E71A02" w:rsidRDefault="00E71A02" w:rsidP="00E71A02">
      <w:pPr>
        <w:pStyle w:val="ListeParagraf"/>
        <w:rPr>
          <w:rFonts w:ascii="Calibri" w:hAnsi="Calibri"/>
          <w:bCs/>
        </w:rPr>
      </w:pPr>
    </w:p>
    <w:p w14:paraId="54F31E66" w14:textId="77777777" w:rsidR="00E71A02" w:rsidRDefault="00E71A02" w:rsidP="0025080A">
      <w:pPr>
        <w:pStyle w:val="ListeParagraf"/>
        <w:numPr>
          <w:ilvl w:val="0"/>
          <w:numId w:val="30"/>
        </w:numPr>
        <w:spacing w:after="0"/>
        <w:rPr>
          <w:rFonts w:ascii="Calibri" w:hAnsi="Calibri"/>
          <w:bCs/>
        </w:rPr>
      </w:pPr>
      <w:r w:rsidRPr="00E71A02">
        <w:rPr>
          <w:rFonts w:ascii="Calibri" w:hAnsi="Calibri"/>
          <w:bCs/>
        </w:rPr>
        <w:t>Aynı Yönetmeliğin ekine Ek-1’den sonra gelmek üzere Ek-</w:t>
      </w:r>
      <w:proofErr w:type="gramStart"/>
      <w:r w:rsidRPr="00E71A02">
        <w:rPr>
          <w:rFonts w:ascii="Calibri" w:hAnsi="Calibri"/>
          <w:bCs/>
        </w:rPr>
        <w:t>1a</w:t>
      </w:r>
      <w:proofErr w:type="gramEnd"/>
      <w:r w:rsidRPr="00E71A02">
        <w:rPr>
          <w:rFonts w:ascii="Calibri" w:hAnsi="Calibri"/>
          <w:bCs/>
        </w:rPr>
        <w:t>, Ek-2’den sonra gelmek üzere Ek-2a eklenmiş ve aynı eke ekte yer alan Ek-3, Ek-3a ve Ek-4 eklenmiştir.</w:t>
      </w:r>
    </w:p>
    <w:p w14:paraId="0DE21D34" w14:textId="77777777" w:rsidR="007C357D" w:rsidRPr="007C357D" w:rsidRDefault="007C357D" w:rsidP="007C357D">
      <w:pPr>
        <w:pStyle w:val="ListeParagraf"/>
        <w:rPr>
          <w:rFonts w:ascii="Calibri" w:hAnsi="Calibri"/>
          <w:bCs/>
        </w:rPr>
      </w:pPr>
    </w:p>
    <w:p w14:paraId="368707D1" w14:textId="77777777" w:rsidR="007C357D" w:rsidRPr="002048A7" w:rsidRDefault="007C357D" w:rsidP="0025080A">
      <w:pPr>
        <w:pStyle w:val="ListeParagraf"/>
        <w:numPr>
          <w:ilvl w:val="0"/>
          <w:numId w:val="24"/>
        </w:numPr>
        <w:spacing w:after="160" w:line="259" w:lineRule="auto"/>
        <w:rPr>
          <w:b/>
        </w:rPr>
      </w:pPr>
      <w:r>
        <w:t>08</w:t>
      </w:r>
      <w:r w:rsidRPr="002048A7">
        <w:t>.</w:t>
      </w:r>
      <w:r>
        <w:t>09</w:t>
      </w:r>
      <w:r w:rsidRPr="002048A7">
        <w:t>.202</w:t>
      </w:r>
      <w:r>
        <w:t>4</w:t>
      </w:r>
      <w:r w:rsidRPr="002048A7">
        <w:t xml:space="preserve"> tarih ve 32</w:t>
      </w:r>
      <w:r>
        <w:t>656</w:t>
      </w:r>
      <w:r w:rsidRPr="002048A7">
        <w:t xml:space="preserve"> sayılı Resmî Gazetede yayımlanan Değişiklik </w:t>
      </w:r>
      <w:r>
        <w:t>Yönetmeliği</w:t>
      </w:r>
      <w:r w:rsidRPr="002048A7">
        <w:t xml:space="preserve"> ile </w:t>
      </w:r>
      <w:r w:rsidRPr="00790D29">
        <w:rPr>
          <w:b/>
        </w:rPr>
        <w:t>Enerji Sektöründe Siber Güvenlik Yetkinlik Modeli Yönetmeliğinin</w:t>
      </w:r>
    </w:p>
    <w:p w14:paraId="7543B20B" w14:textId="77777777" w:rsidR="007C357D" w:rsidRPr="002048A7" w:rsidRDefault="007C357D" w:rsidP="007C357D">
      <w:pPr>
        <w:pStyle w:val="ListeParagraf"/>
        <w:rPr>
          <w:b/>
        </w:rPr>
      </w:pPr>
    </w:p>
    <w:p w14:paraId="41123706" w14:textId="77777777" w:rsidR="007C357D" w:rsidRDefault="007C357D" w:rsidP="0025080A">
      <w:pPr>
        <w:pStyle w:val="ListeParagraf"/>
        <w:numPr>
          <w:ilvl w:val="0"/>
          <w:numId w:val="25"/>
        </w:numPr>
        <w:spacing w:after="160" w:line="259" w:lineRule="auto"/>
        <w:jc w:val="left"/>
      </w:pPr>
      <w:r w:rsidRPr="00790D29">
        <w:t>8 inci maddesinin birinci fıkrasında yer alan birinci tabloya aşağıdaki satırlar eklenmiştir.</w:t>
      </w:r>
    </w:p>
    <w:p w14:paraId="72D5B1BA" w14:textId="77777777" w:rsidR="007C357D" w:rsidRPr="00CA176B" w:rsidRDefault="007C357D" w:rsidP="007C357D">
      <w:pPr>
        <w:pStyle w:val="ListeParagraf"/>
        <w:spacing w:after="160" w:line="259" w:lineRule="auto"/>
        <w:ind w:left="1440"/>
        <w:jc w:val="left"/>
      </w:pPr>
    </w:p>
    <w:p w14:paraId="0B101087" w14:textId="77777777" w:rsidR="007C357D" w:rsidRDefault="007C357D" w:rsidP="007C357D">
      <w:pPr>
        <w:pStyle w:val="ListeParagraf"/>
        <w:spacing w:after="0"/>
        <w:ind w:left="1440"/>
        <w:rPr>
          <w:i/>
        </w:rPr>
      </w:pPr>
      <w:r w:rsidRPr="008210E5">
        <w:rPr>
          <w:rFonts w:ascii="Times New Roman" w:eastAsia="Times New Roman" w:hAnsi="Times New Roman"/>
          <w:noProof/>
          <w:sz w:val="18"/>
          <w:szCs w:val="18"/>
          <w:lang w:eastAsia="tr-TR"/>
        </w:rPr>
        <w:lastRenderedPageBreak/>
        <w:drawing>
          <wp:inline distT="0" distB="0" distL="0" distR="0" wp14:anchorId="0F29E409" wp14:editId="551DE2C4">
            <wp:extent cx="4438650" cy="1095375"/>
            <wp:effectExtent l="0" t="0" r="0" b="9525"/>
            <wp:docPr id="27" name="Resim 27" descr="https://www.resmigazete.gov.tr/eskiler/2024/09/20240908-1_dosyalar/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resmigazete.gov.tr/eskiler/2024/09/20240908-1_dosyalar/image002.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438650" cy="1095375"/>
                    </a:xfrm>
                    <a:prstGeom prst="rect">
                      <a:avLst/>
                    </a:prstGeom>
                    <a:noFill/>
                    <a:ln>
                      <a:noFill/>
                    </a:ln>
                  </pic:spPr>
                </pic:pic>
              </a:graphicData>
            </a:graphic>
          </wp:inline>
        </w:drawing>
      </w:r>
    </w:p>
    <w:p w14:paraId="0256CA83" w14:textId="77777777" w:rsidR="007C357D" w:rsidRDefault="007C357D" w:rsidP="0025080A">
      <w:pPr>
        <w:pStyle w:val="ListeParagraf"/>
        <w:numPr>
          <w:ilvl w:val="0"/>
          <w:numId w:val="25"/>
        </w:numPr>
        <w:spacing w:after="160" w:line="259" w:lineRule="auto"/>
        <w:jc w:val="left"/>
      </w:pPr>
      <w:r w:rsidRPr="00790D29">
        <w:t xml:space="preserve">9 uncu maddesinin beşinci fıkrasında yer alan </w:t>
      </w:r>
      <w:r w:rsidRPr="00790D29">
        <w:rPr>
          <w:i/>
        </w:rPr>
        <w:t>“Ek-1, Ek-</w:t>
      </w:r>
      <w:proofErr w:type="gramStart"/>
      <w:r w:rsidRPr="00790D29">
        <w:rPr>
          <w:i/>
        </w:rPr>
        <w:t>1a</w:t>
      </w:r>
      <w:proofErr w:type="gramEnd"/>
      <w:r w:rsidRPr="00790D29">
        <w:rPr>
          <w:i/>
        </w:rPr>
        <w:t>, Ek-2, Ek-2a, Ek-3, Ek-3a ile Ek-4’te”</w:t>
      </w:r>
      <w:r w:rsidRPr="00790D29">
        <w:t xml:space="preserve"> ibaresi </w:t>
      </w:r>
      <w:r w:rsidRPr="00790D29">
        <w:rPr>
          <w:i/>
        </w:rPr>
        <w:t>“Ek-1, Ek-1a, Ek-2, Ek-2a, Ek-3, Ek-3a Ek-4, Ek-5, Ek-6 ile Ek-7’de”</w:t>
      </w:r>
      <w:r w:rsidRPr="00790D29">
        <w:t xml:space="preserve"> şeklinde değiştirilmiş ve aynı fıkraya aşağıdaki bentler eklenmiştir.</w:t>
      </w:r>
    </w:p>
    <w:p w14:paraId="56A3B14C" w14:textId="77777777" w:rsidR="007C357D" w:rsidRPr="00790D29" w:rsidRDefault="007C357D" w:rsidP="007C357D">
      <w:pPr>
        <w:pStyle w:val="ListeParagraf"/>
        <w:spacing w:after="160" w:line="259" w:lineRule="auto"/>
        <w:ind w:left="1440"/>
        <w:jc w:val="left"/>
      </w:pPr>
    </w:p>
    <w:p w14:paraId="60D582CE" w14:textId="77777777" w:rsidR="007C357D" w:rsidRPr="00790D29" w:rsidRDefault="007C357D" w:rsidP="007C357D">
      <w:pPr>
        <w:pStyle w:val="ListeParagraf"/>
        <w:spacing w:after="0"/>
        <w:ind w:left="1440"/>
        <w:rPr>
          <w:i/>
        </w:rPr>
      </w:pPr>
      <w:r w:rsidRPr="00790D29">
        <w:rPr>
          <w:i/>
        </w:rPr>
        <w:t>“</w:t>
      </w:r>
      <w:proofErr w:type="gramStart"/>
      <w:r w:rsidRPr="00790D29">
        <w:rPr>
          <w:i/>
        </w:rPr>
        <w:t>d</w:t>
      </w:r>
      <w:proofErr w:type="gramEnd"/>
      <w:r w:rsidRPr="00790D29">
        <w:rPr>
          <w:i/>
        </w:rPr>
        <w:t>) Doğal Gaz Depolama Sektörü Siber Güvenlik Yetkinlik Modeli Teknik Kontrol Maddeleri.</w:t>
      </w:r>
    </w:p>
    <w:p w14:paraId="7A0813A4" w14:textId="77777777" w:rsidR="007C357D" w:rsidRPr="00790D29" w:rsidRDefault="007C357D" w:rsidP="007C357D">
      <w:pPr>
        <w:pStyle w:val="ListeParagraf"/>
        <w:spacing w:after="0"/>
        <w:ind w:left="1440"/>
        <w:rPr>
          <w:i/>
        </w:rPr>
      </w:pPr>
      <w:r w:rsidRPr="00790D29">
        <w:rPr>
          <w:i/>
        </w:rPr>
        <w:t>e) Doğal Gaz ve Ham Petrol İletim Sektörü Siber Güvenlik Yetkinlik Modeli Teknik Kontrol Maddeleri.</w:t>
      </w:r>
    </w:p>
    <w:p w14:paraId="22E66F9E" w14:textId="77777777" w:rsidR="007C357D" w:rsidRDefault="007C357D" w:rsidP="007C357D">
      <w:pPr>
        <w:pStyle w:val="ListeParagraf"/>
        <w:spacing w:after="0"/>
        <w:ind w:left="1440"/>
        <w:rPr>
          <w:i/>
        </w:rPr>
      </w:pPr>
      <w:r w:rsidRPr="00790D29">
        <w:rPr>
          <w:i/>
        </w:rPr>
        <w:t>f) Elektrik İletim Sektörü Siber Güvenlik Yetkinlik Modeli Teknik Kontrol Maddeleri.”</w:t>
      </w:r>
    </w:p>
    <w:p w14:paraId="7D54CFBE" w14:textId="77777777" w:rsidR="007C357D" w:rsidRDefault="007C357D" w:rsidP="007C357D">
      <w:pPr>
        <w:pStyle w:val="ListeParagraf"/>
        <w:spacing w:after="0"/>
        <w:ind w:left="1440"/>
        <w:rPr>
          <w:i/>
        </w:rPr>
      </w:pPr>
    </w:p>
    <w:p w14:paraId="39B2B9F0" w14:textId="77777777" w:rsidR="007C357D" w:rsidRDefault="007C357D" w:rsidP="0025080A">
      <w:pPr>
        <w:pStyle w:val="ListeParagraf"/>
        <w:numPr>
          <w:ilvl w:val="0"/>
          <w:numId w:val="25"/>
        </w:numPr>
        <w:spacing w:after="160" w:line="259" w:lineRule="auto"/>
        <w:jc w:val="left"/>
      </w:pPr>
      <w:r w:rsidRPr="00790D29">
        <w:t>10 uncu maddesinin dördüncü ve altıncı fıkraları aşağıdaki şekilde değiştirilmiştir.</w:t>
      </w:r>
    </w:p>
    <w:p w14:paraId="1894073A" w14:textId="77777777" w:rsidR="007C357D" w:rsidRPr="00790D29" w:rsidRDefault="007C357D" w:rsidP="007C357D">
      <w:pPr>
        <w:pStyle w:val="ListeParagraf"/>
        <w:spacing w:after="160" w:line="259" w:lineRule="auto"/>
        <w:ind w:left="1440"/>
        <w:jc w:val="left"/>
      </w:pPr>
    </w:p>
    <w:p w14:paraId="01E60A26" w14:textId="77777777" w:rsidR="007C357D" w:rsidRPr="00790D29" w:rsidRDefault="007C357D" w:rsidP="007C357D">
      <w:pPr>
        <w:pStyle w:val="ListeParagraf"/>
        <w:spacing w:after="0"/>
        <w:ind w:left="1440"/>
        <w:rPr>
          <w:i/>
        </w:rPr>
      </w:pPr>
      <w:r w:rsidRPr="00790D29">
        <w:rPr>
          <w:i/>
        </w:rPr>
        <w:t>“(4) Yükümlü kuruluşlar, sektörel denetimleri, yetkinlik modeline uygun seviye süreçlerini tamamlamalarından itibaren on iki ay içerisinde yetkilendirilmiş denetim firmalarına yaptırarak, denetim raporlarını en geç bir ay içerisinde Kuruma Enerji Piyasası Bildirim Sistemi aracılığı ile iletir.”</w:t>
      </w:r>
    </w:p>
    <w:p w14:paraId="7120119E" w14:textId="77777777" w:rsidR="007C357D" w:rsidRDefault="007C357D" w:rsidP="007C357D">
      <w:pPr>
        <w:pStyle w:val="ListeParagraf"/>
        <w:spacing w:after="0"/>
        <w:ind w:left="1440"/>
        <w:rPr>
          <w:i/>
        </w:rPr>
      </w:pPr>
      <w:r w:rsidRPr="00790D29">
        <w:rPr>
          <w:i/>
        </w:rPr>
        <w:t>“(6) Yükümlü kuruluşlar, yetkinlik seviyelerinde yer alan kontroller için danışmanlık hizmeti almaları durumunda yapılacak ilk sektörel denetimi, danışmanlık hizmeti aldıkları firma ile gerçekleştiremez. Öz denetim/fark analizi çalışmaları danışmanlık hizmeti kapsamında değerlendirilmez. Danışmanlık ve sektörel denetim hizmetleri, alt yüklenici kullanmak suretiyle de gerçekleştirilemez.”</w:t>
      </w:r>
    </w:p>
    <w:p w14:paraId="7650D4FB" w14:textId="77777777" w:rsidR="007C357D" w:rsidRDefault="007C357D" w:rsidP="007C357D">
      <w:pPr>
        <w:pStyle w:val="ListeParagraf"/>
        <w:spacing w:after="0"/>
        <w:ind w:left="1440"/>
        <w:rPr>
          <w:i/>
        </w:rPr>
      </w:pPr>
    </w:p>
    <w:p w14:paraId="16079866" w14:textId="77777777" w:rsidR="007C357D" w:rsidRDefault="007C357D" w:rsidP="0025080A">
      <w:pPr>
        <w:pStyle w:val="ListeParagraf"/>
        <w:numPr>
          <w:ilvl w:val="0"/>
          <w:numId w:val="25"/>
        </w:numPr>
        <w:spacing w:after="160" w:line="259" w:lineRule="auto"/>
        <w:jc w:val="left"/>
      </w:pPr>
      <w:r w:rsidRPr="00790D29">
        <w:t>Aynı Yönetmeliğe ekte yer alan Ek-5, Ek-6 ve Ek-7 eklenmiştir.</w:t>
      </w:r>
    </w:p>
    <w:p w14:paraId="3C6E343B" w14:textId="1C4A8549" w:rsidR="00FA0A5F" w:rsidRDefault="00FA0A5F">
      <w:pPr>
        <w:jc w:val="left"/>
        <w:rPr>
          <w:rFonts w:ascii="Calibri" w:hAnsi="Calibri"/>
          <w:bCs/>
        </w:rPr>
      </w:pPr>
      <w:r>
        <w:rPr>
          <w:rFonts w:ascii="Calibri" w:hAnsi="Calibri"/>
          <w:bCs/>
        </w:rPr>
        <w:br w:type="page"/>
      </w:r>
    </w:p>
    <w:p w14:paraId="6AD69798" w14:textId="77777777" w:rsidR="00CB5826" w:rsidRPr="002048A7" w:rsidRDefault="00CB5826" w:rsidP="00577AAF">
      <w:pPr>
        <w:pStyle w:val="Balk1"/>
        <w:numPr>
          <w:ilvl w:val="0"/>
          <w:numId w:val="11"/>
        </w:numPr>
        <w:rPr>
          <w:rFonts w:asciiTheme="minorHAnsi" w:hAnsiTheme="minorHAnsi"/>
          <w:color w:val="auto"/>
          <w:sz w:val="22"/>
          <w:szCs w:val="22"/>
        </w:rPr>
      </w:pPr>
      <w:bookmarkStart w:id="100" w:name="_Toc195868690"/>
      <w:r w:rsidRPr="002048A7">
        <w:rPr>
          <w:rFonts w:asciiTheme="minorHAnsi" w:hAnsiTheme="minorHAnsi"/>
          <w:color w:val="auto"/>
          <w:sz w:val="22"/>
          <w:szCs w:val="22"/>
        </w:rPr>
        <w:lastRenderedPageBreak/>
        <w:t>LİSANSLAMA, SERTİFİKA VE İZİN VERME FAALİYETLERİ</w:t>
      </w:r>
      <w:bookmarkEnd w:id="32"/>
      <w:bookmarkEnd w:id="100"/>
    </w:p>
    <w:p w14:paraId="45828C18" w14:textId="77777777" w:rsidR="00CB5826" w:rsidRPr="002048A7" w:rsidRDefault="00CB5826" w:rsidP="00CB5826">
      <w:pPr>
        <w:spacing w:after="0"/>
      </w:pPr>
      <w:r w:rsidRPr="002048A7">
        <w:t xml:space="preserve">Bu bölümde elektrik, doğal gaz, petrol ve </w:t>
      </w:r>
      <w:r w:rsidR="009F28DC" w:rsidRPr="002048A7">
        <w:t>LPG</w:t>
      </w:r>
      <w:r w:rsidRPr="002048A7">
        <w:t xml:space="preserve"> piyasalarına dair lisanslama, sertifika ve izin verme faaliyetleri yer almaktadır.</w:t>
      </w:r>
    </w:p>
    <w:p w14:paraId="3C454185" w14:textId="77777777" w:rsidR="00CB5826" w:rsidRPr="002048A7" w:rsidRDefault="009448AE" w:rsidP="00577AAF">
      <w:pPr>
        <w:pStyle w:val="Balk2"/>
        <w:numPr>
          <w:ilvl w:val="1"/>
          <w:numId w:val="11"/>
        </w:numPr>
        <w:spacing w:before="240" w:after="240"/>
        <w:ind w:left="426" w:hanging="426"/>
        <w:rPr>
          <w:rFonts w:asciiTheme="minorHAnsi" w:hAnsiTheme="minorHAnsi"/>
          <w:color w:val="auto"/>
          <w:sz w:val="22"/>
          <w:szCs w:val="22"/>
        </w:rPr>
      </w:pPr>
      <w:bookmarkStart w:id="101" w:name="_Toc442431255"/>
      <w:r w:rsidRPr="002048A7">
        <w:rPr>
          <w:rFonts w:asciiTheme="minorHAnsi" w:hAnsiTheme="minorHAnsi"/>
          <w:color w:val="auto"/>
          <w:sz w:val="22"/>
          <w:szCs w:val="22"/>
        </w:rPr>
        <w:t xml:space="preserve"> </w:t>
      </w:r>
      <w:bookmarkStart w:id="102" w:name="_Toc195868691"/>
      <w:r w:rsidR="00CB5826" w:rsidRPr="002048A7">
        <w:rPr>
          <w:rFonts w:asciiTheme="minorHAnsi" w:hAnsiTheme="minorHAnsi"/>
          <w:color w:val="auto"/>
          <w:sz w:val="22"/>
          <w:szCs w:val="22"/>
        </w:rPr>
        <w:t>Elektrik Piyasası Lisanslama ve İzin Faaliyetleri</w:t>
      </w:r>
      <w:bookmarkEnd w:id="101"/>
      <w:bookmarkEnd w:id="102"/>
    </w:p>
    <w:p w14:paraId="47EF6C20" w14:textId="77777777" w:rsidR="00AB21FD" w:rsidRPr="002048A7" w:rsidRDefault="00CB5826" w:rsidP="00577AAF">
      <w:pPr>
        <w:pStyle w:val="Balk3"/>
        <w:numPr>
          <w:ilvl w:val="2"/>
          <w:numId w:val="11"/>
        </w:numPr>
        <w:spacing w:after="240"/>
        <w:ind w:left="567" w:hanging="567"/>
        <w:rPr>
          <w:rFonts w:asciiTheme="minorHAnsi" w:hAnsiTheme="minorHAnsi"/>
          <w:color w:val="auto"/>
        </w:rPr>
      </w:pPr>
      <w:bookmarkStart w:id="103" w:name="_Toc442431256"/>
      <w:bookmarkStart w:id="104" w:name="_Toc195868692"/>
      <w:r w:rsidRPr="002048A7">
        <w:rPr>
          <w:rFonts w:asciiTheme="minorHAnsi" w:hAnsiTheme="minorHAnsi"/>
          <w:color w:val="auto"/>
        </w:rPr>
        <w:t>Lisanslama Faaliyetleri</w:t>
      </w:r>
      <w:bookmarkEnd w:id="103"/>
      <w:bookmarkEnd w:id="104"/>
    </w:p>
    <w:p w14:paraId="4713D52D" w14:textId="77777777" w:rsidR="00AB21FD" w:rsidRPr="002048A7" w:rsidRDefault="00AB21FD" w:rsidP="00AB21FD">
      <w:pPr>
        <w:spacing w:after="0"/>
      </w:pPr>
      <w:r w:rsidRPr="002048A7">
        <w:t xml:space="preserve">6446 sayılı </w:t>
      </w:r>
      <w:r w:rsidR="0017770B" w:rsidRPr="002048A7">
        <w:t>Elektrik Piyasası Kanunu’nun</w:t>
      </w:r>
      <w:r w:rsidRPr="002048A7">
        <w:t xml:space="preserve"> 4</w:t>
      </w:r>
      <w:r w:rsidR="00B968E8" w:rsidRPr="002048A7">
        <w:t>’</w:t>
      </w:r>
      <w:r w:rsidRPr="002048A7">
        <w:t xml:space="preserve">üncü maddesinin birinci fıkrasında, elektrik piyasasında Kanun hükümleri uyarınca lisans alma koşulu ile yerine getirilebilecek faaliyetler üretim, iletim, dağıtım, toptan satış, perakende satış, piyasa işletim, </w:t>
      </w:r>
      <w:r w:rsidR="007B7129" w:rsidRPr="002048A7">
        <w:t>ithalat,</w:t>
      </w:r>
      <w:r w:rsidR="00B968E8" w:rsidRPr="002048A7">
        <w:t xml:space="preserve"> </w:t>
      </w:r>
      <w:r w:rsidR="007B7129" w:rsidRPr="002048A7">
        <w:t xml:space="preserve">ihracat ve toplayıcılık </w:t>
      </w:r>
      <w:r w:rsidRPr="002048A7">
        <w:t>faaliyetleri olarak sayılmış; aynı maddenin üçüncü fıkrasında piyasada faaliyet gösterebilecek tüzel kişiler tanımlanmıştır. Bu kapsamda, elektrik piyasasında faaliyette bulunmak isteyen tüzel kişilerin Kurumdan lisans almaları gerekmektedir. Kurum tarafından verilecek lisanslara ilişkin usul ve esaslar Elektrik Piyasası Lisans Yönetmeliğinde düzenlenmiştir.</w:t>
      </w:r>
    </w:p>
    <w:p w14:paraId="5EE5F91C" w14:textId="77777777" w:rsidR="00AB21FD" w:rsidRPr="002048A7" w:rsidRDefault="00AB21FD" w:rsidP="00AB21FD">
      <w:pPr>
        <w:spacing w:after="0"/>
      </w:pPr>
    </w:p>
    <w:p w14:paraId="3792983D" w14:textId="77777777" w:rsidR="00AB21FD" w:rsidRPr="002048A7" w:rsidRDefault="00AB21FD" w:rsidP="00AB21FD">
      <w:pPr>
        <w:spacing w:after="0"/>
      </w:pPr>
      <w:r w:rsidRPr="002048A7">
        <w:t>Elektrik piyasasında istisnalar hariç olmak kaydıyla piyasa faaliyetleri, Kurumdan alınan lisanslar kapsamında yürütülmektedir. Her bir piyasa faaliyeti ve faaliyetin yürütüldüğü her bir tesis için ayrı lisans alınması zorunludur. Lisans sahipleri, sahip oldukları her bir lisansa konu faaliyet için ve tarifesi düzenlemeye tabi her faaliyet ve bu faaliyetin lisansı kapsamında sınırlandığı her bölge için ayrı hesap ve kayıt tutmakla yükümlüdür.</w:t>
      </w:r>
    </w:p>
    <w:p w14:paraId="0DE739AD" w14:textId="77777777" w:rsidR="00AB21FD" w:rsidRPr="002048A7" w:rsidRDefault="00AB21FD" w:rsidP="00AB21FD">
      <w:pPr>
        <w:spacing w:after="0"/>
      </w:pPr>
    </w:p>
    <w:p w14:paraId="7A9C4955" w14:textId="77777777" w:rsidR="00AB21FD" w:rsidRPr="002048A7" w:rsidRDefault="007A0D8D" w:rsidP="00AB21FD">
      <w:pPr>
        <w:spacing w:after="0"/>
      </w:pPr>
      <w:r w:rsidRPr="002048A7">
        <w:t xml:space="preserve">Lisanslar, devredilememekte; ancak lisans sahibinin hisseleri devredilebilmektedir. </w:t>
      </w:r>
      <w:r w:rsidRPr="002048A7">
        <w:rPr>
          <w:color w:val="000000" w:themeColor="text1"/>
        </w:rPr>
        <w:t>02.12.2020 tarihli ve 31322 sayılı Resmî Gazetede yayımlanan 22.11.2020 tarihli ve 7257 sayılı Elektrik Piyasası Kanunu ile Bazı Kanunlarda Değişiklik Yapılmasına Dair Kanun</w:t>
      </w:r>
      <w:r w:rsidRPr="002048A7">
        <w:t xml:space="preserve"> ile yapılan değişiklik çerçevesinde lisans sahibi tüzel kişilerden tarifesi düzenlemeye tabi olanların hisselerinin devredilmesi Kurul onayına tabi olup diğer lisans sahiplerinin hisse devirleri Kurum onayına tabi olmaktan çıkarılmıştır. </w:t>
      </w:r>
      <w:r>
        <w:t xml:space="preserve">Diğer taraftan, Kurumumuza üretim faaliyetinde bulunmak üzere önlisans başvurusunda bulunan tüzel kişilerin ortaklık yapısı değişikliği için Yönetmeliğin 57 inci maddesi çerçevesinde tanımlanan istisnaların bir kısmı 2024 yılında yapılan yönetmelik değişikliğiyle Kurul onayına tabi olmuştur. </w:t>
      </w:r>
      <w:r w:rsidRPr="002048A7">
        <w:t>Ayrıca bir lisans sahibinin; bir başka lisans sahibi ile veya lisans sahibi olmayan bir tüzel kişiyle, kendi veya lisans sahibi bir başka tüzel kişi bünyesinde tüm aktif ve pasifleriyle bir bütün olarak birleşmek istemesi veya bir lisans sahibinin tam veya kısmi olarak bölünmek istemesi halinde, Kuruldan izin alınması zorunludur.</w:t>
      </w:r>
    </w:p>
    <w:p w14:paraId="58B63784" w14:textId="77777777" w:rsidR="00AB21FD" w:rsidRPr="002048A7" w:rsidRDefault="00AB21FD" w:rsidP="00AB21FD">
      <w:pPr>
        <w:spacing w:after="0"/>
      </w:pPr>
    </w:p>
    <w:p w14:paraId="617CA3AF" w14:textId="77777777" w:rsidR="00AB21FD" w:rsidRPr="002048A7" w:rsidRDefault="00AB21FD" w:rsidP="00AB21FD">
      <w:pPr>
        <w:spacing w:after="0"/>
      </w:pPr>
      <w:r w:rsidRPr="002048A7">
        <w:t>Lisanslar; üretim, iletim ve dağıtım lisanslarında asgari süre on yıl olmak üzere en çok kırk dokuz yıl için verilebilmektedir. Lisans sahibi tüzel kişiler, lisansları kapsamındaki faaliyetlerini lisansta belirlenen çerçevede yerine getirmekle; ayrıca gerçekleştirdikleri faaliyet ile ilgili tesis varlıklarını faaliyet türlerine göre muhtemel risklere karşı korumak amacıyla teminat altına almakla yükümlüdür. Bu kapsamda lisans sahibi tüzel kişilerin üretim, iletim ve dağıtım tesislerini; doğal afetler, yangın, kaza, hırsızlık, üçüncü şahıslara karşı mali sorumluluk, terör ve sabotaj tehlikelerine karşı teminat altına almaları zorunludur.</w:t>
      </w:r>
    </w:p>
    <w:p w14:paraId="05A05D86" w14:textId="77777777" w:rsidR="00AB21FD" w:rsidRPr="002048A7" w:rsidRDefault="00AB21FD" w:rsidP="00AB21FD">
      <w:pPr>
        <w:spacing w:after="0"/>
      </w:pPr>
    </w:p>
    <w:p w14:paraId="74309533" w14:textId="77777777" w:rsidR="00AB21FD" w:rsidRDefault="007A0D8D" w:rsidP="00AB21FD">
      <w:pPr>
        <w:spacing w:after="0"/>
      </w:pPr>
      <w:r w:rsidRPr="002048A7">
        <w:t xml:space="preserve">Kurumun, elektrik piyasasında faaliyette bulunulması için verdiği lisanslar; Üretim Lisansı, İletim Lisansı, Dağıtım Lisansı, Tedarik Lisansı, OSB Dağıtım Lisansı, OSB Üretim Lisansı, </w:t>
      </w:r>
      <w:r>
        <w:t xml:space="preserve">EB Dağıtım Lisansı, EB Üretim Lisansı, </w:t>
      </w:r>
      <w:r w:rsidRPr="002048A7">
        <w:t xml:space="preserve">Piyasa İşletim Lisansı ve </w:t>
      </w:r>
      <w:r w:rsidRPr="00E87A69">
        <w:t>Toplayıcı Lisansıdır.</w:t>
      </w:r>
    </w:p>
    <w:p w14:paraId="06D8B639" w14:textId="77777777" w:rsidR="007A0D8D" w:rsidRDefault="007A0D8D" w:rsidP="00AB21FD">
      <w:pPr>
        <w:spacing w:after="0"/>
      </w:pPr>
    </w:p>
    <w:p w14:paraId="42D36360" w14:textId="77777777" w:rsidR="007A0D8D" w:rsidRPr="002048A7" w:rsidRDefault="007A0D8D" w:rsidP="007A0D8D">
      <w:pPr>
        <w:pStyle w:val="Balk5"/>
        <w:jc w:val="center"/>
        <w:rPr>
          <w:rStyle w:val="Gl"/>
          <w:color w:val="000000" w:themeColor="text1"/>
        </w:rPr>
      </w:pPr>
      <w:bookmarkStart w:id="105" w:name="_Toc195868798"/>
      <w:r w:rsidRPr="002048A7">
        <w:rPr>
          <w:rStyle w:val="Gl"/>
          <w:color w:val="000000" w:themeColor="text1"/>
        </w:rPr>
        <w:lastRenderedPageBreak/>
        <w:t>Tablo 3.1: Elektrik Piyasasında 202</w:t>
      </w:r>
      <w:r>
        <w:rPr>
          <w:rStyle w:val="Gl"/>
          <w:color w:val="000000" w:themeColor="text1"/>
        </w:rPr>
        <w:t>4</w:t>
      </w:r>
      <w:r w:rsidRPr="002048A7">
        <w:rPr>
          <w:rStyle w:val="Gl"/>
          <w:color w:val="000000" w:themeColor="text1"/>
        </w:rPr>
        <w:t xml:space="preserve"> Yılında Gerçekleştirilen Lisans İşlemleri (Adet)</w:t>
      </w:r>
      <w:bookmarkEnd w:id="105"/>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674"/>
        <w:gridCol w:w="1084"/>
        <w:gridCol w:w="1057"/>
        <w:gridCol w:w="1637"/>
        <w:gridCol w:w="1061"/>
        <w:gridCol w:w="1063"/>
        <w:gridCol w:w="1063"/>
        <w:gridCol w:w="1273"/>
      </w:tblGrid>
      <w:tr w:rsidR="007A0D8D" w:rsidRPr="002048A7" w14:paraId="50BFED44" w14:textId="77777777" w:rsidTr="007A0D8D">
        <w:trPr>
          <w:trHeight w:val="340"/>
          <w:tblHeader/>
          <w:jc w:val="center"/>
        </w:trPr>
        <w:tc>
          <w:tcPr>
            <w:tcW w:w="844" w:type="pct"/>
            <w:shd w:val="clear" w:color="000000" w:fill="6E9ECA"/>
            <w:vAlign w:val="center"/>
            <w:hideMark/>
          </w:tcPr>
          <w:p w14:paraId="42983C55" w14:textId="77777777" w:rsidR="007A0D8D" w:rsidRPr="002048A7" w:rsidRDefault="007A0D8D" w:rsidP="007A0D8D">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Lisans Tipi</w:t>
            </w:r>
          </w:p>
        </w:tc>
        <w:tc>
          <w:tcPr>
            <w:tcW w:w="547" w:type="pct"/>
            <w:shd w:val="clear" w:color="000000" w:fill="6E9ECA"/>
            <w:vAlign w:val="center"/>
            <w:hideMark/>
          </w:tcPr>
          <w:p w14:paraId="654F5647" w14:textId="77777777" w:rsidR="007A0D8D" w:rsidRPr="002048A7" w:rsidRDefault="007A0D8D" w:rsidP="007A0D8D">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Lisans Başvurusu Sayısı</w:t>
            </w:r>
          </w:p>
        </w:tc>
        <w:tc>
          <w:tcPr>
            <w:tcW w:w="533" w:type="pct"/>
            <w:shd w:val="clear" w:color="000000" w:fill="6E9ECA"/>
            <w:vAlign w:val="center"/>
            <w:hideMark/>
          </w:tcPr>
          <w:p w14:paraId="2FADD3FC" w14:textId="77777777" w:rsidR="007A0D8D" w:rsidRPr="002048A7" w:rsidRDefault="007A0D8D" w:rsidP="007A0D8D">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Verilen Lisans Sayısı</w:t>
            </w:r>
          </w:p>
        </w:tc>
        <w:tc>
          <w:tcPr>
            <w:tcW w:w="826" w:type="pct"/>
            <w:shd w:val="clear" w:color="000000" w:fill="6E9ECA"/>
            <w:vAlign w:val="center"/>
            <w:hideMark/>
          </w:tcPr>
          <w:p w14:paraId="3AAA3D7E" w14:textId="77777777" w:rsidR="007A0D8D" w:rsidRPr="002048A7" w:rsidRDefault="007A0D8D" w:rsidP="007A0D8D">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Sona Eren/Erdirilen Lisans Sayısı</w:t>
            </w:r>
          </w:p>
        </w:tc>
        <w:tc>
          <w:tcPr>
            <w:tcW w:w="535" w:type="pct"/>
            <w:shd w:val="clear" w:color="000000" w:fill="6E9ECA"/>
            <w:vAlign w:val="center"/>
            <w:hideMark/>
          </w:tcPr>
          <w:p w14:paraId="3005E789" w14:textId="77777777" w:rsidR="007A0D8D" w:rsidRPr="002048A7" w:rsidRDefault="007A0D8D" w:rsidP="007A0D8D">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İptal Edilen Lisans Sayısı</w:t>
            </w:r>
          </w:p>
        </w:tc>
        <w:tc>
          <w:tcPr>
            <w:tcW w:w="536" w:type="pct"/>
            <w:shd w:val="clear" w:color="000000" w:fill="6E9ECA"/>
            <w:vAlign w:val="center"/>
            <w:hideMark/>
          </w:tcPr>
          <w:p w14:paraId="6D9047A9" w14:textId="77777777" w:rsidR="007A0D8D" w:rsidRPr="002048A7" w:rsidRDefault="007A0D8D" w:rsidP="007A0D8D">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Tadil Sayısı</w:t>
            </w:r>
          </w:p>
        </w:tc>
        <w:tc>
          <w:tcPr>
            <w:tcW w:w="536" w:type="pct"/>
            <w:shd w:val="clear" w:color="000000" w:fill="6E9ECA"/>
            <w:vAlign w:val="center"/>
            <w:hideMark/>
          </w:tcPr>
          <w:p w14:paraId="531A16E1" w14:textId="77777777" w:rsidR="007A0D8D" w:rsidRPr="002048A7" w:rsidRDefault="007A0D8D" w:rsidP="007A0D8D">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Genel Toplam</w:t>
            </w:r>
          </w:p>
        </w:tc>
        <w:tc>
          <w:tcPr>
            <w:tcW w:w="642" w:type="pct"/>
            <w:shd w:val="clear" w:color="000000" w:fill="6E9ECA"/>
            <w:vAlign w:val="center"/>
            <w:hideMark/>
          </w:tcPr>
          <w:p w14:paraId="2AEC9293" w14:textId="77777777" w:rsidR="007A0D8D" w:rsidRPr="002048A7" w:rsidRDefault="007A0D8D" w:rsidP="007A0D8D">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Dönem Sonu Yürürlükteki Lisans Sayısı</w:t>
            </w:r>
          </w:p>
        </w:tc>
      </w:tr>
      <w:tr w:rsidR="007A0D8D" w:rsidRPr="002048A7" w14:paraId="3D1B4186" w14:textId="77777777" w:rsidTr="007A0D8D">
        <w:trPr>
          <w:trHeight w:val="340"/>
          <w:jc w:val="center"/>
        </w:trPr>
        <w:tc>
          <w:tcPr>
            <w:tcW w:w="844" w:type="pct"/>
            <w:shd w:val="clear" w:color="auto" w:fill="auto"/>
            <w:vAlign w:val="center"/>
            <w:hideMark/>
          </w:tcPr>
          <w:p w14:paraId="6DFE17B3" w14:textId="77777777" w:rsidR="007A0D8D" w:rsidRPr="002048A7" w:rsidRDefault="007A0D8D" w:rsidP="007A0D8D">
            <w:pPr>
              <w:spacing w:after="0" w:line="240" w:lineRule="auto"/>
              <w:jc w:val="left"/>
              <w:rPr>
                <w:rFonts w:eastAsia="Times New Roman" w:cstheme="minorHAnsi"/>
                <w:color w:val="000000"/>
                <w:lang w:eastAsia="tr-TR"/>
              </w:rPr>
            </w:pPr>
            <w:r w:rsidRPr="002048A7">
              <w:rPr>
                <w:rFonts w:eastAsia="Times New Roman" w:cstheme="minorHAnsi"/>
                <w:color w:val="000000"/>
                <w:lang w:eastAsia="tr-TR"/>
              </w:rPr>
              <w:t>Dağıtım Lisansı</w:t>
            </w:r>
          </w:p>
        </w:tc>
        <w:tc>
          <w:tcPr>
            <w:tcW w:w="547" w:type="pct"/>
            <w:shd w:val="clear" w:color="auto" w:fill="auto"/>
            <w:vAlign w:val="center"/>
            <w:hideMark/>
          </w:tcPr>
          <w:p w14:paraId="47E0319A"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0</w:t>
            </w:r>
          </w:p>
        </w:tc>
        <w:tc>
          <w:tcPr>
            <w:tcW w:w="533" w:type="pct"/>
            <w:shd w:val="clear" w:color="auto" w:fill="auto"/>
            <w:vAlign w:val="center"/>
            <w:hideMark/>
          </w:tcPr>
          <w:p w14:paraId="7EDBB948"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0</w:t>
            </w:r>
          </w:p>
        </w:tc>
        <w:tc>
          <w:tcPr>
            <w:tcW w:w="826" w:type="pct"/>
            <w:shd w:val="clear" w:color="auto" w:fill="auto"/>
            <w:vAlign w:val="center"/>
            <w:hideMark/>
          </w:tcPr>
          <w:p w14:paraId="4E600547"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0</w:t>
            </w:r>
          </w:p>
        </w:tc>
        <w:tc>
          <w:tcPr>
            <w:tcW w:w="535" w:type="pct"/>
            <w:shd w:val="clear" w:color="auto" w:fill="auto"/>
            <w:vAlign w:val="center"/>
            <w:hideMark/>
          </w:tcPr>
          <w:p w14:paraId="54B75407"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0</w:t>
            </w:r>
          </w:p>
        </w:tc>
        <w:tc>
          <w:tcPr>
            <w:tcW w:w="536" w:type="pct"/>
            <w:shd w:val="clear" w:color="auto" w:fill="auto"/>
            <w:vAlign w:val="center"/>
            <w:hideMark/>
          </w:tcPr>
          <w:p w14:paraId="181F6537"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 </w:t>
            </w:r>
          </w:p>
        </w:tc>
        <w:tc>
          <w:tcPr>
            <w:tcW w:w="536" w:type="pct"/>
            <w:shd w:val="clear" w:color="auto" w:fill="auto"/>
            <w:vAlign w:val="center"/>
            <w:hideMark/>
          </w:tcPr>
          <w:p w14:paraId="077AAC33"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0</w:t>
            </w:r>
          </w:p>
        </w:tc>
        <w:tc>
          <w:tcPr>
            <w:tcW w:w="642" w:type="pct"/>
            <w:shd w:val="clear" w:color="auto" w:fill="auto"/>
            <w:vAlign w:val="center"/>
            <w:hideMark/>
          </w:tcPr>
          <w:p w14:paraId="082CE35E" w14:textId="77777777" w:rsidR="007A0D8D" w:rsidRPr="002048A7" w:rsidRDefault="007A0D8D" w:rsidP="007A0D8D">
            <w:pPr>
              <w:spacing w:after="0" w:line="240" w:lineRule="auto"/>
              <w:jc w:val="right"/>
              <w:rPr>
                <w:rFonts w:eastAsia="Times New Roman" w:cstheme="minorHAnsi"/>
                <w:b/>
                <w:color w:val="000000"/>
                <w:lang w:eastAsia="tr-TR"/>
              </w:rPr>
            </w:pPr>
            <w:r w:rsidRPr="002048A7">
              <w:rPr>
                <w:rFonts w:eastAsia="Times New Roman" w:cstheme="minorHAnsi"/>
                <w:b/>
                <w:color w:val="000000"/>
                <w:lang w:eastAsia="tr-TR"/>
              </w:rPr>
              <w:t>21</w:t>
            </w:r>
          </w:p>
        </w:tc>
      </w:tr>
      <w:tr w:rsidR="007A0D8D" w:rsidRPr="002048A7" w14:paraId="3FF97882" w14:textId="77777777" w:rsidTr="007A0D8D">
        <w:trPr>
          <w:trHeight w:val="340"/>
          <w:jc w:val="center"/>
        </w:trPr>
        <w:tc>
          <w:tcPr>
            <w:tcW w:w="844" w:type="pct"/>
            <w:shd w:val="clear" w:color="auto" w:fill="auto"/>
            <w:vAlign w:val="center"/>
          </w:tcPr>
          <w:p w14:paraId="59AD8A3E" w14:textId="77777777" w:rsidR="007A0D8D" w:rsidRPr="002048A7" w:rsidRDefault="007A0D8D" w:rsidP="007A0D8D">
            <w:pPr>
              <w:spacing w:after="0" w:line="240" w:lineRule="auto"/>
              <w:jc w:val="left"/>
              <w:rPr>
                <w:rFonts w:eastAsia="Times New Roman" w:cstheme="minorHAnsi"/>
                <w:color w:val="000000"/>
                <w:lang w:eastAsia="tr-TR"/>
              </w:rPr>
            </w:pPr>
            <w:r>
              <w:rPr>
                <w:rFonts w:eastAsia="Times New Roman" w:cstheme="minorHAnsi"/>
                <w:color w:val="000000"/>
                <w:lang w:eastAsia="tr-TR"/>
              </w:rPr>
              <w:t>EB Dağıtım Lisansı</w:t>
            </w:r>
          </w:p>
        </w:tc>
        <w:tc>
          <w:tcPr>
            <w:tcW w:w="547" w:type="pct"/>
            <w:shd w:val="clear" w:color="auto" w:fill="auto"/>
            <w:vAlign w:val="center"/>
          </w:tcPr>
          <w:p w14:paraId="719D612F" w14:textId="77777777" w:rsidR="007A0D8D" w:rsidRPr="002048A7" w:rsidRDefault="007A0D8D" w:rsidP="007A0D8D">
            <w:pPr>
              <w:spacing w:after="0" w:line="240" w:lineRule="auto"/>
              <w:jc w:val="right"/>
              <w:rPr>
                <w:rFonts w:eastAsia="Times New Roman" w:cstheme="minorHAnsi"/>
                <w:color w:val="000000"/>
                <w:lang w:eastAsia="tr-TR"/>
              </w:rPr>
            </w:pPr>
            <w:r>
              <w:rPr>
                <w:rFonts w:eastAsia="Times New Roman" w:cstheme="minorHAnsi"/>
                <w:color w:val="000000"/>
                <w:lang w:eastAsia="tr-TR"/>
              </w:rPr>
              <w:t>2</w:t>
            </w:r>
          </w:p>
        </w:tc>
        <w:tc>
          <w:tcPr>
            <w:tcW w:w="533" w:type="pct"/>
            <w:shd w:val="clear" w:color="auto" w:fill="auto"/>
            <w:vAlign w:val="center"/>
          </w:tcPr>
          <w:p w14:paraId="3DA64129" w14:textId="77777777" w:rsidR="007A0D8D" w:rsidRPr="002048A7" w:rsidRDefault="007A0D8D" w:rsidP="007A0D8D">
            <w:pPr>
              <w:spacing w:after="0" w:line="240" w:lineRule="auto"/>
              <w:jc w:val="right"/>
              <w:rPr>
                <w:rFonts w:eastAsia="Times New Roman" w:cstheme="minorHAnsi"/>
                <w:color w:val="000000"/>
                <w:lang w:eastAsia="tr-TR"/>
              </w:rPr>
            </w:pPr>
            <w:r>
              <w:rPr>
                <w:rFonts w:eastAsia="Times New Roman" w:cstheme="minorHAnsi"/>
                <w:color w:val="000000"/>
                <w:lang w:eastAsia="tr-TR"/>
              </w:rPr>
              <w:t>0</w:t>
            </w:r>
          </w:p>
        </w:tc>
        <w:tc>
          <w:tcPr>
            <w:tcW w:w="826" w:type="pct"/>
            <w:shd w:val="clear" w:color="auto" w:fill="auto"/>
            <w:vAlign w:val="center"/>
          </w:tcPr>
          <w:p w14:paraId="2E1E89C1" w14:textId="77777777" w:rsidR="007A0D8D" w:rsidRPr="002048A7" w:rsidRDefault="007A0D8D" w:rsidP="007A0D8D">
            <w:pPr>
              <w:spacing w:after="0" w:line="240" w:lineRule="auto"/>
              <w:jc w:val="right"/>
              <w:rPr>
                <w:rFonts w:eastAsia="Times New Roman" w:cstheme="minorHAnsi"/>
                <w:color w:val="000000"/>
                <w:lang w:eastAsia="tr-TR"/>
              </w:rPr>
            </w:pPr>
            <w:r>
              <w:rPr>
                <w:rFonts w:eastAsia="Times New Roman" w:cstheme="minorHAnsi"/>
                <w:color w:val="000000"/>
                <w:lang w:eastAsia="tr-TR"/>
              </w:rPr>
              <w:t>0</w:t>
            </w:r>
          </w:p>
        </w:tc>
        <w:tc>
          <w:tcPr>
            <w:tcW w:w="535" w:type="pct"/>
            <w:shd w:val="clear" w:color="auto" w:fill="auto"/>
            <w:vAlign w:val="center"/>
          </w:tcPr>
          <w:p w14:paraId="64976C01" w14:textId="77777777" w:rsidR="007A0D8D" w:rsidRPr="002048A7" w:rsidRDefault="007A0D8D" w:rsidP="007A0D8D">
            <w:pPr>
              <w:spacing w:after="0" w:line="240" w:lineRule="auto"/>
              <w:jc w:val="right"/>
              <w:rPr>
                <w:rFonts w:eastAsia="Times New Roman" w:cstheme="minorHAnsi"/>
                <w:color w:val="000000"/>
                <w:lang w:eastAsia="tr-TR"/>
              </w:rPr>
            </w:pPr>
            <w:r>
              <w:rPr>
                <w:rFonts w:eastAsia="Times New Roman" w:cstheme="minorHAnsi"/>
                <w:color w:val="000000"/>
                <w:lang w:eastAsia="tr-TR"/>
              </w:rPr>
              <w:t>0</w:t>
            </w:r>
          </w:p>
        </w:tc>
        <w:tc>
          <w:tcPr>
            <w:tcW w:w="536" w:type="pct"/>
            <w:shd w:val="clear" w:color="auto" w:fill="auto"/>
            <w:vAlign w:val="center"/>
          </w:tcPr>
          <w:p w14:paraId="201759BA" w14:textId="77777777" w:rsidR="007A0D8D" w:rsidRPr="002048A7" w:rsidRDefault="007A0D8D" w:rsidP="007A0D8D">
            <w:pPr>
              <w:spacing w:after="0" w:line="240" w:lineRule="auto"/>
              <w:jc w:val="right"/>
              <w:rPr>
                <w:rFonts w:eastAsia="Times New Roman" w:cstheme="minorHAnsi"/>
                <w:color w:val="000000"/>
                <w:lang w:eastAsia="tr-TR"/>
              </w:rPr>
            </w:pPr>
            <w:r>
              <w:rPr>
                <w:rFonts w:eastAsia="Times New Roman" w:cstheme="minorHAnsi"/>
                <w:color w:val="000000"/>
                <w:lang w:eastAsia="tr-TR"/>
              </w:rPr>
              <w:t>0</w:t>
            </w:r>
          </w:p>
        </w:tc>
        <w:tc>
          <w:tcPr>
            <w:tcW w:w="536" w:type="pct"/>
            <w:shd w:val="clear" w:color="auto" w:fill="auto"/>
            <w:vAlign w:val="center"/>
          </w:tcPr>
          <w:p w14:paraId="3AD9F59C" w14:textId="77777777" w:rsidR="007A0D8D" w:rsidRPr="002048A7" w:rsidRDefault="007A0D8D" w:rsidP="007A0D8D">
            <w:pPr>
              <w:spacing w:after="0" w:line="240" w:lineRule="auto"/>
              <w:jc w:val="right"/>
              <w:rPr>
                <w:rFonts w:eastAsia="Times New Roman" w:cstheme="minorHAnsi"/>
                <w:color w:val="000000"/>
                <w:lang w:eastAsia="tr-TR"/>
              </w:rPr>
            </w:pPr>
            <w:r>
              <w:rPr>
                <w:rFonts w:eastAsia="Times New Roman" w:cstheme="minorHAnsi"/>
                <w:color w:val="000000"/>
                <w:lang w:eastAsia="tr-TR"/>
              </w:rPr>
              <w:t>0</w:t>
            </w:r>
          </w:p>
        </w:tc>
        <w:tc>
          <w:tcPr>
            <w:tcW w:w="642" w:type="pct"/>
            <w:shd w:val="clear" w:color="auto" w:fill="auto"/>
            <w:vAlign w:val="center"/>
          </w:tcPr>
          <w:p w14:paraId="56B02E9F" w14:textId="77777777" w:rsidR="007A0D8D" w:rsidRPr="002048A7" w:rsidRDefault="007A0D8D" w:rsidP="007A0D8D">
            <w:pPr>
              <w:spacing w:after="0" w:line="240" w:lineRule="auto"/>
              <w:jc w:val="right"/>
              <w:rPr>
                <w:rFonts w:eastAsia="Times New Roman" w:cstheme="minorHAnsi"/>
                <w:b/>
                <w:color w:val="000000"/>
                <w:lang w:eastAsia="tr-TR"/>
              </w:rPr>
            </w:pPr>
            <w:r>
              <w:rPr>
                <w:rFonts w:eastAsia="Times New Roman" w:cstheme="minorHAnsi"/>
                <w:b/>
                <w:color w:val="000000"/>
                <w:lang w:eastAsia="tr-TR"/>
              </w:rPr>
              <w:t>0</w:t>
            </w:r>
          </w:p>
        </w:tc>
      </w:tr>
      <w:tr w:rsidR="007A0D8D" w:rsidRPr="002048A7" w14:paraId="57B13F82" w14:textId="77777777" w:rsidTr="007A0D8D">
        <w:trPr>
          <w:trHeight w:val="340"/>
          <w:jc w:val="center"/>
        </w:trPr>
        <w:tc>
          <w:tcPr>
            <w:tcW w:w="844" w:type="pct"/>
            <w:shd w:val="clear" w:color="auto" w:fill="auto"/>
            <w:vAlign w:val="center"/>
            <w:hideMark/>
          </w:tcPr>
          <w:p w14:paraId="6090D889" w14:textId="77777777" w:rsidR="007A0D8D" w:rsidRPr="002048A7" w:rsidRDefault="007A0D8D" w:rsidP="007A0D8D">
            <w:pPr>
              <w:spacing w:after="0" w:line="240" w:lineRule="auto"/>
              <w:jc w:val="left"/>
              <w:rPr>
                <w:rFonts w:eastAsia="Times New Roman" w:cstheme="minorHAnsi"/>
                <w:color w:val="000000"/>
                <w:lang w:eastAsia="tr-TR"/>
              </w:rPr>
            </w:pPr>
            <w:r w:rsidRPr="002048A7">
              <w:rPr>
                <w:rFonts w:eastAsia="Times New Roman" w:cstheme="minorHAnsi"/>
                <w:color w:val="000000"/>
                <w:lang w:eastAsia="tr-TR"/>
              </w:rPr>
              <w:t>İletim Lisansı</w:t>
            </w:r>
          </w:p>
        </w:tc>
        <w:tc>
          <w:tcPr>
            <w:tcW w:w="547" w:type="pct"/>
            <w:shd w:val="clear" w:color="auto" w:fill="auto"/>
            <w:vAlign w:val="center"/>
            <w:hideMark/>
          </w:tcPr>
          <w:p w14:paraId="2FCFDA49"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0</w:t>
            </w:r>
          </w:p>
        </w:tc>
        <w:tc>
          <w:tcPr>
            <w:tcW w:w="533" w:type="pct"/>
            <w:shd w:val="clear" w:color="auto" w:fill="auto"/>
            <w:vAlign w:val="center"/>
            <w:hideMark/>
          </w:tcPr>
          <w:p w14:paraId="53F5E62E"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0</w:t>
            </w:r>
          </w:p>
        </w:tc>
        <w:tc>
          <w:tcPr>
            <w:tcW w:w="826" w:type="pct"/>
            <w:shd w:val="clear" w:color="auto" w:fill="auto"/>
            <w:vAlign w:val="center"/>
            <w:hideMark/>
          </w:tcPr>
          <w:p w14:paraId="1B8C4D60"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0</w:t>
            </w:r>
          </w:p>
        </w:tc>
        <w:tc>
          <w:tcPr>
            <w:tcW w:w="535" w:type="pct"/>
            <w:shd w:val="clear" w:color="auto" w:fill="auto"/>
            <w:vAlign w:val="center"/>
            <w:hideMark/>
          </w:tcPr>
          <w:p w14:paraId="70812D78"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0</w:t>
            </w:r>
          </w:p>
        </w:tc>
        <w:tc>
          <w:tcPr>
            <w:tcW w:w="536" w:type="pct"/>
            <w:shd w:val="clear" w:color="auto" w:fill="auto"/>
            <w:vAlign w:val="center"/>
            <w:hideMark/>
          </w:tcPr>
          <w:p w14:paraId="26BA4D61"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 </w:t>
            </w:r>
          </w:p>
        </w:tc>
        <w:tc>
          <w:tcPr>
            <w:tcW w:w="536" w:type="pct"/>
            <w:shd w:val="clear" w:color="auto" w:fill="auto"/>
            <w:vAlign w:val="center"/>
            <w:hideMark/>
          </w:tcPr>
          <w:p w14:paraId="54375495"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0</w:t>
            </w:r>
          </w:p>
        </w:tc>
        <w:tc>
          <w:tcPr>
            <w:tcW w:w="642" w:type="pct"/>
            <w:shd w:val="clear" w:color="auto" w:fill="auto"/>
            <w:vAlign w:val="center"/>
            <w:hideMark/>
          </w:tcPr>
          <w:p w14:paraId="69B4C9DE" w14:textId="77777777" w:rsidR="007A0D8D" w:rsidRPr="002048A7" w:rsidRDefault="007A0D8D" w:rsidP="007A0D8D">
            <w:pPr>
              <w:spacing w:after="0" w:line="240" w:lineRule="auto"/>
              <w:jc w:val="right"/>
              <w:rPr>
                <w:rFonts w:eastAsia="Times New Roman" w:cstheme="minorHAnsi"/>
                <w:b/>
                <w:color w:val="000000"/>
                <w:lang w:eastAsia="tr-TR"/>
              </w:rPr>
            </w:pPr>
            <w:r w:rsidRPr="002048A7">
              <w:rPr>
                <w:rFonts w:eastAsia="Times New Roman" w:cstheme="minorHAnsi"/>
                <w:b/>
                <w:color w:val="000000"/>
                <w:lang w:eastAsia="tr-TR"/>
              </w:rPr>
              <w:t>1</w:t>
            </w:r>
          </w:p>
        </w:tc>
      </w:tr>
      <w:tr w:rsidR="007A0D8D" w:rsidRPr="002048A7" w14:paraId="19B72054" w14:textId="77777777" w:rsidTr="007A0D8D">
        <w:trPr>
          <w:trHeight w:val="340"/>
          <w:jc w:val="center"/>
        </w:trPr>
        <w:tc>
          <w:tcPr>
            <w:tcW w:w="844" w:type="pct"/>
            <w:shd w:val="clear" w:color="auto" w:fill="auto"/>
            <w:vAlign w:val="center"/>
            <w:hideMark/>
          </w:tcPr>
          <w:p w14:paraId="45DE53B7" w14:textId="77777777" w:rsidR="007A0D8D" w:rsidRPr="002048A7" w:rsidRDefault="007A0D8D" w:rsidP="007A0D8D">
            <w:pPr>
              <w:spacing w:after="0" w:line="240" w:lineRule="auto"/>
              <w:jc w:val="left"/>
              <w:rPr>
                <w:rFonts w:eastAsia="Times New Roman" w:cstheme="minorHAnsi"/>
                <w:color w:val="000000"/>
                <w:lang w:eastAsia="tr-TR"/>
              </w:rPr>
            </w:pPr>
            <w:r w:rsidRPr="002048A7">
              <w:rPr>
                <w:rFonts w:eastAsia="Times New Roman" w:cstheme="minorHAnsi"/>
                <w:color w:val="000000"/>
                <w:lang w:eastAsia="tr-TR"/>
              </w:rPr>
              <w:t>OSB Dağıtım Lisansı</w:t>
            </w:r>
          </w:p>
        </w:tc>
        <w:tc>
          <w:tcPr>
            <w:tcW w:w="547" w:type="pct"/>
            <w:shd w:val="clear" w:color="auto" w:fill="auto"/>
            <w:vAlign w:val="center"/>
            <w:hideMark/>
          </w:tcPr>
          <w:p w14:paraId="7D3E661F"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7</w:t>
            </w:r>
          </w:p>
        </w:tc>
        <w:tc>
          <w:tcPr>
            <w:tcW w:w="533" w:type="pct"/>
            <w:shd w:val="clear" w:color="auto" w:fill="auto"/>
            <w:vAlign w:val="center"/>
            <w:hideMark/>
          </w:tcPr>
          <w:p w14:paraId="5DE0C0E0" w14:textId="77777777" w:rsidR="007A0D8D" w:rsidRPr="002048A7" w:rsidRDefault="007A0D8D" w:rsidP="007A0D8D">
            <w:pPr>
              <w:spacing w:after="0" w:line="240" w:lineRule="auto"/>
              <w:jc w:val="right"/>
              <w:rPr>
                <w:rFonts w:eastAsia="Times New Roman" w:cstheme="minorHAnsi"/>
                <w:color w:val="000000"/>
                <w:lang w:eastAsia="tr-TR"/>
              </w:rPr>
            </w:pPr>
            <w:r>
              <w:rPr>
                <w:rFonts w:eastAsia="Times New Roman" w:cstheme="minorHAnsi"/>
                <w:color w:val="000000"/>
                <w:lang w:eastAsia="tr-TR"/>
              </w:rPr>
              <w:t>7</w:t>
            </w:r>
          </w:p>
        </w:tc>
        <w:tc>
          <w:tcPr>
            <w:tcW w:w="826" w:type="pct"/>
            <w:shd w:val="clear" w:color="auto" w:fill="auto"/>
            <w:vAlign w:val="center"/>
            <w:hideMark/>
          </w:tcPr>
          <w:p w14:paraId="125436E8"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0</w:t>
            </w:r>
          </w:p>
        </w:tc>
        <w:tc>
          <w:tcPr>
            <w:tcW w:w="535" w:type="pct"/>
            <w:shd w:val="clear" w:color="auto" w:fill="auto"/>
            <w:vAlign w:val="center"/>
            <w:hideMark/>
          </w:tcPr>
          <w:p w14:paraId="43CB1A7A"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0</w:t>
            </w:r>
          </w:p>
        </w:tc>
        <w:tc>
          <w:tcPr>
            <w:tcW w:w="536" w:type="pct"/>
            <w:shd w:val="clear" w:color="auto" w:fill="auto"/>
            <w:vAlign w:val="center"/>
            <w:hideMark/>
          </w:tcPr>
          <w:p w14:paraId="61C39D00" w14:textId="77777777" w:rsidR="007A0D8D" w:rsidRPr="002048A7" w:rsidRDefault="007A0D8D" w:rsidP="007A0D8D">
            <w:pPr>
              <w:spacing w:after="0" w:line="240" w:lineRule="auto"/>
              <w:jc w:val="right"/>
              <w:rPr>
                <w:rFonts w:eastAsia="Times New Roman" w:cstheme="minorHAnsi"/>
                <w:color w:val="000000"/>
                <w:lang w:eastAsia="tr-TR"/>
              </w:rPr>
            </w:pPr>
            <w:r>
              <w:rPr>
                <w:rFonts w:eastAsia="Times New Roman" w:cstheme="minorHAnsi"/>
                <w:color w:val="000000"/>
                <w:lang w:eastAsia="tr-TR"/>
              </w:rPr>
              <w:t>0</w:t>
            </w:r>
          </w:p>
        </w:tc>
        <w:tc>
          <w:tcPr>
            <w:tcW w:w="536" w:type="pct"/>
            <w:shd w:val="clear" w:color="auto" w:fill="auto"/>
            <w:vAlign w:val="center"/>
            <w:hideMark/>
          </w:tcPr>
          <w:p w14:paraId="286AEB4F"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1</w:t>
            </w:r>
            <w:r>
              <w:rPr>
                <w:rFonts w:eastAsia="Times New Roman" w:cstheme="minorHAnsi"/>
                <w:color w:val="000000"/>
                <w:lang w:eastAsia="tr-TR"/>
              </w:rPr>
              <w:t>4</w:t>
            </w:r>
          </w:p>
        </w:tc>
        <w:tc>
          <w:tcPr>
            <w:tcW w:w="642" w:type="pct"/>
            <w:shd w:val="clear" w:color="auto" w:fill="auto"/>
            <w:vAlign w:val="center"/>
            <w:hideMark/>
          </w:tcPr>
          <w:p w14:paraId="28D1F52A" w14:textId="77777777" w:rsidR="007A0D8D" w:rsidRPr="002048A7" w:rsidRDefault="007A0D8D" w:rsidP="007A0D8D">
            <w:pPr>
              <w:spacing w:after="0" w:line="240" w:lineRule="auto"/>
              <w:jc w:val="right"/>
              <w:rPr>
                <w:rFonts w:eastAsia="Times New Roman" w:cstheme="minorHAnsi"/>
                <w:b/>
                <w:color w:val="000000"/>
                <w:lang w:eastAsia="tr-TR"/>
              </w:rPr>
            </w:pPr>
            <w:r w:rsidRPr="002048A7">
              <w:rPr>
                <w:rFonts w:eastAsia="Times New Roman" w:cstheme="minorHAnsi"/>
                <w:b/>
                <w:color w:val="000000"/>
                <w:lang w:eastAsia="tr-TR"/>
              </w:rPr>
              <w:t>2</w:t>
            </w:r>
            <w:r>
              <w:rPr>
                <w:rFonts w:eastAsia="Times New Roman" w:cstheme="minorHAnsi"/>
                <w:b/>
                <w:color w:val="000000"/>
                <w:lang w:eastAsia="tr-TR"/>
              </w:rPr>
              <w:t>11</w:t>
            </w:r>
          </w:p>
        </w:tc>
      </w:tr>
      <w:tr w:rsidR="007A0D8D" w:rsidRPr="002048A7" w14:paraId="3D2FC87C" w14:textId="77777777" w:rsidTr="007A0D8D">
        <w:trPr>
          <w:trHeight w:val="340"/>
          <w:jc w:val="center"/>
        </w:trPr>
        <w:tc>
          <w:tcPr>
            <w:tcW w:w="844" w:type="pct"/>
            <w:shd w:val="clear" w:color="auto" w:fill="auto"/>
            <w:vAlign w:val="center"/>
            <w:hideMark/>
          </w:tcPr>
          <w:p w14:paraId="216008B7" w14:textId="77777777" w:rsidR="007A0D8D" w:rsidRPr="002048A7" w:rsidRDefault="007A0D8D" w:rsidP="007A0D8D">
            <w:pPr>
              <w:spacing w:after="0" w:line="240" w:lineRule="auto"/>
              <w:jc w:val="left"/>
              <w:rPr>
                <w:rFonts w:eastAsia="Times New Roman" w:cstheme="minorHAnsi"/>
                <w:color w:val="000000"/>
                <w:lang w:eastAsia="tr-TR"/>
              </w:rPr>
            </w:pPr>
            <w:r w:rsidRPr="002048A7">
              <w:rPr>
                <w:rFonts w:eastAsia="Times New Roman" w:cstheme="minorHAnsi"/>
                <w:color w:val="000000"/>
                <w:lang w:eastAsia="tr-TR"/>
              </w:rPr>
              <w:t>OSB Üretim Lisansı</w:t>
            </w:r>
          </w:p>
        </w:tc>
        <w:tc>
          <w:tcPr>
            <w:tcW w:w="547" w:type="pct"/>
            <w:shd w:val="clear" w:color="auto" w:fill="auto"/>
            <w:vAlign w:val="center"/>
            <w:hideMark/>
          </w:tcPr>
          <w:p w14:paraId="7C3B11EB"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0</w:t>
            </w:r>
          </w:p>
        </w:tc>
        <w:tc>
          <w:tcPr>
            <w:tcW w:w="533" w:type="pct"/>
            <w:shd w:val="clear" w:color="auto" w:fill="auto"/>
            <w:vAlign w:val="center"/>
            <w:hideMark/>
          </w:tcPr>
          <w:p w14:paraId="012B627B"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0</w:t>
            </w:r>
          </w:p>
        </w:tc>
        <w:tc>
          <w:tcPr>
            <w:tcW w:w="826" w:type="pct"/>
            <w:shd w:val="clear" w:color="auto" w:fill="auto"/>
            <w:vAlign w:val="center"/>
            <w:hideMark/>
          </w:tcPr>
          <w:p w14:paraId="786DB0C4"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0</w:t>
            </w:r>
          </w:p>
        </w:tc>
        <w:tc>
          <w:tcPr>
            <w:tcW w:w="535" w:type="pct"/>
            <w:shd w:val="clear" w:color="auto" w:fill="auto"/>
            <w:vAlign w:val="center"/>
            <w:hideMark/>
          </w:tcPr>
          <w:p w14:paraId="2323563A"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0</w:t>
            </w:r>
          </w:p>
        </w:tc>
        <w:tc>
          <w:tcPr>
            <w:tcW w:w="536" w:type="pct"/>
            <w:shd w:val="clear" w:color="auto" w:fill="auto"/>
            <w:vAlign w:val="center"/>
            <w:hideMark/>
          </w:tcPr>
          <w:p w14:paraId="1DAFBA3A"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 </w:t>
            </w:r>
          </w:p>
        </w:tc>
        <w:tc>
          <w:tcPr>
            <w:tcW w:w="536" w:type="pct"/>
            <w:shd w:val="clear" w:color="auto" w:fill="auto"/>
            <w:vAlign w:val="center"/>
            <w:hideMark/>
          </w:tcPr>
          <w:p w14:paraId="7987FDA9"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0</w:t>
            </w:r>
          </w:p>
        </w:tc>
        <w:tc>
          <w:tcPr>
            <w:tcW w:w="642" w:type="pct"/>
            <w:shd w:val="clear" w:color="auto" w:fill="auto"/>
            <w:vAlign w:val="center"/>
            <w:hideMark/>
          </w:tcPr>
          <w:p w14:paraId="711B3E3E" w14:textId="77777777" w:rsidR="007A0D8D" w:rsidRPr="002048A7" w:rsidRDefault="007A0D8D" w:rsidP="007A0D8D">
            <w:pPr>
              <w:spacing w:after="0" w:line="240" w:lineRule="auto"/>
              <w:jc w:val="right"/>
              <w:rPr>
                <w:rFonts w:eastAsia="Times New Roman" w:cstheme="minorHAnsi"/>
                <w:b/>
                <w:color w:val="000000"/>
                <w:lang w:eastAsia="tr-TR"/>
              </w:rPr>
            </w:pPr>
            <w:r w:rsidRPr="002048A7">
              <w:rPr>
                <w:rFonts w:eastAsia="Times New Roman" w:cstheme="minorHAnsi"/>
                <w:b/>
                <w:color w:val="000000"/>
                <w:lang w:eastAsia="tr-TR"/>
              </w:rPr>
              <w:t>3</w:t>
            </w:r>
          </w:p>
        </w:tc>
      </w:tr>
      <w:tr w:rsidR="007A0D8D" w:rsidRPr="002048A7" w14:paraId="0FCEB901" w14:textId="77777777" w:rsidTr="007A0D8D">
        <w:trPr>
          <w:trHeight w:val="340"/>
          <w:jc w:val="center"/>
        </w:trPr>
        <w:tc>
          <w:tcPr>
            <w:tcW w:w="844" w:type="pct"/>
            <w:shd w:val="clear" w:color="auto" w:fill="auto"/>
            <w:vAlign w:val="center"/>
            <w:hideMark/>
          </w:tcPr>
          <w:p w14:paraId="6D2B0F8A" w14:textId="77777777" w:rsidR="007A0D8D" w:rsidRPr="002048A7" w:rsidRDefault="007A0D8D" w:rsidP="007A0D8D">
            <w:pPr>
              <w:spacing w:after="0" w:line="240" w:lineRule="auto"/>
              <w:jc w:val="left"/>
              <w:rPr>
                <w:rFonts w:eastAsia="Times New Roman" w:cstheme="minorHAnsi"/>
                <w:color w:val="000000"/>
                <w:lang w:eastAsia="tr-TR"/>
              </w:rPr>
            </w:pPr>
            <w:r w:rsidRPr="002048A7">
              <w:rPr>
                <w:rFonts w:eastAsia="Times New Roman" w:cstheme="minorHAnsi"/>
                <w:color w:val="000000"/>
                <w:lang w:eastAsia="tr-TR"/>
              </w:rPr>
              <w:t>Üretim Önlisans*</w:t>
            </w:r>
          </w:p>
        </w:tc>
        <w:tc>
          <w:tcPr>
            <w:tcW w:w="547" w:type="pct"/>
            <w:shd w:val="clear" w:color="auto" w:fill="auto"/>
            <w:vAlign w:val="center"/>
            <w:hideMark/>
          </w:tcPr>
          <w:p w14:paraId="280020D0" w14:textId="77777777" w:rsidR="007A0D8D" w:rsidRPr="002048A7" w:rsidRDefault="007A0D8D" w:rsidP="007A0D8D">
            <w:pPr>
              <w:spacing w:after="0" w:line="240" w:lineRule="auto"/>
              <w:jc w:val="right"/>
              <w:rPr>
                <w:rFonts w:eastAsia="Times New Roman" w:cstheme="minorHAnsi"/>
                <w:color w:val="000000"/>
                <w:lang w:eastAsia="tr-TR"/>
              </w:rPr>
            </w:pPr>
            <w:r>
              <w:rPr>
                <w:rFonts w:eastAsia="Times New Roman" w:cstheme="minorHAnsi"/>
                <w:color w:val="000000"/>
                <w:lang w:eastAsia="tr-TR"/>
              </w:rPr>
              <w:t>29</w:t>
            </w:r>
          </w:p>
        </w:tc>
        <w:tc>
          <w:tcPr>
            <w:tcW w:w="533" w:type="pct"/>
            <w:shd w:val="clear" w:color="auto" w:fill="auto"/>
            <w:vAlign w:val="center"/>
            <w:hideMark/>
          </w:tcPr>
          <w:p w14:paraId="27F792D2" w14:textId="77777777" w:rsidR="007A0D8D" w:rsidRPr="002048A7" w:rsidRDefault="007A0D8D" w:rsidP="007A0D8D">
            <w:pPr>
              <w:spacing w:after="0" w:line="240" w:lineRule="auto"/>
              <w:jc w:val="right"/>
              <w:rPr>
                <w:rFonts w:eastAsia="Times New Roman" w:cstheme="minorHAnsi"/>
                <w:color w:val="000000"/>
                <w:lang w:eastAsia="tr-TR"/>
              </w:rPr>
            </w:pPr>
            <w:r>
              <w:rPr>
                <w:rFonts w:eastAsia="Times New Roman" w:cstheme="minorHAnsi"/>
                <w:color w:val="000000"/>
                <w:lang w:eastAsia="tr-TR"/>
              </w:rPr>
              <w:t>158</w:t>
            </w:r>
          </w:p>
        </w:tc>
        <w:tc>
          <w:tcPr>
            <w:tcW w:w="826" w:type="pct"/>
            <w:shd w:val="clear" w:color="auto" w:fill="auto"/>
            <w:vAlign w:val="center"/>
            <w:hideMark/>
          </w:tcPr>
          <w:p w14:paraId="5FC85229" w14:textId="77777777" w:rsidR="007A0D8D" w:rsidRPr="002048A7" w:rsidRDefault="007A0D8D" w:rsidP="007A0D8D">
            <w:pPr>
              <w:spacing w:after="0" w:line="240" w:lineRule="auto"/>
              <w:jc w:val="right"/>
              <w:rPr>
                <w:rFonts w:eastAsia="Times New Roman" w:cstheme="minorHAnsi"/>
                <w:color w:val="000000"/>
                <w:lang w:eastAsia="tr-TR"/>
              </w:rPr>
            </w:pPr>
            <w:r>
              <w:rPr>
                <w:rFonts w:eastAsia="Times New Roman" w:cstheme="minorHAnsi"/>
                <w:color w:val="000000"/>
                <w:lang w:eastAsia="tr-TR"/>
              </w:rPr>
              <w:t>148</w:t>
            </w:r>
          </w:p>
        </w:tc>
        <w:tc>
          <w:tcPr>
            <w:tcW w:w="535" w:type="pct"/>
            <w:shd w:val="clear" w:color="auto" w:fill="auto"/>
            <w:vAlign w:val="center"/>
            <w:hideMark/>
          </w:tcPr>
          <w:p w14:paraId="2304E0DD" w14:textId="77777777" w:rsidR="007A0D8D" w:rsidRPr="002048A7" w:rsidRDefault="007A0D8D" w:rsidP="007A0D8D">
            <w:pPr>
              <w:spacing w:after="0" w:line="240" w:lineRule="auto"/>
              <w:jc w:val="right"/>
              <w:rPr>
                <w:rFonts w:eastAsia="Times New Roman" w:cstheme="minorHAnsi"/>
                <w:color w:val="000000"/>
                <w:lang w:eastAsia="tr-TR"/>
              </w:rPr>
            </w:pPr>
            <w:r>
              <w:rPr>
                <w:rFonts w:eastAsia="Times New Roman" w:cstheme="minorHAnsi"/>
                <w:color w:val="000000"/>
                <w:lang w:eastAsia="tr-TR"/>
              </w:rPr>
              <w:t>2</w:t>
            </w:r>
          </w:p>
        </w:tc>
        <w:tc>
          <w:tcPr>
            <w:tcW w:w="536" w:type="pct"/>
            <w:shd w:val="clear" w:color="auto" w:fill="auto"/>
            <w:vAlign w:val="center"/>
            <w:hideMark/>
          </w:tcPr>
          <w:p w14:paraId="0D333C54" w14:textId="77777777" w:rsidR="007A0D8D" w:rsidRPr="002048A7" w:rsidRDefault="007A0D8D" w:rsidP="007A0D8D">
            <w:pPr>
              <w:spacing w:after="0" w:line="240" w:lineRule="auto"/>
              <w:jc w:val="right"/>
              <w:rPr>
                <w:rFonts w:eastAsia="Times New Roman" w:cstheme="minorHAnsi"/>
                <w:color w:val="000000"/>
                <w:lang w:eastAsia="tr-TR"/>
              </w:rPr>
            </w:pPr>
            <w:r>
              <w:rPr>
                <w:rFonts w:eastAsia="Times New Roman" w:cstheme="minorHAnsi"/>
                <w:color w:val="000000"/>
                <w:lang w:eastAsia="tr-TR"/>
              </w:rPr>
              <w:t>258</w:t>
            </w:r>
          </w:p>
        </w:tc>
        <w:tc>
          <w:tcPr>
            <w:tcW w:w="536" w:type="pct"/>
            <w:shd w:val="clear" w:color="auto" w:fill="auto"/>
            <w:vAlign w:val="center"/>
            <w:hideMark/>
          </w:tcPr>
          <w:p w14:paraId="019E2548" w14:textId="77777777" w:rsidR="007A0D8D" w:rsidRPr="002048A7" w:rsidRDefault="007A0D8D" w:rsidP="007A0D8D">
            <w:pPr>
              <w:spacing w:after="0" w:line="240" w:lineRule="auto"/>
              <w:jc w:val="right"/>
              <w:rPr>
                <w:rFonts w:eastAsia="Times New Roman" w:cstheme="minorHAnsi"/>
                <w:color w:val="000000"/>
                <w:lang w:eastAsia="tr-TR"/>
              </w:rPr>
            </w:pPr>
            <w:r>
              <w:rPr>
                <w:rFonts w:eastAsia="Times New Roman" w:cstheme="minorHAnsi"/>
                <w:color w:val="000000"/>
                <w:lang w:eastAsia="tr-TR"/>
              </w:rPr>
              <w:t>595</w:t>
            </w:r>
          </w:p>
        </w:tc>
        <w:tc>
          <w:tcPr>
            <w:tcW w:w="642" w:type="pct"/>
            <w:shd w:val="clear" w:color="auto" w:fill="auto"/>
            <w:vAlign w:val="center"/>
            <w:hideMark/>
          </w:tcPr>
          <w:p w14:paraId="2B08E890" w14:textId="77777777" w:rsidR="007A0D8D" w:rsidRPr="002048A7" w:rsidRDefault="007A0D8D" w:rsidP="007A0D8D">
            <w:pPr>
              <w:spacing w:after="0" w:line="240" w:lineRule="auto"/>
              <w:jc w:val="right"/>
              <w:rPr>
                <w:rFonts w:eastAsia="Times New Roman" w:cstheme="minorHAnsi"/>
                <w:b/>
                <w:color w:val="000000"/>
                <w:lang w:eastAsia="tr-TR"/>
              </w:rPr>
            </w:pPr>
            <w:r>
              <w:rPr>
                <w:rFonts w:eastAsia="Times New Roman" w:cstheme="minorHAnsi"/>
                <w:b/>
                <w:color w:val="000000"/>
                <w:lang w:eastAsia="tr-TR"/>
              </w:rPr>
              <w:t>825</w:t>
            </w:r>
          </w:p>
        </w:tc>
      </w:tr>
      <w:tr w:rsidR="007A0D8D" w:rsidRPr="002048A7" w14:paraId="0C42704D" w14:textId="77777777" w:rsidTr="007A0D8D">
        <w:trPr>
          <w:trHeight w:val="340"/>
          <w:jc w:val="center"/>
        </w:trPr>
        <w:tc>
          <w:tcPr>
            <w:tcW w:w="844" w:type="pct"/>
            <w:shd w:val="clear" w:color="auto" w:fill="auto"/>
            <w:vAlign w:val="center"/>
            <w:hideMark/>
          </w:tcPr>
          <w:p w14:paraId="089C0E6E" w14:textId="77777777" w:rsidR="007A0D8D" w:rsidRPr="002048A7" w:rsidRDefault="007A0D8D" w:rsidP="007A0D8D">
            <w:pPr>
              <w:spacing w:after="0" w:line="240" w:lineRule="auto"/>
              <w:rPr>
                <w:rFonts w:eastAsia="Times New Roman" w:cstheme="minorHAnsi"/>
                <w:color w:val="000000"/>
                <w:lang w:eastAsia="tr-TR"/>
              </w:rPr>
            </w:pPr>
            <w:r w:rsidRPr="002048A7">
              <w:rPr>
                <w:rFonts w:eastAsia="Times New Roman" w:cstheme="minorHAnsi"/>
                <w:color w:val="000000"/>
                <w:lang w:eastAsia="tr-TR"/>
              </w:rPr>
              <w:t>Piyasa İşletim Lisansı</w:t>
            </w:r>
          </w:p>
        </w:tc>
        <w:tc>
          <w:tcPr>
            <w:tcW w:w="547" w:type="pct"/>
            <w:shd w:val="clear" w:color="auto" w:fill="auto"/>
            <w:vAlign w:val="center"/>
            <w:hideMark/>
          </w:tcPr>
          <w:p w14:paraId="65E2507D"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0</w:t>
            </w:r>
          </w:p>
        </w:tc>
        <w:tc>
          <w:tcPr>
            <w:tcW w:w="533" w:type="pct"/>
            <w:shd w:val="clear" w:color="auto" w:fill="auto"/>
            <w:vAlign w:val="center"/>
            <w:hideMark/>
          </w:tcPr>
          <w:p w14:paraId="3636A849"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0</w:t>
            </w:r>
          </w:p>
        </w:tc>
        <w:tc>
          <w:tcPr>
            <w:tcW w:w="826" w:type="pct"/>
            <w:shd w:val="clear" w:color="auto" w:fill="auto"/>
            <w:vAlign w:val="center"/>
            <w:hideMark/>
          </w:tcPr>
          <w:p w14:paraId="69E2C4A5"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0</w:t>
            </w:r>
          </w:p>
        </w:tc>
        <w:tc>
          <w:tcPr>
            <w:tcW w:w="535" w:type="pct"/>
            <w:shd w:val="clear" w:color="auto" w:fill="auto"/>
            <w:vAlign w:val="center"/>
            <w:hideMark/>
          </w:tcPr>
          <w:p w14:paraId="3B9EDCC3"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0</w:t>
            </w:r>
          </w:p>
        </w:tc>
        <w:tc>
          <w:tcPr>
            <w:tcW w:w="536" w:type="pct"/>
            <w:shd w:val="clear" w:color="auto" w:fill="auto"/>
            <w:vAlign w:val="center"/>
            <w:hideMark/>
          </w:tcPr>
          <w:p w14:paraId="5887F11E"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0 </w:t>
            </w:r>
          </w:p>
        </w:tc>
        <w:tc>
          <w:tcPr>
            <w:tcW w:w="536" w:type="pct"/>
            <w:shd w:val="clear" w:color="auto" w:fill="auto"/>
            <w:vAlign w:val="center"/>
            <w:hideMark/>
          </w:tcPr>
          <w:p w14:paraId="7239E24A"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0</w:t>
            </w:r>
          </w:p>
        </w:tc>
        <w:tc>
          <w:tcPr>
            <w:tcW w:w="642" w:type="pct"/>
            <w:shd w:val="clear" w:color="auto" w:fill="auto"/>
            <w:vAlign w:val="center"/>
            <w:hideMark/>
          </w:tcPr>
          <w:p w14:paraId="31AB1B48" w14:textId="77777777" w:rsidR="007A0D8D" w:rsidRPr="002048A7" w:rsidRDefault="007A0D8D" w:rsidP="007A0D8D">
            <w:pPr>
              <w:spacing w:after="0" w:line="240" w:lineRule="auto"/>
              <w:jc w:val="right"/>
              <w:rPr>
                <w:rFonts w:eastAsia="Times New Roman" w:cstheme="minorHAnsi"/>
                <w:b/>
                <w:color w:val="000000"/>
                <w:lang w:eastAsia="tr-TR"/>
              </w:rPr>
            </w:pPr>
            <w:r w:rsidRPr="002048A7">
              <w:rPr>
                <w:rFonts w:eastAsia="Times New Roman" w:cstheme="minorHAnsi"/>
                <w:b/>
                <w:color w:val="000000"/>
                <w:lang w:eastAsia="tr-TR"/>
              </w:rPr>
              <w:t>2</w:t>
            </w:r>
          </w:p>
        </w:tc>
      </w:tr>
      <w:tr w:rsidR="007A0D8D" w:rsidRPr="002048A7" w14:paraId="0638F93C" w14:textId="77777777" w:rsidTr="007A0D8D">
        <w:trPr>
          <w:trHeight w:val="340"/>
          <w:jc w:val="center"/>
        </w:trPr>
        <w:tc>
          <w:tcPr>
            <w:tcW w:w="844" w:type="pct"/>
            <w:shd w:val="clear" w:color="auto" w:fill="auto"/>
            <w:vAlign w:val="center"/>
            <w:hideMark/>
          </w:tcPr>
          <w:p w14:paraId="6BDAF6F6" w14:textId="77777777" w:rsidR="007A0D8D" w:rsidRPr="002048A7" w:rsidRDefault="007A0D8D" w:rsidP="007A0D8D">
            <w:pPr>
              <w:spacing w:after="0" w:line="240" w:lineRule="auto"/>
              <w:rPr>
                <w:rFonts w:eastAsia="Times New Roman" w:cstheme="minorHAnsi"/>
                <w:color w:val="000000"/>
                <w:lang w:eastAsia="tr-TR"/>
              </w:rPr>
            </w:pPr>
            <w:r w:rsidRPr="002048A7">
              <w:rPr>
                <w:rFonts w:eastAsia="Times New Roman" w:cstheme="minorHAnsi"/>
                <w:color w:val="000000"/>
                <w:lang w:eastAsia="tr-TR"/>
              </w:rPr>
              <w:t>Tedarik Lisansı</w:t>
            </w:r>
          </w:p>
        </w:tc>
        <w:tc>
          <w:tcPr>
            <w:tcW w:w="547" w:type="pct"/>
            <w:shd w:val="clear" w:color="auto" w:fill="auto"/>
            <w:vAlign w:val="center"/>
            <w:hideMark/>
          </w:tcPr>
          <w:p w14:paraId="4A413606" w14:textId="77777777" w:rsidR="007A0D8D" w:rsidRPr="002048A7" w:rsidRDefault="007A0D8D" w:rsidP="007A0D8D">
            <w:pPr>
              <w:spacing w:after="0" w:line="240" w:lineRule="auto"/>
              <w:jc w:val="right"/>
              <w:rPr>
                <w:rFonts w:eastAsia="Times New Roman" w:cstheme="minorHAnsi"/>
                <w:color w:val="000000"/>
                <w:lang w:eastAsia="tr-TR"/>
              </w:rPr>
            </w:pPr>
            <w:r>
              <w:rPr>
                <w:rFonts w:cstheme="minorHAnsi"/>
                <w:color w:val="000000"/>
              </w:rPr>
              <w:t>73</w:t>
            </w:r>
          </w:p>
        </w:tc>
        <w:tc>
          <w:tcPr>
            <w:tcW w:w="533" w:type="pct"/>
            <w:shd w:val="clear" w:color="auto" w:fill="auto"/>
            <w:vAlign w:val="center"/>
            <w:hideMark/>
          </w:tcPr>
          <w:p w14:paraId="42C26B5B" w14:textId="77777777" w:rsidR="007A0D8D" w:rsidRPr="002048A7" w:rsidRDefault="007A0D8D" w:rsidP="007A0D8D">
            <w:pPr>
              <w:spacing w:after="0" w:line="240" w:lineRule="auto"/>
              <w:jc w:val="right"/>
              <w:rPr>
                <w:rFonts w:eastAsia="Times New Roman" w:cstheme="minorHAnsi"/>
                <w:color w:val="000000"/>
                <w:lang w:eastAsia="tr-TR"/>
              </w:rPr>
            </w:pPr>
            <w:r>
              <w:rPr>
                <w:rFonts w:cstheme="minorHAnsi"/>
                <w:color w:val="000000"/>
              </w:rPr>
              <w:t>60</w:t>
            </w:r>
          </w:p>
        </w:tc>
        <w:tc>
          <w:tcPr>
            <w:tcW w:w="826" w:type="pct"/>
            <w:shd w:val="clear" w:color="auto" w:fill="auto"/>
            <w:vAlign w:val="center"/>
            <w:hideMark/>
          </w:tcPr>
          <w:p w14:paraId="379D6078" w14:textId="77777777" w:rsidR="007A0D8D" w:rsidRPr="002048A7" w:rsidRDefault="007A0D8D" w:rsidP="007A0D8D">
            <w:pPr>
              <w:spacing w:after="0" w:line="240" w:lineRule="auto"/>
              <w:jc w:val="right"/>
              <w:rPr>
                <w:rFonts w:eastAsia="Times New Roman" w:cstheme="minorHAnsi"/>
                <w:color w:val="000000"/>
                <w:lang w:eastAsia="tr-TR"/>
              </w:rPr>
            </w:pPr>
            <w:r>
              <w:rPr>
                <w:rFonts w:cstheme="minorHAnsi"/>
                <w:color w:val="000000"/>
              </w:rPr>
              <w:t>5</w:t>
            </w:r>
          </w:p>
        </w:tc>
        <w:tc>
          <w:tcPr>
            <w:tcW w:w="535" w:type="pct"/>
            <w:shd w:val="clear" w:color="auto" w:fill="auto"/>
            <w:vAlign w:val="center"/>
            <w:hideMark/>
          </w:tcPr>
          <w:p w14:paraId="2B8AB057"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cstheme="minorHAnsi"/>
                <w:color w:val="000000"/>
              </w:rPr>
              <w:t>3</w:t>
            </w:r>
          </w:p>
        </w:tc>
        <w:tc>
          <w:tcPr>
            <w:tcW w:w="536" w:type="pct"/>
            <w:shd w:val="clear" w:color="auto" w:fill="auto"/>
            <w:vAlign w:val="center"/>
            <w:hideMark/>
          </w:tcPr>
          <w:p w14:paraId="029BBDCB" w14:textId="77777777" w:rsidR="007A0D8D" w:rsidRPr="002048A7" w:rsidRDefault="007A0D8D" w:rsidP="007A0D8D">
            <w:pPr>
              <w:spacing w:after="0" w:line="240" w:lineRule="auto"/>
              <w:jc w:val="right"/>
              <w:rPr>
                <w:rFonts w:eastAsia="Times New Roman" w:cstheme="minorHAnsi"/>
                <w:color w:val="000000"/>
                <w:lang w:eastAsia="tr-TR"/>
              </w:rPr>
            </w:pPr>
            <w:r>
              <w:rPr>
                <w:rFonts w:cstheme="minorHAnsi"/>
                <w:color w:val="000000"/>
              </w:rPr>
              <w:t>15</w:t>
            </w:r>
          </w:p>
        </w:tc>
        <w:tc>
          <w:tcPr>
            <w:tcW w:w="536" w:type="pct"/>
            <w:shd w:val="clear" w:color="auto" w:fill="auto"/>
            <w:vAlign w:val="center"/>
            <w:hideMark/>
          </w:tcPr>
          <w:p w14:paraId="2BCCD376"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cstheme="minorHAnsi"/>
                <w:color w:val="000000"/>
              </w:rPr>
              <w:t>1</w:t>
            </w:r>
            <w:r>
              <w:rPr>
                <w:rFonts w:cstheme="minorHAnsi"/>
                <w:color w:val="000000"/>
              </w:rPr>
              <w:t>56</w:t>
            </w:r>
          </w:p>
        </w:tc>
        <w:tc>
          <w:tcPr>
            <w:tcW w:w="642" w:type="pct"/>
            <w:shd w:val="clear" w:color="auto" w:fill="auto"/>
            <w:vAlign w:val="center"/>
            <w:hideMark/>
          </w:tcPr>
          <w:p w14:paraId="6BD930FB" w14:textId="77777777" w:rsidR="007A0D8D" w:rsidRPr="002048A7" w:rsidRDefault="007A0D8D" w:rsidP="007A0D8D">
            <w:pPr>
              <w:spacing w:after="0" w:line="240" w:lineRule="auto"/>
              <w:jc w:val="right"/>
              <w:rPr>
                <w:rFonts w:eastAsia="Times New Roman" w:cstheme="minorHAnsi"/>
                <w:b/>
                <w:color w:val="000000"/>
                <w:lang w:eastAsia="tr-TR"/>
              </w:rPr>
            </w:pPr>
            <w:r w:rsidRPr="002048A7">
              <w:rPr>
                <w:rFonts w:cstheme="minorHAnsi"/>
                <w:b/>
                <w:color w:val="000000"/>
              </w:rPr>
              <w:t>3</w:t>
            </w:r>
            <w:r>
              <w:rPr>
                <w:rFonts w:cstheme="minorHAnsi"/>
                <w:b/>
                <w:color w:val="000000"/>
              </w:rPr>
              <w:t>88</w:t>
            </w:r>
          </w:p>
        </w:tc>
      </w:tr>
      <w:tr w:rsidR="007A0D8D" w:rsidRPr="002048A7" w14:paraId="433195BA" w14:textId="77777777" w:rsidTr="007A0D8D">
        <w:trPr>
          <w:trHeight w:val="340"/>
          <w:jc w:val="center"/>
        </w:trPr>
        <w:tc>
          <w:tcPr>
            <w:tcW w:w="844" w:type="pct"/>
            <w:shd w:val="clear" w:color="auto" w:fill="auto"/>
            <w:vAlign w:val="center"/>
            <w:hideMark/>
          </w:tcPr>
          <w:p w14:paraId="52BE2393" w14:textId="77777777" w:rsidR="007A0D8D" w:rsidRPr="002048A7" w:rsidRDefault="007A0D8D" w:rsidP="007A0D8D">
            <w:pPr>
              <w:spacing w:after="0" w:line="240" w:lineRule="auto"/>
              <w:rPr>
                <w:rFonts w:eastAsia="Times New Roman" w:cstheme="minorHAnsi"/>
                <w:color w:val="000000"/>
                <w:lang w:eastAsia="tr-TR"/>
              </w:rPr>
            </w:pPr>
            <w:r w:rsidRPr="002048A7">
              <w:rPr>
                <w:rFonts w:eastAsia="Times New Roman" w:cstheme="minorHAnsi"/>
                <w:color w:val="000000"/>
                <w:lang w:eastAsia="tr-TR"/>
              </w:rPr>
              <w:t>Üretim Lisansı</w:t>
            </w:r>
          </w:p>
        </w:tc>
        <w:tc>
          <w:tcPr>
            <w:tcW w:w="547" w:type="pct"/>
            <w:shd w:val="clear" w:color="auto" w:fill="auto"/>
            <w:vAlign w:val="center"/>
            <w:hideMark/>
          </w:tcPr>
          <w:p w14:paraId="6367A1C1" w14:textId="77777777" w:rsidR="007A0D8D" w:rsidRPr="002048A7" w:rsidRDefault="007A0D8D" w:rsidP="007A0D8D">
            <w:pPr>
              <w:spacing w:after="0" w:line="240" w:lineRule="auto"/>
              <w:jc w:val="right"/>
              <w:rPr>
                <w:rFonts w:eastAsia="Times New Roman" w:cstheme="minorHAnsi"/>
                <w:color w:val="000000"/>
                <w:lang w:eastAsia="tr-TR"/>
              </w:rPr>
            </w:pPr>
            <w:r>
              <w:rPr>
                <w:rFonts w:cstheme="minorHAnsi"/>
                <w:color w:val="000000"/>
              </w:rPr>
              <w:t>43</w:t>
            </w:r>
          </w:p>
        </w:tc>
        <w:tc>
          <w:tcPr>
            <w:tcW w:w="533" w:type="pct"/>
            <w:shd w:val="clear" w:color="auto" w:fill="auto"/>
            <w:vAlign w:val="center"/>
            <w:hideMark/>
          </w:tcPr>
          <w:p w14:paraId="19B563C6" w14:textId="77777777" w:rsidR="007A0D8D" w:rsidRPr="002048A7" w:rsidRDefault="007A0D8D" w:rsidP="007A0D8D">
            <w:pPr>
              <w:spacing w:after="0" w:line="240" w:lineRule="auto"/>
              <w:jc w:val="right"/>
              <w:rPr>
                <w:rFonts w:eastAsia="Times New Roman" w:cstheme="minorHAnsi"/>
                <w:color w:val="000000"/>
                <w:lang w:eastAsia="tr-TR"/>
              </w:rPr>
            </w:pPr>
            <w:r>
              <w:rPr>
                <w:rFonts w:cstheme="minorHAnsi"/>
                <w:color w:val="000000"/>
              </w:rPr>
              <w:t>85</w:t>
            </w:r>
          </w:p>
        </w:tc>
        <w:tc>
          <w:tcPr>
            <w:tcW w:w="826" w:type="pct"/>
            <w:shd w:val="clear" w:color="auto" w:fill="auto"/>
            <w:vAlign w:val="center"/>
            <w:hideMark/>
          </w:tcPr>
          <w:p w14:paraId="5EC163AB" w14:textId="77777777" w:rsidR="007A0D8D" w:rsidRPr="002048A7" w:rsidRDefault="007A0D8D" w:rsidP="007A0D8D">
            <w:pPr>
              <w:spacing w:after="0" w:line="240" w:lineRule="auto"/>
              <w:jc w:val="right"/>
              <w:rPr>
                <w:rFonts w:eastAsia="Times New Roman" w:cstheme="minorHAnsi"/>
                <w:color w:val="000000"/>
                <w:lang w:eastAsia="tr-TR"/>
              </w:rPr>
            </w:pPr>
            <w:r>
              <w:rPr>
                <w:rFonts w:cstheme="minorHAnsi"/>
                <w:color w:val="000000"/>
              </w:rPr>
              <w:t>69</w:t>
            </w:r>
          </w:p>
        </w:tc>
        <w:tc>
          <w:tcPr>
            <w:tcW w:w="535" w:type="pct"/>
            <w:shd w:val="clear" w:color="auto" w:fill="auto"/>
            <w:vAlign w:val="center"/>
            <w:hideMark/>
          </w:tcPr>
          <w:p w14:paraId="3C196E90" w14:textId="77777777" w:rsidR="007A0D8D" w:rsidRPr="002048A7" w:rsidRDefault="007A0D8D" w:rsidP="007A0D8D">
            <w:pPr>
              <w:spacing w:after="0" w:line="240" w:lineRule="auto"/>
              <w:jc w:val="right"/>
              <w:rPr>
                <w:rFonts w:eastAsia="Times New Roman" w:cstheme="minorHAnsi"/>
                <w:color w:val="000000"/>
                <w:lang w:eastAsia="tr-TR"/>
              </w:rPr>
            </w:pPr>
            <w:r>
              <w:rPr>
                <w:rFonts w:cstheme="minorHAnsi"/>
                <w:color w:val="000000"/>
              </w:rPr>
              <w:t>11</w:t>
            </w:r>
          </w:p>
        </w:tc>
        <w:tc>
          <w:tcPr>
            <w:tcW w:w="536" w:type="pct"/>
            <w:shd w:val="clear" w:color="auto" w:fill="auto"/>
            <w:vAlign w:val="center"/>
            <w:hideMark/>
          </w:tcPr>
          <w:p w14:paraId="36B3632E"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cstheme="minorHAnsi"/>
                <w:color w:val="000000"/>
              </w:rPr>
              <w:t>4</w:t>
            </w:r>
            <w:r>
              <w:rPr>
                <w:rFonts w:cstheme="minorHAnsi"/>
                <w:color w:val="000000"/>
              </w:rPr>
              <w:t>11</w:t>
            </w:r>
          </w:p>
        </w:tc>
        <w:tc>
          <w:tcPr>
            <w:tcW w:w="536" w:type="pct"/>
            <w:shd w:val="clear" w:color="auto" w:fill="auto"/>
            <w:vAlign w:val="center"/>
            <w:hideMark/>
          </w:tcPr>
          <w:p w14:paraId="1AF09F86"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cstheme="minorHAnsi"/>
                <w:color w:val="000000"/>
              </w:rPr>
              <w:t>6</w:t>
            </w:r>
            <w:r>
              <w:rPr>
                <w:rFonts w:cstheme="minorHAnsi"/>
                <w:color w:val="000000"/>
              </w:rPr>
              <w:t>21</w:t>
            </w:r>
          </w:p>
        </w:tc>
        <w:tc>
          <w:tcPr>
            <w:tcW w:w="642" w:type="pct"/>
            <w:shd w:val="clear" w:color="auto" w:fill="auto"/>
            <w:vAlign w:val="center"/>
            <w:hideMark/>
          </w:tcPr>
          <w:p w14:paraId="1C2499EB" w14:textId="77777777" w:rsidR="007A0D8D" w:rsidRPr="002048A7" w:rsidRDefault="007A0D8D" w:rsidP="007A0D8D">
            <w:pPr>
              <w:spacing w:after="0" w:line="240" w:lineRule="auto"/>
              <w:jc w:val="right"/>
              <w:rPr>
                <w:rFonts w:eastAsia="Times New Roman" w:cstheme="minorHAnsi"/>
                <w:b/>
                <w:color w:val="000000"/>
                <w:lang w:eastAsia="tr-TR"/>
              </w:rPr>
            </w:pPr>
            <w:r w:rsidRPr="002048A7">
              <w:rPr>
                <w:rFonts w:cstheme="minorHAnsi"/>
                <w:b/>
                <w:color w:val="000000"/>
              </w:rPr>
              <w:t>1.</w:t>
            </w:r>
            <w:r>
              <w:rPr>
                <w:rFonts w:cstheme="minorHAnsi"/>
                <w:b/>
                <w:color w:val="000000"/>
              </w:rPr>
              <w:t>904</w:t>
            </w:r>
          </w:p>
        </w:tc>
      </w:tr>
      <w:tr w:rsidR="007A0D8D" w:rsidRPr="002048A7" w14:paraId="68413E57" w14:textId="77777777" w:rsidTr="007A0D8D">
        <w:trPr>
          <w:trHeight w:val="340"/>
          <w:jc w:val="center"/>
        </w:trPr>
        <w:tc>
          <w:tcPr>
            <w:tcW w:w="844" w:type="pct"/>
            <w:shd w:val="clear" w:color="auto" w:fill="auto"/>
            <w:vAlign w:val="center"/>
            <w:hideMark/>
          </w:tcPr>
          <w:p w14:paraId="6049D3BD" w14:textId="77777777" w:rsidR="007A0D8D" w:rsidRPr="002048A7" w:rsidRDefault="007A0D8D" w:rsidP="007A0D8D">
            <w:pPr>
              <w:spacing w:after="0" w:line="240" w:lineRule="auto"/>
              <w:rPr>
                <w:rFonts w:eastAsia="Times New Roman" w:cstheme="minorHAnsi"/>
                <w:b/>
                <w:bCs/>
                <w:color w:val="000000"/>
                <w:lang w:eastAsia="tr-TR"/>
              </w:rPr>
            </w:pPr>
            <w:r w:rsidRPr="002048A7">
              <w:rPr>
                <w:rFonts w:eastAsia="Times New Roman" w:cstheme="minorHAnsi"/>
                <w:b/>
                <w:bCs/>
                <w:color w:val="000000"/>
                <w:lang w:eastAsia="tr-TR"/>
              </w:rPr>
              <w:t>Toplam</w:t>
            </w:r>
          </w:p>
        </w:tc>
        <w:tc>
          <w:tcPr>
            <w:tcW w:w="547" w:type="pct"/>
            <w:tcBorders>
              <w:top w:val="single" w:sz="8" w:space="0" w:color="D3D3D3"/>
              <w:left w:val="single" w:sz="8" w:space="0" w:color="D3D3D3"/>
              <w:bottom w:val="single" w:sz="8" w:space="0" w:color="D3D3D3"/>
              <w:right w:val="single" w:sz="8" w:space="0" w:color="D3D3D3"/>
            </w:tcBorders>
            <w:shd w:val="clear" w:color="auto" w:fill="auto"/>
            <w:vAlign w:val="center"/>
            <w:hideMark/>
          </w:tcPr>
          <w:p w14:paraId="0B4CEB54" w14:textId="77777777" w:rsidR="007A0D8D" w:rsidRPr="002048A7" w:rsidRDefault="007A0D8D" w:rsidP="007A0D8D">
            <w:pPr>
              <w:spacing w:after="0" w:line="240" w:lineRule="auto"/>
              <w:jc w:val="right"/>
              <w:rPr>
                <w:rFonts w:eastAsia="Times New Roman" w:cstheme="minorHAnsi"/>
                <w:b/>
                <w:bCs/>
                <w:color w:val="000000"/>
                <w:lang w:eastAsia="tr-TR"/>
              </w:rPr>
            </w:pPr>
            <w:r>
              <w:rPr>
                <w:b/>
              </w:rPr>
              <w:t>152</w:t>
            </w:r>
          </w:p>
        </w:tc>
        <w:tc>
          <w:tcPr>
            <w:tcW w:w="533" w:type="pct"/>
            <w:tcBorders>
              <w:top w:val="single" w:sz="8" w:space="0" w:color="D3D3D3"/>
              <w:left w:val="single" w:sz="8" w:space="0" w:color="D3D3D3"/>
              <w:bottom w:val="single" w:sz="8" w:space="0" w:color="D3D3D3"/>
              <w:right w:val="single" w:sz="8" w:space="0" w:color="D3D3D3"/>
            </w:tcBorders>
            <w:shd w:val="clear" w:color="auto" w:fill="auto"/>
            <w:vAlign w:val="center"/>
            <w:hideMark/>
          </w:tcPr>
          <w:p w14:paraId="20ECBE0C" w14:textId="77777777" w:rsidR="007A0D8D" w:rsidRPr="002048A7" w:rsidRDefault="007A0D8D" w:rsidP="007A0D8D">
            <w:pPr>
              <w:spacing w:after="0" w:line="240" w:lineRule="auto"/>
              <w:jc w:val="right"/>
              <w:rPr>
                <w:rFonts w:eastAsia="Times New Roman" w:cstheme="minorHAnsi"/>
                <w:b/>
                <w:bCs/>
                <w:color w:val="000000"/>
                <w:lang w:eastAsia="tr-TR"/>
              </w:rPr>
            </w:pPr>
            <w:r>
              <w:rPr>
                <w:b/>
              </w:rPr>
              <w:t>310</w:t>
            </w:r>
          </w:p>
        </w:tc>
        <w:tc>
          <w:tcPr>
            <w:tcW w:w="826" w:type="pct"/>
            <w:tcBorders>
              <w:top w:val="single" w:sz="8" w:space="0" w:color="D3D3D3"/>
              <w:left w:val="single" w:sz="8" w:space="0" w:color="D3D3D3"/>
              <w:bottom w:val="single" w:sz="8" w:space="0" w:color="D3D3D3"/>
              <w:right w:val="single" w:sz="8" w:space="0" w:color="D3D3D3"/>
            </w:tcBorders>
            <w:shd w:val="clear" w:color="auto" w:fill="auto"/>
            <w:vAlign w:val="center"/>
            <w:hideMark/>
          </w:tcPr>
          <w:p w14:paraId="3543A59B" w14:textId="77777777" w:rsidR="007A0D8D" w:rsidRPr="002048A7" w:rsidRDefault="007A0D8D" w:rsidP="007A0D8D">
            <w:pPr>
              <w:spacing w:after="0" w:line="240" w:lineRule="auto"/>
              <w:jc w:val="right"/>
              <w:rPr>
                <w:rFonts w:eastAsia="Times New Roman" w:cstheme="minorHAnsi"/>
                <w:b/>
                <w:bCs/>
                <w:color w:val="000000"/>
                <w:lang w:eastAsia="tr-TR"/>
              </w:rPr>
            </w:pPr>
            <w:r>
              <w:rPr>
                <w:b/>
              </w:rPr>
              <w:t>222</w:t>
            </w:r>
          </w:p>
        </w:tc>
        <w:tc>
          <w:tcPr>
            <w:tcW w:w="535" w:type="pct"/>
            <w:tcBorders>
              <w:top w:val="single" w:sz="8" w:space="0" w:color="D3D3D3"/>
              <w:left w:val="single" w:sz="8" w:space="0" w:color="D3D3D3"/>
              <w:bottom w:val="single" w:sz="8" w:space="0" w:color="D3D3D3"/>
              <w:right w:val="single" w:sz="8" w:space="0" w:color="D3D3D3"/>
            </w:tcBorders>
            <w:shd w:val="clear" w:color="auto" w:fill="auto"/>
            <w:vAlign w:val="center"/>
            <w:hideMark/>
          </w:tcPr>
          <w:p w14:paraId="7F34FD94" w14:textId="77777777" w:rsidR="007A0D8D" w:rsidRPr="002048A7" w:rsidRDefault="007A0D8D" w:rsidP="007A0D8D">
            <w:pPr>
              <w:spacing w:after="0" w:line="240" w:lineRule="auto"/>
              <w:jc w:val="right"/>
              <w:rPr>
                <w:rFonts w:eastAsia="Times New Roman" w:cstheme="minorHAnsi"/>
                <w:b/>
                <w:bCs/>
                <w:color w:val="000000"/>
                <w:lang w:eastAsia="tr-TR"/>
              </w:rPr>
            </w:pPr>
            <w:r>
              <w:rPr>
                <w:b/>
              </w:rPr>
              <w:t>16</w:t>
            </w:r>
          </w:p>
        </w:tc>
        <w:tc>
          <w:tcPr>
            <w:tcW w:w="536" w:type="pct"/>
            <w:tcBorders>
              <w:top w:val="single" w:sz="8" w:space="0" w:color="D3D3D3"/>
              <w:left w:val="single" w:sz="8" w:space="0" w:color="D3D3D3"/>
              <w:bottom w:val="single" w:sz="8" w:space="0" w:color="D3D3D3"/>
              <w:right w:val="single" w:sz="8" w:space="0" w:color="D3D3D3"/>
            </w:tcBorders>
            <w:shd w:val="clear" w:color="auto" w:fill="auto"/>
            <w:vAlign w:val="center"/>
            <w:hideMark/>
          </w:tcPr>
          <w:p w14:paraId="2EF1018A" w14:textId="77777777" w:rsidR="007A0D8D" w:rsidRPr="002048A7" w:rsidRDefault="007A0D8D" w:rsidP="007A0D8D">
            <w:pPr>
              <w:spacing w:after="0" w:line="240" w:lineRule="auto"/>
              <w:jc w:val="right"/>
              <w:rPr>
                <w:rFonts w:eastAsia="Times New Roman" w:cstheme="minorHAnsi"/>
                <w:b/>
                <w:bCs/>
                <w:color w:val="000000"/>
                <w:lang w:eastAsia="tr-TR"/>
              </w:rPr>
            </w:pPr>
            <w:r w:rsidRPr="002048A7">
              <w:rPr>
                <w:b/>
              </w:rPr>
              <w:t>6</w:t>
            </w:r>
            <w:r>
              <w:rPr>
                <w:b/>
              </w:rPr>
              <w:t>84</w:t>
            </w:r>
          </w:p>
        </w:tc>
        <w:tc>
          <w:tcPr>
            <w:tcW w:w="536" w:type="pct"/>
            <w:tcBorders>
              <w:top w:val="single" w:sz="8" w:space="0" w:color="D3D3D3"/>
              <w:left w:val="single" w:sz="8" w:space="0" w:color="D3D3D3"/>
              <w:bottom w:val="single" w:sz="8" w:space="0" w:color="D3D3D3"/>
              <w:right w:val="single" w:sz="8" w:space="0" w:color="D3D3D3"/>
            </w:tcBorders>
            <w:shd w:val="clear" w:color="auto" w:fill="auto"/>
            <w:vAlign w:val="center"/>
            <w:hideMark/>
          </w:tcPr>
          <w:p w14:paraId="6ED4DED3" w14:textId="77777777" w:rsidR="007A0D8D" w:rsidRPr="002048A7" w:rsidRDefault="007A0D8D" w:rsidP="007A0D8D">
            <w:pPr>
              <w:spacing w:after="0" w:line="240" w:lineRule="auto"/>
              <w:jc w:val="right"/>
              <w:rPr>
                <w:rFonts w:eastAsia="Times New Roman" w:cstheme="minorHAnsi"/>
                <w:b/>
                <w:bCs/>
                <w:color w:val="000000"/>
                <w:lang w:eastAsia="tr-TR"/>
              </w:rPr>
            </w:pPr>
            <w:r>
              <w:rPr>
                <w:b/>
              </w:rPr>
              <w:t>1.386</w:t>
            </w:r>
          </w:p>
        </w:tc>
        <w:tc>
          <w:tcPr>
            <w:tcW w:w="642" w:type="pct"/>
            <w:tcBorders>
              <w:top w:val="single" w:sz="8" w:space="0" w:color="D3D3D3"/>
              <w:left w:val="single" w:sz="8" w:space="0" w:color="D3D3D3"/>
              <w:bottom w:val="single" w:sz="8" w:space="0" w:color="D3D3D3"/>
              <w:right w:val="single" w:sz="8" w:space="0" w:color="D3D3D3"/>
            </w:tcBorders>
            <w:shd w:val="clear" w:color="auto" w:fill="auto"/>
            <w:vAlign w:val="center"/>
            <w:hideMark/>
          </w:tcPr>
          <w:p w14:paraId="777540BB" w14:textId="77777777" w:rsidR="007A0D8D" w:rsidRPr="002048A7" w:rsidRDefault="007A0D8D" w:rsidP="007A0D8D">
            <w:pPr>
              <w:spacing w:after="0" w:line="240" w:lineRule="auto"/>
              <w:jc w:val="right"/>
              <w:rPr>
                <w:rFonts w:eastAsia="Times New Roman" w:cstheme="minorHAnsi"/>
                <w:b/>
                <w:bCs/>
                <w:color w:val="000000"/>
                <w:lang w:eastAsia="tr-TR"/>
              </w:rPr>
            </w:pPr>
            <w:r w:rsidRPr="002048A7">
              <w:rPr>
                <w:b/>
              </w:rPr>
              <w:t>3.</w:t>
            </w:r>
            <w:r>
              <w:rPr>
                <w:b/>
              </w:rPr>
              <w:t>333</w:t>
            </w:r>
          </w:p>
        </w:tc>
      </w:tr>
    </w:tbl>
    <w:p w14:paraId="2A018BEA" w14:textId="77777777" w:rsidR="00CB5826" w:rsidRPr="00FA0A5F" w:rsidRDefault="00CB5826" w:rsidP="00894A3C">
      <w:pPr>
        <w:spacing w:after="0"/>
        <w:rPr>
          <w:rFonts w:asciiTheme="majorHAnsi" w:eastAsiaTheme="majorEastAsia" w:hAnsiTheme="majorHAnsi" w:cstheme="majorBidi"/>
          <w:i/>
          <w:sz w:val="20"/>
          <w:szCs w:val="20"/>
        </w:rPr>
      </w:pPr>
      <w:r w:rsidRPr="00FA0A5F">
        <w:rPr>
          <w:rFonts w:asciiTheme="majorHAnsi" w:eastAsiaTheme="majorEastAsia" w:hAnsiTheme="majorHAnsi" w:cstheme="majorBidi"/>
          <w:i/>
          <w:sz w:val="20"/>
          <w:szCs w:val="20"/>
        </w:rPr>
        <w:t>*Üretim lisansı başvurusunda bulunan tüzel kişiye, üretim tesisi yatırımına başlaması için mevzuattan kaynaklanan izin, onay, ruhsat ve benzeri belgeleri edinebilmesi ve üretim tesisinin kurulacağı sahanın mülkiyet veya kullanım hakkını elde edebilmesi için Kurum tarafından belirli süre ile verilen izindir.</w:t>
      </w:r>
    </w:p>
    <w:p w14:paraId="18615099" w14:textId="77777777" w:rsidR="00CB5826" w:rsidRPr="002048A7" w:rsidRDefault="00CB5826" w:rsidP="00CB5826">
      <w:pPr>
        <w:spacing w:after="0"/>
      </w:pPr>
    </w:p>
    <w:p w14:paraId="685DC716" w14:textId="77777777" w:rsidR="00CB5826" w:rsidRPr="002048A7" w:rsidRDefault="00CB5826" w:rsidP="00CB5826">
      <w:pPr>
        <w:spacing w:after="0"/>
      </w:pPr>
      <w:r w:rsidRPr="002048A7">
        <w:t>Üretim faaliyeti kapsamında Kurum tarafından gerçek</w:t>
      </w:r>
      <w:r w:rsidRPr="00894A3C">
        <w:t>leş</w:t>
      </w:r>
      <w:r w:rsidR="00F200E0" w:rsidRPr="00894A3C">
        <w:t>t</w:t>
      </w:r>
      <w:r w:rsidR="00F200E0" w:rsidRPr="002048A7">
        <w:t>irilen lisans işlemleri ve 202</w:t>
      </w:r>
      <w:r w:rsidR="007A0D8D">
        <w:t>4</w:t>
      </w:r>
      <w:r w:rsidRPr="002048A7">
        <w:t xml:space="preserve"> yılı sonu itibar</w:t>
      </w:r>
      <w:r w:rsidR="0070655F" w:rsidRPr="002048A7">
        <w:t>ı</w:t>
      </w:r>
      <w:r w:rsidRPr="002048A7">
        <w:t>yl</w:t>
      </w:r>
      <w:r w:rsidR="0070655F" w:rsidRPr="002048A7">
        <w:t>a</w:t>
      </w:r>
      <w:r w:rsidRPr="002048A7">
        <w:t xml:space="preserve"> lisanslı üretim kapasitesinin, yakıt/kaynak türü ve kurulu güç bazın</w:t>
      </w:r>
      <w:r w:rsidR="00443A47" w:rsidRPr="002048A7">
        <w:t>da dağılımı Tablo 3.2</w:t>
      </w:r>
      <w:r w:rsidR="00B059FE" w:rsidRPr="002048A7">
        <w:t>’d</w:t>
      </w:r>
      <w:r w:rsidRPr="002048A7">
        <w:t>e gösterilmektedir.</w:t>
      </w:r>
    </w:p>
    <w:p w14:paraId="70AB7819" w14:textId="77777777" w:rsidR="00CB5826" w:rsidRPr="002048A7" w:rsidRDefault="00CB5826" w:rsidP="00C466F8">
      <w:pPr>
        <w:spacing w:after="0"/>
        <w:jc w:val="center"/>
      </w:pPr>
    </w:p>
    <w:p w14:paraId="7D2B4081" w14:textId="77777777" w:rsidR="007A0D8D" w:rsidRPr="002048A7" w:rsidRDefault="007A0D8D" w:rsidP="007A0D8D">
      <w:pPr>
        <w:pStyle w:val="Balk5"/>
        <w:spacing w:before="0"/>
        <w:jc w:val="center"/>
        <w:rPr>
          <w:rStyle w:val="Gl"/>
          <w:color w:val="000000" w:themeColor="text1"/>
        </w:rPr>
      </w:pPr>
      <w:bookmarkStart w:id="106" w:name="_Toc416447578"/>
      <w:bookmarkStart w:id="107" w:name="_Toc442441731"/>
      <w:bookmarkStart w:id="108" w:name="_Toc195868799"/>
      <w:bookmarkStart w:id="109" w:name="_Hlk126241511"/>
      <w:bookmarkStart w:id="110" w:name="_Toc442431257"/>
      <w:r w:rsidRPr="002048A7">
        <w:rPr>
          <w:rStyle w:val="Gl"/>
          <w:color w:val="000000" w:themeColor="text1"/>
        </w:rPr>
        <w:t>Tablo 3.2: Elektrik Piyasasında 202</w:t>
      </w:r>
      <w:r>
        <w:rPr>
          <w:rStyle w:val="Gl"/>
          <w:color w:val="000000" w:themeColor="text1"/>
        </w:rPr>
        <w:t>4</w:t>
      </w:r>
      <w:r w:rsidRPr="002048A7">
        <w:rPr>
          <w:rStyle w:val="Gl"/>
          <w:color w:val="000000" w:themeColor="text1"/>
        </w:rPr>
        <w:t xml:space="preserve"> Yılında Üretim Faaliyeti</w:t>
      </w:r>
      <w:bookmarkStart w:id="111" w:name="_Toc416447579"/>
      <w:bookmarkEnd w:id="106"/>
      <w:r w:rsidRPr="002048A7">
        <w:rPr>
          <w:rStyle w:val="Gl"/>
          <w:color w:val="000000" w:themeColor="text1"/>
        </w:rPr>
        <w:t xml:space="preserve"> Kapsamında Gerçekleştirilen Lisans İşlemleri</w:t>
      </w:r>
      <w:bookmarkEnd w:id="107"/>
      <w:bookmarkEnd w:id="108"/>
      <w:bookmarkEnd w:id="111"/>
      <w:r w:rsidRPr="002048A7">
        <w:rPr>
          <w:rStyle w:val="Gl"/>
          <w:color w:val="000000" w:themeColor="text1"/>
        </w:rPr>
        <w:t xml:space="preserve"> </w:t>
      </w:r>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918"/>
        <w:gridCol w:w="1359"/>
        <w:gridCol w:w="1302"/>
        <w:gridCol w:w="1393"/>
        <w:gridCol w:w="1422"/>
        <w:gridCol w:w="863"/>
        <w:gridCol w:w="1383"/>
        <w:gridCol w:w="1272"/>
      </w:tblGrid>
      <w:tr w:rsidR="007A0D8D" w:rsidRPr="002048A7" w14:paraId="58629A83" w14:textId="77777777" w:rsidTr="007A0D8D">
        <w:trPr>
          <w:trHeight w:val="340"/>
          <w:tblHeader/>
        </w:trPr>
        <w:tc>
          <w:tcPr>
            <w:tcW w:w="362" w:type="pct"/>
            <w:shd w:val="clear" w:color="000000" w:fill="6E9ECA"/>
            <w:vAlign w:val="center"/>
            <w:hideMark/>
          </w:tcPr>
          <w:p w14:paraId="7F568494" w14:textId="77777777" w:rsidR="007A0D8D" w:rsidRPr="002048A7" w:rsidRDefault="007A0D8D" w:rsidP="007A0D8D">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Lisans Tipi</w:t>
            </w:r>
          </w:p>
        </w:tc>
        <w:tc>
          <w:tcPr>
            <w:tcW w:w="528" w:type="pct"/>
            <w:shd w:val="clear" w:color="auto" w:fill="6E9ECA"/>
            <w:vAlign w:val="center"/>
            <w:hideMark/>
          </w:tcPr>
          <w:p w14:paraId="35291B60" w14:textId="77777777" w:rsidR="007A0D8D" w:rsidRPr="002048A7" w:rsidRDefault="007A0D8D" w:rsidP="007A0D8D">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Kaynak/Yakıt Türü</w:t>
            </w:r>
          </w:p>
        </w:tc>
        <w:tc>
          <w:tcPr>
            <w:tcW w:w="738" w:type="pct"/>
            <w:shd w:val="clear" w:color="000000" w:fill="6E9ECA"/>
            <w:vAlign w:val="center"/>
            <w:hideMark/>
          </w:tcPr>
          <w:p w14:paraId="050C043A" w14:textId="77777777" w:rsidR="007A0D8D" w:rsidRPr="002048A7" w:rsidRDefault="007A0D8D" w:rsidP="007A0D8D">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Lisans Başvurusu (MWe)</w:t>
            </w:r>
          </w:p>
          <w:p w14:paraId="390ACA16" w14:textId="77777777" w:rsidR="007A0D8D" w:rsidRPr="002048A7" w:rsidRDefault="007A0D8D" w:rsidP="007A0D8D">
            <w:pPr>
              <w:spacing w:after="0" w:line="240" w:lineRule="auto"/>
              <w:jc w:val="center"/>
              <w:rPr>
                <w:rFonts w:ascii="Calibri" w:eastAsia="Times New Roman" w:hAnsi="Calibri" w:cs="Calibri"/>
                <w:b/>
                <w:bCs/>
                <w:color w:val="FFFFFF"/>
                <w:lang w:eastAsia="tr-TR"/>
              </w:rPr>
            </w:pPr>
          </w:p>
        </w:tc>
        <w:tc>
          <w:tcPr>
            <w:tcW w:w="784" w:type="pct"/>
            <w:shd w:val="clear" w:color="000000" w:fill="6E9ECA"/>
            <w:vAlign w:val="center"/>
            <w:hideMark/>
          </w:tcPr>
          <w:p w14:paraId="6DF77D7D" w14:textId="77777777" w:rsidR="007A0D8D" w:rsidRPr="002048A7" w:rsidRDefault="007A0D8D" w:rsidP="007A0D8D">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Verilen Lisans Kurulu Gücü</w:t>
            </w:r>
            <w:r>
              <w:rPr>
                <w:rFonts w:ascii="Calibri" w:eastAsia="Times New Roman" w:hAnsi="Calibri" w:cs="Calibri"/>
                <w:b/>
                <w:bCs/>
                <w:color w:val="FFFFFF"/>
                <w:lang w:eastAsia="tr-TR"/>
              </w:rPr>
              <w:t xml:space="preserve"> </w:t>
            </w:r>
            <w:r w:rsidRPr="002048A7">
              <w:rPr>
                <w:rFonts w:ascii="Calibri" w:eastAsia="Times New Roman" w:hAnsi="Calibri" w:cs="Calibri"/>
                <w:b/>
                <w:bCs/>
                <w:color w:val="FFFFFF"/>
                <w:lang w:eastAsia="tr-TR"/>
              </w:rPr>
              <w:t>(MWe)</w:t>
            </w:r>
          </w:p>
        </w:tc>
        <w:tc>
          <w:tcPr>
            <w:tcW w:w="743" w:type="pct"/>
            <w:shd w:val="clear" w:color="000000" w:fill="6E9ECA"/>
            <w:vAlign w:val="center"/>
            <w:hideMark/>
          </w:tcPr>
          <w:p w14:paraId="4A9619E6" w14:textId="77777777" w:rsidR="007A0D8D" w:rsidRPr="002048A7" w:rsidRDefault="007A0D8D" w:rsidP="007A0D8D">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Sona Eren/Erdirilen</w:t>
            </w:r>
          </w:p>
          <w:p w14:paraId="7B6C5F33" w14:textId="77777777" w:rsidR="007A0D8D" w:rsidRPr="002048A7" w:rsidRDefault="007A0D8D" w:rsidP="007A0D8D">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LisansKurulu Gücü (MWe)</w:t>
            </w:r>
          </w:p>
        </w:tc>
        <w:tc>
          <w:tcPr>
            <w:tcW w:w="488" w:type="pct"/>
            <w:shd w:val="clear" w:color="000000" w:fill="6E9ECA"/>
            <w:vAlign w:val="center"/>
            <w:hideMark/>
          </w:tcPr>
          <w:p w14:paraId="078D0EC8" w14:textId="77777777" w:rsidR="007A0D8D" w:rsidRPr="002048A7" w:rsidRDefault="007A0D8D" w:rsidP="007A0D8D">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İptal Edilen Lisans Kurulu Gücü (MWe)</w:t>
            </w:r>
          </w:p>
        </w:tc>
        <w:tc>
          <w:tcPr>
            <w:tcW w:w="863" w:type="pct"/>
            <w:shd w:val="clear" w:color="000000" w:fill="6E9ECA"/>
            <w:vAlign w:val="center"/>
            <w:hideMark/>
          </w:tcPr>
          <w:p w14:paraId="497CCDD2" w14:textId="77777777" w:rsidR="007A0D8D" w:rsidRPr="002048A7" w:rsidRDefault="007A0D8D" w:rsidP="007A0D8D">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Dönem Sonu Yürürlükteki Lisanslı Kurulu Güç</w:t>
            </w:r>
          </w:p>
        </w:tc>
        <w:tc>
          <w:tcPr>
            <w:tcW w:w="495" w:type="pct"/>
            <w:shd w:val="clear" w:color="000000" w:fill="6E9ECA"/>
            <w:vAlign w:val="center"/>
            <w:hideMark/>
          </w:tcPr>
          <w:p w14:paraId="53F0CFD9" w14:textId="77777777" w:rsidR="007A0D8D" w:rsidRPr="002048A7" w:rsidRDefault="007A0D8D" w:rsidP="007A0D8D">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Dönem Sonu Yürürlükteki Lisans Sayısı (Adet)</w:t>
            </w:r>
          </w:p>
        </w:tc>
      </w:tr>
      <w:tr w:rsidR="007A0D8D" w:rsidRPr="002048A7" w14:paraId="3371D5C3" w14:textId="77777777" w:rsidTr="007A0D8D">
        <w:trPr>
          <w:trHeight w:val="340"/>
        </w:trPr>
        <w:tc>
          <w:tcPr>
            <w:tcW w:w="362" w:type="pct"/>
            <w:vMerge w:val="restart"/>
            <w:shd w:val="clear" w:color="auto" w:fill="auto"/>
            <w:vAlign w:val="center"/>
            <w:hideMark/>
          </w:tcPr>
          <w:p w14:paraId="59CE75E5" w14:textId="77777777" w:rsidR="007A0D8D" w:rsidRPr="002048A7" w:rsidRDefault="007A0D8D" w:rsidP="007A0D8D">
            <w:pPr>
              <w:spacing w:after="0" w:line="240" w:lineRule="auto"/>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OSB Üretim Lisansı</w:t>
            </w:r>
          </w:p>
        </w:tc>
        <w:tc>
          <w:tcPr>
            <w:tcW w:w="528" w:type="pct"/>
            <w:shd w:val="clear" w:color="auto" w:fill="auto"/>
            <w:vAlign w:val="center"/>
            <w:hideMark/>
          </w:tcPr>
          <w:p w14:paraId="608DB804" w14:textId="77777777" w:rsidR="007A0D8D" w:rsidRPr="002048A7" w:rsidRDefault="007A0D8D" w:rsidP="007A0D8D">
            <w:pPr>
              <w:spacing w:after="0" w:line="240" w:lineRule="auto"/>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Doğal Gaz</w:t>
            </w:r>
          </w:p>
        </w:tc>
        <w:tc>
          <w:tcPr>
            <w:tcW w:w="738" w:type="pct"/>
            <w:shd w:val="clear" w:color="auto" w:fill="auto"/>
            <w:hideMark/>
          </w:tcPr>
          <w:p w14:paraId="37D96BE3"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cstheme="minorHAnsi"/>
                <w:color w:val="000000"/>
              </w:rPr>
              <w:t>0,00</w:t>
            </w:r>
          </w:p>
        </w:tc>
        <w:tc>
          <w:tcPr>
            <w:tcW w:w="784" w:type="pct"/>
            <w:shd w:val="clear" w:color="auto" w:fill="auto"/>
            <w:hideMark/>
          </w:tcPr>
          <w:p w14:paraId="2B0CB5AA"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cstheme="minorHAnsi"/>
                <w:color w:val="000000"/>
              </w:rPr>
              <w:t>0,00</w:t>
            </w:r>
          </w:p>
        </w:tc>
        <w:tc>
          <w:tcPr>
            <w:tcW w:w="743" w:type="pct"/>
            <w:shd w:val="clear" w:color="auto" w:fill="auto"/>
            <w:hideMark/>
          </w:tcPr>
          <w:p w14:paraId="21A1F834"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cstheme="minorHAnsi"/>
                <w:color w:val="000000"/>
              </w:rPr>
              <w:t>0,00</w:t>
            </w:r>
          </w:p>
        </w:tc>
        <w:tc>
          <w:tcPr>
            <w:tcW w:w="488" w:type="pct"/>
            <w:shd w:val="clear" w:color="auto" w:fill="auto"/>
            <w:hideMark/>
          </w:tcPr>
          <w:p w14:paraId="5DBB9444"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cstheme="minorHAnsi"/>
                <w:color w:val="000000"/>
              </w:rPr>
              <w:t>0,00</w:t>
            </w:r>
          </w:p>
        </w:tc>
        <w:tc>
          <w:tcPr>
            <w:tcW w:w="863" w:type="pct"/>
            <w:shd w:val="clear" w:color="auto" w:fill="auto"/>
            <w:hideMark/>
          </w:tcPr>
          <w:p w14:paraId="0033E972"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cstheme="minorHAnsi"/>
                <w:color w:val="000000"/>
              </w:rPr>
              <w:t>156,682</w:t>
            </w:r>
          </w:p>
        </w:tc>
        <w:tc>
          <w:tcPr>
            <w:tcW w:w="495" w:type="pct"/>
            <w:shd w:val="clear" w:color="auto" w:fill="auto"/>
            <w:hideMark/>
          </w:tcPr>
          <w:p w14:paraId="628F6DBD"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cstheme="minorHAnsi"/>
                <w:color w:val="000000"/>
              </w:rPr>
              <w:t>3</w:t>
            </w:r>
          </w:p>
        </w:tc>
      </w:tr>
      <w:tr w:rsidR="007A0D8D" w:rsidRPr="002048A7" w14:paraId="15F09EC6" w14:textId="77777777" w:rsidTr="007A0D8D">
        <w:trPr>
          <w:trHeight w:val="340"/>
        </w:trPr>
        <w:tc>
          <w:tcPr>
            <w:tcW w:w="362" w:type="pct"/>
            <w:vMerge/>
            <w:vAlign w:val="center"/>
            <w:hideMark/>
          </w:tcPr>
          <w:p w14:paraId="3122637F" w14:textId="77777777" w:rsidR="007A0D8D" w:rsidRPr="002048A7" w:rsidRDefault="007A0D8D" w:rsidP="007A0D8D">
            <w:pPr>
              <w:spacing w:after="0" w:line="240" w:lineRule="auto"/>
              <w:jc w:val="left"/>
              <w:rPr>
                <w:rFonts w:ascii="Calibri" w:eastAsia="Times New Roman" w:hAnsi="Calibri" w:cs="Calibri"/>
                <w:b/>
                <w:bCs/>
                <w:color w:val="000000"/>
                <w:lang w:eastAsia="tr-TR"/>
              </w:rPr>
            </w:pPr>
          </w:p>
        </w:tc>
        <w:tc>
          <w:tcPr>
            <w:tcW w:w="528" w:type="pct"/>
            <w:shd w:val="clear" w:color="auto" w:fill="6E9ECA"/>
            <w:vAlign w:val="center"/>
            <w:hideMark/>
          </w:tcPr>
          <w:p w14:paraId="0F4FC7D2" w14:textId="77777777" w:rsidR="007A0D8D" w:rsidRPr="002048A7" w:rsidRDefault="007A0D8D" w:rsidP="007A0D8D">
            <w:pPr>
              <w:spacing w:after="0" w:line="240" w:lineRule="auto"/>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Toplam</w:t>
            </w:r>
          </w:p>
        </w:tc>
        <w:tc>
          <w:tcPr>
            <w:tcW w:w="738" w:type="pct"/>
            <w:shd w:val="clear" w:color="auto" w:fill="6E9ECA"/>
            <w:hideMark/>
          </w:tcPr>
          <w:p w14:paraId="02B17E1D" w14:textId="77777777" w:rsidR="007A0D8D" w:rsidRPr="002048A7" w:rsidRDefault="007A0D8D" w:rsidP="007A0D8D">
            <w:pPr>
              <w:spacing w:after="0" w:line="240" w:lineRule="auto"/>
              <w:jc w:val="right"/>
              <w:rPr>
                <w:rFonts w:eastAsia="Times New Roman" w:cstheme="minorHAnsi"/>
                <w:b/>
                <w:bCs/>
                <w:color w:val="000000"/>
                <w:lang w:eastAsia="tr-TR"/>
              </w:rPr>
            </w:pPr>
            <w:r w:rsidRPr="002048A7">
              <w:rPr>
                <w:rFonts w:cstheme="minorHAnsi"/>
                <w:b/>
                <w:bCs/>
                <w:color w:val="000000"/>
              </w:rPr>
              <w:t>0,00</w:t>
            </w:r>
          </w:p>
        </w:tc>
        <w:tc>
          <w:tcPr>
            <w:tcW w:w="784" w:type="pct"/>
            <w:shd w:val="clear" w:color="auto" w:fill="6E9ECA"/>
            <w:hideMark/>
          </w:tcPr>
          <w:p w14:paraId="6E3FC233" w14:textId="77777777" w:rsidR="007A0D8D" w:rsidRPr="002048A7" w:rsidRDefault="007A0D8D" w:rsidP="007A0D8D">
            <w:pPr>
              <w:spacing w:after="0" w:line="240" w:lineRule="auto"/>
              <w:jc w:val="right"/>
              <w:rPr>
                <w:rFonts w:eastAsia="Times New Roman" w:cstheme="minorHAnsi"/>
                <w:b/>
                <w:bCs/>
                <w:color w:val="000000"/>
                <w:lang w:eastAsia="tr-TR"/>
              </w:rPr>
            </w:pPr>
            <w:r w:rsidRPr="002048A7">
              <w:rPr>
                <w:rFonts w:cstheme="minorHAnsi"/>
                <w:b/>
                <w:bCs/>
                <w:color w:val="000000"/>
              </w:rPr>
              <w:t>0,00</w:t>
            </w:r>
          </w:p>
        </w:tc>
        <w:tc>
          <w:tcPr>
            <w:tcW w:w="743" w:type="pct"/>
            <w:shd w:val="clear" w:color="auto" w:fill="6E9ECA"/>
            <w:hideMark/>
          </w:tcPr>
          <w:p w14:paraId="1F0A0A0E" w14:textId="77777777" w:rsidR="007A0D8D" w:rsidRPr="002048A7" w:rsidRDefault="007A0D8D" w:rsidP="007A0D8D">
            <w:pPr>
              <w:spacing w:after="0" w:line="240" w:lineRule="auto"/>
              <w:jc w:val="right"/>
              <w:rPr>
                <w:rFonts w:eastAsia="Times New Roman" w:cstheme="minorHAnsi"/>
                <w:b/>
                <w:bCs/>
                <w:color w:val="000000"/>
                <w:lang w:eastAsia="tr-TR"/>
              </w:rPr>
            </w:pPr>
            <w:r w:rsidRPr="002048A7">
              <w:rPr>
                <w:rFonts w:cstheme="minorHAnsi"/>
                <w:b/>
                <w:bCs/>
                <w:color w:val="000000"/>
              </w:rPr>
              <w:t>0,00</w:t>
            </w:r>
          </w:p>
        </w:tc>
        <w:tc>
          <w:tcPr>
            <w:tcW w:w="488" w:type="pct"/>
            <w:shd w:val="clear" w:color="auto" w:fill="6E9ECA"/>
            <w:hideMark/>
          </w:tcPr>
          <w:p w14:paraId="5F30784D" w14:textId="77777777" w:rsidR="007A0D8D" w:rsidRPr="002048A7" w:rsidRDefault="007A0D8D" w:rsidP="007A0D8D">
            <w:pPr>
              <w:spacing w:after="0" w:line="240" w:lineRule="auto"/>
              <w:jc w:val="right"/>
              <w:rPr>
                <w:rFonts w:eastAsia="Times New Roman" w:cstheme="minorHAnsi"/>
                <w:b/>
                <w:bCs/>
                <w:color w:val="000000"/>
                <w:lang w:eastAsia="tr-TR"/>
              </w:rPr>
            </w:pPr>
            <w:r w:rsidRPr="002048A7">
              <w:rPr>
                <w:rFonts w:cstheme="minorHAnsi"/>
                <w:b/>
                <w:bCs/>
                <w:color w:val="000000"/>
              </w:rPr>
              <w:t>0,00</w:t>
            </w:r>
          </w:p>
        </w:tc>
        <w:tc>
          <w:tcPr>
            <w:tcW w:w="863" w:type="pct"/>
            <w:shd w:val="clear" w:color="auto" w:fill="6E9ECA"/>
            <w:hideMark/>
          </w:tcPr>
          <w:p w14:paraId="61840B2C" w14:textId="77777777" w:rsidR="007A0D8D" w:rsidRPr="002048A7" w:rsidRDefault="007A0D8D" w:rsidP="007A0D8D">
            <w:pPr>
              <w:spacing w:after="0" w:line="240" w:lineRule="auto"/>
              <w:jc w:val="right"/>
              <w:rPr>
                <w:rFonts w:eastAsia="Times New Roman" w:cstheme="minorHAnsi"/>
                <w:b/>
                <w:bCs/>
                <w:color w:val="000000"/>
                <w:lang w:eastAsia="tr-TR"/>
              </w:rPr>
            </w:pPr>
            <w:r w:rsidRPr="002048A7">
              <w:rPr>
                <w:rFonts w:cstheme="minorHAnsi"/>
                <w:b/>
                <w:bCs/>
                <w:color w:val="000000"/>
              </w:rPr>
              <w:t>156,682</w:t>
            </w:r>
          </w:p>
        </w:tc>
        <w:tc>
          <w:tcPr>
            <w:tcW w:w="495" w:type="pct"/>
            <w:shd w:val="clear" w:color="auto" w:fill="6E9ECA"/>
            <w:hideMark/>
          </w:tcPr>
          <w:p w14:paraId="21AD71BA" w14:textId="77777777" w:rsidR="007A0D8D" w:rsidRPr="002048A7" w:rsidRDefault="007A0D8D" w:rsidP="007A0D8D">
            <w:pPr>
              <w:spacing w:after="0" w:line="240" w:lineRule="auto"/>
              <w:jc w:val="right"/>
              <w:rPr>
                <w:rFonts w:eastAsia="Times New Roman" w:cstheme="minorHAnsi"/>
                <w:b/>
                <w:bCs/>
                <w:color w:val="000000"/>
                <w:lang w:eastAsia="tr-TR"/>
              </w:rPr>
            </w:pPr>
            <w:r w:rsidRPr="002048A7">
              <w:rPr>
                <w:rFonts w:cstheme="minorHAnsi"/>
                <w:b/>
                <w:bCs/>
                <w:color w:val="000000"/>
              </w:rPr>
              <w:t>3</w:t>
            </w:r>
          </w:p>
        </w:tc>
      </w:tr>
      <w:tr w:rsidR="007A0D8D" w:rsidRPr="002048A7" w14:paraId="6C1334B3" w14:textId="77777777" w:rsidTr="007A0D8D">
        <w:trPr>
          <w:trHeight w:val="340"/>
        </w:trPr>
        <w:tc>
          <w:tcPr>
            <w:tcW w:w="362" w:type="pct"/>
            <w:vMerge w:val="restart"/>
            <w:shd w:val="clear" w:color="auto" w:fill="auto"/>
            <w:vAlign w:val="center"/>
            <w:hideMark/>
          </w:tcPr>
          <w:p w14:paraId="4B07E03B" w14:textId="77777777" w:rsidR="007A0D8D" w:rsidRPr="002048A7" w:rsidRDefault="007A0D8D" w:rsidP="007A0D8D">
            <w:pPr>
              <w:spacing w:after="0" w:line="240" w:lineRule="auto"/>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Önlisans</w:t>
            </w:r>
          </w:p>
        </w:tc>
        <w:tc>
          <w:tcPr>
            <w:tcW w:w="528" w:type="pct"/>
            <w:shd w:val="clear" w:color="auto" w:fill="auto"/>
            <w:hideMark/>
          </w:tcPr>
          <w:p w14:paraId="08320A28" w14:textId="77777777" w:rsidR="007A0D8D" w:rsidRPr="002048A7" w:rsidRDefault="007A0D8D" w:rsidP="007A0D8D">
            <w:pPr>
              <w:spacing w:after="0" w:line="240" w:lineRule="auto"/>
              <w:rPr>
                <w:rFonts w:ascii="Calibri" w:eastAsia="Times New Roman" w:hAnsi="Calibri" w:cs="Calibri"/>
                <w:b/>
                <w:bCs/>
                <w:color w:val="000000"/>
                <w:lang w:eastAsia="tr-TR"/>
              </w:rPr>
            </w:pPr>
            <w:r w:rsidRPr="002048A7">
              <w:rPr>
                <w:rFonts w:ascii="Arial" w:eastAsia="Arial" w:hAnsi="Arial"/>
                <w:b/>
                <w:color w:val="000000"/>
                <w:sz w:val="20"/>
              </w:rPr>
              <w:t>Biyokütle</w:t>
            </w:r>
          </w:p>
        </w:tc>
        <w:tc>
          <w:tcPr>
            <w:tcW w:w="738" w:type="pct"/>
            <w:shd w:val="clear" w:color="auto" w:fill="auto"/>
            <w:hideMark/>
          </w:tcPr>
          <w:p w14:paraId="02BC6864" w14:textId="77777777" w:rsidR="007A0D8D" w:rsidRPr="002048A7" w:rsidRDefault="007A0D8D" w:rsidP="007A0D8D">
            <w:pPr>
              <w:spacing w:after="0" w:line="240" w:lineRule="auto"/>
              <w:jc w:val="right"/>
              <w:rPr>
                <w:rFonts w:eastAsia="Times New Roman" w:cstheme="minorHAnsi"/>
                <w:color w:val="000000"/>
                <w:lang w:eastAsia="tr-TR"/>
              </w:rPr>
            </w:pPr>
            <w:r>
              <w:rPr>
                <w:rFonts w:eastAsia="Arial" w:cstheme="minorHAnsi"/>
                <w:color w:val="000000"/>
              </w:rPr>
              <w:t>38,92</w:t>
            </w:r>
          </w:p>
        </w:tc>
        <w:tc>
          <w:tcPr>
            <w:tcW w:w="784" w:type="pct"/>
            <w:shd w:val="clear" w:color="auto" w:fill="auto"/>
            <w:hideMark/>
          </w:tcPr>
          <w:p w14:paraId="10FD7F3A"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eastAsia="Arial" w:cstheme="minorHAnsi"/>
                <w:color w:val="000000"/>
              </w:rPr>
              <w:t>5</w:t>
            </w:r>
            <w:r>
              <w:rPr>
                <w:rFonts w:eastAsia="Arial" w:cstheme="minorHAnsi"/>
                <w:color w:val="000000"/>
              </w:rPr>
              <w:t>4,24</w:t>
            </w:r>
          </w:p>
        </w:tc>
        <w:tc>
          <w:tcPr>
            <w:tcW w:w="743" w:type="pct"/>
            <w:shd w:val="clear" w:color="auto" w:fill="auto"/>
            <w:hideMark/>
          </w:tcPr>
          <w:p w14:paraId="68067EB4" w14:textId="77777777" w:rsidR="007A0D8D" w:rsidRPr="002048A7" w:rsidRDefault="007A0D8D" w:rsidP="007A0D8D">
            <w:pPr>
              <w:spacing w:after="0" w:line="240" w:lineRule="auto"/>
              <w:jc w:val="right"/>
              <w:rPr>
                <w:rFonts w:eastAsia="Times New Roman" w:cstheme="minorHAnsi"/>
                <w:color w:val="000000"/>
                <w:lang w:eastAsia="tr-TR"/>
              </w:rPr>
            </w:pPr>
            <w:r>
              <w:rPr>
                <w:rFonts w:eastAsia="Arial" w:cstheme="minorHAnsi"/>
                <w:color w:val="000000"/>
              </w:rPr>
              <w:t>247,189</w:t>
            </w:r>
          </w:p>
        </w:tc>
        <w:tc>
          <w:tcPr>
            <w:tcW w:w="488" w:type="pct"/>
            <w:shd w:val="clear" w:color="auto" w:fill="auto"/>
            <w:hideMark/>
          </w:tcPr>
          <w:p w14:paraId="5C37BDCB"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eastAsia="Arial" w:cstheme="minorHAnsi"/>
                <w:color w:val="000000"/>
              </w:rPr>
              <w:t>0,000</w:t>
            </w:r>
          </w:p>
        </w:tc>
        <w:tc>
          <w:tcPr>
            <w:tcW w:w="863" w:type="pct"/>
            <w:shd w:val="clear" w:color="auto" w:fill="auto"/>
            <w:hideMark/>
          </w:tcPr>
          <w:p w14:paraId="6178FEFE" w14:textId="77777777" w:rsidR="007A0D8D" w:rsidRPr="002048A7" w:rsidRDefault="007A0D8D" w:rsidP="007A0D8D">
            <w:pPr>
              <w:spacing w:after="0" w:line="240" w:lineRule="auto"/>
              <w:jc w:val="right"/>
              <w:rPr>
                <w:rFonts w:eastAsia="Times New Roman" w:cstheme="minorHAnsi"/>
                <w:color w:val="000000"/>
                <w:lang w:eastAsia="tr-TR"/>
              </w:rPr>
            </w:pPr>
            <w:r>
              <w:rPr>
                <w:rFonts w:eastAsia="Arial" w:cstheme="minorHAnsi"/>
                <w:color w:val="000000"/>
              </w:rPr>
              <w:t>180,605</w:t>
            </w:r>
          </w:p>
        </w:tc>
        <w:tc>
          <w:tcPr>
            <w:tcW w:w="495" w:type="pct"/>
            <w:shd w:val="clear" w:color="auto" w:fill="auto"/>
            <w:hideMark/>
          </w:tcPr>
          <w:p w14:paraId="79DB45D7" w14:textId="77777777" w:rsidR="007A0D8D" w:rsidRPr="002048A7" w:rsidRDefault="007A0D8D" w:rsidP="007A0D8D">
            <w:pPr>
              <w:spacing w:after="0" w:line="240" w:lineRule="auto"/>
              <w:jc w:val="right"/>
              <w:rPr>
                <w:rFonts w:eastAsia="Times New Roman" w:cstheme="minorHAnsi"/>
                <w:color w:val="000000"/>
                <w:lang w:eastAsia="tr-TR"/>
              </w:rPr>
            </w:pPr>
            <w:r>
              <w:rPr>
                <w:rFonts w:eastAsia="Arial" w:cstheme="minorHAnsi"/>
                <w:color w:val="000000"/>
              </w:rPr>
              <w:t>20</w:t>
            </w:r>
          </w:p>
        </w:tc>
      </w:tr>
      <w:tr w:rsidR="007A0D8D" w:rsidRPr="002048A7" w14:paraId="65A80E6F" w14:textId="77777777" w:rsidTr="007A0D8D">
        <w:trPr>
          <w:trHeight w:val="340"/>
        </w:trPr>
        <w:tc>
          <w:tcPr>
            <w:tcW w:w="362" w:type="pct"/>
            <w:vMerge/>
            <w:vAlign w:val="center"/>
            <w:hideMark/>
          </w:tcPr>
          <w:p w14:paraId="37D9B0F0" w14:textId="77777777" w:rsidR="007A0D8D" w:rsidRPr="002048A7" w:rsidRDefault="007A0D8D" w:rsidP="007A0D8D">
            <w:pPr>
              <w:spacing w:after="0" w:line="240" w:lineRule="auto"/>
              <w:jc w:val="left"/>
              <w:rPr>
                <w:rFonts w:ascii="Calibri" w:eastAsia="Times New Roman" w:hAnsi="Calibri" w:cs="Calibri"/>
                <w:b/>
                <w:bCs/>
                <w:color w:val="000000"/>
                <w:lang w:eastAsia="tr-TR"/>
              </w:rPr>
            </w:pPr>
          </w:p>
        </w:tc>
        <w:tc>
          <w:tcPr>
            <w:tcW w:w="528" w:type="pct"/>
            <w:shd w:val="clear" w:color="auto" w:fill="auto"/>
            <w:hideMark/>
          </w:tcPr>
          <w:p w14:paraId="3565AF0B" w14:textId="77777777" w:rsidR="007A0D8D" w:rsidRPr="002048A7" w:rsidRDefault="007A0D8D" w:rsidP="007A0D8D">
            <w:pPr>
              <w:spacing w:after="0" w:line="240" w:lineRule="auto"/>
              <w:rPr>
                <w:rFonts w:ascii="Calibri" w:eastAsia="Times New Roman" w:hAnsi="Calibri" w:cs="Calibri"/>
                <w:b/>
                <w:bCs/>
                <w:color w:val="000000"/>
                <w:lang w:eastAsia="tr-TR"/>
              </w:rPr>
            </w:pPr>
            <w:r w:rsidRPr="002048A7">
              <w:rPr>
                <w:rFonts w:ascii="Arial" w:eastAsia="Arial" w:hAnsi="Arial"/>
                <w:b/>
                <w:color w:val="000000"/>
                <w:sz w:val="20"/>
              </w:rPr>
              <w:t>Diğer</w:t>
            </w:r>
          </w:p>
        </w:tc>
        <w:tc>
          <w:tcPr>
            <w:tcW w:w="738" w:type="pct"/>
            <w:shd w:val="clear" w:color="auto" w:fill="auto"/>
            <w:hideMark/>
          </w:tcPr>
          <w:p w14:paraId="18F91A41"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eastAsia="Arial" w:cstheme="minorHAnsi"/>
                <w:color w:val="000000"/>
              </w:rPr>
              <w:t>0,000</w:t>
            </w:r>
          </w:p>
        </w:tc>
        <w:tc>
          <w:tcPr>
            <w:tcW w:w="784" w:type="pct"/>
            <w:shd w:val="clear" w:color="auto" w:fill="auto"/>
            <w:hideMark/>
          </w:tcPr>
          <w:p w14:paraId="2771009D"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eastAsia="Arial" w:cstheme="minorHAnsi"/>
                <w:color w:val="000000"/>
              </w:rPr>
              <w:t>0,000</w:t>
            </w:r>
          </w:p>
        </w:tc>
        <w:tc>
          <w:tcPr>
            <w:tcW w:w="743" w:type="pct"/>
            <w:shd w:val="clear" w:color="auto" w:fill="auto"/>
            <w:hideMark/>
          </w:tcPr>
          <w:p w14:paraId="35314813"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eastAsia="Arial" w:cstheme="minorHAnsi"/>
                <w:color w:val="000000"/>
              </w:rPr>
              <w:t>0,000</w:t>
            </w:r>
          </w:p>
        </w:tc>
        <w:tc>
          <w:tcPr>
            <w:tcW w:w="488" w:type="pct"/>
            <w:shd w:val="clear" w:color="auto" w:fill="auto"/>
            <w:hideMark/>
          </w:tcPr>
          <w:p w14:paraId="3EA6CDDB"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eastAsia="Arial" w:cstheme="minorHAnsi"/>
                <w:color w:val="000000"/>
              </w:rPr>
              <w:t>0,000</w:t>
            </w:r>
          </w:p>
        </w:tc>
        <w:tc>
          <w:tcPr>
            <w:tcW w:w="863" w:type="pct"/>
            <w:shd w:val="clear" w:color="auto" w:fill="auto"/>
            <w:hideMark/>
          </w:tcPr>
          <w:p w14:paraId="203412F1"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eastAsia="Arial" w:cstheme="minorHAnsi"/>
                <w:color w:val="000000"/>
              </w:rPr>
              <w:t>0,000</w:t>
            </w:r>
          </w:p>
        </w:tc>
        <w:tc>
          <w:tcPr>
            <w:tcW w:w="495" w:type="pct"/>
            <w:shd w:val="clear" w:color="auto" w:fill="auto"/>
            <w:hideMark/>
          </w:tcPr>
          <w:p w14:paraId="08C76CDD"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eastAsia="Arial" w:cstheme="minorHAnsi"/>
                <w:color w:val="000000"/>
              </w:rPr>
              <w:t>0</w:t>
            </w:r>
          </w:p>
        </w:tc>
      </w:tr>
      <w:tr w:rsidR="007A0D8D" w:rsidRPr="002048A7" w14:paraId="26DD857B" w14:textId="77777777" w:rsidTr="007A0D8D">
        <w:trPr>
          <w:trHeight w:val="340"/>
        </w:trPr>
        <w:tc>
          <w:tcPr>
            <w:tcW w:w="362" w:type="pct"/>
            <w:vMerge/>
            <w:vAlign w:val="center"/>
            <w:hideMark/>
          </w:tcPr>
          <w:p w14:paraId="7B3EA258" w14:textId="77777777" w:rsidR="007A0D8D" w:rsidRPr="002048A7" w:rsidRDefault="007A0D8D" w:rsidP="007A0D8D">
            <w:pPr>
              <w:spacing w:after="0" w:line="240" w:lineRule="auto"/>
              <w:jc w:val="left"/>
              <w:rPr>
                <w:rFonts w:ascii="Calibri" w:eastAsia="Times New Roman" w:hAnsi="Calibri" w:cs="Calibri"/>
                <w:b/>
                <w:bCs/>
                <w:color w:val="000000"/>
                <w:lang w:eastAsia="tr-TR"/>
              </w:rPr>
            </w:pPr>
          </w:p>
        </w:tc>
        <w:tc>
          <w:tcPr>
            <w:tcW w:w="528" w:type="pct"/>
            <w:shd w:val="clear" w:color="auto" w:fill="auto"/>
            <w:hideMark/>
          </w:tcPr>
          <w:p w14:paraId="2CE70AFF" w14:textId="77777777" w:rsidR="007A0D8D" w:rsidRPr="002048A7" w:rsidRDefault="007A0D8D" w:rsidP="007A0D8D">
            <w:pPr>
              <w:spacing w:after="0" w:line="240" w:lineRule="auto"/>
              <w:rPr>
                <w:rFonts w:ascii="Calibri" w:eastAsia="Times New Roman" w:hAnsi="Calibri" w:cs="Calibri"/>
                <w:b/>
                <w:bCs/>
                <w:color w:val="000000"/>
                <w:lang w:eastAsia="tr-TR"/>
              </w:rPr>
            </w:pPr>
            <w:r w:rsidRPr="002048A7">
              <w:rPr>
                <w:rFonts w:ascii="Arial" w:eastAsia="Arial" w:hAnsi="Arial"/>
                <w:b/>
                <w:color w:val="000000"/>
                <w:sz w:val="20"/>
              </w:rPr>
              <w:t>Doğal Gaz</w:t>
            </w:r>
          </w:p>
        </w:tc>
        <w:tc>
          <w:tcPr>
            <w:tcW w:w="738" w:type="pct"/>
            <w:shd w:val="clear" w:color="auto" w:fill="auto"/>
            <w:hideMark/>
          </w:tcPr>
          <w:p w14:paraId="369DAA62" w14:textId="77777777" w:rsidR="007A0D8D" w:rsidRPr="002048A7" w:rsidRDefault="007A0D8D" w:rsidP="007A0D8D">
            <w:pPr>
              <w:spacing w:after="0" w:line="240" w:lineRule="auto"/>
              <w:jc w:val="right"/>
              <w:rPr>
                <w:rFonts w:eastAsia="Times New Roman" w:cstheme="minorHAnsi"/>
                <w:color w:val="000000"/>
                <w:lang w:eastAsia="tr-TR"/>
              </w:rPr>
            </w:pPr>
            <w:r>
              <w:rPr>
                <w:rFonts w:eastAsia="Arial" w:cstheme="minorHAnsi"/>
                <w:color w:val="000000"/>
              </w:rPr>
              <w:t>13,494</w:t>
            </w:r>
          </w:p>
        </w:tc>
        <w:tc>
          <w:tcPr>
            <w:tcW w:w="784" w:type="pct"/>
            <w:shd w:val="clear" w:color="auto" w:fill="auto"/>
            <w:hideMark/>
          </w:tcPr>
          <w:p w14:paraId="599E51F5" w14:textId="77777777" w:rsidR="007A0D8D" w:rsidRPr="002048A7" w:rsidRDefault="007A0D8D" w:rsidP="007A0D8D">
            <w:pPr>
              <w:spacing w:after="0" w:line="240" w:lineRule="auto"/>
              <w:jc w:val="right"/>
              <w:rPr>
                <w:rFonts w:eastAsia="Times New Roman" w:cstheme="minorHAnsi"/>
                <w:color w:val="000000"/>
                <w:lang w:eastAsia="tr-TR"/>
              </w:rPr>
            </w:pPr>
            <w:r>
              <w:rPr>
                <w:rFonts w:eastAsia="Arial" w:cstheme="minorHAnsi"/>
                <w:color w:val="000000"/>
              </w:rPr>
              <w:t>18,535</w:t>
            </w:r>
          </w:p>
        </w:tc>
        <w:tc>
          <w:tcPr>
            <w:tcW w:w="743" w:type="pct"/>
            <w:shd w:val="clear" w:color="auto" w:fill="auto"/>
            <w:hideMark/>
          </w:tcPr>
          <w:p w14:paraId="29BB1479" w14:textId="77777777" w:rsidR="007A0D8D" w:rsidRPr="002048A7" w:rsidRDefault="007A0D8D" w:rsidP="007A0D8D">
            <w:pPr>
              <w:spacing w:after="0" w:line="240" w:lineRule="auto"/>
              <w:jc w:val="right"/>
              <w:rPr>
                <w:rFonts w:eastAsia="Times New Roman" w:cstheme="minorHAnsi"/>
                <w:color w:val="000000"/>
                <w:lang w:eastAsia="tr-TR"/>
              </w:rPr>
            </w:pPr>
            <w:r>
              <w:rPr>
                <w:rFonts w:eastAsia="Arial" w:cstheme="minorHAnsi"/>
                <w:color w:val="000000"/>
              </w:rPr>
              <w:t>18,535</w:t>
            </w:r>
          </w:p>
        </w:tc>
        <w:tc>
          <w:tcPr>
            <w:tcW w:w="488" w:type="pct"/>
            <w:shd w:val="clear" w:color="auto" w:fill="auto"/>
            <w:hideMark/>
          </w:tcPr>
          <w:p w14:paraId="090D3216"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eastAsia="Arial" w:cstheme="minorHAnsi"/>
                <w:color w:val="000000"/>
              </w:rPr>
              <w:t>0,000</w:t>
            </w:r>
          </w:p>
        </w:tc>
        <w:tc>
          <w:tcPr>
            <w:tcW w:w="863" w:type="pct"/>
            <w:shd w:val="clear" w:color="auto" w:fill="auto"/>
            <w:hideMark/>
          </w:tcPr>
          <w:p w14:paraId="5A473E72"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eastAsia="Arial" w:cstheme="minorHAnsi"/>
                <w:color w:val="000000"/>
              </w:rPr>
              <w:t>2,000</w:t>
            </w:r>
          </w:p>
        </w:tc>
        <w:tc>
          <w:tcPr>
            <w:tcW w:w="495" w:type="pct"/>
            <w:shd w:val="clear" w:color="auto" w:fill="auto"/>
            <w:hideMark/>
          </w:tcPr>
          <w:p w14:paraId="7A338E0D"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eastAsia="Arial" w:cstheme="minorHAnsi"/>
                <w:color w:val="000000"/>
              </w:rPr>
              <w:t>1</w:t>
            </w:r>
          </w:p>
        </w:tc>
      </w:tr>
      <w:tr w:rsidR="007A0D8D" w:rsidRPr="002048A7" w14:paraId="3EA5BF11" w14:textId="77777777" w:rsidTr="007A0D8D">
        <w:trPr>
          <w:trHeight w:val="340"/>
        </w:trPr>
        <w:tc>
          <w:tcPr>
            <w:tcW w:w="362" w:type="pct"/>
            <w:vMerge/>
            <w:vAlign w:val="center"/>
          </w:tcPr>
          <w:p w14:paraId="1B5683CC" w14:textId="77777777" w:rsidR="007A0D8D" w:rsidRPr="002048A7" w:rsidRDefault="007A0D8D" w:rsidP="007A0D8D">
            <w:pPr>
              <w:spacing w:after="0" w:line="240" w:lineRule="auto"/>
              <w:jc w:val="left"/>
              <w:rPr>
                <w:rFonts w:ascii="Calibri" w:eastAsia="Times New Roman" w:hAnsi="Calibri" w:cs="Calibri"/>
                <w:b/>
                <w:bCs/>
                <w:color w:val="000000"/>
                <w:lang w:eastAsia="tr-TR"/>
              </w:rPr>
            </w:pPr>
          </w:p>
        </w:tc>
        <w:tc>
          <w:tcPr>
            <w:tcW w:w="528" w:type="pct"/>
            <w:shd w:val="clear" w:color="auto" w:fill="auto"/>
          </w:tcPr>
          <w:p w14:paraId="610AE0DB" w14:textId="77777777" w:rsidR="007A0D8D" w:rsidRPr="002048A7" w:rsidRDefault="007A0D8D" w:rsidP="007A0D8D">
            <w:pPr>
              <w:spacing w:after="0" w:line="240" w:lineRule="auto"/>
              <w:rPr>
                <w:rFonts w:ascii="Calibri" w:eastAsia="Times New Roman" w:hAnsi="Calibri" w:cs="Calibri"/>
                <w:b/>
                <w:bCs/>
                <w:color w:val="000000"/>
                <w:lang w:eastAsia="tr-TR"/>
              </w:rPr>
            </w:pPr>
            <w:r w:rsidRPr="002048A7">
              <w:rPr>
                <w:rFonts w:ascii="Arial" w:eastAsia="Arial" w:hAnsi="Arial"/>
                <w:b/>
                <w:color w:val="000000"/>
                <w:sz w:val="20"/>
              </w:rPr>
              <w:t>Endüstriyel Atık</w:t>
            </w:r>
          </w:p>
        </w:tc>
        <w:tc>
          <w:tcPr>
            <w:tcW w:w="738" w:type="pct"/>
            <w:shd w:val="clear" w:color="auto" w:fill="auto"/>
          </w:tcPr>
          <w:p w14:paraId="796110CA" w14:textId="77777777" w:rsidR="007A0D8D" w:rsidRPr="002048A7" w:rsidRDefault="007A0D8D" w:rsidP="007A0D8D">
            <w:pPr>
              <w:spacing w:after="0" w:line="240" w:lineRule="auto"/>
              <w:jc w:val="right"/>
              <w:rPr>
                <w:rFonts w:cstheme="minorHAnsi"/>
                <w:color w:val="000000"/>
              </w:rPr>
            </w:pPr>
            <w:r w:rsidRPr="002048A7">
              <w:rPr>
                <w:rFonts w:eastAsia="Arial" w:cstheme="minorHAnsi"/>
                <w:color w:val="000000"/>
              </w:rPr>
              <w:t>0,0</w:t>
            </w:r>
          </w:p>
        </w:tc>
        <w:tc>
          <w:tcPr>
            <w:tcW w:w="784" w:type="pct"/>
            <w:shd w:val="clear" w:color="auto" w:fill="auto"/>
          </w:tcPr>
          <w:p w14:paraId="1BCE106B" w14:textId="77777777" w:rsidR="007A0D8D" w:rsidRPr="002048A7" w:rsidRDefault="007A0D8D" w:rsidP="007A0D8D">
            <w:pPr>
              <w:spacing w:after="0" w:line="240" w:lineRule="auto"/>
              <w:jc w:val="right"/>
              <w:rPr>
                <w:rFonts w:cstheme="minorHAnsi"/>
                <w:color w:val="000000"/>
              </w:rPr>
            </w:pPr>
            <w:r w:rsidRPr="002048A7">
              <w:rPr>
                <w:rFonts w:eastAsia="Arial" w:cstheme="minorHAnsi"/>
                <w:color w:val="000000"/>
              </w:rPr>
              <w:t>0,0</w:t>
            </w:r>
          </w:p>
        </w:tc>
        <w:tc>
          <w:tcPr>
            <w:tcW w:w="743" w:type="pct"/>
            <w:shd w:val="clear" w:color="auto" w:fill="auto"/>
          </w:tcPr>
          <w:p w14:paraId="4B58963D" w14:textId="77777777" w:rsidR="007A0D8D" w:rsidRPr="002048A7" w:rsidRDefault="007A0D8D" w:rsidP="007A0D8D">
            <w:pPr>
              <w:spacing w:after="0" w:line="240" w:lineRule="auto"/>
              <w:jc w:val="right"/>
              <w:rPr>
                <w:rFonts w:cstheme="minorHAnsi"/>
                <w:color w:val="000000"/>
              </w:rPr>
            </w:pPr>
            <w:r>
              <w:rPr>
                <w:rFonts w:eastAsia="Arial" w:cstheme="minorHAnsi"/>
                <w:color w:val="000000"/>
              </w:rPr>
              <w:t>5,680</w:t>
            </w:r>
          </w:p>
        </w:tc>
        <w:tc>
          <w:tcPr>
            <w:tcW w:w="488" w:type="pct"/>
            <w:shd w:val="clear" w:color="auto" w:fill="auto"/>
          </w:tcPr>
          <w:p w14:paraId="208872EF" w14:textId="77777777" w:rsidR="007A0D8D" w:rsidRPr="002048A7" w:rsidRDefault="007A0D8D" w:rsidP="007A0D8D">
            <w:pPr>
              <w:spacing w:after="0" w:line="240" w:lineRule="auto"/>
              <w:jc w:val="right"/>
              <w:rPr>
                <w:rFonts w:cstheme="minorHAnsi"/>
                <w:color w:val="000000"/>
              </w:rPr>
            </w:pPr>
            <w:r w:rsidRPr="002048A7">
              <w:rPr>
                <w:rFonts w:eastAsia="Arial" w:cstheme="minorHAnsi"/>
                <w:color w:val="000000"/>
              </w:rPr>
              <w:t>0,000</w:t>
            </w:r>
          </w:p>
        </w:tc>
        <w:tc>
          <w:tcPr>
            <w:tcW w:w="863" w:type="pct"/>
            <w:shd w:val="clear" w:color="auto" w:fill="auto"/>
          </w:tcPr>
          <w:p w14:paraId="2DAE0D52" w14:textId="77777777" w:rsidR="007A0D8D" w:rsidRPr="002048A7" w:rsidRDefault="007A0D8D" w:rsidP="007A0D8D">
            <w:pPr>
              <w:spacing w:after="0" w:line="240" w:lineRule="auto"/>
              <w:jc w:val="right"/>
              <w:rPr>
                <w:rFonts w:cstheme="minorHAnsi"/>
                <w:color w:val="000000"/>
              </w:rPr>
            </w:pPr>
            <w:r>
              <w:rPr>
                <w:rFonts w:eastAsia="Arial" w:cstheme="minorHAnsi"/>
                <w:color w:val="000000"/>
              </w:rPr>
              <w:t>0,</w:t>
            </w:r>
            <w:r w:rsidRPr="002048A7">
              <w:rPr>
                <w:rFonts w:eastAsia="Arial" w:cstheme="minorHAnsi"/>
                <w:color w:val="000000"/>
              </w:rPr>
              <w:t>0</w:t>
            </w:r>
            <w:r>
              <w:rPr>
                <w:rFonts w:eastAsia="Arial" w:cstheme="minorHAnsi"/>
                <w:color w:val="000000"/>
              </w:rPr>
              <w:t>0</w:t>
            </w:r>
          </w:p>
        </w:tc>
        <w:tc>
          <w:tcPr>
            <w:tcW w:w="495" w:type="pct"/>
            <w:shd w:val="clear" w:color="auto" w:fill="auto"/>
          </w:tcPr>
          <w:p w14:paraId="0941DC1B" w14:textId="77777777" w:rsidR="007A0D8D" w:rsidRPr="002048A7" w:rsidRDefault="007A0D8D" w:rsidP="007A0D8D">
            <w:pPr>
              <w:spacing w:after="0" w:line="240" w:lineRule="auto"/>
              <w:jc w:val="right"/>
              <w:rPr>
                <w:rFonts w:cstheme="minorHAnsi"/>
                <w:color w:val="000000"/>
              </w:rPr>
            </w:pPr>
            <w:r>
              <w:rPr>
                <w:rFonts w:eastAsia="Arial" w:cstheme="minorHAnsi"/>
                <w:color w:val="000000"/>
              </w:rPr>
              <w:t>0</w:t>
            </w:r>
          </w:p>
        </w:tc>
      </w:tr>
      <w:tr w:rsidR="007A0D8D" w:rsidRPr="002048A7" w14:paraId="2C5BCCDB" w14:textId="77777777" w:rsidTr="007A0D8D">
        <w:trPr>
          <w:trHeight w:val="340"/>
        </w:trPr>
        <w:tc>
          <w:tcPr>
            <w:tcW w:w="362" w:type="pct"/>
            <w:vMerge/>
            <w:vAlign w:val="center"/>
            <w:hideMark/>
          </w:tcPr>
          <w:p w14:paraId="779FBF0C" w14:textId="77777777" w:rsidR="007A0D8D" w:rsidRPr="002048A7" w:rsidRDefault="007A0D8D" w:rsidP="007A0D8D">
            <w:pPr>
              <w:spacing w:after="0" w:line="240" w:lineRule="auto"/>
              <w:jc w:val="left"/>
              <w:rPr>
                <w:rFonts w:ascii="Calibri" w:eastAsia="Times New Roman" w:hAnsi="Calibri" w:cs="Calibri"/>
                <w:b/>
                <w:bCs/>
                <w:color w:val="000000"/>
                <w:lang w:eastAsia="tr-TR"/>
              </w:rPr>
            </w:pPr>
          </w:p>
        </w:tc>
        <w:tc>
          <w:tcPr>
            <w:tcW w:w="528" w:type="pct"/>
            <w:shd w:val="clear" w:color="auto" w:fill="auto"/>
            <w:hideMark/>
          </w:tcPr>
          <w:p w14:paraId="46712153" w14:textId="77777777" w:rsidR="007A0D8D" w:rsidRPr="002048A7" w:rsidRDefault="007A0D8D" w:rsidP="007A0D8D">
            <w:pPr>
              <w:spacing w:after="0" w:line="240" w:lineRule="auto"/>
              <w:rPr>
                <w:rFonts w:ascii="Calibri" w:eastAsia="Times New Roman" w:hAnsi="Calibri" w:cs="Calibri"/>
                <w:b/>
                <w:bCs/>
                <w:color w:val="000000"/>
                <w:lang w:eastAsia="tr-TR"/>
              </w:rPr>
            </w:pPr>
            <w:r w:rsidRPr="002048A7">
              <w:rPr>
                <w:rFonts w:ascii="Arial" w:eastAsia="Arial" w:hAnsi="Arial"/>
                <w:b/>
                <w:color w:val="000000"/>
                <w:sz w:val="20"/>
              </w:rPr>
              <w:t>Güneş</w:t>
            </w:r>
          </w:p>
        </w:tc>
        <w:tc>
          <w:tcPr>
            <w:tcW w:w="738" w:type="pct"/>
            <w:shd w:val="clear" w:color="auto" w:fill="auto"/>
            <w:hideMark/>
          </w:tcPr>
          <w:p w14:paraId="7D1851A1" w14:textId="77777777" w:rsidR="007A0D8D" w:rsidRPr="002048A7" w:rsidRDefault="007A0D8D" w:rsidP="007A0D8D">
            <w:pPr>
              <w:spacing w:after="0" w:line="240" w:lineRule="auto"/>
              <w:jc w:val="right"/>
              <w:rPr>
                <w:rFonts w:eastAsia="Times New Roman" w:cstheme="minorHAnsi"/>
                <w:color w:val="000000"/>
                <w:lang w:eastAsia="tr-TR"/>
              </w:rPr>
            </w:pPr>
            <w:r>
              <w:rPr>
                <w:rFonts w:eastAsia="Arial" w:cstheme="minorHAnsi"/>
                <w:color w:val="000000"/>
              </w:rPr>
              <w:t>10,00</w:t>
            </w:r>
          </w:p>
        </w:tc>
        <w:tc>
          <w:tcPr>
            <w:tcW w:w="784" w:type="pct"/>
            <w:shd w:val="clear" w:color="auto" w:fill="auto"/>
            <w:hideMark/>
          </w:tcPr>
          <w:p w14:paraId="29007D95" w14:textId="77777777" w:rsidR="007A0D8D" w:rsidRPr="002048A7" w:rsidRDefault="007A0D8D" w:rsidP="007A0D8D">
            <w:pPr>
              <w:spacing w:after="0" w:line="240" w:lineRule="auto"/>
              <w:jc w:val="right"/>
              <w:rPr>
                <w:rFonts w:eastAsia="Times New Roman" w:cstheme="minorHAnsi"/>
                <w:color w:val="000000"/>
                <w:lang w:eastAsia="tr-TR"/>
              </w:rPr>
            </w:pPr>
            <w:r>
              <w:rPr>
                <w:rFonts w:eastAsia="Arial" w:cstheme="minorHAnsi"/>
                <w:color w:val="000000"/>
              </w:rPr>
              <w:t>1.832,306</w:t>
            </w:r>
          </w:p>
        </w:tc>
        <w:tc>
          <w:tcPr>
            <w:tcW w:w="743" w:type="pct"/>
            <w:shd w:val="clear" w:color="auto" w:fill="auto"/>
            <w:hideMark/>
          </w:tcPr>
          <w:p w14:paraId="12DE8CC8" w14:textId="77777777" w:rsidR="007A0D8D" w:rsidRPr="002048A7" w:rsidRDefault="007A0D8D" w:rsidP="007A0D8D">
            <w:pPr>
              <w:spacing w:after="0" w:line="240" w:lineRule="auto"/>
              <w:jc w:val="right"/>
              <w:rPr>
                <w:rFonts w:eastAsia="Times New Roman" w:cstheme="minorHAnsi"/>
                <w:color w:val="000000"/>
                <w:lang w:eastAsia="tr-TR"/>
              </w:rPr>
            </w:pPr>
            <w:r>
              <w:rPr>
                <w:rFonts w:eastAsia="Arial" w:cstheme="minorHAnsi"/>
                <w:color w:val="000000"/>
              </w:rPr>
              <w:t>1.445</w:t>
            </w:r>
            <w:r w:rsidRPr="002048A7">
              <w:rPr>
                <w:rFonts w:eastAsia="Arial" w:cstheme="minorHAnsi"/>
                <w:color w:val="000000"/>
              </w:rPr>
              <w:t>,00</w:t>
            </w:r>
          </w:p>
        </w:tc>
        <w:tc>
          <w:tcPr>
            <w:tcW w:w="488" w:type="pct"/>
            <w:shd w:val="clear" w:color="auto" w:fill="auto"/>
            <w:hideMark/>
          </w:tcPr>
          <w:p w14:paraId="7ECB8B5A"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eastAsia="Arial" w:cstheme="minorHAnsi"/>
                <w:color w:val="000000"/>
              </w:rPr>
              <w:t>0,000</w:t>
            </w:r>
          </w:p>
        </w:tc>
        <w:tc>
          <w:tcPr>
            <w:tcW w:w="863" w:type="pct"/>
            <w:shd w:val="clear" w:color="auto" w:fill="auto"/>
            <w:hideMark/>
          </w:tcPr>
          <w:p w14:paraId="61ADEC76"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eastAsia="Arial" w:cstheme="minorHAnsi"/>
                <w:color w:val="000000"/>
              </w:rPr>
              <w:t>14.</w:t>
            </w:r>
            <w:r>
              <w:rPr>
                <w:rFonts w:eastAsia="Arial" w:cstheme="minorHAnsi"/>
                <w:color w:val="000000"/>
              </w:rPr>
              <w:t>920,656</w:t>
            </w:r>
            <w:r w:rsidRPr="002048A7">
              <w:rPr>
                <w:rFonts w:eastAsia="Arial" w:cstheme="minorHAnsi"/>
                <w:color w:val="000000"/>
              </w:rPr>
              <w:t>,</w:t>
            </w:r>
          </w:p>
        </w:tc>
        <w:tc>
          <w:tcPr>
            <w:tcW w:w="495" w:type="pct"/>
            <w:shd w:val="clear" w:color="auto" w:fill="auto"/>
            <w:hideMark/>
          </w:tcPr>
          <w:p w14:paraId="685552F1"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eastAsia="Arial" w:cstheme="minorHAnsi"/>
                <w:color w:val="000000"/>
              </w:rPr>
              <w:t>4</w:t>
            </w:r>
            <w:r>
              <w:rPr>
                <w:rFonts w:eastAsia="Arial" w:cstheme="minorHAnsi"/>
                <w:color w:val="000000"/>
              </w:rPr>
              <w:t>31</w:t>
            </w:r>
          </w:p>
        </w:tc>
      </w:tr>
      <w:tr w:rsidR="007A0D8D" w:rsidRPr="002048A7" w14:paraId="4FFB1156" w14:textId="77777777" w:rsidTr="007A0D8D">
        <w:trPr>
          <w:trHeight w:val="340"/>
        </w:trPr>
        <w:tc>
          <w:tcPr>
            <w:tcW w:w="362" w:type="pct"/>
            <w:vMerge/>
            <w:vAlign w:val="center"/>
            <w:hideMark/>
          </w:tcPr>
          <w:p w14:paraId="58CEB736" w14:textId="77777777" w:rsidR="007A0D8D" w:rsidRPr="002048A7" w:rsidRDefault="007A0D8D" w:rsidP="007A0D8D">
            <w:pPr>
              <w:spacing w:after="0" w:line="240" w:lineRule="auto"/>
              <w:jc w:val="left"/>
              <w:rPr>
                <w:rFonts w:ascii="Calibri" w:eastAsia="Times New Roman" w:hAnsi="Calibri" w:cs="Calibri"/>
                <w:b/>
                <w:bCs/>
                <w:color w:val="000000"/>
                <w:lang w:eastAsia="tr-TR"/>
              </w:rPr>
            </w:pPr>
          </w:p>
        </w:tc>
        <w:tc>
          <w:tcPr>
            <w:tcW w:w="528" w:type="pct"/>
            <w:shd w:val="clear" w:color="auto" w:fill="auto"/>
            <w:hideMark/>
          </w:tcPr>
          <w:p w14:paraId="0D5781AA" w14:textId="77777777" w:rsidR="007A0D8D" w:rsidRPr="002048A7" w:rsidRDefault="007A0D8D" w:rsidP="007A0D8D">
            <w:pPr>
              <w:spacing w:after="0" w:line="240" w:lineRule="auto"/>
              <w:rPr>
                <w:rFonts w:ascii="Calibri" w:eastAsia="Times New Roman" w:hAnsi="Calibri" w:cs="Calibri"/>
                <w:b/>
                <w:bCs/>
                <w:color w:val="000000"/>
                <w:lang w:eastAsia="tr-TR"/>
              </w:rPr>
            </w:pPr>
            <w:r w:rsidRPr="002048A7">
              <w:rPr>
                <w:rFonts w:ascii="Arial" w:eastAsia="Arial" w:hAnsi="Arial"/>
                <w:b/>
                <w:color w:val="000000"/>
                <w:sz w:val="20"/>
              </w:rPr>
              <w:t>Hidrolik</w:t>
            </w:r>
          </w:p>
        </w:tc>
        <w:tc>
          <w:tcPr>
            <w:tcW w:w="738" w:type="pct"/>
            <w:shd w:val="clear" w:color="auto" w:fill="auto"/>
            <w:hideMark/>
          </w:tcPr>
          <w:p w14:paraId="71161193"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eastAsia="Arial" w:cstheme="minorHAnsi"/>
                <w:color w:val="000000"/>
              </w:rPr>
              <w:t>6</w:t>
            </w:r>
            <w:r>
              <w:rPr>
                <w:rFonts w:eastAsia="Arial" w:cstheme="minorHAnsi"/>
                <w:color w:val="000000"/>
              </w:rPr>
              <w:t>2,120</w:t>
            </w:r>
          </w:p>
        </w:tc>
        <w:tc>
          <w:tcPr>
            <w:tcW w:w="784" w:type="pct"/>
            <w:shd w:val="clear" w:color="auto" w:fill="auto"/>
            <w:hideMark/>
          </w:tcPr>
          <w:p w14:paraId="76AD24CB" w14:textId="77777777" w:rsidR="007A0D8D" w:rsidRPr="002048A7" w:rsidRDefault="007A0D8D" w:rsidP="007A0D8D">
            <w:pPr>
              <w:spacing w:after="0" w:line="240" w:lineRule="auto"/>
              <w:jc w:val="right"/>
              <w:rPr>
                <w:rFonts w:eastAsia="Times New Roman" w:cstheme="minorHAnsi"/>
                <w:color w:val="000000"/>
                <w:lang w:eastAsia="tr-TR"/>
              </w:rPr>
            </w:pPr>
            <w:r>
              <w:rPr>
                <w:rFonts w:eastAsia="Arial" w:cstheme="minorHAnsi"/>
                <w:color w:val="000000"/>
              </w:rPr>
              <w:t>668,204</w:t>
            </w:r>
          </w:p>
        </w:tc>
        <w:tc>
          <w:tcPr>
            <w:tcW w:w="743" w:type="pct"/>
            <w:shd w:val="clear" w:color="auto" w:fill="auto"/>
            <w:hideMark/>
          </w:tcPr>
          <w:p w14:paraId="6B696B44" w14:textId="77777777" w:rsidR="007A0D8D" w:rsidRPr="002048A7" w:rsidRDefault="007A0D8D" w:rsidP="007A0D8D">
            <w:pPr>
              <w:spacing w:after="0" w:line="240" w:lineRule="auto"/>
              <w:jc w:val="right"/>
              <w:rPr>
                <w:rFonts w:eastAsia="Times New Roman" w:cstheme="minorHAnsi"/>
                <w:color w:val="000000"/>
                <w:lang w:eastAsia="tr-TR"/>
              </w:rPr>
            </w:pPr>
            <w:r>
              <w:rPr>
                <w:rFonts w:eastAsia="Arial" w:cstheme="minorHAnsi"/>
                <w:color w:val="000000"/>
              </w:rPr>
              <w:t>850,892</w:t>
            </w:r>
          </w:p>
        </w:tc>
        <w:tc>
          <w:tcPr>
            <w:tcW w:w="488" w:type="pct"/>
            <w:shd w:val="clear" w:color="auto" w:fill="auto"/>
            <w:hideMark/>
          </w:tcPr>
          <w:p w14:paraId="464502B8" w14:textId="77777777" w:rsidR="007A0D8D" w:rsidRPr="002048A7" w:rsidRDefault="007A0D8D" w:rsidP="007A0D8D">
            <w:pPr>
              <w:spacing w:after="0" w:line="240" w:lineRule="auto"/>
              <w:jc w:val="right"/>
              <w:rPr>
                <w:rFonts w:eastAsia="Times New Roman" w:cstheme="minorHAnsi"/>
                <w:color w:val="000000"/>
                <w:lang w:eastAsia="tr-TR"/>
              </w:rPr>
            </w:pPr>
            <w:r>
              <w:rPr>
                <w:rFonts w:eastAsia="Arial" w:cstheme="minorHAnsi"/>
                <w:color w:val="000000"/>
              </w:rPr>
              <w:t>5,90</w:t>
            </w:r>
          </w:p>
        </w:tc>
        <w:tc>
          <w:tcPr>
            <w:tcW w:w="863" w:type="pct"/>
            <w:shd w:val="clear" w:color="auto" w:fill="auto"/>
            <w:hideMark/>
          </w:tcPr>
          <w:p w14:paraId="60861FCA"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eastAsia="Arial" w:cstheme="minorHAnsi"/>
                <w:color w:val="000000"/>
              </w:rPr>
              <w:t>2.</w:t>
            </w:r>
            <w:r>
              <w:rPr>
                <w:rFonts w:eastAsia="Arial" w:cstheme="minorHAnsi"/>
                <w:color w:val="000000"/>
              </w:rPr>
              <w:t>472,043</w:t>
            </w:r>
          </w:p>
        </w:tc>
        <w:tc>
          <w:tcPr>
            <w:tcW w:w="495" w:type="pct"/>
            <w:shd w:val="clear" w:color="auto" w:fill="auto"/>
            <w:hideMark/>
          </w:tcPr>
          <w:p w14:paraId="147E6526" w14:textId="77777777" w:rsidR="007A0D8D" w:rsidRPr="002048A7" w:rsidRDefault="007A0D8D" w:rsidP="007A0D8D">
            <w:pPr>
              <w:spacing w:after="0" w:line="240" w:lineRule="auto"/>
              <w:jc w:val="right"/>
              <w:rPr>
                <w:rFonts w:eastAsia="Times New Roman" w:cstheme="minorHAnsi"/>
                <w:color w:val="000000"/>
                <w:lang w:eastAsia="tr-TR"/>
              </w:rPr>
            </w:pPr>
            <w:r>
              <w:rPr>
                <w:rFonts w:eastAsia="Arial" w:cstheme="minorHAnsi"/>
                <w:color w:val="000000"/>
              </w:rPr>
              <w:t>58</w:t>
            </w:r>
          </w:p>
        </w:tc>
      </w:tr>
      <w:tr w:rsidR="007A0D8D" w:rsidRPr="002048A7" w14:paraId="2A438121" w14:textId="77777777" w:rsidTr="007A0D8D">
        <w:trPr>
          <w:trHeight w:val="340"/>
        </w:trPr>
        <w:tc>
          <w:tcPr>
            <w:tcW w:w="362" w:type="pct"/>
            <w:vMerge/>
            <w:vAlign w:val="center"/>
            <w:hideMark/>
          </w:tcPr>
          <w:p w14:paraId="6DD4E25C" w14:textId="77777777" w:rsidR="007A0D8D" w:rsidRPr="002048A7" w:rsidRDefault="007A0D8D" w:rsidP="007A0D8D">
            <w:pPr>
              <w:spacing w:after="0" w:line="240" w:lineRule="auto"/>
              <w:jc w:val="left"/>
              <w:rPr>
                <w:rFonts w:ascii="Calibri" w:eastAsia="Times New Roman" w:hAnsi="Calibri" w:cs="Calibri"/>
                <w:b/>
                <w:bCs/>
                <w:color w:val="000000"/>
                <w:lang w:eastAsia="tr-TR"/>
              </w:rPr>
            </w:pPr>
          </w:p>
        </w:tc>
        <w:tc>
          <w:tcPr>
            <w:tcW w:w="528" w:type="pct"/>
            <w:shd w:val="clear" w:color="auto" w:fill="auto"/>
            <w:hideMark/>
          </w:tcPr>
          <w:p w14:paraId="1AFCE6A0" w14:textId="77777777" w:rsidR="007A0D8D" w:rsidRPr="002048A7" w:rsidRDefault="007A0D8D" w:rsidP="007A0D8D">
            <w:pPr>
              <w:spacing w:after="0" w:line="240" w:lineRule="auto"/>
              <w:rPr>
                <w:rFonts w:ascii="Calibri" w:eastAsia="Times New Roman" w:hAnsi="Calibri" w:cs="Calibri"/>
                <w:b/>
                <w:bCs/>
                <w:color w:val="000000"/>
                <w:lang w:eastAsia="tr-TR"/>
              </w:rPr>
            </w:pPr>
            <w:r w:rsidRPr="002048A7">
              <w:rPr>
                <w:rFonts w:ascii="Arial" w:eastAsia="Arial" w:hAnsi="Arial"/>
                <w:b/>
                <w:color w:val="000000"/>
                <w:sz w:val="20"/>
              </w:rPr>
              <w:t>İthal Kömür</w:t>
            </w:r>
          </w:p>
        </w:tc>
        <w:tc>
          <w:tcPr>
            <w:tcW w:w="738" w:type="pct"/>
            <w:shd w:val="clear" w:color="auto" w:fill="auto"/>
            <w:hideMark/>
          </w:tcPr>
          <w:p w14:paraId="73283DB2"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eastAsia="Arial" w:cstheme="minorHAnsi"/>
                <w:color w:val="000000"/>
              </w:rPr>
              <w:t>0,000</w:t>
            </w:r>
          </w:p>
        </w:tc>
        <w:tc>
          <w:tcPr>
            <w:tcW w:w="784" w:type="pct"/>
            <w:shd w:val="clear" w:color="auto" w:fill="auto"/>
            <w:hideMark/>
          </w:tcPr>
          <w:p w14:paraId="69D3D0FE"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eastAsia="Arial" w:cstheme="minorHAnsi"/>
                <w:color w:val="000000"/>
              </w:rPr>
              <w:t>0,000</w:t>
            </w:r>
          </w:p>
        </w:tc>
        <w:tc>
          <w:tcPr>
            <w:tcW w:w="743" w:type="pct"/>
            <w:shd w:val="clear" w:color="auto" w:fill="auto"/>
            <w:hideMark/>
          </w:tcPr>
          <w:p w14:paraId="7E059FDF"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eastAsia="Arial" w:cstheme="minorHAnsi"/>
                <w:color w:val="000000"/>
              </w:rPr>
              <w:t>0,000</w:t>
            </w:r>
          </w:p>
        </w:tc>
        <w:tc>
          <w:tcPr>
            <w:tcW w:w="488" w:type="pct"/>
            <w:shd w:val="clear" w:color="auto" w:fill="auto"/>
            <w:hideMark/>
          </w:tcPr>
          <w:p w14:paraId="38D33B07"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eastAsia="Arial" w:cstheme="minorHAnsi"/>
                <w:color w:val="000000"/>
              </w:rPr>
              <w:t>0,000</w:t>
            </w:r>
          </w:p>
        </w:tc>
        <w:tc>
          <w:tcPr>
            <w:tcW w:w="863" w:type="pct"/>
            <w:shd w:val="clear" w:color="auto" w:fill="auto"/>
            <w:hideMark/>
          </w:tcPr>
          <w:p w14:paraId="1A8C4FB1"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eastAsia="Arial" w:cstheme="minorHAnsi"/>
                <w:color w:val="000000"/>
              </w:rPr>
              <w:t>0,000</w:t>
            </w:r>
          </w:p>
        </w:tc>
        <w:tc>
          <w:tcPr>
            <w:tcW w:w="495" w:type="pct"/>
            <w:shd w:val="clear" w:color="auto" w:fill="auto"/>
            <w:hideMark/>
          </w:tcPr>
          <w:p w14:paraId="13D9EC1B"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eastAsia="Arial" w:cstheme="minorHAnsi"/>
                <w:color w:val="000000"/>
              </w:rPr>
              <w:t>0</w:t>
            </w:r>
          </w:p>
        </w:tc>
      </w:tr>
      <w:tr w:rsidR="007A0D8D" w:rsidRPr="002048A7" w14:paraId="5B769B4B" w14:textId="77777777" w:rsidTr="007A0D8D">
        <w:trPr>
          <w:trHeight w:val="340"/>
        </w:trPr>
        <w:tc>
          <w:tcPr>
            <w:tcW w:w="362" w:type="pct"/>
            <w:vMerge/>
            <w:vAlign w:val="center"/>
            <w:hideMark/>
          </w:tcPr>
          <w:p w14:paraId="7ABDA71A" w14:textId="77777777" w:rsidR="007A0D8D" w:rsidRPr="002048A7" w:rsidRDefault="007A0D8D" w:rsidP="007A0D8D">
            <w:pPr>
              <w:spacing w:after="0" w:line="240" w:lineRule="auto"/>
              <w:jc w:val="left"/>
              <w:rPr>
                <w:rFonts w:ascii="Calibri" w:eastAsia="Times New Roman" w:hAnsi="Calibri" w:cs="Calibri"/>
                <w:b/>
                <w:bCs/>
                <w:color w:val="000000"/>
                <w:lang w:eastAsia="tr-TR"/>
              </w:rPr>
            </w:pPr>
          </w:p>
        </w:tc>
        <w:tc>
          <w:tcPr>
            <w:tcW w:w="528" w:type="pct"/>
            <w:shd w:val="clear" w:color="auto" w:fill="auto"/>
            <w:hideMark/>
          </w:tcPr>
          <w:p w14:paraId="58C081A9" w14:textId="77777777" w:rsidR="007A0D8D" w:rsidRPr="002048A7" w:rsidRDefault="007A0D8D" w:rsidP="007A0D8D">
            <w:pPr>
              <w:spacing w:after="0" w:line="240" w:lineRule="auto"/>
              <w:rPr>
                <w:rFonts w:ascii="Calibri" w:eastAsia="Times New Roman" w:hAnsi="Calibri" w:cs="Calibri"/>
                <w:b/>
                <w:bCs/>
                <w:color w:val="000000"/>
                <w:lang w:eastAsia="tr-TR"/>
              </w:rPr>
            </w:pPr>
            <w:r w:rsidRPr="002048A7">
              <w:rPr>
                <w:rFonts w:ascii="Arial" w:eastAsia="Arial" w:hAnsi="Arial"/>
                <w:b/>
                <w:color w:val="000000"/>
                <w:sz w:val="20"/>
              </w:rPr>
              <w:t>Jeotermal</w:t>
            </w:r>
          </w:p>
        </w:tc>
        <w:tc>
          <w:tcPr>
            <w:tcW w:w="738" w:type="pct"/>
            <w:shd w:val="clear" w:color="auto" w:fill="auto"/>
            <w:hideMark/>
          </w:tcPr>
          <w:p w14:paraId="6C3B1BEA" w14:textId="77777777" w:rsidR="007A0D8D" w:rsidRPr="002048A7" w:rsidRDefault="007A0D8D" w:rsidP="007A0D8D">
            <w:pPr>
              <w:spacing w:after="0" w:line="240" w:lineRule="auto"/>
              <w:jc w:val="right"/>
              <w:rPr>
                <w:rFonts w:eastAsia="Times New Roman" w:cstheme="minorHAnsi"/>
                <w:color w:val="000000"/>
                <w:lang w:eastAsia="tr-TR"/>
              </w:rPr>
            </w:pPr>
            <w:r>
              <w:rPr>
                <w:rFonts w:eastAsia="Arial" w:cstheme="minorHAnsi"/>
                <w:color w:val="000000"/>
              </w:rPr>
              <w:t>199,90</w:t>
            </w:r>
          </w:p>
        </w:tc>
        <w:tc>
          <w:tcPr>
            <w:tcW w:w="784" w:type="pct"/>
            <w:shd w:val="clear" w:color="auto" w:fill="auto"/>
            <w:hideMark/>
          </w:tcPr>
          <w:p w14:paraId="32AAD2F3" w14:textId="77777777" w:rsidR="007A0D8D" w:rsidRPr="002048A7" w:rsidRDefault="007A0D8D" w:rsidP="007A0D8D">
            <w:pPr>
              <w:spacing w:after="0" w:line="240" w:lineRule="auto"/>
              <w:jc w:val="right"/>
              <w:rPr>
                <w:rFonts w:eastAsia="Times New Roman" w:cstheme="minorHAnsi"/>
                <w:color w:val="000000"/>
                <w:lang w:eastAsia="tr-TR"/>
              </w:rPr>
            </w:pPr>
            <w:r>
              <w:rPr>
                <w:rFonts w:eastAsia="Arial" w:cstheme="minorHAnsi"/>
                <w:color w:val="000000"/>
              </w:rPr>
              <w:t>158,80</w:t>
            </w:r>
          </w:p>
        </w:tc>
        <w:tc>
          <w:tcPr>
            <w:tcW w:w="743" w:type="pct"/>
            <w:shd w:val="clear" w:color="auto" w:fill="auto"/>
            <w:hideMark/>
          </w:tcPr>
          <w:p w14:paraId="5E6B8054" w14:textId="77777777" w:rsidR="007A0D8D" w:rsidRPr="002048A7" w:rsidRDefault="007A0D8D" w:rsidP="007A0D8D">
            <w:pPr>
              <w:spacing w:after="0" w:line="240" w:lineRule="auto"/>
              <w:jc w:val="right"/>
              <w:rPr>
                <w:rFonts w:eastAsia="Times New Roman" w:cstheme="minorHAnsi"/>
                <w:color w:val="000000"/>
                <w:lang w:eastAsia="tr-TR"/>
              </w:rPr>
            </w:pPr>
            <w:r>
              <w:rPr>
                <w:rFonts w:eastAsia="Arial" w:cstheme="minorHAnsi"/>
                <w:color w:val="000000"/>
              </w:rPr>
              <w:t>84,00</w:t>
            </w:r>
          </w:p>
        </w:tc>
        <w:tc>
          <w:tcPr>
            <w:tcW w:w="488" w:type="pct"/>
            <w:shd w:val="clear" w:color="auto" w:fill="auto"/>
            <w:hideMark/>
          </w:tcPr>
          <w:p w14:paraId="5D26FE5D" w14:textId="77777777" w:rsidR="007A0D8D" w:rsidRPr="002048A7" w:rsidRDefault="007A0D8D" w:rsidP="007A0D8D">
            <w:pPr>
              <w:spacing w:after="0" w:line="240" w:lineRule="auto"/>
              <w:jc w:val="right"/>
              <w:rPr>
                <w:rFonts w:eastAsia="Times New Roman" w:cstheme="minorHAnsi"/>
                <w:color w:val="000000"/>
                <w:lang w:eastAsia="tr-TR"/>
              </w:rPr>
            </w:pPr>
            <w:r>
              <w:rPr>
                <w:rFonts w:eastAsia="Arial" w:cstheme="minorHAnsi"/>
                <w:color w:val="000000"/>
              </w:rPr>
              <w:t>49</w:t>
            </w:r>
            <w:r w:rsidRPr="002048A7">
              <w:rPr>
                <w:rFonts w:eastAsia="Arial" w:cstheme="minorHAnsi"/>
                <w:color w:val="000000"/>
              </w:rPr>
              <w:t>,000</w:t>
            </w:r>
          </w:p>
        </w:tc>
        <w:tc>
          <w:tcPr>
            <w:tcW w:w="863" w:type="pct"/>
            <w:shd w:val="clear" w:color="auto" w:fill="auto"/>
            <w:hideMark/>
          </w:tcPr>
          <w:p w14:paraId="3BF92C8C"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eastAsia="Arial" w:cstheme="minorHAnsi"/>
                <w:color w:val="000000"/>
              </w:rPr>
              <w:t>2</w:t>
            </w:r>
            <w:r>
              <w:rPr>
                <w:rFonts w:eastAsia="Arial" w:cstheme="minorHAnsi"/>
                <w:color w:val="000000"/>
              </w:rPr>
              <w:t>47,080</w:t>
            </w:r>
          </w:p>
        </w:tc>
        <w:tc>
          <w:tcPr>
            <w:tcW w:w="495" w:type="pct"/>
            <w:shd w:val="clear" w:color="auto" w:fill="auto"/>
            <w:hideMark/>
          </w:tcPr>
          <w:p w14:paraId="612ECCE0"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eastAsia="Arial" w:cstheme="minorHAnsi"/>
                <w:color w:val="000000"/>
              </w:rPr>
              <w:t>1</w:t>
            </w:r>
            <w:r>
              <w:rPr>
                <w:rFonts w:eastAsia="Arial" w:cstheme="minorHAnsi"/>
                <w:color w:val="000000"/>
              </w:rPr>
              <w:t>3</w:t>
            </w:r>
          </w:p>
        </w:tc>
      </w:tr>
      <w:tr w:rsidR="007A0D8D" w:rsidRPr="002048A7" w14:paraId="3412D219" w14:textId="77777777" w:rsidTr="007A0D8D">
        <w:trPr>
          <w:trHeight w:val="340"/>
        </w:trPr>
        <w:tc>
          <w:tcPr>
            <w:tcW w:w="362" w:type="pct"/>
            <w:vMerge/>
            <w:vAlign w:val="center"/>
            <w:hideMark/>
          </w:tcPr>
          <w:p w14:paraId="703077FE" w14:textId="77777777" w:rsidR="007A0D8D" w:rsidRPr="002048A7" w:rsidRDefault="007A0D8D" w:rsidP="007A0D8D">
            <w:pPr>
              <w:spacing w:after="0" w:line="240" w:lineRule="auto"/>
              <w:jc w:val="left"/>
              <w:rPr>
                <w:rFonts w:ascii="Calibri" w:eastAsia="Times New Roman" w:hAnsi="Calibri" w:cs="Calibri"/>
                <w:b/>
                <w:bCs/>
                <w:color w:val="000000"/>
                <w:lang w:eastAsia="tr-TR"/>
              </w:rPr>
            </w:pPr>
          </w:p>
        </w:tc>
        <w:tc>
          <w:tcPr>
            <w:tcW w:w="528" w:type="pct"/>
            <w:shd w:val="clear" w:color="auto" w:fill="auto"/>
            <w:hideMark/>
          </w:tcPr>
          <w:p w14:paraId="0E782CC2" w14:textId="77777777" w:rsidR="007A0D8D" w:rsidRPr="002048A7" w:rsidRDefault="007A0D8D" w:rsidP="007A0D8D">
            <w:pPr>
              <w:spacing w:after="0" w:line="240" w:lineRule="auto"/>
              <w:rPr>
                <w:rFonts w:ascii="Calibri" w:eastAsia="Times New Roman" w:hAnsi="Calibri" w:cs="Calibri"/>
                <w:b/>
                <w:bCs/>
                <w:color w:val="000000"/>
                <w:lang w:eastAsia="tr-TR"/>
              </w:rPr>
            </w:pPr>
            <w:r w:rsidRPr="002048A7">
              <w:rPr>
                <w:rFonts w:ascii="Arial" w:eastAsia="Arial" w:hAnsi="Arial"/>
                <w:b/>
                <w:color w:val="000000"/>
                <w:sz w:val="20"/>
              </w:rPr>
              <w:t>Kömür</w:t>
            </w:r>
          </w:p>
        </w:tc>
        <w:tc>
          <w:tcPr>
            <w:tcW w:w="738" w:type="pct"/>
            <w:shd w:val="clear" w:color="auto" w:fill="auto"/>
            <w:hideMark/>
          </w:tcPr>
          <w:p w14:paraId="3359CE17" w14:textId="77777777" w:rsidR="007A0D8D" w:rsidRPr="002048A7" w:rsidRDefault="007A0D8D" w:rsidP="007A0D8D">
            <w:pPr>
              <w:spacing w:after="0" w:line="240" w:lineRule="auto"/>
              <w:jc w:val="right"/>
              <w:rPr>
                <w:rFonts w:eastAsia="Times New Roman" w:cstheme="minorHAnsi"/>
                <w:color w:val="000000"/>
                <w:lang w:eastAsia="tr-TR"/>
              </w:rPr>
            </w:pPr>
            <w:r>
              <w:rPr>
                <w:rFonts w:eastAsia="Arial" w:cstheme="minorHAnsi"/>
                <w:color w:val="000000"/>
              </w:rPr>
              <w:t>0</w:t>
            </w:r>
          </w:p>
        </w:tc>
        <w:tc>
          <w:tcPr>
            <w:tcW w:w="784" w:type="pct"/>
            <w:shd w:val="clear" w:color="auto" w:fill="auto"/>
            <w:hideMark/>
          </w:tcPr>
          <w:p w14:paraId="17442A5D" w14:textId="77777777" w:rsidR="007A0D8D" w:rsidRPr="002048A7" w:rsidRDefault="007A0D8D" w:rsidP="007A0D8D">
            <w:pPr>
              <w:spacing w:after="0" w:line="240" w:lineRule="auto"/>
              <w:jc w:val="right"/>
              <w:rPr>
                <w:rFonts w:eastAsia="Times New Roman" w:cstheme="minorHAnsi"/>
                <w:color w:val="000000"/>
                <w:lang w:eastAsia="tr-TR"/>
              </w:rPr>
            </w:pPr>
            <w:r>
              <w:rPr>
                <w:rFonts w:eastAsia="Arial" w:cstheme="minorHAnsi"/>
                <w:color w:val="000000"/>
              </w:rPr>
              <w:t>38,413</w:t>
            </w:r>
          </w:p>
        </w:tc>
        <w:tc>
          <w:tcPr>
            <w:tcW w:w="743" w:type="pct"/>
            <w:shd w:val="clear" w:color="auto" w:fill="auto"/>
            <w:hideMark/>
          </w:tcPr>
          <w:p w14:paraId="2D19FBBE"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eastAsia="Arial" w:cstheme="minorHAnsi"/>
                <w:color w:val="000000"/>
              </w:rPr>
              <w:t>0,000</w:t>
            </w:r>
          </w:p>
        </w:tc>
        <w:tc>
          <w:tcPr>
            <w:tcW w:w="488" w:type="pct"/>
            <w:shd w:val="clear" w:color="auto" w:fill="auto"/>
            <w:hideMark/>
          </w:tcPr>
          <w:p w14:paraId="58DB6636"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eastAsia="Arial" w:cstheme="minorHAnsi"/>
                <w:color w:val="000000"/>
              </w:rPr>
              <w:t>0,000</w:t>
            </w:r>
          </w:p>
        </w:tc>
        <w:tc>
          <w:tcPr>
            <w:tcW w:w="863" w:type="pct"/>
            <w:shd w:val="clear" w:color="auto" w:fill="auto"/>
            <w:hideMark/>
          </w:tcPr>
          <w:p w14:paraId="73ED1CAD" w14:textId="77777777" w:rsidR="007A0D8D" w:rsidRPr="002048A7" w:rsidRDefault="007A0D8D" w:rsidP="007A0D8D">
            <w:pPr>
              <w:spacing w:after="0" w:line="240" w:lineRule="auto"/>
              <w:jc w:val="right"/>
              <w:rPr>
                <w:rFonts w:eastAsia="Times New Roman" w:cstheme="minorHAnsi"/>
                <w:color w:val="000000"/>
                <w:lang w:eastAsia="tr-TR"/>
              </w:rPr>
            </w:pPr>
            <w:r>
              <w:rPr>
                <w:rFonts w:eastAsia="Arial" w:cstheme="minorHAnsi"/>
                <w:color w:val="000000"/>
              </w:rPr>
              <w:t>38,413</w:t>
            </w:r>
          </w:p>
        </w:tc>
        <w:tc>
          <w:tcPr>
            <w:tcW w:w="495" w:type="pct"/>
            <w:shd w:val="clear" w:color="auto" w:fill="auto"/>
            <w:hideMark/>
          </w:tcPr>
          <w:p w14:paraId="6A720ABD" w14:textId="77777777" w:rsidR="007A0D8D" w:rsidRPr="002048A7" w:rsidRDefault="007A0D8D" w:rsidP="007A0D8D">
            <w:pPr>
              <w:spacing w:after="0" w:line="240" w:lineRule="auto"/>
              <w:jc w:val="right"/>
              <w:rPr>
                <w:rFonts w:eastAsia="Times New Roman" w:cstheme="minorHAnsi"/>
                <w:color w:val="000000"/>
                <w:lang w:eastAsia="tr-TR"/>
              </w:rPr>
            </w:pPr>
            <w:r>
              <w:rPr>
                <w:rFonts w:eastAsia="Arial" w:cstheme="minorHAnsi"/>
                <w:color w:val="000000"/>
              </w:rPr>
              <w:t>3</w:t>
            </w:r>
          </w:p>
        </w:tc>
      </w:tr>
      <w:tr w:rsidR="007A0D8D" w:rsidRPr="002048A7" w14:paraId="7D107C6D" w14:textId="77777777" w:rsidTr="007A0D8D">
        <w:trPr>
          <w:trHeight w:val="340"/>
        </w:trPr>
        <w:tc>
          <w:tcPr>
            <w:tcW w:w="362" w:type="pct"/>
            <w:vMerge/>
            <w:vAlign w:val="center"/>
          </w:tcPr>
          <w:p w14:paraId="5112CFF7" w14:textId="77777777" w:rsidR="007A0D8D" w:rsidRPr="002048A7" w:rsidRDefault="007A0D8D" w:rsidP="007A0D8D">
            <w:pPr>
              <w:spacing w:after="0" w:line="240" w:lineRule="auto"/>
              <w:jc w:val="left"/>
              <w:rPr>
                <w:rFonts w:ascii="Calibri" w:eastAsia="Times New Roman" w:hAnsi="Calibri" w:cs="Calibri"/>
                <w:b/>
                <w:bCs/>
                <w:color w:val="000000"/>
                <w:lang w:eastAsia="tr-TR"/>
              </w:rPr>
            </w:pPr>
          </w:p>
        </w:tc>
        <w:tc>
          <w:tcPr>
            <w:tcW w:w="528" w:type="pct"/>
            <w:shd w:val="clear" w:color="auto" w:fill="auto"/>
          </w:tcPr>
          <w:p w14:paraId="59C10A20" w14:textId="77777777" w:rsidR="007A0D8D" w:rsidRPr="002048A7" w:rsidRDefault="007A0D8D" w:rsidP="007A0D8D">
            <w:pPr>
              <w:spacing w:after="0" w:line="240" w:lineRule="auto"/>
              <w:rPr>
                <w:rFonts w:ascii="Calibri" w:eastAsia="Times New Roman" w:hAnsi="Calibri" w:cs="Calibri"/>
                <w:b/>
                <w:bCs/>
                <w:color w:val="000000"/>
                <w:lang w:eastAsia="tr-TR"/>
              </w:rPr>
            </w:pPr>
            <w:r w:rsidRPr="002048A7">
              <w:rPr>
                <w:rFonts w:ascii="Arial" w:eastAsia="Arial" w:hAnsi="Arial"/>
                <w:b/>
                <w:color w:val="000000"/>
                <w:sz w:val="20"/>
              </w:rPr>
              <w:t>LNG</w:t>
            </w:r>
          </w:p>
        </w:tc>
        <w:tc>
          <w:tcPr>
            <w:tcW w:w="738" w:type="pct"/>
            <w:shd w:val="clear" w:color="auto" w:fill="auto"/>
          </w:tcPr>
          <w:p w14:paraId="5DAE4DD5" w14:textId="77777777" w:rsidR="007A0D8D" w:rsidRPr="002048A7" w:rsidRDefault="007A0D8D" w:rsidP="007A0D8D">
            <w:pPr>
              <w:spacing w:after="0" w:line="240" w:lineRule="auto"/>
              <w:jc w:val="right"/>
              <w:rPr>
                <w:rFonts w:cstheme="minorHAnsi"/>
                <w:color w:val="000000"/>
              </w:rPr>
            </w:pPr>
            <w:r w:rsidRPr="002048A7">
              <w:rPr>
                <w:rFonts w:eastAsia="Arial" w:cstheme="minorHAnsi"/>
                <w:color w:val="000000"/>
              </w:rPr>
              <w:t>0,000</w:t>
            </w:r>
          </w:p>
        </w:tc>
        <w:tc>
          <w:tcPr>
            <w:tcW w:w="784" w:type="pct"/>
            <w:shd w:val="clear" w:color="auto" w:fill="auto"/>
          </w:tcPr>
          <w:p w14:paraId="02ECC6EA" w14:textId="77777777" w:rsidR="007A0D8D" w:rsidRPr="002048A7" w:rsidRDefault="007A0D8D" w:rsidP="007A0D8D">
            <w:pPr>
              <w:spacing w:after="0" w:line="240" w:lineRule="auto"/>
              <w:jc w:val="right"/>
              <w:rPr>
                <w:rFonts w:cstheme="minorHAnsi"/>
                <w:color w:val="000000"/>
              </w:rPr>
            </w:pPr>
            <w:r w:rsidRPr="002048A7">
              <w:rPr>
                <w:rFonts w:eastAsia="Arial" w:cstheme="minorHAnsi"/>
                <w:color w:val="000000"/>
              </w:rPr>
              <w:t>1,000</w:t>
            </w:r>
          </w:p>
        </w:tc>
        <w:tc>
          <w:tcPr>
            <w:tcW w:w="743" w:type="pct"/>
            <w:shd w:val="clear" w:color="auto" w:fill="auto"/>
          </w:tcPr>
          <w:p w14:paraId="5097AD03" w14:textId="77777777" w:rsidR="007A0D8D" w:rsidRPr="002048A7" w:rsidRDefault="007A0D8D" w:rsidP="007A0D8D">
            <w:pPr>
              <w:spacing w:after="0" w:line="240" w:lineRule="auto"/>
              <w:jc w:val="right"/>
              <w:rPr>
                <w:rFonts w:cstheme="minorHAnsi"/>
                <w:color w:val="000000"/>
              </w:rPr>
            </w:pPr>
            <w:r w:rsidRPr="002048A7">
              <w:rPr>
                <w:rFonts w:eastAsia="Arial" w:cstheme="minorHAnsi"/>
                <w:color w:val="000000"/>
              </w:rPr>
              <w:t>0,000</w:t>
            </w:r>
          </w:p>
        </w:tc>
        <w:tc>
          <w:tcPr>
            <w:tcW w:w="488" w:type="pct"/>
            <w:shd w:val="clear" w:color="auto" w:fill="auto"/>
          </w:tcPr>
          <w:p w14:paraId="65D53A29" w14:textId="77777777" w:rsidR="007A0D8D" w:rsidRPr="002048A7" w:rsidRDefault="007A0D8D" w:rsidP="007A0D8D">
            <w:pPr>
              <w:spacing w:after="0" w:line="240" w:lineRule="auto"/>
              <w:jc w:val="right"/>
              <w:rPr>
                <w:rFonts w:cstheme="minorHAnsi"/>
                <w:color w:val="000000"/>
              </w:rPr>
            </w:pPr>
            <w:r w:rsidRPr="002048A7">
              <w:rPr>
                <w:rFonts w:eastAsia="Arial" w:cstheme="minorHAnsi"/>
                <w:color w:val="000000"/>
              </w:rPr>
              <w:t>0,000</w:t>
            </w:r>
          </w:p>
        </w:tc>
        <w:tc>
          <w:tcPr>
            <w:tcW w:w="863" w:type="pct"/>
            <w:shd w:val="clear" w:color="auto" w:fill="auto"/>
          </w:tcPr>
          <w:p w14:paraId="40252138" w14:textId="77777777" w:rsidR="007A0D8D" w:rsidRPr="002048A7" w:rsidRDefault="007A0D8D" w:rsidP="007A0D8D">
            <w:pPr>
              <w:spacing w:after="0" w:line="240" w:lineRule="auto"/>
              <w:jc w:val="right"/>
              <w:rPr>
                <w:rFonts w:cstheme="minorHAnsi"/>
                <w:color w:val="000000"/>
              </w:rPr>
            </w:pPr>
            <w:r w:rsidRPr="002048A7">
              <w:rPr>
                <w:rFonts w:eastAsia="Arial" w:cstheme="minorHAnsi"/>
                <w:color w:val="000000"/>
              </w:rPr>
              <w:t>1,000</w:t>
            </w:r>
          </w:p>
        </w:tc>
        <w:tc>
          <w:tcPr>
            <w:tcW w:w="495" w:type="pct"/>
            <w:shd w:val="clear" w:color="auto" w:fill="auto"/>
          </w:tcPr>
          <w:p w14:paraId="6B783184" w14:textId="77777777" w:rsidR="007A0D8D" w:rsidRPr="002048A7" w:rsidRDefault="007A0D8D" w:rsidP="007A0D8D">
            <w:pPr>
              <w:spacing w:after="0" w:line="240" w:lineRule="auto"/>
              <w:jc w:val="right"/>
              <w:rPr>
                <w:rFonts w:cstheme="minorHAnsi"/>
                <w:color w:val="000000"/>
              </w:rPr>
            </w:pPr>
            <w:r w:rsidRPr="002048A7">
              <w:rPr>
                <w:rFonts w:eastAsia="Arial" w:cstheme="minorHAnsi"/>
                <w:color w:val="000000"/>
              </w:rPr>
              <w:t>1</w:t>
            </w:r>
          </w:p>
        </w:tc>
      </w:tr>
      <w:tr w:rsidR="007A0D8D" w:rsidRPr="002048A7" w14:paraId="6D627368" w14:textId="77777777" w:rsidTr="007A0D8D">
        <w:trPr>
          <w:trHeight w:val="340"/>
        </w:trPr>
        <w:tc>
          <w:tcPr>
            <w:tcW w:w="362" w:type="pct"/>
            <w:vMerge/>
            <w:vAlign w:val="center"/>
            <w:hideMark/>
          </w:tcPr>
          <w:p w14:paraId="7C825BF4" w14:textId="77777777" w:rsidR="007A0D8D" w:rsidRPr="002048A7" w:rsidRDefault="007A0D8D" w:rsidP="007A0D8D">
            <w:pPr>
              <w:spacing w:after="0" w:line="240" w:lineRule="auto"/>
              <w:jc w:val="left"/>
              <w:rPr>
                <w:rFonts w:ascii="Calibri" w:eastAsia="Times New Roman" w:hAnsi="Calibri" w:cs="Calibri"/>
                <w:b/>
                <w:bCs/>
                <w:color w:val="000000"/>
                <w:lang w:eastAsia="tr-TR"/>
              </w:rPr>
            </w:pPr>
          </w:p>
        </w:tc>
        <w:tc>
          <w:tcPr>
            <w:tcW w:w="528" w:type="pct"/>
            <w:shd w:val="clear" w:color="auto" w:fill="auto"/>
            <w:hideMark/>
          </w:tcPr>
          <w:p w14:paraId="300E914F" w14:textId="77777777" w:rsidR="007A0D8D" w:rsidRPr="002048A7" w:rsidRDefault="007A0D8D" w:rsidP="007A0D8D">
            <w:pPr>
              <w:spacing w:after="0" w:line="240" w:lineRule="auto"/>
              <w:rPr>
                <w:rFonts w:ascii="Calibri" w:eastAsia="Times New Roman" w:hAnsi="Calibri" w:cs="Calibri"/>
                <w:b/>
                <w:bCs/>
                <w:color w:val="000000"/>
                <w:lang w:eastAsia="tr-TR"/>
              </w:rPr>
            </w:pPr>
            <w:r w:rsidRPr="002048A7">
              <w:rPr>
                <w:rFonts w:ascii="Arial" w:eastAsia="Arial" w:hAnsi="Arial"/>
                <w:b/>
                <w:color w:val="000000"/>
                <w:sz w:val="20"/>
              </w:rPr>
              <w:t>Motorin</w:t>
            </w:r>
          </w:p>
        </w:tc>
        <w:tc>
          <w:tcPr>
            <w:tcW w:w="738" w:type="pct"/>
            <w:shd w:val="clear" w:color="auto" w:fill="auto"/>
            <w:hideMark/>
          </w:tcPr>
          <w:p w14:paraId="39E94C4E"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eastAsia="Arial" w:cstheme="minorHAnsi"/>
                <w:color w:val="000000"/>
              </w:rPr>
              <w:t>0,000</w:t>
            </w:r>
          </w:p>
        </w:tc>
        <w:tc>
          <w:tcPr>
            <w:tcW w:w="784" w:type="pct"/>
            <w:shd w:val="clear" w:color="auto" w:fill="auto"/>
            <w:hideMark/>
          </w:tcPr>
          <w:p w14:paraId="4621268D"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eastAsia="Arial" w:cstheme="minorHAnsi"/>
                <w:color w:val="000000"/>
              </w:rPr>
              <w:t>0,000</w:t>
            </w:r>
          </w:p>
        </w:tc>
        <w:tc>
          <w:tcPr>
            <w:tcW w:w="743" w:type="pct"/>
            <w:shd w:val="clear" w:color="auto" w:fill="auto"/>
            <w:hideMark/>
          </w:tcPr>
          <w:p w14:paraId="00D0BD61"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eastAsia="Arial" w:cstheme="minorHAnsi"/>
                <w:color w:val="000000"/>
              </w:rPr>
              <w:t>0,000</w:t>
            </w:r>
          </w:p>
        </w:tc>
        <w:tc>
          <w:tcPr>
            <w:tcW w:w="488" w:type="pct"/>
            <w:shd w:val="clear" w:color="auto" w:fill="auto"/>
            <w:hideMark/>
          </w:tcPr>
          <w:p w14:paraId="62FDD0A8"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eastAsia="Arial" w:cstheme="minorHAnsi"/>
                <w:color w:val="000000"/>
              </w:rPr>
              <w:t>0,000</w:t>
            </w:r>
          </w:p>
        </w:tc>
        <w:tc>
          <w:tcPr>
            <w:tcW w:w="863" w:type="pct"/>
            <w:shd w:val="clear" w:color="auto" w:fill="auto"/>
            <w:hideMark/>
          </w:tcPr>
          <w:p w14:paraId="3E3AB37F"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eastAsia="Arial" w:cstheme="minorHAnsi"/>
                <w:color w:val="000000"/>
              </w:rPr>
              <w:t>0,000</w:t>
            </w:r>
          </w:p>
        </w:tc>
        <w:tc>
          <w:tcPr>
            <w:tcW w:w="495" w:type="pct"/>
            <w:shd w:val="clear" w:color="auto" w:fill="auto"/>
            <w:hideMark/>
          </w:tcPr>
          <w:p w14:paraId="6D04D4BE"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eastAsia="Arial" w:cstheme="minorHAnsi"/>
                <w:color w:val="000000"/>
              </w:rPr>
              <w:t>0</w:t>
            </w:r>
          </w:p>
        </w:tc>
      </w:tr>
      <w:tr w:rsidR="007A0D8D" w:rsidRPr="002048A7" w14:paraId="3538B4CC" w14:textId="77777777" w:rsidTr="007A0D8D">
        <w:trPr>
          <w:trHeight w:val="340"/>
        </w:trPr>
        <w:tc>
          <w:tcPr>
            <w:tcW w:w="362" w:type="pct"/>
            <w:vMerge/>
            <w:vAlign w:val="center"/>
            <w:hideMark/>
          </w:tcPr>
          <w:p w14:paraId="74F25CAE" w14:textId="77777777" w:rsidR="007A0D8D" w:rsidRPr="002048A7" w:rsidRDefault="007A0D8D" w:rsidP="007A0D8D">
            <w:pPr>
              <w:spacing w:after="0" w:line="240" w:lineRule="auto"/>
              <w:jc w:val="left"/>
              <w:rPr>
                <w:rFonts w:ascii="Calibri" w:eastAsia="Times New Roman" w:hAnsi="Calibri" w:cs="Calibri"/>
                <w:b/>
                <w:bCs/>
                <w:color w:val="000000"/>
                <w:lang w:eastAsia="tr-TR"/>
              </w:rPr>
            </w:pPr>
          </w:p>
        </w:tc>
        <w:tc>
          <w:tcPr>
            <w:tcW w:w="528" w:type="pct"/>
            <w:shd w:val="clear" w:color="auto" w:fill="auto"/>
            <w:hideMark/>
          </w:tcPr>
          <w:p w14:paraId="10DA81D0" w14:textId="77777777" w:rsidR="007A0D8D" w:rsidRPr="002048A7" w:rsidRDefault="007A0D8D" w:rsidP="007A0D8D">
            <w:pPr>
              <w:spacing w:after="0" w:line="240" w:lineRule="auto"/>
              <w:rPr>
                <w:rFonts w:ascii="Calibri" w:eastAsia="Times New Roman" w:hAnsi="Calibri" w:cs="Calibri"/>
                <w:b/>
                <w:bCs/>
                <w:color w:val="000000"/>
                <w:lang w:eastAsia="tr-TR"/>
              </w:rPr>
            </w:pPr>
            <w:r w:rsidRPr="002048A7">
              <w:rPr>
                <w:rFonts w:ascii="Arial" w:eastAsia="Arial" w:hAnsi="Arial"/>
                <w:b/>
                <w:color w:val="000000"/>
                <w:sz w:val="20"/>
              </w:rPr>
              <w:t>Proses Atık Isısı</w:t>
            </w:r>
          </w:p>
        </w:tc>
        <w:tc>
          <w:tcPr>
            <w:tcW w:w="738" w:type="pct"/>
            <w:shd w:val="clear" w:color="auto" w:fill="auto"/>
            <w:hideMark/>
          </w:tcPr>
          <w:p w14:paraId="29B2D31E" w14:textId="77777777" w:rsidR="007A0D8D" w:rsidRPr="002048A7" w:rsidRDefault="007A0D8D" w:rsidP="007A0D8D">
            <w:pPr>
              <w:spacing w:after="0" w:line="240" w:lineRule="auto"/>
              <w:jc w:val="right"/>
              <w:rPr>
                <w:rFonts w:eastAsia="Times New Roman" w:cstheme="minorHAnsi"/>
                <w:color w:val="000000"/>
                <w:lang w:eastAsia="tr-TR"/>
              </w:rPr>
            </w:pPr>
            <w:r>
              <w:rPr>
                <w:rFonts w:eastAsia="Arial" w:cstheme="minorHAnsi"/>
                <w:color w:val="000000"/>
              </w:rPr>
              <w:t>23,2</w:t>
            </w:r>
          </w:p>
        </w:tc>
        <w:tc>
          <w:tcPr>
            <w:tcW w:w="784" w:type="pct"/>
            <w:shd w:val="clear" w:color="auto" w:fill="auto"/>
            <w:hideMark/>
          </w:tcPr>
          <w:p w14:paraId="4C59F579" w14:textId="77777777" w:rsidR="007A0D8D" w:rsidRPr="002048A7" w:rsidRDefault="007A0D8D" w:rsidP="007A0D8D">
            <w:pPr>
              <w:spacing w:after="0" w:line="240" w:lineRule="auto"/>
              <w:jc w:val="right"/>
              <w:rPr>
                <w:rFonts w:eastAsia="Times New Roman" w:cstheme="minorHAnsi"/>
                <w:color w:val="000000"/>
                <w:lang w:eastAsia="tr-TR"/>
              </w:rPr>
            </w:pPr>
            <w:r>
              <w:rPr>
                <w:rFonts w:eastAsia="Arial" w:cstheme="minorHAnsi"/>
                <w:color w:val="000000"/>
              </w:rPr>
              <w:t>15</w:t>
            </w:r>
            <w:r w:rsidRPr="002048A7">
              <w:rPr>
                <w:rFonts w:eastAsia="Arial" w:cstheme="minorHAnsi"/>
                <w:color w:val="000000"/>
              </w:rPr>
              <w:t>,00</w:t>
            </w:r>
          </w:p>
        </w:tc>
        <w:tc>
          <w:tcPr>
            <w:tcW w:w="743" w:type="pct"/>
            <w:shd w:val="clear" w:color="auto" w:fill="auto"/>
            <w:hideMark/>
          </w:tcPr>
          <w:p w14:paraId="322AF90D" w14:textId="77777777" w:rsidR="007A0D8D" w:rsidRPr="002048A7" w:rsidRDefault="007A0D8D" w:rsidP="007A0D8D">
            <w:pPr>
              <w:spacing w:after="0" w:line="240" w:lineRule="auto"/>
              <w:jc w:val="right"/>
              <w:rPr>
                <w:rFonts w:eastAsia="Times New Roman" w:cstheme="minorHAnsi"/>
                <w:color w:val="000000"/>
                <w:lang w:eastAsia="tr-TR"/>
              </w:rPr>
            </w:pPr>
            <w:r>
              <w:rPr>
                <w:rFonts w:eastAsia="Arial" w:cstheme="minorHAnsi"/>
                <w:color w:val="000000"/>
              </w:rPr>
              <w:t>5</w:t>
            </w:r>
            <w:r w:rsidRPr="002048A7">
              <w:rPr>
                <w:rFonts w:eastAsia="Arial" w:cstheme="minorHAnsi"/>
                <w:color w:val="000000"/>
              </w:rPr>
              <w:t>,</w:t>
            </w:r>
            <w:r>
              <w:rPr>
                <w:rFonts w:eastAsia="Arial" w:cstheme="minorHAnsi"/>
                <w:color w:val="000000"/>
              </w:rPr>
              <w:t>3</w:t>
            </w:r>
            <w:r w:rsidRPr="002048A7">
              <w:rPr>
                <w:rFonts w:eastAsia="Arial" w:cstheme="minorHAnsi"/>
                <w:color w:val="000000"/>
              </w:rPr>
              <w:t>00</w:t>
            </w:r>
          </w:p>
        </w:tc>
        <w:tc>
          <w:tcPr>
            <w:tcW w:w="488" w:type="pct"/>
            <w:shd w:val="clear" w:color="auto" w:fill="auto"/>
            <w:hideMark/>
          </w:tcPr>
          <w:p w14:paraId="35A13640"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eastAsia="Arial" w:cstheme="minorHAnsi"/>
                <w:color w:val="000000"/>
              </w:rPr>
              <w:t>0,000</w:t>
            </w:r>
          </w:p>
        </w:tc>
        <w:tc>
          <w:tcPr>
            <w:tcW w:w="863" w:type="pct"/>
            <w:shd w:val="clear" w:color="auto" w:fill="auto"/>
            <w:hideMark/>
          </w:tcPr>
          <w:p w14:paraId="04AAF684" w14:textId="77777777" w:rsidR="007A0D8D" w:rsidRPr="002048A7" w:rsidRDefault="007A0D8D" w:rsidP="007A0D8D">
            <w:pPr>
              <w:spacing w:after="0" w:line="240" w:lineRule="auto"/>
              <w:jc w:val="right"/>
              <w:rPr>
                <w:rFonts w:eastAsia="Times New Roman" w:cstheme="minorHAnsi"/>
                <w:color w:val="000000"/>
                <w:lang w:eastAsia="tr-TR"/>
              </w:rPr>
            </w:pPr>
            <w:r>
              <w:rPr>
                <w:rFonts w:eastAsia="Arial" w:cstheme="minorHAnsi"/>
                <w:color w:val="000000"/>
              </w:rPr>
              <w:t>2</w:t>
            </w:r>
            <w:r w:rsidRPr="002048A7">
              <w:rPr>
                <w:rFonts w:eastAsia="Arial" w:cstheme="minorHAnsi"/>
                <w:color w:val="000000"/>
              </w:rPr>
              <w:t>5,</w:t>
            </w:r>
            <w:r>
              <w:rPr>
                <w:rFonts w:eastAsia="Arial" w:cstheme="minorHAnsi"/>
                <w:color w:val="000000"/>
              </w:rPr>
              <w:t>0</w:t>
            </w:r>
            <w:r w:rsidRPr="002048A7">
              <w:rPr>
                <w:rFonts w:eastAsia="Arial" w:cstheme="minorHAnsi"/>
                <w:color w:val="000000"/>
              </w:rPr>
              <w:t>00</w:t>
            </w:r>
          </w:p>
        </w:tc>
        <w:tc>
          <w:tcPr>
            <w:tcW w:w="495" w:type="pct"/>
            <w:shd w:val="clear" w:color="auto" w:fill="auto"/>
            <w:hideMark/>
          </w:tcPr>
          <w:p w14:paraId="2DBFE173"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eastAsia="Arial" w:cstheme="minorHAnsi"/>
                <w:color w:val="000000"/>
              </w:rPr>
              <w:t>2</w:t>
            </w:r>
          </w:p>
        </w:tc>
      </w:tr>
      <w:tr w:rsidR="007A0D8D" w:rsidRPr="002048A7" w14:paraId="597D2D9D" w14:textId="77777777" w:rsidTr="007A0D8D">
        <w:trPr>
          <w:trHeight w:val="340"/>
        </w:trPr>
        <w:tc>
          <w:tcPr>
            <w:tcW w:w="362" w:type="pct"/>
            <w:vMerge/>
            <w:vAlign w:val="center"/>
            <w:hideMark/>
          </w:tcPr>
          <w:p w14:paraId="5B7CBC8A" w14:textId="77777777" w:rsidR="007A0D8D" w:rsidRPr="002048A7" w:rsidRDefault="007A0D8D" w:rsidP="007A0D8D">
            <w:pPr>
              <w:spacing w:after="0" w:line="240" w:lineRule="auto"/>
              <w:jc w:val="left"/>
              <w:rPr>
                <w:rFonts w:ascii="Calibri" w:eastAsia="Times New Roman" w:hAnsi="Calibri" w:cs="Calibri"/>
                <w:b/>
                <w:bCs/>
                <w:color w:val="000000"/>
                <w:lang w:eastAsia="tr-TR"/>
              </w:rPr>
            </w:pPr>
          </w:p>
        </w:tc>
        <w:tc>
          <w:tcPr>
            <w:tcW w:w="528" w:type="pct"/>
            <w:shd w:val="clear" w:color="auto" w:fill="auto"/>
            <w:hideMark/>
          </w:tcPr>
          <w:p w14:paraId="5B59F071" w14:textId="77777777" w:rsidR="007A0D8D" w:rsidRPr="002048A7" w:rsidRDefault="007A0D8D" w:rsidP="007A0D8D">
            <w:pPr>
              <w:spacing w:after="0" w:line="240" w:lineRule="auto"/>
              <w:rPr>
                <w:rFonts w:ascii="Calibri" w:eastAsia="Times New Roman" w:hAnsi="Calibri" w:cs="Calibri"/>
                <w:b/>
                <w:bCs/>
                <w:color w:val="000000"/>
                <w:lang w:eastAsia="tr-TR"/>
              </w:rPr>
            </w:pPr>
            <w:r w:rsidRPr="002048A7">
              <w:rPr>
                <w:rFonts w:ascii="Arial" w:eastAsia="Arial" w:hAnsi="Arial"/>
                <w:b/>
                <w:color w:val="000000"/>
                <w:sz w:val="20"/>
              </w:rPr>
              <w:t>Rüzgâr</w:t>
            </w:r>
          </w:p>
        </w:tc>
        <w:tc>
          <w:tcPr>
            <w:tcW w:w="738" w:type="pct"/>
            <w:shd w:val="clear" w:color="auto" w:fill="auto"/>
            <w:hideMark/>
          </w:tcPr>
          <w:p w14:paraId="246A17FD" w14:textId="77777777" w:rsidR="007A0D8D" w:rsidRPr="002048A7" w:rsidRDefault="007A0D8D" w:rsidP="007A0D8D">
            <w:pPr>
              <w:spacing w:after="0" w:line="240" w:lineRule="auto"/>
              <w:jc w:val="right"/>
              <w:rPr>
                <w:rFonts w:eastAsia="Times New Roman" w:cstheme="minorHAnsi"/>
                <w:color w:val="000000"/>
                <w:lang w:eastAsia="tr-TR"/>
              </w:rPr>
            </w:pPr>
            <w:r>
              <w:rPr>
                <w:rFonts w:eastAsia="Arial" w:cstheme="minorHAnsi"/>
                <w:color w:val="000000"/>
              </w:rPr>
              <w:t>250,00</w:t>
            </w:r>
          </w:p>
        </w:tc>
        <w:tc>
          <w:tcPr>
            <w:tcW w:w="784" w:type="pct"/>
            <w:shd w:val="clear" w:color="auto" w:fill="auto"/>
            <w:hideMark/>
          </w:tcPr>
          <w:p w14:paraId="1526FED5" w14:textId="77777777" w:rsidR="007A0D8D" w:rsidRPr="002048A7" w:rsidRDefault="007A0D8D" w:rsidP="007A0D8D">
            <w:pPr>
              <w:spacing w:after="0" w:line="240" w:lineRule="auto"/>
              <w:jc w:val="right"/>
              <w:rPr>
                <w:rFonts w:eastAsia="Times New Roman" w:cstheme="minorHAnsi"/>
                <w:color w:val="000000"/>
                <w:lang w:eastAsia="tr-TR"/>
              </w:rPr>
            </w:pPr>
            <w:r>
              <w:rPr>
                <w:rFonts w:eastAsia="Arial" w:cstheme="minorHAnsi"/>
                <w:color w:val="000000"/>
              </w:rPr>
              <w:t>4.521,090</w:t>
            </w:r>
          </w:p>
        </w:tc>
        <w:tc>
          <w:tcPr>
            <w:tcW w:w="743" w:type="pct"/>
            <w:shd w:val="clear" w:color="auto" w:fill="auto"/>
            <w:hideMark/>
          </w:tcPr>
          <w:p w14:paraId="140AF485" w14:textId="77777777" w:rsidR="007A0D8D" w:rsidRPr="002048A7" w:rsidRDefault="007A0D8D" w:rsidP="007A0D8D">
            <w:pPr>
              <w:spacing w:after="0" w:line="240" w:lineRule="auto"/>
              <w:jc w:val="right"/>
              <w:rPr>
                <w:rFonts w:eastAsia="Times New Roman" w:cstheme="minorHAnsi"/>
                <w:color w:val="000000"/>
                <w:lang w:eastAsia="tr-TR"/>
              </w:rPr>
            </w:pPr>
            <w:r>
              <w:rPr>
                <w:rFonts w:eastAsia="Arial" w:cstheme="minorHAnsi"/>
                <w:color w:val="000000"/>
              </w:rPr>
              <w:t>2.140,260</w:t>
            </w:r>
          </w:p>
        </w:tc>
        <w:tc>
          <w:tcPr>
            <w:tcW w:w="488" w:type="pct"/>
            <w:shd w:val="clear" w:color="auto" w:fill="auto"/>
            <w:hideMark/>
          </w:tcPr>
          <w:p w14:paraId="03533C35"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eastAsia="Arial" w:cstheme="minorHAnsi"/>
                <w:color w:val="000000"/>
              </w:rPr>
              <w:t>0,000</w:t>
            </w:r>
          </w:p>
        </w:tc>
        <w:tc>
          <w:tcPr>
            <w:tcW w:w="863" w:type="pct"/>
            <w:shd w:val="clear" w:color="auto" w:fill="auto"/>
            <w:hideMark/>
          </w:tcPr>
          <w:p w14:paraId="2B395EF9"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eastAsia="Arial" w:cstheme="minorHAnsi"/>
                <w:color w:val="000000"/>
              </w:rPr>
              <w:t>1</w:t>
            </w:r>
            <w:r>
              <w:rPr>
                <w:rFonts w:eastAsia="Arial" w:cstheme="minorHAnsi"/>
                <w:color w:val="000000"/>
              </w:rPr>
              <w:t>9.885,512</w:t>
            </w:r>
          </w:p>
        </w:tc>
        <w:tc>
          <w:tcPr>
            <w:tcW w:w="495" w:type="pct"/>
            <w:shd w:val="clear" w:color="auto" w:fill="auto"/>
            <w:hideMark/>
          </w:tcPr>
          <w:p w14:paraId="52FD4642"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eastAsia="Arial" w:cstheme="minorHAnsi"/>
                <w:color w:val="000000"/>
              </w:rPr>
              <w:t>2</w:t>
            </w:r>
            <w:r>
              <w:rPr>
                <w:rFonts w:eastAsia="Arial" w:cstheme="minorHAnsi"/>
                <w:color w:val="000000"/>
              </w:rPr>
              <w:t>96</w:t>
            </w:r>
          </w:p>
        </w:tc>
      </w:tr>
      <w:tr w:rsidR="007A0D8D" w:rsidRPr="002048A7" w14:paraId="5696FD23" w14:textId="77777777" w:rsidTr="007A0D8D">
        <w:trPr>
          <w:trHeight w:val="340"/>
        </w:trPr>
        <w:tc>
          <w:tcPr>
            <w:tcW w:w="362" w:type="pct"/>
            <w:vMerge/>
            <w:vAlign w:val="center"/>
            <w:hideMark/>
          </w:tcPr>
          <w:p w14:paraId="324BBF7F" w14:textId="77777777" w:rsidR="007A0D8D" w:rsidRPr="002048A7" w:rsidRDefault="007A0D8D" w:rsidP="007A0D8D">
            <w:pPr>
              <w:spacing w:after="0" w:line="240" w:lineRule="auto"/>
              <w:jc w:val="left"/>
              <w:rPr>
                <w:rFonts w:ascii="Calibri" w:eastAsia="Times New Roman" w:hAnsi="Calibri" w:cs="Calibri"/>
                <w:b/>
                <w:bCs/>
                <w:color w:val="000000"/>
                <w:lang w:eastAsia="tr-TR"/>
              </w:rPr>
            </w:pPr>
          </w:p>
        </w:tc>
        <w:tc>
          <w:tcPr>
            <w:tcW w:w="528" w:type="pct"/>
            <w:shd w:val="clear" w:color="auto" w:fill="auto"/>
            <w:hideMark/>
          </w:tcPr>
          <w:p w14:paraId="1EFE2E5A" w14:textId="77777777" w:rsidR="007A0D8D" w:rsidRPr="002048A7" w:rsidRDefault="007A0D8D" w:rsidP="007A0D8D">
            <w:pPr>
              <w:spacing w:after="0" w:line="240" w:lineRule="auto"/>
              <w:rPr>
                <w:rFonts w:ascii="Calibri" w:eastAsia="Times New Roman" w:hAnsi="Calibri" w:cs="Calibri"/>
                <w:b/>
                <w:bCs/>
                <w:color w:val="000000"/>
                <w:lang w:eastAsia="tr-TR"/>
              </w:rPr>
            </w:pPr>
            <w:r w:rsidRPr="002048A7">
              <w:rPr>
                <w:rFonts w:ascii="Arial" w:eastAsia="Arial" w:hAnsi="Arial"/>
                <w:b/>
                <w:color w:val="000000"/>
                <w:sz w:val="20"/>
              </w:rPr>
              <w:t>Uranyum</w:t>
            </w:r>
          </w:p>
        </w:tc>
        <w:tc>
          <w:tcPr>
            <w:tcW w:w="738" w:type="pct"/>
            <w:shd w:val="clear" w:color="auto" w:fill="auto"/>
            <w:hideMark/>
          </w:tcPr>
          <w:p w14:paraId="1844E38D"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eastAsia="Arial" w:cstheme="minorHAnsi"/>
                <w:color w:val="000000"/>
              </w:rPr>
              <w:t>0,000</w:t>
            </w:r>
          </w:p>
        </w:tc>
        <w:tc>
          <w:tcPr>
            <w:tcW w:w="784" w:type="pct"/>
            <w:shd w:val="clear" w:color="auto" w:fill="auto"/>
            <w:hideMark/>
          </w:tcPr>
          <w:p w14:paraId="25DA5C2F"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eastAsia="Arial" w:cstheme="minorHAnsi"/>
                <w:color w:val="000000"/>
              </w:rPr>
              <w:t>0,000</w:t>
            </w:r>
          </w:p>
        </w:tc>
        <w:tc>
          <w:tcPr>
            <w:tcW w:w="743" w:type="pct"/>
            <w:shd w:val="clear" w:color="auto" w:fill="auto"/>
            <w:hideMark/>
          </w:tcPr>
          <w:p w14:paraId="450F473F"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eastAsia="Arial" w:cstheme="minorHAnsi"/>
                <w:color w:val="000000"/>
              </w:rPr>
              <w:t>0,000</w:t>
            </w:r>
          </w:p>
        </w:tc>
        <w:tc>
          <w:tcPr>
            <w:tcW w:w="488" w:type="pct"/>
            <w:shd w:val="clear" w:color="auto" w:fill="auto"/>
            <w:hideMark/>
          </w:tcPr>
          <w:p w14:paraId="762D235C"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eastAsia="Arial" w:cstheme="minorHAnsi"/>
                <w:color w:val="000000"/>
              </w:rPr>
              <w:t>0,000</w:t>
            </w:r>
          </w:p>
        </w:tc>
        <w:tc>
          <w:tcPr>
            <w:tcW w:w="863" w:type="pct"/>
            <w:shd w:val="clear" w:color="auto" w:fill="auto"/>
            <w:hideMark/>
          </w:tcPr>
          <w:p w14:paraId="3CB27AB5"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eastAsia="Arial" w:cstheme="minorHAnsi"/>
                <w:color w:val="000000"/>
              </w:rPr>
              <w:t>0,000</w:t>
            </w:r>
          </w:p>
        </w:tc>
        <w:tc>
          <w:tcPr>
            <w:tcW w:w="495" w:type="pct"/>
            <w:shd w:val="clear" w:color="auto" w:fill="auto"/>
            <w:hideMark/>
          </w:tcPr>
          <w:p w14:paraId="261A3604"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eastAsia="Arial" w:cstheme="minorHAnsi"/>
                <w:color w:val="000000"/>
              </w:rPr>
              <w:t>0</w:t>
            </w:r>
          </w:p>
        </w:tc>
      </w:tr>
      <w:tr w:rsidR="007A0D8D" w:rsidRPr="002048A7" w14:paraId="66F5C29D" w14:textId="77777777" w:rsidTr="007A0D8D">
        <w:trPr>
          <w:trHeight w:val="340"/>
        </w:trPr>
        <w:tc>
          <w:tcPr>
            <w:tcW w:w="362" w:type="pct"/>
            <w:vMerge/>
            <w:vAlign w:val="center"/>
            <w:hideMark/>
          </w:tcPr>
          <w:p w14:paraId="7979FEB4" w14:textId="77777777" w:rsidR="007A0D8D" w:rsidRPr="002048A7" w:rsidRDefault="007A0D8D" w:rsidP="007A0D8D">
            <w:pPr>
              <w:spacing w:after="0" w:line="240" w:lineRule="auto"/>
              <w:jc w:val="left"/>
              <w:rPr>
                <w:rFonts w:ascii="Calibri" w:eastAsia="Times New Roman" w:hAnsi="Calibri" w:cs="Calibri"/>
                <w:b/>
                <w:bCs/>
                <w:color w:val="000000"/>
                <w:lang w:eastAsia="tr-TR"/>
              </w:rPr>
            </w:pPr>
          </w:p>
        </w:tc>
        <w:tc>
          <w:tcPr>
            <w:tcW w:w="528" w:type="pct"/>
            <w:shd w:val="clear" w:color="auto" w:fill="auto"/>
            <w:hideMark/>
          </w:tcPr>
          <w:p w14:paraId="582D3B2C" w14:textId="77777777" w:rsidR="007A0D8D" w:rsidRPr="002048A7" w:rsidRDefault="007A0D8D" w:rsidP="007A0D8D">
            <w:pPr>
              <w:spacing w:after="0" w:line="240" w:lineRule="auto"/>
              <w:rPr>
                <w:rFonts w:ascii="Calibri" w:eastAsia="Times New Roman" w:hAnsi="Calibri" w:cs="Calibri"/>
                <w:b/>
                <w:bCs/>
                <w:color w:val="000000"/>
                <w:lang w:eastAsia="tr-TR"/>
              </w:rPr>
            </w:pPr>
            <w:r w:rsidRPr="002048A7">
              <w:rPr>
                <w:rFonts w:ascii="Arial" w:eastAsia="Arial" w:hAnsi="Arial"/>
                <w:b/>
                <w:color w:val="000000"/>
                <w:sz w:val="20"/>
              </w:rPr>
              <w:t>Yerli Kömür</w:t>
            </w:r>
          </w:p>
        </w:tc>
        <w:tc>
          <w:tcPr>
            <w:tcW w:w="738" w:type="pct"/>
            <w:shd w:val="clear" w:color="auto" w:fill="auto"/>
            <w:hideMark/>
          </w:tcPr>
          <w:p w14:paraId="5A43E385"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eastAsia="Arial" w:cstheme="minorHAnsi"/>
                <w:color w:val="000000"/>
              </w:rPr>
              <w:t>2,713</w:t>
            </w:r>
          </w:p>
        </w:tc>
        <w:tc>
          <w:tcPr>
            <w:tcW w:w="784" w:type="pct"/>
            <w:shd w:val="clear" w:color="auto" w:fill="auto"/>
            <w:hideMark/>
          </w:tcPr>
          <w:p w14:paraId="797C4BAA"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eastAsia="Arial" w:cstheme="minorHAnsi"/>
                <w:color w:val="000000"/>
              </w:rPr>
              <w:t>0,000</w:t>
            </w:r>
          </w:p>
        </w:tc>
        <w:tc>
          <w:tcPr>
            <w:tcW w:w="743" w:type="pct"/>
            <w:shd w:val="clear" w:color="auto" w:fill="auto"/>
            <w:hideMark/>
          </w:tcPr>
          <w:p w14:paraId="306FBD9B"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eastAsia="Arial" w:cstheme="minorHAnsi"/>
                <w:color w:val="000000"/>
              </w:rPr>
              <w:t>0,00</w:t>
            </w:r>
          </w:p>
        </w:tc>
        <w:tc>
          <w:tcPr>
            <w:tcW w:w="488" w:type="pct"/>
            <w:shd w:val="clear" w:color="auto" w:fill="auto"/>
            <w:hideMark/>
          </w:tcPr>
          <w:p w14:paraId="49C9BF18"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eastAsia="Arial" w:cstheme="minorHAnsi"/>
                <w:color w:val="000000"/>
              </w:rPr>
              <w:t>0,000</w:t>
            </w:r>
          </w:p>
        </w:tc>
        <w:tc>
          <w:tcPr>
            <w:tcW w:w="863" w:type="pct"/>
            <w:shd w:val="clear" w:color="auto" w:fill="auto"/>
            <w:hideMark/>
          </w:tcPr>
          <w:p w14:paraId="5BB4E91D"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eastAsia="Arial" w:cstheme="minorHAnsi"/>
                <w:color w:val="000000"/>
              </w:rPr>
              <w:t>0,000</w:t>
            </w:r>
          </w:p>
        </w:tc>
        <w:tc>
          <w:tcPr>
            <w:tcW w:w="495" w:type="pct"/>
            <w:shd w:val="clear" w:color="auto" w:fill="auto"/>
            <w:hideMark/>
          </w:tcPr>
          <w:p w14:paraId="465FDEDE"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eastAsia="Arial" w:cstheme="minorHAnsi"/>
                <w:color w:val="000000"/>
              </w:rPr>
              <w:t>0</w:t>
            </w:r>
          </w:p>
        </w:tc>
      </w:tr>
      <w:tr w:rsidR="007A0D8D" w:rsidRPr="002048A7" w14:paraId="07BDD608" w14:textId="77777777" w:rsidTr="007A0D8D">
        <w:trPr>
          <w:trHeight w:val="340"/>
        </w:trPr>
        <w:tc>
          <w:tcPr>
            <w:tcW w:w="362" w:type="pct"/>
            <w:vMerge/>
            <w:vAlign w:val="center"/>
            <w:hideMark/>
          </w:tcPr>
          <w:p w14:paraId="7D37E450" w14:textId="77777777" w:rsidR="007A0D8D" w:rsidRPr="002048A7" w:rsidRDefault="007A0D8D" w:rsidP="007A0D8D">
            <w:pPr>
              <w:spacing w:after="0" w:line="240" w:lineRule="auto"/>
              <w:jc w:val="left"/>
              <w:rPr>
                <w:rFonts w:ascii="Calibri" w:eastAsia="Times New Roman" w:hAnsi="Calibri" w:cs="Calibri"/>
                <w:b/>
                <w:bCs/>
                <w:color w:val="000000"/>
                <w:lang w:eastAsia="tr-TR"/>
              </w:rPr>
            </w:pPr>
          </w:p>
        </w:tc>
        <w:tc>
          <w:tcPr>
            <w:tcW w:w="528" w:type="pct"/>
            <w:shd w:val="clear" w:color="auto" w:fill="6E9ECA"/>
            <w:hideMark/>
          </w:tcPr>
          <w:p w14:paraId="643EC4C0" w14:textId="77777777" w:rsidR="007A0D8D" w:rsidRPr="002048A7" w:rsidRDefault="007A0D8D" w:rsidP="007A0D8D">
            <w:pPr>
              <w:spacing w:after="0" w:line="240" w:lineRule="auto"/>
              <w:rPr>
                <w:rFonts w:ascii="Calibri" w:eastAsia="Times New Roman" w:hAnsi="Calibri" w:cs="Calibri"/>
                <w:b/>
                <w:bCs/>
                <w:lang w:eastAsia="tr-TR"/>
              </w:rPr>
            </w:pPr>
            <w:r w:rsidRPr="002048A7">
              <w:rPr>
                <w:rFonts w:ascii="Arial" w:eastAsia="Arial" w:hAnsi="Arial"/>
                <w:b/>
                <w:color w:val="000000"/>
                <w:sz w:val="20"/>
              </w:rPr>
              <w:t>Toplam</w:t>
            </w:r>
          </w:p>
        </w:tc>
        <w:tc>
          <w:tcPr>
            <w:tcW w:w="738" w:type="pct"/>
            <w:shd w:val="clear" w:color="auto" w:fill="6E9ECA"/>
            <w:hideMark/>
          </w:tcPr>
          <w:p w14:paraId="570EE4F9" w14:textId="77777777" w:rsidR="007A0D8D" w:rsidRPr="002048A7" w:rsidRDefault="007A0D8D" w:rsidP="007A0D8D">
            <w:pPr>
              <w:spacing w:after="0" w:line="240" w:lineRule="auto"/>
              <w:jc w:val="right"/>
              <w:rPr>
                <w:rFonts w:eastAsia="Times New Roman" w:cstheme="minorHAnsi"/>
                <w:b/>
                <w:bCs/>
                <w:lang w:eastAsia="tr-TR"/>
              </w:rPr>
            </w:pPr>
            <w:r>
              <w:rPr>
                <w:rFonts w:eastAsia="Arial" w:cstheme="minorHAnsi"/>
                <w:b/>
                <w:color w:val="000000"/>
              </w:rPr>
              <w:t>597,634</w:t>
            </w:r>
          </w:p>
        </w:tc>
        <w:tc>
          <w:tcPr>
            <w:tcW w:w="784" w:type="pct"/>
            <w:shd w:val="clear" w:color="auto" w:fill="6E9ECA"/>
            <w:hideMark/>
          </w:tcPr>
          <w:p w14:paraId="7172FB85" w14:textId="77777777" w:rsidR="007A0D8D" w:rsidRPr="002048A7" w:rsidRDefault="007A0D8D" w:rsidP="007A0D8D">
            <w:pPr>
              <w:spacing w:after="0" w:line="240" w:lineRule="auto"/>
              <w:jc w:val="right"/>
              <w:rPr>
                <w:rFonts w:eastAsia="Times New Roman" w:cstheme="minorHAnsi"/>
                <w:b/>
                <w:bCs/>
                <w:lang w:eastAsia="tr-TR"/>
              </w:rPr>
            </w:pPr>
            <w:r>
              <w:rPr>
                <w:rFonts w:eastAsia="Arial" w:cstheme="minorHAnsi"/>
                <w:b/>
                <w:color w:val="000000"/>
              </w:rPr>
              <w:t>7.286,588</w:t>
            </w:r>
          </w:p>
        </w:tc>
        <w:tc>
          <w:tcPr>
            <w:tcW w:w="743" w:type="pct"/>
            <w:shd w:val="clear" w:color="auto" w:fill="6E9ECA"/>
            <w:hideMark/>
          </w:tcPr>
          <w:p w14:paraId="63282011" w14:textId="77777777" w:rsidR="007A0D8D" w:rsidRPr="002048A7" w:rsidRDefault="007A0D8D" w:rsidP="007A0D8D">
            <w:pPr>
              <w:spacing w:after="0" w:line="240" w:lineRule="auto"/>
              <w:jc w:val="right"/>
              <w:rPr>
                <w:rFonts w:eastAsia="Times New Roman" w:cstheme="minorHAnsi"/>
                <w:b/>
                <w:bCs/>
                <w:lang w:eastAsia="tr-TR"/>
              </w:rPr>
            </w:pPr>
            <w:r>
              <w:rPr>
                <w:rFonts w:eastAsia="Arial" w:cstheme="minorHAnsi"/>
                <w:b/>
                <w:color w:val="000000"/>
              </w:rPr>
              <w:t>4.796,856</w:t>
            </w:r>
          </w:p>
        </w:tc>
        <w:tc>
          <w:tcPr>
            <w:tcW w:w="488" w:type="pct"/>
            <w:shd w:val="clear" w:color="auto" w:fill="6E9ECA"/>
            <w:hideMark/>
          </w:tcPr>
          <w:p w14:paraId="156304AB" w14:textId="77777777" w:rsidR="007A0D8D" w:rsidRPr="002048A7" w:rsidRDefault="007A0D8D" w:rsidP="007A0D8D">
            <w:pPr>
              <w:spacing w:after="0" w:line="240" w:lineRule="auto"/>
              <w:jc w:val="right"/>
              <w:rPr>
                <w:rFonts w:eastAsia="Times New Roman" w:cstheme="minorHAnsi"/>
                <w:b/>
                <w:bCs/>
                <w:lang w:eastAsia="tr-TR"/>
              </w:rPr>
            </w:pPr>
            <w:r>
              <w:rPr>
                <w:rFonts w:eastAsia="Arial" w:cstheme="minorHAnsi"/>
                <w:b/>
                <w:color w:val="000000"/>
              </w:rPr>
              <w:t>54,9</w:t>
            </w:r>
          </w:p>
        </w:tc>
        <w:tc>
          <w:tcPr>
            <w:tcW w:w="863" w:type="pct"/>
            <w:shd w:val="clear" w:color="auto" w:fill="6E9ECA"/>
            <w:hideMark/>
          </w:tcPr>
          <w:p w14:paraId="12B6DB75" w14:textId="77777777" w:rsidR="007A0D8D" w:rsidRPr="002048A7" w:rsidRDefault="007A0D8D" w:rsidP="007A0D8D">
            <w:pPr>
              <w:spacing w:after="0" w:line="240" w:lineRule="auto"/>
              <w:jc w:val="right"/>
              <w:rPr>
                <w:rFonts w:eastAsia="Times New Roman" w:cstheme="minorHAnsi"/>
                <w:b/>
                <w:bCs/>
                <w:lang w:eastAsia="tr-TR"/>
              </w:rPr>
            </w:pPr>
            <w:r w:rsidRPr="002048A7">
              <w:rPr>
                <w:rFonts w:eastAsia="Arial" w:cstheme="minorHAnsi"/>
                <w:b/>
                <w:color w:val="000000"/>
              </w:rPr>
              <w:t>3</w:t>
            </w:r>
            <w:r>
              <w:rPr>
                <w:rFonts w:eastAsia="Arial" w:cstheme="minorHAnsi"/>
                <w:b/>
                <w:color w:val="000000"/>
              </w:rPr>
              <w:t>7.772,309</w:t>
            </w:r>
          </w:p>
        </w:tc>
        <w:tc>
          <w:tcPr>
            <w:tcW w:w="495" w:type="pct"/>
            <w:shd w:val="clear" w:color="auto" w:fill="6E9ECA"/>
            <w:hideMark/>
          </w:tcPr>
          <w:p w14:paraId="0C0DC7FC" w14:textId="77777777" w:rsidR="007A0D8D" w:rsidRPr="002048A7" w:rsidRDefault="007A0D8D" w:rsidP="007A0D8D">
            <w:pPr>
              <w:spacing w:after="0" w:line="240" w:lineRule="auto"/>
              <w:jc w:val="right"/>
              <w:rPr>
                <w:rFonts w:eastAsia="Times New Roman" w:cstheme="minorHAnsi"/>
                <w:b/>
                <w:bCs/>
                <w:lang w:eastAsia="tr-TR"/>
              </w:rPr>
            </w:pPr>
            <w:r>
              <w:rPr>
                <w:rFonts w:eastAsia="Arial" w:cstheme="minorHAnsi"/>
                <w:b/>
                <w:color w:val="000000"/>
              </w:rPr>
              <w:t>825</w:t>
            </w:r>
          </w:p>
        </w:tc>
      </w:tr>
      <w:tr w:rsidR="007A0D8D" w:rsidRPr="002048A7" w14:paraId="37F9E48A" w14:textId="77777777" w:rsidTr="007A0D8D">
        <w:trPr>
          <w:trHeight w:val="340"/>
        </w:trPr>
        <w:tc>
          <w:tcPr>
            <w:tcW w:w="362" w:type="pct"/>
            <w:vMerge w:val="restart"/>
            <w:shd w:val="clear" w:color="auto" w:fill="auto"/>
            <w:vAlign w:val="center"/>
            <w:hideMark/>
          </w:tcPr>
          <w:p w14:paraId="18C8AF53" w14:textId="77777777" w:rsidR="007A0D8D" w:rsidRPr="002048A7" w:rsidRDefault="007A0D8D" w:rsidP="007A0D8D">
            <w:pPr>
              <w:spacing w:after="0" w:line="240" w:lineRule="auto"/>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Üretim Lisansı</w:t>
            </w:r>
          </w:p>
        </w:tc>
        <w:tc>
          <w:tcPr>
            <w:tcW w:w="528" w:type="pct"/>
            <w:shd w:val="clear" w:color="auto" w:fill="auto"/>
            <w:hideMark/>
          </w:tcPr>
          <w:p w14:paraId="65FAC264" w14:textId="77777777" w:rsidR="007A0D8D" w:rsidRPr="002048A7" w:rsidRDefault="007A0D8D" w:rsidP="007A0D8D">
            <w:pPr>
              <w:spacing w:after="0" w:line="240" w:lineRule="auto"/>
              <w:rPr>
                <w:rFonts w:ascii="Calibri" w:eastAsia="Times New Roman" w:hAnsi="Calibri" w:cs="Calibri"/>
                <w:b/>
                <w:bCs/>
                <w:color w:val="000000"/>
                <w:lang w:eastAsia="tr-TR"/>
              </w:rPr>
            </w:pPr>
            <w:r w:rsidRPr="002048A7">
              <w:rPr>
                <w:rFonts w:ascii="Arial" w:eastAsia="Arial" w:hAnsi="Arial"/>
                <w:b/>
                <w:color w:val="000000"/>
                <w:sz w:val="20"/>
              </w:rPr>
              <w:t>Biyokütle</w:t>
            </w:r>
          </w:p>
        </w:tc>
        <w:tc>
          <w:tcPr>
            <w:tcW w:w="738" w:type="pct"/>
            <w:tcBorders>
              <w:top w:val="single" w:sz="7" w:space="0" w:color="D3D3D3"/>
              <w:left w:val="single" w:sz="7" w:space="0" w:color="D3D3D3"/>
              <w:bottom w:val="single" w:sz="7" w:space="0" w:color="D3D3D3"/>
              <w:right w:val="single" w:sz="7" w:space="0" w:color="D3D3D3"/>
            </w:tcBorders>
            <w:hideMark/>
          </w:tcPr>
          <w:p w14:paraId="60005BDB" w14:textId="77777777" w:rsidR="007A0D8D" w:rsidRPr="002048A7" w:rsidRDefault="007A0D8D" w:rsidP="007A0D8D">
            <w:pPr>
              <w:spacing w:after="0" w:line="240" w:lineRule="auto"/>
              <w:jc w:val="right"/>
              <w:rPr>
                <w:rFonts w:eastAsia="Times New Roman" w:cstheme="minorHAnsi"/>
                <w:color w:val="000000"/>
                <w:lang w:eastAsia="tr-TR"/>
              </w:rPr>
            </w:pPr>
            <w:r>
              <w:rPr>
                <w:rFonts w:ascii="Arial" w:hAnsi="Arial" w:cs="Arial"/>
                <w:color w:val="000000"/>
                <w:sz w:val="20"/>
                <w:szCs w:val="20"/>
              </w:rPr>
              <w:t>21,541</w:t>
            </w:r>
          </w:p>
        </w:tc>
        <w:tc>
          <w:tcPr>
            <w:tcW w:w="784" w:type="pct"/>
            <w:tcBorders>
              <w:top w:val="single" w:sz="7" w:space="0" w:color="D3D3D3"/>
              <w:left w:val="single" w:sz="7" w:space="0" w:color="D3D3D3"/>
              <w:bottom w:val="single" w:sz="7" w:space="0" w:color="D3D3D3"/>
              <w:right w:val="single" w:sz="7" w:space="0" w:color="D3D3D3"/>
            </w:tcBorders>
            <w:hideMark/>
          </w:tcPr>
          <w:p w14:paraId="08D0BF1F" w14:textId="77777777" w:rsidR="007A0D8D" w:rsidRPr="002048A7" w:rsidRDefault="007A0D8D" w:rsidP="007A0D8D">
            <w:pPr>
              <w:spacing w:after="0" w:line="240" w:lineRule="auto"/>
              <w:jc w:val="right"/>
              <w:rPr>
                <w:rFonts w:eastAsia="Times New Roman" w:cstheme="minorHAnsi"/>
                <w:color w:val="000000"/>
                <w:lang w:eastAsia="tr-TR"/>
              </w:rPr>
            </w:pPr>
            <w:r>
              <w:rPr>
                <w:rFonts w:ascii="Arial" w:hAnsi="Arial" w:cs="Arial"/>
                <w:color w:val="000000"/>
                <w:sz w:val="20"/>
                <w:szCs w:val="20"/>
              </w:rPr>
              <w:t>71,141</w:t>
            </w:r>
          </w:p>
        </w:tc>
        <w:tc>
          <w:tcPr>
            <w:tcW w:w="743" w:type="pct"/>
            <w:tcBorders>
              <w:top w:val="single" w:sz="7" w:space="0" w:color="D3D3D3"/>
              <w:left w:val="single" w:sz="7" w:space="0" w:color="D3D3D3"/>
              <w:bottom w:val="single" w:sz="7" w:space="0" w:color="D3D3D3"/>
              <w:right w:val="single" w:sz="7" w:space="0" w:color="D3D3D3"/>
            </w:tcBorders>
            <w:hideMark/>
          </w:tcPr>
          <w:p w14:paraId="4B40C494" w14:textId="77777777" w:rsidR="007A0D8D" w:rsidRPr="002048A7" w:rsidRDefault="007A0D8D" w:rsidP="007A0D8D">
            <w:pPr>
              <w:spacing w:after="0" w:line="240" w:lineRule="auto"/>
              <w:jc w:val="right"/>
              <w:rPr>
                <w:rFonts w:eastAsia="Times New Roman" w:cstheme="minorHAnsi"/>
                <w:color w:val="000000"/>
                <w:lang w:eastAsia="tr-TR"/>
              </w:rPr>
            </w:pPr>
            <w:r>
              <w:rPr>
                <w:rFonts w:ascii="Arial" w:hAnsi="Arial" w:cs="Arial"/>
                <w:color w:val="000000"/>
                <w:sz w:val="20"/>
                <w:szCs w:val="20"/>
              </w:rPr>
              <w:t>138,656</w:t>
            </w:r>
          </w:p>
        </w:tc>
        <w:tc>
          <w:tcPr>
            <w:tcW w:w="488" w:type="pct"/>
            <w:tcBorders>
              <w:top w:val="single" w:sz="7" w:space="0" w:color="D3D3D3"/>
              <w:left w:val="single" w:sz="7" w:space="0" w:color="D3D3D3"/>
              <w:bottom w:val="single" w:sz="7" w:space="0" w:color="D3D3D3"/>
              <w:right w:val="single" w:sz="7" w:space="0" w:color="D3D3D3"/>
            </w:tcBorders>
            <w:hideMark/>
          </w:tcPr>
          <w:p w14:paraId="0EC24413" w14:textId="77777777" w:rsidR="007A0D8D" w:rsidRPr="002048A7" w:rsidRDefault="007A0D8D" w:rsidP="007A0D8D">
            <w:pPr>
              <w:spacing w:after="0" w:line="240" w:lineRule="auto"/>
              <w:jc w:val="right"/>
              <w:rPr>
                <w:rFonts w:eastAsia="Times New Roman" w:cstheme="minorHAnsi"/>
                <w:color w:val="000000"/>
                <w:lang w:eastAsia="tr-TR"/>
              </w:rPr>
            </w:pPr>
            <w:r>
              <w:rPr>
                <w:rFonts w:ascii="Arial" w:hAnsi="Arial" w:cs="Arial"/>
                <w:color w:val="000000"/>
                <w:sz w:val="20"/>
                <w:szCs w:val="20"/>
              </w:rPr>
              <w:t>21,540</w:t>
            </w:r>
          </w:p>
        </w:tc>
        <w:tc>
          <w:tcPr>
            <w:tcW w:w="863" w:type="pct"/>
            <w:tcBorders>
              <w:top w:val="single" w:sz="7" w:space="0" w:color="D3D3D3"/>
              <w:left w:val="single" w:sz="7" w:space="0" w:color="D3D3D3"/>
              <w:bottom w:val="single" w:sz="7" w:space="0" w:color="D3D3D3"/>
              <w:right w:val="single" w:sz="7" w:space="0" w:color="D3D3D3"/>
            </w:tcBorders>
            <w:hideMark/>
          </w:tcPr>
          <w:p w14:paraId="4DBA4C5E" w14:textId="77777777" w:rsidR="007A0D8D" w:rsidRPr="002048A7" w:rsidRDefault="007A0D8D" w:rsidP="007A0D8D">
            <w:pPr>
              <w:jc w:val="right"/>
              <w:rPr>
                <w:rFonts w:ascii="Tahoma" w:eastAsia="Times New Roman" w:hAnsi="Tahoma" w:cs="Tahoma"/>
                <w:color w:val="000000"/>
                <w:sz w:val="20"/>
                <w:szCs w:val="20"/>
              </w:rPr>
            </w:pPr>
            <w:r>
              <w:rPr>
                <w:rFonts w:ascii="Arial" w:hAnsi="Arial" w:cs="Arial"/>
                <w:color w:val="000000"/>
                <w:sz w:val="20"/>
                <w:szCs w:val="20"/>
              </w:rPr>
              <w:t>2.532,608</w:t>
            </w:r>
          </w:p>
        </w:tc>
        <w:tc>
          <w:tcPr>
            <w:tcW w:w="495" w:type="pct"/>
            <w:tcBorders>
              <w:top w:val="single" w:sz="7" w:space="0" w:color="D3D3D3"/>
              <w:left w:val="single" w:sz="7" w:space="0" w:color="D3D3D3"/>
              <w:bottom w:val="single" w:sz="7" w:space="0" w:color="D3D3D3"/>
              <w:right w:val="single" w:sz="7" w:space="0" w:color="D3D3D3"/>
            </w:tcBorders>
            <w:hideMark/>
          </w:tcPr>
          <w:p w14:paraId="7F108637" w14:textId="77777777" w:rsidR="007A0D8D" w:rsidRPr="002048A7" w:rsidRDefault="007A0D8D" w:rsidP="007A0D8D">
            <w:pPr>
              <w:spacing w:after="0" w:line="240" w:lineRule="auto"/>
              <w:jc w:val="right"/>
              <w:rPr>
                <w:rFonts w:eastAsia="Times New Roman" w:cstheme="minorHAnsi"/>
                <w:color w:val="000000"/>
                <w:lang w:eastAsia="tr-TR"/>
              </w:rPr>
            </w:pPr>
            <w:r>
              <w:rPr>
                <w:rFonts w:ascii="Arial" w:hAnsi="Arial" w:cs="Arial"/>
                <w:color w:val="000000"/>
                <w:sz w:val="20"/>
                <w:szCs w:val="20"/>
              </w:rPr>
              <w:t>342</w:t>
            </w:r>
          </w:p>
        </w:tc>
      </w:tr>
      <w:tr w:rsidR="007A0D8D" w:rsidRPr="002048A7" w14:paraId="3ED73FD6" w14:textId="77777777" w:rsidTr="007A0D8D">
        <w:trPr>
          <w:trHeight w:val="340"/>
        </w:trPr>
        <w:tc>
          <w:tcPr>
            <w:tcW w:w="362" w:type="pct"/>
            <w:vMerge/>
            <w:shd w:val="clear" w:color="auto" w:fill="auto"/>
            <w:vAlign w:val="center"/>
          </w:tcPr>
          <w:p w14:paraId="08C16604" w14:textId="77777777" w:rsidR="007A0D8D" w:rsidRPr="002048A7" w:rsidRDefault="007A0D8D" w:rsidP="007A0D8D">
            <w:pPr>
              <w:spacing w:after="0" w:line="240" w:lineRule="auto"/>
              <w:rPr>
                <w:rFonts w:ascii="Calibri" w:eastAsia="Times New Roman" w:hAnsi="Calibri" w:cs="Calibri"/>
                <w:b/>
                <w:bCs/>
                <w:color w:val="000000"/>
                <w:lang w:eastAsia="tr-TR"/>
              </w:rPr>
            </w:pPr>
          </w:p>
        </w:tc>
        <w:tc>
          <w:tcPr>
            <w:tcW w:w="528" w:type="pct"/>
            <w:shd w:val="clear" w:color="auto" w:fill="auto"/>
          </w:tcPr>
          <w:p w14:paraId="7E735FCC" w14:textId="77777777" w:rsidR="007A0D8D" w:rsidRPr="002048A7" w:rsidRDefault="007A0D8D" w:rsidP="007A0D8D">
            <w:pPr>
              <w:spacing w:after="0" w:line="240" w:lineRule="auto"/>
              <w:rPr>
                <w:rFonts w:ascii="Calibri" w:eastAsia="Times New Roman" w:hAnsi="Calibri" w:cs="Calibri"/>
                <w:b/>
                <w:bCs/>
                <w:color w:val="000000"/>
                <w:lang w:eastAsia="tr-TR"/>
              </w:rPr>
            </w:pPr>
            <w:r w:rsidRPr="002048A7">
              <w:rPr>
                <w:rFonts w:ascii="Arial" w:eastAsia="Arial" w:hAnsi="Arial"/>
                <w:b/>
                <w:color w:val="000000"/>
                <w:sz w:val="20"/>
              </w:rPr>
              <w:t>Dalga</w:t>
            </w:r>
          </w:p>
        </w:tc>
        <w:tc>
          <w:tcPr>
            <w:tcW w:w="738" w:type="pct"/>
            <w:tcBorders>
              <w:top w:val="single" w:sz="7" w:space="0" w:color="D3D3D3"/>
              <w:left w:val="single" w:sz="7" w:space="0" w:color="D3D3D3"/>
              <w:bottom w:val="single" w:sz="7" w:space="0" w:color="D3D3D3"/>
              <w:right w:val="single" w:sz="7" w:space="0" w:color="D3D3D3"/>
            </w:tcBorders>
          </w:tcPr>
          <w:p w14:paraId="2B2F05BA" w14:textId="77777777" w:rsidR="007A0D8D" w:rsidRPr="002048A7" w:rsidRDefault="007A0D8D" w:rsidP="007A0D8D">
            <w:pPr>
              <w:spacing w:after="0" w:line="240" w:lineRule="auto"/>
              <w:jc w:val="right"/>
              <w:rPr>
                <w:rFonts w:eastAsia="Arial" w:cstheme="minorHAnsi"/>
                <w:color w:val="000000"/>
              </w:rPr>
            </w:pPr>
            <w:r w:rsidRPr="002048A7">
              <w:rPr>
                <w:rFonts w:ascii="Arial" w:eastAsia="Arial" w:hAnsi="Arial"/>
                <w:color w:val="000000"/>
                <w:sz w:val="20"/>
              </w:rPr>
              <w:t>0,000</w:t>
            </w:r>
          </w:p>
        </w:tc>
        <w:tc>
          <w:tcPr>
            <w:tcW w:w="784" w:type="pct"/>
            <w:tcBorders>
              <w:top w:val="single" w:sz="7" w:space="0" w:color="D3D3D3"/>
              <w:left w:val="single" w:sz="7" w:space="0" w:color="D3D3D3"/>
              <w:bottom w:val="single" w:sz="7" w:space="0" w:color="D3D3D3"/>
              <w:right w:val="single" w:sz="7" w:space="0" w:color="D3D3D3"/>
            </w:tcBorders>
          </w:tcPr>
          <w:p w14:paraId="45FB8AB6" w14:textId="77777777" w:rsidR="007A0D8D" w:rsidRPr="002048A7" w:rsidRDefault="007A0D8D" w:rsidP="007A0D8D">
            <w:pPr>
              <w:spacing w:after="0" w:line="240" w:lineRule="auto"/>
              <w:jc w:val="right"/>
              <w:rPr>
                <w:rFonts w:eastAsia="Arial" w:cstheme="minorHAnsi"/>
                <w:color w:val="000000"/>
              </w:rPr>
            </w:pPr>
            <w:r w:rsidRPr="002048A7">
              <w:rPr>
                <w:rFonts w:ascii="Arial" w:eastAsia="Arial" w:hAnsi="Arial"/>
                <w:color w:val="000000"/>
                <w:sz w:val="20"/>
              </w:rPr>
              <w:t>0,000</w:t>
            </w:r>
          </w:p>
        </w:tc>
        <w:tc>
          <w:tcPr>
            <w:tcW w:w="743" w:type="pct"/>
            <w:tcBorders>
              <w:top w:val="single" w:sz="7" w:space="0" w:color="D3D3D3"/>
              <w:left w:val="single" w:sz="7" w:space="0" w:color="D3D3D3"/>
              <w:bottom w:val="single" w:sz="7" w:space="0" w:color="D3D3D3"/>
              <w:right w:val="single" w:sz="7" w:space="0" w:color="D3D3D3"/>
            </w:tcBorders>
          </w:tcPr>
          <w:p w14:paraId="5E052F4C" w14:textId="77777777" w:rsidR="007A0D8D" w:rsidRPr="002048A7" w:rsidRDefault="007A0D8D" w:rsidP="007A0D8D">
            <w:pPr>
              <w:spacing w:after="0" w:line="240" w:lineRule="auto"/>
              <w:jc w:val="right"/>
              <w:rPr>
                <w:rFonts w:eastAsia="Arial" w:cstheme="minorHAnsi"/>
                <w:color w:val="000000"/>
              </w:rPr>
            </w:pPr>
            <w:r w:rsidRPr="002048A7">
              <w:rPr>
                <w:rFonts w:ascii="Arial" w:eastAsia="Arial" w:hAnsi="Arial"/>
                <w:color w:val="000000"/>
                <w:sz w:val="20"/>
              </w:rPr>
              <w:t>0,000</w:t>
            </w:r>
          </w:p>
        </w:tc>
        <w:tc>
          <w:tcPr>
            <w:tcW w:w="488" w:type="pct"/>
            <w:tcBorders>
              <w:top w:val="single" w:sz="7" w:space="0" w:color="D3D3D3"/>
              <w:left w:val="single" w:sz="7" w:space="0" w:color="D3D3D3"/>
              <w:bottom w:val="single" w:sz="7" w:space="0" w:color="D3D3D3"/>
              <w:right w:val="single" w:sz="7" w:space="0" w:color="D3D3D3"/>
            </w:tcBorders>
          </w:tcPr>
          <w:p w14:paraId="07F465E2" w14:textId="77777777" w:rsidR="007A0D8D" w:rsidRPr="002048A7" w:rsidRDefault="007A0D8D" w:rsidP="007A0D8D">
            <w:pPr>
              <w:spacing w:after="0" w:line="240" w:lineRule="auto"/>
              <w:jc w:val="right"/>
              <w:rPr>
                <w:rFonts w:cstheme="minorHAnsi"/>
                <w:color w:val="000000"/>
              </w:rPr>
            </w:pPr>
            <w:r w:rsidRPr="002048A7">
              <w:rPr>
                <w:rFonts w:ascii="Arial" w:eastAsia="Arial" w:hAnsi="Arial"/>
                <w:color w:val="000000"/>
                <w:sz w:val="20"/>
              </w:rPr>
              <w:t>0,000</w:t>
            </w:r>
          </w:p>
        </w:tc>
        <w:tc>
          <w:tcPr>
            <w:tcW w:w="863" w:type="pct"/>
            <w:tcBorders>
              <w:top w:val="single" w:sz="7" w:space="0" w:color="D3D3D3"/>
              <w:left w:val="single" w:sz="7" w:space="0" w:color="D3D3D3"/>
              <w:bottom w:val="single" w:sz="7" w:space="0" w:color="D3D3D3"/>
              <w:right w:val="single" w:sz="7" w:space="0" w:color="D3D3D3"/>
            </w:tcBorders>
          </w:tcPr>
          <w:p w14:paraId="45F53876" w14:textId="77777777" w:rsidR="007A0D8D" w:rsidRPr="002048A7" w:rsidRDefault="007A0D8D" w:rsidP="007A0D8D">
            <w:pPr>
              <w:spacing w:after="0" w:line="240" w:lineRule="auto"/>
              <w:jc w:val="right"/>
              <w:rPr>
                <w:rFonts w:eastAsia="Arial" w:cstheme="minorHAnsi"/>
                <w:color w:val="000000"/>
              </w:rPr>
            </w:pPr>
            <w:r w:rsidRPr="002048A7">
              <w:rPr>
                <w:rFonts w:ascii="Arial" w:eastAsia="Arial" w:hAnsi="Arial"/>
                <w:color w:val="000000"/>
                <w:sz w:val="20"/>
              </w:rPr>
              <w:t>0,000</w:t>
            </w:r>
          </w:p>
        </w:tc>
        <w:tc>
          <w:tcPr>
            <w:tcW w:w="495" w:type="pct"/>
            <w:tcBorders>
              <w:top w:val="single" w:sz="7" w:space="0" w:color="D3D3D3"/>
              <w:left w:val="single" w:sz="7" w:space="0" w:color="D3D3D3"/>
              <w:bottom w:val="single" w:sz="7" w:space="0" w:color="D3D3D3"/>
              <w:right w:val="single" w:sz="7" w:space="0" w:color="D3D3D3"/>
            </w:tcBorders>
          </w:tcPr>
          <w:p w14:paraId="6B83EAE5" w14:textId="77777777" w:rsidR="007A0D8D" w:rsidRPr="002048A7" w:rsidRDefault="007A0D8D" w:rsidP="007A0D8D">
            <w:pPr>
              <w:spacing w:after="0" w:line="240" w:lineRule="auto"/>
              <w:jc w:val="right"/>
              <w:rPr>
                <w:rFonts w:eastAsia="Arial" w:cstheme="minorHAnsi"/>
                <w:color w:val="000000"/>
              </w:rPr>
            </w:pPr>
            <w:r w:rsidRPr="002048A7">
              <w:rPr>
                <w:rFonts w:ascii="Arial" w:eastAsia="Arial" w:hAnsi="Arial"/>
                <w:color w:val="000000"/>
                <w:sz w:val="20"/>
              </w:rPr>
              <w:t>0</w:t>
            </w:r>
          </w:p>
        </w:tc>
      </w:tr>
      <w:tr w:rsidR="007A0D8D" w:rsidRPr="002048A7" w14:paraId="79CBA8B5" w14:textId="77777777" w:rsidTr="007A0D8D">
        <w:trPr>
          <w:trHeight w:val="340"/>
        </w:trPr>
        <w:tc>
          <w:tcPr>
            <w:tcW w:w="362" w:type="pct"/>
            <w:vMerge/>
            <w:vAlign w:val="center"/>
            <w:hideMark/>
          </w:tcPr>
          <w:p w14:paraId="62B8DD44" w14:textId="77777777" w:rsidR="007A0D8D" w:rsidRPr="002048A7" w:rsidRDefault="007A0D8D" w:rsidP="007A0D8D">
            <w:pPr>
              <w:spacing w:after="0" w:line="240" w:lineRule="auto"/>
              <w:jc w:val="left"/>
              <w:rPr>
                <w:rFonts w:ascii="Calibri" w:eastAsia="Times New Roman" w:hAnsi="Calibri" w:cs="Calibri"/>
                <w:b/>
                <w:bCs/>
                <w:color w:val="000000"/>
                <w:lang w:eastAsia="tr-TR"/>
              </w:rPr>
            </w:pPr>
          </w:p>
        </w:tc>
        <w:tc>
          <w:tcPr>
            <w:tcW w:w="528" w:type="pct"/>
            <w:shd w:val="clear" w:color="auto" w:fill="auto"/>
            <w:hideMark/>
          </w:tcPr>
          <w:p w14:paraId="690D6273" w14:textId="77777777" w:rsidR="007A0D8D" w:rsidRPr="002048A7" w:rsidRDefault="007A0D8D" w:rsidP="007A0D8D">
            <w:pPr>
              <w:spacing w:after="0" w:line="240" w:lineRule="auto"/>
              <w:rPr>
                <w:rFonts w:ascii="Calibri" w:eastAsia="Times New Roman" w:hAnsi="Calibri" w:cs="Calibri"/>
                <w:b/>
                <w:bCs/>
                <w:color w:val="000000"/>
                <w:lang w:eastAsia="tr-TR"/>
              </w:rPr>
            </w:pPr>
            <w:r w:rsidRPr="002048A7">
              <w:rPr>
                <w:rFonts w:ascii="Arial" w:eastAsia="Arial" w:hAnsi="Arial"/>
                <w:b/>
                <w:color w:val="000000"/>
                <w:sz w:val="20"/>
              </w:rPr>
              <w:t>Diğer</w:t>
            </w:r>
          </w:p>
        </w:tc>
        <w:tc>
          <w:tcPr>
            <w:tcW w:w="738" w:type="pct"/>
            <w:tcBorders>
              <w:top w:val="single" w:sz="7" w:space="0" w:color="D3D3D3"/>
              <w:left w:val="single" w:sz="7" w:space="0" w:color="D3D3D3"/>
              <w:bottom w:val="single" w:sz="7" w:space="0" w:color="D3D3D3"/>
              <w:right w:val="single" w:sz="7" w:space="0" w:color="D3D3D3"/>
            </w:tcBorders>
            <w:hideMark/>
          </w:tcPr>
          <w:p w14:paraId="4186D36F"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784" w:type="pct"/>
            <w:tcBorders>
              <w:top w:val="single" w:sz="7" w:space="0" w:color="D3D3D3"/>
              <w:left w:val="single" w:sz="7" w:space="0" w:color="D3D3D3"/>
              <w:bottom w:val="single" w:sz="7" w:space="0" w:color="D3D3D3"/>
              <w:right w:val="single" w:sz="7" w:space="0" w:color="D3D3D3"/>
            </w:tcBorders>
            <w:hideMark/>
          </w:tcPr>
          <w:p w14:paraId="6C6A1440"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743" w:type="pct"/>
            <w:tcBorders>
              <w:top w:val="single" w:sz="7" w:space="0" w:color="D3D3D3"/>
              <w:left w:val="single" w:sz="7" w:space="0" w:color="D3D3D3"/>
              <w:bottom w:val="single" w:sz="7" w:space="0" w:color="D3D3D3"/>
              <w:right w:val="single" w:sz="7" w:space="0" w:color="D3D3D3"/>
            </w:tcBorders>
            <w:hideMark/>
          </w:tcPr>
          <w:p w14:paraId="3C97CDAB"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488" w:type="pct"/>
            <w:tcBorders>
              <w:top w:val="single" w:sz="7" w:space="0" w:color="D3D3D3"/>
              <w:left w:val="single" w:sz="7" w:space="0" w:color="D3D3D3"/>
              <w:bottom w:val="single" w:sz="7" w:space="0" w:color="D3D3D3"/>
              <w:right w:val="single" w:sz="7" w:space="0" w:color="D3D3D3"/>
            </w:tcBorders>
            <w:hideMark/>
          </w:tcPr>
          <w:p w14:paraId="26B9DAAF"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863" w:type="pct"/>
            <w:tcBorders>
              <w:top w:val="single" w:sz="7" w:space="0" w:color="D3D3D3"/>
              <w:left w:val="single" w:sz="7" w:space="0" w:color="D3D3D3"/>
              <w:bottom w:val="single" w:sz="7" w:space="0" w:color="D3D3D3"/>
              <w:right w:val="single" w:sz="7" w:space="0" w:color="D3D3D3"/>
            </w:tcBorders>
            <w:hideMark/>
          </w:tcPr>
          <w:p w14:paraId="430742F1" w14:textId="77777777" w:rsidR="007A0D8D" w:rsidRPr="002048A7" w:rsidRDefault="007A0D8D" w:rsidP="007A0D8D">
            <w:pPr>
              <w:spacing w:after="0" w:line="240" w:lineRule="auto"/>
              <w:jc w:val="right"/>
              <w:rPr>
                <w:rFonts w:eastAsia="Times New Roman" w:cstheme="minorHAnsi"/>
                <w:color w:val="000000"/>
                <w:lang w:eastAsia="tr-TR"/>
              </w:rPr>
            </w:pPr>
            <w:r>
              <w:rPr>
                <w:rFonts w:ascii="Arial" w:hAnsi="Arial" w:cs="Arial"/>
                <w:color w:val="000000"/>
                <w:sz w:val="20"/>
                <w:szCs w:val="20"/>
              </w:rPr>
              <w:t>66,390</w:t>
            </w:r>
          </w:p>
        </w:tc>
        <w:tc>
          <w:tcPr>
            <w:tcW w:w="495" w:type="pct"/>
            <w:tcBorders>
              <w:top w:val="single" w:sz="7" w:space="0" w:color="D3D3D3"/>
              <w:left w:val="single" w:sz="7" w:space="0" w:color="D3D3D3"/>
              <w:bottom w:val="single" w:sz="7" w:space="0" w:color="D3D3D3"/>
              <w:right w:val="single" w:sz="7" w:space="0" w:color="D3D3D3"/>
            </w:tcBorders>
            <w:hideMark/>
          </w:tcPr>
          <w:p w14:paraId="089FE973" w14:textId="77777777" w:rsidR="007A0D8D" w:rsidRPr="002048A7" w:rsidRDefault="007A0D8D" w:rsidP="007A0D8D">
            <w:pPr>
              <w:spacing w:after="0" w:line="240" w:lineRule="auto"/>
              <w:jc w:val="right"/>
              <w:rPr>
                <w:rFonts w:eastAsia="Times New Roman" w:cstheme="minorHAnsi"/>
                <w:color w:val="000000"/>
                <w:lang w:eastAsia="tr-TR"/>
              </w:rPr>
            </w:pPr>
            <w:r>
              <w:rPr>
                <w:rFonts w:ascii="Arial" w:hAnsi="Arial" w:cs="Arial"/>
                <w:color w:val="000000"/>
                <w:sz w:val="20"/>
                <w:szCs w:val="20"/>
              </w:rPr>
              <w:t>8</w:t>
            </w:r>
          </w:p>
        </w:tc>
      </w:tr>
      <w:tr w:rsidR="007A0D8D" w:rsidRPr="002048A7" w14:paraId="178C0B21" w14:textId="77777777" w:rsidTr="007A0D8D">
        <w:trPr>
          <w:trHeight w:val="340"/>
        </w:trPr>
        <w:tc>
          <w:tcPr>
            <w:tcW w:w="362" w:type="pct"/>
            <w:vMerge/>
            <w:vAlign w:val="center"/>
            <w:hideMark/>
          </w:tcPr>
          <w:p w14:paraId="15140FFB" w14:textId="77777777" w:rsidR="007A0D8D" w:rsidRPr="002048A7" w:rsidRDefault="007A0D8D" w:rsidP="007A0D8D">
            <w:pPr>
              <w:spacing w:after="0" w:line="240" w:lineRule="auto"/>
              <w:jc w:val="left"/>
              <w:rPr>
                <w:rFonts w:ascii="Calibri" w:eastAsia="Times New Roman" w:hAnsi="Calibri" w:cs="Calibri"/>
                <w:b/>
                <w:bCs/>
                <w:color w:val="000000"/>
                <w:lang w:eastAsia="tr-TR"/>
              </w:rPr>
            </w:pPr>
          </w:p>
        </w:tc>
        <w:tc>
          <w:tcPr>
            <w:tcW w:w="528" w:type="pct"/>
            <w:shd w:val="clear" w:color="auto" w:fill="auto"/>
            <w:hideMark/>
          </w:tcPr>
          <w:p w14:paraId="3DB5DD23" w14:textId="77777777" w:rsidR="007A0D8D" w:rsidRPr="002048A7" w:rsidRDefault="007A0D8D" w:rsidP="007A0D8D">
            <w:pPr>
              <w:spacing w:after="0" w:line="240" w:lineRule="auto"/>
              <w:rPr>
                <w:rFonts w:ascii="Calibri" w:eastAsia="Times New Roman" w:hAnsi="Calibri" w:cs="Calibri"/>
                <w:b/>
                <w:bCs/>
                <w:color w:val="000000"/>
                <w:lang w:eastAsia="tr-TR"/>
              </w:rPr>
            </w:pPr>
            <w:r w:rsidRPr="002048A7">
              <w:rPr>
                <w:rFonts w:ascii="Arial" w:eastAsia="Arial" w:hAnsi="Arial"/>
                <w:b/>
                <w:color w:val="000000"/>
                <w:sz w:val="20"/>
              </w:rPr>
              <w:t>Doğal Gaz</w:t>
            </w:r>
          </w:p>
        </w:tc>
        <w:tc>
          <w:tcPr>
            <w:tcW w:w="738" w:type="pct"/>
            <w:tcBorders>
              <w:top w:val="single" w:sz="7" w:space="0" w:color="D3D3D3"/>
              <w:left w:val="single" w:sz="7" w:space="0" w:color="D3D3D3"/>
              <w:bottom w:val="single" w:sz="7" w:space="0" w:color="D3D3D3"/>
              <w:right w:val="single" w:sz="7" w:space="0" w:color="D3D3D3"/>
            </w:tcBorders>
            <w:hideMark/>
          </w:tcPr>
          <w:p w14:paraId="04F15019" w14:textId="77777777" w:rsidR="007A0D8D" w:rsidRPr="002048A7" w:rsidRDefault="007A0D8D" w:rsidP="007A0D8D">
            <w:pPr>
              <w:spacing w:after="0" w:line="240" w:lineRule="auto"/>
              <w:jc w:val="right"/>
              <w:rPr>
                <w:rFonts w:eastAsia="Times New Roman" w:cstheme="minorHAnsi"/>
                <w:color w:val="000000"/>
                <w:lang w:eastAsia="tr-TR"/>
              </w:rPr>
            </w:pPr>
            <w:r>
              <w:rPr>
                <w:rFonts w:ascii="Arial" w:hAnsi="Arial" w:cs="Arial"/>
                <w:color w:val="000000"/>
                <w:sz w:val="20"/>
                <w:szCs w:val="20"/>
              </w:rPr>
              <w:t>18,535</w:t>
            </w:r>
          </w:p>
        </w:tc>
        <w:tc>
          <w:tcPr>
            <w:tcW w:w="784" w:type="pct"/>
            <w:tcBorders>
              <w:top w:val="single" w:sz="7" w:space="0" w:color="D3D3D3"/>
              <w:left w:val="single" w:sz="7" w:space="0" w:color="D3D3D3"/>
              <w:bottom w:val="single" w:sz="7" w:space="0" w:color="D3D3D3"/>
              <w:right w:val="single" w:sz="7" w:space="0" w:color="D3D3D3"/>
            </w:tcBorders>
            <w:hideMark/>
          </w:tcPr>
          <w:p w14:paraId="389A9464" w14:textId="77777777" w:rsidR="007A0D8D" w:rsidRPr="002048A7" w:rsidRDefault="007A0D8D" w:rsidP="007A0D8D">
            <w:pPr>
              <w:spacing w:after="0" w:line="240" w:lineRule="auto"/>
              <w:jc w:val="right"/>
              <w:rPr>
                <w:rFonts w:eastAsia="Times New Roman" w:cstheme="minorHAnsi"/>
                <w:color w:val="000000"/>
                <w:lang w:eastAsia="tr-TR"/>
              </w:rPr>
            </w:pPr>
            <w:r>
              <w:rPr>
                <w:rFonts w:ascii="Arial" w:hAnsi="Arial" w:cs="Arial"/>
                <w:color w:val="000000"/>
                <w:sz w:val="20"/>
                <w:szCs w:val="20"/>
              </w:rPr>
              <w:t>37,995</w:t>
            </w:r>
          </w:p>
        </w:tc>
        <w:tc>
          <w:tcPr>
            <w:tcW w:w="743" w:type="pct"/>
            <w:tcBorders>
              <w:top w:val="single" w:sz="7" w:space="0" w:color="D3D3D3"/>
              <w:left w:val="single" w:sz="7" w:space="0" w:color="D3D3D3"/>
              <w:bottom w:val="single" w:sz="7" w:space="0" w:color="D3D3D3"/>
              <w:right w:val="single" w:sz="7" w:space="0" w:color="D3D3D3"/>
            </w:tcBorders>
            <w:hideMark/>
          </w:tcPr>
          <w:p w14:paraId="1D3B9AD8" w14:textId="77777777" w:rsidR="007A0D8D" w:rsidRPr="002048A7" w:rsidRDefault="007A0D8D" w:rsidP="007A0D8D">
            <w:pPr>
              <w:spacing w:after="0" w:line="240" w:lineRule="auto"/>
              <w:jc w:val="right"/>
              <w:rPr>
                <w:rFonts w:eastAsia="Times New Roman" w:cstheme="minorHAnsi"/>
                <w:color w:val="000000"/>
                <w:lang w:eastAsia="tr-TR"/>
              </w:rPr>
            </w:pPr>
            <w:r>
              <w:rPr>
                <w:rFonts w:ascii="Arial" w:hAnsi="Arial" w:cs="Arial"/>
                <w:color w:val="000000"/>
                <w:sz w:val="20"/>
                <w:szCs w:val="20"/>
              </w:rPr>
              <w:t>735,222</w:t>
            </w:r>
          </w:p>
        </w:tc>
        <w:tc>
          <w:tcPr>
            <w:tcW w:w="488" w:type="pct"/>
            <w:tcBorders>
              <w:top w:val="single" w:sz="7" w:space="0" w:color="D3D3D3"/>
              <w:left w:val="single" w:sz="7" w:space="0" w:color="D3D3D3"/>
              <w:bottom w:val="single" w:sz="7" w:space="0" w:color="D3D3D3"/>
              <w:right w:val="single" w:sz="7" w:space="0" w:color="D3D3D3"/>
            </w:tcBorders>
            <w:hideMark/>
          </w:tcPr>
          <w:p w14:paraId="12B01422"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863" w:type="pct"/>
            <w:tcBorders>
              <w:top w:val="single" w:sz="7" w:space="0" w:color="D3D3D3"/>
              <w:left w:val="single" w:sz="7" w:space="0" w:color="D3D3D3"/>
              <w:bottom w:val="single" w:sz="7" w:space="0" w:color="D3D3D3"/>
              <w:right w:val="single" w:sz="7" w:space="0" w:color="D3D3D3"/>
            </w:tcBorders>
            <w:hideMark/>
          </w:tcPr>
          <w:p w14:paraId="080110A8" w14:textId="77777777" w:rsidR="007A0D8D" w:rsidRPr="002048A7" w:rsidRDefault="007A0D8D" w:rsidP="007A0D8D">
            <w:pPr>
              <w:spacing w:after="0" w:line="240" w:lineRule="auto"/>
              <w:jc w:val="right"/>
              <w:rPr>
                <w:rFonts w:eastAsia="Times New Roman" w:cstheme="minorHAnsi"/>
                <w:color w:val="000000"/>
                <w:lang w:eastAsia="tr-TR"/>
              </w:rPr>
            </w:pPr>
            <w:r>
              <w:rPr>
                <w:rFonts w:ascii="Arial" w:hAnsi="Arial" w:cs="Arial"/>
                <w:color w:val="000000"/>
                <w:sz w:val="20"/>
                <w:szCs w:val="20"/>
              </w:rPr>
              <w:t>25.047,446</w:t>
            </w:r>
          </w:p>
        </w:tc>
        <w:tc>
          <w:tcPr>
            <w:tcW w:w="495" w:type="pct"/>
            <w:tcBorders>
              <w:top w:val="single" w:sz="7" w:space="0" w:color="D3D3D3"/>
              <w:left w:val="single" w:sz="7" w:space="0" w:color="D3D3D3"/>
              <w:bottom w:val="single" w:sz="7" w:space="0" w:color="D3D3D3"/>
              <w:right w:val="single" w:sz="7" w:space="0" w:color="D3D3D3"/>
            </w:tcBorders>
            <w:hideMark/>
          </w:tcPr>
          <w:p w14:paraId="2BE8A844" w14:textId="77777777" w:rsidR="007A0D8D" w:rsidRPr="002048A7" w:rsidRDefault="007A0D8D" w:rsidP="007A0D8D">
            <w:pPr>
              <w:spacing w:after="0" w:line="240" w:lineRule="auto"/>
              <w:jc w:val="right"/>
              <w:rPr>
                <w:rFonts w:eastAsia="Times New Roman" w:cstheme="minorHAnsi"/>
                <w:color w:val="000000"/>
                <w:lang w:eastAsia="tr-TR"/>
              </w:rPr>
            </w:pPr>
            <w:r>
              <w:rPr>
                <w:rFonts w:ascii="Arial" w:hAnsi="Arial" w:cs="Arial"/>
                <w:color w:val="000000"/>
                <w:sz w:val="20"/>
                <w:szCs w:val="20"/>
              </w:rPr>
              <w:t>240</w:t>
            </w:r>
          </w:p>
        </w:tc>
      </w:tr>
      <w:tr w:rsidR="007A0D8D" w:rsidRPr="002048A7" w14:paraId="17E857CB" w14:textId="77777777" w:rsidTr="007A0D8D">
        <w:trPr>
          <w:trHeight w:val="340"/>
        </w:trPr>
        <w:tc>
          <w:tcPr>
            <w:tcW w:w="362" w:type="pct"/>
            <w:vMerge/>
            <w:vAlign w:val="center"/>
          </w:tcPr>
          <w:p w14:paraId="72939CF8" w14:textId="77777777" w:rsidR="007A0D8D" w:rsidRPr="002048A7" w:rsidRDefault="007A0D8D" w:rsidP="007A0D8D">
            <w:pPr>
              <w:spacing w:after="0" w:line="240" w:lineRule="auto"/>
              <w:jc w:val="left"/>
              <w:rPr>
                <w:rFonts w:ascii="Calibri" w:eastAsia="Times New Roman" w:hAnsi="Calibri" w:cs="Calibri"/>
                <w:b/>
                <w:bCs/>
                <w:color w:val="000000"/>
                <w:lang w:eastAsia="tr-TR"/>
              </w:rPr>
            </w:pPr>
          </w:p>
        </w:tc>
        <w:tc>
          <w:tcPr>
            <w:tcW w:w="528" w:type="pct"/>
            <w:shd w:val="clear" w:color="auto" w:fill="auto"/>
          </w:tcPr>
          <w:p w14:paraId="23F9C7D6" w14:textId="77777777" w:rsidR="007A0D8D" w:rsidRPr="002048A7" w:rsidRDefault="007A0D8D" w:rsidP="007A0D8D">
            <w:pPr>
              <w:spacing w:after="0" w:line="240" w:lineRule="auto"/>
              <w:rPr>
                <w:rFonts w:ascii="Arial" w:eastAsia="Arial" w:hAnsi="Arial"/>
                <w:b/>
                <w:color w:val="000000"/>
                <w:sz w:val="20"/>
              </w:rPr>
            </w:pPr>
            <w:r w:rsidRPr="002048A7">
              <w:rPr>
                <w:rFonts w:ascii="Arial" w:hAnsi="Arial" w:cs="Arial"/>
                <w:b/>
                <w:bCs/>
                <w:color w:val="000000"/>
                <w:sz w:val="20"/>
                <w:szCs w:val="20"/>
              </w:rPr>
              <w:t>Endüstriyel Atık</w:t>
            </w:r>
          </w:p>
        </w:tc>
        <w:tc>
          <w:tcPr>
            <w:tcW w:w="738" w:type="pct"/>
            <w:tcBorders>
              <w:top w:val="single" w:sz="7" w:space="0" w:color="D3D3D3"/>
              <w:left w:val="single" w:sz="7" w:space="0" w:color="D3D3D3"/>
              <w:bottom w:val="single" w:sz="7" w:space="0" w:color="D3D3D3"/>
              <w:right w:val="single" w:sz="7" w:space="0" w:color="D3D3D3"/>
            </w:tcBorders>
          </w:tcPr>
          <w:p w14:paraId="40742C64" w14:textId="77777777" w:rsidR="007A0D8D" w:rsidRPr="002048A7" w:rsidRDefault="007A0D8D" w:rsidP="007A0D8D">
            <w:pPr>
              <w:spacing w:after="0" w:line="240" w:lineRule="auto"/>
              <w:jc w:val="right"/>
              <w:rPr>
                <w:rFonts w:ascii="Arial" w:eastAsia="Arial" w:hAnsi="Arial"/>
                <w:color w:val="000000"/>
                <w:sz w:val="20"/>
              </w:rPr>
            </w:pPr>
            <w:r>
              <w:rPr>
                <w:rFonts w:ascii="Arial" w:hAnsi="Arial" w:cs="Arial"/>
                <w:color w:val="000000"/>
                <w:sz w:val="20"/>
                <w:szCs w:val="20"/>
              </w:rPr>
              <w:t>0,000</w:t>
            </w:r>
          </w:p>
        </w:tc>
        <w:tc>
          <w:tcPr>
            <w:tcW w:w="784" w:type="pct"/>
            <w:tcBorders>
              <w:top w:val="single" w:sz="7" w:space="0" w:color="D3D3D3"/>
              <w:left w:val="single" w:sz="7" w:space="0" w:color="D3D3D3"/>
              <w:bottom w:val="single" w:sz="7" w:space="0" w:color="D3D3D3"/>
              <w:right w:val="single" w:sz="7" w:space="0" w:color="D3D3D3"/>
            </w:tcBorders>
          </w:tcPr>
          <w:p w14:paraId="43D7D564" w14:textId="77777777" w:rsidR="007A0D8D" w:rsidRPr="002048A7" w:rsidRDefault="007A0D8D" w:rsidP="007A0D8D">
            <w:pPr>
              <w:spacing w:after="0" w:line="240" w:lineRule="auto"/>
              <w:jc w:val="right"/>
              <w:rPr>
                <w:rFonts w:ascii="Arial" w:eastAsia="Arial" w:hAnsi="Arial"/>
                <w:color w:val="000000"/>
                <w:sz w:val="20"/>
              </w:rPr>
            </w:pPr>
            <w:r>
              <w:rPr>
                <w:rFonts w:ascii="Arial" w:hAnsi="Arial" w:cs="Arial"/>
                <w:color w:val="000000"/>
                <w:sz w:val="20"/>
                <w:szCs w:val="20"/>
              </w:rPr>
              <w:t>5,680</w:t>
            </w:r>
          </w:p>
        </w:tc>
        <w:tc>
          <w:tcPr>
            <w:tcW w:w="743" w:type="pct"/>
            <w:tcBorders>
              <w:top w:val="single" w:sz="7" w:space="0" w:color="D3D3D3"/>
              <w:left w:val="single" w:sz="7" w:space="0" w:color="D3D3D3"/>
              <w:bottom w:val="single" w:sz="7" w:space="0" w:color="D3D3D3"/>
              <w:right w:val="single" w:sz="7" w:space="0" w:color="D3D3D3"/>
            </w:tcBorders>
          </w:tcPr>
          <w:p w14:paraId="4A2227BB" w14:textId="77777777" w:rsidR="007A0D8D" w:rsidRPr="002048A7" w:rsidRDefault="007A0D8D" w:rsidP="007A0D8D">
            <w:pPr>
              <w:spacing w:after="0" w:line="240" w:lineRule="auto"/>
              <w:jc w:val="right"/>
              <w:rPr>
                <w:rFonts w:ascii="Arial" w:eastAsia="Arial" w:hAnsi="Arial"/>
                <w:color w:val="000000"/>
                <w:sz w:val="20"/>
              </w:rPr>
            </w:pPr>
            <w:r w:rsidRPr="002048A7">
              <w:rPr>
                <w:rFonts w:ascii="Arial" w:hAnsi="Arial" w:cs="Arial"/>
                <w:color w:val="000000"/>
                <w:sz w:val="20"/>
                <w:szCs w:val="20"/>
              </w:rPr>
              <w:t>0,000</w:t>
            </w:r>
          </w:p>
        </w:tc>
        <w:tc>
          <w:tcPr>
            <w:tcW w:w="488" w:type="pct"/>
            <w:tcBorders>
              <w:top w:val="single" w:sz="7" w:space="0" w:color="D3D3D3"/>
              <w:left w:val="single" w:sz="7" w:space="0" w:color="D3D3D3"/>
              <w:bottom w:val="single" w:sz="7" w:space="0" w:color="D3D3D3"/>
              <w:right w:val="single" w:sz="7" w:space="0" w:color="D3D3D3"/>
            </w:tcBorders>
          </w:tcPr>
          <w:p w14:paraId="1B5B18F0" w14:textId="77777777" w:rsidR="007A0D8D" w:rsidRPr="002048A7" w:rsidRDefault="007A0D8D" w:rsidP="007A0D8D">
            <w:pPr>
              <w:spacing w:after="0" w:line="240" w:lineRule="auto"/>
              <w:jc w:val="right"/>
              <w:rPr>
                <w:rFonts w:ascii="Arial" w:eastAsia="Arial" w:hAnsi="Arial"/>
                <w:color w:val="000000"/>
                <w:sz w:val="20"/>
              </w:rPr>
            </w:pPr>
            <w:r w:rsidRPr="002048A7">
              <w:rPr>
                <w:rFonts w:ascii="Arial" w:hAnsi="Arial" w:cs="Arial"/>
                <w:color w:val="000000"/>
                <w:sz w:val="20"/>
                <w:szCs w:val="20"/>
              </w:rPr>
              <w:t>0,000</w:t>
            </w:r>
          </w:p>
        </w:tc>
        <w:tc>
          <w:tcPr>
            <w:tcW w:w="863" w:type="pct"/>
            <w:tcBorders>
              <w:top w:val="single" w:sz="7" w:space="0" w:color="D3D3D3"/>
              <w:left w:val="single" w:sz="7" w:space="0" w:color="D3D3D3"/>
              <w:bottom w:val="single" w:sz="7" w:space="0" w:color="D3D3D3"/>
              <w:right w:val="single" w:sz="7" w:space="0" w:color="D3D3D3"/>
            </w:tcBorders>
          </w:tcPr>
          <w:p w14:paraId="10D8672A" w14:textId="77777777" w:rsidR="007A0D8D" w:rsidRPr="002048A7" w:rsidRDefault="007A0D8D" w:rsidP="007A0D8D">
            <w:pPr>
              <w:spacing w:after="0" w:line="240" w:lineRule="auto"/>
              <w:jc w:val="right"/>
              <w:rPr>
                <w:rFonts w:ascii="Arial" w:eastAsia="Arial" w:hAnsi="Arial"/>
                <w:color w:val="000000"/>
                <w:sz w:val="20"/>
              </w:rPr>
            </w:pPr>
            <w:r>
              <w:rPr>
                <w:rFonts w:ascii="Arial" w:hAnsi="Arial" w:cs="Arial"/>
                <w:color w:val="000000"/>
                <w:sz w:val="20"/>
                <w:szCs w:val="20"/>
              </w:rPr>
              <w:t>5,680</w:t>
            </w:r>
          </w:p>
        </w:tc>
        <w:tc>
          <w:tcPr>
            <w:tcW w:w="495" w:type="pct"/>
            <w:tcBorders>
              <w:top w:val="single" w:sz="7" w:space="0" w:color="D3D3D3"/>
              <w:left w:val="single" w:sz="7" w:space="0" w:color="D3D3D3"/>
              <w:bottom w:val="single" w:sz="7" w:space="0" w:color="D3D3D3"/>
              <w:right w:val="single" w:sz="7" w:space="0" w:color="D3D3D3"/>
            </w:tcBorders>
          </w:tcPr>
          <w:p w14:paraId="58FA5DAB" w14:textId="77777777" w:rsidR="007A0D8D" w:rsidRPr="002048A7" w:rsidRDefault="007A0D8D" w:rsidP="007A0D8D">
            <w:pPr>
              <w:spacing w:after="0" w:line="240" w:lineRule="auto"/>
              <w:jc w:val="right"/>
              <w:rPr>
                <w:rFonts w:ascii="Arial" w:eastAsia="Arial" w:hAnsi="Arial"/>
                <w:color w:val="000000"/>
                <w:sz w:val="20"/>
              </w:rPr>
            </w:pPr>
            <w:r>
              <w:rPr>
                <w:rFonts w:ascii="Arial" w:hAnsi="Arial" w:cs="Arial"/>
                <w:color w:val="000000"/>
                <w:sz w:val="20"/>
                <w:szCs w:val="20"/>
              </w:rPr>
              <w:t>1</w:t>
            </w:r>
          </w:p>
        </w:tc>
      </w:tr>
      <w:tr w:rsidR="007A0D8D" w:rsidRPr="002048A7" w14:paraId="120B22F6" w14:textId="77777777" w:rsidTr="007A0D8D">
        <w:trPr>
          <w:trHeight w:val="340"/>
        </w:trPr>
        <w:tc>
          <w:tcPr>
            <w:tcW w:w="362" w:type="pct"/>
            <w:vMerge/>
            <w:vAlign w:val="center"/>
            <w:hideMark/>
          </w:tcPr>
          <w:p w14:paraId="477CC516" w14:textId="77777777" w:rsidR="007A0D8D" w:rsidRPr="002048A7" w:rsidRDefault="007A0D8D" w:rsidP="007A0D8D">
            <w:pPr>
              <w:spacing w:after="0" w:line="240" w:lineRule="auto"/>
              <w:jc w:val="left"/>
              <w:rPr>
                <w:rFonts w:ascii="Calibri" w:eastAsia="Times New Roman" w:hAnsi="Calibri" w:cs="Calibri"/>
                <w:b/>
                <w:bCs/>
                <w:color w:val="000000"/>
                <w:lang w:eastAsia="tr-TR"/>
              </w:rPr>
            </w:pPr>
          </w:p>
        </w:tc>
        <w:tc>
          <w:tcPr>
            <w:tcW w:w="528" w:type="pct"/>
            <w:shd w:val="clear" w:color="auto" w:fill="auto"/>
            <w:hideMark/>
          </w:tcPr>
          <w:p w14:paraId="18A1BBA1" w14:textId="77777777" w:rsidR="007A0D8D" w:rsidRPr="002048A7" w:rsidRDefault="007A0D8D" w:rsidP="007A0D8D">
            <w:pPr>
              <w:spacing w:after="0" w:line="240" w:lineRule="auto"/>
              <w:rPr>
                <w:rFonts w:ascii="Calibri" w:eastAsia="Times New Roman" w:hAnsi="Calibri" w:cs="Calibri"/>
                <w:b/>
                <w:bCs/>
                <w:color w:val="000000"/>
                <w:lang w:eastAsia="tr-TR"/>
              </w:rPr>
            </w:pPr>
            <w:r w:rsidRPr="002048A7">
              <w:rPr>
                <w:rFonts w:ascii="Arial" w:eastAsia="Arial" w:hAnsi="Arial"/>
                <w:b/>
                <w:color w:val="000000"/>
                <w:sz w:val="20"/>
              </w:rPr>
              <w:t>Fuel-oil</w:t>
            </w:r>
          </w:p>
        </w:tc>
        <w:tc>
          <w:tcPr>
            <w:tcW w:w="738" w:type="pct"/>
            <w:tcBorders>
              <w:top w:val="single" w:sz="7" w:space="0" w:color="D3D3D3"/>
              <w:left w:val="single" w:sz="7" w:space="0" w:color="D3D3D3"/>
              <w:bottom w:val="single" w:sz="7" w:space="0" w:color="D3D3D3"/>
              <w:right w:val="single" w:sz="7" w:space="0" w:color="D3D3D3"/>
            </w:tcBorders>
            <w:hideMark/>
          </w:tcPr>
          <w:p w14:paraId="0FA7D2C7"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784" w:type="pct"/>
            <w:tcBorders>
              <w:top w:val="single" w:sz="7" w:space="0" w:color="D3D3D3"/>
              <w:left w:val="single" w:sz="7" w:space="0" w:color="D3D3D3"/>
              <w:bottom w:val="single" w:sz="7" w:space="0" w:color="D3D3D3"/>
              <w:right w:val="single" w:sz="7" w:space="0" w:color="D3D3D3"/>
            </w:tcBorders>
            <w:hideMark/>
          </w:tcPr>
          <w:p w14:paraId="344DD41E"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743" w:type="pct"/>
            <w:tcBorders>
              <w:top w:val="single" w:sz="7" w:space="0" w:color="D3D3D3"/>
              <w:left w:val="single" w:sz="7" w:space="0" w:color="D3D3D3"/>
              <w:bottom w:val="single" w:sz="7" w:space="0" w:color="D3D3D3"/>
              <w:right w:val="single" w:sz="7" w:space="0" w:color="D3D3D3"/>
            </w:tcBorders>
            <w:hideMark/>
          </w:tcPr>
          <w:p w14:paraId="28CF42BD"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488" w:type="pct"/>
            <w:tcBorders>
              <w:top w:val="single" w:sz="7" w:space="0" w:color="D3D3D3"/>
              <w:left w:val="single" w:sz="7" w:space="0" w:color="D3D3D3"/>
              <w:bottom w:val="single" w:sz="7" w:space="0" w:color="D3D3D3"/>
              <w:right w:val="single" w:sz="7" w:space="0" w:color="D3D3D3"/>
            </w:tcBorders>
            <w:hideMark/>
          </w:tcPr>
          <w:p w14:paraId="32401D36"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863" w:type="pct"/>
            <w:tcBorders>
              <w:top w:val="single" w:sz="7" w:space="0" w:color="D3D3D3"/>
              <w:left w:val="single" w:sz="7" w:space="0" w:color="D3D3D3"/>
              <w:bottom w:val="single" w:sz="7" w:space="0" w:color="D3D3D3"/>
              <w:right w:val="single" w:sz="7" w:space="0" w:color="D3D3D3"/>
            </w:tcBorders>
            <w:hideMark/>
          </w:tcPr>
          <w:p w14:paraId="60AD5E35" w14:textId="77777777" w:rsidR="007A0D8D" w:rsidRPr="002048A7" w:rsidRDefault="007A0D8D" w:rsidP="007A0D8D">
            <w:pPr>
              <w:spacing w:after="0" w:line="240" w:lineRule="auto"/>
              <w:jc w:val="right"/>
              <w:rPr>
                <w:rFonts w:eastAsia="Times New Roman" w:cstheme="minorHAnsi"/>
                <w:color w:val="000000"/>
                <w:lang w:eastAsia="tr-TR"/>
              </w:rPr>
            </w:pPr>
            <w:r>
              <w:rPr>
                <w:rFonts w:ascii="Arial" w:hAnsi="Arial" w:cs="Arial"/>
                <w:color w:val="000000"/>
                <w:sz w:val="20"/>
                <w:szCs w:val="20"/>
              </w:rPr>
              <w:t>986,106</w:t>
            </w:r>
          </w:p>
        </w:tc>
        <w:tc>
          <w:tcPr>
            <w:tcW w:w="495" w:type="pct"/>
            <w:tcBorders>
              <w:top w:val="single" w:sz="7" w:space="0" w:color="D3D3D3"/>
              <w:left w:val="single" w:sz="7" w:space="0" w:color="D3D3D3"/>
              <w:bottom w:val="single" w:sz="7" w:space="0" w:color="D3D3D3"/>
              <w:right w:val="single" w:sz="7" w:space="0" w:color="D3D3D3"/>
            </w:tcBorders>
            <w:hideMark/>
          </w:tcPr>
          <w:p w14:paraId="7603FCEE" w14:textId="77777777" w:rsidR="007A0D8D" w:rsidRPr="002048A7" w:rsidRDefault="007A0D8D" w:rsidP="007A0D8D">
            <w:pPr>
              <w:spacing w:after="0" w:line="240" w:lineRule="auto"/>
              <w:jc w:val="right"/>
              <w:rPr>
                <w:rFonts w:eastAsia="Times New Roman" w:cstheme="minorHAnsi"/>
                <w:color w:val="000000"/>
                <w:lang w:eastAsia="tr-TR"/>
              </w:rPr>
            </w:pPr>
            <w:r>
              <w:rPr>
                <w:rFonts w:ascii="Arial" w:hAnsi="Arial" w:cs="Arial"/>
                <w:color w:val="000000"/>
                <w:sz w:val="20"/>
                <w:szCs w:val="20"/>
              </w:rPr>
              <w:t>20</w:t>
            </w:r>
          </w:p>
        </w:tc>
      </w:tr>
      <w:tr w:rsidR="007A0D8D" w:rsidRPr="002048A7" w14:paraId="020EC487" w14:textId="77777777" w:rsidTr="007A0D8D">
        <w:trPr>
          <w:trHeight w:val="340"/>
        </w:trPr>
        <w:tc>
          <w:tcPr>
            <w:tcW w:w="362" w:type="pct"/>
            <w:vMerge/>
            <w:vAlign w:val="center"/>
            <w:hideMark/>
          </w:tcPr>
          <w:p w14:paraId="5048EB71" w14:textId="77777777" w:rsidR="007A0D8D" w:rsidRPr="002048A7" w:rsidRDefault="007A0D8D" w:rsidP="007A0D8D">
            <w:pPr>
              <w:spacing w:after="0" w:line="240" w:lineRule="auto"/>
              <w:jc w:val="left"/>
              <w:rPr>
                <w:rFonts w:ascii="Calibri" w:eastAsia="Times New Roman" w:hAnsi="Calibri" w:cs="Calibri"/>
                <w:b/>
                <w:bCs/>
                <w:color w:val="000000"/>
                <w:lang w:eastAsia="tr-TR"/>
              </w:rPr>
            </w:pPr>
          </w:p>
        </w:tc>
        <w:tc>
          <w:tcPr>
            <w:tcW w:w="528" w:type="pct"/>
            <w:shd w:val="clear" w:color="auto" w:fill="auto"/>
            <w:hideMark/>
          </w:tcPr>
          <w:p w14:paraId="187D311C" w14:textId="77777777" w:rsidR="007A0D8D" w:rsidRPr="002048A7" w:rsidRDefault="007A0D8D" w:rsidP="007A0D8D">
            <w:pPr>
              <w:spacing w:after="0" w:line="240" w:lineRule="auto"/>
              <w:rPr>
                <w:rFonts w:ascii="Calibri" w:eastAsia="Times New Roman" w:hAnsi="Calibri" w:cs="Calibri"/>
                <w:b/>
                <w:bCs/>
                <w:color w:val="000000"/>
                <w:lang w:eastAsia="tr-TR"/>
              </w:rPr>
            </w:pPr>
            <w:r w:rsidRPr="002048A7">
              <w:rPr>
                <w:rFonts w:ascii="Arial" w:eastAsia="Arial" w:hAnsi="Arial"/>
                <w:b/>
                <w:color w:val="000000"/>
                <w:sz w:val="20"/>
              </w:rPr>
              <w:t>Güneş</w:t>
            </w:r>
          </w:p>
        </w:tc>
        <w:tc>
          <w:tcPr>
            <w:tcW w:w="738" w:type="pct"/>
            <w:tcBorders>
              <w:top w:val="single" w:sz="7" w:space="0" w:color="D3D3D3"/>
              <w:left w:val="single" w:sz="7" w:space="0" w:color="D3D3D3"/>
              <w:bottom w:val="single" w:sz="7" w:space="0" w:color="D3D3D3"/>
              <w:right w:val="single" w:sz="7" w:space="0" w:color="D3D3D3"/>
            </w:tcBorders>
            <w:hideMark/>
          </w:tcPr>
          <w:p w14:paraId="15D1B799" w14:textId="77777777" w:rsidR="007A0D8D" w:rsidRPr="002048A7" w:rsidRDefault="007A0D8D" w:rsidP="007A0D8D">
            <w:pPr>
              <w:spacing w:after="0" w:line="240" w:lineRule="auto"/>
              <w:jc w:val="right"/>
              <w:rPr>
                <w:rFonts w:eastAsia="Times New Roman" w:cstheme="minorHAnsi"/>
                <w:color w:val="000000"/>
                <w:lang w:eastAsia="tr-TR"/>
              </w:rPr>
            </w:pPr>
            <w:r>
              <w:rPr>
                <w:rFonts w:ascii="Arial" w:hAnsi="Arial" w:cs="Arial"/>
                <w:color w:val="000000"/>
                <w:sz w:val="20"/>
                <w:szCs w:val="20"/>
              </w:rPr>
              <w:t>850,000</w:t>
            </w:r>
          </w:p>
        </w:tc>
        <w:tc>
          <w:tcPr>
            <w:tcW w:w="784" w:type="pct"/>
            <w:tcBorders>
              <w:top w:val="single" w:sz="7" w:space="0" w:color="D3D3D3"/>
              <w:left w:val="single" w:sz="7" w:space="0" w:color="D3D3D3"/>
              <w:bottom w:val="single" w:sz="7" w:space="0" w:color="D3D3D3"/>
              <w:right w:val="single" w:sz="7" w:space="0" w:color="D3D3D3"/>
            </w:tcBorders>
            <w:hideMark/>
          </w:tcPr>
          <w:p w14:paraId="297D1371" w14:textId="77777777" w:rsidR="007A0D8D" w:rsidRPr="002048A7" w:rsidRDefault="007A0D8D" w:rsidP="007A0D8D">
            <w:pPr>
              <w:spacing w:after="0" w:line="240" w:lineRule="auto"/>
              <w:jc w:val="right"/>
              <w:rPr>
                <w:rFonts w:eastAsia="Times New Roman" w:cstheme="minorHAnsi"/>
                <w:color w:val="000000"/>
                <w:lang w:eastAsia="tr-TR"/>
              </w:rPr>
            </w:pPr>
            <w:r>
              <w:rPr>
                <w:rFonts w:ascii="Arial" w:hAnsi="Arial" w:cs="Arial"/>
                <w:color w:val="000000"/>
                <w:sz w:val="20"/>
                <w:szCs w:val="20"/>
              </w:rPr>
              <w:t>850,000</w:t>
            </w:r>
          </w:p>
        </w:tc>
        <w:tc>
          <w:tcPr>
            <w:tcW w:w="743" w:type="pct"/>
            <w:tcBorders>
              <w:top w:val="single" w:sz="7" w:space="0" w:color="D3D3D3"/>
              <w:left w:val="single" w:sz="7" w:space="0" w:color="D3D3D3"/>
              <w:bottom w:val="single" w:sz="7" w:space="0" w:color="D3D3D3"/>
              <w:right w:val="single" w:sz="7" w:space="0" w:color="D3D3D3"/>
            </w:tcBorders>
            <w:hideMark/>
          </w:tcPr>
          <w:p w14:paraId="3E5FABFE"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488" w:type="pct"/>
            <w:tcBorders>
              <w:top w:val="single" w:sz="7" w:space="0" w:color="D3D3D3"/>
              <w:left w:val="single" w:sz="7" w:space="0" w:color="D3D3D3"/>
              <w:bottom w:val="single" w:sz="7" w:space="0" w:color="D3D3D3"/>
              <w:right w:val="single" w:sz="7" w:space="0" w:color="D3D3D3"/>
            </w:tcBorders>
            <w:hideMark/>
          </w:tcPr>
          <w:p w14:paraId="77561639"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863" w:type="pct"/>
            <w:tcBorders>
              <w:top w:val="single" w:sz="7" w:space="0" w:color="D3D3D3"/>
              <w:left w:val="single" w:sz="7" w:space="0" w:color="D3D3D3"/>
              <w:bottom w:val="single" w:sz="7" w:space="0" w:color="D3D3D3"/>
              <w:right w:val="single" w:sz="7" w:space="0" w:color="D3D3D3"/>
            </w:tcBorders>
            <w:hideMark/>
          </w:tcPr>
          <w:p w14:paraId="3C9F7893" w14:textId="77777777" w:rsidR="007A0D8D" w:rsidRPr="002048A7" w:rsidRDefault="007A0D8D" w:rsidP="007A0D8D">
            <w:pPr>
              <w:jc w:val="right"/>
              <w:rPr>
                <w:rFonts w:ascii="Tahoma" w:eastAsia="Times New Roman" w:hAnsi="Tahoma" w:cs="Tahoma"/>
                <w:color w:val="000000"/>
                <w:sz w:val="20"/>
                <w:szCs w:val="20"/>
              </w:rPr>
            </w:pPr>
            <w:r>
              <w:rPr>
                <w:rFonts w:ascii="Arial" w:hAnsi="Arial" w:cs="Arial"/>
                <w:color w:val="000000"/>
                <w:sz w:val="20"/>
                <w:szCs w:val="20"/>
              </w:rPr>
              <w:t>2.518,814</w:t>
            </w:r>
          </w:p>
        </w:tc>
        <w:tc>
          <w:tcPr>
            <w:tcW w:w="495" w:type="pct"/>
            <w:tcBorders>
              <w:top w:val="single" w:sz="7" w:space="0" w:color="D3D3D3"/>
              <w:left w:val="single" w:sz="7" w:space="0" w:color="D3D3D3"/>
              <w:bottom w:val="single" w:sz="7" w:space="0" w:color="D3D3D3"/>
              <w:right w:val="single" w:sz="7" w:space="0" w:color="D3D3D3"/>
            </w:tcBorders>
            <w:hideMark/>
          </w:tcPr>
          <w:p w14:paraId="4CE18095" w14:textId="77777777" w:rsidR="007A0D8D" w:rsidRPr="002048A7" w:rsidRDefault="007A0D8D" w:rsidP="007A0D8D">
            <w:pPr>
              <w:spacing w:after="0" w:line="240" w:lineRule="auto"/>
              <w:jc w:val="right"/>
              <w:rPr>
                <w:rFonts w:eastAsia="Times New Roman" w:cstheme="minorHAnsi"/>
                <w:color w:val="000000"/>
                <w:lang w:eastAsia="tr-TR"/>
              </w:rPr>
            </w:pPr>
            <w:r>
              <w:rPr>
                <w:rFonts w:ascii="Arial" w:hAnsi="Arial" w:cs="Arial"/>
                <w:color w:val="000000"/>
                <w:sz w:val="20"/>
                <w:szCs w:val="20"/>
              </w:rPr>
              <w:t>55</w:t>
            </w:r>
          </w:p>
        </w:tc>
      </w:tr>
      <w:tr w:rsidR="007A0D8D" w:rsidRPr="002048A7" w14:paraId="2BE825F3" w14:textId="77777777" w:rsidTr="007A0D8D">
        <w:trPr>
          <w:trHeight w:val="340"/>
        </w:trPr>
        <w:tc>
          <w:tcPr>
            <w:tcW w:w="362" w:type="pct"/>
            <w:vMerge/>
            <w:vAlign w:val="center"/>
            <w:hideMark/>
          </w:tcPr>
          <w:p w14:paraId="0B960DD8" w14:textId="77777777" w:rsidR="007A0D8D" w:rsidRPr="002048A7" w:rsidRDefault="007A0D8D" w:rsidP="007A0D8D">
            <w:pPr>
              <w:spacing w:after="0" w:line="240" w:lineRule="auto"/>
              <w:jc w:val="left"/>
              <w:rPr>
                <w:rFonts w:ascii="Calibri" w:eastAsia="Times New Roman" w:hAnsi="Calibri" w:cs="Calibri"/>
                <w:b/>
                <w:bCs/>
                <w:color w:val="000000"/>
                <w:lang w:eastAsia="tr-TR"/>
              </w:rPr>
            </w:pPr>
          </w:p>
        </w:tc>
        <w:tc>
          <w:tcPr>
            <w:tcW w:w="528" w:type="pct"/>
            <w:shd w:val="clear" w:color="auto" w:fill="auto"/>
            <w:hideMark/>
          </w:tcPr>
          <w:p w14:paraId="169DBDB0" w14:textId="77777777" w:rsidR="007A0D8D" w:rsidRPr="002048A7" w:rsidRDefault="007A0D8D" w:rsidP="007A0D8D">
            <w:pPr>
              <w:spacing w:after="0" w:line="240" w:lineRule="auto"/>
              <w:rPr>
                <w:rFonts w:ascii="Calibri" w:eastAsia="Times New Roman" w:hAnsi="Calibri" w:cs="Calibri"/>
                <w:b/>
                <w:bCs/>
                <w:color w:val="000000"/>
                <w:lang w:eastAsia="tr-TR"/>
              </w:rPr>
            </w:pPr>
            <w:r w:rsidRPr="002048A7">
              <w:rPr>
                <w:rFonts w:ascii="Arial" w:eastAsia="Arial" w:hAnsi="Arial"/>
                <w:b/>
                <w:color w:val="000000"/>
                <w:sz w:val="20"/>
              </w:rPr>
              <w:t>Hidrolik</w:t>
            </w:r>
          </w:p>
        </w:tc>
        <w:tc>
          <w:tcPr>
            <w:tcW w:w="738" w:type="pct"/>
            <w:tcBorders>
              <w:top w:val="single" w:sz="7" w:space="0" w:color="D3D3D3"/>
              <w:left w:val="single" w:sz="7" w:space="0" w:color="D3D3D3"/>
              <w:bottom w:val="single" w:sz="7" w:space="0" w:color="D3D3D3"/>
              <w:right w:val="single" w:sz="7" w:space="0" w:color="D3D3D3"/>
            </w:tcBorders>
            <w:hideMark/>
          </w:tcPr>
          <w:p w14:paraId="3C82C579" w14:textId="77777777" w:rsidR="007A0D8D" w:rsidRPr="002048A7" w:rsidRDefault="007A0D8D" w:rsidP="007A0D8D">
            <w:pPr>
              <w:spacing w:after="0" w:line="240" w:lineRule="auto"/>
              <w:jc w:val="right"/>
              <w:rPr>
                <w:rFonts w:eastAsia="Times New Roman" w:cstheme="minorHAnsi"/>
                <w:color w:val="000000"/>
                <w:lang w:eastAsia="tr-TR"/>
              </w:rPr>
            </w:pPr>
            <w:r>
              <w:rPr>
                <w:rFonts w:ascii="Arial" w:hAnsi="Arial" w:cs="Arial"/>
                <w:color w:val="000000"/>
                <w:sz w:val="20"/>
                <w:szCs w:val="20"/>
              </w:rPr>
              <w:t>94,550</w:t>
            </w:r>
          </w:p>
        </w:tc>
        <w:tc>
          <w:tcPr>
            <w:tcW w:w="784" w:type="pct"/>
            <w:tcBorders>
              <w:top w:val="single" w:sz="7" w:space="0" w:color="D3D3D3"/>
              <w:left w:val="single" w:sz="7" w:space="0" w:color="D3D3D3"/>
              <w:bottom w:val="single" w:sz="7" w:space="0" w:color="D3D3D3"/>
              <w:right w:val="single" w:sz="7" w:space="0" w:color="D3D3D3"/>
            </w:tcBorders>
            <w:hideMark/>
          </w:tcPr>
          <w:p w14:paraId="7FDE748E" w14:textId="77777777" w:rsidR="007A0D8D" w:rsidRPr="002048A7" w:rsidRDefault="007A0D8D" w:rsidP="007A0D8D">
            <w:pPr>
              <w:spacing w:after="0" w:line="240" w:lineRule="auto"/>
              <w:jc w:val="right"/>
              <w:rPr>
                <w:rFonts w:eastAsia="Times New Roman" w:cstheme="minorHAnsi"/>
                <w:color w:val="000000"/>
                <w:lang w:eastAsia="tr-TR"/>
              </w:rPr>
            </w:pPr>
            <w:r>
              <w:rPr>
                <w:rFonts w:ascii="Arial" w:hAnsi="Arial" w:cs="Arial"/>
                <w:color w:val="000000"/>
                <w:sz w:val="20"/>
                <w:szCs w:val="20"/>
              </w:rPr>
              <w:t>523,338</w:t>
            </w:r>
          </w:p>
        </w:tc>
        <w:tc>
          <w:tcPr>
            <w:tcW w:w="743" w:type="pct"/>
            <w:tcBorders>
              <w:top w:val="single" w:sz="7" w:space="0" w:color="D3D3D3"/>
              <w:left w:val="single" w:sz="7" w:space="0" w:color="D3D3D3"/>
              <w:bottom w:val="single" w:sz="7" w:space="0" w:color="D3D3D3"/>
              <w:right w:val="single" w:sz="7" w:space="0" w:color="D3D3D3"/>
            </w:tcBorders>
            <w:hideMark/>
          </w:tcPr>
          <w:p w14:paraId="142A5995" w14:textId="77777777" w:rsidR="007A0D8D" w:rsidRPr="002048A7" w:rsidRDefault="007A0D8D" w:rsidP="007A0D8D">
            <w:pPr>
              <w:spacing w:after="0" w:line="240" w:lineRule="auto"/>
              <w:jc w:val="right"/>
              <w:rPr>
                <w:rFonts w:eastAsia="Times New Roman" w:cstheme="minorHAnsi"/>
                <w:color w:val="000000"/>
                <w:lang w:eastAsia="tr-TR"/>
              </w:rPr>
            </w:pPr>
            <w:r>
              <w:rPr>
                <w:rFonts w:ascii="Arial" w:hAnsi="Arial" w:cs="Arial"/>
                <w:color w:val="000000"/>
                <w:sz w:val="20"/>
                <w:szCs w:val="20"/>
              </w:rPr>
              <w:t>511,565</w:t>
            </w:r>
          </w:p>
        </w:tc>
        <w:tc>
          <w:tcPr>
            <w:tcW w:w="488" w:type="pct"/>
            <w:tcBorders>
              <w:top w:val="single" w:sz="7" w:space="0" w:color="D3D3D3"/>
              <w:left w:val="single" w:sz="7" w:space="0" w:color="D3D3D3"/>
              <w:bottom w:val="single" w:sz="7" w:space="0" w:color="D3D3D3"/>
              <w:right w:val="single" w:sz="7" w:space="0" w:color="D3D3D3"/>
            </w:tcBorders>
            <w:hideMark/>
          </w:tcPr>
          <w:p w14:paraId="37BB757B" w14:textId="77777777" w:rsidR="007A0D8D" w:rsidRPr="002048A7" w:rsidRDefault="007A0D8D" w:rsidP="007A0D8D">
            <w:pPr>
              <w:spacing w:after="0" w:line="240" w:lineRule="auto"/>
              <w:jc w:val="right"/>
              <w:rPr>
                <w:rFonts w:eastAsia="Times New Roman" w:cstheme="minorHAnsi"/>
                <w:color w:val="000000"/>
                <w:lang w:eastAsia="tr-TR"/>
              </w:rPr>
            </w:pPr>
            <w:r>
              <w:rPr>
                <w:rFonts w:ascii="Arial" w:hAnsi="Arial" w:cs="Arial"/>
                <w:color w:val="000000"/>
                <w:sz w:val="20"/>
                <w:szCs w:val="20"/>
              </w:rPr>
              <w:t>46,644</w:t>
            </w:r>
          </w:p>
        </w:tc>
        <w:tc>
          <w:tcPr>
            <w:tcW w:w="863" w:type="pct"/>
            <w:tcBorders>
              <w:top w:val="single" w:sz="7" w:space="0" w:color="D3D3D3"/>
              <w:left w:val="single" w:sz="7" w:space="0" w:color="D3D3D3"/>
              <w:bottom w:val="single" w:sz="7" w:space="0" w:color="D3D3D3"/>
              <w:right w:val="single" w:sz="7" w:space="0" w:color="D3D3D3"/>
            </w:tcBorders>
            <w:hideMark/>
          </w:tcPr>
          <w:p w14:paraId="2D96CD0C" w14:textId="77777777" w:rsidR="007A0D8D" w:rsidRPr="002048A7" w:rsidRDefault="007A0D8D" w:rsidP="007A0D8D">
            <w:pPr>
              <w:spacing w:after="0" w:line="240" w:lineRule="auto"/>
              <w:jc w:val="right"/>
              <w:rPr>
                <w:rFonts w:eastAsia="Times New Roman" w:cstheme="minorHAnsi"/>
                <w:color w:val="000000"/>
                <w:lang w:eastAsia="tr-TR"/>
              </w:rPr>
            </w:pPr>
            <w:r>
              <w:rPr>
                <w:rFonts w:ascii="Arial" w:hAnsi="Arial" w:cs="Arial"/>
                <w:color w:val="000000"/>
                <w:sz w:val="20"/>
                <w:szCs w:val="20"/>
              </w:rPr>
              <w:t>33.727,501</w:t>
            </w:r>
          </w:p>
        </w:tc>
        <w:tc>
          <w:tcPr>
            <w:tcW w:w="495" w:type="pct"/>
            <w:tcBorders>
              <w:top w:val="single" w:sz="7" w:space="0" w:color="D3D3D3"/>
              <w:left w:val="single" w:sz="7" w:space="0" w:color="D3D3D3"/>
              <w:bottom w:val="single" w:sz="7" w:space="0" w:color="D3D3D3"/>
              <w:right w:val="single" w:sz="7" w:space="0" w:color="D3D3D3"/>
            </w:tcBorders>
            <w:hideMark/>
          </w:tcPr>
          <w:p w14:paraId="0D450547" w14:textId="77777777" w:rsidR="007A0D8D" w:rsidRPr="002048A7" w:rsidRDefault="007A0D8D" w:rsidP="007A0D8D">
            <w:pPr>
              <w:spacing w:after="0" w:line="240" w:lineRule="auto"/>
              <w:jc w:val="right"/>
              <w:rPr>
                <w:rFonts w:eastAsia="Times New Roman" w:cstheme="minorHAnsi"/>
                <w:color w:val="000000"/>
                <w:lang w:eastAsia="tr-TR"/>
              </w:rPr>
            </w:pPr>
            <w:r>
              <w:rPr>
                <w:rFonts w:ascii="Arial" w:hAnsi="Arial" w:cs="Arial"/>
                <w:color w:val="000000"/>
                <w:sz w:val="20"/>
                <w:szCs w:val="20"/>
              </w:rPr>
              <w:t>782</w:t>
            </w:r>
          </w:p>
        </w:tc>
      </w:tr>
      <w:tr w:rsidR="007A0D8D" w:rsidRPr="002048A7" w14:paraId="6A7C33A1" w14:textId="77777777" w:rsidTr="007A0D8D">
        <w:trPr>
          <w:trHeight w:val="340"/>
        </w:trPr>
        <w:tc>
          <w:tcPr>
            <w:tcW w:w="362" w:type="pct"/>
            <w:vMerge/>
            <w:vAlign w:val="center"/>
            <w:hideMark/>
          </w:tcPr>
          <w:p w14:paraId="040494C0" w14:textId="77777777" w:rsidR="007A0D8D" w:rsidRPr="002048A7" w:rsidRDefault="007A0D8D" w:rsidP="007A0D8D">
            <w:pPr>
              <w:spacing w:after="0" w:line="240" w:lineRule="auto"/>
              <w:jc w:val="left"/>
              <w:rPr>
                <w:rFonts w:ascii="Calibri" w:eastAsia="Times New Roman" w:hAnsi="Calibri" w:cs="Calibri"/>
                <w:b/>
                <w:bCs/>
                <w:color w:val="000000"/>
                <w:lang w:eastAsia="tr-TR"/>
              </w:rPr>
            </w:pPr>
          </w:p>
        </w:tc>
        <w:tc>
          <w:tcPr>
            <w:tcW w:w="528" w:type="pct"/>
            <w:shd w:val="clear" w:color="auto" w:fill="auto"/>
            <w:hideMark/>
          </w:tcPr>
          <w:p w14:paraId="3ECB4970" w14:textId="77777777" w:rsidR="007A0D8D" w:rsidRPr="002048A7" w:rsidRDefault="007A0D8D" w:rsidP="007A0D8D">
            <w:pPr>
              <w:spacing w:after="0" w:line="240" w:lineRule="auto"/>
              <w:rPr>
                <w:rFonts w:ascii="Calibri" w:eastAsia="Times New Roman" w:hAnsi="Calibri" w:cs="Calibri"/>
                <w:b/>
                <w:bCs/>
                <w:color w:val="000000"/>
                <w:lang w:eastAsia="tr-TR"/>
              </w:rPr>
            </w:pPr>
            <w:r w:rsidRPr="002048A7">
              <w:rPr>
                <w:rFonts w:ascii="Arial" w:eastAsia="Arial" w:hAnsi="Arial"/>
                <w:b/>
                <w:color w:val="000000"/>
                <w:sz w:val="20"/>
              </w:rPr>
              <w:t>İthal Kömür</w:t>
            </w:r>
          </w:p>
        </w:tc>
        <w:tc>
          <w:tcPr>
            <w:tcW w:w="738" w:type="pct"/>
            <w:tcBorders>
              <w:top w:val="single" w:sz="7" w:space="0" w:color="D3D3D3"/>
              <w:left w:val="single" w:sz="7" w:space="0" w:color="D3D3D3"/>
              <w:bottom w:val="single" w:sz="7" w:space="0" w:color="D3D3D3"/>
              <w:right w:val="single" w:sz="7" w:space="0" w:color="D3D3D3"/>
            </w:tcBorders>
            <w:hideMark/>
          </w:tcPr>
          <w:p w14:paraId="17CD36AA"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784" w:type="pct"/>
            <w:tcBorders>
              <w:top w:val="single" w:sz="7" w:space="0" w:color="D3D3D3"/>
              <w:left w:val="single" w:sz="7" w:space="0" w:color="D3D3D3"/>
              <w:bottom w:val="single" w:sz="7" w:space="0" w:color="D3D3D3"/>
              <w:right w:val="single" w:sz="7" w:space="0" w:color="D3D3D3"/>
            </w:tcBorders>
            <w:hideMark/>
          </w:tcPr>
          <w:p w14:paraId="36B6DD98"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743" w:type="pct"/>
            <w:tcBorders>
              <w:top w:val="single" w:sz="7" w:space="0" w:color="D3D3D3"/>
              <w:left w:val="single" w:sz="7" w:space="0" w:color="D3D3D3"/>
              <w:bottom w:val="single" w:sz="7" w:space="0" w:color="D3D3D3"/>
              <w:right w:val="single" w:sz="7" w:space="0" w:color="D3D3D3"/>
            </w:tcBorders>
            <w:hideMark/>
          </w:tcPr>
          <w:p w14:paraId="205FCEC9" w14:textId="77777777" w:rsidR="007A0D8D" w:rsidRPr="006A0253" w:rsidRDefault="007A0D8D" w:rsidP="007A0D8D">
            <w:pPr>
              <w:jc w:val="right"/>
              <w:rPr>
                <w:rFonts w:ascii="Arial" w:eastAsia="Times New Roman" w:hAnsi="Arial" w:cs="Arial"/>
                <w:color w:val="000000"/>
                <w:sz w:val="20"/>
                <w:szCs w:val="20"/>
              </w:rPr>
            </w:pPr>
            <w:r>
              <w:rPr>
                <w:rFonts w:ascii="Arial" w:hAnsi="Arial" w:cs="Arial"/>
                <w:color w:val="000000"/>
                <w:sz w:val="20"/>
                <w:szCs w:val="20"/>
              </w:rPr>
              <w:t>2.580,000</w:t>
            </w:r>
          </w:p>
        </w:tc>
        <w:tc>
          <w:tcPr>
            <w:tcW w:w="488" w:type="pct"/>
            <w:tcBorders>
              <w:top w:val="single" w:sz="7" w:space="0" w:color="D3D3D3"/>
              <w:left w:val="single" w:sz="7" w:space="0" w:color="D3D3D3"/>
              <w:bottom w:val="single" w:sz="7" w:space="0" w:color="D3D3D3"/>
              <w:right w:val="single" w:sz="7" w:space="0" w:color="D3D3D3"/>
            </w:tcBorders>
            <w:hideMark/>
          </w:tcPr>
          <w:p w14:paraId="168CC233"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863" w:type="pct"/>
            <w:tcBorders>
              <w:top w:val="single" w:sz="7" w:space="0" w:color="D3D3D3"/>
              <w:left w:val="single" w:sz="7" w:space="0" w:color="D3D3D3"/>
              <w:bottom w:val="single" w:sz="7" w:space="0" w:color="D3D3D3"/>
              <w:right w:val="single" w:sz="7" w:space="0" w:color="D3D3D3"/>
            </w:tcBorders>
            <w:hideMark/>
          </w:tcPr>
          <w:p w14:paraId="3102D573" w14:textId="77777777" w:rsidR="007A0D8D" w:rsidRPr="002048A7" w:rsidRDefault="007A0D8D" w:rsidP="007A0D8D">
            <w:pPr>
              <w:spacing w:after="0" w:line="240" w:lineRule="auto"/>
              <w:jc w:val="right"/>
              <w:rPr>
                <w:rFonts w:eastAsia="Times New Roman" w:cstheme="minorHAnsi"/>
                <w:color w:val="000000"/>
                <w:lang w:eastAsia="tr-TR"/>
              </w:rPr>
            </w:pPr>
            <w:r>
              <w:rPr>
                <w:rFonts w:ascii="Arial" w:hAnsi="Arial" w:cs="Arial"/>
                <w:color w:val="000000"/>
                <w:sz w:val="20"/>
                <w:szCs w:val="20"/>
              </w:rPr>
              <w:t>10.341,800</w:t>
            </w:r>
          </w:p>
        </w:tc>
        <w:tc>
          <w:tcPr>
            <w:tcW w:w="495" w:type="pct"/>
            <w:tcBorders>
              <w:top w:val="single" w:sz="7" w:space="0" w:color="D3D3D3"/>
              <w:left w:val="single" w:sz="7" w:space="0" w:color="D3D3D3"/>
              <w:bottom w:val="single" w:sz="7" w:space="0" w:color="D3D3D3"/>
              <w:right w:val="single" w:sz="7" w:space="0" w:color="D3D3D3"/>
            </w:tcBorders>
            <w:hideMark/>
          </w:tcPr>
          <w:p w14:paraId="54C37C16" w14:textId="77777777" w:rsidR="007A0D8D" w:rsidRPr="002048A7" w:rsidRDefault="007A0D8D" w:rsidP="007A0D8D">
            <w:pPr>
              <w:spacing w:after="0" w:line="240" w:lineRule="auto"/>
              <w:jc w:val="right"/>
              <w:rPr>
                <w:rFonts w:eastAsia="Times New Roman" w:cstheme="minorHAnsi"/>
                <w:color w:val="000000"/>
                <w:lang w:eastAsia="tr-TR"/>
              </w:rPr>
            </w:pPr>
            <w:r>
              <w:rPr>
                <w:rFonts w:ascii="Arial" w:hAnsi="Arial" w:cs="Arial"/>
                <w:color w:val="000000"/>
                <w:sz w:val="20"/>
                <w:szCs w:val="20"/>
              </w:rPr>
              <w:t>13</w:t>
            </w:r>
          </w:p>
        </w:tc>
      </w:tr>
      <w:tr w:rsidR="007A0D8D" w:rsidRPr="002048A7" w14:paraId="37DB4D2A" w14:textId="77777777" w:rsidTr="007A0D8D">
        <w:trPr>
          <w:trHeight w:val="340"/>
        </w:trPr>
        <w:tc>
          <w:tcPr>
            <w:tcW w:w="362" w:type="pct"/>
            <w:vMerge/>
            <w:vAlign w:val="center"/>
            <w:hideMark/>
          </w:tcPr>
          <w:p w14:paraId="39D586F3" w14:textId="77777777" w:rsidR="007A0D8D" w:rsidRPr="002048A7" w:rsidRDefault="007A0D8D" w:rsidP="007A0D8D">
            <w:pPr>
              <w:spacing w:after="0" w:line="240" w:lineRule="auto"/>
              <w:jc w:val="left"/>
              <w:rPr>
                <w:rFonts w:ascii="Calibri" w:eastAsia="Times New Roman" w:hAnsi="Calibri" w:cs="Calibri"/>
                <w:b/>
                <w:bCs/>
                <w:color w:val="000000"/>
                <w:lang w:eastAsia="tr-TR"/>
              </w:rPr>
            </w:pPr>
          </w:p>
        </w:tc>
        <w:tc>
          <w:tcPr>
            <w:tcW w:w="528" w:type="pct"/>
            <w:shd w:val="clear" w:color="auto" w:fill="auto"/>
            <w:hideMark/>
          </w:tcPr>
          <w:p w14:paraId="4FA6DB7D" w14:textId="77777777" w:rsidR="007A0D8D" w:rsidRPr="002048A7" w:rsidRDefault="007A0D8D" w:rsidP="007A0D8D">
            <w:pPr>
              <w:spacing w:after="0" w:line="240" w:lineRule="auto"/>
              <w:rPr>
                <w:rFonts w:ascii="Calibri" w:eastAsia="Times New Roman" w:hAnsi="Calibri" w:cs="Calibri"/>
                <w:b/>
                <w:bCs/>
                <w:color w:val="000000"/>
                <w:lang w:eastAsia="tr-TR"/>
              </w:rPr>
            </w:pPr>
            <w:r w:rsidRPr="002048A7">
              <w:rPr>
                <w:rFonts w:ascii="Arial" w:eastAsia="Arial" w:hAnsi="Arial"/>
                <w:b/>
                <w:color w:val="000000"/>
                <w:sz w:val="20"/>
              </w:rPr>
              <w:t>Jeotermal</w:t>
            </w:r>
          </w:p>
        </w:tc>
        <w:tc>
          <w:tcPr>
            <w:tcW w:w="738" w:type="pct"/>
            <w:tcBorders>
              <w:top w:val="single" w:sz="7" w:space="0" w:color="D3D3D3"/>
              <w:left w:val="single" w:sz="7" w:space="0" w:color="D3D3D3"/>
              <w:bottom w:val="single" w:sz="7" w:space="0" w:color="D3D3D3"/>
              <w:right w:val="single" w:sz="7" w:space="0" w:color="D3D3D3"/>
            </w:tcBorders>
            <w:hideMark/>
          </w:tcPr>
          <w:p w14:paraId="4F3F21A0" w14:textId="77777777" w:rsidR="007A0D8D" w:rsidRPr="002048A7" w:rsidRDefault="007A0D8D" w:rsidP="007A0D8D">
            <w:pPr>
              <w:spacing w:after="0" w:line="240" w:lineRule="auto"/>
              <w:jc w:val="right"/>
              <w:rPr>
                <w:rFonts w:eastAsia="Times New Roman" w:cstheme="minorHAnsi"/>
                <w:color w:val="000000"/>
                <w:lang w:eastAsia="tr-TR"/>
              </w:rPr>
            </w:pPr>
            <w:r>
              <w:rPr>
                <w:rFonts w:ascii="Arial" w:hAnsi="Arial" w:cs="Arial"/>
                <w:color w:val="000000"/>
                <w:sz w:val="20"/>
                <w:szCs w:val="20"/>
              </w:rPr>
              <w:t>73,000</w:t>
            </w:r>
          </w:p>
        </w:tc>
        <w:tc>
          <w:tcPr>
            <w:tcW w:w="784" w:type="pct"/>
            <w:tcBorders>
              <w:top w:val="single" w:sz="7" w:space="0" w:color="D3D3D3"/>
              <w:left w:val="single" w:sz="7" w:space="0" w:color="D3D3D3"/>
              <w:bottom w:val="single" w:sz="7" w:space="0" w:color="D3D3D3"/>
              <w:right w:val="single" w:sz="7" w:space="0" w:color="D3D3D3"/>
            </w:tcBorders>
            <w:hideMark/>
          </w:tcPr>
          <w:p w14:paraId="43F9E173" w14:textId="77777777" w:rsidR="007A0D8D" w:rsidRPr="002048A7" w:rsidRDefault="007A0D8D" w:rsidP="007A0D8D">
            <w:pPr>
              <w:spacing w:after="0" w:line="240" w:lineRule="auto"/>
              <w:jc w:val="right"/>
              <w:rPr>
                <w:rFonts w:eastAsia="Times New Roman" w:cstheme="minorHAnsi"/>
                <w:color w:val="000000"/>
                <w:lang w:eastAsia="tr-TR"/>
              </w:rPr>
            </w:pPr>
            <w:r>
              <w:rPr>
                <w:rFonts w:ascii="Arial" w:hAnsi="Arial" w:cs="Arial"/>
                <w:color w:val="000000"/>
                <w:sz w:val="20"/>
                <w:szCs w:val="20"/>
              </w:rPr>
              <w:t>84,000</w:t>
            </w:r>
          </w:p>
        </w:tc>
        <w:tc>
          <w:tcPr>
            <w:tcW w:w="743" w:type="pct"/>
            <w:tcBorders>
              <w:top w:val="single" w:sz="7" w:space="0" w:color="D3D3D3"/>
              <w:left w:val="single" w:sz="7" w:space="0" w:color="D3D3D3"/>
              <w:bottom w:val="single" w:sz="7" w:space="0" w:color="D3D3D3"/>
              <w:right w:val="single" w:sz="7" w:space="0" w:color="D3D3D3"/>
            </w:tcBorders>
            <w:hideMark/>
          </w:tcPr>
          <w:p w14:paraId="644AC8F3"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488" w:type="pct"/>
            <w:tcBorders>
              <w:top w:val="single" w:sz="7" w:space="0" w:color="D3D3D3"/>
              <w:left w:val="single" w:sz="7" w:space="0" w:color="D3D3D3"/>
              <w:bottom w:val="single" w:sz="7" w:space="0" w:color="D3D3D3"/>
              <w:right w:val="single" w:sz="7" w:space="0" w:color="D3D3D3"/>
            </w:tcBorders>
            <w:hideMark/>
          </w:tcPr>
          <w:p w14:paraId="240BF9C1"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863" w:type="pct"/>
            <w:tcBorders>
              <w:top w:val="single" w:sz="7" w:space="0" w:color="D3D3D3"/>
              <w:left w:val="single" w:sz="7" w:space="0" w:color="D3D3D3"/>
              <w:bottom w:val="single" w:sz="7" w:space="0" w:color="D3D3D3"/>
              <w:right w:val="single" w:sz="7" w:space="0" w:color="D3D3D3"/>
            </w:tcBorders>
            <w:hideMark/>
          </w:tcPr>
          <w:p w14:paraId="7A793508" w14:textId="77777777" w:rsidR="007A0D8D" w:rsidRPr="002048A7" w:rsidRDefault="007A0D8D" w:rsidP="007A0D8D">
            <w:pPr>
              <w:spacing w:after="0" w:line="240" w:lineRule="auto"/>
              <w:jc w:val="right"/>
              <w:rPr>
                <w:rFonts w:eastAsia="Times New Roman" w:cstheme="minorHAnsi"/>
                <w:color w:val="000000"/>
                <w:lang w:eastAsia="tr-TR"/>
              </w:rPr>
            </w:pPr>
            <w:r>
              <w:rPr>
                <w:rFonts w:ascii="Arial" w:hAnsi="Arial" w:cs="Arial"/>
                <w:color w:val="000000"/>
                <w:sz w:val="20"/>
                <w:szCs w:val="20"/>
              </w:rPr>
              <w:t>1.944,633</w:t>
            </w:r>
          </w:p>
        </w:tc>
        <w:tc>
          <w:tcPr>
            <w:tcW w:w="495" w:type="pct"/>
            <w:tcBorders>
              <w:top w:val="single" w:sz="7" w:space="0" w:color="D3D3D3"/>
              <w:left w:val="single" w:sz="7" w:space="0" w:color="D3D3D3"/>
              <w:bottom w:val="single" w:sz="7" w:space="0" w:color="D3D3D3"/>
              <w:right w:val="single" w:sz="7" w:space="0" w:color="D3D3D3"/>
            </w:tcBorders>
            <w:hideMark/>
          </w:tcPr>
          <w:p w14:paraId="16F45E88" w14:textId="77777777" w:rsidR="007A0D8D" w:rsidRPr="002048A7" w:rsidRDefault="007A0D8D" w:rsidP="007A0D8D">
            <w:pPr>
              <w:spacing w:after="0" w:line="240" w:lineRule="auto"/>
              <w:jc w:val="right"/>
              <w:rPr>
                <w:rFonts w:eastAsia="Times New Roman" w:cstheme="minorHAnsi"/>
                <w:color w:val="000000"/>
                <w:lang w:eastAsia="tr-TR"/>
              </w:rPr>
            </w:pPr>
            <w:r>
              <w:rPr>
                <w:rFonts w:ascii="Arial" w:hAnsi="Arial" w:cs="Arial"/>
                <w:color w:val="000000"/>
                <w:sz w:val="20"/>
                <w:szCs w:val="20"/>
              </w:rPr>
              <w:t>69</w:t>
            </w:r>
          </w:p>
        </w:tc>
      </w:tr>
      <w:tr w:rsidR="007A0D8D" w:rsidRPr="002048A7" w14:paraId="19F10376" w14:textId="77777777" w:rsidTr="007A0D8D">
        <w:trPr>
          <w:trHeight w:val="340"/>
        </w:trPr>
        <w:tc>
          <w:tcPr>
            <w:tcW w:w="362" w:type="pct"/>
            <w:vMerge/>
            <w:vAlign w:val="center"/>
            <w:hideMark/>
          </w:tcPr>
          <w:p w14:paraId="732C2237" w14:textId="77777777" w:rsidR="007A0D8D" w:rsidRPr="002048A7" w:rsidRDefault="007A0D8D" w:rsidP="007A0D8D">
            <w:pPr>
              <w:spacing w:after="0" w:line="240" w:lineRule="auto"/>
              <w:jc w:val="left"/>
              <w:rPr>
                <w:rFonts w:ascii="Calibri" w:eastAsia="Times New Roman" w:hAnsi="Calibri" w:cs="Calibri"/>
                <w:b/>
                <w:bCs/>
                <w:color w:val="000000"/>
                <w:lang w:eastAsia="tr-TR"/>
              </w:rPr>
            </w:pPr>
          </w:p>
        </w:tc>
        <w:tc>
          <w:tcPr>
            <w:tcW w:w="528" w:type="pct"/>
            <w:shd w:val="clear" w:color="auto" w:fill="auto"/>
            <w:hideMark/>
          </w:tcPr>
          <w:p w14:paraId="7F298FA3" w14:textId="77777777" w:rsidR="007A0D8D" w:rsidRPr="002048A7" w:rsidRDefault="007A0D8D" w:rsidP="007A0D8D">
            <w:pPr>
              <w:spacing w:after="0" w:line="240" w:lineRule="auto"/>
              <w:rPr>
                <w:rFonts w:ascii="Calibri" w:eastAsia="Times New Roman" w:hAnsi="Calibri" w:cs="Calibri"/>
                <w:b/>
                <w:bCs/>
                <w:color w:val="000000"/>
                <w:lang w:eastAsia="tr-TR"/>
              </w:rPr>
            </w:pPr>
            <w:r w:rsidRPr="002048A7">
              <w:rPr>
                <w:rFonts w:ascii="Arial" w:eastAsia="Arial" w:hAnsi="Arial"/>
                <w:b/>
                <w:color w:val="000000"/>
                <w:sz w:val="20"/>
              </w:rPr>
              <w:t>Kömür</w:t>
            </w:r>
          </w:p>
        </w:tc>
        <w:tc>
          <w:tcPr>
            <w:tcW w:w="738" w:type="pct"/>
            <w:tcBorders>
              <w:top w:val="single" w:sz="7" w:space="0" w:color="D3D3D3"/>
              <w:left w:val="single" w:sz="7" w:space="0" w:color="D3D3D3"/>
              <w:bottom w:val="single" w:sz="7" w:space="0" w:color="D3D3D3"/>
              <w:right w:val="single" w:sz="7" w:space="0" w:color="D3D3D3"/>
            </w:tcBorders>
            <w:hideMark/>
          </w:tcPr>
          <w:p w14:paraId="78786390"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784" w:type="pct"/>
            <w:tcBorders>
              <w:top w:val="single" w:sz="7" w:space="0" w:color="D3D3D3"/>
              <w:left w:val="single" w:sz="7" w:space="0" w:color="D3D3D3"/>
              <w:bottom w:val="single" w:sz="7" w:space="0" w:color="D3D3D3"/>
              <w:right w:val="single" w:sz="7" w:space="0" w:color="D3D3D3"/>
            </w:tcBorders>
            <w:hideMark/>
          </w:tcPr>
          <w:p w14:paraId="3D907530" w14:textId="77777777" w:rsidR="007A0D8D" w:rsidRPr="002048A7" w:rsidRDefault="007A0D8D" w:rsidP="007A0D8D">
            <w:pPr>
              <w:spacing w:after="0" w:line="240" w:lineRule="auto"/>
              <w:jc w:val="right"/>
              <w:rPr>
                <w:rFonts w:eastAsia="Times New Roman" w:cstheme="minorHAnsi"/>
                <w:color w:val="000000"/>
                <w:lang w:eastAsia="tr-TR"/>
              </w:rPr>
            </w:pPr>
            <w:r>
              <w:rPr>
                <w:rFonts w:ascii="Arial" w:eastAsia="Arial" w:hAnsi="Arial"/>
                <w:color w:val="000000"/>
                <w:sz w:val="20"/>
              </w:rPr>
              <w:t>0,000</w:t>
            </w:r>
          </w:p>
        </w:tc>
        <w:tc>
          <w:tcPr>
            <w:tcW w:w="743" w:type="pct"/>
            <w:tcBorders>
              <w:top w:val="single" w:sz="7" w:space="0" w:color="D3D3D3"/>
              <w:left w:val="single" w:sz="7" w:space="0" w:color="D3D3D3"/>
              <w:bottom w:val="single" w:sz="7" w:space="0" w:color="D3D3D3"/>
              <w:right w:val="single" w:sz="7" w:space="0" w:color="D3D3D3"/>
            </w:tcBorders>
            <w:hideMark/>
          </w:tcPr>
          <w:p w14:paraId="69EC7F3D"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488" w:type="pct"/>
            <w:tcBorders>
              <w:top w:val="single" w:sz="7" w:space="0" w:color="D3D3D3"/>
              <w:left w:val="single" w:sz="7" w:space="0" w:color="D3D3D3"/>
              <w:bottom w:val="single" w:sz="7" w:space="0" w:color="D3D3D3"/>
              <w:right w:val="single" w:sz="7" w:space="0" w:color="D3D3D3"/>
            </w:tcBorders>
            <w:hideMark/>
          </w:tcPr>
          <w:p w14:paraId="30DA27F8"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863" w:type="pct"/>
            <w:tcBorders>
              <w:top w:val="single" w:sz="7" w:space="0" w:color="D3D3D3"/>
              <w:left w:val="single" w:sz="7" w:space="0" w:color="D3D3D3"/>
              <w:bottom w:val="single" w:sz="7" w:space="0" w:color="D3D3D3"/>
              <w:right w:val="single" w:sz="7" w:space="0" w:color="D3D3D3"/>
            </w:tcBorders>
            <w:hideMark/>
          </w:tcPr>
          <w:p w14:paraId="3C3C22A5" w14:textId="77777777" w:rsidR="007A0D8D" w:rsidRPr="002048A7" w:rsidRDefault="007A0D8D" w:rsidP="007A0D8D">
            <w:pPr>
              <w:spacing w:after="0" w:line="240" w:lineRule="auto"/>
              <w:jc w:val="right"/>
              <w:rPr>
                <w:rFonts w:eastAsia="Times New Roman" w:cstheme="minorHAnsi"/>
                <w:color w:val="000000"/>
                <w:lang w:eastAsia="tr-TR"/>
              </w:rPr>
            </w:pPr>
            <w:r>
              <w:rPr>
                <w:rFonts w:ascii="Arial" w:hAnsi="Arial" w:cs="Arial"/>
                <w:color w:val="000000"/>
                <w:sz w:val="20"/>
                <w:szCs w:val="20"/>
              </w:rPr>
              <w:t>604,877</w:t>
            </w:r>
          </w:p>
        </w:tc>
        <w:tc>
          <w:tcPr>
            <w:tcW w:w="495" w:type="pct"/>
            <w:tcBorders>
              <w:top w:val="single" w:sz="7" w:space="0" w:color="D3D3D3"/>
              <w:left w:val="single" w:sz="7" w:space="0" w:color="D3D3D3"/>
              <w:bottom w:val="single" w:sz="7" w:space="0" w:color="D3D3D3"/>
              <w:right w:val="single" w:sz="7" w:space="0" w:color="D3D3D3"/>
            </w:tcBorders>
            <w:hideMark/>
          </w:tcPr>
          <w:p w14:paraId="6A09EDB4" w14:textId="77777777" w:rsidR="007A0D8D" w:rsidRPr="002048A7" w:rsidRDefault="007A0D8D" w:rsidP="007A0D8D">
            <w:pPr>
              <w:spacing w:after="0" w:line="240" w:lineRule="auto"/>
              <w:jc w:val="right"/>
              <w:rPr>
                <w:rFonts w:eastAsia="Times New Roman" w:cstheme="minorHAnsi"/>
                <w:color w:val="000000"/>
                <w:lang w:eastAsia="tr-TR"/>
              </w:rPr>
            </w:pPr>
            <w:r>
              <w:rPr>
                <w:rFonts w:ascii="Arial" w:hAnsi="Arial" w:cs="Arial"/>
                <w:color w:val="000000"/>
                <w:sz w:val="20"/>
                <w:szCs w:val="20"/>
              </w:rPr>
              <w:t>16</w:t>
            </w:r>
          </w:p>
        </w:tc>
      </w:tr>
      <w:tr w:rsidR="007A0D8D" w:rsidRPr="002048A7" w14:paraId="6B152E6C" w14:textId="77777777" w:rsidTr="007A0D8D">
        <w:trPr>
          <w:trHeight w:val="340"/>
        </w:trPr>
        <w:tc>
          <w:tcPr>
            <w:tcW w:w="362" w:type="pct"/>
            <w:vMerge/>
            <w:vAlign w:val="center"/>
            <w:hideMark/>
          </w:tcPr>
          <w:p w14:paraId="4E1E7D04" w14:textId="77777777" w:rsidR="007A0D8D" w:rsidRPr="002048A7" w:rsidRDefault="007A0D8D" w:rsidP="007A0D8D">
            <w:pPr>
              <w:spacing w:after="0" w:line="240" w:lineRule="auto"/>
              <w:jc w:val="left"/>
              <w:rPr>
                <w:rFonts w:ascii="Calibri" w:eastAsia="Times New Roman" w:hAnsi="Calibri" w:cs="Calibri"/>
                <w:b/>
                <w:bCs/>
                <w:color w:val="000000"/>
                <w:lang w:eastAsia="tr-TR"/>
              </w:rPr>
            </w:pPr>
          </w:p>
        </w:tc>
        <w:tc>
          <w:tcPr>
            <w:tcW w:w="528" w:type="pct"/>
            <w:shd w:val="clear" w:color="auto" w:fill="auto"/>
            <w:hideMark/>
          </w:tcPr>
          <w:p w14:paraId="02AED04F" w14:textId="77777777" w:rsidR="007A0D8D" w:rsidRPr="002048A7" w:rsidRDefault="007A0D8D" w:rsidP="007A0D8D">
            <w:pPr>
              <w:spacing w:after="0" w:line="240" w:lineRule="auto"/>
              <w:rPr>
                <w:rFonts w:ascii="Calibri" w:eastAsia="Times New Roman" w:hAnsi="Calibri" w:cs="Calibri"/>
                <w:b/>
                <w:bCs/>
                <w:color w:val="000000"/>
                <w:lang w:eastAsia="tr-TR"/>
              </w:rPr>
            </w:pPr>
            <w:r w:rsidRPr="002048A7">
              <w:rPr>
                <w:rFonts w:ascii="Arial" w:eastAsia="Arial" w:hAnsi="Arial"/>
                <w:b/>
                <w:color w:val="000000"/>
                <w:sz w:val="20"/>
              </w:rPr>
              <w:t>Motorin</w:t>
            </w:r>
          </w:p>
        </w:tc>
        <w:tc>
          <w:tcPr>
            <w:tcW w:w="738" w:type="pct"/>
            <w:tcBorders>
              <w:top w:val="single" w:sz="7" w:space="0" w:color="D3D3D3"/>
              <w:left w:val="single" w:sz="7" w:space="0" w:color="D3D3D3"/>
              <w:bottom w:val="single" w:sz="7" w:space="0" w:color="D3D3D3"/>
              <w:right w:val="single" w:sz="7" w:space="0" w:color="D3D3D3"/>
            </w:tcBorders>
            <w:hideMark/>
          </w:tcPr>
          <w:p w14:paraId="077A0F9D"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784" w:type="pct"/>
            <w:tcBorders>
              <w:top w:val="single" w:sz="7" w:space="0" w:color="D3D3D3"/>
              <w:left w:val="single" w:sz="7" w:space="0" w:color="D3D3D3"/>
              <w:bottom w:val="single" w:sz="7" w:space="0" w:color="D3D3D3"/>
              <w:right w:val="single" w:sz="7" w:space="0" w:color="D3D3D3"/>
            </w:tcBorders>
            <w:hideMark/>
          </w:tcPr>
          <w:p w14:paraId="70B5B441"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743" w:type="pct"/>
            <w:tcBorders>
              <w:top w:val="single" w:sz="7" w:space="0" w:color="D3D3D3"/>
              <w:left w:val="single" w:sz="7" w:space="0" w:color="D3D3D3"/>
              <w:bottom w:val="single" w:sz="7" w:space="0" w:color="D3D3D3"/>
              <w:right w:val="single" w:sz="7" w:space="0" w:color="D3D3D3"/>
            </w:tcBorders>
            <w:hideMark/>
          </w:tcPr>
          <w:p w14:paraId="05D1179F"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488" w:type="pct"/>
            <w:tcBorders>
              <w:top w:val="single" w:sz="7" w:space="0" w:color="D3D3D3"/>
              <w:left w:val="single" w:sz="7" w:space="0" w:color="D3D3D3"/>
              <w:bottom w:val="single" w:sz="7" w:space="0" w:color="D3D3D3"/>
              <w:right w:val="single" w:sz="7" w:space="0" w:color="D3D3D3"/>
            </w:tcBorders>
            <w:hideMark/>
          </w:tcPr>
          <w:p w14:paraId="4183D640"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863" w:type="pct"/>
            <w:tcBorders>
              <w:top w:val="single" w:sz="7" w:space="0" w:color="D3D3D3"/>
              <w:left w:val="single" w:sz="7" w:space="0" w:color="D3D3D3"/>
              <w:bottom w:val="single" w:sz="7" w:space="0" w:color="D3D3D3"/>
              <w:right w:val="single" w:sz="7" w:space="0" w:color="D3D3D3"/>
            </w:tcBorders>
            <w:hideMark/>
          </w:tcPr>
          <w:p w14:paraId="79BF2485"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ascii="Arial" w:eastAsia="Arial" w:hAnsi="Arial"/>
                <w:color w:val="000000"/>
                <w:sz w:val="20"/>
              </w:rPr>
              <w:t>209,864</w:t>
            </w:r>
          </w:p>
        </w:tc>
        <w:tc>
          <w:tcPr>
            <w:tcW w:w="495" w:type="pct"/>
            <w:tcBorders>
              <w:top w:val="single" w:sz="7" w:space="0" w:color="D3D3D3"/>
              <w:left w:val="single" w:sz="7" w:space="0" w:color="D3D3D3"/>
              <w:bottom w:val="single" w:sz="7" w:space="0" w:color="D3D3D3"/>
              <w:right w:val="single" w:sz="7" w:space="0" w:color="D3D3D3"/>
            </w:tcBorders>
            <w:hideMark/>
          </w:tcPr>
          <w:p w14:paraId="34E90943"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ascii="Arial" w:eastAsia="Arial" w:hAnsi="Arial"/>
                <w:color w:val="000000"/>
                <w:sz w:val="20"/>
              </w:rPr>
              <w:t>9</w:t>
            </w:r>
          </w:p>
        </w:tc>
      </w:tr>
      <w:tr w:rsidR="007A0D8D" w:rsidRPr="002048A7" w14:paraId="47210D23" w14:textId="77777777" w:rsidTr="007A0D8D">
        <w:trPr>
          <w:trHeight w:val="340"/>
        </w:trPr>
        <w:tc>
          <w:tcPr>
            <w:tcW w:w="362" w:type="pct"/>
            <w:vMerge/>
            <w:vAlign w:val="center"/>
            <w:hideMark/>
          </w:tcPr>
          <w:p w14:paraId="26A2D255" w14:textId="77777777" w:rsidR="007A0D8D" w:rsidRPr="002048A7" w:rsidRDefault="007A0D8D" w:rsidP="007A0D8D">
            <w:pPr>
              <w:spacing w:after="0" w:line="240" w:lineRule="auto"/>
              <w:jc w:val="left"/>
              <w:rPr>
                <w:rFonts w:ascii="Calibri" w:eastAsia="Times New Roman" w:hAnsi="Calibri" w:cs="Calibri"/>
                <w:b/>
                <w:bCs/>
                <w:color w:val="000000"/>
                <w:lang w:eastAsia="tr-TR"/>
              </w:rPr>
            </w:pPr>
          </w:p>
        </w:tc>
        <w:tc>
          <w:tcPr>
            <w:tcW w:w="528" w:type="pct"/>
            <w:shd w:val="clear" w:color="auto" w:fill="auto"/>
            <w:hideMark/>
          </w:tcPr>
          <w:p w14:paraId="4F6BCC56" w14:textId="77777777" w:rsidR="007A0D8D" w:rsidRPr="002048A7" w:rsidRDefault="007A0D8D" w:rsidP="007A0D8D">
            <w:pPr>
              <w:spacing w:after="0" w:line="240" w:lineRule="auto"/>
              <w:rPr>
                <w:rFonts w:ascii="Calibri" w:eastAsia="Times New Roman" w:hAnsi="Calibri" w:cs="Calibri"/>
                <w:b/>
                <w:bCs/>
                <w:color w:val="000000"/>
                <w:lang w:eastAsia="tr-TR"/>
              </w:rPr>
            </w:pPr>
            <w:r w:rsidRPr="002048A7">
              <w:rPr>
                <w:rFonts w:ascii="Arial" w:eastAsia="Arial" w:hAnsi="Arial"/>
                <w:b/>
                <w:color w:val="000000"/>
                <w:sz w:val="20"/>
              </w:rPr>
              <w:t>Nafta</w:t>
            </w:r>
          </w:p>
        </w:tc>
        <w:tc>
          <w:tcPr>
            <w:tcW w:w="738" w:type="pct"/>
            <w:tcBorders>
              <w:top w:val="single" w:sz="7" w:space="0" w:color="D3D3D3"/>
              <w:left w:val="single" w:sz="7" w:space="0" w:color="D3D3D3"/>
              <w:bottom w:val="single" w:sz="7" w:space="0" w:color="D3D3D3"/>
              <w:right w:val="single" w:sz="7" w:space="0" w:color="D3D3D3"/>
            </w:tcBorders>
            <w:hideMark/>
          </w:tcPr>
          <w:p w14:paraId="758AE7B0"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784" w:type="pct"/>
            <w:tcBorders>
              <w:top w:val="single" w:sz="7" w:space="0" w:color="D3D3D3"/>
              <w:left w:val="single" w:sz="7" w:space="0" w:color="D3D3D3"/>
              <w:bottom w:val="single" w:sz="7" w:space="0" w:color="D3D3D3"/>
              <w:right w:val="single" w:sz="7" w:space="0" w:color="D3D3D3"/>
            </w:tcBorders>
            <w:hideMark/>
          </w:tcPr>
          <w:p w14:paraId="6CE75314"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743" w:type="pct"/>
            <w:tcBorders>
              <w:top w:val="single" w:sz="7" w:space="0" w:color="D3D3D3"/>
              <w:left w:val="single" w:sz="7" w:space="0" w:color="D3D3D3"/>
              <w:bottom w:val="single" w:sz="7" w:space="0" w:color="D3D3D3"/>
              <w:right w:val="single" w:sz="7" w:space="0" w:color="D3D3D3"/>
            </w:tcBorders>
            <w:hideMark/>
          </w:tcPr>
          <w:p w14:paraId="016B281F"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488" w:type="pct"/>
            <w:tcBorders>
              <w:top w:val="single" w:sz="7" w:space="0" w:color="D3D3D3"/>
              <w:left w:val="single" w:sz="7" w:space="0" w:color="D3D3D3"/>
              <w:bottom w:val="single" w:sz="7" w:space="0" w:color="D3D3D3"/>
              <w:right w:val="single" w:sz="7" w:space="0" w:color="D3D3D3"/>
            </w:tcBorders>
            <w:hideMark/>
          </w:tcPr>
          <w:p w14:paraId="06EED880"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863" w:type="pct"/>
            <w:tcBorders>
              <w:top w:val="single" w:sz="7" w:space="0" w:color="D3D3D3"/>
              <w:left w:val="single" w:sz="7" w:space="0" w:color="D3D3D3"/>
              <w:bottom w:val="single" w:sz="7" w:space="0" w:color="D3D3D3"/>
              <w:right w:val="single" w:sz="7" w:space="0" w:color="D3D3D3"/>
            </w:tcBorders>
            <w:hideMark/>
          </w:tcPr>
          <w:p w14:paraId="13F45290"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ascii="Arial" w:eastAsia="Arial" w:hAnsi="Arial"/>
                <w:color w:val="000000"/>
                <w:sz w:val="20"/>
              </w:rPr>
              <w:t>16,872</w:t>
            </w:r>
          </w:p>
        </w:tc>
        <w:tc>
          <w:tcPr>
            <w:tcW w:w="495" w:type="pct"/>
            <w:tcBorders>
              <w:top w:val="single" w:sz="7" w:space="0" w:color="D3D3D3"/>
              <w:left w:val="single" w:sz="7" w:space="0" w:color="D3D3D3"/>
              <w:bottom w:val="single" w:sz="7" w:space="0" w:color="D3D3D3"/>
              <w:right w:val="single" w:sz="7" w:space="0" w:color="D3D3D3"/>
            </w:tcBorders>
            <w:hideMark/>
          </w:tcPr>
          <w:p w14:paraId="1F1015CD"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ascii="Arial" w:eastAsia="Arial" w:hAnsi="Arial"/>
                <w:color w:val="000000"/>
                <w:sz w:val="20"/>
              </w:rPr>
              <w:t>2</w:t>
            </w:r>
          </w:p>
        </w:tc>
      </w:tr>
      <w:tr w:rsidR="007A0D8D" w:rsidRPr="002048A7" w14:paraId="67D044FA" w14:textId="77777777" w:rsidTr="007A0D8D">
        <w:trPr>
          <w:trHeight w:val="340"/>
        </w:trPr>
        <w:tc>
          <w:tcPr>
            <w:tcW w:w="362" w:type="pct"/>
            <w:vMerge/>
            <w:vAlign w:val="center"/>
            <w:hideMark/>
          </w:tcPr>
          <w:p w14:paraId="5A01C7A0" w14:textId="77777777" w:rsidR="007A0D8D" w:rsidRPr="002048A7" w:rsidRDefault="007A0D8D" w:rsidP="007A0D8D">
            <w:pPr>
              <w:spacing w:after="0" w:line="240" w:lineRule="auto"/>
              <w:jc w:val="left"/>
              <w:rPr>
                <w:rFonts w:ascii="Calibri" w:eastAsia="Times New Roman" w:hAnsi="Calibri" w:cs="Calibri"/>
                <w:b/>
                <w:bCs/>
                <w:color w:val="000000"/>
                <w:lang w:eastAsia="tr-TR"/>
              </w:rPr>
            </w:pPr>
          </w:p>
        </w:tc>
        <w:tc>
          <w:tcPr>
            <w:tcW w:w="528" w:type="pct"/>
            <w:shd w:val="clear" w:color="auto" w:fill="auto"/>
            <w:hideMark/>
          </w:tcPr>
          <w:p w14:paraId="1154276F" w14:textId="77777777" w:rsidR="007A0D8D" w:rsidRPr="002048A7" w:rsidRDefault="007A0D8D" w:rsidP="007A0D8D">
            <w:pPr>
              <w:spacing w:after="0" w:line="240" w:lineRule="auto"/>
              <w:rPr>
                <w:rFonts w:ascii="Calibri" w:eastAsia="Times New Roman" w:hAnsi="Calibri" w:cs="Calibri"/>
                <w:b/>
                <w:bCs/>
                <w:color w:val="000000"/>
                <w:lang w:eastAsia="tr-TR"/>
              </w:rPr>
            </w:pPr>
            <w:r w:rsidRPr="002048A7">
              <w:rPr>
                <w:rFonts w:ascii="Arial" w:eastAsia="Arial" w:hAnsi="Arial"/>
                <w:b/>
                <w:color w:val="000000"/>
                <w:sz w:val="20"/>
              </w:rPr>
              <w:t>Prolitik Oil &amp; Prolitik Gaz</w:t>
            </w:r>
          </w:p>
        </w:tc>
        <w:tc>
          <w:tcPr>
            <w:tcW w:w="738" w:type="pct"/>
            <w:tcBorders>
              <w:top w:val="single" w:sz="7" w:space="0" w:color="D3D3D3"/>
              <w:left w:val="single" w:sz="7" w:space="0" w:color="D3D3D3"/>
              <w:bottom w:val="single" w:sz="7" w:space="0" w:color="D3D3D3"/>
              <w:right w:val="single" w:sz="7" w:space="0" w:color="D3D3D3"/>
            </w:tcBorders>
            <w:hideMark/>
          </w:tcPr>
          <w:p w14:paraId="64798CC9"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784" w:type="pct"/>
            <w:tcBorders>
              <w:top w:val="single" w:sz="7" w:space="0" w:color="D3D3D3"/>
              <w:left w:val="single" w:sz="7" w:space="0" w:color="D3D3D3"/>
              <w:bottom w:val="single" w:sz="7" w:space="0" w:color="D3D3D3"/>
              <w:right w:val="single" w:sz="7" w:space="0" w:color="D3D3D3"/>
            </w:tcBorders>
            <w:hideMark/>
          </w:tcPr>
          <w:p w14:paraId="261AF574"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743" w:type="pct"/>
            <w:tcBorders>
              <w:top w:val="single" w:sz="7" w:space="0" w:color="D3D3D3"/>
              <w:left w:val="single" w:sz="7" w:space="0" w:color="D3D3D3"/>
              <w:bottom w:val="single" w:sz="7" w:space="0" w:color="D3D3D3"/>
              <w:right w:val="single" w:sz="7" w:space="0" w:color="D3D3D3"/>
            </w:tcBorders>
            <w:hideMark/>
          </w:tcPr>
          <w:p w14:paraId="73473556"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488" w:type="pct"/>
            <w:tcBorders>
              <w:top w:val="single" w:sz="7" w:space="0" w:color="D3D3D3"/>
              <w:left w:val="single" w:sz="7" w:space="0" w:color="D3D3D3"/>
              <w:bottom w:val="single" w:sz="7" w:space="0" w:color="D3D3D3"/>
              <w:right w:val="single" w:sz="7" w:space="0" w:color="D3D3D3"/>
            </w:tcBorders>
            <w:hideMark/>
          </w:tcPr>
          <w:p w14:paraId="0DD6080D"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863" w:type="pct"/>
            <w:tcBorders>
              <w:top w:val="single" w:sz="7" w:space="0" w:color="D3D3D3"/>
              <w:left w:val="single" w:sz="7" w:space="0" w:color="D3D3D3"/>
              <w:bottom w:val="single" w:sz="7" w:space="0" w:color="D3D3D3"/>
              <w:right w:val="single" w:sz="7" w:space="0" w:color="D3D3D3"/>
            </w:tcBorders>
            <w:hideMark/>
          </w:tcPr>
          <w:p w14:paraId="66FF8C19"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495" w:type="pct"/>
            <w:tcBorders>
              <w:top w:val="single" w:sz="7" w:space="0" w:color="D3D3D3"/>
              <w:left w:val="single" w:sz="7" w:space="0" w:color="D3D3D3"/>
              <w:bottom w:val="single" w:sz="7" w:space="0" w:color="D3D3D3"/>
              <w:right w:val="single" w:sz="7" w:space="0" w:color="D3D3D3"/>
            </w:tcBorders>
            <w:hideMark/>
          </w:tcPr>
          <w:p w14:paraId="74AE8FD1"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ascii="Arial" w:eastAsia="Arial" w:hAnsi="Arial"/>
                <w:color w:val="000000"/>
                <w:sz w:val="20"/>
              </w:rPr>
              <w:t>0</w:t>
            </w:r>
          </w:p>
        </w:tc>
      </w:tr>
      <w:tr w:rsidR="007A0D8D" w:rsidRPr="002048A7" w14:paraId="47003C83" w14:textId="77777777" w:rsidTr="007A0D8D">
        <w:trPr>
          <w:trHeight w:val="340"/>
        </w:trPr>
        <w:tc>
          <w:tcPr>
            <w:tcW w:w="362" w:type="pct"/>
            <w:vMerge/>
            <w:vAlign w:val="center"/>
            <w:hideMark/>
          </w:tcPr>
          <w:p w14:paraId="3BF314FF" w14:textId="77777777" w:rsidR="007A0D8D" w:rsidRPr="002048A7" w:rsidRDefault="007A0D8D" w:rsidP="007A0D8D">
            <w:pPr>
              <w:spacing w:after="0" w:line="240" w:lineRule="auto"/>
              <w:jc w:val="left"/>
              <w:rPr>
                <w:rFonts w:ascii="Calibri" w:eastAsia="Times New Roman" w:hAnsi="Calibri" w:cs="Calibri"/>
                <w:b/>
                <w:bCs/>
                <w:color w:val="000000"/>
                <w:lang w:eastAsia="tr-TR"/>
              </w:rPr>
            </w:pPr>
          </w:p>
        </w:tc>
        <w:tc>
          <w:tcPr>
            <w:tcW w:w="528" w:type="pct"/>
            <w:shd w:val="clear" w:color="auto" w:fill="auto"/>
            <w:hideMark/>
          </w:tcPr>
          <w:p w14:paraId="77793CDF" w14:textId="77777777" w:rsidR="007A0D8D" w:rsidRPr="002048A7" w:rsidRDefault="007A0D8D" w:rsidP="007A0D8D">
            <w:pPr>
              <w:spacing w:after="0" w:line="240" w:lineRule="auto"/>
              <w:rPr>
                <w:rFonts w:ascii="Calibri" w:eastAsia="Times New Roman" w:hAnsi="Calibri" w:cs="Calibri"/>
                <w:b/>
                <w:bCs/>
                <w:color w:val="000000"/>
                <w:lang w:eastAsia="tr-TR"/>
              </w:rPr>
            </w:pPr>
            <w:r w:rsidRPr="002048A7">
              <w:rPr>
                <w:rFonts w:ascii="Arial" w:eastAsia="Arial" w:hAnsi="Arial"/>
                <w:b/>
                <w:color w:val="000000"/>
                <w:sz w:val="20"/>
              </w:rPr>
              <w:t>Proses Atık Isısı</w:t>
            </w:r>
          </w:p>
        </w:tc>
        <w:tc>
          <w:tcPr>
            <w:tcW w:w="738" w:type="pct"/>
            <w:tcBorders>
              <w:top w:val="single" w:sz="7" w:space="0" w:color="D3D3D3"/>
              <w:left w:val="single" w:sz="7" w:space="0" w:color="D3D3D3"/>
              <w:bottom w:val="single" w:sz="7" w:space="0" w:color="D3D3D3"/>
              <w:right w:val="single" w:sz="7" w:space="0" w:color="D3D3D3"/>
            </w:tcBorders>
            <w:hideMark/>
          </w:tcPr>
          <w:p w14:paraId="012126BC"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784" w:type="pct"/>
            <w:tcBorders>
              <w:top w:val="single" w:sz="7" w:space="0" w:color="D3D3D3"/>
              <w:left w:val="single" w:sz="7" w:space="0" w:color="D3D3D3"/>
              <w:bottom w:val="single" w:sz="7" w:space="0" w:color="D3D3D3"/>
              <w:right w:val="single" w:sz="7" w:space="0" w:color="D3D3D3"/>
            </w:tcBorders>
            <w:hideMark/>
          </w:tcPr>
          <w:p w14:paraId="6FD7A72D"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743" w:type="pct"/>
            <w:tcBorders>
              <w:top w:val="single" w:sz="7" w:space="0" w:color="D3D3D3"/>
              <w:left w:val="single" w:sz="7" w:space="0" w:color="D3D3D3"/>
              <w:bottom w:val="single" w:sz="7" w:space="0" w:color="D3D3D3"/>
              <w:right w:val="single" w:sz="7" w:space="0" w:color="D3D3D3"/>
            </w:tcBorders>
            <w:hideMark/>
          </w:tcPr>
          <w:p w14:paraId="3F3561FC"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488" w:type="pct"/>
            <w:tcBorders>
              <w:top w:val="single" w:sz="7" w:space="0" w:color="D3D3D3"/>
              <w:left w:val="single" w:sz="7" w:space="0" w:color="D3D3D3"/>
              <w:bottom w:val="single" w:sz="7" w:space="0" w:color="D3D3D3"/>
              <w:right w:val="single" w:sz="7" w:space="0" w:color="D3D3D3"/>
            </w:tcBorders>
            <w:hideMark/>
          </w:tcPr>
          <w:p w14:paraId="7DFCD07E"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863" w:type="pct"/>
            <w:tcBorders>
              <w:top w:val="single" w:sz="7" w:space="0" w:color="D3D3D3"/>
              <w:left w:val="single" w:sz="7" w:space="0" w:color="D3D3D3"/>
              <w:bottom w:val="single" w:sz="7" w:space="0" w:color="D3D3D3"/>
              <w:right w:val="single" w:sz="7" w:space="0" w:color="D3D3D3"/>
            </w:tcBorders>
            <w:hideMark/>
          </w:tcPr>
          <w:p w14:paraId="66D76AB5"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ascii="Arial" w:eastAsia="Arial" w:hAnsi="Arial"/>
                <w:color w:val="000000"/>
                <w:sz w:val="20"/>
              </w:rPr>
              <w:t>161,945</w:t>
            </w:r>
          </w:p>
        </w:tc>
        <w:tc>
          <w:tcPr>
            <w:tcW w:w="495" w:type="pct"/>
            <w:tcBorders>
              <w:top w:val="single" w:sz="7" w:space="0" w:color="D3D3D3"/>
              <w:left w:val="single" w:sz="7" w:space="0" w:color="D3D3D3"/>
              <w:bottom w:val="single" w:sz="7" w:space="0" w:color="D3D3D3"/>
              <w:right w:val="single" w:sz="7" w:space="0" w:color="D3D3D3"/>
            </w:tcBorders>
            <w:hideMark/>
          </w:tcPr>
          <w:p w14:paraId="7125822F"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ascii="Arial" w:eastAsia="Arial" w:hAnsi="Arial"/>
                <w:color w:val="000000"/>
                <w:sz w:val="20"/>
              </w:rPr>
              <w:t>14</w:t>
            </w:r>
          </w:p>
        </w:tc>
      </w:tr>
      <w:tr w:rsidR="007A0D8D" w:rsidRPr="002048A7" w14:paraId="4C846B9B" w14:textId="77777777" w:rsidTr="007A0D8D">
        <w:trPr>
          <w:trHeight w:val="340"/>
        </w:trPr>
        <w:tc>
          <w:tcPr>
            <w:tcW w:w="362" w:type="pct"/>
            <w:vMerge/>
            <w:vAlign w:val="center"/>
            <w:hideMark/>
          </w:tcPr>
          <w:p w14:paraId="6F1E35BE" w14:textId="77777777" w:rsidR="007A0D8D" w:rsidRPr="002048A7" w:rsidRDefault="007A0D8D" w:rsidP="007A0D8D">
            <w:pPr>
              <w:spacing w:after="0" w:line="240" w:lineRule="auto"/>
              <w:jc w:val="left"/>
              <w:rPr>
                <w:rFonts w:ascii="Calibri" w:eastAsia="Times New Roman" w:hAnsi="Calibri" w:cs="Calibri"/>
                <w:b/>
                <w:bCs/>
                <w:color w:val="000000"/>
                <w:lang w:eastAsia="tr-TR"/>
              </w:rPr>
            </w:pPr>
          </w:p>
        </w:tc>
        <w:tc>
          <w:tcPr>
            <w:tcW w:w="528" w:type="pct"/>
            <w:shd w:val="clear" w:color="auto" w:fill="auto"/>
            <w:hideMark/>
          </w:tcPr>
          <w:p w14:paraId="7500B727" w14:textId="77777777" w:rsidR="007A0D8D" w:rsidRPr="002048A7" w:rsidRDefault="007A0D8D" w:rsidP="007A0D8D">
            <w:pPr>
              <w:spacing w:after="0" w:line="240" w:lineRule="auto"/>
              <w:rPr>
                <w:rFonts w:ascii="Calibri" w:eastAsia="Times New Roman" w:hAnsi="Calibri" w:cs="Calibri"/>
                <w:b/>
                <w:bCs/>
                <w:color w:val="000000"/>
                <w:lang w:eastAsia="tr-TR"/>
              </w:rPr>
            </w:pPr>
            <w:r w:rsidRPr="002048A7">
              <w:rPr>
                <w:rFonts w:ascii="Arial" w:eastAsia="Arial" w:hAnsi="Arial"/>
                <w:b/>
                <w:color w:val="000000"/>
                <w:sz w:val="20"/>
              </w:rPr>
              <w:t>Rüzgâr</w:t>
            </w:r>
          </w:p>
        </w:tc>
        <w:tc>
          <w:tcPr>
            <w:tcW w:w="738" w:type="pct"/>
            <w:tcBorders>
              <w:top w:val="single" w:sz="7" w:space="0" w:color="D3D3D3"/>
              <w:left w:val="single" w:sz="7" w:space="0" w:color="D3D3D3"/>
              <w:bottom w:val="single" w:sz="7" w:space="0" w:color="D3D3D3"/>
              <w:right w:val="single" w:sz="7" w:space="0" w:color="D3D3D3"/>
            </w:tcBorders>
            <w:hideMark/>
          </w:tcPr>
          <w:p w14:paraId="377F3A32" w14:textId="77777777" w:rsidR="007A0D8D" w:rsidRPr="002048A7" w:rsidRDefault="007A0D8D" w:rsidP="007A0D8D">
            <w:pPr>
              <w:spacing w:after="0" w:line="240" w:lineRule="auto"/>
              <w:jc w:val="right"/>
              <w:rPr>
                <w:rFonts w:eastAsia="Times New Roman" w:cstheme="minorHAnsi"/>
                <w:color w:val="000000"/>
                <w:lang w:eastAsia="tr-TR"/>
              </w:rPr>
            </w:pPr>
            <w:r>
              <w:rPr>
                <w:rFonts w:ascii="Arial" w:hAnsi="Arial" w:cs="Arial"/>
                <w:color w:val="000000"/>
                <w:sz w:val="20"/>
                <w:szCs w:val="20"/>
              </w:rPr>
              <w:t>961,462</w:t>
            </w:r>
          </w:p>
        </w:tc>
        <w:tc>
          <w:tcPr>
            <w:tcW w:w="784" w:type="pct"/>
            <w:tcBorders>
              <w:top w:val="single" w:sz="7" w:space="0" w:color="D3D3D3"/>
              <w:left w:val="single" w:sz="7" w:space="0" w:color="D3D3D3"/>
              <w:bottom w:val="single" w:sz="7" w:space="0" w:color="D3D3D3"/>
              <w:right w:val="single" w:sz="7" w:space="0" w:color="D3D3D3"/>
            </w:tcBorders>
            <w:hideMark/>
          </w:tcPr>
          <w:p w14:paraId="26E860B7" w14:textId="77777777" w:rsidR="007A0D8D" w:rsidRPr="002048A7" w:rsidRDefault="007A0D8D" w:rsidP="007A0D8D">
            <w:pPr>
              <w:spacing w:after="0" w:line="240" w:lineRule="auto"/>
              <w:jc w:val="right"/>
              <w:rPr>
                <w:rFonts w:eastAsia="Times New Roman" w:cstheme="minorHAnsi"/>
                <w:color w:val="000000"/>
                <w:lang w:eastAsia="tr-TR"/>
              </w:rPr>
            </w:pPr>
            <w:r>
              <w:rPr>
                <w:rFonts w:ascii="Arial" w:hAnsi="Arial" w:cs="Arial"/>
                <w:color w:val="000000"/>
                <w:sz w:val="20"/>
                <w:szCs w:val="20"/>
              </w:rPr>
              <w:t>980,510</w:t>
            </w:r>
          </w:p>
        </w:tc>
        <w:tc>
          <w:tcPr>
            <w:tcW w:w="743" w:type="pct"/>
            <w:tcBorders>
              <w:top w:val="single" w:sz="7" w:space="0" w:color="D3D3D3"/>
              <w:left w:val="single" w:sz="7" w:space="0" w:color="D3D3D3"/>
              <w:bottom w:val="single" w:sz="7" w:space="0" w:color="D3D3D3"/>
              <w:right w:val="single" w:sz="7" w:space="0" w:color="D3D3D3"/>
            </w:tcBorders>
            <w:hideMark/>
          </w:tcPr>
          <w:p w14:paraId="3BD30A12" w14:textId="77777777" w:rsidR="007A0D8D" w:rsidRPr="002048A7" w:rsidRDefault="007A0D8D" w:rsidP="007A0D8D">
            <w:pPr>
              <w:spacing w:after="0" w:line="240" w:lineRule="auto"/>
              <w:jc w:val="right"/>
              <w:rPr>
                <w:rFonts w:eastAsia="Times New Roman" w:cstheme="minorHAnsi"/>
                <w:color w:val="000000"/>
                <w:lang w:eastAsia="tr-TR"/>
              </w:rPr>
            </w:pPr>
            <w:r>
              <w:rPr>
                <w:rFonts w:ascii="Arial" w:hAnsi="Arial" w:cs="Arial"/>
                <w:color w:val="000000"/>
                <w:sz w:val="20"/>
                <w:szCs w:val="20"/>
              </w:rPr>
              <w:t>240,250</w:t>
            </w:r>
          </w:p>
        </w:tc>
        <w:tc>
          <w:tcPr>
            <w:tcW w:w="488" w:type="pct"/>
            <w:tcBorders>
              <w:top w:val="single" w:sz="7" w:space="0" w:color="D3D3D3"/>
              <w:left w:val="single" w:sz="7" w:space="0" w:color="D3D3D3"/>
              <w:bottom w:val="single" w:sz="7" w:space="0" w:color="D3D3D3"/>
              <w:right w:val="single" w:sz="7" w:space="0" w:color="D3D3D3"/>
            </w:tcBorders>
            <w:hideMark/>
          </w:tcPr>
          <w:p w14:paraId="2A363A38"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ascii="Arial" w:eastAsia="Arial" w:hAnsi="Arial"/>
                <w:color w:val="000000"/>
                <w:sz w:val="20"/>
              </w:rPr>
              <w:t>0,00</w:t>
            </w:r>
          </w:p>
        </w:tc>
        <w:tc>
          <w:tcPr>
            <w:tcW w:w="863" w:type="pct"/>
            <w:tcBorders>
              <w:top w:val="single" w:sz="7" w:space="0" w:color="D3D3D3"/>
              <w:left w:val="single" w:sz="7" w:space="0" w:color="D3D3D3"/>
              <w:bottom w:val="single" w:sz="7" w:space="0" w:color="D3D3D3"/>
              <w:right w:val="single" w:sz="7" w:space="0" w:color="D3D3D3"/>
            </w:tcBorders>
            <w:hideMark/>
          </w:tcPr>
          <w:p w14:paraId="7D643C79" w14:textId="77777777" w:rsidR="007A0D8D" w:rsidRPr="002048A7" w:rsidRDefault="007A0D8D" w:rsidP="007A0D8D">
            <w:pPr>
              <w:spacing w:after="0" w:line="240" w:lineRule="auto"/>
              <w:jc w:val="right"/>
              <w:rPr>
                <w:rFonts w:eastAsia="Times New Roman" w:cstheme="minorHAnsi"/>
                <w:color w:val="000000"/>
                <w:lang w:eastAsia="tr-TR"/>
              </w:rPr>
            </w:pPr>
            <w:r>
              <w:rPr>
                <w:rFonts w:ascii="Arial" w:hAnsi="Arial" w:cs="Arial"/>
                <w:color w:val="000000"/>
                <w:sz w:val="20"/>
                <w:szCs w:val="20"/>
              </w:rPr>
              <w:t>15.575,586</w:t>
            </w:r>
          </w:p>
        </w:tc>
        <w:tc>
          <w:tcPr>
            <w:tcW w:w="495" w:type="pct"/>
            <w:tcBorders>
              <w:top w:val="single" w:sz="7" w:space="0" w:color="D3D3D3"/>
              <w:left w:val="single" w:sz="7" w:space="0" w:color="D3D3D3"/>
              <w:bottom w:val="single" w:sz="7" w:space="0" w:color="D3D3D3"/>
              <w:right w:val="single" w:sz="7" w:space="0" w:color="D3D3D3"/>
            </w:tcBorders>
            <w:hideMark/>
          </w:tcPr>
          <w:p w14:paraId="0970EEC3" w14:textId="77777777" w:rsidR="007A0D8D" w:rsidRPr="002048A7" w:rsidRDefault="007A0D8D" w:rsidP="007A0D8D">
            <w:pPr>
              <w:spacing w:after="0" w:line="240" w:lineRule="auto"/>
              <w:jc w:val="right"/>
              <w:rPr>
                <w:rFonts w:eastAsia="Times New Roman" w:cstheme="minorHAnsi"/>
                <w:color w:val="000000"/>
                <w:lang w:eastAsia="tr-TR"/>
              </w:rPr>
            </w:pPr>
            <w:r>
              <w:rPr>
                <w:rFonts w:ascii="Arial" w:hAnsi="Arial" w:cs="Arial"/>
                <w:color w:val="000000"/>
                <w:sz w:val="20"/>
                <w:szCs w:val="20"/>
              </w:rPr>
              <w:t>309</w:t>
            </w:r>
          </w:p>
        </w:tc>
      </w:tr>
      <w:tr w:rsidR="007A0D8D" w:rsidRPr="002048A7" w14:paraId="02D47942" w14:textId="77777777" w:rsidTr="007A0D8D">
        <w:trPr>
          <w:trHeight w:val="340"/>
        </w:trPr>
        <w:tc>
          <w:tcPr>
            <w:tcW w:w="362" w:type="pct"/>
            <w:vMerge/>
            <w:vAlign w:val="center"/>
            <w:hideMark/>
          </w:tcPr>
          <w:p w14:paraId="0F20FF11" w14:textId="77777777" w:rsidR="007A0D8D" w:rsidRPr="002048A7" w:rsidRDefault="007A0D8D" w:rsidP="007A0D8D">
            <w:pPr>
              <w:spacing w:after="0" w:line="240" w:lineRule="auto"/>
              <w:jc w:val="left"/>
              <w:rPr>
                <w:rFonts w:ascii="Calibri" w:eastAsia="Times New Roman" w:hAnsi="Calibri" w:cs="Calibri"/>
                <w:b/>
                <w:bCs/>
                <w:color w:val="000000"/>
                <w:lang w:eastAsia="tr-TR"/>
              </w:rPr>
            </w:pPr>
          </w:p>
        </w:tc>
        <w:tc>
          <w:tcPr>
            <w:tcW w:w="528" w:type="pct"/>
            <w:shd w:val="clear" w:color="auto" w:fill="auto"/>
            <w:hideMark/>
          </w:tcPr>
          <w:p w14:paraId="7FE5D5E9" w14:textId="77777777" w:rsidR="007A0D8D" w:rsidRPr="002048A7" w:rsidRDefault="007A0D8D" w:rsidP="007A0D8D">
            <w:pPr>
              <w:spacing w:after="0" w:line="240" w:lineRule="auto"/>
              <w:rPr>
                <w:rFonts w:ascii="Calibri" w:eastAsia="Times New Roman" w:hAnsi="Calibri" w:cs="Calibri"/>
                <w:b/>
                <w:bCs/>
                <w:color w:val="000000"/>
                <w:lang w:eastAsia="tr-TR"/>
              </w:rPr>
            </w:pPr>
            <w:r w:rsidRPr="002048A7">
              <w:rPr>
                <w:rFonts w:ascii="Arial" w:eastAsia="Arial" w:hAnsi="Arial"/>
                <w:b/>
                <w:color w:val="000000"/>
                <w:sz w:val="20"/>
              </w:rPr>
              <w:t>Uranyum</w:t>
            </w:r>
          </w:p>
        </w:tc>
        <w:tc>
          <w:tcPr>
            <w:tcW w:w="738" w:type="pct"/>
            <w:tcBorders>
              <w:top w:val="single" w:sz="7" w:space="0" w:color="D3D3D3"/>
              <w:left w:val="single" w:sz="7" w:space="0" w:color="D3D3D3"/>
              <w:bottom w:val="single" w:sz="7" w:space="0" w:color="D3D3D3"/>
              <w:right w:val="single" w:sz="7" w:space="0" w:color="D3D3D3"/>
            </w:tcBorders>
            <w:hideMark/>
          </w:tcPr>
          <w:p w14:paraId="2F4C4854"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784" w:type="pct"/>
            <w:tcBorders>
              <w:top w:val="single" w:sz="7" w:space="0" w:color="D3D3D3"/>
              <w:left w:val="single" w:sz="7" w:space="0" w:color="D3D3D3"/>
              <w:bottom w:val="single" w:sz="7" w:space="0" w:color="D3D3D3"/>
              <w:right w:val="single" w:sz="7" w:space="0" w:color="D3D3D3"/>
            </w:tcBorders>
            <w:hideMark/>
          </w:tcPr>
          <w:p w14:paraId="1C7F7B96"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743" w:type="pct"/>
            <w:tcBorders>
              <w:top w:val="single" w:sz="7" w:space="0" w:color="D3D3D3"/>
              <w:left w:val="single" w:sz="7" w:space="0" w:color="D3D3D3"/>
              <w:bottom w:val="single" w:sz="7" w:space="0" w:color="D3D3D3"/>
              <w:right w:val="single" w:sz="7" w:space="0" w:color="D3D3D3"/>
            </w:tcBorders>
            <w:hideMark/>
          </w:tcPr>
          <w:p w14:paraId="61B4DE64"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488" w:type="pct"/>
            <w:tcBorders>
              <w:top w:val="single" w:sz="7" w:space="0" w:color="D3D3D3"/>
              <w:left w:val="single" w:sz="7" w:space="0" w:color="D3D3D3"/>
              <w:bottom w:val="single" w:sz="7" w:space="0" w:color="D3D3D3"/>
              <w:right w:val="single" w:sz="7" w:space="0" w:color="D3D3D3"/>
            </w:tcBorders>
            <w:hideMark/>
          </w:tcPr>
          <w:p w14:paraId="72C4854E"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863" w:type="pct"/>
            <w:tcBorders>
              <w:top w:val="single" w:sz="7" w:space="0" w:color="D3D3D3"/>
              <w:left w:val="single" w:sz="7" w:space="0" w:color="D3D3D3"/>
              <w:bottom w:val="single" w:sz="7" w:space="0" w:color="D3D3D3"/>
              <w:right w:val="single" w:sz="7" w:space="0" w:color="D3D3D3"/>
            </w:tcBorders>
            <w:hideMark/>
          </w:tcPr>
          <w:p w14:paraId="783AFF83"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ascii="Arial" w:eastAsia="Arial" w:hAnsi="Arial"/>
                <w:color w:val="000000"/>
                <w:sz w:val="20"/>
              </w:rPr>
              <w:t>4.800,000</w:t>
            </w:r>
          </w:p>
        </w:tc>
        <w:tc>
          <w:tcPr>
            <w:tcW w:w="495" w:type="pct"/>
            <w:tcBorders>
              <w:top w:val="single" w:sz="7" w:space="0" w:color="D3D3D3"/>
              <w:left w:val="single" w:sz="7" w:space="0" w:color="D3D3D3"/>
              <w:bottom w:val="single" w:sz="7" w:space="0" w:color="D3D3D3"/>
              <w:right w:val="single" w:sz="7" w:space="0" w:color="D3D3D3"/>
            </w:tcBorders>
            <w:hideMark/>
          </w:tcPr>
          <w:p w14:paraId="0A69404D"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ascii="Arial" w:eastAsia="Arial" w:hAnsi="Arial"/>
                <w:color w:val="000000"/>
                <w:sz w:val="20"/>
              </w:rPr>
              <w:t>1</w:t>
            </w:r>
          </w:p>
        </w:tc>
      </w:tr>
      <w:tr w:rsidR="007A0D8D" w:rsidRPr="002048A7" w14:paraId="1E9F213C" w14:textId="77777777" w:rsidTr="007A0D8D">
        <w:trPr>
          <w:trHeight w:val="340"/>
        </w:trPr>
        <w:tc>
          <w:tcPr>
            <w:tcW w:w="362" w:type="pct"/>
            <w:vMerge/>
            <w:vAlign w:val="center"/>
            <w:hideMark/>
          </w:tcPr>
          <w:p w14:paraId="2C3C7DB1" w14:textId="77777777" w:rsidR="007A0D8D" w:rsidRPr="002048A7" w:rsidRDefault="007A0D8D" w:rsidP="007A0D8D">
            <w:pPr>
              <w:spacing w:after="0" w:line="240" w:lineRule="auto"/>
              <w:jc w:val="left"/>
              <w:rPr>
                <w:rFonts w:ascii="Calibri" w:eastAsia="Times New Roman" w:hAnsi="Calibri" w:cs="Calibri"/>
                <w:b/>
                <w:bCs/>
                <w:color w:val="000000"/>
                <w:lang w:eastAsia="tr-TR"/>
              </w:rPr>
            </w:pPr>
          </w:p>
        </w:tc>
        <w:tc>
          <w:tcPr>
            <w:tcW w:w="528" w:type="pct"/>
            <w:shd w:val="clear" w:color="auto" w:fill="auto"/>
            <w:hideMark/>
          </w:tcPr>
          <w:p w14:paraId="27AEC94B" w14:textId="77777777" w:rsidR="007A0D8D" w:rsidRPr="002048A7" w:rsidRDefault="007A0D8D" w:rsidP="007A0D8D">
            <w:pPr>
              <w:spacing w:after="0" w:line="240" w:lineRule="auto"/>
              <w:rPr>
                <w:rFonts w:ascii="Calibri" w:eastAsia="Times New Roman" w:hAnsi="Calibri" w:cs="Calibri"/>
                <w:b/>
                <w:bCs/>
                <w:color w:val="000000"/>
                <w:lang w:eastAsia="tr-TR"/>
              </w:rPr>
            </w:pPr>
            <w:r w:rsidRPr="002048A7">
              <w:rPr>
                <w:rFonts w:ascii="Arial" w:eastAsia="Arial" w:hAnsi="Arial"/>
                <w:b/>
                <w:color w:val="000000"/>
                <w:sz w:val="20"/>
              </w:rPr>
              <w:t>Yerli Asfaltit</w:t>
            </w:r>
          </w:p>
        </w:tc>
        <w:tc>
          <w:tcPr>
            <w:tcW w:w="738" w:type="pct"/>
            <w:tcBorders>
              <w:top w:val="single" w:sz="7" w:space="0" w:color="D3D3D3"/>
              <w:left w:val="single" w:sz="7" w:space="0" w:color="D3D3D3"/>
              <w:bottom w:val="single" w:sz="7" w:space="0" w:color="D3D3D3"/>
              <w:right w:val="single" w:sz="7" w:space="0" w:color="D3D3D3"/>
            </w:tcBorders>
            <w:hideMark/>
          </w:tcPr>
          <w:p w14:paraId="776D127E"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784" w:type="pct"/>
            <w:tcBorders>
              <w:top w:val="single" w:sz="7" w:space="0" w:color="D3D3D3"/>
              <w:left w:val="single" w:sz="7" w:space="0" w:color="D3D3D3"/>
              <w:bottom w:val="single" w:sz="7" w:space="0" w:color="D3D3D3"/>
              <w:right w:val="single" w:sz="7" w:space="0" w:color="D3D3D3"/>
            </w:tcBorders>
            <w:hideMark/>
          </w:tcPr>
          <w:p w14:paraId="2E6B5A38"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743" w:type="pct"/>
            <w:tcBorders>
              <w:top w:val="single" w:sz="7" w:space="0" w:color="D3D3D3"/>
              <w:left w:val="single" w:sz="7" w:space="0" w:color="D3D3D3"/>
              <w:bottom w:val="single" w:sz="7" w:space="0" w:color="D3D3D3"/>
              <w:right w:val="single" w:sz="7" w:space="0" w:color="D3D3D3"/>
            </w:tcBorders>
            <w:hideMark/>
          </w:tcPr>
          <w:p w14:paraId="6770E64A"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488" w:type="pct"/>
            <w:tcBorders>
              <w:top w:val="single" w:sz="7" w:space="0" w:color="D3D3D3"/>
              <w:left w:val="single" w:sz="7" w:space="0" w:color="D3D3D3"/>
              <w:bottom w:val="single" w:sz="7" w:space="0" w:color="D3D3D3"/>
              <w:right w:val="single" w:sz="7" w:space="0" w:color="D3D3D3"/>
            </w:tcBorders>
            <w:hideMark/>
          </w:tcPr>
          <w:p w14:paraId="713F9DD0"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863" w:type="pct"/>
            <w:tcBorders>
              <w:top w:val="single" w:sz="7" w:space="0" w:color="D3D3D3"/>
              <w:left w:val="single" w:sz="7" w:space="0" w:color="D3D3D3"/>
              <w:bottom w:val="single" w:sz="7" w:space="0" w:color="D3D3D3"/>
              <w:right w:val="single" w:sz="7" w:space="0" w:color="D3D3D3"/>
            </w:tcBorders>
            <w:hideMark/>
          </w:tcPr>
          <w:p w14:paraId="30963B36"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ascii="Arial" w:eastAsia="Arial" w:hAnsi="Arial"/>
                <w:color w:val="000000"/>
                <w:sz w:val="20"/>
              </w:rPr>
              <w:t>405,000</w:t>
            </w:r>
          </w:p>
        </w:tc>
        <w:tc>
          <w:tcPr>
            <w:tcW w:w="495" w:type="pct"/>
            <w:tcBorders>
              <w:top w:val="single" w:sz="7" w:space="0" w:color="D3D3D3"/>
              <w:left w:val="single" w:sz="7" w:space="0" w:color="D3D3D3"/>
              <w:bottom w:val="single" w:sz="7" w:space="0" w:color="D3D3D3"/>
              <w:right w:val="single" w:sz="7" w:space="0" w:color="D3D3D3"/>
            </w:tcBorders>
            <w:hideMark/>
          </w:tcPr>
          <w:p w14:paraId="0E6A49D5"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ascii="Arial" w:eastAsia="Arial" w:hAnsi="Arial"/>
                <w:color w:val="000000"/>
                <w:sz w:val="20"/>
              </w:rPr>
              <w:t>1</w:t>
            </w:r>
          </w:p>
        </w:tc>
      </w:tr>
      <w:tr w:rsidR="007A0D8D" w:rsidRPr="002048A7" w14:paraId="69B8E9F8" w14:textId="77777777" w:rsidTr="007A0D8D">
        <w:trPr>
          <w:trHeight w:val="340"/>
        </w:trPr>
        <w:tc>
          <w:tcPr>
            <w:tcW w:w="362" w:type="pct"/>
            <w:vMerge/>
            <w:vAlign w:val="center"/>
            <w:hideMark/>
          </w:tcPr>
          <w:p w14:paraId="59CABEC1" w14:textId="77777777" w:rsidR="007A0D8D" w:rsidRPr="002048A7" w:rsidRDefault="007A0D8D" w:rsidP="007A0D8D">
            <w:pPr>
              <w:spacing w:after="0" w:line="240" w:lineRule="auto"/>
              <w:jc w:val="left"/>
              <w:rPr>
                <w:rFonts w:ascii="Calibri" w:eastAsia="Times New Roman" w:hAnsi="Calibri" w:cs="Calibri"/>
                <w:b/>
                <w:bCs/>
                <w:color w:val="000000"/>
                <w:lang w:eastAsia="tr-TR"/>
              </w:rPr>
            </w:pPr>
          </w:p>
        </w:tc>
        <w:tc>
          <w:tcPr>
            <w:tcW w:w="528" w:type="pct"/>
            <w:shd w:val="clear" w:color="auto" w:fill="auto"/>
            <w:hideMark/>
          </w:tcPr>
          <w:p w14:paraId="5204E8A6" w14:textId="77777777" w:rsidR="007A0D8D" w:rsidRPr="002048A7" w:rsidRDefault="007A0D8D" w:rsidP="007A0D8D">
            <w:pPr>
              <w:spacing w:after="0" w:line="240" w:lineRule="auto"/>
              <w:rPr>
                <w:rFonts w:ascii="Calibri" w:eastAsia="Times New Roman" w:hAnsi="Calibri" w:cs="Calibri"/>
                <w:b/>
                <w:bCs/>
                <w:color w:val="000000"/>
                <w:lang w:eastAsia="tr-TR"/>
              </w:rPr>
            </w:pPr>
            <w:r w:rsidRPr="002048A7">
              <w:rPr>
                <w:rFonts w:ascii="Arial" w:eastAsia="Arial" w:hAnsi="Arial"/>
                <w:b/>
                <w:color w:val="000000"/>
                <w:sz w:val="20"/>
              </w:rPr>
              <w:t>Yerli Kömür</w:t>
            </w:r>
          </w:p>
        </w:tc>
        <w:tc>
          <w:tcPr>
            <w:tcW w:w="738" w:type="pct"/>
            <w:tcBorders>
              <w:top w:val="single" w:sz="7" w:space="0" w:color="D3D3D3"/>
              <w:left w:val="single" w:sz="7" w:space="0" w:color="D3D3D3"/>
              <w:bottom w:val="single" w:sz="7" w:space="0" w:color="D3D3D3"/>
              <w:right w:val="single" w:sz="7" w:space="0" w:color="D3D3D3"/>
            </w:tcBorders>
            <w:hideMark/>
          </w:tcPr>
          <w:p w14:paraId="215E0FC8"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784" w:type="pct"/>
            <w:tcBorders>
              <w:top w:val="single" w:sz="7" w:space="0" w:color="D3D3D3"/>
              <w:left w:val="single" w:sz="7" w:space="0" w:color="D3D3D3"/>
              <w:bottom w:val="single" w:sz="7" w:space="0" w:color="D3D3D3"/>
              <w:right w:val="single" w:sz="7" w:space="0" w:color="D3D3D3"/>
            </w:tcBorders>
            <w:hideMark/>
          </w:tcPr>
          <w:p w14:paraId="30903F94" w14:textId="77777777" w:rsidR="007A0D8D" w:rsidRPr="002048A7" w:rsidRDefault="007A0D8D" w:rsidP="007A0D8D">
            <w:pPr>
              <w:spacing w:after="0" w:line="240" w:lineRule="auto"/>
              <w:jc w:val="right"/>
              <w:rPr>
                <w:rFonts w:eastAsia="Times New Roman" w:cstheme="minorHAnsi"/>
                <w:color w:val="000000"/>
                <w:lang w:eastAsia="tr-TR"/>
              </w:rPr>
            </w:pPr>
            <w:r>
              <w:rPr>
                <w:rFonts w:ascii="Arial" w:eastAsia="Arial" w:hAnsi="Arial"/>
                <w:color w:val="000000"/>
                <w:sz w:val="20"/>
              </w:rPr>
              <w:t>0,000</w:t>
            </w:r>
          </w:p>
        </w:tc>
        <w:tc>
          <w:tcPr>
            <w:tcW w:w="743" w:type="pct"/>
            <w:tcBorders>
              <w:top w:val="single" w:sz="7" w:space="0" w:color="D3D3D3"/>
              <w:left w:val="single" w:sz="7" w:space="0" w:color="D3D3D3"/>
              <w:bottom w:val="single" w:sz="7" w:space="0" w:color="D3D3D3"/>
              <w:right w:val="single" w:sz="7" w:space="0" w:color="D3D3D3"/>
            </w:tcBorders>
            <w:hideMark/>
          </w:tcPr>
          <w:p w14:paraId="28E3D507" w14:textId="77777777" w:rsidR="007A0D8D" w:rsidRPr="002048A7" w:rsidRDefault="007A0D8D" w:rsidP="007A0D8D">
            <w:pPr>
              <w:spacing w:after="0" w:line="240" w:lineRule="auto"/>
              <w:jc w:val="right"/>
              <w:rPr>
                <w:rFonts w:eastAsia="Times New Roman" w:cstheme="minorHAnsi"/>
                <w:color w:val="000000"/>
                <w:lang w:eastAsia="tr-TR"/>
              </w:rPr>
            </w:pPr>
            <w:r>
              <w:rPr>
                <w:rFonts w:ascii="Arial" w:eastAsia="Arial" w:hAnsi="Arial"/>
                <w:color w:val="000000"/>
                <w:sz w:val="20"/>
              </w:rPr>
              <w:t>0,000</w:t>
            </w:r>
          </w:p>
        </w:tc>
        <w:tc>
          <w:tcPr>
            <w:tcW w:w="488" w:type="pct"/>
            <w:tcBorders>
              <w:top w:val="single" w:sz="7" w:space="0" w:color="D3D3D3"/>
              <w:left w:val="single" w:sz="7" w:space="0" w:color="D3D3D3"/>
              <w:bottom w:val="single" w:sz="7" w:space="0" w:color="D3D3D3"/>
              <w:right w:val="single" w:sz="7" w:space="0" w:color="D3D3D3"/>
            </w:tcBorders>
            <w:hideMark/>
          </w:tcPr>
          <w:p w14:paraId="4770333A"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ascii="Arial" w:eastAsia="Arial" w:hAnsi="Arial"/>
                <w:color w:val="000000"/>
                <w:sz w:val="20"/>
              </w:rPr>
              <w:t>0,00</w:t>
            </w:r>
          </w:p>
        </w:tc>
        <w:tc>
          <w:tcPr>
            <w:tcW w:w="863" w:type="pct"/>
            <w:tcBorders>
              <w:top w:val="single" w:sz="7" w:space="0" w:color="D3D3D3"/>
              <w:left w:val="single" w:sz="7" w:space="0" w:color="D3D3D3"/>
              <w:bottom w:val="single" w:sz="7" w:space="0" w:color="D3D3D3"/>
              <w:right w:val="single" w:sz="7" w:space="0" w:color="D3D3D3"/>
            </w:tcBorders>
            <w:hideMark/>
          </w:tcPr>
          <w:p w14:paraId="366A0F10" w14:textId="77777777" w:rsidR="007A0D8D" w:rsidRPr="001878CD" w:rsidRDefault="007A0D8D" w:rsidP="007A0D8D">
            <w:pPr>
              <w:jc w:val="right"/>
              <w:rPr>
                <w:rFonts w:ascii="Arial" w:eastAsia="Times New Roman" w:hAnsi="Arial" w:cs="Arial"/>
                <w:color w:val="000000"/>
                <w:sz w:val="20"/>
                <w:szCs w:val="20"/>
              </w:rPr>
            </w:pPr>
            <w:r>
              <w:rPr>
                <w:rFonts w:ascii="Arial" w:hAnsi="Arial" w:cs="Arial"/>
                <w:color w:val="000000"/>
                <w:sz w:val="20"/>
                <w:szCs w:val="20"/>
              </w:rPr>
              <w:t>10.165,972</w:t>
            </w:r>
          </w:p>
        </w:tc>
        <w:tc>
          <w:tcPr>
            <w:tcW w:w="495" w:type="pct"/>
            <w:tcBorders>
              <w:top w:val="single" w:sz="7" w:space="0" w:color="D3D3D3"/>
              <w:left w:val="single" w:sz="7" w:space="0" w:color="D3D3D3"/>
              <w:bottom w:val="single" w:sz="7" w:space="0" w:color="D3D3D3"/>
              <w:right w:val="single" w:sz="7" w:space="0" w:color="D3D3D3"/>
            </w:tcBorders>
            <w:hideMark/>
          </w:tcPr>
          <w:p w14:paraId="1DD0AE3C" w14:textId="77777777" w:rsidR="007A0D8D" w:rsidRPr="002048A7" w:rsidRDefault="007A0D8D" w:rsidP="007A0D8D">
            <w:pPr>
              <w:spacing w:after="0" w:line="240" w:lineRule="auto"/>
              <w:jc w:val="right"/>
              <w:rPr>
                <w:rFonts w:eastAsia="Times New Roman" w:cstheme="minorHAnsi"/>
                <w:color w:val="000000"/>
                <w:lang w:eastAsia="tr-TR"/>
              </w:rPr>
            </w:pPr>
            <w:r w:rsidRPr="002048A7">
              <w:rPr>
                <w:rFonts w:ascii="Arial" w:eastAsia="Arial" w:hAnsi="Arial"/>
                <w:color w:val="000000"/>
                <w:sz w:val="20"/>
              </w:rPr>
              <w:t>22</w:t>
            </w:r>
          </w:p>
        </w:tc>
      </w:tr>
      <w:tr w:rsidR="007A0D8D" w:rsidRPr="002048A7" w14:paraId="173B3300" w14:textId="77777777" w:rsidTr="007A0D8D">
        <w:trPr>
          <w:trHeight w:val="340"/>
        </w:trPr>
        <w:tc>
          <w:tcPr>
            <w:tcW w:w="362" w:type="pct"/>
            <w:vMerge/>
            <w:vAlign w:val="center"/>
            <w:hideMark/>
          </w:tcPr>
          <w:p w14:paraId="75F4B571" w14:textId="77777777" w:rsidR="007A0D8D" w:rsidRPr="002048A7" w:rsidRDefault="007A0D8D" w:rsidP="007A0D8D">
            <w:pPr>
              <w:spacing w:after="0" w:line="240" w:lineRule="auto"/>
              <w:jc w:val="left"/>
              <w:rPr>
                <w:rFonts w:ascii="Calibri" w:eastAsia="Times New Roman" w:hAnsi="Calibri" w:cs="Calibri"/>
                <w:b/>
                <w:bCs/>
                <w:color w:val="000000"/>
                <w:lang w:eastAsia="tr-TR"/>
              </w:rPr>
            </w:pPr>
          </w:p>
        </w:tc>
        <w:tc>
          <w:tcPr>
            <w:tcW w:w="528" w:type="pct"/>
            <w:shd w:val="clear" w:color="000000" w:fill="6E9ECA"/>
            <w:hideMark/>
          </w:tcPr>
          <w:p w14:paraId="47E1B4E6" w14:textId="77777777" w:rsidR="007A0D8D" w:rsidRPr="002048A7" w:rsidRDefault="007A0D8D" w:rsidP="007A0D8D">
            <w:pPr>
              <w:spacing w:after="0" w:line="240" w:lineRule="auto"/>
              <w:jc w:val="right"/>
              <w:rPr>
                <w:rFonts w:ascii="Calibri" w:eastAsia="Times New Roman" w:hAnsi="Calibri" w:cs="Calibri"/>
                <w:b/>
                <w:bCs/>
                <w:color w:val="000000"/>
                <w:lang w:eastAsia="tr-TR"/>
              </w:rPr>
            </w:pPr>
            <w:r w:rsidRPr="002048A7">
              <w:rPr>
                <w:rFonts w:ascii="Arial" w:eastAsia="Arial" w:hAnsi="Arial"/>
                <w:b/>
                <w:color w:val="000000"/>
                <w:sz w:val="20"/>
              </w:rPr>
              <w:t>Toplam</w:t>
            </w:r>
          </w:p>
        </w:tc>
        <w:tc>
          <w:tcPr>
            <w:tcW w:w="738" w:type="pct"/>
            <w:tcBorders>
              <w:top w:val="single" w:sz="7" w:space="0" w:color="D3D3D3"/>
              <w:left w:val="single" w:sz="7" w:space="0" w:color="D3D3D3"/>
              <w:bottom w:val="single" w:sz="7" w:space="0" w:color="D3D3D3"/>
              <w:right w:val="single" w:sz="7" w:space="0" w:color="D3D3D3"/>
            </w:tcBorders>
            <w:shd w:val="clear" w:color="auto" w:fill="6E9ECA"/>
            <w:hideMark/>
          </w:tcPr>
          <w:p w14:paraId="38E5B758" w14:textId="77777777" w:rsidR="007A0D8D" w:rsidRPr="002048A7" w:rsidRDefault="007A0D8D" w:rsidP="007A0D8D">
            <w:pPr>
              <w:spacing w:after="0" w:line="240" w:lineRule="auto"/>
              <w:jc w:val="right"/>
              <w:rPr>
                <w:rFonts w:ascii="Arial" w:eastAsia="Arial" w:hAnsi="Arial"/>
                <w:b/>
                <w:color w:val="000000"/>
                <w:sz w:val="20"/>
              </w:rPr>
            </w:pPr>
            <w:r>
              <w:rPr>
                <w:rFonts w:ascii="Arial" w:hAnsi="Arial" w:cs="Arial"/>
                <w:b/>
                <w:bCs/>
                <w:color w:val="000000"/>
                <w:sz w:val="20"/>
                <w:szCs w:val="20"/>
              </w:rPr>
              <w:t>2.019,088</w:t>
            </w:r>
          </w:p>
        </w:tc>
        <w:tc>
          <w:tcPr>
            <w:tcW w:w="784" w:type="pct"/>
            <w:tcBorders>
              <w:top w:val="single" w:sz="7" w:space="0" w:color="D3D3D3"/>
              <w:left w:val="single" w:sz="7" w:space="0" w:color="D3D3D3"/>
              <w:bottom w:val="single" w:sz="7" w:space="0" w:color="D3D3D3"/>
              <w:right w:val="single" w:sz="7" w:space="0" w:color="D3D3D3"/>
            </w:tcBorders>
            <w:shd w:val="clear" w:color="auto" w:fill="6E9ECA"/>
            <w:hideMark/>
          </w:tcPr>
          <w:p w14:paraId="5FB77200" w14:textId="77777777" w:rsidR="007A0D8D" w:rsidRPr="002048A7" w:rsidRDefault="007A0D8D" w:rsidP="007A0D8D">
            <w:pPr>
              <w:spacing w:after="0" w:line="240" w:lineRule="auto"/>
              <w:jc w:val="right"/>
              <w:rPr>
                <w:rFonts w:eastAsia="Times New Roman" w:cstheme="minorHAnsi"/>
                <w:b/>
                <w:bCs/>
                <w:color w:val="000000"/>
                <w:lang w:eastAsia="tr-TR"/>
              </w:rPr>
            </w:pPr>
            <w:r>
              <w:rPr>
                <w:rFonts w:ascii="Arial" w:hAnsi="Arial" w:cs="Arial"/>
                <w:b/>
                <w:bCs/>
                <w:color w:val="000000"/>
                <w:sz w:val="20"/>
                <w:szCs w:val="20"/>
              </w:rPr>
              <w:t>2.552,664</w:t>
            </w:r>
          </w:p>
        </w:tc>
        <w:tc>
          <w:tcPr>
            <w:tcW w:w="743" w:type="pct"/>
            <w:tcBorders>
              <w:top w:val="single" w:sz="7" w:space="0" w:color="D3D3D3"/>
              <w:left w:val="single" w:sz="7" w:space="0" w:color="D3D3D3"/>
              <w:bottom w:val="single" w:sz="7" w:space="0" w:color="D3D3D3"/>
              <w:right w:val="single" w:sz="7" w:space="0" w:color="D3D3D3"/>
            </w:tcBorders>
            <w:shd w:val="clear" w:color="auto" w:fill="6E9ECA"/>
            <w:hideMark/>
          </w:tcPr>
          <w:p w14:paraId="1B9D4B56" w14:textId="77777777" w:rsidR="007A0D8D" w:rsidRPr="002048A7" w:rsidRDefault="007A0D8D" w:rsidP="007A0D8D">
            <w:pPr>
              <w:spacing w:after="0" w:line="240" w:lineRule="auto"/>
              <w:jc w:val="right"/>
              <w:rPr>
                <w:rFonts w:eastAsia="Times New Roman" w:cstheme="minorHAnsi"/>
                <w:b/>
                <w:bCs/>
                <w:color w:val="000000"/>
                <w:lang w:eastAsia="tr-TR"/>
              </w:rPr>
            </w:pPr>
            <w:r>
              <w:rPr>
                <w:rFonts w:ascii="Arial" w:hAnsi="Arial" w:cs="Arial"/>
                <w:b/>
                <w:bCs/>
                <w:color w:val="000000"/>
                <w:sz w:val="20"/>
                <w:szCs w:val="20"/>
              </w:rPr>
              <w:t>4.205,693</w:t>
            </w:r>
          </w:p>
        </w:tc>
        <w:tc>
          <w:tcPr>
            <w:tcW w:w="488" w:type="pct"/>
            <w:tcBorders>
              <w:top w:val="single" w:sz="7" w:space="0" w:color="D3D3D3"/>
              <w:left w:val="single" w:sz="7" w:space="0" w:color="D3D3D3"/>
              <w:bottom w:val="single" w:sz="7" w:space="0" w:color="D3D3D3"/>
              <w:right w:val="single" w:sz="7" w:space="0" w:color="D3D3D3"/>
            </w:tcBorders>
            <w:shd w:val="clear" w:color="auto" w:fill="6E9ECA"/>
            <w:hideMark/>
          </w:tcPr>
          <w:p w14:paraId="7C5FD3D7" w14:textId="77777777" w:rsidR="007A0D8D" w:rsidRPr="002048A7" w:rsidRDefault="007A0D8D" w:rsidP="007A0D8D">
            <w:pPr>
              <w:spacing w:after="0" w:line="240" w:lineRule="auto"/>
              <w:jc w:val="right"/>
              <w:rPr>
                <w:rFonts w:eastAsia="Times New Roman" w:cstheme="minorHAnsi"/>
                <w:b/>
                <w:bCs/>
                <w:color w:val="000000"/>
                <w:lang w:eastAsia="tr-TR"/>
              </w:rPr>
            </w:pPr>
            <w:r>
              <w:rPr>
                <w:rFonts w:ascii="Arial" w:hAnsi="Arial" w:cs="Arial"/>
                <w:b/>
                <w:bCs/>
                <w:color w:val="000000"/>
                <w:sz w:val="20"/>
                <w:szCs w:val="20"/>
              </w:rPr>
              <w:t>68,184</w:t>
            </w:r>
          </w:p>
        </w:tc>
        <w:tc>
          <w:tcPr>
            <w:tcW w:w="863" w:type="pct"/>
            <w:tcBorders>
              <w:top w:val="single" w:sz="7" w:space="0" w:color="D3D3D3"/>
              <w:left w:val="single" w:sz="7" w:space="0" w:color="D3D3D3"/>
              <w:bottom w:val="single" w:sz="7" w:space="0" w:color="D3D3D3"/>
              <w:right w:val="single" w:sz="7" w:space="0" w:color="D3D3D3"/>
            </w:tcBorders>
            <w:shd w:val="clear" w:color="auto" w:fill="6E9ECA"/>
            <w:hideMark/>
          </w:tcPr>
          <w:p w14:paraId="034EE8C1" w14:textId="77777777" w:rsidR="007A0D8D" w:rsidRPr="002048A7" w:rsidRDefault="007A0D8D" w:rsidP="007A0D8D">
            <w:pPr>
              <w:spacing w:after="0" w:line="240" w:lineRule="auto"/>
              <w:jc w:val="right"/>
              <w:rPr>
                <w:rFonts w:eastAsia="Times New Roman" w:cstheme="minorHAnsi"/>
                <w:b/>
                <w:bCs/>
                <w:color w:val="000000"/>
                <w:lang w:eastAsia="tr-TR"/>
              </w:rPr>
            </w:pPr>
            <w:r>
              <w:rPr>
                <w:rFonts w:ascii="Arial" w:hAnsi="Arial" w:cs="Arial"/>
                <w:b/>
                <w:bCs/>
                <w:color w:val="000000"/>
                <w:sz w:val="20"/>
                <w:szCs w:val="20"/>
              </w:rPr>
              <w:t>109.111,09</w:t>
            </w:r>
          </w:p>
        </w:tc>
        <w:tc>
          <w:tcPr>
            <w:tcW w:w="495" w:type="pct"/>
            <w:tcBorders>
              <w:top w:val="single" w:sz="7" w:space="0" w:color="D3D3D3"/>
              <w:left w:val="single" w:sz="7" w:space="0" w:color="D3D3D3"/>
              <w:bottom w:val="single" w:sz="7" w:space="0" w:color="D3D3D3"/>
              <w:right w:val="single" w:sz="7" w:space="0" w:color="D3D3D3"/>
            </w:tcBorders>
            <w:shd w:val="clear" w:color="auto" w:fill="6E9ECA"/>
            <w:hideMark/>
          </w:tcPr>
          <w:p w14:paraId="0543DB28" w14:textId="1D8C4929" w:rsidR="007A0D8D" w:rsidRPr="002048A7" w:rsidRDefault="007A0D8D" w:rsidP="007A0D8D">
            <w:pPr>
              <w:spacing w:after="0" w:line="240" w:lineRule="auto"/>
              <w:jc w:val="right"/>
              <w:rPr>
                <w:rFonts w:eastAsia="Times New Roman" w:cstheme="minorHAnsi"/>
                <w:b/>
                <w:bCs/>
                <w:color w:val="000000"/>
                <w:lang w:eastAsia="tr-TR"/>
              </w:rPr>
            </w:pPr>
            <w:r>
              <w:rPr>
                <w:rFonts w:ascii="Arial" w:hAnsi="Arial" w:cs="Arial"/>
                <w:b/>
                <w:bCs/>
                <w:color w:val="000000"/>
                <w:sz w:val="20"/>
                <w:szCs w:val="20"/>
              </w:rPr>
              <w:t>1</w:t>
            </w:r>
            <w:r w:rsidR="00E22F84">
              <w:rPr>
                <w:rFonts w:ascii="Arial" w:hAnsi="Arial" w:cs="Arial"/>
                <w:b/>
                <w:bCs/>
                <w:color w:val="000000"/>
                <w:sz w:val="20"/>
                <w:szCs w:val="20"/>
              </w:rPr>
              <w:t>.</w:t>
            </w:r>
            <w:r>
              <w:rPr>
                <w:rFonts w:ascii="Arial" w:hAnsi="Arial" w:cs="Arial"/>
                <w:b/>
                <w:bCs/>
                <w:color w:val="000000"/>
                <w:sz w:val="20"/>
                <w:szCs w:val="20"/>
              </w:rPr>
              <w:t>904</w:t>
            </w:r>
          </w:p>
        </w:tc>
      </w:tr>
      <w:tr w:rsidR="007A0D8D" w:rsidRPr="002048A7" w14:paraId="4A985AD5" w14:textId="77777777" w:rsidTr="007A0D8D">
        <w:trPr>
          <w:trHeight w:val="340"/>
        </w:trPr>
        <w:tc>
          <w:tcPr>
            <w:tcW w:w="889" w:type="pct"/>
            <w:gridSpan w:val="2"/>
            <w:shd w:val="clear" w:color="auto" w:fill="6E9ECA"/>
            <w:vAlign w:val="center"/>
            <w:hideMark/>
          </w:tcPr>
          <w:p w14:paraId="55204A93" w14:textId="77777777" w:rsidR="007A0D8D" w:rsidRPr="002048A7" w:rsidRDefault="007A0D8D" w:rsidP="007A0D8D">
            <w:pPr>
              <w:spacing w:after="0" w:line="240" w:lineRule="auto"/>
              <w:jc w:val="right"/>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Genel Toplam</w:t>
            </w:r>
          </w:p>
        </w:tc>
        <w:tc>
          <w:tcPr>
            <w:tcW w:w="738" w:type="pct"/>
            <w:tcBorders>
              <w:top w:val="single" w:sz="7" w:space="0" w:color="D3D3D3"/>
              <w:left w:val="single" w:sz="7" w:space="0" w:color="D3D3D3"/>
              <w:bottom w:val="single" w:sz="7" w:space="0" w:color="D3D3D3"/>
              <w:right w:val="single" w:sz="7" w:space="0" w:color="D3D3D3"/>
            </w:tcBorders>
            <w:shd w:val="clear" w:color="auto" w:fill="6E9ECA"/>
            <w:hideMark/>
          </w:tcPr>
          <w:p w14:paraId="52D9D436" w14:textId="77777777" w:rsidR="007A0D8D" w:rsidRPr="002048A7" w:rsidRDefault="007A0D8D" w:rsidP="007A0D8D">
            <w:pPr>
              <w:spacing w:after="0" w:line="240" w:lineRule="auto"/>
              <w:jc w:val="right"/>
              <w:rPr>
                <w:rFonts w:eastAsia="Times New Roman" w:cstheme="minorHAnsi"/>
                <w:b/>
                <w:bCs/>
                <w:color w:val="000000"/>
                <w:lang w:eastAsia="tr-TR"/>
              </w:rPr>
            </w:pPr>
            <w:r>
              <w:rPr>
                <w:rFonts w:ascii="Arial" w:hAnsi="Arial" w:cs="Arial"/>
                <w:b/>
                <w:bCs/>
                <w:color w:val="000000"/>
                <w:sz w:val="20"/>
                <w:szCs w:val="20"/>
              </w:rPr>
              <w:t>2.616,722</w:t>
            </w:r>
          </w:p>
        </w:tc>
        <w:tc>
          <w:tcPr>
            <w:tcW w:w="784" w:type="pct"/>
            <w:tcBorders>
              <w:top w:val="single" w:sz="7" w:space="0" w:color="D3D3D3"/>
              <w:left w:val="single" w:sz="7" w:space="0" w:color="D3D3D3"/>
              <w:bottom w:val="single" w:sz="7" w:space="0" w:color="D3D3D3"/>
              <w:right w:val="single" w:sz="7" w:space="0" w:color="D3D3D3"/>
            </w:tcBorders>
            <w:shd w:val="clear" w:color="auto" w:fill="6E9ECA"/>
            <w:hideMark/>
          </w:tcPr>
          <w:p w14:paraId="09AF05DF" w14:textId="77777777" w:rsidR="007A0D8D" w:rsidRPr="002048A7" w:rsidRDefault="007A0D8D" w:rsidP="007A0D8D">
            <w:pPr>
              <w:spacing w:after="0" w:line="240" w:lineRule="auto"/>
              <w:jc w:val="right"/>
              <w:rPr>
                <w:rFonts w:eastAsia="Times New Roman" w:cstheme="minorHAnsi"/>
                <w:b/>
                <w:bCs/>
                <w:color w:val="000000"/>
                <w:lang w:eastAsia="tr-TR"/>
              </w:rPr>
            </w:pPr>
            <w:r>
              <w:rPr>
                <w:rFonts w:ascii="Arial" w:hAnsi="Arial" w:cs="Arial"/>
                <w:b/>
                <w:bCs/>
                <w:color w:val="000000"/>
                <w:sz w:val="20"/>
                <w:szCs w:val="20"/>
              </w:rPr>
              <w:t>9.839,252</w:t>
            </w:r>
          </w:p>
        </w:tc>
        <w:tc>
          <w:tcPr>
            <w:tcW w:w="743" w:type="pct"/>
            <w:tcBorders>
              <w:top w:val="single" w:sz="7" w:space="0" w:color="D3D3D3"/>
              <w:left w:val="single" w:sz="7" w:space="0" w:color="D3D3D3"/>
              <w:bottom w:val="single" w:sz="7" w:space="0" w:color="D3D3D3"/>
              <w:right w:val="single" w:sz="7" w:space="0" w:color="D3D3D3"/>
            </w:tcBorders>
            <w:shd w:val="clear" w:color="auto" w:fill="6E9ECA"/>
            <w:hideMark/>
          </w:tcPr>
          <w:p w14:paraId="1A80DEDB" w14:textId="77777777" w:rsidR="007A0D8D" w:rsidRPr="002048A7" w:rsidRDefault="007A0D8D" w:rsidP="007A0D8D">
            <w:pPr>
              <w:spacing w:after="0" w:line="240" w:lineRule="auto"/>
              <w:jc w:val="right"/>
              <w:rPr>
                <w:rFonts w:eastAsia="Times New Roman" w:cstheme="minorHAnsi"/>
                <w:b/>
                <w:bCs/>
                <w:color w:val="000000"/>
                <w:lang w:eastAsia="tr-TR"/>
              </w:rPr>
            </w:pPr>
            <w:r>
              <w:rPr>
                <w:rFonts w:ascii="Arial" w:hAnsi="Arial" w:cs="Arial"/>
                <w:b/>
                <w:bCs/>
                <w:color w:val="000000"/>
                <w:sz w:val="20"/>
                <w:szCs w:val="20"/>
              </w:rPr>
              <w:t>9.002,549</w:t>
            </w:r>
          </w:p>
        </w:tc>
        <w:tc>
          <w:tcPr>
            <w:tcW w:w="488" w:type="pct"/>
            <w:tcBorders>
              <w:top w:val="single" w:sz="7" w:space="0" w:color="D3D3D3"/>
              <w:left w:val="single" w:sz="7" w:space="0" w:color="D3D3D3"/>
              <w:bottom w:val="single" w:sz="7" w:space="0" w:color="D3D3D3"/>
              <w:right w:val="single" w:sz="7" w:space="0" w:color="D3D3D3"/>
            </w:tcBorders>
            <w:shd w:val="clear" w:color="auto" w:fill="6E9ECA"/>
            <w:hideMark/>
          </w:tcPr>
          <w:p w14:paraId="5CF23CCA" w14:textId="77777777" w:rsidR="007A0D8D" w:rsidRPr="002048A7" w:rsidRDefault="007A0D8D" w:rsidP="007A0D8D">
            <w:pPr>
              <w:spacing w:after="0" w:line="240" w:lineRule="auto"/>
              <w:jc w:val="right"/>
              <w:rPr>
                <w:rFonts w:eastAsia="Times New Roman" w:cstheme="minorHAnsi"/>
                <w:b/>
                <w:bCs/>
                <w:color w:val="000000"/>
                <w:lang w:eastAsia="tr-TR"/>
              </w:rPr>
            </w:pPr>
            <w:r>
              <w:rPr>
                <w:rFonts w:ascii="Arial" w:hAnsi="Arial" w:cs="Arial"/>
                <w:b/>
                <w:bCs/>
                <w:color w:val="000000"/>
                <w:sz w:val="20"/>
                <w:szCs w:val="20"/>
              </w:rPr>
              <w:t>123,084</w:t>
            </w:r>
          </w:p>
        </w:tc>
        <w:tc>
          <w:tcPr>
            <w:tcW w:w="863" w:type="pct"/>
            <w:tcBorders>
              <w:top w:val="single" w:sz="7" w:space="0" w:color="D3D3D3"/>
              <w:left w:val="single" w:sz="7" w:space="0" w:color="D3D3D3"/>
              <w:bottom w:val="single" w:sz="7" w:space="0" w:color="D3D3D3"/>
              <w:right w:val="single" w:sz="7" w:space="0" w:color="D3D3D3"/>
            </w:tcBorders>
            <w:shd w:val="clear" w:color="auto" w:fill="6E9ECA"/>
            <w:hideMark/>
          </w:tcPr>
          <w:p w14:paraId="54130B4A" w14:textId="77777777" w:rsidR="007A0D8D" w:rsidRPr="002048A7" w:rsidRDefault="007A0D8D" w:rsidP="007A0D8D">
            <w:pPr>
              <w:spacing w:after="0" w:line="240" w:lineRule="auto"/>
              <w:jc w:val="right"/>
              <w:rPr>
                <w:rFonts w:eastAsia="Times New Roman" w:cstheme="minorHAnsi"/>
                <w:b/>
                <w:bCs/>
                <w:color w:val="000000"/>
                <w:lang w:eastAsia="tr-TR"/>
              </w:rPr>
            </w:pPr>
            <w:r>
              <w:rPr>
                <w:rFonts w:ascii="Arial" w:hAnsi="Arial" w:cs="Arial"/>
                <w:b/>
                <w:bCs/>
                <w:color w:val="000000"/>
                <w:sz w:val="20"/>
                <w:szCs w:val="20"/>
              </w:rPr>
              <w:t>146.883,399</w:t>
            </w:r>
          </w:p>
        </w:tc>
        <w:tc>
          <w:tcPr>
            <w:tcW w:w="495" w:type="pct"/>
            <w:tcBorders>
              <w:top w:val="single" w:sz="7" w:space="0" w:color="D3D3D3"/>
              <w:left w:val="single" w:sz="7" w:space="0" w:color="D3D3D3"/>
              <w:bottom w:val="single" w:sz="7" w:space="0" w:color="D3D3D3"/>
              <w:right w:val="single" w:sz="7" w:space="0" w:color="D3D3D3"/>
            </w:tcBorders>
            <w:shd w:val="clear" w:color="auto" w:fill="6E9ECA"/>
            <w:hideMark/>
          </w:tcPr>
          <w:p w14:paraId="79A50406" w14:textId="29DF7E7E" w:rsidR="007A0D8D" w:rsidRPr="002048A7" w:rsidRDefault="007A0D8D" w:rsidP="007A0D8D">
            <w:pPr>
              <w:spacing w:after="0" w:line="240" w:lineRule="auto"/>
              <w:jc w:val="right"/>
              <w:rPr>
                <w:rFonts w:eastAsia="Times New Roman" w:cstheme="minorHAnsi"/>
                <w:b/>
                <w:bCs/>
                <w:color w:val="000000"/>
                <w:lang w:eastAsia="tr-TR"/>
              </w:rPr>
            </w:pPr>
            <w:r>
              <w:rPr>
                <w:rFonts w:ascii="Arial" w:hAnsi="Arial" w:cs="Arial"/>
                <w:b/>
                <w:bCs/>
                <w:color w:val="000000"/>
                <w:sz w:val="20"/>
                <w:szCs w:val="20"/>
              </w:rPr>
              <w:t>2</w:t>
            </w:r>
            <w:r w:rsidR="00E22F84">
              <w:rPr>
                <w:rFonts w:ascii="Arial" w:hAnsi="Arial" w:cs="Arial"/>
                <w:b/>
                <w:bCs/>
                <w:color w:val="000000"/>
                <w:sz w:val="20"/>
                <w:szCs w:val="20"/>
              </w:rPr>
              <w:t>.</w:t>
            </w:r>
            <w:r>
              <w:rPr>
                <w:rFonts w:ascii="Arial" w:hAnsi="Arial" w:cs="Arial"/>
                <w:b/>
                <w:bCs/>
                <w:color w:val="000000"/>
                <w:sz w:val="20"/>
                <w:szCs w:val="20"/>
              </w:rPr>
              <w:t>729</w:t>
            </w:r>
          </w:p>
        </w:tc>
      </w:tr>
    </w:tbl>
    <w:p w14:paraId="51E17292" w14:textId="77777777" w:rsidR="00CB5826" w:rsidRPr="002048A7" w:rsidRDefault="00CB5826" w:rsidP="00577AAF">
      <w:pPr>
        <w:pStyle w:val="Balk3"/>
        <w:numPr>
          <w:ilvl w:val="2"/>
          <w:numId w:val="11"/>
        </w:numPr>
        <w:spacing w:after="240"/>
        <w:rPr>
          <w:rFonts w:asciiTheme="minorHAnsi" w:hAnsiTheme="minorHAnsi"/>
          <w:color w:val="auto"/>
        </w:rPr>
      </w:pPr>
      <w:bookmarkStart w:id="112" w:name="_Toc195868693"/>
      <w:bookmarkEnd w:id="109"/>
      <w:r w:rsidRPr="002048A7">
        <w:rPr>
          <w:rFonts w:asciiTheme="minorHAnsi" w:hAnsiTheme="minorHAnsi"/>
          <w:color w:val="auto"/>
        </w:rPr>
        <w:t>İthalat ve İhracat İzinleri</w:t>
      </w:r>
      <w:bookmarkEnd w:id="110"/>
      <w:bookmarkEnd w:id="112"/>
    </w:p>
    <w:p w14:paraId="50F53908" w14:textId="77777777" w:rsidR="00CB5826" w:rsidRPr="002048A7" w:rsidRDefault="00CB5826" w:rsidP="00CF408B">
      <w:pPr>
        <w:tabs>
          <w:tab w:val="left" w:pos="284"/>
          <w:tab w:val="left" w:pos="567"/>
          <w:tab w:val="left" w:pos="709"/>
          <w:tab w:val="left" w:pos="851"/>
        </w:tabs>
        <w:spacing w:after="0"/>
        <w:contextualSpacing/>
        <w:rPr>
          <w:rFonts w:eastAsia="Times New Roman"/>
          <w:lang w:eastAsia="tr-TR"/>
        </w:rPr>
      </w:pPr>
      <w:r w:rsidRPr="002048A7">
        <w:rPr>
          <w:rFonts w:eastAsia="Times New Roman"/>
          <w:lang w:eastAsia="tr-TR"/>
        </w:rPr>
        <w:t>Tedarik lisansı sahibi tüzel kişiler ithalat ve/veya ihracat; üretim lisansı sahibi tüzel kişiler de ihracat faaliyetinde bulunabilmektedirler. Bu çerçevede;</w:t>
      </w:r>
    </w:p>
    <w:p w14:paraId="6A99DA9F" w14:textId="77777777" w:rsidR="00CB5826" w:rsidRPr="002048A7" w:rsidRDefault="00CB5826" w:rsidP="001F0872">
      <w:pPr>
        <w:tabs>
          <w:tab w:val="left" w:pos="284"/>
          <w:tab w:val="left" w:pos="567"/>
          <w:tab w:val="left" w:pos="709"/>
          <w:tab w:val="left" w:pos="851"/>
        </w:tabs>
        <w:spacing w:after="0"/>
        <w:contextualSpacing/>
      </w:pPr>
    </w:p>
    <w:p w14:paraId="2B64E320" w14:textId="77777777" w:rsidR="00CB5826" w:rsidRPr="002048A7" w:rsidRDefault="000A1FA3" w:rsidP="000A5A56">
      <w:pPr>
        <w:pStyle w:val="ListeParagraf"/>
        <w:numPr>
          <w:ilvl w:val="0"/>
          <w:numId w:val="9"/>
        </w:numPr>
        <w:tabs>
          <w:tab w:val="left" w:pos="284"/>
          <w:tab w:val="left" w:pos="567"/>
          <w:tab w:val="left" w:pos="709"/>
          <w:tab w:val="left" w:pos="851"/>
        </w:tabs>
        <w:spacing w:after="0"/>
      </w:pPr>
      <w:r w:rsidRPr="002048A7">
        <w:t xml:space="preserve">   </w:t>
      </w:r>
      <w:r w:rsidR="00602267" w:rsidRPr="002048A7">
        <w:t>11.06.</w:t>
      </w:r>
      <w:r w:rsidR="00CB5826" w:rsidRPr="002048A7">
        <w:t xml:space="preserve">2013 tarihli ve 28674 sayılı </w:t>
      </w:r>
      <w:r w:rsidR="00DC783D" w:rsidRPr="002048A7">
        <w:t>Resmî</w:t>
      </w:r>
      <w:r w:rsidR="00CB5826" w:rsidRPr="002048A7">
        <w:t xml:space="preserve"> </w:t>
      </w:r>
      <w:r w:rsidR="00274939" w:rsidRPr="002048A7">
        <w:t>Gazetede</w:t>
      </w:r>
      <w:r w:rsidR="00CB5826" w:rsidRPr="002048A7">
        <w:t xml:space="preserve"> yayımlanarak yürürlüğe giren </w:t>
      </w:r>
      <w:r w:rsidR="00CB5826" w:rsidRPr="002048A7">
        <w:rPr>
          <w:i/>
        </w:rPr>
        <w:t>“Türkiye Cumhuriyeti ve Gürcistan Arasında Ahıska-Borçka Enterkonneksiyon Hattı Yoluyla Sınır Ötesi Elektrik Ticaretine İlişkin Anlaşmanın Onaylanmasının Uygun Bulunduğuna Dair 6490 Sayılı Kanun”</w:t>
      </w:r>
      <w:r w:rsidR="00CB5826" w:rsidRPr="002048A7">
        <w:t xml:space="preserve"> ve Türkiye ve Gürcistan Enerji Bakanlıkları arasında imzalanmış olan </w:t>
      </w:r>
      <w:r w:rsidR="00602267" w:rsidRPr="002048A7">
        <w:t>20.01.2012</w:t>
      </w:r>
      <w:r w:rsidR="00CB5826" w:rsidRPr="002048A7">
        <w:t xml:space="preserve"> tarihli Türkiye-Gürcistan Sınır Ötesi Elektrik Ticareti Anlaşması’nın </w:t>
      </w:r>
      <w:r w:rsidR="00CB5826" w:rsidRPr="002048A7">
        <w:rPr>
          <w:i/>
        </w:rPr>
        <w:t>“Kullanıma Açık Kapasite (KAK) ve Kapasitenin Tahsisi”</w:t>
      </w:r>
      <w:r w:rsidR="00FF7F61" w:rsidRPr="002048A7">
        <w:t xml:space="preserve"> başlıklı 6</w:t>
      </w:r>
      <w:r w:rsidR="00B968E8" w:rsidRPr="002048A7">
        <w:t>’</w:t>
      </w:r>
      <w:r w:rsidR="00CB5826" w:rsidRPr="002048A7">
        <w:t xml:space="preserve">ncı maddesinin (b) bendinde yer alan </w:t>
      </w:r>
      <w:r w:rsidR="00CB5826" w:rsidRPr="002048A7">
        <w:rPr>
          <w:i/>
        </w:rPr>
        <w:t>“Her halükarda, KAK’ın tahsis edileceği şirket, ihracatçı ülke tarafından belirlenecektir.”</w:t>
      </w:r>
      <w:r w:rsidR="00CB5826" w:rsidRPr="002048A7">
        <w:t xml:space="preserve"> hükmü gereği</w:t>
      </w:r>
      <w:r w:rsidR="00602267" w:rsidRPr="002048A7">
        <w:t xml:space="preserve"> ve TEİAŞ Yönetim Kurulu’nun 11.09.</w:t>
      </w:r>
      <w:r w:rsidR="00CB5826" w:rsidRPr="002048A7">
        <w:t>2013 tarihli ve 31-429 sayılı Kararı ile yürürlüğe giren, TEİAŞ Genel Müdürlüğü ve Gürcistan Elektrik Şirk</w:t>
      </w:r>
      <w:r w:rsidR="00602267" w:rsidRPr="002048A7">
        <w:t>eti (GSE) arasında imzalanan 19.09.</w:t>
      </w:r>
      <w:r w:rsidR="00CB5826" w:rsidRPr="002048A7">
        <w:t>2013 tarihli Enterkonneksiyon İşletme Anlaşmasını</w:t>
      </w:r>
      <w:r w:rsidR="00FF7F61" w:rsidRPr="002048A7">
        <w:t xml:space="preserve">n “Kapasite Tahsisi” başlıklı 4 </w:t>
      </w:r>
      <w:r w:rsidR="00CB5826" w:rsidRPr="002048A7">
        <w:t xml:space="preserve">üncü maddesinin 4. bendinde yer alan </w:t>
      </w:r>
      <w:r w:rsidR="00CB5826" w:rsidRPr="002048A7">
        <w:rPr>
          <w:i/>
        </w:rPr>
        <w:t>“kapasite tahsisini elektrik ihracatı yapan Taraf yapacaktır”</w:t>
      </w:r>
      <w:r w:rsidR="00CB5826" w:rsidRPr="002048A7">
        <w:t xml:space="preserve"> hükmü gereği; Türkiye-Gü</w:t>
      </w:r>
      <w:r w:rsidR="00D47307" w:rsidRPr="002048A7">
        <w:t>rcistan arasında mevcut Borçka-</w:t>
      </w:r>
      <w:r w:rsidR="00CB5826" w:rsidRPr="002048A7">
        <w:t>Akhaltsıkhe enerji iletim hattı üzerinden asenkron paralel işletme yöntemi ile elektrik enerjisi ithalatına ilişkin Kurum tarafından yapılacak lisans tadil işlemleri, bu kapsamda tesis edilmektedir.</w:t>
      </w:r>
    </w:p>
    <w:p w14:paraId="586A028A" w14:textId="77777777" w:rsidR="008E498A" w:rsidRPr="002048A7" w:rsidRDefault="008E498A" w:rsidP="008E498A">
      <w:pPr>
        <w:pStyle w:val="ListeParagraf"/>
        <w:tabs>
          <w:tab w:val="left" w:pos="284"/>
          <w:tab w:val="left" w:pos="567"/>
          <w:tab w:val="left" w:pos="709"/>
          <w:tab w:val="left" w:pos="851"/>
        </w:tabs>
        <w:spacing w:after="0"/>
      </w:pPr>
    </w:p>
    <w:p w14:paraId="75F03FA5" w14:textId="77777777" w:rsidR="00881DA9" w:rsidRDefault="00CB5826" w:rsidP="000A5A56">
      <w:pPr>
        <w:pStyle w:val="ListeParagraf"/>
        <w:numPr>
          <w:ilvl w:val="0"/>
          <w:numId w:val="9"/>
        </w:numPr>
      </w:pPr>
      <w:r w:rsidRPr="002048A7">
        <w:t>Ayrıca, Türkiye elektrik sisteminin ENTSO-E Avrupa Kıtası Senkron Bölgesi sistemi</w:t>
      </w:r>
      <w:r w:rsidR="00602267" w:rsidRPr="002048A7">
        <w:t xml:space="preserve"> ile 18.</w:t>
      </w:r>
      <w:r w:rsidRPr="002048A7">
        <w:t>09</w:t>
      </w:r>
      <w:r w:rsidR="00602267" w:rsidRPr="002048A7">
        <w:t>.</w:t>
      </w:r>
      <w:r w:rsidRPr="002048A7">
        <w:t xml:space="preserve">2010 tarihinde başlatılan senkron paralel bağlantısı neticesinde, Bulgaristan, Yunanistan ve Türkiye arasında </w:t>
      </w:r>
      <w:r w:rsidR="008525DE" w:rsidRPr="002048A7">
        <w:t>AB</w:t>
      </w:r>
      <w:r w:rsidRPr="002048A7">
        <w:t xml:space="preserve"> kuralları ve ENTSO-E uygulamaları doğrultusunda, Türkiye elektrik sistemi ve ENTSO-E Avrupa Kıtası Senkron Bölgesi arasında ticari elektrik enerjisi alışverişi için sınırlı miktarda kapasite tahsisine izin verilmiştir. Bu çerçevede, ENTSO-E bölgesi ile olan ticarete temel oluşturacak olan kapasite tahsisleri iki şekilde gerçekleştirilmektedir. İlk olarak Türkiye-Yunanistan hattı için </w:t>
      </w:r>
      <w:r w:rsidR="009F28DC" w:rsidRPr="002048A7">
        <w:t xml:space="preserve">Güneydoğu Avrupa Koordineli İhale Ofisi (SEE </w:t>
      </w:r>
      <w:r w:rsidR="00961767" w:rsidRPr="002048A7">
        <w:t>CAO) kapsamında</w:t>
      </w:r>
      <w:r w:rsidRPr="002048A7">
        <w:t xml:space="preserve"> ihale yapılmakta ve kapasite talebi olan katılımcılar bu ihaleye katılmaktadır. Buna ilişkin Yönetmelik değişikliği </w:t>
      </w:r>
      <w:r w:rsidR="00602267" w:rsidRPr="002048A7">
        <w:t>28.12.2014</w:t>
      </w:r>
      <w:r w:rsidRPr="002048A7">
        <w:t xml:space="preserve"> tarihinde yapılmış ve </w:t>
      </w:r>
      <w:r w:rsidR="009F28DC" w:rsidRPr="002048A7">
        <w:t xml:space="preserve">SEE </w:t>
      </w:r>
      <w:r w:rsidRPr="002048A7">
        <w:t xml:space="preserve">CAO tarafından uygulanacak olan ihale kuralları da </w:t>
      </w:r>
      <w:r w:rsidR="00602267" w:rsidRPr="002048A7">
        <w:t>08.01.2015</w:t>
      </w:r>
      <w:r w:rsidRPr="002048A7">
        <w:t xml:space="preserve"> tarihli Kurul Kararı ile kabul edilerek onaylanmıştır. ENTSO-E bölgesi ile olan diğer senkron paralel hat olan Türkiye-Bulgaristan enterkonneksiyon hattı kapasite tahsisi ise Yönetmelik ve onaylanan usul ve esaslar doğrultusunda Türkiye ve Bulgaristan iletim </w:t>
      </w:r>
      <w:r w:rsidR="004B0D6B" w:rsidRPr="002048A7">
        <w:t>s</w:t>
      </w:r>
      <w:r w:rsidRPr="002048A7">
        <w:t xml:space="preserve">istem işletmecileri tarafından yapılmaya devam edilmektedir. Söz konusu </w:t>
      </w:r>
      <w:r w:rsidR="00263DC6" w:rsidRPr="002048A7">
        <w:t>h</w:t>
      </w:r>
      <w:r w:rsidRPr="002048A7">
        <w:t>at kapasite tahsisine ilişkin güncel bilgiler https://tcat.teias.gov.tr/ adresinde yayımlanmaktadır.</w:t>
      </w:r>
      <w:r w:rsidR="00825AE8" w:rsidRPr="002048A7">
        <w:t xml:space="preserve"> </w:t>
      </w:r>
    </w:p>
    <w:p w14:paraId="1CC6A324" w14:textId="77777777" w:rsidR="00881DA9" w:rsidRPr="002048A7" w:rsidRDefault="00881DA9" w:rsidP="00577AAF">
      <w:pPr>
        <w:pStyle w:val="Balk2"/>
        <w:numPr>
          <w:ilvl w:val="1"/>
          <w:numId w:val="11"/>
        </w:numPr>
        <w:spacing w:before="0" w:after="240"/>
        <w:rPr>
          <w:rFonts w:asciiTheme="minorHAnsi" w:hAnsiTheme="minorHAnsi"/>
          <w:color w:val="auto"/>
          <w:sz w:val="22"/>
          <w:szCs w:val="22"/>
        </w:rPr>
      </w:pPr>
      <w:bookmarkStart w:id="113" w:name="_Toc130290897"/>
      <w:bookmarkStart w:id="114" w:name="_Toc195868694"/>
      <w:r w:rsidRPr="002048A7">
        <w:rPr>
          <w:rFonts w:asciiTheme="minorHAnsi" w:hAnsiTheme="minorHAnsi"/>
          <w:color w:val="auto"/>
          <w:sz w:val="22"/>
          <w:szCs w:val="22"/>
        </w:rPr>
        <w:t>Şarj Hizmeti Piyasası Lisanslama Faaliyetleri</w:t>
      </w:r>
      <w:bookmarkEnd w:id="113"/>
      <w:bookmarkEnd w:id="114"/>
    </w:p>
    <w:p w14:paraId="0B6D5BD8" w14:textId="77777777" w:rsidR="00881DA9" w:rsidRPr="002048A7" w:rsidRDefault="00881DA9" w:rsidP="00881DA9">
      <w:pPr>
        <w:spacing w:after="0"/>
        <w:ind w:firstLine="708"/>
      </w:pPr>
      <w:r w:rsidRPr="002048A7">
        <w:t>6446 sayılı Elektrik Piyasası Kanunu’nun “Şarj Hizmeti” başlıklı Ek 5</w:t>
      </w:r>
      <w:r w:rsidR="00B968E8" w:rsidRPr="002048A7">
        <w:t>’</w:t>
      </w:r>
      <w:r w:rsidRPr="002048A7">
        <w:t xml:space="preserve">inci maddesi çerçevesinde şarj hizmeti piyasasında faaliyette bulunmak isteyen tüzel kişilerin Kurumdan lisans almaları gerekmektedir. </w:t>
      </w:r>
      <w:r w:rsidRPr="002048A7">
        <w:rPr>
          <w:color w:val="000000"/>
        </w:rPr>
        <w:t xml:space="preserve">Şarj ağı işletmeci lisansı sahibi, lisansında belirlenen bölgede veya ülke genelinde oluşturduğu veya oluşturacağı şarj ağına bağlı şarj istasyonu kurulması veya işletilmesi, düzenlediği sertifikalar kapsamında şarj istasyonu kurdurulması veya işlettirilmesi hak ve yetkisine sahip olur. </w:t>
      </w:r>
      <w:r w:rsidRPr="002048A7">
        <w:t xml:space="preserve">Kurum tarafından verilecek lisanslara ilişkin usul ve esaslar Şarj Hizmeti Yönetmeliğinde düzenlenmiştir. Şarj ağı işletmeci lisansı </w:t>
      </w:r>
      <w:r w:rsidRPr="002048A7">
        <w:rPr>
          <w:color w:val="000000"/>
        </w:rPr>
        <w:t>en fazla 49 yıla kadar verilmektedir.</w:t>
      </w:r>
    </w:p>
    <w:p w14:paraId="7D69370B" w14:textId="77777777" w:rsidR="00881DA9" w:rsidRPr="002048A7" w:rsidRDefault="00881DA9" w:rsidP="00881DA9">
      <w:pPr>
        <w:pStyle w:val="Balk5"/>
        <w:jc w:val="center"/>
        <w:rPr>
          <w:rStyle w:val="Gl"/>
          <w:color w:val="000000" w:themeColor="text1"/>
        </w:rPr>
      </w:pPr>
      <w:bookmarkStart w:id="115" w:name="_Toc130290449"/>
      <w:bookmarkStart w:id="116" w:name="_Toc195868800"/>
      <w:r w:rsidRPr="002048A7">
        <w:rPr>
          <w:rStyle w:val="Gl"/>
          <w:color w:val="000000" w:themeColor="text1"/>
        </w:rPr>
        <w:t>Tablo 3.3: Şarj Hizmeti Piyasasında 202</w:t>
      </w:r>
      <w:r w:rsidR="000A369E">
        <w:rPr>
          <w:rStyle w:val="Gl"/>
          <w:color w:val="000000" w:themeColor="text1"/>
        </w:rPr>
        <w:t>4</w:t>
      </w:r>
      <w:r w:rsidRPr="002048A7">
        <w:rPr>
          <w:rStyle w:val="Gl"/>
          <w:color w:val="000000" w:themeColor="text1"/>
        </w:rPr>
        <w:t xml:space="preserve"> Yılında Gerçekleştirilen Lisans İşlemleri (Adet)</w:t>
      </w:r>
      <w:bookmarkEnd w:id="115"/>
      <w:bookmarkEnd w:id="116"/>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382"/>
        <w:gridCol w:w="1350"/>
        <w:gridCol w:w="985"/>
        <w:gridCol w:w="1816"/>
        <w:gridCol w:w="884"/>
        <w:gridCol w:w="811"/>
        <w:gridCol w:w="1029"/>
        <w:gridCol w:w="1655"/>
      </w:tblGrid>
      <w:tr w:rsidR="00881DA9" w:rsidRPr="002048A7" w14:paraId="6387D1E6" w14:textId="77777777" w:rsidTr="00FF24CA">
        <w:trPr>
          <w:trHeight w:val="340"/>
          <w:jc w:val="center"/>
        </w:trPr>
        <w:tc>
          <w:tcPr>
            <w:tcW w:w="697" w:type="pct"/>
            <w:shd w:val="clear" w:color="000000" w:fill="6E9ECA"/>
            <w:vAlign w:val="center"/>
            <w:hideMark/>
          </w:tcPr>
          <w:p w14:paraId="4871AF6F" w14:textId="77777777" w:rsidR="00881DA9" w:rsidRPr="002048A7" w:rsidRDefault="00881DA9" w:rsidP="00FF24CA">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Lisans Tipi</w:t>
            </w:r>
          </w:p>
        </w:tc>
        <w:tc>
          <w:tcPr>
            <w:tcW w:w="681" w:type="pct"/>
            <w:shd w:val="clear" w:color="000000" w:fill="6E9ECA"/>
            <w:vAlign w:val="center"/>
            <w:hideMark/>
          </w:tcPr>
          <w:p w14:paraId="4C641AB4" w14:textId="77777777" w:rsidR="00881DA9" w:rsidRPr="002048A7" w:rsidRDefault="00881DA9" w:rsidP="00FF24CA">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Lisans Başvurusu Sayısı</w:t>
            </w:r>
          </w:p>
        </w:tc>
        <w:tc>
          <w:tcPr>
            <w:tcW w:w="497" w:type="pct"/>
            <w:shd w:val="clear" w:color="000000" w:fill="6E9ECA"/>
            <w:vAlign w:val="center"/>
            <w:hideMark/>
          </w:tcPr>
          <w:p w14:paraId="37613C04" w14:textId="77777777" w:rsidR="00881DA9" w:rsidRPr="002048A7" w:rsidRDefault="00881DA9" w:rsidP="00FF24CA">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Verilen Lisans Sayısı</w:t>
            </w:r>
          </w:p>
        </w:tc>
        <w:tc>
          <w:tcPr>
            <w:tcW w:w="916" w:type="pct"/>
            <w:shd w:val="clear" w:color="000000" w:fill="6E9ECA"/>
            <w:vAlign w:val="center"/>
            <w:hideMark/>
          </w:tcPr>
          <w:p w14:paraId="28482A04" w14:textId="77777777" w:rsidR="00881DA9" w:rsidRPr="002048A7" w:rsidRDefault="00881DA9" w:rsidP="00FF24CA">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Sona Eren/Erdirilen Lisans Sayısı</w:t>
            </w:r>
          </w:p>
        </w:tc>
        <w:tc>
          <w:tcPr>
            <w:tcW w:w="446" w:type="pct"/>
            <w:shd w:val="clear" w:color="000000" w:fill="6E9ECA"/>
            <w:vAlign w:val="center"/>
            <w:hideMark/>
          </w:tcPr>
          <w:p w14:paraId="738096A5" w14:textId="77777777" w:rsidR="00881DA9" w:rsidRPr="002048A7" w:rsidRDefault="00881DA9" w:rsidP="00FF24CA">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İptal Edilen Lisans Sayısı</w:t>
            </w:r>
          </w:p>
        </w:tc>
        <w:tc>
          <w:tcPr>
            <w:tcW w:w="409" w:type="pct"/>
            <w:shd w:val="clear" w:color="000000" w:fill="6E9ECA"/>
            <w:vAlign w:val="center"/>
            <w:hideMark/>
          </w:tcPr>
          <w:p w14:paraId="272024D0" w14:textId="77777777" w:rsidR="00881DA9" w:rsidRPr="002048A7" w:rsidRDefault="00881DA9" w:rsidP="00FF24CA">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Tadil Sayısı</w:t>
            </w:r>
          </w:p>
        </w:tc>
        <w:tc>
          <w:tcPr>
            <w:tcW w:w="519" w:type="pct"/>
            <w:shd w:val="clear" w:color="000000" w:fill="6E9ECA"/>
            <w:vAlign w:val="center"/>
            <w:hideMark/>
          </w:tcPr>
          <w:p w14:paraId="1731168F" w14:textId="77777777" w:rsidR="00881DA9" w:rsidRPr="002048A7" w:rsidRDefault="00881DA9" w:rsidP="00FF24CA">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Genel Toplam</w:t>
            </w:r>
          </w:p>
        </w:tc>
        <w:tc>
          <w:tcPr>
            <w:tcW w:w="835" w:type="pct"/>
            <w:shd w:val="clear" w:color="000000" w:fill="6E9ECA"/>
            <w:vAlign w:val="center"/>
            <w:hideMark/>
          </w:tcPr>
          <w:p w14:paraId="513B1B01" w14:textId="77777777" w:rsidR="00881DA9" w:rsidRPr="002048A7" w:rsidRDefault="00881DA9" w:rsidP="00FF24CA">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Dönem Sonu Yürürlükteki Lisans Sayısı</w:t>
            </w:r>
          </w:p>
        </w:tc>
      </w:tr>
      <w:tr w:rsidR="000A369E" w:rsidRPr="002048A7" w14:paraId="52AEE256" w14:textId="77777777" w:rsidTr="00FA0A5F">
        <w:trPr>
          <w:trHeight w:val="898"/>
          <w:jc w:val="center"/>
        </w:trPr>
        <w:tc>
          <w:tcPr>
            <w:tcW w:w="697" w:type="pct"/>
            <w:shd w:val="clear" w:color="auto" w:fill="auto"/>
            <w:vAlign w:val="center"/>
          </w:tcPr>
          <w:p w14:paraId="6C8C4AE8" w14:textId="77777777" w:rsidR="000A369E" w:rsidRPr="002048A7" w:rsidRDefault="000A369E" w:rsidP="000A369E">
            <w:pPr>
              <w:jc w:val="left"/>
              <w:rPr>
                <w:rFonts w:eastAsia="Times New Roman" w:cstheme="minorHAnsi"/>
                <w:color w:val="000000"/>
                <w:lang w:eastAsia="tr-TR"/>
              </w:rPr>
            </w:pPr>
            <w:r w:rsidRPr="002048A7">
              <w:lastRenderedPageBreak/>
              <w:t>Şarj Ağı İşletmeci Lisansı</w:t>
            </w:r>
          </w:p>
        </w:tc>
        <w:tc>
          <w:tcPr>
            <w:tcW w:w="681" w:type="pct"/>
            <w:tcBorders>
              <w:top w:val="single" w:sz="8" w:space="0" w:color="D3D3D3"/>
              <w:left w:val="single" w:sz="8" w:space="0" w:color="D3D3D3"/>
              <w:bottom w:val="single" w:sz="8" w:space="0" w:color="D3D3D3"/>
              <w:right w:val="single" w:sz="8" w:space="0" w:color="D3D3D3"/>
            </w:tcBorders>
            <w:shd w:val="clear" w:color="auto" w:fill="auto"/>
            <w:vAlign w:val="center"/>
          </w:tcPr>
          <w:p w14:paraId="5D2284C4" w14:textId="77777777" w:rsidR="000A369E" w:rsidRPr="002048A7" w:rsidRDefault="000A369E" w:rsidP="000A369E">
            <w:pPr>
              <w:spacing w:after="0" w:line="240" w:lineRule="auto"/>
              <w:jc w:val="right"/>
              <w:rPr>
                <w:rFonts w:eastAsia="Times New Roman" w:cstheme="minorHAnsi"/>
                <w:color w:val="000000"/>
                <w:lang w:eastAsia="tr-TR"/>
              </w:rPr>
            </w:pPr>
            <w:r>
              <w:rPr>
                <w:rFonts w:eastAsia="Times New Roman" w:cstheme="minorHAnsi"/>
                <w:color w:val="000000"/>
                <w:lang w:eastAsia="tr-TR"/>
              </w:rPr>
              <w:t>26</w:t>
            </w:r>
          </w:p>
        </w:tc>
        <w:tc>
          <w:tcPr>
            <w:tcW w:w="497" w:type="pct"/>
            <w:tcBorders>
              <w:top w:val="single" w:sz="8" w:space="0" w:color="D3D3D3"/>
              <w:left w:val="single" w:sz="8" w:space="0" w:color="D3D3D3"/>
              <w:bottom w:val="single" w:sz="8" w:space="0" w:color="D3D3D3"/>
              <w:right w:val="single" w:sz="8" w:space="0" w:color="D3D3D3"/>
            </w:tcBorders>
            <w:shd w:val="clear" w:color="auto" w:fill="auto"/>
            <w:vAlign w:val="center"/>
          </w:tcPr>
          <w:p w14:paraId="104C2EFE" w14:textId="77777777" w:rsidR="000A369E" w:rsidRPr="002048A7" w:rsidRDefault="000A369E" w:rsidP="000A369E">
            <w:pPr>
              <w:spacing w:after="0" w:line="240" w:lineRule="auto"/>
              <w:jc w:val="right"/>
              <w:rPr>
                <w:rFonts w:eastAsia="Times New Roman" w:cstheme="minorHAnsi"/>
                <w:color w:val="000000"/>
                <w:lang w:eastAsia="tr-TR"/>
              </w:rPr>
            </w:pPr>
            <w:r>
              <w:rPr>
                <w:rFonts w:eastAsia="Times New Roman" w:cstheme="minorHAnsi"/>
                <w:color w:val="000000"/>
                <w:lang w:eastAsia="tr-TR"/>
              </w:rPr>
              <w:t>33</w:t>
            </w:r>
          </w:p>
        </w:tc>
        <w:tc>
          <w:tcPr>
            <w:tcW w:w="916" w:type="pct"/>
            <w:tcBorders>
              <w:top w:val="single" w:sz="8" w:space="0" w:color="D3D3D3"/>
              <w:left w:val="single" w:sz="8" w:space="0" w:color="D3D3D3"/>
              <w:bottom w:val="single" w:sz="8" w:space="0" w:color="D3D3D3"/>
              <w:right w:val="single" w:sz="8" w:space="0" w:color="D3D3D3"/>
            </w:tcBorders>
            <w:shd w:val="clear" w:color="auto" w:fill="auto"/>
            <w:vAlign w:val="center"/>
          </w:tcPr>
          <w:p w14:paraId="55B38D4E" w14:textId="77777777" w:rsidR="000A369E" w:rsidRPr="002048A7" w:rsidRDefault="000A369E" w:rsidP="000A369E">
            <w:pPr>
              <w:spacing w:after="0" w:line="240" w:lineRule="auto"/>
              <w:jc w:val="right"/>
              <w:rPr>
                <w:rFonts w:eastAsia="Times New Roman" w:cstheme="minorHAnsi"/>
                <w:color w:val="000000"/>
                <w:lang w:eastAsia="tr-TR"/>
              </w:rPr>
            </w:pPr>
            <w:r>
              <w:rPr>
                <w:rFonts w:eastAsia="Times New Roman" w:cstheme="minorHAnsi"/>
                <w:color w:val="000000"/>
                <w:lang w:eastAsia="tr-TR"/>
              </w:rPr>
              <w:t>29</w:t>
            </w:r>
          </w:p>
        </w:tc>
        <w:tc>
          <w:tcPr>
            <w:tcW w:w="446" w:type="pct"/>
            <w:tcBorders>
              <w:top w:val="single" w:sz="8" w:space="0" w:color="D3D3D3"/>
              <w:left w:val="single" w:sz="8" w:space="0" w:color="D3D3D3"/>
              <w:bottom w:val="single" w:sz="8" w:space="0" w:color="D3D3D3"/>
              <w:right w:val="single" w:sz="8" w:space="0" w:color="D3D3D3"/>
            </w:tcBorders>
            <w:shd w:val="clear" w:color="auto" w:fill="auto"/>
            <w:vAlign w:val="center"/>
          </w:tcPr>
          <w:p w14:paraId="6440CAAA" w14:textId="77777777" w:rsidR="000A369E" w:rsidRPr="002048A7" w:rsidRDefault="000A369E" w:rsidP="000A369E">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0</w:t>
            </w:r>
          </w:p>
        </w:tc>
        <w:tc>
          <w:tcPr>
            <w:tcW w:w="409" w:type="pct"/>
            <w:tcBorders>
              <w:top w:val="single" w:sz="8" w:space="0" w:color="D3D3D3"/>
              <w:left w:val="single" w:sz="8" w:space="0" w:color="D3D3D3"/>
              <w:bottom w:val="single" w:sz="8" w:space="0" w:color="D3D3D3"/>
              <w:right w:val="single" w:sz="8" w:space="0" w:color="D3D3D3"/>
            </w:tcBorders>
            <w:shd w:val="clear" w:color="auto" w:fill="auto"/>
            <w:vAlign w:val="center"/>
          </w:tcPr>
          <w:p w14:paraId="24ABDA17" w14:textId="77777777" w:rsidR="000A369E" w:rsidRPr="002048A7" w:rsidRDefault="000A369E" w:rsidP="000A369E">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2</w:t>
            </w:r>
            <w:r>
              <w:rPr>
                <w:rFonts w:eastAsia="Times New Roman" w:cstheme="minorHAnsi"/>
                <w:color w:val="000000"/>
                <w:lang w:eastAsia="tr-TR"/>
              </w:rPr>
              <w:t>9</w:t>
            </w:r>
          </w:p>
        </w:tc>
        <w:tc>
          <w:tcPr>
            <w:tcW w:w="519" w:type="pct"/>
            <w:tcBorders>
              <w:top w:val="single" w:sz="8" w:space="0" w:color="D3D3D3"/>
              <w:left w:val="single" w:sz="8" w:space="0" w:color="D3D3D3"/>
              <w:bottom w:val="single" w:sz="8" w:space="0" w:color="D3D3D3"/>
              <w:right w:val="single" w:sz="8" w:space="0" w:color="D3D3D3"/>
            </w:tcBorders>
            <w:shd w:val="clear" w:color="auto" w:fill="auto"/>
            <w:vAlign w:val="center"/>
          </w:tcPr>
          <w:p w14:paraId="6FDA6145" w14:textId="77777777" w:rsidR="000A369E" w:rsidRPr="002048A7" w:rsidRDefault="000A369E" w:rsidP="000A369E">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1</w:t>
            </w:r>
            <w:r>
              <w:rPr>
                <w:rFonts w:eastAsia="Times New Roman" w:cstheme="minorHAnsi"/>
                <w:color w:val="000000"/>
                <w:lang w:eastAsia="tr-TR"/>
              </w:rPr>
              <w:t>17</w:t>
            </w:r>
          </w:p>
        </w:tc>
        <w:tc>
          <w:tcPr>
            <w:tcW w:w="835" w:type="pct"/>
            <w:tcBorders>
              <w:top w:val="single" w:sz="8" w:space="0" w:color="D3D3D3"/>
              <w:left w:val="single" w:sz="8" w:space="0" w:color="D3D3D3"/>
              <w:bottom w:val="single" w:sz="8" w:space="0" w:color="D3D3D3"/>
              <w:right w:val="single" w:sz="8" w:space="0" w:color="D3D3D3"/>
            </w:tcBorders>
            <w:shd w:val="clear" w:color="auto" w:fill="auto"/>
            <w:vAlign w:val="center"/>
          </w:tcPr>
          <w:p w14:paraId="27D287C2" w14:textId="77777777" w:rsidR="000A369E" w:rsidRPr="002048A7" w:rsidRDefault="000A369E" w:rsidP="000A369E">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1</w:t>
            </w:r>
            <w:r>
              <w:rPr>
                <w:rFonts w:eastAsia="Times New Roman" w:cstheme="minorHAnsi"/>
                <w:color w:val="000000"/>
                <w:lang w:eastAsia="tr-TR"/>
              </w:rPr>
              <w:t>75</w:t>
            </w:r>
          </w:p>
        </w:tc>
      </w:tr>
    </w:tbl>
    <w:p w14:paraId="1A2DD450" w14:textId="77777777" w:rsidR="00961B27" w:rsidRPr="002048A7" w:rsidRDefault="00961B27" w:rsidP="0017665A"/>
    <w:p w14:paraId="6B36B715" w14:textId="77777777" w:rsidR="00CB5826" w:rsidRPr="002048A7" w:rsidRDefault="000A369E" w:rsidP="00961B27">
      <w:pPr>
        <w:ind w:firstLine="360"/>
      </w:pPr>
      <w:r w:rsidRPr="002048A7">
        <w:t>Kurumumuzdan lisans alarak faaliyet göstermeye başlayan şarj ağı işletmeci lisansı sahipleri tarafından şarj ağına eklenen şarj istasyonu sayıları 202</w:t>
      </w:r>
      <w:r>
        <w:t>3</w:t>
      </w:r>
      <w:r w:rsidRPr="002048A7">
        <w:t xml:space="preserve"> yılı sonunda </w:t>
      </w:r>
      <w:r>
        <w:t>5.682</w:t>
      </w:r>
      <w:r w:rsidRPr="002048A7">
        <w:t xml:space="preserve"> iken, 202</w:t>
      </w:r>
      <w:r>
        <w:t>4</w:t>
      </w:r>
      <w:r w:rsidRPr="002048A7">
        <w:t xml:space="preserve"> yılında </w:t>
      </w:r>
      <w:r>
        <w:t>4.834</w:t>
      </w:r>
      <w:r w:rsidRPr="002048A7">
        <w:t xml:space="preserve"> yeni şarj istasyonu lisans sahiplerinin şarj ağlarına eklenmiş ve ülkemizde kurulu toplam şarj istasyonu sayısı 202</w:t>
      </w:r>
      <w:r>
        <w:t>4</w:t>
      </w:r>
      <w:r w:rsidRPr="002048A7">
        <w:t xml:space="preserve"> yılı sonu itibariyle </w:t>
      </w:r>
      <w:r>
        <w:t>10.516</w:t>
      </w:r>
      <w:r w:rsidRPr="002048A7">
        <w:t>’y</w:t>
      </w:r>
      <w:r>
        <w:t>a</w:t>
      </w:r>
      <w:r w:rsidRPr="002048A7">
        <w:t xml:space="preserve"> ulaşmıştır. Ayrıca, ülkemizde şarj hizmeti sunulan tüm elektrikli araç şarj istasyonlarına ilişkin bilgiler Kurum internet sitesi üzerinden de kullanıcıların erişimine açık hale getirilmiştir.</w:t>
      </w:r>
    </w:p>
    <w:p w14:paraId="2D1A9F69" w14:textId="0D189869" w:rsidR="00961B27" w:rsidRPr="002048A7" w:rsidRDefault="00961B27" w:rsidP="00961B27">
      <w:pPr>
        <w:pStyle w:val="Balk5"/>
        <w:jc w:val="center"/>
        <w:rPr>
          <w:rStyle w:val="Gl"/>
          <w:color w:val="000000" w:themeColor="text1"/>
        </w:rPr>
      </w:pPr>
      <w:bookmarkStart w:id="117" w:name="_Toc195868801"/>
      <w:r w:rsidRPr="002048A7">
        <w:rPr>
          <w:rStyle w:val="Gl"/>
          <w:color w:val="000000" w:themeColor="text1"/>
        </w:rPr>
        <w:t>Tablo 3.4: 202</w:t>
      </w:r>
      <w:r w:rsidR="00072A80">
        <w:rPr>
          <w:rStyle w:val="Gl"/>
          <w:color w:val="000000" w:themeColor="text1"/>
        </w:rPr>
        <w:t>4</w:t>
      </w:r>
      <w:r w:rsidRPr="002048A7">
        <w:rPr>
          <w:rStyle w:val="Gl"/>
          <w:color w:val="000000" w:themeColor="text1"/>
        </w:rPr>
        <w:t xml:space="preserve"> Yılında Lisans Sahipleri Tarafından Şarj Ağlarına Eklenen Şarj İstasyonu Sayıları</w:t>
      </w:r>
      <w:bookmarkEnd w:id="117"/>
    </w:p>
    <w:tbl>
      <w:tblPr>
        <w:tblW w:w="4009"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430"/>
        <w:gridCol w:w="1319"/>
        <w:gridCol w:w="1297"/>
        <w:gridCol w:w="1122"/>
        <w:gridCol w:w="1062"/>
        <w:gridCol w:w="1717"/>
      </w:tblGrid>
      <w:tr w:rsidR="00961B27" w:rsidRPr="002048A7" w14:paraId="4758F314" w14:textId="77777777" w:rsidTr="00072A80">
        <w:trPr>
          <w:trHeight w:val="336"/>
          <w:jc w:val="center"/>
        </w:trPr>
        <w:tc>
          <w:tcPr>
            <w:tcW w:w="900" w:type="pct"/>
            <w:shd w:val="clear" w:color="000000" w:fill="6E9ECA"/>
            <w:vAlign w:val="center"/>
            <w:hideMark/>
          </w:tcPr>
          <w:p w14:paraId="71623F81" w14:textId="77777777" w:rsidR="00961B27" w:rsidRPr="002048A7" w:rsidRDefault="00961B27" w:rsidP="0092377E">
            <w:pPr>
              <w:spacing w:after="0" w:line="240" w:lineRule="auto"/>
              <w:jc w:val="center"/>
              <w:rPr>
                <w:rFonts w:eastAsia="Times New Roman" w:cstheme="minorHAnsi"/>
                <w:b/>
                <w:bCs/>
                <w:color w:val="FFFFFF"/>
                <w:lang w:eastAsia="tr-TR"/>
              </w:rPr>
            </w:pPr>
          </w:p>
        </w:tc>
        <w:tc>
          <w:tcPr>
            <w:tcW w:w="830" w:type="pct"/>
            <w:shd w:val="clear" w:color="000000" w:fill="6E9ECA"/>
            <w:vAlign w:val="center"/>
            <w:hideMark/>
          </w:tcPr>
          <w:p w14:paraId="612B3930" w14:textId="77777777" w:rsidR="00961B27" w:rsidRPr="002048A7" w:rsidRDefault="00961B27" w:rsidP="0092377E">
            <w:pPr>
              <w:spacing w:after="0" w:line="240" w:lineRule="auto"/>
              <w:jc w:val="center"/>
              <w:rPr>
                <w:rFonts w:eastAsia="Times New Roman" w:cstheme="minorHAnsi"/>
                <w:bCs/>
                <w:color w:val="FFFFFF"/>
                <w:lang w:eastAsia="tr-TR"/>
              </w:rPr>
            </w:pPr>
            <w:r w:rsidRPr="002048A7">
              <w:rPr>
                <w:rFonts w:eastAsia="Times New Roman" w:cstheme="minorHAnsi"/>
                <w:bCs/>
                <w:color w:val="FFFFFF"/>
                <w:lang w:eastAsia="tr-TR"/>
              </w:rPr>
              <w:t>AC Soket Sayısı</w:t>
            </w:r>
          </w:p>
        </w:tc>
        <w:tc>
          <w:tcPr>
            <w:tcW w:w="816" w:type="pct"/>
            <w:shd w:val="clear" w:color="000000" w:fill="6E9ECA"/>
            <w:vAlign w:val="center"/>
            <w:hideMark/>
          </w:tcPr>
          <w:p w14:paraId="523DD40F" w14:textId="77777777" w:rsidR="00961B27" w:rsidRPr="002048A7" w:rsidRDefault="00961B27" w:rsidP="0092377E">
            <w:pPr>
              <w:spacing w:after="0" w:line="240" w:lineRule="auto"/>
              <w:jc w:val="center"/>
              <w:rPr>
                <w:rFonts w:eastAsia="Times New Roman" w:cstheme="minorHAnsi"/>
                <w:bCs/>
                <w:color w:val="FFFFFF"/>
                <w:lang w:eastAsia="tr-TR"/>
              </w:rPr>
            </w:pPr>
            <w:r w:rsidRPr="002048A7">
              <w:rPr>
                <w:rFonts w:eastAsia="Times New Roman" w:cstheme="minorHAnsi"/>
                <w:bCs/>
                <w:color w:val="FFFFFF"/>
                <w:lang w:eastAsia="tr-TR"/>
              </w:rPr>
              <w:t>DC Soket Sayısı</w:t>
            </w:r>
          </w:p>
        </w:tc>
        <w:tc>
          <w:tcPr>
            <w:tcW w:w="706" w:type="pct"/>
            <w:shd w:val="clear" w:color="000000" w:fill="6E9ECA"/>
            <w:vAlign w:val="center"/>
            <w:hideMark/>
          </w:tcPr>
          <w:p w14:paraId="28FD1353" w14:textId="77777777" w:rsidR="00961B27" w:rsidRPr="002048A7" w:rsidRDefault="00961B27" w:rsidP="0092377E">
            <w:pPr>
              <w:spacing w:after="0" w:line="240" w:lineRule="auto"/>
              <w:jc w:val="center"/>
              <w:rPr>
                <w:rFonts w:eastAsia="Times New Roman" w:cstheme="minorHAnsi"/>
                <w:bCs/>
                <w:color w:val="FFFFFF"/>
                <w:lang w:eastAsia="tr-TR"/>
              </w:rPr>
            </w:pPr>
            <w:r w:rsidRPr="002048A7">
              <w:rPr>
                <w:rFonts w:eastAsia="Times New Roman" w:cstheme="minorHAnsi"/>
                <w:bCs/>
                <w:color w:val="FFFFFF"/>
                <w:lang w:eastAsia="tr-TR"/>
              </w:rPr>
              <w:t>Toplam Soket Sayısı</w:t>
            </w:r>
          </w:p>
        </w:tc>
        <w:tc>
          <w:tcPr>
            <w:tcW w:w="668" w:type="pct"/>
            <w:shd w:val="clear" w:color="000000" w:fill="6E9ECA"/>
            <w:vAlign w:val="center"/>
          </w:tcPr>
          <w:p w14:paraId="0FDB22C2" w14:textId="77777777" w:rsidR="00961B27" w:rsidRPr="002048A7" w:rsidRDefault="00961B27" w:rsidP="0092377E">
            <w:pPr>
              <w:spacing w:after="0" w:line="240" w:lineRule="auto"/>
              <w:jc w:val="center"/>
              <w:rPr>
                <w:rFonts w:eastAsia="Times New Roman" w:cstheme="minorHAnsi"/>
                <w:bCs/>
                <w:color w:val="FFFFFF"/>
                <w:lang w:eastAsia="tr-TR"/>
              </w:rPr>
            </w:pPr>
            <w:r w:rsidRPr="002048A7">
              <w:rPr>
                <w:rFonts w:eastAsia="Times New Roman" w:cstheme="minorHAnsi"/>
                <w:bCs/>
                <w:color w:val="FFFFFF"/>
                <w:lang w:eastAsia="tr-TR"/>
              </w:rPr>
              <w:t>Şarj Ünitesi Sayısı</w:t>
            </w:r>
          </w:p>
        </w:tc>
        <w:tc>
          <w:tcPr>
            <w:tcW w:w="1080" w:type="pct"/>
            <w:shd w:val="clear" w:color="000000" w:fill="6E9ECA"/>
            <w:vAlign w:val="center"/>
          </w:tcPr>
          <w:p w14:paraId="64D12A84" w14:textId="77777777" w:rsidR="00961B27" w:rsidRPr="002048A7" w:rsidRDefault="00961B27" w:rsidP="0092377E">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Şarj İstasyonu Sayısı</w:t>
            </w:r>
          </w:p>
        </w:tc>
      </w:tr>
      <w:tr w:rsidR="000A369E" w:rsidRPr="002048A7" w14:paraId="5B844E5F" w14:textId="77777777" w:rsidTr="00072A80">
        <w:trPr>
          <w:trHeight w:val="336"/>
          <w:jc w:val="center"/>
        </w:trPr>
        <w:tc>
          <w:tcPr>
            <w:tcW w:w="900" w:type="pct"/>
            <w:shd w:val="clear" w:color="auto" w:fill="auto"/>
            <w:vAlign w:val="center"/>
          </w:tcPr>
          <w:p w14:paraId="3A721A09" w14:textId="5F03CD4F" w:rsidR="000A369E" w:rsidRPr="002048A7" w:rsidRDefault="000A369E" w:rsidP="000A369E">
            <w:pPr>
              <w:spacing w:after="0" w:line="240" w:lineRule="auto"/>
              <w:rPr>
                <w:rFonts w:eastAsia="Times New Roman" w:cstheme="minorHAnsi"/>
                <w:color w:val="000000"/>
                <w:lang w:eastAsia="tr-TR"/>
              </w:rPr>
            </w:pPr>
            <w:r w:rsidRPr="002048A7">
              <w:rPr>
                <w:rFonts w:ascii="Times New Roman" w:eastAsia="Times New Roman" w:hAnsi="Times New Roman" w:cstheme="minorHAnsi"/>
                <w:color w:val="000000"/>
                <w:sz w:val="24"/>
                <w:szCs w:val="24"/>
                <w:lang w:eastAsia="tr-TR"/>
              </w:rPr>
              <w:t>202</w:t>
            </w:r>
            <w:r>
              <w:rPr>
                <w:rFonts w:ascii="Times New Roman" w:eastAsia="Times New Roman" w:hAnsi="Times New Roman" w:cstheme="minorHAnsi"/>
                <w:color w:val="000000"/>
                <w:sz w:val="24"/>
                <w:szCs w:val="24"/>
                <w:lang w:eastAsia="tr-TR"/>
              </w:rPr>
              <w:t>3</w:t>
            </w:r>
            <w:r w:rsidRPr="002048A7">
              <w:rPr>
                <w:rFonts w:ascii="Times New Roman" w:eastAsia="Times New Roman" w:hAnsi="Times New Roman" w:cstheme="minorHAnsi"/>
                <w:color w:val="000000"/>
                <w:sz w:val="24"/>
                <w:szCs w:val="24"/>
                <w:lang w:eastAsia="tr-TR"/>
              </w:rPr>
              <w:t xml:space="preserve"> </w:t>
            </w:r>
            <w:r w:rsidR="00072A80">
              <w:rPr>
                <w:rFonts w:ascii="Times New Roman" w:eastAsia="Times New Roman" w:hAnsi="Times New Roman" w:cstheme="minorHAnsi"/>
                <w:color w:val="000000"/>
                <w:sz w:val="24"/>
                <w:szCs w:val="24"/>
                <w:lang w:eastAsia="tr-TR"/>
              </w:rPr>
              <w:t xml:space="preserve">yıl </w:t>
            </w:r>
            <w:r w:rsidRPr="002048A7">
              <w:rPr>
                <w:rFonts w:ascii="Times New Roman" w:eastAsia="Times New Roman" w:hAnsi="Times New Roman" w:cstheme="minorHAnsi"/>
                <w:color w:val="000000"/>
                <w:sz w:val="24"/>
                <w:szCs w:val="24"/>
                <w:lang w:eastAsia="tr-TR"/>
              </w:rPr>
              <w:t>sonu</w:t>
            </w:r>
          </w:p>
        </w:tc>
        <w:tc>
          <w:tcPr>
            <w:tcW w:w="830" w:type="pct"/>
            <w:tcBorders>
              <w:top w:val="single" w:sz="8" w:space="0" w:color="D3D3D3"/>
              <w:left w:val="single" w:sz="8" w:space="0" w:color="D3D3D3"/>
              <w:bottom w:val="single" w:sz="8" w:space="0" w:color="D3D3D3"/>
              <w:right w:val="single" w:sz="8" w:space="0" w:color="D3D3D3"/>
            </w:tcBorders>
            <w:shd w:val="clear" w:color="auto" w:fill="auto"/>
            <w:vAlign w:val="center"/>
          </w:tcPr>
          <w:p w14:paraId="465DA7F5" w14:textId="77777777" w:rsidR="000A369E" w:rsidRPr="002048A7" w:rsidRDefault="000A369E" w:rsidP="000A369E">
            <w:pPr>
              <w:spacing w:after="0" w:line="240" w:lineRule="auto"/>
              <w:jc w:val="center"/>
              <w:rPr>
                <w:rFonts w:eastAsia="Times New Roman" w:cstheme="minorHAnsi"/>
                <w:color w:val="000000"/>
                <w:lang w:eastAsia="tr-TR"/>
              </w:rPr>
            </w:pPr>
            <w:r w:rsidRPr="002048A7">
              <w:rPr>
                <w:rFonts w:eastAsia="Times New Roman" w:cstheme="minorHAnsi"/>
                <w:color w:val="000000"/>
                <w:lang w:eastAsia="tr-TR"/>
              </w:rPr>
              <w:t>8.538</w:t>
            </w:r>
          </w:p>
        </w:tc>
        <w:tc>
          <w:tcPr>
            <w:tcW w:w="816" w:type="pct"/>
            <w:tcBorders>
              <w:top w:val="single" w:sz="8" w:space="0" w:color="D3D3D3"/>
              <w:left w:val="single" w:sz="8" w:space="0" w:color="D3D3D3"/>
              <w:bottom w:val="single" w:sz="8" w:space="0" w:color="D3D3D3"/>
              <w:right w:val="single" w:sz="8" w:space="0" w:color="D3D3D3"/>
            </w:tcBorders>
            <w:shd w:val="clear" w:color="auto" w:fill="auto"/>
            <w:vAlign w:val="center"/>
          </w:tcPr>
          <w:p w14:paraId="12012FEF" w14:textId="77777777" w:rsidR="000A369E" w:rsidRPr="002048A7" w:rsidRDefault="000A369E" w:rsidP="000A369E">
            <w:pPr>
              <w:spacing w:after="0" w:line="240" w:lineRule="auto"/>
              <w:jc w:val="center"/>
              <w:rPr>
                <w:rFonts w:eastAsia="Times New Roman" w:cstheme="minorHAnsi"/>
                <w:color w:val="000000"/>
                <w:lang w:eastAsia="tr-TR"/>
              </w:rPr>
            </w:pPr>
            <w:r w:rsidRPr="002048A7">
              <w:rPr>
                <w:rFonts w:eastAsia="Times New Roman" w:cstheme="minorHAnsi"/>
                <w:color w:val="000000"/>
                <w:lang w:eastAsia="tr-TR"/>
              </w:rPr>
              <w:t>3.664</w:t>
            </w:r>
          </w:p>
        </w:tc>
        <w:tc>
          <w:tcPr>
            <w:tcW w:w="706" w:type="pct"/>
            <w:tcBorders>
              <w:top w:val="single" w:sz="8" w:space="0" w:color="D3D3D3"/>
              <w:left w:val="single" w:sz="8" w:space="0" w:color="D3D3D3"/>
              <w:bottom w:val="single" w:sz="8" w:space="0" w:color="D3D3D3"/>
              <w:right w:val="single" w:sz="8" w:space="0" w:color="D3D3D3"/>
            </w:tcBorders>
            <w:shd w:val="clear" w:color="auto" w:fill="auto"/>
            <w:vAlign w:val="center"/>
          </w:tcPr>
          <w:p w14:paraId="529893B4" w14:textId="77777777" w:rsidR="000A369E" w:rsidRPr="002048A7" w:rsidRDefault="000A369E" w:rsidP="000A369E">
            <w:pPr>
              <w:spacing w:after="0" w:line="240" w:lineRule="auto"/>
              <w:jc w:val="center"/>
              <w:rPr>
                <w:rFonts w:eastAsia="Times New Roman" w:cstheme="minorHAnsi"/>
                <w:color w:val="000000"/>
                <w:lang w:eastAsia="tr-TR"/>
              </w:rPr>
            </w:pPr>
            <w:r w:rsidRPr="002048A7">
              <w:rPr>
                <w:rFonts w:eastAsia="Times New Roman" w:cstheme="minorHAnsi"/>
                <w:color w:val="000000"/>
                <w:lang w:eastAsia="tr-TR"/>
              </w:rPr>
              <w:t>12.202</w:t>
            </w:r>
          </w:p>
        </w:tc>
        <w:tc>
          <w:tcPr>
            <w:tcW w:w="668" w:type="pct"/>
            <w:tcBorders>
              <w:top w:val="single" w:sz="8" w:space="0" w:color="D3D3D3"/>
              <w:left w:val="single" w:sz="8" w:space="0" w:color="D3D3D3"/>
              <w:bottom w:val="single" w:sz="8" w:space="0" w:color="D3D3D3"/>
              <w:right w:val="single" w:sz="8" w:space="0" w:color="D3D3D3"/>
            </w:tcBorders>
            <w:shd w:val="clear" w:color="auto" w:fill="auto"/>
            <w:vAlign w:val="center"/>
          </w:tcPr>
          <w:p w14:paraId="42673CDA" w14:textId="77777777" w:rsidR="000A369E" w:rsidRPr="002048A7" w:rsidRDefault="000A369E" w:rsidP="000A369E">
            <w:pPr>
              <w:spacing w:after="0" w:line="240" w:lineRule="auto"/>
              <w:jc w:val="center"/>
              <w:rPr>
                <w:rFonts w:eastAsia="Times New Roman" w:cstheme="minorHAnsi"/>
                <w:color w:val="000000"/>
                <w:lang w:eastAsia="tr-TR"/>
              </w:rPr>
            </w:pPr>
            <w:r w:rsidRPr="002048A7">
              <w:rPr>
                <w:rFonts w:eastAsia="Times New Roman" w:cstheme="minorHAnsi"/>
                <w:color w:val="000000"/>
                <w:lang w:eastAsia="tr-TR"/>
              </w:rPr>
              <w:t>10.471</w:t>
            </w:r>
          </w:p>
        </w:tc>
        <w:tc>
          <w:tcPr>
            <w:tcW w:w="1080" w:type="pct"/>
            <w:tcBorders>
              <w:top w:val="single" w:sz="8" w:space="0" w:color="D3D3D3"/>
              <w:left w:val="single" w:sz="8" w:space="0" w:color="D3D3D3"/>
              <w:bottom w:val="single" w:sz="8" w:space="0" w:color="D3D3D3"/>
              <w:right w:val="single" w:sz="8" w:space="0" w:color="D3D3D3"/>
            </w:tcBorders>
            <w:shd w:val="clear" w:color="auto" w:fill="auto"/>
            <w:vAlign w:val="center"/>
          </w:tcPr>
          <w:p w14:paraId="0D965695" w14:textId="77777777" w:rsidR="000A369E" w:rsidRPr="002048A7" w:rsidRDefault="000A369E" w:rsidP="000A369E">
            <w:pPr>
              <w:spacing w:after="0" w:line="240" w:lineRule="auto"/>
              <w:jc w:val="center"/>
              <w:rPr>
                <w:rFonts w:eastAsia="Times New Roman" w:cstheme="minorHAnsi"/>
                <w:color w:val="000000"/>
                <w:lang w:eastAsia="tr-TR"/>
              </w:rPr>
            </w:pPr>
            <w:r w:rsidRPr="002048A7">
              <w:rPr>
                <w:rFonts w:eastAsia="Times New Roman" w:cstheme="minorHAnsi"/>
                <w:color w:val="000000"/>
                <w:lang w:eastAsia="tr-TR"/>
              </w:rPr>
              <w:t>5.682</w:t>
            </w:r>
          </w:p>
        </w:tc>
      </w:tr>
      <w:tr w:rsidR="000A369E" w:rsidRPr="002048A7" w14:paraId="29306EDD" w14:textId="77777777" w:rsidTr="00072A80">
        <w:trPr>
          <w:trHeight w:val="336"/>
          <w:jc w:val="center"/>
        </w:trPr>
        <w:tc>
          <w:tcPr>
            <w:tcW w:w="900" w:type="pct"/>
            <w:shd w:val="clear" w:color="auto" w:fill="auto"/>
            <w:vAlign w:val="center"/>
          </w:tcPr>
          <w:p w14:paraId="7DBF6DD9" w14:textId="77777777" w:rsidR="000A369E" w:rsidRPr="002048A7" w:rsidRDefault="000A369E" w:rsidP="000A369E">
            <w:pPr>
              <w:spacing w:after="0" w:line="240" w:lineRule="auto"/>
              <w:rPr>
                <w:rFonts w:ascii="Times New Roman" w:eastAsia="Times New Roman" w:hAnsi="Times New Roman" w:cstheme="minorHAnsi"/>
                <w:b/>
                <w:color w:val="000000"/>
                <w:sz w:val="24"/>
                <w:szCs w:val="24"/>
                <w:lang w:eastAsia="tr-TR"/>
              </w:rPr>
            </w:pPr>
            <w:r w:rsidRPr="002048A7">
              <w:rPr>
                <w:rFonts w:ascii="Times New Roman" w:eastAsia="Times New Roman" w:hAnsi="Times New Roman" w:cstheme="minorHAnsi"/>
                <w:b/>
                <w:color w:val="000000"/>
                <w:sz w:val="24"/>
                <w:szCs w:val="24"/>
                <w:lang w:eastAsia="tr-TR"/>
              </w:rPr>
              <w:t>202</w:t>
            </w:r>
            <w:r>
              <w:rPr>
                <w:rFonts w:ascii="Times New Roman" w:eastAsia="Times New Roman" w:hAnsi="Times New Roman" w:cstheme="minorHAnsi"/>
                <w:b/>
                <w:color w:val="000000"/>
                <w:sz w:val="24"/>
                <w:szCs w:val="24"/>
                <w:lang w:eastAsia="tr-TR"/>
              </w:rPr>
              <w:t>4</w:t>
            </w:r>
            <w:r w:rsidRPr="002048A7">
              <w:rPr>
                <w:rFonts w:ascii="Times New Roman" w:eastAsia="Times New Roman" w:hAnsi="Times New Roman" w:cstheme="minorHAnsi"/>
                <w:b/>
                <w:color w:val="000000"/>
                <w:sz w:val="24"/>
                <w:szCs w:val="24"/>
                <w:lang w:eastAsia="tr-TR"/>
              </w:rPr>
              <w:t xml:space="preserve"> yılı</w:t>
            </w:r>
          </w:p>
        </w:tc>
        <w:tc>
          <w:tcPr>
            <w:tcW w:w="830" w:type="pct"/>
            <w:tcBorders>
              <w:top w:val="single" w:sz="8" w:space="0" w:color="D3D3D3"/>
              <w:left w:val="single" w:sz="8" w:space="0" w:color="D3D3D3"/>
              <w:bottom w:val="single" w:sz="8" w:space="0" w:color="D3D3D3"/>
              <w:right w:val="single" w:sz="8" w:space="0" w:color="D3D3D3"/>
            </w:tcBorders>
            <w:shd w:val="clear" w:color="auto" w:fill="auto"/>
            <w:vAlign w:val="center"/>
          </w:tcPr>
          <w:p w14:paraId="33E607C8" w14:textId="77777777" w:rsidR="000A369E" w:rsidRPr="00C2183E" w:rsidRDefault="000A369E" w:rsidP="000A369E">
            <w:pPr>
              <w:spacing w:after="0" w:line="240" w:lineRule="auto"/>
              <w:jc w:val="center"/>
              <w:rPr>
                <w:rFonts w:eastAsia="Times New Roman" w:cstheme="minorHAnsi"/>
                <w:b/>
                <w:color w:val="000000"/>
                <w:lang w:eastAsia="tr-TR"/>
              </w:rPr>
            </w:pPr>
            <w:r w:rsidRPr="00C2183E">
              <w:rPr>
                <w:rFonts w:eastAsia="Times New Roman" w:cstheme="minorHAnsi"/>
                <w:b/>
                <w:color w:val="000000"/>
                <w:lang w:eastAsia="tr-TR"/>
              </w:rPr>
              <w:t>7.336</w:t>
            </w:r>
          </w:p>
        </w:tc>
        <w:tc>
          <w:tcPr>
            <w:tcW w:w="816" w:type="pct"/>
            <w:tcBorders>
              <w:top w:val="single" w:sz="8" w:space="0" w:color="D3D3D3"/>
              <w:left w:val="single" w:sz="8" w:space="0" w:color="D3D3D3"/>
              <w:bottom w:val="single" w:sz="8" w:space="0" w:color="D3D3D3"/>
              <w:right w:val="single" w:sz="8" w:space="0" w:color="D3D3D3"/>
            </w:tcBorders>
            <w:shd w:val="clear" w:color="auto" w:fill="auto"/>
            <w:vAlign w:val="center"/>
          </w:tcPr>
          <w:p w14:paraId="1AC55781" w14:textId="77777777" w:rsidR="000A369E" w:rsidRPr="00C2183E" w:rsidRDefault="000A369E" w:rsidP="000A369E">
            <w:pPr>
              <w:spacing w:after="0" w:line="240" w:lineRule="auto"/>
              <w:jc w:val="center"/>
              <w:rPr>
                <w:rFonts w:eastAsia="Times New Roman" w:cstheme="minorHAnsi"/>
                <w:b/>
                <w:color w:val="000000"/>
                <w:lang w:eastAsia="tr-TR"/>
              </w:rPr>
            </w:pPr>
            <w:r w:rsidRPr="00C2183E">
              <w:rPr>
                <w:rFonts w:eastAsia="Times New Roman" w:cstheme="minorHAnsi"/>
                <w:b/>
                <w:color w:val="000000"/>
                <w:lang w:eastAsia="tr-TR"/>
              </w:rPr>
              <w:t>6.924</w:t>
            </w:r>
          </w:p>
        </w:tc>
        <w:tc>
          <w:tcPr>
            <w:tcW w:w="706" w:type="pct"/>
            <w:tcBorders>
              <w:top w:val="single" w:sz="8" w:space="0" w:color="D3D3D3"/>
              <w:left w:val="single" w:sz="8" w:space="0" w:color="D3D3D3"/>
              <w:bottom w:val="single" w:sz="8" w:space="0" w:color="D3D3D3"/>
              <w:right w:val="single" w:sz="8" w:space="0" w:color="D3D3D3"/>
            </w:tcBorders>
            <w:shd w:val="clear" w:color="auto" w:fill="auto"/>
            <w:vAlign w:val="center"/>
          </w:tcPr>
          <w:p w14:paraId="1FBAAD28" w14:textId="77777777" w:rsidR="000A369E" w:rsidRPr="00C2183E" w:rsidRDefault="000A369E" w:rsidP="000A369E">
            <w:pPr>
              <w:spacing w:after="0" w:line="240" w:lineRule="auto"/>
              <w:jc w:val="center"/>
              <w:rPr>
                <w:rFonts w:eastAsia="Times New Roman" w:cstheme="minorHAnsi"/>
                <w:b/>
                <w:color w:val="000000"/>
                <w:lang w:eastAsia="tr-TR"/>
              </w:rPr>
            </w:pPr>
            <w:r w:rsidRPr="00C2183E">
              <w:rPr>
                <w:rFonts w:eastAsia="Times New Roman" w:cstheme="minorHAnsi"/>
                <w:b/>
                <w:color w:val="000000"/>
                <w:lang w:eastAsia="tr-TR"/>
              </w:rPr>
              <w:t>14.260</w:t>
            </w:r>
          </w:p>
        </w:tc>
        <w:tc>
          <w:tcPr>
            <w:tcW w:w="668" w:type="pct"/>
            <w:tcBorders>
              <w:top w:val="single" w:sz="8" w:space="0" w:color="D3D3D3"/>
              <w:left w:val="single" w:sz="8" w:space="0" w:color="D3D3D3"/>
              <w:bottom w:val="single" w:sz="8" w:space="0" w:color="D3D3D3"/>
              <w:right w:val="single" w:sz="8" w:space="0" w:color="D3D3D3"/>
            </w:tcBorders>
            <w:shd w:val="clear" w:color="auto" w:fill="auto"/>
            <w:vAlign w:val="center"/>
          </w:tcPr>
          <w:p w14:paraId="5791A156" w14:textId="77777777" w:rsidR="000A369E" w:rsidRPr="00C2183E" w:rsidRDefault="000A369E" w:rsidP="000A369E">
            <w:pPr>
              <w:spacing w:after="0" w:line="240" w:lineRule="auto"/>
              <w:jc w:val="center"/>
              <w:rPr>
                <w:rFonts w:eastAsia="Times New Roman" w:cstheme="minorHAnsi"/>
                <w:b/>
                <w:color w:val="000000"/>
                <w:lang w:eastAsia="tr-TR"/>
              </w:rPr>
            </w:pPr>
            <w:r w:rsidRPr="00C2183E">
              <w:rPr>
                <w:rFonts w:eastAsia="Times New Roman" w:cstheme="minorHAnsi"/>
                <w:b/>
                <w:color w:val="000000"/>
                <w:lang w:eastAsia="tr-TR"/>
              </w:rPr>
              <w:t>10.894</w:t>
            </w:r>
          </w:p>
        </w:tc>
        <w:tc>
          <w:tcPr>
            <w:tcW w:w="1080" w:type="pct"/>
            <w:tcBorders>
              <w:top w:val="single" w:sz="8" w:space="0" w:color="D3D3D3"/>
              <w:left w:val="single" w:sz="8" w:space="0" w:color="D3D3D3"/>
              <w:bottom w:val="single" w:sz="8" w:space="0" w:color="D3D3D3"/>
              <w:right w:val="single" w:sz="8" w:space="0" w:color="D3D3D3"/>
            </w:tcBorders>
            <w:shd w:val="clear" w:color="auto" w:fill="auto"/>
            <w:vAlign w:val="center"/>
          </w:tcPr>
          <w:p w14:paraId="08E736DD" w14:textId="77777777" w:rsidR="000A369E" w:rsidRPr="00C2183E" w:rsidRDefault="000A369E" w:rsidP="000A369E">
            <w:pPr>
              <w:spacing w:after="0" w:line="240" w:lineRule="auto"/>
              <w:jc w:val="center"/>
              <w:rPr>
                <w:rFonts w:eastAsia="Times New Roman" w:cstheme="minorHAnsi"/>
                <w:b/>
                <w:color w:val="000000"/>
                <w:lang w:eastAsia="tr-TR"/>
              </w:rPr>
            </w:pPr>
            <w:r w:rsidRPr="00C2183E">
              <w:rPr>
                <w:rFonts w:eastAsia="Times New Roman" w:cstheme="minorHAnsi"/>
                <w:b/>
                <w:color w:val="000000"/>
                <w:lang w:eastAsia="tr-TR"/>
              </w:rPr>
              <w:t>4.834</w:t>
            </w:r>
          </w:p>
        </w:tc>
      </w:tr>
      <w:tr w:rsidR="000A369E" w:rsidRPr="002048A7" w14:paraId="452A6A53" w14:textId="77777777" w:rsidTr="00072A80">
        <w:trPr>
          <w:trHeight w:val="336"/>
          <w:jc w:val="center"/>
        </w:trPr>
        <w:tc>
          <w:tcPr>
            <w:tcW w:w="900" w:type="pct"/>
            <w:shd w:val="clear" w:color="auto" w:fill="auto"/>
            <w:vAlign w:val="center"/>
          </w:tcPr>
          <w:p w14:paraId="4219DF10" w14:textId="77777777" w:rsidR="000A369E" w:rsidRPr="002048A7" w:rsidRDefault="000A369E" w:rsidP="000A369E">
            <w:pPr>
              <w:spacing w:after="0" w:line="240" w:lineRule="auto"/>
              <w:rPr>
                <w:rFonts w:ascii="Times New Roman" w:eastAsia="Times New Roman" w:hAnsi="Times New Roman" w:cstheme="minorHAnsi"/>
                <w:color w:val="000000"/>
                <w:sz w:val="24"/>
                <w:szCs w:val="24"/>
                <w:lang w:eastAsia="tr-TR"/>
              </w:rPr>
            </w:pPr>
            <w:r w:rsidRPr="002048A7">
              <w:rPr>
                <w:rFonts w:ascii="Times New Roman" w:eastAsia="Times New Roman" w:hAnsi="Times New Roman" w:cstheme="minorHAnsi"/>
                <w:color w:val="000000"/>
                <w:sz w:val="24"/>
                <w:szCs w:val="24"/>
                <w:lang w:eastAsia="tr-TR"/>
              </w:rPr>
              <w:t>Toplam</w:t>
            </w:r>
          </w:p>
        </w:tc>
        <w:tc>
          <w:tcPr>
            <w:tcW w:w="830" w:type="pct"/>
            <w:tcBorders>
              <w:top w:val="single" w:sz="8" w:space="0" w:color="D3D3D3"/>
              <w:left w:val="single" w:sz="8" w:space="0" w:color="D3D3D3"/>
              <w:bottom w:val="single" w:sz="8" w:space="0" w:color="D3D3D3"/>
              <w:right w:val="single" w:sz="8" w:space="0" w:color="D3D3D3"/>
            </w:tcBorders>
            <w:shd w:val="clear" w:color="auto" w:fill="auto"/>
            <w:vAlign w:val="center"/>
          </w:tcPr>
          <w:p w14:paraId="758F4D4A" w14:textId="77777777" w:rsidR="000A369E" w:rsidRPr="002048A7" w:rsidRDefault="000A369E" w:rsidP="000A369E">
            <w:pPr>
              <w:spacing w:after="0" w:line="240" w:lineRule="auto"/>
              <w:jc w:val="center"/>
              <w:rPr>
                <w:rFonts w:eastAsia="Times New Roman" w:cstheme="minorHAnsi"/>
                <w:color w:val="000000"/>
                <w:lang w:eastAsia="tr-TR"/>
              </w:rPr>
            </w:pPr>
            <w:r>
              <w:rPr>
                <w:rFonts w:eastAsia="Times New Roman" w:cstheme="minorHAnsi"/>
                <w:color w:val="000000"/>
                <w:lang w:eastAsia="tr-TR"/>
              </w:rPr>
              <w:t>15.874</w:t>
            </w:r>
          </w:p>
        </w:tc>
        <w:tc>
          <w:tcPr>
            <w:tcW w:w="816" w:type="pct"/>
            <w:tcBorders>
              <w:top w:val="single" w:sz="8" w:space="0" w:color="D3D3D3"/>
              <w:left w:val="single" w:sz="8" w:space="0" w:color="D3D3D3"/>
              <w:bottom w:val="single" w:sz="8" w:space="0" w:color="D3D3D3"/>
              <w:right w:val="single" w:sz="8" w:space="0" w:color="D3D3D3"/>
            </w:tcBorders>
            <w:shd w:val="clear" w:color="auto" w:fill="auto"/>
            <w:vAlign w:val="center"/>
          </w:tcPr>
          <w:p w14:paraId="1594FFFA" w14:textId="77777777" w:rsidR="000A369E" w:rsidRPr="002048A7" w:rsidRDefault="000A369E" w:rsidP="000A369E">
            <w:pPr>
              <w:spacing w:after="0" w:line="240" w:lineRule="auto"/>
              <w:jc w:val="center"/>
              <w:rPr>
                <w:rFonts w:eastAsia="Times New Roman" w:cstheme="minorHAnsi"/>
                <w:color w:val="000000"/>
                <w:lang w:eastAsia="tr-TR"/>
              </w:rPr>
            </w:pPr>
            <w:r>
              <w:rPr>
                <w:rFonts w:eastAsia="Times New Roman" w:cstheme="minorHAnsi"/>
                <w:color w:val="000000"/>
                <w:lang w:eastAsia="tr-TR"/>
              </w:rPr>
              <w:t>10.588</w:t>
            </w:r>
          </w:p>
        </w:tc>
        <w:tc>
          <w:tcPr>
            <w:tcW w:w="706" w:type="pct"/>
            <w:tcBorders>
              <w:top w:val="single" w:sz="8" w:space="0" w:color="D3D3D3"/>
              <w:left w:val="single" w:sz="8" w:space="0" w:color="D3D3D3"/>
              <w:bottom w:val="single" w:sz="8" w:space="0" w:color="D3D3D3"/>
              <w:right w:val="single" w:sz="8" w:space="0" w:color="D3D3D3"/>
            </w:tcBorders>
            <w:shd w:val="clear" w:color="auto" w:fill="auto"/>
            <w:vAlign w:val="center"/>
          </w:tcPr>
          <w:p w14:paraId="102CE979" w14:textId="77777777" w:rsidR="000A369E" w:rsidRPr="002048A7" w:rsidRDefault="000A369E" w:rsidP="000A369E">
            <w:pPr>
              <w:spacing w:after="0" w:line="240" w:lineRule="auto"/>
              <w:jc w:val="center"/>
              <w:rPr>
                <w:rFonts w:eastAsia="Times New Roman" w:cstheme="minorHAnsi"/>
                <w:color w:val="000000"/>
                <w:lang w:eastAsia="tr-TR"/>
              </w:rPr>
            </w:pPr>
            <w:r>
              <w:rPr>
                <w:rFonts w:eastAsia="Times New Roman" w:cstheme="minorHAnsi"/>
                <w:color w:val="000000"/>
                <w:lang w:eastAsia="tr-TR"/>
              </w:rPr>
              <w:t>26.462</w:t>
            </w:r>
          </w:p>
        </w:tc>
        <w:tc>
          <w:tcPr>
            <w:tcW w:w="668" w:type="pct"/>
            <w:tcBorders>
              <w:top w:val="single" w:sz="8" w:space="0" w:color="D3D3D3"/>
              <w:left w:val="single" w:sz="8" w:space="0" w:color="D3D3D3"/>
              <w:bottom w:val="single" w:sz="8" w:space="0" w:color="D3D3D3"/>
              <w:right w:val="single" w:sz="8" w:space="0" w:color="D3D3D3"/>
            </w:tcBorders>
            <w:shd w:val="clear" w:color="auto" w:fill="auto"/>
            <w:vAlign w:val="center"/>
          </w:tcPr>
          <w:p w14:paraId="26057DA8" w14:textId="77777777" w:rsidR="000A369E" w:rsidRPr="002048A7" w:rsidRDefault="000A369E" w:rsidP="000A369E">
            <w:pPr>
              <w:spacing w:after="0" w:line="240" w:lineRule="auto"/>
              <w:jc w:val="center"/>
              <w:rPr>
                <w:rFonts w:eastAsia="Times New Roman" w:cstheme="minorHAnsi"/>
                <w:color w:val="000000"/>
                <w:lang w:eastAsia="tr-TR"/>
              </w:rPr>
            </w:pPr>
            <w:r>
              <w:rPr>
                <w:rFonts w:eastAsia="Times New Roman" w:cstheme="minorHAnsi"/>
                <w:color w:val="000000"/>
                <w:lang w:eastAsia="tr-TR"/>
              </w:rPr>
              <w:t>21.365</w:t>
            </w:r>
          </w:p>
        </w:tc>
        <w:tc>
          <w:tcPr>
            <w:tcW w:w="1080" w:type="pct"/>
            <w:tcBorders>
              <w:top w:val="single" w:sz="8" w:space="0" w:color="D3D3D3"/>
              <w:left w:val="single" w:sz="8" w:space="0" w:color="D3D3D3"/>
              <w:bottom w:val="single" w:sz="8" w:space="0" w:color="D3D3D3"/>
              <w:right w:val="single" w:sz="8" w:space="0" w:color="D3D3D3"/>
            </w:tcBorders>
            <w:shd w:val="clear" w:color="auto" w:fill="auto"/>
            <w:vAlign w:val="center"/>
          </w:tcPr>
          <w:p w14:paraId="3BB26070" w14:textId="77777777" w:rsidR="000A369E" w:rsidRPr="002048A7" w:rsidRDefault="000A369E" w:rsidP="000A369E">
            <w:pPr>
              <w:spacing w:after="0" w:line="240" w:lineRule="auto"/>
              <w:jc w:val="center"/>
              <w:rPr>
                <w:rFonts w:eastAsia="Times New Roman" w:cstheme="minorHAnsi"/>
                <w:color w:val="000000"/>
                <w:lang w:eastAsia="tr-TR"/>
              </w:rPr>
            </w:pPr>
            <w:r>
              <w:rPr>
                <w:rFonts w:eastAsia="Times New Roman" w:cstheme="minorHAnsi"/>
                <w:color w:val="000000"/>
                <w:lang w:eastAsia="tr-TR"/>
              </w:rPr>
              <w:t>10.516</w:t>
            </w:r>
          </w:p>
        </w:tc>
      </w:tr>
    </w:tbl>
    <w:p w14:paraId="073DD07E" w14:textId="77777777" w:rsidR="000A369E" w:rsidRDefault="000A369E" w:rsidP="000A369E">
      <w:pPr>
        <w:pStyle w:val="Balk2"/>
        <w:spacing w:before="0" w:after="240"/>
        <w:rPr>
          <w:rFonts w:asciiTheme="minorHAnsi" w:hAnsiTheme="minorHAnsi"/>
          <w:b w:val="0"/>
          <w:bCs w:val="0"/>
          <w:color w:val="auto"/>
          <w:sz w:val="22"/>
          <w:szCs w:val="22"/>
        </w:rPr>
      </w:pPr>
    </w:p>
    <w:p w14:paraId="6974192F" w14:textId="77777777" w:rsidR="000A369E" w:rsidRPr="00276A5A" w:rsidRDefault="000A369E" w:rsidP="000A369E">
      <w:pPr>
        <w:pStyle w:val="Balk2"/>
        <w:numPr>
          <w:ilvl w:val="2"/>
          <w:numId w:val="11"/>
        </w:numPr>
        <w:spacing w:before="0" w:after="240"/>
      </w:pPr>
      <w:bookmarkStart w:id="118" w:name="_Toc195868695"/>
      <w:r w:rsidRPr="00C2183E">
        <w:rPr>
          <w:rFonts w:asciiTheme="minorHAnsi" w:hAnsiTheme="minorHAnsi"/>
          <w:color w:val="auto"/>
          <w:sz w:val="22"/>
          <w:szCs w:val="22"/>
        </w:rPr>
        <w:t>Elektrikli araç kullanımı, gelişimi ve şarj altyapısı ihtiyacına yönelik projeksiyon hazırlanması</w:t>
      </w:r>
      <w:bookmarkEnd w:id="118"/>
    </w:p>
    <w:p w14:paraId="25F70EBF" w14:textId="77777777" w:rsidR="000A369E" w:rsidRPr="00C2183E" w:rsidRDefault="000A369E" w:rsidP="000A369E">
      <w:pPr>
        <w:spacing w:after="0"/>
        <w:ind w:firstLine="360"/>
      </w:pPr>
      <w:r w:rsidRPr="00C2183E">
        <w:t xml:space="preserve">Türkiye'nin elektrikli araç stoku üzerine yapılan projeksiyonlar hem enerji talebi hem de altyapı ihtiyaçlarını belirleme açısından önem arz etmektedir. 6446 sayılı Elektrik Piyasası Kanunu ile Kurumumuza; Sanayi ve Teknoloji Bakanlığı ile Ulaştırma ve Altyapı Bakanlığı tarafından belirlenen politikalar dâhilinde, dağıtım şirketleri, şarj ağı işletmecisi ile elektrikli araç üreticisi ve ithalatçılarından temin ettiği verilerden yararlanarak, her iki yılda bir, elektrikli araç kullanımı, gelişimi ve şarj altyapısı ihtiyacına yönelik projeksiyonlar hazırlama; bu projeksiyonlara göre alınabilecek tedbirleri ve uygulanabilecek teşvik önerilerini Enerji ve Tabii Kaynaklar Bakanlığı, Hazine ve Maliye Bakanlığı, İçişleri Bakanlığı, Sanayi ve Teknoloji Bakanlığı, Ticaret Bakanlığı, Çevre, Şehircilik ve İklim Değişikliği Bakanlığı ile Ulaştırma ve Altyapı Bakanlığına bildirme; dağıtım şebekelerinde ihtiyaç duyulan kapasitenin sağlanması için gerekli tedbirleri alma yükümlülüğü verilmiştir. </w:t>
      </w:r>
    </w:p>
    <w:p w14:paraId="11FD73BB" w14:textId="77777777" w:rsidR="000A369E" w:rsidRPr="00C2183E" w:rsidRDefault="000A369E" w:rsidP="000A369E">
      <w:pPr>
        <w:spacing w:after="0"/>
        <w:ind w:firstLine="360"/>
      </w:pPr>
    </w:p>
    <w:p w14:paraId="434D8534" w14:textId="77777777" w:rsidR="000A369E" w:rsidRPr="00C2183E" w:rsidRDefault="000A369E" w:rsidP="000A369E">
      <w:pPr>
        <w:spacing w:after="0"/>
        <w:ind w:firstLine="360"/>
      </w:pPr>
      <w:r w:rsidRPr="00C2183E">
        <w:t xml:space="preserve">Bu kapsamda ülkemizdeki elektrikli araç kullanımı, gelişimi ve şarj altyapısı ihtiyacına yönelik detaylı senaryo analizleri çalışılmış, yurt dışında elektrikli araç pazarı gelişmiş ülkelerin pazar gelişim trendleri de dikkate alınarak yıllar itibarıyla elektrikli araç ve şarj noktası (soket) sayısı tahminlerini içeren düşük, orta ve yüksek olmak üzere üç temel senaryo oluşturulmuştur. </w:t>
      </w:r>
    </w:p>
    <w:p w14:paraId="0FFC058B" w14:textId="77777777" w:rsidR="000A369E" w:rsidRPr="00C2183E" w:rsidRDefault="000A369E" w:rsidP="000A369E">
      <w:pPr>
        <w:spacing w:after="0"/>
        <w:ind w:firstLine="360"/>
      </w:pPr>
    </w:p>
    <w:p w14:paraId="526D5D51" w14:textId="77777777" w:rsidR="000A369E" w:rsidRPr="00C2183E" w:rsidRDefault="000A369E" w:rsidP="000A369E">
      <w:pPr>
        <w:spacing w:after="0"/>
        <w:ind w:firstLine="360"/>
      </w:pPr>
      <w:r w:rsidRPr="00C2183E">
        <w:t>Enerji Piyasası Düzenleme Kurulu’nun 4/4/2024 tarihli ve 12551 sayılı Kurul Kararı ile onaylanan, ülkemizdeki elektrikli araç kullanımı, gelişimi ve şarj altyapısı ihtiyacına yönelik olarak oluşturulan elektrikli araç ve şarj noktası sayısı tahminleri aşağıda yer almaktadır.</w:t>
      </w:r>
    </w:p>
    <w:p w14:paraId="48A1D2A1" w14:textId="77777777" w:rsidR="000A369E" w:rsidRPr="004D1993" w:rsidRDefault="000A369E" w:rsidP="000A369E">
      <w:pPr>
        <w:spacing w:after="0" w:line="259" w:lineRule="auto"/>
        <w:jc w:val="left"/>
        <w:rPr>
          <w:rFonts w:ascii="Times New Roman" w:hAnsi="Times New Roman"/>
          <w:sz w:val="24"/>
          <w:szCs w:val="24"/>
        </w:rPr>
      </w:pPr>
    </w:p>
    <w:tbl>
      <w:tblPr>
        <w:tblStyle w:val="TabloKlavuzu11"/>
        <w:tblW w:w="3950" w:type="dxa"/>
        <w:jc w:val="center"/>
        <w:tblInd w:w="0" w:type="dxa"/>
        <w:tblLook w:val="04A0" w:firstRow="1" w:lastRow="0" w:firstColumn="1" w:lastColumn="0" w:noHBand="0" w:noVBand="1"/>
      </w:tblPr>
      <w:tblGrid>
        <w:gridCol w:w="663"/>
        <w:gridCol w:w="1108"/>
        <w:gridCol w:w="1108"/>
        <w:gridCol w:w="1108"/>
      </w:tblGrid>
      <w:tr w:rsidR="000A369E" w:rsidRPr="004D1993" w14:paraId="5E76EC63" w14:textId="77777777" w:rsidTr="000E274F">
        <w:trPr>
          <w:trHeight w:val="185"/>
          <w:tblHeader/>
          <w:jc w:val="center"/>
        </w:trPr>
        <w:tc>
          <w:tcPr>
            <w:tcW w:w="827" w:type="dxa"/>
            <w:vMerge w:val="restart"/>
            <w:tcBorders>
              <w:top w:val="single" w:sz="4" w:space="0" w:color="auto"/>
              <w:left w:val="single" w:sz="4" w:space="0" w:color="auto"/>
              <w:bottom w:val="single" w:sz="4" w:space="0" w:color="auto"/>
              <w:right w:val="single" w:sz="4" w:space="0" w:color="auto"/>
            </w:tcBorders>
            <w:shd w:val="clear" w:color="auto" w:fill="365F91"/>
            <w:vAlign w:val="center"/>
            <w:hideMark/>
          </w:tcPr>
          <w:p w14:paraId="031A3B0A" w14:textId="77777777" w:rsidR="000A369E" w:rsidRPr="00C2183E" w:rsidRDefault="000A369E" w:rsidP="000E274F">
            <w:pPr>
              <w:jc w:val="center"/>
              <w:rPr>
                <w:rFonts w:asciiTheme="minorHAnsi" w:eastAsia="Times New Roman" w:hAnsiTheme="minorHAnsi" w:cstheme="minorHAnsi"/>
                <w:b/>
                <w:bCs/>
                <w:color w:val="FFFFFF"/>
                <w:lang w:eastAsia="tr-TR"/>
              </w:rPr>
            </w:pPr>
            <w:r w:rsidRPr="00C2183E">
              <w:rPr>
                <w:rFonts w:eastAsia="Times New Roman" w:cstheme="minorHAnsi"/>
                <w:b/>
                <w:bCs/>
                <w:color w:val="FFFFFF"/>
                <w:lang w:eastAsia="tr-TR"/>
              </w:rPr>
              <w:t>Yıl</w:t>
            </w:r>
          </w:p>
        </w:tc>
        <w:tc>
          <w:tcPr>
            <w:tcW w:w="0" w:type="auto"/>
            <w:gridSpan w:val="3"/>
            <w:tcBorders>
              <w:top w:val="single" w:sz="4" w:space="0" w:color="auto"/>
              <w:left w:val="single" w:sz="4" w:space="0" w:color="auto"/>
              <w:bottom w:val="single" w:sz="4" w:space="0" w:color="auto"/>
              <w:right w:val="single" w:sz="4" w:space="0" w:color="auto"/>
            </w:tcBorders>
            <w:shd w:val="clear" w:color="auto" w:fill="2E74B5"/>
            <w:vAlign w:val="center"/>
            <w:hideMark/>
          </w:tcPr>
          <w:p w14:paraId="2057AC3A" w14:textId="77777777" w:rsidR="000A369E" w:rsidRPr="00C2183E" w:rsidRDefault="000A369E" w:rsidP="000E274F">
            <w:pPr>
              <w:jc w:val="center"/>
              <w:rPr>
                <w:rFonts w:asciiTheme="minorHAnsi" w:eastAsia="Times New Roman" w:hAnsiTheme="minorHAnsi" w:cstheme="minorHAnsi"/>
                <w:b/>
                <w:bCs/>
                <w:color w:val="FFFFFF"/>
                <w:lang w:eastAsia="tr-TR"/>
              </w:rPr>
            </w:pPr>
            <w:r w:rsidRPr="00C2183E">
              <w:rPr>
                <w:rFonts w:eastAsia="Times New Roman" w:cstheme="minorHAnsi"/>
                <w:b/>
                <w:bCs/>
                <w:color w:val="FFFFFF"/>
                <w:lang w:eastAsia="tr-TR"/>
              </w:rPr>
              <w:t>Elektrikli Araç</w:t>
            </w:r>
          </w:p>
        </w:tc>
      </w:tr>
      <w:tr w:rsidR="000A369E" w:rsidRPr="004D1993" w14:paraId="7E0D8A98" w14:textId="77777777" w:rsidTr="000E274F">
        <w:trPr>
          <w:trHeight w:val="660"/>
          <w:tblHeade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3576F1B" w14:textId="77777777" w:rsidR="000A369E" w:rsidRPr="00C2183E" w:rsidRDefault="000A369E" w:rsidP="000E274F">
            <w:pPr>
              <w:jc w:val="center"/>
              <w:rPr>
                <w:rFonts w:asciiTheme="minorHAnsi" w:eastAsia="Times New Roman" w:hAnsiTheme="minorHAnsi" w:cstheme="minorHAnsi"/>
                <w:b/>
                <w:bCs/>
                <w:color w:val="FFFFFF"/>
                <w:lang w:eastAsia="tr-TR"/>
              </w:rPr>
            </w:pPr>
          </w:p>
        </w:tc>
        <w:tc>
          <w:tcPr>
            <w:tcW w:w="0" w:type="auto"/>
            <w:tcBorders>
              <w:top w:val="single" w:sz="4" w:space="0" w:color="auto"/>
              <w:left w:val="single" w:sz="4" w:space="0" w:color="auto"/>
              <w:bottom w:val="single" w:sz="4" w:space="0" w:color="auto"/>
              <w:right w:val="single" w:sz="4" w:space="0" w:color="auto"/>
            </w:tcBorders>
            <w:shd w:val="clear" w:color="auto" w:fill="2E74B5"/>
            <w:vAlign w:val="center"/>
            <w:hideMark/>
          </w:tcPr>
          <w:p w14:paraId="1C4E09D2" w14:textId="77777777" w:rsidR="000A369E" w:rsidRPr="00C2183E" w:rsidRDefault="000A369E" w:rsidP="000E274F">
            <w:pPr>
              <w:jc w:val="center"/>
              <w:rPr>
                <w:rFonts w:asciiTheme="minorHAnsi" w:eastAsia="Times New Roman" w:hAnsiTheme="minorHAnsi" w:cstheme="minorHAnsi"/>
                <w:b/>
                <w:bCs/>
                <w:color w:val="FFFFFF"/>
                <w:lang w:eastAsia="tr-TR"/>
              </w:rPr>
            </w:pPr>
            <w:r w:rsidRPr="00C2183E">
              <w:rPr>
                <w:rFonts w:eastAsia="Times New Roman" w:cstheme="minorHAnsi"/>
                <w:b/>
                <w:bCs/>
                <w:color w:val="FFFFFF"/>
                <w:lang w:eastAsia="tr-TR"/>
              </w:rPr>
              <w:t>Düşük Senaryo</w:t>
            </w:r>
          </w:p>
        </w:tc>
        <w:tc>
          <w:tcPr>
            <w:tcW w:w="0" w:type="auto"/>
            <w:tcBorders>
              <w:top w:val="single" w:sz="4" w:space="0" w:color="auto"/>
              <w:left w:val="single" w:sz="4" w:space="0" w:color="auto"/>
              <w:bottom w:val="single" w:sz="4" w:space="0" w:color="auto"/>
              <w:right w:val="single" w:sz="4" w:space="0" w:color="auto"/>
            </w:tcBorders>
            <w:shd w:val="clear" w:color="auto" w:fill="2E74B5"/>
            <w:vAlign w:val="center"/>
            <w:hideMark/>
          </w:tcPr>
          <w:p w14:paraId="78DB7ACD" w14:textId="77777777" w:rsidR="000A369E" w:rsidRPr="00C2183E" w:rsidRDefault="000A369E" w:rsidP="000E274F">
            <w:pPr>
              <w:jc w:val="center"/>
              <w:rPr>
                <w:rFonts w:asciiTheme="minorHAnsi" w:eastAsia="Times New Roman" w:hAnsiTheme="minorHAnsi" w:cstheme="minorHAnsi"/>
                <w:b/>
                <w:bCs/>
                <w:color w:val="FFFFFF"/>
                <w:lang w:eastAsia="tr-TR"/>
              </w:rPr>
            </w:pPr>
            <w:r w:rsidRPr="00C2183E">
              <w:rPr>
                <w:rFonts w:eastAsia="Times New Roman" w:cstheme="minorHAnsi"/>
                <w:b/>
                <w:bCs/>
                <w:color w:val="FFFFFF"/>
                <w:lang w:eastAsia="tr-TR"/>
              </w:rPr>
              <w:t>Orta</w:t>
            </w:r>
          </w:p>
          <w:p w14:paraId="17030F8C" w14:textId="77777777" w:rsidR="000A369E" w:rsidRPr="00C2183E" w:rsidRDefault="000A369E" w:rsidP="000E274F">
            <w:pPr>
              <w:jc w:val="center"/>
              <w:rPr>
                <w:rFonts w:asciiTheme="minorHAnsi" w:eastAsia="Times New Roman" w:hAnsiTheme="minorHAnsi" w:cstheme="minorHAnsi"/>
                <w:b/>
                <w:bCs/>
                <w:color w:val="FFFFFF"/>
                <w:lang w:eastAsia="tr-TR"/>
              </w:rPr>
            </w:pPr>
            <w:r w:rsidRPr="00C2183E">
              <w:rPr>
                <w:rFonts w:eastAsia="Times New Roman" w:cstheme="minorHAnsi"/>
                <w:b/>
                <w:bCs/>
                <w:color w:val="FFFFFF"/>
                <w:lang w:eastAsia="tr-TR"/>
              </w:rPr>
              <w:t>Senaryo</w:t>
            </w:r>
          </w:p>
        </w:tc>
        <w:tc>
          <w:tcPr>
            <w:tcW w:w="0" w:type="auto"/>
            <w:tcBorders>
              <w:top w:val="single" w:sz="4" w:space="0" w:color="auto"/>
              <w:left w:val="single" w:sz="4" w:space="0" w:color="auto"/>
              <w:bottom w:val="single" w:sz="4" w:space="0" w:color="auto"/>
              <w:right w:val="single" w:sz="4" w:space="0" w:color="auto"/>
            </w:tcBorders>
            <w:shd w:val="clear" w:color="auto" w:fill="2E74B5"/>
            <w:vAlign w:val="center"/>
            <w:hideMark/>
          </w:tcPr>
          <w:p w14:paraId="6B78381C" w14:textId="77777777" w:rsidR="000A369E" w:rsidRPr="00C2183E" w:rsidRDefault="000A369E" w:rsidP="000E274F">
            <w:pPr>
              <w:jc w:val="center"/>
              <w:rPr>
                <w:rFonts w:asciiTheme="minorHAnsi" w:eastAsia="Times New Roman" w:hAnsiTheme="minorHAnsi" w:cstheme="minorHAnsi"/>
                <w:b/>
                <w:bCs/>
                <w:color w:val="FFFFFF"/>
                <w:lang w:eastAsia="tr-TR"/>
              </w:rPr>
            </w:pPr>
            <w:r w:rsidRPr="00C2183E">
              <w:rPr>
                <w:rFonts w:eastAsia="Times New Roman" w:cstheme="minorHAnsi"/>
                <w:b/>
                <w:bCs/>
                <w:color w:val="FFFFFF"/>
                <w:lang w:eastAsia="tr-TR"/>
              </w:rPr>
              <w:t>Yüksek Senaryo</w:t>
            </w:r>
          </w:p>
        </w:tc>
      </w:tr>
      <w:tr w:rsidR="000A369E" w:rsidRPr="004D1993" w14:paraId="5884578A" w14:textId="77777777" w:rsidTr="000E274F">
        <w:trPr>
          <w:trHeight w:val="245"/>
          <w:jc w:val="center"/>
        </w:trPr>
        <w:tc>
          <w:tcPr>
            <w:tcW w:w="827" w:type="dxa"/>
            <w:tcBorders>
              <w:top w:val="single" w:sz="4" w:space="0" w:color="auto"/>
              <w:left w:val="single" w:sz="4" w:space="0" w:color="auto"/>
              <w:bottom w:val="single" w:sz="4" w:space="0" w:color="auto"/>
              <w:right w:val="single" w:sz="4" w:space="0" w:color="auto"/>
            </w:tcBorders>
            <w:vAlign w:val="center"/>
            <w:hideMark/>
          </w:tcPr>
          <w:p w14:paraId="688AF64E" w14:textId="77777777" w:rsidR="000A369E" w:rsidRPr="00C2183E" w:rsidRDefault="000A369E" w:rsidP="000E274F">
            <w:pPr>
              <w:jc w:val="center"/>
              <w:rPr>
                <w:rFonts w:asciiTheme="minorHAnsi" w:eastAsia="Times New Roman" w:hAnsiTheme="minorHAnsi" w:cstheme="minorHAnsi"/>
                <w:b/>
                <w:color w:val="000000"/>
                <w:lang w:eastAsia="tr-TR"/>
              </w:rPr>
            </w:pPr>
            <w:r w:rsidRPr="00C2183E">
              <w:rPr>
                <w:rFonts w:eastAsia="Times New Roman" w:cstheme="minorHAnsi"/>
                <w:b/>
                <w:color w:val="000000"/>
                <w:lang w:eastAsia="tr-TR"/>
              </w:rPr>
              <w:t>2025</w:t>
            </w: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hideMark/>
          </w:tcPr>
          <w:p w14:paraId="36180FBD" w14:textId="77777777" w:rsidR="000A369E" w:rsidRPr="00C2183E" w:rsidRDefault="000A369E" w:rsidP="000E274F">
            <w:pPr>
              <w:jc w:val="center"/>
              <w:rPr>
                <w:rFonts w:asciiTheme="minorHAnsi" w:eastAsia="Times New Roman" w:hAnsiTheme="minorHAnsi" w:cstheme="minorHAnsi"/>
                <w:color w:val="000000"/>
                <w:lang w:eastAsia="tr-TR"/>
              </w:rPr>
            </w:pPr>
            <w:r w:rsidRPr="00C2183E">
              <w:rPr>
                <w:rFonts w:eastAsia="Times New Roman" w:cstheme="minorHAnsi"/>
                <w:color w:val="000000"/>
                <w:lang w:eastAsia="tr-TR"/>
              </w:rPr>
              <w:t>202.030</w:t>
            </w: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hideMark/>
          </w:tcPr>
          <w:p w14:paraId="542093BC" w14:textId="77777777" w:rsidR="000A369E" w:rsidRPr="00C2183E" w:rsidRDefault="000A369E" w:rsidP="000E274F">
            <w:pPr>
              <w:jc w:val="center"/>
              <w:rPr>
                <w:rFonts w:asciiTheme="minorHAnsi" w:eastAsia="Times New Roman" w:hAnsiTheme="minorHAnsi" w:cstheme="minorHAnsi"/>
                <w:color w:val="000000"/>
                <w:lang w:eastAsia="tr-TR"/>
              </w:rPr>
            </w:pPr>
            <w:r w:rsidRPr="00C2183E">
              <w:rPr>
                <w:rFonts w:eastAsia="Times New Roman" w:cstheme="minorHAnsi"/>
                <w:color w:val="000000"/>
                <w:lang w:eastAsia="tr-TR"/>
              </w:rPr>
              <w:t>269.154</w:t>
            </w: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hideMark/>
          </w:tcPr>
          <w:p w14:paraId="00D0777B" w14:textId="77777777" w:rsidR="000A369E" w:rsidRPr="00C2183E" w:rsidRDefault="000A369E" w:rsidP="000E274F">
            <w:pPr>
              <w:jc w:val="center"/>
              <w:rPr>
                <w:rFonts w:asciiTheme="minorHAnsi" w:eastAsia="Times New Roman" w:hAnsiTheme="minorHAnsi" w:cstheme="minorHAnsi"/>
                <w:color w:val="000000"/>
                <w:lang w:eastAsia="tr-TR"/>
              </w:rPr>
            </w:pPr>
            <w:r w:rsidRPr="00C2183E">
              <w:rPr>
                <w:rFonts w:eastAsia="Times New Roman" w:cstheme="minorHAnsi"/>
                <w:color w:val="000000"/>
                <w:lang w:eastAsia="tr-TR"/>
              </w:rPr>
              <w:t>361.893</w:t>
            </w:r>
          </w:p>
        </w:tc>
      </w:tr>
      <w:tr w:rsidR="000A369E" w:rsidRPr="004D1993" w14:paraId="01D4A502" w14:textId="77777777" w:rsidTr="000E274F">
        <w:trPr>
          <w:trHeight w:val="256"/>
          <w:jc w:val="center"/>
        </w:trPr>
        <w:tc>
          <w:tcPr>
            <w:tcW w:w="827" w:type="dxa"/>
            <w:tcBorders>
              <w:top w:val="single" w:sz="4" w:space="0" w:color="auto"/>
              <w:left w:val="single" w:sz="4" w:space="0" w:color="auto"/>
              <w:bottom w:val="single" w:sz="4" w:space="0" w:color="auto"/>
              <w:right w:val="single" w:sz="4" w:space="0" w:color="auto"/>
            </w:tcBorders>
            <w:vAlign w:val="center"/>
            <w:hideMark/>
          </w:tcPr>
          <w:p w14:paraId="681F2944" w14:textId="77777777" w:rsidR="000A369E" w:rsidRPr="00C2183E" w:rsidRDefault="000A369E" w:rsidP="000E274F">
            <w:pPr>
              <w:jc w:val="center"/>
              <w:rPr>
                <w:rFonts w:asciiTheme="minorHAnsi" w:eastAsia="Times New Roman" w:hAnsiTheme="minorHAnsi" w:cstheme="minorHAnsi"/>
                <w:b/>
                <w:color w:val="000000"/>
                <w:lang w:eastAsia="tr-TR"/>
              </w:rPr>
            </w:pPr>
            <w:r w:rsidRPr="00C2183E">
              <w:rPr>
                <w:rFonts w:eastAsia="Times New Roman" w:cstheme="minorHAnsi"/>
                <w:b/>
                <w:color w:val="000000"/>
                <w:lang w:eastAsia="tr-TR"/>
              </w:rPr>
              <w:lastRenderedPageBreak/>
              <w:t>2030</w:t>
            </w: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hideMark/>
          </w:tcPr>
          <w:p w14:paraId="0E7EFCBC" w14:textId="77777777" w:rsidR="000A369E" w:rsidRPr="00C2183E" w:rsidRDefault="000A369E" w:rsidP="000E274F">
            <w:pPr>
              <w:jc w:val="center"/>
              <w:rPr>
                <w:rFonts w:asciiTheme="minorHAnsi" w:eastAsia="Times New Roman" w:hAnsiTheme="minorHAnsi" w:cstheme="minorHAnsi"/>
                <w:color w:val="000000"/>
                <w:lang w:eastAsia="tr-TR"/>
              </w:rPr>
            </w:pPr>
            <w:r w:rsidRPr="00C2183E">
              <w:rPr>
                <w:rFonts w:eastAsia="Times New Roman" w:cstheme="minorHAnsi"/>
                <w:color w:val="000000"/>
                <w:lang w:eastAsia="tr-TR"/>
              </w:rPr>
              <w:t>776.362</w:t>
            </w: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hideMark/>
          </w:tcPr>
          <w:p w14:paraId="38B26268" w14:textId="77777777" w:rsidR="000A369E" w:rsidRPr="00C2183E" w:rsidRDefault="000A369E" w:rsidP="000E274F">
            <w:pPr>
              <w:jc w:val="center"/>
              <w:rPr>
                <w:rFonts w:asciiTheme="minorHAnsi" w:eastAsia="Times New Roman" w:hAnsiTheme="minorHAnsi" w:cstheme="minorHAnsi"/>
                <w:color w:val="000000"/>
                <w:lang w:eastAsia="tr-TR"/>
              </w:rPr>
            </w:pPr>
            <w:r w:rsidRPr="00C2183E">
              <w:rPr>
                <w:rFonts w:eastAsia="Times New Roman" w:cstheme="minorHAnsi"/>
                <w:color w:val="000000"/>
                <w:lang w:eastAsia="tr-TR"/>
              </w:rPr>
              <w:t>1.321.932</w:t>
            </w: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hideMark/>
          </w:tcPr>
          <w:p w14:paraId="2E760CC5" w14:textId="77777777" w:rsidR="000A369E" w:rsidRPr="00C2183E" w:rsidRDefault="000A369E" w:rsidP="000E274F">
            <w:pPr>
              <w:jc w:val="center"/>
              <w:rPr>
                <w:rFonts w:asciiTheme="minorHAnsi" w:eastAsia="Times New Roman" w:hAnsiTheme="minorHAnsi" w:cstheme="minorHAnsi"/>
                <w:color w:val="000000"/>
                <w:lang w:eastAsia="tr-TR"/>
              </w:rPr>
            </w:pPr>
            <w:r w:rsidRPr="00C2183E">
              <w:rPr>
                <w:rFonts w:eastAsia="Times New Roman" w:cstheme="minorHAnsi"/>
                <w:color w:val="000000"/>
                <w:lang w:eastAsia="tr-TR"/>
              </w:rPr>
              <w:t>1.679.600</w:t>
            </w:r>
          </w:p>
        </w:tc>
      </w:tr>
      <w:tr w:rsidR="000A369E" w:rsidRPr="004D1993" w14:paraId="409EABB2" w14:textId="77777777" w:rsidTr="000E274F">
        <w:trPr>
          <w:trHeight w:val="256"/>
          <w:jc w:val="center"/>
        </w:trPr>
        <w:tc>
          <w:tcPr>
            <w:tcW w:w="827" w:type="dxa"/>
            <w:tcBorders>
              <w:top w:val="single" w:sz="4" w:space="0" w:color="auto"/>
              <w:left w:val="single" w:sz="4" w:space="0" w:color="auto"/>
              <w:bottom w:val="single" w:sz="4" w:space="0" w:color="auto"/>
              <w:right w:val="single" w:sz="4" w:space="0" w:color="auto"/>
            </w:tcBorders>
            <w:vAlign w:val="center"/>
            <w:hideMark/>
          </w:tcPr>
          <w:p w14:paraId="55CADD1F" w14:textId="77777777" w:rsidR="000A369E" w:rsidRPr="00C2183E" w:rsidRDefault="000A369E" w:rsidP="000E274F">
            <w:pPr>
              <w:jc w:val="center"/>
              <w:rPr>
                <w:rFonts w:asciiTheme="minorHAnsi" w:eastAsia="Times New Roman" w:hAnsiTheme="minorHAnsi" w:cstheme="minorHAnsi"/>
                <w:b/>
                <w:color w:val="000000"/>
                <w:lang w:eastAsia="tr-TR"/>
              </w:rPr>
            </w:pPr>
            <w:r w:rsidRPr="00C2183E">
              <w:rPr>
                <w:rFonts w:eastAsia="Times New Roman" w:cstheme="minorHAnsi"/>
                <w:b/>
                <w:color w:val="000000"/>
                <w:lang w:eastAsia="tr-TR"/>
              </w:rPr>
              <w:t>2035</w:t>
            </w: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hideMark/>
          </w:tcPr>
          <w:p w14:paraId="6291CC39" w14:textId="77777777" w:rsidR="000A369E" w:rsidRPr="00C2183E" w:rsidRDefault="000A369E" w:rsidP="000E274F">
            <w:pPr>
              <w:jc w:val="center"/>
              <w:rPr>
                <w:rFonts w:asciiTheme="minorHAnsi" w:eastAsia="Times New Roman" w:hAnsiTheme="minorHAnsi" w:cstheme="minorHAnsi"/>
                <w:color w:val="000000"/>
                <w:lang w:eastAsia="tr-TR"/>
              </w:rPr>
            </w:pPr>
            <w:bookmarkStart w:id="119" w:name="_Hlk159030003"/>
            <w:r w:rsidRPr="00C2183E">
              <w:rPr>
                <w:rFonts w:eastAsia="Times New Roman" w:cstheme="minorHAnsi"/>
                <w:color w:val="000000"/>
                <w:lang w:eastAsia="tr-TR"/>
              </w:rPr>
              <w:t>1.779.488</w:t>
            </w:r>
            <w:bookmarkEnd w:id="119"/>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hideMark/>
          </w:tcPr>
          <w:p w14:paraId="0E548F03" w14:textId="77777777" w:rsidR="000A369E" w:rsidRPr="00C2183E" w:rsidRDefault="000A369E" w:rsidP="000E274F">
            <w:pPr>
              <w:jc w:val="center"/>
              <w:rPr>
                <w:rFonts w:asciiTheme="minorHAnsi" w:eastAsia="Times New Roman" w:hAnsiTheme="minorHAnsi" w:cstheme="minorHAnsi"/>
                <w:color w:val="000000"/>
                <w:lang w:eastAsia="tr-TR"/>
              </w:rPr>
            </w:pPr>
            <w:r w:rsidRPr="00C2183E">
              <w:rPr>
                <w:rFonts w:eastAsia="Times New Roman" w:cstheme="minorHAnsi"/>
                <w:color w:val="000000"/>
                <w:lang w:eastAsia="tr-TR"/>
              </w:rPr>
              <w:t>3.307.577</w:t>
            </w: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hideMark/>
          </w:tcPr>
          <w:p w14:paraId="5CFF1392" w14:textId="77777777" w:rsidR="000A369E" w:rsidRPr="00C2183E" w:rsidRDefault="000A369E" w:rsidP="000E274F">
            <w:pPr>
              <w:jc w:val="center"/>
              <w:rPr>
                <w:rFonts w:asciiTheme="minorHAnsi" w:eastAsia="Times New Roman" w:hAnsiTheme="minorHAnsi" w:cstheme="minorHAnsi"/>
                <w:color w:val="000000"/>
                <w:lang w:eastAsia="tr-TR"/>
              </w:rPr>
            </w:pPr>
            <w:r w:rsidRPr="00C2183E">
              <w:rPr>
                <w:rFonts w:eastAsia="Times New Roman" w:cstheme="minorHAnsi"/>
                <w:color w:val="000000"/>
                <w:lang w:eastAsia="tr-TR"/>
              </w:rPr>
              <w:t>4.214.273</w:t>
            </w:r>
          </w:p>
        </w:tc>
      </w:tr>
    </w:tbl>
    <w:p w14:paraId="222D9578" w14:textId="77777777" w:rsidR="000A369E" w:rsidRPr="004D1993" w:rsidRDefault="000A369E" w:rsidP="000A369E">
      <w:pPr>
        <w:autoSpaceDE w:val="0"/>
        <w:autoSpaceDN w:val="0"/>
        <w:adjustRightInd w:val="0"/>
        <w:spacing w:after="0"/>
        <w:ind w:firstLine="567"/>
        <w:rPr>
          <w:rFonts w:ascii="Times New Roman" w:eastAsia="Times New Roman" w:hAnsi="Times New Roman"/>
          <w:sz w:val="24"/>
          <w:lang w:eastAsia="tr-TR"/>
        </w:rPr>
      </w:pPr>
    </w:p>
    <w:tbl>
      <w:tblPr>
        <w:tblStyle w:val="TabloKlavuzu11"/>
        <w:tblW w:w="9744" w:type="dxa"/>
        <w:tblInd w:w="0" w:type="dxa"/>
        <w:tblLook w:val="04A0" w:firstRow="1" w:lastRow="0" w:firstColumn="1" w:lastColumn="0" w:noHBand="0" w:noVBand="1"/>
      </w:tblPr>
      <w:tblGrid>
        <w:gridCol w:w="828"/>
        <w:gridCol w:w="1004"/>
        <w:gridCol w:w="959"/>
        <w:gridCol w:w="1009"/>
        <w:gridCol w:w="1004"/>
        <w:gridCol w:w="959"/>
        <w:gridCol w:w="1009"/>
        <w:gridCol w:w="1004"/>
        <w:gridCol w:w="959"/>
        <w:gridCol w:w="1009"/>
      </w:tblGrid>
      <w:tr w:rsidR="000A369E" w:rsidRPr="004D1993" w14:paraId="405AFB74" w14:textId="77777777" w:rsidTr="000E274F">
        <w:trPr>
          <w:trHeight w:val="332"/>
          <w:tblHeader/>
        </w:trPr>
        <w:tc>
          <w:tcPr>
            <w:tcW w:w="828" w:type="dxa"/>
            <w:vMerge w:val="restart"/>
            <w:tcBorders>
              <w:top w:val="single" w:sz="4" w:space="0" w:color="auto"/>
              <w:left w:val="single" w:sz="4" w:space="0" w:color="auto"/>
              <w:bottom w:val="single" w:sz="4" w:space="0" w:color="auto"/>
              <w:right w:val="single" w:sz="4" w:space="0" w:color="auto"/>
            </w:tcBorders>
            <w:shd w:val="clear" w:color="auto" w:fill="365F91"/>
            <w:vAlign w:val="center"/>
            <w:hideMark/>
          </w:tcPr>
          <w:p w14:paraId="49CBF336" w14:textId="77777777" w:rsidR="000A369E" w:rsidRPr="00C2183E" w:rsidRDefault="000A369E" w:rsidP="000E274F">
            <w:pPr>
              <w:jc w:val="center"/>
              <w:rPr>
                <w:rFonts w:asciiTheme="minorHAnsi" w:eastAsia="Times New Roman" w:hAnsiTheme="minorHAnsi" w:cstheme="minorHAnsi"/>
                <w:b/>
                <w:bCs/>
                <w:color w:val="FFFFFF"/>
                <w:lang w:eastAsia="tr-TR"/>
              </w:rPr>
            </w:pPr>
            <w:r w:rsidRPr="00C2183E">
              <w:rPr>
                <w:rFonts w:eastAsia="Times New Roman" w:cstheme="minorHAnsi"/>
                <w:b/>
                <w:bCs/>
                <w:color w:val="FFFFFF"/>
                <w:lang w:eastAsia="tr-TR"/>
              </w:rPr>
              <w:t>Yıl</w:t>
            </w:r>
          </w:p>
        </w:tc>
        <w:tc>
          <w:tcPr>
            <w:tcW w:w="0" w:type="auto"/>
            <w:gridSpan w:val="3"/>
            <w:tcBorders>
              <w:top w:val="single" w:sz="4" w:space="0" w:color="auto"/>
              <w:left w:val="single" w:sz="4" w:space="0" w:color="auto"/>
              <w:bottom w:val="single" w:sz="4" w:space="0" w:color="auto"/>
              <w:right w:val="single" w:sz="4" w:space="0" w:color="auto"/>
            </w:tcBorders>
            <w:shd w:val="clear" w:color="auto" w:fill="2E74B5"/>
            <w:vAlign w:val="center"/>
            <w:hideMark/>
          </w:tcPr>
          <w:p w14:paraId="303E378F" w14:textId="77777777" w:rsidR="000A369E" w:rsidRPr="00C2183E" w:rsidRDefault="000A369E" w:rsidP="000E274F">
            <w:pPr>
              <w:jc w:val="center"/>
              <w:rPr>
                <w:rFonts w:asciiTheme="minorHAnsi" w:eastAsia="Times New Roman" w:hAnsiTheme="minorHAnsi" w:cstheme="minorHAnsi"/>
                <w:b/>
                <w:bCs/>
                <w:color w:val="FFFFFF"/>
                <w:lang w:eastAsia="tr-TR"/>
              </w:rPr>
            </w:pPr>
            <w:r w:rsidRPr="00C2183E">
              <w:rPr>
                <w:rFonts w:eastAsia="Times New Roman" w:cstheme="minorHAnsi"/>
                <w:b/>
                <w:bCs/>
                <w:color w:val="FFFFFF"/>
                <w:lang w:eastAsia="tr-TR"/>
              </w:rPr>
              <w:t>Şarj Noktası (Soketi) (AC)</w:t>
            </w:r>
          </w:p>
        </w:tc>
        <w:tc>
          <w:tcPr>
            <w:tcW w:w="0" w:type="auto"/>
            <w:gridSpan w:val="3"/>
            <w:tcBorders>
              <w:top w:val="single" w:sz="4" w:space="0" w:color="auto"/>
              <w:left w:val="single" w:sz="4" w:space="0" w:color="auto"/>
              <w:bottom w:val="single" w:sz="4" w:space="0" w:color="auto"/>
              <w:right w:val="single" w:sz="4" w:space="0" w:color="auto"/>
            </w:tcBorders>
            <w:shd w:val="clear" w:color="auto" w:fill="365F91"/>
            <w:vAlign w:val="center"/>
            <w:hideMark/>
          </w:tcPr>
          <w:p w14:paraId="5DE633BA" w14:textId="77777777" w:rsidR="000A369E" w:rsidRPr="00C2183E" w:rsidRDefault="000A369E" w:rsidP="000E274F">
            <w:pPr>
              <w:jc w:val="center"/>
              <w:rPr>
                <w:rFonts w:asciiTheme="minorHAnsi" w:eastAsia="Times New Roman" w:hAnsiTheme="minorHAnsi" w:cstheme="minorHAnsi"/>
                <w:b/>
                <w:bCs/>
                <w:color w:val="FFFFFF"/>
                <w:lang w:eastAsia="tr-TR"/>
              </w:rPr>
            </w:pPr>
            <w:r w:rsidRPr="00C2183E">
              <w:rPr>
                <w:rFonts w:eastAsia="Times New Roman" w:cstheme="minorHAnsi"/>
                <w:b/>
                <w:bCs/>
                <w:color w:val="FFFFFF"/>
                <w:lang w:eastAsia="tr-TR"/>
              </w:rPr>
              <w:t>Şarj Noktası (Soketi) (DC)</w:t>
            </w:r>
          </w:p>
        </w:tc>
        <w:tc>
          <w:tcPr>
            <w:tcW w:w="0" w:type="auto"/>
            <w:gridSpan w:val="3"/>
            <w:tcBorders>
              <w:top w:val="single" w:sz="4" w:space="0" w:color="auto"/>
              <w:left w:val="single" w:sz="4" w:space="0" w:color="auto"/>
              <w:bottom w:val="single" w:sz="4" w:space="0" w:color="auto"/>
              <w:right w:val="single" w:sz="4" w:space="0" w:color="auto"/>
            </w:tcBorders>
            <w:shd w:val="clear" w:color="auto" w:fill="9CC2E5"/>
            <w:vAlign w:val="center"/>
            <w:hideMark/>
          </w:tcPr>
          <w:p w14:paraId="635B4B0C" w14:textId="77777777" w:rsidR="000A369E" w:rsidRPr="00C2183E" w:rsidRDefault="000A369E" w:rsidP="000E274F">
            <w:pPr>
              <w:jc w:val="center"/>
              <w:rPr>
                <w:rFonts w:asciiTheme="minorHAnsi" w:eastAsia="Times New Roman" w:hAnsiTheme="minorHAnsi" w:cstheme="minorHAnsi"/>
                <w:b/>
                <w:bCs/>
                <w:color w:val="FFFFFF"/>
                <w:lang w:eastAsia="tr-TR"/>
              </w:rPr>
            </w:pPr>
            <w:r w:rsidRPr="00C2183E">
              <w:rPr>
                <w:rFonts w:eastAsia="Times New Roman" w:cstheme="minorHAnsi"/>
                <w:b/>
                <w:bCs/>
                <w:color w:val="FFFFFF"/>
                <w:lang w:eastAsia="tr-TR"/>
              </w:rPr>
              <w:t>Şarj Noktası (Soketi) (Toplam)</w:t>
            </w:r>
          </w:p>
        </w:tc>
      </w:tr>
      <w:tr w:rsidR="000A369E" w:rsidRPr="004D1993" w14:paraId="0A1725D3" w14:textId="77777777" w:rsidTr="000E274F">
        <w:trPr>
          <w:trHeight w:val="256"/>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D6D60C9" w14:textId="77777777" w:rsidR="000A369E" w:rsidRPr="00C2183E" w:rsidRDefault="000A369E" w:rsidP="000E274F">
            <w:pPr>
              <w:jc w:val="center"/>
              <w:rPr>
                <w:rFonts w:asciiTheme="minorHAnsi" w:eastAsia="Times New Roman" w:hAnsiTheme="minorHAnsi" w:cstheme="minorHAnsi"/>
                <w:b/>
                <w:bCs/>
                <w:color w:val="FFFFFF"/>
                <w:lang w:eastAsia="tr-TR"/>
              </w:rPr>
            </w:pPr>
          </w:p>
        </w:tc>
        <w:tc>
          <w:tcPr>
            <w:tcW w:w="0" w:type="auto"/>
            <w:tcBorders>
              <w:top w:val="single" w:sz="4" w:space="0" w:color="auto"/>
              <w:left w:val="single" w:sz="4" w:space="0" w:color="auto"/>
              <w:bottom w:val="single" w:sz="4" w:space="0" w:color="auto"/>
              <w:right w:val="single" w:sz="4" w:space="0" w:color="auto"/>
            </w:tcBorders>
            <w:shd w:val="clear" w:color="auto" w:fill="2E74B5"/>
            <w:vAlign w:val="center"/>
            <w:hideMark/>
          </w:tcPr>
          <w:p w14:paraId="68270271" w14:textId="77777777" w:rsidR="000A369E" w:rsidRPr="00C2183E" w:rsidRDefault="000A369E" w:rsidP="000E274F">
            <w:pPr>
              <w:jc w:val="center"/>
              <w:rPr>
                <w:rFonts w:asciiTheme="minorHAnsi" w:eastAsia="Times New Roman" w:hAnsiTheme="minorHAnsi" w:cstheme="minorHAnsi"/>
                <w:b/>
                <w:bCs/>
                <w:color w:val="FFFFFF"/>
                <w:lang w:eastAsia="tr-TR"/>
              </w:rPr>
            </w:pPr>
            <w:r w:rsidRPr="00C2183E">
              <w:rPr>
                <w:rFonts w:eastAsia="Times New Roman" w:cstheme="minorHAnsi"/>
                <w:b/>
                <w:bCs/>
                <w:color w:val="FFFFFF"/>
                <w:lang w:eastAsia="tr-TR"/>
              </w:rPr>
              <w:t>Düşük Senaryo</w:t>
            </w:r>
          </w:p>
        </w:tc>
        <w:tc>
          <w:tcPr>
            <w:tcW w:w="0" w:type="auto"/>
            <w:tcBorders>
              <w:top w:val="single" w:sz="4" w:space="0" w:color="auto"/>
              <w:left w:val="single" w:sz="4" w:space="0" w:color="auto"/>
              <w:bottom w:val="single" w:sz="4" w:space="0" w:color="auto"/>
              <w:right w:val="single" w:sz="4" w:space="0" w:color="auto"/>
            </w:tcBorders>
            <w:shd w:val="clear" w:color="auto" w:fill="2E74B5"/>
            <w:vAlign w:val="center"/>
            <w:hideMark/>
          </w:tcPr>
          <w:p w14:paraId="3B9599F8" w14:textId="77777777" w:rsidR="000A369E" w:rsidRPr="00C2183E" w:rsidRDefault="000A369E" w:rsidP="000E274F">
            <w:pPr>
              <w:jc w:val="center"/>
              <w:rPr>
                <w:rFonts w:asciiTheme="minorHAnsi" w:eastAsia="Times New Roman" w:hAnsiTheme="minorHAnsi" w:cstheme="minorHAnsi"/>
                <w:b/>
                <w:bCs/>
                <w:color w:val="FFFFFF"/>
                <w:lang w:eastAsia="tr-TR"/>
              </w:rPr>
            </w:pPr>
            <w:r w:rsidRPr="00C2183E">
              <w:rPr>
                <w:rFonts w:eastAsia="Times New Roman" w:cstheme="minorHAnsi"/>
                <w:b/>
                <w:bCs/>
                <w:color w:val="FFFFFF"/>
                <w:lang w:eastAsia="tr-TR"/>
              </w:rPr>
              <w:t>Orta</w:t>
            </w:r>
          </w:p>
          <w:p w14:paraId="75408EAA" w14:textId="77777777" w:rsidR="000A369E" w:rsidRPr="00C2183E" w:rsidRDefault="000A369E" w:rsidP="000E274F">
            <w:pPr>
              <w:jc w:val="center"/>
              <w:rPr>
                <w:rFonts w:asciiTheme="minorHAnsi" w:eastAsia="Times New Roman" w:hAnsiTheme="minorHAnsi" w:cstheme="minorHAnsi"/>
                <w:b/>
                <w:bCs/>
                <w:color w:val="FFFFFF"/>
                <w:lang w:eastAsia="tr-TR"/>
              </w:rPr>
            </w:pPr>
            <w:r w:rsidRPr="00C2183E">
              <w:rPr>
                <w:rFonts w:eastAsia="Times New Roman" w:cstheme="minorHAnsi"/>
                <w:b/>
                <w:bCs/>
                <w:color w:val="FFFFFF"/>
                <w:lang w:eastAsia="tr-TR"/>
              </w:rPr>
              <w:t>Senaryo</w:t>
            </w:r>
          </w:p>
        </w:tc>
        <w:tc>
          <w:tcPr>
            <w:tcW w:w="0" w:type="auto"/>
            <w:tcBorders>
              <w:top w:val="single" w:sz="4" w:space="0" w:color="auto"/>
              <w:left w:val="single" w:sz="4" w:space="0" w:color="auto"/>
              <w:bottom w:val="single" w:sz="4" w:space="0" w:color="auto"/>
              <w:right w:val="single" w:sz="4" w:space="0" w:color="auto"/>
            </w:tcBorders>
            <w:shd w:val="clear" w:color="auto" w:fill="2E74B5"/>
            <w:vAlign w:val="center"/>
            <w:hideMark/>
          </w:tcPr>
          <w:p w14:paraId="48AE0C37" w14:textId="77777777" w:rsidR="000A369E" w:rsidRPr="00C2183E" w:rsidRDefault="000A369E" w:rsidP="000E274F">
            <w:pPr>
              <w:jc w:val="center"/>
              <w:rPr>
                <w:rFonts w:asciiTheme="minorHAnsi" w:eastAsia="Times New Roman" w:hAnsiTheme="minorHAnsi" w:cstheme="minorHAnsi"/>
                <w:b/>
                <w:bCs/>
                <w:color w:val="FFFFFF"/>
                <w:lang w:eastAsia="tr-TR"/>
              </w:rPr>
            </w:pPr>
            <w:r w:rsidRPr="00C2183E">
              <w:rPr>
                <w:rFonts w:eastAsia="Times New Roman" w:cstheme="minorHAnsi"/>
                <w:b/>
                <w:bCs/>
                <w:color w:val="FFFFFF"/>
                <w:lang w:eastAsia="tr-TR"/>
              </w:rPr>
              <w:t>Yüksek Senaryo</w:t>
            </w:r>
          </w:p>
        </w:tc>
        <w:tc>
          <w:tcPr>
            <w:tcW w:w="0" w:type="auto"/>
            <w:tcBorders>
              <w:top w:val="single" w:sz="4" w:space="0" w:color="auto"/>
              <w:left w:val="single" w:sz="4" w:space="0" w:color="auto"/>
              <w:bottom w:val="single" w:sz="4" w:space="0" w:color="auto"/>
              <w:right w:val="single" w:sz="4" w:space="0" w:color="auto"/>
            </w:tcBorders>
            <w:shd w:val="clear" w:color="auto" w:fill="365F91"/>
            <w:vAlign w:val="center"/>
            <w:hideMark/>
          </w:tcPr>
          <w:p w14:paraId="58176894" w14:textId="77777777" w:rsidR="000A369E" w:rsidRPr="00C2183E" w:rsidRDefault="000A369E" w:rsidP="000E274F">
            <w:pPr>
              <w:jc w:val="center"/>
              <w:rPr>
                <w:rFonts w:asciiTheme="minorHAnsi" w:eastAsia="Times New Roman" w:hAnsiTheme="minorHAnsi" w:cstheme="minorHAnsi"/>
                <w:b/>
                <w:bCs/>
                <w:color w:val="FFFFFF"/>
                <w:lang w:eastAsia="tr-TR"/>
              </w:rPr>
            </w:pPr>
            <w:r w:rsidRPr="00C2183E">
              <w:rPr>
                <w:rFonts w:eastAsia="Times New Roman" w:cstheme="minorHAnsi"/>
                <w:b/>
                <w:bCs/>
                <w:color w:val="FFFFFF"/>
                <w:lang w:eastAsia="tr-TR"/>
              </w:rPr>
              <w:t>Düşük Senaryo</w:t>
            </w:r>
          </w:p>
        </w:tc>
        <w:tc>
          <w:tcPr>
            <w:tcW w:w="0" w:type="auto"/>
            <w:tcBorders>
              <w:top w:val="single" w:sz="4" w:space="0" w:color="auto"/>
              <w:left w:val="single" w:sz="4" w:space="0" w:color="auto"/>
              <w:bottom w:val="single" w:sz="4" w:space="0" w:color="auto"/>
              <w:right w:val="single" w:sz="4" w:space="0" w:color="auto"/>
            </w:tcBorders>
            <w:shd w:val="clear" w:color="auto" w:fill="365F91"/>
            <w:vAlign w:val="center"/>
            <w:hideMark/>
          </w:tcPr>
          <w:p w14:paraId="1513E45D" w14:textId="77777777" w:rsidR="000A369E" w:rsidRPr="00C2183E" w:rsidRDefault="000A369E" w:rsidP="000E274F">
            <w:pPr>
              <w:jc w:val="center"/>
              <w:rPr>
                <w:rFonts w:asciiTheme="minorHAnsi" w:eastAsia="Times New Roman" w:hAnsiTheme="minorHAnsi" w:cstheme="minorHAnsi"/>
                <w:b/>
                <w:bCs/>
                <w:color w:val="FFFFFF"/>
                <w:lang w:eastAsia="tr-TR"/>
              </w:rPr>
            </w:pPr>
            <w:r w:rsidRPr="00C2183E">
              <w:rPr>
                <w:rFonts w:eastAsia="Times New Roman" w:cstheme="minorHAnsi"/>
                <w:b/>
                <w:bCs/>
                <w:color w:val="FFFFFF"/>
                <w:lang w:eastAsia="tr-TR"/>
              </w:rPr>
              <w:t>Orta</w:t>
            </w:r>
          </w:p>
          <w:p w14:paraId="372C7B28" w14:textId="77777777" w:rsidR="000A369E" w:rsidRPr="00C2183E" w:rsidRDefault="000A369E" w:rsidP="000E274F">
            <w:pPr>
              <w:jc w:val="center"/>
              <w:rPr>
                <w:rFonts w:asciiTheme="minorHAnsi" w:eastAsia="Times New Roman" w:hAnsiTheme="minorHAnsi" w:cstheme="minorHAnsi"/>
                <w:b/>
                <w:bCs/>
                <w:color w:val="FFFFFF"/>
                <w:lang w:eastAsia="tr-TR"/>
              </w:rPr>
            </w:pPr>
            <w:r w:rsidRPr="00C2183E">
              <w:rPr>
                <w:rFonts w:eastAsia="Times New Roman" w:cstheme="minorHAnsi"/>
                <w:b/>
                <w:bCs/>
                <w:color w:val="FFFFFF"/>
                <w:lang w:eastAsia="tr-TR"/>
              </w:rPr>
              <w:t>Senaryo</w:t>
            </w:r>
          </w:p>
        </w:tc>
        <w:tc>
          <w:tcPr>
            <w:tcW w:w="0" w:type="auto"/>
            <w:tcBorders>
              <w:top w:val="single" w:sz="4" w:space="0" w:color="auto"/>
              <w:left w:val="single" w:sz="4" w:space="0" w:color="auto"/>
              <w:bottom w:val="single" w:sz="4" w:space="0" w:color="auto"/>
              <w:right w:val="single" w:sz="4" w:space="0" w:color="auto"/>
            </w:tcBorders>
            <w:shd w:val="clear" w:color="auto" w:fill="365F91"/>
            <w:vAlign w:val="center"/>
            <w:hideMark/>
          </w:tcPr>
          <w:p w14:paraId="407D9049" w14:textId="77777777" w:rsidR="000A369E" w:rsidRPr="00C2183E" w:rsidRDefault="000A369E" w:rsidP="000E274F">
            <w:pPr>
              <w:jc w:val="center"/>
              <w:rPr>
                <w:rFonts w:asciiTheme="minorHAnsi" w:eastAsia="Times New Roman" w:hAnsiTheme="minorHAnsi" w:cstheme="minorHAnsi"/>
                <w:b/>
                <w:bCs/>
                <w:color w:val="FFFFFF"/>
                <w:lang w:eastAsia="tr-TR"/>
              </w:rPr>
            </w:pPr>
            <w:r w:rsidRPr="00C2183E">
              <w:rPr>
                <w:rFonts w:eastAsia="Times New Roman" w:cstheme="minorHAnsi"/>
                <w:b/>
                <w:bCs/>
                <w:color w:val="FFFFFF"/>
                <w:lang w:eastAsia="tr-TR"/>
              </w:rPr>
              <w:t>Yüksek Senaryo</w:t>
            </w:r>
          </w:p>
        </w:tc>
        <w:tc>
          <w:tcPr>
            <w:tcW w:w="0" w:type="auto"/>
            <w:tcBorders>
              <w:top w:val="single" w:sz="4" w:space="0" w:color="auto"/>
              <w:left w:val="single" w:sz="4" w:space="0" w:color="auto"/>
              <w:bottom w:val="single" w:sz="4" w:space="0" w:color="auto"/>
              <w:right w:val="single" w:sz="4" w:space="0" w:color="auto"/>
            </w:tcBorders>
            <w:shd w:val="clear" w:color="auto" w:fill="9CC2E5"/>
            <w:vAlign w:val="center"/>
            <w:hideMark/>
          </w:tcPr>
          <w:p w14:paraId="2C1529CC" w14:textId="77777777" w:rsidR="000A369E" w:rsidRPr="00C2183E" w:rsidRDefault="000A369E" w:rsidP="000E274F">
            <w:pPr>
              <w:jc w:val="center"/>
              <w:rPr>
                <w:rFonts w:asciiTheme="minorHAnsi" w:eastAsia="Times New Roman" w:hAnsiTheme="minorHAnsi" w:cstheme="minorHAnsi"/>
                <w:b/>
                <w:bCs/>
                <w:color w:val="FFFFFF"/>
                <w:lang w:eastAsia="tr-TR"/>
              </w:rPr>
            </w:pPr>
            <w:r w:rsidRPr="00C2183E">
              <w:rPr>
                <w:rFonts w:eastAsia="Times New Roman" w:cstheme="minorHAnsi"/>
                <w:b/>
                <w:bCs/>
                <w:color w:val="FFFFFF"/>
                <w:lang w:eastAsia="tr-TR"/>
              </w:rPr>
              <w:t>Düşük Senaryo</w:t>
            </w:r>
          </w:p>
        </w:tc>
        <w:tc>
          <w:tcPr>
            <w:tcW w:w="0" w:type="auto"/>
            <w:tcBorders>
              <w:top w:val="single" w:sz="4" w:space="0" w:color="auto"/>
              <w:left w:val="single" w:sz="4" w:space="0" w:color="auto"/>
              <w:bottom w:val="single" w:sz="4" w:space="0" w:color="auto"/>
              <w:right w:val="single" w:sz="4" w:space="0" w:color="auto"/>
            </w:tcBorders>
            <w:shd w:val="clear" w:color="auto" w:fill="9CC2E5"/>
            <w:vAlign w:val="center"/>
            <w:hideMark/>
          </w:tcPr>
          <w:p w14:paraId="42F13274" w14:textId="77777777" w:rsidR="000A369E" w:rsidRPr="00C2183E" w:rsidRDefault="000A369E" w:rsidP="000E274F">
            <w:pPr>
              <w:jc w:val="center"/>
              <w:rPr>
                <w:rFonts w:asciiTheme="minorHAnsi" w:eastAsia="Times New Roman" w:hAnsiTheme="minorHAnsi" w:cstheme="minorHAnsi"/>
                <w:b/>
                <w:bCs/>
                <w:color w:val="FFFFFF"/>
                <w:lang w:eastAsia="tr-TR"/>
              </w:rPr>
            </w:pPr>
            <w:r w:rsidRPr="00C2183E">
              <w:rPr>
                <w:rFonts w:eastAsia="Times New Roman" w:cstheme="minorHAnsi"/>
                <w:b/>
                <w:bCs/>
                <w:color w:val="FFFFFF"/>
                <w:lang w:eastAsia="tr-TR"/>
              </w:rPr>
              <w:t>Orta</w:t>
            </w:r>
          </w:p>
          <w:p w14:paraId="3A296096" w14:textId="77777777" w:rsidR="000A369E" w:rsidRPr="00C2183E" w:rsidRDefault="000A369E" w:rsidP="000E274F">
            <w:pPr>
              <w:jc w:val="center"/>
              <w:rPr>
                <w:rFonts w:asciiTheme="minorHAnsi" w:eastAsia="Times New Roman" w:hAnsiTheme="minorHAnsi" w:cstheme="minorHAnsi"/>
                <w:b/>
                <w:bCs/>
                <w:color w:val="FFFFFF"/>
                <w:lang w:eastAsia="tr-TR"/>
              </w:rPr>
            </w:pPr>
            <w:r w:rsidRPr="00C2183E">
              <w:rPr>
                <w:rFonts w:eastAsia="Times New Roman" w:cstheme="minorHAnsi"/>
                <w:b/>
                <w:bCs/>
                <w:color w:val="FFFFFF"/>
                <w:lang w:eastAsia="tr-TR"/>
              </w:rPr>
              <w:t>Senaryo</w:t>
            </w:r>
          </w:p>
        </w:tc>
        <w:tc>
          <w:tcPr>
            <w:tcW w:w="0" w:type="auto"/>
            <w:tcBorders>
              <w:top w:val="single" w:sz="4" w:space="0" w:color="auto"/>
              <w:left w:val="single" w:sz="4" w:space="0" w:color="auto"/>
              <w:bottom w:val="single" w:sz="4" w:space="0" w:color="auto"/>
              <w:right w:val="single" w:sz="4" w:space="0" w:color="auto"/>
            </w:tcBorders>
            <w:shd w:val="clear" w:color="auto" w:fill="9CC2E5"/>
            <w:vAlign w:val="center"/>
            <w:hideMark/>
          </w:tcPr>
          <w:p w14:paraId="606B292A" w14:textId="77777777" w:rsidR="000A369E" w:rsidRPr="00C2183E" w:rsidRDefault="000A369E" w:rsidP="000E274F">
            <w:pPr>
              <w:jc w:val="center"/>
              <w:rPr>
                <w:rFonts w:asciiTheme="minorHAnsi" w:eastAsia="Times New Roman" w:hAnsiTheme="minorHAnsi" w:cstheme="minorHAnsi"/>
                <w:b/>
                <w:bCs/>
                <w:color w:val="FFFFFF"/>
                <w:lang w:eastAsia="tr-TR"/>
              </w:rPr>
            </w:pPr>
            <w:r w:rsidRPr="00C2183E">
              <w:rPr>
                <w:rFonts w:eastAsia="Times New Roman" w:cstheme="minorHAnsi"/>
                <w:b/>
                <w:bCs/>
                <w:color w:val="FFFFFF"/>
                <w:lang w:eastAsia="tr-TR"/>
              </w:rPr>
              <w:t>Yüksek Senaryo</w:t>
            </w:r>
          </w:p>
        </w:tc>
      </w:tr>
      <w:tr w:rsidR="000A369E" w:rsidRPr="004D1993" w14:paraId="777E82AA" w14:textId="77777777" w:rsidTr="000E274F">
        <w:trPr>
          <w:trHeight w:val="245"/>
        </w:trPr>
        <w:tc>
          <w:tcPr>
            <w:tcW w:w="828" w:type="dxa"/>
            <w:tcBorders>
              <w:top w:val="single" w:sz="4" w:space="0" w:color="auto"/>
              <w:left w:val="single" w:sz="4" w:space="0" w:color="auto"/>
              <w:bottom w:val="single" w:sz="4" w:space="0" w:color="auto"/>
              <w:right w:val="single" w:sz="4" w:space="0" w:color="auto"/>
            </w:tcBorders>
            <w:vAlign w:val="center"/>
            <w:hideMark/>
          </w:tcPr>
          <w:p w14:paraId="3512C2E7" w14:textId="77777777" w:rsidR="000A369E" w:rsidRPr="00C2183E" w:rsidRDefault="000A369E" w:rsidP="000E274F">
            <w:pPr>
              <w:jc w:val="center"/>
              <w:rPr>
                <w:rFonts w:asciiTheme="minorHAnsi" w:eastAsia="Times New Roman" w:hAnsiTheme="minorHAnsi" w:cstheme="minorHAnsi"/>
                <w:b/>
                <w:color w:val="000000"/>
                <w:lang w:eastAsia="tr-TR"/>
              </w:rPr>
            </w:pPr>
            <w:r w:rsidRPr="00C2183E">
              <w:rPr>
                <w:rFonts w:eastAsia="Times New Roman" w:cstheme="minorHAnsi"/>
                <w:b/>
                <w:color w:val="000000"/>
                <w:lang w:eastAsia="tr-TR"/>
              </w:rPr>
              <w:t>2025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BCBFB0D" w14:textId="77777777" w:rsidR="000A369E" w:rsidRPr="00C2183E" w:rsidRDefault="000A369E" w:rsidP="000E274F">
            <w:pPr>
              <w:jc w:val="right"/>
              <w:rPr>
                <w:rFonts w:asciiTheme="minorHAnsi" w:eastAsia="Times New Roman" w:hAnsiTheme="minorHAnsi" w:cstheme="minorHAnsi"/>
                <w:color w:val="000000"/>
                <w:lang w:eastAsia="tr-TR"/>
              </w:rPr>
            </w:pPr>
            <w:r w:rsidRPr="00C2183E">
              <w:rPr>
                <w:rFonts w:eastAsia="Times New Roman" w:cstheme="minorHAnsi"/>
                <w:color w:val="000000"/>
                <w:lang w:eastAsia="tr-TR"/>
              </w:rPr>
              <w:t>24.983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B6AE11D" w14:textId="77777777" w:rsidR="000A369E" w:rsidRPr="00C2183E" w:rsidRDefault="000A369E" w:rsidP="000E274F">
            <w:pPr>
              <w:jc w:val="right"/>
              <w:rPr>
                <w:rFonts w:asciiTheme="minorHAnsi" w:eastAsia="Times New Roman" w:hAnsiTheme="minorHAnsi" w:cstheme="minorHAnsi"/>
                <w:color w:val="000000"/>
                <w:lang w:eastAsia="tr-TR"/>
              </w:rPr>
            </w:pPr>
            <w:r w:rsidRPr="00C2183E">
              <w:rPr>
                <w:rFonts w:eastAsia="Times New Roman" w:cstheme="minorHAnsi"/>
                <w:color w:val="000000"/>
                <w:lang w:eastAsia="tr-TR"/>
              </w:rPr>
              <w:t>33.476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E4AE2A3" w14:textId="77777777" w:rsidR="000A369E" w:rsidRPr="00C2183E" w:rsidRDefault="000A369E" w:rsidP="000E274F">
            <w:pPr>
              <w:jc w:val="right"/>
              <w:rPr>
                <w:rFonts w:asciiTheme="minorHAnsi" w:eastAsia="Times New Roman" w:hAnsiTheme="minorHAnsi" w:cstheme="minorHAnsi"/>
                <w:color w:val="000000"/>
                <w:lang w:eastAsia="tr-TR"/>
              </w:rPr>
            </w:pPr>
            <w:r w:rsidRPr="00C2183E">
              <w:rPr>
                <w:rFonts w:eastAsia="Times New Roman" w:cstheme="minorHAnsi"/>
                <w:color w:val="000000"/>
                <w:lang w:eastAsia="tr-TR"/>
              </w:rPr>
              <w:t>44.988</w:t>
            </w:r>
          </w:p>
        </w:tc>
        <w:tc>
          <w:tcPr>
            <w:tcW w:w="0" w:type="auto"/>
            <w:tcBorders>
              <w:top w:val="single" w:sz="4" w:space="0" w:color="auto"/>
              <w:left w:val="single" w:sz="4" w:space="0" w:color="auto"/>
              <w:bottom w:val="single" w:sz="4" w:space="0" w:color="auto"/>
              <w:right w:val="single" w:sz="4" w:space="0" w:color="auto"/>
            </w:tcBorders>
            <w:vAlign w:val="center"/>
            <w:hideMark/>
          </w:tcPr>
          <w:p w14:paraId="79E55D87" w14:textId="77777777" w:rsidR="000A369E" w:rsidRPr="00C2183E" w:rsidRDefault="000A369E" w:rsidP="000E274F">
            <w:pPr>
              <w:jc w:val="right"/>
              <w:rPr>
                <w:rFonts w:asciiTheme="minorHAnsi" w:eastAsia="Times New Roman" w:hAnsiTheme="minorHAnsi" w:cstheme="minorHAnsi"/>
                <w:color w:val="000000"/>
                <w:lang w:eastAsia="tr-TR"/>
              </w:rPr>
            </w:pPr>
            <w:r w:rsidRPr="00C2183E">
              <w:rPr>
                <w:rFonts w:eastAsia="Times New Roman" w:cstheme="minorHAnsi"/>
                <w:color w:val="000000"/>
                <w:lang w:eastAsia="tr-TR"/>
              </w:rPr>
              <w:t>9.295</w:t>
            </w:r>
          </w:p>
        </w:tc>
        <w:tc>
          <w:tcPr>
            <w:tcW w:w="0" w:type="auto"/>
            <w:tcBorders>
              <w:top w:val="single" w:sz="4" w:space="0" w:color="auto"/>
              <w:left w:val="single" w:sz="4" w:space="0" w:color="auto"/>
              <w:bottom w:val="single" w:sz="4" w:space="0" w:color="auto"/>
              <w:right w:val="single" w:sz="4" w:space="0" w:color="auto"/>
            </w:tcBorders>
            <w:vAlign w:val="center"/>
            <w:hideMark/>
          </w:tcPr>
          <w:p w14:paraId="6F420DD5" w14:textId="77777777" w:rsidR="000A369E" w:rsidRPr="00C2183E" w:rsidRDefault="000A369E" w:rsidP="000E274F">
            <w:pPr>
              <w:jc w:val="right"/>
              <w:rPr>
                <w:rFonts w:asciiTheme="minorHAnsi" w:eastAsia="Times New Roman" w:hAnsiTheme="minorHAnsi" w:cstheme="minorHAnsi"/>
                <w:color w:val="000000"/>
                <w:lang w:eastAsia="tr-TR"/>
              </w:rPr>
            </w:pPr>
            <w:r w:rsidRPr="00C2183E">
              <w:rPr>
                <w:rFonts w:eastAsia="Times New Roman" w:cstheme="minorHAnsi"/>
                <w:color w:val="000000"/>
                <w:lang w:eastAsia="tr-TR"/>
              </w:rPr>
              <w:t>12.594</w:t>
            </w:r>
          </w:p>
        </w:tc>
        <w:tc>
          <w:tcPr>
            <w:tcW w:w="0" w:type="auto"/>
            <w:tcBorders>
              <w:top w:val="single" w:sz="4" w:space="0" w:color="auto"/>
              <w:left w:val="single" w:sz="4" w:space="0" w:color="auto"/>
              <w:bottom w:val="single" w:sz="4" w:space="0" w:color="auto"/>
              <w:right w:val="single" w:sz="4" w:space="0" w:color="auto"/>
            </w:tcBorders>
            <w:vAlign w:val="center"/>
            <w:hideMark/>
          </w:tcPr>
          <w:p w14:paraId="5419A614" w14:textId="77777777" w:rsidR="000A369E" w:rsidRPr="00C2183E" w:rsidRDefault="000A369E" w:rsidP="000E274F">
            <w:pPr>
              <w:jc w:val="right"/>
              <w:rPr>
                <w:rFonts w:asciiTheme="minorHAnsi" w:eastAsia="Times New Roman" w:hAnsiTheme="minorHAnsi" w:cstheme="minorHAnsi"/>
                <w:color w:val="000000"/>
                <w:lang w:eastAsia="tr-TR"/>
              </w:rPr>
            </w:pPr>
            <w:r w:rsidRPr="00C2183E">
              <w:rPr>
                <w:rFonts w:eastAsia="Times New Roman" w:cstheme="minorHAnsi"/>
                <w:color w:val="000000"/>
                <w:lang w:eastAsia="tr-TR"/>
              </w:rPr>
              <w:t>16.909</w:t>
            </w: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hideMark/>
          </w:tcPr>
          <w:p w14:paraId="77053749" w14:textId="77777777" w:rsidR="000A369E" w:rsidRPr="00C2183E" w:rsidRDefault="000A369E" w:rsidP="000E274F">
            <w:pPr>
              <w:jc w:val="right"/>
              <w:rPr>
                <w:rFonts w:asciiTheme="minorHAnsi" w:eastAsia="Times New Roman" w:hAnsiTheme="minorHAnsi" w:cstheme="minorHAnsi"/>
                <w:color w:val="000000"/>
                <w:lang w:eastAsia="tr-TR"/>
              </w:rPr>
            </w:pPr>
            <w:r w:rsidRPr="00C2183E">
              <w:rPr>
                <w:rFonts w:eastAsia="Times New Roman" w:cstheme="minorHAnsi"/>
                <w:color w:val="000000"/>
                <w:lang w:eastAsia="tr-TR"/>
              </w:rPr>
              <w:t>34.278</w:t>
            </w: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hideMark/>
          </w:tcPr>
          <w:p w14:paraId="1E26EC8C" w14:textId="77777777" w:rsidR="000A369E" w:rsidRPr="00C2183E" w:rsidRDefault="000A369E" w:rsidP="000E274F">
            <w:pPr>
              <w:jc w:val="right"/>
              <w:rPr>
                <w:rFonts w:asciiTheme="minorHAnsi" w:eastAsia="Times New Roman" w:hAnsiTheme="minorHAnsi" w:cstheme="minorHAnsi"/>
                <w:color w:val="000000"/>
                <w:lang w:eastAsia="tr-TR"/>
              </w:rPr>
            </w:pPr>
            <w:r w:rsidRPr="00C2183E">
              <w:rPr>
                <w:rFonts w:eastAsia="Times New Roman" w:cstheme="minorHAnsi"/>
                <w:color w:val="000000"/>
                <w:lang w:eastAsia="tr-TR"/>
              </w:rPr>
              <w:t>46.070</w:t>
            </w: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hideMark/>
          </w:tcPr>
          <w:p w14:paraId="564D889B" w14:textId="77777777" w:rsidR="000A369E" w:rsidRPr="00C2183E" w:rsidRDefault="000A369E" w:rsidP="000E274F">
            <w:pPr>
              <w:jc w:val="right"/>
              <w:rPr>
                <w:rFonts w:asciiTheme="minorHAnsi" w:eastAsia="Times New Roman" w:hAnsiTheme="minorHAnsi" w:cstheme="minorHAnsi"/>
                <w:color w:val="000000"/>
                <w:lang w:eastAsia="tr-TR"/>
              </w:rPr>
            </w:pPr>
            <w:r w:rsidRPr="00C2183E">
              <w:rPr>
                <w:rFonts w:eastAsia="Times New Roman" w:cstheme="minorHAnsi"/>
                <w:color w:val="000000"/>
                <w:lang w:eastAsia="tr-TR"/>
              </w:rPr>
              <w:t>61.897</w:t>
            </w:r>
          </w:p>
        </w:tc>
      </w:tr>
      <w:tr w:rsidR="000A369E" w:rsidRPr="004D1993" w14:paraId="69CB65EB" w14:textId="77777777" w:rsidTr="000E274F">
        <w:trPr>
          <w:trHeight w:val="256"/>
        </w:trPr>
        <w:tc>
          <w:tcPr>
            <w:tcW w:w="828" w:type="dxa"/>
            <w:tcBorders>
              <w:top w:val="single" w:sz="4" w:space="0" w:color="auto"/>
              <w:left w:val="single" w:sz="4" w:space="0" w:color="auto"/>
              <w:bottom w:val="single" w:sz="4" w:space="0" w:color="auto"/>
              <w:right w:val="single" w:sz="4" w:space="0" w:color="auto"/>
            </w:tcBorders>
            <w:vAlign w:val="center"/>
            <w:hideMark/>
          </w:tcPr>
          <w:p w14:paraId="4B67A43A" w14:textId="77777777" w:rsidR="000A369E" w:rsidRPr="00C2183E" w:rsidRDefault="000A369E" w:rsidP="000E274F">
            <w:pPr>
              <w:jc w:val="center"/>
              <w:rPr>
                <w:rFonts w:asciiTheme="minorHAnsi" w:eastAsia="Times New Roman" w:hAnsiTheme="minorHAnsi" w:cstheme="minorHAnsi"/>
                <w:b/>
                <w:color w:val="000000"/>
                <w:lang w:eastAsia="tr-TR"/>
              </w:rPr>
            </w:pPr>
            <w:r w:rsidRPr="00C2183E">
              <w:rPr>
                <w:rFonts w:eastAsia="Times New Roman" w:cstheme="minorHAnsi"/>
                <w:b/>
                <w:color w:val="000000"/>
                <w:lang w:eastAsia="tr-TR"/>
              </w:rPr>
              <w:t>2030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2141145" w14:textId="77777777" w:rsidR="000A369E" w:rsidRPr="00C2183E" w:rsidRDefault="000A369E" w:rsidP="000E274F">
            <w:pPr>
              <w:jc w:val="right"/>
              <w:rPr>
                <w:rFonts w:asciiTheme="minorHAnsi" w:eastAsia="Times New Roman" w:hAnsiTheme="minorHAnsi" w:cstheme="minorHAnsi"/>
                <w:color w:val="000000"/>
                <w:lang w:eastAsia="tr-TR"/>
              </w:rPr>
            </w:pPr>
            <w:r w:rsidRPr="00C2183E">
              <w:rPr>
                <w:rFonts w:eastAsia="Times New Roman" w:cstheme="minorHAnsi"/>
                <w:color w:val="000000"/>
                <w:lang w:eastAsia="tr-TR"/>
              </w:rPr>
              <w:t>58.717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6E779DB" w14:textId="77777777" w:rsidR="000A369E" w:rsidRPr="00C2183E" w:rsidRDefault="000A369E" w:rsidP="000E274F">
            <w:pPr>
              <w:jc w:val="right"/>
              <w:rPr>
                <w:rFonts w:asciiTheme="minorHAnsi" w:eastAsia="Times New Roman" w:hAnsiTheme="minorHAnsi" w:cstheme="minorHAnsi"/>
                <w:color w:val="000000"/>
                <w:lang w:eastAsia="tr-TR"/>
              </w:rPr>
            </w:pPr>
            <w:r w:rsidRPr="00C2183E">
              <w:rPr>
                <w:rFonts w:eastAsia="Times New Roman" w:cstheme="minorHAnsi"/>
                <w:color w:val="000000"/>
                <w:lang w:eastAsia="tr-TR"/>
              </w:rPr>
              <w:t>100.187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93A8EB6" w14:textId="77777777" w:rsidR="000A369E" w:rsidRPr="00C2183E" w:rsidRDefault="000A369E" w:rsidP="000E274F">
            <w:pPr>
              <w:jc w:val="right"/>
              <w:rPr>
                <w:rFonts w:asciiTheme="minorHAnsi" w:eastAsia="Times New Roman" w:hAnsiTheme="minorHAnsi" w:cstheme="minorHAnsi"/>
                <w:color w:val="000000"/>
                <w:lang w:eastAsia="tr-TR"/>
              </w:rPr>
            </w:pPr>
            <w:r w:rsidRPr="00C2183E">
              <w:rPr>
                <w:rFonts w:eastAsia="Times New Roman" w:cstheme="minorHAnsi"/>
                <w:color w:val="000000"/>
                <w:lang w:eastAsia="tr-TR"/>
              </w:rPr>
              <w:t>127.224</w:t>
            </w:r>
          </w:p>
        </w:tc>
        <w:tc>
          <w:tcPr>
            <w:tcW w:w="0" w:type="auto"/>
            <w:tcBorders>
              <w:top w:val="single" w:sz="4" w:space="0" w:color="auto"/>
              <w:left w:val="single" w:sz="4" w:space="0" w:color="auto"/>
              <w:bottom w:val="single" w:sz="4" w:space="0" w:color="auto"/>
              <w:right w:val="single" w:sz="4" w:space="0" w:color="auto"/>
            </w:tcBorders>
            <w:vAlign w:val="center"/>
            <w:hideMark/>
          </w:tcPr>
          <w:p w14:paraId="0681D940" w14:textId="77777777" w:rsidR="000A369E" w:rsidRPr="00C2183E" w:rsidRDefault="000A369E" w:rsidP="000E274F">
            <w:pPr>
              <w:jc w:val="right"/>
              <w:rPr>
                <w:rFonts w:asciiTheme="minorHAnsi" w:eastAsia="Times New Roman" w:hAnsiTheme="minorHAnsi" w:cstheme="minorHAnsi"/>
                <w:color w:val="000000"/>
                <w:lang w:eastAsia="tr-TR"/>
              </w:rPr>
            </w:pPr>
            <w:r w:rsidRPr="00C2183E">
              <w:rPr>
                <w:rFonts w:eastAsia="Times New Roman" w:cstheme="minorHAnsi"/>
                <w:color w:val="000000"/>
                <w:lang w:eastAsia="tr-TR"/>
              </w:rPr>
              <w:t>24.826</w:t>
            </w:r>
          </w:p>
        </w:tc>
        <w:tc>
          <w:tcPr>
            <w:tcW w:w="0" w:type="auto"/>
            <w:tcBorders>
              <w:top w:val="single" w:sz="4" w:space="0" w:color="auto"/>
              <w:left w:val="single" w:sz="4" w:space="0" w:color="auto"/>
              <w:bottom w:val="single" w:sz="4" w:space="0" w:color="auto"/>
              <w:right w:val="single" w:sz="4" w:space="0" w:color="auto"/>
            </w:tcBorders>
            <w:vAlign w:val="center"/>
            <w:hideMark/>
          </w:tcPr>
          <w:p w14:paraId="3E782CC4" w14:textId="77777777" w:rsidR="000A369E" w:rsidRPr="00C2183E" w:rsidRDefault="000A369E" w:rsidP="000E274F">
            <w:pPr>
              <w:jc w:val="right"/>
              <w:rPr>
                <w:rFonts w:asciiTheme="minorHAnsi" w:eastAsia="Times New Roman" w:hAnsiTheme="minorHAnsi" w:cstheme="minorHAnsi"/>
                <w:color w:val="000000"/>
                <w:lang w:eastAsia="tr-TR"/>
              </w:rPr>
            </w:pPr>
            <w:r w:rsidRPr="00C2183E">
              <w:rPr>
                <w:rFonts w:eastAsia="Times New Roman" w:cstheme="minorHAnsi"/>
                <w:color w:val="000000"/>
                <w:lang w:eastAsia="tr-TR"/>
              </w:rPr>
              <w:t>42.637</w:t>
            </w:r>
          </w:p>
        </w:tc>
        <w:tc>
          <w:tcPr>
            <w:tcW w:w="0" w:type="auto"/>
            <w:tcBorders>
              <w:top w:val="single" w:sz="4" w:space="0" w:color="auto"/>
              <w:left w:val="single" w:sz="4" w:space="0" w:color="auto"/>
              <w:bottom w:val="single" w:sz="4" w:space="0" w:color="auto"/>
              <w:right w:val="single" w:sz="4" w:space="0" w:color="auto"/>
            </w:tcBorders>
            <w:vAlign w:val="center"/>
            <w:hideMark/>
          </w:tcPr>
          <w:p w14:paraId="235A1DBE" w14:textId="77777777" w:rsidR="000A369E" w:rsidRPr="00C2183E" w:rsidRDefault="000A369E" w:rsidP="000E274F">
            <w:pPr>
              <w:jc w:val="right"/>
              <w:rPr>
                <w:rFonts w:asciiTheme="minorHAnsi" w:eastAsia="Times New Roman" w:hAnsiTheme="minorHAnsi" w:cstheme="minorHAnsi"/>
                <w:color w:val="000000"/>
                <w:lang w:eastAsia="tr-TR"/>
              </w:rPr>
            </w:pPr>
            <w:r w:rsidRPr="00C2183E">
              <w:rPr>
                <w:rFonts w:eastAsia="Times New Roman" w:cstheme="minorHAnsi"/>
                <w:color w:val="000000"/>
                <w:lang w:eastAsia="tr-TR"/>
              </w:rPr>
              <w:t>54.050</w:t>
            </w: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hideMark/>
          </w:tcPr>
          <w:p w14:paraId="5333C0E3" w14:textId="77777777" w:rsidR="000A369E" w:rsidRPr="00C2183E" w:rsidRDefault="000A369E" w:rsidP="000E274F">
            <w:pPr>
              <w:jc w:val="right"/>
              <w:rPr>
                <w:rFonts w:asciiTheme="minorHAnsi" w:eastAsia="Times New Roman" w:hAnsiTheme="minorHAnsi" w:cstheme="minorHAnsi"/>
                <w:color w:val="000000"/>
                <w:lang w:eastAsia="tr-TR"/>
              </w:rPr>
            </w:pPr>
            <w:r w:rsidRPr="00C2183E">
              <w:rPr>
                <w:rFonts w:eastAsia="Times New Roman" w:cstheme="minorHAnsi"/>
                <w:color w:val="000000"/>
                <w:lang w:eastAsia="tr-TR"/>
              </w:rPr>
              <w:t>83.543</w:t>
            </w: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hideMark/>
          </w:tcPr>
          <w:p w14:paraId="037BAD85" w14:textId="77777777" w:rsidR="000A369E" w:rsidRPr="00C2183E" w:rsidRDefault="000A369E" w:rsidP="000E274F">
            <w:pPr>
              <w:jc w:val="right"/>
              <w:rPr>
                <w:rFonts w:asciiTheme="minorHAnsi" w:eastAsia="Times New Roman" w:hAnsiTheme="minorHAnsi" w:cstheme="minorHAnsi"/>
                <w:color w:val="000000"/>
                <w:lang w:eastAsia="tr-TR"/>
              </w:rPr>
            </w:pPr>
            <w:r w:rsidRPr="00C2183E">
              <w:rPr>
                <w:rFonts w:eastAsia="Times New Roman" w:cstheme="minorHAnsi"/>
                <w:color w:val="000000"/>
                <w:lang w:eastAsia="tr-TR"/>
              </w:rPr>
              <w:t>142.824</w:t>
            </w: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hideMark/>
          </w:tcPr>
          <w:p w14:paraId="3ABC6DC1" w14:textId="77777777" w:rsidR="000A369E" w:rsidRPr="00C2183E" w:rsidRDefault="000A369E" w:rsidP="000E274F">
            <w:pPr>
              <w:jc w:val="right"/>
              <w:rPr>
                <w:rFonts w:asciiTheme="minorHAnsi" w:eastAsia="Times New Roman" w:hAnsiTheme="minorHAnsi" w:cstheme="minorHAnsi"/>
                <w:color w:val="000000"/>
                <w:lang w:eastAsia="tr-TR"/>
              </w:rPr>
            </w:pPr>
            <w:r w:rsidRPr="00C2183E">
              <w:rPr>
                <w:rFonts w:eastAsia="Times New Roman" w:cstheme="minorHAnsi"/>
                <w:color w:val="000000"/>
                <w:lang w:eastAsia="tr-TR"/>
              </w:rPr>
              <w:t>181.274</w:t>
            </w:r>
          </w:p>
        </w:tc>
      </w:tr>
      <w:tr w:rsidR="000A369E" w:rsidRPr="004D1993" w14:paraId="75294D65" w14:textId="77777777" w:rsidTr="000E274F">
        <w:trPr>
          <w:trHeight w:val="256"/>
        </w:trPr>
        <w:tc>
          <w:tcPr>
            <w:tcW w:w="828" w:type="dxa"/>
            <w:tcBorders>
              <w:top w:val="single" w:sz="4" w:space="0" w:color="auto"/>
              <w:left w:val="single" w:sz="4" w:space="0" w:color="auto"/>
              <w:bottom w:val="single" w:sz="4" w:space="0" w:color="auto"/>
              <w:right w:val="single" w:sz="4" w:space="0" w:color="auto"/>
            </w:tcBorders>
            <w:vAlign w:val="center"/>
            <w:hideMark/>
          </w:tcPr>
          <w:p w14:paraId="3B11DC49" w14:textId="77777777" w:rsidR="000A369E" w:rsidRPr="00C2183E" w:rsidRDefault="000A369E" w:rsidP="000E274F">
            <w:pPr>
              <w:jc w:val="center"/>
              <w:rPr>
                <w:rFonts w:asciiTheme="minorHAnsi" w:eastAsia="Times New Roman" w:hAnsiTheme="minorHAnsi" w:cstheme="minorHAnsi"/>
                <w:b/>
                <w:color w:val="000000"/>
                <w:lang w:eastAsia="tr-TR"/>
              </w:rPr>
            </w:pPr>
            <w:r w:rsidRPr="00C2183E">
              <w:rPr>
                <w:rFonts w:eastAsia="Times New Roman" w:cstheme="minorHAnsi"/>
                <w:b/>
                <w:color w:val="000000"/>
                <w:lang w:eastAsia="tr-TR"/>
              </w:rPr>
              <w:t>2035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73CB649" w14:textId="77777777" w:rsidR="000A369E" w:rsidRPr="00C2183E" w:rsidRDefault="000A369E" w:rsidP="000E274F">
            <w:pPr>
              <w:jc w:val="right"/>
              <w:rPr>
                <w:rFonts w:asciiTheme="minorHAnsi" w:eastAsia="Times New Roman" w:hAnsiTheme="minorHAnsi" w:cstheme="minorHAnsi"/>
                <w:color w:val="000000"/>
                <w:lang w:eastAsia="tr-TR"/>
              </w:rPr>
            </w:pPr>
            <w:r w:rsidRPr="00C2183E">
              <w:rPr>
                <w:rFonts w:eastAsia="Times New Roman" w:cstheme="minorHAnsi"/>
                <w:color w:val="000000"/>
                <w:lang w:eastAsia="tr-TR"/>
              </w:rPr>
              <w:t>100.150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F29D939" w14:textId="77777777" w:rsidR="000A369E" w:rsidRPr="00C2183E" w:rsidRDefault="000A369E" w:rsidP="000E274F">
            <w:pPr>
              <w:jc w:val="right"/>
              <w:rPr>
                <w:rFonts w:asciiTheme="minorHAnsi" w:eastAsia="Times New Roman" w:hAnsiTheme="minorHAnsi" w:cstheme="minorHAnsi"/>
                <w:color w:val="000000"/>
                <w:lang w:eastAsia="tr-TR"/>
              </w:rPr>
            </w:pPr>
            <w:r w:rsidRPr="00C2183E">
              <w:rPr>
                <w:rFonts w:eastAsia="Times New Roman" w:cstheme="minorHAnsi"/>
                <w:color w:val="000000"/>
                <w:lang w:eastAsia="tr-TR"/>
              </w:rPr>
              <w:t>186.152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37F3D37" w14:textId="77777777" w:rsidR="000A369E" w:rsidRPr="00C2183E" w:rsidRDefault="000A369E" w:rsidP="000E274F">
            <w:pPr>
              <w:jc w:val="right"/>
              <w:rPr>
                <w:rFonts w:asciiTheme="minorHAnsi" w:eastAsia="Times New Roman" w:hAnsiTheme="minorHAnsi" w:cstheme="minorHAnsi"/>
                <w:color w:val="000000"/>
                <w:lang w:eastAsia="tr-TR"/>
              </w:rPr>
            </w:pPr>
            <w:r w:rsidRPr="00C2183E">
              <w:rPr>
                <w:rFonts w:eastAsia="Times New Roman" w:cstheme="minorHAnsi"/>
                <w:color w:val="000000"/>
                <w:lang w:eastAsia="tr-TR"/>
              </w:rPr>
              <w:t>237.181</w:t>
            </w:r>
          </w:p>
        </w:tc>
        <w:tc>
          <w:tcPr>
            <w:tcW w:w="0" w:type="auto"/>
            <w:tcBorders>
              <w:top w:val="single" w:sz="4" w:space="0" w:color="auto"/>
              <w:left w:val="single" w:sz="4" w:space="0" w:color="auto"/>
              <w:bottom w:val="single" w:sz="4" w:space="0" w:color="auto"/>
              <w:right w:val="single" w:sz="4" w:space="0" w:color="auto"/>
            </w:tcBorders>
            <w:vAlign w:val="center"/>
            <w:hideMark/>
          </w:tcPr>
          <w:p w14:paraId="735C5B31" w14:textId="77777777" w:rsidR="000A369E" w:rsidRPr="00C2183E" w:rsidRDefault="000A369E" w:rsidP="000E274F">
            <w:pPr>
              <w:jc w:val="right"/>
              <w:rPr>
                <w:rFonts w:asciiTheme="minorHAnsi" w:eastAsia="Times New Roman" w:hAnsiTheme="minorHAnsi" w:cstheme="minorHAnsi"/>
                <w:color w:val="000000"/>
                <w:lang w:eastAsia="tr-TR"/>
              </w:rPr>
            </w:pPr>
            <w:r w:rsidRPr="00C2183E">
              <w:rPr>
                <w:rFonts w:eastAsia="Times New Roman" w:cstheme="minorHAnsi"/>
                <w:color w:val="000000"/>
                <w:lang w:eastAsia="tr-TR"/>
              </w:rPr>
              <w:t>46.766</w:t>
            </w:r>
          </w:p>
        </w:tc>
        <w:tc>
          <w:tcPr>
            <w:tcW w:w="0" w:type="auto"/>
            <w:tcBorders>
              <w:top w:val="single" w:sz="4" w:space="0" w:color="auto"/>
              <w:left w:val="single" w:sz="4" w:space="0" w:color="auto"/>
              <w:bottom w:val="single" w:sz="4" w:space="0" w:color="auto"/>
              <w:right w:val="single" w:sz="4" w:space="0" w:color="auto"/>
            </w:tcBorders>
            <w:vAlign w:val="center"/>
            <w:hideMark/>
          </w:tcPr>
          <w:p w14:paraId="39235C84" w14:textId="77777777" w:rsidR="000A369E" w:rsidRPr="00C2183E" w:rsidRDefault="000A369E" w:rsidP="000E274F">
            <w:pPr>
              <w:jc w:val="right"/>
              <w:rPr>
                <w:rFonts w:asciiTheme="minorHAnsi" w:eastAsia="Times New Roman" w:hAnsiTheme="minorHAnsi" w:cstheme="minorHAnsi"/>
                <w:color w:val="000000"/>
                <w:lang w:eastAsia="tr-TR"/>
              </w:rPr>
            </w:pPr>
            <w:r w:rsidRPr="00C2183E">
              <w:rPr>
                <w:rFonts w:eastAsia="Times New Roman" w:cstheme="minorHAnsi"/>
                <w:color w:val="000000"/>
                <w:lang w:eastAsia="tr-TR"/>
              </w:rPr>
              <w:t>86.924</w:t>
            </w:r>
          </w:p>
        </w:tc>
        <w:tc>
          <w:tcPr>
            <w:tcW w:w="0" w:type="auto"/>
            <w:tcBorders>
              <w:top w:val="single" w:sz="4" w:space="0" w:color="auto"/>
              <w:left w:val="single" w:sz="4" w:space="0" w:color="auto"/>
              <w:bottom w:val="single" w:sz="4" w:space="0" w:color="auto"/>
              <w:right w:val="single" w:sz="4" w:space="0" w:color="auto"/>
            </w:tcBorders>
            <w:vAlign w:val="center"/>
            <w:hideMark/>
          </w:tcPr>
          <w:p w14:paraId="1CA0F538" w14:textId="77777777" w:rsidR="000A369E" w:rsidRPr="00C2183E" w:rsidRDefault="000A369E" w:rsidP="000E274F">
            <w:pPr>
              <w:jc w:val="right"/>
              <w:rPr>
                <w:rFonts w:asciiTheme="minorHAnsi" w:eastAsia="Times New Roman" w:hAnsiTheme="minorHAnsi" w:cstheme="minorHAnsi"/>
                <w:color w:val="000000"/>
                <w:lang w:eastAsia="tr-TR"/>
              </w:rPr>
            </w:pPr>
            <w:r w:rsidRPr="00C2183E">
              <w:rPr>
                <w:rFonts w:eastAsia="Times New Roman" w:cstheme="minorHAnsi"/>
                <w:color w:val="000000"/>
                <w:lang w:eastAsia="tr-TR"/>
              </w:rPr>
              <w:t>110.753</w:t>
            </w: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hideMark/>
          </w:tcPr>
          <w:p w14:paraId="65EC20D6" w14:textId="77777777" w:rsidR="000A369E" w:rsidRPr="00C2183E" w:rsidRDefault="000A369E" w:rsidP="000E274F">
            <w:pPr>
              <w:jc w:val="right"/>
              <w:rPr>
                <w:rFonts w:asciiTheme="minorHAnsi" w:eastAsia="Times New Roman" w:hAnsiTheme="minorHAnsi" w:cstheme="minorHAnsi"/>
                <w:color w:val="000000"/>
                <w:lang w:eastAsia="tr-TR"/>
              </w:rPr>
            </w:pPr>
            <w:r w:rsidRPr="00C2183E">
              <w:rPr>
                <w:rFonts w:eastAsia="Times New Roman" w:cstheme="minorHAnsi"/>
                <w:color w:val="000000"/>
                <w:lang w:eastAsia="tr-TR"/>
              </w:rPr>
              <w:t>146.916</w:t>
            </w: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hideMark/>
          </w:tcPr>
          <w:p w14:paraId="2EB49420" w14:textId="77777777" w:rsidR="000A369E" w:rsidRPr="00C2183E" w:rsidRDefault="000A369E" w:rsidP="000E274F">
            <w:pPr>
              <w:jc w:val="right"/>
              <w:rPr>
                <w:rFonts w:asciiTheme="minorHAnsi" w:eastAsia="Times New Roman" w:hAnsiTheme="minorHAnsi" w:cstheme="minorHAnsi"/>
                <w:color w:val="000000"/>
                <w:lang w:eastAsia="tr-TR"/>
              </w:rPr>
            </w:pPr>
            <w:r w:rsidRPr="00C2183E">
              <w:rPr>
                <w:rFonts w:eastAsia="Times New Roman" w:cstheme="minorHAnsi"/>
                <w:color w:val="000000"/>
                <w:lang w:eastAsia="tr-TR"/>
              </w:rPr>
              <w:t>273.076</w:t>
            </w: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hideMark/>
          </w:tcPr>
          <w:p w14:paraId="60A3560E" w14:textId="77777777" w:rsidR="000A369E" w:rsidRPr="00C2183E" w:rsidRDefault="000A369E" w:rsidP="000E274F">
            <w:pPr>
              <w:jc w:val="right"/>
              <w:rPr>
                <w:rFonts w:asciiTheme="minorHAnsi" w:eastAsia="Times New Roman" w:hAnsiTheme="minorHAnsi" w:cstheme="minorHAnsi"/>
                <w:color w:val="000000"/>
                <w:lang w:eastAsia="tr-TR"/>
              </w:rPr>
            </w:pPr>
            <w:r w:rsidRPr="00C2183E">
              <w:rPr>
                <w:rFonts w:eastAsia="Times New Roman" w:cstheme="minorHAnsi"/>
                <w:color w:val="000000"/>
                <w:lang w:eastAsia="tr-TR"/>
              </w:rPr>
              <w:t>347.934</w:t>
            </w:r>
          </w:p>
        </w:tc>
      </w:tr>
    </w:tbl>
    <w:p w14:paraId="4C8B14A0" w14:textId="77777777" w:rsidR="00CB5826" w:rsidRPr="002048A7" w:rsidRDefault="00CB5826" w:rsidP="00577AAF">
      <w:pPr>
        <w:pStyle w:val="Balk2"/>
        <w:numPr>
          <w:ilvl w:val="1"/>
          <w:numId w:val="11"/>
        </w:numPr>
        <w:spacing w:before="0" w:after="240"/>
        <w:rPr>
          <w:rFonts w:asciiTheme="minorHAnsi" w:hAnsiTheme="minorHAnsi"/>
          <w:color w:val="auto"/>
          <w:sz w:val="22"/>
          <w:szCs w:val="22"/>
        </w:rPr>
      </w:pPr>
      <w:bookmarkStart w:id="120" w:name="_Toc442431258"/>
      <w:bookmarkStart w:id="121" w:name="_Toc195868696"/>
      <w:r w:rsidRPr="002048A7">
        <w:rPr>
          <w:rFonts w:asciiTheme="minorHAnsi" w:hAnsiTheme="minorHAnsi"/>
          <w:color w:val="auto"/>
          <w:sz w:val="22"/>
          <w:szCs w:val="22"/>
        </w:rPr>
        <w:t>Doğal Gaz Piyasası Lisanslama ve Sertifika Faaliyetleri</w:t>
      </w:r>
      <w:bookmarkEnd w:id="120"/>
      <w:bookmarkEnd w:id="121"/>
    </w:p>
    <w:p w14:paraId="0EA31E90" w14:textId="77777777" w:rsidR="00CB5826" w:rsidRPr="002048A7" w:rsidRDefault="00CB5826" w:rsidP="00577AAF">
      <w:pPr>
        <w:pStyle w:val="Balk3"/>
        <w:numPr>
          <w:ilvl w:val="2"/>
          <w:numId w:val="11"/>
        </w:numPr>
        <w:spacing w:after="240"/>
        <w:rPr>
          <w:rFonts w:asciiTheme="minorHAnsi" w:hAnsiTheme="minorHAnsi"/>
          <w:color w:val="auto"/>
        </w:rPr>
      </w:pPr>
      <w:bookmarkStart w:id="122" w:name="_Toc442431259"/>
      <w:bookmarkStart w:id="123" w:name="_Toc195868697"/>
      <w:r w:rsidRPr="002048A7">
        <w:rPr>
          <w:rFonts w:asciiTheme="minorHAnsi" w:hAnsiTheme="minorHAnsi"/>
          <w:color w:val="auto"/>
        </w:rPr>
        <w:t>Lisans İşlemleri</w:t>
      </w:r>
      <w:bookmarkEnd w:id="122"/>
      <w:bookmarkEnd w:id="123"/>
    </w:p>
    <w:p w14:paraId="22D82506" w14:textId="77777777" w:rsidR="00CB5826" w:rsidRPr="002048A7" w:rsidRDefault="00CB5826" w:rsidP="00CB5826">
      <w:pPr>
        <w:spacing w:after="0"/>
      </w:pPr>
      <w:r w:rsidRPr="002048A7">
        <w:t>4646 sayılı Doğal Gaz Piyasası Kanununun 4</w:t>
      </w:r>
      <w:r w:rsidR="00B968E8" w:rsidRPr="002048A7">
        <w:t>’</w:t>
      </w:r>
      <w:r w:rsidRPr="002048A7">
        <w:t xml:space="preserve">üncü maddesinde piyasa faaliyetleri tanımlanmış ve piyasa faaliyetlerinde bulunacak tüzel kişilerin gerekli lisansları almaları şart koşulmuştur. Doğal gazın üretimi piyasa faaliyeti olarak öngörülmemiş olup 6491 sayılı Türk Petrol Kanunu kapsamında alınan ruhsatlar çerçevesinde gerçekleştirilmektedir. Ancak, doğal gaz üretimi yapan şirketlerin ürettikleri doğal gazı satabilmeleri için 4646 sayılı Kanun çerçevesinde toptan satış ve/veya ihracat lisansı almaları gerekmektedir. </w:t>
      </w:r>
    </w:p>
    <w:p w14:paraId="59111F2F" w14:textId="77777777" w:rsidR="00CB5826" w:rsidRPr="002048A7" w:rsidRDefault="00CB5826" w:rsidP="00CB5826">
      <w:pPr>
        <w:spacing w:after="0"/>
      </w:pPr>
    </w:p>
    <w:p w14:paraId="00E63D46" w14:textId="77777777" w:rsidR="00CB5826" w:rsidRPr="002048A7" w:rsidRDefault="00CB5826" w:rsidP="00CB5826">
      <w:pPr>
        <w:spacing w:after="0"/>
      </w:pPr>
      <w:r w:rsidRPr="002048A7">
        <w:t xml:space="preserve">Doğal gaz piyasası faaliyetlerine yönelik </w:t>
      </w:r>
      <w:r w:rsidR="004F32D4" w:rsidRPr="002048A7">
        <w:t xml:space="preserve">verilecek </w:t>
      </w:r>
      <w:r w:rsidRPr="002048A7">
        <w:t>lisanslara ilişkin usul ve esaslar, Doğal Gaz Piyasası Lisans Yönetmeliğinde düzenlenmiştir. Lisanslar bir defada en az on, en fazla otuz yıllık süre ile verilir.</w:t>
      </w:r>
    </w:p>
    <w:p w14:paraId="1BC948D3" w14:textId="77777777" w:rsidR="00CB5826" w:rsidRPr="002048A7" w:rsidRDefault="00CB5826" w:rsidP="00CB5826">
      <w:pPr>
        <w:spacing w:after="0"/>
      </w:pPr>
    </w:p>
    <w:p w14:paraId="13FB8872" w14:textId="039BB1E4" w:rsidR="006F0829" w:rsidRPr="002048A7" w:rsidRDefault="006F0829" w:rsidP="006F0829">
      <w:pPr>
        <w:spacing w:after="0"/>
      </w:pPr>
      <w:r w:rsidRPr="002048A7">
        <w:t>Faaliyet konularına göre Kurum tarafından verilen lisanslar; İthalat Lisansı, İhracat Lisansı, Toptan Satış Lisansı, Depolama Lisansı, İletim Lisansı, Sıkıştırılmış Doğal Gaz (CNG) Lisansı</w:t>
      </w:r>
      <w:r>
        <w:t>,</w:t>
      </w:r>
      <w:r w:rsidR="00072A80">
        <w:t xml:space="preserve"> </w:t>
      </w:r>
      <w:r w:rsidRPr="002048A7">
        <w:t>Dağıtım Lisansı</w:t>
      </w:r>
      <w:r>
        <w:t xml:space="preserve"> ve Sıvılaştırma Lisansı</w:t>
      </w:r>
      <w:r w:rsidRPr="002048A7">
        <w:t>dır.</w:t>
      </w:r>
    </w:p>
    <w:p w14:paraId="33AE2876" w14:textId="77777777" w:rsidR="006F0829" w:rsidRPr="002048A7" w:rsidRDefault="006F0829" w:rsidP="006F0829">
      <w:pPr>
        <w:spacing w:after="0"/>
      </w:pPr>
    </w:p>
    <w:p w14:paraId="3B530B0D" w14:textId="77777777" w:rsidR="00774D75" w:rsidRPr="002048A7" w:rsidRDefault="006F0829" w:rsidP="006F0829">
      <w:pPr>
        <w:spacing w:after="0"/>
      </w:pPr>
      <w:r w:rsidRPr="00022C12">
        <w:t>Kurum tarafından dördü yeraltı, beşi de LNG terminali olarak verilmiş olan dokuz adet depolama lisansı bulunmaktadır. Verilmiş olan yer altı depolama lisansları kapsamında 202</w:t>
      </w:r>
      <w:r>
        <w:t>4</w:t>
      </w:r>
      <w:r w:rsidRPr="00022C12">
        <w:t xml:space="preserve"> yılı sonu itibarıyla fiili yer altı depolama kapasitesi </w:t>
      </w:r>
      <w:proofErr w:type="gramStart"/>
      <w:r>
        <w:t>5.8</w:t>
      </w:r>
      <w:proofErr w:type="gramEnd"/>
      <w:r>
        <w:t xml:space="preserve"> </w:t>
      </w:r>
      <w:r w:rsidRPr="00022C12">
        <w:t>milyar m</w:t>
      </w:r>
      <w:r w:rsidRPr="000842F4">
        <w:rPr>
          <w:vertAlign w:val="superscript"/>
        </w:rPr>
        <w:t>3</w:t>
      </w:r>
      <w:r w:rsidRPr="00022C12">
        <w:t>’e ulaşmıştır.</w:t>
      </w:r>
    </w:p>
    <w:p w14:paraId="7BDBBB30" w14:textId="77777777" w:rsidR="006E2539" w:rsidRPr="002048A7" w:rsidRDefault="006E2539" w:rsidP="006E2539">
      <w:pPr>
        <w:pStyle w:val="Balk5"/>
        <w:jc w:val="center"/>
        <w:rPr>
          <w:rStyle w:val="Gl"/>
          <w:color w:val="000000" w:themeColor="text1"/>
        </w:rPr>
      </w:pPr>
      <w:bookmarkStart w:id="124" w:name="_Toc195868802"/>
      <w:bookmarkStart w:id="125" w:name="_Toc416447583"/>
      <w:bookmarkStart w:id="126" w:name="_Toc442441734"/>
      <w:r w:rsidRPr="002048A7">
        <w:rPr>
          <w:rStyle w:val="Gl"/>
          <w:color w:val="000000" w:themeColor="text1"/>
        </w:rPr>
        <w:t>Tablo 3.</w:t>
      </w:r>
      <w:r w:rsidR="0007594C" w:rsidRPr="002048A7">
        <w:rPr>
          <w:rStyle w:val="Gl"/>
          <w:color w:val="000000" w:themeColor="text1"/>
        </w:rPr>
        <w:t>5</w:t>
      </w:r>
      <w:r w:rsidRPr="002048A7">
        <w:rPr>
          <w:rStyle w:val="Gl"/>
          <w:color w:val="000000" w:themeColor="text1"/>
        </w:rPr>
        <w:t>: Doğal Gaz Piyasasında 202</w:t>
      </w:r>
      <w:r w:rsidR="006E6866">
        <w:rPr>
          <w:rStyle w:val="Gl"/>
          <w:color w:val="000000" w:themeColor="text1"/>
        </w:rPr>
        <w:t>4</w:t>
      </w:r>
      <w:r w:rsidRPr="002048A7">
        <w:rPr>
          <w:rStyle w:val="Gl"/>
          <w:color w:val="000000" w:themeColor="text1"/>
        </w:rPr>
        <w:t xml:space="preserve"> Yılında Gerçekleştirilen Lisans İşlemleri (Adet)</w:t>
      </w:r>
      <w:bookmarkEnd w:id="124"/>
    </w:p>
    <w:tbl>
      <w:tblPr>
        <w:tblW w:w="10120" w:type="dxa"/>
        <w:tblInd w:w="-10" w:type="dxa"/>
        <w:tblCellMar>
          <w:left w:w="70" w:type="dxa"/>
          <w:right w:w="70" w:type="dxa"/>
        </w:tblCellMar>
        <w:tblLook w:val="04A0" w:firstRow="1" w:lastRow="0" w:firstColumn="1" w:lastColumn="0" w:noHBand="0" w:noVBand="1"/>
      </w:tblPr>
      <w:tblGrid>
        <w:gridCol w:w="2126"/>
        <w:gridCol w:w="1179"/>
        <w:gridCol w:w="1194"/>
        <w:gridCol w:w="1479"/>
        <w:gridCol w:w="956"/>
        <w:gridCol w:w="956"/>
        <w:gridCol w:w="958"/>
        <w:gridCol w:w="1272"/>
      </w:tblGrid>
      <w:tr w:rsidR="006E2539" w:rsidRPr="002048A7" w14:paraId="7C7E86AA" w14:textId="77777777" w:rsidTr="006E2539">
        <w:trPr>
          <w:trHeight w:val="1452"/>
        </w:trPr>
        <w:tc>
          <w:tcPr>
            <w:tcW w:w="2140" w:type="dxa"/>
            <w:tcBorders>
              <w:top w:val="single" w:sz="8" w:space="0" w:color="BFBFBF"/>
              <w:left w:val="single" w:sz="8" w:space="0" w:color="BFBFBF"/>
              <w:bottom w:val="single" w:sz="8" w:space="0" w:color="BFBFBF"/>
              <w:right w:val="single" w:sz="8" w:space="0" w:color="BFBFBF"/>
            </w:tcBorders>
            <w:shd w:val="clear" w:color="000000" w:fill="6E9ECA"/>
            <w:vAlign w:val="center"/>
            <w:hideMark/>
          </w:tcPr>
          <w:p w14:paraId="37A91148" w14:textId="77777777" w:rsidR="006E2539" w:rsidRPr="002048A7" w:rsidRDefault="006E2539" w:rsidP="006E2539">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Lisans Tipi</w:t>
            </w:r>
          </w:p>
        </w:tc>
        <w:tc>
          <w:tcPr>
            <w:tcW w:w="1180" w:type="dxa"/>
            <w:tcBorders>
              <w:top w:val="single" w:sz="8" w:space="0" w:color="BFBFBF"/>
              <w:left w:val="nil"/>
              <w:bottom w:val="single" w:sz="8" w:space="0" w:color="BFBFBF"/>
              <w:right w:val="single" w:sz="8" w:space="0" w:color="BFBFBF"/>
            </w:tcBorders>
            <w:shd w:val="clear" w:color="000000" w:fill="6E9ECA"/>
            <w:vAlign w:val="center"/>
            <w:hideMark/>
          </w:tcPr>
          <w:p w14:paraId="6C08BFE9" w14:textId="77777777" w:rsidR="006E2539" w:rsidRPr="002048A7" w:rsidRDefault="006E2539" w:rsidP="006E2539">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Lisans Başvurusu Sayısı</w:t>
            </w:r>
          </w:p>
        </w:tc>
        <w:tc>
          <w:tcPr>
            <w:tcW w:w="1200" w:type="dxa"/>
            <w:tcBorders>
              <w:top w:val="single" w:sz="8" w:space="0" w:color="BFBFBF"/>
              <w:left w:val="nil"/>
              <w:bottom w:val="single" w:sz="8" w:space="0" w:color="BFBFBF"/>
              <w:right w:val="single" w:sz="8" w:space="0" w:color="BFBFBF"/>
            </w:tcBorders>
            <w:shd w:val="clear" w:color="000000" w:fill="6E9ECA"/>
            <w:vAlign w:val="center"/>
            <w:hideMark/>
          </w:tcPr>
          <w:p w14:paraId="26B735CC" w14:textId="77777777" w:rsidR="006E2539" w:rsidRPr="002048A7" w:rsidRDefault="006E2539" w:rsidP="006E2539">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Verilen Lisans Sayısı</w:t>
            </w:r>
          </w:p>
        </w:tc>
        <w:tc>
          <w:tcPr>
            <w:tcW w:w="1480" w:type="dxa"/>
            <w:tcBorders>
              <w:top w:val="single" w:sz="8" w:space="0" w:color="BFBFBF"/>
              <w:left w:val="nil"/>
              <w:bottom w:val="single" w:sz="8" w:space="0" w:color="BFBFBF"/>
              <w:right w:val="single" w:sz="8" w:space="0" w:color="BFBFBF"/>
            </w:tcBorders>
            <w:shd w:val="clear" w:color="000000" w:fill="6E9ECA"/>
            <w:vAlign w:val="center"/>
            <w:hideMark/>
          </w:tcPr>
          <w:p w14:paraId="5D97992A" w14:textId="77777777" w:rsidR="006E2539" w:rsidRPr="002048A7" w:rsidRDefault="006E2539" w:rsidP="006E2539">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Sona Eren/Erdirilen Lisans Sayısı</w:t>
            </w:r>
          </w:p>
        </w:tc>
        <w:tc>
          <w:tcPr>
            <w:tcW w:w="960" w:type="dxa"/>
            <w:tcBorders>
              <w:top w:val="single" w:sz="8" w:space="0" w:color="BFBFBF"/>
              <w:left w:val="nil"/>
              <w:bottom w:val="single" w:sz="8" w:space="0" w:color="BFBFBF"/>
              <w:right w:val="single" w:sz="8" w:space="0" w:color="BFBFBF"/>
            </w:tcBorders>
            <w:shd w:val="clear" w:color="000000" w:fill="6E9ECA"/>
            <w:vAlign w:val="center"/>
            <w:hideMark/>
          </w:tcPr>
          <w:p w14:paraId="1BDBDA18" w14:textId="77777777" w:rsidR="006E2539" w:rsidRPr="002048A7" w:rsidRDefault="006E2539" w:rsidP="006E2539">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İptal Edilen Lisans Sayısı</w:t>
            </w:r>
          </w:p>
        </w:tc>
        <w:tc>
          <w:tcPr>
            <w:tcW w:w="960" w:type="dxa"/>
            <w:tcBorders>
              <w:top w:val="single" w:sz="8" w:space="0" w:color="BFBFBF"/>
              <w:left w:val="nil"/>
              <w:bottom w:val="single" w:sz="8" w:space="0" w:color="BFBFBF"/>
              <w:right w:val="single" w:sz="8" w:space="0" w:color="BFBFBF"/>
            </w:tcBorders>
            <w:shd w:val="clear" w:color="000000" w:fill="6E9ECA"/>
            <w:vAlign w:val="center"/>
            <w:hideMark/>
          </w:tcPr>
          <w:p w14:paraId="5C4A8B88" w14:textId="77777777" w:rsidR="006E2539" w:rsidRPr="002048A7" w:rsidRDefault="006E2539" w:rsidP="006E2539">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Tadil Sayısı</w:t>
            </w:r>
          </w:p>
        </w:tc>
        <w:tc>
          <w:tcPr>
            <w:tcW w:w="960" w:type="dxa"/>
            <w:tcBorders>
              <w:top w:val="single" w:sz="8" w:space="0" w:color="BFBFBF"/>
              <w:left w:val="nil"/>
              <w:bottom w:val="single" w:sz="8" w:space="0" w:color="BFBFBF"/>
              <w:right w:val="single" w:sz="8" w:space="0" w:color="BFBFBF"/>
            </w:tcBorders>
            <w:shd w:val="clear" w:color="000000" w:fill="6E9ECA"/>
            <w:vAlign w:val="center"/>
            <w:hideMark/>
          </w:tcPr>
          <w:p w14:paraId="32D7BED1" w14:textId="77777777" w:rsidR="006E2539" w:rsidRPr="002048A7" w:rsidRDefault="006E2539" w:rsidP="006E2539">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Genel Toplam</w:t>
            </w:r>
          </w:p>
        </w:tc>
        <w:tc>
          <w:tcPr>
            <w:tcW w:w="1240" w:type="dxa"/>
            <w:tcBorders>
              <w:top w:val="single" w:sz="8" w:space="0" w:color="BFBFBF"/>
              <w:left w:val="nil"/>
              <w:bottom w:val="single" w:sz="8" w:space="0" w:color="BFBFBF"/>
              <w:right w:val="single" w:sz="8" w:space="0" w:color="BFBFBF"/>
            </w:tcBorders>
            <w:shd w:val="clear" w:color="000000" w:fill="6E9ECA"/>
            <w:vAlign w:val="center"/>
            <w:hideMark/>
          </w:tcPr>
          <w:p w14:paraId="19C02CAC" w14:textId="77777777" w:rsidR="006E2539" w:rsidRPr="002048A7" w:rsidRDefault="006E2539" w:rsidP="006E2539">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Dönem Sonu Yürürlükteki Lisans Sayısı</w:t>
            </w:r>
          </w:p>
        </w:tc>
      </w:tr>
      <w:tr w:rsidR="006E2539" w:rsidRPr="002048A7" w14:paraId="6580C8BB" w14:textId="77777777" w:rsidTr="006E2539">
        <w:trPr>
          <w:trHeight w:val="300"/>
        </w:trPr>
        <w:tc>
          <w:tcPr>
            <w:tcW w:w="2140" w:type="dxa"/>
            <w:tcBorders>
              <w:top w:val="nil"/>
              <w:left w:val="single" w:sz="8" w:space="0" w:color="BFBFBF"/>
              <w:bottom w:val="single" w:sz="8" w:space="0" w:color="BFBFBF"/>
              <w:right w:val="single" w:sz="8" w:space="0" w:color="BFBFBF"/>
            </w:tcBorders>
            <w:shd w:val="clear" w:color="auto" w:fill="auto"/>
            <w:vAlign w:val="center"/>
            <w:hideMark/>
          </w:tcPr>
          <w:p w14:paraId="1D013334" w14:textId="77777777" w:rsidR="006E2539" w:rsidRPr="002048A7" w:rsidRDefault="006E2539" w:rsidP="006E2539">
            <w:pPr>
              <w:spacing w:after="0" w:line="240" w:lineRule="auto"/>
              <w:rPr>
                <w:rFonts w:ascii="Arial" w:eastAsia="Times New Roman" w:hAnsi="Arial" w:cs="Arial"/>
                <w:color w:val="000000"/>
                <w:sz w:val="20"/>
                <w:szCs w:val="20"/>
                <w:lang w:eastAsia="tr-TR"/>
              </w:rPr>
            </w:pPr>
            <w:r w:rsidRPr="002048A7">
              <w:rPr>
                <w:rFonts w:ascii="Arial" w:eastAsia="Times New Roman" w:hAnsi="Arial" w:cs="Arial"/>
                <w:color w:val="000000"/>
                <w:sz w:val="20"/>
                <w:szCs w:val="20"/>
                <w:lang w:eastAsia="tr-TR"/>
              </w:rPr>
              <w:t>Dağıtım Lisansı</w:t>
            </w:r>
          </w:p>
        </w:tc>
        <w:tc>
          <w:tcPr>
            <w:tcW w:w="1180" w:type="dxa"/>
            <w:tcBorders>
              <w:top w:val="nil"/>
              <w:left w:val="nil"/>
              <w:bottom w:val="single" w:sz="8" w:space="0" w:color="BFBFBF"/>
              <w:right w:val="single" w:sz="8" w:space="0" w:color="BFBFBF"/>
            </w:tcBorders>
            <w:shd w:val="clear" w:color="auto" w:fill="auto"/>
            <w:vAlign w:val="center"/>
            <w:hideMark/>
          </w:tcPr>
          <w:p w14:paraId="521606B7" w14:textId="77777777" w:rsidR="006E2539" w:rsidRPr="002048A7" w:rsidRDefault="006E6866" w:rsidP="006E2539">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5</w:t>
            </w:r>
          </w:p>
        </w:tc>
        <w:tc>
          <w:tcPr>
            <w:tcW w:w="1200" w:type="dxa"/>
            <w:tcBorders>
              <w:top w:val="nil"/>
              <w:left w:val="nil"/>
              <w:bottom w:val="single" w:sz="8" w:space="0" w:color="BFBFBF"/>
              <w:right w:val="single" w:sz="8" w:space="0" w:color="BFBFBF"/>
            </w:tcBorders>
            <w:shd w:val="clear" w:color="auto" w:fill="auto"/>
            <w:vAlign w:val="center"/>
            <w:hideMark/>
          </w:tcPr>
          <w:p w14:paraId="320C767E" w14:textId="77777777" w:rsidR="006E2539" w:rsidRPr="002048A7" w:rsidRDefault="006E6866" w:rsidP="006E2539">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4</w:t>
            </w:r>
          </w:p>
        </w:tc>
        <w:tc>
          <w:tcPr>
            <w:tcW w:w="1480" w:type="dxa"/>
            <w:tcBorders>
              <w:top w:val="nil"/>
              <w:left w:val="nil"/>
              <w:bottom w:val="single" w:sz="8" w:space="0" w:color="BFBFBF"/>
              <w:right w:val="single" w:sz="8" w:space="0" w:color="BFBFBF"/>
            </w:tcBorders>
            <w:shd w:val="clear" w:color="auto" w:fill="auto"/>
            <w:vAlign w:val="center"/>
            <w:hideMark/>
          </w:tcPr>
          <w:p w14:paraId="232A9BB6" w14:textId="77777777" w:rsidR="006E2539" w:rsidRPr="002048A7" w:rsidRDefault="006E2539" w:rsidP="006E2539">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0</w:t>
            </w:r>
          </w:p>
        </w:tc>
        <w:tc>
          <w:tcPr>
            <w:tcW w:w="960" w:type="dxa"/>
            <w:tcBorders>
              <w:top w:val="nil"/>
              <w:left w:val="nil"/>
              <w:bottom w:val="single" w:sz="8" w:space="0" w:color="BFBFBF"/>
              <w:right w:val="single" w:sz="8" w:space="0" w:color="BFBFBF"/>
            </w:tcBorders>
            <w:shd w:val="clear" w:color="auto" w:fill="auto"/>
            <w:vAlign w:val="center"/>
            <w:hideMark/>
          </w:tcPr>
          <w:p w14:paraId="34A46A16" w14:textId="77777777" w:rsidR="006E2539" w:rsidRPr="002048A7" w:rsidRDefault="006E6866" w:rsidP="006E2539">
            <w:pPr>
              <w:spacing w:after="0" w:line="240" w:lineRule="auto"/>
              <w:jc w:val="right"/>
              <w:rPr>
                <w:rFonts w:ascii="Calibri" w:eastAsia="Times New Roman" w:hAnsi="Calibri" w:cs="Calibri"/>
                <w:color w:val="000000"/>
                <w:lang w:eastAsia="tr-TR"/>
              </w:rPr>
            </w:pPr>
            <w:r>
              <w:rPr>
                <w:rFonts w:ascii="Calibri" w:eastAsia="Times New Roman" w:hAnsi="Calibri" w:cstheme="minorHAnsi"/>
                <w:color w:val="000000"/>
                <w:lang w:eastAsia="tr-TR"/>
              </w:rPr>
              <w:t>3</w:t>
            </w:r>
          </w:p>
        </w:tc>
        <w:tc>
          <w:tcPr>
            <w:tcW w:w="960" w:type="dxa"/>
            <w:tcBorders>
              <w:top w:val="nil"/>
              <w:left w:val="nil"/>
              <w:bottom w:val="single" w:sz="8" w:space="0" w:color="BFBFBF"/>
              <w:right w:val="single" w:sz="8" w:space="0" w:color="BFBFBF"/>
            </w:tcBorders>
            <w:shd w:val="clear" w:color="auto" w:fill="auto"/>
            <w:vAlign w:val="center"/>
            <w:hideMark/>
          </w:tcPr>
          <w:p w14:paraId="2286A716" w14:textId="77777777" w:rsidR="006E2539" w:rsidRPr="002048A7" w:rsidRDefault="006E6866" w:rsidP="006E2539">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28</w:t>
            </w:r>
          </w:p>
        </w:tc>
        <w:tc>
          <w:tcPr>
            <w:tcW w:w="960" w:type="dxa"/>
            <w:tcBorders>
              <w:top w:val="nil"/>
              <w:left w:val="nil"/>
              <w:bottom w:val="single" w:sz="8" w:space="0" w:color="BFBFBF"/>
              <w:right w:val="single" w:sz="8" w:space="0" w:color="BFBFBF"/>
            </w:tcBorders>
            <w:shd w:val="clear" w:color="auto" w:fill="auto"/>
            <w:vAlign w:val="center"/>
            <w:hideMark/>
          </w:tcPr>
          <w:p w14:paraId="22C4A959" w14:textId="77777777" w:rsidR="006E2539" w:rsidRPr="002048A7" w:rsidRDefault="006E2539" w:rsidP="006E2539">
            <w:pPr>
              <w:spacing w:after="0" w:line="240" w:lineRule="auto"/>
              <w:jc w:val="right"/>
              <w:rPr>
                <w:rFonts w:ascii="Calibri" w:eastAsia="Times New Roman" w:hAnsi="Calibri" w:cs="Calibri"/>
                <w:color w:val="000000"/>
                <w:lang w:eastAsia="tr-TR"/>
              </w:rPr>
            </w:pPr>
            <w:r w:rsidRPr="002048A7">
              <w:rPr>
                <w:rFonts w:ascii="Calibri" w:eastAsia="Times New Roman" w:hAnsi="Calibri" w:cstheme="minorHAnsi"/>
                <w:color w:val="000000"/>
                <w:lang w:eastAsia="tr-TR"/>
              </w:rPr>
              <w:t>40</w:t>
            </w:r>
          </w:p>
        </w:tc>
        <w:tc>
          <w:tcPr>
            <w:tcW w:w="1240" w:type="dxa"/>
            <w:tcBorders>
              <w:top w:val="nil"/>
              <w:left w:val="nil"/>
              <w:bottom w:val="single" w:sz="8" w:space="0" w:color="BFBFBF"/>
              <w:right w:val="single" w:sz="8" w:space="0" w:color="BFBFBF"/>
            </w:tcBorders>
            <w:shd w:val="clear" w:color="auto" w:fill="auto"/>
            <w:vAlign w:val="center"/>
            <w:hideMark/>
          </w:tcPr>
          <w:p w14:paraId="6DA17134" w14:textId="77777777" w:rsidR="006E2539" w:rsidRPr="002048A7" w:rsidRDefault="006E2539" w:rsidP="006E2539">
            <w:pPr>
              <w:spacing w:after="0" w:line="240" w:lineRule="auto"/>
              <w:jc w:val="right"/>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7</w:t>
            </w:r>
            <w:r w:rsidR="006E6866">
              <w:rPr>
                <w:rFonts w:ascii="Calibri" w:eastAsia="Times New Roman" w:hAnsi="Calibri" w:cs="Calibri"/>
                <w:b/>
                <w:bCs/>
                <w:color w:val="000000"/>
                <w:lang w:eastAsia="tr-TR"/>
              </w:rPr>
              <w:t>3</w:t>
            </w:r>
          </w:p>
        </w:tc>
      </w:tr>
      <w:tr w:rsidR="006E2539" w:rsidRPr="002048A7" w14:paraId="6D277EAB" w14:textId="77777777" w:rsidTr="006E2539">
        <w:trPr>
          <w:trHeight w:val="300"/>
        </w:trPr>
        <w:tc>
          <w:tcPr>
            <w:tcW w:w="2140" w:type="dxa"/>
            <w:tcBorders>
              <w:top w:val="nil"/>
              <w:left w:val="single" w:sz="8" w:space="0" w:color="BFBFBF"/>
              <w:bottom w:val="single" w:sz="8" w:space="0" w:color="BFBFBF"/>
              <w:right w:val="single" w:sz="8" w:space="0" w:color="BFBFBF"/>
            </w:tcBorders>
            <w:shd w:val="clear" w:color="auto" w:fill="auto"/>
            <w:vAlign w:val="center"/>
            <w:hideMark/>
          </w:tcPr>
          <w:p w14:paraId="18A19D0E" w14:textId="77777777" w:rsidR="006E2539" w:rsidRPr="002048A7" w:rsidRDefault="006E2539" w:rsidP="006E2539">
            <w:pPr>
              <w:spacing w:after="0" w:line="240" w:lineRule="auto"/>
              <w:rPr>
                <w:rFonts w:ascii="Arial" w:eastAsia="Times New Roman" w:hAnsi="Arial" w:cs="Arial"/>
                <w:color w:val="000000"/>
                <w:sz w:val="20"/>
                <w:szCs w:val="20"/>
                <w:lang w:eastAsia="tr-TR"/>
              </w:rPr>
            </w:pPr>
            <w:r w:rsidRPr="002048A7">
              <w:rPr>
                <w:rFonts w:ascii="Arial" w:eastAsia="Times New Roman" w:hAnsi="Arial" w:cs="Arial"/>
                <w:color w:val="000000"/>
                <w:sz w:val="20"/>
                <w:szCs w:val="20"/>
                <w:lang w:eastAsia="tr-TR"/>
              </w:rPr>
              <w:t>Depolama Lisansı</w:t>
            </w:r>
          </w:p>
        </w:tc>
        <w:tc>
          <w:tcPr>
            <w:tcW w:w="1180" w:type="dxa"/>
            <w:tcBorders>
              <w:top w:val="nil"/>
              <w:left w:val="nil"/>
              <w:bottom w:val="single" w:sz="8" w:space="0" w:color="BFBFBF"/>
              <w:right w:val="single" w:sz="8" w:space="0" w:color="BFBFBF"/>
            </w:tcBorders>
            <w:shd w:val="clear" w:color="auto" w:fill="auto"/>
            <w:vAlign w:val="center"/>
            <w:hideMark/>
          </w:tcPr>
          <w:p w14:paraId="0B12E3E0" w14:textId="77777777" w:rsidR="006E2539" w:rsidRPr="002048A7" w:rsidRDefault="006E6866" w:rsidP="006E2539">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1200" w:type="dxa"/>
            <w:tcBorders>
              <w:top w:val="nil"/>
              <w:left w:val="nil"/>
              <w:bottom w:val="single" w:sz="8" w:space="0" w:color="BFBFBF"/>
              <w:right w:val="single" w:sz="8" w:space="0" w:color="BFBFBF"/>
            </w:tcBorders>
            <w:shd w:val="clear" w:color="auto" w:fill="auto"/>
            <w:vAlign w:val="center"/>
            <w:hideMark/>
          </w:tcPr>
          <w:p w14:paraId="6EBCCE48" w14:textId="77777777" w:rsidR="006E2539" w:rsidRPr="002048A7" w:rsidRDefault="006E6866" w:rsidP="006E2539">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1480" w:type="dxa"/>
            <w:tcBorders>
              <w:top w:val="nil"/>
              <w:left w:val="nil"/>
              <w:bottom w:val="single" w:sz="8" w:space="0" w:color="BFBFBF"/>
              <w:right w:val="single" w:sz="8" w:space="0" w:color="BFBFBF"/>
            </w:tcBorders>
            <w:shd w:val="clear" w:color="auto" w:fill="auto"/>
            <w:vAlign w:val="center"/>
            <w:hideMark/>
          </w:tcPr>
          <w:p w14:paraId="5C428C0D" w14:textId="77777777" w:rsidR="006E2539" w:rsidRPr="002048A7" w:rsidRDefault="006E6866" w:rsidP="006E2539">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960" w:type="dxa"/>
            <w:tcBorders>
              <w:top w:val="nil"/>
              <w:left w:val="nil"/>
              <w:bottom w:val="single" w:sz="8" w:space="0" w:color="BFBFBF"/>
              <w:right w:val="single" w:sz="8" w:space="0" w:color="BFBFBF"/>
            </w:tcBorders>
            <w:shd w:val="clear" w:color="auto" w:fill="auto"/>
            <w:vAlign w:val="center"/>
            <w:hideMark/>
          </w:tcPr>
          <w:p w14:paraId="0003BE25" w14:textId="77777777" w:rsidR="006E2539" w:rsidRPr="002048A7" w:rsidRDefault="006E2539" w:rsidP="006E2539">
            <w:pPr>
              <w:spacing w:after="0" w:line="240" w:lineRule="auto"/>
              <w:jc w:val="right"/>
              <w:rPr>
                <w:rFonts w:ascii="Calibri" w:eastAsia="Times New Roman" w:hAnsi="Calibri" w:cs="Calibri"/>
                <w:color w:val="000000"/>
                <w:lang w:eastAsia="tr-TR"/>
              </w:rPr>
            </w:pPr>
            <w:r w:rsidRPr="002048A7">
              <w:rPr>
                <w:rFonts w:ascii="Calibri" w:eastAsia="Times New Roman" w:hAnsi="Calibri" w:cstheme="minorHAnsi"/>
                <w:color w:val="000000"/>
                <w:lang w:eastAsia="tr-TR"/>
              </w:rPr>
              <w:t>0</w:t>
            </w:r>
          </w:p>
        </w:tc>
        <w:tc>
          <w:tcPr>
            <w:tcW w:w="960" w:type="dxa"/>
            <w:tcBorders>
              <w:top w:val="nil"/>
              <w:left w:val="nil"/>
              <w:bottom w:val="single" w:sz="8" w:space="0" w:color="BFBFBF"/>
              <w:right w:val="single" w:sz="8" w:space="0" w:color="BFBFBF"/>
            </w:tcBorders>
            <w:shd w:val="clear" w:color="auto" w:fill="auto"/>
            <w:vAlign w:val="center"/>
            <w:hideMark/>
          </w:tcPr>
          <w:p w14:paraId="2AA248BD" w14:textId="77777777" w:rsidR="006E2539" w:rsidRPr="002048A7" w:rsidRDefault="006E2539" w:rsidP="006E2539">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0</w:t>
            </w:r>
          </w:p>
        </w:tc>
        <w:tc>
          <w:tcPr>
            <w:tcW w:w="960" w:type="dxa"/>
            <w:tcBorders>
              <w:top w:val="nil"/>
              <w:left w:val="nil"/>
              <w:bottom w:val="single" w:sz="8" w:space="0" w:color="BFBFBF"/>
              <w:right w:val="single" w:sz="8" w:space="0" w:color="BFBFBF"/>
            </w:tcBorders>
            <w:shd w:val="clear" w:color="auto" w:fill="auto"/>
            <w:vAlign w:val="center"/>
            <w:hideMark/>
          </w:tcPr>
          <w:p w14:paraId="2ECD5673" w14:textId="77777777" w:rsidR="006E2539" w:rsidRPr="002048A7" w:rsidRDefault="006E6866" w:rsidP="006E2539">
            <w:pPr>
              <w:spacing w:after="0" w:line="240" w:lineRule="auto"/>
              <w:jc w:val="right"/>
              <w:rPr>
                <w:rFonts w:ascii="Calibri" w:eastAsia="Times New Roman" w:hAnsi="Calibri" w:cs="Calibri"/>
                <w:color w:val="000000"/>
                <w:lang w:eastAsia="tr-TR"/>
              </w:rPr>
            </w:pPr>
            <w:r>
              <w:rPr>
                <w:rFonts w:ascii="Calibri" w:eastAsia="Times New Roman" w:hAnsi="Calibri" w:cstheme="minorHAnsi"/>
                <w:color w:val="000000"/>
                <w:lang w:eastAsia="tr-TR"/>
              </w:rPr>
              <w:t>0</w:t>
            </w:r>
          </w:p>
        </w:tc>
        <w:tc>
          <w:tcPr>
            <w:tcW w:w="1240" w:type="dxa"/>
            <w:tcBorders>
              <w:top w:val="nil"/>
              <w:left w:val="nil"/>
              <w:bottom w:val="single" w:sz="8" w:space="0" w:color="BFBFBF"/>
              <w:right w:val="single" w:sz="8" w:space="0" w:color="BFBFBF"/>
            </w:tcBorders>
            <w:shd w:val="clear" w:color="auto" w:fill="auto"/>
            <w:vAlign w:val="center"/>
            <w:hideMark/>
          </w:tcPr>
          <w:p w14:paraId="167A4EA3" w14:textId="77777777" w:rsidR="006E2539" w:rsidRPr="002048A7" w:rsidRDefault="006E2539" w:rsidP="006E2539">
            <w:pPr>
              <w:spacing w:after="0" w:line="240" w:lineRule="auto"/>
              <w:jc w:val="right"/>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9</w:t>
            </w:r>
          </w:p>
        </w:tc>
      </w:tr>
      <w:tr w:rsidR="006E2539" w:rsidRPr="002048A7" w14:paraId="4BBF751E" w14:textId="77777777" w:rsidTr="006E2539">
        <w:trPr>
          <w:trHeight w:val="300"/>
        </w:trPr>
        <w:tc>
          <w:tcPr>
            <w:tcW w:w="2140" w:type="dxa"/>
            <w:tcBorders>
              <w:top w:val="nil"/>
              <w:left w:val="single" w:sz="8" w:space="0" w:color="BFBFBF"/>
              <w:bottom w:val="single" w:sz="8" w:space="0" w:color="BFBFBF"/>
              <w:right w:val="single" w:sz="8" w:space="0" w:color="BFBFBF"/>
            </w:tcBorders>
            <w:shd w:val="clear" w:color="auto" w:fill="auto"/>
            <w:vAlign w:val="center"/>
            <w:hideMark/>
          </w:tcPr>
          <w:p w14:paraId="1F335834" w14:textId="77777777" w:rsidR="006E2539" w:rsidRPr="002048A7" w:rsidRDefault="006E2539" w:rsidP="006E2539">
            <w:pPr>
              <w:spacing w:after="0" w:line="240" w:lineRule="auto"/>
              <w:rPr>
                <w:rFonts w:ascii="Arial" w:eastAsia="Times New Roman" w:hAnsi="Arial" w:cs="Arial"/>
                <w:color w:val="000000"/>
                <w:sz w:val="20"/>
                <w:szCs w:val="20"/>
                <w:lang w:eastAsia="tr-TR"/>
              </w:rPr>
            </w:pPr>
            <w:r w:rsidRPr="002048A7">
              <w:rPr>
                <w:rFonts w:ascii="Arial" w:eastAsia="Times New Roman" w:hAnsi="Arial" w:cs="Arial"/>
                <w:color w:val="000000"/>
                <w:sz w:val="20"/>
                <w:szCs w:val="20"/>
                <w:lang w:eastAsia="tr-TR"/>
              </w:rPr>
              <w:t>İhracat Lisansı</w:t>
            </w:r>
          </w:p>
        </w:tc>
        <w:tc>
          <w:tcPr>
            <w:tcW w:w="1180" w:type="dxa"/>
            <w:tcBorders>
              <w:top w:val="nil"/>
              <w:left w:val="nil"/>
              <w:bottom w:val="single" w:sz="8" w:space="0" w:color="BFBFBF"/>
              <w:right w:val="single" w:sz="8" w:space="0" w:color="BFBFBF"/>
            </w:tcBorders>
            <w:shd w:val="clear" w:color="auto" w:fill="auto"/>
            <w:vAlign w:val="center"/>
            <w:hideMark/>
          </w:tcPr>
          <w:p w14:paraId="0FCB7851" w14:textId="77777777" w:rsidR="006E2539" w:rsidRPr="002048A7" w:rsidRDefault="006E2539" w:rsidP="006E2539">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5</w:t>
            </w:r>
          </w:p>
        </w:tc>
        <w:tc>
          <w:tcPr>
            <w:tcW w:w="1200" w:type="dxa"/>
            <w:tcBorders>
              <w:top w:val="nil"/>
              <w:left w:val="nil"/>
              <w:bottom w:val="single" w:sz="8" w:space="0" w:color="BFBFBF"/>
              <w:right w:val="single" w:sz="8" w:space="0" w:color="BFBFBF"/>
            </w:tcBorders>
            <w:shd w:val="clear" w:color="auto" w:fill="auto"/>
            <w:vAlign w:val="center"/>
            <w:hideMark/>
          </w:tcPr>
          <w:p w14:paraId="0BD38276" w14:textId="77777777" w:rsidR="006E2539" w:rsidRPr="002048A7" w:rsidRDefault="006E6866" w:rsidP="006E2539">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9</w:t>
            </w:r>
          </w:p>
        </w:tc>
        <w:tc>
          <w:tcPr>
            <w:tcW w:w="1480" w:type="dxa"/>
            <w:tcBorders>
              <w:top w:val="nil"/>
              <w:left w:val="nil"/>
              <w:bottom w:val="single" w:sz="8" w:space="0" w:color="BFBFBF"/>
              <w:right w:val="single" w:sz="8" w:space="0" w:color="BFBFBF"/>
            </w:tcBorders>
            <w:shd w:val="clear" w:color="auto" w:fill="auto"/>
            <w:vAlign w:val="center"/>
            <w:hideMark/>
          </w:tcPr>
          <w:p w14:paraId="4C40A3D6" w14:textId="77777777" w:rsidR="006E2539" w:rsidRPr="002048A7" w:rsidRDefault="006E6866" w:rsidP="006E2539">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2</w:t>
            </w:r>
          </w:p>
        </w:tc>
        <w:tc>
          <w:tcPr>
            <w:tcW w:w="960" w:type="dxa"/>
            <w:tcBorders>
              <w:top w:val="nil"/>
              <w:left w:val="nil"/>
              <w:bottom w:val="single" w:sz="8" w:space="0" w:color="BFBFBF"/>
              <w:right w:val="single" w:sz="8" w:space="0" w:color="BFBFBF"/>
            </w:tcBorders>
            <w:shd w:val="clear" w:color="auto" w:fill="auto"/>
            <w:vAlign w:val="center"/>
            <w:hideMark/>
          </w:tcPr>
          <w:p w14:paraId="66DA20B5" w14:textId="77777777" w:rsidR="006E2539" w:rsidRPr="002048A7" w:rsidRDefault="006E2539" w:rsidP="006E2539">
            <w:pPr>
              <w:spacing w:after="0" w:line="240" w:lineRule="auto"/>
              <w:jc w:val="right"/>
              <w:rPr>
                <w:rFonts w:ascii="Calibri" w:eastAsia="Times New Roman" w:hAnsi="Calibri" w:cs="Calibri"/>
                <w:color w:val="000000"/>
                <w:lang w:eastAsia="tr-TR"/>
              </w:rPr>
            </w:pPr>
            <w:r w:rsidRPr="002048A7">
              <w:rPr>
                <w:rFonts w:ascii="Calibri" w:eastAsia="Times New Roman" w:hAnsi="Calibri" w:cstheme="minorHAnsi"/>
                <w:color w:val="000000"/>
                <w:lang w:eastAsia="tr-TR"/>
              </w:rPr>
              <w:t>0</w:t>
            </w:r>
          </w:p>
        </w:tc>
        <w:tc>
          <w:tcPr>
            <w:tcW w:w="960" w:type="dxa"/>
            <w:tcBorders>
              <w:top w:val="nil"/>
              <w:left w:val="nil"/>
              <w:bottom w:val="single" w:sz="8" w:space="0" w:color="BFBFBF"/>
              <w:right w:val="single" w:sz="8" w:space="0" w:color="BFBFBF"/>
            </w:tcBorders>
            <w:shd w:val="clear" w:color="auto" w:fill="auto"/>
            <w:vAlign w:val="center"/>
            <w:hideMark/>
          </w:tcPr>
          <w:p w14:paraId="5925A308" w14:textId="77777777" w:rsidR="006E2539" w:rsidRPr="002048A7" w:rsidRDefault="006E6866" w:rsidP="006E2539">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960" w:type="dxa"/>
            <w:tcBorders>
              <w:top w:val="nil"/>
              <w:left w:val="nil"/>
              <w:bottom w:val="single" w:sz="8" w:space="0" w:color="BFBFBF"/>
              <w:right w:val="single" w:sz="8" w:space="0" w:color="BFBFBF"/>
            </w:tcBorders>
            <w:shd w:val="clear" w:color="auto" w:fill="auto"/>
            <w:vAlign w:val="center"/>
            <w:hideMark/>
          </w:tcPr>
          <w:p w14:paraId="13EC5D99" w14:textId="77777777" w:rsidR="006E2539" w:rsidRPr="002048A7" w:rsidRDefault="006E6866" w:rsidP="006E2539">
            <w:pPr>
              <w:spacing w:after="0" w:line="240" w:lineRule="auto"/>
              <w:jc w:val="right"/>
              <w:rPr>
                <w:rFonts w:ascii="Calibri" w:eastAsia="Times New Roman" w:hAnsi="Calibri" w:cs="Calibri"/>
                <w:color w:val="000000"/>
                <w:lang w:eastAsia="tr-TR"/>
              </w:rPr>
            </w:pPr>
            <w:r>
              <w:rPr>
                <w:rFonts w:ascii="Calibri" w:eastAsia="Times New Roman" w:hAnsi="Calibri" w:cstheme="minorHAnsi"/>
                <w:color w:val="000000"/>
                <w:lang w:eastAsia="tr-TR"/>
              </w:rPr>
              <w:t>1</w:t>
            </w:r>
            <w:r w:rsidR="006E2539" w:rsidRPr="002048A7">
              <w:rPr>
                <w:rFonts w:ascii="Calibri" w:eastAsia="Times New Roman" w:hAnsi="Calibri" w:cstheme="minorHAnsi"/>
                <w:color w:val="000000"/>
                <w:lang w:eastAsia="tr-TR"/>
              </w:rPr>
              <w:t>6</w:t>
            </w:r>
          </w:p>
        </w:tc>
        <w:tc>
          <w:tcPr>
            <w:tcW w:w="1240" w:type="dxa"/>
            <w:tcBorders>
              <w:top w:val="nil"/>
              <w:left w:val="nil"/>
              <w:bottom w:val="single" w:sz="8" w:space="0" w:color="BFBFBF"/>
              <w:right w:val="single" w:sz="8" w:space="0" w:color="BFBFBF"/>
            </w:tcBorders>
            <w:shd w:val="clear" w:color="auto" w:fill="auto"/>
            <w:vAlign w:val="center"/>
            <w:hideMark/>
          </w:tcPr>
          <w:p w14:paraId="6DCF7B70" w14:textId="77777777" w:rsidR="006E2539" w:rsidRPr="002048A7" w:rsidRDefault="006E6866" w:rsidP="006E2539">
            <w:pPr>
              <w:spacing w:after="0" w:line="240" w:lineRule="auto"/>
              <w:jc w:val="right"/>
              <w:rPr>
                <w:rFonts w:ascii="Calibri" w:eastAsia="Times New Roman" w:hAnsi="Calibri" w:cs="Calibri"/>
                <w:b/>
                <w:bCs/>
                <w:color w:val="000000"/>
                <w:lang w:eastAsia="tr-TR"/>
              </w:rPr>
            </w:pPr>
            <w:r>
              <w:rPr>
                <w:rFonts w:ascii="Calibri" w:eastAsia="Times New Roman" w:hAnsi="Calibri" w:cs="Calibri"/>
                <w:b/>
                <w:bCs/>
                <w:color w:val="000000"/>
                <w:lang w:eastAsia="tr-TR"/>
              </w:rPr>
              <w:t>50</w:t>
            </w:r>
          </w:p>
        </w:tc>
      </w:tr>
      <w:tr w:rsidR="006E2539" w:rsidRPr="002048A7" w14:paraId="318C7D03" w14:textId="77777777" w:rsidTr="006E2539">
        <w:trPr>
          <w:trHeight w:val="300"/>
        </w:trPr>
        <w:tc>
          <w:tcPr>
            <w:tcW w:w="2140" w:type="dxa"/>
            <w:tcBorders>
              <w:top w:val="nil"/>
              <w:left w:val="single" w:sz="8" w:space="0" w:color="BFBFBF"/>
              <w:bottom w:val="single" w:sz="8" w:space="0" w:color="BFBFBF"/>
              <w:right w:val="single" w:sz="8" w:space="0" w:color="BFBFBF"/>
            </w:tcBorders>
            <w:shd w:val="clear" w:color="auto" w:fill="auto"/>
            <w:vAlign w:val="center"/>
            <w:hideMark/>
          </w:tcPr>
          <w:p w14:paraId="0AFCDC70" w14:textId="77777777" w:rsidR="006E2539" w:rsidRPr="002048A7" w:rsidRDefault="006E2539" w:rsidP="006E2539">
            <w:pPr>
              <w:spacing w:after="0" w:line="240" w:lineRule="auto"/>
              <w:rPr>
                <w:rFonts w:ascii="Arial" w:eastAsia="Times New Roman" w:hAnsi="Arial" w:cs="Arial"/>
                <w:color w:val="000000"/>
                <w:sz w:val="20"/>
                <w:szCs w:val="20"/>
                <w:lang w:eastAsia="tr-TR"/>
              </w:rPr>
            </w:pPr>
            <w:r w:rsidRPr="002048A7">
              <w:rPr>
                <w:rFonts w:ascii="Arial" w:eastAsia="Times New Roman" w:hAnsi="Arial" w:cs="Arial"/>
                <w:color w:val="000000"/>
                <w:sz w:val="20"/>
                <w:szCs w:val="20"/>
                <w:lang w:eastAsia="tr-TR"/>
              </w:rPr>
              <w:t>İletim Lisansı</w:t>
            </w:r>
          </w:p>
        </w:tc>
        <w:tc>
          <w:tcPr>
            <w:tcW w:w="1180" w:type="dxa"/>
            <w:tcBorders>
              <w:top w:val="nil"/>
              <w:left w:val="nil"/>
              <w:bottom w:val="single" w:sz="8" w:space="0" w:color="BFBFBF"/>
              <w:right w:val="single" w:sz="8" w:space="0" w:color="BFBFBF"/>
            </w:tcBorders>
            <w:shd w:val="clear" w:color="auto" w:fill="auto"/>
            <w:vAlign w:val="center"/>
            <w:hideMark/>
          </w:tcPr>
          <w:p w14:paraId="21A174AE" w14:textId="77777777" w:rsidR="006E2539" w:rsidRPr="002048A7" w:rsidRDefault="006E6866" w:rsidP="006E2539">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3</w:t>
            </w:r>
          </w:p>
        </w:tc>
        <w:tc>
          <w:tcPr>
            <w:tcW w:w="1200" w:type="dxa"/>
            <w:tcBorders>
              <w:top w:val="nil"/>
              <w:left w:val="nil"/>
              <w:bottom w:val="single" w:sz="8" w:space="0" w:color="BFBFBF"/>
              <w:right w:val="single" w:sz="8" w:space="0" w:color="BFBFBF"/>
            </w:tcBorders>
            <w:shd w:val="clear" w:color="auto" w:fill="auto"/>
            <w:vAlign w:val="center"/>
            <w:hideMark/>
          </w:tcPr>
          <w:p w14:paraId="4A05EF55" w14:textId="77777777" w:rsidR="006E2539" w:rsidRPr="002048A7" w:rsidRDefault="006E6866" w:rsidP="006E2539">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3</w:t>
            </w:r>
          </w:p>
        </w:tc>
        <w:tc>
          <w:tcPr>
            <w:tcW w:w="1480" w:type="dxa"/>
            <w:tcBorders>
              <w:top w:val="nil"/>
              <w:left w:val="nil"/>
              <w:bottom w:val="single" w:sz="8" w:space="0" w:color="BFBFBF"/>
              <w:right w:val="single" w:sz="8" w:space="0" w:color="BFBFBF"/>
            </w:tcBorders>
            <w:shd w:val="clear" w:color="auto" w:fill="auto"/>
            <w:vAlign w:val="center"/>
            <w:hideMark/>
          </w:tcPr>
          <w:p w14:paraId="60BB6B97" w14:textId="77777777" w:rsidR="006E2539" w:rsidRPr="002048A7" w:rsidRDefault="006E6866" w:rsidP="006E2539">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1</w:t>
            </w:r>
          </w:p>
        </w:tc>
        <w:tc>
          <w:tcPr>
            <w:tcW w:w="960" w:type="dxa"/>
            <w:tcBorders>
              <w:top w:val="nil"/>
              <w:left w:val="nil"/>
              <w:bottom w:val="single" w:sz="8" w:space="0" w:color="BFBFBF"/>
              <w:right w:val="single" w:sz="8" w:space="0" w:color="BFBFBF"/>
            </w:tcBorders>
            <w:shd w:val="clear" w:color="auto" w:fill="auto"/>
            <w:vAlign w:val="center"/>
            <w:hideMark/>
          </w:tcPr>
          <w:p w14:paraId="111B6649" w14:textId="77777777" w:rsidR="006E2539" w:rsidRPr="002048A7" w:rsidRDefault="006E2539" w:rsidP="006E2539">
            <w:pPr>
              <w:spacing w:after="0" w:line="240" w:lineRule="auto"/>
              <w:jc w:val="right"/>
              <w:rPr>
                <w:rFonts w:ascii="Calibri" w:eastAsia="Times New Roman" w:hAnsi="Calibri" w:cs="Calibri"/>
                <w:color w:val="000000"/>
                <w:lang w:eastAsia="tr-TR"/>
              </w:rPr>
            </w:pPr>
            <w:r w:rsidRPr="002048A7">
              <w:rPr>
                <w:rFonts w:ascii="Calibri" w:eastAsia="Times New Roman" w:hAnsi="Calibri" w:cstheme="minorHAnsi"/>
                <w:color w:val="000000"/>
                <w:lang w:eastAsia="tr-TR"/>
              </w:rPr>
              <w:t>0</w:t>
            </w:r>
          </w:p>
        </w:tc>
        <w:tc>
          <w:tcPr>
            <w:tcW w:w="960" w:type="dxa"/>
            <w:tcBorders>
              <w:top w:val="nil"/>
              <w:left w:val="nil"/>
              <w:bottom w:val="single" w:sz="8" w:space="0" w:color="BFBFBF"/>
              <w:right w:val="single" w:sz="8" w:space="0" w:color="BFBFBF"/>
            </w:tcBorders>
            <w:shd w:val="clear" w:color="auto" w:fill="auto"/>
            <w:vAlign w:val="center"/>
            <w:hideMark/>
          </w:tcPr>
          <w:p w14:paraId="632FBD9B" w14:textId="77777777" w:rsidR="006E2539" w:rsidRPr="002048A7" w:rsidRDefault="006E6866" w:rsidP="006E2539">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1</w:t>
            </w:r>
          </w:p>
        </w:tc>
        <w:tc>
          <w:tcPr>
            <w:tcW w:w="960" w:type="dxa"/>
            <w:tcBorders>
              <w:top w:val="nil"/>
              <w:left w:val="nil"/>
              <w:bottom w:val="single" w:sz="8" w:space="0" w:color="BFBFBF"/>
              <w:right w:val="single" w:sz="8" w:space="0" w:color="BFBFBF"/>
            </w:tcBorders>
            <w:shd w:val="clear" w:color="auto" w:fill="auto"/>
            <w:vAlign w:val="center"/>
            <w:hideMark/>
          </w:tcPr>
          <w:p w14:paraId="3989E144" w14:textId="77777777" w:rsidR="006E2539" w:rsidRPr="002048A7" w:rsidRDefault="006E6866" w:rsidP="006E2539">
            <w:pPr>
              <w:spacing w:after="0" w:line="240" w:lineRule="auto"/>
              <w:jc w:val="right"/>
              <w:rPr>
                <w:rFonts w:ascii="Calibri" w:eastAsia="Times New Roman" w:hAnsi="Calibri" w:cs="Calibri"/>
                <w:color w:val="000000"/>
                <w:lang w:eastAsia="tr-TR"/>
              </w:rPr>
            </w:pPr>
            <w:r>
              <w:rPr>
                <w:rFonts w:ascii="Calibri" w:eastAsia="Times New Roman" w:hAnsi="Calibri" w:cstheme="minorHAnsi"/>
                <w:color w:val="000000"/>
                <w:lang w:eastAsia="tr-TR"/>
              </w:rPr>
              <w:t>8</w:t>
            </w:r>
          </w:p>
        </w:tc>
        <w:tc>
          <w:tcPr>
            <w:tcW w:w="1240" w:type="dxa"/>
            <w:tcBorders>
              <w:top w:val="nil"/>
              <w:left w:val="nil"/>
              <w:bottom w:val="single" w:sz="8" w:space="0" w:color="BFBFBF"/>
              <w:right w:val="single" w:sz="8" w:space="0" w:color="BFBFBF"/>
            </w:tcBorders>
            <w:shd w:val="clear" w:color="auto" w:fill="auto"/>
            <w:vAlign w:val="center"/>
            <w:hideMark/>
          </w:tcPr>
          <w:p w14:paraId="7993AE23" w14:textId="77777777" w:rsidR="006E2539" w:rsidRPr="002048A7" w:rsidRDefault="006E2539" w:rsidP="006E2539">
            <w:pPr>
              <w:spacing w:after="0" w:line="240" w:lineRule="auto"/>
              <w:jc w:val="right"/>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1</w:t>
            </w:r>
            <w:r w:rsidR="006E6866">
              <w:rPr>
                <w:rFonts w:ascii="Calibri" w:eastAsia="Times New Roman" w:hAnsi="Calibri" w:cs="Calibri"/>
                <w:b/>
                <w:bCs/>
                <w:color w:val="000000"/>
                <w:lang w:eastAsia="tr-TR"/>
              </w:rPr>
              <w:t>8</w:t>
            </w:r>
          </w:p>
        </w:tc>
      </w:tr>
      <w:tr w:rsidR="006E2539" w:rsidRPr="002048A7" w14:paraId="54145009" w14:textId="77777777" w:rsidTr="006E2539">
        <w:trPr>
          <w:trHeight w:val="300"/>
        </w:trPr>
        <w:tc>
          <w:tcPr>
            <w:tcW w:w="2140" w:type="dxa"/>
            <w:tcBorders>
              <w:top w:val="nil"/>
              <w:left w:val="single" w:sz="8" w:space="0" w:color="BFBFBF"/>
              <w:bottom w:val="single" w:sz="8" w:space="0" w:color="BFBFBF"/>
              <w:right w:val="single" w:sz="8" w:space="0" w:color="BFBFBF"/>
            </w:tcBorders>
            <w:shd w:val="clear" w:color="auto" w:fill="auto"/>
            <w:vAlign w:val="center"/>
            <w:hideMark/>
          </w:tcPr>
          <w:p w14:paraId="75A49F26" w14:textId="77777777" w:rsidR="006E2539" w:rsidRPr="002048A7" w:rsidRDefault="006E2539" w:rsidP="006E2539">
            <w:pPr>
              <w:spacing w:after="0" w:line="240" w:lineRule="auto"/>
              <w:rPr>
                <w:rFonts w:ascii="Arial" w:eastAsia="Times New Roman" w:hAnsi="Arial" w:cs="Arial"/>
                <w:color w:val="000000"/>
                <w:sz w:val="20"/>
                <w:szCs w:val="20"/>
                <w:lang w:eastAsia="tr-TR"/>
              </w:rPr>
            </w:pPr>
            <w:r w:rsidRPr="002048A7">
              <w:rPr>
                <w:rFonts w:ascii="Arial" w:eastAsia="Times New Roman" w:hAnsi="Arial" w:cs="Arial"/>
                <w:color w:val="000000"/>
                <w:sz w:val="20"/>
                <w:szCs w:val="20"/>
                <w:lang w:eastAsia="tr-TR"/>
              </w:rPr>
              <w:t>İthalat Lisansı</w:t>
            </w:r>
          </w:p>
        </w:tc>
        <w:tc>
          <w:tcPr>
            <w:tcW w:w="1180" w:type="dxa"/>
            <w:tcBorders>
              <w:top w:val="nil"/>
              <w:left w:val="nil"/>
              <w:bottom w:val="single" w:sz="8" w:space="0" w:color="BFBFBF"/>
              <w:right w:val="single" w:sz="8" w:space="0" w:color="BFBFBF"/>
            </w:tcBorders>
            <w:shd w:val="clear" w:color="auto" w:fill="auto"/>
            <w:vAlign w:val="center"/>
            <w:hideMark/>
          </w:tcPr>
          <w:p w14:paraId="477A6473" w14:textId="77777777" w:rsidR="006E2539" w:rsidRPr="002048A7" w:rsidRDefault="006E6866" w:rsidP="006E2539">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9</w:t>
            </w:r>
          </w:p>
        </w:tc>
        <w:tc>
          <w:tcPr>
            <w:tcW w:w="1200" w:type="dxa"/>
            <w:tcBorders>
              <w:top w:val="nil"/>
              <w:left w:val="nil"/>
              <w:bottom w:val="single" w:sz="8" w:space="0" w:color="BFBFBF"/>
              <w:right w:val="single" w:sz="8" w:space="0" w:color="BFBFBF"/>
            </w:tcBorders>
            <w:shd w:val="clear" w:color="auto" w:fill="auto"/>
            <w:vAlign w:val="center"/>
            <w:hideMark/>
          </w:tcPr>
          <w:p w14:paraId="3D6C5C21" w14:textId="77777777" w:rsidR="006E2539" w:rsidRPr="002048A7" w:rsidRDefault="006E6866" w:rsidP="006E2539">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10</w:t>
            </w:r>
          </w:p>
        </w:tc>
        <w:tc>
          <w:tcPr>
            <w:tcW w:w="1480" w:type="dxa"/>
            <w:tcBorders>
              <w:top w:val="nil"/>
              <w:left w:val="nil"/>
              <w:bottom w:val="single" w:sz="8" w:space="0" w:color="BFBFBF"/>
              <w:right w:val="single" w:sz="8" w:space="0" w:color="BFBFBF"/>
            </w:tcBorders>
            <w:shd w:val="clear" w:color="auto" w:fill="auto"/>
            <w:vAlign w:val="center"/>
            <w:hideMark/>
          </w:tcPr>
          <w:p w14:paraId="01173B5A" w14:textId="77777777" w:rsidR="006E2539" w:rsidRPr="002048A7" w:rsidRDefault="006E6866" w:rsidP="006E2539">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1</w:t>
            </w:r>
          </w:p>
        </w:tc>
        <w:tc>
          <w:tcPr>
            <w:tcW w:w="960" w:type="dxa"/>
            <w:tcBorders>
              <w:top w:val="nil"/>
              <w:left w:val="nil"/>
              <w:bottom w:val="single" w:sz="8" w:space="0" w:color="BFBFBF"/>
              <w:right w:val="single" w:sz="8" w:space="0" w:color="BFBFBF"/>
            </w:tcBorders>
            <w:shd w:val="clear" w:color="auto" w:fill="auto"/>
            <w:vAlign w:val="center"/>
            <w:hideMark/>
          </w:tcPr>
          <w:p w14:paraId="734CAB9B" w14:textId="77777777" w:rsidR="006E2539" w:rsidRPr="002048A7" w:rsidRDefault="006E2539" w:rsidP="006E2539">
            <w:pPr>
              <w:spacing w:after="0" w:line="240" w:lineRule="auto"/>
              <w:jc w:val="right"/>
              <w:rPr>
                <w:rFonts w:ascii="Calibri" w:eastAsia="Times New Roman" w:hAnsi="Calibri" w:cs="Calibri"/>
                <w:color w:val="000000"/>
                <w:lang w:eastAsia="tr-TR"/>
              </w:rPr>
            </w:pPr>
            <w:r w:rsidRPr="002048A7">
              <w:rPr>
                <w:rFonts w:ascii="Calibri" w:eastAsia="Times New Roman" w:hAnsi="Calibri" w:cstheme="minorHAnsi"/>
                <w:color w:val="000000"/>
                <w:lang w:eastAsia="tr-TR"/>
              </w:rPr>
              <w:t>0</w:t>
            </w:r>
          </w:p>
        </w:tc>
        <w:tc>
          <w:tcPr>
            <w:tcW w:w="960" w:type="dxa"/>
            <w:tcBorders>
              <w:top w:val="nil"/>
              <w:left w:val="nil"/>
              <w:bottom w:val="single" w:sz="8" w:space="0" w:color="BFBFBF"/>
              <w:right w:val="single" w:sz="8" w:space="0" w:color="BFBFBF"/>
            </w:tcBorders>
            <w:shd w:val="clear" w:color="auto" w:fill="auto"/>
            <w:vAlign w:val="center"/>
            <w:hideMark/>
          </w:tcPr>
          <w:p w14:paraId="5F605730" w14:textId="77777777" w:rsidR="006E2539" w:rsidRPr="002048A7" w:rsidRDefault="006E6866" w:rsidP="006E2539">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2</w:t>
            </w:r>
          </w:p>
        </w:tc>
        <w:tc>
          <w:tcPr>
            <w:tcW w:w="960" w:type="dxa"/>
            <w:tcBorders>
              <w:top w:val="nil"/>
              <w:left w:val="nil"/>
              <w:bottom w:val="single" w:sz="8" w:space="0" w:color="BFBFBF"/>
              <w:right w:val="single" w:sz="8" w:space="0" w:color="BFBFBF"/>
            </w:tcBorders>
            <w:shd w:val="clear" w:color="auto" w:fill="auto"/>
            <w:vAlign w:val="center"/>
            <w:hideMark/>
          </w:tcPr>
          <w:p w14:paraId="0DFDB7D0" w14:textId="77777777" w:rsidR="006E2539" w:rsidRPr="002048A7" w:rsidRDefault="006E6866" w:rsidP="006E2539">
            <w:pPr>
              <w:spacing w:after="0" w:line="240" w:lineRule="auto"/>
              <w:jc w:val="right"/>
              <w:rPr>
                <w:rFonts w:ascii="Calibri" w:eastAsia="Times New Roman" w:hAnsi="Calibri" w:cs="Calibri"/>
                <w:color w:val="000000"/>
                <w:lang w:eastAsia="tr-TR"/>
              </w:rPr>
            </w:pPr>
            <w:r>
              <w:rPr>
                <w:rFonts w:ascii="Calibri" w:eastAsia="Times New Roman" w:hAnsi="Calibri" w:cstheme="minorHAnsi"/>
                <w:color w:val="000000"/>
                <w:lang w:eastAsia="tr-TR"/>
              </w:rPr>
              <w:t>22</w:t>
            </w:r>
          </w:p>
        </w:tc>
        <w:tc>
          <w:tcPr>
            <w:tcW w:w="1240" w:type="dxa"/>
            <w:tcBorders>
              <w:top w:val="nil"/>
              <w:left w:val="nil"/>
              <w:bottom w:val="single" w:sz="8" w:space="0" w:color="BFBFBF"/>
              <w:right w:val="single" w:sz="8" w:space="0" w:color="BFBFBF"/>
            </w:tcBorders>
            <w:shd w:val="clear" w:color="auto" w:fill="auto"/>
            <w:vAlign w:val="center"/>
            <w:hideMark/>
          </w:tcPr>
          <w:p w14:paraId="59816534" w14:textId="77777777" w:rsidR="006E2539" w:rsidRPr="002048A7" w:rsidRDefault="006E6866" w:rsidP="006E2539">
            <w:pPr>
              <w:spacing w:after="0" w:line="240" w:lineRule="auto"/>
              <w:jc w:val="right"/>
              <w:rPr>
                <w:rFonts w:ascii="Calibri" w:eastAsia="Times New Roman" w:hAnsi="Calibri" w:cs="Calibri"/>
                <w:b/>
                <w:bCs/>
                <w:color w:val="000000"/>
                <w:lang w:eastAsia="tr-TR"/>
              </w:rPr>
            </w:pPr>
            <w:r>
              <w:rPr>
                <w:rFonts w:ascii="Calibri" w:eastAsia="Times New Roman" w:hAnsi="Calibri" w:cs="Calibri"/>
                <w:b/>
                <w:bCs/>
                <w:color w:val="000000"/>
                <w:lang w:eastAsia="tr-TR"/>
              </w:rPr>
              <w:t>93</w:t>
            </w:r>
          </w:p>
        </w:tc>
      </w:tr>
      <w:tr w:rsidR="006E2539" w:rsidRPr="002048A7" w14:paraId="47FB84DA" w14:textId="77777777" w:rsidTr="006E2539">
        <w:trPr>
          <w:trHeight w:val="540"/>
        </w:trPr>
        <w:tc>
          <w:tcPr>
            <w:tcW w:w="2140" w:type="dxa"/>
            <w:tcBorders>
              <w:top w:val="nil"/>
              <w:left w:val="single" w:sz="8" w:space="0" w:color="BFBFBF"/>
              <w:bottom w:val="single" w:sz="8" w:space="0" w:color="BFBFBF"/>
              <w:right w:val="single" w:sz="8" w:space="0" w:color="BFBFBF"/>
            </w:tcBorders>
            <w:shd w:val="clear" w:color="auto" w:fill="auto"/>
            <w:vAlign w:val="center"/>
            <w:hideMark/>
          </w:tcPr>
          <w:p w14:paraId="2A4F4270" w14:textId="77777777" w:rsidR="006E2539" w:rsidRPr="002048A7" w:rsidRDefault="006E2539" w:rsidP="006E2539">
            <w:pPr>
              <w:spacing w:after="0" w:line="240" w:lineRule="auto"/>
              <w:jc w:val="left"/>
              <w:rPr>
                <w:rFonts w:ascii="Arial" w:eastAsia="Times New Roman" w:hAnsi="Arial" w:cs="Arial"/>
                <w:color w:val="000000"/>
                <w:sz w:val="20"/>
                <w:szCs w:val="20"/>
                <w:lang w:eastAsia="tr-TR"/>
              </w:rPr>
            </w:pPr>
            <w:r w:rsidRPr="002048A7">
              <w:rPr>
                <w:rFonts w:ascii="Arial" w:eastAsia="Times New Roman" w:hAnsi="Arial" w:cs="Arial"/>
                <w:color w:val="000000"/>
                <w:sz w:val="20"/>
                <w:szCs w:val="20"/>
                <w:lang w:eastAsia="tr-TR"/>
              </w:rPr>
              <w:t>Sıkıştırılmış Doğalgaz Lisansı*</w:t>
            </w:r>
          </w:p>
        </w:tc>
        <w:tc>
          <w:tcPr>
            <w:tcW w:w="1180" w:type="dxa"/>
            <w:tcBorders>
              <w:top w:val="nil"/>
              <w:left w:val="nil"/>
              <w:bottom w:val="single" w:sz="8" w:space="0" w:color="BFBFBF"/>
              <w:right w:val="single" w:sz="8" w:space="0" w:color="BFBFBF"/>
            </w:tcBorders>
            <w:shd w:val="clear" w:color="auto" w:fill="auto"/>
            <w:vAlign w:val="center"/>
            <w:hideMark/>
          </w:tcPr>
          <w:p w14:paraId="3DB47C02" w14:textId="77777777" w:rsidR="006E2539" w:rsidRPr="002048A7" w:rsidRDefault="006E6866" w:rsidP="006E2539">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1</w:t>
            </w:r>
          </w:p>
        </w:tc>
        <w:tc>
          <w:tcPr>
            <w:tcW w:w="1200" w:type="dxa"/>
            <w:tcBorders>
              <w:top w:val="nil"/>
              <w:left w:val="nil"/>
              <w:bottom w:val="single" w:sz="8" w:space="0" w:color="BFBFBF"/>
              <w:right w:val="single" w:sz="8" w:space="0" w:color="BFBFBF"/>
            </w:tcBorders>
            <w:shd w:val="clear" w:color="auto" w:fill="auto"/>
            <w:vAlign w:val="center"/>
            <w:hideMark/>
          </w:tcPr>
          <w:p w14:paraId="500630D7" w14:textId="77777777" w:rsidR="006E2539" w:rsidRPr="002048A7" w:rsidRDefault="006E6866" w:rsidP="006E2539">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1</w:t>
            </w:r>
          </w:p>
        </w:tc>
        <w:tc>
          <w:tcPr>
            <w:tcW w:w="1480" w:type="dxa"/>
            <w:tcBorders>
              <w:top w:val="nil"/>
              <w:left w:val="nil"/>
              <w:bottom w:val="single" w:sz="8" w:space="0" w:color="BFBFBF"/>
              <w:right w:val="single" w:sz="8" w:space="0" w:color="BFBFBF"/>
            </w:tcBorders>
            <w:shd w:val="clear" w:color="auto" w:fill="auto"/>
            <w:vAlign w:val="center"/>
            <w:hideMark/>
          </w:tcPr>
          <w:p w14:paraId="188C9953" w14:textId="77777777" w:rsidR="006E2539" w:rsidRPr="002048A7" w:rsidRDefault="006E6866" w:rsidP="006E2539">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6</w:t>
            </w:r>
          </w:p>
        </w:tc>
        <w:tc>
          <w:tcPr>
            <w:tcW w:w="960" w:type="dxa"/>
            <w:tcBorders>
              <w:top w:val="nil"/>
              <w:left w:val="nil"/>
              <w:bottom w:val="single" w:sz="8" w:space="0" w:color="BFBFBF"/>
              <w:right w:val="single" w:sz="8" w:space="0" w:color="BFBFBF"/>
            </w:tcBorders>
            <w:shd w:val="clear" w:color="auto" w:fill="auto"/>
            <w:vAlign w:val="center"/>
            <w:hideMark/>
          </w:tcPr>
          <w:p w14:paraId="64E2CA3C" w14:textId="77777777" w:rsidR="006E2539" w:rsidRPr="002048A7" w:rsidRDefault="006E6866" w:rsidP="006E2539">
            <w:pPr>
              <w:spacing w:after="0" w:line="240" w:lineRule="auto"/>
              <w:jc w:val="right"/>
              <w:rPr>
                <w:rFonts w:ascii="Calibri" w:eastAsia="Times New Roman" w:hAnsi="Calibri" w:cs="Calibri"/>
                <w:color w:val="000000"/>
                <w:lang w:eastAsia="tr-TR"/>
              </w:rPr>
            </w:pPr>
            <w:r>
              <w:rPr>
                <w:rFonts w:ascii="Calibri" w:eastAsia="Times New Roman" w:hAnsi="Calibri" w:cstheme="minorHAnsi"/>
                <w:color w:val="000000"/>
                <w:lang w:eastAsia="tr-TR"/>
              </w:rPr>
              <w:t>1</w:t>
            </w:r>
          </w:p>
        </w:tc>
        <w:tc>
          <w:tcPr>
            <w:tcW w:w="960" w:type="dxa"/>
            <w:tcBorders>
              <w:top w:val="nil"/>
              <w:left w:val="nil"/>
              <w:bottom w:val="single" w:sz="8" w:space="0" w:color="BFBFBF"/>
              <w:right w:val="single" w:sz="8" w:space="0" w:color="BFBFBF"/>
            </w:tcBorders>
            <w:shd w:val="clear" w:color="auto" w:fill="auto"/>
            <w:vAlign w:val="center"/>
            <w:hideMark/>
          </w:tcPr>
          <w:p w14:paraId="6B754BC4" w14:textId="77777777" w:rsidR="006E2539" w:rsidRPr="002048A7" w:rsidRDefault="006E6866" w:rsidP="006E2539">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4</w:t>
            </w:r>
          </w:p>
        </w:tc>
        <w:tc>
          <w:tcPr>
            <w:tcW w:w="960" w:type="dxa"/>
            <w:tcBorders>
              <w:top w:val="nil"/>
              <w:left w:val="nil"/>
              <w:bottom w:val="single" w:sz="8" w:space="0" w:color="BFBFBF"/>
              <w:right w:val="single" w:sz="8" w:space="0" w:color="BFBFBF"/>
            </w:tcBorders>
            <w:shd w:val="clear" w:color="auto" w:fill="auto"/>
            <w:vAlign w:val="center"/>
            <w:hideMark/>
          </w:tcPr>
          <w:p w14:paraId="0DE89498" w14:textId="77777777" w:rsidR="006E2539" w:rsidRPr="002048A7" w:rsidRDefault="006E6866" w:rsidP="006E2539">
            <w:pPr>
              <w:spacing w:after="0" w:line="240" w:lineRule="auto"/>
              <w:jc w:val="right"/>
              <w:rPr>
                <w:rFonts w:ascii="Calibri" w:eastAsia="Times New Roman" w:hAnsi="Calibri" w:cs="Calibri"/>
                <w:color w:val="000000"/>
                <w:lang w:eastAsia="tr-TR"/>
              </w:rPr>
            </w:pPr>
            <w:r>
              <w:rPr>
                <w:rFonts w:ascii="Calibri" w:eastAsia="Times New Roman" w:hAnsi="Calibri" w:cstheme="minorHAnsi"/>
                <w:color w:val="000000"/>
                <w:lang w:eastAsia="tr-TR"/>
              </w:rPr>
              <w:t>13</w:t>
            </w:r>
          </w:p>
        </w:tc>
        <w:tc>
          <w:tcPr>
            <w:tcW w:w="1240" w:type="dxa"/>
            <w:tcBorders>
              <w:top w:val="nil"/>
              <w:left w:val="nil"/>
              <w:bottom w:val="single" w:sz="8" w:space="0" w:color="BFBFBF"/>
              <w:right w:val="single" w:sz="8" w:space="0" w:color="BFBFBF"/>
            </w:tcBorders>
            <w:shd w:val="clear" w:color="auto" w:fill="auto"/>
            <w:vAlign w:val="center"/>
            <w:hideMark/>
          </w:tcPr>
          <w:p w14:paraId="2E993E65" w14:textId="77777777" w:rsidR="006E2539" w:rsidRPr="002048A7" w:rsidRDefault="006E6866" w:rsidP="006E2539">
            <w:pPr>
              <w:spacing w:after="0" w:line="240" w:lineRule="auto"/>
              <w:jc w:val="right"/>
              <w:rPr>
                <w:rFonts w:ascii="Calibri" w:eastAsia="Times New Roman" w:hAnsi="Calibri" w:cs="Calibri"/>
                <w:b/>
                <w:bCs/>
                <w:color w:val="000000"/>
                <w:lang w:eastAsia="tr-TR"/>
              </w:rPr>
            </w:pPr>
            <w:r>
              <w:rPr>
                <w:rFonts w:ascii="Calibri" w:eastAsia="Times New Roman" w:hAnsi="Calibri" w:cs="Calibri"/>
                <w:b/>
                <w:bCs/>
                <w:color w:val="000000"/>
                <w:lang w:eastAsia="tr-TR"/>
              </w:rPr>
              <w:t>88</w:t>
            </w:r>
          </w:p>
        </w:tc>
      </w:tr>
      <w:tr w:rsidR="006E2539" w:rsidRPr="002048A7" w14:paraId="1349D6BB" w14:textId="77777777" w:rsidTr="006E2539">
        <w:trPr>
          <w:trHeight w:val="300"/>
        </w:trPr>
        <w:tc>
          <w:tcPr>
            <w:tcW w:w="2140" w:type="dxa"/>
            <w:tcBorders>
              <w:top w:val="nil"/>
              <w:left w:val="single" w:sz="8" w:space="0" w:color="BFBFBF"/>
              <w:bottom w:val="single" w:sz="8" w:space="0" w:color="BFBFBF"/>
              <w:right w:val="single" w:sz="8" w:space="0" w:color="BFBFBF"/>
            </w:tcBorders>
            <w:shd w:val="clear" w:color="auto" w:fill="auto"/>
            <w:vAlign w:val="center"/>
            <w:hideMark/>
          </w:tcPr>
          <w:p w14:paraId="17248912" w14:textId="77777777" w:rsidR="006E2539" w:rsidRPr="002048A7" w:rsidRDefault="006E2539" w:rsidP="006E2539">
            <w:pPr>
              <w:spacing w:after="0" w:line="240" w:lineRule="auto"/>
              <w:rPr>
                <w:rFonts w:ascii="Arial" w:eastAsia="Times New Roman" w:hAnsi="Arial" w:cs="Arial"/>
                <w:color w:val="000000"/>
                <w:sz w:val="20"/>
                <w:szCs w:val="20"/>
                <w:lang w:eastAsia="tr-TR"/>
              </w:rPr>
            </w:pPr>
            <w:r w:rsidRPr="002048A7">
              <w:rPr>
                <w:rFonts w:ascii="Arial" w:eastAsia="Times New Roman" w:hAnsi="Arial" w:cs="Arial"/>
                <w:color w:val="000000"/>
                <w:sz w:val="20"/>
                <w:szCs w:val="20"/>
                <w:lang w:eastAsia="tr-TR"/>
              </w:rPr>
              <w:t>Toptan Satış Lisansı**</w:t>
            </w:r>
          </w:p>
        </w:tc>
        <w:tc>
          <w:tcPr>
            <w:tcW w:w="1180" w:type="dxa"/>
            <w:tcBorders>
              <w:top w:val="nil"/>
              <w:left w:val="nil"/>
              <w:bottom w:val="single" w:sz="8" w:space="0" w:color="BFBFBF"/>
              <w:right w:val="single" w:sz="8" w:space="0" w:color="BFBFBF"/>
            </w:tcBorders>
            <w:shd w:val="clear" w:color="auto" w:fill="auto"/>
            <w:vAlign w:val="center"/>
            <w:hideMark/>
          </w:tcPr>
          <w:p w14:paraId="6FAB4443" w14:textId="77777777" w:rsidR="006E2539" w:rsidRPr="002048A7" w:rsidRDefault="008D359A" w:rsidP="006E2539">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3</w:t>
            </w:r>
          </w:p>
        </w:tc>
        <w:tc>
          <w:tcPr>
            <w:tcW w:w="1200" w:type="dxa"/>
            <w:tcBorders>
              <w:top w:val="nil"/>
              <w:left w:val="nil"/>
              <w:bottom w:val="single" w:sz="8" w:space="0" w:color="BFBFBF"/>
              <w:right w:val="single" w:sz="8" w:space="0" w:color="BFBFBF"/>
            </w:tcBorders>
            <w:shd w:val="clear" w:color="auto" w:fill="auto"/>
            <w:vAlign w:val="center"/>
            <w:hideMark/>
          </w:tcPr>
          <w:p w14:paraId="1866BE8B" w14:textId="77777777" w:rsidR="006E2539" w:rsidRPr="002048A7" w:rsidRDefault="008D359A" w:rsidP="006E2539">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3</w:t>
            </w:r>
          </w:p>
        </w:tc>
        <w:tc>
          <w:tcPr>
            <w:tcW w:w="1480" w:type="dxa"/>
            <w:tcBorders>
              <w:top w:val="nil"/>
              <w:left w:val="nil"/>
              <w:bottom w:val="single" w:sz="8" w:space="0" w:color="BFBFBF"/>
              <w:right w:val="single" w:sz="8" w:space="0" w:color="BFBFBF"/>
            </w:tcBorders>
            <w:shd w:val="clear" w:color="auto" w:fill="auto"/>
            <w:vAlign w:val="center"/>
            <w:hideMark/>
          </w:tcPr>
          <w:p w14:paraId="38A8AC3E" w14:textId="77777777" w:rsidR="006E2539" w:rsidRPr="002048A7" w:rsidRDefault="008D359A" w:rsidP="006E2539">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1</w:t>
            </w:r>
          </w:p>
        </w:tc>
        <w:tc>
          <w:tcPr>
            <w:tcW w:w="960" w:type="dxa"/>
            <w:tcBorders>
              <w:top w:val="nil"/>
              <w:left w:val="nil"/>
              <w:bottom w:val="single" w:sz="8" w:space="0" w:color="BFBFBF"/>
              <w:right w:val="single" w:sz="8" w:space="0" w:color="BFBFBF"/>
            </w:tcBorders>
            <w:shd w:val="clear" w:color="auto" w:fill="auto"/>
            <w:vAlign w:val="center"/>
            <w:hideMark/>
          </w:tcPr>
          <w:p w14:paraId="39E4A6E2" w14:textId="77777777" w:rsidR="006E2539" w:rsidRPr="002048A7" w:rsidRDefault="006E2539" w:rsidP="006E2539">
            <w:pPr>
              <w:spacing w:after="0" w:line="240" w:lineRule="auto"/>
              <w:jc w:val="right"/>
              <w:rPr>
                <w:rFonts w:ascii="Calibri" w:eastAsia="Times New Roman" w:hAnsi="Calibri" w:cs="Calibri"/>
                <w:color w:val="000000"/>
                <w:lang w:eastAsia="tr-TR"/>
              </w:rPr>
            </w:pPr>
            <w:r w:rsidRPr="002048A7">
              <w:rPr>
                <w:rFonts w:ascii="Calibri" w:eastAsia="Times New Roman" w:hAnsi="Calibri" w:cstheme="minorHAnsi"/>
                <w:color w:val="000000"/>
                <w:lang w:eastAsia="tr-TR"/>
              </w:rPr>
              <w:t>0</w:t>
            </w:r>
          </w:p>
        </w:tc>
        <w:tc>
          <w:tcPr>
            <w:tcW w:w="960" w:type="dxa"/>
            <w:tcBorders>
              <w:top w:val="nil"/>
              <w:left w:val="nil"/>
              <w:bottom w:val="single" w:sz="8" w:space="0" w:color="BFBFBF"/>
              <w:right w:val="single" w:sz="8" w:space="0" w:color="BFBFBF"/>
            </w:tcBorders>
            <w:shd w:val="clear" w:color="auto" w:fill="auto"/>
            <w:vAlign w:val="center"/>
            <w:hideMark/>
          </w:tcPr>
          <w:p w14:paraId="13E2F635" w14:textId="77777777" w:rsidR="006E2539" w:rsidRPr="002048A7" w:rsidRDefault="008D359A" w:rsidP="006E2539">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960" w:type="dxa"/>
            <w:tcBorders>
              <w:top w:val="nil"/>
              <w:left w:val="nil"/>
              <w:bottom w:val="single" w:sz="8" w:space="0" w:color="BFBFBF"/>
              <w:right w:val="single" w:sz="8" w:space="0" w:color="BFBFBF"/>
            </w:tcBorders>
            <w:shd w:val="clear" w:color="auto" w:fill="auto"/>
            <w:vAlign w:val="center"/>
            <w:hideMark/>
          </w:tcPr>
          <w:p w14:paraId="050C1B63" w14:textId="77777777" w:rsidR="006E2539" w:rsidRPr="002048A7" w:rsidRDefault="008D359A" w:rsidP="006E2539">
            <w:pPr>
              <w:spacing w:after="0" w:line="240" w:lineRule="auto"/>
              <w:jc w:val="right"/>
              <w:rPr>
                <w:rFonts w:ascii="Calibri" w:eastAsia="Times New Roman" w:hAnsi="Calibri" w:cs="Calibri"/>
                <w:color w:val="000000"/>
                <w:lang w:eastAsia="tr-TR"/>
              </w:rPr>
            </w:pPr>
            <w:r>
              <w:rPr>
                <w:rFonts w:ascii="Calibri" w:eastAsia="Times New Roman" w:hAnsi="Calibri" w:cstheme="minorHAnsi"/>
                <w:color w:val="000000"/>
                <w:lang w:eastAsia="tr-TR"/>
              </w:rPr>
              <w:t>7</w:t>
            </w:r>
          </w:p>
        </w:tc>
        <w:tc>
          <w:tcPr>
            <w:tcW w:w="1240" w:type="dxa"/>
            <w:tcBorders>
              <w:top w:val="nil"/>
              <w:left w:val="nil"/>
              <w:bottom w:val="single" w:sz="8" w:space="0" w:color="BFBFBF"/>
              <w:right w:val="single" w:sz="8" w:space="0" w:color="BFBFBF"/>
            </w:tcBorders>
            <w:shd w:val="clear" w:color="auto" w:fill="auto"/>
            <w:vAlign w:val="center"/>
            <w:hideMark/>
          </w:tcPr>
          <w:p w14:paraId="3C83470F" w14:textId="77777777" w:rsidR="006E2539" w:rsidRPr="002048A7" w:rsidRDefault="008D359A" w:rsidP="006E2539">
            <w:pPr>
              <w:spacing w:after="0" w:line="240" w:lineRule="auto"/>
              <w:jc w:val="right"/>
              <w:rPr>
                <w:rFonts w:ascii="Calibri" w:eastAsia="Times New Roman" w:hAnsi="Calibri" w:cs="Calibri"/>
                <w:b/>
                <w:bCs/>
                <w:color w:val="000000"/>
                <w:lang w:eastAsia="tr-TR"/>
              </w:rPr>
            </w:pPr>
            <w:r>
              <w:rPr>
                <w:rFonts w:ascii="Calibri" w:eastAsia="Times New Roman" w:hAnsi="Calibri" w:cs="Calibri"/>
                <w:b/>
                <w:bCs/>
                <w:color w:val="000000"/>
                <w:lang w:eastAsia="tr-TR"/>
              </w:rPr>
              <w:t>54</w:t>
            </w:r>
          </w:p>
        </w:tc>
      </w:tr>
      <w:tr w:rsidR="006E2539" w:rsidRPr="002048A7" w14:paraId="1F052AC3" w14:textId="77777777" w:rsidTr="006E2539">
        <w:trPr>
          <w:trHeight w:val="300"/>
        </w:trPr>
        <w:tc>
          <w:tcPr>
            <w:tcW w:w="2140" w:type="dxa"/>
            <w:tcBorders>
              <w:top w:val="nil"/>
              <w:left w:val="single" w:sz="8" w:space="0" w:color="BFBFBF"/>
              <w:bottom w:val="single" w:sz="8" w:space="0" w:color="BFBFBF"/>
              <w:right w:val="single" w:sz="8" w:space="0" w:color="BFBFBF"/>
            </w:tcBorders>
            <w:shd w:val="clear" w:color="auto" w:fill="auto"/>
            <w:vAlign w:val="center"/>
            <w:hideMark/>
          </w:tcPr>
          <w:p w14:paraId="12BF73F7" w14:textId="77777777" w:rsidR="006E2539" w:rsidRPr="002048A7" w:rsidRDefault="006E2539" w:rsidP="006E2539">
            <w:pPr>
              <w:spacing w:after="0" w:line="240" w:lineRule="auto"/>
              <w:rPr>
                <w:rFonts w:ascii="Arial" w:eastAsia="Times New Roman" w:hAnsi="Arial" w:cs="Arial"/>
                <w:b/>
                <w:bCs/>
                <w:color w:val="000000"/>
                <w:sz w:val="20"/>
                <w:szCs w:val="20"/>
                <w:lang w:eastAsia="tr-TR"/>
              </w:rPr>
            </w:pPr>
            <w:r w:rsidRPr="002048A7">
              <w:rPr>
                <w:rFonts w:ascii="Arial" w:eastAsia="Times New Roman" w:hAnsi="Arial" w:cs="Arial"/>
                <w:b/>
                <w:bCs/>
                <w:color w:val="000000"/>
                <w:sz w:val="20"/>
                <w:szCs w:val="20"/>
                <w:lang w:eastAsia="tr-TR"/>
              </w:rPr>
              <w:lastRenderedPageBreak/>
              <w:t>Toplam</w:t>
            </w:r>
          </w:p>
        </w:tc>
        <w:tc>
          <w:tcPr>
            <w:tcW w:w="1180" w:type="dxa"/>
            <w:tcBorders>
              <w:top w:val="nil"/>
              <w:left w:val="nil"/>
              <w:bottom w:val="single" w:sz="8" w:space="0" w:color="BFBFBF"/>
              <w:right w:val="single" w:sz="8" w:space="0" w:color="BFBFBF"/>
            </w:tcBorders>
            <w:shd w:val="clear" w:color="auto" w:fill="auto"/>
            <w:vAlign w:val="center"/>
            <w:hideMark/>
          </w:tcPr>
          <w:p w14:paraId="55D08EC4" w14:textId="77777777" w:rsidR="006E2539" w:rsidRPr="002048A7" w:rsidRDefault="008D359A" w:rsidP="006E2539">
            <w:pPr>
              <w:spacing w:after="0" w:line="240" w:lineRule="auto"/>
              <w:jc w:val="right"/>
              <w:rPr>
                <w:rFonts w:ascii="Calibri" w:eastAsia="Times New Roman" w:hAnsi="Calibri" w:cs="Calibri"/>
                <w:b/>
                <w:bCs/>
                <w:color w:val="000000"/>
                <w:lang w:eastAsia="tr-TR"/>
              </w:rPr>
            </w:pPr>
            <w:r>
              <w:rPr>
                <w:rFonts w:ascii="Calibri" w:eastAsia="Times New Roman" w:hAnsi="Calibri" w:cs="Calibri"/>
                <w:b/>
                <w:bCs/>
                <w:color w:val="000000"/>
                <w:lang w:eastAsia="tr-TR"/>
              </w:rPr>
              <w:t>26</w:t>
            </w:r>
          </w:p>
        </w:tc>
        <w:tc>
          <w:tcPr>
            <w:tcW w:w="1200" w:type="dxa"/>
            <w:tcBorders>
              <w:top w:val="nil"/>
              <w:left w:val="nil"/>
              <w:bottom w:val="single" w:sz="8" w:space="0" w:color="BFBFBF"/>
              <w:right w:val="single" w:sz="8" w:space="0" w:color="BFBFBF"/>
            </w:tcBorders>
            <w:shd w:val="clear" w:color="auto" w:fill="auto"/>
            <w:vAlign w:val="center"/>
            <w:hideMark/>
          </w:tcPr>
          <w:p w14:paraId="3D01CC58" w14:textId="77777777" w:rsidR="006E2539" w:rsidRPr="002048A7" w:rsidRDefault="008D359A" w:rsidP="006E2539">
            <w:pPr>
              <w:spacing w:after="0" w:line="240" w:lineRule="auto"/>
              <w:jc w:val="right"/>
              <w:rPr>
                <w:rFonts w:ascii="Calibri" w:eastAsia="Times New Roman" w:hAnsi="Calibri" w:cs="Calibri"/>
                <w:b/>
                <w:bCs/>
                <w:color w:val="000000"/>
                <w:lang w:eastAsia="tr-TR"/>
              </w:rPr>
            </w:pPr>
            <w:r>
              <w:rPr>
                <w:rFonts w:ascii="Calibri" w:eastAsia="Times New Roman" w:hAnsi="Calibri" w:cs="Calibri"/>
                <w:b/>
                <w:bCs/>
                <w:color w:val="000000"/>
                <w:lang w:eastAsia="tr-TR"/>
              </w:rPr>
              <w:t>30</w:t>
            </w:r>
          </w:p>
        </w:tc>
        <w:tc>
          <w:tcPr>
            <w:tcW w:w="1480" w:type="dxa"/>
            <w:tcBorders>
              <w:top w:val="nil"/>
              <w:left w:val="nil"/>
              <w:bottom w:val="single" w:sz="8" w:space="0" w:color="BFBFBF"/>
              <w:right w:val="single" w:sz="8" w:space="0" w:color="BFBFBF"/>
            </w:tcBorders>
            <w:shd w:val="clear" w:color="auto" w:fill="auto"/>
            <w:vAlign w:val="center"/>
            <w:hideMark/>
          </w:tcPr>
          <w:p w14:paraId="09092F54" w14:textId="77777777" w:rsidR="006E2539" w:rsidRPr="002048A7" w:rsidRDefault="008D359A" w:rsidP="006E2539">
            <w:pPr>
              <w:spacing w:after="0" w:line="240" w:lineRule="auto"/>
              <w:jc w:val="right"/>
              <w:rPr>
                <w:rFonts w:ascii="Calibri" w:eastAsia="Times New Roman" w:hAnsi="Calibri" w:cs="Calibri"/>
                <w:b/>
                <w:bCs/>
                <w:color w:val="000000"/>
                <w:lang w:eastAsia="tr-TR"/>
              </w:rPr>
            </w:pPr>
            <w:r>
              <w:rPr>
                <w:rFonts w:ascii="Calibri" w:eastAsia="Times New Roman" w:hAnsi="Calibri" w:cs="Calibri"/>
                <w:b/>
                <w:bCs/>
                <w:color w:val="000000"/>
                <w:lang w:eastAsia="tr-TR"/>
              </w:rPr>
              <w:t>11</w:t>
            </w:r>
          </w:p>
        </w:tc>
        <w:tc>
          <w:tcPr>
            <w:tcW w:w="960" w:type="dxa"/>
            <w:tcBorders>
              <w:top w:val="nil"/>
              <w:left w:val="nil"/>
              <w:bottom w:val="single" w:sz="8" w:space="0" w:color="BFBFBF"/>
              <w:right w:val="single" w:sz="8" w:space="0" w:color="BFBFBF"/>
            </w:tcBorders>
            <w:shd w:val="clear" w:color="auto" w:fill="auto"/>
            <w:vAlign w:val="center"/>
            <w:hideMark/>
          </w:tcPr>
          <w:p w14:paraId="40695772" w14:textId="77777777" w:rsidR="006E2539" w:rsidRPr="002048A7" w:rsidRDefault="008D359A" w:rsidP="006E2539">
            <w:pPr>
              <w:spacing w:after="0" w:line="240" w:lineRule="auto"/>
              <w:jc w:val="right"/>
              <w:rPr>
                <w:rFonts w:ascii="Calibri" w:eastAsia="Times New Roman" w:hAnsi="Calibri" w:cs="Calibri"/>
                <w:b/>
                <w:bCs/>
                <w:color w:val="000000"/>
                <w:lang w:eastAsia="tr-TR"/>
              </w:rPr>
            </w:pPr>
            <w:r>
              <w:rPr>
                <w:rFonts w:ascii="Calibri" w:eastAsia="Times New Roman" w:hAnsi="Calibri" w:cs="Calibri"/>
                <w:b/>
                <w:bCs/>
                <w:color w:val="000000"/>
                <w:lang w:eastAsia="tr-TR"/>
              </w:rPr>
              <w:t>4</w:t>
            </w:r>
          </w:p>
        </w:tc>
        <w:tc>
          <w:tcPr>
            <w:tcW w:w="960" w:type="dxa"/>
            <w:tcBorders>
              <w:top w:val="nil"/>
              <w:left w:val="nil"/>
              <w:bottom w:val="single" w:sz="8" w:space="0" w:color="BFBFBF"/>
              <w:right w:val="single" w:sz="8" w:space="0" w:color="BFBFBF"/>
            </w:tcBorders>
            <w:shd w:val="clear" w:color="auto" w:fill="auto"/>
            <w:vAlign w:val="center"/>
            <w:hideMark/>
          </w:tcPr>
          <w:p w14:paraId="244C9784" w14:textId="77777777" w:rsidR="006E2539" w:rsidRPr="002048A7" w:rsidRDefault="008D359A" w:rsidP="006E2539">
            <w:pPr>
              <w:spacing w:after="0" w:line="240" w:lineRule="auto"/>
              <w:jc w:val="right"/>
              <w:rPr>
                <w:rFonts w:ascii="Calibri" w:eastAsia="Times New Roman" w:hAnsi="Calibri" w:cs="Calibri"/>
                <w:b/>
                <w:bCs/>
                <w:color w:val="000000"/>
                <w:lang w:eastAsia="tr-TR"/>
              </w:rPr>
            </w:pPr>
            <w:r>
              <w:rPr>
                <w:rFonts w:ascii="Calibri" w:eastAsia="Times New Roman" w:hAnsi="Calibri" w:cs="Calibri"/>
                <w:b/>
                <w:bCs/>
                <w:color w:val="000000"/>
                <w:lang w:eastAsia="tr-TR"/>
              </w:rPr>
              <w:t>35</w:t>
            </w:r>
          </w:p>
        </w:tc>
        <w:tc>
          <w:tcPr>
            <w:tcW w:w="960" w:type="dxa"/>
            <w:tcBorders>
              <w:top w:val="nil"/>
              <w:left w:val="nil"/>
              <w:bottom w:val="single" w:sz="8" w:space="0" w:color="BFBFBF"/>
              <w:right w:val="single" w:sz="8" w:space="0" w:color="BFBFBF"/>
            </w:tcBorders>
            <w:shd w:val="clear" w:color="auto" w:fill="auto"/>
            <w:vAlign w:val="center"/>
            <w:hideMark/>
          </w:tcPr>
          <w:p w14:paraId="295D7A65" w14:textId="77777777" w:rsidR="006E2539" w:rsidRPr="002048A7" w:rsidRDefault="008D359A" w:rsidP="006E2539">
            <w:pPr>
              <w:spacing w:after="0" w:line="240" w:lineRule="auto"/>
              <w:jc w:val="right"/>
              <w:rPr>
                <w:rFonts w:ascii="Calibri" w:eastAsia="Times New Roman" w:hAnsi="Calibri" w:cs="Calibri"/>
                <w:b/>
                <w:bCs/>
                <w:color w:val="000000"/>
                <w:lang w:eastAsia="tr-TR"/>
              </w:rPr>
            </w:pPr>
            <w:r>
              <w:rPr>
                <w:rFonts w:ascii="Calibri" w:eastAsia="Times New Roman" w:hAnsi="Calibri" w:cstheme="minorHAnsi"/>
                <w:b/>
                <w:bCs/>
                <w:color w:val="000000"/>
                <w:lang w:eastAsia="tr-TR"/>
              </w:rPr>
              <w:t>106</w:t>
            </w:r>
          </w:p>
        </w:tc>
        <w:tc>
          <w:tcPr>
            <w:tcW w:w="1240" w:type="dxa"/>
            <w:tcBorders>
              <w:top w:val="nil"/>
              <w:left w:val="nil"/>
              <w:bottom w:val="single" w:sz="8" w:space="0" w:color="BFBFBF"/>
              <w:right w:val="single" w:sz="8" w:space="0" w:color="BFBFBF"/>
            </w:tcBorders>
            <w:shd w:val="clear" w:color="auto" w:fill="auto"/>
            <w:vAlign w:val="center"/>
            <w:hideMark/>
          </w:tcPr>
          <w:p w14:paraId="022D4D8F" w14:textId="77777777" w:rsidR="006E2539" w:rsidRPr="002048A7" w:rsidRDefault="008D359A" w:rsidP="006E2539">
            <w:pPr>
              <w:spacing w:after="0" w:line="240" w:lineRule="auto"/>
              <w:jc w:val="right"/>
              <w:rPr>
                <w:rFonts w:ascii="Calibri" w:eastAsia="Times New Roman" w:hAnsi="Calibri" w:cs="Calibri"/>
                <w:b/>
                <w:bCs/>
                <w:color w:val="000000"/>
                <w:lang w:eastAsia="tr-TR"/>
              </w:rPr>
            </w:pPr>
            <w:r>
              <w:rPr>
                <w:rFonts w:ascii="Calibri" w:eastAsia="Times New Roman" w:hAnsi="Calibri" w:cs="Calibri"/>
                <w:b/>
                <w:bCs/>
                <w:color w:val="000000"/>
                <w:lang w:eastAsia="tr-TR"/>
              </w:rPr>
              <w:t>385</w:t>
            </w:r>
          </w:p>
        </w:tc>
      </w:tr>
    </w:tbl>
    <w:p w14:paraId="24463D15" w14:textId="77777777" w:rsidR="006E2539" w:rsidRPr="002048A7" w:rsidRDefault="006E2539" w:rsidP="006E2539">
      <w:pPr>
        <w:spacing w:after="0"/>
        <w:rPr>
          <w:rFonts w:eastAsiaTheme="minorHAnsi"/>
          <w:sz w:val="20"/>
          <w:szCs w:val="20"/>
        </w:rPr>
      </w:pPr>
      <w:r w:rsidRPr="002048A7">
        <w:rPr>
          <w:sz w:val="20"/>
          <w:szCs w:val="20"/>
        </w:rPr>
        <w:t xml:space="preserve">* </w:t>
      </w:r>
      <w:r w:rsidRPr="002048A7">
        <w:rPr>
          <w:i/>
          <w:sz w:val="20"/>
          <w:szCs w:val="20"/>
        </w:rPr>
        <w:t>CNG lisansının kapsamı altında CNG Satış, CNG İletim-dağıtım ve OtoCNG olmak üzere üç tane CNG alt lisans türü bulunmaktadır. Tablo 3.4’deki CNG lisans sayıları, piyasadaki yılsonu itibarıyla mevcut üç CNG lisansı alt türü sayısının toplamından oluşmaktadır.</w:t>
      </w:r>
    </w:p>
    <w:p w14:paraId="35A208A0" w14:textId="77777777" w:rsidR="006E2539" w:rsidRPr="002048A7" w:rsidRDefault="006E2539" w:rsidP="006E2539">
      <w:pPr>
        <w:spacing w:after="0" w:line="240" w:lineRule="auto"/>
        <w:rPr>
          <w:sz w:val="20"/>
          <w:szCs w:val="20"/>
        </w:rPr>
      </w:pPr>
      <w:r w:rsidRPr="002048A7">
        <w:rPr>
          <w:sz w:val="20"/>
          <w:szCs w:val="20"/>
        </w:rPr>
        <w:t xml:space="preserve">** </w:t>
      </w:r>
      <w:r w:rsidRPr="002048A7">
        <w:rPr>
          <w:i/>
          <w:sz w:val="20"/>
          <w:szCs w:val="20"/>
        </w:rPr>
        <w:t>Üretim yapan toptan satış lisansı sahibi şirket sayısı 10 olup 202</w:t>
      </w:r>
      <w:r w:rsidR="00DD3613">
        <w:rPr>
          <w:i/>
          <w:sz w:val="20"/>
          <w:szCs w:val="20"/>
        </w:rPr>
        <w:t>4</w:t>
      </w:r>
      <w:r w:rsidRPr="002048A7">
        <w:rPr>
          <w:i/>
          <w:sz w:val="20"/>
          <w:szCs w:val="20"/>
        </w:rPr>
        <w:t xml:space="preserve"> yılı sonu itibarıyla bir adet Toptan Satış (Oto LNG) Lisansı sahibi bulunmaktadır</w:t>
      </w:r>
      <w:r w:rsidRPr="002048A7">
        <w:rPr>
          <w:sz w:val="20"/>
          <w:szCs w:val="20"/>
        </w:rPr>
        <w:t>.</w:t>
      </w:r>
    </w:p>
    <w:p w14:paraId="2431AC3B" w14:textId="77777777" w:rsidR="00B968E8" w:rsidRPr="002048A7" w:rsidRDefault="00B968E8" w:rsidP="006E2539">
      <w:pPr>
        <w:spacing w:after="0" w:line="240" w:lineRule="auto"/>
        <w:rPr>
          <w:sz w:val="20"/>
          <w:szCs w:val="20"/>
        </w:rPr>
      </w:pPr>
    </w:p>
    <w:p w14:paraId="20A91F90" w14:textId="77777777" w:rsidR="00CB5826" w:rsidRPr="002048A7" w:rsidRDefault="000A02ED" w:rsidP="0007594C">
      <w:pPr>
        <w:spacing w:after="0" w:line="240" w:lineRule="auto"/>
        <w:jc w:val="center"/>
        <w:rPr>
          <w:rStyle w:val="Gl"/>
          <w:color w:val="000000" w:themeColor="text1"/>
        </w:rPr>
      </w:pPr>
      <w:r w:rsidRPr="002048A7">
        <w:rPr>
          <w:rStyle w:val="Gl"/>
          <w:color w:val="000000" w:themeColor="text1"/>
        </w:rPr>
        <w:t>Tablo 3.</w:t>
      </w:r>
      <w:r w:rsidR="0007594C" w:rsidRPr="002048A7">
        <w:rPr>
          <w:rStyle w:val="Gl"/>
          <w:color w:val="000000" w:themeColor="text1"/>
        </w:rPr>
        <w:t>6</w:t>
      </w:r>
      <w:r w:rsidR="00CB5826" w:rsidRPr="002048A7">
        <w:rPr>
          <w:rStyle w:val="Gl"/>
          <w:color w:val="000000" w:themeColor="text1"/>
        </w:rPr>
        <w:t>: Lisanslı Doğal Gaz Depolama Tesisi Bilgileri</w:t>
      </w:r>
      <w:bookmarkEnd w:id="125"/>
      <w:bookmarkEnd w:id="126"/>
    </w:p>
    <w:tbl>
      <w:tblPr>
        <w:tblW w:w="5067" w:type="pct"/>
        <w:jc w:val="center"/>
        <w:tblCellMar>
          <w:left w:w="70" w:type="dxa"/>
          <w:right w:w="70" w:type="dxa"/>
        </w:tblCellMar>
        <w:tblLook w:val="04A0" w:firstRow="1" w:lastRow="0" w:firstColumn="1" w:lastColumn="0" w:noHBand="0" w:noVBand="1"/>
      </w:tblPr>
      <w:tblGrid>
        <w:gridCol w:w="5662"/>
        <w:gridCol w:w="1276"/>
        <w:gridCol w:w="1134"/>
        <w:gridCol w:w="1963"/>
      </w:tblGrid>
      <w:tr w:rsidR="00D429A1" w:rsidRPr="002048A7" w14:paraId="21B472EF" w14:textId="77777777" w:rsidTr="006E2539">
        <w:trPr>
          <w:trHeight w:val="212"/>
          <w:tblHeader/>
          <w:jc w:val="center"/>
        </w:trPr>
        <w:tc>
          <w:tcPr>
            <w:tcW w:w="2821" w:type="pct"/>
            <w:tcBorders>
              <w:top w:val="single" w:sz="8" w:space="0" w:color="D3D3D3"/>
              <w:left w:val="single" w:sz="8" w:space="0" w:color="D3D3D3"/>
              <w:bottom w:val="nil"/>
              <w:right w:val="single" w:sz="8" w:space="0" w:color="D3D3D3"/>
            </w:tcBorders>
            <w:shd w:val="clear" w:color="000000" w:fill="6E9ECA"/>
            <w:vAlign w:val="center"/>
            <w:hideMark/>
          </w:tcPr>
          <w:p w14:paraId="132C9FC5" w14:textId="77777777" w:rsidR="00D429A1" w:rsidRPr="002048A7" w:rsidRDefault="00D429A1" w:rsidP="00263DC6">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Lisans Sahibi</w:t>
            </w:r>
          </w:p>
        </w:tc>
        <w:tc>
          <w:tcPr>
            <w:tcW w:w="636" w:type="pct"/>
            <w:tcBorders>
              <w:top w:val="single" w:sz="8" w:space="0" w:color="D3D3D3"/>
              <w:left w:val="nil"/>
              <w:bottom w:val="nil"/>
              <w:right w:val="single" w:sz="8" w:space="0" w:color="D3D3D3"/>
            </w:tcBorders>
            <w:shd w:val="clear" w:color="000000" w:fill="6E9ECA"/>
            <w:vAlign w:val="center"/>
            <w:hideMark/>
          </w:tcPr>
          <w:p w14:paraId="31FA14D8" w14:textId="77777777" w:rsidR="00D429A1" w:rsidRPr="002048A7" w:rsidRDefault="00D429A1" w:rsidP="00263DC6">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Tesis</w:t>
            </w:r>
            <w:r w:rsidR="00263DC6" w:rsidRPr="002048A7">
              <w:rPr>
                <w:rFonts w:eastAsia="Times New Roman" w:cstheme="minorHAnsi"/>
                <w:b/>
                <w:bCs/>
                <w:color w:val="FFFFFF"/>
                <w:lang w:eastAsia="tr-TR"/>
              </w:rPr>
              <w:t>in Bulunduğu</w:t>
            </w:r>
            <w:r w:rsidRPr="002048A7">
              <w:rPr>
                <w:rFonts w:eastAsia="Times New Roman" w:cstheme="minorHAnsi"/>
                <w:b/>
                <w:bCs/>
                <w:color w:val="FFFFFF"/>
                <w:lang w:eastAsia="tr-TR"/>
              </w:rPr>
              <w:t xml:space="preserve"> İl</w:t>
            </w:r>
          </w:p>
        </w:tc>
        <w:tc>
          <w:tcPr>
            <w:tcW w:w="565" w:type="pct"/>
            <w:tcBorders>
              <w:top w:val="single" w:sz="8" w:space="0" w:color="D3D3D3"/>
              <w:left w:val="nil"/>
              <w:bottom w:val="nil"/>
              <w:right w:val="single" w:sz="8" w:space="0" w:color="D3D3D3"/>
            </w:tcBorders>
            <w:shd w:val="clear" w:color="000000" w:fill="6E9ECA"/>
            <w:vAlign w:val="center"/>
            <w:hideMark/>
          </w:tcPr>
          <w:p w14:paraId="61FE78DC" w14:textId="77777777" w:rsidR="00D429A1" w:rsidRPr="002048A7" w:rsidRDefault="00D429A1" w:rsidP="00263DC6">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Depolama Tipi</w:t>
            </w:r>
          </w:p>
        </w:tc>
        <w:tc>
          <w:tcPr>
            <w:tcW w:w="978" w:type="pct"/>
            <w:tcBorders>
              <w:top w:val="single" w:sz="8" w:space="0" w:color="D3D3D3"/>
              <w:left w:val="nil"/>
              <w:bottom w:val="nil"/>
              <w:right w:val="single" w:sz="8" w:space="0" w:color="D3D3D3"/>
            </w:tcBorders>
            <w:shd w:val="clear" w:color="000000" w:fill="6E9ECA"/>
            <w:vAlign w:val="center"/>
            <w:hideMark/>
          </w:tcPr>
          <w:p w14:paraId="7A6F7A51" w14:textId="77777777" w:rsidR="00D429A1" w:rsidRPr="002048A7" w:rsidRDefault="00D429A1" w:rsidP="00263DC6">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Lisanslara Kayıtlı Depolama Toplam Kapasitesi*** (m</w:t>
            </w:r>
            <w:r w:rsidRPr="002048A7">
              <w:rPr>
                <w:rFonts w:eastAsia="Times New Roman" w:cstheme="minorHAnsi"/>
                <w:b/>
                <w:bCs/>
                <w:color w:val="FFFFFF"/>
                <w:vertAlign w:val="superscript"/>
                <w:lang w:eastAsia="tr-TR"/>
              </w:rPr>
              <w:t>3</w:t>
            </w:r>
            <w:r w:rsidRPr="002048A7">
              <w:rPr>
                <w:rFonts w:eastAsia="Times New Roman" w:cstheme="minorHAnsi"/>
                <w:b/>
                <w:bCs/>
                <w:color w:val="FFFFFF"/>
                <w:lang w:eastAsia="tr-TR"/>
              </w:rPr>
              <w:t>)</w:t>
            </w:r>
          </w:p>
        </w:tc>
      </w:tr>
      <w:tr w:rsidR="006E2539" w:rsidRPr="002048A7" w14:paraId="447F65BD" w14:textId="77777777" w:rsidTr="006E2539">
        <w:trPr>
          <w:trHeight w:val="212"/>
          <w:jc w:val="center"/>
        </w:trPr>
        <w:tc>
          <w:tcPr>
            <w:tcW w:w="2821" w:type="pct"/>
            <w:tcBorders>
              <w:top w:val="nil"/>
              <w:left w:val="single" w:sz="8" w:space="0" w:color="D3D3D3"/>
              <w:bottom w:val="single" w:sz="8" w:space="0" w:color="D3D3D3"/>
              <w:right w:val="single" w:sz="8" w:space="0" w:color="D3D3D3"/>
            </w:tcBorders>
            <w:shd w:val="clear" w:color="auto" w:fill="auto"/>
            <w:vAlign w:val="center"/>
            <w:hideMark/>
          </w:tcPr>
          <w:p w14:paraId="22A9F7E5" w14:textId="77777777" w:rsidR="006E2539" w:rsidRPr="002048A7" w:rsidRDefault="006E2539" w:rsidP="006E2539">
            <w:pPr>
              <w:spacing w:after="0" w:line="240" w:lineRule="auto"/>
              <w:rPr>
                <w:rFonts w:eastAsia="Times New Roman" w:cstheme="minorHAnsi"/>
                <w:color w:val="000000"/>
                <w:lang w:eastAsia="tr-TR"/>
              </w:rPr>
            </w:pPr>
            <w:r w:rsidRPr="002048A7">
              <w:rPr>
                <w:rFonts w:eastAsia="Times New Roman" w:cstheme="minorHAnsi"/>
                <w:color w:val="000000"/>
                <w:lang w:eastAsia="tr-TR"/>
              </w:rPr>
              <w:t>TOREN DOĞALGAZ DEPOLAMA VE MADENCİLİK ANONİM ŞİRKETİ*</w:t>
            </w:r>
          </w:p>
        </w:tc>
        <w:tc>
          <w:tcPr>
            <w:tcW w:w="636" w:type="pct"/>
            <w:tcBorders>
              <w:top w:val="nil"/>
              <w:left w:val="nil"/>
              <w:bottom w:val="single" w:sz="8" w:space="0" w:color="D3D3D3"/>
              <w:right w:val="single" w:sz="8" w:space="0" w:color="D3D3D3"/>
            </w:tcBorders>
            <w:shd w:val="clear" w:color="auto" w:fill="auto"/>
            <w:vAlign w:val="center"/>
            <w:hideMark/>
          </w:tcPr>
          <w:p w14:paraId="6D97C117" w14:textId="77777777" w:rsidR="006E2539" w:rsidRPr="002048A7" w:rsidRDefault="006E2539" w:rsidP="006E2539">
            <w:pPr>
              <w:spacing w:after="0" w:line="240" w:lineRule="auto"/>
              <w:jc w:val="center"/>
              <w:rPr>
                <w:rFonts w:eastAsia="Times New Roman" w:cstheme="minorHAnsi"/>
                <w:color w:val="000000"/>
                <w:lang w:eastAsia="tr-TR"/>
              </w:rPr>
            </w:pPr>
            <w:r w:rsidRPr="002048A7">
              <w:rPr>
                <w:rFonts w:eastAsia="Times New Roman" w:cstheme="minorHAnsi"/>
                <w:color w:val="000000"/>
                <w:lang w:eastAsia="tr-TR"/>
              </w:rPr>
              <w:t>MERSİN</w:t>
            </w:r>
          </w:p>
        </w:tc>
        <w:tc>
          <w:tcPr>
            <w:tcW w:w="565" w:type="pct"/>
            <w:tcBorders>
              <w:top w:val="nil"/>
              <w:left w:val="nil"/>
              <w:bottom w:val="single" w:sz="8" w:space="0" w:color="D3D3D3"/>
              <w:right w:val="single" w:sz="8" w:space="0" w:color="D3D3D3"/>
            </w:tcBorders>
            <w:shd w:val="clear" w:color="auto" w:fill="auto"/>
            <w:vAlign w:val="center"/>
            <w:hideMark/>
          </w:tcPr>
          <w:p w14:paraId="71D77255" w14:textId="77777777" w:rsidR="006E2539" w:rsidRPr="002048A7" w:rsidRDefault="006E2539" w:rsidP="006E2539">
            <w:pPr>
              <w:spacing w:after="0" w:line="240" w:lineRule="auto"/>
              <w:jc w:val="center"/>
              <w:rPr>
                <w:rFonts w:eastAsia="Times New Roman" w:cstheme="minorHAnsi"/>
                <w:color w:val="000000"/>
                <w:lang w:eastAsia="tr-TR"/>
              </w:rPr>
            </w:pPr>
            <w:r w:rsidRPr="002048A7">
              <w:rPr>
                <w:rFonts w:eastAsia="Times New Roman" w:cstheme="minorHAnsi"/>
                <w:color w:val="000000"/>
                <w:lang w:eastAsia="tr-TR"/>
              </w:rPr>
              <w:t>Yeraltı</w:t>
            </w:r>
          </w:p>
        </w:tc>
        <w:tc>
          <w:tcPr>
            <w:tcW w:w="978" w:type="pct"/>
            <w:tcBorders>
              <w:top w:val="nil"/>
              <w:left w:val="nil"/>
              <w:bottom w:val="single" w:sz="8" w:space="0" w:color="D3D3D3"/>
              <w:right w:val="single" w:sz="8" w:space="0" w:color="D3D3D3"/>
            </w:tcBorders>
            <w:shd w:val="clear" w:color="auto" w:fill="auto"/>
            <w:vAlign w:val="center"/>
            <w:hideMark/>
          </w:tcPr>
          <w:p w14:paraId="714A2521" w14:textId="77777777" w:rsidR="006E2539" w:rsidRPr="002048A7" w:rsidRDefault="006E2539" w:rsidP="006E2539">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3.000.000.000</w:t>
            </w:r>
          </w:p>
        </w:tc>
      </w:tr>
      <w:tr w:rsidR="006E2539" w:rsidRPr="002048A7" w14:paraId="54A67F8E" w14:textId="77777777" w:rsidTr="006E2539">
        <w:trPr>
          <w:trHeight w:val="212"/>
          <w:jc w:val="center"/>
        </w:trPr>
        <w:tc>
          <w:tcPr>
            <w:tcW w:w="2821" w:type="pct"/>
            <w:tcBorders>
              <w:top w:val="nil"/>
              <w:left w:val="single" w:sz="8" w:space="0" w:color="D3D3D3"/>
              <w:bottom w:val="single" w:sz="8" w:space="0" w:color="D3D3D3"/>
              <w:right w:val="single" w:sz="8" w:space="0" w:color="D3D3D3"/>
            </w:tcBorders>
            <w:shd w:val="clear" w:color="auto" w:fill="auto"/>
            <w:vAlign w:val="center"/>
            <w:hideMark/>
          </w:tcPr>
          <w:p w14:paraId="666EDC26" w14:textId="77777777" w:rsidR="006E2539" w:rsidRPr="002048A7" w:rsidRDefault="006E2539" w:rsidP="006E2539">
            <w:pPr>
              <w:spacing w:after="0" w:line="240" w:lineRule="auto"/>
              <w:rPr>
                <w:rFonts w:eastAsia="Times New Roman" w:cstheme="minorHAnsi"/>
                <w:color w:val="000000"/>
                <w:lang w:eastAsia="tr-TR"/>
              </w:rPr>
            </w:pPr>
            <w:r w:rsidRPr="002048A7">
              <w:rPr>
                <w:rFonts w:eastAsia="Times New Roman" w:cstheme="minorHAnsi"/>
                <w:color w:val="000000"/>
                <w:lang w:eastAsia="tr-TR"/>
              </w:rPr>
              <w:t>BOTAŞ (BORU HATLARI İLE PETROL TAŞIMA ANONİM ŞİRKETİ)</w:t>
            </w:r>
          </w:p>
        </w:tc>
        <w:tc>
          <w:tcPr>
            <w:tcW w:w="636" w:type="pct"/>
            <w:tcBorders>
              <w:top w:val="nil"/>
              <w:left w:val="nil"/>
              <w:bottom w:val="single" w:sz="8" w:space="0" w:color="D3D3D3"/>
              <w:right w:val="single" w:sz="8" w:space="0" w:color="D3D3D3"/>
            </w:tcBorders>
            <w:shd w:val="clear" w:color="auto" w:fill="auto"/>
            <w:vAlign w:val="center"/>
            <w:hideMark/>
          </w:tcPr>
          <w:p w14:paraId="46008B80" w14:textId="77777777" w:rsidR="006E2539" w:rsidRPr="002048A7" w:rsidRDefault="006E2539" w:rsidP="006E2539">
            <w:pPr>
              <w:spacing w:after="0" w:line="240" w:lineRule="auto"/>
              <w:jc w:val="center"/>
              <w:rPr>
                <w:rFonts w:eastAsia="Times New Roman" w:cstheme="minorHAnsi"/>
                <w:color w:val="000000"/>
                <w:lang w:eastAsia="tr-TR"/>
              </w:rPr>
            </w:pPr>
            <w:r w:rsidRPr="002048A7">
              <w:rPr>
                <w:rFonts w:eastAsia="Times New Roman" w:cstheme="minorHAnsi"/>
                <w:color w:val="000000"/>
                <w:lang w:eastAsia="tr-TR"/>
              </w:rPr>
              <w:t>İSTANBUL</w:t>
            </w:r>
          </w:p>
        </w:tc>
        <w:tc>
          <w:tcPr>
            <w:tcW w:w="565" w:type="pct"/>
            <w:tcBorders>
              <w:top w:val="nil"/>
              <w:left w:val="nil"/>
              <w:bottom w:val="single" w:sz="8" w:space="0" w:color="D3D3D3"/>
              <w:right w:val="single" w:sz="8" w:space="0" w:color="D3D3D3"/>
            </w:tcBorders>
            <w:shd w:val="clear" w:color="auto" w:fill="auto"/>
            <w:vAlign w:val="center"/>
            <w:hideMark/>
          </w:tcPr>
          <w:p w14:paraId="1DF48458" w14:textId="77777777" w:rsidR="006E2539" w:rsidRPr="002048A7" w:rsidRDefault="006E2539" w:rsidP="006E2539">
            <w:pPr>
              <w:spacing w:after="0" w:line="240" w:lineRule="auto"/>
              <w:jc w:val="center"/>
              <w:rPr>
                <w:rFonts w:eastAsia="Times New Roman" w:cstheme="minorHAnsi"/>
                <w:color w:val="000000"/>
                <w:lang w:eastAsia="tr-TR"/>
              </w:rPr>
            </w:pPr>
            <w:r w:rsidRPr="002048A7">
              <w:rPr>
                <w:rFonts w:eastAsia="Times New Roman" w:cstheme="minorHAnsi"/>
                <w:color w:val="000000"/>
                <w:lang w:eastAsia="tr-TR"/>
              </w:rPr>
              <w:t>Yeraltı</w:t>
            </w:r>
          </w:p>
        </w:tc>
        <w:tc>
          <w:tcPr>
            <w:tcW w:w="978" w:type="pct"/>
            <w:tcBorders>
              <w:top w:val="nil"/>
              <w:left w:val="nil"/>
              <w:bottom w:val="single" w:sz="8" w:space="0" w:color="D3D3D3"/>
              <w:right w:val="single" w:sz="8" w:space="0" w:color="D3D3D3"/>
            </w:tcBorders>
            <w:shd w:val="clear" w:color="auto" w:fill="auto"/>
            <w:vAlign w:val="center"/>
            <w:hideMark/>
          </w:tcPr>
          <w:p w14:paraId="4885EB73" w14:textId="77777777" w:rsidR="006E2539" w:rsidRPr="002048A7" w:rsidRDefault="006E2539" w:rsidP="006E2539">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4.600.000.000</w:t>
            </w:r>
          </w:p>
        </w:tc>
      </w:tr>
      <w:tr w:rsidR="006E2539" w:rsidRPr="002048A7" w14:paraId="24D01BB2" w14:textId="77777777" w:rsidTr="006E2539">
        <w:trPr>
          <w:trHeight w:val="212"/>
          <w:jc w:val="center"/>
        </w:trPr>
        <w:tc>
          <w:tcPr>
            <w:tcW w:w="2821" w:type="pct"/>
            <w:tcBorders>
              <w:top w:val="nil"/>
              <w:left w:val="single" w:sz="8" w:space="0" w:color="D3D3D3"/>
              <w:bottom w:val="single" w:sz="8" w:space="0" w:color="D3D3D3"/>
              <w:right w:val="single" w:sz="8" w:space="0" w:color="D3D3D3"/>
            </w:tcBorders>
            <w:shd w:val="clear" w:color="auto" w:fill="auto"/>
            <w:vAlign w:val="center"/>
            <w:hideMark/>
          </w:tcPr>
          <w:p w14:paraId="12785031" w14:textId="77777777" w:rsidR="006E2539" w:rsidRPr="002048A7" w:rsidRDefault="006E2539" w:rsidP="006E2539">
            <w:pPr>
              <w:spacing w:after="0" w:line="240" w:lineRule="auto"/>
              <w:rPr>
                <w:rFonts w:eastAsia="Times New Roman" w:cstheme="minorHAnsi"/>
                <w:color w:val="000000"/>
                <w:lang w:eastAsia="tr-TR"/>
              </w:rPr>
            </w:pPr>
            <w:r w:rsidRPr="002048A7">
              <w:rPr>
                <w:rFonts w:eastAsia="Times New Roman" w:cstheme="minorHAnsi"/>
                <w:color w:val="000000"/>
                <w:lang w:eastAsia="tr-TR"/>
              </w:rPr>
              <w:t>BOTAŞ (BORU HATLARI İLE PETROL TAŞIMA ANONİM ŞİRKETİ)</w:t>
            </w:r>
          </w:p>
        </w:tc>
        <w:tc>
          <w:tcPr>
            <w:tcW w:w="636" w:type="pct"/>
            <w:tcBorders>
              <w:top w:val="nil"/>
              <w:left w:val="nil"/>
              <w:bottom w:val="single" w:sz="8" w:space="0" w:color="D3D3D3"/>
              <w:right w:val="single" w:sz="8" w:space="0" w:color="D3D3D3"/>
            </w:tcBorders>
            <w:shd w:val="clear" w:color="auto" w:fill="auto"/>
            <w:vAlign w:val="center"/>
            <w:hideMark/>
          </w:tcPr>
          <w:p w14:paraId="2CA926F8" w14:textId="77777777" w:rsidR="006E2539" w:rsidRPr="002048A7" w:rsidRDefault="006E2539" w:rsidP="006E2539">
            <w:pPr>
              <w:spacing w:after="0" w:line="240" w:lineRule="auto"/>
              <w:jc w:val="center"/>
              <w:rPr>
                <w:rFonts w:eastAsia="Times New Roman" w:cstheme="minorHAnsi"/>
                <w:color w:val="000000"/>
                <w:lang w:eastAsia="tr-TR"/>
              </w:rPr>
            </w:pPr>
            <w:r w:rsidRPr="002048A7">
              <w:rPr>
                <w:rFonts w:eastAsia="Times New Roman" w:cstheme="minorHAnsi"/>
                <w:color w:val="000000"/>
                <w:lang w:eastAsia="tr-TR"/>
              </w:rPr>
              <w:t>AKSARAY</w:t>
            </w:r>
          </w:p>
        </w:tc>
        <w:tc>
          <w:tcPr>
            <w:tcW w:w="565" w:type="pct"/>
            <w:tcBorders>
              <w:top w:val="nil"/>
              <w:left w:val="nil"/>
              <w:bottom w:val="single" w:sz="8" w:space="0" w:color="D3D3D3"/>
              <w:right w:val="single" w:sz="8" w:space="0" w:color="D3D3D3"/>
            </w:tcBorders>
            <w:shd w:val="clear" w:color="auto" w:fill="auto"/>
            <w:vAlign w:val="center"/>
            <w:hideMark/>
          </w:tcPr>
          <w:p w14:paraId="7048B04A" w14:textId="77777777" w:rsidR="006E2539" w:rsidRPr="002048A7" w:rsidRDefault="006E2539" w:rsidP="006E2539">
            <w:pPr>
              <w:spacing w:after="0" w:line="240" w:lineRule="auto"/>
              <w:jc w:val="center"/>
              <w:rPr>
                <w:rFonts w:eastAsia="Times New Roman" w:cstheme="minorHAnsi"/>
                <w:color w:val="000000"/>
                <w:lang w:eastAsia="tr-TR"/>
              </w:rPr>
            </w:pPr>
            <w:r w:rsidRPr="002048A7">
              <w:rPr>
                <w:rFonts w:eastAsia="Times New Roman" w:cstheme="minorHAnsi"/>
                <w:color w:val="000000"/>
                <w:lang w:eastAsia="tr-TR"/>
              </w:rPr>
              <w:t>Yeraltı</w:t>
            </w:r>
          </w:p>
        </w:tc>
        <w:tc>
          <w:tcPr>
            <w:tcW w:w="978" w:type="pct"/>
            <w:tcBorders>
              <w:top w:val="nil"/>
              <w:left w:val="nil"/>
              <w:bottom w:val="single" w:sz="8" w:space="0" w:color="D3D3D3"/>
              <w:right w:val="single" w:sz="8" w:space="0" w:color="D3D3D3"/>
            </w:tcBorders>
            <w:shd w:val="clear" w:color="auto" w:fill="auto"/>
            <w:vAlign w:val="center"/>
            <w:hideMark/>
          </w:tcPr>
          <w:p w14:paraId="2F9FE991" w14:textId="77777777" w:rsidR="006E2539" w:rsidRPr="002048A7" w:rsidRDefault="00DD3613" w:rsidP="006E2539">
            <w:pPr>
              <w:spacing w:after="0" w:line="240" w:lineRule="auto"/>
              <w:jc w:val="right"/>
              <w:rPr>
                <w:rFonts w:eastAsia="Times New Roman" w:cstheme="minorHAnsi"/>
                <w:color w:val="000000"/>
                <w:lang w:eastAsia="tr-TR"/>
              </w:rPr>
            </w:pPr>
            <w:r>
              <w:rPr>
                <w:rFonts w:eastAsia="Times New Roman" w:cstheme="minorHAnsi"/>
                <w:color w:val="000000"/>
                <w:lang w:eastAsia="tr-TR"/>
              </w:rPr>
              <w:t>1</w:t>
            </w:r>
            <w:r w:rsidR="006E2539" w:rsidRPr="002048A7">
              <w:rPr>
                <w:rFonts w:eastAsia="Times New Roman" w:cstheme="minorHAnsi"/>
                <w:color w:val="000000"/>
                <w:lang w:eastAsia="tr-TR"/>
              </w:rPr>
              <w:t>.</w:t>
            </w:r>
            <w:r>
              <w:rPr>
                <w:rFonts w:eastAsia="Times New Roman" w:cstheme="minorHAnsi"/>
                <w:color w:val="000000"/>
                <w:lang w:eastAsia="tr-TR"/>
              </w:rPr>
              <w:t>2</w:t>
            </w:r>
            <w:r w:rsidR="006E2539" w:rsidRPr="002048A7">
              <w:rPr>
                <w:rFonts w:eastAsia="Times New Roman" w:cstheme="minorHAnsi"/>
                <w:color w:val="000000"/>
                <w:lang w:eastAsia="tr-TR"/>
              </w:rPr>
              <w:t>00.000.000</w:t>
            </w:r>
          </w:p>
        </w:tc>
      </w:tr>
      <w:tr w:rsidR="006E2539" w:rsidRPr="002048A7" w14:paraId="691A1F71" w14:textId="77777777" w:rsidTr="006E2539">
        <w:trPr>
          <w:trHeight w:val="212"/>
          <w:jc w:val="center"/>
        </w:trPr>
        <w:tc>
          <w:tcPr>
            <w:tcW w:w="2821" w:type="pct"/>
            <w:tcBorders>
              <w:top w:val="nil"/>
              <w:left w:val="single" w:sz="8" w:space="0" w:color="D3D3D3"/>
              <w:bottom w:val="single" w:sz="8" w:space="0" w:color="D3D3D3"/>
              <w:right w:val="single" w:sz="8" w:space="0" w:color="D3D3D3"/>
            </w:tcBorders>
            <w:shd w:val="clear" w:color="auto" w:fill="auto"/>
            <w:vAlign w:val="center"/>
            <w:hideMark/>
          </w:tcPr>
          <w:p w14:paraId="5EC34218" w14:textId="77777777" w:rsidR="006E2539" w:rsidRPr="002048A7" w:rsidRDefault="006E2539" w:rsidP="006E2539">
            <w:pPr>
              <w:spacing w:after="0" w:line="240" w:lineRule="auto"/>
              <w:rPr>
                <w:rFonts w:eastAsia="Times New Roman" w:cstheme="minorHAnsi"/>
                <w:color w:val="000000"/>
                <w:lang w:eastAsia="tr-TR"/>
              </w:rPr>
            </w:pPr>
            <w:r w:rsidRPr="002048A7">
              <w:rPr>
                <w:rFonts w:eastAsia="Times New Roman" w:cstheme="minorHAnsi"/>
                <w:color w:val="000000"/>
                <w:lang w:eastAsia="tr-TR"/>
              </w:rPr>
              <w:t>GAZ DEPO VE MADENCİLİK ANONİM ŞİRKETİ*</w:t>
            </w:r>
          </w:p>
        </w:tc>
        <w:tc>
          <w:tcPr>
            <w:tcW w:w="636" w:type="pct"/>
            <w:tcBorders>
              <w:top w:val="nil"/>
              <w:left w:val="nil"/>
              <w:bottom w:val="single" w:sz="8" w:space="0" w:color="D3D3D3"/>
              <w:right w:val="single" w:sz="8" w:space="0" w:color="D3D3D3"/>
            </w:tcBorders>
            <w:shd w:val="clear" w:color="auto" w:fill="auto"/>
            <w:vAlign w:val="center"/>
            <w:hideMark/>
          </w:tcPr>
          <w:p w14:paraId="03CB8909" w14:textId="77777777" w:rsidR="006E2539" w:rsidRPr="002048A7" w:rsidRDefault="006E2539" w:rsidP="006E2539">
            <w:pPr>
              <w:spacing w:after="0" w:line="240" w:lineRule="auto"/>
              <w:jc w:val="center"/>
              <w:rPr>
                <w:rFonts w:eastAsia="Times New Roman" w:cstheme="minorHAnsi"/>
                <w:color w:val="000000"/>
                <w:lang w:eastAsia="tr-TR"/>
              </w:rPr>
            </w:pPr>
            <w:r w:rsidRPr="002048A7">
              <w:rPr>
                <w:rFonts w:eastAsia="Times New Roman" w:cstheme="minorHAnsi"/>
                <w:color w:val="000000"/>
                <w:lang w:eastAsia="tr-TR"/>
              </w:rPr>
              <w:t>MERSİN</w:t>
            </w:r>
          </w:p>
        </w:tc>
        <w:tc>
          <w:tcPr>
            <w:tcW w:w="565" w:type="pct"/>
            <w:tcBorders>
              <w:top w:val="nil"/>
              <w:left w:val="nil"/>
              <w:bottom w:val="single" w:sz="8" w:space="0" w:color="D3D3D3"/>
              <w:right w:val="single" w:sz="8" w:space="0" w:color="D3D3D3"/>
            </w:tcBorders>
            <w:shd w:val="clear" w:color="auto" w:fill="auto"/>
            <w:vAlign w:val="center"/>
            <w:hideMark/>
          </w:tcPr>
          <w:p w14:paraId="3254CA7A" w14:textId="77777777" w:rsidR="006E2539" w:rsidRPr="002048A7" w:rsidRDefault="006E2539" w:rsidP="006E2539">
            <w:pPr>
              <w:spacing w:after="0" w:line="240" w:lineRule="auto"/>
              <w:jc w:val="center"/>
              <w:rPr>
                <w:rFonts w:eastAsia="Times New Roman" w:cstheme="minorHAnsi"/>
                <w:color w:val="000000"/>
                <w:lang w:eastAsia="tr-TR"/>
              </w:rPr>
            </w:pPr>
            <w:r w:rsidRPr="002048A7">
              <w:rPr>
                <w:rFonts w:eastAsia="Times New Roman" w:cstheme="minorHAnsi"/>
                <w:color w:val="000000"/>
                <w:lang w:eastAsia="tr-TR"/>
              </w:rPr>
              <w:t>Yeraltı</w:t>
            </w:r>
          </w:p>
        </w:tc>
        <w:tc>
          <w:tcPr>
            <w:tcW w:w="978" w:type="pct"/>
            <w:tcBorders>
              <w:top w:val="nil"/>
              <w:left w:val="nil"/>
              <w:bottom w:val="single" w:sz="8" w:space="0" w:color="D3D3D3"/>
              <w:right w:val="single" w:sz="8" w:space="0" w:color="D3D3D3"/>
            </w:tcBorders>
            <w:shd w:val="clear" w:color="auto" w:fill="auto"/>
            <w:vAlign w:val="center"/>
            <w:hideMark/>
          </w:tcPr>
          <w:p w14:paraId="79E88A9A" w14:textId="77777777" w:rsidR="006E2539" w:rsidRPr="002048A7" w:rsidRDefault="006E2539" w:rsidP="006E2539">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1.000.000.000</w:t>
            </w:r>
          </w:p>
        </w:tc>
      </w:tr>
      <w:tr w:rsidR="006E2539" w:rsidRPr="002048A7" w14:paraId="2D2ECD89" w14:textId="77777777" w:rsidTr="006E2539">
        <w:trPr>
          <w:trHeight w:val="212"/>
          <w:jc w:val="center"/>
        </w:trPr>
        <w:tc>
          <w:tcPr>
            <w:tcW w:w="2821" w:type="pct"/>
            <w:tcBorders>
              <w:top w:val="nil"/>
              <w:left w:val="single" w:sz="8" w:space="0" w:color="D3D3D3"/>
              <w:bottom w:val="single" w:sz="8" w:space="0" w:color="D3D3D3"/>
              <w:right w:val="single" w:sz="8" w:space="0" w:color="D3D3D3"/>
            </w:tcBorders>
            <w:shd w:val="clear" w:color="auto" w:fill="auto"/>
            <w:vAlign w:val="center"/>
            <w:hideMark/>
          </w:tcPr>
          <w:p w14:paraId="2A3528AA" w14:textId="77777777" w:rsidR="006E2539" w:rsidRPr="002048A7" w:rsidRDefault="006E2539" w:rsidP="006E2539">
            <w:pPr>
              <w:spacing w:after="0" w:line="240" w:lineRule="auto"/>
              <w:rPr>
                <w:rFonts w:eastAsia="Times New Roman" w:cstheme="minorHAnsi"/>
                <w:color w:val="000000"/>
                <w:lang w:eastAsia="tr-TR"/>
              </w:rPr>
            </w:pPr>
            <w:r w:rsidRPr="002048A7">
              <w:rPr>
                <w:rFonts w:eastAsia="Times New Roman" w:cstheme="minorHAnsi"/>
                <w:color w:val="000000"/>
                <w:lang w:eastAsia="tr-TR"/>
              </w:rPr>
              <w:t>ETKİ LİMAN İŞLETMELERİ DOĞALGAZ İTHALAT VE TİCARET ANONİM ŞİRKETİ**</w:t>
            </w:r>
          </w:p>
        </w:tc>
        <w:tc>
          <w:tcPr>
            <w:tcW w:w="636" w:type="pct"/>
            <w:tcBorders>
              <w:top w:val="nil"/>
              <w:left w:val="nil"/>
              <w:bottom w:val="single" w:sz="8" w:space="0" w:color="D3D3D3"/>
              <w:right w:val="single" w:sz="8" w:space="0" w:color="D3D3D3"/>
            </w:tcBorders>
            <w:shd w:val="clear" w:color="auto" w:fill="auto"/>
            <w:vAlign w:val="center"/>
            <w:hideMark/>
          </w:tcPr>
          <w:p w14:paraId="5465C9D7" w14:textId="77777777" w:rsidR="006E2539" w:rsidRPr="002048A7" w:rsidRDefault="006E2539" w:rsidP="006E2539">
            <w:pPr>
              <w:spacing w:after="0" w:line="240" w:lineRule="auto"/>
              <w:jc w:val="center"/>
              <w:rPr>
                <w:rFonts w:eastAsia="Times New Roman" w:cstheme="minorHAnsi"/>
                <w:color w:val="000000"/>
                <w:lang w:eastAsia="tr-TR"/>
              </w:rPr>
            </w:pPr>
            <w:r w:rsidRPr="002048A7">
              <w:rPr>
                <w:rFonts w:eastAsia="Times New Roman" w:cstheme="minorHAnsi"/>
                <w:color w:val="000000"/>
                <w:lang w:eastAsia="tr-TR"/>
              </w:rPr>
              <w:t>İZMİR</w:t>
            </w:r>
          </w:p>
        </w:tc>
        <w:tc>
          <w:tcPr>
            <w:tcW w:w="565" w:type="pct"/>
            <w:tcBorders>
              <w:top w:val="nil"/>
              <w:left w:val="nil"/>
              <w:bottom w:val="single" w:sz="8" w:space="0" w:color="D3D3D3"/>
              <w:right w:val="single" w:sz="8" w:space="0" w:color="D3D3D3"/>
            </w:tcBorders>
            <w:shd w:val="clear" w:color="auto" w:fill="auto"/>
            <w:vAlign w:val="center"/>
            <w:hideMark/>
          </w:tcPr>
          <w:p w14:paraId="5FFD0CE7" w14:textId="77777777" w:rsidR="006E2539" w:rsidRPr="002048A7" w:rsidRDefault="006E2539" w:rsidP="006E2539">
            <w:pPr>
              <w:spacing w:after="0" w:line="240" w:lineRule="auto"/>
              <w:jc w:val="center"/>
              <w:rPr>
                <w:rFonts w:eastAsia="Times New Roman" w:cstheme="minorHAnsi"/>
                <w:color w:val="000000"/>
                <w:lang w:eastAsia="tr-TR"/>
              </w:rPr>
            </w:pPr>
            <w:r w:rsidRPr="002048A7">
              <w:rPr>
                <w:rFonts w:eastAsia="Times New Roman" w:cstheme="minorHAnsi"/>
                <w:color w:val="000000"/>
                <w:lang w:eastAsia="tr-TR"/>
              </w:rPr>
              <w:t>LNG</w:t>
            </w:r>
          </w:p>
        </w:tc>
        <w:tc>
          <w:tcPr>
            <w:tcW w:w="978" w:type="pct"/>
            <w:tcBorders>
              <w:top w:val="nil"/>
              <w:left w:val="nil"/>
              <w:bottom w:val="single" w:sz="8" w:space="0" w:color="D3D3D3"/>
              <w:right w:val="single" w:sz="8" w:space="0" w:color="D3D3D3"/>
            </w:tcBorders>
            <w:shd w:val="clear" w:color="auto" w:fill="auto"/>
            <w:vAlign w:val="center"/>
            <w:hideMark/>
          </w:tcPr>
          <w:p w14:paraId="09E4E4EB" w14:textId="77777777" w:rsidR="006E2539" w:rsidRPr="002048A7" w:rsidRDefault="006E2539" w:rsidP="006E2539">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166.631</w:t>
            </w:r>
          </w:p>
        </w:tc>
      </w:tr>
      <w:tr w:rsidR="006E2539" w:rsidRPr="002048A7" w14:paraId="32D9A374" w14:textId="77777777" w:rsidTr="006E2539">
        <w:trPr>
          <w:trHeight w:val="212"/>
          <w:jc w:val="center"/>
        </w:trPr>
        <w:tc>
          <w:tcPr>
            <w:tcW w:w="2821" w:type="pct"/>
            <w:tcBorders>
              <w:top w:val="nil"/>
              <w:left w:val="single" w:sz="8" w:space="0" w:color="D3D3D3"/>
              <w:bottom w:val="single" w:sz="8" w:space="0" w:color="D3D3D3"/>
              <w:right w:val="single" w:sz="8" w:space="0" w:color="D3D3D3"/>
            </w:tcBorders>
            <w:shd w:val="clear" w:color="auto" w:fill="auto"/>
            <w:vAlign w:val="center"/>
            <w:hideMark/>
          </w:tcPr>
          <w:p w14:paraId="778FC327" w14:textId="77777777" w:rsidR="006E2539" w:rsidRPr="002048A7" w:rsidRDefault="006E2539" w:rsidP="006E2539">
            <w:pPr>
              <w:spacing w:after="0" w:line="240" w:lineRule="auto"/>
              <w:rPr>
                <w:rFonts w:eastAsia="Times New Roman" w:cstheme="minorHAnsi"/>
                <w:color w:val="000000"/>
                <w:lang w:eastAsia="tr-TR"/>
              </w:rPr>
            </w:pPr>
            <w:r w:rsidRPr="002048A7">
              <w:rPr>
                <w:rFonts w:eastAsia="Times New Roman" w:cstheme="minorHAnsi"/>
                <w:color w:val="000000"/>
                <w:lang w:eastAsia="tr-TR"/>
              </w:rPr>
              <w:t>EGE GAZ ANONİM ŞİRKETİ**</w:t>
            </w:r>
          </w:p>
        </w:tc>
        <w:tc>
          <w:tcPr>
            <w:tcW w:w="636" w:type="pct"/>
            <w:tcBorders>
              <w:top w:val="nil"/>
              <w:left w:val="nil"/>
              <w:bottom w:val="single" w:sz="8" w:space="0" w:color="D3D3D3"/>
              <w:right w:val="single" w:sz="8" w:space="0" w:color="D3D3D3"/>
            </w:tcBorders>
            <w:shd w:val="clear" w:color="auto" w:fill="auto"/>
            <w:vAlign w:val="center"/>
            <w:hideMark/>
          </w:tcPr>
          <w:p w14:paraId="613EACD2" w14:textId="77777777" w:rsidR="006E2539" w:rsidRPr="002048A7" w:rsidRDefault="006E2539" w:rsidP="006E2539">
            <w:pPr>
              <w:spacing w:after="0" w:line="240" w:lineRule="auto"/>
              <w:jc w:val="center"/>
              <w:rPr>
                <w:rFonts w:eastAsia="Times New Roman" w:cstheme="minorHAnsi"/>
                <w:color w:val="000000"/>
                <w:lang w:eastAsia="tr-TR"/>
              </w:rPr>
            </w:pPr>
            <w:r w:rsidRPr="002048A7">
              <w:rPr>
                <w:rFonts w:eastAsia="Times New Roman" w:cstheme="minorHAnsi"/>
                <w:color w:val="000000"/>
                <w:lang w:eastAsia="tr-TR"/>
              </w:rPr>
              <w:t>İZMİR</w:t>
            </w:r>
          </w:p>
        </w:tc>
        <w:tc>
          <w:tcPr>
            <w:tcW w:w="565" w:type="pct"/>
            <w:tcBorders>
              <w:top w:val="nil"/>
              <w:left w:val="nil"/>
              <w:bottom w:val="single" w:sz="8" w:space="0" w:color="D3D3D3"/>
              <w:right w:val="single" w:sz="8" w:space="0" w:color="D3D3D3"/>
            </w:tcBorders>
            <w:shd w:val="clear" w:color="auto" w:fill="auto"/>
            <w:vAlign w:val="center"/>
            <w:hideMark/>
          </w:tcPr>
          <w:p w14:paraId="3C78E5A8" w14:textId="77777777" w:rsidR="006E2539" w:rsidRPr="002048A7" w:rsidRDefault="006E2539" w:rsidP="006E2539">
            <w:pPr>
              <w:spacing w:after="0" w:line="240" w:lineRule="auto"/>
              <w:jc w:val="center"/>
              <w:rPr>
                <w:rFonts w:eastAsia="Times New Roman" w:cstheme="minorHAnsi"/>
                <w:color w:val="000000"/>
                <w:lang w:eastAsia="tr-TR"/>
              </w:rPr>
            </w:pPr>
            <w:r w:rsidRPr="002048A7">
              <w:rPr>
                <w:rFonts w:eastAsia="Times New Roman" w:cstheme="minorHAnsi"/>
                <w:color w:val="000000"/>
                <w:lang w:eastAsia="tr-TR"/>
              </w:rPr>
              <w:t>LNG</w:t>
            </w:r>
          </w:p>
        </w:tc>
        <w:tc>
          <w:tcPr>
            <w:tcW w:w="978" w:type="pct"/>
            <w:tcBorders>
              <w:top w:val="nil"/>
              <w:left w:val="nil"/>
              <w:bottom w:val="single" w:sz="8" w:space="0" w:color="D3D3D3"/>
              <w:right w:val="single" w:sz="8" w:space="0" w:color="D3D3D3"/>
            </w:tcBorders>
            <w:shd w:val="clear" w:color="auto" w:fill="auto"/>
            <w:vAlign w:val="center"/>
            <w:hideMark/>
          </w:tcPr>
          <w:p w14:paraId="050F310E" w14:textId="77777777" w:rsidR="006E2539" w:rsidRPr="002048A7" w:rsidRDefault="006E2539" w:rsidP="006E2539">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280.000</w:t>
            </w:r>
          </w:p>
        </w:tc>
      </w:tr>
      <w:tr w:rsidR="006E2539" w:rsidRPr="002048A7" w14:paraId="022F5EF9" w14:textId="77777777" w:rsidTr="006E2539">
        <w:trPr>
          <w:trHeight w:val="212"/>
          <w:jc w:val="center"/>
        </w:trPr>
        <w:tc>
          <w:tcPr>
            <w:tcW w:w="2821" w:type="pct"/>
            <w:tcBorders>
              <w:top w:val="nil"/>
              <w:left w:val="single" w:sz="8" w:space="0" w:color="D3D3D3"/>
              <w:bottom w:val="single" w:sz="8" w:space="0" w:color="D3D3D3"/>
              <w:right w:val="single" w:sz="8" w:space="0" w:color="D3D3D3"/>
            </w:tcBorders>
            <w:shd w:val="clear" w:color="auto" w:fill="auto"/>
            <w:vAlign w:val="center"/>
            <w:hideMark/>
          </w:tcPr>
          <w:p w14:paraId="626069E9" w14:textId="77777777" w:rsidR="006E2539" w:rsidRPr="002048A7" w:rsidRDefault="006E2539" w:rsidP="006E2539">
            <w:pPr>
              <w:spacing w:after="0" w:line="240" w:lineRule="auto"/>
              <w:rPr>
                <w:rFonts w:eastAsia="Times New Roman" w:cstheme="minorHAnsi"/>
                <w:color w:val="000000"/>
                <w:lang w:eastAsia="tr-TR"/>
              </w:rPr>
            </w:pPr>
            <w:r w:rsidRPr="002048A7">
              <w:rPr>
                <w:rFonts w:eastAsia="Times New Roman" w:cstheme="minorHAnsi"/>
                <w:color w:val="000000"/>
                <w:lang w:eastAsia="tr-TR"/>
              </w:rPr>
              <w:t xml:space="preserve">BOTAŞ (BORU HATLARI İLE PETROL TAŞIMA ANONİM </w:t>
            </w:r>
            <w:proofErr w:type="gramStart"/>
            <w:r w:rsidRPr="002048A7">
              <w:rPr>
                <w:rFonts w:eastAsia="Times New Roman" w:cstheme="minorHAnsi"/>
                <w:color w:val="000000"/>
                <w:lang w:eastAsia="tr-TR"/>
              </w:rPr>
              <w:t>ŞİRKETİ)*</w:t>
            </w:r>
            <w:proofErr w:type="gramEnd"/>
            <w:r w:rsidRPr="002048A7">
              <w:rPr>
                <w:rFonts w:eastAsia="Times New Roman" w:cstheme="minorHAnsi"/>
                <w:color w:val="000000"/>
                <w:lang w:eastAsia="tr-TR"/>
              </w:rPr>
              <w:t>*</w:t>
            </w:r>
          </w:p>
        </w:tc>
        <w:tc>
          <w:tcPr>
            <w:tcW w:w="636" w:type="pct"/>
            <w:tcBorders>
              <w:top w:val="nil"/>
              <w:left w:val="nil"/>
              <w:bottom w:val="single" w:sz="8" w:space="0" w:color="D3D3D3"/>
              <w:right w:val="single" w:sz="8" w:space="0" w:color="D3D3D3"/>
            </w:tcBorders>
            <w:shd w:val="clear" w:color="auto" w:fill="auto"/>
            <w:vAlign w:val="center"/>
            <w:hideMark/>
          </w:tcPr>
          <w:p w14:paraId="27CC0881" w14:textId="77777777" w:rsidR="006E2539" w:rsidRPr="002048A7" w:rsidRDefault="006E2539" w:rsidP="006E2539">
            <w:pPr>
              <w:spacing w:after="0" w:line="240" w:lineRule="auto"/>
              <w:jc w:val="center"/>
              <w:rPr>
                <w:rFonts w:eastAsia="Times New Roman" w:cstheme="minorHAnsi"/>
                <w:color w:val="000000"/>
                <w:lang w:eastAsia="tr-TR"/>
              </w:rPr>
            </w:pPr>
            <w:r w:rsidRPr="002048A7">
              <w:rPr>
                <w:rFonts w:eastAsia="Times New Roman" w:cstheme="minorHAnsi"/>
                <w:color w:val="000000"/>
                <w:lang w:eastAsia="tr-TR"/>
              </w:rPr>
              <w:t>HATAY</w:t>
            </w:r>
          </w:p>
        </w:tc>
        <w:tc>
          <w:tcPr>
            <w:tcW w:w="565" w:type="pct"/>
            <w:tcBorders>
              <w:top w:val="nil"/>
              <w:left w:val="nil"/>
              <w:bottom w:val="single" w:sz="8" w:space="0" w:color="D3D3D3"/>
              <w:right w:val="single" w:sz="8" w:space="0" w:color="D3D3D3"/>
            </w:tcBorders>
            <w:shd w:val="clear" w:color="auto" w:fill="auto"/>
            <w:vAlign w:val="center"/>
            <w:hideMark/>
          </w:tcPr>
          <w:p w14:paraId="596F162D" w14:textId="77777777" w:rsidR="006E2539" w:rsidRPr="002048A7" w:rsidRDefault="006E2539" w:rsidP="006E2539">
            <w:pPr>
              <w:spacing w:after="0" w:line="240" w:lineRule="auto"/>
              <w:jc w:val="center"/>
              <w:rPr>
                <w:rFonts w:eastAsia="Times New Roman" w:cstheme="minorHAnsi"/>
                <w:color w:val="000000"/>
                <w:lang w:eastAsia="tr-TR"/>
              </w:rPr>
            </w:pPr>
            <w:r w:rsidRPr="002048A7">
              <w:rPr>
                <w:rFonts w:eastAsia="Times New Roman" w:cstheme="minorHAnsi"/>
                <w:color w:val="000000"/>
                <w:lang w:eastAsia="tr-TR"/>
              </w:rPr>
              <w:t>LNG</w:t>
            </w:r>
          </w:p>
        </w:tc>
        <w:tc>
          <w:tcPr>
            <w:tcW w:w="978" w:type="pct"/>
            <w:tcBorders>
              <w:top w:val="nil"/>
              <w:left w:val="nil"/>
              <w:bottom w:val="single" w:sz="8" w:space="0" w:color="D3D3D3"/>
              <w:right w:val="single" w:sz="8" w:space="0" w:color="D3D3D3"/>
            </w:tcBorders>
            <w:shd w:val="clear" w:color="auto" w:fill="auto"/>
            <w:vAlign w:val="center"/>
            <w:hideMark/>
          </w:tcPr>
          <w:p w14:paraId="15B2A9F8" w14:textId="77777777" w:rsidR="006E2539" w:rsidRPr="002048A7" w:rsidRDefault="006E2539" w:rsidP="006E2539">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170.000</w:t>
            </w:r>
          </w:p>
        </w:tc>
      </w:tr>
      <w:tr w:rsidR="006E2539" w:rsidRPr="002048A7" w14:paraId="45584209" w14:textId="77777777" w:rsidTr="006E2539">
        <w:trPr>
          <w:trHeight w:val="212"/>
          <w:jc w:val="center"/>
        </w:trPr>
        <w:tc>
          <w:tcPr>
            <w:tcW w:w="2821" w:type="pct"/>
            <w:tcBorders>
              <w:top w:val="nil"/>
              <w:left w:val="single" w:sz="8" w:space="0" w:color="D3D3D3"/>
              <w:bottom w:val="single" w:sz="8" w:space="0" w:color="D3D3D3"/>
              <w:right w:val="single" w:sz="8" w:space="0" w:color="D3D3D3"/>
            </w:tcBorders>
            <w:shd w:val="clear" w:color="auto" w:fill="auto"/>
            <w:vAlign w:val="center"/>
          </w:tcPr>
          <w:p w14:paraId="6E5B1BB2" w14:textId="77777777" w:rsidR="006E2539" w:rsidRPr="002048A7" w:rsidRDefault="006E2539" w:rsidP="006E2539">
            <w:pPr>
              <w:spacing w:after="0" w:line="240" w:lineRule="auto"/>
              <w:rPr>
                <w:rFonts w:eastAsia="Times New Roman" w:cstheme="minorHAnsi"/>
                <w:color w:val="000000"/>
                <w:lang w:eastAsia="tr-TR"/>
              </w:rPr>
            </w:pPr>
            <w:r w:rsidRPr="002048A7">
              <w:rPr>
                <w:rFonts w:eastAsia="Times New Roman" w:cstheme="minorHAnsi"/>
                <w:color w:val="000000"/>
                <w:lang w:eastAsia="tr-TR"/>
              </w:rPr>
              <w:t xml:space="preserve">BOTAŞ (BORU HATLARI İLE PETROL TAŞIMA ANONİM </w:t>
            </w:r>
            <w:proofErr w:type="gramStart"/>
            <w:r w:rsidRPr="002048A7">
              <w:rPr>
                <w:rFonts w:eastAsia="Times New Roman" w:cstheme="minorHAnsi"/>
                <w:color w:val="000000"/>
                <w:lang w:eastAsia="tr-TR"/>
              </w:rPr>
              <w:t>ŞİRKETİ)*</w:t>
            </w:r>
            <w:proofErr w:type="gramEnd"/>
            <w:r w:rsidRPr="002048A7">
              <w:rPr>
                <w:rFonts w:eastAsia="Times New Roman" w:cstheme="minorHAnsi"/>
                <w:color w:val="000000"/>
                <w:lang w:eastAsia="tr-TR"/>
              </w:rPr>
              <w:t>*</w:t>
            </w:r>
          </w:p>
        </w:tc>
        <w:tc>
          <w:tcPr>
            <w:tcW w:w="636" w:type="pct"/>
            <w:tcBorders>
              <w:top w:val="nil"/>
              <w:left w:val="nil"/>
              <w:bottom w:val="single" w:sz="8" w:space="0" w:color="D3D3D3"/>
              <w:right w:val="single" w:sz="8" w:space="0" w:color="D3D3D3"/>
            </w:tcBorders>
            <w:shd w:val="clear" w:color="auto" w:fill="auto"/>
            <w:vAlign w:val="center"/>
          </w:tcPr>
          <w:p w14:paraId="38426012" w14:textId="77777777" w:rsidR="006E2539" w:rsidRPr="002048A7" w:rsidRDefault="006E2539" w:rsidP="006E2539">
            <w:pPr>
              <w:spacing w:after="0" w:line="240" w:lineRule="auto"/>
              <w:jc w:val="center"/>
              <w:rPr>
                <w:rFonts w:eastAsia="Times New Roman" w:cstheme="minorHAnsi"/>
                <w:color w:val="000000"/>
                <w:lang w:eastAsia="tr-TR"/>
              </w:rPr>
            </w:pPr>
            <w:r w:rsidRPr="002048A7">
              <w:rPr>
                <w:rFonts w:eastAsia="Times New Roman" w:cstheme="minorHAnsi"/>
                <w:color w:val="000000"/>
                <w:lang w:eastAsia="tr-TR"/>
              </w:rPr>
              <w:t>TEKİRDAĞ</w:t>
            </w:r>
          </w:p>
        </w:tc>
        <w:tc>
          <w:tcPr>
            <w:tcW w:w="565" w:type="pct"/>
            <w:tcBorders>
              <w:top w:val="nil"/>
              <w:left w:val="nil"/>
              <w:bottom w:val="single" w:sz="8" w:space="0" w:color="D3D3D3"/>
              <w:right w:val="single" w:sz="8" w:space="0" w:color="D3D3D3"/>
            </w:tcBorders>
            <w:shd w:val="clear" w:color="auto" w:fill="auto"/>
            <w:vAlign w:val="center"/>
          </w:tcPr>
          <w:p w14:paraId="656C6C60" w14:textId="77777777" w:rsidR="006E2539" w:rsidRPr="002048A7" w:rsidRDefault="006E2539" w:rsidP="006E2539">
            <w:pPr>
              <w:spacing w:after="0" w:line="240" w:lineRule="auto"/>
              <w:jc w:val="center"/>
              <w:rPr>
                <w:rFonts w:eastAsia="Times New Roman" w:cstheme="minorHAnsi"/>
                <w:color w:val="000000"/>
                <w:lang w:eastAsia="tr-TR"/>
              </w:rPr>
            </w:pPr>
            <w:r w:rsidRPr="002048A7">
              <w:rPr>
                <w:rFonts w:eastAsia="Times New Roman" w:cstheme="minorHAnsi"/>
                <w:color w:val="000000"/>
                <w:lang w:eastAsia="tr-TR"/>
              </w:rPr>
              <w:t>LNG</w:t>
            </w:r>
          </w:p>
        </w:tc>
        <w:tc>
          <w:tcPr>
            <w:tcW w:w="978" w:type="pct"/>
            <w:tcBorders>
              <w:top w:val="nil"/>
              <w:left w:val="nil"/>
              <w:bottom w:val="single" w:sz="8" w:space="0" w:color="D3D3D3"/>
              <w:right w:val="single" w:sz="8" w:space="0" w:color="D3D3D3"/>
            </w:tcBorders>
            <w:shd w:val="clear" w:color="auto" w:fill="auto"/>
            <w:vAlign w:val="center"/>
          </w:tcPr>
          <w:p w14:paraId="0B8696EA" w14:textId="77777777" w:rsidR="006E2539" w:rsidRPr="002048A7" w:rsidRDefault="006E2539" w:rsidP="006E2539">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255.000</w:t>
            </w:r>
          </w:p>
        </w:tc>
      </w:tr>
      <w:tr w:rsidR="006E2539" w:rsidRPr="002048A7" w14:paraId="5AC7005D" w14:textId="77777777" w:rsidTr="006E2539">
        <w:trPr>
          <w:trHeight w:val="232"/>
          <w:jc w:val="center"/>
        </w:trPr>
        <w:tc>
          <w:tcPr>
            <w:tcW w:w="2821" w:type="pct"/>
            <w:tcBorders>
              <w:top w:val="nil"/>
              <w:left w:val="single" w:sz="8" w:space="0" w:color="D3D3D3"/>
              <w:bottom w:val="single" w:sz="8" w:space="0" w:color="D3D3D3"/>
              <w:right w:val="single" w:sz="8" w:space="0" w:color="D3D3D3"/>
            </w:tcBorders>
            <w:shd w:val="clear" w:color="auto" w:fill="auto"/>
            <w:vAlign w:val="center"/>
          </w:tcPr>
          <w:p w14:paraId="65EA217E" w14:textId="77777777" w:rsidR="006E2539" w:rsidRPr="002048A7" w:rsidRDefault="006E2539" w:rsidP="006E2539">
            <w:pPr>
              <w:spacing w:after="0" w:line="240" w:lineRule="auto"/>
              <w:rPr>
                <w:rFonts w:eastAsia="Times New Roman" w:cstheme="minorHAnsi"/>
                <w:color w:val="000000"/>
                <w:lang w:eastAsia="tr-TR"/>
              </w:rPr>
            </w:pPr>
            <w:r w:rsidRPr="002048A7">
              <w:rPr>
                <w:rFonts w:eastAsia="Times New Roman" w:cstheme="minorHAnsi"/>
                <w:color w:val="000000"/>
                <w:lang w:eastAsia="tr-TR"/>
              </w:rPr>
              <w:t xml:space="preserve">BOTAŞ (BORU HATLARI İLE PETROL TAŞIMA ANONİM </w:t>
            </w:r>
            <w:proofErr w:type="gramStart"/>
            <w:r w:rsidRPr="002048A7">
              <w:rPr>
                <w:rFonts w:eastAsia="Times New Roman" w:cstheme="minorHAnsi"/>
                <w:color w:val="000000"/>
                <w:lang w:eastAsia="tr-TR"/>
              </w:rPr>
              <w:t>ŞİRKETİ)*</w:t>
            </w:r>
            <w:proofErr w:type="gramEnd"/>
            <w:r w:rsidRPr="002048A7">
              <w:rPr>
                <w:rFonts w:eastAsia="Times New Roman" w:cstheme="minorHAnsi"/>
                <w:color w:val="000000"/>
                <w:lang w:eastAsia="tr-TR"/>
              </w:rPr>
              <w:t>*</w:t>
            </w:r>
          </w:p>
        </w:tc>
        <w:tc>
          <w:tcPr>
            <w:tcW w:w="636" w:type="pct"/>
            <w:tcBorders>
              <w:top w:val="nil"/>
              <w:left w:val="nil"/>
              <w:bottom w:val="single" w:sz="8" w:space="0" w:color="D3D3D3"/>
              <w:right w:val="single" w:sz="8" w:space="0" w:color="D3D3D3"/>
            </w:tcBorders>
            <w:shd w:val="clear" w:color="auto" w:fill="auto"/>
            <w:vAlign w:val="center"/>
          </w:tcPr>
          <w:p w14:paraId="6213D0E3" w14:textId="77777777" w:rsidR="006E2539" w:rsidRPr="002048A7" w:rsidRDefault="006E2539" w:rsidP="006E2539">
            <w:pPr>
              <w:spacing w:after="0" w:line="240" w:lineRule="auto"/>
              <w:jc w:val="center"/>
              <w:rPr>
                <w:rFonts w:eastAsia="Times New Roman" w:cstheme="minorHAnsi"/>
                <w:color w:val="000000"/>
                <w:lang w:eastAsia="tr-TR"/>
              </w:rPr>
            </w:pPr>
            <w:r w:rsidRPr="002048A7">
              <w:rPr>
                <w:rFonts w:eastAsia="Times New Roman" w:cstheme="minorHAnsi"/>
                <w:color w:val="000000"/>
                <w:lang w:eastAsia="tr-TR"/>
              </w:rPr>
              <w:t>EDİRNE</w:t>
            </w:r>
          </w:p>
        </w:tc>
        <w:tc>
          <w:tcPr>
            <w:tcW w:w="565" w:type="pct"/>
            <w:tcBorders>
              <w:top w:val="nil"/>
              <w:left w:val="nil"/>
              <w:bottom w:val="single" w:sz="8" w:space="0" w:color="D3D3D3"/>
              <w:right w:val="single" w:sz="8" w:space="0" w:color="D3D3D3"/>
            </w:tcBorders>
            <w:shd w:val="clear" w:color="auto" w:fill="auto"/>
            <w:vAlign w:val="center"/>
          </w:tcPr>
          <w:p w14:paraId="2D4186CF" w14:textId="77777777" w:rsidR="006E2539" w:rsidRPr="002048A7" w:rsidRDefault="006E2539" w:rsidP="006E2539">
            <w:pPr>
              <w:spacing w:after="0" w:line="240" w:lineRule="auto"/>
              <w:jc w:val="center"/>
              <w:rPr>
                <w:rFonts w:eastAsia="Times New Roman" w:cstheme="minorHAnsi"/>
                <w:color w:val="000000"/>
                <w:lang w:eastAsia="tr-TR"/>
              </w:rPr>
            </w:pPr>
            <w:r w:rsidRPr="002048A7">
              <w:rPr>
                <w:rFonts w:eastAsia="Times New Roman" w:cstheme="minorHAnsi"/>
                <w:color w:val="000000"/>
                <w:lang w:eastAsia="tr-TR"/>
              </w:rPr>
              <w:t>LNG</w:t>
            </w:r>
          </w:p>
        </w:tc>
        <w:tc>
          <w:tcPr>
            <w:tcW w:w="978" w:type="pct"/>
            <w:tcBorders>
              <w:top w:val="nil"/>
              <w:left w:val="nil"/>
              <w:bottom w:val="single" w:sz="8" w:space="0" w:color="D3D3D3"/>
              <w:right w:val="single" w:sz="8" w:space="0" w:color="D3D3D3"/>
            </w:tcBorders>
            <w:shd w:val="clear" w:color="auto" w:fill="auto"/>
            <w:vAlign w:val="center"/>
          </w:tcPr>
          <w:p w14:paraId="45DD6DB8" w14:textId="77777777" w:rsidR="006E2539" w:rsidRPr="002048A7" w:rsidRDefault="006E2539" w:rsidP="006E2539">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180.169</w:t>
            </w:r>
          </w:p>
        </w:tc>
      </w:tr>
    </w:tbl>
    <w:p w14:paraId="1F65C56E" w14:textId="77777777" w:rsidR="00CB5826" w:rsidRPr="002048A7" w:rsidRDefault="00CB5826" w:rsidP="00172E74">
      <w:pPr>
        <w:spacing w:after="0"/>
        <w:rPr>
          <w:sz w:val="20"/>
          <w:szCs w:val="20"/>
        </w:rPr>
      </w:pPr>
      <w:r w:rsidRPr="002048A7">
        <w:rPr>
          <w:sz w:val="20"/>
          <w:szCs w:val="20"/>
        </w:rPr>
        <w:t>*</w:t>
      </w:r>
      <w:r w:rsidR="00894FB0" w:rsidRPr="002048A7">
        <w:rPr>
          <w:sz w:val="20"/>
          <w:szCs w:val="20"/>
        </w:rPr>
        <w:t xml:space="preserve"> </w:t>
      </w:r>
      <w:r w:rsidRPr="002048A7">
        <w:rPr>
          <w:i/>
          <w:sz w:val="20"/>
          <w:szCs w:val="20"/>
        </w:rPr>
        <w:t>Tesis henüz faaliyete geçmemiştir</w:t>
      </w:r>
      <w:r w:rsidRPr="002048A7">
        <w:rPr>
          <w:sz w:val="20"/>
          <w:szCs w:val="20"/>
        </w:rPr>
        <w:t>.</w:t>
      </w:r>
    </w:p>
    <w:p w14:paraId="1E53D80B" w14:textId="77777777" w:rsidR="0075500C" w:rsidRPr="002048A7" w:rsidRDefault="0075500C" w:rsidP="00172E74">
      <w:pPr>
        <w:spacing w:after="0"/>
        <w:rPr>
          <w:sz w:val="20"/>
          <w:szCs w:val="20"/>
        </w:rPr>
      </w:pPr>
      <w:r w:rsidRPr="002048A7">
        <w:rPr>
          <w:sz w:val="20"/>
          <w:szCs w:val="20"/>
        </w:rPr>
        <w:t xml:space="preserve">** </w:t>
      </w:r>
      <w:r w:rsidRPr="002048A7">
        <w:rPr>
          <w:i/>
          <w:sz w:val="20"/>
          <w:szCs w:val="20"/>
        </w:rPr>
        <w:t>Sıvılaştırılmış doğal gaz (LNG)</w:t>
      </w:r>
    </w:p>
    <w:p w14:paraId="1193D1A0" w14:textId="77777777" w:rsidR="00F34E9C" w:rsidRPr="002048A7" w:rsidRDefault="00FA7792" w:rsidP="00F34E9C">
      <w:pPr>
        <w:rPr>
          <w:sz w:val="20"/>
          <w:szCs w:val="20"/>
        </w:rPr>
      </w:pPr>
      <w:r w:rsidRPr="002048A7">
        <w:rPr>
          <w:sz w:val="20"/>
          <w:szCs w:val="20"/>
        </w:rPr>
        <w:t xml:space="preserve">*** </w:t>
      </w:r>
      <w:r w:rsidR="00F34E9C" w:rsidRPr="002048A7">
        <w:rPr>
          <w:i/>
          <w:sz w:val="20"/>
          <w:szCs w:val="20"/>
        </w:rPr>
        <w:t>Miktarlar, faaliyette olan tesisler için lisanslarında kayıtlı 202</w:t>
      </w:r>
      <w:r w:rsidR="00DD3613">
        <w:rPr>
          <w:i/>
          <w:sz w:val="20"/>
          <w:szCs w:val="20"/>
        </w:rPr>
        <w:t>4</w:t>
      </w:r>
      <w:r w:rsidR="00F34E9C" w:rsidRPr="002048A7">
        <w:rPr>
          <w:i/>
          <w:sz w:val="20"/>
          <w:szCs w:val="20"/>
        </w:rPr>
        <w:t xml:space="preserve"> yılına ait kapasite; faaliyette olmayan tesisler için ise faaliyete başlayacakları dönemde sahip olacakları depolama kapasite miktarlarıdır</w:t>
      </w:r>
      <w:r w:rsidR="00F34E9C" w:rsidRPr="002048A7">
        <w:rPr>
          <w:sz w:val="20"/>
          <w:szCs w:val="20"/>
        </w:rPr>
        <w:t xml:space="preserve">. </w:t>
      </w:r>
    </w:p>
    <w:p w14:paraId="6EDDA05E" w14:textId="77777777" w:rsidR="0007594C" w:rsidRPr="002048A7" w:rsidRDefault="0007594C" w:rsidP="0007594C">
      <w:pPr>
        <w:tabs>
          <w:tab w:val="left" w:pos="284"/>
          <w:tab w:val="left" w:pos="567"/>
          <w:tab w:val="left" w:pos="709"/>
          <w:tab w:val="left" w:pos="851"/>
        </w:tabs>
        <w:spacing w:before="240" w:after="120"/>
        <w:rPr>
          <w:b/>
        </w:rPr>
      </w:pPr>
      <w:r w:rsidRPr="002048A7">
        <w:rPr>
          <w:b/>
        </w:rPr>
        <w:t>Doğal Gaz Dağıtım Lisansı İhalelerine İlişkin Bilgiler;</w:t>
      </w:r>
    </w:p>
    <w:p w14:paraId="475E2DA9" w14:textId="77777777" w:rsidR="0007594C" w:rsidRPr="002048A7" w:rsidRDefault="0007594C" w:rsidP="0007594C">
      <w:pPr>
        <w:pStyle w:val="ListeParagraf"/>
        <w:numPr>
          <w:ilvl w:val="0"/>
          <w:numId w:val="2"/>
        </w:numPr>
        <w:tabs>
          <w:tab w:val="left" w:pos="284"/>
          <w:tab w:val="left" w:pos="567"/>
          <w:tab w:val="left" w:pos="709"/>
          <w:tab w:val="left" w:pos="851"/>
        </w:tabs>
        <w:spacing w:after="0" w:line="269" w:lineRule="auto"/>
      </w:pPr>
      <w:r w:rsidRPr="002048A7">
        <w:rPr>
          <w:color w:val="FF0000"/>
        </w:rPr>
        <w:t xml:space="preserve">   </w:t>
      </w:r>
      <w:r w:rsidRPr="002048A7">
        <w:t xml:space="preserve">       4646 sayılı Doğal Gaz Piyasası Kanununun yayımlandığı 2001 yılından günümüze kadar geçen dönemde, Kanun ve ikincil mevzuat hükümleri çerçevesinde gerçekleştirilen şehir içi doğal gaz dağıtım lisansı ihaleleri ile doğal gazın yaygınlaştırılması ve doğal gaz dağıtım faaliyetinin özel sektör tarafından yürütülmesi sağlanmıştır. </w:t>
      </w:r>
    </w:p>
    <w:p w14:paraId="030A7B73" w14:textId="77777777" w:rsidR="0007594C" w:rsidRPr="002048A7" w:rsidRDefault="0007594C" w:rsidP="0007594C">
      <w:pPr>
        <w:pStyle w:val="ListeParagraf"/>
        <w:tabs>
          <w:tab w:val="left" w:pos="284"/>
          <w:tab w:val="left" w:pos="567"/>
          <w:tab w:val="left" w:pos="709"/>
          <w:tab w:val="left" w:pos="851"/>
        </w:tabs>
        <w:spacing w:after="0" w:line="269" w:lineRule="auto"/>
        <w:ind w:left="1065"/>
      </w:pPr>
    </w:p>
    <w:p w14:paraId="442E9017" w14:textId="77777777" w:rsidR="0007594C" w:rsidRPr="002048A7" w:rsidRDefault="0007594C" w:rsidP="0007594C">
      <w:pPr>
        <w:pStyle w:val="ListeParagraf"/>
        <w:numPr>
          <w:ilvl w:val="0"/>
          <w:numId w:val="2"/>
        </w:numPr>
        <w:tabs>
          <w:tab w:val="left" w:pos="284"/>
          <w:tab w:val="left" w:pos="567"/>
          <w:tab w:val="left" w:pos="709"/>
          <w:tab w:val="left" w:pos="851"/>
        </w:tabs>
        <w:spacing w:after="0" w:line="269" w:lineRule="auto"/>
      </w:pPr>
      <w:r w:rsidRPr="002048A7">
        <w:t xml:space="preserve">          Kanun gereği, şehir içi doğal gaz dağıtım hizmeti, EPDK tarafından açılan ihaleyi kazanarak dağıtım lisansı alan şirket tarafından yerine getirilmektedir. Şirketler tarafından verilen teklifler, ilgili mevzuatta belirtilen usul ve esaslara göre, bir kWh doğal gazın sunumu için tek bir bedel olarak verilen birim hizmet ve amortisman bedeli üzerinden değerlendirilmektedir.    </w:t>
      </w:r>
    </w:p>
    <w:p w14:paraId="495AADBB" w14:textId="77777777" w:rsidR="0007594C" w:rsidRPr="002048A7" w:rsidRDefault="0007594C" w:rsidP="0007594C">
      <w:pPr>
        <w:pStyle w:val="ListeParagraf"/>
        <w:tabs>
          <w:tab w:val="left" w:pos="284"/>
          <w:tab w:val="left" w:pos="567"/>
          <w:tab w:val="left" w:pos="709"/>
          <w:tab w:val="left" w:pos="851"/>
        </w:tabs>
        <w:spacing w:after="0" w:line="269" w:lineRule="auto"/>
        <w:ind w:left="1065"/>
      </w:pPr>
    </w:p>
    <w:p w14:paraId="36C7B494" w14:textId="77777777" w:rsidR="0007594C" w:rsidRPr="002048A7" w:rsidRDefault="0007594C" w:rsidP="0007594C">
      <w:pPr>
        <w:pStyle w:val="ListeParagraf"/>
        <w:numPr>
          <w:ilvl w:val="0"/>
          <w:numId w:val="2"/>
        </w:numPr>
        <w:tabs>
          <w:tab w:val="left" w:pos="284"/>
          <w:tab w:val="left" w:pos="567"/>
          <w:tab w:val="left" w:pos="709"/>
          <w:tab w:val="left" w:pos="851"/>
        </w:tabs>
        <w:spacing w:after="0" w:line="269" w:lineRule="auto"/>
      </w:pPr>
      <w:r w:rsidRPr="002048A7">
        <w:t xml:space="preserve">          4646 sayılı Doğal Gaz Piyasası Kanunu kapsamında EPDK tarafından bugüne kadar yapılan ihaleler ve Kanun öncesi verilen dağıtım lisansları sonucunda 81 ilimizde ve </w:t>
      </w:r>
      <w:r w:rsidR="00DD3613">
        <w:t>907</w:t>
      </w:r>
      <w:r w:rsidRPr="002048A7">
        <w:t xml:space="preserve"> ilçe ve beldemizde hâlihazırda fiilen doğal gaz kullanımına başlanmıştır. Doğal gaz kullanımının ülke geneline yaygınlaştırılması hedefi doğrultusunda daha önceki yıllarda ihalesine çıkılmasına rağmen başarısızlıkla sonuçlanan Artvin, Hakkâri ve Şırnak illerimize doğal gaz ulaştırılması amacıyla açılan ihaleler Mart 2017 içerisinde gerçekleştirilmiş ve başarıyla sonuçlandırılmıştır. Mevcut durumda lisanslama işlemleri </w:t>
      </w:r>
      <w:r w:rsidRPr="002048A7">
        <w:lastRenderedPageBreak/>
        <w:t>tamamlanmış olup 2018 yılında bu illerimizde doğal gaz arzı gerçekleştirilmiştir. Böylece, hâlihazırda 81 ilimizde doğal gaz kullanımına imkân sağlanmıştır.</w:t>
      </w:r>
    </w:p>
    <w:p w14:paraId="26675CD8" w14:textId="77777777" w:rsidR="0007594C" w:rsidRPr="002048A7" w:rsidRDefault="0007594C" w:rsidP="0007594C">
      <w:pPr>
        <w:pStyle w:val="ListeParagraf"/>
        <w:tabs>
          <w:tab w:val="left" w:pos="284"/>
          <w:tab w:val="left" w:pos="567"/>
          <w:tab w:val="left" w:pos="709"/>
          <w:tab w:val="left" w:pos="851"/>
        </w:tabs>
        <w:spacing w:after="0" w:line="269" w:lineRule="auto"/>
        <w:ind w:left="1065"/>
      </w:pPr>
    </w:p>
    <w:p w14:paraId="6661A475" w14:textId="77777777" w:rsidR="0007594C" w:rsidRPr="002048A7" w:rsidRDefault="0007594C" w:rsidP="0007594C">
      <w:pPr>
        <w:pStyle w:val="ListeParagraf"/>
        <w:numPr>
          <w:ilvl w:val="0"/>
          <w:numId w:val="2"/>
        </w:numPr>
        <w:tabs>
          <w:tab w:val="left" w:pos="284"/>
        </w:tabs>
        <w:spacing w:after="0" w:line="269" w:lineRule="auto"/>
      </w:pPr>
      <w:bookmarkStart w:id="127" w:name="_Hlk161741228"/>
      <w:r w:rsidRPr="002048A7">
        <w:t>Doğal gaz kullanımının ülke genelinde yaygınlaştırılması hedefi doğrultusunda, mevcut doğal gaz dağıtım bölgesi lisans kapsamı dışında kalan merkez nüfusu 10 bin ve 20 bin üzerindeki ilçelerimize doğal gaz ulaştırılması amacıyla alınan 2953 sayılı Cumhurbaşkanı Kararı kapsamında gerekli çalışmalar yürütülmekte olup söz konusu ilçelerin doğal gaz dağıtım bölgeleri kapsamına alınması işlemleri ve yatırım süreçleri takip edilmektedir. 4646 sayılı Kanundan öncesi faaliyetlerini gerçekleştirmekte olan 7 dağıtım şirketi ve Kurumca yapılan ihaleler neticesinde lisans verilen 6</w:t>
      </w:r>
      <w:r w:rsidR="00DD3613">
        <w:t>6</w:t>
      </w:r>
      <w:r w:rsidRPr="002048A7">
        <w:t xml:space="preserve"> dağıtım şirketi ile birlikte ilgili mevzuat çerçevesinde hâlihazırda toplam 7</w:t>
      </w:r>
      <w:r w:rsidR="00DD3613">
        <w:t>3</w:t>
      </w:r>
      <w:r w:rsidRPr="002048A7">
        <w:t xml:space="preserve"> adet “Doğal Gaz Dağıtım Lisansı” verilmiştir.</w:t>
      </w:r>
    </w:p>
    <w:bookmarkEnd w:id="127"/>
    <w:p w14:paraId="4AEEFC1D" w14:textId="77777777" w:rsidR="0007594C" w:rsidRPr="002048A7" w:rsidRDefault="0007594C" w:rsidP="0007594C">
      <w:pPr>
        <w:pStyle w:val="ListeParagraf"/>
        <w:tabs>
          <w:tab w:val="left" w:pos="284"/>
        </w:tabs>
        <w:spacing w:after="0" w:line="269" w:lineRule="auto"/>
        <w:ind w:left="1065"/>
      </w:pPr>
    </w:p>
    <w:p w14:paraId="4D4AB5AF" w14:textId="77777777" w:rsidR="0007594C" w:rsidRPr="002048A7" w:rsidRDefault="0007594C" w:rsidP="0007594C">
      <w:pPr>
        <w:pStyle w:val="ListeParagraf"/>
        <w:numPr>
          <w:ilvl w:val="0"/>
          <w:numId w:val="2"/>
        </w:numPr>
        <w:tabs>
          <w:tab w:val="left" w:pos="284"/>
          <w:tab w:val="left" w:pos="567"/>
          <w:tab w:val="left" w:pos="709"/>
          <w:tab w:val="left" w:pos="851"/>
        </w:tabs>
        <w:spacing w:after="0" w:line="269" w:lineRule="auto"/>
      </w:pPr>
      <w:r w:rsidRPr="002048A7">
        <w:t xml:space="preserve">          İstanbul Gaz Dağıtım Sanayi ve Ticaret Anonim Şirketi (İGDAŞ) haricindeki tüm dağıtım bölgelerinde doğal gaz dağıtımı özel sektör eliyle yapılmaktadır.</w:t>
      </w:r>
    </w:p>
    <w:p w14:paraId="4628C98C" w14:textId="77777777" w:rsidR="00CB5826" w:rsidRPr="002048A7" w:rsidRDefault="00CB5826" w:rsidP="00577AAF">
      <w:pPr>
        <w:pStyle w:val="Balk3"/>
        <w:numPr>
          <w:ilvl w:val="2"/>
          <w:numId w:val="11"/>
        </w:numPr>
        <w:spacing w:after="240"/>
        <w:rPr>
          <w:rFonts w:asciiTheme="minorHAnsi" w:hAnsiTheme="minorHAnsi"/>
          <w:color w:val="auto"/>
        </w:rPr>
      </w:pPr>
      <w:bookmarkStart w:id="128" w:name="_Toc442431260"/>
      <w:bookmarkStart w:id="129" w:name="_Toc195868698"/>
      <w:r w:rsidRPr="002048A7">
        <w:rPr>
          <w:rFonts w:asciiTheme="minorHAnsi" w:hAnsiTheme="minorHAnsi"/>
          <w:color w:val="auto"/>
        </w:rPr>
        <w:t>Sertifika İşlemleri</w:t>
      </w:r>
      <w:bookmarkEnd w:id="128"/>
      <w:bookmarkEnd w:id="129"/>
    </w:p>
    <w:p w14:paraId="25C8EAEF" w14:textId="77777777" w:rsidR="004F32D4" w:rsidRPr="002048A7" w:rsidRDefault="004F32D4" w:rsidP="004F32D4">
      <w:bookmarkStart w:id="130" w:name="_Toc416447584"/>
      <w:bookmarkStart w:id="131" w:name="_Toc442441735"/>
      <w:r w:rsidRPr="002048A7">
        <w:t>Doğal gaz piyasasında iç tesisat ve servis hatları ile yapım ve hizmet faaliyetlerini yürüten gerçek veya tüzel kişilere verilecek sertifikalara ilişkin usul ve esaslar, Doğal Gaz Piyasası Sertifika Yönetmeliğinde belirlenmiştir.</w:t>
      </w:r>
    </w:p>
    <w:p w14:paraId="27E99BF5" w14:textId="77777777" w:rsidR="004F32D4" w:rsidRPr="002048A7" w:rsidRDefault="004F32D4" w:rsidP="004F32D4">
      <w:r w:rsidRPr="002048A7">
        <w:t xml:space="preserve">Doğal gazla ilgili herhangi bir yapım ve hizmet faaliyeti, sertifika sahibi olmayan kişiler tarafından gerçekleştirilemez. Sistemle ilgili; fizibilite, etüt, proje, müşavirlik, kontrol ve denetleme, yapım, servis, bakım ve onarım gibi hizmetleri yapacak olanlar da yapacakları faaliyetler için Kurumdan sertifika almak zorundadır. </w:t>
      </w:r>
    </w:p>
    <w:p w14:paraId="4810C445" w14:textId="77777777" w:rsidR="00440F27" w:rsidRPr="002048A7" w:rsidRDefault="00440F27" w:rsidP="00440F27">
      <w:r w:rsidRPr="002048A7">
        <w:t>Sertifikalar bir defada en az on, en fazla otuz yıllık süre için verilmektedir. Sertifikalar ayrıca vize işlemine tabidir. Sertifika sahibi, vizesi olmadan faaliyetine devam edemez. Vize süresi, sertifika yürürlük ve yapılan her yeni vize başlangıç tarihinden itibaren yapım ve hizmet sertifikası için iki yıl, iç tesisat ve servis hatları sertifikası için bir yıldır.</w:t>
      </w:r>
    </w:p>
    <w:p w14:paraId="464662BC" w14:textId="77777777" w:rsidR="00872D69" w:rsidRPr="002048A7" w:rsidRDefault="004F32D4" w:rsidP="004F32D4">
      <w:pPr>
        <w:rPr>
          <w:rStyle w:val="Gl"/>
          <w:b w:val="0"/>
          <w:bCs w:val="0"/>
        </w:rPr>
      </w:pPr>
      <w:r w:rsidRPr="002048A7">
        <w:t>Sertifika verilmesini müteakip her sertifika sahibi için ayrı bir sicil dosyası açılmakta ve ilgili mevzuat hükümlerine göre sicil kayıtları tutulmaktadır. Yapım ve hizmet sertifikası alan gerçek ve tüzel kişiler Kurumun internet sayfasında, iç tesisat ve servis hatları sertifikası alan gerçek ve tüzel kişiler, sertifika aldığı dağıtım şirketinin internet sayfasında ilan edilmektedir.</w:t>
      </w:r>
    </w:p>
    <w:p w14:paraId="15468DB5" w14:textId="77777777" w:rsidR="00CB5826" w:rsidRPr="002048A7" w:rsidRDefault="00CB5826" w:rsidP="00C466F8">
      <w:pPr>
        <w:pStyle w:val="Balk5"/>
        <w:jc w:val="center"/>
        <w:rPr>
          <w:rStyle w:val="Gl"/>
          <w:color w:val="000000" w:themeColor="text1"/>
        </w:rPr>
      </w:pPr>
      <w:bookmarkStart w:id="132" w:name="_Toc195868803"/>
      <w:r w:rsidRPr="002048A7">
        <w:rPr>
          <w:rStyle w:val="Gl"/>
          <w:color w:val="000000" w:themeColor="text1"/>
        </w:rPr>
        <w:t>Tablo</w:t>
      </w:r>
      <w:r w:rsidR="00711603" w:rsidRPr="002048A7">
        <w:rPr>
          <w:rStyle w:val="Gl"/>
          <w:color w:val="000000" w:themeColor="text1"/>
        </w:rPr>
        <w:t xml:space="preserve"> </w:t>
      </w:r>
      <w:r w:rsidRPr="002048A7">
        <w:rPr>
          <w:rStyle w:val="Gl"/>
          <w:color w:val="000000" w:themeColor="text1"/>
        </w:rPr>
        <w:t>3</w:t>
      </w:r>
      <w:r w:rsidR="000A02ED" w:rsidRPr="002048A7">
        <w:rPr>
          <w:rStyle w:val="Gl"/>
          <w:color w:val="000000" w:themeColor="text1"/>
        </w:rPr>
        <w:t>.</w:t>
      </w:r>
      <w:r w:rsidR="0007594C" w:rsidRPr="002048A7">
        <w:rPr>
          <w:rStyle w:val="Gl"/>
          <w:color w:val="000000" w:themeColor="text1"/>
        </w:rPr>
        <w:t>7</w:t>
      </w:r>
      <w:r w:rsidR="000A3A5E" w:rsidRPr="002048A7">
        <w:rPr>
          <w:rStyle w:val="Gl"/>
          <w:color w:val="000000" w:themeColor="text1"/>
        </w:rPr>
        <w:t>: Doğal Gaz Piyasasında 202</w:t>
      </w:r>
      <w:r w:rsidR="00DD3613">
        <w:rPr>
          <w:rStyle w:val="Gl"/>
          <w:color w:val="000000" w:themeColor="text1"/>
        </w:rPr>
        <w:t>4</w:t>
      </w:r>
      <w:r w:rsidRPr="002048A7">
        <w:rPr>
          <w:rStyle w:val="Gl"/>
          <w:color w:val="000000" w:themeColor="text1"/>
        </w:rPr>
        <w:t xml:space="preserve"> Yılında Gerçekleştirilen Sertifika İşlemleri</w:t>
      </w:r>
      <w:r w:rsidR="00097575" w:rsidRPr="002048A7">
        <w:rPr>
          <w:rStyle w:val="Gl"/>
          <w:color w:val="000000" w:themeColor="text1"/>
        </w:rPr>
        <w:t xml:space="preserve"> </w:t>
      </w:r>
      <w:r w:rsidRPr="002048A7">
        <w:rPr>
          <w:rStyle w:val="Gl"/>
          <w:color w:val="000000" w:themeColor="text1"/>
        </w:rPr>
        <w:t>(Adet)</w:t>
      </w:r>
      <w:bookmarkEnd w:id="130"/>
      <w:bookmarkEnd w:id="131"/>
      <w:bookmarkEnd w:id="132"/>
    </w:p>
    <w:tbl>
      <w:tblPr>
        <w:tblW w:w="4819" w:type="pct"/>
        <w:tblCellMar>
          <w:left w:w="70" w:type="dxa"/>
          <w:right w:w="70" w:type="dxa"/>
        </w:tblCellMar>
        <w:tblLook w:val="04A0" w:firstRow="1" w:lastRow="0" w:firstColumn="1" w:lastColumn="0" w:noHBand="0" w:noVBand="1"/>
      </w:tblPr>
      <w:tblGrid>
        <w:gridCol w:w="1011"/>
        <w:gridCol w:w="1114"/>
        <w:gridCol w:w="2093"/>
        <w:gridCol w:w="1422"/>
        <w:gridCol w:w="902"/>
        <w:gridCol w:w="903"/>
        <w:gridCol w:w="827"/>
        <w:gridCol w:w="1272"/>
      </w:tblGrid>
      <w:tr w:rsidR="00547BB3" w:rsidRPr="002048A7" w14:paraId="15DD9E6D" w14:textId="77777777" w:rsidTr="00A341D7">
        <w:trPr>
          <w:trHeight w:val="20"/>
        </w:trPr>
        <w:tc>
          <w:tcPr>
            <w:tcW w:w="530" w:type="pct"/>
            <w:vMerge w:val="restart"/>
            <w:tcBorders>
              <w:top w:val="single" w:sz="8" w:space="0" w:color="BFBFBF"/>
              <w:left w:val="single" w:sz="8" w:space="0" w:color="BFBFBF"/>
              <w:bottom w:val="single" w:sz="8" w:space="0" w:color="BFBFBF"/>
              <w:right w:val="single" w:sz="8" w:space="0" w:color="BFBFBF"/>
            </w:tcBorders>
            <w:shd w:val="clear" w:color="000000" w:fill="6E9ECA"/>
            <w:vAlign w:val="center"/>
            <w:hideMark/>
          </w:tcPr>
          <w:p w14:paraId="4EB71033" w14:textId="77777777" w:rsidR="00547BB3" w:rsidRPr="002048A7" w:rsidRDefault="00547BB3" w:rsidP="00547BB3">
            <w:pPr>
              <w:spacing w:after="0" w:line="240" w:lineRule="auto"/>
              <w:jc w:val="center"/>
              <w:rPr>
                <w:rFonts w:eastAsia="Times New Roman" w:cstheme="minorHAnsi"/>
                <w:b/>
                <w:bCs/>
                <w:color w:val="FFFFFF"/>
                <w:lang w:eastAsia="tr-TR"/>
              </w:rPr>
            </w:pPr>
            <w:bookmarkStart w:id="133" w:name="_Toc442431261"/>
            <w:r w:rsidRPr="002048A7">
              <w:rPr>
                <w:rFonts w:eastAsia="Times New Roman" w:cstheme="minorHAnsi"/>
                <w:b/>
                <w:bCs/>
                <w:color w:val="FFFFFF"/>
                <w:lang w:eastAsia="tr-TR"/>
              </w:rPr>
              <w:t>Sertifika Tipi</w:t>
            </w:r>
          </w:p>
        </w:tc>
        <w:tc>
          <w:tcPr>
            <w:tcW w:w="3371" w:type="pct"/>
            <w:gridSpan w:val="5"/>
            <w:tcBorders>
              <w:top w:val="single" w:sz="8" w:space="0" w:color="BFBFBF"/>
              <w:left w:val="nil"/>
              <w:bottom w:val="single" w:sz="8" w:space="0" w:color="BFBFBF"/>
              <w:right w:val="single" w:sz="8" w:space="0" w:color="BFBFBF"/>
            </w:tcBorders>
            <w:shd w:val="clear" w:color="000000" w:fill="6E9ECA"/>
            <w:vAlign w:val="center"/>
            <w:hideMark/>
          </w:tcPr>
          <w:p w14:paraId="5FF55E40" w14:textId="77777777" w:rsidR="00547BB3" w:rsidRPr="002048A7" w:rsidRDefault="00547BB3" w:rsidP="00547BB3">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Sertifika İşlem Türü</w:t>
            </w:r>
          </w:p>
        </w:tc>
        <w:tc>
          <w:tcPr>
            <w:tcW w:w="433" w:type="pct"/>
            <w:vMerge w:val="restart"/>
            <w:tcBorders>
              <w:top w:val="single" w:sz="8" w:space="0" w:color="BFBFBF"/>
              <w:left w:val="single" w:sz="8" w:space="0" w:color="BFBFBF"/>
              <w:bottom w:val="single" w:sz="8" w:space="0" w:color="BFBFBF"/>
              <w:right w:val="single" w:sz="8" w:space="0" w:color="BFBFBF"/>
            </w:tcBorders>
            <w:shd w:val="clear" w:color="000000" w:fill="6E9ECA"/>
            <w:vAlign w:val="center"/>
            <w:hideMark/>
          </w:tcPr>
          <w:p w14:paraId="632DA267" w14:textId="77777777" w:rsidR="00547BB3" w:rsidRPr="002048A7" w:rsidRDefault="00547BB3" w:rsidP="00547BB3">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Genel Toplam</w:t>
            </w:r>
          </w:p>
        </w:tc>
        <w:tc>
          <w:tcPr>
            <w:tcW w:w="666" w:type="pct"/>
            <w:vMerge w:val="restart"/>
            <w:tcBorders>
              <w:top w:val="single" w:sz="8" w:space="0" w:color="BFBFBF"/>
              <w:left w:val="single" w:sz="8" w:space="0" w:color="BFBFBF"/>
              <w:bottom w:val="single" w:sz="8" w:space="0" w:color="BFBFBF"/>
              <w:right w:val="single" w:sz="8" w:space="0" w:color="BFBFBF"/>
            </w:tcBorders>
            <w:shd w:val="clear" w:color="000000" w:fill="6E9ECA"/>
            <w:vAlign w:val="center"/>
            <w:hideMark/>
          </w:tcPr>
          <w:p w14:paraId="68BC2B7F" w14:textId="77777777" w:rsidR="00547BB3" w:rsidRPr="002048A7" w:rsidRDefault="00547BB3" w:rsidP="00547BB3">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Dönem Sonu Yürürlükteki Sertifika Sayısı</w:t>
            </w:r>
          </w:p>
        </w:tc>
      </w:tr>
      <w:tr w:rsidR="002A7E33" w:rsidRPr="002048A7" w14:paraId="22AE8CFF" w14:textId="77777777" w:rsidTr="00A341D7">
        <w:trPr>
          <w:trHeight w:val="20"/>
        </w:trPr>
        <w:tc>
          <w:tcPr>
            <w:tcW w:w="530" w:type="pct"/>
            <w:vMerge/>
            <w:tcBorders>
              <w:top w:val="single" w:sz="8" w:space="0" w:color="BFBFBF"/>
              <w:left w:val="single" w:sz="8" w:space="0" w:color="BFBFBF"/>
              <w:bottom w:val="single" w:sz="8" w:space="0" w:color="BFBFBF"/>
              <w:right w:val="single" w:sz="8" w:space="0" w:color="BFBFBF"/>
            </w:tcBorders>
            <w:vAlign w:val="center"/>
            <w:hideMark/>
          </w:tcPr>
          <w:p w14:paraId="721375AA" w14:textId="77777777" w:rsidR="002A7E33" w:rsidRPr="002048A7" w:rsidRDefault="002A7E33" w:rsidP="002A7E33">
            <w:pPr>
              <w:spacing w:after="0" w:line="240" w:lineRule="auto"/>
              <w:rPr>
                <w:rFonts w:eastAsia="Times New Roman" w:cstheme="minorHAnsi"/>
                <w:b/>
                <w:bCs/>
                <w:color w:val="FFFFFF"/>
                <w:lang w:eastAsia="tr-TR"/>
              </w:rPr>
            </w:pPr>
          </w:p>
        </w:tc>
        <w:tc>
          <w:tcPr>
            <w:tcW w:w="584" w:type="pct"/>
            <w:tcBorders>
              <w:top w:val="nil"/>
              <w:left w:val="nil"/>
              <w:bottom w:val="single" w:sz="8" w:space="0" w:color="BFBFBF"/>
              <w:right w:val="single" w:sz="8" w:space="0" w:color="BFBFBF"/>
            </w:tcBorders>
            <w:shd w:val="clear" w:color="000000" w:fill="6E9ECA"/>
            <w:vAlign w:val="center"/>
            <w:hideMark/>
          </w:tcPr>
          <w:p w14:paraId="6F95F231" w14:textId="77777777" w:rsidR="002A7E33" w:rsidRPr="002048A7" w:rsidRDefault="002A7E33" w:rsidP="002A7E33">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Sertifika Başvurusu</w:t>
            </w:r>
          </w:p>
          <w:p w14:paraId="66793051" w14:textId="77777777" w:rsidR="002A7E33" w:rsidRPr="002048A7" w:rsidRDefault="002A7E33" w:rsidP="002A7E33">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Sayısı</w:t>
            </w:r>
          </w:p>
        </w:tc>
        <w:tc>
          <w:tcPr>
            <w:tcW w:w="1097" w:type="pct"/>
            <w:tcBorders>
              <w:top w:val="nil"/>
              <w:left w:val="nil"/>
              <w:bottom w:val="single" w:sz="8" w:space="0" w:color="BFBFBF"/>
              <w:right w:val="single" w:sz="8" w:space="0" w:color="BFBFBF"/>
            </w:tcBorders>
            <w:shd w:val="clear" w:color="000000" w:fill="6E9ECA"/>
            <w:vAlign w:val="center"/>
            <w:hideMark/>
          </w:tcPr>
          <w:p w14:paraId="523F90A1" w14:textId="77777777" w:rsidR="002A7E33" w:rsidRPr="002048A7" w:rsidRDefault="002A7E33" w:rsidP="002A7E33">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Verilen Sertifika Sayısı</w:t>
            </w:r>
          </w:p>
        </w:tc>
        <w:tc>
          <w:tcPr>
            <w:tcW w:w="745" w:type="pct"/>
            <w:tcBorders>
              <w:top w:val="nil"/>
              <w:left w:val="nil"/>
              <w:bottom w:val="single" w:sz="8" w:space="0" w:color="BFBFBF"/>
              <w:right w:val="single" w:sz="8" w:space="0" w:color="BFBFBF"/>
            </w:tcBorders>
            <w:shd w:val="clear" w:color="000000" w:fill="6E9ECA"/>
            <w:vAlign w:val="center"/>
            <w:hideMark/>
          </w:tcPr>
          <w:p w14:paraId="6B9C5E55" w14:textId="77777777" w:rsidR="002A7E33" w:rsidRPr="002048A7" w:rsidRDefault="002A7E33" w:rsidP="002A7E33">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Sona Eren/Erdirilen Sertifika Sayısı</w:t>
            </w:r>
          </w:p>
        </w:tc>
        <w:tc>
          <w:tcPr>
            <w:tcW w:w="473" w:type="pct"/>
            <w:tcBorders>
              <w:top w:val="nil"/>
              <w:left w:val="nil"/>
              <w:bottom w:val="single" w:sz="8" w:space="0" w:color="BFBFBF"/>
              <w:right w:val="single" w:sz="8" w:space="0" w:color="BFBFBF"/>
            </w:tcBorders>
            <w:shd w:val="clear" w:color="000000" w:fill="6E9ECA"/>
            <w:vAlign w:val="center"/>
            <w:hideMark/>
          </w:tcPr>
          <w:p w14:paraId="68DBC7A8" w14:textId="77777777" w:rsidR="002A7E33" w:rsidRPr="002048A7" w:rsidRDefault="002A7E33" w:rsidP="002A7E33">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Verilen Sertifika Vize Sayısı</w:t>
            </w:r>
          </w:p>
        </w:tc>
        <w:tc>
          <w:tcPr>
            <w:tcW w:w="473" w:type="pct"/>
            <w:tcBorders>
              <w:top w:val="nil"/>
              <w:left w:val="nil"/>
              <w:bottom w:val="single" w:sz="8" w:space="0" w:color="BFBFBF"/>
              <w:right w:val="single" w:sz="8" w:space="0" w:color="BFBFBF"/>
            </w:tcBorders>
            <w:shd w:val="clear" w:color="000000" w:fill="6E9ECA"/>
            <w:vAlign w:val="center"/>
            <w:hideMark/>
          </w:tcPr>
          <w:p w14:paraId="52875DB5" w14:textId="77777777" w:rsidR="002A7E33" w:rsidRPr="002048A7" w:rsidRDefault="002A7E33" w:rsidP="002A7E33">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Tadil Edilen Sertifika Sayısı</w:t>
            </w:r>
          </w:p>
        </w:tc>
        <w:tc>
          <w:tcPr>
            <w:tcW w:w="433" w:type="pct"/>
            <w:vMerge/>
            <w:tcBorders>
              <w:top w:val="single" w:sz="8" w:space="0" w:color="BFBFBF"/>
              <w:left w:val="single" w:sz="8" w:space="0" w:color="BFBFBF"/>
              <w:bottom w:val="single" w:sz="8" w:space="0" w:color="BFBFBF"/>
              <w:right w:val="single" w:sz="8" w:space="0" w:color="BFBFBF"/>
            </w:tcBorders>
            <w:vAlign w:val="center"/>
            <w:hideMark/>
          </w:tcPr>
          <w:p w14:paraId="2E22D540" w14:textId="77777777" w:rsidR="002A7E33" w:rsidRPr="002048A7" w:rsidRDefault="002A7E33" w:rsidP="002A7E33">
            <w:pPr>
              <w:spacing w:after="0" w:line="240" w:lineRule="auto"/>
              <w:rPr>
                <w:rFonts w:eastAsia="Times New Roman" w:cstheme="minorHAnsi"/>
                <w:b/>
                <w:bCs/>
                <w:color w:val="FFFFFF"/>
                <w:lang w:eastAsia="tr-TR"/>
              </w:rPr>
            </w:pPr>
          </w:p>
        </w:tc>
        <w:tc>
          <w:tcPr>
            <w:tcW w:w="666" w:type="pct"/>
            <w:vMerge/>
            <w:tcBorders>
              <w:top w:val="single" w:sz="8" w:space="0" w:color="BFBFBF"/>
              <w:left w:val="single" w:sz="8" w:space="0" w:color="BFBFBF"/>
              <w:bottom w:val="single" w:sz="8" w:space="0" w:color="BFBFBF"/>
              <w:right w:val="single" w:sz="8" w:space="0" w:color="BFBFBF"/>
            </w:tcBorders>
            <w:vAlign w:val="center"/>
            <w:hideMark/>
          </w:tcPr>
          <w:p w14:paraId="095BD2B1" w14:textId="77777777" w:rsidR="002A7E33" w:rsidRPr="002048A7" w:rsidRDefault="002A7E33" w:rsidP="002A7E33">
            <w:pPr>
              <w:spacing w:after="0" w:line="240" w:lineRule="auto"/>
              <w:rPr>
                <w:rFonts w:eastAsia="Times New Roman" w:cstheme="minorHAnsi"/>
                <w:b/>
                <w:bCs/>
                <w:color w:val="FFFFFF"/>
                <w:lang w:eastAsia="tr-TR"/>
              </w:rPr>
            </w:pPr>
          </w:p>
        </w:tc>
      </w:tr>
      <w:tr w:rsidR="00A341D7" w:rsidRPr="002048A7" w14:paraId="476D2F9B" w14:textId="77777777" w:rsidTr="000B5167">
        <w:trPr>
          <w:trHeight w:val="20"/>
        </w:trPr>
        <w:tc>
          <w:tcPr>
            <w:tcW w:w="530" w:type="pct"/>
            <w:tcBorders>
              <w:top w:val="nil"/>
              <w:left w:val="single" w:sz="8" w:space="0" w:color="BFBFBF"/>
              <w:bottom w:val="single" w:sz="8" w:space="0" w:color="BFBFBF"/>
              <w:right w:val="single" w:sz="8" w:space="0" w:color="BFBFBF"/>
            </w:tcBorders>
            <w:shd w:val="clear" w:color="auto" w:fill="auto"/>
            <w:vAlign w:val="center"/>
            <w:hideMark/>
          </w:tcPr>
          <w:p w14:paraId="1D63CB0F" w14:textId="77777777" w:rsidR="00A341D7" w:rsidRPr="002048A7" w:rsidRDefault="00A341D7" w:rsidP="00A341D7">
            <w:pPr>
              <w:spacing w:after="0" w:line="240" w:lineRule="auto"/>
              <w:jc w:val="center"/>
              <w:rPr>
                <w:rFonts w:eastAsia="Times New Roman" w:cstheme="minorHAnsi"/>
                <w:color w:val="000000"/>
                <w:lang w:eastAsia="tr-TR"/>
              </w:rPr>
            </w:pPr>
            <w:r w:rsidRPr="002048A7">
              <w:rPr>
                <w:rFonts w:eastAsia="Times New Roman" w:cstheme="minorHAnsi"/>
                <w:color w:val="000000"/>
                <w:lang w:eastAsia="tr-TR"/>
              </w:rPr>
              <w:t>Yapım ve Hizmet Sertifikası</w:t>
            </w:r>
          </w:p>
        </w:tc>
        <w:tc>
          <w:tcPr>
            <w:tcW w:w="584" w:type="pct"/>
            <w:tcBorders>
              <w:top w:val="nil"/>
              <w:left w:val="nil"/>
              <w:bottom w:val="single" w:sz="8" w:space="0" w:color="BFBFBF"/>
              <w:right w:val="single" w:sz="8" w:space="0" w:color="BFBFBF"/>
            </w:tcBorders>
            <w:shd w:val="clear" w:color="auto" w:fill="auto"/>
            <w:vAlign w:val="center"/>
            <w:hideMark/>
          </w:tcPr>
          <w:p w14:paraId="1871CFAD" w14:textId="77777777" w:rsidR="00A341D7" w:rsidRPr="002048A7" w:rsidRDefault="001716C5" w:rsidP="000B5167">
            <w:pPr>
              <w:jc w:val="center"/>
            </w:pPr>
            <w:r>
              <w:t>93</w:t>
            </w:r>
          </w:p>
        </w:tc>
        <w:tc>
          <w:tcPr>
            <w:tcW w:w="1097" w:type="pct"/>
            <w:tcBorders>
              <w:top w:val="nil"/>
              <w:left w:val="nil"/>
              <w:bottom w:val="single" w:sz="8" w:space="0" w:color="BFBFBF"/>
              <w:right w:val="single" w:sz="8" w:space="0" w:color="BFBFBF"/>
            </w:tcBorders>
            <w:shd w:val="clear" w:color="auto" w:fill="auto"/>
            <w:vAlign w:val="center"/>
            <w:hideMark/>
          </w:tcPr>
          <w:p w14:paraId="6138CF6D" w14:textId="77777777" w:rsidR="00A341D7" w:rsidRPr="002048A7" w:rsidRDefault="001716C5" w:rsidP="000B5167">
            <w:pPr>
              <w:jc w:val="center"/>
            </w:pPr>
            <w:r>
              <w:t>95</w:t>
            </w:r>
          </w:p>
        </w:tc>
        <w:tc>
          <w:tcPr>
            <w:tcW w:w="745" w:type="pct"/>
            <w:tcBorders>
              <w:top w:val="nil"/>
              <w:left w:val="nil"/>
              <w:bottom w:val="single" w:sz="8" w:space="0" w:color="BFBFBF"/>
              <w:right w:val="single" w:sz="8" w:space="0" w:color="BFBFBF"/>
            </w:tcBorders>
            <w:shd w:val="clear" w:color="auto" w:fill="auto"/>
            <w:vAlign w:val="center"/>
            <w:hideMark/>
          </w:tcPr>
          <w:p w14:paraId="5B7A6F8C" w14:textId="77777777" w:rsidR="00A341D7" w:rsidRPr="002048A7" w:rsidRDefault="001716C5" w:rsidP="000B5167">
            <w:pPr>
              <w:jc w:val="center"/>
            </w:pPr>
            <w:r>
              <w:t>132</w:t>
            </w:r>
          </w:p>
        </w:tc>
        <w:tc>
          <w:tcPr>
            <w:tcW w:w="473" w:type="pct"/>
            <w:tcBorders>
              <w:top w:val="nil"/>
              <w:left w:val="nil"/>
              <w:bottom w:val="single" w:sz="8" w:space="0" w:color="BFBFBF"/>
              <w:right w:val="single" w:sz="8" w:space="0" w:color="BFBFBF"/>
            </w:tcBorders>
            <w:shd w:val="clear" w:color="auto" w:fill="auto"/>
            <w:vAlign w:val="center"/>
            <w:hideMark/>
          </w:tcPr>
          <w:p w14:paraId="03163DBB" w14:textId="77777777" w:rsidR="00A341D7" w:rsidRPr="002048A7" w:rsidRDefault="001716C5" w:rsidP="000B5167">
            <w:pPr>
              <w:jc w:val="center"/>
            </w:pPr>
            <w:r>
              <w:t>235</w:t>
            </w:r>
          </w:p>
        </w:tc>
        <w:tc>
          <w:tcPr>
            <w:tcW w:w="473" w:type="pct"/>
            <w:tcBorders>
              <w:top w:val="nil"/>
              <w:left w:val="nil"/>
              <w:bottom w:val="single" w:sz="8" w:space="0" w:color="BFBFBF"/>
              <w:right w:val="single" w:sz="8" w:space="0" w:color="BFBFBF"/>
            </w:tcBorders>
            <w:shd w:val="clear" w:color="auto" w:fill="auto"/>
            <w:vAlign w:val="center"/>
            <w:hideMark/>
          </w:tcPr>
          <w:p w14:paraId="074AE9AE" w14:textId="77777777" w:rsidR="00A341D7" w:rsidRPr="002048A7" w:rsidRDefault="001716C5" w:rsidP="000B5167">
            <w:pPr>
              <w:jc w:val="center"/>
            </w:pPr>
            <w:r>
              <w:t>20</w:t>
            </w:r>
          </w:p>
        </w:tc>
        <w:tc>
          <w:tcPr>
            <w:tcW w:w="433" w:type="pct"/>
            <w:tcBorders>
              <w:top w:val="nil"/>
              <w:left w:val="nil"/>
              <w:bottom w:val="single" w:sz="8" w:space="0" w:color="BFBFBF"/>
              <w:right w:val="single" w:sz="8" w:space="0" w:color="BFBFBF"/>
            </w:tcBorders>
            <w:shd w:val="clear" w:color="auto" w:fill="auto"/>
            <w:vAlign w:val="center"/>
            <w:hideMark/>
          </w:tcPr>
          <w:p w14:paraId="5FF37B46" w14:textId="77777777" w:rsidR="00A341D7" w:rsidRPr="002048A7" w:rsidRDefault="001716C5" w:rsidP="000B5167">
            <w:pPr>
              <w:jc w:val="center"/>
            </w:pPr>
            <w:r>
              <w:t>575</w:t>
            </w:r>
          </w:p>
        </w:tc>
        <w:tc>
          <w:tcPr>
            <w:tcW w:w="666" w:type="pct"/>
            <w:tcBorders>
              <w:top w:val="nil"/>
              <w:left w:val="nil"/>
              <w:bottom w:val="single" w:sz="8" w:space="0" w:color="BFBFBF"/>
              <w:right w:val="single" w:sz="8" w:space="0" w:color="BFBFBF"/>
            </w:tcBorders>
            <w:shd w:val="clear" w:color="auto" w:fill="auto"/>
            <w:vAlign w:val="center"/>
            <w:hideMark/>
          </w:tcPr>
          <w:p w14:paraId="1ACD0CB5" w14:textId="77777777" w:rsidR="00A341D7" w:rsidRPr="002048A7" w:rsidRDefault="001716C5" w:rsidP="000B5167">
            <w:pPr>
              <w:jc w:val="center"/>
            </w:pPr>
            <w:r>
              <w:t>981</w:t>
            </w:r>
          </w:p>
        </w:tc>
      </w:tr>
    </w:tbl>
    <w:p w14:paraId="42C81B75" w14:textId="77777777" w:rsidR="0007594C" w:rsidRPr="002048A7" w:rsidRDefault="0007594C" w:rsidP="0007594C">
      <w:pPr>
        <w:pStyle w:val="Balk3"/>
        <w:numPr>
          <w:ilvl w:val="2"/>
          <w:numId w:val="11"/>
        </w:numPr>
        <w:spacing w:after="240"/>
        <w:rPr>
          <w:rFonts w:asciiTheme="minorHAnsi" w:hAnsiTheme="minorHAnsi"/>
          <w:color w:val="auto"/>
        </w:rPr>
      </w:pPr>
      <w:bookmarkStart w:id="134" w:name="_Toc195868699"/>
      <w:r w:rsidRPr="002048A7">
        <w:rPr>
          <w:rFonts w:asciiTheme="minorHAnsi" w:hAnsiTheme="minorHAnsi"/>
          <w:color w:val="auto"/>
        </w:rPr>
        <w:t>Spot Boru Gazı İthalatına İlişkin İlan Edilen Talep Çağrıları ve Talep Toplama/Yarışma Sonuçları</w:t>
      </w:r>
      <w:bookmarkEnd w:id="134"/>
    </w:p>
    <w:p w14:paraId="11D242A8" w14:textId="77777777" w:rsidR="0007594C" w:rsidRDefault="00DD3613" w:rsidP="0007594C">
      <w:r w:rsidRPr="002048A7">
        <w:t xml:space="preserve">19.09.2019 tarihli ve 30893 sayılı Resmî Gazetede yayımlanan </w:t>
      </w:r>
      <w:r w:rsidRPr="002048A7">
        <w:rPr>
          <w:b/>
        </w:rPr>
        <w:t>“Spot Boru Gazı İthalat Miktarı ve Uygulama Yönteminin Belirlenmesine İlişkin Usul ve Esaslar”</w:t>
      </w:r>
      <w:r w:rsidRPr="002048A7">
        <w:t xml:space="preserve"> kapsamında Kurumca her ay yıllık, çeyreklik ve aylık olarak </w:t>
      </w:r>
      <w:r w:rsidRPr="002048A7">
        <w:lastRenderedPageBreak/>
        <w:t xml:space="preserve">ilan edilen talep çağrıları </w:t>
      </w:r>
      <w:r>
        <w:t xml:space="preserve">çerçevesinde </w:t>
      </w:r>
      <w:r w:rsidRPr="002048A7">
        <w:t>düzenlenen talep toplama/yarışmalar</w:t>
      </w:r>
      <w:r>
        <w:t xml:space="preserve"> sonucunda</w:t>
      </w:r>
      <w:r w:rsidRPr="002048A7">
        <w:t xml:space="preserve"> 202</w:t>
      </w:r>
      <w:r>
        <w:t>4</w:t>
      </w:r>
      <w:r w:rsidRPr="002048A7">
        <w:t xml:space="preserve"> yılında</w:t>
      </w:r>
      <w:r>
        <w:t xml:space="preserve"> </w:t>
      </w:r>
      <w:r w:rsidRPr="003F3679">
        <w:t>rezerve edilmeye hak kazanılan kapasitelere ilişkin bilgiler</w:t>
      </w:r>
      <w:r w:rsidRPr="002048A7">
        <w:t xml:space="preserve"> aşağıda </w:t>
      </w:r>
      <w:r>
        <w:t>yer almaktadır</w:t>
      </w:r>
      <w:r w:rsidRPr="002048A7">
        <w:t>:</w:t>
      </w:r>
    </w:p>
    <w:tbl>
      <w:tblPr>
        <w:tblW w:w="9600" w:type="dxa"/>
        <w:jc w:val="center"/>
        <w:tblCellMar>
          <w:left w:w="70" w:type="dxa"/>
          <w:right w:w="70" w:type="dxa"/>
        </w:tblCellMar>
        <w:tblLook w:val="04A0" w:firstRow="1" w:lastRow="0" w:firstColumn="1" w:lastColumn="0" w:noHBand="0" w:noVBand="1"/>
      </w:tblPr>
      <w:tblGrid>
        <w:gridCol w:w="2762"/>
        <w:gridCol w:w="3441"/>
        <w:gridCol w:w="3397"/>
      </w:tblGrid>
      <w:tr w:rsidR="00DD3613" w:rsidRPr="003A565F" w14:paraId="0C7CCFB7" w14:textId="77777777" w:rsidTr="003F614D">
        <w:trPr>
          <w:trHeight w:val="300"/>
          <w:jc w:val="center"/>
        </w:trPr>
        <w:tc>
          <w:tcPr>
            <w:tcW w:w="9600" w:type="dxa"/>
            <w:gridSpan w:val="3"/>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4A53D0C4" w14:textId="77777777" w:rsidR="00DD3613" w:rsidRPr="003A565F" w:rsidRDefault="00DD3613" w:rsidP="003F614D">
            <w:pPr>
              <w:spacing w:after="0" w:line="240" w:lineRule="auto"/>
              <w:jc w:val="center"/>
              <w:rPr>
                <w:rFonts w:ascii="Calibri" w:eastAsia="Times New Roman" w:hAnsi="Calibri" w:cs="Calibri"/>
                <w:b/>
                <w:bCs/>
                <w:u w:val="single"/>
                <w:lang w:eastAsia="tr-TR"/>
              </w:rPr>
            </w:pPr>
            <w:r>
              <w:rPr>
                <w:rFonts w:ascii="Calibri" w:eastAsia="Times New Roman" w:hAnsi="Calibri" w:cs="Calibri"/>
                <w:b/>
                <w:bCs/>
                <w:u w:val="single"/>
                <w:lang w:eastAsia="tr-TR"/>
              </w:rPr>
              <w:t>2024 Gaz Yılı Spot Boru Gazı İthalatı Kapsamında Rezerve Edilmeye Hak Kazanılan Kapasiteler</w:t>
            </w:r>
          </w:p>
        </w:tc>
      </w:tr>
      <w:tr w:rsidR="00DD3613" w:rsidRPr="003A565F" w14:paraId="03E2BD86" w14:textId="77777777" w:rsidTr="003F614D">
        <w:trPr>
          <w:trHeight w:val="300"/>
          <w:jc w:val="center"/>
        </w:trPr>
        <w:tc>
          <w:tcPr>
            <w:tcW w:w="2762" w:type="dxa"/>
            <w:tcBorders>
              <w:top w:val="nil"/>
              <w:left w:val="single" w:sz="4" w:space="0" w:color="auto"/>
              <w:bottom w:val="single" w:sz="4" w:space="0" w:color="auto"/>
              <w:right w:val="single" w:sz="4" w:space="0" w:color="auto"/>
            </w:tcBorders>
            <w:shd w:val="clear" w:color="000000" w:fill="D9D9D9"/>
            <w:noWrap/>
            <w:vAlign w:val="bottom"/>
            <w:hideMark/>
          </w:tcPr>
          <w:p w14:paraId="2B395129" w14:textId="77777777" w:rsidR="00DD3613" w:rsidRPr="003A565F" w:rsidRDefault="00DD3613" w:rsidP="003F614D">
            <w:pPr>
              <w:spacing w:after="0" w:line="240" w:lineRule="auto"/>
              <w:jc w:val="center"/>
              <w:rPr>
                <w:rFonts w:ascii="Calibri" w:eastAsia="Times New Roman" w:hAnsi="Calibri" w:cs="Calibri"/>
                <w:b/>
                <w:bCs/>
                <w:color w:val="000000"/>
                <w:sz w:val="20"/>
                <w:szCs w:val="20"/>
                <w:lang w:eastAsia="tr-TR"/>
              </w:rPr>
            </w:pPr>
            <w:r w:rsidRPr="003A565F">
              <w:rPr>
                <w:rFonts w:ascii="Calibri" w:eastAsia="Times New Roman" w:hAnsi="Calibri" w:cs="Calibri"/>
                <w:b/>
                <w:bCs/>
                <w:color w:val="000000"/>
                <w:sz w:val="20"/>
                <w:szCs w:val="20"/>
                <w:lang w:eastAsia="tr-TR"/>
              </w:rPr>
              <w:t>Yıllık Ürün (m³/gün)</w:t>
            </w:r>
          </w:p>
        </w:tc>
        <w:tc>
          <w:tcPr>
            <w:tcW w:w="3441" w:type="dxa"/>
            <w:tcBorders>
              <w:top w:val="nil"/>
              <w:left w:val="nil"/>
              <w:bottom w:val="single" w:sz="4" w:space="0" w:color="auto"/>
              <w:right w:val="single" w:sz="4" w:space="0" w:color="auto"/>
            </w:tcBorders>
            <w:shd w:val="clear" w:color="000000" w:fill="D9D9D9"/>
            <w:noWrap/>
            <w:vAlign w:val="bottom"/>
            <w:hideMark/>
          </w:tcPr>
          <w:p w14:paraId="50EB55C7" w14:textId="77777777" w:rsidR="00DD3613" w:rsidRPr="003A565F" w:rsidRDefault="00DD3613" w:rsidP="003F614D">
            <w:pPr>
              <w:spacing w:after="0" w:line="240" w:lineRule="auto"/>
              <w:jc w:val="center"/>
              <w:rPr>
                <w:rFonts w:ascii="Calibri" w:eastAsia="Times New Roman" w:hAnsi="Calibri" w:cs="Calibri"/>
                <w:b/>
                <w:bCs/>
                <w:color w:val="000000"/>
                <w:sz w:val="20"/>
                <w:szCs w:val="20"/>
                <w:lang w:eastAsia="tr-TR"/>
              </w:rPr>
            </w:pPr>
            <w:r w:rsidRPr="003A565F">
              <w:rPr>
                <w:rFonts w:ascii="Calibri" w:eastAsia="Times New Roman" w:hAnsi="Calibri" w:cs="Calibri"/>
                <w:b/>
                <w:bCs/>
                <w:color w:val="000000"/>
                <w:sz w:val="20"/>
                <w:szCs w:val="20"/>
                <w:lang w:eastAsia="tr-TR"/>
              </w:rPr>
              <w:t>Çeyreklik Ürün (m³/gün)</w:t>
            </w:r>
          </w:p>
        </w:tc>
        <w:tc>
          <w:tcPr>
            <w:tcW w:w="3397" w:type="dxa"/>
            <w:tcBorders>
              <w:top w:val="nil"/>
              <w:left w:val="nil"/>
              <w:bottom w:val="single" w:sz="4" w:space="0" w:color="auto"/>
              <w:right w:val="single" w:sz="4" w:space="0" w:color="auto"/>
            </w:tcBorders>
            <w:shd w:val="clear" w:color="000000" w:fill="D9D9D9"/>
            <w:noWrap/>
            <w:vAlign w:val="bottom"/>
            <w:hideMark/>
          </w:tcPr>
          <w:p w14:paraId="6F46A2DC" w14:textId="77777777" w:rsidR="00DD3613" w:rsidRPr="003A565F" w:rsidRDefault="00DD3613" w:rsidP="003F614D">
            <w:pPr>
              <w:spacing w:after="0" w:line="240" w:lineRule="auto"/>
              <w:jc w:val="center"/>
              <w:rPr>
                <w:rFonts w:ascii="Calibri" w:eastAsia="Times New Roman" w:hAnsi="Calibri" w:cs="Calibri"/>
                <w:b/>
                <w:bCs/>
                <w:color w:val="000000"/>
                <w:sz w:val="20"/>
                <w:szCs w:val="20"/>
                <w:lang w:eastAsia="tr-TR"/>
              </w:rPr>
            </w:pPr>
            <w:r w:rsidRPr="003A565F">
              <w:rPr>
                <w:rFonts w:ascii="Calibri" w:eastAsia="Times New Roman" w:hAnsi="Calibri" w:cs="Calibri"/>
                <w:b/>
                <w:bCs/>
                <w:color w:val="000000"/>
                <w:sz w:val="20"/>
                <w:szCs w:val="20"/>
                <w:lang w:eastAsia="tr-TR"/>
              </w:rPr>
              <w:t>Aylık Ürün (m³/gün)</w:t>
            </w:r>
          </w:p>
        </w:tc>
      </w:tr>
      <w:tr w:rsidR="00DD3613" w:rsidRPr="003A565F" w14:paraId="44456059" w14:textId="77777777" w:rsidTr="003F614D">
        <w:trPr>
          <w:trHeight w:val="300"/>
          <w:jc w:val="center"/>
        </w:trPr>
        <w:tc>
          <w:tcPr>
            <w:tcW w:w="2762" w:type="dxa"/>
            <w:tcBorders>
              <w:top w:val="nil"/>
              <w:left w:val="single" w:sz="4" w:space="0" w:color="auto"/>
              <w:bottom w:val="single" w:sz="4" w:space="0" w:color="auto"/>
              <w:right w:val="single" w:sz="4" w:space="0" w:color="auto"/>
            </w:tcBorders>
            <w:shd w:val="clear" w:color="000000" w:fill="F2F2F2"/>
            <w:vAlign w:val="center"/>
            <w:hideMark/>
          </w:tcPr>
          <w:p w14:paraId="2C8D6ADD" w14:textId="77777777" w:rsidR="00DD3613" w:rsidRPr="003A565F" w:rsidRDefault="00DD3613" w:rsidP="003F614D">
            <w:pPr>
              <w:spacing w:after="0" w:line="240" w:lineRule="auto"/>
              <w:jc w:val="center"/>
              <w:rPr>
                <w:rFonts w:ascii="Calibri" w:eastAsia="Times New Roman" w:hAnsi="Calibri" w:cs="Calibri"/>
                <w:color w:val="000000"/>
                <w:sz w:val="20"/>
                <w:szCs w:val="20"/>
                <w:lang w:eastAsia="tr-TR"/>
              </w:rPr>
            </w:pPr>
            <w:r w:rsidRPr="003A565F">
              <w:rPr>
                <w:rFonts w:ascii="Calibri" w:eastAsia="Times New Roman" w:hAnsi="Calibri" w:cs="Calibri"/>
                <w:color w:val="000000"/>
                <w:sz w:val="20"/>
                <w:szCs w:val="20"/>
                <w:lang w:eastAsia="tr-TR"/>
              </w:rPr>
              <w:t>Türkgözü / BOTAŞ / 10.519.000</w:t>
            </w:r>
          </w:p>
        </w:tc>
        <w:tc>
          <w:tcPr>
            <w:tcW w:w="3441" w:type="dxa"/>
            <w:tcBorders>
              <w:top w:val="nil"/>
              <w:left w:val="nil"/>
              <w:bottom w:val="single" w:sz="4" w:space="0" w:color="auto"/>
              <w:right w:val="single" w:sz="4" w:space="0" w:color="auto"/>
            </w:tcBorders>
            <w:shd w:val="clear" w:color="000000" w:fill="F2F2F2"/>
            <w:noWrap/>
            <w:vAlign w:val="center"/>
            <w:hideMark/>
          </w:tcPr>
          <w:p w14:paraId="48496811" w14:textId="77777777" w:rsidR="00DD3613" w:rsidRPr="003A565F" w:rsidRDefault="00DD3613" w:rsidP="003F614D">
            <w:pPr>
              <w:spacing w:after="0" w:line="240" w:lineRule="auto"/>
              <w:jc w:val="center"/>
              <w:rPr>
                <w:rFonts w:ascii="Calibri" w:eastAsia="Times New Roman" w:hAnsi="Calibri" w:cs="Calibri"/>
                <w:color w:val="000000"/>
                <w:sz w:val="20"/>
                <w:szCs w:val="20"/>
                <w:lang w:eastAsia="tr-TR"/>
              </w:rPr>
            </w:pPr>
            <w:r w:rsidRPr="003A565F">
              <w:rPr>
                <w:rFonts w:ascii="Calibri" w:eastAsia="Times New Roman" w:hAnsi="Calibri" w:cs="Calibri"/>
                <w:color w:val="000000"/>
                <w:sz w:val="20"/>
                <w:szCs w:val="20"/>
                <w:lang w:eastAsia="tr-TR"/>
              </w:rPr>
              <w:t xml:space="preserve">Kıyıköy/ 1. Çeyrek/ BOTAŞ/ 13.064.000 </w:t>
            </w:r>
          </w:p>
        </w:tc>
        <w:tc>
          <w:tcPr>
            <w:tcW w:w="3397" w:type="dxa"/>
            <w:tcBorders>
              <w:top w:val="nil"/>
              <w:left w:val="nil"/>
              <w:bottom w:val="single" w:sz="4" w:space="0" w:color="auto"/>
              <w:right w:val="single" w:sz="4" w:space="0" w:color="auto"/>
            </w:tcBorders>
            <w:shd w:val="clear" w:color="000000" w:fill="F2F2F2"/>
            <w:noWrap/>
            <w:vAlign w:val="center"/>
            <w:hideMark/>
          </w:tcPr>
          <w:p w14:paraId="432A2E77" w14:textId="77777777" w:rsidR="00DD3613" w:rsidRPr="003A565F" w:rsidRDefault="00DD3613" w:rsidP="003F614D">
            <w:pPr>
              <w:spacing w:after="0" w:line="240" w:lineRule="auto"/>
              <w:jc w:val="center"/>
              <w:rPr>
                <w:rFonts w:ascii="Calibri" w:eastAsia="Times New Roman" w:hAnsi="Calibri" w:cs="Calibri"/>
                <w:color w:val="000000"/>
                <w:sz w:val="20"/>
                <w:szCs w:val="20"/>
                <w:lang w:eastAsia="tr-TR"/>
              </w:rPr>
            </w:pPr>
            <w:r w:rsidRPr="003A565F">
              <w:rPr>
                <w:rFonts w:ascii="Calibri" w:eastAsia="Times New Roman" w:hAnsi="Calibri" w:cs="Calibri"/>
                <w:color w:val="000000"/>
                <w:sz w:val="20"/>
                <w:szCs w:val="20"/>
                <w:lang w:eastAsia="tr-TR"/>
              </w:rPr>
              <w:t>Kıyıköy / Ocak / BOTAŞ / 7.839.000</w:t>
            </w:r>
          </w:p>
        </w:tc>
      </w:tr>
      <w:tr w:rsidR="00DD3613" w:rsidRPr="003A565F" w14:paraId="02511027" w14:textId="77777777" w:rsidTr="003F614D">
        <w:trPr>
          <w:trHeight w:val="300"/>
          <w:jc w:val="center"/>
        </w:trPr>
        <w:tc>
          <w:tcPr>
            <w:tcW w:w="2762" w:type="dxa"/>
            <w:tcBorders>
              <w:top w:val="nil"/>
              <w:left w:val="single" w:sz="4" w:space="0" w:color="auto"/>
              <w:bottom w:val="single" w:sz="4" w:space="0" w:color="auto"/>
              <w:right w:val="single" w:sz="4" w:space="0" w:color="auto"/>
            </w:tcBorders>
            <w:shd w:val="clear" w:color="auto" w:fill="auto"/>
            <w:noWrap/>
            <w:vAlign w:val="center"/>
            <w:hideMark/>
          </w:tcPr>
          <w:p w14:paraId="348E1D5C" w14:textId="77777777" w:rsidR="00DD3613" w:rsidRPr="003A565F" w:rsidRDefault="00DD3613" w:rsidP="003F614D">
            <w:pPr>
              <w:spacing w:after="0" w:line="240" w:lineRule="auto"/>
              <w:jc w:val="center"/>
              <w:rPr>
                <w:rFonts w:ascii="Calibri" w:eastAsia="Times New Roman" w:hAnsi="Calibri" w:cs="Calibri"/>
                <w:color w:val="000000"/>
                <w:sz w:val="20"/>
                <w:szCs w:val="20"/>
                <w:lang w:eastAsia="tr-TR"/>
              </w:rPr>
            </w:pPr>
            <w:r w:rsidRPr="003A565F">
              <w:rPr>
                <w:rFonts w:ascii="Calibri" w:eastAsia="Times New Roman" w:hAnsi="Calibri" w:cs="Calibri"/>
                <w:color w:val="000000"/>
                <w:sz w:val="20"/>
                <w:szCs w:val="20"/>
                <w:lang w:eastAsia="tr-TR"/>
              </w:rPr>
              <w:t>Kıyıköy / BOTAŞ / 5.226.000</w:t>
            </w:r>
          </w:p>
        </w:tc>
        <w:tc>
          <w:tcPr>
            <w:tcW w:w="3441" w:type="dxa"/>
            <w:tcBorders>
              <w:top w:val="nil"/>
              <w:left w:val="nil"/>
              <w:bottom w:val="single" w:sz="4" w:space="0" w:color="auto"/>
              <w:right w:val="single" w:sz="4" w:space="0" w:color="auto"/>
            </w:tcBorders>
            <w:shd w:val="clear" w:color="auto" w:fill="auto"/>
            <w:noWrap/>
            <w:vAlign w:val="center"/>
            <w:hideMark/>
          </w:tcPr>
          <w:p w14:paraId="4B0922E5" w14:textId="77777777" w:rsidR="00DD3613" w:rsidRPr="003A565F" w:rsidRDefault="00DD3613" w:rsidP="003F614D">
            <w:pPr>
              <w:spacing w:after="0" w:line="240" w:lineRule="auto"/>
              <w:jc w:val="center"/>
              <w:rPr>
                <w:rFonts w:ascii="Calibri" w:eastAsia="Times New Roman" w:hAnsi="Calibri" w:cs="Calibri"/>
                <w:color w:val="000000"/>
                <w:sz w:val="20"/>
                <w:szCs w:val="20"/>
                <w:lang w:eastAsia="tr-TR"/>
              </w:rPr>
            </w:pPr>
            <w:r w:rsidRPr="003A565F">
              <w:rPr>
                <w:rFonts w:ascii="Calibri" w:eastAsia="Times New Roman" w:hAnsi="Calibri" w:cs="Calibri"/>
                <w:color w:val="000000"/>
                <w:sz w:val="20"/>
                <w:szCs w:val="20"/>
                <w:lang w:eastAsia="tr-TR"/>
              </w:rPr>
              <w:t>Türkgözü/ 1. Çeyrek/ BOTAŞ / 6.251.000</w:t>
            </w:r>
          </w:p>
        </w:tc>
        <w:tc>
          <w:tcPr>
            <w:tcW w:w="3397" w:type="dxa"/>
            <w:tcBorders>
              <w:top w:val="nil"/>
              <w:left w:val="nil"/>
              <w:bottom w:val="single" w:sz="4" w:space="0" w:color="auto"/>
              <w:right w:val="single" w:sz="4" w:space="0" w:color="auto"/>
            </w:tcBorders>
            <w:shd w:val="clear" w:color="000000" w:fill="FFFFFF"/>
            <w:noWrap/>
            <w:vAlign w:val="center"/>
            <w:hideMark/>
          </w:tcPr>
          <w:p w14:paraId="388C882E" w14:textId="77777777" w:rsidR="00DD3613" w:rsidRPr="003A565F" w:rsidRDefault="00DD3613" w:rsidP="003F614D">
            <w:pPr>
              <w:spacing w:after="0" w:line="240" w:lineRule="auto"/>
              <w:jc w:val="center"/>
              <w:rPr>
                <w:rFonts w:ascii="Calibri" w:eastAsia="Times New Roman" w:hAnsi="Calibri" w:cs="Calibri"/>
                <w:color w:val="000000"/>
                <w:sz w:val="20"/>
                <w:szCs w:val="20"/>
                <w:lang w:eastAsia="tr-TR"/>
              </w:rPr>
            </w:pPr>
            <w:r w:rsidRPr="003A565F">
              <w:rPr>
                <w:rFonts w:ascii="Calibri" w:eastAsia="Times New Roman" w:hAnsi="Calibri" w:cs="Calibri"/>
                <w:color w:val="000000"/>
                <w:sz w:val="20"/>
                <w:szCs w:val="20"/>
                <w:lang w:eastAsia="tr-TR"/>
              </w:rPr>
              <w:t xml:space="preserve">Türkgözü / Ocak / BOTAŞ / 1.863.000 </w:t>
            </w:r>
          </w:p>
        </w:tc>
      </w:tr>
      <w:tr w:rsidR="00DD3613" w:rsidRPr="003A565F" w14:paraId="40D14FA6" w14:textId="77777777" w:rsidTr="003F614D">
        <w:trPr>
          <w:trHeight w:val="300"/>
          <w:jc w:val="center"/>
        </w:trPr>
        <w:tc>
          <w:tcPr>
            <w:tcW w:w="2762" w:type="dxa"/>
            <w:tcBorders>
              <w:top w:val="nil"/>
              <w:left w:val="single" w:sz="4" w:space="0" w:color="auto"/>
              <w:bottom w:val="single" w:sz="4" w:space="0" w:color="auto"/>
              <w:right w:val="single" w:sz="4" w:space="0" w:color="auto"/>
            </w:tcBorders>
            <w:shd w:val="clear" w:color="000000" w:fill="F2F2F2"/>
            <w:noWrap/>
            <w:vAlign w:val="bottom"/>
          </w:tcPr>
          <w:p w14:paraId="7AE5478F" w14:textId="77777777" w:rsidR="00DD3613" w:rsidRPr="003A565F" w:rsidRDefault="00DD3613" w:rsidP="003F614D">
            <w:pPr>
              <w:spacing w:after="0" w:line="240" w:lineRule="auto"/>
              <w:jc w:val="center"/>
              <w:rPr>
                <w:rFonts w:ascii="Calibri" w:eastAsia="Times New Roman" w:hAnsi="Calibri" w:cs="Calibri"/>
                <w:color w:val="000000"/>
                <w:sz w:val="20"/>
                <w:szCs w:val="20"/>
                <w:lang w:eastAsia="tr-TR"/>
              </w:rPr>
            </w:pPr>
          </w:p>
        </w:tc>
        <w:tc>
          <w:tcPr>
            <w:tcW w:w="3441" w:type="dxa"/>
            <w:tcBorders>
              <w:top w:val="nil"/>
              <w:left w:val="nil"/>
              <w:bottom w:val="single" w:sz="4" w:space="0" w:color="auto"/>
              <w:right w:val="single" w:sz="4" w:space="0" w:color="auto"/>
            </w:tcBorders>
            <w:shd w:val="clear" w:color="000000" w:fill="F2F2F2"/>
            <w:noWrap/>
            <w:vAlign w:val="center"/>
            <w:hideMark/>
          </w:tcPr>
          <w:p w14:paraId="48F73D46" w14:textId="77777777" w:rsidR="00DD3613" w:rsidRPr="003A565F" w:rsidRDefault="00DD3613" w:rsidP="003F614D">
            <w:pPr>
              <w:spacing w:after="0" w:line="240" w:lineRule="auto"/>
              <w:jc w:val="center"/>
              <w:rPr>
                <w:rFonts w:ascii="Calibri" w:eastAsia="Times New Roman" w:hAnsi="Calibri" w:cs="Calibri"/>
                <w:color w:val="000000"/>
                <w:sz w:val="20"/>
                <w:szCs w:val="20"/>
                <w:lang w:eastAsia="tr-TR"/>
              </w:rPr>
            </w:pPr>
            <w:r w:rsidRPr="003A565F">
              <w:rPr>
                <w:rFonts w:ascii="Calibri" w:eastAsia="Times New Roman" w:hAnsi="Calibri" w:cs="Calibri"/>
                <w:color w:val="000000"/>
                <w:sz w:val="20"/>
                <w:szCs w:val="20"/>
                <w:lang w:eastAsia="tr-TR"/>
              </w:rPr>
              <w:t>Kıyıköy / 2. Çeyrek / BOTAŞ / 13.064.000</w:t>
            </w:r>
          </w:p>
        </w:tc>
        <w:tc>
          <w:tcPr>
            <w:tcW w:w="3397" w:type="dxa"/>
            <w:tcBorders>
              <w:top w:val="nil"/>
              <w:left w:val="nil"/>
              <w:bottom w:val="single" w:sz="4" w:space="0" w:color="auto"/>
              <w:right w:val="single" w:sz="4" w:space="0" w:color="auto"/>
            </w:tcBorders>
            <w:shd w:val="clear" w:color="000000" w:fill="F2F2F2"/>
            <w:noWrap/>
            <w:vAlign w:val="center"/>
            <w:hideMark/>
          </w:tcPr>
          <w:p w14:paraId="4FF68ECE" w14:textId="77777777" w:rsidR="00DD3613" w:rsidRPr="003A565F" w:rsidRDefault="00DD3613" w:rsidP="003F614D">
            <w:pPr>
              <w:spacing w:after="0" w:line="240" w:lineRule="auto"/>
              <w:jc w:val="center"/>
              <w:rPr>
                <w:rFonts w:ascii="Calibri" w:eastAsia="Times New Roman" w:hAnsi="Calibri" w:cs="Calibri"/>
                <w:color w:val="000000"/>
                <w:sz w:val="20"/>
                <w:szCs w:val="20"/>
                <w:lang w:eastAsia="tr-TR"/>
              </w:rPr>
            </w:pPr>
            <w:r w:rsidRPr="003A565F">
              <w:rPr>
                <w:rFonts w:ascii="Calibri" w:eastAsia="Times New Roman" w:hAnsi="Calibri" w:cs="Calibri"/>
                <w:color w:val="000000"/>
                <w:sz w:val="20"/>
                <w:szCs w:val="20"/>
                <w:lang w:eastAsia="tr-TR"/>
              </w:rPr>
              <w:t>Kıyıköy / Şubat / BOTAŞ / 7.839.000</w:t>
            </w:r>
          </w:p>
        </w:tc>
      </w:tr>
      <w:tr w:rsidR="00DD3613" w:rsidRPr="003A565F" w14:paraId="7C2814CE" w14:textId="77777777" w:rsidTr="003F614D">
        <w:trPr>
          <w:trHeight w:val="300"/>
          <w:jc w:val="center"/>
        </w:trPr>
        <w:tc>
          <w:tcPr>
            <w:tcW w:w="2762" w:type="dxa"/>
            <w:tcBorders>
              <w:top w:val="nil"/>
              <w:left w:val="single" w:sz="4" w:space="0" w:color="auto"/>
              <w:bottom w:val="single" w:sz="4" w:space="0" w:color="auto"/>
              <w:right w:val="single" w:sz="4" w:space="0" w:color="auto"/>
            </w:tcBorders>
            <w:shd w:val="clear" w:color="auto" w:fill="auto"/>
            <w:noWrap/>
            <w:vAlign w:val="bottom"/>
          </w:tcPr>
          <w:p w14:paraId="38E972D7" w14:textId="77777777" w:rsidR="00DD3613" w:rsidRPr="003A565F" w:rsidRDefault="00DD3613" w:rsidP="003F614D">
            <w:pPr>
              <w:spacing w:after="0" w:line="240" w:lineRule="auto"/>
              <w:jc w:val="center"/>
              <w:rPr>
                <w:rFonts w:ascii="Calibri" w:eastAsia="Times New Roman" w:hAnsi="Calibri" w:cs="Calibri"/>
                <w:color w:val="000000"/>
                <w:sz w:val="20"/>
                <w:szCs w:val="20"/>
                <w:lang w:eastAsia="tr-TR"/>
              </w:rPr>
            </w:pPr>
          </w:p>
        </w:tc>
        <w:tc>
          <w:tcPr>
            <w:tcW w:w="3441" w:type="dxa"/>
            <w:tcBorders>
              <w:top w:val="nil"/>
              <w:left w:val="nil"/>
              <w:bottom w:val="single" w:sz="4" w:space="0" w:color="auto"/>
              <w:right w:val="single" w:sz="4" w:space="0" w:color="auto"/>
            </w:tcBorders>
            <w:shd w:val="clear" w:color="auto" w:fill="auto"/>
            <w:noWrap/>
            <w:vAlign w:val="center"/>
            <w:hideMark/>
          </w:tcPr>
          <w:p w14:paraId="6EE76C48" w14:textId="77777777" w:rsidR="00DD3613" w:rsidRPr="003A565F" w:rsidRDefault="00DD3613" w:rsidP="003F614D">
            <w:pPr>
              <w:spacing w:after="0" w:line="240" w:lineRule="auto"/>
              <w:jc w:val="center"/>
              <w:rPr>
                <w:rFonts w:ascii="Calibri" w:eastAsia="Times New Roman" w:hAnsi="Calibri" w:cs="Calibri"/>
                <w:color w:val="000000"/>
                <w:sz w:val="20"/>
                <w:szCs w:val="20"/>
                <w:lang w:eastAsia="tr-TR"/>
              </w:rPr>
            </w:pPr>
            <w:r w:rsidRPr="003A565F">
              <w:rPr>
                <w:rFonts w:ascii="Calibri" w:eastAsia="Times New Roman" w:hAnsi="Calibri" w:cs="Calibri"/>
                <w:color w:val="000000"/>
                <w:sz w:val="20"/>
                <w:szCs w:val="20"/>
                <w:lang w:eastAsia="tr-TR"/>
              </w:rPr>
              <w:t>Türkgözü/ 2. Çeyrek/ BOTAŞ / 6.251.000</w:t>
            </w:r>
          </w:p>
        </w:tc>
        <w:tc>
          <w:tcPr>
            <w:tcW w:w="3397" w:type="dxa"/>
            <w:tcBorders>
              <w:top w:val="nil"/>
              <w:left w:val="nil"/>
              <w:bottom w:val="single" w:sz="4" w:space="0" w:color="auto"/>
              <w:right w:val="single" w:sz="4" w:space="0" w:color="auto"/>
            </w:tcBorders>
            <w:shd w:val="clear" w:color="000000" w:fill="FFFFFF"/>
            <w:noWrap/>
            <w:vAlign w:val="center"/>
            <w:hideMark/>
          </w:tcPr>
          <w:p w14:paraId="3F31FF9E" w14:textId="77777777" w:rsidR="00DD3613" w:rsidRPr="003A565F" w:rsidRDefault="00DD3613" w:rsidP="003F614D">
            <w:pPr>
              <w:spacing w:after="0" w:line="240" w:lineRule="auto"/>
              <w:jc w:val="center"/>
              <w:rPr>
                <w:rFonts w:ascii="Calibri" w:eastAsia="Times New Roman" w:hAnsi="Calibri" w:cs="Calibri"/>
                <w:color w:val="000000"/>
                <w:sz w:val="20"/>
                <w:szCs w:val="20"/>
                <w:lang w:eastAsia="tr-TR"/>
              </w:rPr>
            </w:pPr>
            <w:r w:rsidRPr="003A565F">
              <w:rPr>
                <w:rFonts w:ascii="Calibri" w:eastAsia="Times New Roman" w:hAnsi="Calibri" w:cs="Calibri"/>
                <w:color w:val="000000"/>
                <w:sz w:val="20"/>
                <w:szCs w:val="20"/>
                <w:lang w:eastAsia="tr-TR"/>
              </w:rPr>
              <w:t xml:space="preserve">Türkgözü / Şubat / BOTAŞ / 1.863.000 </w:t>
            </w:r>
          </w:p>
        </w:tc>
      </w:tr>
      <w:tr w:rsidR="00DD3613" w:rsidRPr="003A565F" w14:paraId="5C8CBA1D" w14:textId="77777777" w:rsidTr="003F614D">
        <w:trPr>
          <w:trHeight w:val="300"/>
          <w:jc w:val="center"/>
        </w:trPr>
        <w:tc>
          <w:tcPr>
            <w:tcW w:w="2762" w:type="dxa"/>
            <w:tcBorders>
              <w:top w:val="nil"/>
              <w:left w:val="single" w:sz="4" w:space="0" w:color="auto"/>
              <w:bottom w:val="single" w:sz="4" w:space="0" w:color="auto"/>
              <w:right w:val="single" w:sz="4" w:space="0" w:color="auto"/>
            </w:tcBorders>
            <w:shd w:val="clear" w:color="000000" w:fill="F2F2F2"/>
            <w:noWrap/>
            <w:vAlign w:val="bottom"/>
          </w:tcPr>
          <w:p w14:paraId="28B31CD2" w14:textId="77777777" w:rsidR="00DD3613" w:rsidRPr="003A565F" w:rsidRDefault="00DD3613" w:rsidP="003F614D">
            <w:pPr>
              <w:spacing w:after="0" w:line="240" w:lineRule="auto"/>
              <w:jc w:val="center"/>
              <w:rPr>
                <w:rFonts w:ascii="Calibri" w:eastAsia="Times New Roman" w:hAnsi="Calibri" w:cs="Calibri"/>
                <w:color w:val="000000"/>
                <w:sz w:val="20"/>
                <w:szCs w:val="20"/>
                <w:lang w:eastAsia="tr-TR"/>
              </w:rPr>
            </w:pPr>
          </w:p>
        </w:tc>
        <w:tc>
          <w:tcPr>
            <w:tcW w:w="3441" w:type="dxa"/>
            <w:tcBorders>
              <w:top w:val="nil"/>
              <w:left w:val="nil"/>
              <w:bottom w:val="single" w:sz="4" w:space="0" w:color="auto"/>
              <w:right w:val="single" w:sz="4" w:space="0" w:color="auto"/>
            </w:tcBorders>
            <w:shd w:val="clear" w:color="000000" w:fill="F2F2F2"/>
            <w:noWrap/>
            <w:vAlign w:val="center"/>
            <w:hideMark/>
          </w:tcPr>
          <w:p w14:paraId="7A657309" w14:textId="77777777" w:rsidR="00DD3613" w:rsidRPr="003A565F" w:rsidRDefault="00DD3613" w:rsidP="003F614D">
            <w:pPr>
              <w:spacing w:after="0" w:line="240" w:lineRule="auto"/>
              <w:jc w:val="center"/>
              <w:rPr>
                <w:rFonts w:ascii="Calibri" w:eastAsia="Times New Roman" w:hAnsi="Calibri" w:cs="Calibri"/>
                <w:color w:val="000000"/>
                <w:sz w:val="20"/>
                <w:szCs w:val="20"/>
                <w:lang w:eastAsia="tr-TR"/>
              </w:rPr>
            </w:pPr>
            <w:r w:rsidRPr="003A565F">
              <w:rPr>
                <w:rFonts w:ascii="Calibri" w:eastAsia="Times New Roman" w:hAnsi="Calibri" w:cs="Calibri"/>
                <w:color w:val="000000"/>
                <w:sz w:val="20"/>
                <w:szCs w:val="20"/>
                <w:lang w:eastAsia="tr-TR"/>
              </w:rPr>
              <w:t>Kıyıköy /3. Çeyrek / BOTAŞ / 13.064.000</w:t>
            </w:r>
          </w:p>
        </w:tc>
        <w:tc>
          <w:tcPr>
            <w:tcW w:w="3397" w:type="dxa"/>
            <w:tcBorders>
              <w:top w:val="nil"/>
              <w:left w:val="nil"/>
              <w:bottom w:val="single" w:sz="4" w:space="0" w:color="auto"/>
              <w:right w:val="single" w:sz="4" w:space="0" w:color="auto"/>
            </w:tcBorders>
            <w:shd w:val="clear" w:color="000000" w:fill="F2F2F2"/>
            <w:noWrap/>
            <w:vAlign w:val="center"/>
            <w:hideMark/>
          </w:tcPr>
          <w:p w14:paraId="20FB1CCD" w14:textId="77777777" w:rsidR="00DD3613" w:rsidRPr="003A565F" w:rsidRDefault="00DD3613" w:rsidP="003F614D">
            <w:pPr>
              <w:spacing w:after="0" w:line="240" w:lineRule="auto"/>
              <w:jc w:val="center"/>
              <w:rPr>
                <w:rFonts w:ascii="Calibri" w:eastAsia="Times New Roman" w:hAnsi="Calibri" w:cs="Calibri"/>
                <w:color w:val="000000"/>
                <w:sz w:val="20"/>
                <w:szCs w:val="20"/>
                <w:lang w:eastAsia="tr-TR"/>
              </w:rPr>
            </w:pPr>
            <w:r w:rsidRPr="003A565F">
              <w:rPr>
                <w:rFonts w:ascii="Calibri" w:eastAsia="Times New Roman" w:hAnsi="Calibri" w:cs="Calibri"/>
                <w:color w:val="000000"/>
                <w:sz w:val="20"/>
                <w:szCs w:val="20"/>
                <w:lang w:eastAsia="tr-TR"/>
              </w:rPr>
              <w:t>Kıyıköy / Mart / BOTAŞ / 7.839.000</w:t>
            </w:r>
          </w:p>
        </w:tc>
      </w:tr>
      <w:tr w:rsidR="00DD3613" w:rsidRPr="003A565F" w14:paraId="4E9EC159" w14:textId="77777777" w:rsidTr="003F614D">
        <w:trPr>
          <w:trHeight w:val="300"/>
          <w:jc w:val="center"/>
        </w:trPr>
        <w:tc>
          <w:tcPr>
            <w:tcW w:w="2762" w:type="dxa"/>
            <w:tcBorders>
              <w:top w:val="nil"/>
              <w:left w:val="single" w:sz="4" w:space="0" w:color="auto"/>
              <w:bottom w:val="single" w:sz="4" w:space="0" w:color="auto"/>
              <w:right w:val="single" w:sz="4" w:space="0" w:color="auto"/>
            </w:tcBorders>
            <w:shd w:val="clear" w:color="auto" w:fill="auto"/>
            <w:noWrap/>
            <w:vAlign w:val="bottom"/>
          </w:tcPr>
          <w:p w14:paraId="1DCCDBFB" w14:textId="77777777" w:rsidR="00DD3613" w:rsidRPr="003A565F" w:rsidRDefault="00DD3613" w:rsidP="003F614D">
            <w:pPr>
              <w:spacing w:after="0" w:line="240" w:lineRule="auto"/>
              <w:jc w:val="center"/>
              <w:rPr>
                <w:rFonts w:ascii="Calibri" w:eastAsia="Times New Roman" w:hAnsi="Calibri" w:cs="Calibri"/>
                <w:color w:val="000000"/>
                <w:sz w:val="20"/>
                <w:szCs w:val="20"/>
                <w:lang w:eastAsia="tr-TR"/>
              </w:rPr>
            </w:pPr>
          </w:p>
        </w:tc>
        <w:tc>
          <w:tcPr>
            <w:tcW w:w="3441" w:type="dxa"/>
            <w:tcBorders>
              <w:top w:val="nil"/>
              <w:left w:val="nil"/>
              <w:bottom w:val="single" w:sz="4" w:space="0" w:color="auto"/>
              <w:right w:val="single" w:sz="4" w:space="0" w:color="auto"/>
            </w:tcBorders>
            <w:shd w:val="clear" w:color="auto" w:fill="auto"/>
            <w:noWrap/>
            <w:vAlign w:val="center"/>
            <w:hideMark/>
          </w:tcPr>
          <w:p w14:paraId="571FDFCF" w14:textId="77777777" w:rsidR="00DD3613" w:rsidRPr="003A565F" w:rsidRDefault="00DD3613" w:rsidP="003F614D">
            <w:pPr>
              <w:spacing w:after="0" w:line="240" w:lineRule="auto"/>
              <w:jc w:val="center"/>
              <w:rPr>
                <w:rFonts w:ascii="Calibri" w:eastAsia="Times New Roman" w:hAnsi="Calibri" w:cs="Calibri"/>
                <w:color w:val="000000"/>
                <w:sz w:val="20"/>
                <w:szCs w:val="20"/>
                <w:lang w:eastAsia="tr-TR"/>
              </w:rPr>
            </w:pPr>
            <w:r w:rsidRPr="003A565F">
              <w:rPr>
                <w:rFonts w:ascii="Calibri" w:eastAsia="Times New Roman" w:hAnsi="Calibri" w:cs="Calibri"/>
                <w:color w:val="000000"/>
                <w:sz w:val="20"/>
                <w:szCs w:val="20"/>
                <w:lang w:eastAsia="tr-TR"/>
              </w:rPr>
              <w:t>Türkgözü/ 3. Çeyrek /BOTAŞ / 6.251.000</w:t>
            </w:r>
          </w:p>
        </w:tc>
        <w:tc>
          <w:tcPr>
            <w:tcW w:w="3397" w:type="dxa"/>
            <w:tcBorders>
              <w:top w:val="nil"/>
              <w:left w:val="nil"/>
              <w:bottom w:val="single" w:sz="4" w:space="0" w:color="auto"/>
              <w:right w:val="single" w:sz="4" w:space="0" w:color="auto"/>
            </w:tcBorders>
            <w:shd w:val="clear" w:color="000000" w:fill="FFFFFF"/>
            <w:noWrap/>
            <w:vAlign w:val="center"/>
            <w:hideMark/>
          </w:tcPr>
          <w:p w14:paraId="7CD9E7CE" w14:textId="77777777" w:rsidR="00DD3613" w:rsidRPr="003A565F" w:rsidRDefault="00DD3613" w:rsidP="003F614D">
            <w:pPr>
              <w:spacing w:after="0" w:line="240" w:lineRule="auto"/>
              <w:jc w:val="center"/>
              <w:rPr>
                <w:rFonts w:ascii="Calibri" w:eastAsia="Times New Roman" w:hAnsi="Calibri" w:cs="Calibri"/>
                <w:color w:val="000000"/>
                <w:sz w:val="20"/>
                <w:szCs w:val="20"/>
                <w:lang w:eastAsia="tr-TR"/>
              </w:rPr>
            </w:pPr>
            <w:r w:rsidRPr="003A565F">
              <w:rPr>
                <w:rFonts w:ascii="Calibri" w:eastAsia="Times New Roman" w:hAnsi="Calibri" w:cs="Calibri"/>
                <w:color w:val="000000"/>
                <w:sz w:val="20"/>
                <w:szCs w:val="20"/>
                <w:lang w:eastAsia="tr-TR"/>
              </w:rPr>
              <w:t>Türkgözü / Mart / SOCAR / 1.000.000</w:t>
            </w:r>
          </w:p>
        </w:tc>
      </w:tr>
      <w:tr w:rsidR="00DD3613" w:rsidRPr="003A565F" w14:paraId="6BEC0042" w14:textId="77777777" w:rsidTr="003F614D">
        <w:trPr>
          <w:trHeight w:val="300"/>
          <w:jc w:val="center"/>
        </w:trPr>
        <w:tc>
          <w:tcPr>
            <w:tcW w:w="2762" w:type="dxa"/>
            <w:tcBorders>
              <w:top w:val="nil"/>
              <w:left w:val="single" w:sz="4" w:space="0" w:color="auto"/>
              <w:bottom w:val="single" w:sz="4" w:space="0" w:color="auto"/>
              <w:right w:val="single" w:sz="4" w:space="0" w:color="auto"/>
            </w:tcBorders>
            <w:shd w:val="clear" w:color="000000" w:fill="F2F2F2"/>
            <w:noWrap/>
            <w:vAlign w:val="bottom"/>
          </w:tcPr>
          <w:p w14:paraId="3B6C4262" w14:textId="77777777" w:rsidR="00DD3613" w:rsidRPr="003A565F" w:rsidRDefault="00DD3613" w:rsidP="003F614D">
            <w:pPr>
              <w:spacing w:after="0" w:line="240" w:lineRule="auto"/>
              <w:jc w:val="center"/>
              <w:rPr>
                <w:rFonts w:ascii="Calibri" w:eastAsia="Times New Roman" w:hAnsi="Calibri" w:cs="Calibri"/>
                <w:color w:val="000000"/>
                <w:sz w:val="20"/>
                <w:szCs w:val="20"/>
                <w:lang w:eastAsia="tr-TR"/>
              </w:rPr>
            </w:pPr>
          </w:p>
        </w:tc>
        <w:tc>
          <w:tcPr>
            <w:tcW w:w="3441" w:type="dxa"/>
            <w:tcBorders>
              <w:top w:val="nil"/>
              <w:left w:val="nil"/>
              <w:bottom w:val="single" w:sz="4" w:space="0" w:color="auto"/>
              <w:right w:val="single" w:sz="4" w:space="0" w:color="auto"/>
            </w:tcBorders>
            <w:shd w:val="clear" w:color="auto" w:fill="auto"/>
            <w:noWrap/>
            <w:vAlign w:val="center"/>
            <w:hideMark/>
          </w:tcPr>
          <w:p w14:paraId="433B7547" w14:textId="77777777" w:rsidR="00DD3613" w:rsidRPr="003A565F" w:rsidRDefault="00DD3613" w:rsidP="003F614D">
            <w:pPr>
              <w:spacing w:after="0" w:line="240" w:lineRule="auto"/>
              <w:jc w:val="center"/>
              <w:rPr>
                <w:rFonts w:ascii="Calibri" w:eastAsia="Times New Roman" w:hAnsi="Calibri" w:cs="Calibri"/>
                <w:color w:val="000000"/>
                <w:sz w:val="20"/>
                <w:szCs w:val="20"/>
                <w:lang w:eastAsia="tr-TR"/>
              </w:rPr>
            </w:pPr>
            <w:r w:rsidRPr="003A565F">
              <w:rPr>
                <w:rFonts w:ascii="Calibri" w:eastAsia="Times New Roman" w:hAnsi="Calibri" w:cs="Calibri"/>
                <w:color w:val="000000"/>
                <w:sz w:val="20"/>
                <w:szCs w:val="20"/>
                <w:lang w:eastAsia="tr-TR"/>
              </w:rPr>
              <w:t>Türkgözü /4. Çeyrek /BOTAŞ / 6.251.000</w:t>
            </w:r>
          </w:p>
        </w:tc>
        <w:tc>
          <w:tcPr>
            <w:tcW w:w="3397" w:type="dxa"/>
            <w:tcBorders>
              <w:top w:val="nil"/>
              <w:left w:val="nil"/>
              <w:bottom w:val="single" w:sz="4" w:space="0" w:color="auto"/>
              <w:right w:val="single" w:sz="4" w:space="0" w:color="auto"/>
            </w:tcBorders>
            <w:shd w:val="clear" w:color="000000" w:fill="F2F2F2"/>
            <w:noWrap/>
            <w:vAlign w:val="center"/>
            <w:hideMark/>
          </w:tcPr>
          <w:p w14:paraId="5B0F102A" w14:textId="77777777" w:rsidR="00DD3613" w:rsidRPr="003A565F" w:rsidRDefault="00DD3613" w:rsidP="003F614D">
            <w:pPr>
              <w:spacing w:after="0" w:line="240" w:lineRule="auto"/>
              <w:jc w:val="center"/>
              <w:rPr>
                <w:rFonts w:ascii="Calibri" w:eastAsia="Times New Roman" w:hAnsi="Calibri" w:cs="Calibri"/>
                <w:color w:val="000000"/>
                <w:sz w:val="20"/>
                <w:szCs w:val="20"/>
                <w:lang w:eastAsia="tr-TR"/>
              </w:rPr>
            </w:pPr>
            <w:r w:rsidRPr="003A565F">
              <w:rPr>
                <w:rFonts w:ascii="Calibri" w:eastAsia="Times New Roman" w:hAnsi="Calibri" w:cs="Calibri"/>
                <w:color w:val="000000"/>
                <w:sz w:val="20"/>
                <w:szCs w:val="20"/>
                <w:lang w:eastAsia="tr-TR"/>
              </w:rPr>
              <w:t>Kıyıköy / Nisan / BOTAŞ / 7.839.000</w:t>
            </w:r>
          </w:p>
        </w:tc>
      </w:tr>
      <w:tr w:rsidR="00DD3613" w:rsidRPr="003A565F" w14:paraId="7D183AFA" w14:textId="77777777" w:rsidTr="003F614D">
        <w:trPr>
          <w:trHeight w:val="300"/>
          <w:jc w:val="center"/>
        </w:trPr>
        <w:tc>
          <w:tcPr>
            <w:tcW w:w="2762" w:type="dxa"/>
            <w:tcBorders>
              <w:top w:val="nil"/>
              <w:left w:val="single" w:sz="4" w:space="0" w:color="auto"/>
              <w:bottom w:val="single" w:sz="4" w:space="0" w:color="auto"/>
              <w:right w:val="single" w:sz="4" w:space="0" w:color="auto"/>
            </w:tcBorders>
            <w:shd w:val="clear" w:color="auto" w:fill="auto"/>
            <w:noWrap/>
            <w:vAlign w:val="bottom"/>
          </w:tcPr>
          <w:p w14:paraId="57D2DE7C" w14:textId="77777777" w:rsidR="00DD3613" w:rsidRPr="003A565F" w:rsidRDefault="00DD3613" w:rsidP="003F614D">
            <w:pPr>
              <w:spacing w:after="0" w:line="240" w:lineRule="auto"/>
              <w:jc w:val="center"/>
              <w:rPr>
                <w:rFonts w:ascii="Calibri" w:eastAsia="Times New Roman" w:hAnsi="Calibri" w:cs="Calibri"/>
                <w:color w:val="000000"/>
                <w:sz w:val="20"/>
                <w:szCs w:val="20"/>
                <w:lang w:eastAsia="tr-TR"/>
              </w:rPr>
            </w:pPr>
          </w:p>
        </w:tc>
        <w:tc>
          <w:tcPr>
            <w:tcW w:w="3441" w:type="dxa"/>
            <w:tcBorders>
              <w:top w:val="nil"/>
              <w:left w:val="nil"/>
              <w:bottom w:val="nil"/>
              <w:right w:val="nil"/>
            </w:tcBorders>
            <w:shd w:val="clear" w:color="auto" w:fill="auto"/>
            <w:noWrap/>
            <w:vAlign w:val="bottom"/>
          </w:tcPr>
          <w:p w14:paraId="4FAE1449" w14:textId="77777777" w:rsidR="00DD3613" w:rsidRPr="003A565F" w:rsidRDefault="00DD3613" w:rsidP="003F614D">
            <w:pPr>
              <w:spacing w:after="0" w:line="240" w:lineRule="auto"/>
              <w:jc w:val="center"/>
              <w:rPr>
                <w:rFonts w:ascii="Calibri" w:eastAsia="Times New Roman" w:hAnsi="Calibri" w:cs="Calibri"/>
                <w:color w:val="000000"/>
                <w:sz w:val="20"/>
                <w:szCs w:val="20"/>
                <w:lang w:eastAsia="tr-TR"/>
              </w:rPr>
            </w:pPr>
          </w:p>
        </w:tc>
        <w:tc>
          <w:tcPr>
            <w:tcW w:w="3397" w:type="dxa"/>
            <w:tcBorders>
              <w:top w:val="nil"/>
              <w:left w:val="single" w:sz="4" w:space="0" w:color="auto"/>
              <w:bottom w:val="single" w:sz="4" w:space="0" w:color="auto"/>
              <w:right w:val="single" w:sz="4" w:space="0" w:color="auto"/>
            </w:tcBorders>
            <w:shd w:val="clear" w:color="000000" w:fill="FFFFFF"/>
            <w:noWrap/>
            <w:vAlign w:val="center"/>
            <w:hideMark/>
          </w:tcPr>
          <w:p w14:paraId="644D1B2B" w14:textId="77777777" w:rsidR="00DD3613" w:rsidRPr="003A565F" w:rsidRDefault="00DD3613" w:rsidP="003F614D">
            <w:pPr>
              <w:spacing w:after="0" w:line="240" w:lineRule="auto"/>
              <w:jc w:val="center"/>
              <w:rPr>
                <w:rFonts w:ascii="Calibri" w:eastAsia="Times New Roman" w:hAnsi="Calibri" w:cs="Calibri"/>
                <w:color w:val="000000"/>
                <w:sz w:val="20"/>
                <w:szCs w:val="20"/>
                <w:lang w:eastAsia="tr-TR"/>
              </w:rPr>
            </w:pPr>
            <w:r w:rsidRPr="003A565F">
              <w:rPr>
                <w:rFonts w:ascii="Calibri" w:eastAsia="Times New Roman" w:hAnsi="Calibri" w:cs="Calibri"/>
                <w:color w:val="000000"/>
                <w:sz w:val="20"/>
                <w:szCs w:val="20"/>
                <w:lang w:eastAsia="tr-TR"/>
              </w:rPr>
              <w:t>Türkgözü / Nisan / SOCAR / 1.000.000</w:t>
            </w:r>
          </w:p>
        </w:tc>
      </w:tr>
      <w:tr w:rsidR="00DD3613" w:rsidRPr="003A565F" w14:paraId="4A14812D" w14:textId="77777777" w:rsidTr="003F614D">
        <w:trPr>
          <w:trHeight w:val="300"/>
          <w:jc w:val="center"/>
        </w:trPr>
        <w:tc>
          <w:tcPr>
            <w:tcW w:w="2762" w:type="dxa"/>
            <w:tcBorders>
              <w:top w:val="nil"/>
              <w:left w:val="single" w:sz="4" w:space="0" w:color="auto"/>
              <w:bottom w:val="single" w:sz="4" w:space="0" w:color="auto"/>
              <w:right w:val="single" w:sz="4" w:space="0" w:color="auto"/>
            </w:tcBorders>
            <w:shd w:val="clear" w:color="000000" w:fill="F2F2F2"/>
            <w:noWrap/>
            <w:vAlign w:val="bottom"/>
          </w:tcPr>
          <w:p w14:paraId="259B7A6A" w14:textId="77777777" w:rsidR="00DD3613" w:rsidRPr="003A565F" w:rsidRDefault="00DD3613" w:rsidP="003F614D">
            <w:pPr>
              <w:spacing w:after="0" w:line="240" w:lineRule="auto"/>
              <w:jc w:val="center"/>
              <w:rPr>
                <w:rFonts w:ascii="Calibri" w:eastAsia="Times New Roman" w:hAnsi="Calibri" w:cs="Calibri"/>
                <w:color w:val="000000"/>
                <w:sz w:val="20"/>
                <w:szCs w:val="20"/>
                <w:lang w:eastAsia="tr-TR"/>
              </w:rPr>
            </w:pPr>
          </w:p>
        </w:tc>
        <w:tc>
          <w:tcPr>
            <w:tcW w:w="3441" w:type="dxa"/>
            <w:tcBorders>
              <w:top w:val="single" w:sz="4" w:space="0" w:color="auto"/>
              <w:left w:val="nil"/>
              <w:bottom w:val="single" w:sz="4" w:space="0" w:color="auto"/>
              <w:right w:val="single" w:sz="4" w:space="0" w:color="auto"/>
            </w:tcBorders>
            <w:shd w:val="clear" w:color="000000" w:fill="F2F2F2"/>
            <w:noWrap/>
            <w:vAlign w:val="bottom"/>
          </w:tcPr>
          <w:p w14:paraId="58B3F612" w14:textId="77777777" w:rsidR="00DD3613" w:rsidRPr="003A565F" w:rsidRDefault="00DD3613" w:rsidP="003F614D">
            <w:pPr>
              <w:spacing w:after="0" w:line="240" w:lineRule="auto"/>
              <w:jc w:val="center"/>
              <w:rPr>
                <w:rFonts w:ascii="Calibri" w:eastAsia="Times New Roman" w:hAnsi="Calibri" w:cs="Calibri"/>
                <w:color w:val="000000"/>
                <w:sz w:val="20"/>
                <w:szCs w:val="20"/>
                <w:lang w:eastAsia="tr-TR"/>
              </w:rPr>
            </w:pPr>
          </w:p>
        </w:tc>
        <w:tc>
          <w:tcPr>
            <w:tcW w:w="3397" w:type="dxa"/>
            <w:tcBorders>
              <w:top w:val="nil"/>
              <w:left w:val="nil"/>
              <w:bottom w:val="single" w:sz="4" w:space="0" w:color="auto"/>
              <w:right w:val="single" w:sz="4" w:space="0" w:color="auto"/>
            </w:tcBorders>
            <w:shd w:val="clear" w:color="000000" w:fill="F2F2F2"/>
            <w:noWrap/>
            <w:vAlign w:val="center"/>
            <w:hideMark/>
          </w:tcPr>
          <w:p w14:paraId="0AF3E7E9" w14:textId="77777777" w:rsidR="00DD3613" w:rsidRPr="003A565F" w:rsidRDefault="00DD3613" w:rsidP="003F614D">
            <w:pPr>
              <w:spacing w:after="0" w:line="240" w:lineRule="auto"/>
              <w:jc w:val="center"/>
              <w:rPr>
                <w:rFonts w:ascii="Calibri" w:eastAsia="Times New Roman" w:hAnsi="Calibri" w:cs="Calibri"/>
                <w:color w:val="000000"/>
                <w:sz w:val="20"/>
                <w:szCs w:val="20"/>
                <w:lang w:eastAsia="tr-TR"/>
              </w:rPr>
            </w:pPr>
            <w:r w:rsidRPr="003A565F">
              <w:rPr>
                <w:rFonts w:ascii="Calibri" w:eastAsia="Times New Roman" w:hAnsi="Calibri" w:cs="Calibri"/>
                <w:color w:val="000000"/>
                <w:sz w:val="20"/>
                <w:szCs w:val="20"/>
                <w:lang w:eastAsia="tr-TR"/>
              </w:rPr>
              <w:t>Kıyıköy / Mayıs / BOTAŞ / 7.839.000</w:t>
            </w:r>
          </w:p>
        </w:tc>
      </w:tr>
      <w:tr w:rsidR="00DD3613" w:rsidRPr="003A565F" w14:paraId="3B0A8CE5" w14:textId="77777777" w:rsidTr="003F614D">
        <w:trPr>
          <w:trHeight w:val="300"/>
          <w:jc w:val="center"/>
        </w:trPr>
        <w:tc>
          <w:tcPr>
            <w:tcW w:w="2762" w:type="dxa"/>
            <w:tcBorders>
              <w:top w:val="nil"/>
              <w:left w:val="single" w:sz="4" w:space="0" w:color="auto"/>
              <w:bottom w:val="single" w:sz="4" w:space="0" w:color="auto"/>
              <w:right w:val="single" w:sz="4" w:space="0" w:color="auto"/>
            </w:tcBorders>
            <w:shd w:val="clear" w:color="auto" w:fill="auto"/>
            <w:noWrap/>
            <w:vAlign w:val="bottom"/>
          </w:tcPr>
          <w:p w14:paraId="0FAC89A5" w14:textId="77777777" w:rsidR="00DD3613" w:rsidRPr="003A565F" w:rsidRDefault="00DD3613" w:rsidP="003F614D">
            <w:pPr>
              <w:spacing w:after="0" w:line="240" w:lineRule="auto"/>
              <w:jc w:val="center"/>
              <w:rPr>
                <w:rFonts w:ascii="Calibri" w:eastAsia="Times New Roman" w:hAnsi="Calibri" w:cs="Calibri"/>
                <w:color w:val="000000"/>
                <w:sz w:val="20"/>
                <w:szCs w:val="20"/>
                <w:lang w:eastAsia="tr-TR"/>
              </w:rPr>
            </w:pPr>
          </w:p>
        </w:tc>
        <w:tc>
          <w:tcPr>
            <w:tcW w:w="3441" w:type="dxa"/>
            <w:tcBorders>
              <w:top w:val="nil"/>
              <w:left w:val="nil"/>
              <w:bottom w:val="single" w:sz="4" w:space="0" w:color="auto"/>
              <w:right w:val="single" w:sz="4" w:space="0" w:color="auto"/>
            </w:tcBorders>
            <w:shd w:val="clear" w:color="auto" w:fill="auto"/>
            <w:noWrap/>
            <w:vAlign w:val="center"/>
          </w:tcPr>
          <w:p w14:paraId="692940CD" w14:textId="77777777" w:rsidR="00DD3613" w:rsidRPr="003A565F" w:rsidRDefault="00DD3613" w:rsidP="003F614D">
            <w:pPr>
              <w:spacing w:after="0" w:line="240" w:lineRule="auto"/>
              <w:jc w:val="center"/>
              <w:rPr>
                <w:rFonts w:ascii="Calibri" w:eastAsia="Times New Roman" w:hAnsi="Calibri" w:cs="Calibri"/>
                <w:color w:val="000000"/>
                <w:sz w:val="20"/>
                <w:szCs w:val="20"/>
                <w:lang w:eastAsia="tr-TR"/>
              </w:rPr>
            </w:pPr>
          </w:p>
        </w:tc>
        <w:tc>
          <w:tcPr>
            <w:tcW w:w="3397" w:type="dxa"/>
            <w:tcBorders>
              <w:top w:val="nil"/>
              <w:left w:val="nil"/>
              <w:bottom w:val="single" w:sz="4" w:space="0" w:color="auto"/>
              <w:right w:val="single" w:sz="4" w:space="0" w:color="auto"/>
            </w:tcBorders>
            <w:shd w:val="clear" w:color="000000" w:fill="FFFFFF"/>
            <w:noWrap/>
            <w:vAlign w:val="center"/>
            <w:hideMark/>
          </w:tcPr>
          <w:p w14:paraId="6EA7EBB6" w14:textId="77777777" w:rsidR="00DD3613" w:rsidRPr="003A565F" w:rsidRDefault="00DD3613" w:rsidP="003F614D">
            <w:pPr>
              <w:spacing w:after="0" w:line="240" w:lineRule="auto"/>
              <w:jc w:val="center"/>
              <w:rPr>
                <w:rFonts w:ascii="Calibri" w:eastAsia="Times New Roman" w:hAnsi="Calibri" w:cs="Calibri"/>
                <w:color w:val="000000"/>
                <w:sz w:val="20"/>
                <w:szCs w:val="20"/>
                <w:lang w:eastAsia="tr-TR"/>
              </w:rPr>
            </w:pPr>
            <w:r w:rsidRPr="003A565F">
              <w:rPr>
                <w:rFonts w:ascii="Calibri" w:eastAsia="Times New Roman" w:hAnsi="Calibri" w:cs="Calibri"/>
                <w:color w:val="000000"/>
                <w:sz w:val="20"/>
                <w:szCs w:val="20"/>
                <w:lang w:eastAsia="tr-TR"/>
              </w:rPr>
              <w:t>Türkgözü / Mayıs / SOCAR / 1.000.000</w:t>
            </w:r>
          </w:p>
        </w:tc>
      </w:tr>
      <w:tr w:rsidR="00DD3613" w:rsidRPr="003A565F" w14:paraId="3243528E" w14:textId="77777777" w:rsidTr="003F614D">
        <w:trPr>
          <w:trHeight w:val="300"/>
          <w:jc w:val="center"/>
        </w:trPr>
        <w:tc>
          <w:tcPr>
            <w:tcW w:w="2762" w:type="dxa"/>
            <w:tcBorders>
              <w:top w:val="nil"/>
              <w:left w:val="single" w:sz="4" w:space="0" w:color="auto"/>
              <w:bottom w:val="single" w:sz="4" w:space="0" w:color="auto"/>
              <w:right w:val="single" w:sz="4" w:space="0" w:color="auto"/>
            </w:tcBorders>
            <w:shd w:val="clear" w:color="000000" w:fill="F2F2F2"/>
            <w:noWrap/>
            <w:vAlign w:val="bottom"/>
          </w:tcPr>
          <w:p w14:paraId="1ECBF6B3" w14:textId="77777777" w:rsidR="00DD3613" w:rsidRPr="003A565F" w:rsidRDefault="00DD3613" w:rsidP="003F614D">
            <w:pPr>
              <w:spacing w:after="0" w:line="240" w:lineRule="auto"/>
              <w:jc w:val="center"/>
              <w:rPr>
                <w:rFonts w:ascii="Calibri" w:eastAsia="Times New Roman" w:hAnsi="Calibri" w:cs="Calibri"/>
                <w:color w:val="000000"/>
                <w:sz w:val="20"/>
                <w:szCs w:val="20"/>
                <w:lang w:eastAsia="tr-TR"/>
              </w:rPr>
            </w:pPr>
          </w:p>
        </w:tc>
        <w:tc>
          <w:tcPr>
            <w:tcW w:w="3441" w:type="dxa"/>
            <w:tcBorders>
              <w:top w:val="nil"/>
              <w:left w:val="nil"/>
              <w:bottom w:val="single" w:sz="4" w:space="0" w:color="auto"/>
              <w:right w:val="single" w:sz="4" w:space="0" w:color="auto"/>
            </w:tcBorders>
            <w:shd w:val="clear" w:color="000000" w:fill="F2F2F2"/>
            <w:noWrap/>
            <w:vAlign w:val="center"/>
          </w:tcPr>
          <w:p w14:paraId="11C3EBC6" w14:textId="77777777" w:rsidR="00DD3613" w:rsidRPr="003A565F" w:rsidRDefault="00DD3613" w:rsidP="003F614D">
            <w:pPr>
              <w:spacing w:after="0" w:line="240" w:lineRule="auto"/>
              <w:jc w:val="center"/>
              <w:rPr>
                <w:rFonts w:ascii="Calibri" w:eastAsia="Times New Roman" w:hAnsi="Calibri" w:cs="Calibri"/>
                <w:color w:val="000000"/>
                <w:sz w:val="20"/>
                <w:szCs w:val="20"/>
                <w:lang w:eastAsia="tr-TR"/>
              </w:rPr>
            </w:pPr>
          </w:p>
        </w:tc>
        <w:tc>
          <w:tcPr>
            <w:tcW w:w="3397" w:type="dxa"/>
            <w:tcBorders>
              <w:top w:val="nil"/>
              <w:left w:val="nil"/>
              <w:bottom w:val="single" w:sz="4" w:space="0" w:color="auto"/>
              <w:right w:val="single" w:sz="4" w:space="0" w:color="auto"/>
            </w:tcBorders>
            <w:shd w:val="clear" w:color="000000" w:fill="F2F2F2"/>
            <w:noWrap/>
            <w:vAlign w:val="center"/>
            <w:hideMark/>
          </w:tcPr>
          <w:p w14:paraId="2438CDFE" w14:textId="77777777" w:rsidR="00DD3613" w:rsidRPr="003A565F" w:rsidRDefault="00DD3613" w:rsidP="003F614D">
            <w:pPr>
              <w:spacing w:after="0" w:line="240" w:lineRule="auto"/>
              <w:jc w:val="center"/>
              <w:rPr>
                <w:rFonts w:ascii="Calibri" w:eastAsia="Times New Roman" w:hAnsi="Calibri" w:cs="Calibri"/>
                <w:color w:val="000000"/>
                <w:sz w:val="20"/>
                <w:szCs w:val="20"/>
                <w:lang w:eastAsia="tr-TR"/>
              </w:rPr>
            </w:pPr>
            <w:r w:rsidRPr="003A565F">
              <w:rPr>
                <w:rFonts w:ascii="Calibri" w:eastAsia="Times New Roman" w:hAnsi="Calibri" w:cs="Calibri"/>
                <w:color w:val="000000"/>
                <w:sz w:val="20"/>
                <w:szCs w:val="20"/>
                <w:lang w:eastAsia="tr-TR"/>
              </w:rPr>
              <w:t>Kıyıköy / Haziran / BOTAŞ / 7.839.000</w:t>
            </w:r>
          </w:p>
        </w:tc>
      </w:tr>
      <w:tr w:rsidR="00DD3613" w:rsidRPr="003A565F" w14:paraId="377EF7D4" w14:textId="77777777" w:rsidTr="003F614D">
        <w:trPr>
          <w:trHeight w:val="300"/>
          <w:jc w:val="center"/>
        </w:trPr>
        <w:tc>
          <w:tcPr>
            <w:tcW w:w="2762" w:type="dxa"/>
            <w:tcBorders>
              <w:top w:val="nil"/>
              <w:left w:val="single" w:sz="4" w:space="0" w:color="auto"/>
              <w:bottom w:val="single" w:sz="4" w:space="0" w:color="auto"/>
              <w:right w:val="single" w:sz="4" w:space="0" w:color="auto"/>
            </w:tcBorders>
            <w:shd w:val="clear" w:color="auto" w:fill="auto"/>
            <w:noWrap/>
            <w:vAlign w:val="bottom"/>
          </w:tcPr>
          <w:p w14:paraId="5BC2DDC9" w14:textId="77777777" w:rsidR="00DD3613" w:rsidRPr="003A565F" w:rsidRDefault="00DD3613" w:rsidP="003F614D">
            <w:pPr>
              <w:spacing w:after="0" w:line="240" w:lineRule="auto"/>
              <w:jc w:val="center"/>
              <w:rPr>
                <w:rFonts w:ascii="Calibri" w:eastAsia="Times New Roman" w:hAnsi="Calibri" w:cs="Calibri"/>
                <w:color w:val="000000"/>
                <w:sz w:val="20"/>
                <w:szCs w:val="20"/>
                <w:lang w:eastAsia="tr-TR"/>
              </w:rPr>
            </w:pPr>
          </w:p>
        </w:tc>
        <w:tc>
          <w:tcPr>
            <w:tcW w:w="3441" w:type="dxa"/>
            <w:tcBorders>
              <w:top w:val="nil"/>
              <w:left w:val="nil"/>
              <w:bottom w:val="single" w:sz="4" w:space="0" w:color="auto"/>
              <w:right w:val="single" w:sz="4" w:space="0" w:color="auto"/>
            </w:tcBorders>
            <w:shd w:val="clear" w:color="auto" w:fill="auto"/>
            <w:noWrap/>
            <w:vAlign w:val="center"/>
          </w:tcPr>
          <w:p w14:paraId="5DC35DCE" w14:textId="77777777" w:rsidR="00DD3613" w:rsidRPr="003A565F" w:rsidRDefault="00DD3613" w:rsidP="003F614D">
            <w:pPr>
              <w:spacing w:after="0" w:line="240" w:lineRule="auto"/>
              <w:jc w:val="center"/>
              <w:rPr>
                <w:rFonts w:ascii="Calibri" w:eastAsia="Times New Roman" w:hAnsi="Calibri" w:cs="Calibri"/>
                <w:color w:val="000000"/>
                <w:sz w:val="20"/>
                <w:szCs w:val="20"/>
                <w:lang w:eastAsia="tr-TR"/>
              </w:rPr>
            </w:pPr>
          </w:p>
        </w:tc>
        <w:tc>
          <w:tcPr>
            <w:tcW w:w="3397" w:type="dxa"/>
            <w:tcBorders>
              <w:top w:val="nil"/>
              <w:left w:val="nil"/>
              <w:bottom w:val="single" w:sz="4" w:space="0" w:color="auto"/>
              <w:right w:val="single" w:sz="4" w:space="0" w:color="auto"/>
            </w:tcBorders>
            <w:shd w:val="clear" w:color="000000" w:fill="FFFFFF"/>
            <w:noWrap/>
            <w:vAlign w:val="center"/>
            <w:hideMark/>
          </w:tcPr>
          <w:p w14:paraId="2AF2965B" w14:textId="77777777" w:rsidR="00DD3613" w:rsidRPr="003A565F" w:rsidRDefault="00DD3613" w:rsidP="003F614D">
            <w:pPr>
              <w:spacing w:after="0" w:line="240" w:lineRule="auto"/>
              <w:jc w:val="center"/>
              <w:rPr>
                <w:rFonts w:ascii="Calibri" w:eastAsia="Times New Roman" w:hAnsi="Calibri" w:cs="Calibri"/>
                <w:color w:val="000000"/>
                <w:sz w:val="20"/>
                <w:szCs w:val="20"/>
                <w:lang w:eastAsia="tr-TR"/>
              </w:rPr>
            </w:pPr>
            <w:r w:rsidRPr="003A565F">
              <w:rPr>
                <w:rFonts w:ascii="Calibri" w:eastAsia="Times New Roman" w:hAnsi="Calibri" w:cs="Calibri"/>
                <w:color w:val="000000"/>
                <w:sz w:val="20"/>
                <w:szCs w:val="20"/>
                <w:lang w:eastAsia="tr-TR"/>
              </w:rPr>
              <w:t>Türkgözü / Haziran / SOCAR / 1.000.000</w:t>
            </w:r>
          </w:p>
        </w:tc>
      </w:tr>
      <w:tr w:rsidR="00DD3613" w:rsidRPr="003A565F" w14:paraId="55EF3057" w14:textId="77777777" w:rsidTr="003F614D">
        <w:trPr>
          <w:trHeight w:val="300"/>
          <w:jc w:val="center"/>
        </w:trPr>
        <w:tc>
          <w:tcPr>
            <w:tcW w:w="2762" w:type="dxa"/>
            <w:tcBorders>
              <w:top w:val="nil"/>
              <w:left w:val="single" w:sz="4" w:space="0" w:color="auto"/>
              <w:bottom w:val="single" w:sz="4" w:space="0" w:color="auto"/>
              <w:right w:val="single" w:sz="4" w:space="0" w:color="auto"/>
            </w:tcBorders>
            <w:shd w:val="clear" w:color="000000" w:fill="F2F2F2"/>
            <w:noWrap/>
            <w:vAlign w:val="bottom"/>
          </w:tcPr>
          <w:p w14:paraId="1CF64088" w14:textId="77777777" w:rsidR="00DD3613" w:rsidRPr="003A565F" w:rsidRDefault="00DD3613" w:rsidP="003F614D">
            <w:pPr>
              <w:spacing w:after="0" w:line="240" w:lineRule="auto"/>
              <w:jc w:val="center"/>
              <w:rPr>
                <w:rFonts w:ascii="Calibri" w:eastAsia="Times New Roman" w:hAnsi="Calibri" w:cs="Calibri"/>
                <w:color w:val="000000"/>
                <w:sz w:val="20"/>
                <w:szCs w:val="20"/>
                <w:lang w:eastAsia="tr-TR"/>
              </w:rPr>
            </w:pPr>
          </w:p>
        </w:tc>
        <w:tc>
          <w:tcPr>
            <w:tcW w:w="3441" w:type="dxa"/>
            <w:tcBorders>
              <w:top w:val="nil"/>
              <w:left w:val="nil"/>
              <w:bottom w:val="single" w:sz="4" w:space="0" w:color="auto"/>
              <w:right w:val="single" w:sz="4" w:space="0" w:color="auto"/>
            </w:tcBorders>
            <w:shd w:val="clear" w:color="000000" w:fill="F2F2F2"/>
            <w:noWrap/>
            <w:vAlign w:val="center"/>
          </w:tcPr>
          <w:p w14:paraId="2E1663F2" w14:textId="77777777" w:rsidR="00DD3613" w:rsidRPr="003A565F" w:rsidRDefault="00DD3613" w:rsidP="003F614D">
            <w:pPr>
              <w:spacing w:after="0" w:line="240" w:lineRule="auto"/>
              <w:jc w:val="center"/>
              <w:rPr>
                <w:rFonts w:ascii="Calibri" w:eastAsia="Times New Roman" w:hAnsi="Calibri" w:cs="Calibri"/>
                <w:color w:val="000000"/>
                <w:sz w:val="20"/>
                <w:szCs w:val="20"/>
                <w:lang w:eastAsia="tr-TR"/>
              </w:rPr>
            </w:pPr>
          </w:p>
        </w:tc>
        <w:tc>
          <w:tcPr>
            <w:tcW w:w="3397" w:type="dxa"/>
            <w:tcBorders>
              <w:top w:val="nil"/>
              <w:left w:val="nil"/>
              <w:bottom w:val="single" w:sz="4" w:space="0" w:color="auto"/>
              <w:right w:val="single" w:sz="4" w:space="0" w:color="auto"/>
            </w:tcBorders>
            <w:shd w:val="clear" w:color="000000" w:fill="F2F2F2"/>
            <w:noWrap/>
            <w:vAlign w:val="center"/>
            <w:hideMark/>
          </w:tcPr>
          <w:p w14:paraId="2C04F9C8" w14:textId="77777777" w:rsidR="00DD3613" w:rsidRPr="003A565F" w:rsidRDefault="00DD3613" w:rsidP="003F614D">
            <w:pPr>
              <w:spacing w:after="0" w:line="240" w:lineRule="auto"/>
              <w:jc w:val="center"/>
              <w:rPr>
                <w:rFonts w:ascii="Calibri" w:eastAsia="Times New Roman" w:hAnsi="Calibri" w:cs="Calibri"/>
                <w:color w:val="000000"/>
                <w:sz w:val="20"/>
                <w:szCs w:val="20"/>
                <w:lang w:eastAsia="tr-TR"/>
              </w:rPr>
            </w:pPr>
            <w:r w:rsidRPr="003A565F">
              <w:rPr>
                <w:rFonts w:ascii="Calibri" w:eastAsia="Times New Roman" w:hAnsi="Calibri" w:cs="Calibri"/>
                <w:color w:val="000000"/>
                <w:sz w:val="20"/>
                <w:szCs w:val="20"/>
                <w:lang w:eastAsia="tr-TR"/>
              </w:rPr>
              <w:t>Kıyıköy / Temmuz / BOTAŞ / 7.839.000</w:t>
            </w:r>
          </w:p>
        </w:tc>
      </w:tr>
      <w:tr w:rsidR="00DD3613" w:rsidRPr="003A565F" w14:paraId="25ADD15D" w14:textId="77777777" w:rsidTr="003F614D">
        <w:trPr>
          <w:trHeight w:val="300"/>
          <w:jc w:val="center"/>
        </w:trPr>
        <w:tc>
          <w:tcPr>
            <w:tcW w:w="2762" w:type="dxa"/>
            <w:tcBorders>
              <w:top w:val="nil"/>
              <w:left w:val="single" w:sz="4" w:space="0" w:color="auto"/>
              <w:bottom w:val="single" w:sz="4" w:space="0" w:color="auto"/>
              <w:right w:val="single" w:sz="4" w:space="0" w:color="auto"/>
            </w:tcBorders>
            <w:shd w:val="clear" w:color="auto" w:fill="auto"/>
            <w:noWrap/>
            <w:vAlign w:val="bottom"/>
          </w:tcPr>
          <w:p w14:paraId="541E6CC5" w14:textId="77777777" w:rsidR="00DD3613" w:rsidRPr="003A565F" w:rsidRDefault="00DD3613" w:rsidP="003F614D">
            <w:pPr>
              <w:spacing w:after="0" w:line="240" w:lineRule="auto"/>
              <w:jc w:val="center"/>
              <w:rPr>
                <w:rFonts w:ascii="Calibri" w:eastAsia="Times New Roman" w:hAnsi="Calibri" w:cs="Calibri"/>
                <w:color w:val="000000"/>
                <w:sz w:val="20"/>
                <w:szCs w:val="20"/>
                <w:lang w:eastAsia="tr-TR"/>
              </w:rPr>
            </w:pPr>
          </w:p>
        </w:tc>
        <w:tc>
          <w:tcPr>
            <w:tcW w:w="3441" w:type="dxa"/>
            <w:tcBorders>
              <w:top w:val="nil"/>
              <w:left w:val="nil"/>
              <w:bottom w:val="single" w:sz="4" w:space="0" w:color="auto"/>
              <w:right w:val="single" w:sz="4" w:space="0" w:color="auto"/>
            </w:tcBorders>
            <w:shd w:val="clear" w:color="auto" w:fill="auto"/>
            <w:noWrap/>
            <w:vAlign w:val="bottom"/>
          </w:tcPr>
          <w:p w14:paraId="2E3FA260" w14:textId="77777777" w:rsidR="00DD3613" w:rsidRPr="003A565F" w:rsidRDefault="00DD3613" w:rsidP="003F614D">
            <w:pPr>
              <w:spacing w:after="0" w:line="240" w:lineRule="auto"/>
              <w:jc w:val="center"/>
              <w:rPr>
                <w:rFonts w:ascii="Calibri" w:eastAsia="Times New Roman" w:hAnsi="Calibri" w:cs="Calibri"/>
                <w:color w:val="000000"/>
                <w:sz w:val="20"/>
                <w:szCs w:val="20"/>
                <w:lang w:eastAsia="tr-TR"/>
              </w:rPr>
            </w:pPr>
          </w:p>
        </w:tc>
        <w:tc>
          <w:tcPr>
            <w:tcW w:w="3397" w:type="dxa"/>
            <w:tcBorders>
              <w:top w:val="nil"/>
              <w:left w:val="nil"/>
              <w:bottom w:val="single" w:sz="4" w:space="0" w:color="auto"/>
              <w:right w:val="single" w:sz="4" w:space="0" w:color="auto"/>
            </w:tcBorders>
            <w:shd w:val="clear" w:color="000000" w:fill="FFFFFF"/>
            <w:noWrap/>
            <w:vAlign w:val="center"/>
            <w:hideMark/>
          </w:tcPr>
          <w:p w14:paraId="5A450A6D" w14:textId="77777777" w:rsidR="00DD3613" w:rsidRPr="003A565F" w:rsidRDefault="00DD3613" w:rsidP="003F614D">
            <w:pPr>
              <w:spacing w:after="0" w:line="240" w:lineRule="auto"/>
              <w:jc w:val="center"/>
              <w:rPr>
                <w:rFonts w:ascii="Calibri" w:eastAsia="Times New Roman" w:hAnsi="Calibri" w:cs="Calibri"/>
                <w:color w:val="000000"/>
                <w:sz w:val="20"/>
                <w:szCs w:val="20"/>
                <w:lang w:eastAsia="tr-TR"/>
              </w:rPr>
            </w:pPr>
            <w:r w:rsidRPr="003A565F">
              <w:rPr>
                <w:rFonts w:ascii="Calibri" w:eastAsia="Times New Roman" w:hAnsi="Calibri" w:cs="Calibri"/>
                <w:color w:val="000000"/>
                <w:sz w:val="20"/>
                <w:szCs w:val="20"/>
                <w:lang w:eastAsia="tr-TR"/>
              </w:rPr>
              <w:t>Türkgözü/ Temmuz/ SOCAR / 1.000.000</w:t>
            </w:r>
          </w:p>
        </w:tc>
      </w:tr>
      <w:tr w:rsidR="00DD3613" w:rsidRPr="003A565F" w14:paraId="31DF83C4" w14:textId="77777777" w:rsidTr="003F614D">
        <w:trPr>
          <w:trHeight w:val="300"/>
          <w:jc w:val="center"/>
        </w:trPr>
        <w:tc>
          <w:tcPr>
            <w:tcW w:w="2762" w:type="dxa"/>
            <w:tcBorders>
              <w:top w:val="nil"/>
              <w:left w:val="single" w:sz="4" w:space="0" w:color="auto"/>
              <w:bottom w:val="single" w:sz="4" w:space="0" w:color="auto"/>
              <w:right w:val="single" w:sz="4" w:space="0" w:color="auto"/>
            </w:tcBorders>
            <w:shd w:val="clear" w:color="000000" w:fill="F2F2F2"/>
            <w:noWrap/>
            <w:vAlign w:val="bottom"/>
          </w:tcPr>
          <w:p w14:paraId="1845A77E" w14:textId="77777777" w:rsidR="00DD3613" w:rsidRPr="003A565F" w:rsidRDefault="00DD3613" w:rsidP="003F614D">
            <w:pPr>
              <w:spacing w:after="0" w:line="240" w:lineRule="auto"/>
              <w:jc w:val="center"/>
              <w:rPr>
                <w:rFonts w:ascii="Calibri" w:eastAsia="Times New Roman" w:hAnsi="Calibri" w:cs="Calibri"/>
                <w:color w:val="000000"/>
                <w:sz w:val="20"/>
                <w:szCs w:val="20"/>
                <w:lang w:eastAsia="tr-TR"/>
              </w:rPr>
            </w:pPr>
          </w:p>
        </w:tc>
        <w:tc>
          <w:tcPr>
            <w:tcW w:w="3441" w:type="dxa"/>
            <w:tcBorders>
              <w:top w:val="nil"/>
              <w:left w:val="nil"/>
              <w:bottom w:val="single" w:sz="4" w:space="0" w:color="auto"/>
              <w:right w:val="single" w:sz="4" w:space="0" w:color="auto"/>
            </w:tcBorders>
            <w:shd w:val="clear" w:color="000000" w:fill="F2F2F2"/>
            <w:noWrap/>
            <w:vAlign w:val="bottom"/>
          </w:tcPr>
          <w:p w14:paraId="433743EC" w14:textId="77777777" w:rsidR="00DD3613" w:rsidRPr="003A565F" w:rsidRDefault="00DD3613" w:rsidP="003F614D">
            <w:pPr>
              <w:spacing w:after="0" w:line="240" w:lineRule="auto"/>
              <w:jc w:val="center"/>
              <w:rPr>
                <w:rFonts w:ascii="Calibri" w:eastAsia="Times New Roman" w:hAnsi="Calibri" w:cs="Calibri"/>
                <w:color w:val="000000"/>
                <w:sz w:val="20"/>
                <w:szCs w:val="20"/>
                <w:lang w:eastAsia="tr-TR"/>
              </w:rPr>
            </w:pPr>
          </w:p>
        </w:tc>
        <w:tc>
          <w:tcPr>
            <w:tcW w:w="3397" w:type="dxa"/>
            <w:tcBorders>
              <w:top w:val="nil"/>
              <w:left w:val="nil"/>
              <w:bottom w:val="single" w:sz="4" w:space="0" w:color="auto"/>
              <w:right w:val="single" w:sz="4" w:space="0" w:color="auto"/>
            </w:tcBorders>
            <w:shd w:val="clear" w:color="000000" w:fill="F2F2F2"/>
            <w:noWrap/>
            <w:vAlign w:val="center"/>
            <w:hideMark/>
          </w:tcPr>
          <w:p w14:paraId="3A358296" w14:textId="77777777" w:rsidR="00DD3613" w:rsidRPr="003A565F" w:rsidRDefault="00DD3613" w:rsidP="003F614D">
            <w:pPr>
              <w:spacing w:after="0" w:line="240" w:lineRule="auto"/>
              <w:jc w:val="center"/>
              <w:rPr>
                <w:rFonts w:ascii="Calibri" w:eastAsia="Times New Roman" w:hAnsi="Calibri" w:cs="Calibri"/>
                <w:color w:val="000000"/>
                <w:sz w:val="20"/>
                <w:szCs w:val="20"/>
                <w:lang w:eastAsia="tr-TR"/>
              </w:rPr>
            </w:pPr>
            <w:r w:rsidRPr="003A565F">
              <w:rPr>
                <w:rFonts w:ascii="Calibri" w:eastAsia="Times New Roman" w:hAnsi="Calibri" w:cs="Calibri"/>
                <w:color w:val="000000"/>
                <w:sz w:val="20"/>
                <w:szCs w:val="20"/>
                <w:lang w:eastAsia="tr-TR"/>
              </w:rPr>
              <w:t>Kıyıköy / Ağustos / BOTAŞ / 7.839.000</w:t>
            </w:r>
          </w:p>
        </w:tc>
      </w:tr>
      <w:tr w:rsidR="00DD3613" w:rsidRPr="003A565F" w14:paraId="10A51611" w14:textId="77777777" w:rsidTr="003F614D">
        <w:trPr>
          <w:trHeight w:val="300"/>
          <w:jc w:val="center"/>
        </w:trPr>
        <w:tc>
          <w:tcPr>
            <w:tcW w:w="2762" w:type="dxa"/>
            <w:tcBorders>
              <w:top w:val="nil"/>
              <w:left w:val="single" w:sz="4" w:space="0" w:color="auto"/>
              <w:bottom w:val="single" w:sz="4" w:space="0" w:color="auto"/>
              <w:right w:val="single" w:sz="4" w:space="0" w:color="auto"/>
            </w:tcBorders>
            <w:shd w:val="clear" w:color="auto" w:fill="auto"/>
            <w:noWrap/>
            <w:vAlign w:val="bottom"/>
          </w:tcPr>
          <w:p w14:paraId="66CED6C9" w14:textId="77777777" w:rsidR="00DD3613" w:rsidRPr="003A565F" w:rsidRDefault="00DD3613" w:rsidP="003F614D">
            <w:pPr>
              <w:spacing w:after="0" w:line="240" w:lineRule="auto"/>
              <w:jc w:val="center"/>
              <w:rPr>
                <w:rFonts w:ascii="Calibri" w:eastAsia="Times New Roman" w:hAnsi="Calibri" w:cs="Calibri"/>
                <w:color w:val="000000"/>
                <w:sz w:val="20"/>
                <w:szCs w:val="20"/>
                <w:lang w:eastAsia="tr-TR"/>
              </w:rPr>
            </w:pPr>
          </w:p>
        </w:tc>
        <w:tc>
          <w:tcPr>
            <w:tcW w:w="3441" w:type="dxa"/>
            <w:tcBorders>
              <w:top w:val="nil"/>
              <w:left w:val="nil"/>
              <w:bottom w:val="single" w:sz="4" w:space="0" w:color="auto"/>
              <w:right w:val="single" w:sz="4" w:space="0" w:color="auto"/>
            </w:tcBorders>
            <w:shd w:val="clear" w:color="auto" w:fill="auto"/>
            <w:noWrap/>
            <w:vAlign w:val="bottom"/>
          </w:tcPr>
          <w:p w14:paraId="2812BC08" w14:textId="77777777" w:rsidR="00DD3613" w:rsidRPr="003A565F" w:rsidRDefault="00DD3613" w:rsidP="003F614D">
            <w:pPr>
              <w:spacing w:after="0" w:line="240" w:lineRule="auto"/>
              <w:jc w:val="center"/>
              <w:rPr>
                <w:rFonts w:ascii="Calibri" w:eastAsia="Times New Roman" w:hAnsi="Calibri" w:cs="Calibri"/>
                <w:color w:val="000000"/>
                <w:sz w:val="20"/>
                <w:szCs w:val="20"/>
                <w:lang w:eastAsia="tr-TR"/>
              </w:rPr>
            </w:pPr>
          </w:p>
        </w:tc>
        <w:tc>
          <w:tcPr>
            <w:tcW w:w="3397" w:type="dxa"/>
            <w:tcBorders>
              <w:top w:val="nil"/>
              <w:left w:val="nil"/>
              <w:bottom w:val="single" w:sz="4" w:space="0" w:color="auto"/>
              <w:right w:val="single" w:sz="4" w:space="0" w:color="auto"/>
            </w:tcBorders>
            <w:shd w:val="clear" w:color="000000" w:fill="FFFFFF"/>
            <w:noWrap/>
            <w:vAlign w:val="center"/>
            <w:hideMark/>
          </w:tcPr>
          <w:p w14:paraId="71C43EAB" w14:textId="77777777" w:rsidR="00DD3613" w:rsidRPr="003A565F" w:rsidRDefault="00DD3613" w:rsidP="003F614D">
            <w:pPr>
              <w:spacing w:after="0" w:line="240" w:lineRule="auto"/>
              <w:jc w:val="center"/>
              <w:rPr>
                <w:rFonts w:ascii="Calibri" w:eastAsia="Times New Roman" w:hAnsi="Calibri" w:cs="Calibri"/>
                <w:color w:val="000000"/>
                <w:sz w:val="20"/>
                <w:szCs w:val="20"/>
                <w:lang w:eastAsia="tr-TR"/>
              </w:rPr>
            </w:pPr>
            <w:r w:rsidRPr="003A565F">
              <w:rPr>
                <w:rFonts w:ascii="Calibri" w:eastAsia="Times New Roman" w:hAnsi="Calibri" w:cs="Calibri"/>
                <w:color w:val="000000"/>
                <w:sz w:val="20"/>
                <w:szCs w:val="20"/>
                <w:lang w:eastAsia="tr-TR"/>
              </w:rPr>
              <w:t>Kıyıköy / Eylül / BOTAŞ / 7.839.000</w:t>
            </w:r>
          </w:p>
        </w:tc>
      </w:tr>
      <w:tr w:rsidR="00DD3613" w:rsidRPr="003A565F" w14:paraId="4DB60ECB" w14:textId="77777777" w:rsidTr="003F614D">
        <w:trPr>
          <w:trHeight w:val="300"/>
          <w:jc w:val="center"/>
        </w:trPr>
        <w:tc>
          <w:tcPr>
            <w:tcW w:w="2762" w:type="dxa"/>
            <w:tcBorders>
              <w:top w:val="nil"/>
              <w:left w:val="single" w:sz="4" w:space="0" w:color="auto"/>
              <w:bottom w:val="single" w:sz="4" w:space="0" w:color="auto"/>
              <w:right w:val="single" w:sz="4" w:space="0" w:color="auto"/>
            </w:tcBorders>
            <w:shd w:val="clear" w:color="000000" w:fill="F2F2F2"/>
            <w:noWrap/>
            <w:vAlign w:val="bottom"/>
          </w:tcPr>
          <w:p w14:paraId="284C4C0A" w14:textId="77777777" w:rsidR="00DD3613" w:rsidRPr="003A565F" w:rsidRDefault="00DD3613" w:rsidP="003F614D">
            <w:pPr>
              <w:spacing w:after="0" w:line="240" w:lineRule="auto"/>
              <w:jc w:val="center"/>
              <w:rPr>
                <w:rFonts w:ascii="Calibri" w:eastAsia="Times New Roman" w:hAnsi="Calibri" w:cs="Calibri"/>
                <w:color w:val="000000"/>
                <w:sz w:val="20"/>
                <w:szCs w:val="20"/>
                <w:lang w:eastAsia="tr-TR"/>
              </w:rPr>
            </w:pPr>
          </w:p>
        </w:tc>
        <w:tc>
          <w:tcPr>
            <w:tcW w:w="3441" w:type="dxa"/>
            <w:tcBorders>
              <w:top w:val="nil"/>
              <w:left w:val="nil"/>
              <w:bottom w:val="single" w:sz="4" w:space="0" w:color="auto"/>
              <w:right w:val="single" w:sz="4" w:space="0" w:color="auto"/>
            </w:tcBorders>
            <w:shd w:val="clear" w:color="000000" w:fill="F2F2F2"/>
            <w:noWrap/>
            <w:vAlign w:val="bottom"/>
          </w:tcPr>
          <w:p w14:paraId="120DE883" w14:textId="77777777" w:rsidR="00DD3613" w:rsidRPr="003A565F" w:rsidRDefault="00DD3613" w:rsidP="003F614D">
            <w:pPr>
              <w:spacing w:after="0" w:line="240" w:lineRule="auto"/>
              <w:jc w:val="center"/>
              <w:rPr>
                <w:rFonts w:ascii="Calibri" w:eastAsia="Times New Roman" w:hAnsi="Calibri" w:cs="Calibri"/>
                <w:color w:val="000000"/>
                <w:sz w:val="20"/>
                <w:szCs w:val="20"/>
                <w:lang w:eastAsia="tr-TR"/>
              </w:rPr>
            </w:pPr>
          </w:p>
        </w:tc>
        <w:tc>
          <w:tcPr>
            <w:tcW w:w="3397" w:type="dxa"/>
            <w:tcBorders>
              <w:top w:val="nil"/>
              <w:left w:val="nil"/>
              <w:bottom w:val="single" w:sz="4" w:space="0" w:color="auto"/>
              <w:right w:val="single" w:sz="4" w:space="0" w:color="auto"/>
            </w:tcBorders>
            <w:shd w:val="clear" w:color="000000" w:fill="F2F2F2"/>
            <w:noWrap/>
            <w:vAlign w:val="center"/>
            <w:hideMark/>
          </w:tcPr>
          <w:p w14:paraId="3A9DAB01" w14:textId="77777777" w:rsidR="00DD3613" w:rsidRPr="003A565F" w:rsidRDefault="00DD3613" w:rsidP="003F614D">
            <w:pPr>
              <w:spacing w:after="0" w:line="240" w:lineRule="auto"/>
              <w:jc w:val="center"/>
              <w:rPr>
                <w:rFonts w:ascii="Calibri" w:eastAsia="Times New Roman" w:hAnsi="Calibri" w:cs="Calibri"/>
                <w:color w:val="000000"/>
                <w:sz w:val="20"/>
                <w:szCs w:val="20"/>
                <w:lang w:eastAsia="tr-TR"/>
              </w:rPr>
            </w:pPr>
            <w:r w:rsidRPr="003A565F">
              <w:rPr>
                <w:rFonts w:ascii="Calibri" w:eastAsia="Times New Roman" w:hAnsi="Calibri" w:cs="Calibri"/>
                <w:color w:val="000000"/>
                <w:sz w:val="20"/>
                <w:szCs w:val="20"/>
                <w:lang w:eastAsia="tr-TR"/>
              </w:rPr>
              <w:t>Türkgözü / Eylül / SOCAR / 1.863.000</w:t>
            </w:r>
          </w:p>
        </w:tc>
      </w:tr>
      <w:tr w:rsidR="00DD3613" w:rsidRPr="003A565F" w14:paraId="0D797658" w14:textId="77777777" w:rsidTr="003F614D">
        <w:trPr>
          <w:trHeight w:val="300"/>
          <w:jc w:val="center"/>
        </w:trPr>
        <w:tc>
          <w:tcPr>
            <w:tcW w:w="2762" w:type="dxa"/>
            <w:tcBorders>
              <w:top w:val="nil"/>
              <w:left w:val="single" w:sz="4" w:space="0" w:color="auto"/>
              <w:bottom w:val="single" w:sz="4" w:space="0" w:color="auto"/>
              <w:right w:val="single" w:sz="4" w:space="0" w:color="auto"/>
            </w:tcBorders>
            <w:shd w:val="clear" w:color="auto" w:fill="auto"/>
            <w:noWrap/>
            <w:vAlign w:val="bottom"/>
          </w:tcPr>
          <w:p w14:paraId="5C625BE2" w14:textId="77777777" w:rsidR="00DD3613" w:rsidRPr="003A565F" w:rsidRDefault="00DD3613" w:rsidP="003F614D">
            <w:pPr>
              <w:spacing w:after="0" w:line="240" w:lineRule="auto"/>
              <w:jc w:val="center"/>
              <w:rPr>
                <w:rFonts w:ascii="Calibri" w:eastAsia="Times New Roman" w:hAnsi="Calibri" w:cs="Calibri"/>
                <w:color w:val="000000"/>
                <w:sz w:val="20"/>
                <w:szCs w:val="20"/>
                <w:lang w:eastAsia="tr-TR"/>
              </w:rPr>
            </w:pPr>
          </w:p>
        </w:tc>
        <w:tc>
          <w:tcPr>
            <w:tcW w:w="3441" w:type="dxa"/>
            <w:tcBorders>
              <w:top w:val="nil"/>
              <w:left w:val="nil"/>
              <w:bottom w:val="single" w:sz="4" w:space="0" w:color="auto"/>
              <w:right w:val="single" w:sz="4" w:space="0" w:color="auto"/>
            </w:tcBorders>
            <w:shd w:val="clear" w:color="auto" w:fill="auto"/>
            <w:noWrap/>
            <w:vAlign w:val="bottom"/>
          </w:tcPr>
          <w:p w14:paraId="446BDAA6" w14:textId="77777777" w:rsidR="00DD3613" w:rsidRPr="003A565F" w:rsidRDefault="00DD3613" w:rsidP="003F614D">
            <w:pPr>
              <w:spacing w:after="0" w:line="240" w:lineRule="auto"/>
              <w:jc w:val="center"/>
              <w:rPr>
                <w:rFonts w:ascii="Calibri" w:eastAsia="Times New Roman" w:hAnsi="Calibri" w:cs="Calibri"/>
                <w:color w:val="000000"/>
                <w:sz w:val="20"/>
                <w:szCs w:val="20"/>
                <w:lang w:eastAsia="tr-TR"/>
              </w:rPr>
            </w:pPr>
          </w:p>
        </w:tc>
        <w:tc>
          <w:tcPr>
            <w:tcW w:w="3397" w:type="dxa"/>
            <w:tcBorders>
              <w:top w:val="nil"/>
              <w:left w:val="nil"/>
              <w:bottom w:val="single" w:sz="4" w:space="0" w:color="auto"/>
              <w:right w:val="single" w:sz="4" w:space="0" w:color="auto"/>
            </w:tcBorders>
            <w:shd w:val="clear" w:color="000000" w:fill="FFFFFF"/>
            <w:noWrap/>
            <w:vAlign w:val="center"/>
          </w:tcPr>
          <w:p w14:paraId="78AFDB35" w14:textId="77777777" w:rsidR="00DD3613" w:rsidRPr="003A565F" w:rsidRDefault="00DD3613" w:rsidP="003F614D">
            <w:pPr>
              <w:spacing w:after="0" w:line="240" w:lineRule="auto"/>
              <w:jc w:val="center"/>
              <w:rPr>
                <w:rFonts w:ascii="Calibri" w:eastAsia="Times New Roman" w:hAnsi="Calibri" w:cs="Calibri"/>
                <w:color w:val="000000"/>
                <w:sz w:val="20"/>
                <w:szCs w:val="20"/>
                <w:lang w:eastAsia="tr-TR"/>
              </w:rPr>
            </w:pPr>
            <w:r w:rsidRPr="003A565F">
              <w:rPr>
                <w:rFonts w:ascii="Calibri" w:eastAsia="Times New Roman" w:hAnsi="Calibri" w:cs="Calibri"/>
                <w:color w:val="000000"/>
                <w:sz w:val="20"/>
                <w:szCs w:val="20"/>
                <w:lang w:eastAsia="tr-TR"/>
              </w:rPr>
              <w:t>Türkgözü / Ekim /SOCAR /1.863.000</w:t>
            </w:r>
          </w:p>
        </w:tc>
      </w:tr>
      <w:tr w:rsidR="00DD3613" w:rsidRPr="003A565F" w14:paraId="4583AE67" w14:textId="77777777" w:rsidTr="003F614D">
        <w:trPr>
          <w:trHeight w:val="300"/>
          <w:jc w:val="center"/>
        </w:trPr>
        <w:tc>
          <w:tcPr>
            <w:tcW w:w="2762" w:type="dxa"/>
            <w:tcBorders>
              <w:top w:val="nil"/>
              <w:left w:val="single" w:sz="4" w:space="0" w:color="auto"/>
              <w:bottom w:val="single" w:sz="4" w:space="0" w:color="auto"/>
              <w:right w:val="single" w:sz="4" w:space="0" w:color="auto"/>
            </w:tcBorders>
            <w:shd w:val="clear" w:color="auto" w:fill="F2F2F2"/>
            <w:noWrap/>
            <w:vAlign w:val="bottom"/>
          </w:tcPr>
          <w:p w14:paraId="07BDCBA3" w14:textId="77777777" w:rsidR="00DD3613" w:rsidRPr="003A565F" w:rsidRDefault="00DD3613" w:rsidP="003F614D">
            <w:pPr>
              <w:spacing w:after="0" w:line="240" w:lineRule="auto"/>
              <w:jc w:val="center"/>
              <w:rPr>
                <w:rFonts w:ascii="Calibri" w:eastAsia="Times New Roman" w:hAnsi="Calibri" w:cs="Calibri"/>
                <w:color w:val="000000"/>
                <w:sz w:val="20"/>
                <w:szCs w:val="20"/>
                <w:highlight w:val="yellow"/>
                <w:lang w:eastAsia="tr-TR"/>
              </w:rPr>
            </w:pPr>
          </w:p>
        </w:tc>
        <w:tc>
          <w:tcPr>
            <w:tcW w:w="3441" w:type="dxa"/>
            <w:tcBorders>
              <w:top w:val="nil"/>
              <w:left w:val="nil"/>
              <w:bottom w:val="single" w:sz="4" w:space="0" w:color="auto"/>
              <w:right w:val="single" w:sz="4" w:space="0" w:color="auto"/>
            </w:tcBorders>
            <w:shd w:val="clear" w:color="auto" w:fill="F2F2F2"/>
            <w:noWrap/>
            <w:vAlign w:val="bottom"/>
          </w:tcPr>
          <w:p w14:paraId="1739F280" w14:textId="77777777" w:rsidR="00DD3613" w:rsidRPr="003A565F" w:rsidRDefault="00DD3613" w:rsidP="003F614D">
            <w:pPr>
              <w:spacing w:after="0" w:line="240" w:lineRule="auto"/>
              <w:jc w:val="center"/>
              <w:rPr>
                <w:rFonts w:ascii="Calibri" w:eastAsia="Times New Roman" w:hAnsi="Calibri" w:cs="Calibri"/>
                <w:color w:val="000000"/>
                <w:sz w:val="20"/>
                <w:szCs w:val="20"/>
                <w:highlight w:val="yellow"/>
                <w:lang w:eastAsia="tr-TR"/>
              </w:rPr>
            </w:pPr>
          </w:p>
        </w:tc>
        <w:tc>
          <w:tcPr>
            <w:tcW w:w="3397" w:type="dxa"/>
            <w:tcBorders>
              <w:top w:val="nil"/>
              <w:left w:val="nil"/>
              <w:bottom w:val="single" w:sz="4" w:space="0" w:color="auto"/>
              <w:right w:val="single" w:sz="4" w:space="0" w:color="auto"/>
            </w:tcBorders>
            <w:shd w:val="clear" w:color="auto" w:fill="F2F2F2"/>
            <w:noWrap/>
            <w:vAlign w:val="center"/>
          </w:tcPr>
          <w:p w14:paraId="2518DA84" w14:textId="77777777" w:rsidR="00DD3613" w:rsidRPr="003A565F" w:rsidRDefault="00DD3613" w:rsidP="003F614D">
            <w:pPr>
              <w:spacing w:after="0" w:line="240" w:lineRule="auto"/>
              <w:jc w:val="center"/>
              <w:rPr>
                <w:rFonts w:ascii="Calibri" w:eastAsia="Times New Roman" w:hAnsi="Calibri" w:cs="Calibri"/>
                <w:color w:val="000000"/>
                <w:sz w:val="20"/>
                <w:szCs w:val="20"/>
                <w:highlight w:val="yellow"/>
                <w:lang w:eastAsia="tr-TR"/>
              </w:rPr>
            </w:pPr>
            <w:r w:rsidRPr="003A565F">
              <w:rPr>
                <w:rFonts w:ascii="Calibri" w:eastAsia="Times New Roman" w:hAnsi="Calibri" w:cs="Calibri"/>
                <w:color w:val="000000"/>
                <w:sz w:val="20"/>
                <w:szCs w:val="20"/>
                <w:lang w:eastAsia="tr-TR"/>
              </w:rPr>
              <w:t>Türkgözü / Kasım /SOCAR /1.863.000</w:t>
            </w:r>
          </w:p>
        </w:tc>
      </w:tr>
      <w:tr w:rsidR="00DD3613" w:rsidRPr="003A565F" w14:paraId="6687174C" w14:textId="77777777" w:rsidTr="003F614D">
        <w:trPr>
          <w:trHeight w:val="300"/>
          <w:jc w:val="center"/>
        </w:trPr>
        <w:tc>
          <w:tcPr>
            <w:tcW w:w="2762" w:type="dxa"/>
            <w:tcBorders>
              <w:top w:val="nil"/>
              <w:left w:val="single" w:sz="4" w:space="0" w:color="auto"/>
              <w:bottom w:val="single" w:sz="4" w:space="0" w:color="auto"/>
              <w:right w:val="single" w:sz="4" w:space="0" w:color="auto"/>
            </w:tcBorders>
            <w:shd w:val="clear" w:color="auto" w:fill="auto"/>
            <w:noWrap/>
            <w:vAlign w:val="bottom"/>
          </w:tcPr>
          <w:p w14:paraId="67C684F3" w14:textId="77777777" w:rsidR="00DD3613" w:rsidRPr="003A565F" w:rsidRDefault="00DD3613" w:rsidP="003F614D">
            <w:pPr>
              <w:spacing w:after="0" w:line="240" w:lineRule="auto"/>
              <w:jc w:val="center"/>
              <w:rPr>
                <w:rFonts w:ascii="Calibri" w:eastAsia="Times New Roman" w:hAnsi="Calibri" w:cs="Calibri"/>
                <w:color w:val="000000"/>
                <w:sz w:val="20"/>
                <w:szCs w:val="20"/>
                <w:highlight w:val="yellow"/>
                <w:lang w:eastAsia="tr-TR"/>
              </w:rPr>
            </w:pPr>
          </w:p>
        </w:tc>
        <w:tc>
          <w:tcPr>
            <w:tcW w:w="3441" w:type="dxa"/>
            <w:tcBorders>
              <w:top w:val="nil"/>
              <w:left w:val="nil"/>
              <w:bottom w:val="single" w:sz="4" w:space="0" w:color="auto"/>
              <w:right w:val="single" w:sz="4" w:space="0" w:color="auto"/>
            </w:tcBorders>
            <w:shd w:val="clear" w:color="auto" w:fill="auto"/>
            <w:noWrap/>
            <w:vAlign w:val="bottom"/>
          </w:tcPr>
          <w:p w14:paraId="45E74ED2" w14:textId="77777777" w:rsidR="00DD3613" w:rsidRPr="003A565F" w:rsidRDefault="00DD3613" w:rsidP="003F614D">
            <w:pPr>
              <w:spacing w:after="0" w:line="240" w:lineRule="auto"/>
              <w:jc w:val="center"/>
              <w:rPr>
                <w:rFonts w:ascii="Calibri" w:eastAsia="Times New Roman" w:hAnsi="Calibri" w:cs="Calibri"/>
                <w:color w:val="000000"/>
                <w:sz w:val="20"/>
                <w:szCs w:val="20"/>
                <w:highlight w:val="yellow"/>
                <w:lang w:eastAsia="tr-TR"/>
              </w:rPr>
            </w:pPr>
          </w:p>
        </w:tc>
        <w:tc>
          <w:tcPr>
            <w:tcW w:w="3397" w:type="dxa"/>
            <w:tcBorders>
              <w:top w:val="nil"/>
              <w:left w:val="nil"/>
              <w:bottom w:val="single" w:sz="4" w:space="0" w:color="auto"/>
              <w:right w:val="single" w:sz="4" w:space="0" w:color="auto"/>
            </w:tcBorders>
            <w:shd w:val="clear" w:color="000000" w:fill="FFFFFF"/>
            <w:noWrap/>
            <w:vAlign w:val="center"/>
          </w:tcPr>
          <w:p w14:paraId="55C7A162" w14:textId="77777777" w:rsidR="00DD3613" w:rsidRPr="003A565F" w:rsidRDefault="00DD3613" w:rsidP="003F614D">
            <w:pPr>
              <w:spacing w:after="0" w:line="240" w:lineRule="auto"/>
              <w:jc w:val="center"/>
              <w:rPr>
                <w:rFonts w:ascii="Calibri" w:eastAsia="Times New Roman" w:hAnsi="Calibri" w:cs="Calibri"/>
                <w:color w:val="000000"/>
                <w:sz w:val="20"/>
                <w:szCs w:val="20"/>
                <w:highlight w:val="yellow"/>
                <w:lang w:eastAsia="tr-TR"/>
              </w:rPr>
            </w:pPr>
            <w:r w:rsidRPr="003A565F">
              <w:rPr>
                <w:rFonts w:ascii="Calibri" w:eastAsia="Times New Roman" w:hAnsi="Calibri" w:cs="Calibri"/>
                <w:color w:val="000000"/>
                <w:sz w:val="20"/>
                <w:szCs w:val="20"/>
                <w:lang w:eastAsia="tr-TR"/>
              </w:rPr>
              <w:t>Kıyıköy / Aralık / BOTAŞ / 11.550.000</w:t>
            </w:r>
          </w:p>
        </w:tc>
      </w:tr>
      <w:tr w:rsidR="00DD3613" w:rsidRPr="003A565F" w14:paraId="1A25520E" w14:textId="77777777" w:rsidTr="003F614D">
        <w:trPr>
          <w:trHeight w:val="300"/>
          <w:jc w:val="center"/>
        </w:trPr>
        <w:tc>
          <w:tcPr>
            <w:tcW w:w="2762" w:type="dxa"/>
            <w:tcBorders>
              <w:top w:val="nil"/>
              <w:left w:val="single" w:sz="4" w:space="0" w:color="auto"/>
              <w:bottom w:val="single" w:sz="4" w:space="0" w:color="auto"/>
              <w:right w:val="single" w:sz="4" w:space="0" w:color="auto"/>
            </w:tcBorders>
            <w:shd w:val="clear" w:color="auto" w:fill="F2F2F2"/>
            <w:noWrap/>
            <w:vAlign w:val="bottom"/>
          </w:tcPr>
          <w:p w14:paraId="6795B19F" w14:textId="77777777" w:rsidR="00DD3613" w:rsidRPr="003A565F" w:rsidRDefault="00DD3613" w:rsidP="003F614D">
            <w:pPr>
              <w:spacing w:after="0" w:line="240" w:lineRule="auto"/>
              <w:jc w:val="center"/>
              <w:rPr>
                <w:rFonts w:ascii="Calibri" w:eastAsia="Times New Roman" w:hAnsi="Calibri" w:cs="Calibri"/>
                <w:color w:val="000000"/>
                <w:sz w:val="20"/>
                <w:szCs w:val="20"/>
                <w:highlight w:val="yellow"/>
                <w:lang w:eastAsia="tr-TR"/>
              </w:rPr>
            </w:pPr>
          </w:p>
        </w:tc>
        <w:tc>
          <w:tcPr>
            <w:tcW w:w="3441" w:type="dxa"/>
            <w:tcBorders>
              <w:top w:val="nil"/>
              <w:left w:val="nil"/>
              <w:bottom w:val="single" w:sz="4" w:space="0" w:color="auto"/>
              <w:right w:val="single" w:sz="4" w:space="0" w:color="auto"/>
            </w:tcBorders>
            <w:shd w:val="clear" w:color="auto" w:fill="F2F2F2"/>
            <w:noWrap/>
            <w:vAlign w:val="bottom"/>
          </w:tcPr>
          <w:p w14:paraId="74CC19FE" w14:textId="77777777" w:rsidR="00DD3613" w:rsidRPr="003A565F" w:rsidRDefault="00DD3613" w:rsidP="003F614D">
            <w:pPr>
              <w:spacing w:after="0" w:line="240" w:lineRule="auto"/>
              <w:jc w:val="center"/>
              <w:rPr>
                <w:rFonts w:ascii="Calibri" w:eastAsia="Times New Roman" w:hAnsi="Calibri" w:cs="Calibri"/>
                <w:color w:val="000000"/>
                <w:sz w:val="20"/>
                <w:szCs w:val="20"/>
                <w:highlight w:val="yellow"/>
                <w:lang w:eastAsia="tr-TR"/>
              </w:rPr>
            </w:pPr>
          </w:p>
        </w:tc>
        <w:tc>
          <w:tcPr>
            <w:tcW w:w="3397" w:type="dxa"/>
            <w:tcBorders>
              <w:top w:val="nil"/>
              <w:left w:val="nil"/>
              <w:bottom w:val="single" w:sz="4" w:space="0" w:color="auto"/>
              <w:right w:val="single" w:sz="4" w:space="0" w:color="auto"/>
            </w:tcBorders>
            <w:shd w:val="clear" w:color="auto" w:fill="F2F2F2"/>
            <w:noWrap/>
            <w:vAlign w:val="center"/>
          </w:tcPr>
          <w:p w14:paraId="550E216E" w14:textId="77777777" w:rsidR="00DD3613" w:rsidRPr="003A565F" w:rsidRDefault="00DD3613" w:rsidP="003F614D">
            <w:pPr>
              <w:spacing w:after="0" w:line="240" w:lineRule="auto"/>
              <w:jc w:val="center"/>
              <w:rPr>
                <w:rFonts w:ascii="Calibri" w:eastAsia="Times New Roman" w:hAnsi="Calibri" w:cs="Calibri"/>
                <w:color w:val="000000"/>
                <w:sz w:val="20"/>
                <w:szCs w:val="20"/>
                <w:highlight w:val="yellow"/>
                <w:lang w:eastAsia="tr-TR"/>
              </w:rPr>
            </w:pPr>
            <w:r w:rsidRPr="003A565F">
              <w:rPr>
                <w:rFonts w:ascii="Calibri" w:eastAsia="Times New Roman" w:hAnsi="Calibri" w:cs="Calibri"/>
                <w:color w:val="000000"/>
                <w:sz w:val="20"/>
                <w:szCs w:val="20"/>
                <w:lang w:eastAsia="tr-TR"/>
              </w:rPr>
              <w:t>Türkgözü / Aralık /SOCAR /1.000.000</w:t>
            </w:r>
          </w:p>
        </w:tc>
      </w:tr>
    </w:tbl>
    <w:p w14:paraId="24C99571" w14:textId="77777777" w:rsidR="00DD3613" w:rsidRDefault="008C40F5" w:rsidP="00DD3613">
      <w:pPr>
        <w:pStyle w:val="Balk2"/>
        <w:spacing w:before="0" w:after="240"/>
        <w:ind w:left="360"/>
        <w:rPr>
          <w:rFonts w:asciiTheme="minorHAnsi" w:hAnsiTheme="minorHAnsi"/>
          <w:color w:val="auto"/>
          <w:sz w:val="22"/>
          <w:szCs w:val="22"/>
        </w:rPr>
      </w:pPr>
      <w:r w:rsidRPr="002048A7">
        <w:rPr>
          <w:rFonts w:asciiTheme="minorHAnsi" w:hAnsiTheme="minorHAnsi"/>
          <w:color w:val="auto"/>
          <w:sz w:val="22"/>
          <w:szCs w:val="22"/>
        </w:rPr>
        <w:t xml:space="preserve"> </w:t>
      </w:r>
    </w:p>
    <w:p w14:paraId="6476C5EC" w14:textId="77777777" w:rsidR="00CB5826" w:rsidRPr="002048A7" w:rsidRDefault="00CB5826" w:rsidP="00577AAF">
      <w:pPr>
        <w:pStyle w:val="Balk2"/>
        <w:numPr>
          <w:ilvl w:val="1"/>
          <w:numId w:val="11"/>
        </w:numPr>
        <w:spacing w:before="0" w:after="240"/>
        <w:rPr>
          <w:rFonts w:asciiTheme="minorHAnsi" w:hAnsiTheme="minorHAnsi"/>
          <w:color w:val="auto"/>
          <w:sz w:val="22"/>
          <w:szCs w:val="22"/>
        </w:rPr>
      </w:pPr>
      <w:bookmarkStart w:id="135" w:name="_Toc195868700"/>
      <w:r w:rsidRPr="002048A7">
        <w:rPr>
          <w:rFonts w:asciiTheme="minorHAnsi" w:hAnsiTheme="minorHAnsi"/>
          <w:color w:val="auto"/>
          <w:sz w:val="22"/>
          <w:szCs w:val="22"/>
        </w:rPr>
        <w:t>Petrol Piyasası Lisanslama Faaliyetleri</w:t>
      </w:r>
      <w:bookmarkEnd w:id="133"/>
      <w:bookmarkEnd w:id="135"/>
    </w:p>
    <w:p w14:paraId="3B93DF94" w14:textId="77777777" w:rsidR="00CB5826" w:rsidRPr="002048A7" w:rsidRDefault="00CB5826" w:rsidP="00CB5826">
      <w:pPr>
        <w:spacing w:after="0"/>
      </w:pPr>
      <w:r w:rsidRPr="002048A7">
        <w:t>Petrol ile ilgili; rafinaj, işleme, madeni yağ üretimi, depolama, iletim, serbest kullanıcı ve ihrakiye faaliyetlerinin yapılması ve bu amaçla tesis kurulması ve/veya işletilmesi; akaryakıt dağıtımı, taşınması ve bayilik faaliyetlerinin yapılması için lisans alınması zorunludur. Bu husustaki lisanslara ilişkin usul ve esaslar, Petrol Piyasası Lisans Yönetmeliğinde düzenlenmiştir. Faaliyet konularına göre Kurum tarafından verilen lisanslar; Rafinerici Lisansı, İşletme Lisansı, Madeni Yağ Lisansı, Depolama Lisansı, İletim Lisansı, Serbest Kullanıcı Lisansı, İhrakiye Teslimi Lisansı, Dağıtıcı Lisansı, Taşıma Lisansı, Bayilik Lisa</w:t>
      </w:r>
      <w:bookmarkStart w:id="136" w:name="_Toc416447585"/>
      <w:bookmarkStart w:id="137" w:name="_Toc442441736"/>
      <w:r w:rsidRPr="002048A7">
        <w:t>nsı</w:t>
      </w:r>
      <w:r w:rsidR="001A2F40" w:rsidRPr="002048A7">
        <w:t>dır</w:t>
      </w:r>
      <w:r w:rsidRPr="002048A7">
        <w:t>.</w:t>
      </w:r>
    </w:p>
    <w:p w14:paraId="32F4F95F" w14:textId="77777777" w:rsidR="00D16262" w:rsidRPr="002048A7" w:rsidRDefault="00D16262" w:rsidP="00D16262">
      <w:pPr>
        <w:pStyle w:val="Balk5"/>
        <w:jc w:val="center"/>
        <w:rPr>
          <w:rFonts w:asciiTheme="minorHAnsi" w:hAnsiTheme="minorHAnsi"/>
          <w:b/>
          <w:bCs/>
          <w:color w:val="000000" w:themeColor="text1"/>
        </w:rPr>
      </w:pPr>
      <w:bookmarkStart w:id="138" w:name="_Toc195868804"/>
      <w:bookmarkStart w:id="139" w:name="_Toc416447588"/>
      <w:bookmarkStart w:id="140" w:name="_Toc442441738"/>
      <w:bookmarkEnd w:id="136"/>
      <w:bookmarkEnd w:id="137"/>
      <w:r w:rsidRPr="002048A7">
        <w:rPr>
          <w:rStyle w:val="Gl"/>
          <w:color w:val="000000" w:themeColor="text1"/>
        </w:rPr>
        <w:t>Tablo 3.8: Petrol Piyasasında 202</w:t>
      </w:r>
      <w:r>
        <w:rPr>
          <w:rStyle w:val="Gl"/>
          <w:color w:val="000000" w:themeColor="text1"/>
        </w:rPr>
        <w:t>4</w:t>
      </w:r>
      <w:r w:rsidRPr="002048A7">
        <w:rPr>
          <w:rStyle w:val="Gl"/>
          <w:color w:val="000000" w:themeColor="text1"/>
        </w:rPr>
        <w:t xml:space="preserve"> Yılında Gerçekleştirilen Lisans İşlemleri (Adet)</w:t>
      </w:r>
      <w:bookmarkEnd w:id="138"/>
    </w:p>
    <w:tbl>
      <w:tblPr>
        <w:tblW w:w="9912" w:type="dxa"/>
        <w:tblCellMar>
          <w:left w:w="70" w:type="dxa"/>
          <w:right w:w="70" w:type="dxa"/>
        </w:tblCellMar>
        <w:tblLook w:val="04A0" w:firstRow="1" w:lastRow="0" w:firstColumn="1" w:lastColumn="0" w:noHBand="0" w:noVBand="1"/>
      </w:tblPr>
      <w:tblGrid>
        <w:gridCol w:w="1717"/>
        <w:gridCol w:w="1112"/>
        <w:gridCol w:w="1006"/>
        <w:gridCol w:w="1459"/>
        <w:gridCol w:w="1211"/>
        <w:gridCol w:w="944"/>
        <w:gridCol w:w="1047"/>
        <w:gridCol w:w="1416"/>
      </w:tblGrid>
      <w:tr w:rsidR="00D16262" w:rsidRPr="002048A7" w14:paraId="3D94952C" w14:textId="77777777" w:rsidTr="00D16262">
        <w:trPr>
          <w:trHeight w:val="990"/>
        </w:trPr>
        <w:tc>
          <w:tcPr>
            <w:tcW w:w="17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14:paraId="7B0F8BB9" w14:textId="77777777" w:rsidR="00D16262" w:rsidRPr="002048A7" w:rsidRDefault="00D16262" w:rsidP="00D16262">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Lisans Tipi</w:t>
            </w:r>
          </w:p>
        </w:tc>
        <w:tc>
          <w:tcPr>
            <w:tcW w:w="11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14:paraId="1E702CB9" w14:textId="77777777" w:rsidR="00D16262" w:rsidRPr="002048A7" w:rsidRDefault="00D16262" w:rsidP="00D16262">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Lisans Başvurusu Sayısı</w:t>
            </w:r>
          </w:p>
        </w:tc>
        <w:tc>
          <w:tcPr>
            <w:tcW w:w="10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14:paraId="50707A11" w14:textId="77777777" w:rsidR="00D16262" w:rsidRPr="002048A7" w:rsidRDefault="00D16262" w:rsidP="00D16262">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Verilen Lisans Sayısı</w:t>
            </w:r>
          </w:p>
        </w:tc>
        <w:tc>
          <w:tcPr>
            <w:tcW w:w="145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14:paraId="0607B53F" w14:textId="77777777" w:rsidR="00D16262" w:rsidRPr="002048A7" w:rsidRDefault="00D16262" w:rsidP="00D16262">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Sona Eren/Erdirilen Lisans Sayısı</w:t>
            </w:r>
          </w:p>
        </w:tc>
        <w:tc>
          <w:tcPr>
            <w:tcW w:w="12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14:paraId="70C0E7E8" w14:textId="77777777" w:rsidR="00D16262" w:rsidRPr="002048A7" w:rsidRDefault="00D16262" w:rsidP="00D16262">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İptal Edilen Lisans Sayısı</w:t>
            </w:r>
          </w:p>
        </w:tc>
        <w:tc>
          <w:tcPr>
            <w:tcW w:w="94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14:paraId="338DAE10" w14:textId="77777777" w:rsidR="00D16262" w:rsidRPr="002048A7" w:rsidRDefault="00D16262" w:rsidP="00D16262">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Tadil Sayısı</w:t>
            </w:r>
          </w:p>
        </w:tc>
        <w:tc>
          <w:tcPr>
            <w:tcW w:w="10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14:paraId="5D5B5C2D" w14:textId="77777777" w:rsidR="00D16262" w:rsidRPr="002048A7" w:rsidRDefault="00D16262" w:rsidP="00D16262">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Genel Toplam</w:t>
            </w:r>
          </w:p>
        </w:tc>
        <w:tc>
          <w:tcPr>
            <w:tcW w:w="141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14:paraId="14EC0550" w14:textId="77777777" w:rsidR="00D16262" w:rsidRPr="002048A7" w:rsidRDefault="00D16262" w:rsidP="00D16262">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Dönem Sonu Yürürlükteki Lisans Sayısı</w:t>
            </w:r>
          </w:p>
        </w:tc>
      </w:tr>
      <w:tr w:rsidR="00D16262" w:rsidRPr="002048A7" w14:paraId="11ECC9B2" w14:textId="77777777" w:rsidTr="00D16262">
        <w:trPr>
          <w:trHeight w:val="290"/>
        </w:trPr>
        <w:tc>
          <w:tcPr>
            <w:tcW w:w="17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82B7AED" w14:textId="77777777" w:rsidR="00D16262" w:rsidRPr="002048A7" w:rsidRDefault="00D16262" w:rsidP="00D16262">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Bayilik Lisansı</w:t>
            </w:r>
          </w:p>
        </w:tc>
        <w:tc>
          <w:tcPr>
            <w:tcW w:w="11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7178395" w14:textId="77777777" w:rsidR="00D16262" w:rsidRPr="002048A7" w:rsidRDefault="00D16262" w:rsidP="00D16262">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8</w:t>
            </w:r>
            <w:r>
              <w:rPr>
                <w:rFonts w:ascii="Calibri" w:eastAsia="Times New Roman" w:hAnsi="Calibri" w:cs="Calibri"/>
                <w:color w:val="000000"/>
                <w:lang w:eastAsia="tr-TR"/>
              </w:rPr>
              <w:t>15</w:t>
            </w:r>
          </w:p>
        </w:tc>
        <w:tc>
          <w:tcPr>
            <w:tcW w:w="10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C1FA86C" w14:textId="77777777" w:rsidR="00D16262" w:rsidRPr="002048A7" w:rsidRDefault="00D16262" w:rsidP="00D16262">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769</w:t>
            </w:r>
          </w:p>
        </w:tc>
        <w:tc>
          <w:tcPr>
            <w:tcW w:w="145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8D010A" w14:textId="77777777" w:rsidR="00D16262" w:rsidRPr="002048A7" w:rsidRDefault="00D16262" w:rsidP="00D16262">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830</w:t>
            </w:r>
          </w:p>
        </w:tc>
        <w:tc>
          <w:tcPr>
            <w:tcW w:w="12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D6DB341" w14:textId="77777777" w:rsidR="00D16262" w:rsidRPr="002048A7" w:rsidRDefault="00D16262" w:rsidP="00D16262">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0</w:t>
            </w:r>
          </w:p>
        </w:tc>
        <w:tc>
          <w:tcPr>
            <w:tcW w:w="94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4827731" w14:textId="77777777" w:rsidR="00D16262" w:rsidRPr="002048A7" w:rsidRDefault="00D16262" w:rsidP="00D16262">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3.297</w:t>
            </w:r>
          </w:p>
        </w:tc>
        <w:tc>
          <w:tcPr>
            <w:tcW w:w="10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235D94" w14:textId="77777777" w:rsidR="00D16262" w:rsidRPr="002048A7" w:rsidRDefault="00D16262" w:rsidP="00D16262">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5.711</w:t>
            </w:r>
          </w:p>
        </w:tc>
        <w:tc>
          <w:tcPr>
            <w:tcW w:w="141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3C9DB3F" w14:textId="77777777" w:rsidR="00D16262" w:rsidRPr="002048A7" w:rsidRDefault="00D16262" w:rsidP="00D16262">
            <w:pPr>
              <w:spacing w:after="0" w:line="240" w:lineRule="auto"/>
              <w:jc w:val="center"/>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12.8</w:t>
            </w:r>
            <w:r>
              <w:rPr>
                <w:rFonts w:ascii="Calibri" w:eastAsia="Times New Roman" w:hAnsi="Calibri" w:cs="Calibri"/>
                <w:b/>
                <w:bCs/>
                <w:color w:val="000000"/>
                <w:lang w:eastAsia="tr-TR"/>
              </w:rPr>
              <w:t>08</w:t>
            </w:r>
          </w:p>
        </w:tc>
      </w:tr>
      <w:tr w:rsidR="00D16262" w:rsidRPr="002048A7" w14:paraId="26CC26C3" w14:textId="77777777" w:rsidTr="00D16262">
        <w:trPr>
          <w:trHeight w:val="290"/>
        </w:trPr>
        <w:tc>
          <w:tcPr>
            <w:tcW w:w="17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0261EB" w14:textId="77777777" w:rsidR="00D16262" w:rsidRPr="002048A7" w:rsidRDefault="00D16262" w:rsidP="00D16262">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Dağıtıcı Lisansı</w:t>
            </w:r>
          </w:p>
        </w:tc>
        <w:tc>
          <w:tcPr>
            <w:tcW w:w="11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A734D50" w14:textId="77777777" w:rsidR="00D16262" w:rsidRPr="002048A7" w:rsidRDefault="00D16262" w:rsidP="00D16262">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5</w:t>
            </w:r>
          </w:p>
        </w:tc>
        <w:tc>
          <w:tcPr>
            <w:tcW w:w="10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469C0D8" w14:textId="77777777" w:rsidR="00D16262" w:rsidRPr="002048A7" w:rsidRDefault="00D16262" w:rsidP="00D16262">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2</w:t>
            </w:r>
          </w:p>
        </w:tc>
        <w:tc>
          <w:tcPr>
            <w:tcW w:w="145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817DC97" w14:textId="77777777" w:rsidR="00D16262" w:rsidRPr="002048A7" w:rsidRDefault="00D16262" w:rsidP="00D16262">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4</w:t>
            </w:r>
          </w:p>
        </w:tc>
        <w:tc>
          <w:tcPr>
            <w:tcW w:w="12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6763039" w14:textId="77777777" w:rsidR="00D16262" w:rsidRPr="002048A7" w:rsidRDefault="00D16262" w:rsidP="00D16262">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0</w:t>
            </w:r>
          </w:p>
        </w:tc>
        <w:tc>
          <w:tcPr>
            <w:tcW w:w="94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F24CA5B" w14:textId="77777777" w:rsidR="00D16262" w:rsidRPr="002048A7" w:rsidRDefault="00D16262" w:rsidP="00D16262">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22</w:t>
            </w:r>
          </w:p>
        </w:tc>
        <w:tc>
          <w:tcPr>
            <w:tcW w:w="10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173E21E" w14:textId="77777777" w:rsidR="00D16262" w:rsidRPr="002048A7" w:rsidRDefault="00D16262" w:rsidP="00D16262">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33</w:t>
            </w:r>
          </w:p>
        </w:tc>
        <w:tc>
          <w:tcPr>
            <w:tcW w:w="141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5B689AA" w14:textId="77777777" w:rsidR="00D16262" w:rsidRPr="002048A7" w:rsidRDefault="00D16262" w:rsidP="00D16262">
            <w:pPr>
              <w:spacing w:after="0" w:line="240" w:lineRule="auto"/>
              <w:jc w:val="center"/>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3</w:t>
            </w:r>
            <w:r>
              <w:rPr>
                <w:rFonts w:ascii="Calibri" w:eastAsia="Times New Roman" w:hAnsi="Calibri" w:cs="Calibri"/>
                <w:b/>
                <w:bCs/>
                <w:color w:val="000000"/>
                <w:lang w:eastAsia="tr-TR"/>
              </w:rPr>
              <w:t>4</w:t>
            </w:r>
          </w:p>
        </w:tc>
      </w:tr>
      <w:tr w:rsidR="00D16262" w:rsidRPr="002048A7" w14:paraId="25B8F94B" w14:textId="77777777" w:rsidTr="00D16262">
        <w:trPr>
          <w:trHeight w:val="290"/>
        </w:trPr>
        <w:tc>
          <w:tcPr>
            <w:tcW w:w="17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0F7BED1" w14:textId="77777777" w:rsidR="00D16262" w:rsidRPr="002048A7" w:rsidRDefault="00D16262" w:rsidP="00D16262">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Depolama Lisansı</w:t>
            </w:r>
          </w:p>
        </w:tc>
        <w:tc>
          <w:tcPr>
            <w:tcW w:w="11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B5FFF57" w14:textId="77777777" w:rsidR="00D16262" w:rsidRPr="002048A7" w:rsidRDefault="00D16262" w:rsidP="00D16262">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4</w:t>
            </w:r>
          </w:p>
        </w:tc>
        <w:tc>
          <w:tcPr>
            <w:tcW w:w="10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D374E9" w14:textId="77777777" w:rsidR="00D16262" w:rsidRPr="002048A7" w:rsidRDefault="00D16262" w:rsidP="00D16262">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5</w:t>
            </w:r>
          </w:p>
        </w:tc>
        <w:tc>
          <w:tcPr>
            <w:tcW w:w="145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738FED1" w14:textId="77777777" w:rsidR="00D16262" w:rsidRPr="002048A7" w:rsidRDefault="00D16262" w:rsidP="00D16262">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4</w:t>
            </w:r>
          </w:p>
        </w:tc>
        <w:tc>
          <w:tcPr>
            <w:tcW w:w="12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0944841" w14:textId="77777777" w:rsidR="00D16262" w:rsidRPr="002048A7" w:rsidRDefault="00D16262" w:rsidP="00D16262">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0</w:t>
            </w:r>
          </w:p>
        </w:tc>
        <w:tc>
          <w:tcPr>
            <w:tcW w:w="94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A4C586" w14:textId="77777777" w:rsidR="00D16262" w:rsidRPr="002048A7" w:rsidRDefault="00D16262" w:rsidP="00D16262">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5</w:t>
            </w:r>
            <w:r>
              <w:rPr>
                <w:rFonts w:ascii="Calibri" w:eastAsia="Times New Roman" w:hAnsi="Calibri" w:cs="Calibri"/>
                <w:color w:val="000000"/>
                <w:lang w:eastAsia="tr-TR"/>
              </w:rPr>
              <w:t>3</w:t>
            </w:r>
          </w:p>
        </w:tc>
        <w:tc>
          <w:tcPr>
            <w:tcW w:w="10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33A6C57" w14:textId="77777777" w:rsidR="00D16262" w:rsidRPr="002048A7" w:rsidRDefault="00D16262" w:rsidP="00D16262">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66</w:t>
            </w:r>
          </w:p>
        </w:tc>
        <w:tc>
          <w:tcPr>
            <w:tcW w:w="141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35B0419" w14:textId="77777777" w:rsidR="00D16262" w:rsidRPr="002048A7" w:rsidRDefault="00D16262" w:rsidP="00D16262">
            <w:pPr>
              <w:spacing w:after="0" w:line="240" w:lineRule="auto"/>
              <w:jc w:val="center"/>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9</w:t>
            </w:r>
            <w:r>
              <w:rPr>
                <w:rFonts w:ascii="Calibri" w:eastAsia="Times New Roman" w:hAnsi="Calibri" w:cs="Calibri"/>
                <w:b/>
                <w:bCs/>
                <w:color w:val="000000"/>
                <w:lang w:eastAsia="tr-TR"/>
              </w:rPr>
              <w:t>4</w:t>
            </w:r>
          </w:p>
        </w:tc>
      </w:tr>
      <w:tr w:rsidR="00D16262" w:rsidRPr="002048A7" w14:paraId="28C3DC89" w14:textId="77777777" w:rsidTr="00D16262">
        <w:trPr>
          <w:trHeight w:val="580"/>
        </w:trPr>
        <w:tc>
          <w:tcPr>
            <w:tcW w:w="17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406D4A" w14:textId="77777777" w:rsidR="00D16262" w:rsidRPr="002048A7" w:rsidRDefault="00D16262" w:rsidP="00D16262">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İhrakiye Teslimi Lisansı</w:t>
            </w:r>
          </w:p>
        </w:tc>
        <w:tc>
          <w:tcPr>
            <w:tcW w:w="11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AD8ED0" w14:textId="77777777" w:rsidR="00D16262" w:rsidRPr="002048A7" w:rsidRDefault="00D16262" w:rsidP="00D16262">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22</w:t>
            </w:r>
          </w:p>
        </w:tc>
        <w:tc>
          <w:tcPr>
            <w:tcW w:w="10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4CC715" w14:textId="77777777" w:rsidR="00D16262" w:rsidRPr="002048A7" w:rsidRDefault="00D16262" w:rsidP="00D16262">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22</w:t>
            </w:r>
          </w:p>
        </w:tc>
        <w:tc>
          <w:tcPr>
            <w:tcW w:w="145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7E64D8" w14:textId="77777777" w:rsidR="00D16262" w:rsidRPr="002048A7" w:rsidRDefault="00D16262" w:rsidP="00D16262">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2</w:t>
            </w:r>
          </w:p>
        </w:tc>
        <w:tc>
          <w:tcPr>
            <w:tcW w:w="12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EF81D1" w14:textId="77777777" w:rsidR="00D16262" w:rsidRPr="002048A7" w:rsidRDefault="00D16262" w:rsidP="00D16262">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0</w:t>
            </w:r>
          </w:p>
        </w:tc>
        <w:tc>
          <w:tcPr>
            <w:tcW w:w="94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54167A" w14:textId="77777777" w:rsidR="00D16262" w:rsidRPr="002048A7" w:rsidRDefault="00D16262" w:rsidP="00D16262">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9</w:t>
            </w:r>
          </w:p>
        </w:tc>
        <w:tc>
          <w:tcPr>
            <w:tcW w:w="10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1EF2135" w14:textId="77777777" w:rsidR="00D16262" w:rsidRPr="002048A7" w:rsidRDefault="00D16262" w:rsidP="00D16262">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5</w:t>
            </w:r>
            <w:r>
              <w:rPr>
                <w:rFonts w:ascii="Calibri" w:eastAsia="Times New Roman" w:hAnsi="Calibri" w:cs="Calibri"/>
                <w:color w:val="000000"/>
                <w:lang w:eastAsia="tr-TR"/>
              </w:rPr>
              <w:t>5</w:t>
            </w:r>
          </w:p>
        </w:tc>
        <w:tc>
          <w:tcPr>
            <w:tcW w:w="141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DD9D4C1" w14:textId="77777777" w:rsidR="00D16262" w:rsidRPr="002048A7" w:rsidRDefault="00D16262" w:rsidP="00D16262">
            <w:pPr>
              <w:spacing w:after="0" w:line="240" w:lineRule="auto"/>
              <w:jc w:val="center"/>
              <w:rPr>
                <w:rFonts w:ascii="Calibri" w:eastAsia="Times New Roman" w:hAnsi="Calibri" w:cs="Calibri"/>
                <w:b/>
                <w:bCs/>
                <w:color w:val="000000"/>
                <w:lang w:eastAsia="tr-TR"/>
              </w:rPr>
            </w:pPr>
            <w:r>
              <w:rPr>
                <w:rFonts w:ascii="Calibri" w:eastAsia="Times New Roman" w:hAnsi="Calibri" w:cs="Calibri"/>
                <w:b/>
                <w:bCs/>
                <w:color w:val="000000"/>
                <w:lang w:eastAsia="tr-TR"/>
              </w:rPr>
              <w:t>9</w:t>
            </w:r>
            <w:r w:rsidRPr="002048A7">
              <w:rPr>
                <w:rFonts w:ascii="Calibri" w:eastAsia="Times New Roman" w:hAnsi="Calibri" w:cs="Calibri"/>
                <w:b/>
                <w:bCs/>
                <w:color w:val="000000"/>
                <w:lang w:eastAsia="tr-TR"/>
              </w:rPr>
              <w:t>8</w:t>
            </w:r>
          </w:p>
        </w:tc>
      </w:tr>
      <w:tr w:rsidR="00D16262" w:rsidRPr="002048A7" w14:paraId="19914CFA" w14:textId="77777777" w:rsidTr="00D16262">
        <w:trPr>
          <w:trHeight w:val="290"/>
        </w:trPr>
        <w:tc>
          <w:tcPr>
            <w:tcW w:w="17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CF04750" w14:textId="77777777" w:rsidR="00D16262" w:rsidRPr="002048A7" w:rsidRDefault="00D16262" w:rsidP="00D16262">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lastRenderedPageBreak/>
              <w:t>İletim Lisansı</w:t>
            </w:r>
          </w:p>
        </w:tc>
        <w:tc>
          <w:tcPr>
            <w:tcW w:w="11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8ECB635" w14:textId="77777777" w:rsidR="00D16262" w:rsidRPr="002048A7" w:rsidRDefault="00D16262" w:rsidP="00D16262">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10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16E9B2" w14:textId="77777777" w:rsidR="00D16262" w:rsidRPr="002048A7" w:rsidRDefault="00D16262" w:rsidP="00D16262">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1</w:t>
            </w:r>
          </w:p>
        </w:tc>
        <w:tc>
          <w:tcPr>
            <w:tcW w:w="145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6100E5B" w14:textId="77777777" w:rsidR="00D16262" w:rsidRPr="002048A7" w:rsidRDefault="00D16262" w:rsidP="00D16262">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0</w:t>
            </w:r>
          </w:p>
        </w:tc>
        <w:tc>
          <w:tcPr>
            <w:tcW w:w="12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0397D8" w14:textId="77777777" w:rsidR="00D16262" w:rsidRPr="002048A7" w:rsidRDefault="00D16262" w:rsidP="00D16262">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0</w:t>
            </w:r>
          </w:p>
        </w:tc>
        <w:tc>
          <w:tcPr>
            <w:tcW w:w="94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E50AB1" w14:textId="77777777" w:rsidR="00D16262" w:rsidRPr="002048A7" w:rsidRDefault="00D16262" w:rsidP="00D16262">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1</w:t>
            </w:r>
            <w:r>
              <w:rPr>
                <w:rFonts w:ascii="Calibri" w:eastAsia="Times New Roman" w:hAnsi="Calibri" w:cs="Calibri"/>
                <w:color w:val="000000"/>
                <w:lang w:eastAsia="tr-TR"/>
              </w:rPr>
              <w:t>4</w:t>
            </w:r>
          </w:p>
        </w:tc>
        <w:tc>
          <w:tcPr>
            <w:tcW w:w="10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AD7FE3E" w14:textId="77777777" w:rsidR="00D16262" w:rsidRPr="002048A7" w:rsidRDefault="00D16262" w:rsidP="00D16262">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1</w:t>
            </w:r>
            <w:r>
              <w:rPr>
                <w:rFonts w:ascii="Calibri" w:eastAsia="Times New Roman" w:hAnsi="Calibri" w:cs="Calibri"/>
                <w:color w:val="000000"/>
                <w:lang w:eastAsia="tr-TR"/>
              </w:rPr>
              <w:t>5</w:t>
            </w:r>
          </w:p>
        </w:tc>
        <w:tc>
          <w:tcPr>
            <w:tcW w:w="141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417779" w14:textId="77777777" w:rsidR="00D16262" w:rsidRPr="002048A7" w:rsidRDefault="00D16262" w:rsidP="00D16262">
            <w:pPr>
              <w:spacing w:after="0" w:line="240" w:lineRule="auto"/>
              <w:jc w:val="center"/>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3</w:t>
            </w:r>
            <w:r>
              <w:rPr>
                <w:rFonts w:ascii="Calibri" w:eastAsia="Times New Roman" w:hAnsi="Calibri" w:cs="Calibri"/>
                <w:b/>
                <w:bCs/>
                <w:color w:val="000000"/>
                <w:lang w:eastAsia="tr-TR"/>
              </w:rPr>
              <w:t>5</w:t>
            </w:r>
          </w:p>
        </w:tc>
      </w:tr>
      <w:tr w:rsidR="00D16262" w:rsidRPr="002048A7" w14:paraId="15FCEC6E" w14:textId="77777777" w:rsidTr="00D16262">
        <w:trPr>
          <w:trHeight w:val="290"/>
        </w:trPr>
        <w:tc>
          <w:tcPr>
            <w:tcW w:w="17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42DB93" w14:textId="77777777" w:rsidR="00D16262" w:rsidRPr="002048A7" w:rsidRDefault="00D16262" w:rsidP="00D16262">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İşleme Lisansı</w:t>
            </w:r>
          </w:p>
        </w:tc>
        <w:tc>
          <w:tcPr>
            <w:tcW w:w="11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DEE7E8D" w14:textId="77777777" w:rsidR="00D16262" w:rsidRPr="002048A7" w:rsidRDefault="00D16262" w:rsidP="00D16262">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10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79D3A5" w14:textId="77777777" w:rsidR="00D16262" w:rsidRPr="002048A7" w:rsidRDefault="00D16262" w:rsidP="00D16262">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145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B9347C" w14:textId="77777777" w:rsidR="00D16262" w:rsidRPr="002048A7" w:rsidRDefault="00D16262" w:rsidP="00D16262">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1</w:t>
            </w:r>
          </w:p>
        </w:tc>
        <w:tc>
          <w:tcPr>
            <w:tcW w:w="12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11F6731" w14:textId="77777777" w:rsidR="00D16262" w:rsidRPr="002048A7" w:rsidRDefault="00D16262" w:rsidP="00D16262">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0</w:t>
            </w:r>
          </w:p>
        </w:tc>
        <w:tc>
          <w:tcPr>
            <w:tcW w:w="94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CC69D3D" w14:textId="77777777" w:rsidR="00D16262" w:rsidRPr="002048A7" w:rsidRDefault="00D16262" w:rsidP="00D16262">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5</w:t>
            </w:r>
          </w:p>
        </w:tc>
        <w:tc>
          <w:tcPr>
            <w:tcW w:w="10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A8B1038" w14:textId="77777777" w:rsidR="00D16262" w:rsidRPr="002048A7" w:rsidRDefault="00D16262" w:rsidP="00D16262">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6</w:t>
            </w:r>
          </w:p>
        </w:tc>
        <w:tc>
          <w:tcPr>
            <w:tcW w:w="141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3F9ECC4" w14:textId="77777777" w:rsidR="00D16262" w:rsidRPr="002048A7" w:rsidRDefault="00D16262" w:rsidP="00D16262">
            <w:pPr>
              <w:spacing w:after="0" w:line="240" w:lineRule="auto"/>
              <w:jc w:val="center"/>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12</w:t>
            </w:r>
          </w:p>
        </w:tc>
      </w:tr>
      <w:tr w:rsidR="00D16262" w:rsidRPr="002048A7" w14:paraId="431CA860" w14:textId="77777777" w:rsidTr="00D16262">
        <w:trPr>
          <w:trHeight w:val="580"/>
        </w:trPr>
        <w:tc>
          <w:tcPr>
            <w:tcW w:w="17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306E78B" w14:textId="77777777" w:rsidR="00D16262" w:rsidRPr="002048A7" w:rsidRDefault="00D16262" w:rsidP="00D16262">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Madeni Yağ Lisansı</w:t>
            </w:r>
          </w:p>
        </w:tc>
        <w:tc>
          <w:tcPr>
            <w:tcW w:w="11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AED8015" w14:textId="77777777" w:rsidR="00D16262" w:rsidRPr="002048A7" w:rsidRDefault="00D16262" w:rsidP="00D16262">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12</w:t>
            </w:r>
          </w:p>
        </w:tc>
        <w:tc>
          <w:tcPr>
            <w:tcW w:w="10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57957F" w14:textId="77777777" w:rsidR="00D16262" w:rsidRPr="002048A7" w:rsidRDefault="00D16262" w:rsidP="00D16262">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6</w:t>
            </w:r>
          </w:p>
        </w:tc>
        <w:tc>
          <w:tcPr>
            <w:tcW w:w="145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F0F0A3F" w14:textId="77777777" w:rsidR="00D16262" w:rsidRPr="002048A7" w:rsidRDefault="00D16262" w:rsidP="00D16262">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7</w:t>
            </w:r>
          </w:p>
        </w:tc>
        <w:tc>
          <w:tcPr>
            <w:tcW w:w="12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F08D5F2" w14:textId="77777777" w:rsidR="00D16262" w:rsidRPr="002048A7" w:rsidRDefault="00D16262" w:rsidP="00D16262">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0</w:t>
            </w:r>
          </w:p>
        </w:tc>
        <w:tc>
          <w:tcPr>
            <w:tcW w:w="94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04948F" w14:textId="77777777" w:rsidR="00D16262" w:rsidRPr="002048A7" w:rsidRDefault="00D16262" w:rsidP="00D16262">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9</w:t>
            </w:r>
            <w:r>
              <w:rPr>
                <w:rFonts w:ascii="Calibri" w:eastAsia="Times New Roman" w:hAnsi="Calibri" w:cs="Calibri"/>
                <w:color w:val="000000"/>
                <w:lang w:eastAsia="tr-TR"/>
              </w:rPr>
              <w:t>9</w:t>
            </w:r>
          </w:p>
        </w:tc>
        <w:tc>
          <w:tcPr>
            <w:tcW w:w="10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7C3FE27" w14:textId="77777777" w:rsidR="00D16262" w:rsidRPr="002048A7" w:rsidRDefault="00D16262" w:rsidP="00D16262">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1</w:t>
            </w:r>
            <w:r>
              <w:rPr>
                <w:rFonts w:ascii="Calibri" w:eastAsia="Times New Roman" w:hAnsi="Calibri" w:cs="Calibri"/>
                <w:color w:val="000000"/>
                <w:lang w:eastAsia="tr-TR"/>
              </w:rPr>
              <w:t>24</w:t>
            </w:r>
          </w:p>
        </w:tc>
        <w:tc>
          <w:tcPr>
            <w:tcW w:w="141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F9ED98" w14:textId="77777777" w:rsidR="00D16262" w:rsidRPr="002048A7" w:rsidRDefault="00D16262" w:rsidP="00D16262">
            <w:pPr>
              <w:spacing w:after="0" w:line="240" w:lineRule="auto"/>
              <w:jc w:val="center"/>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12</w:t>
            </w:r>
            <w:r>
              <w:rPr>
                <w:rFonts w:ascii="Calibri" w:eastAsia="Times New Roman" w:hAnsi="Calibri" w:cs="Calibri"/>
                <w:b/>
                <w:bCs/>
                <w:color w:val="000000"/>
                <w:lang w:eastAsia="tr-TR"/>
              </w:rPr>
              <w:t>4</w:t>
            </w:r>
          </w:p>
        </w:tc>
      </w:tr>
      <w:tr w:rsidR="00D16262" w:rsidRPr="002048A7" w14:paraId="53E295E1" w14:textId="77777777" w:rsidTr="00D16262">
        <w:trPr>
          <w:trHeight w:val="290"/>
        </w:trPr>
        <w:tc>
          <w:tcPr>
            <w:tcW w:w="17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7441A4" w14:textId="77777777" w:rsidR="00D16262" w:rsidRPr="002048A7" w:rsidRDefault="00D16262" w:rsidP="00D16262">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Rafinerici Lisansı</w:t>
            </w:r>
          </w:p>
        </w:tc>
        <w:tc>
          <w:tcPr>
            <w:tcW w:w="11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0071775" w14:textId="77777777" w:rsidR="00D16262" w:rsidRPr="002048A7" w:rsidRDefault="00D16262" w:rsidP="00D16262">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0</w:t>
            </w:r>
          </w:p>
        </w:tc>
        <w:tc>
          <w:tcPr>
            <w:tcW w:w="10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B1BA60B" w14:textId="77777777" w:rsidR="00D16262" w:rsidRPr="002048A7" w:rsidRDefault="00D16262" w:rsidP="00D16262">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0</w:t>
            </w:r>
          </w:p>
        </w:tc>
        <w:tc>
          <w:tcPr>
            <w:tcW w:w="145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EBDB2DD" w14:textId="77777777" w:rsidR="00D16262" w:rsidRPr="002048A7" w:rsidRDefault="00D16262" w:rsidP="00D16262">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0</w:t>
            </w:r>
          </w:p>
        </w:tc>
        <w:tc>
          <w:tcPr>
            <w:tcW w:w="12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E838AF9" w14:textId="77777777" w:rsidR="00D16262" w:rsidRPr="002048A7" w:rsidRDefault="00D16262" w:rsidP="00D16262">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0</w:t>
            </w:r>
          </w:p>
        </w:tc>
        <w:tc>
          <w:tcPr>
            <w:tcW w:w="94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7773F42" w14:textId="77777777" w:rsidR="00D16262" w:rsidRPr="002048A7" w:rsidRDefault="00D16262" w:rsidP="00D16262">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5</w:t>
            </w:r>
          </w:p>
        </w:tc>
        <w:tc>
          <w:tcPr>
            <w:tcW w:w="10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4C2A7C8" w14:textId="77777777" w:rsidR="00D16262" w:rsidRPr="002048A7" w:rsidRDefault="00D16262" w:rsidP="00D16262">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5</w:t>
            </w:r>
          </w:p>
        </w:tc>
        <w:tc>
          <w:tcPr>
            <w:tcW w:w="141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AAB9791" w14:textId="77777777" w:rsidR="00D16262" w:rsidRPr="002048A7" w:rsidRDefault="00D16262" w:rsidP="00D16262">
            <w:pPr>
              <w:spacing w:after="0" w:line="240" w:lineRule="auto"/>
              <w:jc w:val="center"/>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6</w:t>
            </w:r>
          </w:p>
        </w:tc>
      </w:tr>
      <w:tr w:rsidR="00D16262" w:rsidRPr="002048A7" w14:paraId="0D70856F" w14:textId="77777777" w:rsidTr="00D16262">
        <w:trPr>
          <w:trHeight w:val="580"/>
        </w:trPr>
        <w:tc>
          <w:tcPr>
            <w:tcW w:w="17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69CAA69" w14:textId="77777777" w:rsidR="00D16262" w:rsidRPr="002048A7" w:rsidRDefault="00D16262" w:rsidP="00D16262">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Serbest Kullanıcı Lisansı</w:t>
            </w:r>
          </w:p>
        </w:tc>
        <w:tc>
          <w:tcPr>
            <w:tcW w:w="11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3425789" w14:textId="77777777" w:rsidR="00D16262" w:rsidRPr="002048A7" w:rsidRDefault="00D16262" w:rsidP="00D16262">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1</w:t>
            </w:r>
            <w:r>
              <w:rPr>
                <w:rFonts w:ascii="Calibri" w:eastAsia="Times New Roman" w:hAnsi="Calibri" w:cs="Calibri"/>
                <w:color w:val="000000"/>
                <w:lang w:eastAsia="tr-TR"/>
              </w:rPr>
              <w:t>0</w:t>
            </w:r>
          </w:p>
        </w:tc>
        <w:tc>
          <w:tcPr>
            <w:tcW w:w="10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324F0FF" w14:textId="77777777" w:rsidR="00D16262" w:rsidRPr="002048A7" w:rsidRDefault="00D16262" w:rsidP="00D16262">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8</w:t>
            </w:r>
          </w:p>
        </w:tc>
        <w:tc>
          <w:tcPr>
            <w:tcW w:w="145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B3E3265" w14:textId="77777777" w:rsidR="00D16262" w:rsidRPr="002048A7" w:rsidRDefault="00D16262" w:rsidP="00D16262">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5</w:t>
            </w:r>
          </w:p>
        </w:tc>
        <w:tc>
          <w:tcPr>
            <w:tcW w:w="12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1FF24E" w14:textId="77777777" w:rsidR="00D16262" w:rsidRPr="002048A7" w:rsidRDefault="00D16262" w:rsidP="00D16262">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0</w:t>
            </w:r>
          </w:p>
        </w:tc>
        <w:tc>
          <w:tcPr>
            <w:tcW w:w="94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09F7B38" w14:textId="77777777" w:rsidR="00D16262" w:rsidRPr="002048A7" w:rsidRDefault="00D16262" w:rsidP="00D16262">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1</w:t>
            </w:r>
          </w:p>
        </w:tc>
        <w:tc>
          <w:tcPr>
            <w:tcW w:w="10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46E7F1" w14:textId="77777777" w:rsidR="00D16262" w:rsidRPr="002048A7" w:rsidRDefault="00D16262" w:rsidP="00D16262">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24</w:t>
            </w:r>
          </w:p>
        </w:tc>
        <w:tc>
          <w:tcPr>
            <w:tcW w:w="141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83CBECD" w14:textId="77777777" w:rsidR="00D16262" w:rsidRPr="002048A7" w:rsidRDefault="00D16262" w:rsidP="00D16262">
            <w:pPr>
              <w:spacing w:after="0" w:line="240" w:lineRule="auto"/>
              <w:jc w:val="center"/>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3</w:t>
            </w:r>
            <w:r>
              <w:rPr>
                <w:rFonts w:ascii="Calibri" w:eastAsia="Times New Roman" w:hAnsi="Calibri" w:cs="Calibri"/>
                <w:b/>
                <w:bCs/>
                <w:color w:val="000000"/>
                <w:lang w:eastAsia="tr-TR"/>
              </w:rPr>
              <w:t>8</w:t>
            </w:r>
          </w:p>
        </w:tc>
      </w:tr>
      <w:tr w:rsidR="00D16262" w:rsidRPr="002048A7" w14:paraId="639AEBEF" w14:textId="77777777" w:rsidTr="00D16262">
        <w:trPr>
          <w:trHeight w:val="290"/>
        </w:trPr>
        <w:tc>
          <w:tcPr>
            <w:tcW w:w="17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0BBA753" w14:textId="77777777" w:rsidR="00D16262" w:rsidRPr="002048A7" w:rsidRDefault="00D16262" w:rsidP="00D16262">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Taşıma Lisansı</w:t>
            </w:r>
          </w:p>
        </w:tc>
        <w:tc>
          <w:tcPr>
            <w:tcW w:w="11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A0EF73E" w14:textId="77777777" w:rsidR="00D16262" w:rsidRPr="002048A7" w:rsidRDefault="00D16262" w:rsidP="00D16262">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1</w:t>
            </w:r>
            <w:r>
              <w:rPr>
                <w:rFonts w:ascii="Calibri" w:eastAsia="Times New Roman" w:hAnsi="Calibri" w:cs="Calibri"/>
                <w:color w:val="000000"/>
                <w:lang w:eastAsia="tr-TR"/>
              </w:rPr>
              <w:t>7</w:t>
            </w:r>
          </w:p>
        </w:tc>
        <w:tc>
          <w:tcPr>
            <w:tcW w:w="10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B2FC211" w14:textId="77777777" w:rsidR="00D16262" w:rsidRPr="002048A7" w:rsidRDefault="00D16262" w:rsidP="00D16262">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1</w:t>
            </w:r>
            <w:r>
              <w:rPr>
                <w:rFonts w:ascii="Calibri" w:eastAsia="Times New Roman" w:hAnsi="Calibri" w:cs="Calibri"/>
                <w:color w:val="000000"/>
                <w:lang w:eastAsia="tr-TR"/>
              </w:rPr>
              <w:t>7</w:t>
            </w:r>
          </w:p>
        </w:tc>
        <w:tc>
          <w:tcPr>
            <w:tcW w:w="145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234D707" w14:textId="77777777" w:rsidR="00D16262" w:rsidRPr="002048A7" w:rsidRDefault="00D16262" w:rsidP="00D16262">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1</w:t>
            </w:r>
            <w:r>
              <w:rPr>
                <w:rFonts w:ascii="Calibri" w:eastAsia="Times New Roman" w:hAnsi="Calibri" w:cs="Calibri"/>
                <w:color w:val="000000"/>
                <w:lang w:eastAsia="tr-TR"/>
              </w:rPr>
              <w:t>2</w:t>
            </w:r>
          </w:p>
        </w:tc>
        <w:tc>
          <w:tcPr>
            <w:tcW w:w="12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029DAA6" w14:textId="77777777" w:rsidR="00D16262" w:rsidRPr="002048A7" w:rsidRDefault="00D16262" w:rsidP="00D16262">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0</w:t>
            </w:r>
          </w:p>
        </w:tc>
        <w:tc>
          <w:tcPr>
            <w:tcW w:w="94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0B5C123" w14:textId="77777777" w:rsidR="00D16262" w:rsidRPr="002048A7" w:rsidRDefault="00D16262" w:rsidP="00D16262">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1</w:t>
            </w:r>
            <w:r>
              <w:rPr>
                <w:rFonts w:ascii="Calibri" w:eastAsia="Times New Roman" w:hAnsi="Calibri" w:cs="Calibri"/>
                <w:color w:val="000000"/>
                <w:lang w:eastAsia="tr-TR"/>
              </w:rPr>
              <w:t>9</w:t>
            </w:r>
          </w:p>
        </w:tc>
        <w:tc>
          <w:tcPr>
            <w:tcW w:w="10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7BF2359" w14:textId="77777777" w:rsidR="00D16262" w:rsidRPr="002048A7" w:rsidRDefault="00D16262" w:rsidP="00D16262">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6</w:t>
            </w:r>
            <w:r w:rsidRPr="002048A7">
              <w:rPr>
                <w:rFonts w:ascii="Calibri" w:eastAsia="Times New Roman" w:hAnsi="Calibri" w:cs="Calibri"/>
                <w:color w:val="000000"/>
                <w:lang w:eastAsia="tr-TR"/>
              </w:rPr>
              <w:t>5</w:t>
            </w:r>
          </w:p>
        </w:tc>
        <w:tc>
          <w:tcPr>
            <w:tcW w:w="141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BBD9B0" w14:textId="77777777" w:rsidR="00D16262" w:rsidRPr="002048A7" w:rsidRDefault="00D16262" w:rsidP="00D16262">
            <w:pPr>
              <w:spacing w:after="0" w:line="240" w:lineRule="auto"/>
              <w:jc w:val="center"/>
              <w:rPr>
                <w:rFonts w:ascii="Calibri" w:eastAsia="Times New Roman" w:hAnsi="Calibri" w:cs="Calibri"/>
                <w:b/>
                <w:bCs/>
                <w:color w:val="000000"/>
                <w:lang w:eastAsia="tr-TR"/>
              </w:rPr>
            </w:pPr>
            <w:r>
              <w:rPr>
                <w:rFonts w:ascii="Calibri" w:eastAsia="Times New Roman" w:hAnsi="Calibri" w:cs="Calibri"/>
                <w:b/>
                <w:bCs/>
                <w:color w:val="000000"/>
                <w:lang w:eastAsia="tr-TR"/>
              </w:rPr>
              <w:t>82</w:t>
            </w:r>
          </w:p>
        </w:tc>
      </w:tr>
      <w:tr w:rsidR="00D16262" w:rsidRPr="002048A7" w14:paraId="56DD71D0" w14:textId="77777777" w:rsidTr="00D16262">
        <w:trPr>
          <w:trHeight w:val="290"/>
        </w:trPr>
        <w:tc>
          <w:tcPr>
            <w:tcW w:w="17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95A161A" w14:textId="77777777" w:rsidR="00D16262" w:rsidRPr="002048A7" w:rsidRDefault="00D16262" w:rsidP="00D16262">
            <w:pPr>
              <w:spacing w:after="0" w:line="240" w:lineRule="auto"/>
              <w:jc w:val="left"/>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TOPLAM</w:t>
            </w:r>
          </w:p>
        </w:tc>
        <w:tc>
          <w:tcPr>
            <w:tcW w:w="11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14:paraId="200EBAF7" w14:textId="77777777" w:rsidR="00D16262" w:rsidRPr="002048A7" w:rsidRDefault="00D16262" w:rsidP="00D16262">
            <w:pPr>
              <w:spacing w:after="0" w:line="240" w:lineRule="auto"/>
              <w:jc w:val="center"/>
              <w:rPr>
                <w:rFonts w:ascii="Calibri" w:eastAsia="Times New Roman" w:hAnsi="Calibri" w:cs="Calibri"/>
                <w:b/>
                <w:bCs/>
                <w:lang w:eastAsia="tr-TR"/>
              </w:rPr>
            </w:pPr>
            <w:r w:rsidRPr="002048A7">
              <w:rPr>
                <w:rFonts w:ascii="Calibri" w:eastAsia="Times New Roman" w:hAnsi="Calibri" w:cs="Calibri"/>
                <w:b/>
                <w:bCs/>
                <w:lang w:eastAsia="tr-TR"/>
              </w:rPr>
              <w:t>8</w:t>
            </w:r>
            <w:r>
              <w:rPr>
                <w:rFonts w:ascii="Calibri" w:eastAsia="Times New Roman" w:hAnsi="Calibri" w:cs="Calibri"/>
                <w:b/>
                <w:bCs/>
                <w:lang w:eastAsia="tr-TR"/>
              </w:rPr>
              <w:t>85</w:t>
            </w:r>
          </w:p>
        </w:tc>
        <w:tc>
          <w:tcPr>
            <w:tcW w:w="10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14:paraId="70274F33" w14:textId="77777777" w:rsidR="00D16262" w:rsidRPr="002048A7" w:rsidRDefault="00D16262" w:rsidP="00D16262">
            <w:pPr>
              <w:spacing w:after="0" w:line="240" w:lineRule="auto"/>
              <w:jc w:val="center"/>
              <w:rPr>
                <w:rFonts w:ascii="Calibri" w:eastAsia="Times New Roman" w:hAnsi="Calibri" w:cs="Calibri"/>
                <w:b/>
                <w:bCs/>
                <w:lang w:eastAsia="tr-TR"/>
              </w:rPr>
            </w:pPr>
            <w:r w:rsidRPr="002048A7">
              <w:rPr>
                <w:rFonts w:ascii="Calibri" w:eastAsia="Times New Roman" w:hAnsi="Calibri" w:cs="Calibri"/>
                <w:b/>
                <w:bCs/>
                <w:lang w:eastAsia="tr-TR"/>
              </w:rPr>
              <w:t>8</w:t>
            </w:r>
            <w:r>
              <w:rPr>
                <w:rFonts w:ascii="Calibri" w:eastAsia="Times New Roman" w:hAnsi="Calibri" w:cs="Calibri"/>
                <w:b/>
                <w:bCs/>
                <w:lang w:eastAsia="tr-TR"/>
              </w:rPr>
              <w:t>30</w:t>
            </w:r>
          </w:p>
        </w:tc>
        <w:tc>
          <w:tcPr>
            <w:tcW w:w="145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14:paraId="2F163D95" w14:textId="77777777" w:rsidR="00D16262" w:rsidRPr="002048A7" w:rsidRDefault="00D16262" w:rsidP="00D16262">
            <w:pPr>
              <w:spacing w:after="0" w:line="240" w:lineRule="auto"/>
              <w:jc w:val="center"/>
              <w:rPr>
                <w:rFonts w:ascii="Calibri" w:eastAsia="Times New Roman" w:hAnsi="Calibri" w:cs="Calibri"/>
                <w:b/>
                <w:bCs/>
                <w:lang w:eastAsia="tr-TR"/>
              </w:rPr>
            </w:pPr>
            <w:r>
              <w:rPr>
                <w:rFonts w:ascii="Calibri" w:eastAsia="Times New Roman" w:hAnsi="Calibri" w:cs="Calibri"/>
                <w:b/>
                <w:bCs/>
                <w:lang w:eastAsia="tr-TR"/>
              </w:rPr>
              <w:t>865</w:t>
            </w:r>
          </w:p>
        </w:tc>
        <w:tc>
          <w:tcPr>
            <w:tcW w:w="12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14:paraId="03453FE5" w14:textId="77777777" w:rsidR="00D16262" w:rsidRPr="002048A7" w:rsidRDefault="00D16262" w:rsidP="00D16262">
            <w:pPr>
              <w:spacing w:after="0" w:line="240" w:lineRule="auto"/>
              <w:jc w:val="center"/>
              <w:rPr>
                <w:rFonts w:ascii="Calibri" w:eastAsia="Times New Roman" w:hAnsi="Calibri" w:cs="Calibri"/>
                <w:b/>
                <w:bCs/>
                <w:lang w:eastAsia="tr-TR"/>
              </w:rPr>
            </w:pPr>
            <w:r w:rsidRPr="002048A7">
              <w:rPr>
                <w:rFonts w:ascii="Calibri" w:eastAsia="Times New Roman" w:hAnsi="Calibri" w:cs="Calibri"/>
                <w:b/>
                <w:bCs/>
                <w:lang w:eastAsia="tr-TR"/>
              </w:rPr>
              <w:t>0</w:t>
            </w:r>
          </w:p>
        </w:tc>
        <w:tc>
          <w:tcPr>
            <w:tcW w:w="94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14:paraId="12B0E19A" w14:textId="77777777" w:rsidR="00D16262" w:rsidRPr="002048A7" w:rsidRDefault="00D16262" w:rsidP="00D16262">
            <w:pPr>
              <w:spacing w:after="0" w:line="240" w:lineRule="auto"/>
              <w:jc w:val="center"/>
              <w:rPr>
                <w:rFonts w:ascii="Calibri" w:eastAsia="Times New Roman" w:hAnsi="Calibri" w:cs="Calibri"/>
                <w:b/>
                <w:bCs/>
                <w:lang w:eastAsia="tr-TR"/>
              </w:rPr>
            </w:pPr>
            <w:r>
              <w:rPr>
                <w:rFonts w:ascii="Calibri" w:eastAsia="Times New Roman" w:hAnsi="Calibri" w:cs="Calibri"/>
                <w:b/>
                <w:bCs/>
                <w:lang w:eastAsia="tr-TR"/>
              </w:rPr>
              <w:t>3</w:t>
            </w:r>
            <w:r w:rsidRPr="002048A7">
              <w:rPr>
                <w:rFonts w:ascii="Calibri" w:eastAsia="Times New Roman" w:hAnsi="Calibri" w:cs="Calibri"/>
                <w:b/>
                <w:bCs/>
                <w:lang w:eastAsia="tr-TR"/>
              </w:rPr>
              <w:t>.</w:t>
            </w:r>
            <w:r>
              <w:rPr>
                <w:rFonts w:ascii="Calibri" w:eastAsia="Times New Roman" w:hAnsi="Calibri" w:cs="Calibri"/>
                <w:b/>
                <w:bCs/>
                <w:lang w:eastAsia="tr-TR"/>
              </w:rPr>
              <w:t>524</w:t>
            </w:r>
          </w:p>
        </w:tc>
        <w:tc>
          <w:tcPr>
            <w:tcW w:w="10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14:paraId="26CB8746" w14:textId="77777777" w:rsidR="00D16262" w:rsidRPr="002048A7" w:rsidRDefault="00D16262" w:rsidP="00D16262">
            <w:pPr>
              <w:spacing w:after="0" w:line="240" w:lineRule="auto"/>
              <w:jc w:val="center"/>
              <w:rPr>
                <w:rFonts w:ascii="Calibri" w:eastAsia="Times New Roman" w:hAnsi="Calibri" w:cs="Calibri"/>
                <w:b/>
                <w:bCs/>
                <w:lang w:eastAsia="tr-TR"/>
              </w:rPr>
            </w:pPr>
            <w:r>
              <w:rPr>
                <w:rFonts w:ascii="Calibri" w:eastAsia="Times New Roman" w:hAnsi="Calibri" w:cs="Calibri"/>
                <w:b/>
                <w:bCs/>
                <w:lang w:eastAsia="tr-TR"/>
              </w:rPr>
              <w:t>6.104</w:t>
            </w:r>
          </w:p>
        </w:tc>
        <w:tc>
          <w:tcPr>
            <w:tcW w:w="141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14:paraId="691146FE" w14:textId="77777777" w:rsidR="00D16262" w:rsidRPr="002048A7" w:rsidRDefault="00D16262" w:rsidP="00D16262">
            <w:pPr>
              <w:spacing w:after="0" w:line="240" w:lineRule="auto"/>
              <w:jc w:val="center"/>
              <w:rPr>
                <w:rFonts w:ascii="Calibri" w:eastAsia="Times New Roman" w:hAnsi="Calibri" w:cs="Calibri"/>
                <w:b/>
                <w:bCs/>
                <w:lang w:eastAsia="tr-TR"/>
              </w:rPr>
            </w:pPr>
            <w:r w:rsidRPr="002048A7">
              <w:rPr>
                <w:rFonts w:ascii="Calibri" w:eastAsia="Times New Roman" w:hAnsi="Calibri" w:cs="Calibri"/>
                <w:b/>
                <w:bCs/>
                <w:lang w:eastAsia="tr-TR"/>
              </w:rPr>
              <w:t>13.3</w:t>
            </w:r>
            <w:r>
              <w:rPr>
                <w:rFonts w:ascii="Calibri" w:eastAsia="Times New Roman" w:hAnsi="Calibri" w:cs="Calibri"/>
                <w:b/>
                <w:bCs/>
                <w:lang w:eastAsia="tr-TR"/>
              </w:rPr>
              <w:t>31</w:t>
            </w:r>
          </w:p>
        </w:tc>
      </w:tr>
    </w:tbl>
    <w:p w14:paraId="086415DA" w14:textId="77777777" w:rsidR="00D16262" w:rsidRPr="002048A7" w:rsidRDefault="00D16262" w:rsidP="00D16262">
      <w:pPr>
        <w:pStyle w:val="Balk5"/>
        <w:jc w:val="center"/>
        <w:rPr>
          <w:rStyle w:val="Gl"/>
          <w:color w:val="000000" w:themeColor="text1"/>
        </w:rPr>
      </w:pPr>
      <w:bookmarkStart w:id="141" w:name="_Toc195868805"/>
      <w:bookmarkEnd w:id="139"/>
      <w:bookmarkEnd w:id="140"/>
      <w:r w:rsidRPr="002048A7">
        <w:rPr>
          <w:rStyle w:val="Gl"/>
          <w:color w:val="000000" w:themeColor="text1"/>
        </w:rPr>
        <w:t>Tablo 3.9: 202</w:t>
      </w:r>
      <w:r>
        <w:rPr>
          <w:rStyle w:val="Gl"/>
          <w:color w:val="000000" w:themeColor="text1"/>
        </w:rPr>
        <w:t>4</w:t>
      </w:r>
      <w:r w:rsidRPr="002048A7">
        <w:rPr>
          <w:rStyle w:val="Gl"/>
          <w:color w:val="000000" w:themeColor="text1"/>
        </w:rPr>
        <w:t xml:space="preserve"> Yılı Sonu İtibarıyla Lisanslı Rafineri Tesisi Bilgileri</w:t>
      </w:r>
      <w:bookmarkEnd w:id="141"/>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4308"/>
        <w:gridCol w:w="1887"/>
        <w:gridCol w:w="1972"/>
        <w:gridCol w:w="1745"/>
      </w:tblGrid>
      <w:tr w:rsidR="00D16262" w:rsidRPr="002048A7" w14:paraId="4E59205A" w14:textId="77777777" w:rsidTr="00D16262">
        <w:trPr>
          <w:trHeight w:val="567"/>
        </w:trPr>
        <w:tc>
          <w:tcPr>
            <w:tcW w:w="2173" w:type="pct"/>
            <w:shd w:val="clear" w:color="000000" w:fill="6E9ECA"/>
            <w:vAlign w:val="center"/>
            <w:hideMark/>
          </w:tcPr>
          <w:p w14:paraId="02A70525" w14:textId="77777777" w:rsidR="00D16262" w:rsidRPr="002048A7" w:rsidRDefault="00D16262" w:rsidP="00D16262">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Lisans Sahibi</w:t>
            </w:r>
          </w:p>
        </w:tc>
        <w:tc>
          <w:tcPr>
            <w:tcW w:w="952" w:type="pct"/>
            <w:shd w:val="clear" w:color="000000" w:fill="6E9ECA"/>
            <w:vAlign w:val="center"/>
            <w:hideMark/>
          </w:tcPr>
          <w:p w14:paraId="5C7D11B7" w14:textId="77777777" w:rsidR="00D16262" w:rsidRPr="002048A7" w:rsidRDefault="00D16262" w:rsidP="00D16262">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Tesisin Bulunduğu İl</w:t>
            </w:r>
          </w:p>
        </w:tc>
        <w:tc>
          <w:tcPr>
            <w:tcW w:w="995" w:type="pct"/>
            <w:shd w:val="clear" w:color="000000" w:fill="6E9ECA"/>
            <w:vAlign w:val="center"/>
            <w:hideMark/>
          </w:tcPr>
          <w:p w14:paraId="451D78F1" w14:textId="77777777" w:rsidR="00D16262" w:rsidRPr="002048A7" w:rsidRDefault="00D16262" w:rsidP="00D16262">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Ham Petrol İşleme Kapasitesi (Ton/Yıl)</w:t>
            </w:r>
          </w:p>
        </w:tc>
        <w:tc>
          <w:tcPr>
            <w:tcW w:w="880" w:type="pct"/>
            <w:shd w:val="clear" w:color="000000" w:fill="6E9ECA"/>
            <w:vAlign w:val="center"/>
            <w:hideMark/>
          </w:tcPr>
          <w:p w14:paraId="16B58FC4" w14:textId="77777777" w:rsidR="00D16262" w:rsidRPr="002048A7" w:rsidRDefault="00D16262" w:rsidP="00D16262">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Depolama Kapasitesi (m</w:t>
            </w:r>
            <w:r w:rsidRPr="002048A7">
              <w:rPr>
                <w:rFonts w:eastAsia="Times New Roman" w:cstheme="minorHAnsi"/>
                <w:b/>
                <w:bCs/>
                <w:color w:val="FFFFFF"/>
                <w:vertAlign w:val="superscript"/>
                <w:lang w:eastAsia="tr-TR"/>
              </w:rPr>
              <w:t>3</w:t>
            </w:r>
            <w:r w:rsidRPr="002048A7">
              <w:rPr>
                <w:rFonts w:eastAsia="Times New Roman" w:cstheme="minorHAnsi"/>
                <w:b/>
                <w:bCs/>
                <w:color w:val="FFFFFF"/>
                <w:lang w:eastAsia="tr-TR"/>
              </w:rPr>
              <w:t>)</w:t>
            </w:r>
          </w:p>
        </w:tc>
      </w:tr>
      <w:tr w:rsidR="00D16262" w:rsidRPr="002048A7" w14:paraId="7E6B09C8" w14:textId="77777777" w:rsidTr="00D16262">
        <w:trPr>
          <w:trHeight w:val="567"/>
        </w:trPr>
        <w:tc>
          <w:tcPr>
            <w:tcW w:w="2173" w:type="pct"/>
            <w:shd w:val="clear" w:color="auto" w:fill="auto"/>
            <w:vAlign w:val="center"/>
            <w:hideMark/>
          </w:tcPr>
          <w:p w14:paraId="4C3B07D8" w14:textId="77777777" w:rsidR="00D16262" w:rsidRPr="002048A7" w:rsidRDefault="00D16262" w:rsidP="00D16262">
            <w:pPr>
              <w:spacing w:after="0" w:line="240" w:lineRule="auto"/>
              <w:rPr>
                <w:rFonts w:eastAsia="Times New Roman" w:cstheme="minorHAnsi"/>
                <w:color w:val="000000"/>
                <w:lang w:eastAsia="tr-TR"/>
              </w:rPr>
            </w:pPr>
            <w:r w:rsidRPr="002048A7">
              <w:rPr>
                <w:rFonts w:eastAsia="Times New Roman" w:cstheme="minorHAnsi"/>
                <w:color w:val="000000"/>
                <w:lang w:eastAsia="tr-TR"/>
              </w:rPr>
              <w:t>ERSAN PETROL SANAYİ ANONİM ŞİRKETİ*</w:t>
            </w:r>
          </w:p>
        </w:tc>
        <w:tc>
          <w:tcPr>
            <w:tcW w:w="952" w:type="pct"/>
            <w:shd w:val="clear" w:color="auto" w:fill="auto"/>
            <w:vAlign w:val="center"/>
            <w:hideMark/>
          </w:tcPr>
          <w:p w14:paraId="0FA8B992" w14:textId="77777777" w:rsidR="00D16262" w:rsidRPr="002048A7" w:rsidRDefault="00D16262" w:rsidP="00D16262">
            <w:pPr>
              <w:spacing w:after="0" w:line="240" w:lineRule="auto"/>
              <w:jc w:val="center"/>
              <w:rPr>
                <w:rFonts w:eastAsia="Times New Roman" w:cstheme="minorHAnsi"/>
                <w:color w:val="000000"/>
                <w:lang w:eastAsia="tr-TR"/>
              </w:rPr>
            </w:pPr>
            <w:r w:rsidRPr="002048A7">
              <w:rPr>
                <w:rFonts w:eastAsia="Times New Roman" w:cstheme="minorHAnsi"/>
                <w:color w:val="000000"/>
                <w:lang w:eastAsia="tr-TR"/>
              </w:rPr>
              <w:t>KAHRAMANMARAŞ</w:t>
            </w:r>
          </w:p>
        </w:tc>
        <w:tc>
          <w:tcPr>
            <w:tcW w:w="995" w:type="pct"/>
            <w:shd w:val="clear" w:color="auto" w:fill="auto"/>
            <w:vAlign w:val="center"/>
            <w:hideMark/>
          </w:tcPr>
          <w:p w14:paraId="56E3D02F" w14:textId="77777777" w:rsidR="00D16262" w:rsidRPr="002048A7" w:rsidRDefault="00D16262" w:rsidP="00D16262">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1.400.000</w:t>
            </w:r>
          </w:p>
        </w:tc>
        <w:tc>
          <w:tcPr>
            <w:tcW w:w="880" w:type="pct"/>
            <w:shd w:val="clear" w:color="auto" w:fill="auto"/>
            <w:vAlign w:val="center"/>
            <w:hideMark/>
          </w:tcPr>
          <w:p w14:paraId="7CB6731D" w14:textId="77777777" w:rsidR="00D16262" w:rsidRPr="002048A7" w:rsidRDefault="00D16262" w:rsidP="00D16262">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w:t>
            </w:r>
          </w:p>
        </w:tc>
      </w:tr>
      <w:tr w:rsidR="00D16262" w:rsidRPr="002048A7" w14:paraId="4316F839" w14:textId="77777777" w:rsidTr="00D16262">
        <w:trPr>
          <w:trHeight w:val="567"/>
        </w:trPr>
        <w:tc>
          <w:tcPr>
            <w:tcW w:w="2173" w:type="pct"/>
            <w:shd w:val="clear" w:color="auto" w:fill="auto"/>
            <w:vAlign w:val="center"/>
            <w:hideMark/>
          </w:tcPr>
          <w:p w14:paraId="6B632D5F" w14:textId="77777777" w:rsidR="00D16262" w:rsidRPr="002048A7" w:rsidRDefault="00D16262" w:rsidP="00D16262">
            <w:pPr>
              <w:spacing w:after="0" w:line="240" w:lineRule="auto"/>
              <w:rPr>
                <w:rFonts w:eastAsia="Times New Roman" w:cstheme="minorHAnsi"/>
                <w:color w:val="000000"/>
                <w:lang w:eastAsia="tr-TR"/>
              </w:rPr>
            </w:pPr>
            <w:r w:rsidRPr="002048A7">
              <w:rPr>
                <w:rFonts w:eastAsia="Times New Roman" w:cstheme="minorHAnsi"/>
                <w:color w:val="000000"/>
                <w:lang w:eastAsia="tr-TR"/>
              </w:rPr>
              <w:t>STAR RAFİNERİ ANONİM ŞİRKETİ</w:t>
            </w:r>
          </w:p>
        </w:tc>
        <w:tc>
          <w:tcPr>
            <w:tcW w:w="952" w:type="pct"/>
            <w:shd w:val="clear" w:color="auto" w:fill="auto"/>
            <w:vAlign w:val="center"/>
            <w:hideMark/>
          </w:tcPr>
          <w:p w14:paraId="56D08F1F" w14:textId="77777777" w:rsidR="00D16262" w:rsidRPr="002048A7" w:rsidRDefault="00D16262" w:rsidP="00D16262">
            <w:pPr>
              <w:spacing w:after="0" w:line="240" w:lineRule="auto"/>
              <w:jc w:val="center"/>
              <w:rPr>
                <w:rFonts w:eastAsia="Times New Roman" w:cstheme="minorHAnsi"/>
                <w:color w:val="000000"/>
                <w:lang w:eastAsia="tr-TR"/>
              </w:rPr>
            </w:pPr>
            <w:r w:rsidRPr="002048A7">
              <w:rPr>
                <w:rFonts w:eastAsia="Times New Roman" w:cstheme="minorHAnsi"/>
                <w:color w:val="000000"/>
                <w:lang w:eastAsia="tr-TR"/>
              </w:rPr>
              <w:t>İZMİR</w:t>
            </w:r>
          </w:p>
        </w:tc>
        <w:tc>
          <w:tcPr>
            <w:tcW w:w="995" w:type="pct"/>
            <w:shd w:val="clear" w:color="auto" w:fill="auto"/>
            <w:vAlign w:val="center"/>
            <w:hideMark/>
          </w:tcPr>
          <w:p w14:paraId="1A0F6A9C" w14:textId="77777777" w:rsidR="00D16262" w:rsidRPr="002048A7" w:rsidRDefault="00D16262" w:rsidP="00D16262">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13.000.000</w:t>
            </w:r>
          </w:p>
        </w:tc>
        <w:tc>
          <w:tcPr>
            <w:tcW w:w="880" w:type="pct"/>
            <w:shd w:val="clear" w:color="auto" w:fill="auto"/>
            <w:vAlign w:val="center"/>
            <w:hideMark/>
          </w:tcPr>
          <w:p w14:paraId="5C79AE0C" w14:textId="77777777" w:rsidR="00D16262" w:rsidRPr="002048A7" w:rsidRDefault="00D16262" w:rsidP="00D16262">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2.33</w:t>
            </w:r>
            <w:r>
              <w:rPr>
                <w:rFonts w:eastAsia="Times New Roman" w:cstheme="minorHAnsi"/>
                <w:color w:val="000000"/>
                <w:lang w:eastAsia="tr-TR"/>
              </w:rPr>
              <w:t>5</w:t>
            </w:r>
            <w:r w:rsidRPr="002048A7">
              <w:rPr>
                <w:rFonts w:eastAsia="Times New Roman" w:cstheme="minorHAnsi"/>
                <w:color w:val="000000"/>
                <w:lang w:eastAsia="tr-TR"/>
              </w:rPr>
              <w:t>.9</w:t>
            </w:r>
            <w:r>
              <w:rPr>
                <w:rFonts w:eastAsia="Times New Roman" w:cstheme="minorHAnsi"/>
                <w:color w:val="000000"/>
                <w:lang w:eastAsia="tr-TR"/>
              </w:rPr>
              <w:t>49</w:t>
            </w:r>
          </w:p>
        </w:tc>
      </w:tr>
      <w:tr w:rsidR="00D16262" w:rsidRPr="002048A7" w14:paraId="264B033B" w14:textId="77777777" w:rsidTr="00D16262">
        <w:trPr>
          <w:trHeight w:val="567"/>
        </w:trPr>
        <w:tc>
          <w:tcPr>
            <w:tcW w:w="2173" w:type="pct"/>
            <w:shd w:val="clear" w:color="auto" w:fill="auto"/>
            <w:vAlign w:val="center"/>
            <w:hideMark/>
          </w:tcPr>
          <w:p w14:paraId="633D71D4" w14:textId="77777777" w:rsidR="00D16262" w:rsidRPr="002048A7" w:rsidRDefault="00D16262" w:rsidP="00D16262">
            <w:pPr>
              <w:spacing w:after="0" w:line="240" w:lineRule="auto"/>
              <w:rPr>
                <w:rFonts w:eastAsia="Times New Roman" w:cstheme="minorHAnsi"/>
                <w:color w:val="000000"/>
                <w:lang w:eastAsia="tr-TR"/>
              </w:rPr>
            </w:pPr>
            <w:r w:rsidRPr="002048A7">
              <w:rPr>
                <w:rFonts w:eastAsia="Times New Roman" w:cstheme="minorHAnsi"/>
                <w:color w:val="000000"/>
                <w:lang w:eastAsia="tr-TR"/>
              </w:rPr>
              <w:t>TÜRKİYE PETROL RAFİNERİLERİ ANONİM ŞİRKETİ</w:t>
            </w:r>
          </w:p>
        </w:tc>
        <w:tc>
          <w:tcPr>
            <w:tcW w:w="952" w:type="pct"/>
            <w:shd w:val="clear" w:color="auto" w:fill="auto"/>
            <w:vAlign w:val="center"/>
            <w:hideMark/>
          </w:tcPr>
          <w:p w14:paraId="4744CB06" w14:textId="77777777" w:rsidR="00D16262" w:rsidRPr="002048A7" w:rsidRDefault="00D16262" w:rsidP="00D16262">
            <w:pPr>
              <w:spacing w:after="0" w:line="240" w:lineRule="auto"/>
              <w:jc w:val="center"/>
              <w:rPr>
                <w:rFonts w:eastAsia="Times New Roman" w:cstheme="minorHAnsi"/>
                <w:color w:val="000000"/>
                <w:lang w:eastAsia="tr-TR"/>
              </w:rPr>
            </w:pPr>
            <w:r w:rsidRPr="002048A7">
              <w:rPr>
                <w:rFonts w:eastAsia="Times New Roman" w:cstheme="minorHAnsi"/>
                <w:color w:val="000000"/>
                <w:lang w:eastAsia="tr-TR"/>
              </w:rPr>
              <w:t>İZMİR</w:t>
            </w:r>
          </w:p>
        </w:tc>
        <w:tc>
          <w:tcPr>
            <w:tcW w:w="995" w:type="pct"/>
            <w:shd w:val="clear" w:color="auto" w:fill="auto"/>
            <w:vAlign w:val="center"/>
            <w:hideMark/>
          </w:tcPr>
          <w:p w14:paraId="352D8C6F" w14:textId="77777777" w:rsidR="00D16262" w:rsidRPr="002048A7" w:rsidRDefault="00D16262" w:rsidP="00D16262">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11.900.000</w:t>
            </w:r>
          </w:p>
        </w:tc>
        <w:tc>
          <w:tcPr>
            <w:tcW w:w="880" w:type="pct"/>
            <w:shd w:val="clear" w:color="auto" w:fill="auto"/>
            <w:vAlign w:val="center"/>
            <w:hideMark/>
          </w:tcPr>
          <w:p w14:paraId="2F713D57" w14:textId="77777777" w:rsidR="00D16262" w:rsidRPr="002048A7" w:rsidRDefault="00D16262" w:rsidP="00D16262">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2.4</w:t>
            </w:r>
            <w:r>
              <w:rPr>
                <w:rFonts w:eastAsia="Times New Roman" w:cstheme="minorHAnsi"/>
                <w:color w:val="000000"/>
                <w:lang w:eastAsia="tr-TR"/>
              </w:rPr>
              <w:t>76</w:t>
            </w:r>
            <w:r w:rsidRPr="002048A7">
              <w:rPr>
                <w:rFonts w:eastAsia="Times New Roman" w:cstheme="minorHAnsi"/>
                <w:color w:val="000000"/>
                <w:lang w:eastAsia="tr-TR"/>
              </w:rPr>
              <w:t>.</w:t>
            </w:r>
            <w:r>
              <w:rPr>
                <w:rFonts w:eastAsia="Times New Roman" w:cstheme="minorHAnsi"/>
                <w:color w:val="000000"/>
                <w:lang w:eastAsia="tr-TR"/>
              </w:rPr>
              <w:t>243</w:t>
            </w:r>
          </w:p>
        </w:tc>
      </w:tr>
      <w:tr w:rsidR="00D16262" w:rsidRPr="002048A7" w14:paraId="0C540D0E" w14:textId="77777777" w:rsidTr="00D16262">
        <w:trPr>
          <w:trHeight w:val="567"/>
        </w:trPr>
        <w:tc>
          <w:tcPr>
            <w:tcW w:w="2173" w:type="pct"/>
            <w:shd w:val="clear" w:color="auto" w:fill="auto"/>
            <w:vAlign w:val="center"/>
            <w:hideMark/>
          </w:tcPr>
          <w:p w14:paraId="26C7B2FF" w14:textId="77777777" w:rsidR="00D16262" w:rsidRPr="002048A7" w:rsidRDefault="00D16262" w:rsidP="00D16262">
            <w:pPr>
              <w:spacing w:after="0" w:line="240" w:lineRule="auto"/>
              <w:rPr>
                <w:rFonts w:eastAsia="Times New Roman" w:cstheme="minorHAnsi"/>
                <w:color w:val="000000"/>
                <w:lang w:eastAsia="tr-TR"/>
              </w:rPr>
            </w:pPr>
            <w:r w:rsidRPr="002048A7">
              <w:rPr>
                <w:rFonts w:eastAsia="Times New Roman" w:cstheme="minorHAnsi"/>
                <w:color w:val="000000"/>
                <w:lang w:eastAsia="tr-TR"/>
              </w:rPr>
              <w:t>TÜRKİYE PETROL RAFİNERİLERİ ANONİM ŞİRKETİ</w:t>
            </w:r>
          </w:p>
        </w:tc>
        <w:tc>
          <w:tcPr>
            <w:tcW w:w="952" w:type="pct"/>
            <w:shd w:val="clear" w:color="auto" w:fill="auto"/>
            <w:vAlign w:val="center"/>
            <w:hideMark/>
          </w:tcPr>
          <w:p w14:paraId="562A9BD4" w14:textId="77777777" w:rsidR="00D16262" w:rsidRPr="002048A7" w:rsidRDefault="00D16262" w:rsidP="00D16262">
            <w:pPr>
              <w:spacing w:after="0" w:line="240" w:lineRule="auto"/>
              <w:jc w:val="center"/>
              <w:rPr>
                <w:rFonts w:eastAsia="Times New Roman" w:cstheme="minorHAnsi"/>
                <w:color w:val="000000"/>
                <w:lang w:eastAsia="tr-TR"/>
              </w:rPr>
            </w:pPr>
            <w:r w:rsidRPr="002048A7">
              <w:rPr>
                <w:rFonts w:eastAsia="Times New Roman" w:cstheme="minorHAnsi"/>
                <w:color w:val="000000"/>
                <w:lang w:eastAsia="tr-TR"/>
              </w:rPr>
              <w:t>KOCAELİ</w:t>
            </w:r>
          </w:p>
        </w:tc>
        <w:tc>
          <w:tcPr>
            <w:tcW w:w="995" w:type="pct"/>
            <w:shd w:val="clear" w:color="auto" w:fill="auto"/>
            <w:vAlign w:val="center"/>
            <w:hideMark/>
          </w:tcPr>
          <w:p w14:paraId="3BA900E3" w14:textId="77777777" w:rsidR="00D16262" w:rsidRPr="002048A7" w:rsidRDefault="00D16262" w:rsidP="00D16262">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11.300.000</w:t>
            </w:r>
          </w:p>
        </w:tc>
        <w:tc>
          <w:tcPr>
            <w:tcW w:w="880" w:type="pct"/>
            <w:shd w:val="clear" w:color="auto" w:fill="auto"/>
            <w:vAlign w:val="center"/>
            <w:hideMark/>
          </w:tcPr>
          <w:p w14:paraId="5D93DB61" w14:textId="77777777" w:rsidR="00D16262" w:rsidRPr="002048A7" w:rsidRDefault="00D16262" w:rsidP="00D16262">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2.998.552</w:t>
            </w:r>
          </w:p>
        </w:tc>
      </w:tr>
      <w:tr w:rsidR="00D16262" w:rsidRPr="002048A7" w14:paraId="5A3FD7D6" w14:textId="77777777" w:rsidTr="00D16262">
        <w:trPr>
          <w:trHeight w:val="567"/>
        </w:trPr>
        <w:tc>
          <w:tcPr>
            <w:tcW w:w="2173" w:type="pct"/>
            <w:shd w:val="clear" w:color="auto" w:fill="auto"/>
            <w:vAlign w:val="center"/>
            <w:hideMark/>
          </w:tcPr>
          <w:p w14:paraId="0F858C62" w14:textId="77777777" w:rsidR="00D16262" w:rsidRPr="002048A7" w:rsidRDefault="00D16262" w:rsidP="00D16262">
            <w:pPr>
              <w:spacing w:after="0" w:line="240" w:lineRule="auto"/>
              <w:rPr>
                <w:rFonts w:eastAsia="Times New Roman" w:cstheme="minorHAnsi"/>
                <w:color w:val="000000"/>
                <w:lang w:eastAsia="tr-TR"/>
              </w:rPr>
            </w:pPr>
            <w:r w:rsidRPr="002048A7">
              <w:rPr>
                <w:rFonts w:eastAsia="Times New Roman" w:cstheme="minorHAnsi"/>
                <w:color w:val="000000"/>
                <w:lang w:eastAsia="tr-TR"/>
              </w:rPr>
              <w:t>TÜRKİYE PETROL RAFİNERİLERİ ANONİM ŞİRKETİ</w:t>
            </w:r>
          </w:p>
        </w:tc>
        <w:tc>
          <w:tcPr>
            <w:tcW w:w="952" w:type="pct"/>
            <w:shd w:val="clear" w:color="auto" w:fill="auto"/>
            <w:vAlign w:val="center"/>
            <w:hideMark/>
          </w:tcPr>
          <w:p w14:paraId="11674B38" w14:textId="77777777" w:rsidR="00D16262" w:rsidRPr="002048A7" w:rsidRDefault="00D16262" w:rsidP="00D16262">
            <w:pPr>
              <w:spacing w:after="0" w:line="240" w:lineRule="auto"/>
              <w:jc w:val="center"/>
              <w:rPr>
                <w:rFonts w:eastAsia="Times New Roman" w:cstheme="minorHAnsi"/>
                <w:color w:val="000000"/>
                <w:lang w:eastAsia="tr-TR"/>
              </w:rPr>
            </w:pPr>
            <w:r w:rsidRPr="002048A7">
              <w:rPr>
                <w:rFonts w:eastAsia="Times New Roman" w:cstheme="minorHAnsi"/>
                <w:color w:val="000000"/>
                <w:lang w:eastAsia="tr-TR"/>
              </w:rPr>
              <w:t>KIRIKKALE</w:t>
            </w:r>
          </w:p>
        </w:tc>
        <w:tc>
          <w:tcPr>
            <w:tcW w:w="995" w:type="pct"/>
            <w:shd w:val="clear" w:color="auto" w:fill="auto"/>
            <w:vAlign w:val="center"/>
            <w:hideMark/>
          </w:tcPr>
          <w:p w14:paraId="42BD5EFD" w14:textId="77777777" w:rsidR="00D16262" w:rsidRPr="002048A7" w:rsidRDefault="00D16262" w:rsidP="00D16262">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5.400.000</w:t>
            </w:r>
          </w:p>
        </w:tc>
        <w:tc>
          <w:tcPr>
            <w:tcW w:w="880" w:type="pct"/>
            <w:shd w:val="clear" w:color="auto" w:fill="auto"/>
            <w:vAlign w:val="center"/>
            <w:hideMark/>
          </w:tcPr>
          <w:p w14:paraId="75F1D9DD" w14:textId="77777777" w:rsidR="00D16262" w:rsidRPr="002048A7" w:rsidRDefault="00D16262" w:rsidP="00D16262">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1.26</w:t>
            </w:r>
            <w:r>
              <w:rPr>
                <w:rFonts w:eastAsia="Times New Roman" w:cstheme="minorHAnsi"/>
                <w:color w:val="000000"/>
                <w:lang w:eastAsia="tr-TR"/>
              </w:rPr>
              <w:t>4</w:t>
            </w:r>
            <w:r w:rsidRPr="002048A7">
              <w:rPr>
                <w:rFonts w:eastAsia="Times New Roman" w:cstheme="minorHAnsi"/>
                <w:color w:val="000000"/>
                <w:lang w:eastAsia="tr-TR"/>
              </w:rPr>
              <w:t>.</w:t>
            </w:r>
            <w:r>
              <w:rPr>
                <w:rFonts w:eastAsia="Times New Roman" w:cstheme="minorHAnsi"/>
                <w:color w:val="000000"/>
                <w:lang w:eastAsia="tr-TR"/>
              </w:rPr>
              <w:t>82</w:t>
            </w:r>
            <w:r w:rsidRPr="002048A7">
              <w:rPr>
                <w:rFonts w:eastAsia="Times New Roman" w:cstheme="minorHAnsi"/>
                <w:color w:val="000000"/>
                <w:lang w:eastAsia="tr-TR"/>
              </w:rPr>
              <w:t>7</w:t>
            </w:r>
          </w:p>
        </w:tc>
      </w:tr>
      <w:tr w:rsidR="00D16262" w:rsidRPr="002048A7" w14:paraId="4F3169FD" w14:textId="77777777" w:rsidTr="00D16262">
        <w:trPr>
          <w:trHeight w:val="567"/>
        </w:trPr>
        <w:tc>
          <w:tcPr>
            <w:tcW w:w="2173" w:type="pct"/>
            <w:shd w:val="clear" w:color="auto" w:fill="auto"/>
            <w:vAlign w:val="center"/>
            <w:hideMark/>
          </w:tcPr>
          <w:p w14:paraId="5E4823F4" w14:textId="77777777" w:rsidR="00D16262" w:rsidRPr="002048A7" w:rsidRDefault="00D16262" w:rsidP="00D16262">
            <w:pPr>
              <w:spacing w:after="0" w:line="240" w:lineRule="auto"/>
              <w:rPr>
                <w:rFonts w:eastAsia="Times New Roman" w:cstheme="minorHAnsi"/>
                <w:color w:val="000000"/>
                <w:lang w:eastAsia="tr-TR"/>
              </w:rPr>
            </w:pPr>
            <w:r w:rsidRPr="002048A7">
              <w:rPr>
                <w:rFonts w:eastAsia="Times New Roman" w:cstheme="minorHAnsi"/>
                <w:color w:val="000000"/>
                <w:lang w:eastAsia="tr-TR"/>
              </w:rPr>
              <w:t>TÜRKİYE PETROL RAFİNERİLERİ ANONİM ŞİRKETİ</w:t>
            </w:r>
          </w:p>
        </w:tc>
        <w:tc>
          <w:tcPr>
            <w:tcW w:w="952" w:type="pct"/>
            <w:shd w:val="clear" w:color="auto" w:fill="auto"/>
            <w:vAlign w:val="center"/>
            <w:hideMark/>
          </w:tcPr>
          <w:p w14:paraId="1098211C" w14:textId="77777777" w:rsidR="00D16262" w:rsidRPr="002048A7" w:rsidRDefault="00D16262" w:rsidP="00D16262">
            <w:pPr>
              <w:spacing w:after="0" w:line="240" w:lineRule="auto"/>
              <w:jc w:val="center"/>
              <w:rPr>
                <w:rFonts w:eastAsia="Times New Roman" w:cstheme="minorHAnsi"/>
                <w:color w:val="000000"/>
                <w:lang w:eastAsia="tr-TR"/>
              </w:rPr>
            </w:pPr>
            <w:r w:rsidRPr="002048A7">
              <w:rPr>
                <w:rFonts w:eastAsia="Times New Roman" w:cstheme="minorHAnsi"/>
                <w:color w:val="000000"/>
                <w:lang w:eastAsia="tr-TR"/>
              </w:rPr>
              <w:t>BATMAN</w:t>
            </w:r>
          </w:p>
        </w:tc>
        <w:tc>
          <w:tcPr>
            <w:tcW w:w="995" w:type="pct"/>
            <w:shd w:val="clear" w:color="auto" w:fill="auto"/>
            <w:vAlign w:val="center"/>
            <w:hideMark/>
          </w:tcPr>
          <w:p w14:paraId="373ADE01" w14:textId="77777777" w:rsidR="00D16262" w:rsidRPr="002048A7" w:rsidRDefault="00D16262" w:rsidP="00D16262">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1.400.000</w:t>
            </w:r>
          </w:p>
        </w:tc>
        <w:tc>
          <w:tcPr>
            <w:tcW w:w="880" w:type="pct"/>
            <w:shd w:val="clear" w:color="auto" w:fill="auto"/>
            <w:vAlign w:val="center"/>
            <w:hideMark/>
          </w:tcPr>
          <w:p w14:paraId="686393FE" w14:textId="77777777" w:rsidR="00D16262" w:rsidRPr="002048A7" w:rsidRDefault="00D16262" w:rsidP="00D16262">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2</w:t>
            </w:r>
            <w:r>
              <w:rPr>
                <w:rFonts w:eastAsia="Times New Roman" w:cstheme="minorHAnsi"/>
                <w:color w:val="000000"/>
                <w:lang w:eastAsia="tr-TR"/>
              </w:rPr>
              <w:t>80</w:t>
            </w:r>
            <w:r w:rsidRPr="002048A7">
              <w:rPr>
                <w:rFonts w:eastAsia="Times New Roman" w:cstheme="minorHAnsi"/>
                <w:color w:val="000000"/>
                <w:lang w:eastAsia="tr-TR"/>
              </w:rPr>
              <w:t>.</w:t>
            </w:r>
            <w:r>
              <w:rPr>
                <w:rFonts w:eastAsia="Times New Roman" w:cstheme="minorHAnsi"/>
                <w:color w:val="000000"/>
                <w:lang w:eastAsia="tr-TR"/>
              </w:rPr>
              <w:t>1</w:t>
            </w:r>
            <w:r w:rsidRPr="002048A7">
              <w:rPr>
                <w:rFonts w:eastAsia="Times New Roman" w:cstheme="minorHAnsi"/>
                <w:color w:val="000000"/>
                <w:lang w:eastAsia="tr-TR"/>
              </w:rPr>
              <w:t>5</w:t>
            </w:r>
            <w:r>
              <w:rPr>
                <w:rFonts w:eastAsia="Times New Roman" w:cstheme="minorHAnsi"/>
                <w:color w:val="000000"/>
                <w:lang w:eastAsia="tr-TR"/>
              </w:rPr>
              <w:t>6</w:t>
            </w:r>
          </w:p>
        </w:tc>
      </w:tr>
    </w:tbl>
    <w:p w14:paraId="35BBEC46" w14:textId="77777777" w:rsidR="002D1BFD" w:rsidRPr="002048A7" w:rsidRDefault="00D71C1C" w:rsidP="005E39D4">
      <w:pPr>
        <w:spacing w:after="0"/>
        <w:rPr>
          <w:color w:val="000000" w:themeColor="text1"/>
          <w:sz w:val="20"/>
          <w:szCs w:val="20"/>
        </w:rPr>
      </w:pPr>
      <w:r w:rsidRPr="002048A7">
        <w:rPr>
          <w:color w:val="000000" w:themeColor="text1"/>
          <w:sz w:val="20"/>
          <w:szCs w:val="20"/>
        </w:rPr>
        <w:t>*</w:t>
      </w:r>
      <w:r w:rsidR="00894FB0" w:rsidRPr="002048A7">
        <w:rPr>
          <w:color w:val="000000" w:themeColor="text1"/>
          <w:sz w:val="20"/>
          <w:szCs w:val="20"/>
        </w:rPr>
        <w:t xml:space="preserve"> </w:t>
      </w:r>
      <w:r w:rsidRPr="002048A7">
        <w:rPr>
          <w:i/>
          <w:color w:val="000000" w:themeColor="text1"/>
          <w:sz w:val="20"/>
          <w:szCs w:val="20"/>
        </w:rPr>
        <w:t>Tesis henüz faaliyete geçmemiştir</w:t>
      </w:r>
      <w:r w:rsidRPr="002048A7">
        <w:rPr>
          <w:color w:val="000000" w:themeColor="text1"/>
          <w:sz w:val="20"/>
          <w:szCs w:val="20"/>
        </w:rPr>
        <w:t>.</w:t>
      </w:r>
    </w:p>
    <w:p w14:paraId="0563F959" w14:textId="77777777" w:rsidR="00D16262" w:rsidRPr="002048A7" w:rsidRDefault="00D16262" w:rsidP="00D16262">
      <w:pPr>
        <w:pStyle w:val="Balk5"/>
        <w:jc w:val="center"/>
        <w:rPr>
          <w:rStyle w:val="Gl"/>
          <w:color w:val="000000" w:themeColor="text1"/>
        </w:rPr>
      </w:pPr>
      <w:bookmarkStart w:id="142" w:name="_Toc195868806"/>
      <w:bookmarkStart w:id="143" w:name="_Toc416447589"/>
      <w:bookmarkStart w:id="144" w:name="_Toc442441739"/>
      <w:r w:rsidRPr="002048A7">
        <w:rPr>
          <w:rStyle w:val="Gl"/>
          <w:color w:val="000000" w:themeColor="text1"/>
        </w:rPr>
        <w:t>Tablo 3.10: 202</w:t>
      </w:r>
      <w:r>
        <w:rPr>
          <w:rStyle w:val="Gl"/>
          <w:color w:val="000000" w:themeColor="text1"/>
        </w:rPr>
        <w:t>4</w:t>
      </w:r>
      <w:r w:rsidRPr="002048A7">
        <w:rPr>
          <w:rStyle w:val="Gl"/>
          <w:color w:val="000000" w:themeColor="text1"/>
        </w:rPr>
        <w:t xml:space="preserve"> Yılı Sonu İtibarıyla Petrol Piyasası Depolama Lisansı Bilgileri</w:t>
      </w:r>
      <w:bookmarkEnd w:id="142"/>
    </w:p>
    <w:tbl>
      <w:tblPr>
        <w:tblW w:w="8340" w:type="dxa"/>
        <w:jc w:val="center"/>
        <w:tblCellMar>
          <w:left w:w="70" w:type="dxa"/>
          <w:right w:w="70" w:type="dxa"/>
        </w:tblCellMar>
        <w:tblLook w:val="04A0" w:firstRow="1" w:lastRow="0" w:firstColumn="1" w:lastColumn="0" w:noHBand="0" w:noVBand="1"/>
      </w:tblPr>
      <w:tblGrid>
        <w:gridCol w:w="2140"/>
        <w:gridCol w:w="2480"/>
        <w:gridCol w:w="3720"/>
      </w:tblGrid>
      <w:tr w:rsidR="00D16262" w:rsidRPr="002048A7" w14:paraId="5885B75B" w14:textId="77777777" w:rsidTr="00D16262">
        <w:trPr>
          <w:trHeight w:val="580"/>
          <w:tblHeader/>
          <w:jc w:val="center"/>
        </w:trPr>
        <w:tc>
          <w:tcPr>
            <w:tcW w:w="2140" w:type="dxa"/>
            <w:tcBorders>
              <w:top w:val="nil"/>
              <w:left w:val="single" w:sz="4" w:space="0" w:color="4F81BD"/>
              <w:bottom w:val="single" w:sz="4" w:space="0" w:color="BFBFBF" w:themeColor="background1" w:themeShade="BF"/>
              <w:right w:val="single" w:sz="4" w:space="0" w:color="D3D3D3"/>
            </w:tcBorders>
            <w:shd w:val="clear" w:color="auto" w:fill="6E9ECA"/>
            <w:vAlign w:val="center"/>
            <w:hideMark/>
          </w:tcPr>
          <w:p w14:paraId="67617C7C" w14:textId="77777777" w:rsidR="00D16262" w:rsidRPr="002048A7" w:rsidRDefault="00D16262" w:rsidP="00D16262">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Tesis İli</w:t>
            </w:r>
          </w:p>
        </w:tc>
        <w:tc>
          <w:tcPr>
            <w:tcW w:w="2480" w:type="dxa"/>
            <w:tcBorders>
              <w:top w:val="nil"/>
              <w:left w:val="nil"/>
              <w:bottom w:val="single" w:sz="4" w:space="0" w:color="BFBFBF" w:themeColor="background1" w:themeShade="BF"/>
              <w:right w:val="single" w:sz="4" w:space="0" w:color="D3D3D3"/>
            </w:tcBorders>
            <w:shd w:val="clear" w:color="auto" w:fill="6E9ECA"/>
            <w:vAlign w:val="center"/>
            <w:hideMark/>
          </w:tcPr>
          <w:p w14:paraId="21F180E2" w14:textId="77777777" w:rsidR="00D16262" w:rsidRPr="002048A7" w:rsidRDefault="00D16262" w:rsidP="00D16262">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Toplam Kapasite (m</w:t>
            </w:r>
            <w:r w:rsidRPr="002048A7">
              <w:rPr>
                <w:rFonts w:ascii="Calibri" w:eastAsia="Times New Roman" w:hAnsi="Calibri" w:cs="Calibri"/>
                <w:b/>
                <w:bCs/>
                <w:color w:val="FFFFFF"/>
                <w:vertAlign w:val="superscript"/>
                <w:lang w:eastAsia="tr-TR"/>
              </w:rPr>
              <w:t>3</w:t>
            </w:r>
            <w:r w:rsidRPr="002048A7">
              <w:rPr>
                <w:rFonts w:ascii="Calibri" w:eastAsia="Times New Roman" w:hAnsi="Calibri" w:cs="Calibri"/>
                <w:b/>
                <w:bCs/>
                <w:color w:val="FFFFFF"/>
                <w:lang w:eastAsia="tr-TR"/>
              </w:rPr>
              <w:t>)</w:t>
            </w:r>
          </w:p>
        </w:tc>
        <w:tc>
          <w:tcPr>
            <w:tcW w:w="3720" w:type="dxa"/>
            <w:tcBorders>
              <w:top w:val="nil"/>
              <w:left w:val="nil"/>
              <w:bottom w:val="single" w:sz="4" w:space="0" w:color="BFBFBF" w:themeColor="background1" w:themeShade="BF"/>
              <w:right w:val="single" w:sz="4" w:space="0" w:color="4F81BD"/>
            </w:tcBorders>
            <w:shd w:val="clear" w:color="auto" w:fill="6E9ECA"/>
            <w:vAlign w:val="center"/>
            <w:hideMark/>
          </w:tcPr>
          <w:p w14:paraId="48EA1DCA" w14:textId="77777777" w:rsidR="00D16262" w:rsidRPr="002048A7" w:rsidRDefault="00D16262" w:rsidP="00D16262">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Toplam Depolama Kapasitesindeki Payı (%)</w:t>
            </w:r>
          </w:p>
        </w:tc>
      </w:tr>
      <w:tr w:rsidR="00D16262" w:rsidRPr="002048A7" w14:paraId="62AB84C5" w14:textId="77777777" w:rsidTr="00D1626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CD80A42" w14:textId="77777777" w:rsidR="00D16262" w:rsidRPr="002048A7" w:rsidRDefault="00D16262" w:rsidP="00D16262">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ADANA</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70E448B" w14:textId="77777777" w:rsidR="00D16262" w:rsidRPr="002048A7" w:rsidRDefault="00D16262" w:rsidP="00072A80">
            <w:pPr>
              <w:spacing w:after="0" w:line="240" w:lineRule="auto"/>
              <w:jc w:val="right"/>
              <w:rPr>
                <w:rFonts w:ascii="Calibri" w:eastAsia="Times New Roman" w:hAnsi="Calibri" w:cs="Calibri"/>
                <w:lang w:eastAsia="tr-TR"/>
              </w:rPr>
            </w:pPr>
            <w:r w:rsidRPr="002048A7">
              <w:rPr>
                <w:rFonts w:ascii="Calibri" w:eastAsia="Times New Roman" w:hAnsi="Calibri" w:cs="Calibri"/>
                <w:lang w:eastAsia="tr-TR"/>
              </w:rPr>
              <w:t>2.918,00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96855AC" w14:textId="77777777" w:rsidR="00D16262" w:rsidRPr="006C0CD4" w:rsidRDefault="00D16262" w:rsidP="00D16262">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0,05</w:t>
            </w:r>
          </w:p>
        </w:tc>
      </w:tr>
      <w:tr w:rsidR="00D16262" w:rsidRPr="002048A7" w14:paraId="7C27FB6E" w14:textId="77777777" w:rsidTr="00D1626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91158DF" w14:textId="77777777" w:rsidR="00D16262" w:rsidRPr="002048A7" w:rsidRDefault="00D16262" w:rsidP="00D16262">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ADIYAMAN</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98B6503" w14:textId="77777777" w:rsidR="00D16262" w:rsidRPr="002048A7" w:rsidRDefault="00D16262" w:rsidP="00072A80">
            <w:pPr>
              <w:spacing w:after="0" w:line="240" w:lineRule="auto"/>
              <w:jc w:val="right"/>
              <w:rPr>
                <w:rFonts w:ascii="Calibri" w:eastAsia="Times New Roman" w:hAnsi="Calibri" w:cs="Calibri"/>
                <w:lang w:eastAsia="tr-TR"/>
              </w:rPr>
            </w:pPr>
            <w:r w:rsidRPr="002048A7">
              <w:rPr>
                <w:rFonts w:ascii="Calibri" w:eastAsia="Times New Roman" w:hAnsi="Calibri" w:cs="Calibri"/>
                <w:lang w:eastAsia="tr-TR"/>
              </w:rPr>
              <w:t>49,00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3AF038C" w14:textId="77777777" w:rsidR="00D16262" w:rsidRPr="006C0CD4" w:rsidRDefault="00D16262" w:rsidP="00D16262">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0,00</w:t>
            </w:r>
          </w:p>
        </w:tc>
      </w:tr>
      <w:tr w:rsidR="00D16262" w:rsidRPr="002048A7" w14:paraId="14916C54" w14:textId="77777777" w:rsidTr="00D1626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4E5A88B" w14:textId="77777777" w:rsidR="00D16262" w:rsidRPr="002048A7" w:rsidRDefault="00D16262" w:rsidP="00D16262">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AĞRI</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97FA075" w14:textId="77777777" w:rsidR="00D16262" w:rsidRPr="002048A7" w:rsidRDefault="00D16262" w:rsidP="00072A80">
            <w:pPr>
              <w:spacing w:after="0" w:line="240" w:lineRule="auto"/>
              <w:jc w:val="right"/>
              <w:rPr>
                <w:rFonts w:ascii="Calibri" w:eastAsia="Times New Roman" w:hAnsi="Calibri" w:cs="Calibri"/>
                <w:lang w:eastAsia="tr-TR"/>
              </w:rPr>
            </w:pPr>
            <w:r w:rsidRPr="002048A7">
              <w:rPr>
                <w:rFonts w:ascii="Calibri" w:eastAsia="Times New Roman" w:hAnsi="Calibri" w:cs="Calibri"/>
                <w:lang w:eastAsia="tr-TR"/>
              </w:rPr>
              <w:t>97,00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03B78AD" w14:textId="77777777" w:rsidR="00D16262" w:rsidRPr="006C0CD4" w:rsidRDefault="00D16262" w:rsidP="00D16262">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0,00</w:t>
            </w:r>
          </w:p>
        </w:tc>
      </w:tr>
      <w:tr w:rsidR="00D16262" w:rsidRPr="002048A7" w14:paraId="4C74898B" w14:textId="77777777" w:rsidTr="00D1626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9F58013" w14:textId="77777777" w:rsidR="00D16262" w:rsidRPr="002048A7" w:rsidRDefault="00D16262" w:rsidP="00D16262">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AMASYA</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3F1D29" w14:textId="77777777" w:rsidR="00D16262" w:rsidRPr="002048A7" w:rsidRDefault="00D16262" w:rsidP="00072A80">
            <w:pPr>
              <w:spacing w:after="0" w:line="240" w:lineRule="auto"/>
              <w:jc w:val="right"/>
              <w:rPr>
                <w:rFonts w:ascii="Calibri" w:eastAsia="Times New Roman" w:hAnsi="Calibri" w:cs="Calibri"/>
                <w:lang w:eastAsia="tr-TR"/>
              </w:rPr>
            </w:pPr>
            <w:r w:rsidRPr="002048A7">
              <w:rPr>
                <w:rFonts w:ascii="Calibri" w:eastAsia="Times New Roman" w:hAnsi="Calibri" w:cs="Calibri"/>
                <w:lang w:eastAsia="tr-TR"/>
              </w:rPr>
              <w:t>50,00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4E99F0" w14:textId="77777777" w:rsidR="00D16262" w:rsidRPr="006C0CD4" w:rsidRDefault="00D16262" w:rsidP="00D16262">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0,00</w:t>
            </w:r>
          </w:p>
        </w:tc>
      </w:tr>
      <w:tr w:rsidR="00D16262" w:rsidRPr="002048A7" w14:paraId="15E38086" w14:textId="77777777" w:rsidTr="00D1626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DCD6EFE" w14:textId="77777777" w:rsidR="00D16262" w:rsidRPr="002048A7" w:rsidRDefault="00D16262" w:rsidP="00D16262">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ANKARA</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D27C36A" w14:textId="77777777" w:rsidR="00D16262" w:rsidRPr="002048A7" w:rsidRDefault="00D16262" w:rsidP="00072A80">
            <w:pPr>
              <w:spacing w:after="0" w:line="240" w:lineRule="auto"/>
              <w:jc w:val="right"/>
              <w:rPr>
                <w:rFonts w:ascii="Calibri" w:eastAsia="Times New Roman" w:hAnsi="Calibri" w:cs="Calibri"/>
                <w:lang w:eastAsia="tr-TR"/>
              </w:rPr>
            </w:pPr>
            <w:r w:rsidRPr="00304254">
              <w:t>43.719,00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9809BBD" w14:textId="77777777" w:rsidR="00D16262" w:rsidRPr="006C0CD4" w:rsidRDefault="00D16262" w:rsidP="00D16262">
            <w:pPr>
              <w:spacing w:after="0" w:line="240" w:lineRule="auto"/>
              <w:jc w:val="center"/>
              <w:rPr>
                <w:rFonts w:ascii="Calibri" w:eastAsia="Times New Roman" w:hAnsi="Calibri" w:cs="Calibri"/>
                <w:lang w:eastAsia="tr-TR"/>
              </w:rPr>
            </w:pPr>
            <w:r w:rsidRPr="00304254">
              <w:t>0,76</w:t>
            </w:r>
          </w:p>
        </w:tc>
      </w:tr>
      <w:tr w:rsidR="00D16262" w:rsidRPr="002048A7" w14:paraId="71D4FFFE" w14:textId="77777777" w:rsidTr="00D1626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3C64682" w14:textId="77777777" w:rsidR="00D16262" w:rsidRPr="002048A7" w:rsidRDefault="00D16262" w:rsidP="00D16262">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ANTALYA</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88BBB0C" w14:textId="77777777" w:rsidR="00D16262" w:rsidRPr="002048A7" w:rsidRDefault="00D16262" w:rsidP="00072A80">
            <w:pPr>
              <w:spacing w:after="0" w:line="240" w:lineRule="auto"/>
              <w:jc w:val="right"/>
              <w:rPr>
                <w:rFonts w:ascii="Calibri" w:eastAsia="Times New Roman" w:hAnsi="Calibri" w:cs="Calibri"/>
                <w:lang w:eastAsia="tr-TR"/>
              </w:rPr>
            </w:pPr>
            <w:r w:rsidRPr="005908E5">
              <w:t>384.390,00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393A2B0" w14:textId="77777777" w:rsidR="00D16262" w:rsidRPr="006C0CD4" w:rsidRDefault="00D16262" w:rsidP="00D16262">
            <w:pPr>
              <w:spacing w:after="0" w:line="240" w:lineRule="auto"/>
              <w:jc w:val="center"/>
              <w:rPr>
                <w:rFonts w:ascii="Calibri" w:eastAsia="Times New Roman" w:hAnsi="Calibri" w:cs="Calibri"/>
                <w:lang w:eastAsia="tr-TR"/>
              </w:rPr>
            </w:pPr>
            <w:r w:rsidRPr="005908E5">
              <w:t>6,64</w:t>
            </w:r>
          </w:p>
        </w:tc>
      </w:tr>
      <w:tr w:rsidR="00D16262" w:rsidRPr="002048A7" w14:paraId="554D3FAE" w14:textId="77777777" w:rsidTr="00D1626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36DAD1C" w14:textId="77777777" w:rsidR="00D16262" w:rsidRPr="002048A7" w:rsidRDefault="00D16262" w:rsidP="00D16262">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ARTVİN</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196CC22" w14:textId="77777777" w:rsidR="00D16262" w:rsidRPr="002048A7" w:rsidRDefault="00D16262" w:rsidP="00072A80">
            <w:pPr>
              <w:spacing w:after="0" w:line="240" w:lineRule="auto"/>
              <w:jc w:val="right"/>
              <w:rPr>
                <w:rFonts w:ascii="Calibri" w:eastAsia="Times New Roman" w:hAnsi="Calibri" w:cs="Calibri"/>
                <w:lang w:eastAsia="tr-TR"/>
              </w:rPr>
            </w:pPr>
            <w:r w:rsidRPr="002048A7">
              <w:rPr>
                <w:rFonts w:ascii="Calibri" w:eastAsia="Times New Roman" w:hAnsi="Calibri" w:cs="Calibri"/>
                <w:lang w:eastAsia="tr-TR"/>
              </w:rPr>
              <w:t>32.000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2220B3" w14:textId="77777777" w:rsidR="00D16262" w:rsidRPr="006C0CD4" w:rsidRDefault="00D16262" w:rsidP="00D16262">
            <w:pPr>
              <w:spacing w:after="0" w:line="240" w:lineRule="auto"/>
              <w:jc w:val="center"/>
              <w:rPr>
                <w:rFonts w:ascii="Calibri" w:eastAsia="Times New Roman" w:hAnsi="Calibri" w:cs="Calibri"/>
                <w:lang w:eastAsia="tr-TR"/>
              </w:rPr>
            </w:pPr>
            <w:r w:rsidRPr="00164F8A">
              <w:rPr>
                <w:rFonts w:ascii="Calibri" w:eastAsia="Times New Roman" w:hAnsi="Calibri" w:cs="Calibri"/>
                <w:lang w:eastAsia="tr-TR"/>
              </w:rPr>
              <w:t>0,55</w:t>
            </w:r>
          </w:p>
        </w:tc>
      </w:tr>
      <w:tr w:rsidR="00D16262" w:rsidRPr="002048A7" w14:paraId="2A895100" w14:textId="77777777" w:rsidTr="00D1626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F90C916" w14:textId="77777777" w:rsidR="00D16262" w:rsidRPr="002048A7" w:rsidRDefault="00D16262" w:rsidP="00D16262">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AYDIN</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07F006C" w14:textId="77777777" w:rsidR="00D16262" w:rsidRPr="002048A7" w:rsidRDefault="00D16262" w:rsidP="00072A80">
            <w:pPr>
              <w:spacing w:after="0" w:line="240" w:lineRule="auto"/>
              <w:jc w:val="right"/>
              <w:rPr>
                <w:rFonts w:ascii="Calibri" w:eastAsia="Times New Roman" w:hAnsi="Calibri" w:cs="Calibri"/>
                <w:lang w:eastAsia="tr-TR"/>
              </w:rPr>
            </w:pPr>
            <w:r w:rsidRPr="002048A7">
              <w:rPr>
                <w:rFonts w:ascii="Calibri" w:eastAsia="Times New Roman" w:hAnsi="Calibri" w:cs="Calibri"/>
                <w:lang w:eastAsia="tr-TR"/>
              </w:rPr>
              <w:t>47,00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340083F" w14:textId="77777777" w:rsidR="00D16262" w:rsidRPr="006C0CD4" w:rsidRDefault="00D16262" w:rsidP="00D16262">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0,00</w:t>
            </w:r>
          </w:p>
        </w:tc>
      </w:tr>
      <w:tr w:rsidR="00D16262" w:rsidRPr="002048A7" w14:paraId="27D64F7F" w14:textId="77777777" w:rsidTr="00D1626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0F526FE" w14:textId="77777777" w:rsidR="00D16262" w:rsidRPr="002048A7" w:rsidRDefault="00D16262" w:rsidP="00D16262">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BALIKESİR</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7E5CEBF" w14:textId="77777777" w:rsidR="00D16262" w:rsidRPr="002048A7" w:rsidRDefault="00D16262" w:rsidP="00072A80">
            <w:pPr>
              <w:spacing w:after="0" w:line="240" w:lineRule="auto"/>
              <w:jc w:val="right"/>
              <w:rPr>
                <w:rFonts w:ascii="Calibri" w:eastAsia="Times New Roman" w:hAnsi="Calibri" w:cs="Calibri"/>
                <w:lang w:eastAsia="tr-TR"/>
              </w:rPr>
            </w:pPr>
            <w:r w:rsidRPr="002048A7">
              <w:rPr>
                <w:rFonts w:ascii="Calibri" w:eastAsia="Times New Roman" w:hAnsi="Calibri" w:cs="Calibri"/>
                <w:lang w:eastAsia="tr-TR"/>
              </w:rPr>
              <w:t>48,00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6391B3A" w14:textId="77777777" w:rsidR="00D16262" w:rsidRPr="006C0CD4" w:rsidRDefault="00D16262" w:rsidP="00D16262">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0,00</w:t>
            </w:r>
          </w:p>
        </w:tc>
      </w:tr>
      <w:tr w:rsidR="00D16262" w:rsidRPr="002048A7" w14:paraId="54CB84A1" w14:textId="77777777" w:rsidTr="00D1626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3B4834A" w14:textId="77777777" w:rsidR="00D16262" w:rsidRPr="002048A7" w:rsidRDefault="00D16262" w:rsidP="00D16262">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BATMAN</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F1DAB04" w14:textId="77777777" w:rsidR="00D16262" w:rsidRPr="002048A7" w:rsidRDefault="00D16262" w:rsidP="00072A80">
            <w:pPr>
              <w:spacing w:after="0" w:line="240" w:lineRule="auto"/>
              <w:jc w:val="right"/>
              <w:rPr>
                <w:rFonts w:ascii="Calibri" w:eastAsia="Times New Roman" w:hAnsi="Calibri" w:cs="Calibri"/>
                <w:lang w:eastAsia="tr-TR"/>
              </w:rPr>
            </w:pPr>
            <w:r w:rsidRPr="002048A7">
              <w:rPr>
                <w:rFonts w:ascii="Calibri" w:eastAsia="Times New Roman" w:hAnsi="Calibri" w:cs="Calibri"/>
                <w:lang w:eastAsia="tr-TR"/>
              </w:rPr>
              <w:t>49,00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03678F7" w14:textId="77777777" w:rsidR="00D16262" w:rsidRPr="006C0CD4" w:rsidRDefault="00D16262" w:rsidP="00D16262">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0,00</w:t>
            </w:r>
          </w:p>
        </w:tc>
      </w:tr>
      <w:tr w:rsidR="00D16262" w:rsidRPr="002048A7" w14:paraId="16462210" w14:textId="77777777" w:rsidTr="00D1626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EABF9B8" w14:textId="77777777" w:rsidR="00D16262" w:rsidRPr="002048A7" w:rsidRDefault="00D16262" w:rsidP="00D16262">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BİNGÖL</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97CA88" w14:textId="77777777" w:rsidR="00D16262" w:rsidRPr="002048A7" w:rsidRDefault="00D16262" w:rsidP="00072A80">
            <w:pPr>
              <w:spacing w:after="0" w:line="240" w:lineRule="auto"/>
              <w:jc w:val="right"/>
              <w:rPr>
                <w:rFonts w:ascii="Calibri" w:eastAsia="Times New Roman" w:hAnsi="Calibri" w:cs="Calibri"/>
                <w:lang w:eastAsia="tr-TR"/>
              </w:rPr>
            </w:pPr>
            <w:r w:rsidRPr="002048A7">
              <w:rPr>
                <w:rFonts w:ascii="Calibri" w:eastAsia="Times New Roman" w:hAnsi="Calibri" w:cs="Calibri"/>
                <w:lang w:eastAsia="tr-TR"/>
              </w:rPr>
              <w:t>49,00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419035" w14:textId="77777777" w:rsidR="00D16262" w:rsidRPr="006C0CD4" w:rsidRDefault="00D16262" w:rsidP="00D16262">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0,00</w:t>
            </w:r>
          </w:p>
        </w:tc>
      </w:tr>
      <w:tr w:rsidR="00D16262" w:rsidRPr="002048A7" w14:paraId="1BE5529C" w14:textId="77777777" w:rsidTr="00D1626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B958D5E" w14:textId="77777777" w:rsidR="00D16262" w:rsidRPr="002048A7" w:rsidRDefault="00D16262" w:rsidP="00D16262">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BURSA</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35D028C" w14:textId="77777777" w:rsidR="00D16262" w:rsidRPr="002048A7" w:rsidRDefault="00D16262" w:rsidP="00072A80">
            <w:pPr>
              <w:spacing w:after="0" w:line="240" w:lineRule="auto"/>
              <w:jc w:val="right"/>
              <w:rPr>
                <w:rFonts w:ascii="Calibri" w:eastAsia="Times New Roman" w:hAnsi="Calibri" w:cs="Calibri"/>
                <w:lang w:eastAsia="tr-TR"/>
              </w:rPr>
            </w:pPr>
            <w:r w:rsidRPr="002048A7">
              <w:rPr>
                <w:rFonts w:ascii="Calibri" w:eastAsia="Times New Roman" w:hAnsi="Calibri" w:cs="Calibri"/>
                <w:lang w:eastAsia="tr-TR"/>
              </w:rPr>
              <w:t>47,00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237A5ED" w14:textId="77777777" w:rsidR="00D16262" w:rsidRPr="006C0CD4" w:rsidRDefault="00D16262" w:rsidP="00D16262">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0,00</w:t>
            </w:r>
          </w:p>
        </w:tc>
      </w:tr>
      <w:tr w:rsidR="00D16262" w:rsidRPr="002048A7" w14:paraId="441589B7" w14:textId="77777777" w:rsidTr="00D1626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79EF886" w14:textId="77777777" w:rsidR="00D16262" w:rsidRPr="002048A7" w:rsidRDefault="00D16262" w:rsidP="00D16262">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ÇANAKKALE</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8B0FBF4" w14:textId="77777777" w:rsidR="00D16262" w:rsidRPr="002048A7" w:rsidRDefault="00D16262" w:rsidP="00072A80">
            <w:pPr>
              <w:spacing w:after="0" w:line="240" w:lineRule="auto"/>
              <w:jc w:val="right"/>
              <w:rPr>
                <w:rFonts w:ascii="Calibri" w:eastAsia="Times New Roman" w:hAnsi="Calibri" w:cs="Calibri"/>
                <w:lang w:eastAsia="tr-TR"/>
              </w:rPr>
            </w:pPr>
            <w:r w:rsidRPr="002048A7">
              <w:rPr>
                <w:rFonts w:ascii="Calibri" w:eastAsia="Times New Roman" w:hAnsi="Calibri" w:cs="Calibri"/>
                <w:lang w:eastAsia="tr-TR"/>
              </w:rPr>
              <w:t>13.669,27</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BEA038" w14:textId="77777777" w:rsidR="00D16262" w:rsidRPr="006C0CD4" w:rsidRDefault="00D16262" w:rsidP="00D16262">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0,24</w:t>
            </w:r>
          </w:p>
        </w:tc>
      </w:tr>
      <w:tr w:rsidR="00D16262" w:rsidRPr="002048A7" w14:paraId="1F13E575" w14:textId="77777777" w:rsidTr="00D1626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951179D" w14:textId="77777777" w:rsidR="00D16262" w:rsidRPr="002048A7" w:rsidRDefault="00D16262" w:rsidP="00D16262">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DENİZLİ</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7038541" w14:textId="77777777" w:rsidR="00D16262" w:rsidRPr="002048A7" w:rsidRDefault="00D16262" w:rsidP="00072A80">
            <w:pPr>
              <w:spacing w:after="0" w:line="240" w:lineRule="auto"/>
              <w:jc w:val="right"/>
              <w:rPr>
                <w:rFonts w:ascii="Calibri" w:eastAsia="Times New Roman" w:hAnsi="Calibri" w:cs="Calibri"/>
                <w:lang w:eastAsia="tr-TR"/>
              </w:rPr>
            </w:pPr>
            <w:r w:rsidRPr="002048A7">
              <w:rPr>
                <w:rFonts w:ascii="Calibri" w:eastAsia="Times New Roman" w:hAnsi="Calibri" w:cs="Calibri"/>
                <w:lang w:eastAsia="tr-TR"/>
              </w:rPr>
              <w:t>107,00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D1BD054" w14:textId="77777777" w:rsidR="00D16262" w:rsidRPr="006C0CD4" w:rsidRDefault="00D16262" w:rsidP="00D16262">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0,00</w:t>
            </w:r>
          </w:p>
        </w:tc>
      </w:tr>
      <w:tr w:rsidR="00D16262" w:rsidRPr="002048A7" w14:paraId="011F3087" w14:textId="77777777" w:rsidTr="00D1626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9568328" w14:textId="77777777" w:rsidR="00D16262" w:rsidRPr="002048A7" w:rsidRDefault="00D16262" w:rsidP="00D16262">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DİYARBAKIR</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6F28493" w14:textId="77777777" w:rsidR="00D16262" w:rsidRPr="002048A7" w:rsidRDefault="00D16262" w:rsidP="00072A80">
            <w:pPr>
              <w:spacing w:after="0" w:line="240" w:lineRule="auto"/>
              <w:jc w:val="right"/>
              <w:rPr>
                <w:rFonts w:ascii="Calibri" w:eastAsia="Times New Roman" w:hAnsi="Calibri" w:cs="Calibri"/>
                <w:lang w:eastAsia="tr-TR"/>
              </w:rPr>
            </w:pPr>
            <w:r w:rsidRPr="002048A7">
              <w:rPr>
                <w:rFonts w:ascii="Calibri" w:eastAsia="Times New Roman" w:hAnsi="Calibri" w:cs="Calibri"/>
                <w:lang w:eastAsia="tr-TR"/>
              </w:rPr>
              <w:t>9.256,00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0D4DC97" w14:textId="77777777" w:rsidR="00D16262" w:rsidRPr="006C0CD4" w:rsidRDefault="00D16262" w:rsidP="00D16262">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0,16</w:t>
            </w:r>
          </w:p>
        </w:tc>
      </w:tr>
      <w:tr w:rsidR="00D16262" w:rsidRPr="002048A7" w14:paraId="700E8A27" w14:textId="77777777" w:rsidTr="00D1626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49549D7" w14:textId="77777777" w:rsidR="00D16262" w:rsidRPr="002048A7" w:rsidRDefault="00D16262" w:rsidP="00D16262">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ELAZIĞ</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E3E952F" w14:textId="77777777" w:rsidR="00D16262" w:rsidRPr="002048A7" w:rsidRDefault="00D16262" w:rsidP="00072A80">
            <w:pPr>
              <w:spacing w:after="0" w:line="240" w:lineRule="auto"/>
              <w:jc w:val="right"/>
              <w:rPr>
                <w:rFonts w:ascii="Calibri" w:eastAsia="Times New Roman" w:hAnsi="Calibri" w:cs="Calibri"/>
                <w:lang w:eastAsia="tr-TR"/>
              </w:rPr>
            </w:pPr>
            <w:r w:rsidRPr="002048A7">
              <w:rPr>
                <w:rFonts w:ascii="Calibri" w:eastAsia="Times New Roman" w:hAnsi="Calibri" w:cs="Calibri"/>
                <w:lang w:eastAsia="tr-TR"/>
              </w:rPr>
              <w:t>160,00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1EDEFA0" w14:textId="77777777" w:rsidR="00D16262" w:rsidRPr="006C0CD4" w:rsidRDefault="00D16262" w:rsidP="00D16262">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0,00</w:t>
            </w:r>
          </w:p>
        </w:tc>
      </w:tr>
      <w:tr w:rsidR="00D16262" w:rsidRPr="002048A7" w14:paraId="466A9ACA" w14:textId="77777777" w:rsidTr="00D1626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8D6E520" w14:textId="77777777" w:rsidR="00D16262" w:rsidRPr="002048A7" w:rsidRDefault="00D16262" w:rsidP="00D16262">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ERZİNCAN</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20F4E2" w14:textId="77777777" w:rsidR="00D16262" w:rsidRPr="002048A7" w:rsidRDefault="00D16262" w:rsidP="00072A80">
            <w:pPr>
              <w:spacing w:after="0" w:line="240" w:lineRule="auto"/>
              <w:jc w:val="right"/>
              <w:rPr>
                <w:rFonts w:ascii="Calibri" w:eastAsia="Times New Roman" w:hAnsi="Calibri" w:cs="Calibri"/>
                <w:lang w:eastAsia="tr-TR"/>
              </w:rPr>
            </w:pPr>
            <w:r w:rsidRPr="002048A7">
              <w:rPr>
                <w:rFonts w:ascii="Calibri" w:eastAsia="Times New Roman" w:hAnsi="Calibri" w:cs="Calibri"/>
                <w:lang w:eastAsia="tr-TR"/>
              </w:rPr>
              <w:t>47,00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5F7078" w14:textId="77777777" w:rsidR="00D16262" w:rsidRPr="006C0CD4" w:rsidRDefault="00D16262" w:rsidP="00D16262">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0,00</w:t>
            </w:r>
          </w:p>
        </w:tc>
      </w:tr>
      <w:tr w:rsidR="00D16262" w:rsidRPr="002048A7" w14:paraId="276AC27D" w14:textId="77777777" w:rsidTr="00D1626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2C10024" w14:textId="77777777" w:rsidR="00D16262" w:rsidRPr="002048A7" w:rsidRDefault="00D16262" w:rsidP="00D16262">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lastRenderedPageBreak/>
              <w:t>ERZURUM</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2F26DE" w14:textId="77777777" w:rsidR="00D16262" w:rsidRPr="002048A7" w:rsidRDefault="00D16262" w:rsidP="00072A80">
            <w:pPr>
              <w:spacing w:after="0" w:line="240" w:lineRule="auto"/>
              <w:jc w:val="right"/>
              <w:rPr>
                <w:rFonts w:ascii="Calibri" w:eastAsia="Times New Roman" w:hAnsi="Calibri" w:cs="Calibri"/>
                <w:lang w:eastAsia="tr-TR"/>
              </w:rPr>
            </w:pPr>
            <w:r w:rsidRPr="002048A7">
              <w:rPr>
                <w:rFonts w:ascii="Calibri" w:eastAsia="Times New Roman" w:hAnsi="Calibri" w:cs="Calibri"/>
                <w:lang w:eastAsia="tr-TR"/>
              </w:rPr>
              <w:t>4.753,00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F2D88F" w14:textId="77777777" w:rsidR="00D16262" w:rsidRPr="006C0CD4" w:rsidRDefault="00D16262" w:rsidP="00D16262">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0,08</w:t>
            </w:r>
          </w:p>
        </w:tc>
      </w:tr>
      <w:tr w:rsidR="00D16262" w:rsidRPr="002048A7" w14:paraId="7E8371E4" w14:textId="77777777" w:rsidTr="00D1626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5B3F566" w14:textId="77777777" w:rsidR="00D16262" w:rsidRPr="002048A7" w:rsidRDefault="00D16262" w:rsidP="00D16262">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GAZİANTEP</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3DA288B" w14:textId="77777777" w:rsidR="00D16262" w:rsidRPr="002048A7" w:rsidRDefault="00D16262" w:rsidP="00072A80">
            <w:pPr>
              <w:spacing w:after="0" w:line="240" w:lineRule="auto"/>
              <w:jc w:val="right"/>
              <w:rPr>
                <w:rFonts w:ascii="Calibri" w:eastAsia="Times New Roman" w:hAnsi="Calibri" w:cs="Calibri"/>
                <w:lang w:eastAsia="tr-TR"/>
              </w:rPr>
            </w:pPr>
            <w:r w:rsidRPr="002048A7">
              <w:rPr>
                <w:rFonts w:ascii="Calibri" w:eastAsia="Times New Roman" w:hAnsi="Calibri" w:cs="Calibri"/>
                <w:lang w:eastAsia="tr-TR"/>
              </w:rPr>
              <w:t>1.277,00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35211D9" w14:textId="77777777" w:rsidR="00D16262" w:rsidRPr="006C0CD4" w:rsidRDefault="00D16262" w:rsidP="00D16262">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0,02</w:t>
            </w:r>
          </w:p>
        </w:tc>
      </w:tr>
      <w:tr w:rsidR="00D16262" w:rsidRPr="002048A7" w14:paraId="07018983" w14:textId="77777777" w:rsidTr="00D1626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3B543A6" w14:textId="77777777" w:rsidR="00D16262" w:rsidRPr="002048A7" w:rsidRDefault="00D16262" w:rsidP="00D16262">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GİRESUN</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F0FF9D" w14:textId="77777777" w:rsidR="00D16262" w:rsidRPr="002048A7" w:rsidRDefault="00D16262" w:rsidP="00072A80">
            <w:pPr>
              <w:spacing w:after="0" w:line="240" w:lineRule="auto"/>
              <w:jc w:val="right"/>
              <w:rPr>
                <w:rFonts w:ascii="Calibri" w:eastAsia="Times New Roman" w:hAnsi="Calibri" w:cs="Calibri"/>
                <w:lang w:eastAsia="tr-TR"/>
              </w:rPr>
            </w:pPr>
            <w:r w:rsidRPr="002048A7">
              <w:rPr>
                <w:rFonts w:ascii="Calibri" w:eastAsia="Times New Roman" w:hAnsi="Calibri" w:cs="Calibri"/>
                <w:lang w:eastAsia="tr-TR"/>
              </w:rPr>
              <w:t>43.130,00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78AE860" w14:textId="77777777" w:rsidR="00D16262" w:rsidRPr="006C0CD4" w:rsidRDefault="00D16262" w:rsidP="00D16262">
            <w:pPr>
              <w:spacing w:after="0" w:line="240" w:lineRule="auto"/>
              <w:jc w:val="center"/>
              <w:rPr>
                <w:rFonts w:ascii="Calibri" w:eastAsia="Times New Roman" w:hAnsi="Calibri" w:cs="Calibri"/>
                <w:lang w:eastAsia="tr-TR"/>
              </w:rPr>
            </w:pPr>
            <w:r w:rsidRPr="00164F8A">
              <w:rPr>
                <w:rFonts w:ascii="Calibri" w:eastAsia="Times New Roman" w:hAnsi="Calibri" w:cs="Calibri"/>
                <w:lang w:eastAsia="tr-TR"/>
              </w:rPr>
              <w:t>0,75</w:t>
            </w:r>
          </w:p>
        </w:tc>
      </w:tr>
      <w:tr w:rsidR="00D16262" w:rsidRPr="002048A7" w14:paraId="378D20B7" w14:textId="77777777" w:rsidTr="00D1626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10529E0" w14:textId="77777777" w:rsidR="00D16262" w:rsidRPr="002048A7" w:rsidRDefault="00D16262" w:rsidP="00D16262">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HAKKARİ</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E245490" w14:textId="77777777" w:rsidR="00D16262" w:rsidRPr="002048A7" w:rsidRDefault="00D16262" w:rsidP="00072A80">
            <w:pPr>
              <w:spacing w:after="0" w:line="240" w:lineRule="auto"/>
              <w:jc w:val="right"/>
              <w:rPr>
                <w:rFonts w:ascii="Calibri" w:eastAsia="Times New Roman" w:hAnsi="Calibri" w:cs="Calibri"/>
                <w:lang w:eastAsia="tr-TR"/>
              </w:rPr>
            </w:pPr>
            <w:r w:rsidRPr="002048A7">
              <w:rPr>
                <w:rFonts w:ascii="Calibri" w:eastAsia="Times New Roman" w:hAnsi="Calibri" w:cs="Calibri"/>
                <w:lang w:eastAsia="tr-TR"/>
              </w:rPr>
              <w:t>94,00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CCD826" w14:textId="77777777" w:rsidR="00D16262" w:rsidRPr="006C0CD4" w:rsidRDefault="00D16262" w:rsidP="00D16262">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0,00</w:t>
            </w:r>
          </w:p>
        </w:tc>
      </w:tr>
      <w:tr w:rsidR="00D16262" w:rsidRPr="002048A7" w14:paraId="051E66C8" w14:textId="77777777" w:rsidTr="00D1626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C2CF083" w14:textId="77777777" w:rsidR="00D16262" w:rsidRPr="002048A7" w:rsidRDefault="00D16262" w:rsidP="00D16262">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HATAY</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31397E0" w14:textId="77777777" w:rsidR="00D16262" w:rsidRPr="002048A7" w:rsidRDefault="00D16262" w:rsidP="00072A80">
            <w:pPr>
              <w:spacing w:after="0" w:line="240" w:lineRule="auto"/>
              <w:jc w:val="right"/>
              <w:rPr>
                <w:rFonts w:ascii="Calibri" w:eastAsia="Times New Roman" w:hAnsi="Calibri" w:cs="Calibri"/>
                <w:lang w:eastAsia="tr-TR"/>
              </w:rPr>
            </w:pPr>
            <w:r w:rsidRPr="002048A7">
              <w:rPr>
                <w:rFonts w:ascii="Calibri" w:eastAsia="Times New Roman" w:hAnsi="Calibri" w:cs="Calibri"/>
                <w:lang w:eastAsia="tr-TR"/>
              </w:rPr>
              <w:t>265.631,00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B62E63" w14:textId="77777777" w:rsidR="00D16262" w:rsidRPr="006C0CD4" w:rsidRDefault="00D16262" w:rsidP="00D16262">
            <w:pPr>
              <w:spacing w:after="0" w:line="240" w:lineRule="auto"/>
              <w:jc w:val="center"/>
              <w:rPr>
                <w:rFonts w:ascii="Calibri" w:eastAsia="Times New Roman" w:hAnsi="Calibri" w:cs="Calibri"/>
                <w:lang w:eastAsia="tr-TR"/>
              </w:rPr>
            </w:pPr>
            <w:r w:rsidRPr="00164F8A">
              <w:rPr>
                <w:rFonts w:ascii="Calibri" w:eastAsia="Times New Roman" w:hAnsi="Calibri" w:cs="Calibri"/>
                <w:lang w:eastAsia="tr-TR"/>
              </w:rPr>
              <w:t>4,59</w:t>
            </w:r>
          </w:p>
        </w:tc>
      </w:tr>
      <w:tr w:rsidR="00D16262" w:rsidRPr="002048A7" w14:paraId="500BFD6A" w14:textId="77777777" w:rsidTr="00D1626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A59BFD3" w14:textId="77777777" w:rsidR="00D16262" w:rsidRPr="002048A7" w:rsidRDefault="00D16262" w:rsidP="00D16262">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IĞDIR</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20F231" w14:textId="77777777" w:rsidR="00D16262" w:rsidRPr="002048A7" w:rsidRDefault="00D16262" w:rsidP="00072A80">
            <w:pPr>
              <w:spacing w:after="0" w:line="240" w:lineRule="auto"/>
              <w:jc w:val="right"/>
              <w:rPr>
                <w:rFonts w:ascii="Calibri" w:eastAsia="Times New Roman" w:hAnsi="Calibri" w:cs="Calibri"/>
                <w:lang w:eastAsia="tr-TR"/>
              </w:rPr>
            </w:pPr>
            <w:r w:rsidRPr="002048A7">
              <w:rPr>
                <w:rFonts w:ascii="Calibri" w:eastAsia="Times New Roman" w:hAnsi="Calibri" w:cs="Calibri"/>
                <w:lang w:eastAsia="tr-TR"/>
              </w:rPr>
              <w:t>49,00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AF83B68" w14:textId="77777777" w:rsidR="00D16262" w:rsidRPr="006C0CD4" w:rsidRDefault="00D16262" w:rsidP="00D16262">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0,00</w:t>
            </w:r>
          </w:p>
        </w:tc>
      </w:tr>
      <w:tr w:rsidR="00D16262" w:rsidRPr="002048A7" w14:paraId="76CF2C4F" w14:textId="77777777" w:rsidTr="00D1626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705B66D" w14:textId="77777777" w:rsidR="00D16262" w:rsidRPr="002048A7" w:rsidRDefault="00D16262" w:rsidP="00D16262">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ISPARTA</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1347B85" w14:textId="77777777" w:rsidR="00D16262" w:rsidRPr="002048A7" w:rsidRDefault="00D16262" w:rsidP="00072A80">
            <w:pPr>
              <w:spacing w:after="0" w:line="240" w:lineRule="auto"/>
              <w:jc w:val="right"/>
              <w:rPr>
                <w:rFonts w:ascii="Calibri" w:eastAsia="Times New Roman" w:hAnsi="Calibri" w:cs="Calibri"/>
                <w:lang w:eastAsia="tr-TR"/>
              </w:rPr>
            </w:pPr>
            <w:r w:rsidRPr="002048A7">
              <w:rPr>
                <w:rFonts w:ascii="Calibri" w:eastAsia="Times New Roman" w:hAnsi="Calibri" w:cs="Calibri"/>
                <w:lang w:eastAsia="tr-TR"/>
              </w:rPr>
              <w:t>430,00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57363F9" w14:textId="77777777" w:rsidR="00D16262" w:rsidRPr="006C0CD4" w:rsidRDefault="00D16262" w:rsidP="00D16262">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0,01</w:t>
            </w:r>
          </w:p>
        </w:tc>
      </w:tr>
      <w:tr w:rsidR="00D16262" w:rsidRPr="002048A7" w14:paraId="21F626E1" w14:textId="77777777" w:rsidTr="00D1626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4E3BF46" w14:textId="77777777" w:rsidR="00D16262" w:rsidRPr="002048A7" w:rsidRDefault="00D16262" w:rsidP="00D16262">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İSTANBUL</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02D9B8D" w14:textId="77777777" w:rsidR="00D16262" w:rsidRPr="002048A7" w:rsidRDefault="00D16262" w:rsidP="00072A80">
            <w:pPr>
              <w:spacing w:after="0" w:line="240" w:lineRule="auto"/>
              <w:jc w:val="right"/>
              <w:rPr>
                <w:rFonts w:ascii="Calibri" w:eastAsia="Times New Roman" w:hAnsi="Calibri" w:cs="Calibri"/>
                <w:lang w:eastAsia="tr-TR"/>
              </w:rPr>
            </w:pPr>
            <w:r w:rsidRPr="00CB72EA">
              <w:t>534.548,75</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0B52FC3" w14:textId="77777777" w:rsidR="00D16262" w:rsidRPr="006C0CD4" w:rsidRDefault="00D16262" w:rsidP="00D16262">
            <w:pPr>
              <w:spacing w:after="0" w:line="240" w:lineRule="auto"/>
              <w:jc w:val="center"/>
              <w:rPr>
                <w:rFonts w:ascii="Calibri" w:eastAsia="Times New Roman" w:hAnsi="Calibri" w:cs="Calibri"/>
                <w:lang w:eastAsia="tr-TR"/>
              </w:rPr>
            </w:pPr>
            <w:r w:rsidRPr="00CB72EA">
              <w:t>9,23</w:t>
            </w:r>
          </w:p>
        </w:tc>
      </w:tr>
      <w:tr w:rsidR="00D16262" w:rsidRPr="002048A7" w14:paraId="2A426987" w14:textId="77777777" w:rsidTr="00D1626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B3E53CF" w14:textId="77777777" w:rsidR="00D16262" w:rsidRPr="002048A7" w:rsidRDefault="00D16262" w:rsidP="00D16262">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İZMİR</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2236BE" w14:textId="77777777" w:rsidR="00D16262" w:rsidRPr="002048A7" w:rsidRDefault="00D16262" w:rsidP="00072A80">
            <w:pPr>
              <w:spacing w:after="0" w:line="240" w:lineRule="auto"/>
              <w:jc w:val="right"/>
              <w:rPr>
                <w:rFonts w:ascii="Calibri" w:eastAsia="Times New Roman" w:hAnsi="Calibri" w:cs="Calibri"/>
                <w:lang w:eastAsia="tr-TR"/>
              </w:rPr>
            </w:pPr>
            <w:r w:rsidRPr="002048A7">
              <w:rPr>
                <w:rFonts w:ascii="Calibri" w:eastAsia="Times New Roman" w:hAnsi="Calibri" w:cs="Calibri"/>
                <w:lang w:eastAsia="tr-TR"/>
              </w:rPr>
              <w:t>461.358,16</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89AEB52" w14:textId="77777777" w:rsidR="00D16262" w:rsidRPr="006C0CD4" w:rsidRDefault="00D16262" w:rsidP="00D16262">
            <w:pPr>
              <w:spacing w:after="0" w:line="240" w:lineRule="auto"/>
              <w:jc w:val="center"/>
              <w:rPr>
                <w:rFonts w:ascii="Calibri" w:eastAsia="Times New Roman" w:hAnsi="Calibri" w:cs="Calibri"/>
                <w:lang w:eastAsia="tr-TR"/>
              </w:rPr>
            </w:pPr>
            <w:r w:rsidRPr="00164F8A">
              <w:rPr>
                <w:rFonts w:ascii="Calibri" w:eastAsia="Times New Roman" w:hAnsi="Calibri" w:cs="Calibri"/>
                <w:lang w:eastAsia="tr-TR"/>
              </w:rPr>
              <w:t>7,96</w:t>
            </w:r>
          </w:p>
        </w:tc>
      </w:tr>
      <w:tr w:rsidR="00D16262" w:rsidRPr="002048A7" w14:paraId="7355E699" w14:textId="77777777" w:rsidTr="00D1626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0D7377C" w14:textId="77777777" w:rsidR="00D16262" w:rsidRPr="002048A7" w:rsidRDefault="00D16262" w:rsidP="00D16262">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KAHRAMANMARAŞ</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7868E9" w14:textId="77777777" w:rsidR="00D16262" w:rsidRPr="002048A7" w:rsidRDefault="00D16262" w:rsidP="00072A80">
            <w:pPr>
              <w:spacing w:after="0" w:line="240" w:lineRule="auto"/>
              <w:jc w:val="right"/>
              <w:rPr>
                <w:rFonts w:ascii="Calibri" w:eastAsia="Times New Roman" w:hAnsi="Calibri" w:cs="Calibri"/>
                <w:lang w:eastAsia="tr-TR"/>
              </w:rPr>
            </w:pPr>
            <w:r w:rsidRPr="002048A7">
              <w:rPr>
                <w:rFonts w:ascii="Calibri" w:eastAsia="Times New Roman" w:hAnsi="Calibri" w:cs="Calibri"/>
                <w:lang w:eastAsia="tr-TR"/>
              </w:rPr>
              <w:t>48,00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5D9CD2" w14:textId="77777777" w:rsidR="00D16262" w:rsidRPr="006C0CD4" w:rsidRDefault="00D16262" w:rsidP="00D16262">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0,00</w:t>
            </w:r>
          </w:p>
        </w:tc>
      </w:tr>
      <w:tr w:rsidR="00D16262" w:rsidRPr="002048A7" w14:paraId="2E1FE4C7" w14:textId="77777777" w:rsidTr="00D1626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17C7245" w14:textId="77777777" w:rsidR="00D16262" w:rsidRPr="002048A7" w:rsidRDefault="00D16262" w:rsidP="00D16262">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KARS</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38901D" w14:textId="77777777" w:rsidR="00D16262" w:rsidRPr="002048A7" w:rsidRDefault="00D16262" w:rsidP="00072A80">
            <w:pPr>
              <w:spacing w:after="0" w:line="240" w:lineRule="auto"/>
              <w:jc w:val="right"/>
              <w:rPr>
                <w:rFonts w:ascii="Calibri" w:eastAsia="Times New Roman" w:hAnsi="Calibri" w:cs="Calibri"/>
                <w:lang w:eastAsia="tr-TR"/>
              </w:rPr>
            </w:pPr>
            <w:r w:rsidRPr="002048A7">
              <w:rPr>
                <w:rFonts w:ascii="Calibri" w:eastAsia="Times New Roman" w:hAnsi="Calibri" w:cs="Calibri"/>
                <w:lang w:eastAsia="tr-TR"/>
              </w:rPr>
              <w:t>47,00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AFD9A94" w14:textId="77777777" w:rsidR="00D16262" w:rsidRPr="006C0CD4" w:rsidRDefault="00D16262" w:rsidP="00D16262">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0,00</w:t>
            </w:r>
          </w:p>
        </w:tc>
      </w:tr>
      <w:tr w:rsidR="00D16262" w:rsidRPr="002048A7" w14:paraId="7C1292A8" w14:textId="77777777" w:rsidTr="00D1626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89864F0" w14:textId="77777777" w:rsidR="00D16262" w:rsidRPr="002048A7" w:rsidRDefault="00D16262" w:rsidP="00D16262">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KASTAMONU</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964F8F8" w14:textId="77777777" w:rsidR="00D16262" w:rsidRPr="002048A7" w:rsidRDefault="00D16262" w:rsidP="00072A80">
            <w:pPr>
              <w:spacing w:after="0" w:line="240" w:lineRule="auto"/>
              <w:jc w:val="right"/>
              <w:rPr>
                <w:rFonts w:ascii="Calibri" w:eastAsia="Times New Roman" w:hAnsi="Calibri" w:cs="Calibri"/>
                <w:lang w:eastAsia="tr-TR"/>
              </w:rPr>
            </w:pPr>
            <w:r w:rsidRPr="002048A7">
              <w:rPr>
                <w:rFonts w:ascii="Calibri" w:eastAsia="Times New Roman" w:hAnsi="Calibri" w:cs="Calibri"/>
                <w:lang w:eastAsia="tr-TR"/>
              </w:rPr>
              <w:t>49,00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B01B43" w14:textId="77777777" w:rsidR="00D16262" w:rsidRPr="006C0CD4" w:rsidRDefault="00D16262" w:rsidP="00D16262">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0,00</w:t>
            </w:r>
          </w:p>
        </w:tc>
      </w:tr>
      <w:tr w:rsidR="00D16262" w:rsidRPr="002048A7" w14:paraId="01C5DAFC" w14:textId="77777777" w:rsidTr="00D1626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F913582" w14:textId="77777777" w:rsidR="00D16262" w:rsidRPr="002048A7" w:rsidRDefault="00D16262" w:rsidP="00D16262">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KAYSERİ</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0BEAD72" w14:textId="77777777" w:rsidR="00D16262" w:rsidRPr="002048A7" w:rsidRDefault="00D16262" w:rsidP="00072A80">
            <w:pPr>
              <w:spacing w:after="0" w:line="240" w:lineRule="auto"/>
              <w:jc w:val="right"/>
              <w:rPr>
                <w:rFonts w:ascii="Calibri" w:eastAsia="Times New Roman" w:hAnsi="Calibri" w:cs="Calibri"/>
                <w:lang w:eastAsia="tr-TR"/>
              </w:rPr>
            </w:pPr>
            <w:r w:rsidRPr="002048A7">
              <w:rPr>
                <w:rFonts w:ascii="Calibri" w:eastAsia="Times New Roman" w:hAnsi="Calibri" w:cs="Calibri"/>
                <w:lang w:eastAsia="tr-TR"/>
              </w:rPr>
              <w:t>1.013,00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E10B393" w14:textId="77777777" w:rsidR="00D16262" w:rsidRPr="006C0CD4" w:rsidRDefault="00D16262" w:rsidP="00D16262">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0,02</w:t>
            </w:r>
          </w:p>
        </w:tc>
      </w:tr>
      <w:tr w:rsidR="00D16262" w:rsidRPr="002048A7" w14:paraId="18556B4D" w14:textId="77777777" w:rsidTr="00D1626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E6E9B17" w14:textId="77777777" w:rsidR="00D16262" w:rsidRPr="002048A7" w:rsidRDefault="00D16262" w:rsidP="00D16262">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KIRIKKALE</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44074E9" w14:textId="77777777" w:rsidR="00D16262" w:rsidRPr="002048A7" w:rsidRDefault="00D16262" w:rsidP="00072A80">
            <w:pPr>
              <w:spacing w:after="0" w:line="240" w:lineRule="auto"/>
              <w:jc w:val="right"/>
              <w:rPr>
                <w:rFonts w:ascii="Calibri" w:eastAsia="Times New Roman" w:hAnsi="Calibri" w:cs="Calibri"/>
                <w:lang w:eastAsia="tr-TR"/>
              </w:rPr>
            </w:pPr>
            <w:r w:rsidRPr="006215E7">
              <w:t>142.926,00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7D1D7EE" w14:textId="77777777" w:rsidR="00D16262" w:rsidRPr="006C0CD4" w:rsidRDefault="00D16262" w:rsidP="00D16262">
            <w:pPr>
              <w:spacing w:after="0" w:line="240" w:lineRule="auto"/>
              <w:jc w:val="center"/>
              <w:rPr>
                <w:rFonts w:ascii="Calibri" w:eastAsia="Times New Roman" w:hAnsi="Calibri" w:cs="Calibri"/>
                <w:lang w:eastAsia="tr-TR"/>
              </w:rPr>
            </w:pPr>
            <w:r w:rsidRPr="006215E7">
              <w:t>2,47</w:t>
            </w:r>
          </w:p>
        </w:tc>
      </w:tr>
      <w:tr w:rsidR="00D16262" w:rsidRPr="002048A7" w14:paraId="416B7D7A" w14:textId="77777777" w:rsidTr="00D1626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0023866" w14:textId="77777777" w:rsidR="00D16262" w:rsidRPr="002048A7" w:rsidRDefault="00D16262" w:rsidP="00D16262">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KOCAELİ</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03A6937" w14:textId="77777777" w:rsidR="00D16262" w:rsidRPr="002048A7" w:rsidRDefault="00D16262" w:rsidP="00072A80">
            <w:pPr>
              <w:spacing w:after="0" w:line="240" w:lineRule="auto"/>
              <w:jc w:val="right"/>
              <w:rPr>
                <w:rFonts w:ascii="Calibri" w:eastAsia="Times New Roman" w:hAnsi="Calibri" w:cs="Calibri"/>
                <w:lang w:eastAsia="tr-TR"/>
              </w:rPr>
            </w:pPr>
            <w:r w:rsidRPr="00063FD8">
              <w:t>836.692,00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BE31363" w14:textId="77777777" w:rsidR="00D16262" w:rsidRPr="006C0CD4" w:rsidRDefault="00D16262" w:rsidP="00D16262">
            <w:pPr>
              <w:spacing w:after="0" w:line="240" w:lineRule="auto"/>
              <w:jc w:val="center"/>
              <w:rPr>
                <w:rFonts w:ascii="Calibri" w:eastAsia="Times New Roman" w:hAnsi="Calibri" w:cs="Calibri"/>
                <w:lang w:eastAsia="tr-TR"/>
              </w:rPr>
            </w:pPr>
            <w:r w:rsidRPr="00063FD8">
              <w:t>14,44</w:t>
            </w:r>
          </w:p>
        </w:tc>
      </w:tr>
      <w:tr w:rsidR="00D16262" w:rsidRPr="002048A7" w14:paraId="233AF429" w14:textId="77777777" w:rsidTr="00D1626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3B99A38" w14:textId="77777777" w:rsidR="00D16262" w:rsidRPr="002048A7" w:rsidRDefault="00D16262" w:rsidP="00D16262">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KONYA</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25E3B93" w14:textId="77777777" w:rsidR="00D16262" w:rsidRPr="002048A7" w:rsidRDefault="00D16262" w:rsidP="00072A80">
            <w:pPr>
              <w:spacing w:after="0" w:line="240" w:lineRule="auto"/>
              <w:jc w:val="right"/>
              <w:rPr>
                <w:rFonts w:ascii="Calibri" w:eastAsia="Times New Roman" w:hAnsi="Calibri" w:cs="Calibri"/>
                <w:lang w:eastAsia="tr-TR"/>
              </w:rPr>
            </w:pPr>
            <w:r w:rsidRPr="002048A7">
              <w:rPr>
                <w:rFonts w:ascii="Calibri" w:eastAsia="Times New Roman" w:hAnsi="Calibri" w:cs="Calibri"/>
                <w:lang w:eastAsia="tr-TR"/>
              </w:rPr>
              <w:t>254,00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203917" w14:textId="77777777" w:rsidR="00D16262" w:rsidRPr="006C0CD4" w:rsidRDefault="00D16262" w:rsidP="00D16262">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0,00</w:t>
            </w:r>
          </w:p>
        </w:tc>
      </w:tr>
      <w:tr w:rsidR="00D16262" w:rsidRPr="002048A7" w14:paraId="0EE90477" w14:textId="77777777" w:rsidTr="00D1626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7B58357" w14:textId="77777777" w:rsidR="00D16262" w:rsidRPr="002048A7" w:rsidRDefault="00D16262" w:rsidP="00D16262">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KÜTAHYA</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7C6E27" w14:textId="77777777" w:rsidR="00D16262" w:rsidRPr="002048A7" w:rsidRDefault="00D16262" w:rsidP="00072A80">
            <w:pPr>
              <w:spacing w:after="0" w:line="240" w:lineRule="auto"/>
              <w:jc w:val="right"/>
              <w:rPr>
                <w:rFonts w:ascii="Calibri" w:eastAsia="Times New Roman" w:hAnsi="Calibri" w:cs="Calibri"/>
                <w:lang w:eastAsia="tr-TR"/>
              </w:rPr>
            </w:pPr>
            <w:r w:rsidRPr="002048A7">
              <w:rPr>
                <w:rFonts w:ascii="Calibri" w:eastAsia="Times New Roman" w:hAnsi="Calibri" w:cs="Calibri"/>
                <w:lang w:eastAsia="tr-TR"/>
              </w:rPr>
              <w:t>49,00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59ACE4C" w14:textId="77777777" w:rsidR="00D16262" w:rsidRPr="006C0CD4" w:rsidRDefault="00D16262" w:rsidP="00D16262">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0,00</w:t>
            </w:r>
          </w:p>
        </w:tc>
      </w:tr>
      <w:tr w:rsidR="00D16262" w:rsidRPr="002048A7" w14:paraId="55A832C9" w14:textId="77777777" w:rsidTr="00D1626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C5D0E51" w14:textId="77777777" w:rsidR="00D16262" w:rsidRPr="002048A7" w:rsidRDefault="00D16262" w:rsidP="00D16262">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MALATYA</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8FAFF09" w14:textId="77777777" w:rsidR="00D16262" w:rsidRPr="002048A7" w:rsidRDefault="00D16262" w:rsidP="00072A80">
            <w:pPr>
              <w:spacing w:after="0" w:line="240" w:lineRule="auto"/>
              <w:jc w:val="right"/>
              <w:rPr>
                <w:rFonts w:ascii="Calibri" w:eastAsia="Times New Roman" w:hAnsi="Calibri" w:cs="Calibri"/>
                <w:lang w:eastAsia="tr-TR"/>
              </w:rPr>
            </w:pPr>
            <w:r w:rsidRPr="002048A7">
              <w:rPr>
                <w:rFonts w:ascii="Calibri" w:eastAsia="Times New Roman" w:hAnsi="Calibri" w:cs="Calibri"/>
                <w:lang w:eastAsia="tr-TR"/>
              </w:rPr>
              <w:t>5.030,00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016CC4C" w14:textId="77777777" w:rsidR="00D16262" w:rsidRPr="006C0CD4" w:rsidRDefault="00D16262" w:rsidP="00D16262">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0,09</w:t>
            </w:r>
          </w:p>
        </w:tc>
      </w:tr>
      <w:tr w:rsidR="00D16262" w:rsidRPr="002048A7" w14:paraId="1E70802F" w14:textId="77777777" w:rsidTr="00D1626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0B1252F" w14:textId="77777777" w:rsidR="00D16262" w:rsidRPr="002048A7" w:rsidRDefault="00D16262" w:rsidP="00D16262">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MARDİN</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6EC3F96" w14:textId="77777777" w:rsidR="00D16262" w:rsidRPr="002048A7" w:rsidRDefault="00D16262" w:rsidP="00072A80">
            <w:pPr>
              <w:spacing w:after="0" w:line="240" w:lineRule="auto"/>
              <w:jc w:val="right"/>
              <w:rPr>
                <w:rFonts w:ascii="Calibri" w:eastAsia="Times New Roman" w:hAnsi="Calibri" w:cs="Calibri"/>
                <w:lang w:eastAsia="tr-TR"/>
              </w:rPr>
            </w:pPr>
            <w:r w:rsidRPr="002048A7">
              <w:rPr>
                <w:rFonts w:ascii="Calibri" w:eastAsia="Times New Roman" w:hAnsi="Calibri" w:cs="Calibri"/>
                <w:lang w:eastAsia="tr-TR"/>
              </w:rPr>
              <w:t>94,00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0502A39" w14:textId="77777777" w:rsidR="00D16262" w:rsidRPr="006C0CD4" w:rsidRDefault="00D16262" w:rsidP="00D16262">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0,00</w:t>
            </w:r>
          </w:p>
        </w:tc>
      </w:tr>
      <w:tr w:rsidR="00D16262" w:rsidRPr="002048A7" w14:paraId="77EF4913" w14:textId="77777777" w:rsidTr="00D1626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CF25CBF" w14:textId="77777777" w:rsidR="00D16262" w:rsidRPr="002048A7" w:rsidRDefault="00D16262" w:rsidP="00D16262">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MERSİN</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8DCF329" w14:textId="77777777" w:rsidR="00D16262" w:rsidRPr="002048A7" w:rsidRDefault="00D16262" w:rsidP="00072A80">
            <w:pPr>
              <w:spacing w:after="0" w:line="240" w:lineRule="auto"/>
              <w:jc w:val="right"/>
              <w:rPr>
                <w:rFonts w:ascii="Calibri" w:eastAsia="Times New Roman" w:hAnsi="Calibri" w:cs="Calibri"/>
                <w:lang w:eastAsia="tr-TR"/>
              </w:rPr>
            </w:pPr>
            <w:r w:rsidRPr="0096113D">
              <w:t>1.903.468,00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F695BB0" w14:textId="77777777" w:rsidR="00D16262" w:rsidRPr="006C0CD4" w:rsidRDefault="00D16262" w:rsidP="00D16262">
            <w:pPr>
              <w:spacing w:after="0" w:line="240" w:lineRule="auto"/>
              <w:jc w:val="center"/>
              <w:rPr>
                <w:rFonts w:ascii="Calibri" w:eastAsia="Times New Roman" w:hAnsi="Calibri" w:cs="Calibri"/>
                <w:lang w:eastAsia="tr-TR"/>
              </w:rPr>
            </w:pPr>
            <w:r w:rsidRPr="0096113D">
              <w:t>32,85</w:t>
            </w:r>
          </w:p>
        </w:tc>
      </w:tr>
      <w:tr w:rsidR="00D16262" w:rsidRPr="002048A7" w14:paraId="6C66FB6B" w14:textId="77777777" w:rsidTr="00D1626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1D34B73" w14:textId="77777777" w:rsidR="00D16262" w:rsidRPr="002048A7" w:rsidRDefault="00D16262" w:rsidP="00D16262">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MUĞLA</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20243D6" w14:textId="77777777" w:rsidR="00D16262" w:rsidRPr="002048A7" w:rsidRDefault="00D16262" w:rsidP="00072A80">
            <w:pPr>
              <w:spacing w:after="0" w:line="240" w:lineRule="auto"/>
              <w:jc w:val="right"/>
              <w:rPr>
                <w:rFonts w:ascii="Calibri" w:eastAsia="Times New Roman" w:hAnsi="Calibri" w:cs="Calibri"/>
                <w:lang w:eastAsia="tr-TR"/>
              </w:rPr>
            </w:pPr>
            <w:r w:rsidRPr="0096113D">
              <w:t>24.936,13</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BF12009" w14:textId="77777777" w:rsidR="00D16262" w:rsidRPr="006C0CD4" w:rsidRDefault="00D16262" w:rsidP="00D16262">
            <w:pPr>
              <w:spacing w:after="0" w:line="240" w:lineRule="auto"/>
              <w:jc w:val="center"/>
              <w:rPr>
                <w:rFonts w:ascii="Calibri" w:eastAsia="Times New Roman" w:hAnsi="Calibri" w:cs="Calibri"/>
                <w:lang w:eastAsia="tr-TR"/>
              </w:rPr>
            </w:pPr>
            <w:r w:rsidRPr="0096113D">
              <w:t>0,43</w:t>
            </w:r>
          </w:p>
        </w:tc>
      </w:tr>
      <w:tr w:rsidR="00D16262" w:rsidRPr="002048A7" w14:paraId="704E432B" w14:textId="77777777" w:rsidTr="00D1626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5C82557" w14:textId="77777777" w:rsidR="00D16262" w:rsidRPr="002048A7" w:rsidRDefault="00D16262" w:rsidP="00D16262">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MUŞ</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A4D62FB" w14:textId="77777777" w:rsidR="00D16262" w:rsidRPr="002048A7" w:rsidRDefault="00D16262" w:rsidP="00072A80">
            <w:pPr>
              <w:spacing w:after="0" w:line="240" w:lineRule="auto"/>
              <w:jc w:val="right"/>
              <w:rPr>
                <w:rFonts w:ascii="Calibri" w:eastAsia="Times New Roman" w:hAnsi="Calibri" w:cs="Calibri"/>
                <w:lang w:eastAsia="tr-TR"/>
              </w:rPr>
            </w:pPr>
            <w:r w:rsidRPr="002048A7">
              <w:rPr>
                <w:rFonts w:ascii="Calibri" w:eastAsia="Times New Roman" w:hAnsi="Calibri" w:cs="Calibri"/>
                <w:lang w:eastAsia="tr-TR"/>
              </w:rPr>
              <w:t>48,00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DB11FE" w14:textId="77777777" w:rsidR="00D16262" w:rsidRPr="006C0CD4" w:rsidRDefault="00D16262" w:rsidP="00D16262">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0,00</w:t>
            </w:r>
          </w:p>
        </w:tc>
      </w:tr>
      <w:tr w:rsidR="00D16262" w:rsidRPr="002048A7" w14:paraId="10833F71" w14:textId="77777777" w:rsidTr="00D1626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573B93E" w14:textId="77777777" w:rsidR="00D16262" w:rsidRPr="002048A7" w:rsidRDefault="00D16262" w:rsidP="00D16262">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NEVŞEHİR</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96334D" w14:textId="77777777" w:rsidR="00D16262" w:rsidRPr="002048A7" w:rsidRDefault="00D16262" w:rsidP="00072A80">
            <w:pPr>
              <w:spacing w:after="0" w:line="240" w:lineRule="auto"/>
              <w:jc w:val="right"/>
              <w:rPr>
                <w:rFonts w:ascii="Calibri" w:eastAsia="Times New Roman" w:hAnsi="Calibri" w:cs="Calibri"/>
                <w:lang w:eastAsia="tr-TR"/>
              </w:rPr>
            </w:pPr>
            <w:r w:rsidRPr="002048A7">
              <w:rPr>
                <w:rFonts w:ascii="Calibri" w:eastAsia="Times New Roman" w:hAnsi="Calibri" w:cs="Calibri"/>
                <w:lang w:eastAsia="tr-TR"/>
              </w:rPr>
              <w:t>1.091,00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43AD827" w14:textId="77777777" w:rsidR="00D16262" w:rsidRPr="006C0CD4" w:rsidRDefault="00D16262" w:rsidP="00D16262">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0,02</w:t>
            </w:r>
          </w:p>
        </w:tc>
      </w:tr>
      <w:tr w:rsidR="00D16262" w:rsidRPr="002048A7" w14:paraId="3D8D5411" w14:textId="77777777" w:rsidTr="00D1626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6257B7D" w14:textId="77777777" w:rsidR="00D16262" w:rsidRPr="002048A7" w:rsidRDefault="00D16262" w:rsidP="00D16262">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ORDU</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6FF2F0C" w14:textId="77777777" w:rsidR="00D16262" w:rsidRPr="002048A7" w:rsidRDefault="00D16262" w:rsidP="00072A80">
            <w:pPr>
              <w:spacing w:after="0" w:line="240" w:lineRule="auto"/>
              <w:jc w:val="right"/>
              <w:rPr>
                <w:rFonts w:ascii="Calibri" w:eastAsia="Times New Roman" w:hAnsi="Calibri" w:cs="Calibri"/>
                <w:lang w:eastAsia="tr-TR"/>
              </w:rPr>
            </w:pPr>
            <w:r w:rsidRPr="002048A7">
              <w:rPr>
                <w:rFonts w:ascii="Calibri" w:eastAsia="Times New Roman" w:hAnsi="Calibri" w:cs="Calibri"/>
                <w:lang w:eastAsia="tr-TR"/>
              </w:rPr>
              <w:t>94,00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BCA185" w14:textId="77777777" w:rsidR="00D16262" w:rsidRPr="006C0CD4" w:rsidRDefault="00D16262" w:rsidP="00D16262">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0,00</w:t>
            </w:r>
          </w:p>
        </w:tc>
      </w:tr>
      <w:tr w:rsidR="00D16262" w:rsidRPr="002048A7" w14:paraId="5E22A6EE" w14:textId="77777777" w:rsidTr="00D1626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1DEE79D" w14:textId="77777777" w:rsidR="00D16262" w:rsidRPr="002048A7" w:rsidRDefault="00D16262" w:rsidP="00D16262">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RİZE</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F687144" w14:textId="77777777" w:rsidR="00D16262" w:rsidRPr="002048A7" w:rsidRDefault="00D16262" w:rsidP="00072A80">
            <w:pPr>
              <w:spacing w:after="0" w:line="240" w:lineRule="auto"/>
              <w:jc w:val="right"/>
              <w:rPr>
                <w:rFonts w:ascii="Calibri" w:eastAsia="Times New Roman" w:hAnsi="Calibri" w:cs="Calibri"/>
                <w:lang w:eastAsia="tr-TR"/>
              </w:rPr>
            </w:pPr>
            <w:r w:rsidRPr="002048A7">
              <w:rPr>
                <w:rFonts w:ascii="Calibri" w:eastAsia="Times New Roman" w:hAnsi="Calibri" w:cs="Calibri"/>
                <w:lang w:eastAsia="tr-TR"/>
              </w:rPr>
              <w:t>140,00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4CE01AA" w14:textId="77777777" w:rsidR="00D16262" w:rsidRPr="006C0CD4" w:rsidRDefault="00D16262" w:rsidP="00D16262">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0,00</w:t>
            </w:r>
          </w:p>
        </w:tc>
      </w:tr>
      <w:tr w:rsidR="00D16262" w:rsidRPr="002048A7" w14:paraId="50478402" w14:textId="77777777" w:rsidTr="00D1626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26ADFEF" w14:textId="77777777" w:rsidR="00D16262" w:rsidRPr="002048A7" w:rsidRDefault="00D16262" w:rsidP="00D16262">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SAMSUN</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91DCE1C" w14:textId="77777777" w:rsidR="00D16262" w:rsidRPr="002048A7" w:rsidRDefault="00D16262" w:rsidP="00072A80">
            <w:pPr>
              <w:spacing w:after="0" w:line="240" w:lineRule="auto"/>
              <w:jc w:val="right"/>
              <w:rPr>
                <w:rFonts w:ascii="Calibri" w:eastAsia="Times New Roman" w:hAnsi="Calibri" w:cs="Calibri"/>
                <w:lang w:eastAsia="tr-TR"/>
              </w:rPr>
            </w:pPr>
            <w:r w:rsidRPr="007E60FE">
              <w:t>196.489,00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778CC6E" w14:textId="77777777" w:rsidR="00D16262" w:rsidRPr="006C0CD4" w:rsidRDefault="00D16262" w:rsidP="00D16262">
            <w:pPr>
              <w:spacing w:after="0" w:line="240" w:lineRule="auto"/>
              <w:jc w:val="center"/>
              <w:rPr>
                <w:rFonts w:ascii="Calibri" w:eastAsia="Times New Roman" w:hAnsi="Calibri" w:cs="Calibri"/>
                <w:lang w:eastAsia="tr-TR"/>
              </w:rPr>
            </w:pPr>
            <w:r w:rsidRPr="007E60FE">
              <w:t>3,39</w:t>
            </w:r>
          </w:p>
        </w:tc>
      </w:tr>
      <w:tr w:rsidR="00D16262" w:rsidRPr="002048A7" w14:paraId="0C3E20BB" w14:textId="77777777" w:rsidTr="00D1626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2A017B7" w14:textId="77777777" w:rsidR="00D16262" w:rsidRPr="002048A7" w:rsidRDefault="00D16262" w:rsidP="00D16262">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SİİRT</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2BAC343" w14:textId="77777777" w:rsidR="00D16262" w:rsidRPr="002048A7" w:rsidRDefault="00D16262" w:rsidP="00072A80">
            <w:pPr>
              <w:spacing w:after="0" w:line="240" w:lineRule="auto"/>
              <w:jc w:val="right"/>
              <w:rPr>
                <w:rFonts w:ascii="Calibri" w:eastAsia="Times New Roman" w:hAnsi="Calibri" w:cs="Calibri"/>
                <w:lang w:eastAsia="tr-TR"/>
              </w:rPr>
            </w:pPr>
            <w:r w:rsidRPr="002048A7">
              <w:rPr>
                <w:rFonts w:ascii="Calibri" w:eastAsia="Times New Roman" w:hAnsi="Calibri" w:cs="Calibri"/>
                <w:lang w:eastAsia="tr-TR"/>
              </w:rPr>
              <w:t>47,00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E1BDE0" w14:textId="77777777" w:rsidR="00D16262" w:rsidRPr="006C0CD4" w:rsidRDefault="00D16262" w:rsidP="00D16262">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0,00</w:t>
            </w:r>
          </w:p>
        </w:tc>
      </w:tr>
      <w:tr w:rsidR="00D16262" w:rsidRPr="002048A7" w14:paraId="36716F39" w14:textId="77777777" w:rsidTr="00D1626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67A5E0E" w14:textId="77777777" w:rsidR="00D16262" w:rsidRPr="002048A7" w:rsidRDefault="00D16262" w:rsidP="00D16262">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SİNOP</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F771ACC" w14:textId="77777777" w:rsidR="00D16262" w:rsidRPr="002048A7" w:rsidRDefault="00D16262" w:rsidP="00072A80">
            <w:pPr>
              <w:spacing w:after="0" w:line="240" w:lineRule="auto"/>
              <w:jc w:val="right"/>
              <w:rPr>
                <w:rFonts w:ascii="Calibri" w:eastAsia="Times New Roman" w:hAnsi="Calibri" w:cs="Calibri"/>
                <w:lang w:eastAsia="tr-TR"/>
              </w:rPr>
            </w:pPr>
            <w:r w:rsidRPr="002048A7">
              <w:rPr>
                <w:rFonts w:ascii="Calibri" w:eastAsia="Times New Roman" w:hAnsi="Calibri" w:cs="Calibri"/>
                <w:lang w:eastAsia="tr-TR"/>
              </w:rPr>
              <w:t>49,00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74BEA89" w14:textId="77777777" w:rsidR="00D16262" w:rsidRPr="006C0CD4" w:rsidRDefault="00D16262" w:rsidP="00D16262">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0,00</w:t>
            </w:r>
          </w:p>
        </w:tc>
      </w:tr>
      <w:tr w:rsidR="00D16262" w:rsidRPr="002048A7" w14:paraId="1D756BBC" w14:textId="77777777" w:rsidTr="00D1626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8C4B573" w14:textId="77777777" w:rsidR="00D16262" w:rsidRPr="002048A7" w:rsidRDefault="00D16262" w:rsidP="00D16262">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SİVAS</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D71CB26" w14:textId="77777777" w:rsidR="00D16262" w:rsidRPr="002048A7" w:rsidRDefault="00D16262" w:rsidP="00072A80">
            <w:pPr>
              <w:spacing w:after="0" w:line="240" w:lineRule="auto"/>
              <w:jc w:val="right"/>
              <w:rPr>
                <w:rFonts w:ascii="Calibri" w:eastAsia="Times New Roman" w:hAnsi="Calibri" w:cs="Calibri"/>
                <w:lang w:eastAsia="tr-TR"/>
              </w:rPr>
            </w:pPr>
            <w:r w:rsidRPr="002048A7">
              <w:rPr>
                <w:rFonts w:ascii="Calibri" w:eastAsia="Times New Roman" w:hAnsi="Calibri" w:cs="Calibri"/>
                <w:lang w:eastAsia="tr-TR"/>
              </w:rPr>
              <w:t>49,00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8B70DB" w14:textId="77777777" w:rsidR="00D16262" w:rsidRPr="006C0CD4" w:rsidRDefault="00D16262" w:rsidP="00D16262">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0,00</w:t>
            </w:r>
          </w:p>
        </w:tc>
      </w:tr>
      <w:tr w:rsidR="00D16262" w:rsidRPr="002048A7" w14:paraId="39A15D6A" w14:textId="77777777" w:rsidTr="00D1626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CB2CD89" w14:textId="77777777" w:rsidR="00D16262" w:rsidRPr="002048A7" w:rsidRDefault="00D16262" w:rsidP="00D16262">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ŞANLIURFA</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283CA20" w14:textId="77777777" w:rsidR="00D16262" w:rsidRPr="002048A7" w:rsidRDefault="00D16262" w:rsidP="00072A80">
            <w:pPr>
              <w:spacing w:after="0" w:line="240" w:lineRule="auto"/>
              <w:jc w:val="right"/>
              <w:rPr>
                <w:rFonts w:ascii="Calibri" w:eastAsia="Times New Roman" w:hAnsi="Calibri" w:cs="Calibri"/>
                <w:lang w:eastAsia="tr-TR"/>
              </w:rPr>
            </w:pPr>
            <w:r w:rsidRPr="002048A7">
              <w:rPr>
                <w:rFonts w:ascii="Calibri" w:eastAsia="Times New Roman" w:hAnsi="Calibri" w:cs="Calibri"/>
                <w:lang w:eastAsia="tr-TR"/>
              </w:rPr>
              <w:t>98,00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4EE00CD" w14:textId="77777777" w:rsidR="00D16262" w:rsidRPr="006C0CD4" w:rsidRDefault="00D16262" w:rsidP="00D16262">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0,00</w:t>
            </w:r>
          </w:p>
        </w:tc>
      </w:tr>
      <w:tr w:rsidR="00D16262" w:rsidRPr="002048A7" w14:paraId="598BDF72" w14:textId="77777777" w:rsidTr="00D1626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E897409" w14:textId="77777777" w:rsidR="00D16262" w:rsidRPr="002048A7" w:rsidRDefault="00D16262" w:rsidP="00D16262">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ŞIRNAK</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A3576E0" w14:textId="77777777" w:rsidR="00D16262" w:rsidRPr="002048A7" w:rsidRDefault="00D16262" w:rsidP="00072A80">
            <w:pPr>
              <w:spacing w:after="0" w:line="240" w:lineRule="auto"/>
              <w:jc w:val="right"/>
              <w:rPr>
                <w:rFonts w:ascii="Calibri" w:eastAsia="Times New Roman" w:hAnsi="Calibri" w:cs="Calibri"/>
                <w:lang w:eastAsia="tr-TR"/>
              </w:rPr>
            </w:pPr>
            <w:r w:rsidRPr="002048A7">
              <w:rPr>
                <w:rFonts w:ascii="Calibri" w:eastAsia="Times New Roman" w:hAnsi="Calibri" w:cs="Calibri"/>
                <w:lang w:eastAsia="tr-TR"/>
              </w:rPr>
              <w:t>49,00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01E6815" w14:textId="77777777" w:rsidR="00D16262" w:rsidRPr="006C0CD4" w:rsidRDefault="00D16262" w:rsidP="00D16262">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0,00</w:t>
            </w:r>
          </w:p>
        </w:tc>
      </w:tr>
      <w:tr w:rsidR="00D16262" w:rsidRPr="002048A7" w14:paraId="300CF5F3" w14:textId="77777777" w:rsidTr="00D1626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607EEF4" w14:textId="77777777" w:rsidR="00D16262" w:rsidRPr="002048A7" w:rsidRDefault="00D16262" w:rsidP="00D16262">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TEKİRDAĞ</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966FEF9" w14:textId="77777777" w:rsidR="00D16262" w:rsidRPr="002048A7" w:rsidRDefault="00D16262" w:rsidP="00072A80">
            <w:pPr>
              <w:spacing w:after="0" w:line="240" w:lineRule="auto"/>
              <w:jc w:val="right"/>
              <w:rPr>
                <w:rFonts w:ascii="Calibri" w:eastAsia="Times New Roman" w:hAnsi="Calibri" w:cs="Calibri"/>
                <w:lang w:eastAsia="tr-TR"/>
              </w:rPr>
            </w:pPr>
            <w:r w:rsidRPr="00AA6182">
              <w:t>737.413,00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F508BB8" w14:textId="77777777" w:rsidR="00D16262" w:rsidRPr="006C0CD4" w:rsidRDefault="00D16262" w:rsidP="00D16262">
            <w:pPr>
              <w:spacing w:after="0" w:line="240" w:lineRule="auto"/>
              <w:jc w:val="center"/>
              <w:rPr>
                <w:rFonts w:ascii="Calibri" w:eastAsia="Times New Roman" w:hAnsi="Calibri" w:cs="Calibri"/>
                <w:lang w:eastAsia="tr-TR"/>
              </w:rPr>
            </w:pPr>
            <w:r w:rsidRPr="00AA6182">
              <w:t>12,73</w:t>
            </w:r>
          </w:p>
        </w:tc>
      </w:tr>
      <w:tr w:rsidR="00D16262" w:rsidRPr="002048A7" w14:paraId="4F2D22DD" w14:textId="77777777" w:rsidTr="00D1626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C443886" w14:textId="77777777" w:rsidR="00D16262" w:rsidRPr="002048A7" w:rsidRDefault="00D16262" w:rsidP="00D16262">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TOKAT</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39774C" w14:textId="77777777" w:rsidR="00D16262" w:rsidRPr="002048A7" w:rsidRDefault="00D16262" w:rsidP="00072A80">
            <w:pPr>
              <w:spacing w:after="0" w:line="240" w:lineRule="auto"/>
              <w:jc w:val="right"/>
              <w:rPr>
                <w:rFonts w:ascii="Calibri" w:eastAsia="Times New Roman" w:hAnsi="Calibri" w:cs="Calibri"/>
                <w:lang w:eastAsia="tr-TR"/>
              </w:rPr>
            </w:pPr>
            <w:r w:rsidRPr="002048A7">
              <w:rPr>
                <w:rFonts w:ascii="Calibri" w:eastAsia="Times New Roman" w:hAnsi="Calibri" w:cs="Calibri"/>
                <w:lang w:eastAsia="tr-TR"/>
              </w:rPr>
              <w:t>48,00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7A279F3" w14:textId="77777777" w:rsidR="00D16262" w:rsidRPr="006C0CD4" w:rsidRDefault="00D16262" w:rsidP="00D16262">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0,00</w:t>
            </w:r>
          </w:p>
        </w:tc>
      </w:tr>
      <w:tr w:rsidR="00D16262" w:rsidRPr="002048A7" w14:paraId="48612599" w14:textId="77777777" w:rsidTr="00D1626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19F4BFC" w14:textId="77777777" w:rsidR="00D16262" w:rsidRPr="002048A7" w:rsidRDefault="00D16262" w:rsidP="00D16262">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TRABZON</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732B1E7" w14:textId="77777777" w:rsidR="00D16262" w:rsidRPr="002048A7" w:rsidRDefault="00D16262" w:rsidP="00072A80">
            <w:pPr>
              <w:spacing w:after="0" w:line="240" w:lineRule="auto"/>
              <w:jc w:val="right"/>
              <w:rPr>
                <w:rFonts w:ascii="Calibri" w:eastAsia="Times New Roman" w:hAnsi="Calibri" w:cs="Calibri"/>
                <w:lang w:eastAsia="tr-TR"/>
              </w:rPr>
            </w:pPr>
            <w:r w:rsidRPr="00113F3F">
              <w:t>145.606,00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EDFBCF7" w14:textId="77777777" w:rsidR="00D16262" w:rsidRPr="006C0CD4" w:rsidRDefault="00D16262" w:rsidP="00D16262">
            <w:pPr>
              <w:spacing w:after="0" w:line="240" w:lineRule="auto"/>
              <w:jc w:val="center"/>
              <w:rPr>
                <w:rFonts w:ascii="Calibri" w:eastAsia="Times New Roman" w:hAnsi="Calibri" w:cs="Calibri"/>
                <w:lang w:eastAsia="tr-TR"/>
              </w:rPr>
            </w:pPr>
            <w:r w:rsidRPr="00113F3F">
              <w:t>2,51</w:t>
            </w:r>
          </w:p>
        </w:tc>
      </w:tr>
      <w:tr w:rsidR="00D16262" w:rsidRPr="002048A7" w14:paraId="1B54666A" w14:textId="77777777" w:rsidTr="00D1626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1EC3E90" w14:textId="77777777" w:rsidR="00D16262" w:rsidRPr="002048A7" w:rsidRDefault="00D16262" w:rsidP="00D16262">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UŞAK</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F290E4D" w14:textId="77777777" w:rsidR="00D16262" w:rsidRPr="002048A7" w:rsidRDefault="00D16262" w:rsidP="00072A80">
            <w:pPr>
              <w:spacing w:after="0" w:line="240" w:lineRule="auto"/>
              <w:jc w:val="right"/>
              <w:rPr>
                <w:rFonts w:ascii="Calibri" w:eastAsia="Times New Roman" w:hAnsi="Calibri" w:cs="Calibri"/>
                <w:lang w:eastAsia="tr-TR"/>
              </w:rPr>
            </w:pPr>
            <w:r w:rsidRPr="002048A7">
              <w:rPr>
                <w:rFonts w:ascii="Calibri" w:eastAsia="Times New Roman" w:hAnsi="Calibri" w:cs="Calibri"/>
                <w:lang w:eastAsia="tr-TR"/>
              </w:rPr>
              <w:t>47,00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51680B5" w14:textId="77777777" w:rsidR="00D16262" w:rsidRPr="006C0CD4" w:rsidRDefault="00D16262" w:rsidP="00D16262">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0,00</w:t>
            </w:r>
          </w:p>
        </w:tc>
      </w:tr>
      <w:tr w:rsidR="00D16262" w:rsidRPr="002048A7" w14:paraId="0B605D55" w14:textId="77777777" w:rsidTr="00D1626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FE9AF00" w14:textId="77777777" w:rsidR="00D16262" w:rsidRPr="002048A7" w:rsidRDefault="00D16262" w:rsidP="00D16262">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VAN</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2EB5936" w14:textId="77777777" w:rsidR="00D16262" w:rsidRPr="002048A7" w:rsidRDefault="00D16262" w:rsidP="00072A80">
            <w:pPr>
              <w:spacing w:after="0" w:line="240" w:lineRule="auto"/>
              <w:jc w:val="right"/>
              <w:rPr>
                <w:rFonts w:ascii="Calibri" w:eastAsia="Times New Roman" w:hAnsi="Calibri" w:cs="Calibri"/>
                <w:lang w:eastAsia="tr-TR"/>
              </w:rPr>
            </w:pPr>
            <w:r w:rsidRPr="002048A7">
              <w:rPr>
                <w:rFonts w:ascii="Calibri" w:eastAsia="Times New Roman" w:hAnsi="Calibri" w:cs="Calibri"/>
                <w:lang w:eastAsia="tr-TR"/>
              </w:rPr>
              <w:t>600,00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9CA27A9" w14:textId="77777777" w:rsidR="00D16262" w:rsidRPr="006C0CD4" w:rsidRDefault="00D16262" w:rsidP="00D16262">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0,01</w:t>
            </w:r>
          </w:p>
        </w:tc>
      </w:tr>
      <w:tr w:rsidR="00D16262" w:rsidRPr="002048A7" w14:paraId="35B5B0C6" w14:textId="77777777" w:rsidTr="00D1626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AE93EAE" w14:textId="77777777" w:rsidR="00D16262" w:rsidRPr="002048A7" w:rsidRDefault="00D16262" w:rsidP="00D16262">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ZONGULDAK</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116408D" w14:textId="77777777" w:rsidR="00D16262" w:rsidRPr="002048A7" w:rsidRDefault="00D16262" w:rsidP="00072A80">
            <w:pPr>
              <w:spacing w:after="0" w:line="240" w:lineRule="auto"/>
              <w:jc w:val="right"/>
              <w:rPr>
                <w:rFonts w:ascii="Calibri" w:eastAsia="Times New Roman" w:hAnsi="Calibri" w:cs="Calibri"/>
                <w:lang w:eastAsia="tr-TR"/>
              </w:rPr>
            </w:pPr>
            <w:r w:rsidRPr="002048A7">
              <w:rPr>
                <w:rFonts w:ascii="Calibri" w:eastAsia="Times New Roman" w:hAnsi="Calibri" w:cs="Calibri"/>
                <w:lang w:eastAsia="tr-TR"/>
              </w:rPr>
              <w:t>45,00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DB72290" w14:textId="77777777" w:rsidR="00D16262" w:rsidRPr="006C0CD4" w:rsidRDefault="00D16262" w:rsidP="00D16262">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0,00</w:t>
            </w:r>
          </w:p>
        </w:tc>
      </w:tr>
      <w:tr w:rsidR="00D16262" w:rsidRPr="002048A7" w14:paraId="499DEC69" w14:textId="77777777" w:rsidTr="00D1626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14:paraId="164B7A31" w14:textId="77777777" w:rsidR="00D16262" w:rsidRPr="002048A7" w:rsidRDefault="00D16262" w:rsidP="00D16262">
            <w:pPr>
              <w:spacing w:after="0" w:line="240" w:lineRule="auto"/>
              <w:jc w:val="left"/>
              <w:rPr>
                <w:rFonts w:ascii="Calibri" w:eastAsia="Times New Roman" w:hAnsi="Calibri" w:cs="Calibri"/>
                <w:b/>
                <w:bCs/>
                <w:lang w:eastAsia="tr-TR"/>
              </w:rPr>
            </w:pPr>
            <w:r w:rsidRPr="002048A7">
              <w:rPr>
                <w:rFonts w:ascii="Calibri" w:eastAsia="Times New Roman" w:hAnsi="Calibri" w:cs="Calibri"/>
                <w:b/>
                <w:bCs/>
                <w:lang w:eastAsia="tr-TR"/>
              </w:rPr>
              <w:t>TOPLAM</w:t>
            </w:r>
          </w:p>
        </w:tc>
        <w:tc>
          <w:tcPr>
            <w:tcW w:w="24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14:paraId="689B709B" w14:textId="77777777" w:rsidR="00D16262" w:rsidRPr="002048A7" w:rsidRDefault="00D16262" w:rsidP="00072A80">
            <w:pPr>
              <w:spacing w:after="0" w:line="240" w:lineRule="auto"/>
              <w:jc w:val="right"/>
              <w:rPr>
                <w:rFonts w:ascii="Calibri" w:eastAsia="Times New Roman" w:hAnsi="Calibri" w:cs="Calibri"/>
                <w:b/>
                <w:bCs/>
                <w:lang w:eastAsia="tr-TR"/>
              </w:rPr>
            </w:pPr>
            <w:r w:rsidRPr="00164F8A">
              <w:rPr>
                <w:rFonts w:ascii="Calibri" w:eastAsia="Times New Roman" w:hAnsi="Calibri" w:cs="Calibri"/>
                <w:b/>
                <w:bCs/>
                <w:lang w:eastAsia="tr-TR"/>
              </w:rPr>
              <w:t>5.794.492,31</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14:paraId="2E3BDD1A" w14:textId="77777777" w:rsidR="00D16262" w:rsidRPr="002048A7" w:rsidRDefault="00D16262" w:rsidP="00D16262">
            <w:pPr>
              <w:spacing w:after="0" w:line="240" w:lineRule="auto"/>
              <w:jc w:val="center"/>
              <w:rPr>
                <w:rFonts w:ascii="Calibri" w:eastAsia="Times New Roman" w:hAnsi="Calibri" w:cs="Calibri"/>
                <w:b/>
                <w:bCs/>
                <w:lang w:eastAsia="tr-TR"/>
              </w:rPr>
            </w:pPr>
            <w:r w:rsidRPr="002048A7">
              <w:rPr>
                <w:rFonts w:ascii="Calibri" w:eastAsia="Times New Roman" w:hAnsi="Calibri" w:cs="Calibri"/>
                <w:b/>
                <w:bCs/>
                <w:lang w:eastAsia="tr-TR"/>
              </w:rPr>
              <w:t>100,00</w:t>
            </w:r>
          </w:p>
        </w:tc>
      </w:tr>
    </w:tbl>
    <w:bookmarkEnd w:id="143"/>
    <w:bookmarkEnd w:id="144"/>
    <w:p w14:paraId="4A835A4D" w14:textId="77777777" w:rsidR="00CB5826" w:rsidRPr="002048A7" w:rsidRDefault="00E41FA5" w:rsidP="00CB5826">
      <w:pPr>
        <w:spacing w:after="0"/>
        <w:rPr>
          <w:sz w:val="20"/>
          <w:szCs w:val="20"/>
        </w:rPr>
      </w:pPr>
      <w:r w:rsidRPr="002048A7">
        <w:t xml:space="preserve">                         </w:t>
      </w:r>
      <w:r w:rsidR="00C466F8" w:rsidRPr="002048A7">
        <w:t>*</w:t>
      </w:r>
      <w:r w:rsidR="00CB5826" w:rsidRPr="002048A7">
        <w:rPr>
          <w:sz w:val="20"/>
          <w:szCs w:val="20"/>
        </w:rPr>
        <w:t xml:space="preserve">Dağıtıcı ve ihrakiye teslim lisansı alt başlığındaki depo kapasiteleri de </w:t>
      </w:r>
      <w:r w:rsidR="00D47307" w:rsidRPr="002048A7">
        <w:rPr>
          <w:sz w:val="20"/>
          <w:szCs w:val="20"/>
        </w:rPr>
        <w:t>dâhil</w:t>
      </w:r>
      <w:r w:rsidR="00CB5826" w:rsidRPr="002048A7">
        <w:rPr>
          <w:sz w:val="20"/>
          <w:szCs w:val="20"/>
        </w:rPr>
        <w:t xml:space="preserve"> edilmiştir.</w:t>
      </w:r>
    </w:p>
    <w:p w14:paraId="2C2C13DD" w14:textId="77777777" w:rsidR="000A1FA3" w:rsidRPr="002048A7" w:rsidRDefault="000A1FA3" w:rsidP="00CB5826">
      <w:pPr>
        <w:spacing w:after="0"/>
        <w:rPr>
          <w:color w:val="000000" w:themeColor="text1"/>
          <w:sz w:val="20"/>
          <w:szCs w:val="20"/>
        </w:rPr>
      </w:pPr>
    </w:p>
    <w:p w14:paraId="3202E199" w14:textId="77777777" w:rsidR="00CB5826" w:rsidRPr="002048A7" w:rsidRDefault="00CB5826" w:rsidP="00577AAF">
      <w:pPr>
        <w:pStyle w:val="Balk3"/>
        <w:numPr>
          <w:ilvl w:val="2"/>
          <w:numId w:val="11"/>
        </w:numPr>
        <w:spacing w:before="0" w:after="240"/>
        <w:rPr>
          <w:rFonts w:asciiTheme="minorHAnsi" w:hAnsiTheme="minorHAnsi"/>
          <w:color w:val="auto"/>
        </w:rPr>
      </w:pPr>
      <w:bookmarkStart w:id="145" w:name="_Toc442431262"/>
      <w:bookmarkStart w:id="146" w:name="_Toc195868701"/>
      <w:r w:rsidRPr="002048A7">
        <w:rPr>
          <w:rFonts w:asciiTheme="minorHAnsi" w:hAnsiTheme="minorHAnsi"/>
          <w:color w:val="auto"/>
        </w:rPr>
        <w:t>Akaryakıt Harici Ürün İzinlerine Dair İşlemler</w:t>
      </w:r>
      <w:bookmarkEnd w:id="145"/>
      <w:bookmarkEnd w:id="146"/>
    </w:p>
    <w:p w14:paraId="33957C08" w14:textId="77777777" w:rsidR="00CB5826" w:rsidRPr="002048A7" w:rsidRDefault="00CB5826" w:rsidP="00CB5826">
      <w:pPr>
        <w:spacing w:after="240"/>
      </w:pPr>
      <w:r w:rsidRPr="002048A7">
        <w:t xml:space="preserve">Akaryakıt haricinde kalan petrol ürünlerinin yurt içi ve yurt dışı kaynaklardan temininde uygunluk yazısı düzenlenmesine ilişkin usul ve esasların düzenlendiği </w:t>
      </w:r>
      <w:r w:rsidRPr="002048A7">
        <w:rPr>
          <w:i/>
        </w:rPr>
        <w:t xml:space="preserve">“Akaryakıt Haricinde Kalan Petrol Ürünlerinin Yurt İçi ve </w:t>
      </w:r>
      <w:r w:rsidRPr="002048A7">
        <w:rPr>
          <w:i/>
        </w:rPr>
        <w:lastRenderedPageBreak/>
        <w:t>Yurt Dışı Kaynaklardan Teminine İlişkin Usul ve Esaslar Hakkında Tebliğ”</w:t>
      </w:r>
      <w:r w:rsidR="00372350" w:rsidRPr="002048A7">
        <w:rPr>
          <w:i/>
        </w:rPr>
        <w:t xml:space="preserve"> </w:t>
      </w:r>
      <w:r w:rsidR="00372350" w:rsidRPr="002048A7">
        <w:t>24.04.</w:t>
      </w:r>
      <w:r w:rsidRPr="002048A7">
        <w:t xml:space="preserve">2013 tarihli ve 28627 sayılı </w:t>
      </w:r>
      <w:r w:rsidR="002A7E33" w:rsidRPr="002048A7">
        <w:t>Resmî</w:t>
      </w:r>
      <w:r w:rsidRPr="002048A7">
        <w:t xml:space="preserve"> </w:t>
      </w:r>
      <w:r w:rsidR="00274939" w:rsidRPr="002048A7">
        <w:t>Gazetede</w:t>
      </w:r>
      <w:r w:rsidRPr="002048A7">
        <w:t xml:space="preserve"> yayımlanarak yürürlüğe girmiştir. Bu kapsamda; Kurum</w:t>
      </w:r>
      <w:r w:rsidR="002A7E33" w:rsidRPr="002048A7">
        <w:t>dan</w:t>
      </w:r>
      <w:r w:rsidRPr="002048A7">
        <w:t xml:space="preserve"> uygunluk yazısı alınması şartıyla akaryakıt haricinde kalan petrol ürünlerinin yurt içinden temini sanayiciler, yurt dışından ithali doğrudan sanayiciler ya da sanayiciler adına ithalatçılar tarafından yapılabil</w:t>
      </w:r>
      <w:r w:rsidR="00007D6C" w:rsidRPr="002048A7">
        <w:t>mektedir. Tebliğ kapsamında</w:t>
      </w:r>
      <w:r w:rsidRPr="002048A7">
        <w:t xml:space="preserve"> </w:t>
      </w:r>
      <w:r w:rsidR="006E7CD3" w:rsidRPr="002048A7">
        <w:t>202</w:t>
      </w:r>
      <w:r w:rsidR="00D16262">
        <w:t>4</w:t>
      </w:r>
      <w:r w:rsidR="006E7CD3" w:rsidRPr="002048A7">
        <w:t xml:space="preserve"> </w:t>
      </w:r>
      <w:r w:rsidR="00D16262">
        <w:t>983</w:t>
      </w:r>
      <w:r w:rsidR="00A108C9" w:rsidRPr="002048A7">
        <w:t xml:space="preserve"> </w:t>
      </w:r>
      <w:r w:rsidR="00007D6C" w:rsidRPr="002048A7">
        <w:t xml:space="preserve">adet </w:t>
      </w:r>
      <w:r w:rsidRPr="002048A7">
        <w:t>Uygunluk Belgesi düzenlenmiştir.</w:t>
      </w:r>
    </w:p>
    <w:p w14:paraId="08C40365" w14:textId="77777777" w:rsidR="004E03B6" w:rsidRPr="002048A7" w:rsidRDefault="004E03B6" w:rsidP="00577AAF">
      <w:pPr>
        <w:pStyle w:val="Balk3"/>
        <w:numPr>
          <w:ilvl w:val="2"/>
          <w:numId w:val="11"/>
        </w:numPr>
        <w:spacing w:before="0" w:after="240"/>
        <w:rPr>
          <w:rFonts w:asciiTheme="minorHAnsi" w:hAnsiTheme="minorHAnsi"/>
          <w:color w:val="auto"/>
        </w:rPr>
      </w:pPr>
      <w:bookmarkStart w:id="147" w:name="_Toc195868702"/>
      <w:r w:rsidRPr="002048A7">
        <w:rPr>
          <w:rFonts w:asciiTheme="minorHAnsi" w:hAnsiTheme="minorHAnsi"/>
          <w:color w:val="auto"/>
        </w:rPr>
        <w:t>Lisans Sahiplerine Yönelik Otomasyon Çalışmaları</w:t>
      </w:r>
      <w:bookmarkEnd w:id="147"/>
    </w:p>
    <w:p w14:paraId="62C2EDEA" w14:textId="77777777" w:rsidR="004E03B6" w:rsidRPr="002048A7" w:rsidRDefault="004E03B6" w:rsidP="00577AAF">
      <w:pPr>
        <w:pStyle w:val="Balk4"/>
        <w:numPr>
          <w:ilvl w:val="3"/>
          <w:numId w:val="11"/>
        </w:numPr>
        <w:spacing w:after="240"/>
        <w:rPr>
          <w:rFonts w:asciiTheme="minorHAnsi" w:hAnsiTheme="minorHAnsi"/>
          <w:i w:val="0"/>
          <w:iCs w:val="0"/>
          <w:color w:val="auto"/>
        </w:rPr>
      </w:pPr>
      <w:bookmarkStart w:id="148" w:name="_Toc195868703"/>
      <w:r w:rsidRPr="002048A7">
        <w:rPr>
          <w:rFonts w:asciiTheme="minorHAnsi" w:hAnsiTheme="minorHAnsi"/>
          <w:i w:val="0"/>
          <w:iCs w:val="0"/>
          <w:color w:val="auto"/>
        </w:rPr>
        <w:t>Ulusal Marker</w:t>
      </w:r>
      <w:bookmarkEnd w:id="148"/>
    </w:p>
    <w:p w14:paraId="6B2E1AFF" w14:textId="77777777" w:rsidR="004E03B6" w:rsidRPr="002048A7" w:rsidRDefault="004E03B6" w:rsidP="004E03B6">
      <w:pPr>
        <w:spacing w:after="0"/>
        <w:rPr>
          <w:color w:val="000000" w:themeColor="text1"/>
        </w:rPr>
      </w:pPr>
      <w:r w:rsidRPr="002048A7">
        <w:rPr>
          <w:color w:val="000000" w:themeColor="text1"/>
        </w:rPr>
        <w:t xml:space="preserve">Ülkemiz petrol piyasasında dolaşımda olan akaryakıtın, piyasaya yasal yollardan girip girmediğinin tespit edilerek, kaçak ve standart dışı ürün satışının önlenmesi amacıyla 5015 sayılı Petrol Piyasası Kanununun 18 inci maddesi ile Petrol Piyasasında Ulusal Marker Uygulamasına İlişkin Yönetmelik uyarınca, </w:t>
      </w:r>
      <w:r w:rsidR="002A7E33" w:rsidRPr="002048A7">
        <w:rPr>
          <w:color w:val="000000" w:themeColor="text1"/>
        </w:rPr>
        <w:t>Ulusal Marker (</w:t>
      </w:r>
      <w:r w:rsidR="00FA6184" w:rsidRPr="002048A7">
        <w:rPr>
          <w:color w:val="000000" w:themeColor="text1"/>
        </w:rPr>
        <w:t>UM</w:t>
      </w:r>
      <w:r w:rsidR="002A7E33" w:rsidRPr="002048A7">
        <w:rPr>
          <w:color w:val="000000" w:themeColor="text1"/>
        </w:rPr>
        <w:t>)</w:t>
      </w:r>
      <w:r w:rsidR="00FA6184" w:rsidRPr="002048A7">
        <w:rPr>
          <w:color w:val="000000" w:themeColor="text1"/>
        </w:rPr>
        <w:t xml:space="preserve"> </w:t>
      </w:r>
      <w:r w:rsidRPr="002048A7">
        <w:rPr>
          <w:color w:val="000000" w:themeColor="text1"/>
        </w:rPr>
        <w:t xml:space="preserve">uygulaması </w:t>
      </w:r>
      <w:r w:rsidR="00372350" w:rsidRPr="002048A7">
        <w:rPr>
          <w:color w:val="000000" w:themeColor="text1"/>
        </w:rPr>
        <w:t>01.01.2007</w:t>
      </w:r>
      <w:r w:rsidRPr="002048A7">
        <w:rPr>
          <w:color w:val="000000" w:themeColor="text1"/>
        </w:rPr>
        <w:t xml:space="preserve"> tarihinde başlamıştır.</w:t>
      </w:r>
    </w:p>
    <w:p w14:paraId="62CEA58A" w14:textId="77777777" w:rsidR="004E03B6" w:rsidRPr="002048A7" w:rsidRDefault="004E03B6" w:rsidP="004E03B6">
      <w:pPr>
        <w:spacing w:after="0"/>
        <w:rPr>
          <w:color w:val="000000" w:themeColor="text1"/>
        </w:rPr>
      </w:pPr>
    </w:p>
    <w:p w14:paraId="2CB1978B" w14:textId="441B36BC" w:rsidR="004E03B6" w:rsidRPr="002048A7" w:rsidRDefault="004E03B6" w:rsidP="004E03B6">
      <w:pPr>
        <w:spacing w:after="0"/>
        <w:rPr>
          <w:color w:val="000000" w:themeColor="text1"/>
        </w:rPr>
      </w:pPr>
      <w:r w:rsidRPr="002048A7">
        <w:rPr>
          <w:color w:val="000000" w:themeColor="text1"/>
        </w:rPr>
        <w:t>U</w:t>
      </w:r>
      <w:r w:rsidR="00061190" w:rsidRPr="002048A7">
        <w:rPr>
          <w:color w:val="000000" w:themeColor="text1"/>
        </w:rPr>
        <w:t>ygulama kapsamında 2</w:t>
      </w:r>
      <w:r w:rsidR="00A108C9" w:rsidRPr="002048A7">
        <w:rPr>
          <w:color w:val="000000" w:themeColor="text1"/>
        </w:rPr>
        <w:t>02</w:t>
      </w:r>
      <w:r w:rsidR="00072A80">
        <w:rPr>
          <w:color w:val="000000" w:themeColor="text1"/>
        </w:rPr>
        <w:t>4</w:t>
      </w:r>
      <w:r w:rsidRPr="002048A7">
        <w:rPr>
          <w:color w:val="000000" w:themeColor="text1"/>
        </w:rPr>
        <w:t xml:space="preserve"> yılında ilgili lisans sahiplerine teslim edilen ve kullanılan </w:t>
      </w:r>
      <w:r w:rsidR="00FA6184" w:rsidRPr="002048A7">
        <w:rPr>
          <w:color w:val="000000" w:themeColor="text1"/>
        </w:rPr>
        <w:t>UM</w:t>
      </w:r>
      <w:r w:rsidRPr="002048A7">
        <w:rPr>
          <w:color w:val="000000" w:themeColor="text1"/>
        </w:rPr>
        <w:t xml:space="preserve"> ile işaretlenen akaryakıt miktarları yıllar bazında aşağıdaki tabloda verilmektedir.</w:t>
      </w:r>
    </w:p>
    <w:p w14:paraId="340F855D" w14:textId="77777777" w:rsidR="004E03B6" w:rsidRPr="002048A7" w:rsidRDefault="004E03B6" w:rsidP="004E03B6">
      <w:pPr>
        <w:pStyle w:val="Balk5"/>
        <w:jc w:val="center"/>
        <w:rPr>
          <w:rStyle w:val="Gl"/>
          <w:color w:val="000000" w:themeColor="text1"/>
        </w:rPr>
      </w:pPr>
      <w:bookmarkStart w:id="149" w:name="_Toc195868807"/>
      <w:r w:rsidRPr="002048A7">
        <w:rPr>
          <w:rStyle w:val="Gl"/>
          <w:color w:val="000000" w:themeColor="text1"/>
        </w:rPr>
        <w:t>Tablo 3.</w:t>
      </w:r>
      <w:r w:rsidR="0017770B" w:rsidRPr="002048A7">
        <w:rPr>
          <w:rStyle w:val="Gl"/>
          <w:color w:val="000000" w:themeColor="text1"/>
        </w:rPr>
        <w:t>1</w:t>
      </w:r>
      <w:r w:rsidR="0007594C" w:rsidRPr="002048A7">
        <w:rPr>
          <w:rStyle w:val="Gl"/>
          <w:color w:val="000000" w:themeColor="text1"/>
        </w:rPr>
        <w:t>1</w:t>
      </w:r>
      <w:r w:rsidRPr="002048A7">
        <w:rPr>
          <w:rStyle w:val="Gl"/>
          <w:color w:val="000000" w:themeColor="text1"/>
        </w:rPr>
        <w:t>: Yıllar İtibar</w:t>
      </w:r>
      <w:r w:rsidR="005030E7" w:rsidRPr="002048A7">
        <w:rPr>
          <w:rStyle w:val="Gl"/>
          <w:color w:val="000000" w:themeColor="text1"/>
        </w:rPr>
        <w:t>ı</w:t>
      </w:r>
      <w:r w:rsidRPr="002048A7">
        <w:rPr>
          <w:rStyle w:val="Gl"/>
          <w:color w:val="000000" w:themeColor="text1"/>
        </w:rPr>
        <w:t>yl</w:t>
      </w:r>
      <w:r w:rsidR="005030E7" w:rsidRPr="002048A7">
        <w:rPr>
          <w:rStyle w:val="Gl"/>
          <w:color w:val="000000" w:themeColor="text1"/>
        </w:rPr>
        <w:t>a</w:t>
      </w:r>
      <w:r w:rsidRPr="002048A7">
        <w:rPr>
          <w:rStyle w:val="Gl"/>
          <w:color w:val="000000" w:themeColor="text1"/>
        </w:rPr>
        <w:t xml:space="preserve"> Kullanılan Ulusal Marker ve İşaretlenen Akaryakıt Miktarları</w:t>
      </w:r>
      <w:bookmarkEnd w:id="149"/>
    </w:p>
    <w:tbl>
      <w:tblPr>
        <w:tblW w:w="5000" w:type="pct"/>
        <w:tblCellMar>
          <w:left w:w="70" w:type="dxa"/>
          <w:right w:w="70" w:type="dxa"/>
        </w:tblCellMar>
        <w:tblLook w:val="04A0" w:firstRow="1" w:lastRow="0" w:firstColumn="1" w:lastColumn="0" w:noHBand="0" w:noVBand="1"/>
      </w:tblPr>
      <w:tblGrid>
        <w:gridCol w:w="1336"/>
        <w:gridCol w:w="955"/>
        <w:gridCol w:w="1143"/>
        <w:gridCol w:w="1143"/>
        <w:gridCol w:w="1309"/>
        <w:gridCol w:w="1422"/>
        <w:gridCol w:w="1172"/>
        <w:gridCol w:w="1422"/>
      </w:tblGrid>
      <w:tr w:rsidR="005D0429" w:rsidRPr="002048A7" w14:paraId="3C566161" w14:textId="77777777" w:rsidTr="00D16262">
        <w:trPr>
          <w:trHeight w:val="20"/>
          <w:tblHeader/>
        </w:trPr>
        <w:tc>
          <w:tcPr>
            <w:tcW w:w="675" w:type="pct"/>
            <w:tcBorders>
              <w:top w:val="single" w:sz="8" w:space="0" w:color="D9D9D9"/>
              <w:left w:val="single" w:sz="8" w:space="0" w:color="D9D9D9"/>
              <w:bottom w:val="single" w:sz="8" w:space="0" w:color="D9D9D9"/>
              <w:right w:val="single" w:sz="8" w:space="0" w:color="D9D9D9"/>
            </w:tcBorders>
            <w:shd w:val="clear" w:color="000000" w:fill="6E9ECA"/>
            <w:vAlign w:val="center"/>
            <w:hideMark/>
          </w:tcPr>
          <w:p w14:paraId="527C20C4" w14:textId="77777777" w:rsidR="005D0429" w:rsidRPr="002048A7" w:rsidRDefault="005D0429" w:rsidP="005D0429">
            <w:pPr>
              <w:spacing w:after="0" w:line="240" w:lineRule="auto"/>
              <w:jc w:val="center"/>
              <w:rPr>
                <w:rFonts w:ascii="Calibri" w:eastAsia="Times New Roman" w:hAnsi="Calibri"/>
                <w:b/>
                <w:bCs/>
                <w:color w:val="FFFFFF"/>
                <w:szCs w:val="20"/>
                <w:lang w:eastAsia="tr-TR"/>
              </w:rPr>
            </w:pPr>
            <w:r w:rsidRPr="002048A7">
              <w:rPr>
                <w:rFonts w:ascii="Calibri" w:eastAsia="Times New Roman" w:hAnsi="Calibri"/>
                <w:b/>
                <w:bCs/>
                <w:color w:val="FFFFFF"/>
                <w:szCs w:val="20"/>
                <w:lang w:eastAsia="tr-TR"/>
              </w:rPr>
              <w:t>Yıllar</w:t>
            </w:r>
          </w:p>
        </w:tc>
        <w:tc>
          <w:tcPr>
            <w:tcW w:w="482" w:type="pct"/>
            <w:tcBorders>
              <w:top w:val="single" w:sz="8" w:space="0" w:color="D9D9D9"/>
              <w:left w:val="nil"/>
              <w:bottom w:val="single" w:sz="8" w:space="0" w:color="D9D9D9"/>
              <w:right w:val="single" w:sz="8" w:space="0" w:color="D9D9D9"/>
            </w:tcBorders>
            <w:shd w:val="clear" w:color="000000" w:fill="6E9ECA"/>
            <w:vAlign w:val="center"/>
            <w:hideMark/>
          </w:tcPr>
          <w:p w14:paraId="7F01F330" w14:textId="77777777" w:rsidR="005D0429" w:rsidRPr="002048A7" w:rsidRDefault="005D0429" w:rsidP="005D0429">
            <w:pPr>
              <w:spacing w:after="0" w:line="240" w:lineRule="auto"/>
              <w:jc w:val="center"/>
              <w:rPr>
                <w:rFonts w:ascii="Calibri" w:eastAsia="Times New Roman" w:hAnsi="Calibri"/>
                <w:b/>
                <w:bCs/>
                <w:color w:val="FFFFFF"/>
                <w:szCs w:val="20"/>
                <w:lang w:eastAsia="tr-TR"/>
              </w:rPr>
            </w:pPr>
            <w:r w:rsidRPr="002048A7">
              <w:rPr>
                <w:rFonts w:ascii="Calibri" w:eastAsia="Times New Roman" w:hAnsi="Calibri"/>
                <w:b/>
                <w:bCs/>
                <w:color w:val="FFFFFF"/>
                <w:szCs w:val="20"/>
                <w:lang w:eastAsia="tr-TR"/>
              </w:rPr>
              <w:t>Lisans Türü</w:t>
            </w:r>
          </w:p>
        </w:tc>
        <w:tc>
          <w:tcPr>
            <w:tcW w:w="577" w:type="pct"/>
            <w:tcBorders>
              <w:top w:val="single" w:sz="8" w:space="0" w:color="D9D9D9"/>
              <w:left w:val="nil"/>
              <w:bottom w:val="single" w:sz="8" w:space="0" w:color="D9D9D9"/>
              <w:right w:val="single" w:sz="8" w:space="0" w:color="D9D9D9"/>
            </w:tcBorders>
            <w:shd w:val="clear" w:color="000000" w:fill="6E9ECA"/>
            <w:vAlign w:val="center"/>
            <w:hideMark/>
          </w:tcPr>
          <w:p w14:paraId="08DB7F89" w14:textId="77777777" w:rsidR="005D0429" w:rsidRPr="002048A7" w:rsidRDefault="005D0429" w:rsidP="005030E7">
            <w:pPr>
              <w:spacing w:after="0" w:line="240" w:lineRule="auto"/>
              <w:jc w:val="center"/>
              <w:rPr>
                <w:rFonts w:ascii="Calibri" w:eastAsia="Times New Roman" w:hAnsi="Calibri"/>
                <w:b/>
                <w:bCs/>
                <w:color w:val="FFFFFF"/>
                <w:szCs w:val="20"/>
                <w:lang w:eastAsia="tr-TR"/>
              </w:rPr>
            </w:pPr>
            <w:r w:rsidRPr="002048A7">
              <w:rPr>
                <w:rFonts w:ascii="Calibri" w:eastAsia="Times New Roman" w:hAnsi="Calibri"/>
                <w:b/>
                <w:bCs/>
                <w:color w:val="FFFFFF"/>
                <w:szCs w:val="20"/>
                <w:lang w:eastAsia="tr-TR"/>
              </w:rPr>
              <w:t>Teslim Edilen UM Miktarı (lt)</w:t>
            </w:r>
          </w:p>
        </w:tc>
        <w:tc>
          <w:tcPr>
            <w:tcW w:w="577" w:type="pct"/>
            <w:tcBorders>
              <w:top w:val="single" w:sz="8" w:space="0" w:color="D9D9D9"/>
              <w:left w:val="nil"/>
              <w:bottom w:val="single" w:sz="8" w:space="0" w:color="D9D9D9"/>
              <w:right w:val="single" w:sz="8" w:space="0" w:color="D9D9D9"/>
            </w:tcBorders>
            <w:shd w:val="clear" w:color="000000" w:fill="6E9ECA"/>
            <w:vAlign w:val="center"/>
            <w:hideMark/>
          </w:tcPr>
          <w:p w14:paraId="67B8716D" w14:textId="77777777" w:rsidR="005D0429" w:rsidRPr="002048A7" w:rsidRDefault="005D0429" w:rsidP="005030E7">
            <w:pPr>
              <w:spacing w:after="0" w:line="240" w:lineRule="auto"/>
              <w:jc w:val="center"/>
              <w:rPr>
                <w:rFonts w:ascii="Calibri" w:eastAsia="Times New Roman" w:hAnsi="Calibri"/>
                <w:b/>
                <w:bCs/>
                <w:color w:val="FFFFFF"/>
                <w:szCs w:val="20"/>
                <w:lang w:eastAsia="tr-TR"/>
              </w:rPr>
            </w:pPr>
            <w:r w:rsidRPr="002048A7">
              <w:rPr>
                <w:rFonts w:ascii="Calibri" w:eastAsia="Times New Roman" w:hAnsi="Calibri"/>
                <w:b/>
                <w:bCs/>
                <w:color w:val="FFFFFF"/>
                <w:szCs w:val="20"/>
                <w:lang w:eastAsia="tr-TR"/>
              </w:rPr>
              <w:t>Kullanılan UM Miktarı (lt)</w:t>
            </w:r>
          </w:p>
        </w:tc>
        <w:tc>
          <w:tcPr>
            <w:tcW w:w="661" w:type="pct"/>
            <w:tcBorders>
              <w:top w:val="single" w:sz="8" w:space="0" w:color="D9D9D9"/>
              <w:left w:val="nil"/>
              <w:bottom w:val="single" w:sz="8" w:space="0" w:color="D9D9D9"/>
              <w:right w:val="single" w:sz="8" w:space="0" w:color="D9D9D9"/>
            </w:tcBorders>
            <w:shd w:val="clear" w:color="000000" w:fill="6E9ECA"/>
            <w:vAlign w:val="center"/>
            <w:hideMark/>
          </w:tcPr>
          <w:p w14:paraId="29E44774" w14:textId="77777777" w:rsidR="005D0429" w:rsidRPr="002048A7" w:rsidRDefault="005D0429" w:rsidP="005D0429">
            <w:pPr>
              <w:spacing w:after="0" w:line="240" w:lineRule="auto"/>
              <w:jc w:val="center"/>
              <w:rPr>
                <w:rFonts w:ascii="Calibri" w:eastAsia="Times New Roman" w:hAnsi="Calibri"/>
                <w:b/>
                <w:bCs/>
                <w:color w:val="FFFFFF"/>
                <w:szCs w:val="20"/>
                <w:lang w:eastAsia="tr-TR"/>
              </w:rPr>
            </w:pPr>
            <w:r w:rsidRPr="002048A7">
              <w:rPr>
                <w:rFonts w:ascii="Calibri" w:eastAsia="Times New Roman" w:hAnsi="Calibri"/>
                <w:b/>
                <w:bCs/>
                <w:color w:val="FFFFFF"/>
                <w:szCs w:val="20"/>
                <w:lang w:eastAsia="tr-TR"/>
              </w:rPr>
              <w:t>İşaretlenen Benzin Miktarı (m³)</w:t>
            </w:r>
          </w:p>
        </w:tc>
        <w:tc>
          <w:tcPr>
            <w:tcW w:w="718" w:type="pct"/>
            <w:tcBorders>
              <w:top w:val="single" w:sz="8" w:space="0" w:color="D9D9D9"/>
              <w:left w:val="nil"/>
              <w:bottom w:val="single" w:sz="8" w:space="0" w:color="D9D9D9"/>
              <w:right w:val="single" w:sz="8" w:space="0" w:color="D9D9D9"/>
            </w:tcBorders>
            <w:shd w:val="clear" w:color="000000" w:fill="6E9ECA"/>
            <w:vAlign w:val="center"/>
            <w:hideMark/>
          </w:tcPr>
          <w:p w14:paraId="3595F359" w14:textId="77777777" w:rsidR="005D0429" w:rsidRPr="002048A7" w:rsidRDefault="005D0429" w:rsidP="005D0429">
            <w:pPr>
              <w:spacing w:after="0" w:line="240" w:lineRule="auto"/>
              <w:jc w:val="center"/>
              <w:rPr>
                <w:rFonts w:ascii="Calibri" w:eastAsia="Times New Roman" w:hAnsi="Calibri"/>
                <w:b/>
                <w:bCs/>
                <w:color w:val="FFFFFF"/>
                <w:szCs w:val="20"/>
                <w:lang w:eastAsia="tr-TR"/>
              </w:rPr>
            </w:pPr>
            <w:r w:rsidRPr="002048A7">
              <w:rPr>
                <w:rFonts w:ascii="Calibri" w:eastAsia="Times New Roman" w:hAnsi="Calibri"/>
                <w:b/>
                <w:bCs/>
                <w:color w:val="FFFFFF"/>
                <w:szCs w:val="20"/>
                <w:lang w:eastAsia="tr-TR"/>
              </w:rPr>
              <w:t>İşaretlenen Motorin Miktarı (m³)</w:t>
            </w:r>
          </w:p>
        </w:tc>
        <w:tc>
          <w:tcPr>
            <w:tcW w:w="592" w:type="pct"/>
            <w:tcBorders>
              <w:top w:val="single" w:sz="8" w:space="0" w:color="D9D9D9"/>
              <w:left w:val="nil"/>
              <w:bottom w:val="single" w:sz="8" w:space="0" w:color="D9D9D9"/>
              <w:right w:val="single" w:sz="8" w:space="0" w:color="D9D9D9"/>
            </w:tcBorders>
            <w:shd w:val="clear" w:color="000000" w:fill="6E9ECA"/>
            <w:vAlign w:val="center"/>
            <w:hideMark/>
          </w:tcPr>
          <w:p w14:paraId="54A57EBD" w14:textId="77777777" w:rsidR="005D0429" w:rsidRPr="002048A7" w:rsidRDefault="005D0429" w:rsidP="005D0429">
            <w:pPr>
              <w:spacing w:after="0" w:line="240" w:lineRule="auto"/>
              <w:jc w:val="center"/>
              <w:rPr>
                <w:rFonts w:ascii="Calibri" w:eastAsia="Times New Roman" w:hAnsi="Calibri"/>
                <w:b/>
                <w:bCs/>
                <w:color w:val="FFFFFF"/>
                <w:szCs w:val="20"/>
                <w:lang w:eastAsia="tr-TR"/>
              </w:rPr>
            </w:pPr>
            <w:r w:rsidRPr="002048A7">
              <w:rPr>
                <w:rFonts w:ascii="Calibri" w:eastAsia="Times New Roman" w:hAnsi="Calibri"/>
                <w:b/>
                <w:bCs/>
                <w:color w:val="FFFFFF"/>
                <w:szCs w:val="20"/>
                <w:lang w:eastAsia="tr-TR"/>
              </w:rPr>
              <w:t>İşaretlenen Biyodizel/ Etanol-Gazyağı Miktarı (m³)</w:t>
            </w:r>
          </w:p>
        </w:tc>
        <w:tc>
          <w:tcPr>
            <w:tcW w:w="718" w:type="pct"/>
            <w:tcBorders>
              <w:top w:val="single" w:sz="8" w:space="0" w:color="D9D9D9"/>
              <w:left w:val="nil"/>
              <w:bottom w:val="single" w:sz="8" w:space="0" w:color="D9D9D9"/>
              <w:right w:val="single" w:sz="8" w:space="0" w:color="D9D9D9"/>
            </w:tcBorders>
            <w:shd w:val="clear" w:color="000000" w:fill="6E9ECA"/>
            <w:vAlign w:val="center"/>
            <w:hideMark/>
          </w:tcPr>
          <w:p w14:paraId="6BFBF798" w14:textId="77777777" w:rsidR="005D0429" w:rsidRPr="002048A7" w:rsidRDefault="005D0429" w:rsidP="005D0429">
            <w:pPr>
              <w:spacing w:after="0" w:line="240" w:lineRule="auto"/>
              <w:jc w:val="center"/>
              <w:rPr>
                <w:rFonts w:ascii="Calibri" w:eastAsia="Times New Roman" w:hAnsi="Calibri"/>
                <w:b/>
                <w:bCs/>
                <w:color w:val="FFFFFF"/>
                <w:szCs w:val="20"/>
                <w:lang w:eastAsia="tr-TR"/>
              </w:rPr>
            </w:pPr>
            <w:r w:rsidRPr="002048A7">
              <w:rPr>
                <w:rFonts w:ascii="Calibri" w:eastAsia="Times New Roman" w:hAnsi="Calibri"/>
                <w:b/>
                <w:bCs/>
                <w:color w:val="FFFFFF"/>
                <w:szCs w:val="20"/>
                <w:lang w:eastAsia="tr-TR"/>
              </w:rPr>
              <w:t>Toplam İşaretlenen Akaryakıt Miktarı (m³)</w:t>
            </w:r>
          </w:p>
        </w:tc>
      </w:tr>
      <w:tr w:rsidR="005D0429" w:rsidRPr="002048A7" w14:paraId="67D3018D" w14:textId="77777777" w:rsidTr="00D16262">
        <w:trPr>
          <w:trHeight w:val="20"/>
        </w:trPr>
        <w:tc>
          <w:tcPr>
            <w:tcW w:w="675" w:type="pct"/>
            <w:vMerge w:val="restart"/>
            <w:tcBorders>
              <w:top w:val="nil"/>
              <w:left w:val="single" w:sz="8" w:space="0" w:color="D9D9D9"/>
              <w:bottom w:val="single" w:sz="8" w:space="0" w:color="D9D9D9"/>
              <w:right w:val="single" w:sz="8" w:space="0" w:color="D9D9D9"/>
            </w:tcBorders>
            <w:shd w:val="clear" w:color="auto" w:fill="auto"/>
            <w:vAlign w:val="center"/>
            <w:hideMark/>
          </w:tcPr>
          <w:p w14:paraId="58E29416" w14:textId="77777777" w:rsidR="005D0429" w:rsidRPr="002048A7" w:rsidRDefault="005D0429" w:rsidP="005D0429">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2007</w:t>
            </w:r>
          </w:p>
        </w:tc>
        <w:tc>
          <w:tcPr>
            <w:tcW w:w="482" w:type="pct"/>
            <w:tcBorders>
              <w:top w:val="nil"/>
              <w:left w:val="nil"/>
              <w:bottom w:val="single" w:sz="8" w:space="0" w:color="D9D9D9"/>
              <w:right w:val="single" w:sz="8" w:space="0" w:color="D9D9D9"/>
            </w:tcBorders>
            <w:shd w:val="clear" w:color="auto" w:fill="auto"/>
            <w:vAlign w:val="center"/>
            <w:hideMark/>
          </w:tcPr>
          <w:p w14:paraId="075805A2" w14:textId="77777777" w:rsidR="005D0429" w:rsidRPr="002048A7" w:rsidRDefault="005D0429" w:rsidP="005D0429">
            <w:pPr>
              <w:spacing w:after="0" w:line="240" w:lineRule="auto"/>
              <w:rPr>
                <w:rFonts w:ascii="Calibri" w:eastAsia="Times New Roman" w:hAnsi="Calibri"/>
                <w:color w:val="000000"/>
                <w:sz w:val="20"/>
                <w:szCs w:val="20"/>
                <w:lang w:eastAsia="tr-TR"/>
              </w:rPr>
            </w:pPr>
            <w:r w:rsidRPr="002048A7">
              <w:rPr>
                <w:rFonts w:ascii="Calibri" w:eastAsia="Times New Roman" w:hAnsi="Calibri"/>
                <w:color w:val="000000"/>
                <w:sz w:val="20"/>
                <w:szCs w:val="20"/>
                <w:lang w:eastAsia="tr-TR"/>
              </w:rPr>
              <w:t>Rafineri</w:t>
            </w:r>
          </w:p>
        </w:tc>
        <w:tc>
          <w:tcPr>
            <w:tcW w:w="577" w:type="pct"/>
            <w:tcBorders>
              <w:top w:val="nil"/>
              <w:left w:val="nil"/>
              <w:bottom w:val="single" w:sz="8" w:space="0" w:color="D9D9D9"/>
              <w:right w:val="single" w:sz="8" w:space="0" w:color="D9D9D9"/>
            </w:tcBorders>
            <w:shd w:val="clear" w:color="auto" w:fill="auto"/>
            <w:vAlign w:val="center"/>
            <w:hideMark/>
          </w:tcPr>
          <w:p w14:paraId="56DCD212"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105.502,64</w:t>
            </w:r>
          </w:p>
        </w:tc>
        <w:tc>
          <w:tcPr>
            <w:tcW w:w="577" w:type="pct"/>
            <w:tcBorders>
              <w:top w:val="nil"/>
              <w:left w:val="nil"/>
              <w:bottom w:val="single" w:sz="8" w:space="0" w:color="D9D9D9"/>
              <w:right w:val="single" w:sz="8" w:space="0" w:color="D9D9D9"/>
            </w:tcBorders>
            <w:shd w:val="clear" w:color="auto" w:fill="auto"/>
            <w:vAlign w:val="center"/>
            <w:hideMark/>
          </w:tcPr>
          <w:p w14:paraId="7073DB8C"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100.936,65</w:t>
            </w:r>
          </w:p>
        </w:tc>
        <w:tc>
          <w:tcPr>
            <w:tcW w:w="661" w:type="pct"/>
            <w:tcBorders>
              <w:top w:val="nil"/>
              <w:left w:val="nil"/>
              <w:bottom w:val="single" w:sz="8" w:space="0" w:color="D9D9D9"/>
              <w:right w:val="single" w:sz="8" w:space="0" w:color="D9D9D9"/>
            </w:tcBorders>
            <w:shd w:val="clear" w:color="auto" w:fill="auto"/>
            <w:vAlign w:val="center"/>
            <w:hideMark/>
          </w:tcPr>
          <w:p w14:paraId="27BA6FFD"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2.550.960,00</w:t>
            </w:r>
          </w:p>
        </w:tc>
        <w:tc>
          <w:tcPr>
            <w:tcW w:w="718" w:type="pct"/>
            <w:tcBorders>
              <w:top w:val="nil"/>
              <w:left w:val="nil"/>
              <w:bottom w:val="single" w:sz="8" w:space="0" w:color="D9D9D9"/>
              <w:right w:val="single" w:sz="8" w:space="0" w:color="D9D9D9"/>
            </w:tcBorders>
            <w:shd w:val="clear" w:color="auto" w:fill="auto"/>
            <w:vAlign w:val="center"/>
            <w:hideMark/>
          </w:tcPr>
          <w:p w14:paraId="36670691"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9.813.110,00</w:t>
            </w:r>
          </w:p>
        </w:tc>
        <w:tc>
          <w:tcPr>
            <w:tcW w:w="592" w:type="pct"/>
            <w:tcBorders>
              <w:top w:val="nil"/>
              <w:left w:val="nil"/>
              <w:bottom w:val="single" w:sz="8" w:space="0" w:color="D9D9D9"/>
              <w:right w:val="single" w:sz="8" w:space="0" w:color="D9D9D9"/>
            </w:tcBorders>
            <w:shd w:val="clear" w:color="auto" w:fill="auto"/>
            <w:vAlign w:val="center"/>
            <w:hideMark/>
          </w:tcPr>
          <w:p w14:paraId="2973B15C"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0,00</w:t>
            </w:r>
          </w:p>
        </w:tc>
        <w:tc>
          <w:tcPr>
            <w:tcW w:w="718" w:type="pct"/>
            <w:tcBorders>
              <w:top w:val="nil"/>
              <w:left w:val="nil"/>
              <w:bottom w:val="single" w:sz="8" w:space="0" w:color="D9D9D9"/>
              <w:right w:val="single" w:sz="8" w:space="0" w:color="D9D9D9"/>
            </w:tcBorders>
            <w:shd w:val="clear" w:color="auto" w:fill="auto"/>
            <w:vAlign w:val="center"/>
            <w:hideMark/>
          </w:tcPr>
          <w:p w14:paraId="5667D13D"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12.364.070,00</w:t>
            </w:r>
          </w:p>
        </w:tc>
      </w:tr>
      <w:tr w:rsidR="005D0429" w:rsidRPr="002048A7" w14:paraId="21648EB8" w14:textId="77777777" w:rsidTr="00D16262">
        <w:trPr>
          <w:trHeight w:val="20"/>
        </w:trPr>
        <w:tc>
          <w:tcPr>
            <w:tcW w:w="675" w:type="pct"/>
            <w:vMerge/>
            <w:tcBorders>
              <w:top w:val="nil"/>
              <w:left w:val="single" w:sz="8" w:space="0" w:color="D9D9D9"/>
              <w:bottom w:val="single" w:sz="8" w:space="0" w:color="D9D9D9"/>
              <w:right w:val="single" w:sz="8" w:space="0" w:color="D9D9D9"/>
            </w:tcBorders>
            <w:vAlign w:val="center"/>
            <w:hideMark/>
          </w:tcPr>
          <w:p w14:paraId="24EF69BF" w14:textId="77777777" w:rsidR="005D0429" w:rsidRPr="002048A7" w:rsidRDefault="005D0429" w:rsidP="005D0429">
            <w:pPr>
              <w:spacing w:after="0" w:line="240" w:lineRule="auto"/>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hideMark/>
          </w:tcPr>
          <w:p w14:paraId="0FB890F7" w14:textId="77777777" w:rsidR="005D0429" w:rsidRPr="002048A7" w:rsidRDefault="005D0429" w:rsidP="005D0429">
            <w:pPr>
              <w:spacing w:after="0" w:line="240" w:lineRule="auto"/>
              <w:rPr>
                <w:rFonts w:ascii="Calibri" w:eastAsia="Times New Roman" w:hAnsi="Calibri"/>
                <w:color w:val="000000"/>
                <w:sz w:val="20"/>
                <w:szCs w:val="20"/>
                <w:lang w:eastAsia="tr-TR"/>
              </w:rPr>
            </w:pPr>
            <w:r w:rsidRPr="002048A7">
              <w:rPr>
                <w:rFonts w:ascii="Calibri" w:eastAsia="Times New Roman" w:hAnsi="Calibri"/>
                <w:color w:val="000000"/>
                <w:sz w:val="20"/>
                <w:szCs w:val="20"/>
                <w:lang w:eastAsia="tr-TR"/>
              </w:rPr>
              <w:t xml:space="preserve">Dağıtıcılar </w:t>
            </w:r>
          </w:p>
        </w:tc>
        <w:tc>
          <w:tcPr>
            <w:tcW w:w="577" w:type="pct"/>
            <w:tcBorders>
              <w:top w:val="nil"/>
              <w:left w:val="nil"/>
              <w:bottom w:val="single" w:sz="8" w:space="0" w:color="D9D9D9"/>
              <w:right w:val="single" w:sz="8" w:space="0" w:color="D9D9D9"/>
            </w:tcBorders>
            <w:shd w:val="clear" w:color="auto" w:fill="auto"/>
            <w:vAlign w:val="center"/>
            <w:hideMark/>
          </w:tcPr>
          <w:p w14:paraId="369E1FA2"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63.270,89</w:t>
            </w:r>
          </w:p>
        </w:tc>
        <w:tc>
          <w:tcPr>
            <w:tcW w:w="577" w:type="pct"/>
            <w:tcBorders>
              <w:top w:val="nil"/>
              <w:left w:val="nil"/>
              <w:bottom w:val="single" w:sz="8" w:space="0" w:color="D9D9D9"/>
              <w:right w:val="single" w:sz="8" w:space="0" w:color="D9D9D9"/>
            </w:tcBorders>
            <w:shd w:val="clear" w:color="auto" w:fill="auto"/>
            <w:vAlign w:val="center"/>
            <w:hideMark/>
          </w:tcPr>
          <w:p w14:paraId="6B3063C3"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56.522,89</w:t>
            </w:r>
          </w:p>
        </w:tc>
        <w:tc>
          <w:tcPr>
            <w:tcW w:w="661" w:type="pct"/>
            <w:tcBorders>
              <w:top w:val="nil"/>
              <w:left w:val="nil"/>
              <w:bottom w:val="single" w:sz="8" w:space="0" w:color="D9D9D9"/>
              <w:right w:val="single" w:sz="8" w:space="0" w:color="D9D9D9"/>
            </w:tcBorders>
            <w:shd w:val="clear" w:color="auto" w:fill="auto"/>
            <w:vAlign w:val="center"/>
            <w:hideMark/>
          </w:tcPr>
          <w:p w14:paraId="3A702ED8"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751.636,00</w:t>
            </w:r>
          </w:p>
        </w:tc>
        <w:tc>
          <w:tcPr>
            <w:tcW w:w="718" w:type="pct"/>
            <w:tcBorders>
              <w:top w:val="nil"/>
              <w:left w:val="nil"/>
              <w:bottom w:val="single" w:sz="8" w:space="0" w:color="D9D9D9"/>
              <w:right w:val="single" w:sz="8" w:space="0" w:color="D9D9D9"/>
            </w:tcBorders>
            <w:shd w:val="clear" w:color="auto" w:fill="auto"/>
            <w:vAlign w:val="center"/>
            <w:hideMark/>
          </w:tcPr>
          <w:p w14:paraId="7CC1E9CF"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6.247.129,00</w:t>
            </w:r>
          </w:p>
        </w:tc>
        <w:tc>
          <w:tcPr>
            <w:tcW w:w="592" w:type="pct"/>
            <w:tcBorders>
              <w:top w:val="nil"/>
              <w:left w:val="nil"/>
              <w:bottom w:val="single" w:sz="8" w:space="0" w:color="D9D9D9"/>
              <w:right w:val="single" w:sz="8" w:space="0" w:color="D9D9D9"/>
            </w:tcBorders>
            <w:shd w:val="clear" w:color="auto" w:fill="auto"/>
            <w:vAlign w:val="center"/>
            <w:hideMark/>
          </w:tcPr>
          <w:p w14:paraId="3633A622"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26.719,00</w:t>
            </w:r>
          </w:p>
        </w:tc>
        <w:tc>
          <w:tcPr>
            <w:tcW w:w="718" w:type="pct"/>
            <w:tcBorders>
              <w:top w:val="nil"/>
              <w:left w:val="nil"/>
              <w:bottom w:val="single" w:sz="8" w:space="0" w:color="D9D9D9"/>
              <w:right w:val="single" w:sz="8" w:space="0" w:color="D9D9D9"/>
            </w:tcBorders>
            <w:shd w:val="clear" w:color="auto" w:fill="auto"/>
            <w:vAlign w:val="center"/>
            <w:hideMark/>
          </w:tcPr>
          <w:p w14:paraId="76792A9C"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7.025.484,00</w:t>
            </w:r>
          </w:p>
        </w:tc>
      </w:tr>
      <w:tr w:rsidR="005D0429" w:rsidRPr="002048A7" w14:paraId="475ACBC3" w14:textId="77777777" w:rsidTr="00D16262">
        <w:trPr>
          <w:trHeight w:val="20"/>
        </w:trPr>
        <w:tc>
          <w:tcPr>
            <w:tcW w:w="675" w:type="pct"/>
            <w:vMerge/>
            <w:tcBorders>
              <w:top w:val="nil"/>
              <w:left w:val="single" w:sz="8" w:space="0" w:color="D9D9D9"/>
              <w:bottom w:val="single" w:sz="8" w:space="0" w:color="D9D9D9"/>
              <w:right w:val="single" w:sz="8" w:space="0" w:color="D9D9D9"/>
            </w:tcBorders>
            <w:vAlign w:val="center"/>
            <w:hideMark/>
          </w:tcPr>
          <w:p w14:paraId="29C3FFFD" w14:textId="77777777" w:rsidR="005D0429" w:rsidRPr="002048A7" w:rsidRDefault="005D0429" w:rsidP="005D0429">
            <w:pPr>
              <w:spacing w:after="0" w:line="240" w:lineRule="auto"/>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hideMark/>
          </w:tcPr>
          <w:p w14:paraId="5F4049E6" w14:textId="77777777" w:rsidR="005D0429" w:rsidRPr="002048A7" w:rsidRDefault="005D0429" w:rsidP="005D0429">
            <w:pPr>
              <w:spacing w:after="0" w:line="240" w:lineRule="auto"/>
              <w:rPr>
                <w:rFonts w:ascii="Calibri" w:eastAsia="Times New Roman" w:hAnsi="Calibri"/>
                <w:b/>
                <w:color w:val="000000"/>
                <w:sz w:val="20"/>
                <w:szCs w:val="20"/>
                <w:lang w:eastAsia="tr-TR"/>
              </w:rPr>
            </w:pPr>
            <w:r w:rsidRPr="002048A7">
              <w:rPr>
                <w:rFonts w:ascii="Calibri" w:eastAsia="Times New Roman" w:hAnsi="Calibri"/>
                <w:b/>
                <w:color w:val="000000"/>
                <w:sz w:val="20"/>
                <w:szCs w:val="20"/>
                <w:lang w:eastAsia="tr-TR"/>
              </w:rPr>
              <w:t>Toplam</w:t>
            </w:r>
          </w:p>
        </w:tc>
        <w:tc>
          <w:tcPr>
            <w:tcW w:w="577" w:type="pct"/>
            <w:tcBorders>
              <w:top w:val="nil"/>
              <w:left w:val="nil"/>
              <w:bottom w:val="single" w:sz="8" w:space="0" w:color="D9D9D9"/>
              <w:right w:val="single" w:sz="8" w:space="0" w:color="D9D9D9"/>
            </w:tcBorders>
            <w:shd w:val="clear" w:color="auto" w:fill="auto"/>
            <w:vAlign w:val="center"/>
            <w:hideMark/>
          </w:tcPr>
          <w:p w14:paraId="405FF736"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168.773,53</w:t>
            </w:r>
          </w:p>
        </w:tc>
        <w:tc>
          <w:tcPr>
            <w:tcW w:w="577" w:type="pct"/>
            <w:tcBorders>
              <w:top w:val="nil"/>
              <w:left w:val="nil"/>
              <w:bottom w:val="single" w:sz="8" w:space="0" w:color="D9D9D9"/>
              <w:right w:val="single" w:sz="8" w:space="0" w:color="D9D9D9"/>
            </w:tcBorders>
            <w:shd w:val="clear" w:color="auto" w:fill="auto"/>
            <w:vAlign w:val="center"/>
            <w:hideMark/>
          </w:tcPr>
          <w:p w14:paraId="3C9BB9B8"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157.459,54</w:t>
            </w:r>
          </w:p>
        </w:tc>
        <w:tc>
          <w:tcPr>
            <w:tcW w:w="661" w:type="pct"/>
            <w:tcBorders>
              <w:top w:val="nil"/>
              <w:left w:val="nil"/>
              <w:bottom w:val="single" w:sz="8" w:space="0" w:color="D9D9D9"/>
              <w:right w:val="single" w:sz="8" w:space="0" w:color="D9D9D9"/>
            </w:tcBorders>
            <w:shd w:val="clear" w:color="auto" w:fill="auto"/>
            <w:vAlign w:val="center"/>
            <w:hideMark/>
          </w:tcPr>
          <w:p w14:paraId="3D309F49"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3.302.596,00</w:t>
            </w:r>
          </w:p>
        </w:tc>
        <w:tc>
          <w:tcPr>
            <w:tcW w:w="718" w:type="pct"/>
            <w:tcBorders>
              <w:top w:val="nil"/>
              <w:left w:val="nil"/>
              <w:bottom w:val="single" w:sz="8" w:space="0" w:color="D9D9D9"/>
              <w:right w:val="single" w:sz="8" w:space="0" w:color="D9D9D9"/>
            </w:tcBorders>
            <w:shd w:val="clear" w:color="auto" w:fill="auto"/>
            <w:vAlign w:val="center"/>
            <w:hideMark/>
          </w:tcPr>
          <w:p w14:paraId="0D5B8C63"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16.060.239,00</w:t>
            </w:r>
          </w:p>
        </w:tc>
        <w:tc>
          <w:tcPr>
            <w:tcW w:w="592" w:type="pct"/>
            <w:tcBorders>
              <w:top w:val="nil"/>
              <w:left w:val="nil"/>
              <w:bottom w:val="single" w:sz="8" w:space="0" w:color="D9D9D9"/>
              <w:right w:val="single" w:sz="8" w:space="0" w:color="D9D9D9"/>
            </w:tcBorders>
            <w:shd w:val="clear" w:color="auto" w:fill="auto"/>
            <w:vAlign w:val="center"/>
            <w:hideMark/>
          </w:tcPr>
          <w:p w14:paraId="0C2575C7"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26.719,00</w:t>
            </w:r>
          </w:p>
        </w:tc>
        <w:tc>
          <w:tcPr>
            <w:tcW w:w="718" w:type="pct"/>
            <w:tcBorders>
              <w:top w:val="nil"/>
              <w:left w:val="nil"/>
              <w:bottom w:val="single" w:sz="8" w:space="0" w:color="D9D9D9"/>
              <w:right w:val="single" w:sz="8" w:space="0" w:color="D9D9D9"/>
            </w:tcBorders>
            <w:shd w:val="clear" w:color="auto" w:fill="auto"/>
            <w:vAlign w:val="center"/>
            <w:hideMark/>
          </w:tcPr>
          <w:p w14:paraId="14241588"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19.389.554,00</w:t>
            </w:r>
          </w:p>
        </w:tc>
      </w:tr>
      <w:tr w:rsidR="005D0429" w:rsidRPr="002048A7" w14:paraId="19708B89" w14:textId="77777777" w:rsidTr="00D16262">
        <w:trPr>
          <w:trHeight w:val="20"/>
        </w:trPr>
        <w:tc>
          <w:tcPr>
            <w:tcW w:w="675" w:type="pct"/>
            <w:vMerge w:val="restart"/>
            <w:tcBorders>
              <w:top w:val="nil"/>
              <w:left w:val="single" w:sz="8" w:space="0" w:color="D9D9D9"/>
              <w:bottom w:val="single" w:sz="8" w:space="0" w:color="D9D9D9"/>
              <w:right w:val="single" w:sz="8" w:space="0" w:color="D9D9D9"/>
            </w:tcBorders>
            <w:shd w:val="clear" w:color="auto" w:fill="auto"/>
            <w:vAlign w:val="center"/>
            <w:hideMark/>
          </w:tcPr>
          <w:p w14:paraId="0147CB04" w14:textId="77777777" w:rsidR="005D0429" w:rsidRPr="002048A7" w:rsidRDefault="005D0429" w:rsidP="005D0429">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2008</w:t>
            </w:r>
          </w:p>
        </w:tc>
        <w:tc>
          <w:tcPr>
            <w:tcW w:w="482" w:type="pct"/>
            <w:tcBorders>
              <w:top w:val="nil"/>
              <w:left w:val="nil"/>
              <w:bottom w:val="single" w:sz="8" w:space="0" w:color="D9D9D9"/>
              <w:right w:val="single" w:sz="8" w:space="0" w:color="D9D9D9"/>
            </w:tcBorders>
            <w:shd w:val="clear" w:color="auto" w:fill="auto"/>
            <w:vAlign w:val="center"/>
            <w:hideMark/>
          </w:tcPr>
          <w:p w14:paraId="3A43FD65" w14:textId="77777777" w:rsidR="005D0429" w:rsidRPr="002048A7" w:rsidRDefault="005D0429" w:rsidP="005D0429">
            <w:pPr>
              <w:spacing w:after="0" w:line="240" w:lineRule="auto"/>
              <w:rPr>
                <w:rFonts w:ascii="Calibri" w:eastAsia="Times New Roman" w:hAnsi="Calibri"/>
                <w:color w:val="000000"/>
                <w:sz w:val="20"/>
                <w:szCs w:val="20"/>
                <w:lang w:eastAsia="tr-TR"/>
              </w:rPr>
            </w:pPr>
            <w:r w:rsidRPr="002048A7">
              <w:rPr>
                <w:rFonts w:ascii="Calibri" w:eastAsia="Times New Roman" w:hAnsi="Calibri"/>
                <w:color w:val="000000"/>
                <w:sz w:val="20"/>
                <w:szCs w:val="20"/>
                <w:lang w:eastAsia="tr-TR"/>
              </w:rPr>
              <w:t>Rafineri</w:t>
            </w:r>
          </w:p>
        </w:tc>
        <w:tc>
          <w:tcPr>
            <w:tcW w:w="577" w:type="pct"/>
            <w:tcBorders>
              <w:top w:val="nil"/>
              <w:left w:val="nil"/>
              <w:bottom w:val="single" w:sz="8" w:space="0" w:color="D9D9D9"/>
              <w:right w:val="single" w:sz="8" w:space="0" w:color="D9D9D9"/>
            </w:tcBorders>
            <w:shd w:val="clear" w:color="auto" w:fill="auto"/>
            <w:vAlign w:val="center"/>
            <w:hideMark/>
          </w:tcPr>
          <w:p w14:paraId="5D5CD439"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99.646,23</w:t>
            </w:r>
          </w:p>
        </w:tc>
        <w:tc>
          <w:tcPr>
            <w:tcW w:w="577" w:type="pct"/>
            <w:tcBorders>
              <w:top w:val="nil"/>
              <w:left w:val="nil"/>
              <w:bottom w:val="single" w:sz="8" w:space="0" w:color="D9D9D9"/>
              <w:right w:val="single" w:sz="8" w:space="0" w:color="D9D9D9"/>
            </w:tcBorders>
            <w:shd w:val="clear" w:color="auto" w:fill="auto"/>
            <w:vAlign w:val="center"/>
            <w:hideMark/>
          </w:tcPr>
          <w:p w14:paraId="4D466D6A"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97.632,10</w:t>
            </w:r>
          </w:p>
        </w:tc>
        <w:tc>
          <w:tcPr>
            <w:tcW w:w="661" w:type="pct"/>
            <w:tcBorders>
              <w:top w:val="nil"/>
              <w:left w:val="nil"/>
              <w:bottom w:val="single" w:sz="8" w:space="0" w:color="D9D9D9"/>
              <w:right w:val="single" w:sz="8" w:space="0" w:color="D9D9D9"/>
            </w:tcBorders>
            <w:shd w:val="clear" w:color="auto" w:fill="auto"/>
            <w:vAlign w:val="center"/>
            <w:hideMark/>
          </w:tcPr>
          <w:p w14:paraId="21E06C21"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2.632.398,00</w:t>
            </w:r>
          </w:p>
        </w:tc>
        <w:tc>
          <w:tcPr>
            <w:tcW w:w="718" w:type="pct"/>
            <w:tcBorders>
              <w:top w:val="nil"/>
              <w:left w:val="nil"/>
              <w:bottom w:val="single" w:sz="8" w:space="0" w:color="D9D9D9"/>
              <w:right w:val="single" w:sz="8" w:space="0" w:color="D9D9D9"/>
            </w:tcBorders>
            <w:shd w:val="clear" w:color="auto" w:fill="auto"/>
            <w:vAlign w:val="center"/>
            <w:hideMark/>
          </w:tcPr>
          <w:p w14:paraId="39A0E1B1"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9.527.443,00</w:t>
            </w:r>
          </w:p>
        </w:tc>
        <w:tc>
          <w:tcPr>
            <w:tcW w:w="592" w:type="pct"/>
            <w:tcBorders>
              <w:top w:val="nil"/>
              <w:left w:val="nil"/>
              <w:bottom w:val="single" w:sz="8" w:space="0" w:color="D9D9D9"/>
              <w:right w:val="single" w:sz="8" w:space="0" w:color="D9D9D9"/>
            </w:tcBorders>
            <w:shd w:val="clear" w:color="auto" w:fill="auto"/>
            <w:vAlign w:val="center"/>
            <w:hideMark/>
          </w:tcPr>
          <w:p w14:paraId="6BFF0383"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0,00</w:t>
            </w:r>
          </w:p>
        </w:tc>
        <w:tc>
          <w:tcPr>
            <w:tcW w:w="718" w:type="pct"/>
            <w:tcBorders>
              <w:top w:val="nil"/>
              <w:left w:val="nil"/>
              <w:bottom w:val="single" w:sz="8" w:space="0" w:color="D9D9D9"/>
              <w:right w:val="single" w:sz="8" w:space="0" w:color="D9D9D9"/>
            </w:tcBorders>
            <w:shd w:val="clear" w:color="auto" w:fill="auto"/>
            <w:vAlign w:val="center"/>
            <w:hideMark/>
          </w:tcPr>
          <w:p w14:paraId="3136ABFB"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12.159.841,00</w:t>
            </w:r>
          </w:p>
        </w:tc>
      </w:tr>
      <w:tr w:rsidR="005D0429" w:rsidRPr="002048A7" w14:paraId="06E6FE34" w14:textId="77777777" w:rsidTr="00D16262">
        <w:trPr>
          <w:trHeight w:val="20"/>
        </w:trPr>
        <w:tc>
          <w:tcPr>
            <w:tcW w:w="675" w:type="pct"/>
            <w:vMerge/>
            <w:tcBorders>
              <w:top w:val="nil"/>
              <w:left w:val="single" w:sz="8" w:space="0" w:color="D9D9D9"/>
              <w:bottom w:val="single" w:sz="8" w:space="0" w:color="D9D9D9"/>
              <w:right w:val="single" w:sz="8" w:space="0" w:color="D9D9D9"/>
            </w:tcBorders>
            <w:vAlign w:val="center"/>
            <w:hideMark/>
          </w:tcPr>
          <w:p w14:paraId="0DA5C7F6" w14:textId="77777777" w:rsidR="005D0429" w:rsidRPr="002048A7" w:rsidRDefault="005D0429" w:rsidP="005D0429">
            <w:pPr>
              <w:spacing w:after="0" w:line="240" w:lineRule="auto"/>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hideMark/>
          </w:tcPr>
          <w:p w14:paraId="2BF4DCE5" w14:textId="77777777" w:rsidR="005D0429" w:rsidRPr="002048A7" w:rsidRDefault="005D0429" w:rsidP="005D0429">
            <w:pPr>
              <w:spacing w:after="0" w:line="240" w:lineRule="auto"/>
              <w:rPr>
                <w:rFonts w:ascii="Calibri" w:eastAsia="Times New Roman" w:hAnsi="Calibri"/>
                <w:color w:val="000000"/>
                <w:sz w:val="20"/>
                <w:szCs w:val="20"/>
                <w:lang w:eastAsia="tr-TR"/>
              </w:rPr>
            </w:pPr>
            <w:r w:rsidRPr="002048A7">
              <w:rPr>
                <w:rFonts w:ascii="Calibri" w:eastAsia="Times New Roman" w:hAnsi="Calibri"/>
                <w:color w:val="000000"/>
                <w:sz w:val="20"/>
                <w:szCs w:val="20"/>
                <w:lang w:eastAsia="tr-TR"/>
              </w:rPr>
              <w:t xml:space="preserve">Dağıtıcılar </w:t>
            </w:r>
          </w:p>
        </w:tc>
        <w:tc>
          <w:tcPr>
            <w:tcW w:w="577" w:type="pct"/>
            <w:tcBorders>
              <w:top w:val="nil"/>
              <w:left w:val="nil"/>
              <w:bottom w:val="single" w:sz="8" w:space="0" w:color="D9D9D9"/>
              <w:right w:val="single" w:sz="8" w:space="0" w:color="D9D9D9"/>
            </w:tcBorders>
            <w:shd w:val="clear" w:color="auto" w:fill="auto"/>
            <w:vAlign w:val="center"/>
            <w:hideMark/>
          </w:tcPr>
          <w:p w14:paraId="6BCAFD54"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58.378,19</w:t>
            </w:r>
          </w:p>
        </w:tc>
        <w:tc>
          <w:tcPr>
            <w:tcW w:w="577" w:type="pct"/>
            <w:tcBorders>
              <w:top w:val="nil"/>
              <w:left w:val="nil"/>
              <w:bottom w:val="single" w:sz="8" w:space="0" w:color="D9D9D9"/>
              <w:right w:val="single" w:sz="8" w:space="0" w:color="D9D9D9"/>
            </w:tcBorders>
            <w:shd w:val="clear" w:color="auto" w:fill="auto"/>
            <w:vAlign w:val="center"/>
            <w:hideMark/>
          </w:tcPr>
          <w:p w14:paraId="65656BEF"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58.724,41</w:t>
            </w:r>
          </w:p>
        </w:tc>
        <w:tc>
          <w:tcPr>
            <w:tcW w:w="661" w:type="pct"/>
            <w:tcBorders>
              <w:top w:val="nil"/>
              <w:left w:val="nil"/>
              <w:bottom w:val="single" w:sz="8" w:space="0" w:color="D9D9D9"/>
              <w:right w:val="single" w:sz="8" w:space="0" w:color="D9D9D9"/>
            </w:tcBorders>
            <w:shd w:val="clear" w:color="auto" w:fill="auto"/>
            <w:vAlign w:val="center"/>
            <w:hideMark/>
          </w:tcPr>
          <w:p w14:paraId="7EEAA9BB"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394.211,00</w:t>
            </w:r>
          </w:p>
        </w:tc>
        <w:tc>
          <w:tcPr>
            <w:tcW w:w="718" w:type="pct"/>
            <w:tcBorders>
              <w:top w:val="nil"/>
              <w:left w:val="nil"/>
              <w:bottom w:val="single" w:sz="8" w:space="0" w:color="D9D9D9"/>
              <w:right w:val="single" w:sz="8" w:space="0" w:color="D9D9D9"/>
            </w:tcBorders>
            <w:shd w:val="clear" w:color="auto" w:fill="auto"/>
            <w:vAlign w:val="center"/>
            <w:hideMark/>
          </w:tcPr>
          <w:p w14:paraId="0B7E5915"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6.843.603,00</w:t>
            </w:r>
          </w:p>
        </w:tc>
        <w:tc>
          <w:tcPr>
            <w:tcW w:w="592" w:type="pct"/>
            <w:tcBorders>
              <w:top w:val="nil"/>
              <w:left w:val="nil"/>
              <w:bottom w:val="single" w:sz="8" w:space="0" w:color="D9D9D9"/>
              <w:right w:val="single" w:sz="8" w:space="0" w:color="D9D9D9"/>
            </w:tcBorders>
            <w:shd w:val="clear" w:color="auto" w:fill="auto"/>
            <w:vAlign w:val="center"/>
            <w:hideMark/>
          </w:tcPr>
          <w:p w14:paraId="092C2EB5"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18.568,00</w:t>
            </w:r>
          </w:p>
        </w:tc>
        <w:tc>
          <w:tcPr>
            <w:tcW w:w="718" w:type="pct"/>
            <w:tcBorders>
              <w:top w:val="nil"/>
              <w:left w:val="nil"/>
              <w:bottom w:val="single" w:sz="8" w:space="0" w:color="D9D9D9"/>
              <w:right w:val="single" w:sz="8" w:space="0" w:color="D9D9D9"/>
            </w:tcBorders>
            <w:shd w:val="clear" w:color="auto" w:fill="auto"/>
            <w:vAlign w:val="center"/>
            <w:hideMark/>
          </w:tcPr>
          <w:p w14:paraId="7F089271"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7.256.382,00</w:t>
            </w:r>
          </w:p>
        </w:tc>
      </w:tr>
      <w:tr w:rsidR="005D0429" w:rsidRPr="002048A7" w14:paraId="5E23EB62" w14:textId="77777777" w:rsidTr="00D16262">
        <w:trPr>
          <w:trHeight w:val="20"/>
        </w:trPr>
        <w:tc>
          <w:tcPr>
            <w:tcW w:w="675" w:type="pct"/>
            <w:vMerge/>
            <w:tcBorders>
              <w:top w:val="nil"/>
              <w:left w:val="single" w:sz="8" w:space="0" w:color="D9D9D9"/>
              <w:bottom w:val="single" w:sz="8" w:space="0" w:color="D9D9D9"/>
              <w:right w:val="single" w:sz="8" w:space="0" w:color="D9D9D9"/>
            </w:tcBorders>
            <w:vAlign w:val="center"/>
            <w:hideMark/>
          </w:tcPr>
          <w:p w14:paraId="66B2BBD3" w14:textId="77777777" w:rsidR="005D0429" w:rsidRPr="002048A7" w:rsidRDefault="005D0429" w:rsidP="005D0429">
            <w:pPr>
              <w:spacing w:after="0" w:line="240" w:lineRule="auto"/>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hideMark/>
          </w:tcPr>
          <w:p w14:paraId="71DC6A90" w14:textId="77777777" w:rsidR="005D0429" w:rsidRPr="002048A7" w:rsidRDefault="005D0429" w:rsidP="005D0429">
            <w:pPr>
              <w:spacing w:after="0" w:line="240" w:lineRule="auto"/>
              <w:rPr>
                <w:rFonts w:ascii="Calibri" w:eastAsia="Times New Roman" w:hAnsi="Calibri"/>
                <w:b/>
                <w:color w:val="000000"/>
                <w:sz w:val="20"/>
                <w:szCs w:val="20"/>
                <w:lang w:eastAsia="tr-TR"/>
              </w:rPr>
            </w:pPr>
            <w:r w:rsidRPr="002048A7">
              <w:rPr>
                <w:rFonts w:ascii="Calibri" w:eastAsia="Times New Roman" w:hAnsi="Calibri"/>
                <w:b/>
                <w:color w:val="000000"/>
                <w:sz w:val="20"/>
                <w:szCs w:val="20"/>
                <w:lang w:eastAsia="tr-TR"/>
              </w:rPr>
              <w:t>Toplam</w:t>
            </w:r>
          </w:p>
        </w:tc>
        <w:tc>
          <w:tcPr>
            <w:tcW w:w="577" w:type="pct"/>
            <w:tcBorders>
              <w:top w:val="nil"/>
              <w:left w:val="nil"/>
              <w:bottom w:val="single" w:sz="8" w:space="0" w:color="D9D9D9"/>
              <w:right w:val="single" w:sz="8" w:space="0" w:color="D9D9D9"/>
            </w:tcBorders>
            <w:shd w:val="clear" w:color="auto" w:fill="auto"/>
            <w:vAlign w:val="center"/>
            <w:hideMark/>
          </w:tcPr>
          <w:p w14:paraId="2FF0F925"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158.024,42</w:t>
            </w:r>
          </w:p>
        </w:tc>
        <w:tc>
          <w:tcPr>
            <w:tcW w:w="577" w:type="pct"/>
            <w:tcBorders>
              <w:top w:val="nil"/>
              <w:left w:val="nil"/>
              <w:bottom w:val="single" w:sz="8" w:space="0" w:color="D9D9D9"/>
              <w:right w:val="single" w:sz="8" w:space="0" w:color="D9D9D9"/>
            </w:tcBorders>
            <w:shd w:val="clear" w:color="auto" w:fill="auto"/>
            <w:vAlign w:val="center"/>
            <w:hideMark/>
          </w:tcPr>
          <w:p w14:paraId="4A92CA65"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156.356,51</w:t>
            </w:r>
          </w:p>
        </w:tc>
        <w:tc>
          <w:tcPr>
            <w:tcW w:w="661" w:type="pct"/>
            <w:tcBorders>
              <w:top w:val="nil"/>
              <w:left w:val="nil"/>
              <w:bottom w:val="single" w:sz="8" w:space="0" w:color="D9D9D9"/>
              <w:right w:val="single" w:sz="8" w:space="0" w:color="D9D9D9"/>
            </w:tcBorders>
            <w:shd w:val="clear" w:color="auto" w:fill="auto"/>
            <w:vAlign w:val="center"/>
            <w:hideMark/>
          </w:tcPr>
          <w:p w14:paraId="7C6B693E"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3.026.609,00</w:t>
            </w:r>
          </w:p>
        </w:tc>
        <w:tc>
          <w:tcPr>
            <w:tcW w:w="718" w:type="pct"/>
            <w:tcBorders>
              <w:top w:val="nil"/>
              <w:left w:val="nil"/>
              <w:bottom w:val="single" w:sz="8" w:space="0" w:color="D9D9D9"/>
              <w:right w:val="single" w:sz="8" w:space="0" w:color="D9D9D9"/>
            </w:tcBorders>
            <w:shd w:val="clear" w:color="auto" w:fill="auto"/>
            <w:vAlign w:val="center"/>
            <w:hideMark/>
          </w:tcPr>
          <w:p w14:paraId="3FB16696"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16.371.046,00</w:t>
            </w:r>
          </w:p>
        </w:tc>
        <w:tc>
          <w:tcPr>
            <w:tcW w:w="592" w:type="pct"/>
            <w:tcBorders>
              <w:top w:val="nil"/>
              <w:left w:val="nil"/>
              <w:bottom w:val="single" w:sz="8" w:space="0" w:color="D9D9D9"/>
              <w:right w:val="single" w:sz="8" w:space="0" w:color="D9D9D9"/>
            </w:tcBorders>
            <w:shd w:val="clear" w:color="auto" w:fill="auto"/>
            <w:vAlign w:val="center"/>
            <w:hideMark/>
          </w:tcPr>
          <w:p w14:paraId="13B95419"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18.568,00</w:t>
            </w:r>
          </w:p>
        </w:tc>
        <w:tc>
          <w:tcPr>
            <w:tcW w:w="718" w:type="pct"/>
            <w:tcBorders>
              <w:top w:val="nil"/>
              <w:left w:val="nil"/>
              <w:bottom w:val="single" w:sz="8" w:space="0" w:color="D9D9D9"/>
              <w:right w:val="single" w:sz="8" w:space="0" w:color="D9D9D9"/>
            </w:tcBorders>
            <w:shd w:val="clear" w:color="auto" w:fill="auto"/>
            <w:vAlign w:val="center"/>
            <w:hideMark/>
          </w:tcPr>
          <w:p w14:paraId="47DC011F"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19.416.223,00</w:t>
            </w:r>
          </w:p>
        </w:tc>
      </w:tr>
      <w:tr w:rsidR="005D0429" w:rsidRPr="002048A7" w14:paraId="5CB605B9" w14:textId="77777777" w:rsidTr="00D16262">
        <w:trPr>
          <w:trHeight w:val="20"/>
        </w:trPr>
        <w:tc>
          <w:tcPr>
            <w:tcW w:w="675" w:type="pct"/>
            <w:vMerge w:val="restart"/>
            <w:tcBorders>
              <w:top w:val="nil"/>
              <w:left w:val="single" w:sz="8" w:space="0" w:color="D9D9D9"/>
              <w:bottom w:val="single" w:sz="8" w:space="0" w:color="D9D9D9"/>
              <w:right w:val="single" w:sz="8" w:space="0" w:color="D9D9D9"/>
            </w:tcBorders>
            <w:shd w:val="clear" w:color="auto" w:fill="auto"/>
            <w:vAlign w:val="center"/>
            <w:hideMark/>
          </w:tcPr>
          <w:p w14:paraId="230A08BD" w14:textId="77777777" w:rsidR="005D0429" w:rsidRPr="002048A7" w:rsidRDefault="005D0429" w:rsidP="005D0429">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2009</w:t>
            </w:r>
          </w:p>
        </w:tc>
        <w:tc>
          <w:tcPr>
            <w:tcW w:w="482" w:type="pct"/>
            <w:tcBorders>
              <w:top w:val="nil"/>
              <w:left w:val="nil"/>
              <w:bottom w:val="single" w:sz="8" w:space="0" w:color="D9D9D9"/>
              <w:right w:val="single" w:sz="8" w:space="0" w:color="D9D9D9"/>
            </w:tcBorders>
            <w:shd w:val="clear" w:color="auto" w:fill="auto"/>
            <w:vAlign w:val="center"/>
            <w:hideMark/>
          </w:tcPr>
          <w:p w14:paraId="52FDF0FB" w14:textId="77777777" w:rsidR="005D0429" w:rsidRPr="002048A7" w:rsidRDefault="005D0429" w:rsidP="005D0429">
            <w:pPr>
              <w:spacing w:after="0" w:line="240" w:lineRule="auto"/>
              <w:rPr>
                <w:rFonts w:ascii="Calibri" w:eastAsia="Times New Roman" w:hAnsi="Calibri"/>
                <w:color w:val="000000"/>
                <w:sz w:val="20"/>
                <w:szCs w:val="20"/>
                <w:lang w:eastAsia="tr-TR"/>
              </w:rPr>
            </w:pPr>
            <w:r w:rsidRPr="002048A7">
              <w:rPr>
                <w:rFonts w:ascii="Calibri" w:eastAsia="Times New Roman" w:hAnsi="Calibri"/>
                <w:color w:val="000000"/>
                <w:sz w:val="20"/>
                <w:szCs w:val="20"/>
                <w:lang w:eastAsia="tr-TR"/>
              </w:rPr>
              <w:t>Rafineri</w:t>
            </w:r>
          </w:p>
        </w:tc>
        <w:tc>
          <w:tcPr>
            <w:tcW w:w="577" w:type="pct"/>
            <w:tcBorders>
              <w:top w:val="nil"/>
              <w:left w:val="nil"/>
              <w:bottom w:val="single" w:sz="8" w:space="0" w:color="D9D9D9"/>
              <w:right w:val="single" w:sz="8" w:space="0" w:color="D9D9D9"/>
            </w:tcBorders>
            <w:shd w:val="clear" w:color="auto" w:fill="auto"/>
            <w:vAlign w:val="center"/>
            <w:hideMark/>
          </w:tcPr>
          <w:p w14:paraId="7312C178"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87.617,32</w:t>
            </w:r>
          </w:p>
        </w:tc>
        <w:tc>
          <w:tcPr>
            <w:tcW w:w="577" w:type="pct"/>
            <w:tcBorders>
              <w:top w:val="nil"/>
              <w:left w:val="nil"/>
              <w:bottom w:val="single" w:sz="8" w:space="0" w:color="D9D9D9"/>
              <w:right w:val="single" w:sz="8" w:space="0" w:color="D9D9D9"/>
            </w:tcBorders>
            <w:shd w:val="clear" w:color="auto" w:fill="auto"/>
            <w:vAlign w:val="center"/>
            <w:hideMark/>
          </w:tcPr>
          <w:p w14:paraId="31951533"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88.218,87</w:t>
            </w:r>
          </w:p>
        </w:tc>
        <w:tc>
          <w:tcPr>
            <w:tcW w:w="661" w:type="pct"/>
            <w:tcBorders>
              <w:top w:val="nil"/>
              <w:left w:val="nil"/>
              <w:bottom w:val="single" w:sz="8" w:space="0" w:color="D9D9D9"/>
              <w:right w:val="single" w:sz="8" w:space="0" w:color="D9D9D9"/>
            </w:tcBorders>
            <w:shd w:val="clear" w:color="auto" w:fill="auto"/>
            <w:vAlign w:val="center"/>
            <w:hideMark/>
          </w:tcPr>
          <w:p w14:paraId="3F5B2210"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2.675.966,00</w:t>
            </w:r>
          </w:p>
        </w:tc>
        <w:tc>
          <w:tcPr>
            <w:tcW w:w="718" w:type="pct"/>
            <w:tcBorders>
              <w:top w:val="nil"/>
              <w:left w:val="nil"/>
              <w:bottom w:val="single" w:sz="8" w:space="0" w:color="D9D9D9"/>
              <w:right w:val="single" w:sz="8" w:space="0" w:color="D9D9D9"/>
            </w:tcBorders>
            <w:shd w:val="clear" w:color="auto" w:fill="auto"/>
            <w:vAlign w:val="center"/>
            <w:hideMark/>
          </w:tcPr>
          <w:p w14:paraId="2636A62B"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8.320.760,00</w:t>
            </w:r>
          </w:p>
        </w:tc>
        <w:tc>
          <w:tcPr>
            <w:tcW w:w="592" w:type="pct"/>
            <w:tcBorders>
              <w:top w:val="nil"/>
              <w:left w:val="nil"/>
              <w:bottom w:val="single" w:sz="8" w:space="0" w:color="D9D9D9"/>
              <w:right w:val="single" w:sz="8" w:space="0" w:color="D9D9D9"/>
            </w:tcBorders>
            <w:shd w:val="clear" w:color="auto" w:fill="auto"/>
            <w:vAlign w:val="center"/>
            <w:hideMark/>
          </w:tcPr>
          <w:p w14:paraId="199177BF"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0,00</w:t>
            </w:r>
          </w:p>
        </w:tc>
        <w:tc>
          <w:tcPr>
            <w:tcW w:w="718" w:type="pct"/>
            <w:tcBorders>
              <w:top w:val="nil"/>
              <w:left w:val="nil"/>
              <w:bottom w:val="single" w:sz="8" w:space="0" w:color="D9D9D9"/>
              <w:right w:val="single" w:sz="8" w:space="0" w:color="D9D9D9"/>
            </w:tcBorders>
            <w:shd w:val="clear" w:color="auto" w:fill="auto"/>
            <w:vAlign w:val="center"/>
            <w:hideMark/>
          </w:tcPr>
          <w:p w14:paraId="7CAB8FBB"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10.996.726,00</w:t>
            </w:r>
          </w:p>
        </w:tc>
      </w:tr>
      <w:tr w:rsidR="005D0429" w:rsidRPr="002048A7" w14:paraId="7944B84D" w14:textId="77777777" w:rsidTr="00D16262">
        <w:trPr>
          <w:trHeight w:val="20"/>
        </w:trPr>
        <w:tc>
          <w:tcPr>
            <w:tcW w:w="675" w:type="pct"/>
            <w:vMerge/>
            <w:tcBorders>
              <w:top w:val="nil"/>
              <w:left w:val="single" w:sz="8" w:space="0" w:color="D9D9D9"/>
              <w:bottom w:val="single" w:sz="8" w:space="0" w:color="D9D9D9"/>
              <w:right w:val="single" w:sz="8" w:space="0" w:color="D9D9D9"/>
            </w:tcBorders>
            <w:vAlign w:val="center"/>
            <w:hideMark/>
          </w:tcPr>
          <w:p w14:paraId="4E066FBC" w14:textId="77777777" w:rsidR="005D0429" w:rsidRPr="002048A7" w:rsidRDefault="005D0429" w:rsidP="005D0429">
            <w:pPr>
              <w:spacing w:after="0" w:line="240" w:lineRule="auto"/>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hideMark/>
          </w:tcPr>
          <w:p w14:paraId="67F95DDB" w14:textId="77777777" w:rsidR="005D0429" w:rsidRPr="002048A7" w:rsidRDefault="005D0429" w:rsidP="005D0429">
            <w:pPr>
              <w:spacing w:after="0" w:line="240" w:lineRule="auto"/>
              <w:rPr>
                <w:rFonts w:ascii="Calibri" w:eastAsia="Times New Roman" w:hAnsi="Calibri"/>
                <w:color w:val="000000"/>
                <w:sz w:val="20"/>
                <w:szCs w:val="20"/>
                <w:lang w:eastAsia="tr-TR"/>
              </w:rPr>
            </w:pPr>
            <w:r w:rsidRPr="002048A7">
              <w:rPr>
                <w:rFonts w:ascii="Calibri" w:eastAsia="Times New Roman" w:hAnsi="Calibri"/>
                <w:color w:val="000000"/>
                <w:sz w:val="20"/>
                <w:szCs w:val="20"/>
                <w:lang w:eastAsia="tr-TR"/>
              </w:rPr>
              <w:t xml:space="preserve">Dağıtıcılar </w:t>
            </w:r>
          </w:p>
        </w:tc>
        <w:tc>
          <w:tcPr>
            <w:tcW w:w="577" w:type="pct"/>
            <w:tcBorders>
              <w:top w:val="nil"/>
              <w:left w:val="nil"/>
              <w:bottom w:val="single" w:sz="8" w:space="0" w:color="D9D9D9"/>
              <w:right w:val="single" w:sz="8" w:space="0" w:color="D9D9D9"/>
            </w:tcBorders>
            <w:shd w:val="clear" w:color="auto" w:fill="auto"/>
            <w:vAlign w:val="center"/>
            <w:hideMark/>
          </w:tcPr>
          <w:p w14:paraId="64927D3D"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66.726,45</w:t>
            </w:r>
          </w:p>
        </w:tc>
        <w:tc>
          <w:tcPr>
            <w:tcW w:w="577" w:type="pct"/>
            <w:tcBorders>
              <w:top w:val="nil"/>
              <w:left w:val="nil"/>
              <w:bottom w:val="single" w:sz="8" w:space="0" w:color="D9D9D9"/>
              <w:right w:val="single" w:sz="8" w:space="0" w:color="D9D9D9"/>
            </w:tcBorders>
            <w:shd w:val="clear" w:color="auto" w:fill="auto"/>
            <w:vAlign w:val="center"/>
            <w:hideMark/>
          </w:tcPr>
          <w:p w14:paraId="62DB6F77"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66.141,29</w:t>
            </w:r>
          </w:p>
        </w:tc>
        <w:tc>
          <w:tcPr>
            <w:tcW w:w="661" w:type="pct"/>
            <w:tcBorders>
              <w:top w:val="nil"/>
              <w:left w:val="nil"/>
              <w:bottom w:val="single" w:sz="8" w:space="0" w:color="D9D9D9"/>
              <w:right w:val="single" w:sz="8" w:space="0" w:color="D9D9D9"/>
            </w:tcBorders>
            <w:shd w:val="clear" w:color="auto" w:fill="auto"/>
            <w:vAlign w:val="center"/>
            <w:hideMark/>
          </w:tcPr>
          <w:p w14:paraId="17500E10"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276.821,00</w:t>
            </w:r>
          </w:p>
        </w:tc>
        <w:tc>
          <w:tcPr>
            <w:tcW w:w="718" w:type="pct"/>
            <w:tcBorders>
              <w:top w:val="nil"/>
              <w:left w:val="nil"/>
              <w:bottom w:val="single" w:sz="8" w:space="0" w:color="D9D9D9"/>
              <w:right w:val="single" w:sz="8" w:space="0" w:color="D9D9D9"/>
            </w:tcBorders>
            <w:shd w:val="clear" w:color="auto" w:fill="auto"/>
            <w:vAlign w:val="center"/>
            <w:hideMark/>
          </w:tcPr>
          <w:p w14:paraId="75382984"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7.975.514,00</w:t>
            </w:r>
          </w:p>
        </w:tc>
        <w:tc>
          <w:tcPr>
            <w:tcW w:w="592" w:type="pct"/>
            <w:tcBorders>
              <w:top w:val="nil"/>
              <w:left w:val="nil"/>
              <w:bottom w:val="single" w:sz="8" w:space="0" w:color="D9D9D9"/>
              <w:right w:val="single" w:sz="8" w:space="0" w:color="D9D9D9"/>
            </w:tcBorders>
            <w:shd w:val="clear" w:color="auto" w:fill="auto"/>
            <w:vAlign w:val="center"/>
            <w:hideMark/>
          </w:tcPr>
          <w:p w14:paraId="069DA584"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12.231,00</w:t>
            </w:r>
          </w:p>
        </w:tc>
        <w:tc>
          <w:tcPr>
            <w:tcW w:w="718" w:type="pct"/>
            <w:tcBorders>
              <w:top w:val="nil"/>
              <w:left w:val="nil"/>
              <w:bottom w:val="single" w:sz="8" w:space="0" w:color="D9D9D9"/>
              <w:right w:val="single" w:sz="8" w:space="0" w:color="D9D9D9"/>
            </w:tcBorders>
            <w:shd w:val="clear" w:color="auto" w:fill="auto"/>
            <w:vAlign w:val="center"/>
            <w:hideMark/>
          </w:tcPr>
          <w:p w14:paraId="68E37678"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8.264.566,00</w:t>
            </w:r>
          </w:p>
        </w:tc>
      </w:tr>
      <w:tr w:rsidR="005D0429" w:rsidRPr="002048A7" w14:paraId="151771B4" w14:textId="77777777" w:rsidTr="00D16262">
        <w:trPr>
          <w:trHeight w:val="20"/>
        </w:trPr>
        <w:tc>
          <w:tcPr>
            <w:tcW w:w="675" w:type="pct"/>
            <w:vMerge/>
            <w:tcBorders>
              <w:top w:val="nil"/>
              <w:left w:val="single" w:sz="8" w:space="0" w:color="D9D9D9"/>
              <w:bottom w:val="single" w:sz="8" w:space="0" w:color="D9D9D9"/>
              <w:right w:val="single" w:sz="8" w:space="0" w:color="D9D9D9"/>
            </w:tcBorders>
            <w:vAlign w:val="center"/>
            <w:hideMark/>
          </w:tcPr>
          <w:p w14:paraId="5C5F5297" w14:textId="77777777" w:rsidR="005D0429" w:rsidRPr="002048A7" w:rsidRDefault="005D0429" w:rsidP="005D0429">
            <w:pPr>
              <w:spacing w:after="0" w:line="240" w:lineRule="auto"/>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hideMark/>
          </w:tcPr>
          <w:p w14:paraId="4FF044FE" w14:textId="77777777" w:rsidR="005D0429" w:rsidRPr="002048A7" w:rsidRDefault="005D0429" w:rsidP="005D0429">
            <w:pPr>
              <w:spacing w:after="0" w:line="240" w:lineRule="auto"/>
              <w:rPr>
                <w:rFonts w:ascii="Calibri" w:eastAsia="Times New Roman" w:hAnsi="Calibri"/>
                <w:b/>
                <w:color w:val="000000"/>
                <w:sz w:val="20"/>
                <w:szCs w:val="20"/>
                <w:lang w:eastAsia="tr-TR"/>
              </w:rPr>
            </w:pPr>
            <w:r w:rsidRPr="002048A7">
              <w:rPr>
                <w:rFonts w:ascii="Calibri" w:eastAsia="Times New Roman" w:hAnsi="Calibri"/>
                <w:b/>
                <w:color w:val="000000"/>
                <w:sz w:val="20"/>
                <w:szCs w:val="20"/>
                <w:lang w:eastAsia="tr-TR"/>
              </w:rPr>
              <w:t>Toplam</w:t>
            </w:r>
          </w:p>
        </w:tc>
        <w:tc>
          <w:tcPr>
            <w:tcW w:w="577" w:type="pct"/>
            <w:tcBorders>
              <w:top w:val="nil"/>
              <w:left w:val="nil"/>
              <w:bottom w:val="single" w:sz="8" w:space="0" w:color="D9D9D9"/>
              <w:right w:val="single" w:sz="8" w:space="0" w:color="D9D9D9"/>
            </w:tcBorders>
            <w:shd w:val="clear" w:color="auto" w:fill="auto"/>
            <w:vAlign w:val="center"/>
            <w:hideMark/>
          </w:tcPr>
          <w:p w14:paraId="4F93B1D1"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154.343,77</w:t>
            </w:r>
          </w:p>
        </w:tc>
        <w:tc>
          <w:tcPr>
            <w:tcW w:w="577" w:type="pct"/>
            <w:tcBorders>
              <w:top w:val="nil"/>
              <w:left w:val="nil"/>
              <w:bottom w:val="single" w:sz="8" w:space="0" w:color="D9D9D9"/>
              <w:right w:val="single" w:sz="8" w:space="0" w:color="D9D9D9"/>
            </w:tcBorders>
            <w:shd w:val="clear" w:color="auto" w:fill="auto"/>
            <w:vAlign w:val="center"/>
            <w:hideMark/>
          </w:tcPr>
          <w:p w14:paraId="70198E31"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154.360,16</w:t>
            </w:r>
          </w:p>
        </w:tc>
        <w:tc>
          <w:tcPr>
            <w:tcW w:w="661" w:type="pct"/>
            <w:tcBorders>
              <w:top w:val="nil"/>
              <w:left w:val="nil"/>
              <w:bottom w:val="single" w:sz="8" w:space="0" w:color="D9D9D9"/>
              <w:right w:val="single" w:sz="8" w:space="0" w:color="D9D9D9"/>
            </w:tcBorders>
            <w:shd w:val="clear" w:color="auto" w:fill="auto"/>
            <w:vAlign w:val="center"/>
            <w:hideMark/>
          </w:tcPr>
          <w:p w14:paraId="1F70E3E4"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2.952.787,00</w:t>
            </w:r>
          </w:p>
        </w:tc>
        <w:tc>
          <w:tcPr>
            <w:tcW w:w="718" w:type="pct"/>
            <w:tcBorders>
              <w:top w:val="nil"/>
              <w:left w:val="nil"/>
              <w:bottom w:val="single" w:sz="8" w:space="0" w:color="D9D9D9"/>
              <w:right w:val="single" w:sz="8" w:space="0" w:color="D9D9D9"/>
            </w:tcBorders>
            <w:shd w:val="clear" w:color="auto" w:fill="auto"/>
            <w:vAlign w:val="center"/>
            <w:hideMark/>
          </w:tcPr>
          <w:p w14:paraId="48E35F7E"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16.296.274,00</w:t>
            </w:r>
          </w:p>
        </w:tc>
        <w:tc>
          <w:tcPr>
            <w:tcW w:w="592" w:type="pct"/>
            <w:tcBorders>
              <w:top w:val="nil"/>
              <w:left w:val="nil"/>
              <w:bottom w:val="single" w:sz="8" w:space="0" w:color="D9D9D9"/>
              <w:right w:val="single" w:sz="8" w:space="0" w:color="D9D9D9"/>
            </w:tcBorders>
            <w:shd w:val="clear" w:color="auto" w:fill="auto"/>
            <w:vAlign w:val="center"/>
            <w:hideMark/>
          </w:tcPr>
          <w:p w14:paraId="55D3516B"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12.231,00</w:t>
            </w:r>
          </w:p>
        </w:tc>
        <w:tc>
          <w:tcPr>
            <w:tcW w:w="718" w:type="pct"/>
            <w:tcBorders>
              <w:top w:val="nil"/>
              <w:left w:val="nil"/>
              <w:bottom w:val="single" w:sz="8" w:space="0" w:color="D9D9D9"/>
              <w:right w:val="single" w:sz="8" w:space="0" w:color="D9D9D9"/>
            </w:tcBorders>
            <w:shd w:val="clear" w:color="auto" w:fill="auto"/>
            <w:vAlign w:val="center"/>
            <w:hideMark/>
          </w:tcPr>
          <w:p w14:paraId="26E75E40"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19.261.292,00</w:t>
            </w:r>
          </w:p>
        </w:tc>
      </w:tr>
      <w:tr w:rsidR="005D0429" w:rsidRPr="002048A7" w14:paraId="24601FD5" w14:textId="77777777" w:rsidTr="00D16262">
        <w:trPr>
          <w:trHeight w:val="20"/>
        </w:trPr>
        <w:tc>
          <w:tcPr>
            <w:tcW w:w="675" w:type="pct"/>
            <w:vMerge w:val="restart"/>
            <w:tcBorders>
              <w:top w:val="nil"/>
              <w:left w:val="single" w:sz="8" w:space="0" w:color="D9D9D9"/>
              <w:bottom w:val="single" w:sz="8" w:space="0" w:color="D9D9D9"/>
              <w:right w:val="single" w:sz="8" w:space="0" w:color="D9D9D9"/>
            </w:tcBorders>
            <w:shd w:val="clear" w:color="auto" w:fill="auto"/>
            <w:vAlign w:val="center"/>
            <w:hideMark/>
          </w:tcPr>
          <w:p w14:paraId="3F71BF90" w14:textId="77777777" w:rsidR="005D0429" w:rsidRPr="002048A7" w:rsidRDefault="005D0429" w:rsidP="005D0429">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2010</w:t>
            </w:r>
          </w:p>
        </w:tc>
        <w:tc>
          <w:tcPr>
            <w:tcW w:w="482" w:type="pct"/>
            <w:tcBorders>
              <w:top w:val="nil"/>
              <w:left w:val="nil"/>
              <w:bottom w:val="single" w:sz="8" w:space="0" w:color="D9D9D9"/>
              <w:right w:val="single" w:sz="8" w:space="0" w:color="D9D9D9"/>
            </w:tcBorders>
            <w:shd w:val="clear" w:color="auto" w:fill="auto"/>
            <w:vAlign w:val="center"/>
            <w:hideMark/>
          </w:tcPr>
          <w:p w14:paraId="09CEC17F" w14:textId="77777777" w:rsidR="005D0429" w:rsidRPr="002048A7" w:rsidRDefault="005D0429" w:rsidP="005D0429">
            <w:pPr>
              <w:spacing w:after="0" w:line="240" w:lineRule="auto"/>
              <w:rPr>
                <w:rFonts w:ascii="Calibri" w:eastAsia="Times New Roman" w:hAnsi="Calibri"/>
                <w:color w:val="000000"/>
                <w:sz w:val="20"/>
                <w:szCs w:val="20"/>
                <w:lang w:eastAsia="tr-TR"/>
              </w:rPr>
            </w:pPr>
            <w:r w:rsidRPr="002048A7">
              <w:rPr>
                <w:rFonts w:ascii="Calibri" w:eastAsia="Times New Roman" w:hAnsi="Calibri"/>
                <w:color w:val="000000"/>
                <w:sz w:val="20"/>
                <w:szCs w:val="20"/>
                <w:lang w:eastAsia="tr-TR"/>
              </w:rPr>
              <w:t>Rafineri</w:t>
            </w:r>
          </w:p>
        </w:tc>
        <w:tc>
          <w:tcPr>
            <w:tcW w:w="577" w:type="pct"/>
            <w:tcBorders>
              <w:top w:val="nil"/>
              <w:left w:val="nil"/>
              <w:bottom w:val="single" w:sz="8" w:space="0" w:color="D9D9D9"/>
              <w:right w:val="single" w:sz="8" w:space="0" w:color="D9D9D9"/>
            </w:tcBorders>
            <w:shd w:val="clear" w:color="auto" w:fill="auto"/>
            <w:vAlign w:val="center"/>
            <w:hideMark/>
          </w:tcPr>
          <w:p w14:paraId="5BE1D1DE"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79.641,87</w:t>
            </w:r>
          </w:p>
        </w:tc>
        <w:tc>
          <w:tcPr>
            <w:tcW w:w="577" w:type="pct"/>
            <w:tcBorders>
              <w:top w:val="nil"/>
              <w:left w:val="nil"/>
              <w:bottom w:val="single" w:sz="8" w:space="0" w:color="D9D9D9"/>
              <w:right w:val="single" w:sz="8" w:space="0" w:color="D9D9D9"/>
            </w:tcBorders>
            <w:shd w:val="clear" w:color="auto" w:fill="auto"/>
            <w:vAlign w:val="center"/>
            <w:hideMark/>
          </w:tcPr>
          <w:p w14:paraId="013D1C5A"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79.614,98</w:t>
            </w:r>
          </w:p>
        </w:tc>
        <w:tc>
          <w:tcPr>
            <w:tcW w:w="661" w:type="pct"/>
            <w:tcBorders>
              <w:top w:val="nil"/>
              <w:left w:val="nil"/>
              <w:bottom w:val="single" w:sz="8" w:space="0" w:color="D9D9D9"/>
              <w:right w:val="single" w:sz="8" w:space="0" w:color="D9D9D9"/>
            </w:tcBorders>
            <w:shd w:val="clear" w:color="auto" w:fill="auto"/>
            <w:vAlign w:val="center"/>
            <w:hideMark/>
          </w:tcPr>
          <w:p w14:paraId="20754EFC"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2.380.445,00</w:t>
            </w:r>
          </w:p>
        </w:tc>
        <w:tc>
          <w:tcPr>
            <w:tcW w:w="718" w:type="pct"/>
            <w:tcBorders>
              <w:top w:val="nil"/>
              <w:left w:val="nil"/>
              <w:bottom w:val="single" w:sz="8" w:space="0" w:color="D9D9D9"/>
              <w:right w:val="single" w:sz="8" w:space="0" w:color="D9D9D9"/>
            </w:tcBorders>
            <w:shd w:val="clear" w:color="auto" w:fill="auto"/>
            <w:vAlign w:val="center"/>
            <w:hideMark/>
          </w:tcPr>
          <w:p w14:paraId="4F63EC6B"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7.571.627,00</w:t>
            </w:r>
          </w:p>
        </w:tc>
        <w:tc>
          <w:tcPr>
            <w:tcW w:w="592" w:type="pct"/>
            <w:tcBorders>
              <w:top w:val="nil"/>
              <w:left w:val="nil"/>
              <w:bottom w:val="single" w:sz="8" w:space="0" w:color="D9D9D9"/>
              <w:right w:val="single" w:sz="8" w:space="0" w:color="D9D9D9"/>
            </w:tcBorders>
            <w:shd w:val="clear" w:color="auto" w:fill="auto"/>
            <w:vAlign w:val="center"/>
            <w:hideMark/>
          </w:tcPr>
          <w:p w14:paraId="4771A62A"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0,00</w:t>
            </w:r>
          </w:p>
        </w:tc>
        <w:tc>
          <w:tcPr>
            <w:tcW w:w="718" w:type="pct"/>
            <w:tcBorders>
              <w:top w:val="nil"/>
              <w:left w:val="nil"/>
              <w:bottom w:val="single" w:sz="8" w:space="0" w:color="D9D9D9"/>
              <w:right w:val="single" w:sz="8" w:space="0" w:color="D9D9D9"/>
            </w:tcBorders>
            <w:shd w:val="clear" w:color="auto" w:fill="auto"/>
            <w:vAlign w:val="center"/>
            <w:hideMark/>
          </w:tcPr>
          <w:p w14:paraId="6E0080F5"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9.952.072,00</w:t>
            </w:r>
          </w:p>
        </w:tc>
      </w:tr>
      <w:tr w:rsidR="005D0429" w:rsidRPr="002048A7" w14:paraId="7BF62D1D" w14:textId="77777777" w:rsidTr="00D16262">
        <w:trPr>
          <w:trHeight w:val="20"/>
        </w:trPr>
        <w:tc>
          <w:tcPr>
            <w:tcW w:w="675" w:type="pct"/>
            <w:vMerge/>
            <w:tcBorders>
              <w:top w:val="nil"/>
              <w:left w:val="single" w:sz="8" w:space="0" w:color="D9D9D9"/>
              <w:bottom w:val="single" w:sz="8" w:space="0" w:color="D9D9D9"/>
              <w:right w:val="single" w:sz="8" w:space="0" w:color="D9D9D9"/>
            </w:tcBorders>
            <w:vAlign w:val="center"/>
            <w:hideMark/>
          </w:tcPr>
          <w:p w14:paraId="16B1E65A" w14:textId="77777777" w:rsidR="005D0429" w:rsidRPr="002048A7" w:rsidRDefault="005D0429" w:rsidP="005D0429">
            <w:pPr>
              <w:spacing w:after="0" w:line="240" w:lineRule="auto"/>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hideMark/>
          </w:tcPr>
          <w:p w14:paraId="41DED879" w14:textId="77777777" w:rsidR="005D0429" w:rsidRPr="002048A7" w:rsidRDefault="005D0429" w:rsidP="005D0429">
            <w:pPr>
              <w:spacing w:after="0" w:line="240" w:lineRule="auto"/>
              <w:rPr>
                <w:rFonts w:ascii="Calibri" w:eastAsia="Times New Roman" w:hAnsi="Calibri"/>
                <w:color w:val="000000"/>
                <w:sz w:val="20"/>
                <w:szCs w:val="20"/>
                <w:lang w:eastAsia="tr-TR"/>
              </w:rPr>
            </w:pPr>
            <w:r w:rsidRPr="002048A7">
              <w:rPr>
                <w:rFonts w:ascii="Calibri" w:eastAsia="Times New Roman" w:hAnsi="Calibri"/>
                <w:color w:val="000000"/>
                <w:sz w:val="20"/>
                <w:szCs w:val="20"/>
                <w:lang w:eastAsia="tr-TR"/>
              </w:rPr>
              <w:t xml:space="preserve">Dağıtıcılar </w:t>
            </w:r>
          </w:p>
        </w:tc>
        <w:tc>
          <w:tcPr>
            <w:tcW w:w="577" w:type="pct"/>
            <w:tcBorders>
              <w:top w:val="nil"/>
              <w:left w:val="nil"/>
              <w:bottom w:val="single" w:sz="8" w:space="0" w:color="D9D9D9"/>
              <w:right w:val="single" w:sz="8" w:space="0" w:color="D9D9D9"/>
            </w:tcBorders>
            <w:shd w:val="clear" w:color="auto" w:fill="auto"/>
            <w:vAlign w:val="center"/>
            <w:hideMark/>
          </w:tcPr>
          <w:p w14:paraId="1D236244"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80.050,80</w:t>
            </w:r>
          </w:p>
        </w:tc>
        <w:tc>
          <w:tcPr>
            <w:tcW w:w="577" w:type="pct"/>
            <w:tcBorders>
              <w:top w:val="nil"/>
              <w:left w:val="nil"/>
              <w:bottom w:val="single" w:sz="8" w:space="0" w:color="D9D9D9"/>
              <w:right w:val="single" w:sz="8" w:space="0" w:color="D9D9D9"/>
            </w:tcBorders>
            <w:shd w:val="clear" w:color="auto" w:fill="auto"/>
            <w:vAlign w:val="center"/>
            <w:hideMark/>
          </w:tcPr>
          <w:p w14:paraId="717D890A"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78.335,93</w:t>
            </w:r>
          </w:p>
        </w:tc>
        <w:tc>
          <w:tcPr>
            <w:tcW w:w="661" w:type="pct"/>
            <w:tcBorders>
              <w:top w:val="nil"/>
              <w:left w:val="nil"/>
              <w:bottom w:val="single" w:sz="8" w:space="0" w:color="D9D9D9"/>
              <w:right w:val="single" w:sz="8" w:space="0" w:color="D9D9D9"/>
            </w:tcBorders>
            <w:shd w:val="clear" w:color="auto" w:fill="auto"/>
            <w:vAlign w:val="center"/>
            <w:hideMark/>
          </w:tcPr>
          <w:p w14:paraId="77FF49A1"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367.442,00</w:t>
            </w:r>
          </w:p>
        </w:tc>
        <w:tc>
          <w:tcPr>
            <w:tcW w:w="718" w:type="pct"/>
            <w:tcBorders>
              <w:top w:val="nil"/>
              <w:left w:val="nil"/>
              <w:bottom w:val="single" w:sz="8" w:space="0" w:color="D9D9D9"/>
              <w:right w:val="single" w:sz="8" w:space="0" w:color="D9D9D9"/>
            </w:tcBorders>
            <w:shd w:val="clear" w:color="auto" w:fill="auto"/>
            <w:vAlign w:val="center"/>
            <w:hideMark/>
          </w:tcPr>
          <w:p w14:paraId="17B88F37"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9.405.426,00</w:t>
            </w:r>
          </w:p>
        </w:tc>
        <w:tc>
          <w:tcPr>
            <w:tcW w:w="592" w:type="pct"/>
            <w:tcBorders>
              <w:top w:val="nil"/>
              <w:left w:val="nil"/>
              <w:bottom w:val="single" w:sz="8" w:space="0" w:color="D9D9D9"/>
              <w:right w:val="single" w:sz="8" w:space="0" w:color="D9D9D9"/>
            </w:tcBorders>
            <w:shd w:val="clear" w:color="auto" w:fill="auto"/>
            <w:vAlign w:val="center"/>
            <w:hideMark/>
          </w:tcPr>
          <w:p w14:paraId="1E5AEFD9"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18.591,00</w:t>
            </w:r>
          </w:p>
        </w:tc>
        <w:tc>
          <w:tcPr>
            <w:tcW w:w="718" w:type="pct"/>
            <w:tcBorders>
              <w:top w:val="nil"/>
              <w:left w:val="nil"/>
              <w:bottom w:val="single" w:sz="8" w:space="0" w:color="D9D9D9"/>
              <w:right w:val="single" w:sz="8" w:space="0" w:color="D9D9D9"/>
            </w:tcBorders>
            <w:shd w:val="clear" w:color="auto" w:fill="auto"/>
            <w:vAlign w:val="center"/>
            <w:hideMark/>
          </w:tcPr>
          <w:p w14:paraId="21B01A85"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9.791.459,00</w:t>
            </w:r>
          </w:p>
        </w:tc>
      </w:tr>
      <w:tr w:rsidR="005D0429" w:rsidRPr="002048A7" w14:paraId="7C79E986" w14:textId="77777777" w:rsidTr="00D16262">
        <w:trPr>
          <w:trHeight w:val="20"/>
        </w:trPr>
        <w:tc>
          <w:tcPr>
            <w:tcW w:w="675" w:type="pct"/>
            <w:vMerge/>
            <w:tcBorders>
              <w:top w:val="nil"/>
              <w:left w:val="single" w:sz="8" w:space="0" w:color="D9D9D9"/>
              <w:bottom w:val="single" w:sz="8" w:space="0" w:color="D9D9D9"/>
              <w:right w:val="single" w:sz="8" w:space="0" w:color="D9D9D9"/>
            </w:tcBorders>
            <w:vAlign w:val="center"/>
            <w:hideMark/>
          </w:tcPr>
          <w:p w14:paraId="2E2DB8B5" w14:textId="77777777" w:rsidR="005D0429" w:rsidRPr="002048A7" w:rsidRDefault="005D0429" w:rsidP="005D0429">
            <w:pPr>
              <w:spacing w:after="0" w:line="240" w:lineRule="auto"/>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hideMark/>
          </w:tcPr>
          <w:p w14:paraId="2B13C54E" w14:textId="77777777" w:rsidR="005D0429" w:rsidRPr="002048A7" w:rsidRDefault="005D0429" w:rsidP="005D0429">
            <w:pPr>
              <w:spacing w:after="0" w:line="240" w:lineRule="auto"/>
              <w:rPr>
                <w:rFonts w:ascii="Calibri" w:eastAsia="Times New Roman" w:hAnsi="Calibri"/>
                <w:b/>
                <w:color w:val="000000"/>
                <w:sz w:val="20"/>
                <w:szCs w:val="20"/>
                <w:lang w:eastAsia="tr-TR"/>
              </w:rPr>
            </w:pPr>
            <w:r w:rsidRPr="002048A7">
              <w:rPr>
                <w:rFonts w:ascii="Calibri" w:eastAsia="Times New Roman" w:hAnsi="Calibri"/>
                <w:b/>
                <w:color w:val="000000"/>
                <w:sz w:val="20"/>
                <w:szCs w:val="20"/>
                <w:lang w:eastAsia="tr-TR"/>
              </w:rPr>
              <w:t>Toplam</w:t>
            </w:r>
          </w:p>
        </w:tc>
        <w:tc>
          <w:tcPr>
            <w:tcW w:w="577" w:type="pct"/>
            <w:tcBorders>
              <w:top w:val="nil"/>
              <w:left w:val="nil"/>
              <w:bottom w:val="single" w:sz="8" w:space="0" w:color="D9D9D9"/>
              <w:right w:val="single" w:sz="8" w:space="0" w:color="D9D9D9"/>
            </w:tcBorders>
            <w:shd w:val="clear" w:color="auto" w:fill="auto"/>
            <w:vAlign w:val="center"/>
            <w:hideMark/>
          </w:tcPr>
          <w:p w14:paraId="30851B1A"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159.692,67</w:t>
            </w:r>
          </w:p>
        </w:tc>
        <w:tc>
          <w:tcPr>
            <w:tcW w:w="577" w:type="pct"/>
            <w:tcBorders>
              <w:top w:val="nil"/>
              <w:left w:val="nil"/>
              <w:bottom w:val="single" w:sz="8" w:space="0" w:color="D9D9D9"/>
              <w:right w:val="single" w:sz="8" w:space="0" w:color="D9D9D9"/>
            </w:tcBorders>
            <w:shd w:val="clear" w:color="auto" w:fill="auto"/>
            <w:vAlign w:val="center"/>
            <w:hideMark/>
          </w:tcPr>
          <w:p w14:paraId="7D6D7F25"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157.950,90</w:t>
            </w:r>
          </w:p>
        </w:tc>
        <w:tc>
          <w:tcPr>
            <w:tcW w:w="661" w:type="pct"/>
            <w:tcBorders>
              <w:top w:val="nil"/>
              <w:left w:val="nil"/>
              <w:bottom w:val="single" w:sz="8" w:space="0" w:color="D9D9D9"/>
              <w:right w:val="single" w:sz="8" w:space="0" w:color="D9D9D9"/>
            </w:tcBorders>
            <w:shd w:val="clear" w:color="auto" w:fill="auto"/>
            <w:vAlign w:val="center"/>
            <w:hideMark/>
          </w:tcPr>
          <w:p w14:paraId="6CB3B250"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2.747.888,00</w:t>
            </w:r>
          </w:p>
        </w:tc>
        <w:tc>
          <w:tcPr>
            <w:tcW w:w="718" w:type="pct"/>
            <w:tcBorders>
              <w:top w:val="nil"/>
              <w:left w:val="nil"/>
              <w:bottom w:val="single" w:sz="8" w:space="0" w:color="D9D9D9"/>
              <w:right w:val="single" w:sz="8" w:space="0" w:color="D9D9D9"/>
            </w:tcBorders>
            <w:shd w:val="clear" w:color="auto" w:fill="auto"/>
            <w:vAlign w:val="center"/>
            <w:hideMark/>
          </w:tcPr>
          <w:p w14:paraId="44CC9B47"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16.977.053,00</w:t>
            </w:r>
          </w:p>
        </w:tc>
        <w:tc>
          <w:tcPr>
            <w:tcW w:w="592" w:type="pct"/>
            <w:tcBorders>
              <w:top w:val="nil"/>
              <w:left w:val="nil"/>
              <w:bottom w:val="single" w:sz="8" w:space="0" w:color="D9D9D9"/>
              <w:right w:val="single" w:sz="8" w:space="0" w:color="D9D9D9"/>
            </w:tcBorders>
            <w:shd w:val="clear" w:color="auto" w:fill="auto"/>
            <w:vAlign w:val="center"/>
            <w:hideMark/>
          </w:tcPr>
          <w:p w14:paraId="786DC224"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18.591,00</w:t>
            </w:r>
          </w:p>
        </w:tc>
        <w:tc>
          <w:tcPr>
            <w:tcW w:w="718" w:type="pct"/>
            <w:tcBorders>
              <w:top w:val="nil"/>
              <w:left w:val="nil"/>
              <w:bottom w:val="single" w:sz="8" w:space="0" w:color="D9D9D9"/>
              <w:right w:val="single" w:sz="8" w:space="0" w:color="D9D9D9"/>
            </w:tcBorders>
            <w:shd w:val="clear" w:color="auto" w:fill="auto"/>
            <w:vAlign w:val="center"/>
            <w:hideMark/>
          </w:tcPr>
          <w:p w14:paraId="25BDC6A2"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19.743.532,00</w:t>
            </w:r>
          </w:p>
        </w:tc>
      </w:tr>
      <w:tr w:rsidR="005D0429" w:rsidRPr="002048A7" w14:paraId="5D89CA34" w14:textId="77777777" w:rsidTr="00D16262">
        <w:trPr>
          <w:trHeight w:val="20"/>
        </w:trPr>
        <w:tc>
          <w:tcPr>
            <w:tcW w:w="675" w:type="pct"/>
            <w:vMerge w:val="restart"/>
            <w:tcBorders>
              <w:top w:val="nil"/>
              <w:left w:val="single" w:sz="8" w:space="0" w:color="D9D9D9"/>
              <w:bottom w:val="single" w:sz="8" w:space="0" w:color="D9D9D9"/>
              <w:right w:val="single" w:sz="8" w:space="0" w:color="D9D9D9"/>
            </w:tcBorders>
            <w:shd w:val="clear" w:color="auto" w:fill="auto"/>
            <w:vAlign w:val="center"/>
            <w:hideMark/>
          </w:tcPr>
          <w:p w14:paraId="6C00AE1E" w14:textId="77777777" w:rsidR="005D0429" w:rsidRPr="002048A7" w:rsidRDefault="005D0429" w:rsidP="005D0429">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2011</w:t>
            </w:r>
          </w:p>
        </w:tc>
        <w:tc>
          <w:tcPr>
            <w:tcW w:w="482" w:type="pct"/>
            <w:tcBorders>
              <w:top w:val="nil"/>
              <w:left w:val="nil"/>
              <w:bottom w:val="single" w:sz="8" w:space="0" w:color="D9D9D9"/>
              <w:right w:val="single" w:sz="8" w:space="0" w:color="D9D9D9"/>
            </w:tcBorders>
            <w:shd w:val="clear" w:color="auto" w:fill="auto"/>
            <w:vAlign w:val="center"/>
            <w:hideMark/>
          </w:tcPr>
          <w:p w14:paraId="7124993A" w14:textId="77777777" w:rsidR="005D0429" w:rsidRPr="002048A7" w:rsidRDefault="005D0429" w:rsidP="005D0429">
            <w:pPr>
              <w:spacing w:after="0" w:line="240" w:lineRule="auto"/>
              <w:rPr>
                <w:rFonts w:ascii="Calibri" w:eastAsia="Times New Roman" w:hAnsi="Calibri"/>
                <w:color w:val="000000"/>
                <w:sz w:val="20"/>
                <w:szCs w:val="20"/>
                <w:lang w:eastAsia="tr-TR"/>
              </w:rPr>
            </w:pPr>
            <w:r w:rsidRPr="002048A7">
              <w:rPr>
                <w:rFonts w:ascii="Calibri" w:eastAsia="Times New Roman" w:hAnsi="Calibri"/>
                <w:color w:val="000000"/>
                <w:sz w:val="20"/>
                <w:szCs w:val="20"/>
                <w:lang w:eastAsia="tr-TR"/>
              </w:rPr>
              <w:t>Rafineri</w:t>
            </w:r>
          </w:p>
        </w:tc>
        <w:tc>
          <w:tcPr>
            <w:tcW w:w="577" w:type="pct"/>
            <w:tcBorders>
              <w:top w:val="nil"/>
              <w:left w:val="nil"/>
              <w:bottom w:val="single" w:sz="8" w:space="0" w:color="D9D9D9"/>
              <w:right w:val="single" w:sz="8" w:space="0" w:color="D9D9D9"/>
            </w:tcBorders>
            <w:shd w:val="clear" w:color="auto" w:fill="auto"/>
            <w:vAlign w:val="center"/>
            <w:hideMark/>
          </w:tcPr>
          <w:p w14:paraId="2417284E"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91.993,00</w:t>
            </w:r>
          </w:p>
        </w:tc>
        <w:tc>
          <w:tcPr>
            <w:tcW w:w="577" w:type="pct"/>
            <w:tcBorders>
              <w:top w:val="nil"/>
              <w:left w:val="nil"/>
              <w:bottom w:val="single" w:sz="8" w:space="0" w:color="D9D9D9"/>
              <w:right w:val="single" w:sz="8" w:space="0" w:color="D9D9D9"/>
            </w:tcBorders>
            <w:shd w:val="clear" w:color="auto" w:fill="auto"/>
            <w:vAlign w:val="center"/>
            <w:hideMark/>
          </w:tcPr>
          <w:p w14:paraId="2771F0E9"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92.304,00</w:t>
            </w:r>
          </w:p>
        </w:tc>
        <w:tc>
          <w:tcPr>
            <w:tcW w:w="661" w:type="pct"/>
            <w:tcBorders>
              <w:top w:val="nil"/>
              <w:left w:val="nil"/>
              <w:bottom w:val="single" w:sz="8" w:space="0" w:color="D9D9D9"/>
              <w:right w:val="single" w:sz="8" w:space="0" w:color="D9D9D9"/>
            </w:tcBorders>
            <w:shd w:val="clear" w:color="auto" w:fill="auto"/>
            <w:vAlign w:val="center"/>
            <w:hideMark/>
          </w:tcPr>
          <w:p w14:paraId="5933D370"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2.413.099,00</w:t>
            </w:r>
          </w:p>
        </w:tc>
        <w:tc>
          <w:tcPr>
            <w:tcW w:w="718" w:type="pct"/>
            <w:tcBorders>
              <w:top w:val="nil"/>
              <w:left w:val="nil"/>
              <w:bottom w:val="single" w:sz="8" w:space="0" w:color="D9D9D9"/>
              <w:right w:val="single" w:sz="8" w:space="0" w:color="D9D9D9"/>
            </w:tcBorders>
            <w:shd w:val="clear" w:color="auto" w:fill="auto"/>
            <w:vAlign w:val="center"/>
            <w:hideMark/>
          </w:tcPr>
          <w:p w14:paraId="344363C1"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9.124.916,00</w:t>
            </w:r>
          </w:p>
        </w:tc>
        <w:tc>
          <w:tcPr>
            <w:tcW w:w="592" w:type="pct"/>
            <w:tcBorders>
              <w:top w:val="nil"/>
              <w:left w:val="nil"/>
              <w:bottom w:val="single" w:sz="8" w:space="0" w:color="D9D9D9"/>
              <w:right w:val="single" w:sz="8" w:space="0" w:color="D9D9D9"/>
            </w:tcBorders>
            <w:shd w:val="clear" w:color="auto" w:fill="auto"/>
            <w:vAlign w:val="center"/>
            <w:hideMark/>
          </w:tcPr>
          <w:p w14:paraId="1856A474"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0,00</w:t>
            </w:r>
          </w:p>
        </w:tc>
        <w:tc>
          <w:tcPr>
            <w:tcW w:w="718" w:type="pct"/>
            <w:tcBorders>
              <w:top w:val="nil"/>
              <w:left w:val="nil"/>
              <w:bottom w:val="single" w:sz="8" w:space="0" w:color="D9D9D9"/>
              <w:right w:val="single" w:sz="8" w:space="0" w:color="D9D9D9"/>
            </w:tcBorders>
            <w:shd w:val="clear" w:color="auto" w:fill="auto"/>
            <w:vAlign w:val="center"/>
            <w:hideMark/>
          </w:tcPr>
          <w:p w14:paraId="4EEFB89A"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11.538.015,00</w:t>
            </w:r>
          </w:p>
        </w:tc>
      </w:tr>
      <w:tr w:rsidR="005D0429" w:rsidRPr="002048A7" w14:paraId="10200E9C" w14:textId="77777777" w:rsidTr="00D16262">
        <w:trPr>
          <w:trHeight w:val="20"/>
        </w:trPr>
        <w:tc>
          <w:tcPr>
            <w:tcW w:w="675" w:type="pct"/>
            <w:vMerge/>
            <w:tcBorders>
              <w:top w:val="nil"/>
              <w:left w:val="single" w:sz="8" w:space="0" w:color="D9D9D9"/>
              <w:bottom w:val="single" w:sz="8" w:space="0" w:color="D9D9D9"/>
              <w:right w:val="single" w:sz="8" w:space="0" w:color="D9D9D9"/>
            </w:tcBorders>
            <w:vAlign w:val="center"/>
            <w:hideMark/>
          </w:tcPr>
          <w:p w14:paraId="0A1F1A11" w14:textId="77777777" w:rsidR="005D0429" w:rsidRPr="002048A7" w:rsidRDefault="005D0429" w:rsidP="005D0429">
            <w:pPr>
              <w:spacing w:after="0" w:line="240" w:lineRule="auto"/>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hideMark/>
          </w:tcPr>
          <w:p w14:paraId="6637A43D" w14:textId="77777777" w:rsidR="005D0429" w:rsidRPr="002048A7" w:rsidRDefault="005D0429" w:rsidP="005D0429">
            <w:pPr>
              <w:spacing w:after="0" w:line="240" w:lineRule="auto"/>
              <w:rPr>
                <w:rFonts w:ascii="Calibri" w:eastAsia="Times New Roman" w:hAnsi="Calibri"/>
                <w:color w:val="000000"/>
                <w:sz w:val="20"/>
                <w:szCs w:val="20"/>
                <w:lang w:eastAsia="tr-TR"/>
              </w:rPr>
            </w:pPr>
            <w:r w:rsidRPr="002048A7">
              <w:rPr>
                <w:rFonts w:ascii="Calibri" w:eastAsia="Times New Roman" w:hAnsi="Calibri"/>
                <w:color w:val="000000"/>
                <w:sz w:val="20"/>
                <w:szCs w:val="20"/>
                <w:lang w:eastAsia="tr-TR"/>
              </w:rPr>
              <w:t>Dağıtıcılar</w:t>
            </w:r>
          </w:p>
        </w:tc>
        <w:tc>
          <w:tcPr>
            <w:tcW w:w="577" w:type="pct"/>
            <w:tcBorders>
              <w:top w:val="nil"/>
              <w:left w:val="nil"/>
              <w:bottom w:val="single" w:sz="8" w:space="0" w:color="D9D9D9"/>
              <w:right w:val="single" w:sz="8" w:space="0" w:color="D9D9D9"/>
            </w:tcBorders>
            <w:shd w:val="clear" w:color="auto" w:fill="auto"/>
            <w:vAlign w:val="center"/>
            <w:hideMark/>
          </w:tcPr>
          <w:p w14:paraId="7FA49C7C"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72.401,00</w:t>
            </w:r>
          </w:p>
        </w:tc>
        <w:tc>
          <w:tcPr>
            <w:tcW w:w="577" w:type="pct"/>
            <w:tcBorders>
              <w:top w:val="nil"/>
              <w:left w:val="nil"/>
              <w:bottom w:val="single" w:sz="8" w:space="0" w:color="D9D9D9"/>
              <w:right w:val="single" w:sz="8" w:space="0" w:color="D9D9D9"/>
            </w:tcBorders>
            <w:shd w:val="clear" w:color="auto" w:fill="auto"/>
            <w:vAlign w:val="center"/>
            <w:hideMark/>
          </w:tcPr>
          <w:p w14:paraId="69144990"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72.963,00</w:t>
            </w:r>
          </w:p>
        </w:tc>
        <w:tc>
          <w:tcPr>
            <w:tcW w:w="661" w:type="pct"/>
            <w:tcBorders>
              <w:top w:val="nil"/>
              <w:left w:val="nil"/>
              <w:bottom w:val="single" w:sz="8" w:space="0" w:color="D9D9D9"/>
              <w:right w:val="single" w:sz="8" w:space="0" w:color="D9D9D9"/>
            </w:tcBorders>
            <w:shd w:val="clear" w:color="auto" w:fill="auto"/>
            <w:vAlign w:val="center"/>
            <w:hideMark/>
          </w:tcPr>
          <w:p w14:paraId="4A5717B7"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193.624,00</w:t>
            </w:r>
          </w:p>
        </w:tc>
        <w:tc>
          <w:tcPr>
            <w:tcW w:w="718" w:type="pct"/>
            <w:tcBorders>
              <w:top w:val="nil"/>
              <w:left w:val="nil"/>
              <w:bottom w:val="single" w:sz="8" w:space="0" w:color="D9D9D9"/>
              <w:right w:val="single" w:sz="8" w:space="0" w:color="D9D9D9"/>
            </w:tcBorders>
            <w:shd w:val="clear" w:color="auto" w:fill="auto"/>
            <w:vAlign w:val="center"/>
            <w:hideMark/>
          </w:tcPr>
          <w:p w14:paraId="0A35B1BB"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8.903.953,00</w:t>
            </w:r>
          </w:p>
        </w:tc>
        <w:tc>
          <w:tcPr>
            <w:tcW w:w="592" w:type="pct"/>
            <w:tcBorders>
              <w:top w:val="nil"/>
              <w:left w:val="nil"/>
              <w:bottom w:val="single" w:sz="8" w:space="0" w:color="D9D9D9"/>
              <w:right w:val="single" w:sz="8" w:space="0" w:color="D9D9D9"/>
            </w:tcBorders>
            <w:shd w:val="clear" w:color="auto" w:fill="auto"/>
            <w:vAlign w:val="center"/>
            <w:hideMark/>
          </w:tcPr>
          <w:p w14:paraId="48F01C23"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22.982,00</w:t>
            </w:r>
          </w:p>
        </w:tc>
        <w:tc>
          <w:tcPr>
            <w:tcW w:w="718" w:type="pct"/>
            <w:tcBorders>
              <w:top w:val="nil"/>
              <w:left w:val="nil"/>
              <w:bottom w:val="single" w:sz="8" w:space="0" w:color="D9D9D9"/>
              <w:right w:val="single" w:sz="8" w:space="0" w:color="D9D9D9"/>
            </w:tcBorders>
            <w:shd w:val="clear" w:color="auto" w:fill="auto"/>
            <w:vAlign w:val="center"/>
            <w:hideMark/>
          </w:tcPr>
          <w:p w14:paraId="3E745650"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9.120.559,00</w:t>
            </w:r>
          </w:p>
        </w:tc>
      </w:tr>
      <w:tr w:rsidR="005D0429" w:rsidRPr="002048A7" w14:paraId="4686036D" w14:textId="77777777" w:rsidTr="00D16262">
        <w:trPr>
          <w:trHeight w:val="20"/>
        </w:trPr>
        <w:tc>
          <w:tcPr>
            <w:tcW w:w="675" w:type="pct"/>
            <w:vMerge/>
            <w:tcBorders>
              <w:top w:val="nil"/>
              <w:left w:val="single" w:sz="8" w:space="0" w:color="D9D9D9"/>
              <w:bottom w:val="single" w:sz="8" w:space="0" w:color="D9D9D9"/>
              <w:right w:val="single" w:sz="8" w:space="0" w:color="D9D9D9"/>
            </w:tcBorders>
            <w:vAlign w:val="center"/>
            <w:hideMark/>
          </w:tcPr>
          <w:p w14:paraId="38DD3E74" w14:textId="77777777" w:rsidR="005D0429" w:rsidRPr="002048A7" w:rsidRDefault="005D0429" w:rsidP="005D0429">
            <w:pPr>
              <w:spacing w:after="0" w:line="240" w:lineRule="auto"/>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hideMark/>
          </w:tcPr>
          <w:p w14:paraId="1AB1C26F" w14:textId="77777777" w:rsidR="005D0429" w:rsidRPr="002048A7" w:rsidRDefault="005D0429" w:rsidP="005D0429">
            <w:pPr>
              <w:spacing w:after="0" w:line="240" w:lineRule="auto"/>
              <w:rPr>
                <w:rFonts w:ascii="Calibri" w:eastAsia="Times New Roman" w:hAnsi="Calibri"/>
                <w:b/>
                <w:color w:val="000000"/>
                <w:sz w:val="20"/>
                <w:szCs w:val="20"/>
                <w:lang w:eastAsia="tr-TR"/>
              </w:rPr>
            </w:pPr>
            <w:r w:rsidRPr="002048A7">
              <w:rPr>
                <w:rFonts w:ascii="Calibri" w:eastAsia="Times New Roman" w:hAnsi="Calibri"/>
                <w:b/>
                <w:color w:val="000000"/>
                <w:sz w:val="20"/>
                <w:szCs w:val="20"/>
                <w:lang w:eastAsia="tr-TR"/>
              </w:rPr>
              <w:t>Toplam</w:t>
            </w:r>
          </w:p>
        </w:tc>
        <w:tc>
          <w:tcPr>
            <w:tcW w:w="577" w:type="pct"/>
            <w:tcBorders>
              <w:top w:val="nil"/>
              <w:left w:val="nil"/>
              <w:bottom w:val="single" w:sz="8" w:space="0" w:color="D9D9D9"/>
              <w:right w:val="single" w:sz="8" w:space="0" w:color="D9D9D9"/>
            </w:tcBorders>
            <w:shd w:val="clear" w:color="auto" w:fill="auto"/>
            <w:vAlign w:val="center"/>
            <w:hideMark/>
          </w:tcPr>
          <w:p w14:paraId="307CCB15"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164.394,00</w:t>
            </w:r>
          </w:p>
        </w:tc>
        <w:tc>
          <w:tcPr>
            <w:tcW w:w="577" w:type="pct"/>
            <w:tcBorders>
              <w:top w:val="nil"/>
              <w:left w:val="nil"/>
              <w:bottom w:val="single" w:sz="8" w:space="0" w:color="D9D9D9"/>
              <w:right w:val="single" w:sz="8" w:space="0" w:color="D9D9D9"/>
            </w:tcBorders>
            <w:shd w:val="clear" w:color="auto" w:fill="auto"/>
            <w:vAlign w:val="center"/>
            <w:hideMark/>
          </w:tcPr>
          <w:p w14:paraId="3E87A54B"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165.267,00</w:t>
            </w:r>
          </w:p>
        </w:tc>
        <w:tc>
          <w:tcPr>
            <w:tcW w:w="661" w:type="pct"/>
            <w:tcBorders>
              <w:top w:val="nil"/>
              <w:left w:val="nil"/>
              <w:bottom w:val="single" w:sz="8" w:space="0" w:color="D9D9D9"/>
              <w:right w:val="single" w:sz="8" w:space="0" w:color="D9D9D9"/>
            </w:tcBorders>
            <w:shd w:val="clear" w:color="auto" w:fill="auto"/>
            <w:vAlign w:val="center"/>
            <w:hideMark/>
          </w:tcPr>
          <w:p w14:paraId="74DCFEB7"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2.606.723,00</w:t>
            </w:r>
          </w:p>
        </w:tc>
        <w:tc>
          <w:tcPr>
            <w:tcW w:w="718" w:type="pct"/>
            <w:tcBorders>
              <w:top w:val="nil"/>
              <w:left w:val="nil"/>
              <w:bottom w:val="single" w:sz="8" w:space="0" w:color="D9D9D9"/>
              <w:right w:val="single" w:sz="8" w:space="0" w:color="D9D9D9"/>
            </w:tcBorders>
            <w:shd w:val="clear" w:color="auto" w:fill="auto"/>
            <w:vAlign w:val="center"/>
            <w:hideMark/>
          </w:tcPr>
          <w:p w14:paraId="5D24B5D4"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18.028.869,00</w:t>
            </w:r>
          </w:p>
        </w:tc>
        <w:tc>
          <w:tcPr>
            <w:tcW w:w="592" w:type="pct"/>
            <w:tcBorders>
              <w:top w:val="nil"/>
              <w:left w:val="nil"/>
              <w:bottom w:val="single" w:sz="8" w:space="0" w:color="D9D9D9"/>
              <w:right w:val="single" w:sz="8" w:space="0" w:color="D9D9D9"/>
            </w:tcBorders>
            <w:shd w:val="clear" w:color="auto" w:fill="auto"/>
            <w:vAlign w:val="center"/>
            <w:hideMark/>
          </w:tcPr>
          <w:p w14:paraId="64606FE3"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22.982,00</w:t>
            </w:r>
          </w:p>
        </w:tc>
        <w:tc>
          <w:tcPr>
            <w:tcW w:w="718" w:type="pct"/>
            <w:tcBorders>
              <w:top w:val="nil"/>
              <w:left w:val="nil"/>
              <w:bottom w:val="single" w:sz="8" w:space="0" w:color="D9D9D9"/>
              <w:right w:val="single" w:sz="8" w:space="0" w:color="D9D9D9"/>
            </w:tcBorders>
            <w:shd w:val="clear" w:color="auto" w:fill="auto"/>
            <w:vAlign w:val="center"/>
            <w:hideMark/>
          </w:tcPr>
          <w:p w14:paraId="62B14A8E"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20.658.574,00</w:t>
            </w:r>
          </w:p>
        </w:tc>
      </w:tr>
      <w:tr w:rsidR="005D0429" w:rsidRPr="002048A7" w14:paraId="329E594E" w14:textId="77777777" w:rsidTr="00D16262">
        <w:trPr>
          <w:trHeight w:val="20"/>
        </w:trPr>
        <w:tc>
          <w:tcPr>
            <w:tcW w:w="675" w:type="pct"/>
            <w:vMerge w:val="restart"/>
            <w:tcBorders>
              <w:top w:val="nil"/>
              <w:left w:val="single" w:sz="8" w:space="0" w:color="D9D9D9"/>
              <w:bottom w:val="single" w:sz="8" w:space="0" w:color="D9D9D9"/>
              <w:right w:val="single" w:sz="8" w:space="0" w:color="D9D9D9"/>
            </w:tcBorders>
            <w:shd w:val="clear" w:color="auto" w:fill="auto"/>
            <w:vAlign w:val="center"/>
            <w:hideMark/>
          </w:tcPr>
          <w:p w14:paraId="1E3E3E46" w14:textId="77777777" w:rsidR="005D0429" w:rsidRPr="002048A7" w:rsidRDefault="005D0429" w:rsidP="005D0429">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2012</w:t>
            </w:r>
          </w:p>
        </w:tc>
        <w:tc>
          <w:tcPr>
            <w:tcW w:w="482" w:type="pct"/>
            <w:tcBorders>
              <w:top w:val="nil"/>
              <w:left w:val="nil"/>
              <w:bottom w:val="single" w:sz="8" w:space="0" w:color="D9D9D9"/>
              <w:right w:val="single" w:sz="8" w:space="0" w:color="D9D9D9"/>
            </w:tcBorders>
            <w:shd w:val="clear" w:color="auto" w:fill="auto"/>
            <w:vAlign w:val="center"/>
            <w:hideMark/>
          </w:tcPr>
          <w:p w14:paraId="54E7B674" w14:textId="77777777" w:rsidR="005D0429" w:rsidRPr="002048A7" w:rsidRDefault="005D0429" w:rsidP="005D0429">
            <w:pPr>
              <w:spacing w:after="0" w:line="240" w:lineRule="auto"/>
              <w:rPr>
                <w:rFonts w:ascii="Calibri" w:eastAsia="Times New Roman" w:hAnsi="Calibri"/>
                <w:color w:val="000000"/>
                <w:sz w:val="20"/>
                <w:szCs w:val="20"/>
                <w:lang w:eastAsia="tr-TR"/>
              </w:rPr>
            </w:pPr>
            <w:r w:rsidRPr="002048A7">
              <w:rPr>
                <w:rFonts w:ascii="Calibri" w:eastAsia="Times New Roman" w:hAnsi="Calibri"/>
                <w:color w:val="000000"/>
                <w:sz w:val="20"/>
                <w:szCs w:val="20"/>
                <w:lang w:eastAsia="tr-TR"/>
              </w:rPr>
              <w:t>Rafineri</w:t>
            </w:r>
          </w:p>
        </w:tc>
        <w:tc>
          <w:tcPr>
            <w:tcW w:w="577" w:type="pct"/>
            <w:tcBorders>
              <w:top w:val="nil"/>
              <w:left w:val="nil"/>
              <w:bottom w:val="single" w:sz="8" w:space="0" w:color="D9D9D9"/>
              <w:right w:val="single" w:sz="8" w:space="0" w:color="D9D9D9"/>
            </w:tcBorders>
            <w:shd w:val="clear" w:color="auto" w:fill="auto"/>
            <w:vAlign w:val="center"/>
            <w:hideMark/>
          </w:tcPr>
          <w:p w14:paraId="584F74BA"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99.958,02</w:t>
            </w:r>
          </w:p>
        </w:tc>
        <w:tc>
          <w:tcPr>
            <w:tcW w:w="577" w:type="pct"/>
            <w:tcBorders>
              <w:top w:val="nil"/>
              <w:left w:val="nil"/>
              <w:bottom w:val="single" w:sz="8" w:space="0" w:color="D9D9D9"/>
              <w:right w:val="single" w:sz="8" w:space="0" w:color="D9D9D9"/>
            </w:tcBorders>
            <w:shd w:val="clear" w:color="auto" w:fill="auto"/>
            <w:vAlign w:val="center"/>
            <w:hideMark/>
          </w:tcPr>
          <w:p w14:paraId="7B3DF5AF"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98.531,33</w:t>
            </w:r>
          </w:p>
        </w:tc>
        <w:tc>
          <w:tcPr>
            <w:tcW w:w="661" w:type="pct"/>
            <w:tcBorders>
              <w:top w:val="nil"/>
              <w:left w:val="nil"/>
              <w:bottom w:val="single" w:sz="8" w:space="0" w:color="D9D9D9"/>
              <w:right w:val="single" w:sz="8" w:space="0" w:color="D9D9D9"/>
            </w:tcBorders>
            <w:shd w:val="clear" w:color="auto" w:fill="auto"/>
            <w:vAlign w:val="center"/>
            <w:hideMark/>
          </w:tcPr>
          <w:p w14:paraId="13072CEB"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2.398.835,00</w:t>
            </w:r>
          </w:p>
        </w:tc>
        <w:tc>
          <w:tcPr>
            <w:tcW w:w="718" w:type="pct"/>
            <w:tcBorders>
              <w:top w:val="nil"/>
              <w:left w:val="nil"/>
              <w:bottom w:val="single" w:sz="8" w:space="0" w:color="D9D9D9"/>
              <w:right w:val="single" w:sz="8" w:space="0" w:color="D9D9D9"/>
            </w:tcBorders>
            <w:shd w:val="clear" w:color="auto" w:fill="auto"/>
            <w:vAlign w:val="center"/>
            <w:hideMark/>
          </w:tcPr>
          <w:p w14:paraId="1552EE0B"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9.917.338,00</w:t>
            </w:r>
          </w:p>
        </w:tc>
        <w:tc>
          <w:tcPr>
            <w:tcW w:w="592" w:type="pct"/>
            <w:tcBorders>
              <w:top w:val="nil"/>
              <w:left w:val="nil"/>
              <w:bottom w:val="single" w:sz="8" w:space="0" w:color="D9D9D9"/>
              <w:right w:val="single" w:sz="8" w:space="0" w:color="D9D9D9"/>
            </w:tcBorders>
            <w:shd w:val="clear" w:color="auto" w:fill="auto"/>
            <w:vAlign w:val="center"/>
            <w:hideMark/>
          </w:tcPr>
          <w:p w14:paraId="2982D817"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237,00</w:t>
            </w:r>
          </w:p>
        </w:tc>
        <w:tc>
          <w:tcPr>
            <w:tcW w:w="718" w:type="pct"/>
            <w:tcBorders>
              <w:top w:val="nil"/>
              <w:left w:val="nil"/>
              <w:bottom w:val="single" w:sz="8" w:space="0" w:color="D9D9D9"/>
              <w:right w:val="single" w:sz="8" w:space="0" w:color="D9D9D9"/>
            </w:tcBorders>
            <w:shd w:val="clear" w:color="auto" w:fill="auto"/>
            <w:vAlign w:val="center"/>
            <w:hideMark/>
          </w:tcPr>
          <w:p w14:paraId="1BA8B7C2"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12.316.410,00</w:t>
            </w:r>
          </w:p>
        </w:tc>
      </w:tr>
      <w:tr w:rsidR="005D0429" w:rsidRPr="002048A7" w14:paraId="6C15FF11" w14:textId="77777777" w:rsidTr="00D16262">
        <w:trPr>
          <w:trHeight w:val="20"/>
        </w:trPr>
        <w:tc>
          <w:tcPr>
            <w:tcW w:w="675" w:type="pct"/>
            <w:vMerge/>
            <w:tcBorders>
              <w:top w:val="nil"/>
              <w:left w:val="single" w:sz="8" w:space="0" w:color="D9D9D9"/>
              <w:bottom w:val="single" w:sz="8" w:space="0" w:color="D9D9D9"/>
              <w:right w:val="single" w:sz="8" w:space="0" w:color="D9D9D9"/>
            </w:tcBorders>
            <w:vAlign w:val="center"/>
            <w:hideMark/>
          </w:tcPr>
          <w:p w14:paraId="7FD4D847" w14:textId="77777777" w:rsidR="005D0429" w:rsidRPr="002048A7" w:rsidRDefault="005D0429" w:rsidP="005D0429">
            <w:pPr>
              <w:spacing w:after="0" w:line="240" w:lineRule="auto"/>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hideMark/>
          </w:tcPr>
          <w:p w14:paraId="237A1EEB" w14:textId="77777777" w:rsidR="005D0429" w:rsidRPr="002048A7" w:rsidRDefault="005D0429" w:rsidP="005D0429">
            <w:pPr>
              <w:spacing w:after="0" w:line="240" w:lineRule="auto"/>
              <w:rPr>
                <w:rFonts w:ascii="Calibri" w:eastAsia="Times New Roman" w:hAnsi="Calibri"/>
                <w:color w:val="000000"/>
                <w:sz w:val="20"/>
                <w:szCs w:val="20"/>
                <w:lang w:eastAsia="tr-TR"/>
              </w:rPr>
            </w:pPr>
            <w:r w:rsidRPr="002048A7">
              <w:rPr>
                <w:rFonts w:ascii="Calibri" w:eastAsia="Times New Roman" w:hAnsi="Calibri"/>
                <w:color w:val="000000"/>
                <w:sz w:val="20"/>
                <w:szCs w:val="20"/>
                <w:lang w:eastAsia="tr-TR"/>
              </w:rPr>
              <w:t>Dağıtıcılar</w:t>
            </w:r>
          </w:p>
        </w:tc>
        <w:tc>
          <w:tcPr>
            <w:tcW w:w="577" w:type="pct"/>
            <w:tcBorders>
              <w:top w:val="nil"/>
              <w:left w:val="nil"/>
              <w:bottom w:val="single" w:sz="8" w:space="0" w:color="D9D9D9"/>
              <w:right w:val="single" w:sz="8" w:space="0" w:color="D9D9D9"/>
            </w:tcBorders>
            <w:shd w:val="clear" w:color="auto" w:fill="auto"/>
            <w:vAlign w:val="center"/>
            <w:hideMark/>
          </w:tcPr>
          <w:p w14:paraId="1F00F26B"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74.187,38</w:t>
            </w:r>
          </w:p>
        </w:tc>
        <w:tc>
          <w:tcPr>
            <w:tcW w:w="577" w:type="pct"/>
            <w:tcBorders>
              <w:top w:val="nil"/>
              <w:left w:val="nil"/>
              <w:bottom w:val="single" w:sz="8" w:space="0" w:color="D9D9D9"/>
              <w:right w:val="single" w:sz="8" w:space="0" w:color="D9D9D9"/>
            </w:tcBorders>
            <w:shd w:val="clear" w:color="auto" w:fill="auto"/>
            <w:vAlign w:val="center"/>
            <w:hideMark/>
          </w:tcPr>
          <w:p w14:paraId="0260AC92"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74.738,16</w:t>
            </w:r>
          </w:p>
        </w:tc>
        <w:tc>
          <w:tcPr>
            <w:tcW w:w="661" w:type="pct"/>
            <w:tcBorders>
              <w:top w:val="nil"/>
              <w:left w:val="nil"/>
              <w:bottom w:val="single" w:sz="8" w:space="0" w:color="D9D9D9"/>
              <w:right w:val="single" w:sz="8" w:space="0" w:color="D9D9D9"/>
            </w:tcBorders>
            <w:shd w:val="clear" w:color="auto" w:fill="auto"/>
            <w:vAlign w:val="center"/>
            <w:hideMark/>
          </w:tcPr>
          <w:p w14:paraId="51C90B45"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66.004,00</w:t>
            </w:r>
          </w:p>
        </w:tc>
        <w:tc>
          <w:tcPr>
            <w:tcW w:w="718" w:type="pct"/>
            <w:tcBorders>
              <w:top w:val="nil"/>
              <w:left w:val="nil"/>
              <w:bottom w:val="single" w:sz="8" w:space="0" w:color="D9D9D9"/>
              <w:right w:val="single" w:sz="8" w:space="0" w:color="D9D9D9"/>
            </w:tcBorders>
            <w:shd w:val="clear" w:color="auto" w:fill="auto"/>
            <w:vAlign w:val="center"/>
            <w:hideMark/>
          </w:tcPr>
          <w:p w14:paraId="28C232AF"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9.245.186,00</w:t>
            </w:r>
          </w:p>
        </w:tc>
        <w:tc>
          <w:tcPr>
            <w:tcW w:w="592" w:type="pct"/>
            <w:tcBorders>
              <w:top w:val="nil"/>
              <w:left w:val="nil"/>
              <w:bottom w:val="single" w:sz="8" w:space="0" w:color="D9D9D9"/>
              <w:right w:val="single" w:sz="8" w:space="0" w:color="D9D9D9"/>
            </w:tcBorders>
            <w:shd w:val="clear" w:color="auto" w:fill="auto"/>
            <w:vAlign w:val="center"/>
            <w:hideMark/>
          </w:tcPr>
          <w:p w14:paraId="3D1F1B2C"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30.915,00</w:t>
            </w:r>
          </w:p>
        </w:tc>
        <w:tc>
          <w:tcPr>
            <w:tcW w:w="718" w:type="pct"/>
            <w:tcBorders>
              <w:top w:val="nil"/>
              <w:left w:val="nil"/>
              <w:bottom w:val="single" w:sz="8" w:space="0" w:color="D9D9D9"/>
              <w:right w:val="single" w:sz="8" w:space="0" w:color="D9D9D9"/>
            </w:tcBorders>
            <w:shd w:val="clear" w:color="auto" w:fill="auto"/>
            <w:vAlign w:val="center"/>
            <w:hideMark/>
          </w:tcPr>
          <w:p w14:paraId="6D623847"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9.342.105,00</w:t>
            </w:r>
          </w:p>
        </w:tc>
      </w:tr>
      <w:tr w:rsidR="005D0429" w:rsidRPr="002048A7" w14:paraId="25F7F459" w14:textId="77777777" w:rsidTr="00D16262">
        <w:trPr>
          <w:trHeight w:val="20"/>
        </w:trPr>
        <w:tc>
          <w:tcPr>
            <w:tcW w:w="675" w:type="pct"/>
            <w:vMerge/>
            <w:tcBorders>
              <w:top w:val="nil"/>
              <w:left w:val="single" w:sz="8" w:space="0" w:color="D9D9D9"/>
              <w:bottom w:val="single" w:sz="8" w:space="0" w:color="D9D9D9"/>
              <w:right w:val="single" w:sz="8" w:space="0" w:color="D9D9D9"/>
            </w:tcBorders>
            <w:vAlign w:val="center"/>
            <w:hideMark/>
          </w:tcPr>
          <w:p w14:paraId="22E71202" w14:textId="77777777" w:rsidR="005D0429" w:rsidRPr="002048A7" w:rsidRDefault="005D0429" w:rsidP="005D0429">
            <w:pPr>
              <w:spacing w:after="0" w:line="240" w:lineRule="auto"/>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hideMark/>
          </w:tcPr>
          <w:p w14:paraId="15AAA0AF" w14:textId="77777777" w:rsidR="005D0429" w:rsidRPr="002048A7" w:rsidRDefault="005D0429" w:rsidP="005D0429">
            <w:pPr>
              <w:spacing w:after="0" w:line="240" w:lineRule="auto"/>
              <w:rPr>
                <w:rFonts w:ascii="Calibri" w:eastAsia="Times New Roman" w:hAnsi="Calibri"/>
                <w:b/>
                <w:color w:val="000000"/>
                <w:sz w:val="20"/>
                <w:szCs w:val="20"/>
                <w:lang w:eastAsia="tr-TR"/>
              </w:rPr>
            </w:pPr>
            <w:r w:rsidRPr="002048A7">
              <w:rPr>
                <w:rFonts w:ascii="Calibri" w:eastAsia="Times New Roman" w:hAnsi="Calibri"/>
                <w:b/>
                <w:color w:val="000000"/>
                <w:sz w:val="20"/>
                <w:szCs w:val="20"/>
                <w:lang w:eastAsia="tr-TR"/>
              </w:rPr>
              <w:t>Toplam</w:t>
            </w:r>
          </w:p>
        </w:tc>
        <w:tc>
          <w:tcPr>
            <w:tcW w:w="577" w:type="pct"/>
            <w:tcBorders>
              <w:top w:val="nil"/>
              <w:left w:val="nil"/>
              <w:bottom w:val="single" w:sz="8" w:space="0" w:color="D9D9D9"/>
              <w:right w:val="single" w:sz="8" w:space="0" w:color="D9D9D9"/>
            </w:tcBorders>
            <w:shd w:val="clear" w:color="auto" w:fill="auto"/>
            <w:vAlign w:val="center"/>
            <w:hideMark/>
          </w:tcPr>
          <w:p w14:paraId="4DE317C4"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174.145,40</w:t>
            </w:r>
          </w:p>
        </w:tc>
        <w:tc>
          <w:tcPr>
            <w:tcW w:w="577" w:type="pct"/>
            <w:tcBorders>
              <w:top w:val="nil"/>
              <w:left w:val="nil"/>
              <w:bottom w:val="single" w:sz="8" w:space="0" w:color="D9D9D9"/>
              <w:right w:val="single" w:sz="8" w:space="0" w:color="D9D9D9"/>
            </w:tcBorders>
            <w:shd w:val="clear" w:color="auto" w:fill="auto"/>
            <w:vAlign w:val="center"/>
            <w:hideMark/>
          </w:tcPr>
          <w:p w14:paraId="1C138AE7"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173.269,49</w:t>
            </w:r>
          </w:p>
        </w:tc>
        <w:tc>
          <w:tcPr>
            <w:tcW w:w="661" w:type="pct"/>
            <w:tcBorders>
              <w:top w:val="nil"/>
              <w:left w:val="nil"/>
              <w:bottom w:val="single" w:sz="8" w:space="0" w:color="D9D9D9"/>
              <w:right w:val="single" w:sz="8" w:space="0" w:color="D9D9D9"/>
            </w:tcBorders>
            <w:shd w:val="clear" w:color="auto" w:fill="auto"/>
            <w:vAlign w:val="center"/>
            <w:hideMark/>
          </w:tcPr>
          <w:p w14:paraId="34C48B72"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2.464.839,00</w:t>
            </w:r>
          </w:p>
        </w:tc>
        <w:tc>
          <w:tcPr>
            <w:tcW w:w="718" w:type="pct"/>
            <w:tcBorders>
              <w:top w:val="nil"/>
              <w:left w:val="nil"/>
              <w:bottom w:val="single" w:sz="8" w:space="0" w:color="D9D9D9"/>
              <w:right w:val="single" w:sz="8" w:space="0" w:color="D9D9D9"/>
            </w:tcBorders>
            <w:shd w:val="clear" w:color="auto" w:fill="auto"/>
            <w:vAlign w:val="center"/>
            <w:hideMark/>
          </w:tcPr>
          <w:p w14:paraId="732671D9"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19.162.524,00</w:t>
            </w:r>
          </w:p>
        </w:tc>
        <w:tc>
          <w:tcPr>
            <w:tcW w:w="592" w:type="pct"/>
            <w:tcBorders>
              <w:top w:val="nil"/>
              <w:left w:val="nil"/>
              <w:bottom w:val="single" w:sz="8" w:space="0" w:color="D9D9D9"/>
              <w:right w:val="single" w:sz="8" w:space="0" w:color="D9D9D9"/>
            </w:tcBorders>
            <w:shd w:val="clear" w:color="auto" w:fill="auto"/>
            <w:vAlign w:val="center"/>
            <w:hideMark/>
          </w:tcPr>
          <w:p w14:paraId="24EA7F14"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31.152,00</w:t>
            </w:r>
          </w:p>
        </w:tc>
        <w:tc>
          <w:tcPr>
            <w:tcW w:w="718" w:type="pct"/>
            <w:tcBorders>
              <w:top w:val="nil"/>
              <w:left w:val="nil"/>
              <w:bottom w:val="single" w:sz="8" w:space="0" w:color="D9D9D9"/>
              <w:right w:val="single" w:sz="8" w:space="0" w:color="D9D9D9"/>
            </w:tcBorders>
            <w:shd w:val="clear" w:color="auto" w:fill="auto"/>
            <w:vAlign w:val="center"/>
            <w:hideMark/>
          </w:tcPr>
          <w:p w14:paraId="5319F5CF"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21.658.515,00</w:t>
            </w:r>
          </w:p>
        </w:tc>
      </w:tr>
      <w:tr w:rsidR="005D0429" w:rsidRPr="002048A7" w14:paraId="3E85AA5A" w14:textId="77777777" w:rsidTr="00D16262">
        <w:trPr>
          <w:trHeight w:val="20"/>
        </w:trPr>
        <w:tc>
          <w:tcPr>
            <w:tcW w:w="675" w:type="pct"/>
            <w:vMerge w:val="restart"/>
            <w:tcBorders>
              <w:top w:val="nil"/>
              <w:left w:val="single" w:sz="8" w:space="0" w:color="D9D9D9"/>
              <w:bottom w:val="single" w:sz="8" w:space="0" w:color="D9D9D9"/>
              <w:right w:val="single" w:sz="8" w:space="0" w:color="D9D9D9"/>
            </w:tcBorders>
            <w:shd w:val="clear" w:color="auto" w:fill="auto"/>
            <w:vAlign w:val="center"/>
            <w:hideMark/>
          </w:tcPr>
          <w:p w14:paraId="3465AE42" w14:textId="77777777" w:rsidR="005D0429" w:rsidRPr="002048A7" w:rsidRDefault="005D0429" w:rsidP="005D0429">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2013</w:t>
            </w:r>
          </w:p>
        </w:tc>
        <w:tc>
          <w:tcPr>
            <w:tcW w:w="482" w:type="pct"/>
            <w:tcBorders>
              <w:top w:val="nil"/>
              <w:left w:val="nil"/>
              <w:bottom w:val="single" w:sz="8" w:space="0" w:color="D9D9D9"/>
              <w:right w:val="single" w:sz="8" w:space="0" w:color="D9D9D9"/>
            </w:tcBorders>
            <w:shd w:val="clear" w:color="auto" w:fill="auto"/>
            <w:vAlign w:val="center"/>
            <w:hideMark/>
          </w:tcPr>
          <w:p w14:paraId="3BDAEF18" w14:textId="77777777" w:rsidR="005D0429" w:rsidRPr="002048A7" w:rsidRDefault="005D0429" w:rsidP="005D0429">
            <w:pPr>
              <w:spacing w:after="0" w:line="240" w:lineRule="auto"/>
              <w:rPr>
                <w:rFonts w:ascii="Calibri" w:eastAsia="Times New Roman" w:hAnsi="Calibri"/>
                <w:color w:val="000000"/>
                <w:sz w:val="20"/>
                <w:szCs w:val="20"/>
                <w:lang w:eastAsia="tr-TR"/>
              </w:rPr>
            </w:pPr>
            <w:r w:rsidRPr="002048A7">
              <w:rPr>
                <w:rFonts w:ascii="Calibri" w:eastAsia="Times New Roman" w:hAnsi="Calibri"/>
                <w:color w:val="000000"/>
                <w:sz w:val="20"/>
                <w:szCs w:val="20"/>
                <w:lang w:eastAsia="tr-TR"/>
              </w:rPr>
              <w:t>Rafineri</w:t>
            </w:r>
          </w:p>
        </w:tc>
        <w:tc>
          <w:tcPr>
            <w:tcW w:w="577" w:type="pct"/>
            <w:tcBorders>
              <w:top w:val="nil"/>
              <w:left w:val="nil"/>
              <w:bottom w:val="single" w:sz="8" w:space="0" w:color="D9D9D9"/>
              <w:right w:val="single" w:sz="8" w:space="0" w:color="D9D9D9"/>
            </w:tcBorders>
            <w:shd w:val="clear" w:color="auto" w:fill="auto"/>
            <w:vAlign w:val="center"/>
            <w:hideMark/>
          </w:tcPr>
          <w:p w14:paraId="591352BE"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94.351,72</w:t>
            </w:r>
          </w:p>
        </w:tc>
        <w:tc>
          <w:tcPr>
            <w:tcW w:w="577" w:type="pct"/>
            <w:tcBorders>
              <w:top w:val="nil"/>
              <w:left w:val="nil"/>
              <w:bottom w:val="single" w:sz="8" w:space="0" w:color="D9D9D9"/>
              <w:right w:val="single" w:sz="8" w:space="0" w:color="D9D9D9"/>
            </w:tcBorders>
            <w:shd w:val="clear" w:color="auto" w:fill="auto"/>
            <w:vAlign w:val="center"/>
            <w:hideMark/>
          </w:tcPr>
          <w:p w14:paraId="555A39DC"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94.683,00</w:t>
            </w:r>
          </w:p>
        </w:tc>
        <w:tc>
          <w:tcPr>
            <w:tcW w:w="661" w:type="pct"/>
            <w:tcBorders>
              <w:top w:val="nil"/>
              <w:left w:val="nil"/>
              <w:bottom w:val="single" w:sz="8" w:space="0" w:color="D9D9D9"/>
              <w:right w:val="single" w:sz="8" w:space="0" w:color="D9D9D9"/>
            </w:tcBorders>
            <w:shd w:val="clear" w:color="auto" w:fill="auto"/>
            <w:vAlign w:val="center"/>
            <w:hideMark/>
          </w:tcPr>
          <w:p w14:paraId="016A89E9"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2.438.404,00</w:t>
            </w:r>
          </w:p>
        </w:tc>
        <w:tc>
          <w:tcPr>
            <w:tcW w:w="718" w:type="pct"/>
            <w:tcBorders>
              <w:top w:val="nil"/>
              <w:left w:val="nil"/>
              <w:bottom w:val="single" w:sz="8" w:space="0" w:color="D9D9D9"/>
              <w:right w:val="single" w:sz="8" w:space="0" w:color="D9D9D9"/>
            </w:tcBorders>
            <w:shd w:val="clear" w:color="auto" w:fill="auto"/>
            <w:vAlign w:val="center"/>
            <w:hideMark/>
          </w:tcPr>
          <w:p w14:paraId="6F397314"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9.361.800,00</w:t>
            </w:r>
          </w:p>
        </w:tc>
        <w:tc>
          <w:tcPr>
            <w:tcW w:w="592" w:type="pct"/>
            <w:tcBorders>
              <w:top w:val="nil"/>
              <w:left w:val="nil"/>
              <w:bottom w:val="single" w:sz="8" w:space="0" w:color="D9D9D9"/>
              <w:right w:val="single" w:sz="8" w:space="0" w:color="D9D9D9"/>
            </w:tcBorders>
            <w:shd w:val="clear" w:color="auto" w:fill="auto"/>
            <w:vAlign w:val="center"/>
            <w:hideMark/>
          </w:tcPr>
          <w:p w14:paraId="0A00B264"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7.140,00</w:t>
            </w:r>
          </w:p>
        </w:tc>
        <w:tc>
          <w:tcPr>
            <w:tcW w:w="718" w:type="pct"/>
            <w:tcBorders>
              <w:top w:val="nil"/>
              <w:left w:val="nil"/>
              <w:bottom w:val="single" w:sz="8" w:space="0" w:color="D9D9D9"/>
              <w:right w:val="single" w:sz="8" w:space="0" w:color="D9D9D9"/>
            </w:tcBorders>
            <w:shd w:val="clear" w:color="auto" w:fill="auto"/>
            <w:vAlign w:val="center"/>
            <w:hideMark/>
          </w:tcPr>
          <w:p w14:paraId="57C8698A"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11.807.344,00</w:t>
            </w:r>
          </w:p>
        </w:tc>
      </w:tr>
      <w:tr w:rsidR="005D0429" w:rsidRPr="002048A7" w14:paraId="0FE3F087" w14:textId="77777777" w:rsidTr="00D16262">
        <w:trPr>
          <w:trHeight w:val="20"/>
        </w:trPr>
        <w:tc>
          <w:tcPr>
            <w:tcW w:w="675" w:type="pct"/>
            <w:vMerge/>
            <w:tcBorders>
              <w:top w:val="nil"/>
              <w:left w:val="single" w:sz="8" w:space="0" w:color="D9D9D9"/>
              <w:bottom w:val="single" w:sz="8" w:space="0" w:color="D9D9D9"/>
              <w:right w:val="single" w:sz="8" w:space="0" w:color="D9D9D9"/>
            </w:tcBorders>
            <w:vAlign w:val="center"/>
            <w:hideMark/>
          </w:tcPr>
          <w:p w14:paraId="28E502A8" w14:textId="77777777" w:rsidR="005D0429" w:rsidRPr="002048A7" w:rsidRDefault="005D0429" w:rsidP="005D0429">
            <w:pPr>
              <w:spacing w:after="0" w:line="240" w:lineRule="auto"/>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hideMark/>
          </w:tcPr>
          <w:p w14:paraId="74A3B734" w14:textId="77777777" w:rsidR="005D0429" w:rsidRPr="002048A7" w:rsidRDefault="005D0429" w:rsidP="005D0429">
            <w:pPr>
              <w:spacing w:after="0" w:line="240" w:lineRule="auto"/>
              <w:rPr>
                <w:rFonts w:ascii="Calibri" w:eastAsia="Times New Roman" w:hAnsi="Calibri"/>
                <w:color w:val="000000"/>
                <w:sz w:val="20"/>
                <w:szCs w:val="20"/>
                <w:lang w:eastAsia="tr-TR"/>
              </w:rPr>
            </w:pPr>
            <w:r w:rsidRPr="002048A7">
              <w:rPr>
                <w:rFonts w:ascii="Calibri" w:eastAsia="Times New Roman" w:hAnsi="Calibri"/>
                <w:color w:val="000000"/>
                <w:sz w:val="20"/>
                <w:szCs w:val="20"/>
                <w:lang w:eastAsia="tr-TR"/>
              </w:rPr>
              <w:t>Dağıtıcılar</w:t>
            </w:r>
          </w:p>
        </w:tc>
        <w:tc>
          <w:tcPr>
            <w:tcW w:w="577" w:type="pct"/>
            <w:tcBorders>
              <w:top w:val="nil"/>
              <w:left w:val="nil"/>
              <w:bottom w:val="single" w:sz="8" w:space="0" w:color="D9D9D9"/>
              <w:right w:val="single" w:sz="8" w:space="0" w:color="D9D9D9"/>
            </w:tcBorders>
            <w:shd w:val="clear" w:color="auto" w:fill="auto"/>
            <w:vAlign w:val="center"/>
            <w:hideMark/>
          </w:tcPr>
          <w:p w14:paraId="47B82D5E"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95.664,74</w:t>
            </w:r>
          </w:p>
        </w:tc>
        <w:tc>
          <w:tcPr>
            <w:tcW w:w="577" w:type="pct"/>
            <w:tcBorders>
              <w:top w:val="nil"/>
              <w:left w:val="nil"/>
              <w:bottom w:val="single" w:sz="8" w:space="0" w:color="D9D9D9"/>
              <w:right w:val="single" w:sz="8" w:space="0" w:color="D9D9D9"/>
            </w:tcBorders>
            <w:shd w:val="clear" w:color="auto" w:fill="auto"/>
            <w:vAlign w:val="center"/>
            <w:hideMark/>
          </w:tcPr>
          <w:p w14:paraId="7FB14324"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90.253,68</w:t>
            </w:r>
          </w:p>
        </w:tc>
        <w:tc>
          <w:tcPr>
            <w:tcW w:w="661" w:type="pct"/>
            <w:tcBorders>
              <w:top w:val="nil"/>
              <w:left w:val="nil"/>
              <w:bottom w:val="single" w:sz="8" w:space="0" w:color="D9D9D9"/>
              <w:right w:val="single" w:sz="8" w:space="0" w:color="D9D9D9"/>
            </w:tcBorders>
            <w:shd w:val="clear" w:color="auto" w:fill="auto"/>
            <w:vAlign w:val="center"/>
            <w:hideMark/>
          </w:tcPr>
          <w:p w14:paraId="4E69ADAB"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17.806,00</w:t>
            </w:r>
          </w:p>
        </w:tc>
        <w:tc>
          <w:tcPr>
            <w:tcW w:w="718" w:type="pct"/>
            <w:tcBorders>
              <w:top w:val="nil"/>
              <w:left w:val="nil"/>
              <w:bottom w:val="single" w:sz="8" w:space="0" w:color="D9D9D9"/>
              <w:right w:val="single" w:sz="8" w:space="0" w:color="D9D9D9"/>
            </w:tcBorders>
            <w:shd w:val="clear" w:color="auto" w:fill="auto"/>
            <w:vAlign w:val="center"/>
            <w:hideMark/>
          </w:tcPr>
          <w:p w14:paraId="4738610C"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11.180.726,00</w:t>
            </w:r>
          </w:p>
        </w:tc>
        <w:tc>
          <w:tcPr>
            <w:tcW w:w="592" w:type="pct"/>
            <w:tcBorders>
              <w:top w:val="nil"/>
              <w:left w:val="nil"/>
              <w:bottom w:val="single" w:sz="8" w:space="0" w:color="D9D9D9"/>
              <w:right w:val="single" w:sz="8" w:space="0" w:color="D9D9D9"/>
            </w:tcBorders>
            <w:shd w:val="clear" w:color="auto" w:fill="auto"/>
            <w:vAlign w:val="center"/>
            <w:hideMark/>
          </w:tcPr>
          <w:p w14:paraId="58EFE0B9"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68.796,00</w:t>
            </w:r>
          </w:p>
        </w:tc>
        <w:tc>
          <w:tcPr>
            <w:tcW w:w="718" w:type="pct"/>
            <w:tcBorders>
              <w:top w:val="nil"/>
              <w:left w:val="nil"/>
              <w:bottom w:val="single" w:sz="8" w:space="0" w:color="D9D9D9"/>
              <w:right w:val="single" w:sz="8" w:space="0" w:color="D9D9D9"/>
            </w:tcBorders>
            <w:shd w:val="clear" w:color="auto" w:fill="auto"/>
            <w:vAlign w:val="center"/>
            <w:hideMark/>
          </w:tcPr>
          <w:p w14:paraId="058D1179"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11.267.328,00</w:t>
            </w:r>
          </w:p>
        </w:tc>
      </w:tr>
      <w:tr w:rsidR="005D0429" w:rsidRPr="002048A7" w14:paraId="7CB68740" w14:textId="77777777" w:rsidTr="00D16262">
        <w:trPr>
          <w:trHeight w:val="20"/>
        </w:trPr>
        <w:tc>
          <w:tcPr>
            <w:tcW w:w="675" w:type="pct"/>
            <w:vMerge/>
            <w:tcBorders>
              <w:top w:val="nil"/>
              <w:left w:val="single" w:sz="8" w:space="0" w:color="D9D9D9"/>
              <w:bottom w:val="single" w:sz="8" w:space="0" w:color="D9D9D9"/>
              <w:right w:val="single" w:sz="8" w:space="0" w:color="D9D9D9"/>
            </w:tcBorders>
            <w:vAlign w:val="center"/>
            <w:hideMark/>
          </w:tcPr>
          <w:p w14:paraId="368F2CE8" w14:textId="77777777" w:rsidR="005D0429" w:rsidRPr="002048A7" w:rsidRDefault="005D0429" w:rsidP="005D0429">
            <w:pPr>
              <w:spacing w:after="0" w:line="240" w:lineRule="auto"/>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hideMark/>
          </w:tcPr>
          <w:p w14:paraId="2DBA8D29" w14:textId="77777777" w:rsidR="005D0429" w:rsidRPr="002048A7" w:rsidRDefault="005D0429" w:rsidP="005D0429">
            <w:pPr>
              <w:spacing w:after="0" w:line="240" w:lineRule="auto"/>
              <w:rPr>
                <w:rFonts w:ascii="Calibri" w:eastAsia="Times New Roman" w:hAnsi="Calibri"/>
                <w:b/>
                <w:color w:val="000000"/>
                <w:sz w:val="20"/>
                <w:szCs w:val="20"/>
                <w:lang w:eastAsia="tr-TR"/>
              </w:rPr>
            </w:pPr>
            <w:r w:rsidRPr="002048A7">
              <w:rPr>
                <w:rFonts w:ascii="Calibri" w:eastAsia="Times New Roman" w:hAnsi="Calibri"/>
                <w:b/>
                <w:color w:val="000000"/>
                <w:sz w:val="20"/>
                <w:szCs w:val="20"/>
                <w:lang w:eastAsia="tr-TR"/>
              </w:rPr>
              <w:t>Toplam</w:t>
            </w:r>
          </w:p>
        </w:tc>
        <w:tc>
          <w:tcPr>
            <w:tcW w:w="577" w:type="pct"/>
            <w:tcBorders>
              <w:top w:val="nil"/>
              <w:left w:val="nil"/>
              <w:bottom w:val="single" w:sz="8" w:space="0" w:color="D9D9D9"/>
              <w:right w:val="single" w:sz="8" w:space="0" w:color="D9D9D9"/>
            </w:tcBorders>
            <w:shd w:val="clear" w:color="auto" w:fill="auto"/>
            <w:vAlign w:val="center"/>
            <w:hideMark/>
          </w:tcPr>
          <w:p w14:paraId="68C61F4E"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190.016,47</w:t>
            </w:r>
          </w:p>
        </w:tc>
        <w:tc>
          <w:tcPr>
            <w:tcW w:w="577" w:type="pct"/>
            <w:tcBorders>
              <w:top w:val="nil"/>
              <w:left w:val="nil"/>
              <w:bottom w:val="single" w:sz="8" w:space="0" w:color="D9D9D9"/>
              <w:right w:val="single" w:sz="8" w:space="0" w:color="D9D9D9"/>
            </w:tcBorders>
            <w:shd w:val="clear" w:color="auto" w:fill="auto"/>
            <w:vAlign w:val="center"/>
            <w:hideMark/>
          </w:tcPr>
          <w:p w14:paraId="13ABE322"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184.936,69</w:t>
            </w:r>
          </w:p>
        </w:tc>
        <w:tc>
          <w:tcPr>
            <w:tcW w:w="661" w:type="pct"/>
            <w:tcBorders>
              <w:top w:val="nil"/>
              <w:left w:val="nil"/>
              <w:bottom w:val="single" w:sz="8" w:space="0" w:color="D9D9D9"/>
              <w:right w:val="single" w:sz="8" w:space="0" w:color="D9D9D9"/>
            </w:tcBorders>
            <w:shd w:val="clear" w:color="auto" w:fill="auto"/>
            <w:vAlign w:val="center"/>
            <w:hideMark/>
          </w:tcPr>
          <w:p w14:paraId="44354321"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2.456.210,00</w:t>
            </w:r>
          </w:p>
        </w:tc>
        <w:tc>
          <w:tcPr>
            <w:tcW w:w="718" w:type="pct"/>
            <w:tcBorders>
              <w:top w:val="nil"/>
              <w:left w:val="nil"/>
              <w:bottom w:val="single" w:sz="8" w:space="0" w:color="D9D9D9"/>
              <w:right w:val="single" w:sz="8" w:space="0" w:color="D9D9D9"/>
            </w:tcBorders>
            <w:shd w:val="clear" w:color="auto" w:fill="auto"/>
            <w:vAlign w:val="center"/>
            <w:hideMark/>
          </w:tcPr>
          <w:p w14:paraId="4A5D102B"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20.542.526,00</w:t>
            </w:r>
          </w:p>
        </w:tc>
        <w:tc>
          <w:tcPr>
            <w:tcW w:w="592" w:type="pct"/>
            <w:tcBorders>
              <w:top w:val="nil"/>
              <w:left w:val="nil"/>
              <w:bottom w:val="single" w:sz="8" w:space="0" w:color="D9D9D9"/>
              <w:right w:val="single" w:sz="8" w:space="0" w:color="D9D9D9"/>
            </w:tcBorders>
            <w:shd w:val="clear" w:color="auto" w:fill="auto"/>
            <w:vAlign w:val="center"/>
            <w:hideMark/>
          </w:tcPr>
          <w:p w14:paraId="6F4230E3"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75.936,00</w:t>
            </w:r>
          </w:p>
        </w:tc>
        <w:tc>
          <w:tcPr>
            <w:tcW w:w="718" w:type="pct"/>
            <w:tcBorders>
              <w:top w:val="nil"/>
              <w:left w:val="nil"/>
              <w:bottom w:val="single" w:sz="8" w:space="0" w:color="D9D9D9"/>
              <w:right w:val="single" w:sz="8" w:space="0" w:color="D9D9D9"/>
            </w:tcBorders>
            <w:shd w:val="clear" w:color="auto" w:fill="auto"/>
            <w:vAlign w:val="center"/>
            <w:hideMark/>
          </w:tcPr>
          <w:p w14:paraId="595A6A8D"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23.074.672,00</w:t>
            </w:r>
          </w:p>
        </w:tc>
      </w:tr>
      <w:tr w:rsidR="005D0429" w:rsidRPr="002048A7" w14:paraId="3F51412F" w14:textId="77777777" w:rsidTr="00D16262">
        <w:trPr>
          <w:trHeight w:val="20"/>
        </w:trPr>
        <w:tc>
          <w:tcPr>
            <w:tcW w:w="675" w:type="pct"/>
            <w:vMerge w:val="restart"/>
            <w:tcBorders>
              <w:top w:val="nil"/>
              <w:left w:val="single" w:sz="8" w:space="0" w:color="D9D9D9"/>
              <w:bottom w:val="single" w:sz="8" w:space="0" w:color="D9D9D9"/>
              <w:right w:val="single" w:sz="8" w:space="0" w:color="D9D9D9"/>
            </w:tcBorders>
            <w:shd w:val="clear" w:color="auto" w:fill="auto"/>
            <w:vAlign w:val="center"/>
            <w:hideMark/>
          </w:tcPr>
          <w:p w14:paraId="016F8EE6" w14:textId="77777777" w:rsidR="005D0429" w:rsidRPr="002048A7" w:rsidRDefault="005D0429" w:rsidP="005D0429">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2014</w:t>
            </w:r>
          </w:p>
        </w:tc>
        <w:tc>
          <w:tcPr>
            <w:tcW w:w="482" w:type="pct"/>
            <w:tcBorders>
              <w:top w:val="nil"/>
              <w:left w:val="nil"/>
              <w:bottom w:val="single" w:sz="8" w:space="0" w:color="D9D9D9"/>
              <w:right w:val="single" w:sz="8" w:space="0" w:color="D9D9D9"/>
            </w:tcBorders>
            <w:shd w:val="clear" w:color="auto" w:fill="auto"/>
            <w:vAlign w:val="center"/>
            <w:hideMark/>
          </w:tcPr>
          <w:p w14:paraId="2FC9CFB8" w14:textId="77777777" w:rsidR="005D0429" w:rsidRPr="002048A7" w:rsidRDefault="005D0429" w:rsidP="005D0429">
            <w:pPr>
              <w:spacing w:after="0" w:line="240" w:lineRule="auto"/>
              <w:rPr>
                <w:rFonts w:ascii="Calibri" w:eastAsia="Times New Roman" w:hAnsi="Calibri"/>
                <w:color w:val="000000"/>
                <w:sz w:val="20"/>
                <w:szCs w:val="20"/>
                <w:lang w:eastAsia="tr-TR"/>
              </w:rPr>
            </w:pPr>
            <w:r w:rsidRPr="002048A7">
              <w:rPr>
                <w:rFonts w:ascii="Calibri" w:eastAsia="Times New Roman" w:hAnsi="Calibri"/>
                <w:color w:val="000000"/>
                <w:sz w:val="20"/>
                <w:szCs w:val="20"/>
                <w:lang w:eastAsia="tr-TR"/>
              </w:rPr>
              <w:t>Rafineri</w:t>
            </w:r>
          </w:p>
        </w:tc>
        <w:tc>
          <w:tcPr>
            <w:tcW w:w="577" w:type="pct"/>
            <w:tcBorders>
              <w:top w:val="nil"/>
              <w:left w:val="nil"/>
              <w:bottom w:val="single" w:sz="8" w:space="0" w:color="D9D9D9"/>
              <w:right w:val="single" w:sz="8" w:space="0" w:color="D9D9D9"/>
            </w:tcBorders>
            <w:shd w:val="clear" w:color="auto" w:fill="auto"/>
            <w:vAlign w:val="center"/>
            <w:hideMark/>
          </w:tcPr>
          <w:p w14:paraId="6C32883B"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83.288,36</w:t>
            </w:r>
          </w:p>
        </w:tc>
        <w:tc>
          <w:tcPr>
            <w:tcW w:w="577" w:type="pct"/>
            <w:tcBorders>
              <w:top w:val="nil"/>
              <w:left w:val="nil"/>
              <w:bottom w:val="single" w:sz="8" w:space="0" w:color="D9D9D9"/>
              <w:right w:val="single" w:sz="8" w:space="0" w:color="D9D9D9"/>
            </w:tcBorders>
            <w:shd w:val="clear" w:color="auto" w:fill="auto"/>
            <w:vAlign w:val="center"/>
            <w:hideMark/>
          </w:tcPr>
          <w:p w14:paraId="69A12239"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82.046,06</w:t>
            </w:r>
          </w:p>
        </w:tc>
        <w:tc>
          <w:tcPr>
            <w:tcW w:w="661" w:type="pct"/>
            <w:tcBorders>
              <w:top w:val="nil"/>
              <w:left w:val="nil"/>
              <w:bottom w:val="single" w:sz="8" w:space="0" w:color="D9D9D9"/>
              <w:right w:val="single" w:sz="8" w:space="0" w:color="D9D9D9"/>
            </w:tcBorders>
            <w:shd w:val="clear" w:color="auto" w:fill="auto"/>
            <w:vAlign w:val="center"/>
            <w:hideMark/>
          </w:tcPr>
          <w:p w14:paraId="65AAE4C2"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2.464.564,00</w:t>
            </w:r>
          </w:p>
        </w:tc>
        <w:tc>
          <w:tcPr>
            <w:tcW w:w="718" w:type="pct"/>
            <w:tcBorders>
              <w:top w:val="nil"/>
              <w:left w:val="nil"/>
              <w:bottom w:val="single" w:sz="8" w:space="0" w:color="D9D9D9"/>
              <w:right w:val="single" w:sz="8" w:space="0" w:color="D9D9D9"/>
            </w:tcBorders>
            <w:shd w:val="clear" w:color="auto" w:fill="auto"/>
            <w:vAlign w:val="center"/>
            <w:hideMark/>
          </w:tcPr>
          <w:p w14:paraId="6816D093"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7.731.514,00</w:t>
            </w:r>
          </w:p>
        </w:tc>
        <w:tc>
          <w:tcPr>
            <w:tcW w:w="592" w:type="pct"/>
            <w:tcBorders>
              <w:top w:val="nil"/>
              <w:left w:val="nil"/>
              <w:bottom w:val="single" w:sz="8" w:space="0" w:color="D9D9D9"/>
              <w:right w:val="single" w:sz="8" w:space="0" w:color="D9D9D9"/>
            </w:tcBorders>
            <w:shd w:val="clear" w:color="auto" w:fill="auto"/>
            <w:vAlign w:val="center"/>
            <w:hideMark/>
          </w:tcPr>
          <w:p w14:paraId="4E4C7909"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59.754,00</w:t>
            </w:r>
          </w:p>
        </w:tc>
        <w:tc>
          <w:tcPr>
            <w:tcW w:w="718" w:type="pct"/>
            <w:tcBorders>
              <w:top w:val="nil"/>
              <w:left w:val="nil"/>
              <w:bottom w:val="single" w:sz="8" w:space="0" w:color="D9D9D9"/>
              <w:right w:val="single" w:sz="8" w:space="0" w:color="D9D9D9"/>
            </w:tcBorders>
            <w:shd w:val="clear" w:color="auto" w:fill="auto"/>
            <w:vAlign w:val="center"/>
            <w:hideMark/>
          </w:tcPr>
          <w:p w14:paraId="66CC1BBE"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10.255.832,00</w:t>
            </w:r>
          </w:p>
        </w:tc>
      </w:tr>
      <w:tr w:rsidR="005D0429" w:rsidRPr="002048A7" w14:paraId="60FFB41F" w14:textId="77777777" w:rsidTr="00D16262">
        <w:trPr>
          <w:trHeight w:val="20"/>
        </w:trPr>
        <w:tc>
          <w:tcPr>
            <w:tcW w:w="675" w:type="pct"/>
            <w:vMerge/>
            <w:tcBorders>
              <w:top w:val="nil"/>
              <w:left w:val="single" w:sz="8" w:space="0" w:color="D9D9D9"/>
              <w:bottom w:val="single" w:sz="8" w:space="0" w:color="D9D9D9"/>
              <w:right w:val="single" w:sz="8" w:space="0" w:color="D9D9D9"/>
            </w:tcBorders>
            <w:vAlign w:val="center"/>
            <w:hideMark/>
          </w:tcPr>
          <w:p w14:paraId="2B3E76E6" w14:textId="77777777" w:rsidR="005D0429" w:rsidRPr="002048A7" w:rsidRDefault="005D0429" w:rsidP="005D0429">
            <w:pPr>
              <w:spacing w:after="0" w:line="240" w:lineRule="auto"/>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hideMark/>
          </w:tcPr>
          <w:p w14:paraId="166432B2" w14:textId="77777777" w:rsidR="005D0429" w:rsidRPr="002048A7" w:rsidRDefault="005D0429" w:rsidP="005D0429">
            <w:pPr>
              <w:spacing w:after="0" w:line="240" w:lineRule="auto"/>
              <w:rPr>
                <w:rFonts w:ascii="Calibri" w:eastAsia="Times New Roman" w:hAnsi="Calibri"/>
                <w:color w:val="000000"/>
                <w:sz w:val="20"/>
                <w:szCs w:val="20"/>
                <w:lang w:eastAsia="tr-TR"/>
              </w:rPr>
            </w:pPr>
            <w:r w:rsidRPr="002048A7">
              <w:rPr>
                <w:rFonts w:ascii="Calibri" w:eastAsia="Times New Roman" w:hAnsi="Calibri"/>
                <w:color w:val="000000"/>
                <w:sz w:val="20"/>
                <w:szCs w:val="20"/>
                <w:lang w:eastAsia="tr-TR"/>
              </w:rPr>
              <w:t>Dağıtıcılar</w:t>
            </w:r>
          </w:p>
        </w:tc>
        <w:tc>
          <w:tcPr>
            <w:tcW w:w="577" w:type="pct"/>
            <w:tcBorders>
              <w:top w:val="nil"/>
              <w:left w:val="nil"/>
              <w:bottom w:val="single" w:sz="8" w:space="0" w:color="D9D9D9"/>
              <w:right w:val="single" w:sz="8" w:space="0" w:color="D9D9D9"/>
            </w:tcBorders>
            <w:shd w:val="clear" w:color="auto" w:fill="auto"/>
            <w:vAlign w:val="center"/>
            <w:hideMark/>
          </w:tcPr>
          <w:p w14:paraId="1CF981AD"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110.635,56</w:t>
            </w:r>
          </w:p>
        </w:tc>
        <w:tc>
          <w:tcPr>
            <w:tcW w:w="577" w:type="pct"/>
            <w:tcBorders>
              <w:top w:val="nil"/>
              <w:left w:val="nil"/>
              <w:bottom w:val="single" w:sz="8" w:space="0" w:color="D9D9D9"/>
              <w:right w:val="single" w:sz="8" w:space="0" w:color="D9D9D9"/>
            </w:tcBorders>
            <w:shd w:val="clear" w:color="auto" w:fill="auto"/>
            <w:vAlign w:val="center"/>
            <w:hideMark/>
          </w:tcPr>
          <w:p w14:paraId="2AF0875E"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109.330,47</w:t>
            </w:r>
          </w:p>
        </w:tc>
        <w:tc>
          <w:tcPr>
            <w:tcW w:w="661" w:type="pct"/>
            <w:tcBorders>
              <w:top w:val="nil"/>
              <w:left w:val="nil"/>
              <w:bottom w:val="single" w:sz="8" w:space="0" w:color="D9D9D9"/>
              <w:right w:val="single" w:sz="8" w:space="0" w:color="D9D9D9"/>
            </w:tcBorders>
            <w:shd w:val="clear" w:color="auto" w:fill="auto"/>
            <w:vAlign w:val="center"/>
            <w:hideMark/>
          </w:tcPr>
          <w:p w14:paraId="6885D97E"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2.051,00</w:t>
            </w:r>
          </w:p>
        </w:tc>
        <w:tc>
          <w:tcPr>
            <w:tcW w:w="718" w:type="pct"/>
            <w:tcBorders>
              <w:top w:val="nil"/>
              <w:left w:val="nil"/>
              <w:bottom w:val="single" w:sz="8" w:space="0" w:color="D9D9D9"/>
              <w:right w:val="single" w:sz="8" w:space="0" w:color="D9D9D9"/>
            </w:tcBorders>
            <w:shd w:val="clear" w:color="auto" w:fill="auto"/>
            <w:vAlign w:val="center"/>
            <w:hideMark/>
          </w:tcPr>
          <w:p w14:paraId="71F5A763"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13.558.513,00</w:t>
            </w:r>
          </w:p>
        </w:tc>
        <w:tc>
          <w:tcPr>
            <w:tcW w:w="592" w:type="pct"/>
            <w:tcBorders>
              <w:top w:val="nil"/>
              <w:left w:val="nil"/>
              <w:bottom w:val="single" w:sz="8" w:space="0" w:color="D9D9D9"/>
              <w:right w:val="single" w:sz="8" w:space="0" w:color="D9D9D9"/>
            </w:tcBorders>
            <w:shd w:val="clear" w:color="auto" w:fill="auto"/>
            <w:vAlign w:val="center"/>
            <w:hideMark/>
          </w:tcPr>
          <w:p w14:paraId="78238164"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105.822,00</w:t>
            </w:r>
          </w:p>
        </w:tc>
        <w:tc>
          <w:tcPr>
            <w:tcW w:w="718" w:type="pct"/>
            <w:tcBorders>
              <w:top w:val="nil"/>
              <w:left w:val="nil"/>
              <w:bottom w:val="single" w:sz="8" w:space="0" w:color="D9D9D9"/>
              <w:right w:val="single" w:sz="8" w:space="0" w:color="D9D9D9"/>
            </w:tcBorders>
            <w:shd w:val="clear" w:color="auto" w:fill="auto"/>
            <w:vAlign w:val="center"/>
            <w:hideMark/>
          </w:tcPr>
          <w:p w14:paraId="0527C00F"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13.666.386,00</w:t>
            </w:r>
          </w:p>
        </w:tc>
      </w:tr>
      <w:tr w:rsidR="005D0429" w:rsidRPr="002048A7" w14:paraId="41E13201" w14:textId="77777777" w:rsidTr="00D16262">
        <w:trPr>
          <w:trHeight w:val="20"/>
        </w:trPr>
        <w:tc>
          <w:tcPr>
            <w:tcW w:w="675" w:type="pct"/>
            <w:vMerge/>
            <w:tcBorders>
              <w:top w:val="nil"/>
              <w:left w:val="single" w:sz="8" w:space="0" w:color="D9D9D9"/>
              <w:bottom w:val="single" w:sz="8" w:space="0" w:color="D9D9D9"/>
              <w:right w:val="single" w:sz="8" w:space="0" w:color="D9D9D9"/>
            </w:tcBorders>
            <w:vAlign w:val="center"/>
            <w:hideMark/>
          </w:tcPr>
          <w:p w14:paraId="4CADFDB3" w14:textId="77777777" w:rsidR="005D0429" w:rsidRPr="002048A7" w:rsidRDefault="005D0429" w:rsidP="005D0429">
            <w:pPr>
              <w:spacing w:after="0" w:line="240" w:lineRule="auto"/>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hideMark/>
          </w:tcPr>
          <w:p w14:paraId="49EAA035" w14:textId="77777777" w:rsidR="005D0429" w:rsidRPr="002048A7" w:rsidRDefault="005D0429" w:rsidP="005D0429">
            <w:pPr>
              <w:spacing w:after="0" w:line="240" w:lineRule="auto"/>
              <w:rPr>
                <w:rFonts w:ascii="Calibri" w:eastAsia="Times New Roman" w:hAnsi="Calibri"/>
                <w:b/>
                <w:color w:val="000000"/>
                <w:sz w:val="20"/>
                <w:szCs w:val="20"/>
                <w:lang w:eastAsia="tr-TR"/>
              </w:rPr>
            </w:pPr>
            <w:r w:rsidRPr="002048A7">
              <w:rPr>
                <w:rFonts w:ascii="Calibri" w:eastAsia="Times New Roman" w:hAnsi="Calibri"/>
                <w:b/>
                <w:color w:val="000000"/>
                <w:sz w:val="20"/>
                <w:szCs w:val="20"/>
                <w:lang w:eastAsia="tr-TR"/>
              </w:rPr>
              <w:t>Toplam</w:t>
            </w:r>
          </w:p>
        </w:tc>
        <w:tc>
          <w:tcPr>
            <w:tcW w:w="577" w:type="pct"/>
            <w:tcBorders>
              <w:top w:val="nil"/>
              <w:left w:val="nil"/>
              <w:bottom w:val="single" w:sz="8" w:space="0" w:color="D9D9D9"/>
              <w:right w:val="single" w:sz="8" w:space="0" w:color="D9D9D9"/>
            </w:tcBorders>
            <w:shd w:val="clear" w:color="auto" w:fill="auto"/>
            <w:vAlign w:val="center"/>
            <w:hideMark/>
          </w:tcPr>
          <w:p w14:paraId="4910E579"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193.923,93</w:t>
            </w:r>
          </w:p>
        </w:tc>
        <w:tc>
          <w:tcPr>
            <w:tcW w:w="577" w:type="pct"/>
            <w:tcBorders>
              <w:top w:val="nil"/>
              <w:left w:val="nil"/>
              <w:bottom w:val="single" w:sz="8" w:space="0" w:color="D9D9D9"/>
              <w:right w:val="single" w:sz="8" w:space="0" w:color="D9D9D9"/>
            </w:tcBorders>
            <w:shd w:val="clear" w:color="auto" w:fill="auto"/>
            <w:vAlign w:val="center"/>
            <w:hideMark/>
          </w:tcPr>
          <w:p w14:paraId="28403318"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191.376,54</w:t>
            </w:r>
          </w:p>
        </w:tc>
        <w:tc>
          <w:tcPr>
            <w:tcW w:w="661" w:type="pct"/>
            <w:tcBorders>
              <w:top w:val="nil"/>
              <w:left w:val="nil"/>
              <w:bottom w:val="single" w:sz="8" w:space="0" w:color="D9D9D9"/>
              <w:right w:val="single" w:sz="8" w:space="0" w:color="D9D9D9"/>
            </w:tcBorders>
            <w:shd w:val="clear" w:color="auto" w:fill="auto"/>
            <w:vAlign w:val="center"/>
            <w:hideMark/>
          </w:tcPr>
          <w:p w14:paraId="41F4D4EB"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2.466.616,00</w:t>
            </w:r>
          </w:p>
        </w:tc>
        <w:tc>
          <w:tcPr>
            <w:tcW w:w="718" w:type="pct"/>
            <w:tcBorders>
              <w:top w:val="nil"/>
              <w:left w:val="nil"/>
              <w:bottom w:val="single" w:sz="8" w:space="0" w:color="D9D9D9"/>
              <w:right w:val="single" w:sz="8" w:space="0" w:color="D9D9D9"/>
            </w:tcBorders>
            <w:shd w:val="clear" w:color="auto" w:fill="auto"/>
            <w:vAlign w:val="center"/>
            <w:hideMark/>
          </w:tcPr>
          <w:p w14:paraId="689913DC"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21.290.027,00</w:t>
            </w:r>
          </w:p>
        </w:tc>
        <w:tc>
          <w:tcPr>
            <w:tcW w:w="592" w:type="pct"/>
            <w:tcBorders>
              <w:top w:val="nil"/>
              <w:left w:val="nil"/>
              <w:bottom w:val="single" w:sz="8" w:space="0" w:color="D9D9D9"/>
              <w:right w:val="single" w:sz="8" w:space="0" w:color="D9D9D9"/>
            </w:tcBorders>
            <w:shd w:val="clear" w:color="auto" w:fill="auto"/>
            <w:vAlign w:val="center"/>
            <w:hideMark/>
          </w:tcPr>
          <w:p w14:paraId="539BCC9E"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165.577,00</w:t>
            </w:r>
          </w:p>
        </w:tc>
        <w:tc>
          <w:tcPr>
            <w:tcW w:w="718" w:type="pct"/>
            <w:tcBorders>
              <w:top w:val="nil"/>
              <w:left w:val="nil"/>
              <w:bottom w:val="single" w:sz="8" w:space="0" w:color="D9D9D9"/>
              <w:right w:val="single" w:sz="8" w:space="0" w:color="D9D9D9"/>
            </w:tcBorders>
            <w:shd w:val="clear" w:color="auto" w:fill="auto"/>
            <w:vAlign w:val="center"/>
            <w:hideMark/>
          </w:tcPr>
          <w:p w14:paraId="1B05A03E"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23.922.220,00</w:t>
            </w:r>
          </w:p>
        </w:tc>
      </w:tr>
      <w:tr w:rsidR="005D0429" w:rsidRPr="002048A7" w14:paraId="331B1D7C" w14:textId="77777777" w:rsidTr="00D16262">
        <w:trPr>
          <w:trHeight w:val="20"/>
        </w:trPr>
        <w:tc>
          <w:tcPr>
            <w:tcW w:w="675" w:type="pct"/>
            <w:vMerge w:val="restart"/>
            <w:tcBorders>
              <w:top w:val="nil"/>
              <w:left w:val="single" w:sz="8" w:space="0" w:color="D9D9D9"/>
              <w:bottom w:val="single" w:sz="8" w:space="0" w:color="D9D9D9"/>
              <w:right w:val="single" w:sz="8" w:space="0" w:color="D9D9D9"/>
            </w:tcBorders>
            <w:shd w:val="clear" w:color="auto" w:fill="auto"/>
            <w:vAlign w:val="center"/>
            <w:hideMark/>
          </w:tcPr>
          <w:p w14:paraId="77483524" w14:textId="77777777" w:rsidR="005D0429" w:rsidRPr="002048A7" w:rsidRDefault="005D0429" w:rsidP="005D0429">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2015</w:t>
            </w:r>
          </w:p>
        </w:tc>
        <w:tc>
          <w:tcPr>
            <w:tcW w:w="482" w:type="pct"/>
            <w:tcBorders>
              <w:top w:val="nil"/>
              <w:left w:val="nil"/>
              <w:bottom w:val="single" w:sz="8" w:space="0" w:color="D9D9D9"/>
              <w:right w:val="single" w:sz="8" w:space="0" w:color="D9D9D9"/>
            </w:tcBorders>
            <w:shd w:val="clear" w:color="auto" w:fill="auto"/>
            <w:vAlign w:val="center"/>
            <w:hideMark/>
          </w:tcPr>
          <w:p w14:paraId="282B8BAF" w14:textId="77777777" w:rsidR="005D0429" w:rsidRPr="002048A7" w:rsidRDefault="005D0429" w:rsidP="005D0429">
            <w:pPr>
              <w:spacing w:after="0" w:line="240" w:lineRule="auto"/>
              <w:rPr>
                <w:rFonts w:ascii="Calibri" w:eastAsia="Times New Roman" w:hAnsi="Calibri"/>
                <w:color w:val="000000"/>
                <w:sz w:val="20"/>
                <w:szCs w:val="20"/>
                <w:lang w:eastAsia="tr-TR"/>
              </w:rPr>
            </w:pPr>
            <w:r w:rsidRPr="002048A7">
              <w:rPr>
                <w:rFonts w:ascii="Calibri" w:eastAsia="Times New Roman" w:hAnsi="Calibri"/>
                <w:color w:val="000000"/>
                <w:sz w:val="20"/>
                <w:szCs w:val="20"/>
                <w:lang w:eastAsia="tr-TR"/>
              </w:rPr>
              <w:t>Rafineri</w:t>
            </w:r>
          </w:p>
        </w:tc>
        <w:tc>
          <w:tcPr>
            <w:tcW w:w="577" w:type="pct"/>
            <w:tcBorders>
              <w:top w:val="nil"/>
              <w:left w:val="nil"/>
              <w:bottom w:val="single" w:sz="8" w:space="0" w:color="D9D9D9"/>
              <w:right w:val="single" w:sz="8" w:space="0" w:color="D9D9D9"/>
            </w:tcBorders>
            <w:shd w:val="clear" w:color="auto" w:fill="auto"/>
            <w:vAlign w:val="center"/>
            <w:hideMark/>
          </w:tcPr>
          <w:p w14:paraId="299A77BE"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108.111,46</w:t>
            </w:r>
          </w:p>
        </w:tc>
        <w:tc>
          <w:tcPr>
            <w:tcW w:w="577" w:type="pct"/>
            <w:tcBorders>
              <w:top w:val="nil"/>
              <w:left w:val="nil"/>
              <w:bottom w:val="single" w:sz="8" w:space="0" w:color="D9D9D9"/>
              <w:right w:val="single" w:sz="8" w:space="0" w:color="D9D9D9"/>
            </w:tcBorders>
            <w:shd w:val="clear" w:color="auto" w:fill="auto"/>
            <w:vAlign w:val="center"/>
            <w:hideMark/>
          </w:tcPr>
          <w:p w14:paraId="25F06C39"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108.536,59</w:t>
            </w:r>
          </w:p>
        </w:tc>
        <w:tc>
          <w:tcPr>
            <w:tcW w:w="661" w:type="pct"/>
            <w:tcBorders>
              <w:top w:val="nil"/>
              <w:left w:val="nil"/>
              <w:bottom w:val="single" w:sz="8" w:space="0" w:color="D9D9D9"/>
              <w:right w:val="single" w:sz="8" w:space="0" w:color="D9D9D9"/>
            </w:tcBorders>
            <w:shd w:val="clear" w:color="auto" w:fill="auto"/>
            <w:vAlign w:val="center"/>
            <w:hideMark/>
          </w:tcPr>
          <w:p w14:paraId="13748307"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2.823.176,00</w:t>
            </w:r>
          </w:p>
        </w:tc>
        <w:tc>
          <w:tcPr>
            <w:tcW w:w="718" w:type="pct"/>
            <w:tcBorders>
              <w:top w:val="nil"/>
              <w:left w:val="nil"/>
              <w:bottom w:val="single" w:sz="8" w:space="0" w:color="D9D9D9"/>
              <w:right w:val="single" w:sz="8" w:space="0" w:color="D9D9D9"/>
            </w:tcBorders>
            <w:shd w:val="clear" w:color="auto" w:fill="auto"/>
            <w:vAlign w:val="center"/>
            <w:hideMark/>
          </w:tcPr>
          <w:p w14:paraId="77D35F7C"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10.664.398,00</w:t>
            </w:r>
          </w:p>
        </w:tc>
        <w:tc>
          <w:tcPr>
            <w:tcW w:w="592" w:type="pct"/>
            <w:tcBorders>
              <w:top w:val="nil"/>
              <w:left w:val="nil"/>
              <w:bottom w:val="single" w:sz="8" w:space="0" w:color="D9D9D9"/>
              <w:right w:val="single" w:sz="8" w:space="0" w:color="D9D9D9"/>
            </w:tcBorders>
            <w:shd w:val="clear" w:color="auto" w:fill="auto"/>
            <w:vAlign w:val="center"/>
            <w:hideMark/>
          </w:tcPr>
          <w:p w14:paraId="0302FDE1"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79.484,00</w:t>
            </w:r>
          </w:p>
        </w:tc>
        <w:tc>
          <w:tcPr>
            <w:tcW w:w="718" w:type="pct"/>
            <w:tcBorders>
              <w:top w:val="nil"/>
              <w:left w:val="nil"/>
              <w:bottom w:val="single" w:sz="8" w:space="0" w:color="D9D9D9"/>
              <w:right w:val="single" w:sz="8" w:space="0" w:color="D9D9D9"/>
            </w:tcBorders>
            <w:shd w:val="clear" w:color="auto" w:fill="auto"/>
            <w:vAlign w:val="center"/>
            <w:hideMark/>
          </w:tcPr>
          <w:p w14:paraId="24D24E85"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13.567.058,00</w:t>
            </w:r>
          </w:p>
        </w:tc>
      </w:tr>
      <w:tr w:rsidR="005D0429" w:rsidRPr="002048A7" w14:paraId="02A931DE" w14:textId="77777777" w:rsidTr="00D16262">
        <w:trPr>
          <w:trHeight w:val="20"/>
        </w:trPr>
        <w:tc>
          <w:tcPr>
            <w:tcW w:w="675" w:type="pct"/>
            <w:vMerge/>
            <w:tcBorders>
              <w:top w:val="nil"/>
              <w:left w:val="single" w:sz="8" w:space="0" w:color="D9D9D9"/>
              <w:bottom w:val="single" w:sz="8" w:space="0" w:color="D9D9D9"/>
              <w:right w:val="single" w:sz="8" w:space="0" w:color="D9D9D9"/>
            </w:tcBorders>
            <w:vAlign w:val="center"/>
            <w:hideMark/>
          </w:tcPr>
          <w:p w14:paraId="3246EE5F" w14:textId="77777777" w:rsidR="005D0429" w:rsidRPr="002048A7" w:rsidRDefault="005D0429" w:rsidP="005D0429">
            <w:pPr>
              <w:spacing w:after="0" w:line="240" w:lineRule="auto"/>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hideMark/>
          </w:tcPr>
          <w:p w14:paraId="6633818F" w14:textId="77777777" w:rsidR="005D0429" w:rsidRPr="002048A7" w:rsidRDefault="005D0429" w:rsidP="005D0429">
            <w:pPr>
              <w:spacing w:after="0" w:line="240" w:lineRule="auto"/>
              <w:rPr>
                <w:rFonts w:ascii="Calibri" w:eastAsia="Times New Roman" w:hAnsi="Calibri"/>
                <w:color w:val="000000"/>
                <w:sz w:val="20"/>
                <w:szCs w:val="20"/>
                <w:lang w:eastAsia="tr-TR"/>
              </w:rPr>
            </w:pPr>
            <w:r w:rsidRPr="002048A7">
              <w:rPr>
                <w:rFonts w:ascii="Calibri" w:eastAsia="Times New Roman" w:hAnsi="Calibri"/>
                <w:color w:val="000000"/>
                <w:sz w:val="20"/>
                <w:szCs w:val="20"/>
                <w:lang w:eastAsia="tr-TR"/>
              </w:rPr>
              <w:t>Dağıtıcılar</w:t>
            </w:r>
          </w:p>
        </w:tc>
        <w:tc>
          <w:tcPr>
            <w:tcW w:w="577" w:type="pct"/>
            <w:tcBorders>
              <w:top w:val="nil"/>
              <w:left w:val="nil"/>
              <w:bottom w:val="single" w:sz="8" w:space="0" w:color="D9D9D9"/>
              <w:right w:val="single" w:sz="8" w:space="0" w:color="D9D9D9"/>
            </w:tcBorders>
            <w:shd w:val="clear" w:color="auto" w:fill="auto"/>
            <w:vAlign w:val="center"/>
            <w:hideMark/>
          </w:tcPr>
          <w:p w14:paraId="60FE3CFD"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108.758,10</w:t>
            </w:r>
          </w:p>
        </w:tc>
        <w:tc>
          <w:tcPr>
            <w:tcW w:w="577" w:type="pct"/>
            <w:tcBorders>
              <w:top w:val="nil"/>
              <w:left w:val="nil"/>
              <w:bottom w:val="single" w:sz="8" w:space="0" w:color="D9D9D9"/>
              <w:right w:val="single" w:sz="8" w:space="0" w:color="D9D9D9"/>
            </w:tcBorders>
            <w:shd w:val="clear" w:color="auto" w:fill="auto"/>
            <w:vAlign w:val="center"/>
            <w:hideMark/>
          </w:tcPr>
          <w:p w14:paraId="1476A149"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109.350,88</w:t>
            </w:r>
          </w:p>
        </w:tc>
        <w:tc>
          <w:tcPr>
            <w:tcW w:w="661" w:type="pct"/>
            <w:tcBorders>
              <w:top w:val="nil"/>
              <w:left w:val="nil"/>
              <w:bottom w:val="single" w:sz="8" w:space="0" w:color="D9D9D9"/>
              <w:right w:val="single" w:sz="8" w:space="0" w:color="D9D9D9"/>
            </w:tcBorders>
            <w:shd w:val="clear" w:color="auto" w:fill="auto"/>
            <w:vAlign w:val="center"/>
            <w:hideMark/>
          </w:tcPr>
          <w:p w14:paraId="26162C29"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0,00</w:t>
            </w:r>
          </w:p>
        </w:tc>
        <w:tc>
          <w:tcPr>
            <w:tcW w:w="718" w:type="pct"/>
            <w:tcBorders>
              <w:top w:val="nil"/>
              <w:left w:val="nil"/>
              <w:bottom w:val="single" w:sz="8" w:space="0" w:color="D9D9D9"/>
              <w:right w:val="single" w:sz="8" w:space="0" w:color="D9D9D9"/>
            </w:tcBorders>
            <w:shd w:val="clear" w:color="auto" w:fill="auto"/>
            <w:vAlign w:val="center"/>
            <w:hideMark/>
          </w:tcPr>
          <w:p w14:paraId="3BA8F50A"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13.516.467,00</w:t>
            </w:r>
          </w:p>
        </w:tc>
        <w:tc>
          <w:tcPr>
            <w:tcW w:w="592" w:type="pct"/>
            <w:tcBorders>
              <w:top w:val="nil"/>
              <w:left w:val="nil"/>
              <w:bottom w:val="single" w:sz="8" w:space="0" w:color="D9D9D9"/>
              <w:right w:val="single" w:sz="8" w:space="0" w:color="D9D9D9"/>
            </w:tcBorders>
            <w:shd w:val="clear" w:color="auto" w:fill="auto"/>
            <w:vAlign w:val="center"/>
            <w:hideMark/>
          </w:tcPr>
          <w:p w14:paraId="5BCD59CC"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152.793,00</w:t>
            </w:r>
          </w:p>
        </w:tc>
        <w:tc>
          <w:tcPr>
            <w:tcW w:w="718" w:type="pct"/>
            <w:tcBorders>
              <w:top w:val="nil"/>
              <w:left w:val="nil"/>
              <w:bottom w:val="single" w:sz="8" w:space="0" w:color="D9D9D9"/>
              <w:right w:val="single" w:sz="8" w:space="0" w:color="D9D9D9"/>
            </w:tcBorders>
            <w:shd w:val="clear" w:color="auto" w:fill="auto"/>
            <w:vAlign w:val="center"/>
            <w:hideMark/>
          </w:tcPr>
          <w:p w14:paraId="6FFAC6CA"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13.669.260,00</w:t>
            </w:r>
          </w:p>
        </w:tc>
      </w:tr>
      <w:tr w:rsidR="005D0429" w:rsidRPr="002048A7" w14:paraId="0EB90F4C" w14:textId="77777777" w:rsidTr="00D16262">
        <w:trPr>
          <w:trHeight w:val="20"/>
        </w:trPr>
        <w:tc>
          <w:tcPr>
            <w:tcW w:w="675" w:type="pct"/>
            <w:vMerge/>
            <w:tcBorders>
              <w:top w:val="nil"/>
              <w:left w:val="single" w:sz="8" w:space="0" w:color="D9D9D9"/>
              <w:bottom w:val="single" w:sz="8" w:space="0" w:color="D9D9D9"/>
              <w:right w:val="single" w:sz="8" w:space="0" w:color="D9D9D9"/>
            </w:tcBorders>
            <w:vAlign w:val="center"/>
            <w:hideMark/>
          </w:tcPr>
          <w:p w14:paraId="2FEAB624" w14:textId="77777777" w:rsidR="005D0429" w:rsidRPr="002048A7" w:rsidRDefault="005D0429" w:rsidP="005D0429">
            <w:pPr>
              <w:spacing w:after="0" w:line="240" w:lineRule="auto"/>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hideMark/>
          </w:tcPr>
          <w:p w14:paraId="5A5A482A" w14:textId="77777777" w:rsidR="005D0429" w:rsidRPr="002048A7" w:rsidRDefault="005D0429" w:rsidP="005D0429">
            <w:pPr>
              <w:spacing w:after="0" w:line="240" w:lineRule="auto"/>
              <w:rPr>
                <w:rFonts w:ascii="Calibri" w:eastAsia="Times New Roman" w:hAnsi="Calibri"/>
                <w:b/>
                <w:color w:val="000000"/>
                <w:sz w:val="20"/>
                <w:szCs w:val="20"/>
                <w:lang w:eastAsia="tr-TR"/>
              </w:rPr>
            </w:pPr>
            <w:r w:rsidRPr="002048A7">
              <w:rPr>
                <w:rFonts w:ascii="Calibri" w:eastAsia="Times New Roman" w:hAnsi="Calibri"/>
                <w:b/>
                <w:color w:val="000000"/>
                <w:sz w:val="20"/>
                <w:szCs w:val="20"/>
                <w:lang w:eastAsia="tr-TR"/>
              </w:rPr>
              <w:t>Toplam</w:t>
            </w:r>
          </w:p>
        </w:tc>
        <w:tc>
          <w:tcPr>
            <w:tcW w:w="577" w:type="pct"/>
            <w:tcBorders>
              <w:top w:val="nil"/>
              <w:left w:val="nil"/>
              <w:bottom w:val="single" w:sz="8" w:space="0" w:color="D9D9D9"/>
              <w:right w:val="single" w:sz="8" w:space="0" w:color="D9D9D9"/>
            </w:tcBorders>
            <w:shd w:val="clear" w:color="auto" w:fill="auto"/>
            <w:vAlign w:val="center"/>
            <w:hideMark/>
          </w:tcPr>
          <w:p w14:paraId="548F4FDE"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216.869,56</w:t>
            </w:r>
          </w:p>
        </w:tc>
        <w:tc>
          <w:tcPr>
            <w:tcW w:w="577" w:type="pct"/>
            <w:tcBorders>
              <w:top w:val="nil"/>
              <w:left w:val="nil"/>
              <w:bottom w:val="single" w:sz="8" w:space="0" w:color="D9D9D9"/>
              <w:right w:val="single" w:sz="8" w:space="0" w:color="D9D9D9"/>
            </w:tcBorders>
            <w:shd w:val="clear" w:color="auto" w:fill="auto"/>
            <w:vAlign w:val="center"/>
            <w:hideMark/>
          </w:tcPr>
          <w:p w14:paraId="18F7E4F9"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217.887,47</w:t>
            </w:r>
          </w:p>
        </w:tc>
        <w:tc>
          <w:tcPr>
            <w:tcW w:w="661" w:type="pct"/>
            <w:tcBorders>
              <w:top w:val="nil"/>
              <w:left w:val="nil"/>
              <w:bottom w:val="single" w:sz="8" w:space="0" w:color="D9D9D9"/>
              <w:right w:val="single" w:sz="8" w:space="0" w:color="D9D9D9"/>
            </w:tcBorders>
            <w:shd w:val="clear" w:color="auto" w:fill="auto"/>
            <w:vAlign w:val="center"/>
            <w:hideMark/>
          </w:tcPr>
          <w:p w14:paraId="7917D874"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2.823.176,00</w:t>
            </w:r>
          </w:p>
        </w:tc>
        <w:tc>
          <w:tcPr>
            <w:tcW w:w="718" w:type="pct"/>
            <w:tcBorders>
              <w:top w:val="nil"/>
              <w:left w:val="nil"/>
              <w:bottom w:val="single" w:sz="8" w:space="0" w:color="D9D9D9"/>
              <w:right w:val="single" w:sz="8" w:space="0" w:color="D9D9D9"/>
            </w:tcBorders>
            <w:shd w:val="clear" w:color="auto" w:fill="auto"/>
            <w:vAlign w:val="center"/>
            <w:hideMark/>
          </w:tcPr>
          <w:p w14:paraId="22D7DC98"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24.180.865,00</w:t>
            </w:r>
          </w:p>
        </w:tc>
        <w:tc>
          <w:tcPr>
            <w:tcW w:w="592" w:type="pct"/>
            <w:tcBorders>
              <w:top w:val="nil"/>
              <w:left w:val="nil"/>
              <w:bottom w:val="single" w:sz="8" w:space="0" w:color="D9D9D9"/>
              <w:right w:val="single" w:sz="8" w:space="0" w:color="D9D9D9"/>
            </w:tcBorders>
            <w:shd w:val="clear" w:color="auto" w:fill="auto"/>
            <w:vAlign w:val="center"/>
            <w:hideMark/>
          </w:tcPr>
          <w:p w14:paraId="4E366FD6"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232.277,00</w:t>
            </w:r>
          </w:p>
        </w:tc>
        <w:tc>
          <w:tcPr>
            <w:tcW w:w="718" w:type="pct"/>
            <w:tcBorders>
              <w:top w:val="nil"/>
              <w:left w:val="nil"/>
              <w:bottom w:val="single" w:sz="8" w:space="0" w:color="D9D9D9"/>
              <w:right w:val="single" w:sz="8" w:space="0" w:color="D9D9D9"/>
            </w:tcBorders>
            <w:shd w:val="clear" w:color="auto" w:fill="auto"/>
            <w:vAlign w:val="center"/>
            <w:hideMark/>
          </w:tcPr>
          <w:p w14:paraId="196D3C90"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27.236.318,00</w:t>
            </w:r>
          </w:p>
        </w:tc>
      </w:tr>
      <w:tr w:rsidR="005D0429" w:rsidRPr="002048A7" w14:paraId="00FBC1F1" w14:textId="77777777" w:rsidTr="00D16262">
        <w:trPr>
          <w:trHeight w:val="20"/>
        </w:trPr>
        <w:tc>
          <w:tcPr>
            <w:tcW w:w="675" w:type="pct"/>
            <w:vMerge w:val="restart"/>
            <w:tcBorders>
              <w:top w:val="nil"/>
              <w:left w:val="single" w:sz="8" w:space="0" w:color="D9D9D9"/>
              <w:bottom w:val="single" w:sz="8" w:space="0" w:color="D9D9D9"/>
              <w:right w:val="single" w:sz="8" w:space="0" w:color="D9D9D9"/>
            </w:tcBorders>
            <w:shd w:val="clear" w:color="auto" w:fill="auto"/>
            <w:vAlign w:val="center"/>
            <w:hideMark/>
          </w:tcPr>
          <w:p w14:paraId="6C8C85D0" w14:textId="77777777" w:rsidR="005D0429" w:rsidRPr="002048A7" w:rsidRDefault="005D0429" w:rsidP="005D0429">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2016</w:t>
            </w:r>
          </w:p>
        </w:tc>
        <w:tc>
          <w:tcPr>
            <w:tcW w:w="482" w:type="pct"/>
            <w:tcBorders>
              <w:top w:val="nil"/>
              <w:left w:val="nil"/>
              <w:bottom w:val="single" w:sz="8" w:space="0" w:color="D9D9D9"/>
              <w:right w:val="single" w:sz="8" w:space="0" w:color="D9D9D9"/>
            </w:tcBorders>
            <w:shd w:val="clear" w:color="auto" w:fill="auto"/>
            <w:vAlign w:val="center"/>
            <w:hideMark/>
          </w:tcPr>
          <w:p w14:paraId="65F66709" w14:textId="77777777" w:rsidR="005D0429" w:rsidRPr="002048A7" w:rsidRDefault="005D0429" w:rsidP="005D0429">
            <w:pPr>
              <w:spacing w:after="0" w:line="240" w:lineRule="auto"/>
              <w:rPr>
                <w:rFonts w:ascii="Calibri" w:eastAsia="Times New Roman" w:hAnsi="Calibri"/>
                <w:color w:val="000000"/>
                <w:sz w:val="20"/>
                <w:szCs w:val="20"/>
                <w:lang w:eastAsia="tr-TR"/>
              </w:rPr>
            </w:pPr>
            <w:r w:rsidRPr="002048A7">
              <w:rPr>
                <w:rFonts w:ascii="Calibri" w:eastAsia="Times New Roman" w:hAnsi="Calibri"/>
                <w:color w:val="000000"/>
                <w:sz w:val="20"/>
                <w:szCs w:val="20"/>
                <w:lang w:eastAsia="tr-TR"/>
              </w:rPr>
              <w:t>Rafineri</w:t>
            </w:r>
          </w:p>
        </w:tc>
        <w:tc>
          <w:tcPr>
            <w:tcW w:w="577" w:type="pct"/>
            <w:tcBorders>
              <w:top w:val="nil"/>
              <w:left w:val="nil"/>
              <w:bottom w:val="single" w:sz="8" w:space="0" w:color="D9D9D9"/>
              <w:right w:val="single" w:sz="8" w:space="0" w:color="D9D9D9"/>
            </w:tcBorders>
            <w:shd w:val="clear" w:color="auto" w:fill="auto"/>
            <w:vAlign w:val="center"/>
            <w:hideMark/>
          </w:tcPr>
          <w:p w14:paraId="38DBA275"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124.068,39</w:t>
            </w:r>
          </w:p>
        </w:tc>
        <w:tc>
          <w:tcPr>
            <w:tcW w:w="577" w:type="pct"/>
            <w:tcBorders>
              <w:top w:val="nil"/>
              <w:left w:val="nil"/>
              <w:bottom w:val="single" w:sz="8" w:space="0" w:color="D9D9D9"/>
              <w:right w:val="single" w:sz="8" w:space="0" w:color="D9D9D9"/>
            </w:tcBorders>
            <w:shd w:val="clear" w:color="auto" w:fill="auto"/>
            <w:vAlign w:val="center"/>
            <w:hideMark/>
          </w:tcPr>
          <w:p w14:paraId="5CF42257"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126.088,45</w:t>
            </w:r>
          </w:p>
        </w:tc>
        <w:tc>
          <w:tcPr>
            <w:tcW w:w="661" w:type="pct"/>
            <w:tcBorders>
              <w:top w:val="nil"/>
              <w:left w:val="nil"/>
              <w:bottom w:val="single" w:sz="8" w:space="0" w:color="D9D9D9"/>
              <w:right w:val="single" w:sz="8" w:space="0" w:color="D9D9D9"/>
            </w:tcBorders>
            <w:shd w:val="clear" w:color="auto" w:fill="auto"/>
            <w:vAlign w:val="center"/>
            <w:hideMark/>
          </w:tcPr>
          <w:p w14:paraId="1CD65A85"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2.918.536,74</w:t>
            </w:r>
          </w:p>
        </w:tc>
        <w:tc>
          <w:tcPr>
            <w:tcW w:w="718" w:type="pct"/>
            <w:tcBorders>
              <w:top w:val="nil"/>
              <w:left w:val="nil"/>
              <w:bottom w:val="single" w:sz="8" w:space="0" w:color="D9D9D9"/>
              <w:right w:val="single" w:sz="8" w:space="0" w:color="D9D9D9"/>
            </w:tcBorders>
            <w:shd w:val="clear" w:color="auto" w:fill="auto"/>
            <w:vAlign w:val="center"/>
            <w:hideMark/>
          </w:tcPr>
          <w:p w14:paraId="665B5DE8"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12.814.129,71</w:t>
            </w:r>
          </w:p>
        </w:tc>
        <w:tc>
          <w:tcPr>
            <w:tcW w:w="592" w:type="pct"/>
            <w:tcBorders>
              <w:top w:val="nil"/>
              <w:left w:val="nil"/>
              <w:bottom w:val="single" w:sz="8" w:space="0" w:color="D9D9D9"/>
              <w:right w:val="single" w:sz="8" w:space="0" w:color="D9D9D9"/>
            </w:tcBorders>
            <w:shd w:val="clear" w:color="auto" w:fill="auto"/>
            <w:vAlign w:val="center"/>
            <w:hideMark/>
          </w:tcPr>
          <w:p w14:paraId="5A2E72F5"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28.389,19</w:t>
            </w:r>
          </w:p>
        </w:tc>
        <w:tc>
          <w:tcPr>
            <w:tcW w:w="718" w:type="pct"/>
            <w:tcBorders>
              <w:top w:val="nil"/>
              <w:left w:val="nil"/>
              <w:bottom w:val="single" w:sz="8" w:space="0" w:color="D9D9D9"/>
              <w:right w:val="single" w:sz="8" w:space="0" w:color="D9D9D9"/>
            </w:tcBorders>
            <w:shd w:val="clear" w:color="auto" w:fill="auto"/>
            <w:vAlign w:val="center"/>
            <w:hideMark/>
          </w:tcPr>
          <w:p w14:paraId="42FD0D80"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15.761.055,64</w:t>
            </w:r>
          </w:p>
        </w:tc>
      </w:tr>
      <w:tr w:rsidR="005D0429" w:rsidRPr="002048A7" w14:paraId="0465EFCC" w14:textId="77777777" w:rsidTr="00D16262">
        <w:trPr>
          <w:trHeight w:val="20"/>
        </w:trPr>
        <w:tc>
          <w:tcPr>
            <w:tcW w:w="675" w:type="pct"/>
            <w:vMerge/>
            <w:tcBorders>
              <w:top w:val="nil"/>
              <w:left w:val="single" w:sz="8" w:space="0" w:color="D9D9D9"/>
              <w:bottom w:val="single" w:sz="8" w:space="0" w:color="D9D9D9"/>
              <w:right w:val="single" w:sz="8" w:space="0" w:color="D9D9D9"/>
            </w:tcBorders>
            <w:vAlign w:val="center"/>
            <w:hideMark/>
          </w:tcPr>
          <w:p w14:paraId="554BF73E" w14:textId="77777777" w:rsidR="005D0429" w:rsidRPr="002048A7" w:rsidRDefault="005D0429" w:rsidP="005D0429">
            <w:pPr>
              <w:spacing w:after="0" w:line="240" w:lineRule="auto"/>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hideMark/>
          </w:tcPr>
          <w:p w14:paraId="5E58E44F" w14:textId="77777777" w:rsidR="005D0429" w:rsidRPr="002048A7" w:rsidRDefault="005D0429" w:rsidP="005D0429">
            <w:pPr>
              <w:spacing w:after="0" w:line="240" w:lineRule="auto"/>
              <w:rPr>
                <w:rFonts w:ascii="Calibri" w:eastAsia="Times New Roman" w:hAnsi="Calibri"/>
                <w:color w:val="000000"/>
                <w:sz w:val="20"/>
                <w:szCs w:val="20"/>
                <w:lang w:eastAsia="tr-TR"/>
              </w:rPr>
            </w:pPr>
            <w:r w:rsidRPr="002048A7">
              <w:rPr>
                <w:rFonts w:ascii="Calibri" w:eastAsia="Times New Roman" w:hAnsi="Calibri"/>
                <w:color w:val="000000"/>
                <w:sz w:val="20"/>
                <w:szCs w:val="20"/>
                <w:lang w:eastAsia="tr-TR"/>
              </w:rPr>
              <w:t>Dağıtıcılar</w:t>
            </w:r>
          </w:p>
        </w:tc>
        <w:tc>
          <w:tcPr>
            <w:tcW w:w="577" w:type="pct"/>
            <w:tcBorders>
              <w:top w:val="nil"/>
              <w:left w:val="nil"/>
              <w:bottom w:val="single" w:sz="8" w:space="0" w:color="D9D9D9"/>
              <w:right w:val="single" w:sz="8" w:space="0" w:color="D9D9D9"/>
            </w:tcBorders>
            <w:shd w:val="clear" w:color="auto" w:fill="auto"/>
            <w:vAlign w:val="center"/>
            <w:hideMark/>
          </w:tcPr>
          <w:p w14:paraId="133B8763"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111.493,34</w:t>
            </w:r>
          </w:p>
        </w:tc>
        <w:tc>
          <w:tcPr>
            <w:tcW w:w="577" w:type="pct"/>
            <w:tcBorders>
              <w:top w:val="nil"/>
              <w:left w:val="nil"/>
              <w:bottom w:val="single" w:sz="8" w:space="0" w:color="D9D9D9"/>
              <w:right w:val="single" w:sz="8" w:space="0" w:color="D9D9D9"/>
            </w:tcBorders>
            <w:shd w:val="clear" w:color="auto" w:fill="auto"/>
            <w:vAlign w:val="center"/>
            <w:hideMark/>
          </w:tcPr>
          <w:p w14:paraId="6DC5AEE3"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108.872,34</w:t>
            </w:r>
          </w:p>
        </w:tc>
        <w:tc>
          <w:tcPr>
            <w:tcW w:w="661" w:type="pct"/>
            <w:tcBorders>
              <w:top w:val="nil"/>
              <w:left w:val="nil"/>
              <w:bottom w:val="single" w:sz="8" w:space="0" w:color="D9D9D9"/>
              <w:right w:val="single" w:sz="8" w:space="0" w:color="D9D9D9"/>
            </w:tcBorders>
            <w:shd w:val="clear" w:color="auto" w:fill="auto"/>
            <w:vAlign w:val="center"/>
            <w:hideMark/>
          </w:tcPr>
          <w:p w14:paraId="53D33712"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0,00</w:t>
            </w:r>
          </w:p>
        </w:tc>
        <w:tc>
          <w:tcPr>
            <w:tcW w:w="718" w:type="pct"/>
            <w:tcBorders>
              <w:top w:val="nil"/>
              <w:left w:val="nil"/>
              <w:bottom w:val="single" w:sz="8" w:space="0" w:color="D9D9D9"/>
              <w:right w:val="single" w:sz="8" w:space="0" w:color="D9D9D9"/>
            </w:tcBorders>
            <w:shd w:val="clear" w:color="auto" w:fill="auto"/>
            <w:vAlign w:val="center"/>
            <w:hideMark/>
          </w:tcPr>
          <w:p w14:paraId="68F48A13"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13.455.607,96</w:t>
            </w:r>
          </w:p>
        </w:tc>
        <w:tc>
          <w:tcPr>
            <w:tcW w:w="592" w:type="pct"/>
            <w:tcBorders>
              <w:top w:val="nil"/>
              <w:left w:val="nil"/>
              <w:bottom w:val="single" w:sz="8" w:space="0" w:color="D9D9D9"/>
              <w:right w:val="single" w:sz="8" w:space="0" w:color="D9D9D9"/>
            </w:tcBorders>
            <w:shd w:val="clear" w:color="auto" w:fill="auto"/>
            <w:vAlign w:val="center"/>
            <w:hideMark/>
          </w:tcPr>
          <w:p w14:paraId="0861E142"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153.577,87</w:t>
            </w:r>
          </w:p>
        </w:tc>
        <w:tc>
          <w:tcPr>
            <w:tcW w:w="718" w:type="pct"/>
            <w:tcBorders>
              <w:top w:val="nil"/>
              <w:left w:val="nil"/>
              <w:bottom w:val="single" w:sz="8" w:space="0" w:color="D9D9D9"/>
              <w:right w:val="single" w:sz="8" w:space="0" w:color="D9D9D9"/>
            </w:tcBorders>
            <w:shd w:val="clear" w:color="auto" w:fill="auto"/>
            <w:vAlign w:val="center"/>
            <w:hideMark/>
          </w:tcPr>
          <w:p w14:paraId="2E0B5919"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13.609.185,83</w:t>
            </w:r>
          </w:p>
        </w:tc>
      </w:tr>
      <w:tr w:rsidR="005D0429" w:rsidRPr="002048A7" w14:paraId="466F4598" w14:textId="77777777" w:rsidTr="00D16262">
        <w:trPr>
          <w:trHeight w:val="20"/>
        </w:trPr>
        <w:tc>
          <w:tcPr>
            <w:tcW w:w="675" w:type="pct"/>
            <w:vMerge/>
            <w:tcBorders>
              <w:top w:val="nil"/>
              <w:left w:val="single" w:sz="8" w:space="0" w:color="D9D9D9"/>
              <w:bottom w:val="single" w:sz="8" w:space="0" w:color="D9D9D9"/>
              <w:right w:val="single" w:sz="8" w:space="0" w:color="D9D9D9"/>
            </w:tcBorders>
            <w:vAlign w:val="center"/>
            <w:hideMark/>
          </w:tcPr>
          <w:p w14:paraId="55AD252C" w14:textId="77777777" w:rsidR="005D0429" w:rsidRPr="002048A7" w:rsidRDefault="005D0429" w:rsidP="005D0429">
            <w:pPr>
              <w:spacing w:after="0" w:line="240" w:lineRule="auto"/>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hideMark/>
          </w:tcPr>
          <w:p w14:paraId="6E77EE6F" w14:textId="77777777" w:rsidR="005D0429" w:rsidRPr="002048A7" w:rsidRDefault="005D0429" w:rsidP="005D0429">
            <w:pPr>
              <w:spacing w:after="0" w:line="240" w:lineRule="auto"/>
              <w:rPr>
                <w:rFonts w:ascii="Calibri" w:eastAsia="Times New Roman" w:hAnsi="Calibri"/>
                <w:b/>
                <w:color w:val="000000"/>
                <w:sz w:val="20"/>
                <w:szCs w:val="20"/>
                <w:lang w:eastAsia="tr-TR"/>
              </w:rPr>
            </w:pPr>
            <w:r w:rsidRPr="002048A7">
              <w:rPr>
                <w:rFonts w:ascii="Calibri" w:eastAsia="Times New Roman" w:hAnsi="Calibri"/>
                <w:b/>
                <w:color w:val="000000"/>
                <w:sz w:val="20"/>
                <w:szCs w:val="20"/>
                <w:lang w:eastAsia="tr-TR"/>
              </w:rPr>
              <w:t>Toplam</w:t>
            </w:r>
          </w:p>
        </w:tc>
        <w:tc>
          <w:tcPr>
            <w:tcW w:w="577" w:type="pct"/>
            <w:tcBorders>
              <w:top w:val="nil"/>
              <w:left w:val="nil"/>
              <w:bottom w:val="single" w:sz="8" w:space="0" w:color="D9D9D9"/>
              <w:right w:val="single" w:sz="8" w:space="0" w:color="D9D9D9"/>
            </w:tcBorders>
            <w:shd w:val="clear" w:color="auto" w:fill="auto"/>
            <w:vAlign w:val="center"/>
            <w:hideMark/>
          </w:tcPr>
          <w:p w14:paraId="0A031648"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235.561,73</w:t>
            </w:r>
          </w:p>
        </w:tc>
        <w:tc>
          <w:tcPr>
            <w:tcW w:w="577" w:type="pct"/>
            <w:tcBorders>
              <w:top w:val="nil"/>
              <w:left w:val="nil"/>
              <w:bottom w:val="single" w:sz="8" w:space="0" w:color="D9D9D9"/>
              <w:right w:val="single" w:sz="8" w:space="0" w:color="D9D9D9"/>
            </w:tcBorders>
            <w:shd w:val="clear" w:color="auto" w:fill="auto"/>
            <w:vAlign w:val="center"/>
            <w:hideMark/>
          </w:tcPr>
          <w:p w14:paraId="337A88AC"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234.960,79</w:t>
            </w:r>
          </w:p>
        </w:tc>
        <w:tc>
          <w:tcPr>
            <w:tcW w:w="661" w:type="pct"/>
            <w:tcBorders>
              <w:top w:val="nil"/>
              <w:left w:val="nil"/>
              <w:bottom w:val="single" w:sz="8" w:space="0" w:color="D9D9D9"/>
              <w:right w:val="single" w:sz="8" w:space="0" w:color="D9D9D9"/>
            </w:tcBorders>
            <w:shd w:val="clear" w:color="auto" w:fill="auto"/>
            <w:vAlign w:val="center"/>
            <w:hideMark/>
          </w:tcPr>
          <w:p w14:paraId="7ED9F104"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2.918.536,74</w:t>
            </w:r>
          </w:p>
        </w:tc>
        <w:tc>
          <w:tcPr>
            <w:tcW w:w="718" w:type="pct"/>
            <w:tcBorders>
              <w:top w:val="nil"/>
              <w:left w:val="nil"/>
              <w:bottom w:val="single" w:sz="8" w:space="0" w:color="D9D9D9"/>
              <w:right w:val="single" w:sz="8" w:space="0" w:color="D9D9D9"/>
            </w:tcBorders>
            <w:shd w:val="clear" w:color="auto" w:fill="auto"/>
            <w:vAlign w:val="center"/>
            <w:hideMark/>
          </w:tcPr>
          <w:p w14:paraId="0A00320C"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26.269.737,67</w:t>
            </w:r>
          </w:p>
        </w:tc>
        <w:tc>
          <w:tcPr>
            <w:tcW w:w="592" w:type="pct"/>
            <w:tcBorders>
              <w:top w:val="nil"/>
              <w:left w:val="nil"/>
              <w:bottom w:val="single" w:sz="8" w:space="0" w:color="D9D9D9"/>
              <w:right w:val="single" w:sz="8" w:space="0" w:color="D9D9D9"/>
            </w:tcBorders>
            <w:shd w:val="clear" w:color="auto" w:fill="auto"/>
            <w:vAlign w:val="center"/>
            <w:hideMark/>
          </w:tcPr>
          <w:p w14:paraId="448CB91F"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181.967,06</w:t>
            </w:r>
          </w:p>
        </w:tc>
        <w:tc>
          <w:tcPr>
            <w:tcW w:w="718" w:type="pct"/>
            <w:tcBorders>
              <w:top w:val="nil"/>
              <w:left w:val="nil"/>
              <w:bottom w:val="single" w:sz="8" w:space="0" w:color="D9D9D9"/>
              <w:right w:val="single" w:sz="8" w:space="0" w:color="D9D9D9"/>
            </w:tcBorders>
            <w:shd w:val="clear" w:color="auto" w:fill="auto"/>
            <w:vAlign w:val="center"/>
            <w:hideMark/>
          </w:tcPr>
          <w:p w14:paraId="65A6AE08"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29.370.241,47</w:t>
            </w:r>
          </w:p>
        </w:tc>
      </w:tr>
      <w:tr w:rsidR="005D0429" w:rsidRPr="002048A7" w14:paraId="1DF81903" w14:textId="77777777" w:rsidTr="00D16262">
        <w:trPr>
          <w:trHeight w:val="20"/>
        </w:trPr>
        <w:tc>
          <w:tcPr>
            <w:tcW w:w="675" w:type="pct"/>
            <w:vMerge w:val="restart"/>
            <w:tcBorders>
              <w:top w:val="nil"/>
              <w:left w:val="single" w:sz="8" w:space="0" w:color="D9D9D9"/>
              <w:bottom w:val="single" w:sz="8" w:space="0" w:color="D9D9D9"/>
              <w:right w:val="single" w:sz="8" w:space="0" w:color="D9D9D9"/>
            </w:tcBorders>
            <w:shd w:val="clear" w:color="auto" w:fill="auto"/>
            <w:vAlign w:val="center"/>
            <w:hideMark/>
          </w:tcPr>
          <w:p w14:paraId="35CDA625" w14:textId="77777777" w:rsidR="005D0429" w:rsidRPr="002048A7" w:rsidRDefault="005D0429" w:rsidP="005D0429">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2017</w:t>
            </w:r>
          </w:p>
        </w:tc>
        <w:tc>
          <w:tcPr>
            <w:tcW w:w="482" w:type="pct"/>
            <w:tcBorders>
              <w:top w:val="nil"/>
              <w:left w:val="nil"/>
              <w:bottom w:val="single" w:sz="8" w:space="0" w:color="D9D9D9"/>
              <w:right w:val="single" w:sz="8" w:space="0" w:color="D9D9D9"/>
            </w:tcBorders>
            <w:shd w:val="clear" w:color="auto" w:fill="auto"/>
            <w:vAlign w:val="center"/>
            <w:hideMark/>
          </w:tcPr>
          <w:p w14:paraId="2D6BAFAF" w14:textId="77777777" w:rsidR="005D0429" w:rsidRPr="002048A7" w:rsidRDefault="005D0429" w:rsidP="005D0429">
            <w:pPr>
              <w:spacing w:after="0" w:line="240" w:lineRule="auto"/>
              <w:rPr>
                <w:rFonts w:ascii="Calibri" w:eastAsia="Times New Roman" w:hAnsi="Calibri"/>
                <w:color w:val="000000"/>
                <w:sz w:val="20"/>
                <w:szCs w:val="20"/>
                <w:lang w:eastAsia="tr-TR"/>
              </w:rPr>
            </w:pPr>
            <w:r w:rsidRPr="002048A7">
              <w:rPr>
                <w:rFonts w:ascii="Calibri" w:eastAsia="Times New Roman" w:hAnsi="Calibri"/>
                <w:color w:val="000000"/>
                <w:sz w:val="20"/>
                <w:szCs w:val="20"/>
                <w:lang w:eastAsia="tr-TR"/>
              </w:rPr>
              <w:t>Rafineri</w:t>
            </w:r>
          </w:p>
        </w:tc>
        <w:tc>
          <w:tcPr>
            <w:tcW w:w="577" w:type="pct"/>
            <w:tcBorders>
              <w:top w:val="nil"/>
              <w:left w:val="nil"/>
              <w:bottom w:val="single" w:sz="8" w:space="0" w:color="D9D9D9"/>
              <w:right w:val="single" w:sz="8" w:space="0" w:color="D9D9D9"/>
            </w:tcBorders>
            <w:shd w:val="clear" w:color="auto" w:fill="auto"/>
            <w:vAlign w:val="center"/>
            <w:hideMark/>
          </w:tcPr>
          <w:p w14:paraId="173FA90A"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133.762,01</w:t>
            </w:r>
          </w:p>
        </w:tc>
        <w:tc>
          <w:tcPr>
            <w:tcW w:w="577" w:type="pct"/>
            <w:tcBorders>
              <w:top w:val="nil"/>
              <w:left w:val="nil"/>
              <w:bottom w:val="single" w:sz="8" w:space="0" w:color="D9D9D9"/>
              <w:right w:val="single" w:sz="8" w:space="0" w:color="D9D9D9"/>
            </w:tcBorders>
            <w:shd w:val="clear" w:color="auto" w:fill="auto"/>
            <w:vAlign w:val="center"/>
            <w:hideMark/>
          </w:tcPr>
          <w:p w14:paraId="00449DA8"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130.937,80</w:t>
            </w:r>
          </w:p>
        </w:tc>
        <w:tc>
          <w:tcPr>
            <w:tcW w:w="661" w:type="pct"/>
            <w:tcBorders>
              <w:top w:val="nil"/>
              <w:left w:val="nil"/>
              <w:bottom w:val="single" w:sz="8" w:space="0" w:color="D9D9D9"/>
              <w:right w:val="single" w:sz="8" w:space="0" w:color="D9D9D9"/>
            </w:tcBorders>
            <w:shd w:val="clear" w:color="auto" w:fill="auto"/>
            <w:vAlign w:val="center"/>
            <w:hideMark/>
          </w:tcPr>
          <w:p w14:paraId="6360F246"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2.982.718,02</w:t>
            </w:r>
          </w:p>
        </w:tc>
        <w:tc>
          <w:tcPr>
            <w:tcW w:w="718" w:type="pct"/>
            <w:tcBorders>
              <w:top w:val="nil"/>
              <w:left w:val="nil"/>
              <w:bottom w:val="single" w:sz="8" w:space="0" w:color="D9D9D9"/>
              <w:right w:val="single" w:sz="8" w:space="0" w:color="D9D9D9"/>
            </w:tcBorders>
            <w:shd w:val="clear" w:color="auto" w:fill="auto"/>
            <w:vAlign w:val="center"/>
            <w:hideMark/>
          </w:tcPr>
          <w:p w14:paraId="193B42C5"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13.369.035,61</w:t>
            </w:r>
          </w:p>
        </w:tc>
        <w:tc>
          <w:tcPr>
            <w:tcW w:w="592" w:type="pct"/>
            <w:tcBorders>
              <w:top w:val="nil"/>
              <w:left w:val="nil"/>
              <w:bottom w:val="single" w:sz="8" w:space="0" w:color="D9D9D9"/>
              <w:right w:val="single" w:sz="8" w:space="0" w:color="D9D9D9"/>
            </w:tcBorders>
            <w:shd w:val="clear" w:color="auto" w:fill="auto"/>
            <w:vAlign w:val="center"/>
            <w:hideMark/>
          </w:tcPr>
          <w:p w14:paraId="117D518B"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15.473,43</w:t>
            </w:r>
          </w:p>
        </w:tc>
        <w:tc>
          <w:tcPr>
            <w:tcW w:w="718" w:type="pct"/>
            <w:tcBorders>
              <w:top w:val="nil"/>
              <w:left w:val="nil"/>
              <w:bottom w:val="single" w:sz="8" w:space="0" w:color="D9D9D9"/>
              <w:right w:val="single" w:sz="8" w:space="0" w:color="D9D9D9"/>
            </w:tcBorders>
            <w:shd w:val="clear" w:color="auto" w:fill="auto"/>
            <w:vAlign w:val="center"/>
            <w:hideMark/>
          </w:tcPr>
          <w:p w14:paraId="0FADEA09"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16.367.227,06</w:t>
            </w:r>
          </w:p>
        </w:tc>
      </w:tr>
      <w:tr w:rsidR="005D0429" w:rsidRPr="002048A7" w14:paraId="02145D13" w14:textId="77777777" w:rsidTr="00D16262">
        <w:trPr>
          <w:trHeight w:val="20"/>
        </w:trPr>
        <w:tc>
          <w:tcPr>
            <w:tcW w:w="675" w:type="pct"/>
            <w:vMerge/>
            <w:tcBorders>
              <w:top w:val="nil"/>
              <w:left w:val="single" w:sz="8" w:space="0" w:color="D9D9D9"/>
              <w:bottom w:val="single" w:sz="8" w:space="0" w:color="D9D9D9"/>
              <w:right w:val="single" w:sz="8" w:space="0" w:color="D9D9D9"/>
            </w:tcBorders>
            <w:vAlign w:val="center"/>
            <w:hideMark/>
          </w:tcPr>
          <w:p w14:paraId="51E45557" w14:textId="77777777" w:rsidR="005D0429" w:rsidRPr="002048A7" w:rsidRDefault="005D0429" w:rsidP="005D0429">
            <w:pPr>
              <w:spacing w:after="0" w:line="240" w:lineRule="auto"/>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hideMark/>
          </w:tcPr>
          <w:p w14:paraId="3FAACEDC" w14:textId="77777777" w:rsidR="005D0429" w:rsidRPr="002048A7" w:rsidRDefault="005D0429" w:rsidP="005D0429">
            <w:pPr>
              <w:spacing w:after="0" w:line="240" w:lineRule="auto"/>
              <w:rPr>
                <w:rFonts w:ascii="Calibri" w:eastAsia="Times New Roman" w:hAnsi="Calibri"/>
                <w:color w:val="000000"/>
                <w:sz w:val="20"/>
                <w:szCs w:val="20"/>
                <w:lang w:eastAsia="tr-TR"/>
              </w:rPr>
            </w:pPr>
            <w:r w:rsidRPr="002048A7">
              <w:rPr>
                <w:rFonts w:ascii="Calibri" w:eastAsia="Times New Roman" w:hAnsi="Calibri"/>
                <w:color w:val="000000"/>
                <w:sz w:val="20"/>
                <w:szCs w:val="20"/>
                <w:lang w:eastAsia="tr-TR"/>
              </w:rPr>
              <w:t>Dağıtıcılar</w:t>
            </w:r>
          </w:p>
        </w:tc>
        <w:tc>
          <w:tcPr>
            <w:tcW w:w="577" w:type="pct"/>
            <w:tcBorders>
              <w:top w:val="nil"/>
              <w:left w:val="nil"/>
              <w:bottom w:val="single" w:sz="8" w:space="0" w:color="D9D9D9"/>
              <w:right w:val="single" w:sz="8" w:space="0" w:color="D9D9D9"/>
            </w:tcBorders>
            <w:shd w:val="clear" w:color="auto" w:fill="auto"/>
            <w:vAlign w:val="center"/>
            <w:hideMark/>
          </w:tcPr>
          <w:p w14:paraId="16CEA91D"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119.137,46</w:t>
            </w:r>
          </w:p>
        </w:tc>
        <w:tc>
          <w:tcPr>
            <w:tcW w:w="577" w:type="pct"/>
            <w:tcBorders>
              <w:top w:val="nil"/>
              <w:left w:val="nil"/>
              <w:bottom w:val="single" w:sz="8" w:space="0" w:color="D9D9D9"/>
              <w:right w:val="single" w:sz="8" w:space="0" w:color="D9D9D9"/>
            </w:tcBorders>
            <w:shd w:val="clear" w:color="auto" w:fill="auto"/>
            <w:vAlign w:val="center"/>
            <w:hideMark/>
          </w:tcPr>
          <w:p w14:paraId="113A7330"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117.971,15</w:t>
            </w:r>
          </w:p>
        </w:tc>
        <w:tc>
          <w:tcPr>
            <w:tcW w:w="661" w:type="pct"/>
            <w:tcBorders>
              <w:top w:val="nil"/>
              <w:left w:val="nil"/>
              <w:bottom w:val="single" w:sz="8" w:space="0" w:color="D9D9D9"/>
              <w:right w:val="single" w:sz="8" w:space="0" w:color="D9D9D9"/>
            </w:tcBorders>
            <w:shd w:val="clear" w:color="auto" w:fill="auto"/>
            <w:vAlign w:val="center"/>
            <w:hideMark/>
          </w:tcPr>
          <w:p w14:paraId="0A61AE04"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0,00</w:t>
            </w:r>
          </w:p>
        </w:tc>
        <w:tc>
          <w:tcPr>
            <w:tcW w:w="718" w:type="pct"/>
            <w:tcBorders>
              <w:top w:val="nil"/>
              <w:left w:val="nil"/>
              <w:bottom w:val="single" w:sz="8" w:space="0" w:color="D9D9D9"/>
              <w:right w:val="single" w:sz="8" w:space="0" w:color="D9D9D9"/>
            </w:tcBorders>
            <w:shd w:val="clear" w:color="auto" w:fill="auto"/>
            <w:vAlign w:val="center"/>
            <w:hideMark/>
          </w:tcPr>
          <w:p w14:paraId="605D7E0F"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14.588.287,66</w:t>
            </w:r>
          </w:p>
        </w:tc>
        <w:tc>
          <w:tcPr>
            <w:tcW w:w="592" w:type="pct"/>
            <w:tcBorders>
              <w:top w:val="nil"/>
              <w:left w:val="nil"/>
              <w:bottom w:val="single" w:sz="8" w:space="0" w:color="D9D9D9"/>
              <w:right w:val="single" w:sz="8" w:space="0" w:color="D9D9D9"/>
            </w:tcBorders>
            <w:shd w:val="clear" w:color="auto" w:fill="auto"/>
            <w:vAlign w:val="center"/>
            <w:hideMark/>
          </w:tcPr>
          <w:p w14:paraId="7DB9DE89"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158.433,03</w:t>
            </w:r>
          </w:p>
        </w:tc>
        <w:tc>
          <w:tcPr>
            <w:tcW w:w="718" w:type="pct"/>
            <w:tcBorders>
              <w:top w:val="nil"/>
              <w:left w:val="nil"/>
              <w:bottom w:val="single" w:sz="8" w:space="0" w:color="D9D9D9"/>
              <w:right w:val="single" w:sz="8" w:space="0" w:color="D9D9D9"/>
            </w:tcBorders>
            <w:shd w:val="clear" w:color="auto" w:fill="auto"/>
            <w:vAlign w:val="center"/>
            <w:hideMark/>
          </w:tcPr>
          <w:p w14:paraId="5E9B2CD9"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14.746.720,69</w:t>
            </w:r>
          </w:p>
        </w:tc>
      </w:tr>
      <w:tr w:rsidR="005D0429" w:rsidRPr="002048A7" w14:paraId="1CE947E7" w14:textId="77777777" w:rsidTr="00D16262">
        <w:trPr>
          <w:trHeight w:val="20"/>
        </w:trPr>
        <w:tc>
          <w:tcPr>
            <w:tcW w:w="675" w:type="pct"/>
            <w:vMerge/>
            <w:tcBorders>
              <w:top w:val="nil"/>
              <w:left w:val="single" w:sz="8" w:space="0" w:color="D9D9D9"/>
              <w:bottom w:val="single" w:sz="8" w:space="0" w:color="D9D9D9"/>
              <w:right w:val="single" w:sz="8" w:space="0" w:color="D9D9D9"/>
            </w:tcBorders>
            <w:vAlign w:val="center"/>
            <w:hideMark/>
          </w:tcPr>
          <w:p w14:paraId="62434604" w14:textId="77777777" w:rsidR="005D0429" w:rsidRPr="002048A7" w:rsidRDefault="005D0429" w:rsidP="005D0429">
            <w:pPr>
              <w:spacing w:after="0" w:line="240" w:lineRule="auto"/>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hideMark/>
          </w:tcPr>
          <w:p w14:paraId="49E1F66D" w14:textId="77777777" w:rsidR="005D0429" w:rsidRPr="002048A7" w:rsidRDefault="005D0429" w:rsidP="005D0429">
            <w:pPr>
              <w:spacing w:after="0" w:line="240" w:lineRule="auto"/>
              <w:rPr>
                <w:rFonts w:ascii="Calibri" w:eastAsia="Times New Roman" w:hAnsi="Calibri"/>
                <w:b/>
                <w:color w:val="000000"/>
                <w:sz w:val="20"/>
                <w:szCs w:val="20"/>
                <w:lang w:eastAsia="tr-TR"/>
              </w:rPr>
            </w:pPr>
            <w:r w:rsidRPr="002048A7">
              <w:rPr>
                <w:rFonts w:ascii="Calibri" w:eastAsia="Times New Roman" w:hAnsi="Calibri"/>
                <w:b/>
                <w:color w:val="000000"/>
                <w:sz w:val="20"/>
                <w:szCs w:val="20"/>
                <w:lang w:eastAsia="tr-TR"/>
              </w:rPr>
              <w:t>Toplam</w:t>
            </w:r>
          </w:p>
        </w:tc>
        <w:tc>
          <w:tcPr>
            <w:tcW w:w="577" w:type="pct"/>
            <w:tcBorders>
              <w:top w:val="nil"/>
              <w:left w:val="nil"/>
              <w:bottom w:val="single" w:sz="8" w:space="0" w:color="D9D9D9"/>
              <w:right w:val="single" w:sz="8" w:space="0" w:color="D9D9D9"/>
            </w:tcBorders>
            <w:shd w:val="clear" w:color="auto" w:fill="auto"/>
            <w:vAlign w:val="center"/>
            <w:hideMark/>
          </w:tcPr>
          <w:p w14:paraId="7CB77E73"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252.899,47</w:t>
            </w:r>
          </w:p>
        </w:tc>
        <w:tc>
          <w:tcPr>
            <w:tcW w:w="577" w:type="pct"/>
            <w:tcBorders>
              <w:top w:val="nil"/>
              <w:left w:val="nil"/>
              <w:bottom w:val="single" w:sz="8" w:space="0" w:color="D9D9D9"/>
              <w:right w:val="single" w:sz="8" w:space="0" w:color="D9D9D9"/>
            </w:tcBorders>
            <w:shd w:val="clear" w:color="auto" w:fill="auto"/>
            <w:vAlign w:val="center"/>
            <w:hideMark/>
          </w:tcPr>
          <w:p w14:paraId="267AED3A"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248.908,95</w:t>
            </w:r>
          </w:p>
        </w:tc>
        <w:tc>
          <w:tcPr>
            <w:tcW w:w="661" w:type="pct"/>
            <w:tcBorders>
              <w:top w:val="nil"/>
              <w:left w:val="nil"/>
              <w:bottom w:val="single" w:sz="8" w:space="0" w:color="D9D9D9"/>
              <w:right w:val="single" w:sz="8" w:space="0" w:color="D9D9D9"/>
            </w:tcBorders>
            <w:shd w:val="clear" w:color="auto" w:fill="auto"/>
            <w:vAlign w:val="center"/>
            <w:hideMark/>
          </w:tcPr>
          <w:p w14:paraId="54EB8FD4"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2.982.718,02</w:t>
            </w:r>
          </w:p>
        </w:tc>
        <w:tc>
          <w:tcPr>
            <w:tcW w:w="718" w:type="pct"/>
            <w:tcBorders>
              <w:top w:val="nil"/>
              <w:left w:val="nil"/>
              <w:bottom w:val="single" w:sz="8" w:space="0" w:color="D9D9D9"/>
              <w:right w:val="single" w:sz="8" w:space="0" w:color="D9D9D9"/>
            </w:tcBorders>
            <w:shd w:val="clear" w:color="auto" w:fill="auto"/>
            <w:vAlign w:val="center"/>
            <w:hideMark/>
          </w:tcPr>
          <w:p w14:paraId="6BF995F9"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27.957.323,26</w:t>
            </w:r>
          </w:p>
        </w:tc>
        <w:tc>
          <w:tcPr>
            <w:tcW w:w="592" w:type="pct"/>
            <w:tcBorders>
              <w:top w:val="nil"/>
              <w:left w:val="nil"/>
              <w:bottom w:val="single" w:sz="8" w:space="0" w:color="D9D9D9"/>
              <w:right w:val="single" w:sz="8" w:space="0" w:color="D9D9D9"/>
            </w:tcBorders>
            <w:shd w:val="clear" w:color="auto" w:fill="auto"/>
            <w:vAlign w:val="center"/>
            <w:hideMark/>
          </w:tcPr>
          <w:p w14:paraId="60FB691E"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173.906,46</w:t>
            </w:r>
          </w:p>
        </w:tc>
        <w:tc>
          <w:tcPr>
            <w:tcW w:w="718" w:type="pct"/>
            <w:tcBorders>
              <w:top w:val="nil"/>
              <w:left w:val="nil"/>
              <w:bottom w:val="single" w:sz="8" w:space="0" w:color="D9D9D9"/>
              <w:right w:val="single" w:sz="8" w:space="0" w:color="D9D9D9"/>
            </w:tcBorders>
            <w:shd w:val="clear" w:color="auto" w:fill="auto"/>
            <w:vAlign w:val="center"/>
            <w:hideMark/>
          </w:tcPr>
          <w:p w14:paraId="27FC80E3"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31.113.947,74</w:t>
            </w:r>
          </w:p>
        </w:tc>
      </w:tr>
      <w:tr w:rsidR="005D0429" w:rsidRPr="002048A7" w14:paraId="2031EA15" w14:textId="77777777" w:rsidTr="00D16262">
        <w:trPr>
          <w:trHeight w:val="20"/>
        </w:trPr>
        <w:tc>
          <w:tcPr>
            <w:tcW w:w="675" w:type="pct"/>
            <w:vMerge w:val="restart"/>
            <w:tcBorders>
              <w:top w:val="nil"/>
              <w:left w:val="single" w:sz="8" w:space="0" w:color="D9D9D9"/>
              <w:bottom w:val="single" w:sz="8" w:space="0" w:color="D9D9D9"/>
              <w:right w:val="single" w:sz="8" w:space="0" w:color="D9D9D9"/>
            </w:tcBorders>
            <w:shd w:val="clear" w:color="auto" w:fill="auto"/>
            <w:vAlign w:val="center"/>
            <w:hideMark/>
          </w:tcPr>
          <w:p w14:paraId="3C782EAD" w14:textId="77777777" w:rsidR="005D0429" w:rsidRPr="002048A7" w:rsidRDefault="005D0429" w:rsidP="005D0429">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2018</w:t>
            </w:r>
          </w:p>
        </w:tc>
        <w:tc>
          <w:tcPr>
            <w:tcW w:w="482" w:type="pct"/>
            <w:tcBorders>
              <w:top w:val="nil"/>
              <w:left w:val="nil"/>
              <w:bottom w:val="single" w:sz="8" w:space="0" w:color="D9D9D9"/>
              <w:right w:val="single" w:sz="8" w:space="0" w:color="D9D9D9"/>
            </w:tcBorders>
            <w:shd w:val="clear" w:color="auto" w:fill="auto"/>
            <w:vAlign w:val="center"/>
            <w:hideMark/>
          </w:tcPr>
          <w:p w14:paraId="69A380CE" w14:textId="77777777" w:rsidR="005D0429" w:rsidRPr="002048A7" w:rsidRDefault="005D0429" w:rsidP="005D0429">
            <w:pPr>
              <w:spacing w:after="0" w:line="240" w:lineRule="auto"/>
              <w:rPr>
                <w:rFonts w:ascii="Calibri" w:eastAsia="Times New Roman" w:hAnsi="Calibri"/>
                <w:color w:val="000000"/>
                <w:sz w:val="20"/>
                <w:szCs w:val="20"/>
                <w:lang w:eastAsia="tr-TR"/>
              </w:rPr>
            </w:pPr>
            <w:r w:rsidRPr="002048A7">
              <w:rPr>
                <w:rFonts w:ascii="Calibri" w:eastAsia="Times New Roman" w:hAnsi="Calibri"/>
                <w:color w:val="000000"/>
                <w:sz w:val="20"/>
                <w:szCs w:val="20"/>
                <w:lang w:eastAsia="tr-TR"/>
              </w:rPr>
              <w:t>Rafineri</w:t>
            </w:r>
          </w:p>
        </w:tc>
        <w:tc>
          <w:tcPr>
            <w:tcW w:w="577" w:type="pct"/>
            <w:tcBorders>
              <w:top w:val="nil"/>
              <w:left w:val="nil"/>
              <w:bottom w:val="single" w:sz="8" w:space="0" w:color="D9D9D9"/>
              <w:right w:val="single" w:sz="8" w:space="0" w:color="D9D9D9"/>
            </w:tcBorders>
            <w:shd w:val="clear" w:color="auto" w:fill="auto"/>
            <w:vAlign w:val="center"/>
            <w:hideMark/>
          </w:tcPr>
          <w:p w14:paraId="4091567F"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137.217,16</w:t>
            </w:r>
          </w:p>
        </w:tc>
        <w:tc>
          <w:tcPr>
            <w:tcW w:w="577" w:type="pct"/>
            <w:tcBorders>
              <w:top w:val="nil"/>
              <w:left w:val="nil"/>
              <w:bottom w:val="single" w:sz="8" w:space="0" w:color="D9D9D9"/>
              <w:right w:val="single" w:sz="8" w:space="0" w:color="D9D9D9"/>
            </w:tcBorders>
            <w:shd w:val="clear" w:color="auto" w:fill="auto"/>
            <w:vAlign w:val="center"/>
            <w:hideMark/>
          </w:tcPr>
          <w:p w14:paraId="22B0230D"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136.097,38</w:t>
            </w:r>
          </w:p>
        </w:tc>
        <w:tc>
          <w:tcPr>
            <w:tcW w:w="661" w:type="pct"/>
            <w:tcBorders>
              <w:top w:val="nil"/>
              <w:left w:val="nil"/>
              <w:bottom w:val="single" w:sz="8" w:space="0" w:color="D9D9D9"/>
              <w:right w:val="single" w:sz="8" w:space="0" w:color="D9D9D9"/>
            </w:tcBorders>
            <w:shd w:val="clear" w:color="auto" w:fill="auto"/>
            <w:vAlign w:val="center"/>
            <w:hideMark/>
          </w:tcPr>
          <w:p w14:paraId="5A3D6630"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3.033.684,35</w:t>
            </w:r>
          </w:p>
        </w:tc>
        <w:tc>
          <w:tcPr>
            <w:tcW w:w="718" w:type="pct"/>
            <w:tcBorders>
              <w:top w:val="nil"/>
              <w:left w:val="nil"/>
              <w:bottom w:val="single" w:sz="8" w:space="0" w:color="D9D9D9"/>
              <w:right w:val="single" w:sz="8" w:space="0" w:color="D9D9D9"/>
            </w:tcBorders>
            <w:shd w:val="clear" w:color="auto" w:fill="auto"/>
            <w:vAlign w:val="center"/>
            <w:hideMark/>
          </w:tcPr>
          <w:p w14:paraId="00862FAF"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13.966.248,42</w:t>
            </w:r>
          </w:p>
        </w:tc>
        <w:tc>
          <w:tcPr>
            <w:tcW w:w="592" w:type="pct"/>
            <w:tcBorders>
              <w:top w:val="nil"/>
              <w:left w:val="nil"/>
              <w:bottom w:val="single" w:sz="8" w:space="0" w:color="D9D9D9"/>
              <w:right w:val="single" w:sz="8" w:space="0" w:color="D9D9D9"/>
            </w:tcBorders>
            <w:shd w:val="clear" w:color="auto" w:fill="auto"/>
            <w:vAlign w:val="center"/>
            <w:hideMark/>
          </w:tcPr>
          <w:p w14:paraId="36E003CC"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12.237,88</w:t>
            </w:r>
          </w:p>
        </w:tc>
        <w:tc>
          <w:tcPr>
            <w:tcW w:w="718" w:type="pct"/>
            <w:tcBorders>
              <w:top w:val="nil"/>
              <w:left w:val="nil"/>
              <w:bottom w:val="single" w:sz="8" w:space="0" w:color="D9D9D9"/>
              <w:right w:val="single" w:sz="8" w:space="0" w:color="D9D9D9"/>
            </w:tcBorders>
            <w:shd w:val="clear" w:color="auto" w:fill="auto"/>
            <w:vAlign w:val="center"/>
            <w:hideMark/>
          </w:tcPr>
          <w:p w14:paraId="4AFE7DEE"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17.012.170,64</w:t>
            </w:r>
          </w:p>
        </w:tc>
      </w:tr>
      <w:tr w:rsidR="005D0429" w:rsidRPr="002048A7" w14:paraId="119FDE14" w14:textId="77777777" w:rsidTr="00D16262">
        <w:trPr>
          <w:trHeight w:val="20"/>
        </w:trPr>
        <w:tc>
          <w:tcPr>
            <w:tcW w:w="675" w:type="pct"/>
            <w:vMerge/>
            <w:tcBorders>
              <w:top w:val="nil"/>
              <w:left w:val="single" w:sz="8" w:space="0" w:color="D9D9D9"/>
              <w:bottom w:val="single" w:sz="8" w:space="0" w:color="D9D9D9"/>
              <w:right w:val="single" w:sz="8" w:space="0" w:color="D9D9D9"/>
            </w:tcBorders>
            <w:vAlign w:val="center"/>
            <w:hideMark/>
          </w:tcPr>
          <w:p w14:paraId="35EDDA35" w14:textId="77777777" w:rsidR="005D0429" w:rsidRPr="002048A7" w:rsidRDefault="005D0429" w:rsidP="005D0429">
            <w:pPr>
              <w:spacing w:after="0" w:line="240" w:lineRule="auto"/>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hideMark/>
          </w:tcPr>
          <w:p w14:paraId="00D8EE09" w14:textId="77777777" w:rsidR="005D0429" w:rsidRPr="002048A7" w:rsidRDefault="005D0429" w:rsidP="005D0429">
            <w:pPr>
              <w:spacing w:after="0" w:line="240" w:lineRule="auto"/>
              <w:rPr>
                <w:rFonts w:ascii="Calibri" w:eastAsia="Times New Roman" w:hAnsi="Calibri"/>
                <w:color w:val="000000"/>
                <w:sz w:val="20"/>
                <w:szCs w:val="20"/>
                <w:lang w:eastAsia="tr-TR"/>
              </w:rPr>
            </w:pPr>
            <w:r w:rsidRPr="002048A7">
              <w:rPr>
                <w:rFonts w:ascii="Calibri" w:eastAsia="Times New Roman" w:hAnsi="Calibri"/>
                <w:color w:val="000000"/>
                <w:sz w:val="20"/>
                <w:szCs w:val="20"/>
                <w:lang w:eastAsia="tr-TR"/>
              </w:rPr>
              <w:t>Dağıtıcılar</w:t>
            </w:r>
          </w:p>
        </w:tc>
        <w:tc>
          <w:tcPr>
            <w:tcW w:w="577" w:type="pct"/>
            <w:tcBorders>
              <w:top w:val="nil"/>
              <w:left w:val="nil"/>
              <w:bottom w:val="single" w:sz="8" w:space="0" w:color="D9D9D9"/>
              <w:right w:val="single" w:sz="8" w:space="0" w:color="D9D9D9"/>
            </w:tcBorders>
            <w:shd w:val="clear" w:color="auto" w:fill="auto"/>
            <w:vAlign w:val="center"/>
            <w:hideMark/>
          </w:tcPr>
          <w:p w14:paraId="1D308D63"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107.606,46</w:t>
            </w:r>
          </w:p>
        </w:tc>
        <w:tc>
          <w:tcPr>
            <w:tcW w:w="577" w:type="pct"/>
            <w:tcBorders>
              <w:top w:val="nil"/>
              <w:left w:val="nil"/>
              <w:bottom w:val="single" w:sz="8" w:space="0" w:color="D9D9D9"/>
              <w:right w:val="single" w:sz="8" w:space="0" w:color="D9D9D9"/>
            </w:tcBorders>
            <w:shd w:val="clear" w:color="auto" w:fill="auto"/>
            <w:vAlign w:val="center"/>
            <w:hideMark/>
          </w:tcPr>
          <w:p w14:paraId="6AACD8B1"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108.945,34</w:t>
            </w:r>
          </w:p>
        </w:tc>
        <w:tc>
          <w:tcPr>
            <w:tcW w:w="661" w:type="pct"/>
            <w:tcBorders>
              <w:top w:val="nil"/>
              <w:left w:val="nil"/>
              <w:bottom w:val="single" w:sz="8" w:space="0" w:color="D9D9D9"/>
              <w:right w:val="single" w:sz="8" w:space="0" w:color="D9D9D9"/>
            </w:tcBorders>
            <w:shd w:val="clear" w:color="auto" w:fill="auto"/>
            <w:vAlign w:val="center"/>
            <w:hideMark/>
          </w:tcPr>
          <w:p w14:paraId="0401FFD1"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0,00</w:t>
            </w:r>
          </w:p>
        </w:tc>
        <w:tc>
          <w:tcPr>
            <w:tcW w:w="718" w:type="pct"/>
            <w:tcBorders>
              <w:top w:val="nil"/>
              <w:left w:val="nil"/>
              <w:bottom w:val="single" w:sz="8" w:space="0" w:color="D9D9D9"/>
              <w:right w:val="single" w:sz="8" w:space="0" w:color="D9D9D9"/>
            </w:tcBorders>
            <w:shd w:val="clear" w:color="auto" w:fill="auto"/>
            <w:vAlign w:val="center"/>
            <w:hideMark/>
          </w:tcPr>
          <w:p w14:paraId="5BBFBA4F"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13.412.442,25</w:t>
            </w:r>
          </w:p>
        </w:tc>
        <w:tc>
          <w:tcPr>
            <w:tcW w:w="592" w:type="pct"/>
            <w:tcBorders>
              <w:top w:val="nil"/>
              <w:left w:val="nil"/>
              <w:bottom w:val="single" w:sz="8" w:space="0" w:color="D9D9D9"/>
              <w:right w:val="single" w:sz="8" w:space="0" w:color="D9D9D9"/>
            </w:tcBorders>
            <w:shd w:val="clear" w:color="auto" w:fill="auto"/>
            <w:vAlign w:val="center"/>
            <w:hideMark/>
          </w:tcPr>
          <w:p w14:paraId="655B4A2E"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205.871,57</w:t>
            </w:r>
          </w:p>
        </w:tc>
        <w:tc>
          <w:tcPr>
            <w:tcW w:w="718" w:type="pct"/>
            <w:tcBorders>
              <w:top w:val="nil"/>
              <w:left w:val="nil"/>
              <w:bottom w:val="single" w:sz="8" w:space="0" w:color="D9D9D9"/>
              <w:right w:val="single" w:sz="8" w:space="0" w:color="D9D9D9"/>
            </w:tcBorders>
            <w:shd w:val="clear" w:color="auto" w:fill="auto"/>
            <w:vAlign w:val="center"/>
            <w:hideMark/>
          </w:tcPr>
          <w:p w14:paraId="7A39AC9C"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13.618.313,81</w:t>
            </w:r>
          </w:p>
        </w:tc>
      </w:tr>
      <w:tr w:rsidR="005D0429" w:rsidRPr="002048A7" w14:paraId="100BF276" w14:textId="77777777" w:rsidTr="00D16262">
        <w:trPr>
          <w:trHeight w:val="20"/>
        </w:trPr>
        <w:tc>
          <w:tcPr>
            <w:tcW w:w="675" w:type="pct"/>
            <w:vMerge/>
            <w:tcBorders>
              <w:top w:val="nil"/>
              <w:left w:val="single" w:sz="8" w:space="0" w:color="D9D9D9"/>
              <w:bottom w:val="single" w:sz="8" w:space="0" w:color="D9D9D9"/>
              <w:right w:val="single" w:sz="8" w:space="0" w:color="D9D9D9"/>
            </w:tcBorders>
            <w:vAlign w:val="center"/>
            <w:hideMark/>
          </w:tcPr>
          <w:p w14:paraId="3D174D0E" w14:textId="77777777" w:rsidR="005D0429" w:rsidRPr="002048A7" w:rsidRDefault="005D0429" w:rsidP="005D0429">
            <w:pPr>
              <w:spacing w:after="0" w:line="240" w:lineRule="auto"/>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hideMark/>
          </w:tcPr>
          <w:p w14:paraId="41F3D6DF" w14:textId="77777777" w:rsidR="005D0429" w:rsidRPr="002048A7" w:rsidRDefault="005D0429" w:rsidP="005D0429">
            <w:pPr>
              <w:spacing w:after="0" w:line="240" w:lineRule="auto"/>
              <w:rPr>
                <w:rFonts w:ascii="Calibri" w:eastAsia="Times New Roman" w:hAnsi="Calibri"/>
                <w:b/>
                <w:color w:val="000000"/>
                <w:sz w:val="20"/>
                <w:szCs w:val="20"/>
                <w:lang w:eastAsia="tr-TR"/>
              </w:rPr>
            </w:pPr>
            <w:r w:rsidRPr="002048A7">
              <w:rPr>
                <w:rFonts w:ascii="Calibri" w:eastAsia="Times New Roman" w:hAnsi="Calibri"/>
                <w:b/>
                <w:color w:val="000000"/>
                <w:sz w:val="20"/>
                <w:szCs w:val="20"/>
                <w:lang w:eastAsia="tr-TR"/>
              </w:rPr>
              <w:t>Toplam</w:t>
            </w:r>
          </w:p>
        </w:tc>
        <w:tc>
          <w:tcPr>
            <w:tcW w:w="577" w:type="pct"/>
            <w:tcBorders>
              <w:top w:val="nil"/>
              <w:left w:val="nil"/>
              <w:bottom w:val="single" w:sz="8" w:space="0" w:color="D9D9D9"/>
              <w:right w:val="single" w:sz="8" w:space="0" w:color="D9D9D9"/>
            </w:tcBorders>
            <w:shd w:val="clear" w:color="auto" w:fill="auto"/>
            <w:vAlign w:val="center"/>
            <w:hideMark/>
          </w:tcPr>
          <w:p w14:paraId="4286F91C"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244.823,61</w:t>
            </w:r>
          </w:p>
        </w:tc>
        <w:tc>
          <w:tcPr>
            <w:tcW w:w="577" w:type="pct"/>
            <w:tcBorders>
              <w:top w:val="nil"/>
              <w:left w:val="nil"/>
              <w:bottom w:val="single" w:sz="8" w:space="0" w:color="D9D9D9"/>
              <w:right w:val="single" w:sz="8" w:space="0" w:color="D9D9D9"/>
            </w:tcBorders>
            <w:shd w:val="clear" w:color="auto" w:fill="auto"/>
            <w:vAlign w:val="center"/>
            <w:hideMark/>
          </w:tcPr>
          <w:p w14:paraId="4F0F87AE"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245.042,72</w:t>
            </w:r>
          </w:p>
        </w:tc>
        <w:tc>
          <w:tcPr>
            <w:tcW w:w="661" w:type="pct"/>
            <w:tcBorders>
              <w:top w:val="nil"/>
              <w:left w:val="nil"/>
              <w:bottom w:val="single" w:sz="8" w:space="0" w:color="D9D9D9"/>
              <w:right w:val="single" w:sz="8" w:space="0" w:color="D9D9D9"/>
            </w:tcBorders>
            <w:shd w:val="clear" w:color="auto" w:fill="auto"/>
            <w:vAlign w:val="center"/>
            <w:hideMark/>
          </w:tcPr>
          <w:p w14:paraId="21D4F641"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3.033.684,35</w:t>
            </w:r>
          </w:p>
        </w:tc>
        <w:tc>
          <w:tcPr>
            <w:tcW w:w="718" w:type="pct"/>
            <w:tcBorders>
              <w:top w:val="nil"/>
              <w:left w:val="nil"/>
              <w:bottom w:val="single" w:sz="8" w:space="0" w:color="D9D9D9"/>
              <w:right w:val="single" w:sz="8" w:space="0" w:color="D9D9D9"/>
            </w:tcBorders>
            <w:shd w:val="clear" w:color="auto" w:fill="auto"/>
            <w:vAlign w:val="center"/>
            <w:hideMark/>
          </w:tcPr>
          <w:p w14:paraId="01F7DF81"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27.378.690,66</w:t>
            </w:r>
          </w:p>
        </w:tc>
        <w:tc>
          <w:tcPr>
            <w:tcW w:w="592" w:type="pct"/>
            <w:tcBorders>
              <w:top w:val="nil"/>
              <w:left w:val="nil"/>
              <w:bottom w:val="single" w:sz="8" w:space="0" w:color="D9D9D9"/>
              <w:right w:val="single" w:sz="8" w:space="0" w:color="D9D9D9"/>
            </w:tcBorders>
            <w:shd w:val="clear" w:color="auto" w:fill="auto"/>
            <w:vAlign w:val="center"/>
            <w:hideMark/>
          </w:tcPr>
          <w:p w14:paraId="1D45FAB5"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218.109,44</w:t>
            </w:r>
          </w:p>
        </w:tc>
        <w:tc>
          <w:tcPr>
            <w:tcW w:w="718" w:type="pct"/>
            <w:tcBorders>
              <w:top w:val="nil"/>
              <w:left w:val="nil"/>
              <w:bottom w:val="single" w:sz="8" w:space="0" w:color="D9D9D9"/>
              <w:right w:val="single" w:sz="8" w:space="0" w:color="D9D9D9"/>
            </w:tcBorders>
            <w:shd w:val="clear" w:color="auto" w:fill="auto"/>
            <w:vAlign w:val="center"/>
            <w:hideMark/>
          </w:tcPr>
          <w:p w14:paraId="20AFB6FE"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30.630.484,46</w:t>
            </w:r>
          </w:p>
        </w:tc>
      </w:tr>
      <w:tr w:rsidR="005D0429" w:rsidRPr="002048A7" w14:paraId="5A12F059" w14:textId="77777777" w:rsidTr="00D16262">
        <w:trPr>
          <w:trHeight w:val="20"/>
        </w:trPr>
        <w:tc>
          <w:tcPr>
            <w:tcW w:w="675" w:type="pct"/>
            <w:vMerge w:val="restart"/>
            <w:tcBorders>
              <w:top w:val="nil"/>
              <w:left w:val="single" w:sz="8" w:space="0" w:color="D9D9D9"/>
              <w:right w:val="single" w:sz="8" w:space="0" w:color="D9D9D9"/>
            </w:tcBorders>
            <w:vAlign w:val="center"/>
          </w:tcPr>
          <w:p w14:paraId="35615795" w14:textId="77777777" w:rsidR="005D0429" w:rsidRPr="002048A7" w:rsidRDefault="005D0429" w:rsidP="005D0429">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2019</w:t>
            </w:r>
          </w:p>
        </w:tc>
        <w:tc>
          <w:tcPr>
            <w:tcW w:w="482" w:type="pct"/>
            <w:tcBorders>
              <w:top w:val="nil"/>
              <w:left w:val="nil"/>
              <w:bottom w:val="single" w:sz="8" w:space="0" w:color="D9D9D9"/>
              <w:right w:val="single" w:sz="8" w:space="0" w:color="D9D9D9"/>
            </w:tcBorders>
            <w:shd w:val="clear" w:color="auto" w:fill="auto"/>
            <w:vAlign w:val="center"/>
          </w:tcPr>
          <w:p w14:paraId="7269CA3D" w14:textId="77777777" w:rsidR="005D0429" w:rsidRPr="002048A7" w:rsidRDefault="005D0429" w:rsidP="005D0429">
            <w:pPr>
              <w:spacing w:after="0" w:line="240" w:lineRule="auto"/>
              <w:rPr>
                <w:rFonts w:ascii="Calibri" w:eastAsia="Times New Roman" w:hAnsi="Calibri"/>
                <w:color w:val="000000"/>
                <w:sz w:val="20"/>
                <w:szCs w:val="20"/>
                <w:lang w:eastAsia="tr-TR"/>
              </w:rPr>
            </w:pPr>
            <w:r w:rsidRPr="002048A7">
              <w:rPr>
                <w:rFonts w:ascii="Calibri" w:eastAsia="Times New Roman" w:hAnsi="Calibri"/>
                <w:color w:val="000000"/>
                <w:sz w:val="20"/>
                <w:szCs w:val="20"/>
                <w:lang w:eastAsia="tr-TR"/>
              </w:rPr>
              <w:t>Rafineri</w:t>
            </w:r>
          </w:p>
        </w:tc>
        <w:tc>
          <w:tcPr>
            <w:tcW w:w="577" w:type="pct"/>
            <w:tcBorders>
              <w:top w:val="nil"/>
              <w:left w:val="nil"/>
              <w:bottom w:val="single" w:sz="8" w:space="0" w:color="D9D9D9"/>
              <w:right w:val="single" w:sz="8" w:space="0" w:color="D9D9D9"/>
            </w:tcBorders>
            <w:shd w:val="clear" w:color="auto" w:fill="auto"/>
            <w:vAlign w:val="center"/>
          </w:tcPr>
          <w:p w14:paraId="5F808191"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hAnsi="Calibri" w:cs="Calibri"/>
                <w:color w:val="000000"/>
                <w:sz w:val="18"/>
                <w:szCs w:val="18"/>
              </w:rPr>
              <w:t>139.047,49</w:t>
            </w:r>
          </w:p>
        </w:tc>
        <w:tc>
          <w:tcPr>
            <w:tcW w:w="577" w:type="pct"/>
            <w:tcBorders>
              <w:top w:val="nil"/>
              <w:left w:val="nil"/>
              <w:bottom w:val="single" w:sz="8" w:space="0" w:color="D9D9D9"/>
              <w:right w:val="single" w:sz="8" w:space="0" w:color="D9D9D9"/>
            </w:tcBorders>
            <w:shd w:val="clear" w:color="auto" w:fill="auto"/>
            <w:vAlign w:val="center"/>
          </w:tcPr>
          <w:p w14:paraId="5FF777CF"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hAnsi="Calibri" w:cs="Calibri"/>
                <w:color w:val="000000"/>
                <w:sz w:val="18"/>
                <w:szCs w:val="18"/>
              </w:rPr>
              <w:t>138.857,97</w:t>
            </w:r>
          </w:p>
        </w:tc>
        <w:tc>
          <w:tcPr>
            <w:tcW w:w="661" w:type="pct"/>
            <w:tcBorders>
              <w:top w:val="nil"/>
              <w:left w:val="nil"/>
              <w:bottom w:val="single" w:sz="8" w:space="0" w:color="D9D9D9"/>
              <w:right w:val="single" w:sz="8" w:space="0" w:color="D9D9D9"/>
            </w:tcBorders>
            <w:shd w:val="clear" w:color="auto" w:fill="auto"/>
            <w:vAlign w:val="center"/>
          </w:tcPr>
          <w:p w14:paraId="33BC1BC3"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hAnsi="Calibri" w:cs="Calibri"/>
                <w:color w:val="000000"/>
                <w:sz w:val="18"/>
                <w:szCs w:val="18"/>
              </w:rPr>
              <w:t>3.138.062,08</w:t>
            </w:r>
          </w:p>
        </w:tc>
        <w:tc>
          <w:tcPr>
            <w:tcW w:w="718" w:type="pct"/>
            <w:tcBorders>
              <w:top w:val="nil"/>
              <w:left w:val="nil"/>
              <w:bottom w:val="single" w:sz="8" w:space="0" w:color="D9D9D9"/>
              <w:right w:val="single" w:sz="8" w:space="0" w:color="D9D9D9"/>
            </w:tcBorders>
            <w:shd w:val="clear" w:color="auto" w:fill="auto"/>
            <w:vAlign w:val="center"/>
          </w:tcPr>
          <w:p w14:paraId="5281E054"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hAnsi="Calibri" w:cs="Calibri"/>
                <w:color w:val="000000"/>
                <w:sz w:val="18"/>
                <w:szCs w:val="18"/>
              </w:rPr>
              <w:t>14.205.698,60</w:t>
            </w:r>
          </w:p>
        </w:tc>
        <w:tc>
          <w:tcPr>
            <w:tcW w:w="592" w:type="pct"/>
            <w:tcBorders>
              <w:top w:val="nil"/>
              <w:left w:val="nil"/>
              <w:bottom w:val="single" w:sz="8" w:space="0" w:color="D9D9D9"/>
              <w:right w:val="single" w:sz="8" w:space="0" w:color="D9D9D9"/>
            </w:tcBorders>
            <w:shd w:val="clear" w:color="auto" w:fill="auto"/>
            <w:vAlign w:val="center"/>
          </w:tcPr>
          <w:p w14:paraId="5B87E436"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hAnsi="Calibri" w:cs="Calibri"/>
                <w:color w:val="000000"/>
                <w:sz w:val="18"/>
                <w:szCs w:val="18"/>
              </w:rPr>
              <w:t>13.483,34</w:t>
            </w:r>
          </w:p>
        </w:tc>
        <w:tc>
          <w:tcPr>
            <w:tcW w:w="718" w:type="pct"/>
            <w:tcBorders>
              <w:top w:val="nil"/>
              <w:left w:val="nil"/>
              <w:bottom w:val="single" w:sz="8" w:space="0" w:color="D9D9D9"/>
              <w:right w:val="single" w:sz="8" w:space="0" w:color="D9D9D9"/>
            </w:tcBorders>
            <w:shd w:val="clear" w:color="auto" w:fill="auto"/>
            <w:vAlign w:val="center"/>
          </w:tcPr>
          <w:p w14:paraId="074AC276"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hAnsi="Calibri" w:cs="Calibri"/>
                <w:color w:val="000000"/>
                <w:sz w:val="18"/>
                <w:szCs w:val="18"/>
              </w:rPr>
              <w:t>17.357.244,02</w:t>
            </w:r>
          </w:p>
        </w:tc>
      </w:tr>
      <w:tr w:rsidR="005D0429" w:rsidRPr="002048A7" w14:paraId="08B29CD5" w14:textId="77777777" w:rsidTr="00D16262">
        <w:trPr>
          <w:trHeight w:val="20"/>
        </w:trPr>
        <w:tc>
          <w:tcPr>
            <w:tcW w:w="675" w:type="pct"/>
            <w:vMerge/>
            <w:tcBorders>
              <w:left w:val="single" w:sz="8" w:space="0" w:color="D9D9D9"/>
              <w:right w:val="single" w:sz="8" w:space="0" w:color="D9D9D9"/>
            </w:tcBorders>
            <w:vAlign w:val="center"/>
          </w:tcPr>
          <w:p w14:paraId="239B6B1D" w14:textId="77777777" w:rsidR="005D0429" w:rsidRPr="002048A7" w:rsidRDefault="005D0429" w:rsidP="005D0429">
            <w:pPr>
              <w:spacing w:after="0" w:line="240" w:lineRule="auto"/>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tcPr>
          <w:p w14:paraId="1C68F6C7" w14:textId="77777777" w:rsidR="005D0429" w:rsidRPr="002048A7" w:rsidRDefault="005D0429" w:rsidP="005D0429">
            <w:pPr>
              <w:spacing w:after="0" w:line="240" w:lineRule="auto"/>
              <w:rPr>
                <w:rFonts w:ascii="Calibri" w:eastAsia="Times New Roman" w:hAnsi="Calibri"/>
                <w:color w:val="000000"/>
                <w:sz w:val="20"/>
                <w:szCs w:val="20"/>
                <w:lang w:eastAsia="tr-TR"/>
              </w:rPr>
            </w:pPr>
            <w:r w:rsidRPr="002048A7">
              <w:rPr>
                <w:rFonts w:ascii="Calibri" w:eastAsia="Times New Roman" w:hAnsi="Calibri"/>
                <w:color w:val="000000"/>
                <w:sz w:val="20"/>
                <w:szCs w:val="20"/>
                <w:lang w:eastAsia="tr-TR"/>
              </w:rPr>
              <w:t>Dağıtıcılar</w:t>
            </w:r>
          </w:p>
        </w:tc>
        <w:tc>
          <w:tcPr>
            <w:tcW w:w="577" w:type="pct"/>
            <w:tcBorders>
              <w:top w:val="nil"/>
              <w:left w:val="nil"/>
              <w:bottom w:val="single" w:sz="8" w:space="0" w:color="D9D9D9"/>
              <w:right w:val="single" w:sz="8" w:space="0" w:color="D9D9D9"/>
            </w:tcBorders>
            <w:shd w:val="clear" w:color="auto" w:fill="auto"/>
            <w:vAlign w:val="center"/>
          </w:tcPr>
          <w:p w14:paraId="01CFEF76"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hAnsi="Calibri" w:cs="Calibri"/>
                <w:color w:val="000000"/>
                <w:sz w:val="18"/>
                <w:szCs w:val="18"/>
              </w:rPr>
              <w:t>98.834,02</w:t>
            </w:r>
          </w:p>
        </w:tc>
        <w:tc>
          <w:tcPr>
            <w:tcW w:w="577" w:type="pct"/>
            <w:tcBorders>
              <w:top w:val="nil"/>
              <w:left w:val="nil"/>
              <w:bottom w:val="single" w:sz="8" w:space="0" w:color="D9D9D9"/>
              <w:right w:val="single" w:sz="8" w:space="0" w:color="D9D9D9"/>
            </w:tcBorders>
            <w:shd w:val="clear" w:color="auto" w:fill="auto"/>
            <w:vAlign w:val="center"/>
          </w:tcPr>
          <w:p w14:paraId="21223A11"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hAnsi="Calibri" w:cs="Calibri"/>
                <w:color w:val="000000"/>
                <w:sz w:val="18"/>
                <w:szCs w:val="18"/>
              </w:rPr>
              <w:t>101.826,72</w:t>
            </w:r>
          </w:p>
        </w:tc>
        <w:tc>
          <w:tcPr>
            <w:tcW w:w="661" w:type="pct"/>
            <w:tcBorders>
              <w:top w:val="nil"/>
              <w:left w:val="nil"/>
              <w:bottom w:val="single" w:sz="8" w:space="0" w:color="D9D9D9"/>
              <w:right w:val="single" w:sz="8" w:space="0" w:color="D9D9D9"/>
            </w:tcBorders>
            <w:shd w:val="clear" w:color="auto" w:fill="auto"/>
            <w:vAlign w:val="center"/>
          </w:tcPr>
          <w:p w14:paraId="391A5A7F"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hAnsi="Calibri" w:cs="Calibri"/>
                <w:color w:val="000000"/>
                <w:sz w:val="18"/>
                <w:szCs w:val="18"/>
              </w:rPr>
              <w:t>0,00</w:t>
            </w:r>
          </w:p>
        </w:tc>
        <w:tc>
          <w:tcPr>
            <w:tcW w:w="718" w:type="pct"/>
            <w:tcBorders>
              <w:top w:val="nil"/>
              <w:left w:val="nil"/>
              <w:bottom w:val="single" w:sz="8" w:space="0" w:color="D9D9D9"/>
              <w:right w:val="single" w:sz="8" w:space="0" w:color="D9D9D9"/>
            </w:tcBorders>
            <w:shd w:val="clear" w:color="auto" w:fill="auto"/>
            <w:vAlign w:val="center"/>
          </w:tcPr>
          <w:p w14:paraId="430E8D15"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hAnsi="Calibri" w:cs="Calibri"/>
                <w:color w:val="000000"/>
                <w:sz w:val="18"/>
                <w:szCs w:val="18"/>
              </w:rPr>
              <w:t>12.508.538,44</w:t>
            </w:r>
          </w:p>
        </w:tc>
        <w:tc>
          <w:tcPr>
            <w:tcW w:w="592" w:type="pct"/>
            <w:tcBorders>
              <w:top w:val="nil"/>
              <w:left w:val="nil"/>
              <w:bottom w:val="single" w:sz="8" w:space="0" w:color="D9D9D9"/>
              <w:right w:val="single" w:sz="8" w:space="0" w:color="D9D9D9"/>
            </w:tcBorders>
            <w:shd w:val="clear" w:color="auto" w:fill="auto"/>
            <w:vAlign w:val="center"/>
          </w:tcPr>
          <w:p w14:paraId="20473B64"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hAnsi="Calibri" w:cs="Calibri"/>
                <w:color w:val="000000"/>
                <w:sz w:val="18"/>
                <w:szCs w:val="18"/>
              </w:rPr>
              <w:t>219.817,70</w:t>
            </w:r>
          </w:p>
        </w:tc>
        <w:tc>
          <w:tcPr>
            <w:tcW w:w="718" w:type="pct"/>
            <w:tcBorders>
              <w:top w:val="nil"/>
              <w:left w:val="nil"/>
              <w:bottom w:val="single" w:sz="8" w:space="0" w:color="D9D9D9"/>
              <w:right w:val="single" w:sz="8" w:space="0" w:color="D9D9D9"/>
            </w:tcBorders>
            <w:shd w:val="clear" w:color="auto" w:fill="auto"/>
            <w:vAlign w:val="center"/>
          </w:tcPr>
          <w:p w14:paraId="67BE4038"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hAnsi="Calibri" w:cs="Calibri"/>
                <w:color w:val="000000"/>
                <w:sz w:val="18"/>
                <w:szCs w:val="18"/>
              </w:rPr>
              <w:t>12.728.356,14</w:t>
            </w:r>
          </w:p>
        </w:tc>
      </w:tr>
      <w:tr w:rsidR="005D0429" w:rsidRPr="002048A7" w14:paraId="38A08812" w14:textId="77777777" w:rsidTr="00D16262">
        <w:trPr>
          <w:trHeight w:val="20"/>
        </w:trPr>
        <w:tc>
          <w:tcPr>
            <w:tcW w:w="675" w:type="pct"/>
            <w:vMerge/>
            <w:tcBorders>
              <w:left w:val="single" w:sz="8" w:space="0" w:color="D9D9D9"/>
              <w:bottom w:val="single" w:sz="8" w:space="0" w:color="D9D9D9"/>
              <w:right w:val="single" w:sz="8" w:space="0" w:color="D9D9D9"/>
            </w:tcBorders>
            <w:vAlign w:val="center"/>
          </w:tcPr>
          <w:p w14:paraId="47374DDA" w14:textId="77777777" w:rsidR="005D0429" w:rsidRPr="002048A7" w:rsidRDefault="005D0429" w:rsidP="005D0429">
            <w:pPr>
              <w:spacing w:after="0" w:line="240" w:lineRule="auto"/>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tcPr>
          <w:p w14:paraId="2FB2800F" w14:textId="77777777" w:rsidR="005D0429" w:rsidRPr="002048A7" w:rsidRDefault="005D0429" w:rsidP="005D0429">
            <w:pPr>
              <w:spacing w:after="0" w:line="240" w:lineRule="auto"/>
              <w:rPr>
                <w:rFonts w:ascii="Calibri" w:eastAsia="Times New Roman" w:hAnsi="Calibri"/>
                <w:b/>
                <w:color w:val="000000"/>
                <w:sz w:val="20"/>
                <w:szCs w:val="20"/>
                <w:lang w:eastAsia="tr-TR"/>
              </w:rPr>
            </w:pPr>
            <w:r w:rsidRPr="002048A7">
              <w:rPr>
                <w:rFonts w:ascii="Calibri" w:eastAsia="Times New Roman" w:hAnsi="Calibri"/>
                <w:b/>
                <w:color w:val="000000"/>
                <w:sz w:val="20"/>
                <w:szCs w:val="20"/>
                <w:lang w:eastAsia="tr-TR"/>
              </w:rPr>
              <w:t>Toplam</w:t>
            </w:r>
          </w:p>
        </w:tc>
        <w:tc>
          <w:tcPr>
            <w:tcW w:w="577" w:type="pct"/>
            <w:tcBorders>
              <w:top w:val="nil"/>
              <w:left w:val="nil"/>
              <w:bottom w:val="single" w:sz="8" w:space="0" w:color="D9D9D9"/>
              <w:right w:val="single" w:sz="8" w:space="0" w:color="D9D9D9"/>
            </w:tcBorders>
            <w:shd w:val="clear" w:color="auto" w:fill="auto"/>
            <w:vAlign w:val="center"/>
          </w:tcPr>
          <w:p w14:paraId="6DE78D72"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hAnsi="Calibri" w:cs="Calibri"/>
                <w:b/>
                <w:color w:val="000000"/>
                <w:sz w:val="18"/>
                <w:szCs w:val="18"/>
              </w:rPr>
              <w:t>237.881,51</w:t>
            </w:r>
          </w:p>
        </w:tc>
        <w:tc>
          <w:tcPr>
            <w:tcW w:w="577" w:type="pct"/>
            <w:tcBorders>
              <w:top w:val="nil"/>
              <w:left w:val="nil"/>
              <w:bottom w:val="single" w:sz="8" w:space="0" w:color="D9D9D9"/>
              <w:right w:val="single" w:sz="8" w:space="0" w:color="D9D9D9"/>
            </w:tcBorders>
            <w:shd w:val="clear" w:color="auto" w:fill="auto"/>
            <w:vAlign w:val="center"/>
          </w:tcPr>
          <w:p w14:paraId="672A51FC"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hAnsi="Calibri" w:cs="Calibri"/>
                <w:b/>
                <w:color w:val="000000"/>
                <w:sz w:val="18"/>
                <w:szCs w:val="18"/>
              </w:rPr>
              <w:t>240.684,69</w:t>
            </w:r>
          </w:p>
        </w:tc>
        <w:tc>
          <w:tcPr>
            <w:tcW w:w="661" w:type="pct"/>
            <w:tcBorders>
              <w:top w:val="nil"/>
              <w:left w:val="nil"/>
              <w:bottom w:val="single" w:sz="8" w:space="0" w:color="D9D9D9"/>
              <w:right w:val="single" w:sz="8" w:space="0" w:color="D9D9D9"/>
            </w:tcBorders>
            <w:shd w:val="clear" w:color="auto" w:fill="auto"/>
            <w:vAlign w:val="center"/>
          </w:tcPr>
          <w:p w14:paraId="5D982F40"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hAnsi="Calibri" w:cs="Calibri"/>
                <w:b/>
                <w:color w:val="000000"/>
                <w:sz w:val="18"/>
                <w:szCs w:val="18"/>
              </w:rPr>
              <w:t>3.138.062,08</w:t>
            </w:r>
          </w:p>
        </w:tc>
        <w:tc>
          <w:tcPr>
            <w:tcW w:w="718" w:type="pct"/>
            <w:tcBorders>
              <w:top w:val="nil"/>
              <w:left w:val="nil"/>
              <w:bottom w:val="single" w:sz="8" w:space="0" w:color="D9D9D9"/>
              <w:right w:val="single" w:sz="8" w:space="0" w:color="D9D9D9"/>
            </w:tcBorders>
            <w:shd w:val="clear" w:color="auto" w:fill="auto"/>
            <w:vAlign w:val="center"/>
          </w:tcPr>
          <w:p w14:paraId="32598A02"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hAnsi="Calibri" w:cs="Calibri"/>
                <w:b/>
                <w:color w:val="000000"/>
                <w:sz w:val="18"/>
                <w:szCs w:val="18"/>
              </w:rPr>
              <w:t>26.714.237,04</w:t>
            </w:r>
          </w:p>
        </w:tc>
        <w:tc>
          <w:tcPr>
            <w:tcW w:w="592" w:type="pct"/>
            <w:tcBorders>
              <w:top w:val="nil"/>
              <w:left w:val="nil"/>
              <w:bottom w:val="single" w:sz="8" w:space="0" w:color="D9D9D9"/>
              <w:right w:val="single" w:sz="8" w:space="0" w:color="D9D9D9"/>
            </w:tcBorders>
            <w:shd w:val="clear" w:color="auto" w:fill="auto"/>
            <w:vAlign w:val="center"/>
          </w:tcPr>
          <w:p w14:paraId="30104DD0"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hAnsi="Calibri" w:cs="Calibri"/>
                <w:b/>
                <w:color w:val="000000"/>
                <w:sz w:val="18"/>
                <w:szCs w:val="18"/>
              </w:rPr>
              <w:t>233.301,04</w:t>
            </w:r>
          </w:p>
        </w:tc>
        <w:tc>
          <w:tcPr>
            <w:tcW w:w="718" w:type="pct"/>
            <w:tcBorders>
              <w:top w:val="nil"/>
              <w:left w:val="nil"/>
              <w:bottom w:val="single" w:sz="8" w:space="0" w:color="D9D9D9"/>
              <w:right w:val="single" w:sz="8" w:space="0" w:color="D9D9D9"/>
            </w:tcBorders>
            <w:shd w:val="clear" w:color="auto" w:fill="auto"/>
            <w:vAlign w:val="center"/>
          </w:tcPr>
          <w:p w14:paraId="7C85EB4B"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hAnsi="Calibri" w:cs="Calibri"/>
                <w:b/>
                <w:color w:val="000000"/>
                <w:sz w:val="18"/>
                <w:szCs w:val="18"/>
              </w:rPr>
              <w:t>30.085.600,17</w:t>
            </w:r>
          </w:p>
        </w:tc>
      </w:tr>
      <w:tr w:rsidR="005D0429" w:rsidRPr="002048A7" w14:paraId="4B128AF1" w14:textId="77777777" w:rsidTr="00D16262">
        <w:trPr>
          <w:trHeight w:val="20"/>
        </w:trPr>
        <w:tc>
          <w:tcPr>
            <w:tcW w:w="675" w:type="pct"/>
            <w:vMerge w:val="restart"/>
            <w:tcBorders>
              <w:left w:val="single" w:sz="8" w:space="0" w:color="D9D9D9"/>
              <w:right w:val="single" w:sz="8" w:space="0" w:color="D9D9D9"/>
            </w:tcBorders>
            <w:vAlign w:val="center"/>
          </w:tcPr>
          <w:p w14:paraId="0190DCB4" w14:textId="77777777" w:rsidR="005D0429" w:rsidRPr="002048A7" w:rsidRDefault="005D0429" w:rsidP="005D0429">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2020</w:t>
            </w:r>
          </w:p>
        </w:tc>
        <w:tc>
          <w:tcPr>
            <w:tcW w:w="482" w:type="pct"/>
            <w:tcBorders>
              <w:top w:val="nil"/>
              <w:left w:val="nil"/>
              <w:bottom w:val="single" w:sz="8" w:space="0" w:color="D9D9D9"/>
              <w:right w:val="single" w:sz="8" w:space="0" w:color="D9D9D9"/>
            </w:tcBorders>
            <w:shd w:val="clear" w:color="auto" w:fill="auto"/>
            <w:vAlign w:val="center"/>
          </w:tcPr>
          <w:p w14:paraId="2D6FA7C7" w14:textId="77777777" w:rsidR="005D0429" w:rsidRPr="002048A7" w:rsidRDefault="005D0429" w:rsidP="005D0429">
            <w:pPr>
              <w:spacing w:after="0" w:line="240" w:lineRule="auto"/>
              <w:rPr>
                <w:rFonts w:ascii="Calibri" w:eastAsia="Times New Roman" w:hAnsi="Calibri"/>
                <w:b/>
                <w:color w:val="000000"/>
                <w:sz w:val="20"/>
                <w:szCs w:val="20"/>
                <w:lang w:eastAsia="tr-TR"/>
              </w:rPr>
            </w:pPr>
            <w:r w:rsidRPr="002048A7">
              <w:rPr>
                <w:rFonts w:ascii="Calibri" w:eastAsia="Times New Roman" w:hAnsi="Calibri"/>
                <w:color w:val="000000"/>
                <w:sz w:val="20"/>
                <w:szCs w:val="20"/>
                <w:lang w:eastAsia="tr-TR"/>
              </w:rPr>
              <w:t>Rafineri</w:t>
            </w:r>
          </w:p>
        </w:tc>
        <w:tc>
          <w:tcPr>
            <w:tcW w:w="577" w:type="pct"/>
            <w:tcBorders>
              <w:top w:val="nil"/>
              <w:left w:val="nil"/>
              <w:bottom w:val="single" w:sz="8" w:space="0" w:color="D9D9D9"/>
              <w:right w:val="single" w:sz="8" w:space="0" w:color="D9D9D9"/>
            </w:tcBorders>
            <w:shd w:val="clear" w:color="auto" w:fill="auto"/>
            <w:vAlign w:val="center"/>
          </w:tcPr>
          <w:p w14:paraId="2F845496" w14:textId="77777777" w:rsidR="005D0429" w:rsidRPr="002048A7" w:rsidRDefault="005D0429" w:rsidP="005D0429">
            <w:pPr>
              <w:spacing w:after="0" w:line="240" w:lineRule="auto"/>
              <w:jc w:val="right"/>
              <w:rPr>
                <w:rFonts w:ascii="Calibri" w:hAnsi="Calibri" w:cs="Calibri"/>
                <w:b/>
                <w:color w:val="000000"/>
                <w:sz w:val="18"/>
                <w:szCs w:val="18"/>
              </w:rPr>
            </w:pPr>
            <w:r w:rsidRPr="002048A7">
              <w:rPr>
                <w:rFonts w:ascii="Calibri" w:hAnsi="Calibri" w:cs="Calibri"/>
                <w:color w:val="000000"/>
                <w:sz w:val="18"/>
                <w:szCs w:val="18"/>
              </w:rPr>
              <w:t>166.221,94</w:t>
            </w:r>
          </w:p>
        </w:tc>
        <w:tc>
          <w:tcPr>
            <w:tcW w:w="577" w:type="pct"/>
            <w:tcBorders>
              <w:top w:val="nil"/>
              <w:left w:val="nil"/>
              <w:bottom w:val="single" w:sz="8" w:space="0" w:color="D9D9D9"/>
              <w:right w:val="single" w:sz="8" w:space="0" w:color="D9D9D9"/>
            </w:tcBorders>
            <w:shd w:val="clear" w:color="auto" w:fill="auto"/>
            <w:vAlign w:val="center"/>
          </w:tcPr>
          <w:p w14:paraId="02ADD4ED" w14:textId="77777777" w:rsidR="005D0429" w:rsidRPr="002048A7" w:rsidRDefault="005D0429" w:rsidP="005D0429">
            <w:pPr>
              <w:spacing w:after="0" w:line="240" w:lineRule="auto"/>
              <w:jc w:val="right"/>
              <w:rPr>
                <w:rFonts w:ascii="Calibri" w:hAnsi="Calibri" w:cs="Calibri"/>
                <w:b/>
                <w:color w:val="000000"/>
                <w:sz w:val="18"/>
                <w:szCs w:val="18"/>
              </w:rPr>
            </w:pPr>
            <w:r w:rsidRPr="002048A7">
              <w:rPr>
                <w:rFonts w:ascii="Calibri" w:hAnsi="Calibri" w:cs="Calibri"/>
                <w:color w:val="000000"/>
                <w:sz w:val="18"/>
                <w:szCs w:val="18"/>
              </w:rPr>
              <w:t>163.736,99</w:t>
            </w:r>
          </w:p>
        </w:tc>
        <w:tc>
          <w:tcPr>
            <w:tcW w:w="661" w:type="pct"/>
            <w:tcBorders>
              <w:top w:val="nil"/>
              <w:left w:val="nil"/>
              <w:bottom w:val="single" w:sz="8" w:space="0" w:color="D9D9D9"/>
              <w:right w:val="single" w:sz="8" w:space="0" w:color="D9D9D9"/>
            </w:tcBorders>
            <w:shd w:val="clear" w:color="auto" w:fill="auto"/>
            <w:vAlign w:val="center"/>
          </w:tcPr>
          <w:p w14:paraId="61CE3C6F" w14:textId="77777777" w:rsidR="005D0429" w:rsidRPr="002048A7" w:rsidRDefault="005D0429" w:rsidP="005D0429">
            <w:pPr>
              <w:spacing w:after="0" w:line="240" w:lineRule="auto"/>
              <w:jc w:val="right"/>
              <w:rPr>
                <w:rFonts w:ascii="Calibri" w:hAnsi="Calibri" w:cs="Calibri"/>
                <w:b/>
                <w:color w:val="000000"/>
                <w:sz w:val="18"/>
                <w:szCs w:val="18"/>
              </w:rPr>
            </w:pPr>
            <w:r w:rsidRPr="002048A7">
              <w:rPr>
                <w:rFonts w:ascii="Calibri" w:hAnsi="Calibri" w:cs="Calibri"/>
                <w:color w:val="000000"/>
                <w:sz w:val="18"/>
                <w:szCs w:val="18"/>
              </w:rPr>
              <w:t>3.146.182,46</w:t>
            </w:r>
          </w:p>
        </w:tc>
        <w:tc>
          <w:tcPr>
            <w:tcW w:w="718" w:type="pct"/>
            <w:tcBorders>
              <w:top w:val="nil"/>
              <w:left w:val="nil"/>
              <w:bottom w:val="single" w:sz="8" w:space="0" w:color="D9D9D9"/>
              <w:right w:val="single" w:sz="8" w:space="0" w:color="D9D9D9"/>
            </w:tcBorders>
            <w:shd w:val="clear" w:color="auto" w:fill="auto"/>
            <w:vAlign w:val="center"/>
          </w:tcPr>
          <w:p w14:paraId="3FF15697" w14:textId="77777777" w:rsidR="005D0429" w:rsidRPr="002048A7" w:rsidRDefault="005D0429" w:rsidP="005D0429">
            <w:pPr>
              <w:spacing w:after="0" w:line="240" w:lineRule="auto"/>
              <w:jc w:val="right"/>
              <w:rPr>
                <w:rFonts w:ascii="Calibri" w:hAnsi="Calibri" w:cs="Calibri"/>
                <w:b/>
                <w:color w:val="000000"/>
                <w:sz w:val="18"/>
                <w:szCs w:val="18"/>
              </w:rPr>
            </w:pPr>
            <w:r w:rsidRPr="002048A7">
              <w:rPr>
                <w:rFonts w:ascii="Calibri" w:hAnsi="Calibri" w:cs="Calibri"/>
                <w:color w:val="000000"/>
                <w:sz w:val="18"/>
                <w:szCs w:val="18"/>
              </w:rPr>
              <w:t>17.311.232,89</w:t>
            </w:r>
          </w:p>
        </w:tc>
        <w:tc>
          <w:tcPr>
            <w:tcW w:w="592" w:type="pct"/>
            <w:tcBorders>
              <w:top w:val="nil"/>
              <w:left w:val="nil"/>
              <w:bottom w:val="single" w:sz="8" w:space="0" w:color="D9D9D9"/>
              <w:right w:val="single" w:sz="8" w:space="0" w:color="D9D9D9"/>
            </w:tcBorders>
            <w:shd w:val="clear" w:color="auto" w:fill="auto"/>
            <w:vAlign w:val="center"/>
          </w:tcPr>
          <w:p w14:paraId="2893B300" w14:textId="77777777" w:rsidR="005D0429" w:rsidRPr="002048A7" w:rsidRDefault="005D0429" w:rsidP="005D0429">
            <w:pPr>
              <w:spacing w:after="0" w:line="240" w:lineRule="auto"/>
              <w:jc w:val="right"/>
              <w:rPr>
                <w:rFonts w:ascii="Calibri" w:hAnsi="Calibri" w:cs="Calibri"/>
                <w:b/>
                <w:color w:val="000000"/>
                <w:sz w:val="18"/>
                <w:szCs w:val="18"/>
              </w:rPr>
            </w:pPr>
            <w:r w:rsidRPr="002048A7">
              <w:rPr>
                <w:rFonts w:ascii="Calibri" w:hAnsi="Calibri" w:cs="Calibri"/>
                <w:color w:val="000000"/>
                <w:sz w:val="18"/>
                <w:szCs w:val="18"/>
              </w:rPr>
              <w:t>9.706,62</w:t>
            </w:r>
          </w:p>
        </w:tc>
        <w:tc>
          <w:tcPr>
            <w:tcW w:w="718" w:type="pct"/>
            <w:tcBorders>
              <w:top w:val="nil"/>
              <w:left w:val="nil"/>
              <w:bottom w:val="single" w:sz="8" w:space="0" w:color="D9D9D9"/>
              <w:right w:val="single" w:sz="8" w:space="0" w:color="D9D9D9"/>
            </w:tcBorders>
            <w:shd w:val="clear" w:color="auto" w:fill="auto"/>
            <w:vAlign w:val="center"/>
          </w:tcPr>
          <w:p w14:paraId="4546E02A" w14:textId="77777777" w:rsidR="005D0429" w:rsidRPr="002048A7" w:rsidRDefault="005D0429" w:rsidP="005D0429">
            <w:pPr>
              <w:spacing w:after="0" w:line="240" w:lineRule="auto"/>
              <w:jc w:val="right"/>
              <w:rPr>
                <w:rFonts w:ascii="Calibri" w:hAnsi="Calibri" w:cs="Calibri"/>
                <w:b/>
                <w:color w:val="000000"/>
                <w:sz w:val="18"/>
                <w:szCs w:val="18"/>
              </w:rPr>
            </w:pPr>
            <w:r w:rsidRPr="002048A7">
              <w:rPr>
                <w:rFonts w:ascii="Calibri" w:hAnsi="Calibri" w:cs="Calibri"/>
                <w:color w:val="000000"/>
                <w:sz w:val="18"/>
                <w:szCs w:val="18"/>
              </w:rPr>
              <w:t>20.467.121,97</w:t>
            </w:r>
          </w:p>
        </w:tc>
      </w:tr>
      <w:tr w:rsidR="005D0429" w:rsidRPr="002048A7" w14:paraId="5DFB76F7" w14:textId="77777777" w:rsidTr="00D16262">
        <w:trPr>
          <w:trHeight w:val="20"/>
        </w:trPr>
        <w:tc>
          <w:tcPr>
            <w:tcW w:w="675" w:type="pct"/>
            <w:vMerge/>
            <w:tcBorders>
              <w:left w:val="single" w:sz="8" w:space="0" w:color="D9D9D9"/>
              <w:right w:val="single" w:sz="8" w:space="0" w:color="D9D9D9"/>
            </w:tcBorders>
            <w:vAlign w:val="center"/>
          </w:tcPr>
          <w:p w14:paraId="216917AB" w14:textId="77777777" w:rsidR="005D0429" w:rsidRPr="002048A7" w:rsidRDefault="005D0429" w:rsidP="005D0429">
            <w:pPr>
              <w:spacing w:after="0" w:line="240" w:lineRule="auto"/>
              <w:jc w:val="center"/>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tcPr>
          <w:p w14:paraId="57BDC5F9" w14:textId="77777777" w:rsidR="005D0429" w:rsidRPr="002048A7" w:rsidRDefault="005D0429" w:rsidP="005D0429">
            <w:pPr>
              <w:spacing w:after="0" w:line="240" w:lineRule="auto"/>
              <w:rPr>
                <w:rFonts w:ascii="Calibri" w:eastAsia="Times New Roman" w:hAnsi="Calibri"/>
                <w:b/>
                <w:color w:val="000000"/>
                <w:sz w:val="20"/>
                <w:szCs w:val="20"/>
                <w:lang w:eastAsia="tr-TR"/>
              </w:rPr>
            </w:pPr>
            <w:r w:rsidRPr="002048A7">
              <w:rPr>
                <w:rFonts w:ascii="Calibri" w:eastAsia="Times New Roman" w:hAnsi="Calibri"/>
                <w:color w:val="000000"/>
                <w:sz w:val="20"/>
                <w:szCs w:val="20"/>
                <w:lang w:eastAsia="tr-TR"/>
              </w:rPr>
              <w:t>Dağıtıcılar</w:t>
            </w:r>
          </w:p>
        </w:tc>
        <w:tc>
          <w:tcPr>
            <w:tcW w:w="577" w:type="pct"/>
            <w:tcBorders>
              <w:top w:val="nil"/>
              <w:left w:val="nil"/>
              <w:bottom w:val="single" w:sz="8" w:space="0" w:color="D9D9D9"/>
              <w:right w:val="single" w:sz="8" w:space="0" w:color="D9D9D9"/>
            </w:tcBorders>
            <w:shd w:val="clear" w:color="auto" w:fill="auto"/>
            <w:vAlign w:val="center"/>
          </w:tcPr>
          <w:p w14:paraId="2660CCE8" w14:textId="77777777" w:rsidR="005D0429" w:rsidRPr="002048A7" w:rsidRDefault="005D0429" w:rsidP="005D0429">
            <w:pPr>
              <w:spacing w:after="0" w:line="240" w:lineRule="auto"/>
              <w:jc w:val="right"/>
              <w:rPr>
                <w:rFonts w:ascii="Calibri" w:hAnsi="Calibri" w:cs="Calibri"/>
                <w:b/>
                <w:color w:val="000000"/>
                <w:sz w:val="18"/>
                <w:szCs w:val="18"/>
              </w:rPr>
            </w:pPr>
            <w:r w:rsidRPr="002048A7">
              <w:rPr>
                <w:rFonts w:ascii="Calibri" w:hAnsi="Calibri" w:cs="Calibri"/>
                <w:color w:val="000000"/>
                <w:sz w:val="18"/>
                <w:szCs w:val="18"/>
              </w:rPr>
              <w:t>78.661,95</w:t>
            </w:r>
          </w:p>
        </w:tc>
        <w:tc>
          <w:tcPr>
            <w:tcW w:w="577" w:type="pct"/>
            <w:tcBorders>
              <w:top w:val="nil"/>
              <w:left w:val="nil"/>
              <w:bottom w:val="single" w:sz="8" w:space="0" w:color="D9D9D9"/>
              <w:right w:val="single" w:sz="8" w:space="0" w:color="D9D9D9"/>
            </w:tcBorders>
            <w:shd w:val="clear" w:color="auto" w:fill="auto"/>
            <w:vAlign w:val="center"/>
          </w:tcPr>
          <w:p w14:paraId="6AA1A5E3" w14:textId="77777777" w:rsidR="005D0429" w:rsidRPr="002048A7" w:rsidRDefault="005D0429" w:rsidP="005D0429">
            <w:pPr>
              <w:spacing w:after="0" w:line="240" w:lineRule="auto"/>
              <w:jc w:val="right"/>
              <w:rPr>
                <w:rFonts w:ascii="Calibri" w:hAnsi="Calibri" w:cs="Calibri"/>
                <w:b/>
                <w:color w:val="000000"/>
                <w:sz w:val="18"/>
                <w:szCs w:val="18"/>
              </w:rPr>
            </w:pPr>
            <w:r w:rsidRPr="002048A7">
              <w:rPr>
                <w:rFonts w:ascii="Calibri" w:hAnsi="Calibri" w:cs="Calibri"/>
                <w:color w:val="000000"/>
                <w:sz w:val="18"/>
                <w:szCs w:val="18"/>
              </w:rPr>
              <w:t>77.805,28</w:t>
            </w:r>
          </w:p>
        </w:tc>
        <w:tc>
          <w:tcPr>
            <w:tcW w:w="661" w:type="pct"/>
            <w:tcBorders>
              <w:top w:val="nil"/>
              <w:left w:val="nil"/>
              <w:bottom w:val="single" w:sz="8" w:space="0" w:color="D9D9D9"/>
              <w:right w:val="single" w:sz="8" w:space="0" w:color="D9D9D9"/>
            </w:tcBorders>
            <w:shd w:val="clear" w:color="auto" w:fill="auto"/>
            <w:vAlign w:val="center"/>
          </w:tcPr>
          <w:p w14:paraId="5665EBDA" w14:textId="77777777" w:rsidR="005D0429" w:rsidRPr="002048A7" w:rsidRDefault="005D0429" w:rsidP="005D0429">
            <w:pPr>
              <w:spacing w:after="0" w:line="240" w:lineRule="auto"/>
              <w:jc w:val="right"/>
              <w:rPr>
                <w:rFonts w:ascii="Calibri" w:hAnsi="Calibri" w:cs="Calibri"/>
                <w:b/>
                <w:color w:val="000000"/>
                <w:sz w:val="18"/>
                <w:szCs w:val="18"/>
              </w:rPr>
            </w:pPr>
            <w:r w:rsidRPr="002048A7">
              <w:rPr>
                <w:rFonts w:ascii="Calibri" w:hAnsi="Calibri" w:cs="Calibri"/>
                <w:color w:val="000000"/>
                <w:sz w:val="18"/>
                <w:szCs w:val="18"/>
              </w:rPr>
              <w:t>0,00</w:t>
            </w:r>
          </w:p>
        </w:tc>
        <w:tc>
          <w:tcPr>
            <w:tcW w:w="718" w:type="pct"/>
            <w:tcBorders>
              <w:top w:val="nil"/>
              <w:left w:val="nil"/>
              <w:bottom w:val="single" w:sz="8" w:space="0" w:color="D9D9D9"/>
              <w:right w:val="single" w:sz="8" w:space="0" w:color="D9D9D9"/>
            </w:tcBorders>
            <w:shd w:val="clear" w:color="auto" w:fill="auto"/>
            <w:vAlign w:val="center"/>
          </w:tcPr>
          <w:p w14:paraId="1F15E3BD" w14:textId="77777777" w:rsidR="005D0429" w:rsidRPr="002048A7" w:rsidRDefault="005D0429" w:rsidP="005D0429">
            <w:pPr>
              <w:spacing w:after="0" w:line="240" w:lineRule="auto"/>
              <w:jc w:val="right"/>
              <w:rPr>
                <w:rFonts w:ascii="Calibri" w:hAnsi="Calibri" w:cs="Calibri"/>
                <w:b/>
                <w:color w:val="000000"/>
                <w:sz w:val="18"/>
                <w:szCs w:val="18"/>
              </w:rPr>
            </w:pPr>
            <w:r w:rsidRPr="002048A7">
              <w:rPr>
                <w:rFonts w:ascii="Calibri" w:hAnsi="Calibri" w:cs="Calibri"/>
                <w:color w:val="000000"/>
                <w:sz w:val="18"/>
                <w:szCs w:val="18"/>
              </w:rPr>
              <w:t>9.583.784,42</w:t>
            </w:r>
          </w:p>
        </w:tc>
        <w:tc>
          <w:tcPr>
            <w:tcW w:w="592" w:type="pct"/>
            <w:tcBorders>
              <w:top w:val="nil"/>
              <w:left w:val="nil"/>
              <w:bottom w:val="single" w:sz="8" w:space="0" w:color="D9D9D9"/>
              <w:right w:val="single" w:sz="8" w:space="0" w:color="D9D9D9"/>
            </w:tcBorders>
            <w:shd w:val="clear" w:color="auto" w:fill="auto"/>
            <w:vAlign w:val="center"/>
          </w:tcPr>
          <w:p w14:paraId="25CE7F76" w14:textId="77777777" w:rsidR="005D0429" w:rsidRPr="002048A7" w:rsidRDefault="005D0429" w:rsidP="005D0429">
            <w:pPr>
              <w:spacing w:after="0" w:line="240" w:lineRule="auto"/>
              <w:jc w:val="right"/>
              <w:rPr>
                <w:rFonts w:ascii="Calibri" w:hAnsi="Calibri" w:cs="Calibri"/>
                <w:b/>
                <w:color w:val="000000"/>
                <w:sz w:val="18"/>
                <w:szCs w:val="18"/>
              </w:rPr>
            </w:pPr>
            <w:r w:rsidRPr="002048A7">
              <w:rPr>
                <w:rFonts w:ascii="Calibri" w:hAnsi="Calibri" w:cs="Calibri"/>
                <w:color w:val="000000"/>
                <w:sz w:val="18"/>
                <w:szCs w:val="18"/>
              </w:rPr>
              <w:t>141.862,36</w:t>
            </w:r>
          </w:p>
        </w:tc>
        <w:tc>
          <w:tcPr>
            <w:tcW w:w="718" w:type="pct"/>
            <w:tcBorders>
              <w:top w:val="nil"/>
              <w:left w:val="nil"/>
              <w:bottom w:val="single" w:sz="8" w:space="0" w:color="D9D9D9"/>
              <w:right w:val="single" w:sz="8" w:space="0" w:color="D9D9D9"/>
            </w:tcBorders>
            <w:shd w:val="clear" w:color="auto" w:fill="auto"/>
            <w:vAlign w:val="center"/>
          </w:tcPr>
          <w:p w14:paraId="7DFC9560" w14:textId="77777777" w:rsidR="005D0429" w:rsidRPr="002048A7" w:rsidRDefault="005D0429" w:rsidP="005D0429">
            <w:pPr>
              <w:spacing w:after="0" w:line="240" w:lineRule="auto"/>
              <w:jc w:val="right"/>
              <w:rPr>
                <w:rFonts w:ascii="Calibri" w:hAnsi="Calibri" w:cs="Calibri"/>
                <w:b/>
                <w:color w:val="000000"/>
                <w:sz w:val="18"/>
                <w:szCs w:val="18"/>
              </w:rPr>
            </w:pPr>
            <w:r w:rsidRPr="002048A7">
              <w:rPr>
                <w:rFonts w:ascii="Calibri" w:hAnsi="Calibri" w:cs="Calibri"/>
                <w:color w:val="000000"/>
                <w:sz w:val="18"/>
                <w:szCs w:val="18"/>
              </w:rPr>
              <w:t>9.725.464,78</w:t>
            </w:r>
          </w:p>
        </w:tc>
      </w:tr>
      <w:tr w:rsidR="005D0429" w:rsidRPr="002048A7" w14:paraId="0687A558" w14:textId="77777777" w:rsidTr="00D16262">
        <w:trPr>
          <w:trHeight w:val="20"/>
        </w:trPr>
        <w:tc>
          <w:tcPr>
            <w:tcW w:w="675" w:type="pct"/>
            <w:vMerge/>
            <w:tcBorders>
              <w:left w:val="single" w:sz="8" w:space="0" w:color="D9D9D9"/>
              <w:bottom w:val="single" w:sz="8" w:space="0" w:color="D9D9D9"/>
              <w:right w:val="single" w:sz="8" w:space="0" w:color="D9D9D9"/>
            </w:tcBorders>
            <w:vAlign w:val="center"/>
          </w:tcPr>
          <w:p w14:paraId="130FBB93" w14:textId="77777777" w:rsidR="005D0429" w:rsidRPr="002048A7" w:rsidRDefault="005D0429" w:rsidP="005D0429">
            <w:pPr>
              <w:spacing w:after="0" w:line="240" w:lineRule="auto"/>
              <w:jc w:val="center"/>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tcPr>
          <w:p w14:paraId="5D9BA1B6" w14:textId="77777777" w:rsidR="005D0429" w:rsidRPr="002048A7" w:rsidRDefault="005D0429" w:rsidP="005D0429">
            <w:pPr>
              <w:spacing w:after="0" w:line="240" w:lineRule="auto"/>
              <w:rPr>
                <w:rFonts w:ascii="Calibri" w:eastAsia="Times New Roman" w:hAnsi="Calibri"/>
                <w:b/>
                <w:color w:val="000000"/>
                <w:sz w:val="20"/>
                <w:szCs w:val="20"/>
                <w:lang w:eastAsia="tr-TR"/>
              </w:rPr>
            </w:pPr>
            <w:r w:rsidRPr="002048A7">
              <w:rPr>
                <w:rFonts w:ascii="Calibri" w:eastAsia="Times New Roman" w:hAnsi="Calibri"/>
                <w:b/>
                <w:color w:val="000000"/>
                <w:sz w:val="20"/>
                <w:szCs w:val="20"/>
                <w:lang w:eastAsia="tr-TR"/>
              </w:rPr>
              <w:t>Toplam</w:t>
            </w:r>
          </w:p>
        </w:tc>
        <w:tc>
          <w:tcPr>
            <w:tcW w:w="577" w:type="pct"/>
            <w:tcBorders>
              <w:top w:val="nil"/>
              <w:left w:val="nil"/>
              <w:bottom w:val="single" w:sz="8" w:space="0" w:color="D9D9D9"/>
              <w:right w:val="single" w:sz="8" w:space="0" w:color="D9D9D9"/>
            </w:tcBorders>
            <w:shd w:val="clear" w:color="auto" w:fill="auto"/>
            <w:vAlign w:val="center"/>
          </w:tcPr>
          <w:p w14:paraId="36979C82" w14:textId="77777777" w:rsidR="005D0429" w:rsidRPr="002048A7" w:rsidRDefault="005D0429" w:rsidP="005D0429">
            <w:pPr>
              <w:spacing w:after="0" w:line="240" w:lineRule="auto"/>
              <w:jc w:val="right"/>
              <w:rPr>
                <w:rFonts w:ascii="Calibri" w:hAnsi="Calibri" w:cs="Calibri"/>
                <w:b/>
                <w:color w:val="000000"/>
                <w:sz w:val="18"/>
                <w:szCs w:val="18"/>
              </w:rPr>
            </w:pPr>
            <w:r w:rsidRPr="002048A7">
              <w:rPr>
                <w:rFonts w:ascii="Calibri" w:hAnsi="Calibri" w:cs="Calibri"/>
                <w:b/>
                <w:bCs/>
                <w:color w:val="000000"/>
                <w:sz w:val="18"/>
                <w:szCs w:val="18"/>
              </w:rPr>
              <w:t>244.883,89</w:t>
            </w:r>
          </w:p>
        </w:tc>
        <w:tc>
          <w:tcPr>
            <w:tcW w:w="577" w:type="pct"/>
            <w:tcBorders>
              <w:top w:val="nil"/>
              <w:left w:val="nil"/>
              <w:bottom w:val="single" w:sz="8" w:space="0" w:color="D9D9D9"/>
              <w:right w:val="single" w:sz="8" w:space="0" w:color="D9D9D9"/>
            </w:tcBorders>
            <w:shd w:val="clear" w:color="auto" w:fill="auto"/>
            <w:vAlign w:val="center"/>
          </w:tcPr>
          <w:p w14:paraId="715BF573" w14:textId="77777777" w:rsidR="005D0429" w:rsidRPr="002048A7" w:rsidRDefault="005D0429" w:rsidP="005D0429">
            <w:pPr>
              <w:spacing w:after="0" w:line="240" w:lineRule="auto"/>
              <w:jc w:val="right"/>
              <w:rPr>
                <w:rFonts w:ascii="Calibri" w:hAnsi="Calibri" w:cs="Calibri"/>
                <w:b/>
                <w:color w:val="000000"/>
                <w:sz w:val="18"/>
                <w:szCs w:val="18"/>
              </w:rPr>
            </w:pPr>
            <w:r w:rsidRPr="002048A7">
              <w:rPr>
                <w:rFonts w:ascii="Calibri" w:hAnsi="Calibri" w:cs="Calibri"/>
                <w:b/>
                <w:bCs/>
                <w:color w:val="000000"/>
                <w:sz w:val="18"/>
                <w:szCs w:val="18"/>
              </w:rPr>
              <w:t>241.542,22</w:t>
            </w:r>
          </w:p>
        </w:tc>
        <w:tc>
          <w:tcPr>
            <w:tcW w:w="661" w:type="pct"/>
            <w:tcBorders>
              <w:top w:val="nil"/>
              <w:left w:val="nil"/>
              <w:bottom w:val="single" w:sz="8" w:space="0" w:color="D9D9D9"/>
              <w:right w:val="single" w:sz="8" w:space="0" w:color="D9D9D9"/>
            </w:tcBorders>
            <w:shd w:val="clear" w:color="auto" w:fill="auto"/>
            <w:vAlign w:val="center"/>
          </w:tcPr>
          <w:p w14:paraId="6FE42EE4" w14:textId="77777777" w:rsidR="005D0429" w:rsidRPr="002048A7" w:rsidRDefault="005D0429" w:rsidP="005D0429">
            <w:pPr>
              <w:spacing w:after="0" w:line="240" w:lineRule="auto"/>
              <w:jc w:val="right"/>
              <w:rPr>
                <w:rFonts w:ascii="Calibri" w:hAnsi="Calibri" w:cs="Calibri"/>
                <w:b/>
                <w:color w:val="000000"/>
                <w:sz w:val="18"/>
                <w:szCs w:val="18"/>
              </w:rPr>
            </w:pPr>
            <w:r w:rsidRPr="002048A7">
              <w:rPr>
                <w:rFonts w:ascii="Calibri" w:hAnsi="Calibri" w:cs="Calibri"/>
                <w:b/>
                <w:bCs/>
                <w:color w:val="000000"/>
                <w:sz w:val="18"/>
                <w:szCs w:val="18"/>
              </w:rPr>
              <w:t>3.146.182,46</w:t>
            </w:r>
          </w:p>
        </w:tc>
        <w:tc>
          <w:tcPr>
            <w:tcW w:w="718" w:type="pct"/>
            <w:tcBorders>
              <w:top w:val="nil"/>
              <w:left w:val="nil"/>
              <w:bottom w:val="single" w:sz="8" w:space="0" w:color="D9D9D9"/>
              <w:right w:val="single" w:sz="8" w:space="0" w:color="D9D9D9"/>
            </w:tcBorders>
            <w:shd w:val="clear" w:color="auto" w:fill="auto"/>
            <w:vAlign w:val="center"/>
          </w:tcPr>
          <w:p w14:paraId="1FE7D33F" w14:textId="77777777" w:rsidR="005D0429" w:rsidRPr="002048A7" w:rsidRDefault="005D0429" w:rsidP="005D0429">
            <w:pPr>
              <w:spacing w:after="0" w:line="240" w:lineRule="auto"/>
              <w:jc w:val="right"/>
              <w:rPr>
                <w:rFonts w:ascii="Calibri" w:hAnsi="Calibri" w:cs="Calibri"/>
                <w:b/>
                <w:color w:val="000000"/>
                <w:sz w:val="18"/>
                <w:szCs w:val="18"/>
              </w:rPr>
            </w:pPr>
            <w:r w:rsidRPr="002048A7">
              <w:rPr>
                <w:rFonts w:ascii="Calibri" w:hAnsi="Calibri" w:cs="Calibri"/>
                <w:b/>
                <w:bCs/>
                <w:color w:val="000000"/>
                <w:sz w:val="18"/>
                <w:szCs w:val="18"/>
              </w:rPr>
              <w:t>26.895.017,32</w:t>
            </w:r>
          </w:p>
        </w:tc>
        <w:tc>
          <w:tcPr>
            <w:tcW w:w="592" w:type="pct"/>
            <w:tcBorders>
              <w:top w:val="nil"/>
              <w:left w:val="nil"/>
              <w:bottom w:val="single" w:sz="8" w:space="0" w:color="D9D9D9"/>
              <w:right w:val="single" w:sz="8" w:space="0" w:color="D9D9D9"/>
            </w:tcBorders>
            <w:shd w:val="clear" w:color="auto" w:fill="auto"/>
            <w:vAlign w:val="center"/>
          </w:tcPr>
          <w:p w14:paraId="1B9FD974" w14:textId="77777777" w:rsidR="005D0429" w:rsidRPr="002048A7" w:rsidRDefault="005D0429" w:rsidP="005D0429">
            <w:pPr>
              <w:spacing w:after="0" w:line="240" w:lineRule="auto"/>
              <w:jc w:val="right"/>
              <w:rPr>
                <w:rFonts w:ascii="Calibri" w:hAnsi="Calibri" w:cs="Calibri"/>
                <w:b/>
                <w:color w:val="000000"/>
                <w:sz w:val="18"/>
                <w:szCs w:val="18"/>
              </w:rPr>
            </w:pPr>
            <w:r w:rsidRPr="002048A7">
              <w:rPr>
                <w:rFonts w:ascii="Calibri" w:hAnsi="Calibri" w:cs="Calibri"/>
                <w:b/>
                <w:bCs/>
                <w:color w:val="000000"/>
                <w:sz w:val="18"/>
                <w:szCs w:val="18"/>
              </w:rPr>
              <w:t>151.568,98</w:t>
            </w:r>
          </w:p>
        </w:tc>
        <w:tc>
          <w:tcPr>
            <w:tcW w:w="718" w:type="pct"/>
            <w:tcBorders>
              <w:top w:val="nil"/>
              <w:left w:val="nil"/>
              <w:bottom w:val="single" w:sz="8" w:space="0" w:color="D9D9D9"/>
              <w:right w:val="single" w:sz="8" w:space="0" w:color="D9D9D9"/>
            </w:tcBorders>
            <w:shd w:val="clear" w:color="auto" w:fill="auto"/>
            <w:vAlign w:val="center"/>
          </w:tcPr>
          <w:p w14:paraId="5E65E824" w14:textId="77777777" w:rsidR="005D0429" w:rsidRPr="002048A7" w:rsidRDefault="005D0429" w:rsidP="005D0429">
            <w:pPr>
              <w:spacing w:after="0" w:line="240" w:lineRule="auto"/>
              <w:jc w:val="right"/>
              <w:rPr>
                <w:rFonts w:ascii="Calibri" w:hAnsi="Calibri" w:cs="Calibri"/>
                <w:b/>
                <w:color w:val="000000"/>
                <w:sz w:val="18"/>
                <w:szCs w:val="18"/>
              </w:rPr>
            </w:pPr>
            <w:r w:rsidRPr="002048A7">
              <w:rPr>
                <w:rFonts w:ascii="Calibri" w:hAnsi="Calibri" w:cs="Calibri"/>
                <w:b/>
                <w:bCs/>
                <w:color w:val="000000"/>
                <w:sz w:val="18"/>
                <w:szCs w:val="18"/>
              </w:rPr>
              <w:t>30.192.768,76</w:t>
            </w:r>
          </w:p>
        </w:tc>
      </w:tr>
      <w:tr w:rsidR="005D0429" w:rsidRPr="002048A7" w14:paraId="045BC62F" w14:textId="77777777" w:rsidTr="00D16262">
        <w:trPr>
          <w:trHeight w:val="20"/>
        </w:trPr>
        <w:tc>
          <w:tcPr>
            <w:tcW w:w="675" w:type="pct"/>
            <w:vMerge w:val="restart"/>
            <w:tcBorders>
              <w:left w:val="single" w:sz="8" w:space="0" w:color="D9D9D9"/>
              <w:right w:val="single" w:sz="8" w:space="0" w:color="D9D9D9"/>
            </w:tcBorders>
            <w:vAlign w:val="center"/>
          </w:tcPr>
          <w:p w14:paraId="1CDEC28A" w14:textId="77777777" w:rsidR="005D0429" w:rsidRPr="002048A7" w:rsidRDefault="005D0429" w:rsidP="005D0429">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2021</w:t>
            </w:r>
          </w:p>
        </w:tc>
        <w:tc>
          <w:tcPr>
            <w:tcW w:w="482" w:type="pct"/>
            <w:tcBorders>
              <w:top w:val="nil"/>
              <w:left w:val="nil"/>
              <w:bottom w:val="single" w:sz="8" w:space="0" w:color="D9D9D9"/>
              <w:right w:val="single" w:sz="8" w:space="0" w:color="D9D9D9"/>
            </w:tcBorders>
            <w:shd w:val="clear" w:color="auto" w:fill="auto"/>
            <w:vAlign w:val="center"/>
          </w:tcPr>
          <w:p w14:paraId="28D9E9FF" w14:textId="77777777" w:rsidR="005D0429" w:rsidRPr="002048A7" w:rsidRDefault="005D0429" w:rsidP="005D0429">
            <w:pPr>
              <w:spacing w:after="0" w:line="240" w:lineRule="auto"/>
              <w:rPr>
                <w:rFonts w:ascii="Calibri" w:eastAsia="Times New Roman" w:hAnsi="Calibri"/>
                <w:b/>
                <w:color w:val="000000"/>
                <w:sz w:val="20"/>
                <w:szCs w:val="20"/>
                <w:lang w:eastAsia="tr-TR"/>
              </w:rPr>
            </w:pPr>
            <w:r w:rsidRPr="002048A7">
              <w:rPr>
                <w:rFonts w:ascii="Calibri" w:eastAsia="Times New Roman" w:hAnsi="Calibri"/>
                <w:color w:val="000000"/>
                <w:sz w:val="20"/>
                <w:szCs w:val="20"/>
                <w:lang w:eastAsia="tr-TR"/>
              </w:rPr>
              <w:t>Rafineri</w:t>
            </w:r>
          </w:p>
        </w:tc>
        <w:tc>
          <w:tcPr>
            <w:tcW w:w="577" w:type="pct"/>
            <w:tcBorders>
              <w:top w:val="nil"/>
              <w:left w:val="nil"/>
              <w:bottom w:val="single" w:sz="8" w:space="0" w:color="D9D9D9"/>
              <w:right w:val="single" w:sz="8" w:space="0" w:color="D9D9D9"/>
            </w:tcBorders>
            <w:shd w:val="clear" w:color="auto" w:fill="auto"/>
            <w:vAlign w:val="center"/>
          </w:tcPr>
          <w:p w14:paraId="4AF2A883" w14:textId="77777777" w:rsidR="005D0429" w:rsidRPr="002048A7" w:rsidRDefault="005D0429" w:rsidP="005D0429">
            <w:pPr>
              <w:spacing w:after="0" w:line="240" w:lineRule="auto"/>
              <w:jc w:val="right"/>
              <w:rPr>
                <w:rFonts w:ascii="Calibri" w:hAnsi="Calibri" w:cs="Calibri"/>
                <w:bCs/>
                <w:color w:val="000000"/>
                <w:sz w:val="18"/>
                <w:szCs w:val="18"/>
              </w:rPr>
            </w:pPr>
            <w:r w:rsidRPr="002048A7">
              <w:rPr>
                <w:rFonts w:ascii="Calibri" w:hAnsi="Calibri" w:cs="Calibri"/>
                <w:bCs/>
                <w:color w:val="000000"/>
                <w:sz w:val="18"/>
                <w:szCs w:val="18"/>
              </w:rPr>
              <w:t>177.562,49</w:t>
            </w:r>
          </w:p>
        </w:tc>
        <w:tc>
          <w:tcPr>
            <w:tcW w:w="577" w:type="pct"/>
            <w:tcBorders>
              <w:top w:val="nil"/>
              <w:left w:val="nil"/>
              <w:bottom w:val="single" w:sz="8" w:space="0" w:color="D9D9D9"/>
              <w:right w:val="single" w:sz="8" w:space="0" w:color="D9D9D9"/>
            </w:tcBorders>
            <w:shd w:val="clear" w:color="auto" w:fill="auto"/>
            <w:vAlign w:val="center"/>
          </w:tcPr>
          <w:p w14:paraId="5A37915D" w14:textId="77777777" w:rsidR="005D0429" w:rsidRPr="002048A7" w:rsidRDefault="005D0429" w:rsidP="005D0429">
            <w:pPr>
              <w:spacing w:after="0" w:line="240" w:lineRule="auto"/>
              <w:jc w:val="right"/>
              <w:rPr>
                <w:rFonts w:ascii="Calibri" w:hAnsi="Calibri" w:cs="Calibri"/>
                <w:bCs/>
                <w:color w:val="000000"/>
                <w:sz w:val="18"/>
                <w:szCs w:val="18"/>
              </w:rPr>
            </w:pPr>
            <w:r w:rsidRPr="002048A7">
              <w:rPr>
                <w:rFonts w:ascii="Calibri" w:hAnsi="Calibri" w:cs="Calibri"/>
                <w:bCs/>
                <w:color w:val="000000"/>
                <w:sz w:val="18"/>
                <w:szCs w:val="18"/>
              </w:rPr>
              <w:t>176.528,26</w:t>
            </w:r>
          </w:p>
        </w:tc>
        <w:tc>
          <w:tcPr>
            <w:tcW w:w="661" w:type="pct"/>
            <w:tcBorders>
              <w:top w:val="nil"/>
              <w:left w:val="nil"/>
              <w:bottom w:val="single" w:sz="8" w:space="0" w:color="D9D9D9"/>
              <w:right w:val="single" w:sz="8" w:space="0" w:color="D9D9D9"/>
            </w:tcBorders>
            <w:shd w:val="clear" w:color="auto" w:fill="auto"/>
            <w:vAlign w:val="center"/>
          </w:tcPr>
          <w:p w14:paraId="20D08C95" w14:textId="77777777" w:rsidR="005D0429" w:rsidRPr="002048A7" w:rsidRDefault="005D0429" w:rsidP="005D0429">
            <w:pPr>
              <w:spacing w:after="0" w:line="240" w:lineRule="auto"/>
              <w:jc w:val="right"/>
              <w:rPr>
                <w:rFonts w:ascii="Calibri" w:hAnsi="Calibri" w:cs="Calibri"/>
                <w:bCs/>
                <w:color w:val="000000"/>
                <w:sz w:val="18"/>
                <w:szCs w:val="18"/>
              </w:rPr>
            </w:pPr>
            <w:r w:rsidRPr="002048A7">
              <w:rPr>
                <w:rFonts w:ascii="Calibri" w:hAnsi="Calibri" w:cs="Calibri"/>
                <w:bCs/>
                <w:color w:val="000000"/>
                <w:sz w:val="18"/>
                <w:szCs w:val="18"/>
              </w:rPr>
              <w:t>3.923.155,36</w:t>
            </w:r>
          </w:p>
        </w:tc>
        <w:tc>
          <w:tcPr>
            <w:tcW w:w="718" w:type="pct"/>
            <w:tcBorders>
              <w:top w:val="nil"/>
              <w:left w:val="nil"/>
              <w:bottom w:val="single" w:sz="8" w:space="0" w:color="D9D9D9"/>
              <w:right w:val="single" w:sz="8" w:space="0" w:color="D9D9D9"/>
            </w:tcBorders>
            <w:shd w:val="clear" w:color="auto" w:fill="auto"/>
            <w:vAlign w:val="center"/>
          </w:tcPr>
          <w:p w14:paraId="7BADE3E7" w14:textId="77777777" w:rsidR="005D0429" w:rsidRPr="002048A7" w:rsidRDefault="005D0429" w:rsidP="005D0429">
            <w:pPr>
              <w:spacing w:after="0" w:line="240" w:lineRule="auto"/>
              <w:jc w:val="right"/>
              <w:rPr>
                <w:rFonts w:ascii="Calibri" w:hAnsi="Calibri" w:cs="Calibri"/>
                <w:bCs/>
                <w:color w:val="000000"/>
                <w:sz w:val="18"/>
                <w:szCs w:val="18"/>
              </w:rPr>
            </w:pPr>
            <w:r w:rsidRPr="002048A7">
              <w:rPr>
                <w:rFonts w:ascii="Calibri" w:hAnsi="Calibri" w:cs="Calibri"/>
                <w:bCs/>
                <w:color w:val="000000"/>
                <w:sz w:val="18"/>
                <w:szCs w:val="18"/>
              </w:rPr>
              <w:t>18.130.928,15</w:t>
            </w:r>
          </w:p>
        </w:tc>
        <w:tc>
          <w:tcPr>
            <w:tcW w:w="592" w:type="pct"/>
            <w:tcBorders>
              <w:top w:val="nil"/>
              <w:left w:val="nil"/>
              <w:bottom w:val="single" w:sz="8" w:space="0" w:color="D9D9D9"/>
              <w:right w:val="single" w:sz="8" w:space="0" w:color="D9D9D9"/>
            </w:tcBorders>
            <w:shd w:val="clear" w:color="auto" w:fill="auto"/>
            <w:vAlign w:val="center"/>
          </w:tcPr>
          <w:p w14:paraId="590D0276" w14:textId="77777777" w:rsidR="005D0429" w:rsidRPr="002048A7" w:rsidRDefault="005D0429" w:rsidP="005D0429">
            <w:pPr>
              <w:spacing w:after="0" w:line="240" w:lineRule="auto"/>
              <w:jc w:val="right"/>
              <w:rPr>
                <w:rFonts w:ascii="Calibri" w:hAnsi="Calibri" w:cs="Calibri"/>
                <w:bCs/>
                <w:color w:val="000000"/>
                <w:sz w:val="18"/>
                <w:szCs w:val="18"/>
              </w:rPr>
            </w:pPr>
            <w:r w:rsidRPr="002048A7">
              <w:rPr>
                <w:rFonts w:ascii="Calibri" w:hAnsi="Calibri" w:cs="Calibri"/>
                <w:bCs/>
                <w:color w:val="000000"/>
                <w:sz w:val="18"/>
                <w:szCs w:val="18"/>
              </w:rPr>
              <w:t>11.949,45</w:t>
            </w:r>
          </w:p>
        </w:tc>
        <w:tc>
          <w:tcPr>
            <w:tcW w:w="718" w:type="pct"/>
            <w:tcBorders>
              <w:top w:val="nil"/>
              <w:left w:val="nil"/>
              <w:bottom w:val="single" w:sz="8" w:space="0" w:color="D9D9D9"/>
              <w:right w:val="single" w:sz="8" w:space="0" w:color="D9D9D9"/>
            </w:tcBorders>
            <w:shd w:val="clear" w:color="auto" w:fill="auto"/>
            <w:vAlign w:val="center"/>
          </w:tcPr>
          <w:p w14:paraId="63245849" w14:textId="77777777" w:rsidR="005D0429" w:rsidRPr="002048A7" w:rsidRDefault="005D0429" w:rsidP="005D0429">
            <w:pPr>
              <w:spacing w:after="0" w:line="240" w:lineRule="auto"/>
              <w:jc w:val="right"/>
              <w:rPr>
                <w:rFonts w:ascii="Calibri" w:hAnsi="Calibri" w:cs="Calibri"/>
                <w:bCs/>
                <w:color w:val="000000"/>
                <w:sz w:val="18"/>
                <w:szCs w:val="18"/>
              </w:rPr>
            </w:pPr>
            <w:r w:rsidRPr="002048A7">
              <w:rPr>
                <w:rFonts w:ascii="Calibri" w:hAnsi="Calibri" w:cs="Calibri"/>
                <w:bCs/>
                <w:color w:val="000000"/>
                <w:sz w:val="18"/>
                <w:szCs w:val="18"/>
              </w:rPr>
              <w:t>22.066.032,96</w:t>
            </w:r>
          </w:p>
        </w:tc>
      </w:tr>
      <w:tr w:rsidR="005D0429" w:rsidRPr="002048A7" w14:paraId="0A1377B8" w14:textId="77777777" w:rsidTr="00D16262">
        <w:trPr>
          <w:trHeight w:val="20"/>
        </w:trPr>
        <w:tc>
          <w:tcPr>
            <w:tcW w:w="675" w:type="pct"/>
            <w:vMerge/>
            <w:tcBorders>
              <w:left w:val="single" w:sz="8" w:space="0" w:color="D9D9D9"/>
              <w:right w:val="single" w:sz="8" w:space="0" w:color="D9D9D9"/>
            </w:tcBorders>
            <w:vAlign w:val="center"/>
          </w:tcPr>
          <w:p w14:paraId="4FCEAE7F" w14:textId="77777777" w:rsidR="005D0429" w:rsidRPr="002048A7" w:rsidRDefault="005D0429" w:rsidP="005D0429">
            <w:pPr>
              <w:spacing w:after="0" w:line="240" w:lineRule="auto"/>
              <w:jc w:val="center"/>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tcPr>
          <w:p w14:paraId="47092B88" w14:textId="77777777" w:rsidR="005D0429" w:rsidRPr="002048A7" w:rsidRDefault="005D0429" w:rsidP="005D0429">
            <w:pPr>
              <w:spacing w:after="0" w:line="240" w:lineRule="auto"/>
              <w:rPr>
                <w:rFonts w:ascii="Calibri" w:eastAsia="Times New Roman" w:hAnsi="Calibri"/>
                <w:b/>
                <w:color w:val="000000"/>
                <w:sz w:val="20"/>
                <w:szCs w:val="20"/>
                <w:lang w:eastAsia="tr-TR"/>
              </w:rPr>
            </w:pPr>
            <w:r w:rsidRPr="002048A7">
              <w:rPr>
                <w:rFonts w:ascii="Calibri" w:eastAsia="Times New Roman" w:hAnsi="Calibri"/>
                <w:color w:val="000000"/>
                <w:sz w:val="20"/>
                <w:szCs w:val="20"/>
                <w:lang w:eastAsia="tr-TR"/>
              </w:rPr>
              <w:t>Dağıtıcılar</w:t>
            </w:r>
          </w:p>
        </w:tc>
        <w:tc>
          <w:tcPr>
            <w:tcW w:w="577" w:type="pct"/>
            <w:tcBorders>
              <w:top w:val="nil"/>
              <w:left w:val="nil"/>
              <w:bottom w:val="single" w:sz="8" w:space="0" w:color="D9D9D9"/>
              <w:right w:val="single" w:sz="8" w:space="0" w:color="D9D9D9"/>
            </w:tcBorders>
            <w:shd w:val="clear" w:color="auto" w:fill="auto"/>
            <w:vAlign w:val="center"/>
          </w:tcPr>
          <w:p w14:paraId="45D7E1BD" w14:textId="77777777" w:rsidR="005D0429" w:rsidRPr="002048A7" w:rsidRDefault="005D0429" w:rsidP="005D0429">
            <w:pPr>
              <w:spacing w:after="0" w:line="240" w:lineRule="auto"/>
              <w:jc w:val="right"/>
              <w:rPr>
                <w:rFonts w:ascii="Calibri" w:hAnsi="Calibri" w:cs="Calibri"/>
                <w:bCs/>
                <w:color w:val="000000"/>
                <w:sz w:val="18"/>
                <w:szCs w:val="18"/>
              </w:rPr>
            </w:pPr>
            <w:r w:rsidRPr="002048A7">
              <w:rPr>
                <w:rFonts w:ascii="Calibri" w:hAnsi="Calibri" w:cs="Calibri"/>
                <w:bCs/>
                <w:color w:val="000000"/>
                <w:sz w:val="18"/>
                <w:szCs w:val="18"/>
              </w:rPr>
              <w:t>97.681,96</w:t>
            </w:r>
          </w:p>
        </w:tc>
        <w:tc>
          <w:tcPr>
            <w:tcW w:w="577" w:type="pct"/>
            <w:tcBorders>
              <w:top w:val="nil"/>
              <w:left w:val="nil"/>
              <w:bottom w:val="single" w:sz="8" w:space="0" w:color="D9D9D9"/>
              <w:right w:val="single" w:sz="8" w:space="0" w:color="D9D9D9"/>
            </w:tcBorders>
            <w:shd w:val="clear" w:color="auto" w:fill="auto"/>
            <w:vAlign w:val="center"/>
          </w:tcPr>
          <w:p w14:paraId="05FBE7A1" w14:textId="77777777" w:rsidR="005D0429" w:rsidRPr="002048A7" w:rsidRDefault="005D0429" w:rsidP="005D0429">
            <w:pPr>
              <w:spacing w:after="0" w:line="240" w:lineRule="auto"/>
              <w:jc w:val="right"/>
              <w:rPr>
                <w:rFonts w:ascii="Calibri" w:hAnsi="Calibri" w:cs="Calibri"/>
                <w:bCs/>
                <w:color w:val="000000"/>
                <w:sz w:val="18"/>
                <w:szCs w:val="18"/>
              </w:rPr>
            </w:pPr>
            <w:r w:rsidRPr="002048A7">
              <w:rPr>
                <w:rFonts w:ascii="Calibri" w:hAnsi="Calibri" w:cs="Calibri"/>
                <w:bCs/>
                <w:color w:val="000000"/>
                <w:sz w:val="18"/>
                <w:szCs w:val="18"/>
              </w:rPr>
              <w:t>96.086,14</w:t>
            </w:r>
          </w:p>
        </w:tc>
        <w:tc>
          <w:tcPr>
            <w:tcW w:w="661" w:type="pct"/>
            <w:tcBorders>
              <w:top w:val="nil"/>
              <w:left w:val="nil"/>
              <w:bottom w:val="single" w:sz="8" w:space="0" w:color="D9D9D9"/>
              <w:right w:val="single" w:sz="8" w:space="0" w:color="D9D9D9"/>
            </w:tcBorders>
            <w:shd w:val="clear" w:color="auto" w:fill="auto"/>
            <w:vAlign w:val="center"/>
          </w:tcPr>
          <w:p w14:paraId="2BF1C868" w14:textId="77777777" w:rsidR="005D0429" w:rsidRPr="002048A7" w:rsidRDefault="005D0429" w:rsidP="005D0429">
            <w:pPr>
              <w:spacing w:after="0" w:line="240" w:lineRule="auto"/>
              <w:jc w:val="right"/>
              <w:rPr>
                <w:rFonts w:ascii="Calibri" w:hAnsi="Calibri" w:cs="Calibri"/>
                <w:bCs/>
                <w:color w:val="000000"/>
                <w:sz w:val="18"/>
                <w:szCs w:val="18"/>
              </w:rPr>
            </w:pPr>
            <w:r w:rsidRPr="002048A7">
              <w:rPr>
                <w:rFonts w:ascii="Calibri" w:hAnsi="Calibri" w:cs="Calibri"/>
                <w:bCs/>
                <w:color w:val="000000"/>
                <w:sz w:val="18"/>
                <w:szCs w:val="18"/>
              </w:rPr>
              <w:t>6.352,19</w:t>
            </w:r>
          </w:p>
        </w:tc>
        <w:tc>
          <w:tcPr>
            <w:tcW w:w="718" w:type="pct"/>
            <w:tcBorders>
              <w:top w:val="nil"/>
              <w:left w:val="nil"/>
              <w:bottom w:val="single" w:sz="8" w:space="0" w:color="D9D9D9"/>
              <w:right w:val="single" w:sz="8" w:space="0" w:color="D9D9D9"/>
            </w:tcBorders>
            <w:shd w:val="clear" w:color="auto" w:fill="auto"/>
            <w:vAlign w:val="center"/>
          </w:tcPr>
          <w:p w14:paraId="75A20B1B" w14:textId="77777777" w:rsidR="005D0429" w:rsidRPr="002048A7" w:rsidRDefault="005D0429" w:rsidP="005D0429">
            <w:pPr>
              <w:spacing w:after="0" w:line="240" w:lineRule="auto"/>
              <w:jc w:val="right"/>
              <w:rPr>
                <w:rFonts w:ascii="Calibri" w:hAnsi="Calibri" w:cs="Calibri"/>
                <w:bCs/>
                <w:color w:val="000000"/>
                <w:sz w:val="18"/>
                <w:szCs w:val="18"/>
              </w:rPr>
            </w:pPr>
            <w:r w:rsidRPr="002048A7">
              <w:rPr>
                <w:rFonts w:ascii="Calibri" w:hAnsi="Calibri" w:cs="Calibri"/>
                <w:bCs/>
                <w:color w:val="000000"/>
                <w:sz w:val="18"/>
                <w:szCs w:val="18"/>
              </w:rPr>
              <w:t>11.838.522,30</w:t>
            </w:r>
          </w:p>
        </w:tc>
        <w:tc>
          <w:tcPr>
            <w:tcW w:w="592" w:type="pct"/>
            <w:tcBorders>
              <w:top w:val="nil"/>
              <w:left w:val="nil"/>
              <w:bottom w:val="single" w:sz="8" w:space="0" w:color="D9D9D9"/>
              <w:right w:val="single" w:sz="8" w:space="0" w:color="D9D9D9"/>
            </w:tcBorders>
            <w:shd w:val="clear" w:color="auto" w:fill="auto"/>
            <w:vAlign w:val="center"/>
          </w:tcPr>
          <w:p w14:paraId="6490F607" w14:textId="77777777" w:rsidR="005D0429" w:rsidRPr="002048A7" w:rsidRDefault="005D0429" w:rsidP="005D0429">
            <w:pPr>
              <w:spacing w:after="0" w:line="240" w:lineRule="auto"/>
              <w:jc w:val="right"/>
              <w:rPr>
                <w:rFonts w:ascii="Calibri" w:hAnsi="Calibri" w:cs="Calibri"/>
                <w:bCs/>
                <w:color w:val="000000"/>
                <w:sz w:val="18"/>
                <w:szCs w:val="18"/>
              </w:rPr>
            </w:pPr>
            <w:r w:rsidRPr="002048A7">
              <w:rPr>
                <w:rFonts w:ascii="Calibri" w:hAnsi="Calibri" w:cs="Calibri"/>
                <w:bCs/>
                <w:color w:val="000000"/>
                <w:sz w:val="18"/>
                <w:szCs w:val="18"/>
              </w:rPr>
              <w:t>165.528,19</w:t>
            </w:r>
          </w:p>
        </w:tc>
        <w:tc>
          <w:tcPr>
            <w:tcW w:w="718" w:type="pct"/>
            <w:tcBorders>
              <w:top w:val="nil"/>
              <w:left w:val="nil"/>
              <w:bottom w:val="single" w:sz="8" w:space="0" w:color="D9D9D9"/>
              <w:right w:val="single" w:sz="8" w:space="0" w:color="D9D9D9"/>
            </w:tcBorders>
            <w:shd w:val="clear" w:color="auto" w:fill="auto"/>
            <w:vAlign w:val="center"/>
          </w:tcPr>
          <w:p w14:paraId="283B680D" w14:textId="77777777" w:rsidR="005D0429" w:rsidRPr="002048A7" w:rsidRDefault="005D0429" w:rsidP="005D0429">
            <w:pPr>
              <w:spacing w:after="0" w:line="240" w:lineRule="auto"/>
              <w:jc w:val="right"/>
              <w:rPr>
                <w:rFonts w:ascii="Calibri" w:hAnsi="Calibri" w:cs="Calibri"/>
                <w:bCs/>
                <w:color w:val="000000"/>
                <w:sz w:val="18"/>
                <w:szCs w:val="18"/>
              </w:rPr>
            </w:pPr>
            <w:r w:rsidRPr="002048A7">
              <w:rPr>
                <w:rFonts w:ascii="Calibri" w:hAnsi="Calibri" w:cs="Calibri"/>
                <w:bCs/>
                <w:color w:val="000000"/>
                <w:sz w:val="18"/>
                <w:szCs w:val="18"/>
              </w:rPr>
              <w:t>12.010.402,69</w:t>
            </w:r>
          </w:p>
        </w:tc>
      </w:tr>
      <w:tr w:rsidR="005D0429" w:rsidRPr="002048A7" w14:paraId="2A84DBF5" w14:textId="77777777" w:rsidTr="00D16262">
        <w:trPr>
          <w:trHeight w:val="20"/>
        </w:trPr>
        <w:tc>
          <w:tcPr>
            <w:tcW w:w="675" w:type="pct"/>
            <w:vMerge/>
            <w:tcBorders>
              <w:left w:val="single" w:sz="8" w:space="0" w:color="D9D9D9"/>
              <w:bottom w:val="single" w:sz="8" w:space="0" w:color="D9D9D9"/>
              <w:right w:val="single" w:sz="8" w:space="0" w:color="D9D9D9"/>
            </w:tcBorders>
            <w:vAlign w:val="center"/>
          </w:tcPr>
          <w:p w14:paraId="27E47BC7" w14:textId="77777777" w:rsidR="005D0429" w:rsidRPr="002048A7" w:rsidRDefault="005D0429" w:rsidP="005D0429">
            <w:pPr>
              <w:spacing w:after="0" w:line="240" w:lineRule="auto"/>
              <w:jc w:val="center"/>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tcPr>
          <w:p w14:paraId="036D4209" w14:textId="77777777" w:rsidR="005D0429" w:rsidRPr="002048A7" w:rsidRDefault="005D0429" w:rsidP="005D0429">
            <w:pPr>
              <w:spacing w:after="0" w:line="240" w:lineRule="auto"/>
              <w:rPr>
                <w:rFonts w:ascii="Calibri" w:eastAsia="Times New Roman" w:hAnsi="Calibri"/>
                <w:b/>
                <w:color w:val="000000"/>
                <w:sz w:val="20"/>
                <w:szCs w:val="20"/>
                <w:lang w:eastAsia="tr-TR"/>
              </w:rPr>
            </w:pPr>
            <w:r w:rsidRPr="002048A7">
              <w:rPr>
                <w:rFonts w:ascii="Calibri" w:eastAsia="Times New Roman" w:hAnsi="Calibri"/>
                <w:b/>
                <w:color w:val="000000"/>
                <w:sz w:val="20"/>
                <w:szCs w:val="20"/>
                <w:lang w:eastAsia="tr-TR"/>
              </w:rPr>
              <w:t>Toplam</w:t>
            </w:r>
          </w:p>
        </w:tc>
        <w:tc>
          <w:tcPr>
            <w:tcW w:w="577" w:type="pct"/>
            <w:tcBorders>
              <w:top w:val="nil"/>
              <w:left w:val="nil"/>
              <w:bottom w:val="single" w:sz="8" w:space="0" w:color="D9D9D9"/>
              <w:right w:val="single" w:sz="8" w:space="0" w:color="D9D9D9"/>
            </w:tcBorders>
            <w:shd w:val="clear" w:color="auto" w:fill="auto"/>
            <w:vAlign w:val="center"/>
          </w:tcPr>
          <w:p w14:paraId="118B045A" w14:textId="77777777" w:rsidR="005D0429" w:rsidRPr="002048A7" w:rsidRDefault="005D0429" w:rsidP="005D0429">
            <w:pPr>
              <w:spacing w:after="0" w:line="240" w:lineRule="auto"/>
              <w:jc w:val="right"/>
              <w:rPr>
                <w:rFonts w:ascii="Calibri" w:hAnsi="Calibri" w:cs="Calibri"/>
                <w:b/>
                <w:bCs/>
                <w:color w:val="000000"/>
                <w:sz w:val="18"/>
                <w:szCs w:val="18"/>
              </w:rPr>
            </w:pPr>
            <w:r w:rsidRPr="002048A7">
              <w:rPr>
                <w:rFonts w:ascii="Calibri" w:hAnsi="Calibri" w:cs="Calibri"/>
                <w:b/>
                <w:bCs/>
                <w:color w:val="000000"/>
                <w:sz w:val="18"/>
                <w:szCs w:val="18"/>
              </w:rPr>
              <w:t>275.244,45</w:t>
            </w:r>
          </w:p>
        </w:tc>
        <w:tc>
          <w:tcPr>
            <w:tcW w:w="577" w:type="pct"/>
            <w:tcBorders>
              <w:top w:val="nil"/>
              <w:left w:val="nil"/>
              <w:bottom w:val="single" w:sz="8" w:space="0" w:color="D9D9D9"/>
              <w:right w:val="single" w:sz="8" w:space="0" w:color="D9D9D9"/>
            </w:tcBorders>
            <w:shd w:val="clear" w:color="auto" w:fill="auto"/>
            <w:vAlign w:val="center"/>
          </w:tcPr>
          <w:p w14:paraId="1D32A333" w14:textId="77777777" w:rsidR="005D0429" w:rsidRPr="002048A7" w:rsidRDefault="005D0429" w:rsidP="005D0429">
            <w:pPr>
              <w:spacing w:after="0" w:line="240" w:lineRule="auto"/>
              <w:jc w:val="right"/>
              <w:rPr>
                <w:rFonts w:ascii="Calibri" w:hAnsi="Calibri" w:cs="Calibri"/>
                <w:b/>
                <w:bCs/>
                <w:color w:val="000000"/>
                <w:sz w:val="18"/>
                <w:szCs w:val="18"/>
              </w:rPr>
            </w:pPr>
            <w:r w:rsidRPr="002048A7">
              <w:rPr>
                <w:rFonts w:ascii="Calibri" w:hAnsi="Calibri" w:cs="Calibri"/>
                <w:b/>
                <w:bCs/>
                <w:color w:val="000000"/>
                <w:sz w:val="18"/>
                <w:szCs w:val="18"/>
              </w:rPr>
              <w:t>272.614,40</w:t>
            </w:r>
          </w:p>
        </w:tc>
        <w:tc>
          <w:tcPr>
            <w:tcW w:w="661" w:type="pct"/>
            <w:tcBorders>
              <w:top w:val="nil"/>
              <w:left w:val="nil"/>
              <w:bottom w:val="single" w:sz="8" w:space="0" w:color="D9D9D9"/>
              <w:right w:val="single" w:sz="8" w:space="0" w:color="D9D9D9"/>
            </w:tcBorders>
            <w:shd w:val="clear" w:color="auto" w:fill="auto"/>
            <w:vAlign w:val="center"/>
          </w:tcPr>
          <w:p w14:paraId="3AAB9F57" w14:textId="77777777" w:rsidR="005D0429" w:rsidRPr="002048A7" w:rsidRDefault="005D0429" w:rsidP="005D0429">
            <w:pPr>
              <w:spacing w:after="0" w:line="240" w:lineRule="auto"/>
              <w:jc w:val="right"/>
              <w:rPr>
                <w:rFonts w:ascii="Calibri" w:hAnsi="Calibri" w:cs="Calibri"/>
                <w:b/>
                <w:bCs/>
                <w:color w:val="000000"/>
                <w:sz w:val="18"/>
                <w:szCs w:val="18"/>
              </w:rPr>
            </w:pPr>
            <w:r w:rsidRPr="002048A7">
              <w:rPr>
                <w:rFonts w:ascii="Calibri" w:hAnsi="Calibri" w:cs="Calibri"/>
                <w:b/>
                <w:bCs/>
                <w:color w:val="000000"/>
                <w:sz w:val="18"/>
                <w:szCs w:val="18"/>
              </w:rPr>
              <w:t>3.929.507,55</w:t>
            </w:r>
          </w:p>
        </w:tc>
        <w:tc>
          <w:tcPr>
            <w:tcW w:w="718" w:type="pct"/>
            <w:tcBorders>
              <w:top w:val="nil"/>
              <w:left w:val="nil"/>
              <w:bottom w:val="single" w:sz="8" w:space="0" w:color="D9D9D9"/>
              <w:right w:val="single" w:sz="8" w:space="0" w:color="D9D9D9"/>
            </w:tcBorders>
            <w:shd w:val="clear" w:color="auto" w:fill="auto"/>
            <w:vAlign w:val="center"/>
          </w:tcPr>
          <w:p w14:paraId="650C8ED7" w14:textId="77777777" w:rsidR="005D0429" w:rsidRPr="002048A7" w:rsidRDefault="005D0429" w:rsidP="005D0429">
            <w:pPr>
              <w:spacing w:after="0" w:line="240" w:lineRule="auto"/>
              <w:jc w:val="right"/>
              <w:rPr>
                <w:rFonts w:ascii="Calibri" w:hAnsi="Calibri" w:cs="Calibri"/>
                <w:b/>
                <w:bCs/>
                <w:color w:val="000000"/>
                <w:sz w:val="18"/>
                <w:szCs w:val="18"/>
              </w:rPr>
            </w:pPr>
            <w:r w:rsidRPr="002048A7">
              <w:rPr>
                <w:rFonts w:ascii="Calibri" w:hAnsi="Calibri" w:cs="Calibri"/>
                <w:b/>
                <w:bCs/>
                <w:color w:val="000000"/>
                <w:sz w:val="18"/>
                <w:szCs w:val="18"/>
              </w:rPr>
              <w:t>29.969.450,45</w:t>
            </w:r>
          </w:p>
        </w:tc>
        <w:tc>
          <w:tcPr>
            <w:tcW w:w="592" w:type="pct"/>
            <w:tcBorders>
              <w:top w:val="nil"/>
              <w:left w:val="nil"/>
              <w:bottom w:val="single" w:sz="8" w:space="0" w:color="D9D9D9"/>
              <w:right w:val="single" w:sz="8" w:space="0" w:color="D9D9D9"/>
            </w:tcBorders>
            <w:shd w:val="clear" w:color="auto" w:fill="auto"/>
            <w:vAlign w:val="center"/>
          </w:tcPr>
          <w:p w14:paraId="2DD0BDD3" w14:textId="77777777" w:rsidR="005D0429" w:rsidRPr="002048A7" w:rsidRDefault="005D0429" w:rsidP="005D0429">
            <w:pPr>
              <w:spacing w:after="0" w:line="240" w:lineRule="auto"/>
              <w:jc w:val="right"/>
              <w:rPr>
                <w:rFonts w:ascii="Calibri" w:hAnsi="Calibri" w:cs="Calibri"/>
                <w:b/>
                <w:bCs/>
                <w:color w:val="000000"/>
                <w:sz w:val="18"/>
                <w:szCs w:val="18"/>
              </w:rPr>
            </w:pPr>
            <w:r w:rsidRPr="002048A7">
              <w:rPr>
                <w:rFonts w:ascii="Calibri" w:hAnsi="Calibri" w:cs="Calibri"/>
                <w:b/>
                <w:bCs/>
                <w:color w:val="000000"/>
                <w:sz w:val="18"/>
                <w:szCs w:val="18"/>
              </w:rPr>
              <w:t>177.477,64</w:t>
            </w:r>
          </w:p>
        </w:tc>
        <w:tc>
          <w:tcPr>
            <w:tcW w:w="718" w:type="pct"/>
            <w:tcBorders>
              <w:top w:val="nil"/>
              <w:left w:val="nil"/>
              <w:bottom w:val="single" w:sz="8" w:space="0" w:color="D9D9D9"/>
              <w:right w:val="single" w:sz="8" w:space="0" w:color="D9D9D9"/>
            </w:tcBorders>
            <w:shd w:val="clear" w:color="auto" w:fill="auto"/>
            <w:vAlign w:val="center"/>
          </w:tcPr>
          <w:p w14:paraId="3C0F1AD3" w14:textId="77777777" w:rsidR="005D0429" w:rsidRPr="002048A7" w:rsidRDefault="005D0429" w:rsidP="005D0429">
            <w:pPr>
              <w:spacing w:after="0" w:line="240" w:lineRule="auto"/>
              <w:jc w:val="right"/>
              <w:rPr>
                <w:rFonts w:ascii="Calibri" w:hAnsi="Calibri" w:cs="Calibri"/>
                <w:b/>
                <w:bCs/>
                <w:color w:val="000000"/>
                <w:sz w:val="18"/>
                <w:szCs w:val="18"/>
              </w:rPr>
            </w:pPr>
            <w:r w:rsidRPr="002048A7">
              <w:rPr>
                <w:rFonts w:ascii="Calibri" w:hAnsi="Calibri" w:cs="Calibri"/>
                <w:b/>
                <w:bCs/>
                <w:color w:val="000000"/>
                <w:sz w:val="18"/>
                <w:szCs w:val="18"/>
              </w:rPr>
              <w:t>34.076.435,65</w:t>
            </w:r>
          </w:p>
        </w:tc>
      </w:tr>
      <w:tr w:rsidR="00873EA8" w:rsidRPr="002048A7" w14:paraId="2F98AFF9" w14:textId="77777777" w:rsidTr="00D16262">
        <w:trPr>
          <w:trHeight w:val="20"/>
        </w:trPr>
        <w:tc>
          <w:tcPr>
            <w:tcW w:w="675" w:type="pct"/>
            <w:vMerge w:val="restart"/>
            <w:tcBorders>
              <w:left w:val="single" w:sz="8" w:space="0" w:color="D9D9D9"/>
              <w:right w:val="single" w:sz="8" w:space="0" w:color="D9D9D9"/>
            </w:tcBorders>
            <w:vAlign w:val="center"/>
          </w:tcPr>
          <w:p w14:paraId="45F70E89" w14:textId="77777777" w:rsidR="00873EA8" w:rsidRPr="002048A7" w:rsidRDefault="00873EA8" w:rsidP="00873EA8">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2022</w:t>
            </w:r>
          </w:p>
        </w:tc>
        <w:tc>
          <w:tcPr>
            <w:tcW w:w="482" w:type="pct"/>
            <w:tcBorders>
              <w:top w:val="nil"/>
              <w:left w:val="nil"/>
              <w:bottom w:val="single" w:sz="8" w:space="0" w:color="D9D9D9"/>
              <w:right w:val="single" w:sz="8" w:space="0" w:color="D9D9D9"/>
            </w:tcBorders>
            <w:shd w:val="clear" w:color="auto" w:fill="auto"/>
            <w:vAlign w:val="center"/>
          </w:tcPr>
          <w:p w14:paraId="31F57104" w14:textId="77777777" w:rsidR="00873EA8" w:rsidRPr="00072A80" w:rsidRDefault="00873EA8" w:rsidP="00873EA8">
            <w:pPr>
              <w:spacing w:after="0" w:line="240" w:lineRule="auto"/>
              <w:rPr>
                <w:rFonts w:ascii="Calibri" w:eastAsia="Times New Roman" w:hAnsi="Calibri"/>
                <w:color w:val="000000"/>
                <w:sz w:val="20"/>
                <w:szCs w:val="20"/>
                <w:lang w:eastAsia="tr-TR"/>
              </w:rPr>
            </w:pPr>
            <w:r w:rsidRPr="00072A80">
              <w:rPr>
                <w:rFonts w:ascii="Calibri" w:eastAsia="Times New Roman" w:hAnsi="Calibri"/>
                <w:color w:val="000000"/>
                <w:sz w:val="20"/>
                <w:szCs w:val="20"/>
                <w:lang w:eastAsia="tr-TR"/>
              </w:rPr>
              <w:t>Rafineri</w:t>
            </w:r>
          </w:p>
        </w:tc>
        <w:tc>
          <w:tcPr>
            <w:tcW w:w="577" w:type="pct"/>
            <w:tcBorders>
              <w:top w:val="nil"/>
              <w:left w:val="nil"/>
              <w:bottom w:val="single" w:sz="8" w:space="0" w:color="D9D9D9"/>
              <w:right w:val="single" w:sz="8" w:space="0" w:color="D9D9D9"/>
            </w:tcBorders>
            <w:shd w:val="clear" w:color="auto" w:fill="auto"/>
            <w:vAlign w:val="center"/>
          </w:tcPr>
          <w:p w14:paraId="2FFD78BA" w14:textId="77777777" w:rsidR="00873EA8" w:rsidRPr="002048A7" w:rsidRDefault="00873EA8" w:rsidP="00873EA8">
            <w:pPr>
              <w:spacing w:after="0" w:line="240" w:lineRule="auto"/>
              <w:jc w:val="right"/>
              <w:rPr>
                <w:rFonts w:ascii="Calibri" w:hAnsi="Calibri" w:cs="Calibri"/>
                <w:b/>
                <w:bCs/>
                <w:color w:val="000000"/>
                <w:sz w:val="18"/>
                <w:szCs w:val="18"/>
              </w:rPr>
            </w:pPr>
            <w:r w:rsidRPr="002048A7">
              <w:rPr>
                <w:rFonts w:ascii="Calibri" w:hAnsi="Calibri" w:cs="Calibri"/>
                <w:color w:val="000000"/>
                <w:sz w:val="16"/>
                <w:szCs w:val="20"/>
              </w:rPr>
              <w:t>190.794,572</w:t>
            </w:r>
          </w:p>
        </w:tc>
        <w:tc>
          <w:tcPr>
            <w:tcW w:w="577" w:type="pct"/>
            <w:tcBorders>
              <w:top w:val="nil"/>
              <w:left w:val="nil"/>
              <w:bottom w:val="single" w:sz="8" w:space="0" w:color="D9D9D9"/>
              <w:right w:val="single" w:sz="8" w:space="0" w:color="D9D9D9"/>
            </w:tcBorders>
            <w:shd w:val="clear" w:color="auto" w:fill="auto"/>
            <w:vAlign w:val="center"/>
          </w:tcPr>
          <w:p w14:paraId="2A0D3BFB" w14:textId="77777777" w:rsidR="00873EA8" w:rsidRPr="002048A7" w:rsidRDefault="00873EA8" w:rsidP="00873EA8">
            <w:pPr>
              <w:spacing w:after="0" w:line="240" w:lineRule="auto"/>
              <w:jc w:val="right"/>
              <w:rPr>
                <w:rFonts w:ascii="Calibri" w:hAnsi="Calibri" w:cs="Calibri"/>
                <w:b/>
                <w:bCs/>
                <w:color w:val="000000"/>
                <w:sz w:val="18"/>
                <w:szCs w:val="18"/>
              </w:rPr>
            </w:pPr>
            <w:r w:rsidRPr="002048A7">
              <w:rPr>
                <w:rFonts w:ascii="Calibri" w:hAnsi="Calibri" w:cs="Calibri"/>
                <w:color w:val="000000"/>
                <w:sz w:val="16"/>
                <w:szCs w:val="20"/>
              </w:rPr>
              <w:t>191.373,223</w:t>
            </w:r>
          </w:p>
        </w:tc>
        <w:tc>
          <w:tcPr>
            <w:tcW w:w="661" w:type="pct"/>
            <w:tcBorders>
              <w:top w:val="nil"/>
              <w:left w:val="nil"/>
              <w:bottom w:val="single" w:sz="8" w:space="0" w:color="D9D9D9"/>
              <w:right w:val="single" w:sz="8" w:space="0" w:color="D9D9D9"/>
            </w:tcBorders>
            <w:shd w:val="clear" w:color="auto" w:fill="auto"/>
            <w:vAlign w:val="center"/>
          </w:tcPr>
          <w:p w14:paraId="58C2DFCD" w14:textId="77777777" w:rsidR="00873EA8" w:rsidRPr="002048A7" w:rsidRDefault="00873EA8" w:rsidP="00873EA8">
            <w:pPr>
              <w:spacing w:after="0" w:line="240" w:lineRule="auto"/>
              <w:jc w:val="right"/>
              <w:rPr>
                <w:rFonts w:ascii="Calibri" w:hAnsi="Calibri" w:cs="Calibri"/>
                <w:b/>
                <w:bCs/>
                <w:color w:val="000000"/>
                <w:sz w:val="18"/>
                <w:szCs w:val="18"/>
              </w:rPr>
            </w:pPr>
            <w:r w:rsidRPr="002048A7">
              <w:rPr>
                <w:rFonts w:ascii="Calibri" w:hAnsi="Calibri" w:cs="Calibri"/>
                <w:color w:val="000000"/>
                <w:sz w:val="16"/>
                <w:szCs w:val="20"/>
              </w:rPr>
              <w:t>4.349.039,088</w:t>
            </w:r>
          </w:p>
        </w:tc>
        <w:tc>
          <w:tcPr>
            <w:tcW w:w="718" w:type="pct"/>
            <w:tcBorders>
              <w:top w:val="nil"/>
              <w:left w:val="nil"/>
              <w:bottom w:val="single" w:sz="8" w:space="0" w:color="D9D9D9"/>
              <w:right w:val="single" w:sz="8" w:space="0" w:color="D9D9D9"/>
            </w:tcBorders>
            <w:shd w:val="clear" w:color="auto" w:fill="auto"/>
            <w:vAlign w:val="center"/>
          </w:tcPr>
          <w:p w14:paraId="4710B096" w14:textId="77777777" w:rsidR="00873EA8" w:rsidRPr="002048A7" w:rsidRDefault="00873EA8" w:rsidP="00873EA8">
            <w:pPr>
              <w:spacing w:after="0" w:line="240" w:lineRule="auto"/>
              <w:jc w:val="right"/>
              <w:rPr>
                <w:rFonts w:ascii="Calibri" w:hAnsi="Calibri" w:cs="Calibri"/>
                <w:b/>
                <w:bCs/>
                <w:color w:val="000000"/>
                <w:sz w:val="18"/>
                <w:szCs w:val="18"/>
              </w:rPr>
            </w:pPr>
            <w:r w:rsidRPr="002048A7">
              <w:rPr>
                <w:rFonts w:ascii="Calibri" w:hAnsi="Calibri" w:cs="Calibri"/>
                <w:color w:val="000000"/>
                <w:sz w:val="16"/>
                <w:szCs w:val="20"/>
              </w:rPr>
              <w:t>19.563.217,395</w:t>
            </w:r>
          </w:p>
        </w:tc>
        <w:tc>
          <w:tcPr>
            <w:tcW w:w="592" w:type="pct"/>
            <w:tcBorders>
              <w:top w:val="nil"/>
              <w:left w:val="nil"/>
              <w:bottom w:val="single" w:sz="8" w:space="0" w:color="D9D9D9"/>
              <w:right w:val="single" w:sz="8" w:space="0" w:color="D9D9D9"/>
            </w:tcBorders>
            <w:shd w:val="clear" w:color="auto" w:fill="auto"/>
            <w:vAlign w:val="center"/>
          </w:tcPr>
          <w:p w14:paraId="665340A8" w14:textId="77777777" w:rsidR="00873EA8" w:rsidRPr="002048A7" w:rsidRDefault="00873EA8" w:rsidP="00873EA8">
            <w:pPr>
              <w:spacing w:after="0" w:line="240" w:lineRule="auto"/>
              <w:jc w:val="right"/>
              <w:rPr>
                <w:rFonts w:ascii="Calibri" w:hAnsi="Calibri" w:cs="Calibri"/>
                <w:b/>
                <w:bCs/>
                <w:color w:val="000000"/>
                <w:sz w:val="18"/>
                <w:szCs w:val="18"/>
              </w:rPr>
            </w:pPr>
            <w:r w:rsidRPr="002048A7">
              <w:rPr>
                <w:rFonts w:ascii="Calibri" w:hAnsi="Calibri" w:cs="Calibri"/>
                <w:color w:val="000000"/>
                <w:sz w:val="16"/>
                <w:szCs w:val="20"/>
              </w:rPr>
              <w:t>9.402,509</w:t>
            </w:r>
          </w:p>
        </w:tc>
        <w:tc>
          <w:tcPr>
            <w:tcW w:w="718" w:type="pct"/>
            <w:tcBorders>
              <w:top w:val="nil"/>
              <w:left w:val="nil"/>
              <w:bottom w:val="single" w:sz="8" w:space="0" w:color="D9D9D9"/>
              <w:right w:val="single" w:sz="8" w:space="0" w:color="D9D9D9"/>
            </w:tcBorders>
            <w:shd w:val="clear" w:color="auto" w:fill="auto"/>
            <w:vAlign w:val="center"/>
          </w:tcPr>
          <w:p w14:paraId="22E468E4" w14:textId="77777777" w:rsidR="00873EA8" w:rsidRPr="002048A7" w:rsidRDefault="00873EA8" w:rsidP="00873EA8">
            <w:pPr>
              <w:spacing w:after="0" w:line="240" w:lineRule="auto"/>
              <w:jc w:val="right"/>
              <w:rPr>
                <w:rFonts w:ascii="Calibri" w:hAnsi="Calibri" w:cs="Calibri"/>
                <w:b/>
                <w:bCs/>
                <w:color w:val="000000"/>
                <w:sz w:val="18"/>
                <w:szCs w:val="18"/>
              </w:rPr>
            </w:pPr>
            <w:r w:rsidRPr="002048A7">
              <w:rPr>
                <w:rFonts w:ascii="Calibri" w:hAnsi="Calibri" w:cs="Calibri"/>
                <w:color w:val="000000"/>
                <w:sz w:val="16"/>
                <w:szCs w:val="20"/>
              </w:rPr>
              <w:t>23.921.658,992</w:t>
            </w:r>
          </w:p>
        </w:tc>
      </w:tr>
      <w:tr w:rsidR="00873EA8" w:rsidRPr="002048A7" w14:paraId="6153F208" w14:textId="77777777" w:rsidTr="00D16262">
        <w:trPr>
          <w:trHeight w:val="20"/>
        </w:trPr>
        <w:tc>
          <w:tcPr>
            <w:tcW w:w="675" w:type="pct"/>
            <w:vMerge/>
            <w:tcBorders>
              <w:left w:val="single" w:sz="8" w:space="0" w:color="D9D9D9"/>
              <w:right w:val="single" w:sz="8" w:space="0" w:color="D9D9D9"/>
            </w:tcBorders>
            <w:vAlign w:val="center"/>
          </w:tcPr>
          <w:p w14:paraId="0FA39F54" w14:textId="77777777" w:rsidR="00873EA8" w:rsidRPr="002048A7" w:rsidRDefault="00873EA8" w:rsidP="00873EA8">
            <w:pPr>
              <w:spacing w:after="0" w:line="240" w:lineRule="auto"/>
              <w:jc w:val="center"/>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tcPr>
          <w:p w14:paraId="13241204" w14:textId="77777777" w:rsidR="00873EA8" w:rsidRPr="00072A80" w:rsidRDefault="00873EA8" w:rsidP="00873EA8">
            <w:pPr>
              <w:spacing w:after="0" w:line="240" w:lineRule="auto"/>
              <w:rPr>
                <w:rFonts w:ascii="Calibri" w:eastAsia="Times New Roman" w:hAnsi="Calibri"/>
                <w:color w:val="000000"/>
                <w:sz w:val="20"/>
                <w:szCs w:val="20"/>
                <w:lang w:eastAsia="tr-TR"/>
              </w:rPr>
            </w:pPr>
            <w:r w:rsidRPr="00072A80">
              <w:rPr>
                <w:rFonts w:ascii="Calibri" w:eastAsia="Times New Roman" w:hAnsi="Calibri"/>
                <w:color w:val="000000"/>
                <w:sz w:val="20"/>
                <w:szCs w:val="20"/>
                <w:lang w:eastAsia="tr-TR"/>
              </w:rPr>
              <w:t>Dağıtıcılar</w:t>
            </w:r>
          </w:p>
        </w:tc>
        <w:tc>
          <w:tcPr>
            <w:tcW w:w="577" w:type="pct"/>
            <w:tcBorders>
              <w:top w:val="nil"/>
              <w:left w:val="nil"/>
              <w:bottom w:val="single" w:sz="8" w:space="0" w:color="D9D9D9"/>
              <w:right w:val="single" w:sz="8" w:space="0" w:color="D9D9D9"/>
            </w:tcBorders>
            <w:shd w:val="clear" w:color="auto" w:fill="auto"/>
            <w:vAlign w:val="center"/>
          </w:tcPr>
          <w:p w14:paraId="69D3D547" w14:textId="77777777" w:rsidR="00873EA8" w:rsidRPr="002048A7" w:rsidRDefault="00873EA8" w:rsidP="00873EA8">
            <w:pPr>
              <w:spacing w:after="0" w:line="240" w:lineRule="auto"/>
              <w:jc w:val="right"/>
              <w:rPr>
                <w:rFonts w:ascii="Calibri" w:hAnsi="Calibri" w:cs="Calibri"/>
                <w:b/>
                <w:bCs/>
                <w:color w:val="000000"/>
                <w:sz w:val="18"/>
                <w:szCs w:val="18"/>
              </w:rPr>
            </w:pPr>
            <w:r w:rsidRPr="002048A7">
              <w:rPr>
                <w:rFonts w:ascii="Calibri" w:hAnsi="Calibri" w:cs="Calibri"/>
                <w:color w:val="000000"/>
                <w:sz w:val="16"/>
                <w:szCs w:val="20"/>
              </w:rPr>
              <w:t>79.993,114</w:t>
            </w:r>
          </w:p>
        </w:tc>
        <w:tc>
          <w:tcPr>
            <w:tcW w:w="577" w:type="pct"/>
            <w:tcBorders>
              <w:top w:val="nil"/>
              <w:left w:val="nil"/>
              <w:bottom w:val="single" w:sz="8" w:space="0" w:color="D9D9D9"/>
              <w:right w:val="single" w:sz="8" w:space="0" w:color="D9D9D9"/>
            </w:tcBorders>
            <w:shd w:val="clear" w:color="auto" w:fill="auto"/>
            <w:vAlign w:val="center"/>
          </w:tcPr>
          <w:p w14:paraId="7EA9FCF9" w14:textId="77777777" w:rsidR="00873EA8" w:rsidRPr="002048A7" w:rsidRDefault="00873EA8" w:rsidP="00873EA8">
            <w:pPr>
              <w:spacing w:after="0" w:line="240" w:lineRule="auto"/>
              <w:jc w:val="right"/>
              <w:rPr>
                <w:rFonts w:ascii="Calibri" w:hAnsi="Calibri" w:cs="Calibri"/>
                <w:b/>
                <w:bCs/>
                <w:color w:val="000000"/>
                <w:sz w:val="18"/>
                <w:szCs w:val="18"/>
              </w:rPr>
            </w:pPr>
            <w:r w:rsidRPr="002048A7">
              <w:rPr>
                <w:rFonts w:ascii="Calibri" w:hAnsi="Calibri" w:cs="Calibri"/>
                <w:color w:val="000000"/>
                <w:sz w:val="16"/>
                <w:szCs w:val="20"/>
              </w:rPr>
              <w:t>81.317,935</w:t>
            </w:r>
          </w:p>
        </w:tc>
        <w:tc>
          <w:tcPr>
            <w:tcW w:w="661" w:type="pct"/>
            <w:tcBorders>
              <w:top w:val="nil"/>
              <w:left w:val="nil"/>
              <w:bottom w:val="single" w:sz="8" w:space="0" w:color="D9D9D9"/>
              <w:right w:val="single" w:sz="8" w:space="0" w:color="D9D9D9"/>
            </w:tcBorders>
            <w:shd w:val="clear" w:color="auto" w:fill="auto"/>
            <w:vAlign w:val="center"/>
          </w:tcPr>
          <w:p w14:paraId="5A5AEA25" w14:textId="77777777" w:rsidR="00873EA8" w:rsidRPr="002048A7" w:rsidRDefault="00873EA8" w:rsidP="00873EA8">
            <w:pPr>
              <w:spacing w:after="0" w:line="240" w:lineRule="auto"/>
              <w:jc w:val="right"/>
              <w:rPr>
                <w:rFonts w:ascii="Calibri" w:hAnsi="Calibri" w:cs="Calibri"/>
                <w:b/>
                <w:bCs/>
                <w:color w:val="000000"/>
                <w:sz w:val="18"/>
                <w:szCs w:val="18"/>
              </w:rPr>
            </w:pPr>
            <w:r w:rsidRPr="002048A7">
              <w:rPr>
                <w:rFonts w:ascii="Calibri" w:hAnsi="Calibri" w:cs="Calibri"/>
                <w:color w:val="000000"/>
                <w:sz w:val="16"/>
                <w:szCs w:val="20"/>
              </w:rPr>
              <w:t>4.096,079</w:t>
            </w:r>
          </w:p>
        </w:tc>
        <w:tc>
          <w:tcPr>
            <w:tcW w:w="718" w:type="pct"/>
            <w:tcBorders>
              <w:top w:val="nil"/>
              <w:left w:val="nil"/>
              <w:bottom w:val="single" w:sz="8" w:space="0" w:color="D9D9D9"/>
              <w:right w:val="single" w:sz="8" w:space="0" w:color="D9D9D9"/>
            </w:tcBorders>
            <w:shd w:val="clear" w:color="auto" w:fill="auto"/>
            <w:vAlign w:val="center"/>
          </w:tcPr>
          <w:p w14:paraId="6CD579DC" w14:textId="77777777" w:rsidR="00873EA8" w:rsidRPr="002048A7" w:rsidRDefault="00873EA8" w:rsidP="00873EA8">
            <w:pPr>
              <w:spacing w:after="0" w:line="240" w:lineRule="auto"/>
              <w:jc w:val="right"/>
              <w:rPr>
                <w:rFonts w:ascii="Calibri" w:hAnsi="Calibri" w:cs="Calibri"/>
                <w:b/>
                <w:bCs/>
                <w:color w:val="000000"/>
                <w:sz w:val="18"/>
                <w:szCs w:val="18"/>
              </w:rPr>
            </w:pPr>
            <w:r w:rsidRPr="002048A7">
              <w:rPr>
                <w:rFonts w:ascii="Calibri" w:hAnsi="Calibri" w:cs="Calibri"/>
                <w:color w:val="000000"/>
                <w:sz w:val="16"/>
                <w:szCs w:val="20"/>
              </w:rPr>
              <w:t>9.959.686,963</w:t>
            </w:r>
          </w:p>
        </w:tc>
        <w:tc>
          <w:tcPr>
            <w:tcW w:w="592" w:type="pct"/>
            <w:tcBorders>
              <w:top w:val="nil"/>
              <w:left w:val="nil"/>
              <w:bottom w:val="single" w:sz="8" w:space="0" w:color="D9D9D9"/>
              <w:right w:val="single" w:sz="8" w:space="0" w:color="D9D9D9"/>
            </w:tcBorders>
            <w:shd w:val="clear" w:color="auto" w:fill="auto"/>
            <w:vAlign w:val="center"/>
          </w:tcPr>
          <w:p w14:paraId="54B0E6C1" w14:textId="77777777" w:rsidR="00873EA8" w:rsidRPr="002048A7" w:rsidRDefault="00873EA8" w:rsidP="00873EA8">
            <w:pPr>
              <w:spacing w:after="0" w:line="240" w:lineRule="auto"/>
              <w:jc w:val="right"/>
              <w:rPr>
                <w:rFonts w:ascii="Calibri" w:hAnsi="Calibri" w:cs="Calibri"/>
                <w:b/>
                <w:bCs/>
                <w:color w:val="000000"/>
                <w:sz w:val="18"/>
                <w:szCs w:val="18"/>
              </w:rPr>
            </w:pPr>
            <w:r w:rsidRPr="002048A7">
              <w:rPr>
                <w:rFonts w:ascii="Calibri" w:hAnsi="Calibri" w:cs="Calibri"/>
                <w:color w:val="000000"/>
                <w:sz w:val="16"/>
                <w:szCs w:val="20"/>
              </w:rPr>
              <w:t>200.937,597</w:t>
            </w:r>
          </w:p>
        </w:tc>
        <w:tc>
          <w:tcPr>
            <w:tcW w:w="718" w:type="pct"/>
            <w:tcBorders>
              <w:top w:val="nil"/>
              <w:left w:val="nil"/>
              <w:bottom w:val="single" w:sz="8" w:space="0" w:color="D9D9D9"/>
              <w:right w:val="single" w:sz="8" w:space="0" w:color="D9D9D9"/>
            </w:tcBorders>
            <w:shd w:val="clear" w:color="auto" w:fill="auto"/>
            <w:vAlign w:val="center"/>
          </w:tcPr>
          <w:p w14:paraId="21916171" w14:textId="77777777" w:rsidR="00873EA8" w:rsidRPr="002048A7" w:rsidRDefault="00873EA8" w:rsidP="00873EA8">
            <w:pPr>
              <w:spacing w:after="0" w:line="240" w:lineRule="auto"/>
              <w:jc w:val="right"/>
              <w:rPr>
                <w:rFonts w:ascii="Calibri" w:hAnsi="Calibri" w:cs="Calibri"/>
                <w:b/>
                <w:bCs/>
                <w:color w:val="000000"/>
                <w:sz w:val="18"/>
                <w:szCs w:val="18"/>
              </w:rPr>
            </w:pPr>
            <w:r w:rsidRPr="002048A7">
              <w:rPr>
                <w:rFonts w:ascii="Calibri" w:hAnsi="Calibri" w:cs="Calibri"/>
                <w:color w:val="000000"/>
                <w:sz w:val="16"/>
                <w:szCs w:val="20"/>
              </w:rPr>
              <w:t>10.164.720,639</w:t>
            </w:r>
          </w:p>
        </w:tc>
      </w:tr>
      <w:tr w:rsidR="00873EA8" w:rsidRPr="002048A7" w14:paraId="25D45C2E" w14:textId="77777777" w:rsidTr="00D16262">
        <w:trPr>
          <w:trHeight w:val="20"/>
        </w:trPr>
        <w:tc>
          <w:tcPr>
            <w:tcW w:w="675" w:type="pct"/>
            <w:vMerge/>
            <w:tcBorders>
              <w:left w:val="single" w:sz="8" w:space="0" w:color="D9D9D9"/>
              <w:bottom w:val="single" w:sz="8" w:space="0" w:color="D9D9D9"/>
              <w:right w:val="single" w:sz="8" w:space="0" w:color="D9D9D9"/>
            </w:tcBorders>
            <w:vAlign w:val="center"/>
          </w:tcPr>
          <w:p w14:paraId="6C790FC5" w14:textId="77777777" w:rsidR="00873EA8" w:rsidRPr="002048A7" w:rsidRDefault="00873EA8" w:rsidP="00873EA8">
            <w:pPr>
              <w:spacing w:after="0" w:line="240" w:lineRule="auto"/>
              <w:jc w:val="center"/>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tcPr>
          <w:p w14:paraId="7B5EE3DC" w14:textId="77777777" w:rsidR="00873EA8" w:rsidRPr="00072A80" w:rsidRDefault="00873EA8" w:rsidP="00873EA8">
            <w:pPr>
              <w:spacing w:after="0" w:line="240" w:lineRule="auto"/>
              <w:rPr>
                <w:rFonts w:ascii="Calibri" w:eastAsia="Times New Roman" w:hAnsi="Calibri"/>
                <w:b/>
                <w:color w:val="000000"/>
                <w:sz w:val="20"/>
                <w:szCs w:val="20"/>
                <w:lang w:eastAsia="tr-TR"/>
              </w:rPr>
            </w:pPr>
            <w:r w:rsidRPr="00072A80">
              <w:rPr>
                <w:rFonts w:ascii="Calibri" w:hAnsi="Calibri" w:cs="Calibri"/>
                <w:b/>
                <w:bCs/>
                <w:color w:val="000000"/>
                <w:sz w:val="20"/>
                <w:szCs w:val="20"/>
              </w:rPr>
              <w:t>Toplam</w:t>
            </w:r>
          </w:p>
        </w:tc>
        <w:tc>
          <w:tcPr>
            <w:tcW w:w="577" w:type="pct"/>
            <w:tcBorders>
              <w:top w:val="nil"/>
              <w:left w:val="nil"/>
              <w:bottom w:val="single" w:sz="8" w:space="0" w:color="D9D9D9"/>
              <w:right w:val="single" w:sz="8" w:space="0" w:color="D9D9D9"/>
            </w:tcBorders>
            <w:shd w:val="clear" w:color="auto" w:fill="auto"/>
            <w:vAlign w:val="center"/>
          </w:tcPr>
          <w:p w14:paraId="02587353" w14:textId="77777777" w:rsidR="00873EA8" w:rsidRPr="002048A7" w:rsidRDefault="00873EA8" w:rsidP="00873EA8">
            <w:pPr>
              <w:spacing w:after="0" w:line="240" w:lineRule="auto"/>
              <w:jc w:val="right"/>
              <w:rPr>
                <w:rFonts w:ascii="Calibri" w:hAnsi="Calibri" w:cs="Calibri"/>
                <w:b/>
                <w:bCs/>
                <w:color w:val="000000"/>
                <w:sz w:val="18"/>
                <w:szCs w:val="18"/>
              </w:rPr>
            </w:pPr>
            <w:r w:rsidRPr="002048A7">
              <w:rPr>
                <w:rFonts w:ascii="Calibri" w:hAnsi="Calibri" w:cs="Calibri"/>
                <w:b/>
                <w:bCs/>
                <w:color w:val="000000"/>
                <w:sz w:val="16"/>
                <w:szCs w:val="20"/>
              </w:rPr>
              <w:t>270.787,686</w:t>
            </w:r>
          </w:p>
        </w:tc>
        <w:tc>
          <w:tcPr>
            <w:tcW w:w="577" w:type="pct"/>
            <w:tcBorders>
              <w:top w:val="nil"/>
              <w:left w:val="nil"/>
              <w:bottom w:val="single" w:sz="8" w:space="0" w:color="D9D9D9"/>
              <w:right w:val="single" w:sz="8" w:space="0" w:color="D9D9D9"/>
            </w:tcBorders>
            <w:shd w:val="clear" w:color="auto" w:fill="auto"/>
            <w:vAlign w:val="center"/>
          </w:tcPr>
          <w:p w14:paraId="164CE922" w14:textId="77777777" w:rsidR="00873EA8" w:rsidRPr="002048A7" w:rsidRDefault="00873EA8" w:rsidP="00873EA8">
            <w:pPr>
              <w:spacing w:after="0" w:line="240" w:lineRule="auto"/>
              <w:jc w:val="right"/>
              <w:rPr>
                <w:rFonts w:ascii="Calibri" w:hAnsi="Calibri" w:cs="Calibri"/>
                <w:b/>
                <w:bCs/>
                <w:color w:val="000000"/>
                <w:sz w:val="18"/>
                <w:szCs w:val="18"/>
              </w:rPr>
            </w:pPr>
            <w:r w:rsidRPr="002048A7">
              <w:rPr>
                <w:rFonts w:ascii="Calibri" w:hAnsi="Calibri" w:cs="Calibri"/>
                <w:b/>
                <w:bCs/>
                <w:color w:val="000000"/>
                <w:sz w:val="16"/>
                <w:szCs w:val="20"/>
              </w:rPr>
              <w:t>272.691,158</w:t>
            </w:r>
          </w:p>
        </w:tc>
        <w:tc>
          <w:tcPr>
            <w:tcW w:w="661" w:type="pct"/>
            <w:tcBorders>
              <w:top w:val="nil"/>
              <w:left w:val="nil"/>
              <w:bottom w:val="single" w:sz="8" w:space="0" w:color="D9D9D9"/>
              <w:right w:val="single" w:sz="8" w:space="0" w:color="D9D9D9"/>
            </w:tcBorders>
            <w:shd w:val="clear" w:color="auto" w:fill="auto"/>
            <w:vAlign w:val="center"/>
          </w:tcPr>
          <w:p w14:paraId="1F9876C0" w14:textId="77777777" w:rsidR="00873EA8" w:rsidRPr="002048A7" w:rsidRDefault="00873EA8" w:rsidP="00873EA8">
            <w:pPr>
              <w:spacing w:after="0" w:line="240" w:lineRule="auto"/>
              <w:jc w:val="right"/>
              <w:rPr>
                <w:rFonts w:ascii="Calibri" w:hAnsi="Calibri" w:cs="Calibri"/>
                <w:b/>
                <w:bCs/>
                <w:color w:val="000000"/>
                <w:sz w:val="18"/>
                <w:szCs w:val="18"/>
              </w:rPr>
            </w:pPr>
            <w:r w:rsidRPr="002048A7">
              <w:rPr>
                <w:rFonts w:ascii="Calibri" w:hAnsi="Calibri" w:cs="Calibri"/>
                <w:b/>
                <w:bCs/>
                <w:color w:val="000000"/>
                <w:sz w:val="16"/>
                <w:szCs w:val="20"/>
              </w:rPr>
              <w:t>4.353.135,167</w:t>
            </w:r>
          </w:p>
        </w:tc>
        <w:tc>
          <w:tcPr>
            <w:tcW w:w="718" w:type="pct"/>
            <w:tcBorders>
              <w:top w:val="nil"/>
              <w:left w:val="nil"/>
              <w:bottom w:val="single" w:sz="8" w:space="0" w:color="D9D9D9"/>
              <w:right w:val="single" w:sz="8" w:space="0" w:color="D9D9D9"/>
            </w:tcBorders>
            <w:shd w:val="clear" w:color="auto" w:fill="auto"/>
            <w:vAlign w:val="center"/>
          </w:tcPr>
          <w:p w14:paraId="37107379" w14:textId="77777777" w:rsidR="00873EA8" w:rsidRPr="002048A7" w:rsidRDefault="00873EA8" w:rsidP="00873EA8">
            <w:pPr>
              <w:spacing w:after="0" w:line="240" w:lineRule="auto"/>
              <w:jc w:val="right"/>
              <w:rPr>
                <w:rFonts w:ascii="Calibri" w:hAnsi="Calibri" w:cs="Calibri"/>
                <w:b/>
                <w:bCs/>
                <w:color w:val="000000"/>
                <w:sz w:val="18"/>
                <w:szCs w:val="18"/>
              </w:rPr>
            </w:pPr>
            <w:r w:rsidRPr="002048A7">
              <w:rPr>
                <w:rFonts w:ascii="Calibri" w:hAnsi="Calibri" w:cs="Calibri"/>
                <w:b/>
                <w:bCs/>
                <w:color w:val="000000"/>
                <w:sz w:val="16"/>
                <w:szCs w:val="20"/>
              </w:rPr>
              <w:t>29.522.904,358</w:t>
            </w:r>
          </w:p>
        </w:tc>
        <w:tc>
          <w:tcPr>
            <w:tcW w:w="592" w:type="pct"/>
            <w:tcBorders>
              <w:top w:val="nil"/>
              <w:left w:val="nil"/>
              <w:bottom w:val="single" w:sz="8" w:space="0" w:color="D9D9D9"/>
              <w:right w:val="single" w:sz="8" w:space="0" w:color="D9D9D9"/>
            </w:tcBorders>
            <w:shd w:val="clear" w:color="auto" w:fill="auto"/>
            <w:vAlign w:val="center"/>
          </w:tcPr>
          <w:p w14:paraId="0D2ACCFD" w14:textId="77777777" w:rsidR="00873EA8" w:rsidRPr="002048A7" w:rsidRDefault="00873EA8" w:rsidP="00873EA8">
            <w:pPr>
              <w:spacing w:after="0" w:line="240" w:lineRule="auto"/>
              <w:jc w:val="right"/>
              <w:rPr>
                <w:rFonts w:ascii="Calibri" w:hAnsi="Calibri" w:cs="Calibri"/>
                <w:b/>
                <w:bCs/>
                <w:color w:val="000000"/>
                <w:sz w:val="18"/>
                <w:szCs w:val="18"/>
              </w:rPr>
            </w:pPr>
            <w:r w:rsidRPr="002048A7">
              <w:rPr>
                <w:rFonts w:ascii="Calibri" w:hAnsi="Calibri" w:cs="Calibri"/>
                <w:b/>
                <w:bCs/>
                <w:color w:val="000000"/>
                <w:sz w:val="16"/>
                <w:szCs w:val="20"/>
              </w:rPr>
              <w:t>210.340,106</w:t>
            </w:r>
          </w:p>
        </w:tc>
        <w:tc>
          <w:tcPr>
            <w:tcW w:w="718" w:type="pct"/>
            <w:tcBorders>
              <w:top w:val="nil"/>
              <w:left w:val="nil"/>
              <w:bottom w:val="single" w:sz="8" w:space="0" w:color="D9D9D9"/>
              <w:right w:val="single" w:sz="8" w:space="0" w:color="D9D9D9"/>
            </w:tcBorders>
            <w:shd w:val="clear" w:color="auto" w:fill="auto"/>
            <w:vAlign w:val="center"/>
          </w:tcPr>
          <w:p w14:paraId="3E06CC31" w14:textId="77777777" w:rsidR="00873EA8" w:rsidRPr="002048A7" w:rsidRDefault="00873EA8" w:rsidP="00873EA8">
            <w:pPr>
              <w:spacing w:after="0" w:line="240" w:lineRule="auto"/>
              <w:jc w:val="right"/>
              <w:rPr>
                <w:rFonts w:ascii="Calibri" w:hAnsi="Calibri" w:cs="Calibri"/>
                <w:b/>
                <w:bCs/>
                <w:color w:val="000000"/>
                <w:sz w:val="18"/>
                <w:szCs w:val="18"/>
              </w:rPr>
            </w:pPr>
            <w:r w:rsidRPr="002048A7">
              <w:rPr>
                <w:rFonts w:ascii="Calibri" w:hAnsi="Calibri" w:cs="Calibri"/>
                <w:b/>
                <w:bCs/>
                <w:color w:val="000000"/>
                <w:sz w:val="16"/>
                <w:szCs w:val="20"/>
              </w:rPr>
              <w:t>34.086.379,631</w:t>
            </w:r>
          </w:p>
        </w:tc>
      </w:tr>
      <w:tr w:rsidR="0039346B" w:rsidRPr="002048A7" w14:paraId="074B17E0" w14:textId="77777777" w:rsidTr="00D16262">
        <w:trPr>
          <w:trHeight w:val="20"/>
        </w:trPr>
        <w:tc>
          <w:tcPr>
            <w:tcW w:w="675" w:type="pct"/>
            <w:vMerge w:val="restart"/>
            <w:tcBorders>
              <w:left w:val="single" w:sz="8" w:space="0" w:color="D9D9D9"/>
              <w:right w:val="single" w:sz="8" w:space="0" w:color="D9D9D9"/>
            </w:tcBorders>
            <w:vAlign w:val="center"/>
          </w:tcPr>
          <w:p w14:paraId="5EE10529" w14:textId="77777777" w:rsidR="0039346B" w:rsidRPr="002048A7" w:rsidRDefault="0039346B" w:rsidP="0039346B">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2023</w:t>
            </w:r>
          </w:p>
        </w:tc>
        <w:tc>
          <w:tcPr>
            <w:tcW w:w="482" w:type="pct"/>
            <w:tcBorders>
              <w:top w:val="nil"/>
              <w:left w:val="nil"/>
              <w:bottom w:val="single" w:sz="8" w:space="0" w:color="D9D9D9"/>
              <w:right w:val="single" w:sz="8" w:space="0" w:color="D9D9D9"/>
            </w:tcBorders>
            <w:shd w:val="clear" w:color="auto" w:fill="auto"/>
            <w:vAlign w:val="center"/>
          </w:tcPr>
          <w:p w14:paraId="798FD56D" w14:textId="77777777" w:rsidR="0039346B" w:rsidRPr="002048A7" w:rsidRDefault="0039346B" w:rsidP="0039346B">
            <w:pPr>
              <w:spacing w:after="0" w:line="240" w:lineRule="auto"/>
              <w:rPr>
                <w:rFonts w:ascii="Calibri" w:eastAsia="Times New Roman" w:hAnsi="Calibri" w:cs="Calibri"/>
                <w:color w:val="000000"/>
                <w:sz w:val="20"/>
                <w:szCs w:val="20"/>
                <w:lang w:eastAsia="tr-TR"/>
              </w:rPr>
            </w:pPr>
            <w:r w:rsidRPr="002048A7">
              <w:rPr>
                <w:rFonts w:ascii="Calibri" w:eastAsia="Times New Roman" w:hAnsi="Calibri" w:cs="Calibri"/>
                <w:color w:val="000000"/>
                <w:sz w:val="20"/>
                <w:szCs w:val="20"/>
                <w:lang w:eastAsia="tr-TR"/>
              </w:rPr>
              <w:t>Rafineri</w:t>
            </w:r>
          </w:p>
        </w:tc>
        <w:tc>
          <w:tcPr>
            <w:tcW w:w="577" w:type="pct"/>
            <w:tcBorders>
              <w:top w:val="nil"/>
              <w:left w:val="nil"/>
              <w:bottom w:val="single" w:sz="8" w:space="0" w:color="D9D9D9"/>
              <w:right w:val="single" w:sz="8" w:space="0" w:color="D9D9D9"/>
            </w:tcBorders>
            <w:shd w:val="clear" w:color="auto" w:fill="auto"/>
            <w:vAlign w:val="center"/>
          </w:tcPr>
          <w:p w14:paraId="1DFBA724" w14:textId="77777777" w:rsidR="0039346B" w:rsidRPr="002048A7" w:rsidRDefault="0039346B" w:rsidP="0039346B">
            <w:pPr>
              <w:spacing w:after="0" w:line="240" w:lineRule="auto"/>
              <w:jc w:val="right"/>
              <w:rPr>
                <w:rFonts w:ascii="Calibri" w:eastAsia="Times New Roman" w:hAnsi="Calibri" w:cs="Calibri"/>
                <w:color w:val="000000"/>
                <w:sz w:val="18"/>
                <w:szCs w:val="18"/>
                <w:lang w:eastAsia="tr-TR"/>
              </w:rPr>
            </w:pPr>
            <w:r w:rsidRPr="002048A7">
              <w:rPr>
                <w:rFonts w:ascii="Calibri" w:eastAsia="Times New Roman" w:hAnsi="Calibri" w:cs="Calibri"/>
                <w:color w:val="000000"/>
                <w:sz w:val="18"/>
                <w:szCs w:val="18"/>
                <w:lang w:eastAsia="tr-TR"/>
              </w:rPr>
              <w:t>186.650,01</w:t>
            </w:r>
          </w:p>
        </w:tc>
        <w:tc>
          <w:tcPr>
            <w:tcW w:w="577" w:type="pct"/>
            <w:tcBorders>
              <w:top w:val="nil"/>
              <w:left w:val="nil"/>
              <w:bottom w:val="single" w:sz="8" w:space="0" w:color="D9D9D9"/>
              <w:right w:val="single" w:sz="8" w:space="0" w:color="D9D9D9"/>
            </w:tcBorders>
            <w:shd w:val="clear" w:color="auto" w:fill="auto"/>
            <w:vAlign w:val="center"/>
          </w:tcPr>
          <w:p w14:paraId="5A47E352" w14:textId="77777777" w:rsidR="0039346B" w:rsidRPr="002048A7" w:rsidRDefault="0039346B" w:rsidP="0039346B">
            <w:pPr>
              <w:spacing w:after="0" w:line="240" w:lineRule="auto"/>
              <w:jc w:val="right"/>
              <w:rPr>
                <w:rFonts w:ascii="Calibri" w:eastAsia="Times New Roman" w:hAnsi="Calibri" w:cs="Calibri"/>
                <w:color w:val="000000"/>
                <w:sz w:val="18"/>
                <w:szCs w:val="18"/>
                <w:lang w:eastAsia="tr-TR"/>
              </w:rPr>
            </w:pPr>
            <w:r w:rsidRPr="002048A7">
              <w:rPr>
                <w:rFonts w:ascii="Calibri" w:eastAsia="Times New Roman" w:hAnsi="Calibri" w:cs="Calibri"/>
                <w:color w:val="000000"/>
                <w:sz w:val="18"/>
                <w:szCs w:val="18"/>
                <w:lang w:eastAsia="tr-TR"/>
              </w:rPr>
              <w:t>192.326,19</w:t>
            </w:r>
          </w:p>
        </w:tc>
        <w:tc>
          <w:tcPr>
            <w:tcW w:w="661" w:type="pct"/>
            <w:tcBorders>
              <w:top w:val="nil"/>
              <w:left w:val="nil"/>
              <w:bottom w:val="single" w:sz="8" w:space="0" w:color="D9D9D9"/>
              <w:right w:val="single" w:sz="8" w:space="0" w:color="D9D9D9"/>
            </w:tcBorders>
            <w:shd w:val="clear" w:color="auto" w:fill="auto"/>
            <w:vAlign w:val="center"/>
          </w:tcPr>
          <w:p w14:paraId="12E8B96D" w14:textId="77777777" w:rsidR="0039346B" w:rsidRPr="002048A7" w:rsidRDefault="0039346B" w:rsidP="0039346B">
            <w:pPr>
              <w:spacing w:after="0" w:line="240" w:lineRule="auto"/>
              <w:jc w:val="right"/>
              <w:rPr>
                <w:rFonts w:ascii="Calibri" w:eastAsia="Times New Roman" w:hAnsi="Calibri" w:cs="Calibri"/>
                <w:color w:val="000000"/>
                <w:sz w:val="18"/>
                <w:szCs w:val="18"/>
                <w:lang w:eastAsia="tr-TR"/>
              </w:rPr>
            </w:pPr>
            <w:r w:rsidRPr="002048A7">
              <w:rPr>
                <w:rFonts w:ascii="Calibri" w:eastAsia="Times New Roman" w:hAnsi="Calibri" w:cs="Calibri"/>
                <w:color w:val="000000"/>
                <w:sz w:val="18"/>
                <w:szCs w:val="18"/>
                <w:lang w:eastAsia="tr-TR"/>
              </w:rPr>
              <w:t>5.403.622,27</w:t>
            </w:r>
          </w:p>
        </w:tc>
        <w:tc>
          <w:tcPr>
            <w:tcW w:w="718" w:type="pct"/>
            <w:tcBorders>
              <w:top w:val="nil"/>
              <w:left w:val="nil"/>
              <w:bottom w:val="single" w:sz="8" w:space="0" w:color="D9D9D9"/>
              <w:right w:val="single" w:sz="8" w:space="0" w:color="D9D9D9"/>
            </w:tcBorders>
            <w:shd w:val="clear" w:color="auto" w:fill="auto"/>
            <w:vAlign w:val="center"/>
          </w:tcPr>
          <w:p w14:paraId="051E4F03" w14:textId="77777777" w:rsidR="0039346B" w:rsidRPr="002048A7" w:rsidRDefault="0039346B" w:rsidP="0039346B">
            <w:pPr>
              <w:spacing w:after="0" w:line="240" w:lineRule="auto"/>
              <w:jc w:val="right"/>
              <w:rPr>
                <w:rFonts w:ascii="Calibri" w:eastAsia="Times New Roman" w:hAnsi="Calibri" w:cs="Calibri"/>
                <w:color w:val="000000"/>
                <w:sz w:val="18"/>
                <w:szCs w:val="18"/>
                <w:lang w:eastAsia="tr-TR"/>
              </w:rPr>
            </w:pPr>
            <w:r w:rsidRPr="002048A7">
              <w:rPr>
                <w:rFonts w:ascii="Calibri" w:eastAsia="Times New Roman" w:hAnsi="Calibri" w:cs="Calibri"/>
                <w:color w:val="000000"/>
                <w:sz w:val="18"/>
                <w:szCs w:val="18"/>
                <w:lang w:eastAsia="tr-TR"/>
              </w:rPr>
              <w:t>18.618.018,67</w:t>
            </w:r>
          </w:p>
        </w:tc>
        <w:tc>
          <w:tcPr>
            <w:tcW w:w="592" w:type="pct"/>
            <w:tcBorders>
              <w:top w:val="nil"/>
              <w:left w:val="nil"/>
              <w:bottom w:val="single" w:sz="8" w:space="0" w:color="D9D9D9"/>
              <w:right w:val="single" w:sz="8" w:space="0" w:color="D9D9D9"/>
            </w:tcBorders>
            <w:shd w:val="clear" w:color="auto" w:fill="auto"/>
            <w:vAlign w:val="center"/>
          </w:tcPr>
          <w:p w14:paraId="76C9D358" w14:textId="77777777" w:rsidR="0039346B" w:rsidRPr="002048A7" w:rsidRDefault="0039346B" w:rsidP="0039346B">
            <w:pPr>
              <w:spacing w:after="0" w:line="240" w:lineRule="auto"/>
              <w:jc w:val="right"/>
              <w:rPr>
                <w:rFonts w:ascii="Calibri" w:eastAsia="Times New Roman" w:hAnsi="Calibri" w:cs="Calibri"/>
                <w:color w:val="000000"/>
                <w:sz w:val="18"/>
                <w:szCs w:val="18"/>
                <w:lang w:eastAsia="tr-TR"/>
              </w:rPr>
            </w:pPr>
            <w:r w:rsidRPr="002048A7">
              <w:rPr>
                <w:rFonts w:ascii="Calibri" w:eastAsia="Times New Roman" w:hAnsi="Calibri" w:cs="Calibri"/>
                <w:color w:val="000000"/>
                <w:sz w:val="18"/>
                <w:szCs w:val="18"/>
                <w:lang w:eastAsia="tr-TR"/>
              </w:rPr>
              <w:t>19.133,35</w:t>
            </w:r>
          </w:p>
        </w:tc>
        <w:tc>
          <w:tcPr>
            <w:tcW w:w="718" w:type="pct"/>
            <w:tcBorders>
              <w:top w:val="nil"/>
              <w:left w:val="nil"/>
              <w:bottom w:val="single" w:sz="8" w:space="0" w:color="D9D9D9"/>
              <w:right w:val="single" w:sz="8" w:space="0" w:color="D9D9D9"/>
            </w:tcBorders>
            <w:shd w:val="clear" w:color="auto" w:fill="auto"/>
            <w:vAlign w:val="center"/>
          </w:tcPr>
          <w:p w14:paraId="37BDCC15" w14:textId="77777777" w:rsidR="0039346B" w:rsidRPr="002048A7" w:rsidRDefault="0039346B" w:rsidP="0039346B">
            <w:pPr>
              <w:spacing w:after="0" w:line="240" w:lineRule="auto"/>
              <w:jc w:val="right"/>
              <w:rPr>
                <w:rFonts w:ascii="Calibri" w:eastAsia="Times New Roman" w:hAnsi="Calibri" w:cs="Calibri"/>
                <w:color w:val="000000"/>
                <w:sz w:val="18"/>
                <w:szCs w:val="18"/>
                <w:lang w:eastAsia="tr-TR"/>
              </w:rPr>
            </w:pPr>
            <w:r w:rsidRPr="002048A7">
              <w:rPr>
                <w:rFonts w:ascii="Calibri" w:eastAsia="Times New Roman" w:hAnsi="Calibri" w:cs="Calibri"/>
                <w:color w:val="000000"/>
                <w:sz w:val="18"/>
                <w:szCs w:val="18"/>
                <w:lang w:eastAsia="tr-TR"/>
              </w:rPr>
              <w:t>24.040.774,29</w:t>
            </w:r>
          </w:p>
        </w:tc>
      </w:tr>
      <w:tr w:rsidR="0039346B" w:rsidRPr="002048A7" w14:paraId="23A447DC" w14:textId="77777777" w:rsidTr="00D16262">
        <w:trPr>
          <w:trHeight w:val="20"/>
        </w:trPr>
        <w:tc>
          <w:tcPr>
            <w:tcW w:w="675" w:type="pct"/>
            <w:vMerge/>
            <w:tcBorders>
              <w:left w:val="single" w:sz="8" w:space="0" w:color="D9D9D9"/>
              <w:right w:val="single" w:sz="8" w:space="0" w:color="D9D9D9"/>
            </w:tcBorders>
            <w:vAlign w:val="center"/>
          </w:tcPr>
          <w:p w14:paraId="66DFA279" w14:textId="77777777" w:rsidR="0039346B" w:rsidRPr="002048A7" w:rsidRDefault="0039346B" w:rsidP="0039346B">
            <w:pPr>
              <w:spacing w:after="0" w:line="240" w:lineRule="auto"/>
              <w:jc w:val="center"/>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tcPr>
          <w:p w14:paraId="2C68DB58" w14:textId="77777777" w:rsidR="0039346B" w:rsidRPr="002048A7" w:rsidRDefault="0039346B" w:rsidP="0039346B">
            <w:pPr>
              <w:spacing w:after="0" w:line="240" w:lineRule="auto"/>
              <w:rPr>
                <w:rFonts w:ascii="Calibri" w:eastAsia="Times New Roman" w:hAnsi="Calibri" w:cs="Calibri"/>
                <w:color w:val="000000"/>
                <w:sz w:val="20"/>
                <w:szCs w:val="20"/>
                <w:lang w:eastAsia="tr-TR"/>
              </w:rPr>
            </w:pPr>
            <w:r w:rsidRPr="002048A7">
              <w:rPr>
                <w:rFonts w:ascii="Calibri" w:eastAsia="Times New Roman" w:hAnsi="Calibri" w:cs="Calibri"/>
                <w:color w:val="000000"/>
                <w:sz w:val="20"/>
                <w:szCs w:val="20"/>
                <w:lang w:eastAsia="tr-TR"/>
              </w:rPr>
              <w:t>Dağıtıcılar</w:t>
            </w:r>
          </w:p>
        </w:tc>
        <w:tc>
          <w:tcPr>
            <w:tcW w:w="577" w:type="pct"/>
            <w:tcBorders>
              <w:top w:val="nil"/>
              <w:left w:val="nil"/>
              <w:bottom w:val="single" w:sz="8" w:space="0" w:color="D9D9D9"/>
              <w:right w:val="single" w:sz="8" w:space="0" w:color="D9D9D9"/>
            </w:tcBorders>
            <w:shd w:val="clear" w:color="auto" w:fill="auto"/>
            <w:vAlign w:val="center"/>
          </w:tcPr>
          <w:p w14:paraId="4DB37B36" w14:textId="77777777" w:rsidR="0039346B" w:rsidRPr="002048A7" w:rsidRDefault="0039346B" w:rsidP="0039346B">
            <w:pPr>
              <w:spacing w:after="0" w:line="240" w:lineRule="auto"/>
              <w:jc w:val="right"/>
              <w:rPr>
                <w:rFonts w:ascii="Calibri" w:eastAsia="Times New Roman" w:hAnsi="Calibri" w:cs="Calibri"/>
                <w:color w:val="000000"/>
                <w:sz w:val="18"/>
                <w:szCs w:val="18"/>
                <w:lang w:eastAsia="tr-TR"/>
              </w:rPr>
            </w:pPr>
            <w:r w:rsidRPr="002048A7">
              <w:rPr>
                <w:rFonts w:ascii="Calibri" w:eastAsia="Times New Roman" w:hAnsi="Calibri" w:cs="Calibri"/>
                <w:color w:val="000000"/>
                <w:sz w:val="18"/>
                <w:szCs w:val="18"/>
                <w:lang w:eastAsia="tr-TR"/>
              </w:rPr>
              <w:t>96.472,70</w:t>
            </w:r>
          </w:p>
        </w:tc>
        <w:tc>
          <w:tcPr>
            <w:tcW w:w="577" w:type="pct"/>
            <w:tcBorders>
              <w:top w:val="nil"/>
              <w:left w:val="nil"/>
              <w:bottom w:val="single" w:sz="8" w:space="0" w:color="D9D9D9"/>
              <w:right w:val="single" w:sz="8" w:space="0" w:color="D9D9D9"/>
            </w:tcBorders>
            <w:shd w:val="clear" w:color="auto" w:fill="auto"/>
            <w:vAlign w:val="center"/>
          </w:tcPr>
          <w:p w14:paraId="798AA1F4" w14:textId="77777777" w:rsidR="0039346B" w:rsidRPr="002048A7" w:rsidRDefault="0039346B" w:rsidP="0039346B">
            <w:pPr>
              <w:spacing w:after="0" w:line="240" w:lineRule="auto"/>
              <w:jc w:val="right"/>
              <w:rPr>
                <w:rFonts w:ascii="Calibri" w:eastAsia="Times New Roman" w:hAnsi="Calibri" w:cs="Calibri"/>
                <w:color w:val="000000"/>
                <w:sz w:val="18"/>
                <w:szCs w:val="18"/>
                <w:lang w:eastAsia="tr-TR"/>
              </w:rPr>
            </w:pPr>
            <w:r w:rsidRPr="002048A7">
              <w:rPr>
                <w:rFonts w:ascii="Calibri" w:eastAsia="Times New Roman" w:hAnsi="Calibri" w:cs="Calibri"/>
                <w:color w:val="000000"/>
                <w:sz w:val="18"/>
                <w:szCs w:val="18"/>
                <w:lang w:eastAsia="tr-TR"/>
              </w:rPr>
              <w:t>101.414,78</w:t>
            </w:r>
          </w:p>
        </w:tc>
        <w:tc>
          <w:tcPr>
            <w:tcW w:w="661" w:type="pct"/>
            <w:tcBorders>
              <w:top w:val="nil"/>
              <w:left w:val="nil"/>
              <w:bottom w:val="single" w:sz="8" w:space="0" w:color="D9D9D9"/>
              <w:right w:val="single" w:sz="8" w:space="0" w:color="D9D9D9"/>
            </w:tcBorders>
            <w:shd w:val="clear" w:color="auto" w:fill="auto"/>
            <w:vAlign w:val="center"/>
          </w:tcPr>
          <w:p w14:paraId="5673F797" w14:textId="77777777" w:rsidR="0039346B" w:rsidRPr="002048A7" w:rsidRDefault="0039346B" w:rsidP="0039346B">
            <w:pPr>
              <w:spacing w:after="0" w:line="240" w:lineRule="auto"/>
              <w:jc w:val="right"/>
              <w:rPr>
                <w:rFonts w:ascii="Calibri" w:eastAsia="Times New Roman" w:hAnsi="Calibri" w:cs="Calibri"/>
                <w:color w:val="000000"/>
                <w:sz w:val="18"/>
                <w:szCs w:val="18"/>
                <w:lang w:eastAsia="tr-TR"/>
              </w:rPr>
            </w:pPr>
            <w:r w:rsidRPr="002048A7">
              <w:rPr>
                <w:rFonts w:ascii="Calibri" w:eastAsia="Times New Roman" w:hAnsi="Calibri" w:cs="Calibri"/>
                <w:color w:val="000000"/>
                <w:sz w:val="18"/>
                <w:szCs w:val="18"/>
                <w:lang w:eastAsia="tr-TR"/>
              </w:rPr>
              <w:t>0,00</w:t>
            </w:r>
          </w:p>
        </w:tc>
        <w:tc>
          <w:tcPr>
            <w:tcW w:w="718" w:type="pct"/>
            <w:tcBorders>
              <w:top w:val="nil"/>
              <w:left w:val="nil"/>
              <w:bottom w:val="single" w:sz="8" w:space="0" w:color="D9D9D9"/>
              <w:right w:val="single" w:sz="8" w:space="0" w:color="D9D9D9"/>
            </w:tcBorders>
            <w:shd w:val="clear" w:color="auto" w:fill="auto"/>
            <w:vAlign w:val="center"/>
          </w:tcPr>
          <w:p w14:paraId="39EE2FB3" w14:textId="77777777" w:rsidR="0039346B" w:rsidRPr="002048A7" w:rsidRDefault="0039346B" w:rsidP="0039346B">
            <w:pPr>
              <w:spacing w:after="0" w:line="240" w:lineRule="auto"/>
              <w:jc w:val="right"/>
              <w:rPr>
                <w:rFonts w:ascii="Calibri" w:eastAsia="Times New Roman" w:hAnsi="Calibri" w:cs="Calibri"/>
                <w:color w:val="000000"/>
                <w:sz w:val="18"/>
                <w:szCs w:val="18"/>
                <w:lang w:eastAsia="tr-TR"/>
              </w:rPr>
            </w:pPr>
            <w:r w:rsidRPr="002048A7">
              <w:rPr>
                <w:rFonts w:ascii="Calibri" w:eastAsia="Times New Roman" w:hAnsi="Calibri" w:cs="Calibri"/>
                <w:color w:val="000000"/>
                <w:sz w:val="18"/>
                <w:szCs w:val="18"/>
                <w:lang w:eastAsia="tr-TR"/>
              </w:rPr>
              <w:t>12.498.124,11</w:t>
            </w:r>
          </w:p>
        </w:tc>
        <w:tc>
          <w:tcPr>
            <w:tcW w:w="592" w:type="pct"/>
            <w:tcBorders>
              <w:top w:val="nil"/>
              <w:left w:val="nil"/>
              <w:bottom w:val="single" w:sz="8" w:space="0" w:color="D9D9D9"/>
              <w:right w:val="single" w:sz="8" w:space="0" w:color="D9D9D9"/>
            </w:tcBorders>
            <w:shd w:val="clear" w:color="auto" w:fill="auto"/>
            <w:vAlign w:val="center"/>
          </w:tcPr>
          <w:p w14:paraId="01A8C9B0" w14:textId="77777777" w:rsidR="0039346B" w:rsidRPr="002048A7" w:rsidRDefault="0039346B" w:rsidP="0039346B">
            <w:pPr>
              <w:spacing w:after="0" w:line="240" w:lineRule="auto"/>
              <w:jc w:val="right"/>
              <w:rPr>
                <w:rFonts w:ascii="Calibri" w:eastAsia="Times New Roman" w:hAnsi="Calibri" w:cs="Calibri"/>
                <w:color w:val="000000"/>
                <w:sz w:val="18"/>
                <w:szCs w:val="18"/>
                <w:lang w:eastAsia="tr-TR"/>
              </w:rPr>
            </w:pPr>
            <w:r w:rsidRPr="002048A7">
              <w:rPr>
                <w:rFonts w:ascii="Calibri" w:eastAsia="Times New Roman" w:hAnsi="Calibri" w:cs="Calibri"/>
                <w:color w:val="000000"/>
                <w:sz w:val="18"/>
                <w:szCs w:val="18"/>
                <w:lang w:eastAsia="tr-TR"/>
              </w:rPr>
              <w:t>178.700,70</w:t>
            </w:r>
          </w:p>
        </w:tc>
        <w:tc>
          <w:tcPr>
            <w:tcW w:w="718" w:type="pct"/>
            <w:tcBorders>
              <w:top w:val="nil"/>
              <w:left w:val="nil"/>
              <w:bottom w:val="single" w:sz="8" w:space="0" w:color="D9D9D9"/>
              <w:right w:val="single" w:sz="8" w:space="0" w:color="D9D9D9"/>
            </w:tcBorders>
            <w:shd w:val="clear" w:color="auto" w:fill="auto"/>
            <w:vAlign w:val="center"/>
          </w:tcPr>
          <w:p w14:paraId="434E0861" w14:textId="77777777" w:rsidR="0039346B" w:rsidRPr="002048A7" w:rsidRDefault="0039346B" w:rsidP="0039346B">
            <w:pPr>
              <w:spacing w:after="0" w:line="240" w:lineRule="auto"/>
              <w:jc w:val="right"/>
              <w:rPr>
                <w:rFonts w:ascii="Calibri" w:eastAsia="Times New Roman" w:hAnsi="Calibri" w:cs="Calibri"/>
                <w:color w:val="000000"/>
                <w:sz w:val="18"/>
                <w:szCs w:val="18"/>
                <w:lang w:eastAsia="tr-TR"/>
              </w:rPr>
            </w:pPr>
            <w:r w:rsidRPr="002048A7">
              <w:rPr>
                <w:rFonts w:ascii="Calibri" w:eastAsia="Times New Roman" w:hAnsi="Calibri" w:cs="Calibri"/>
                <w:color w:val="000000"/>
                <w:sz w:val="18"/>
                <w:szCs w:val="18"/>
                <w:lang w:eastAsia="tr-TR"/>
              </w:rPr>
              <w:t>12.676.824,81</w:t>
            </w:r>
          </w:p>
        </w:tc>
      </w:tr>
      <w:tr w:rsidR="0039346B" w:rsidRPr="002048A7" w14:paraId="61D937AA" w14:textId="77777777" w:rsidTr="00D16262">
        <w:trPr>
          <w:trHeight w:val="20"/>
        </w:trPr>
        <w:tc>
          <w:tcPr>
            <w:tcW w:w="675" w:type="pct"/>
            <w:vMerge/>
            <w:tcBorders>
              <w:left w:val="single" w:sz="8" w:space="0" w:color="D9D9D9"/>
              <w:bottom w:val="single" w:sz="8" w:space="0" w:color="D9D9D9"/>
              <w:right w:val="single" w:sz="8" w:space="0" w:color="D9D9D9"/>
            </w:tcBorders>
            <w:vAlign w:val="center"/>
          </w:tcPr>
          <w:p w14:paraId="706580F6" w14:textId="77777777" w:rsidR="0039346B" w:rsidRPr="002048A7" w:rsidRDefault="0039346B" w:rsidP="0039346B">
            <w:pPr>
              <w:spacing w:after="0" w:line="240" w:lineRule="auto"/>
              <w:jc w:val="center"/>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tcPr>
          <w:p w14:paraId="0111467F" w14:textId="77777777" w:rsidR="0039346B" w:rsidRPr="002048A7" w:rsidRDefault="0039346B" w:rsidP="0039346B">
            <w:pPr>
              <w:spacing w:after="0" w:line="240" w:lineRule="auto"/>
              <w:rPr>
                <w:rFonts w:ascii="Calibri" w:eastAsia="Times New Roman" w:hAnsi="Calibri" w:cs="Calibri"/>
                <w:b/>
                <w:bCs/>
                <w:color w:val="000000"/>
                <w:sz w:val="20"/>
                <w:szCs w:val="20"/>
                <w:lang w:eastAsia="tr-TR"/>
              </w:rPr>
            </w:pPr>
            <w:r w:rsidRPr="002048A7">
              <w:rPr>
                <w:rFonts w:ascii="Calibri" w:eastAsia="Times New Roman" w:hAnsi="Calibri" w:cs="Calibri"/>
                <w:b/>
                <w:bCs/>
                <w:color w:val="000000"/>
                <w:sz w:val="20"/>
                <w:szCs w:val="20"/>
                <w:lang w:eastAsia="tr-TR"/>
              </w:rPr>
              <w:t>Toplam</w:t>
            </w:r>
          </w:p>
        </w:tc>
        <w:tc>
          <w:tcPr>
            <w:tcW w:w="577" w:type="pct"/>
            <w:tcBorders>
              <w:top w:val="nil"/>
              <w:left w:val="nil"/>
              <w:bottom w:val="single" w:sz="8" w:space="0" w:color="D9D9D9"/>
              <w:right w:val="single" w:sz="8" w:space="0" w:color="D9D9D9"/>
            </w:tcBorders>
            <w:shd w:val="clear" w:color="auto" w:fill="auto"/>
            <w:vAlign w:val="center"/>
          </w:tcPr>
          <w:p w14:paraId="0ECA239F" w14:textId="77777777" w:rsidR="0039346B" w:rsidRPr="002048A7" w:rsidRDefault="0039346B" w:rsidP="0039346B">
            <w:pPr>
              <w:spacing w:after="0" w:line="240" w:lineRule="auto"/>
              <w:jc w:val="right"/>
              <w:rPr>
                <w:rFonts w:ascii="Calibri" w:eastAsia="Times New Roman" w:hAnsi="Calibri" w:cs="Calibri"/>
                <w:b/>
                <w:bCs/>
                <w:color w:val="000000"/>
                <w:sz w:val="18"/>
                <w:szCs w:val="18"/>
                <w:lang w:eastAsia="tr-TR"/>
              </w:rPr>
            </w:pPr>
            <w:r w:rsidRPr="002048A7">
              <w:rPr>
                <w:rFonts w:ascii="Calibri" w:eastAsia="Times New Roman" w:hAnsi="Calibri" w:cs="Calibri"/>
                <w:b/>
                <w:bCs/>
                <w:color w:val="000000"/>
                <w:sz w:val="18"/>
                <w:szCs w:val="18"/>
                <w:lang w:eastAsia="tr-TR"/>
              </w:rPr>
              <w:t>283.122,71</w:t>
            </w:r>
          </w:p>
        </w:tc>
        <w:tc>
          <w:tcPr>
            <w:tcW w:w="577" w:type="pct"/>
            <w:tcBorders>
              <w:top w:val="nil"/>
              <w:left w:val="nil"/>
              <w:bottom w:val="single" w:sz="8" w:space="0" w:color="D9D9D9"/>
              <w:right w:val="single" w:sz="8" w:space="0" w:color="D9D9D9"/>
            </w:tcBorders>
            <w:shd w:val="clear" w:color="auto" w:fill="auto"/>
            <w:vAlign w:val="center"/>
          </w:tcPr>
          <w:p w14:paraId="7BC5480D" w14:textId="77777777" w:rsidR="0039346B" w:rsidRPr="002048A7" w:rsidRDefault="0039346B" w:rsidP="0039346B">
            <w:pPr>
              <w:spacing w:after="0" w:line="240" w:lineRule="auto"/>
              <w:jc w:val="right"/>
              <w:rPr>
                <w:rFonts w:ascii="Calibri" w:eastAsia="Times New Roman" w:hAnsi="Calibri" w:cs="Calibri"/>
                <w:b/>
                <w:bCs/>
                <w:color w:val="000000"/>
                <w:sz w:val="18"/>
                <w:szCs w:val="18"/>
                <w:lang w:eastAsia="tr-TR"/>
              </w:rPr>
            </w:pPr>
            <w:r w:rsidRPr="002048A7">
              <w:rPr>
                <w:rFonts w:ascii="Calibri" w:eastAsia="Times New Roman" w:hAnsi="Calibri" w:cs="Calibri"/>
                <w:b/>
                <w:bCs/>
                <w:color w:val="000000"/>
                <w:sz w:val="18"/>
                <w:szCs w:val="18"/>
                <w:lang w:eastAsia="tr-TR"/>
              </w:rPr>
              <w:t>293.740,97</w:t>
            </w:r>
          </w:p>
        </w:tc>
        <w:tc>
          <w:tcPr>
            <w:tcW w:w="661" w:type="pct"/>
            <w:tcBorders>
              <w:top w:val="nil"/>
              <w:left w:val="nil"/>
              <w:bottom w:val="single" w:sz="8" w:space="0" w:color="D9D9D9"/>
              <w:right w:val="single" w:sz="8" w:space="0" w:color="D9D9D9"/>
            </w:tcBorders>
            <w:shd w:val="clear" w:color="auto" w:fill="auto"/>
            <w:vAlign w:val="center"/>
          </w:tcPr>
          <w:p w14:paraId="5A6A1664" w14:textId="77777777" w:rsidR="0039346B" w:rsidRPr="002048A7" w:rsidRDefault="0039346B" w:rsidP="0039346B">
            <w:pPr>
              <w:spacing w:after="0" w:line="240" w:lineRule="auto"/>
              <w:jc w:val="right"/>
              <w:rPr>
                <w:rFonts w:ascii="Calibri" w:eastAsia="Times New Roman" w:hAnsi="Calibri" w:cs="Calibri"/>
                <w:b/>
                <w:bCs/>
                <w:color w:val="000000"/>
                <w:sz w:val="18"/>
                <w:szCs w:val="18"/>
                <w:lang w:eastAsia="tr-TR"/>
              </w:rPr>
            </w:pPr>
            <w:r w:rsidRPr="002048A7">
              <w:rPr>
                <w:rFonts w:ascii="Calibri" w:eastAsia="Times New Roman" w:hAnsi="Calibri" w:cs="Calibri"/>
                <w:b/>
                <w:bCs/>
                <w:color w:val="000000"/>
                <w:sz w:val="18"/>
                <w:szCs w:val="18"/>
                <w:lang w:eastAsia="tr-TR"/>
              </w:rPr>
              <w:t>5.403.622,27</w:t>
            </w:r>
          </w:p>
        </w:tc>
        <w:tc>
          <w:tcPr>
            <w:tcW w:w="718" w:type="pct"/>
            <w:tcBorders>
              <w:top w:val="nil"/>
              <w:left w:val="nil"/>
              <w:bottom w:val="single" w:sz="8" w:space="0" w:color="D9D9D9"/>
              <w:right w:val="single" w:sz="8" w:space="0" w:color="D9D9D9"/>
            </w:tcBorders>
            <w:shd w:val="clear" w:color="auto" w:fill="auto"/>
            <w:vAlign w:val="center"/>
          </w:tcPr>
          <w:p w14:paraId="32E9DFB5" w14:textId="77777777" w:rsidR="0039346B" w:rsidRPr="002048A7" w:rsidRDefault="0039346B" w:rsidP="0039346B">
            <w:pPr>
              <w:spacing w:after="0" w:line="240" w:lineRule="auto"/>
              <w:jc w:val="right"/>
              <w:rPr>
                <w:rFonts w:ascii="Calibri" w:eastAsia="Times New Roman" w:hAnsi="Calibri" w:cs="Calibri"/>
                <w:b/>
                <w:bCs/>
                <w:color w:val="000000"/>
                <w:sz w:val="18"/>
                <w:szCs w:val="18"/>
                <w:lang w:eastAsia="tr-TR"/>
              </w:rPr>
            </w:pPr>
            <w:r w:rsidRPr="002048A7">
              <w:rPr>
                <w:rFonts w:ascii="Calibri" w:eastAsia="Times New Roman" w:hAnsi="Calibri" w:cs="Calibri"/>
                <w:b/>
                <w:bCs/>
                <w:color w:val="000000"/>
                <w:sz w:val="18"/>
                <w:szCs w:val="18"/>
                <w:lang w:eastAsia="tr-TR"/>
              </w:rPr>
              <w:t>31.116.142,78</w:t>
            </w:r>
          </w:p>
        </w:tc>
        <w:tc>
          <w:tcPr>
            <w:tcW w:w="592" w:type="pct"/>
            <w:tcBorders>
              <w:top w:val="nil"/>
              <w:left w:val="nil"/>
              <w:bottom w:val="single" w:sz="8" w:space="0" w:color="D9D9D9"/>
              <w:right w:val="single" w:sz="8" w:space="0" w:color="D9D9D9"/>
            </w:tcBorders>
            <w:shd w:val="clear" w:color="auto" w:fill="auto"/>
            <w:vAlign w:val="center"/>
          </w:tcPr>
          <w:p w14:paraId="5137F360" w14:textId="77777777" w:rsidR="0039346B" w:rsidRPr="002048A7" w:rsidRDefault="0039346B" w:rsidP="0039346B">
            <w:pPr>
              <w:spacing w:after="0" w:line="240" w:lineRule="auto"/>
              <w:jc w:val="right"/>
              <w:rPr>
                <w:rFonts w:ascii="Calibri" w:eastAsia="Times New Roman" w:hAnsi="Calibri" w:cs="Calibri"/>
                <w:b/>
                <w:bCs/>
                <w:color w:val="000000"/>
                <w:sz w:val="18"/>
                <w:szCs w:val="18"/>
                <w:lang w:eastAsia="tr-TR"/>
              </w:rPr>
            </w:pPr>
            <w:r w:rsidRPr="002048A7">
              <w:rPr>
                <w:rFonts w:ascii="Calibri" w:eastAsia="Times New Roman" w:hAnsi="Calibri" w:cs="Calibri"/>
                <w:b/>
                <w:bCs/>
                <w:color w:val="000000"/>
                <w:sz w:val="18"/>
                <w:szCs w:val="18"/>
                <w:lang w:eastAsia="tr-TR"/>
              </w:rPr>
              <w:t>197.834,04</w:t>
            </w:r>
          </w:p>
        </w:tc>
        <w:tc>
          <w:tcPr>
            <w:tcW w:w="718" w:type="pct"/>
            <w:tcBorders>
              <w:top w:val="nil"/>
              <w:left w:val="nil"/>
              <w:bottom w:val="single" w:sz="8" w:space="0" w:color="D9D9D9"/>
              <w:right w:val="single" w:sz="8" w:space="0" w:color="D9D9D9"/>
            </w:tcBorders>
            <w:shd w:val="clear" w:color="auto" w:fill="auto"/>
            <w:vAlign w:val="center"/>
          </w:tcPr>
          <w:p w14:paraId="6A8094CC" w14:textId="77777777" w:rsidR="0039346B" w:rsidRPr="002048A7" w:rsidRDefault="0039346B" w:rsidP="0039346B">
            <w:pPr>
              <w:spacing w:after="0" w:line="240" w:lineRule="auto"/>
              <w:jc w:val="right"/>
              <w:rPr>
                <w:rFonts w:ascii="Calibri" w:eastAsia="Times New Roman" w:hAnsi="Calibri" w:cs="Calibri"/>
                <w:b/>
                <w:bCs/>
                <w:color w:val="000000"/>
                <w:sz w:val="18"/>
                <w:szCs w:val="18"/>
                <w:lang w:eastAsia="tr-TR"/>
              </w:rPr>
            </w:pPr>
            <w:r w:rsidRPr="002048A7">
              <w:rPr>
                <w:rFonts w:ascii="Calibri" w:eastAsia="Times New Roman" w:hAnsi="Calibri" w:cs="Calibri"/>
                <w:b/>
                <w:bCs/>
                <w:color w:val="000000"/>
                <w:sz w:val="18"/>
                <w:szCs w:val="18"/>
                <w:lang w:eastAsia="tr-TR"/>
              </w:rPr>
              <w:t>36.717.599,10</w:t>
            </w:r>
          </w:p>
        </w:tc>
      </w:tr>
      <w:tr w:rsidR="00D16262" w:rsidRPr="002048A7" w14:paraId="77C34B71" w14:textId="77777777" w:rsidTr="00D16262">
        <w:trPr>
          <w:trHeight w:val="20"/>
        </w:trPr>
        <w:tc>
          <w:tcPr>
            <w:tcW w:w="675" w:type="pct"/>
            <w:vMerge w:val="restart"/>
            <w:tcBorders>
              <w:left w:val="single" w:sz="8" w:space="0" w:color="D9D9D9"/>
              <w:right w:val="single" w:sz="8" w:space="0" w:color="D9D9D9"/>
            </w:tcBorders>
            <w:vAlign w:val="center"/>
          </w:tcPr>
          <w:p w14:paraId="653961A0" w14:textId="77777777" w:rsidR="00D16262" w:rsidRPr="002048A7" w:rsidRDefault="00D16262" w:rsidP="00D16262">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2024</w:t>
            </w:r>
          </w:p>
        </w:tc>
        <w:tc>
          <w:tcPr>
            <w:tcW w:w="482" w:type="pct"/>
            <w:tcBorders>
              <w:top w:val="nil"/>
              <w:left w:val="nil"/>
              <w:bottom w:val="single" w:sz="8" w:space="0" w:color="D9D9D9"/>
              <w:right w:val="single" w:sz="8" w:space="0" w:color="D9D9D9"/>
            </w:tcBorders>
            <w:shd w:val="clear" w:color="auto" w:fill="auto"/>
            <w:vAlign w:val="center"/>
          </w:tcPr>
          <w:p w14:paraId="65633467" w14:textId="77777777" w:rsidR="00D16262" w:rsidRPr="00072A80" w:rsidRDefault="00D16262" w:rsidP="00D16262">
            <w:pPr>
              <w:spacing w:after="0" w:line="240" w:lineRule="auto"/>
              <w:rPr>
                <w:rFonts w:ascii="Calibri" w:eastAsia="Times New Roman" w:hAnsi="Calibri" w:cs="Calibri"/>
                <w:color w:val="000000"/>
                <w:sz w:val="20"/>
                <w:szCs w:val="20"/>
                <w:lang w:eastAsia="tr-TR"/>
              </w:rPr>
            </w:pPr>
            <w:r w:rsidRPr="00072A80">
              <w:rPr>
                <w:rFonts w:ascii="Calibri" w:eastAsia="Times New Roman" w:hAnsi="Calibri" w:cs="Calibri"/>
                <w:color w:val="000000"/>
                <w:sz w:val="20"/>
                <w:szCs w:val="20"/>
                <w:lang w:eastAsia="tr-TR"/>
              </w:rPr>
              <w:t>Rafineri</w:t>
            </w:r>
          </w:p>
        </w:tc>
        <w:tc>
          <w:tcPr>
            <w:tcW w:w="577" w:type="pct"/>
            <w:tcBorders>
              <w:top w:val="nil"/>
              <w:left w:val="nil"/>
              <w:bottom w:val="single" w:sz="8" w:space="0" w:color="D9D9D9"/>
              <w:right w:val="single" w:sz="8" w:space="0" w:color="D9D9D9"/>
            </w:tcBorders>
            <w:shd w:val="clear" w:color="auto" w:fill="auto"/>
          </w:tcPr>
          <w:p w14:paraId="29DE483C" w14:textId="77777777" w:rsidR="00D16262" w:rsidRPr="00072A80" w:rsidRDefault="00D16262" w:rsidP="00D16262">
            <w:pPr>
              <w:spacing w:after="0" w:line="240" w:lineRule="auto"/>
              <w:jc w:val="right"/>
              <w:rPr>
                <w:rFonts w:ascii="Calibri" w:eastAsia="Times New Roman" w:hAnsi="Calibri" w:cs="Calibri"/>
                <w:color w:val="000000"/>
                <w:sz w:val="18"/>
                <w:szCs w:val="18"/>
                <w:lang w:eastAsia="tr-TR"/>
              </w:rPr>
            </w:pPr>
            <w:r w:rsidRPr="00072A80">
              <w:rPr>
                <w:rFonts w:ascii="Calibri" w:eastAsia="Times New Roman" w:hAnsi="Calibri" w:cs="Calibri"/>
                <w:color w:val="000000"/>
                <w:sz w:val="18"/>
                <w:szCs w:val="18"/>
                <w:lang w:eastAsia="tr-TR"/>
              </w:rPr>
              <w:t>196.470,14</w:t>
            </w:r>
          </w:p>
        </w:tc>
        <w:tc>
          <w:tcPr>
            <w:tcW w:w="577" w:type="pct"/>
            <w:tcBorders>
              <w:top w:val="nil"/>
              <w:left w:val="nil"/>
              <w:bottom w:val="single" w:sz="8" w:space="0" w:color="D9D9D9"/>
              <w:right w:val="single" w:sz="8" w:space="0" w:color="D9D9D9"/>
            </w:tcBorders>
            <w:shd w:val="clear" w:color="auto" w:fill="auto"/>
          </w:tcPr>
          <w:p w14:paraId="4F85E017" w14:textId="77777777" w:rsidR="00D16262" w:rsidRPr="00072A80" w:rsidRDefault="00D16262" w:rsidP="00D16262">
            <w:pPr>
              <w:spacing w:after="0" w:line="240" w:lineRule="auto"/>
              <w:jc w:val="right"/>
              <w:rPr>
                <w:rFonts w:ascii="Calibri" w:eastAsia="Times New Roman" w:hAnsi="Calibri" w:cs="Calibri"/>
                <w:color w:val="000000"/>
                <w:sz w:val="18"/>
                <w:szCs w:val="18"/>
                <w:lang w:eastAsia="tr-TR"/>
              </w:rPr>
            </w:pPr>
            <w:r w:rsidRPr="00072A80">
              <w:rPr>
                <w:rFonts w:ascii="Calibri" w:eastAsia="Times New Roman" w:hAnsi="Calibri" w:cs="Calibri"/>
                <w:color w:val="000000"/>
                <w:sz w:val="18"/>
                <w:szCs w:val="18"/>
                <w:lang w:eastAsia="tr-TR"/>
              </w:rPr>
              <w:t>186.664,20</w:t>
            </w:r>
          </w:p>
        </w:tc>
        <w:tc>
          <w:tcPr>
            <w:tcW w:w="661" w:type="pct"/>
            <w:tcBorders>
              <w:top w:val="nil"/>
              <w:left w:val="nil"/>
              <w:bottom w:val="single" w:sz="8" w:space="0" w:color="D9D9D9"/>
              <w:right w:val="single" w:sz="8" w:space="0" w:color="D9D9D9"/>
            </w:tcBorders>
            <w:shd w:val="clear" w:color="auto" w:fill="auto"/>
          </w:tcPr>
          <w:p w14:paraId="5DF2B855" w14:textId="77777777" w:rsidR="00D16262" w:rsidRPr="00072A80" w:rsidRDefault="00D16262" w:rsidP="00D16262">
            <w:pPr>
              <w:spacing w:after="0" w:line="240" w:lineRule="auto"/>
              <w:jc w:val="right"/>
              <w:rPr>
                <w:rFonts w:ascii="Calibri" w:eastAsia="Times New Roman" w:hAnsi="Calibri" w:cs="Calibri"/>
                <w:color w:val="000000"/>
                <w:sz w:val="18"/>
                <w:szCs w:val="18"/>
                <w:lang w:eastAsia="tr-TR"/>
              </w:rPr>
            </w:pPr>
            <w:r w:rsidRPr="00072A80">
              <w:rPr>
                <w:rFonts w:ascii="Calibri" w:eastAsia="Times New Roman" w:hAnsi="Calibri" w:cs="Calibri"/>
                <w:color w:val="000000"/>
                <w:sz w:val="18"/>
                <w:szCs w:val="18"/>
                <w:lang w:eastAsia="tr-TR"/>
              </w:rPr>
              <w:t>6.506.802,49</w:t>
            </w:r>
          </w:p>
        </w:tc>
        <w:tc>
          <w:tcPr>
            <w:tcW w:w="718" w:type="pct"/>
            <w:tcBorders>
              <w:top w:val="nil"/>
              <w:left w:val="nil"/>
              <w:bottom w:val="single" w:sz="8" w:space="0" w:color="D9D9D9"/>
              <w:right w:val="single" w:sz="8" w:space="0" w:color="D9D9D9"/>
            </w:tcBorders>
            <w:shd w:val="clear" w:color="auto" w:fill="auto"/>
          </w:tcPr>
          <w:p w14:paraId="439676E3" w14:textId="77777777" w:rsidR="00D16262" w:rsidRPr="00072A80" w:rsidRDefault="00D16262" w:rsidP="00D16262">
            <w:pPr>
              <w:spacing w:after="0" w:line="240" w:lineRule="auto"/>
              <w:jc w:val="right"/>
              <w:rPr>
                <w:rFonts w:ascii="Calibri" w:eastAsia="Times New Roman" w:hAnsi="Calibri" w:cs="Calibri"/>
                <w:color w:val="000000"/>
                <w:sz w:val="18"/>
                <w:szCs w:val="18"/>
                <w:lang w:eastAsia="tr-TR"/>
              </w:rPr>
            </w:pPr>
            <w:r w:rsidRPr="00072A80">
              <w:rPr>
                <w:rFonts w:ascii="Calibri" w:eastAsia="Times New Roman" w:hAnsi="Calibri" w:cs="Calibri"/>
                <w:color w:val="000000"/>
                <w:sz w:val="18"/>
                <w:szCs w:val="18"/>
                <w:lang w:eastAsia="tr-TR"/>
              </w:rPr>
              <w:t>16.809.336,21</w:t>
            </w:r>
          </w:p>
        </w:tc>
        <w:tc>
          <w:tcPr>
            <w:tcW w:w="592" w:type="pct"/>
            <w:tcBorders>
              <w:top w:val="nil"/>
              <w:left w:val="nil"/>
              <w:bottom w:val="single" w:sz="8" w:space="0" w:color="D9D9D9"/>
              <w:right w:val="single" w:sz="8" w:space="0" w:color="D9D9D9"/>
            </w:tcBorders>
            <w:shd w:val="clear" w:color="auto" w:fill="auto"/>
          </w:tcPr>
          <w:p w14:paraId="7E5BAC6A" w14:textId="77777777" w:rsidR="00D16262" w:rsidRPr="00072A80" w:rsidRDefault="00D16262" w:rsidP="00D16262">
            <w:pPr>
              <w:spacing w:after="0" w:line="240" w:lineRule="auto"/>
              <w:jc w:val="right"/>
              <w:rPr>
                <w:rFonts w:ascii="Calibri" w:eastAsia="Times New Roman" w:hAnsi="Calibri" w:cs="Calibri"/>
                <w:color w:val="000000"/>
                <w:sz w:val="18"/>
                <w:szCs w:val="18"/>
                <w:lang w:eastAsia="tr-TR"/>
              </w:rPr>
            </w:pPr>
            <w:r w:rsidRPr="00072A80">
              <w:rPr>
                <w:rFonts w:ascii="Calibri" w:eastAsia="Times New Roman" w:hAnsi="Calibri" w:cs="Calibri"/>
                <w:color w:val="000000"/>
                <w:sz w:val="18"/>
                <w:szCs w:val="18"/>
                <w:lang w:eastAsia="tr-TR"/>
              </w:rPr>
              <w:t>16.909,56</w:t>
            </w:r>
          </w:p>
        </w:tc>
        <w:tc>
          <w:tcPr>
            <w:tcW w:w="718" w:type="pct"/>
            <w:tcBorders>
              <w:top w:val="nil"/>
              <w:left w:val="nil"/>
              <w:bottom w:val="single" w:sz="8" w:space="0" w:color="D9D9D9"/>
              <w:right w:val="single" w:sz="8" w:space="0" w:color="D9D9D9"/>
            </w:tcBorders>
            <w:shd w:val="clear" w:color="auto" w:fill="auto"/>
          </w:tcPr>
          <w:p w14:paraId="1DF2696D" w14:textId="77777777" w:rsidR="00D16262" w:rsidRPr="00072A80" w:rsidRDefault="00D16262" w:rsidP="00D16262">
            <w:pPr>
              <w:spacing w:after="0" w:line="240" w:lineRule="auto"/>
              <w:jc w:val="right"/>
              <w:rPr>
                <w:rFonts w:ascii="Calibri" w:eastAsia="Times New Roman" w:hAnsi="Calibri" w:cs="Calibri"/>
                <w:color w:val="000000"/>
                <w:sz w:val="18"/>
                <w:szCs w:val="18"/>
                <w:lang w:eastAsia="tr-TR"/>
              </w:rPr>
            </w:pPr>
            <w:r w:rsidRPr="00072A80">
              <w:rPr>
                <w:rFonts w:ascii="Calibri" w:eastAsia="Times New Roman" w:hAnsi="Calibri" w:cs="Calibri"/>
                <w:color w:val="000000"/>
                <w:sz w:val="18"/>
                <w:szCs w:val="18"/>
                <w:lang w:eastAsia="tr-TR"/>
              </w:rPr>
              <w:t>23.333.048,27</w:t>
            </w:r>
          </w:p>
        </w:tc>
      </w:tr>
      <w:tr w:rsidR="00D16262" w:rsidRPr="002048A7" w14:paraId="4E88903C" w14:textId="77777777" w:rsidTr="00D16262">
        <w:trPr>
          <w:trHeight w:val="20"/>
        </w:trPr>
        <w:tc>
          <w:tcPr>
            <w:tcW w:w="675" w:type="pct"/>
            <w:vMerge/>
            <w:tcBorders>
              <w:left w:val="single" w:sz="8" w:space="0" w:color="D9D9D9"/>
              <w:right w:val="single" w:sz="8" w:space="0" w:color="D9D9D9"/>
            </w:tcBorders>
            <w:vAlign w:val="center"/>
          </w:tcPr>
          <w:p w14:paraId="1A322DE2" w14:textId="77777777" w:rsidR="00D16262" w:rsidRPr="002048A7" w:rsidRDefault="00D16262" w:rsidP="00D16262">
            <w:pPr>
              <w:spacing w:after="0" w:line="240" w:lineRule="auto"/>
              <w:jc w:val="center"/>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tcPr>
          <w:p w14:paraId="1216E616" w14:textId="77777777" w:rsidR="00D16262" w:rsidRPr="00072A80" w:rsidRDefault="00D16262" w:rsidP="00D16262">
            <w:pPr>
              <w:spacing w:after="0" w:line="240" w:lineRule="auto"/>
              <w:rPr>
                <w:rFonts w:ascii="Calibri" w:eastAsia="Times New Roman" w:hAnsi="Calibri" w:cs="Calibri"/>
                <w:color w:val="000000"/>
                <w:sz w:val="20"/>
                <w:szCs w:val="20"/>
                <w:lang w:eastAsia="tr-TR"/>
              </w:rPr>
            </w:pPr>
            <w:r w:rsidRPr="00072A80">
              <w:rPr>
                <w:rFonts w:ascii="Calibri" w:eastAsia="Times New Roman" w:hAnsi="Calibri" w:cs="Calibri"/>
                <w:color w:val="000000"/>
                <w:sz w:val="20"/>
                <w:szCs w:val="20"/>
                <w:lang w:eastAsia="tr-TR"/>
              </w:rPr>
              <w:t>Dağıtıcı</w:t>
            </w:r>
          </w:p>
        </w:tc>
        <w:tc>
          <w:tcPr>
            <w:tcW w:w="577" w:type="pct"/>
            <w:tcBorders>
              <w:top w:val="nil"/>
              <w:left w:val="nil"/>
              <w:bottom w:val="single" w:sz="8" w:space="0" w:color="D9D9D9"/>
              <w:right w:val="single" w:sz="8" w:space="0" w:color="D9D9D9"/>
            </w:tcBorders>
            <w:shd w:val="clear" w:color="auto" w:fill="auto"/>
          </w:tcPr>
          <w:p w14:paraId="13858933" w14:textId="77777777" w:rsidR="00D16262" w:rsidRPr="00072A80" w:rsidRDefault="00D16262" w:rsidP="00D16262">
            <w:pPr>
              <w:spacing w:after="0" w:line="240" w:lineRule="auto"/>
              <w:jc w:val="right"/>
              <w:rPr>
                <w:rFonts w:ascii="Calibri" w:eastAsia="Times New Roman" w:hAnsi="Calibri" w:cs="Calibri"/>
                <w:color w:val="000000"/>
                <w:sz w:val="18"/>
                <w:szCs w:val="18"/>
                <w:lang w:eastAsia="tr-TR"/>
              </w:rPr>
            </w:pPr>
            <w:r w:rsidRPr="00072A80">
              <w:rPr>
                <w:rFonts w:ascii="Calibri" w:eastAsia="Times New Roman" w:hAnsi="Calibri" w:cs="Calibri"/>
                <w:color w:val="000000"/>
                <w:sz w:val="18"/>
                <w:szCs w:val="18"/>
                <w:lang w:eastAsia="tr-TR"/>
              </w:rPr>
              <w:t>131.057,54</w:t>
            </w:r>
          </w:p>
        </w:tc>
        <w:tc>
          <w:tcPr>
            <w:tcW w:w="577" w:type="pct"/>
            <w:tcBorders>
              <w:top w:val="nil"/>
              <w:left w:val="nil"/>
              <w:bottom w:val="single" w:sz="8" w:space="0" w:color="D9D9D9"/>
              <w:right w:val="single" w:sz="8" w:space="0" w:color="D9D9D9"/>
            </w:tcBorders>
            <w:shd w:val="clear" w:color="auto" w:fill="auto"/>
          </w:tcPr>
          <w:p w14:paraId="04ED2DA4" w14:textId="77777777" w:rsidR="00D16262" w:rsidRPr="00072A80" w:rsidRDefault="00D16262" w:rsidP="00D16262">
            <w:pPr>
              <w:spacing w:after="0" w:line="240" w:lineRule="auto"/>
              <w:jc w:val="right"/>
              <w:rPr>
                <w:rFonts w:ascii="Calibri" w:eastAsia="Times New Roman" w:hAnsi="Calibri" w:cs="Calibri"/>
                <w:color w:val="000000"/>
                <w:sz w:val="18"/>
                <w:szCs w:val="18"/>
                <w:lang w:eastAsia="tr-TR"/>
              </w:rPr>
            </w:pPr>
            <w:r w:rsidRPr="00072A80">
              <w:rPr>
                <w:rFonts w:ascii="Calibri" w:eastAsia="Times New Roman" w:hAnsi="Calibri" w:cs="Calibri"/>
                <w:color w:val="000000"/>
                <w:sz w:val="18"/>
                <w:szCs w:val="18"/>
                <w:lang w:eastAsia="tr-TR"/>
              </w:rPr>
              <w:t>118.232,14</w:t>
            </w:r>
          </w:p>
        </w:tc>
        <w:tc>
          <w:tcPr>
            <w:tcW w:w="661" w:type="pct"/>
            <w:tcBorders>
              <w:top w:val="nil"/>
              <w:left w:val="nil"/>
              <w:bottom w:val="single" w:sz="8" w:space="0" w:color="D9D9D9"/>
              <w:right w:val="single" w:sz="8" w:space="0" w:color="D9D9D9"/>
            </w:tcBorders>
            <w:shd w:val="clear" w:color="auto" w:fill="auto"/>
          </w:tcPr>
          <w:p w14:paraId="19FCA454" w14:textId="77777777" w:rsidR="00D16262" w:rsidRPr="00072A80" w:rsidRDefault="00D16262" w:rsidP="00D16262">
            <w:pPr>
              <w:spacing w:after="0" w:line="240" w:lineRule="auto"/>
              <w:jc w:val="right"/>
              <w:rPr>
                <w:rFonts w:ascii="Calibri" w:eastAsia="Times New Roman" w:hAnsi="Calibri" w:cs="Calibri"/>
                <w:color w:val="000000"/>
                <w:sz w:val="18"/>
                <w:szCs w:val="18"/>
                <w:lang w:eastAsia="tr-TR"/>
              </w:rPr>
            </w:pPr>
            <w:r w:rsidRPr="00072A80">
              <w:rPr>
                <w:rFonts w:ascii="Calibri" w:eastAsia="Times New Roman" w:hAnsi="Calibri" w:cs="Calibri"/>
                <w:color w:val="000000"/>
                <w:sz w:val="18"/>
                <w:szCs w:val="18"/>
                <w:lang w:eastAsia="tr-TR"/>
              </w:rPr>
              <w:t>0,00</w:t>
            </w:r>
          </w:p>
        </w:tc>
        <w:tc>
          <w:tcPr>
            <w:tcW w:w="718" w:type="pct"/>
            <w:tcBorders>
              <w:top w:val="nil"/>
              <w:left w:val="nil"/>
              <w:bottom w:val="single" w:sz="8" w:space="0" w:color="D9D9D9"/>
              <w:right w:val="single" w:sz="8" w:space="0" w:color="D9D9D9"/>
            </w:tcBorders>
            <w:shd w:val="clear" w:color="auto" w:fill="auto"/>
          </w:tcPr>
          <w:p w14:paraId="0C38E364" w14:textId="77777777" w:rsidR="00D16262" w:rsidRPr="00072A80" w:rsidRDefault="00D16262" w:rsidP="00D16262">
            <w:pPr>
              <w:spacing w:after="0" w:line="240" w:lineRule="auto"/>
              <w:jc w:val="right"/>
              <w:rPr>
                <w:rFonts w:ascii="Calibri" w:eastAsia="Times New Roman" w:hAnsi="Calibri" w:cs="Calibri"/>
                <w:color w:val="000000"/>
                <w:sz w:val="18"/>
                <w:szCs w:val="18"/>
                <w:lang w:eastAsia="tr-TR"/>
              </w:rPr>
            </w:pPr>
            <w:r w:rsidRPr="00072A80">
              <w:rPr>
                <w:rFonts w:ascii="Calibri" w:eastAsia="Times New Roman" w:hAnsi="Calibri" w:cs="Calibri"/>
                <w:color w:val="000000"/>
                <w:sz w:val="18"/>
                <w:szCs w:val="18"/>
                <w:lang w:eastAsia="tr-TR"/>
              </w:rPr>
              <w:t>14.583.944,97</w:t>
            </w:r>
          </w:p>
        </w:tc>
        <w:tc>
          <w:tcPr>
            <w:tcW w:w="592" w:type="pct"/>
            <w:tcBorders>
              <w:top w:val="nil"/>
              <w:left w:val="nil"/>
              <w:bottom w:val="single" w:sz="8" w:space="0" w:color="D9D9D9"/>
              <w:right w:val="single" w:sz="8" w:space="0" w:color="D9D9D9"/>
            </w:tcBorders>
            <w:shd w:val="clear" w:color="auto" w:fill="auto"/>
          </w:tcPr>
          <w:p w14:paraId="7D7821A1" w14:textId="77777777" w:rsidR="00D16262" w:rsidRPr="00072A80" w:rsidRDefault="00D16262" w:rsidP="00D16262">
            <w:pPr>
              <w:spacing w:after="0" w:line="240" w:lineRule="auto"/>
              <w:jc w:val="right"/>
              <w:rPr>
                <w:rFonts w:ascii="Calibri" w:eastAsia="Times New Roman" w:hAnsi="Calibri" w:cs="Calibri"/>
                <w:color w:val="000000"/>
                <w:sz w:val="18"/>
                <w:szCs w:val="18"/>
                <w:lang w:eastAsia="tr-TR"/>
              </w:rPr>
            </w:pPr>
            <w:r w:rsidRPr="00072A80">
              <w:rPr>
                <w:rFonts w:ascii="Calibri" w:eastAsia="Times New Roman" w:hAnsi="Calibri" w:cs="Calibri"/>
                <w:color w:val="000000"/>
                <w:sz w:val="18"/>
                <w:szCs w:val="18"/>
                <w:lang w:eastAsia="tr-TR"/>
              </w:rPr>
              <w:t>195.088,95</w:t>
            </w:r>
          </w:p>
        </w:tc>
        <w:tc>
          <w:tcPr>
            <w:tcW w:w="718" w:type="pct"/>
            <w:tcBorders>
              <w:top w:val="nil"/>
              <w:left w:val="nil"/>
              <w:bottom w:val="single" w:sz="8" w:space="0" w:color="D9D9D9"/>
              <w:right w:val="single" w:sz="8" w:space="0" w:color="D9D9D9"/>
            </w:tcBorders>
            <w:shd w:val="clear" w:color="auto" w:fill="auto"/>
          </w:tcPr>
          <w:p w14:paraId="04AF276F" w14:textId="77777777" w:rsidR="00D16262" w:rsidRPr="00072A80" w:rsidRDefault="00D16262" w:rsidP="00D16262">
            <w:pPr>
              <w:spacing w:after="0" w:line="240" w:lineRule="auto"/>
              <w:jc w:val="right"/>
              <w:rPr>
                <w:rFonts w:ascii="Calibri" w:eastAsia="Times New Roman" w:hAnsi="Calibri" w:cs="Calibri"/>
                <w:color w:val="000000"/>
                <w:sz w:val="18"/>
                <w:szCs w:val="18"/>
                <w:lang w:eastAsia="tr-TR"/>
              </w:rPr>
            </w:pPr>
            <w:r w:rsidRPr="00072A80">
              <w:rPr>
                <w:rFonts w:ascii="Calibri" w:eastAsia="Times New Roman" w:hAnsi="Calibri" w:cs="Calibri"/>
                <w:color w:val="000000"/>
                <w:sz w:val="18"/>
                <w:szCs w:val="18"/>
                <w:lang w:eastAsia="tr-TR"/>
              </w:rPr>
              <w:t>14.779.033,92</w:t>
            </w:r>
          </w:p>
        </w:tc>
      </w:tr>
      <w:tr w:rsidR="00D16262" w:rsidRPr="002048A7" w14:paraId="3C4D523A" w14:textId="77777777" w:rsidTr="00D16262">
        <w:trPr>
          <w:trHeight w:val="20"/>
        </w:trPr>
        <w:tc>
          <w:tcPr>
            <w:tcW w:w="675" w:type="pct"/>
            <w:vMerge/>
            <w:tcBorders>
              <w:left w:val="single" w:sz="8" w:space="0" w:color="D9D9D9"/>
              <w:bottom w:val="single" w:sz="8" w:space="0" w:color="D9D9D9"/>
              <w:right w:val="single" w:sz="8" w:space="0" w:color="D9D9D9"/>
            </w:tcBorders>
            <w:vAlign w:val="center"/>
          </w:tcPr>
          <w:p w14:paraId="68122F80" w14:textId="77777777" w:rsidR="00D16262" w:rsidRPr="002048A7" w:rsidRDefault="00D16262" w:rsidP="00D16262">
            <w:pPr>
              <w:spacing w:after="0" w:line="240" w:lineRule="auto"/>
              <w:jc w:val="center"/>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tcPr>
          <w:p w14:paraId="1CB53C4F" w14:textId="77777777" w:rsidR="00D16262" w:rsidRPr="00072A80" w:rsidRDefault="00D16262" w:rsidP="00072A80">
            <w:pPr>
              <w:spacing w:after="0" w:line="240" w:lineRule="auto"/>
              <w:rPr>
                <w:rFonts w:ascii="Calibri" w:eastAsia="Times New Roman" w:hAnsi="Calibri"/>
                <w:b/>
                <w:color w:val="000000"/>
                <w:sz w:val="20"/>
                <w:szCs w:val="20"/>
                <w:lang w:eastAsia="tr-TR"/>
              </w:rPr>
            </w:pPr>
            <w:r w:rsidRPr="00072A80">
              <w:rPr>
                <w:rFonts w:ascii="Calibri" w:eastAsia="Times New Roman" w:hAnsi="Calibri"/>
                <w:b/>
                <w:color w:val="000000"/>
                <w:sz w:val="20"/>
                <w:szCs w:val="20"/>
                <w:lang w:eastAsia="tr-TR"/>
              </w:rPr>
              <w:t>Toplam</w:t>
            </w:r>
          </w:p>
        </w:tc>
        <w:tc>
          <w:tcPr>
            <w:tcW w:w="577" w:type="pct"/>
            <w:tcBorders>
              <w:top w:val="nil"/>
              <w:left w:val="nil"/>
              <w:bottom w:val="single" w:sz="8" w:space="0" w:color="D9D9D9"/>
              <w:right w:val="single" w:sz="8" w:space="0" w:color="D9D9D9"/>
            </w:tcBorders>
            <w:shd w:val="clear" w:color="auto" w:fill="auto"/>
          </w:tcPr>
          <w:p w14:paraId="6FD7715F" w14:textId="77777777" w:rsidR="00D16262" w:rsidRPr="002048A7" w:rsidRDefault="00D16262" w:rsidP="00072A80">
            <w:pPr>
              <w:spacing w:after="0" w:line="240" w:lineRule="auto"/>
              <w:jc w:val="right"/>
              <w:rPr>
                <w:rFonts w:ascii="Calibri" w:eastAsia="Times New Roman" w:hAnsi="Calibri" w:cs="Calibri"/>
                <w:b/>
                <w:bCs/>
                <w:color w:val="000000"/>
                <w:sz w:val="18"/>
                <w:szCs w:val="18"/>
                <w:lang w:eastAsia="tr-TR"/>
              </w:rPr>
            </w:pPr>
            <w:r w:rsidRPr="00072A80">
              <w:rPr>
                <w:rFonts w:ascii="Calibri" w:eastAsia="Times New Roman" w:hAnsi="Calibri" w:cs="Calibri"/>
                <w:b/>
                <w:bCs/>
                <w:color w:val="000000"/>
                <w:sz w:val="18"/>
                <w:szCs w:val="18"/>
                <w:lang w:eastAsia="tr-TR"/>
              </w:rPr>
              <w:t>327.527,68</w:t>
            </w:r>
          </w:p>
        </w:tc>
        <w:tc>
          <w:tcPr>
            <w:tcW w:w="577" w:type="pct"/>
            <w:tcBorders>
              <w:top w:val="nil"/>
              <w:left w:val="nil"/>
              <w:bottom w:val="single" w:sz="8" w:space="0" w:color="D9D9D9"/>
              <w:right w:val="single" w:sz="8" w:space="0" w:color="D9D9D9"/>
            </w:tcBorders>
            <w:shd w:val="clear" w:color="auto" w:fill="auto"/>
          </w:tcPr>
          <w:p w14:paraId="37253F13" w14:textId="77777777" w:rsidR="00D16262" w:rsidRPr="002048A7" w:rsidRDefault="00D16262" w:rsidP="00072A80">
            <w:pPr>
              <w:spacing w:after="0" w:line="240" w:lineRule="auto"/>
              <w:jc w:val="right"/>
              <w:rPr>
                <w:rFonts w:ascii="Calibri" w:eastAsia="Times New Roman" w:hAnsi="Calibri" w:cs="Calibri"/>
                <w:b/>
                <w:bCs/>
                <w:color w:val="000000"/>
                <w:sz w:val="18"/>
                <w:szCs w:val="18"/>
                <w:lang w:eastAsia="tr-TR"/>
              </w:rPr>
            </w:pPr>
            <w:r w:rsidRPr="00072A80">
              <w:rPr>
                <w:rFonts w:ascii="Calibri" w:eastAsia="Times New Roman" w:hAnsi="Calibri" w:cs="Calibri"/>
                <w:b/>
                <w:bCs/>
                <w:color w:val="000000"/>
                <w:sz w:val="18"/>
                <w:szCs w:val="18"/>
                <w:lang w:eastAsia="tr-TR"/>
              </w:rPr>
              <w:t>304.896,34</w:t>
            </w:r>
          </w:p>
        </w:tc>
        <w:tc>
          <w:tcPr>
            <w:tcW w:w="661" w:type="pct"/>
            <w:tcBorders>
              <w:top w:val="nil"/>
              <w:left w:val="nil"/>
              <w:bottom w:val="single" w:sz="8" w:space="0" w:color="D9D9D9"/>
              <w:right w:val="single" w:sz="8" w:space="0" w:color="D9D9D9"/>
            </w:tcBorders>
            <w:shd w:val="clear" w:color="auto" w:fill="auto"/>
          </w:tcPr>
          <w:p w14:paraId="2AF19598" w14:textId="77777777" w:rsidR="00D16262" w:rsidRPr="002048A7" w:rsidRDefault="00D16262" w:rsidP="00072A80">
            <w:pPr>
              <w:spacing w:after="0" w:line="240" w:lineRule="auto"/>
              <w:jc w:val="right"/>
              <w:rPr>
                <w:rFonts w:ascii="Calibri" w:eastAsia="Times New Roman" w:hAnsi="Calibri" w:cs="Calibri"/>
                <w:b/>
                <w:bCs/>
                <w:color w:val="000000"/>
                <w:sz w:val="18"/>
                <w:szCs w:val="18"/>
                <w:lang w:eastAsia="tr-TR"/>
              </w:rPr>
            </w:pPr>
            <w:r w:rsidRPr="00072A80">
              <w:rPr>
                <w:rFonts w:ascii="Calibri" w:eastAsia="Times New Roman" w:hAnsi="Calibri" w:cs="Calibri"/>
                <w:b/>
                <w:bCs/>
                <w:color w:val="000000"/>
                <w:sz w:val="18"/>
                <w:szCs w:val="18"/>
                <w:lang w:eastAsia="tr-TR"/>
              </w:rPr>
              <w:t>6.506.802,49</w:t>
            </w:r>
          </w:p>
        </w:tc>
        <w:tc>
          <w:tcPr>
            <w:tcW w:w="718" w:type="pct"/>
            <w:tcBorders>
              <w:top w:val="nil"/>
              <w:left w:val="nil"/>
              <w:bottom w:val="single" w:sz="8" w:space="0" w:color="D9D9D9"/>
              <w:right w:val="single" w:sz="8" w:space="0" w:color="D9D9D9"/>
            </w:tcBorders>
            <w:shd w:val="clear" w:color="auto" w:fill="auto"/>
          </w:tcPr>
          <w:p w14:paraId="1104ABF5" w14:textId="77777777" w:rsidR="00D16262" w:rsidRPr="002048A7" w:rsidRDefault="00D16262" w:rsidP="00072A80">
            <w:pPr>
              <w:spacing w:after="0" w:line="240" w:lineRule="auto"/>
              <w:jc w:val="right"/>
              <w:rPr>
                <w:rFonts w:ascii="Calibri" w:eastAsia="Times New Roman" w:hAnsi="Calibri" w:cs="Calibri"/>
                <w:b/>
                <w:bCs/>
                <w:color w:val="000000"/>
                <w:sz w:val="18"/>
                <w:szCs w:val="18"/>
                <w:lang w:eastAsia="tr-TR"/>
              </w:rPr>
            </w:pPr>
            <w:r w:rsidRPr="00072A80">
              <w:rPr>
                <w:rFonts w:ascii="Calibri" w:eastAsia="Times New Roman" w:hAnsi="Calibri" w:cs="Calibri"/>
                <w:b/>
                <w:bCs/>
                <w:color w:val="000000"/>
                <w:sz w:val="18"/>
                <w:szCs w:val="18"/>
                <w:lang w:eastAsia="tr-TR"/>
              </w:rPr>
              <w:t>31.393.281,18</w:t>
            </w:r>
          </w:p>
        </w:tc>
        <w:tc>
          <w:tcPr>
            <w:tcW w:w="592" w:type="pct"/>
            <w:tcBorders>
              <w:top w:val="nil"/>
              <w:left w:val="nil"/>
              <w:bottom w:val="single" w:sz="8" w:space="0" w:color="D9D9D9"/>
              <w:right w:val="single" w:sz="8" w:space="0" w:color="D9D9D9"/>
            </w:tcBorders>
            <w:shd w:val="clear" w:color="auto" w:fill="auto"/>
          </w:tcPr>
          <w:p w14:paraId="7B459145" w14:textId="77777777" w:rsidR="00D16262" w:rsidRPr="002048A7" w:rsidRDefault="00D16262" w:rsidP="00072A80">
            <w:pPr>
              <w:spacing w:after="0" w:line="240" w:lineRule="auto"/>
              <w:jc w:val="right"/>
              <w:rPr>
                <w:rFonts w:ascii="Calibri" w:eastAsia="Times New Roman" w:hAnsi="Calibri" w:cs="Calibri"/>
                <w:b/>
                <w:bCs/>
                <w:color w:val="000000"/>
                <w:sz w:val="18"/>
                <w:szCs w:val="18"/>
                <w:lang w:eastAsia="tr-TR"/>
              </w:rPr>
            </w:pPr>
            <w:r w:rsidRPr="00072A80">
              <w:rPr>
                <w:rFonts w:ascii="Calibri" w:eastAsia="Times New Roman" w:hAnsi="Calibri" w:cs="Calibri"/>
                <w:b/>
                <w:bCs/>
                <w:color w:val="000000"/>
                <w:sz w:val="18"/>
                <w:szCs w:val="18"/>
                <w:lang w:eastAsia="tr-TR"/>
              </w:rPr>
              <w:t>211.998,52</w:t>
            </w:r>
          </w:p>
        </w:tc>
        <w:tc>
          <w:tcPr>
            <w:tcW w:w="718" w:type="pct"/>
            <w:tcBorders>
              <w:top w:val="nil"/>
              <w:left w:val="nil"/>
              <w:bottom w:val="single" w:sz="8" w:space="0" w:color="D9D9D9"/>
              <w:right w:val="single" w:sz="8" w:space="0" w:color="D9D9D9"/>
            </w:tcBorders>
            <w:shd w:val="clear" w:color="auto" w:fill="auto"/>
          </w:tcPr>
          <w:p w14:paraId="36E2F7E8" w14:textId="77777777" w:rsidR="00D16262" w:rsidRPr="002048A7" w:rsidRDefault="00D16262" w:rsidP="00072A80">
            <w:pPr>
              <w:spacing w:after="0" w:line="240" w:lineRule="auto"/>
              <w:jc w:val="right"/>
              <w:rPr>
                <w:rFonts w:ascii="Calibri" w:eastAsia="Times New Roman" w:hAnsi="Calibri" w:cs="Calibri"/>
                <w:b/>
                <w:bCs/>
                <w:color w:val="000000"/>
                <w:sz w:val="18"/>
                <w:szCs w:val="18"/>
                <w:lang w:eastAsia="tr-TR"/>
              </w:rPr>
            </w:pPr>
            <w:r w:rsidRPr="00072A80">
              <w:rPr>
                <w:rFonts w:ascii="Calibri" w:eastAsia="Times New Roman" w:hAnsi="Calibri" w:cs="Calibri"/>
                <w:b/>
                <w:bCs/>
                <w:color w:val="000000"/>
                <w:sz w:val="18"/>
                <w:szCs w:val="18"/>
                <w:lang w:eastAsia="tr-TR"/>
              </w:rPr>
              <w:t>38.112.082,19</w:t>
            </w:r>
          </w:p>
        </w:tc>
      </w:tr>
      <w:tr w:rsidR="00D16262" w:rsidRPr="002048A7" w14:paraId="61ACA66D" w14:textId="77777777" w:rsidTr="00D16262">
        <w:trPr>
          <w:trHeight w:val="20"/>
        </w:trPr>
        <w:tc>
          <w:tcPr>
            <w:tcW w:w="1156" w:type="pct"/>
            <w:gridSpan w:val="2"/>
            <w:tcBorders>
              <w:top w:val="single" w:sz="8" w:space="0" w:color="D9D9D9"/>
              <w:left w:val="single" w:sz="8" w:space="0" w:color="D9D9D9"/>
              <w:bottom w:val="single" w:sz="8" w:space="0" w:color="D9D9D9"/>
              <w:right w:val="single" w:sz="8" w:space="0" w:color="D9D9D9"/>
            </w:tcBorders>
            <w:shd w:val="clear" w:color="auto" w:fill="auto"/>
            <w:vAlign w:val="center"/>
            <w:hideMark/>
          </w:tcPr>
          <w:p w14:paraId="7D5857D4" w14:textId="77777777" w:rsidR="00D16262" w:rsidRPr="002048A7" w:rsidRDefault="00D16262" w:rsidP="00D16262">
            <w:pPr>
              <w:spacing w:after="0" w:line="240" w:lineRule="auto"/>
              <w:jc w:val="center"/>
              <w:rPr>
                <w:rFonts w:ascii="Calibri" w:eastAsia="Times New Roman" w:hAnsi="Calibri"/>
                <w:b/>
                <w:bCs/>
                <w:color w:val="000000"/>
                <w:lang w:eastAsia="tr-TR"/>
              </w:rPr>
            </w:pPr>
            <w:r w:rsidRPr="002048A7">
              <w:rPr>
                <w:rFonts w:ascii="Calibri" w:eastAsia="Times New Roman" w:hAnsi="Calibri"/>
                <w:b/>
                <w:bCs/>
                <w:color w:val="000000"/>
                <w:lang w:eastAsia="tr-TR"/>
              </w:rPr>
              <w:t>Genel Toplam</w:t>
            </w:r>
          </w:p>
        </w:tc>
        <w:tc>
          <w:tcPr>
            <w:tcW w:w="577" w:type="pct"/>
            <w:tcBorders>
              <w:top w:val="nil"/>
              <w:left w:val="nil"/>
              <w:bottom w:val="single" w:sz="4" w:space="0" w:color="D9D9D9" w:themeColor="background1" w:themeShade="D9"/>
              <w:right w:val="single" w:sz="4" w:space="0" w:color="D9D9D9" w:themeColor="background1" w:themeShade="D9"/>
            </w:tcBorders>
            <w:shd w:val="clear" w:color="auto" w:fill="auto"/>
            <w:vAlign w:val="center"/>
          </w:tcPr>
          <w:p w14:paraId="412E5B46" w14:textId="77777777" w:rsidR="00D16262" w:rsidRPr="002048A7" w:rsidRDefault="00D16262" w:rsidP="00D16262">
            <w:pPr>
              <w:spacing w:after="0" w:line="240" w:lineRule="auto"/>
              <w:jc w:val="right"/>
              <w:rPr>
                <w:rFonts w:ascii="Calibri" w:eastAsia="Times New Roman" w:hAnsi="Calibri" w:cs="Calibri"/>
                <w:b/>
                <w:bCs/>
                <w:color w:val="000000"/>
                <w:sz w:val="18"/>
                <w:szCs w:val="18"/>
                <w:lang w:eastAsia="tr-TR"/>
              </w:rPr>
            </w:pPr>
            <w:r w:rsidRPr="00077D43">
              <w:rPr>
                <w:rFonts w:ascii="Calibri" w:eastAsia="Times New Roman" w:hAnsi="Calibri" w:cs="Calibri"/>
                <w:b/>
                <w:bCs/>
                <w:color w:val="000000"/>
                <w:sz w:val="18"/>
                <w:szCs w:val="18"/>
                <w:lang w:eastAsia="tr-TR"/>
              </w:rPr>
              <w:t>3.952.916,49</w:t>
            </w:r>
          </w:p>
        </w:tc>
        <w:tc>
          <w:tcPr>
            <w:tcW w:w="577" w:type="pct"/>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vAlign w:val="center"/>
          </w:tcPr>
          <w:p w14:paraId="2A705EA1" w14:textId="77777777" w:rsidR="00D16262" w:rsidRPr="002048A7" w:rsidRDefault="00D16262" w:rsidP="00D16262">
            <w:pPr>
              <w:spacing w:after="0" w:line="240" w:lineRule="auto"/>
              <w:jc w:val="right"/>
              <w:rPr>
                <w:rFonts w:ascii="Calibri" w:eastAsia="Times New Roman" w:hAnsi="Calibri" w:cs="Calibri"/>
                <w:b/>
                <w:bCs/>
                <w:color w:val="000000"/>
                <w:sz w:val="18"/>
                <w:szCs w:val="18"/>
                <w:lang w:eastAsia="tr-TR"/>
              </w:rPr>
            </w:pPr>
            <w:r w:rsidRPr="00077D43">
              <w:rPr>
                <w:rFonts w:ascii="Calibri" w:eastAsia="Times New Roman" w:hAnsi="Calibri" w:cs="Calibri"/>
                <w:b/>
                <w:bCs/>
                <w:color w:val="000000"/>
                <w:sz w:val="18"/>
                <w:szCs w:val="18"/>
                <w:lang w:eastAsia="tr-TR"/>
              </w:rPr>
              <w:t>3.913.946,54</w:t>
            </w:r>
          </w:p>
        </w:tc>
        <w:tc>
          <w:tcPr>
            <w:tcW w:w="661" w:type="pct"/>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vAlign w:val="center"/>
          </w:tcPr>
          <w:p w14:paraId="33EB03EE" w14:textId="77777777" w:rsidR="00D16262" w:rsidRPr="002048A7" w:rsidRDefault="00D16262" w:rsidP="00D16262">
            <w:pPr>
              <w:spacing w:after="0" w:line="240" w:lineRule="auto"/>
              <w:jc w:val="right"/>
              <w:rPr>
                <w:rFonts w:ascii="Calibri" w:eastAsia="Times New Roman" w:hAnsi="Calibri" w:cs="Calibri"/>
                <w:b/>
                <w:bCs/>
                <w:color w:val="000000"/>
                <w:sz w:val="18"/>
                <w:szCs w:val="18"/>
                <w:lang w:eastAsia="tr-TR"/>
              </w:rPr>
            </w:pPr>
            <w:r w:rsidRPr="00077D43">
              <w:rPr>
                <w:rFonts w:ascii="Calibri" w:eastAsia="Times New Roman" w:hAnsi="Calibri" w:cs="Calibri"/>
                <w:b/>
                <w:bCs/>
                <w:color w:val="000000"/>
                <w:sz w:val="18"/>
                <w:szCs w:val="18"/>
                <w:lang w:eastAsia="tr-TR"/>
              </w:rPr>
              <w:t>60.259.695,13</w:t>
            </w:r>
          </w:p>
        </w:tc>
        <w:tc>
          <w:tcPr>
            <w:tcW w:w="718" w:type="pct"/>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vAlign w:val="center"/>
          </w:tcPr>
          <w:p w14:paraId="5A029933" w14:textId="77777777" w:rsidR="00D16262" w:rsidRPr="002048A7" w:rsidRDefault="00D16262" w:rsidP="00D16262">
            <w:pPr>
              <w:spacing w:after="0" w:line="240" w:lineRule="auto"/>
              <w:jc w:val="right"/>
              <w:rPr>
                <w:rFonts w:ascii="Calibri" w:eastAsia="Times New Roman" w:hAnsi="Calibri" w:cs="Calibri"/>
                <w:b/>
                <w:bCs/>
                <w:color w:val="000000"/>
                <w:sz w:val="18"/>
                <w:szCs w:val="18"/>
                <w:lang w:eastAsia="tr-TR"/>
              </w:rPr>
            </w:pPr>
            <w:r w:rsidRPr="00077D43">
              <w:rPr>
                <w:rFonts w:ascii="Calibri" w:eastAsia="Times New Roman" w:hAnsi="Calibri" w:cs="Calibri"/>
                <w:b/>
                <w:bCs/>
                <w:color w:val="000000"/>
                <w:sz w:val="18"/>
                <w:szCs w:val="18"/>
                <w:lang w:eastAsia="tr-TR"/>
              </w:rPr>
              <w:t>426.126.207,72</w:t>
            </w:r>
          </w:p>
        </w:tc>
        <w:tc>
          <w:tcPr>
            <w:tcW w:w="592" w:type="pct"/>
            <w:tcBorders>
              <w:top w:val="nil"/>
              <w:left w:val="single" w:sz="4" w:space="0" w:color="D9D9D9" w:themeColor="background1" w:themeShade="D9"/>
              <w:bottom w:val="single" w:sz="4" w:space="0" w:color="D9D9D9" w:themeColor="background1" w:themeShade="D9"/>
              <w:right w:val="single" w:sz="4" w:space="0" w:color="D9D9D9"/>
            </w:tcBorders>
            <w:shd w:val="clear" w:color="auto" w:fill="auto"/>
            <w:vAlign w:val="center"/>
          </w:tcPr>
          <w:p w14:paraId="30BC2E44" w14:textId="77777777" w:rsidR="00D16262" w:rsidRPr="002048A7" w:rsidRDefault="00D16262" w:rsidP="00D16262">
            <w:pPr>
              <w:spacing w:after="0" w:line="240" w:lineRule="auto"/>
              <w:jc w:val="right"/>
              <w:rPr>
                <w:rFonts w:ascii="Calibri" w:eastAsia="Times New Roman" w:hAnsi="Calibri" w:cs="Calibri"/>
                <w:b/>
                <w:bCs/>
                <w:color w:val="000000"/>
                <w:sz w:val="18"/>
                <w:szCs w:val="18"/>
                <w:lang w:eastAsia="tr-TR"/>
              </w:rPr>
            </w:pPr>
            <w:r w:rsidRPr="00077D43">
              <w:rPr>
                <w:rFonts w:ascii="Calibri" w:eastAsia="Times New Roman" w:hAnsi="Calibri" w:cs="Calibri"/>
                <w:b/>
                <w:bCs/>
                <w:color w:val="000000"/>
                <w:sz w:val="18"/>
                <w:szCs w:val="18"/>
                <w:lang w:eastAsia="tr-TR"/>
              </w:rPr>
              <w:t>2.360.536,28</w:t>
            </w:r>
          </w:p>
        </w:tc>
        <w:tc>
          <w:tcPr>
            <w:tcW w:w="718" w:type="pct"/>
            <w:tcBorders>
              <w:top w:val="nil"/>
              <w:left w:val="single" w:sz="4" w:space="0" w:color="D9D9D9"/>
              <w:bottom w:val="single" w:sz="4" w:space="0" w:color="D9D9D9" w:themeColor="background1" w:themeShade="D9"/>
              <w:right w:val="single" w:sz="4" w:space="0" w:color="D9D9D9" w:themeColor="background1" w:themeShade="D9"/>
            </w:tcBorders>
            <w:shd w:val="clear" w:color="auto" w:fill="auto"/>
            <w:vAlign w:val="center"/>
          </w:tcPr>
          <w:p w14:paraId="3E47C065" w14:textId="77777777" w:rsidR="00D16262" w:rsidRPr="002048A7" w:rsidRDefault="00D16262" w:rsidP="00D16262">
            <w:pPr>
              <w:spacing w:after="0" w:line="240" w:lineRule="auto"/>
              <w:jc w:val="right"/>
              <w:rPr>
                <w:rFonts w:ascii="Calibri" w:eastAsia="Times New Roman" w:hAnsi="Calibri" w:cs="Calibri"/>
                <w:b/>
                <w:bCs/>
                <w:color w:val="000000"/>
                <w:sz w:val="18"/>
                <w:szCs w:val="18"/>
                <w:lang w:eastAsia="tr-TR"/>
              </w:rPr>
            </w:pPr>
            <w:r w:rsidRPr="00077D43">
              <w:rPr>
                <w:rFonts w:ascii="Calibri" w:eastAsia="Times New Roman" w:hAnsi="Calibri" w:cs="Calibri"/>
                <w:b/>
                <w:bCs/>
                <w:color w:val="000000"/>
                <w:sz w:val="18"/>
                <w:szCs w:val="18"/>
                <w:lang w:eastAsia="tr-TR"/>
              </w:rPr>
              <w:t>488.746.439,17</w:t>
            </w:r>
          </w:p>
        </w:tc>
      </w:tr>
    </w:tbl>
    <w:p w14:paraId="3779853B" w14:textId="77777777" w:rsidR="004E03B6" w:rsidRPr="002048A7" w:rsidRDefault="004E03B6" w:rsidP="004E03B6">
      <w:pPr>
        <w:spacing w:after="0"/>
      </w:pPr>
    </w:p>
    <w:p w14:paraId="4BF8F5E9" w14:textId="77777777" w:rsidR="004E03B6" w:rsidRPr="002048A7" w:rsidRDefault="004E03B6" w:rsidP="004E03B6">
      <w:pPr>
        <w:autoSpaceDE w:val="0"/>
        <w:autoSpaceDN w:val="0"/>
        <w:adjustRightInd w:val="0"/>
        <w:spacing w:after="0"/>
        <w:rPr>
          <w:color w:val="000000" w:themeColor="text1"/>
        </w:rPr>
      </w:pPr>
      <w:r w:rsidRPr="002048A7">
        <w:rPr>
          <w:color w:val="000000" w:themeColor="text1"/>
        </w:rPr>
        <w:t>Kurumca belirlenen şart ve seviyede</w:t>
      </w:r>
      <w:r w:rsidR="00FA6184" w:rsidRPr="002048A7">
        <w:rPr>
          <w:color w:val="000000" w:themeColor="text1"/>
        </w:rPr>
        <w:t xml:space="preserve"> UM</w:t>
      </w:r>
      <w:r w:rsidRPr="002048A7">
        <w:rPr>
          <w:color w:val="000000" w:themeColor="text1"/>
        </w:rPr>
        <w:t xml:space="preserve">, ilgili lisans sahipleri tarafından akaryakıta eklenmekte ve ardından piyasaya arz edilmeden önce TÜBİTAK tarafından geliştirilen </w:t>
      </w:r>
      <w:r w:rsidRPr="002048A7">
        <w:rPr>
          <w:i/>
          <w:color w:val="000000" w:themeColor="text1"/>
        </w:rPr>
        <w:t>“basitleştirilmiş kontrol cihazı”</w:t>
      </w:r>
      <w:r w:rsidRPr="002048A7">
        <w:rPr>
          <w:color w:val="000000" w:themeColor="text1"/>
        </w:rPr>
        <w:t xml:space="preserve"> ile kontrol edilmektedir. Piyasaya arz edilen akaryakıtın denetimlerinde yine TÜBİTAK tarafından üretilen </w:t>
      </w:r>
      <w:r w:rsidRPr="002048A7">
        <w:rPr>
          <w:i/>
          <w:color w:val="000000" w:themeColor="text1"/>
        </w:rPr>
        <w:t>“Ulusal Marker Saha Kontrol Cihazı”</w:t>
      </w:r>
      <w:r w:rsidRPr="002048A7">
        <w:rPr>
          <w:color w:val="000000" w:themeColor="text1"/>
        </w:rPr>
        <w:t xml:space="preserve"> kullanılmaktadır. Petrol piyasasında serbest dolaşımda bulunan akaryakıtın denetimleri Kurum ile İçişleri Bakanlığı ve Ticaret Bakanlığı arasında imzalanan </w:t>
      </w:r>
      <w:r w:rsidR="002A7E33" w:rsidRPr="002048A7">
        <w:rPr>
          <w:color w:val="000000" w:themeColor="text1"/>
        </w:rPr>
        <w:t>iş birliği</w:t>
      </w:r>
      <w:r w:rsidRPr="002048A7">
        <w:rPr>
          <w:color w:val="000000" w:themeColor="text1"/>
        </w:rPr>
        <w:t xml:space="preserve"> protokolleri çerçevesinde gerçekleştirilmektedir.</w:t>
      </w:r>
    </w:p>
    <w:p w14:paraId="28FEBE71" w14:textId="77777777" w:rsidR="004E03B6" w:rsidRPr="002048A7" w:rsidRDefault="004E03B6" w:rsidP="004E03B6">
      <w:pPr>
        <w:autoSpaceDE w:val="0"/>
        <w:autoSpaceDN w:val="0"/>
        <w:adjustRightInd w:val="0"/>
        <w:spacing w:after="0"/>
        <w:rPr>
          <w:color w:val="000000" w:themeColor="text1"/>
        </w:rPr>
      </w:pPr>
    </w:p>
    <w:p w14:paraId="4FDCC3E0" w14:textId="77777777" w:rsidR="004E03B6" w:rsidRPr="002048A7" w:rsidRDefault="00FA6184" w:rsidP="004E03B6">
      <w:pPr>
        <w:spacing w:after="0"/>
        <w:rPr>
          <w:color w:val="000000" w:themeColor="text1"/>
        </w:rPr>
      </w:pPr>
      <w:r w:rsidRPr="002048A7">
        <w:rPr>
          <w:color w:val="000000" w:themeColor="text1"/>
        </w:rPr>
        <w:t xml:space="preserve">UM </w:t>
      </w:r>
      <w:r w:rsidR="004E03B6" w:rsidRPr="002048A7">
        <w:rPr>
          <w:color w:val="000000" w:themeColor="text1"/>
        </w:rPr>
        <w:t>uygulaması neticesinde, ülke içerisinde yasal olarak serbest dolaşıma giren akaryakıt ile yasal olmayan akaryakıt ayrıştırılarak, ürün ikmal zincirinin her aşamasında ürün kalite denetimi yapılabilmekte ve kaçak akaryakıtın yurt içinde piyasaya arzı ve standart dışı akaryakıtın diğer akaryakıt ile karıştırılarak piyasaya sunulması engellenmektedir. Böylece piyasaya arz edilen akaryakıtın dolaylı olarak standartlara uygun olması da sağlanabilmektedir.</w:t>
      </w:r>
    </w:p>
    <w:p w14:paraId="63534582" w14:textId="77777777" w:rsidR="005D0429" w:rsidRPr="002048A7" w:rsidRDefault="004E03B6" w:rsidP="00577AAF">
      <w:pPr>
        <w:pStyle w:val="Balk4"/>
        <w:numPr>
          <w:ilvl w:val="3"/>
          <w:numId w:val="11"/>
        </w:numPr>
        <w:spacing w:after="240"/>
        <w:rPr>
          <w:rFonts w:asciiTheme="minorHAnsi" w:hAnsiTheme="minorHAnsi"/>
          <w:i w:val="0"/>
          <w:iCs w:val="0"/>
          <w:color w:val="auto"/>
        </w:rPr>
      </w:pPr>
      <w:bookmarkStart w:id="150" w:name="_Toc195868704"/>
      <w:r w:rsidRPr="002048A7">
        <w:rPr>
          <w:rFonts w:asciiTheme="minorHAnsi" w:hAnsiTheme="minorHAnsi"/>
          <w:i w:val="0"/>
          <w:iCs w:val="0"/>
          <w:color w:val="auto"/>
        </w:rPr>
        <w:lastRenderedPageBreak/>
        <w:t>Akaryakıt Bayileri Otomasyon Sistemi</w:t>
      </w:r>
      <w:bookmarkEnd w:id="150"/>
    </w:p>
    <w:p w14:paraId="0C9E83F7" w14:textId="77777777" w:rsidR="005D0429" w:rsidRPr="002048A7" w:rsidRDefault="00D16262" w:rsidP="005D0429">
      <w:pPr>
        <w:rPr>
          <w:color w:val="000000" w:themeColor="text1"/>
        </w:rPr>
      </w:pPr>
      <w:r w:rsidRPr="002048A7">
        <w:rPr>
          <w:color w:val="000000" w:themeColor="text1"/>
        </w:rPr>
        <w:t xml:space="preserve">Petrol Piyasası Kanununun 7’nci maddesinin </w:t>
      </w:r>
      <w:r>
        <w:rPr>
          <w:color w:val="000000" w:themeColor="text1"/>
        </w:rPr>
        <w:t>altıncı</w:t>
      </w:r>
      <w:r w:rsidRPr="002048A7">
        <w:rPr>
          <w:color w:val="000000" w:themeColor="text1"/>
        </w:rPr>
        <w:t xml:space="preserve"> fıkrasında yer alan </w:t>
      </w:r>
      <w:r w:rsidRPr="002048A7">
        <w:rPr>
          <w:i/>
          <w:color w:val="000000" w:themeColor="text1"/>
        </w:rPr>
        <w:t>“Dağıtıcı lisansı sahipleri, Kurum tarafından belirlenen esaslara uygun olarak bayilerinde kaçak petrol satışının yapılmasını önleyen teknolojik yöntemleri de içeren bir denetim sistemi kurar ve uygular.”</w:t>
      </w:r>
      <w:r w:rsidRPr="002048A7">
        <w:rPr>
          <w:color w:val="000000" w:themeColor="text1"/>
        </w:rPr>
        <w:t xml:space="preserve"> hükmü çerçevesinde Kurumca gerekli çalışmalar yapılmış ve 06.07.2007 tarihli ve 26574 sayılı Resmî Gazetede yayımlanarak yürürlüğe giren 27.06.2007 tarihli ve 1240 sayılı Kurul Kararı alınmıştır. Söz konusu Kurul Kararının 4’üncü maddesinin birinci fıkrasının (</w:t>
      </w:r>
      <w:r>
        <w:rPr>
          <w:color w:val="000000" w:themeColor="text1"/>
        </w:rPr>
        <w:t>a</w:t>
      </w:r>
      <w:r w:rsidRPr="002048A7">
        <w:rPr>
          <w:color w:val="000000" w:themeColor="text1"/>
        </w:rPr>
        <w:t xml:space="preserve">) bendinde bulunan </w:t>
      </w:r>
      <w:r w:rsidRPr="002048A7">
        <w:rPr>
          <w:i/>
          <w:color w:val="000000" w:themeColor="text1"/>
        </w:rPr>
        <w:t>“</w:t>
      </w:r>
      <w:r w:rsidRPr="002F0D0D">
        <w:rPr>
          <w:i/>
          <w:color w:val="000000" w:themeColor="text1"/>
        </w:rPr>
        <w:t>Akaryakıt istasyonlarında akaryakıt hareketlerini elektronik ortamda izlenebilmesine yönelik istasyon otomasyon sistemi kurar. Bayi denetim sistemi ile bayilerindeki akaryakıt hareketlerini izler ve raporlar</w:t>
      </w:r>
      <w:r w:rsidRPr="002048A7">
        <w:rPr>
          <w:i/>
          <w:color w:val="000000" w:themeColor="text1"/>
        </w:rPr>
        <w:t>”</w:t>
      </w:r>
      <w:r w:rsidRPr="002048A7">
        <w:rPr>
          <w:color w:val="000000" w:themeColor="text1"/>
        </w:rPr>
        <w:t xml:space="preserve"> hükmü gereği otomasyon sistemleri kurma ve uygulama yükümlülüğü dağıtıcı lisansı sahiplerine verilmiştir. Söz konusu yükümlülük akaryakıt istasyonları için 30.06.2011, sabit köy pompaları ve tarımsal amaçlı satış tankerleri için 30.09.2011 tarihinde başlamıştır.</w:t>
      </w:r>
    </w:p>
    <w:p w14:paraId="3839583F" w14:textId="77777777" w:rsidR="005D0429" w:rsidRPr="002048A7" w:rsidRDefault="005D0429" w:rsidP="005D0429">
      <w:pPr>
        <w:rPr>
          <w:color w:val="000000" w:themeColor="text1"/>
        </w:rPr>
      </w:pPr>
      <w:r w:rsidRPr="002048A7">
        <w:rPr>
          <w:color w:val="000000" w:themeColor="text1"/>
        </w:rPr>
        <w:t>1240 sayılı Bayi Denetim Sistemine İlişkin Kurul Kararı kapsamında dağıtıcı lisansı sahiplerinin, kurdukları denetim sistemi vasıtasıyla topladıkları verileri günlük ve aylık olarak Kurum</w:t>
      </w:r>
      <w:r w:rsidR="002A7E33" w:rsidRPr="002048A7">
        <w:rPr>
          <w:color w:val="000000" w:themeColor="text1"/>
        </w:rPr>
        <w:t>a</w:t>
      </w:r>
      <w:r w:rsidRPr="002048A7">
        <w:rPr>
          <w:color w:val="000000" w:themeColor="text1"/>
        </w:rPr>
        <w:t xml:space="preserve"> bildirme yükümlülükleri bulunmaktadır. Söz konusu verilerin bir kısmı EBİS kapsamında elektronik imzalı bildirim olarak alınmakta olup bir kısmı ise Kurum web servisleri aracılığıyla Kurum</w:t>
      </w:r>
      <w:r w:rsidR="002A7E33" w:rsidRPr="002048A7">
        <w:rPr>
          <w:color w:val="000000" w:themeColor="text1"/>
        </w:rPr>
        <w:t>a</w:t>
      </w:r>
      <w:r w:rsidRPr="002048A7">
        <w:rPr>
          <w:color w:val="000000" w:themeColor="text1"/>
        </w:rPr>
        <w:t xml:space="preserve"> ulaştırılmaktadır. Kurum</w:t>
      </w:r>
      <w:r w:rsidR="002A7E33" w:rsidRPr="002048A7">
        <w:rPr>
          <w:color w:val="000000" w:themeColor="text1"/>
        </w:rPr>
        <w:t>a</w:t>
      </w:r>
      <w:r w:rsidRPr="002048A7">
        <w:rPr>
          <w:color w:val="000000" w:themeColor="text1"/>
        </w:rPr>
        <w:t xml:space="preserve"> ulaşan istasyon otomasyon sistemi verileri, Petrol Piyasası Kanunu kapsamında kaçak akaryakıt ile mücadelede görevli kurum ve kuruluşlar ile görevlerinin gerektirdiği ölçüde paylaşılmaktadır. Ayrıca, söz konusu veriler doğrultusunda oluşturulan istatistiki bilgiler haftalık olarak Enerji ve Tabii Kaynaklar Bakanlığı ile paylaşılmaktadır.</w:t>
      </w:r>
    </w:p>
    <w:p w14:paraId="0AFB479A" w14:textId="77777777" w:rsidR="005D0429" w:rsidRPr="002048A7" w:rsidRDefault="005D0429" w:rsidP="005D0429">
      <w:pPr>
        <w:rPr>
          <w:color w:val="000000" w:themeColor="text1"/>
        </w:rPr>
      </w:pPr>
      <w:r w:rsidRPr="002048A7">
        <w:rPr>
          <w:color w:val="000000" w:themeColor="text1"/>
        </w:rPr>
        <w:t xml:space="preserve">30.04.2021 tarihli ve 31470 sayılı Resmî </w:t>
      </w:r>
      <w:r w:rsidR="00274939" w:rsidRPr="002048A7">
        <w:rPr>
          <w:color w:val="000000" w:themeColor="text1"/>
        </w:rPr>
        <w:t>Gazetede</w:t>
      </w:r>
      <w:r w:rsidRPr="002048A7">
        <w:rPr>
          <w:color w:val="000000" w:themeColor="text1"/>
        </w:rPr>
        <w:t xml:space="preserve"> yayımlanan 7318 sayılı Kanunun 7</w:t>
      </w:r>
      <w:r w:rsidR="00B968E8" w:rsidRPr="002048A7">
        <w:rPr>
          <w:color w:val="000000" w:themeColor="text1"/>
        </w:rPr>
        <w:t>’</w:t>
      </w:r>
      <w:r w:rsidRPr="002048A7">
        <w:rPr>
          <w:color w:val="000000" w:themeColor="text1"/>
        </w:rPr>
        <w:t>nci maddesi ile 5015 sayılı Kanun'un 7</w:t>
      </w:r>
      <w:r w:rsidR="00B968E8" w:rsidRPr="002048A7">
        <w:rPr>
          <w:color w:val="000000" w:themeColor="text1"/>
        </w:rPr>
        <w:t>’</w:t>
      </w:r>
      <w:r w:rsidRPr="002048A7">
        <w:rPr>
          <w:color w:val="000000" w:themeColor="text1"/>
        </w:rPr>
        <w:t>nci maddesine eklenen "</w:t>
      </w:r>
      <w:r w:rsidRPr="002048A7">
        <w:rPr>
          <w:i/>
          <w:color w:val="000000" w:themeColor="text1"/>
        </w:rPr>
        <w:t>Dağıtıcı lisansı sahipleri, Kurum tarafından belirlenen esaslara uygun olarak bayilerinde kaçak akaryakıt satışının yapılmasını önleyen teknolojik yöntemleri de içeren bir denetim sistemi kurmak ve uygulamakla yükümlüdür. (Ek cümle: 29.4.2021-7318/7 md.) Dağıtıcı lisansı sahibi, Kurumca yetkilendirilen tüzel kişiler aracılığı ile denetim sistemini kurar ve uygular. Denetim sistemini kuracak ve uygulayacak tüzel kişilerde aranacak idari, mali ve teknik şartlar ile bu tüzel kişilerin hak ve yükümlükleri Kurum tarafından belirlenir</w:t>
      </w:r>
      <w:r w:rsidRPr="002048A7">
        <w:rPr>
          <w:color w:val="000000" w:themeColor="text1"/>
        </w:rPr>
        <w:t xml:space="preserve">..." hükmü gereğince, yetkilendirilmiş otomasyon şirketi izin başvuruları Kurumca değerlendirilmekte, söz konusu şartları sağlayan tüzel kişilere bayi denetim sisteminin kurulması, uygulanması, bakım ve onarımında bulunabilmesi adına izin verilmektedir. Öte yandan, 03.08.2021 tarihli ve 31557 sayılı Resmî </w:t>
      </w:r>
      <w:r w:rsidR="00274939" w:rsidRPr="002048A7">
        <w:rPr>
          <w:color w:val="000000" w:themeColor="text1"/>
        </w:rPr>
        <w:t>Gazetede</w:t>
      </w:r>
      <w:r w:rsidRPr="002048A7">
        <w:rPr>
          <w:color w:val="000000" w:themeColor="text1"/>
        </w:rPr>
        <w:t xml:space="preserve"> yayımlanan 29.07.2021 tarihli ve 10338 sayılı Kurul Kararı gereğince, 01.01.2022 tarihi itibarıyla 1240 sayılı Karar’ın eki olan “Otomasyon Sistemi Kılavuzu’nda belirlenen usul ve esaslar dâhilinde verilerin doğru olarak üretilmesi, korunması ve saklanmasından, Kurum</w:t>
      </w:r>
      <w:r w:rsidR="003C6441" w:rsidRPr="002048A7">
        <w:rPr>
          <w:color w:val="000000" w:themeColor="text1"/>
        </w:rPr>
        <w:t>a</w:t>
      </w:r>
      <w:r w:rsidRPr="002048A7">
        <w:rPr>
          <w:color w:val="000000" w:themeColor="text1"/>
        </w:rPr>
        <w:t xml:space="preserve"> doğru ve eksiksiz şekilde gönderilmesinden dağıtıcılar ve yetkilendirilmiş otomasyon şirketleri müştereken sorumludur.</w:t>
      </w:r>
      <w:r w:rsidR="00986A70" w:rsidRPr="002048A7">
        <w:rPr>
          <w:color w:val="000000" w:themeColor="text1"/>
        </w:rPr>
        <w:t xml:space="preserve"> 202</w:t>
      </w:r>
      <w:r w:rsidR="00D16262">
        <w:rPr>
          <w:color w:val="000000" w:themeColor="text1"/>
        </w:rPr>
        <w:t>4</w:t>
      </w:r>
      <w:r w:rsidR="00986A70" w:rsidRPr="002048A7">
        <w:rPr>
          <w:color w:val="000000" w:themeColor="text1"/>
        </w:rPr>
        <w:t xml:space="preserve"> yılı</w:t>
      </w:r>
      <w:r w:rsidR="002242D7" w:rsidRPr="002048A7">
        <w:rPr>
          <w:color w:val="000000" w:themeColor="text1"/>
        </w:rPr>
        <w:t>nda</w:t>
      </w:r>
      <w:r w:rsidR="00986A70" w:rsidRPr="002048A7">
        <w:rPr>
          <w:color w:val="000000" w:themeColor="text1"/>
        </w:rPr>
        <w:t xml:space="preserve"> yetkilendirilmiş otomasyon şirketleri</w:t>
      </w:r>
      <w:r w:rsidR="00B35DE1" w:rsidRPr="002048A7">
        <w:rPr>
          <w:color w:val="000000" w:themeColor="text1"/>
        </w:rPr>
        <w:t xml:space="preserve"> sayısı </w:t>
      </w:r>
      <w:r w:rsidR="00D16262">
        <w:rPr>
          <w:color w:val="000000" w:themeColor="text1"/>
        </w:rPr>
        <w:t>9</w:t>
      </w:r>
      <w:r w:rsidR="00B35DE1" w:rsidRPr="002048A7">
        <w:rPr>
          <w:color w:val="000000" w:themeColor="text1"/>
        </w:rPr>
        <w:t xml:space="preserve"> tane olup</w:t>
      </w:r>
      <w:r w:rsidR="00986A70" w:rsidRPr="002048A7">
        <w:rPr>
          <w:color w:val="000000" w:themeColor="text1"/>
        </w:rPr>
        <w:t xml:space="preserve"> </w:t>
      </w:r>
      <w:r w:rsidR="00B35DE1" w:rsidRPr="002048A7">
        <w:rPr>
          <w:color w:val="000000" w:themeColor="text1"/>
        </w:rPr>
        <w:t xml:space="preserve">bu şirketlerin ticaret unvanları </w:t>
      </w:r>
      <w:r w:rsidR="00986A70" w:rsidRPr="002048A7">
        <w:rPr>
          <w:color w:val="000000" w:themeColor="text1"/>
        </w:rPr>
        <w:t>aşağıda verilmiştir.</w:t>
      </w:r>
    </w:p>
    <w:p w14:paraId="64F682D6" w14:textId="77777777" w:rsidR="00986A70" w:rsidRPr="002048A7" w:rsidRDefault="00986A70" w:rsidP="00986A70">
      <w:pPr>
        <w:pStyle w:val="Balk5"/>
        <w:jc w:val="center"/>
        <w:rPr>
          <w:rStyle w:val="Gl"/>
          <w:color w:val="000000" w:themeColor="text1"/>
        </w:rPr>
      </w:pPr>
      <w:bookmarkStart w:id="151" w:name="_Toc195868808"/>
      <w:r w:rsidRPr="002048A7">
        <w:rPr>
          <w:rStyle w:val="Gl"/>
          <w:color w:val="000000" w:themeColor="text1"/>
        </w:rPr>
        <w:t>Tablo 3.1</w:t>
      </w:r>
      <w:r w:rsidR="0007594C" w:rsidRPr="002048A7">
        <w:rPr>
          <w:rStyle w:val="Gl"/>
          <w:color w:val="000000" w:themeColor="text1"/>
        </w:rPr>
        <w:t>2</w:t>
      </w:r>
      <w:r w:rsidRPr="002048A7">
        <w:rPr>
          <w:rStyle w:val="Gl"/>
          <w:color w:val="000000" w:themeColor="text1"/>
        </w:rPr>
        <w:t>: 202</w:t>
      </w:r>
      <w:r w:rsidR="00D16262">
        <w:rPr>
          <w:rStyle w:val="Gl"/>
          <w:color w:val="000000" w:themeColor="text1"/>
        </w:rPr>
        <w:t>4</w:t>
      </w:r>
      <w:r w:rsidRPr="002048A7">
        <w:rPr>
          <w:rStyle w:val="Gl"/>
          <w:color w:val="000000" w:themeColor="text1"/>
        </w:rPr>
        <w:t xml:space="preserve"> Yılı</w:t>
      </w:r>
      <w:r w:rsidR="002242D7" w:rsidRPr="002048A7">
        <w:rPr>
          <w:rStyle w:val="Gl"/>
          <w:color w:val="000000" w:themeColor="text1"/>
        </w:rPr>
        <w:t>nda</w:t>
      </w:r>
      <w:r w:rsidRPr="002048A7">
        <w:rPr>
          <w:rStyle w:val="Gl"/>
          <w:color w:val="000000" w:themeColor="text1"/>
        </w:rPr>
        <w:t xml:space="preserve"> Yetkilendirilmiş Otomasyon Şirketleri</w:t>
      </w:r>
      <w:bookmarkEnd w:id="151"/>
    </w:p>
    <w:tbl>
      <w:tblPr>
        <w:tblW w:w="9214" w:type="dxa"/>
        <w:jc w:val="center"/>
        <w:tblCellMar>
          <w:left w:w="70" w:type="dxa"/>
          <w:right w:w="70" w:type="dxa"/>
        </w:tblCellMar>
        <w:tblLook w:val="04A0" w:firstRow="1" w:lastRow="0" w:firstColumn="1" w:lastColumn="0" w:noHBand="0" w:noVBand="1"/>
      </w:tblPr>
      <w:tblGrid>
        <w:gridCol w:w="9214"/>
      </w:tblGrid>
      <w:tr w:rsidR="00986A70" w:rsidRPr="002048A7" w14:paraId="66E53669" w14:textId="77777777" w:rsidTr="00986A70">
        <w:trPr>
          <w:trHeight w:val="580"/>
          <w:jc w:val="center"/>
        </w:trPr>
        <w:tc>
          <w:tcPr>
            <w:tcW w:w="9214" w:type="dxa"/>
            <w:tcBorders>
              <w:top w:val="nil"/>
              <w:left w:val="single" w:sz="4" w:space="0" w:color="4F81BD"/>
              <w:bottom w:val="single" w:sz="4" w:space="0" w:color="BFBFBF" w:themeColor="background1" w:themeShade="BF"/>
              <w:right w:val="single" w:sz="4" w:space="0" w:color="D3D3D3"/>
            </w:tcBorders>
            <w:shd w:val="clear" w:color="auto" w:fill="6E9ECA"/>
            <w:vAlign w:val="center"/>
            <w:hideMark/>
          </w:tcPr>
          <w:p w14:paraId="600625CE" w14:textId="77777777" w:rsidR="00986A70" w:rsidRPr="002048A7" w:rsidRDefault="00986A70" w:rsidP="0071148E">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Şirket U</w:t>
            </w:r>
            <w:r w:rsidRPr="002048A7">
              <w:rPr>
                <w:rFonts w:ascii="Calibri" w:eastAsia="Times New Roman" w:hAnsi="Calibri" w:cs="Calibri"/>
                <w:b/>
                <w:color w:val="FFFFFF"/>
                <w:lang w:eastAsia="tr-TR"/>
              </w:rPr>
              <w:t>nvanı</w:t>
            </w:r>
          </w:p>
        </w:tc>
      </w:tr>
      <w:tr w:rsidR="0039346B" w:rsidRPr="002048A7" w14:paraId="035C501F" w14:textId="77777777" w:rsidTr="00B35DE1">
        <w:trPr>
          <w:trHeight w:val="290"/>
          <w:jc w:val="center"/>
        </w:trPr>
        <w:tc>
          <w:tcPr>
            <w:tcW w:w="921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654D8A" w14:textId="77777777" w:rsidR="0039346B" w:rsidRPr="002048A7" w:rsidRDefault="0039346B" w:rsidP="0039346B">
            <w:r w:rsidRPr="002048A7">
              <w:t>MEPSAN PETROL CİHAZLARI SANAYİ TİCARET ANONİM ŞİRKETİ</w:t>
            </w:r>
          </w:p>
        </w:tc>
      </w:tr>
      <w:tr w:rsidR="0039346B" w:rsidRPr="002048A7" w14:paraId="001F0BAA" w14:textId="77777777" w:rsidTr="00B35DE1">
        <w:trPr>
          <w:trHeight w:val="290"/>
          <w:jc w:val="center"/>
        </w:trPr>
        <w:tc>
          <w:tcPr>
            <w:tcW w:w="921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77A7675" w14:textId="77777777" w:rsidR="0039346B" w:rsidRPr="002048A7" w:rsidRDefault="0039346B" w:rsidP="0039346B">
            <w:r w:rsidRPr="002048A7">
              <w:t>TURPAK ELEKTROMANYETİK YAKIT İKMAL SİSTEMLERİ TİCARET ANONİM ŞİRKETİ</w:t>
            </w:r>
          </w:p>
        </w:tc>
      </w:tr>
      <w:tr w:rsidR="0039346B" w:rsidRPr="002048A7" w14:paraId="59617398" w14:textId="77777777" w:rsidTr="00B35DE1">
        <w:trPr>
          <w:trHeight w:val="290"/>
          <w:jc w:val="center"/>
        </w:trPr>
        <w:tc>
          <w:tcPr>
            <w:tcW w:w="921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20F2093" w14:textId="77777777" w:rsidR="0039346B" w:rsidRPr="002048A7" w:rsidRDefault="0039346B" w:rsidP="0039346B">
            <w:r w:rsidRPr="002048A7">
              <w:t>ASİS OTOMASYON VE AKARYAKIT SİSTEMLERİ ANONİM ŞİRKETİ</w:t>
            </w:r>
          </w:p>
        </w:tc>
      </w:tr>
      <w:tr w:rsidR="0039346B" w:rsidRPr="002048A7" w14:paraId="315E8A70" w14:textId="77777777" w:rsidTr="00B35DE1">
        <w:trPr>
          <w:trHeight w:val="290"/>
          <w:jc w:val="center"/>
        </w:trPr>
        <w:tc>
          <w:tcPr>
            <w:tcW w:w="921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9C831C" w14:textId="77777777" w:rsidR="0039346B" w:rsidRPr="002048A7" w:rsidRDefault="0039346B" w:rsidP="0039346B">
            <w:r w:rsidRPr="002048A7">
              <w:t>PETRONET OTOMASYON ENERJİ MÜHENDİSLİK İNŞAAT PETROL SANAYİ VE TİCARET ANONİM ŞİRKETİ</w:t>
            </w:r>
          </w:p>
        </w:tc>
      </w:tr>
      <w:tr w:rsidR="0039346B" w:rsidRPr="002048A7" w14:paraId="5B811517" w14:textId="77777777" w:rsidTr="00B35DE1">
        <w:trPr>
          <w:trHeight w:val="290"/>
          <w:jc w:val="center"/>
        </w:trPr>
        <w:tc>
          <w:tcPr>
            <w:tcW w:w="921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2F1A62F" w14:textId="77777777" w:rsidR="0039346B" w:rsidRPr="002048A7" w:rsidRDefault="0039346B" w:rsidP="0039346B">
            <w:r w:rsidRPr="002048A7">
              <w:lastRenderedPageBreak/>
              <w:t>TARIM KREDİ TEKNOLOJİ ANONİM ŞİRKETİ</w:t>
            </w:r>
          </w:p>
        </w:tc>
      </w:tr>
      <w:tr w:rsidR="0039346B" w:rsidRPr="002048A7" w14:paraId="2DF9A81E" w14:textId="77777777" w:rsidTr="00B35DE1">
        <w:trPr>
          <w:trHeight w:val="290"/>
          <w:jc w:val="center"/>
        </w:trPr>
        <w:tc>
          <w:tcPr>
            <w:tcW w:w="921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130028" w14:textId="77777777" w:rsidR="0039346B" w:rsidRPr="002048A7" w:rsidRDefault="0039346B" w:rsidP="0039346B">
            <w:r w:rsidRPr="002048A7">
              <w:t>TORA PETROL ÜRÜNLERİ MÜHENDİSLİĞİ ELEKTRİK VE ELEKTRONİK SANAYİ TİCARET ANONİM ŞİRKETİ</w:t>
            </w:r>
          </w:p>
        </w:tc>
      </w:tr>
      <w:tr w:rsidR="0039346B" w:rsidRPr="002048A7" w14:paraId="447C47E1" w14:textId="77777777" w:rsidTr="00B35DE1">
        <w:trPr>
          <w:trHeight w:val="290"/>
          <w:jc w:val="center"/>
        </w:trPr>
        <w:tc>
          <w:tcPr>
            <w:tcW w:w="921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DB35978" w14:textId="77777777" w:rsidR="0039346B" w:rsidRPr="002048A7" w:rsidRDefault="0039346B" w:rsidP="0039346B">
            <w:r w:rsidRPr="002048A7">
              <w:t>TRIGON TEKNOLOJİ OTOMASYON SİSTEMLERİ SANAYİ ANONİM ŞİRKETİ</w:t>
            </w:r>
          </w:p>
        </w:tc>
      </w:tr>
      <w:tr w:rsidR="0039346B" w:rsidRPr="002048A7" w14:paraId="648F600E" w14:textId="77777777" w:rsidTr="00B35DE1">
        <w:trPr>
          <w:trHeight w:val="290"/>
          <w:jc w:val="center"/>
        </w:trPr>
        <w:tc>
          <w:tcPr>
            <w:tcW w:w="921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EDE632B" w14:textId="77777777" w:rsidR="0039346B" w:rsidRPr="002048A7" w:rsidRDefault="0039346B" w:rsidP="0039346B">
            <w:r w:rsidRPr="002048A7">
              <w:t>İKİZBOĞA YAZILIM VE YAKIT TEKNOLOJİLERİ SANAYİ TİCARET LİMİTED ŞİRKETİ</w:t>
            </w:r>
          </w:p>
        </w:tc>
      </w:tr>
      <w:tr w:rsidR="0039346B" w:rsidRPr="002048A7" w14:paraId="1915FC14" w14:textId="77777777" w:rsidTr="00B35DE1">
        <w:trPr>
          <w:trHeight w:val="290"/>
          <w:jc w:val="center"/>
        </w:trPr>
        <w:tc>
          <w:tcPr>
            <w:tcW w:w="921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B64E79A" w14:textId="77777777" w:rsidR="0039346B" w:rsidRPr="002048A7" w:rsidRDefault="0039346B" w:rsidP="0039346B">
            <w:r w:rsidRPr="002048A7">
              <w:t>MİLCOM BİLİŞİM YAZILIM TEKNOLOJİ LİMİTED ŞİRKETİ</w:t>
            </w:r>
          </w:p>
        </w:tc>
      </w:tr>
    </w:tbl>
    <w:p w14:paraId="7B744BED" w14:textId="77777777" w:rsidR="004E03B6" w:rsidRPr="002048A7" w:rsidRDefault="004E03B6" w:rsidP="00577AAF">
      <w:pPr>
        <w:pStyle w:val="Balk4"/>
        <w:numPr>
          <w:ilvl w:val="3"/>
          <w:numId w:val="11"/>
        </w:numPr>
        <w:spacing w:after="240"/>
        <w:rPr>
          <w:rFonts w:asciiTheme="minorHAnsi" w:hAnsiTheme="minorHAnsi"/>
          <w:i w:val="0"/>
          <w:iCs w:val="0"/>
          <w:color w:val="auto"/>
        </w:rPr>
      </w:pPr>
      <w:bookmarkStart w:id="152" w:name="_Toc195868705"/>
      <w:r w:rsidRPr="002048A7">
        <w:rPr>
          <w:rFonts w:asciiTheme="minorHAnsi" w:hAnsiTheme="minorHAnsi"/>
          <w:i w:val="0"/>
          <w:iCs w:val="0"/>
          <w:color w:val="auto"/>
        </w:rPr>
        <w:t>Petrol Depo Stok Takip Sistemi</w:t>
      </w:r>
      <w:bookmarkEnd w:id="152"/>
    </w:p>
    <w:p w14:paraId="3791B9EF" w14:textId="77777777" w:rsidR="001A5189" w:rsidRPr="002048A7" w:rsidRDefault="004E03B6" w:rsidP="001A5189">
      <w:pPr>
        <w:rPr>
          <w:color w:val="000000" w:themeColor="text1"/>
        </w:rPr>
      </w:pPr>
      <w:r w:rsidRPr="002048A7">
        <w:rPr>
          <w:color w:val="000000" w:themeColor="text1"/>
        </w:rPr>
        <w:t>Petrol piyasasında ulusal stok kapsamına giren depolama tesislerinde bulunan tanklardaki petrol miktarını ve seviyelerinin saatlik olarak elektronik ortamda izlenmesi ve bu sistemlerde oluşan verilerin, Kurum</w:t>
      </w:r>
      <w:r w:rsidR="003C6441" w:rsidRPr="002048A7">
        <w:rPr>
          <w:color w:val="000000" w:themeColor="text1"/>
        </w:rPr>
        <w:t xml:space="preserve"> </w:t>
      </w:r>
      <w:r w:rsidRPr="002048A7">
        <w:rPr>
          <w:color w:val="000000" w:themeColor="text1"/>
        </w:rPr>
        <w:t>tarafından da doğrudan takip edebilmesi için tank takip sisteminin kurulması çalışmaları tamamlanmıştır. Petrol Depo Stok Takip sistemine Kupon sistemi de eklenerek 01.01.2018 tarihi itibarı</w:t>
      </w:r>
      <w:r w:rsidR="00AE5BED" w:rsidRPr="002048A7">
        <w:rPr>
          <w:color w:val="000000" w:themeColor="text1"/>
        </w:rPr>
        <w:t xml:space="preserve">yla </w:t>
      </w:r>
      <w:r w:rsidRPr="002048A7">
        <w:rPr>
          <w:color w:val="000000" w:themeColor="text1"/>
        </w:rPr>
        <w:t>sistem hizmete sunulmuştur</w:t>
      </w:r>
      <w:r w:rsidR="00F66B7B" w:rsidRPr="002048A7">
        <w:rPr>
          <w:color w:val="000000" w:themeColor="text1"/>
        </w:rPr>
        <w:t>.</w:t>
      </w:r>
      <w:bookmarkStart w:id="153" w:name="_Toc442431263"/>
    </w:p>
    <w:p w14:paraId="6C96E2F5" w14:textId="77777777" w:rsidR="00CB5826" w:rsidRPr="002048A7" w:rsidRDefault="00CB5826" w:rsidP="00577AAF">
      <w:pPr>
        <w:pStyle w:val="Balk2"/>
        <w:numPr>
          <w:ilvl w:val="1"/>
          <w:numId w:val="11"/>
        </w:numPr>
        <w:spacing w:before="0" w:after="240"/>
        <w:rPr>
          <w:rFonts w:asciiTheme="minorHAnsi" w:hAnsiTheme="minorHAnsi"/>
          <w:color w:val="auto"/>
          <w:sz w:val="22"/>
          <w:szCs w:val="22"/>
        </w:rPr>
      </w:pPr>
      <w:bookmarkStart w:id="154" w:name="_Toc195868706"/>
      <w:r w:rsidRPr="002048A7">
        <w:rPr>
          <w:rFonts w:asciiTheme="minorHAnsi" w:hAnsiTheme="minorHAnsi"/>
          <w:color w:val="auto"/>
          <w:sz w:val="22"/>
          <w:szCs w:val="22"/>
        </w:rPr>
        <w:t>Sıvılaştırılmış Petrol Gazları (LPG) Piyasası Lisanslama Faaliyetleri</w:t>
      </w:r>
      <w:bookmarkEnd w:id="153"/>
      <w:bookmarkEnd w:id="154"/>
    </w:p>
    <w:p w14:paraId="738DC8BD" w14:textId="77777777" w:rsidR="00CB5826" w:rsidRPr="002048A7" w:rsidRDefault="00B34FA4" w:rsidP="00CB5826">
      <w:pPr>
        <w:spacing w:after="0"/>
      </w:pPr>
      <w:r w:rsidRPr="002048A7">
        <w:t>LPG</w:t>
      </w:r>
      <w:r w:rsidR="00CB5826" w:rsidRPr="002048A7">
        <w:t xml:space="preserve"> ile ilgili; LPG Dağıtıcı, LPG Taşıma, LPG Depolama, LPG Otogaz Bayilik, LPG Tüpü İmalatı, LPG Tüpü Muayenesi, Tamiri ve Bakımı faaliyetlerinin yapılması için lisans alınması zorunludur. LPG lisansları kapsamında yapılacak faaliyetler ve lisans sahiplerinin yükümlülükleri, Sıvılaştırılmış Petrol Gazları (LPG) Piyasası Lisans Yönetmeliğinde belirtilmiştir. </w:t>
      </w:r>
    </w:p>
    <w:p w14:paraId="215ADEB1" w14:textId="77777777" w:rsidR="00954AFF" w:rsidRPr="002048A7" w:rsidRDefault="00954AFF" w:rsidP="00CB5826">
      <w:pPr>
        <w:spacing w:after="0"/>
      </w:pPr>
    </w:p>
    <w:p w14:paraId="361DF2A9" w14:textId="769209BF" w:rsidR="00CB5826" w:rsidRPr="002048A7" w:rsidRDefault="00FE3B54" w:rsidP="00CB5826">
      <w:pPr>
        <w:spacing w:after="0"/>
      </w:pPr>
      <w:r w:rsidRPr="002048A7">
        <w:t>202</w:t>
      </w:r>
      <w:r w:rsidR="00072A80">
        <w:t>4</w:t>
      </w:r>
      <w:r w:rsidR="00CB5826" w:rsidRPr="002048A7">
        <w:t xml:space="preserve"> yılı içerisinde </w:t>
      </w:r>
      <w:r w:rsidR="00B34FA4" w:rsidRPr="002048A7">
        <w:t>LPG</w:t>
      </w:r>
      <w:r w:rsidR="00CB5826" w:rsidRPr="002048A7">
        <w:t xml:space="preserve"> piyasasında gerçekleştir</w:t>
      </w:r>
      <w:r w:rsidR="00237791" w:rsidRPr="002048A7">
        <w:t>ilen lisans işlemleri Tablo 3.1</w:t>
      </w:r>
      <w:r w:rsidR="00061520" w:rsidRPr="002048A7">
        <w:t>3</w:t>
      </w:r>
      <w:r w:rsidR="000A02ED" w:rsidRPr="002048A7">
        <w:t>’</w:t>
      </w:r>
      <w:r w:rsidR="00061520" w:rsidRPr="002048A7">
        <w:t>te</w:t>
      </w:r>
      <w:r w:rsidR="00CB5826" w:rsidRPr="002048A7">
        <w:t xml:space="preserve"> yer almaktadır.</w:t>
      </w:r>
    </w:p>
    <w:p w14:paraId="35F30660" w14:textId="30CC8130" w:rsidR="00CB5826" w:rsidRPr="002048A7" w:rsidRDefault="004E03B6" w:rsidP="00C466F8">
      <w:pPr>
        <w:pStyle w:val="Balk5"/>
        <w:jc w:val="center"/>
        <w:rPr>
          <w:rStyle w:val="Gl"/>
          <w:color w:val="000000" w:themeColor="text1"/>
        </w:rPr>
      </w:pPr>
      <w:bookmarkStart w:id="155" w:name="_Toc416447590"/>
      <w:bookmarkStart w:id="156" w:name="_Toc442441740"/>
      <w:bookmarkStart w:id="157" w:name="_Toc195868809"/>
      <w:r w:rsidRPr="002048A7">
        <w:rPr>
          <w:rStyle w:val="Gl"/>
          <w:color w:val="000000" w:themeColor="text1"/>
        </w:rPr>
        <w:t>Tablo 3.</w:t>
      </w:r>
      <w:r w:rsidR="00986A70" w:rsidRPr="002048A7">
        <w:rPr>
          <w:rStyle w:val="Gl"/>
          <w:color w:val="000000" w:themeColor="text1"/>
        </w:rPr>
        <w:t>1</w:t>
      </w:r>
      <w:r w:rsidR="0007594C" w:rsidRPr="002048A7">
        <w:rPr>
          <w:rStyle w:val="Gl"/>
          <w:color w:val="000000" w:themeColor="text1"/>
        </w:rPr>
        <w:t>3</w:t>
      </w:r>
      <w:r w:rsidR="00CB5826" w:rsidRPr="002048A7">
        <w:rPr>
          <w:rStyle w:val="Gl"/>
          <w:color w:val="000000" w:themeColor="text1"/>
        </w:rPr>
        <w:t xml:space="preserve">: </w:t>
      </w:r>
      <w:r w:rsidR="00CB5826" w:rsidRPr="00894A3C">
        <w:rPr>
          <w:rStyle w:val="Gl"/>
          <w:color w:val="000000" w:themeColor="text1"/>
        </w:rPr>
        <w:t>LPG Piy</w:t>
      </w:r>
      <w:r w:rsidR="00FE3B54" w:rsidRPr="00894A3C">
        <w:rPr>
          <w:rStyle w:val="Gl"/>
          <w:color w:val="000000" w:themeColor="text1"/>
        </w:rPr>
        <w:t>asasında 202</w:t>
      </w:r>
      <w:r w:rsidR="00894A3C" w:rsidRPr="00894A3C">
        <w:rPr>
          <w:rStyle w:val="Gl"/>
          <w:color w:val="000000" w:themeColor="text1"/>
        </w:rPr>
        <w:t>4</w:t>
      </w:r>
      <w:r w:rsidR="00CB5826" w:rsidRPr="00894A3C">
        <w:rPr>
          <w:rStyle w:val="Gl"/>
          <w:color w:val="000000" w:themeColor="text1"/>
        </w:rPr>
        <w:t xml:space="preserve"> Yılında Gerçekleştirilen Lisans İşlemleri</w:t>
      </w:r>
      <w:r w:rsidR="002B57E9" w:rsidRPr="00894A3C">
        <w:rPr>
          <w:rStyle w:val="Gl"/>
          <w:color w:val="000000" w:themeColor="text1"/>
        </w:rPr>
        <w:t xml:space="preserve"> </w:t>
      </w:r>
      <w:r w:rsidR="00CB5826" w:rsidRPr="00894A3C">
        <w:rPr>
          <w:rStyle w:val="Gl"/>
          <w:color w:val="000000" w:themeColor="text1"/>
        </w:rPr>
        <w:t>(Adet)</w:t>
      </w:r>
      <w:bookmarkEnd w:id="155"/>
      <w:bookmarkEnd w:id="156"/>
      <w:bookmarkEnd w:id="157"/>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575"/>
        <w:gridCol w:w="1085"/>
        <w:gridCol w:w="1076"/>
        <w:gridCol w:w="1659"/>
        <w:gridCol w:w="1080"/>
        <w:gridCol w:w="1082"/>
        <w:gridCol w:w="1082"/>
        <w:gridCol w:w="1273"/>
      </w:tblGrid>
      <w:tr w:rsidR="003C6441" w:rsidRPr="002048A7" w14:paraId="20019602" w14:textId="77777777" w:rsidTr="00ED7796">
        <w:trPr>
          <w:trHeight w:val="283"/>
          <w:tblHeader/>
        </w:trPr>
        <w:tc>
          <w:tcPr>
            <w:tcW w:w="794" w:type="pct"/>
            <w:shd w:val="clear" w:color="000000" w:fill="6E9ECA"/>
            <w:vAlign w:val="center"/>
            <w:hideMark/>
          </w:tcPr>
          <w:p w14:paraId="47486791" w14:textId="77777777" w:rsidR="003C6441" w:rsidRPr="002048A7" w:rsidRDefault="003C6441" w:rsidP="003C6441">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Lisans Tipi</w:t>
            </w:r>
          </w:p>
        </w:tc>
        <w:tc>
          <w:tcPr>
            <w:tcW w:w="547" w:type="pct"/>
            <w:shd w:val="clear" w:color="000000" w:fill="6E9ECA"/>
            <w:vAlign w:val="center"/>
            <w:hideMark/>
          </w:tcPr>
          <w:p w14:paraId="3FBA0596" w14:textId="77777777" w:rsidR="003C6441" w:rsidRPr="002048A7" w:rsidRDefault="003C6441" w:rsidP="003C6441">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Lisans Başvurusu Sayısı</w:t>
            </w:r>
          </w:p>
        </w:tc>
        <w:tc>
          <w:tcPr>
            <w:tcW w:w="543" w:type="pct"/>
            <w:shd w:val="clear" w:color="000000" w:fill="6E9ECA"/>
            <w:vAlign w:val="center"/>
            <w:hideMark/>
          </w:tcPr>
          <w:p w14:paraId="5E751226" w14:textId="77777777" w:rsidR="003C6441" w:rsidRPr="002048A7" w:rsidRDefault="003C6441" w:rsidP="003C6441">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Verilen Lisans Sayısı</w:t>
            </w:r>
          </w:p>
        </w:tc>
        <w:tc>
          <w:tcPr>
            <w:tcW w:w="837" w:type="pct"/>
            <w:shd w:val="clear" w:color="000000" w:fill="6E9ECA"/>
            <w:vAlign w:val="center"/>
            <w:hideMark/>
          </w:tcPr>
          <w:p w14:paraId="4C4620A8" w14:textId="77777777" w:rsidR="003C6441" w:rsidRPr="002048A7" w:rsidRDefault="003C6441" w:rsidP="003C6441">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Sona Eren/Erdirilen Lisans Sayısı</w:t>
            </w:r>
          </w:p>
        </w:tc>
        <w:tc>
          <w:tcPr>
            <w:tcW w:w="545" w:type="pct"/>
            <w:shd w:val="clear" w:color="000000" w:fill="6E9ECA"/>
            <w:vAlign w:val="center"/>
            <w:hideMark/>
          </w:tcPr>
          <w:p w14:paraId="395FB99A" w14:textId="77777777" w:rsidR="003C6441" w:rsidRPr="002048A7" w:rsidRDefault="003C6441" w:rsidP="003C6441">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İptal Edilen Lisans Sayısı</w:t>
            </w:r>
          </w:p>
        </w:tc>
        <w:tc>
          <w:tcPr>
            <w:tcW w:w="546" w:type="pct"/>
            <w:shd w:val="clear" w:color="000000" w:fill="6E9ECA"/>
            <w:vAlign w:val="center"/>
            <w:hideMark/>
          </w:tcPr>
          <w:p w14:paraId="28602A5B" w14:textId="77777777" w:rsidR="003C6441" w:rsidRPr="002048A7" w:rsidRDefault="003C6441" w:rsidP="003C6441">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Tadil Sayısı</w:t>
            </w:r>
          </w:p>
        </w:tc>
        <w:tc>
          <w:tcPr>
            <w:tcW w:w="546" w:type="pct"/>
            <w:shd w:val="clear" w:color="000000" w:fill="6E9ECA"/>
            <w:vAlign w:val="center"/>
            <w:hideMark/>
          </w:tcPr>
          <w:p w14:paraId="0C459DA2" w14:textId="77777777" w:rsidR="003C6441" w:rsidRPr="002048A7" w:rsidRDefault="003C6441" w:rsidP="003C6441">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Genel Toplam</w:t>
            </w:r>
          </w:p>
        </w:tc>
        <w:tc>
          <w:tcPr>
            <w:tcW w:w="642" w:type="pct"/>
            <w:shd w:val="clear" w:color="000000" w:fill="6E9ECA"/>
            <w:vAlign w:val="center"/>
            <w:hideMark/>
          </w:tcPr>
          <w:p w14:paraId="65BD08A5" w14:textId="77777777" w:rsidR="003C6441" w:rsidRPr="002048A7" w:rsidRDefault="003C6441" w:rsidP="003C6441">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Dönem Sonu Yürürlükteki Lisans Sayısı</w:t>
            </w:r>
          </w:p>
        </w:tc>
      </w:tr>
      <w:tr w:rsidR="00072A80" w:rsidRPr="00072A80" w14:paraId="70E3F341" w14:textId="77777777" w:rsidTr="00072A80">
        <w:trPr>
          <w:trHeight w:val="283"/>
        </w:trPr>
        <w:tc>
          <w:tcPr>
            <w:tcW w:w="7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0C5F43EF" w14:textId="77777777" w:rsidR="00072A80" w:rsidRPr="00072A80" w:rsidRDefault="00072A80" w:rsidP="00072A80">
            <w:pPr>
              <w:spacing w:after="0" w:line="240" w:lineRule="auto"/>
              <w:jc w:val="left"/>
              <w:rPr>
                <w:rFonts w:cstheme="minorHAnsi"/>
                <w:color w:val="000000"/>
              </w:rPr>
            </w:pPr>
            <w:r w:rsidRPr="00072A80">
              <w:rPr>
                <w:rFonts w:cstheme="minorHAnsi"/>
                <w:color w:val="000000"/>
              </w:rPr>
              <w:t>LPG Dağıtıcı Lisansı</w:t>
            </w:r>
          </w:p>
        </w:tc>
        <w:tc>
          <w:tcPr>
            <w:tcW w:w="54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3DBDD2FC" w14:textId="77777777" w:rsidR="00072A80" w:rsidRPr="00072A80" w:rsidRDefault="00072A80" w:rsidP="00072A80">
            <w:pPr>
              <w:spacing w:after="0" w:line="240" w:lineRule="auto"/>
              <w:jc w:val="right"/>
              <w:rPr>
                <w:rFonts w:ascii="Calibri"/>
                <w:w w:val="95"/>
              </w:rPr>
            </w:pPr>
            <w:r w:rsidRPr="00072A80">
              <w:rPr>
                <w:rFonts w:ascii="Calibri"/>
                <w:w w:val="95"/>
              </w:rPr>
              <w:t>1</w:t>
            </w:r>
          </w:p>
        </w:tc>
        <w:tc>
          <w:tcPr>
            <w:tcW w:w="54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3653D900" w14:textId="77777777" w:rsidR="00072A80" w:rsidRPr="00072A80" w:rsidRDefault="00072A80" w:rsidP="00072A80">
            <w:pPr>
              <w:spacing w:after="0" w:line="240" w:lineRule="auto"/>
              <w:jc w:val="right"/>
              <w:rPr>
                <w:rFonts w:ascii="Calibri"/>
                <w:w w:val="95"/>
              </w:rPr>
            </w:pPr>
            <w:r w:rsidRPr="00072A80">
              <w:rPr>
                <w:rFonts w:ascii="Calibri"/>
                <w:w w:val="95"/>
              </w:rPr>
              <w:t>1</w:t>
            </w:r>
          </w:p>
        </w:tc>
        <w:tc>
          <w:tcPr>
            <w:tcW w:w="83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49B8AB78" w14:textId="77777777" w:rsidR="00072A80" w:rsidRPr="00072A80" w:rsidRDefault="00072A80" w:rsidP="00072A80">
            <w:pPr>
              <w:spacing w:after="0" w:line="240" w:lineRule="auto"/>
              <w:jc w:val="right"/>
              <w:rPr>
                <w:rFonts w:ascii="Calibri"/>
                <w:w w:val="95"/>
              </w:rPr>
            </w:pPr>
            <w:r w:rsidRPr="00072A80">
              <w:rPr>
                <w:rFonts w:ascii="Calibri"/>
                <w:w w:val="95"/>
              </w:rPr>
              <w:t> </w:t>
            </w:r>
          </w:p>
        </w:tc>
        <w:tc>
          <w:tcPr>
            <w:tcW w:w="54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4C96E599" w14:textId="77777777" w:rsidR="00072A80" w:rsidRPr="00072A80" w:rsidRDefault="00072A80" w:rsidP="00072A80">
            <w:pPr>
              <w:spacing w:after="0" w:line="240" w:lineRule="auto"/>
              <w:jc w:val="right"/>
              <w:rPr>
                <w:rFonts w:ascii="Calibri"/>
                <w:w w:val="95"/>
              </w:rPr>
            </w:pPr>
            <w:r w:rsidRPr="00072A80">
              <w:rPr>
                <w:rFonts w:ascii="Calibri"/>
                <w:w w:val="95"/>
              </w:rPr>
              <w:t> </w:t>
            </w:r>
          </w:p>
        </w:tc>
        <w:tc>
          <w:tcPr>
            <w:tcW w:w="5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53F2F19A" w14:textId="77777777" w:rsidR="00072A80" w:rsidRPr="00072A80" w:rsidRDefault="00072A80" w:rsidP="00072A80">
            <w:pPr>
              <w:spacing w:after="0" w:line="240" w:lineRule="auto"/>
              <w:jc w:val="right"/>
              <w:rPr>
                <w:rFonts w:ascii="Calibri"/>
                <w:w w:val="95"/>
              </w:rPr>
            </w:pPr>
            <w:r w:rsidRPr="00072A80">
              <w:rPr>
                <w:rFonts w:ascii="Calibri"/>
                <w:w w:val="95"/>
              </w:rPr>
              <w:t>10</w:t>
            </w:r>
          </w:p>
        </w:tc>
        <w:tc>
          <w:tcPr>
            <w:tcW w:w="5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2A2B84AD" w14:textId="77777777" w:rsidR="00072A80" w:rsidRPr="00072A80" w:rsidRDefault="00072A80" w:rsidP="00072A80">
            <w:pPr>
              <w:spacing w:after="0" w:line="240" w:lineRule="auto"/>
              <w:jc w:val="right"/>
              <w:rPr>
                <w:rFonts w:ascii="Calibri" w:hAnsi="Calibri" w:cs="Calibri"/>
              </w:rPr>
            </w:pPr>
            <w:r w:rsidRPr="00072A80">
              <w:rPr>
                <w:rFonts w:ascii="Calibri" w:hAnsi="Calibri" w:cs="Calibri"/>
              </w:rPr>
              <w:t>12</w:t>
            </w:r>
          </w:p>
        </w:tc>
        <w:tc>
          <w:tcPr>
            <w:tcW w:w="6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628DB19E" w14:textId="77777777" w:rsidR="00072A80" w:rsidRPr="00072A80" w:rsidRDefault="00072A80" w:rsidP="00072A80">
            <w:pPr>
              <w:spacing w:after="0" w:line="240" w:lineRule="auto"/>
              <w:jc w:val="right"/>
              <w:rPr>
                <w:rFonts w:ascii="Calibri"/>
                <w:w w:val="95"/>
              </w:rPr>
            </w:pPr>
            <w:r w:rsidRPr="00072A80">
              <w:rPr>
                <w:rFonts w:ascii="Calibri"/>
                <w:w w:val="95"/>
              </w:rPr>
              <w:t>79</w:t>
            </w:r>
          </w:p>
        </w:tc>
      </w:tr>
      <w:tr w:rsidR="00072A80" w:rsidRPr="00072A80" w14:paraId="6D499B6F" w14:textId="77777777" w:rsidTr="00072A80">
        <w:trPr>
          <w:trHeight w:val="283"/>
        </w:trPr>
        <w:tc>
          <w:tcPr>
            <w:tcW w:w="7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73F8044A" w14:textId="77777777" w:rsidR="00072A80" w:rsidRPr="00072A80" w:rsidRDefault="00072A80" w:rsidP="00072A80">
            <w:pPr>
              <w:spacing w:after="0" w:line="240" w:lineRule="auto"/>
              <w:jc w:val="left"/>
              <w:rPr>
                <w:rFonts w:cstheme="minorHAnsi"/>
                <w:color w:val="000000"/>
              </w:rPr>
            </w:pPr>
            <w:r w:rsidRPr="00072A80">
              <w:rPr>
                <w:rFonts w:cstheme="minorHAnsi"/>
                <w:color w:val="000000"/>
              </w:rPr>
              <w:t>LPG Depolama Lisansı</w:t>
            </w:r>
          </w:p>
        </w:tc>
        <w:tc>
          <w:tcPr>
            <w:tcW w:w="54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0CC97882" w14:textId="77777777" w:rsidR="00072A80" w:rsidRPr="00072A80" w:rsidRDefault="00072A80" w:rsidP="00072A80">
            <w:pPr>
              <w:spacing w:after="0" w:line="240" w:lineRule="auto"/>
              <w:jc w:val="right"/>
              <w:rPr>
                <w:rFonts w:ascii="Calibri"/>
                <w:w w:val="95"/>
              </w:rPr>
            </w:pPr>
            <w:r w:rsidRPr="00072A80">
              <w:rPr>
                <w:rFonts w:ascii="Calibri"/>
                <w:w w:val="95"/>
              </w:rPr>
              <w:t>1</w:t>
            </w:r>
          </w:p>
        </w:tc>
        <w:tc>
          <w:tcPr>
            <w:tcW w:w="54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2820BCD0" w14:textId="77777777" w:rsidR="00072A80" w:rsidRPr="00072A80" w:rsidRDefault="00072A80" w:rsidP="00072A80">
            <w:pPr>
              <w:spacing w:after="0" w:line="240" w:lineRule="auto"/>
              <w:jc w:val="right"/>
              <w:rPr>
                <w:rFonts w:ascii="Calibri"/>
                <w:w w:val="95"/>
              </w:rPr>
            </w:pPr>
            <w:r w:rsidRPr="00072A80">
              <w:rPr>
                <w:rFonts w:ascii="Calibri"/>
                <w:w w:val="95"/>
              </w:rPr>
              <w:t>1</w:t>
            </w:r>
          </w:p>
        </w:tc>
        <w:tc>
          <w:tcPr>
            <w:tcW w:w="83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0AF84A23" w14:textId="77777777" w:rsidR="00072A80" w:rsidRPr="00072A80" w:rsidRDefault="00072A80" w:rsidP="00072A80">
            <w:pPr>
              <w:spacing w:after="0" w:line="240" w:lineRule="auto"/>
              <w:jc w:val="right"/>
              <w:rPr>
                <w:rFonts w:ascii="Calibri"/>
                <w:w w:val="95"/>
              </w:rPr>
            </w:pPr>
            <w:r w:rsidRPr="00072A80">
              <w:rPr>
                <w:rFonts w:ascii="Calibri"/>
                <w:w w:val="95"/>
              </w:rPr>
              <w:t>1</w:t>
            </w:r>
          </w:p>
        </w:tc>
        <w:tc>
          <w:tcPr>
            <w:tcW w:w="54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7240DAA2" w14:textId="77777777" w:rsidR="00072A80" w:rsidRPr="00072A80" w:rsidRDefault="00072A80" w:rsidP="00072A80">
            <w:pPr>
              <w:spacing w:after="0" w:line="240" w:lineRule="auto"/>
              <w:jc w:val="right"/>
              <w:rPr>
                <w:rFonts w:ascii="Calibri"/>
                <w:w w:val="95"/>
              </w:rPr>
            </w:pPr>
            <w:r w:rsidRPr="00072A80">
              <w:rPr>
                <w:rFonts w:ascii="Calibri"/>
                <w:w w:val="95"/>
              </w:rPr>
              <w:t> </w:t>
            </w:r>
          </w:p>
        </w:tc>
        <w:tc>
          <w:tcPr>
            <w:tcW w:w="5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3D10625A" w14:textId="77777777" w:rsidR="00072A80" w:rsidRPr="00072A80" w:rsidRDefault="00072A80" w:rsidP="00072A80">
            <w:pPr>
              <w:spacing w:after="0" w:line="240" w:lineRule="auto"/>
              <w:jc w:val="right"/>
              <w:rPr>
                <w:rFonts w:ascii="Calibri"/>
                <w:w w:val="95"/>
              </w:rPr>
            </w:pPr>
            <w:r w:rsidRPr="00072A80">
              <w:rPr>
                <w:rFonts w:ascii="Calibri"/>
                <w:w w:val="95"/>
              </w:rPr>
              <w:t>10</w:t>
            </w:r>
          </w:p>
        </w:tc>
        <w:tc>
          <w:tcPr>
            <w:tcW w:w="5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3899E6F2" w14:textId="77777777" w:rsidR="00072A80" w:rsidRPr="00072A80" w:rsidRDefault="00072A80" w:rsidP="00072A80">
            <w:pPr>
              <w:spacing w:after="0" w:line="240" w:lineRule="auto"/>
              <w:jc w:val="right"/>
              <w:rPr>
                <w:rFonts w:ascii="Calibri" w:hAnsi="Calibri" w:cs="Calibri"/>
              </w:rPr>
            </w:pPr>
            <w:r w:rsidRPr="00072A80">
              <w:rPr>
                <w:rFonts w:ascii="Calibri" w:hAnsi="Calibri" w:cs="Calibri"/>
              </w:rPr>
              <w:t>13</w:t>
            </w:r>
          </w:p>
        </w:tc>
        <w:tc>
          <w:tcPr>
            <w:tcW w:w="6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033D9A00" w14:textId="77777777" w:rsidR="00072A80" w:rsidRPr="00072A80" w:rsidRDefault="00072A80" w:rsidP="00072A80">
            <w:pPr>
              <w:spacing w:after="0" w:line="240" w:lineRule="auto"/>
              <w:jc w:val="right"/>
              <w:rPr>
                <w:rFonts w:ascii="Calibri"/>
                <w:w w:val="95"/>
              </w:rPr>
            </w:pPr>
            <w:r w:rsidRPr="00072A80">
              <w:rPr>
                <w:rFonts w:ascii="Calibri"/>
                <w:w w:val="95"/>
              </w:rPr>
              <w:t>98</w:t>
            </w:r>
          </w:p>
        </w:tc>
      </w:tr>
      <w:tr w:rsidR="00072A80" w:rsidRPr="00072A80" w14:paraId="30E75599" w14:textId="77777777" w:rsidTr="00072A80">
        <w:trPr>
          <w:trHeight w:val="283"/>
        </w:trPr>
        <w:tc>
          <w:tcPr>
            <w:tcW w:w="7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3BDCDC53" w14:textId="77777777" w:rsidR="00072A80" w:rsidRPr="00072A80" w:rsidRDefault="00072A80" w:rsidP="00072A80">
            <w:pPr>
              <w:spacing w:after="0" w:line="240" w:lineRule="auto"/>
              <w:jc w:val="left"/>
              <w:rPr>
                <w:rFonts w:cstheme="minorHAnsi"/>
                <w:color w:val="000000"/>
              </w:rPr>
            </w:pPr>
            <w:r w:rsidRPr="00072A80">
              <w:rPr>
                <w:rFonts w:cstheme="minorHAnsi"/>
                <w:color w:val="000000"/>
              </w:rPr>
              <w:t>LPG Otogaz Bayilik Lisansı</w:t>
            </w:r>
          </w:p>
        </w:tc>
        <w:tc>
          <w:tcPr>
            <w:tcW w:w="54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22FD3565" w14:textId="77777777" w:rsidR="00072A80" w:rsidRPr="00072A80" w:rsidRDefault="00072A80" w:rsidP="00072A80">
            <w:pPr>
              <w:spacing w:after="0" w:line="240" w:lineRule="auto"/>
              <w:jc w:val="right"/>
              <w:rPr>
                <w:rFonts w:ascii="Calibri"/>
                <w:w w:val="95"/>
              </w:rPr>
            </w:pPr>
            <w:r w:rsidRPr="00072A80">
              <w:rPr>
                <w:rFonts w:ascii="Calibri"/>
                <w:w w:val="95"/>
              </w:rPr>
              <w:t>595</w:t>
            </w:r>
          </w:p>
        </w:tc>
        <w:tc>
          <w:tcPr>
            <w:tcW w:w="54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66F623FA" w14:textId="77777777" w:rsidR="00072A80" w:rsidRPr="00072A80" w:rsidRDefault="00072A80" w:rsidP="00072A80">
            <w:pPr>
              <w:spacing w:after="0" w:line="240" w:lineRule="auto"/>
              <w:jc w:val="right"/>
              <w:rPr>
                <w:rFonts w:ascii="Calibri"/>
                <w:w w:val="95"/>
              </w:rPr>
            </w:pPr>
            <w:r w:rsidRPr="00072A80">
              <w:rPr>
                <w:rFonts w:ascii="Calibri"/>
                <w:w w:val="95"/>
              </w:rPr>
              <w:t>582</w:t>
            </w:r>
          </w:p>
        </w:tc>
        <w:tc>
          <w:tcPr>
            <w:tcW w:w="83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0BCF282F" w14:textId="77777777" w:rsidR="00072A80" w:rsidRPr="00072A80" w:rsidRDefault="00072A80" w:rsidP="00072A80">
            <w:pPr>
              <w:spacing w:after="0" w:line="240" w:lineRule="auto"/>
              <w:jc w:val="right"/>
              <w:rPr>
                <w:rFonts w:ascii="Calibri"/>
                <w:w w:val="95"/>
              </w:rPr>
            </w:pPr>
            <w:r w:rsidRPr="00072A80">
              <w:rPr>
                <w:rFonts w:ascii="Calibri"/>
                <w:w w:val="95"/>
              </w:rPr>
              <w:t>642</w:t>
            </w:r>
          </w:p>
        </w:tc>
        <w:tc>
          <w:tcPr>
            <w:tcW w:w="54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254537F1" w14:textId="77777777" w:rsidR="00072A80" w:rsidRPr="00072A80" w:rsidRDefault="00072A80" w:rsidP="00072A80">
            <w:pPr>
              <w:spacing w:after="0" w:line="240" w:lineRule="auto"/>
              <w:jc w:val="right"/>
              <w:rPr>
                <w:rFonts w:ascii="Calibri"/>
                <w:w w:val="95"/>
              </w:rPr>
            </w:pPr>
            <w:r w:rsidRPr="00072A80">
              <w:rPr>
                <w:rFonts w:ascii="Calibri"/>
                <w:w w:val="95"/>
              </w:rPr>
              <w:t> </w:t>
            </w:r>
          </w:p>
        </w:tc>
        <w:tc>
          <w:tcPr>
            <w:tcW w:w="5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6B7FDA1C" w14:textId="77777777" w:rsidR="00072A80" w:rsidRPr="00072A80" w:rsidRDefault="00072A80" w:rsidP="00072A80">
            <w:pPr>
              <w:spacing w:after="0" w:line="240" w:lineRule="auto"/>
              <w:jc w:val="right"/>
              <w:rPr>
                <w:rFonts w:ascii="Calibri"/>
                <w:w w:val="95"/>
              </w:rPr>
            </w:pPr>
            <w:r w:rsidRPr="00072A80">
              <w:rPr>
                <w:rFonts w:ascii="Calibri"/>
                <w:w w:val="95"/>
              </w:rPr>
              <w:t>876</w:t>
            </w:r>
          </w:p>
        </w:tc>
        <w:tc>
          <w:tcPr>
            <w:tcW w:w="5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22DF61E7" w14:textId="77777777" w:rsidR="00072A80" w:rsidRPr="00072A80" w:rsidRDefault="00072A80" w:rsidP="00072A80">
            <w:pPr>
              <w:spacing w:after="0" w:line="240" w:lineRule="auto"/>
              <w:jc w:val="right"/>
              <w:rPr>
                <w:rFonts w:ascii="Calibri" w:hAnsi="Calibri" w:cs="Calibri"/>
              </w:rPr>
            </w:pPr>
            <w:r w:rsidRPr="00072A80">
              <w:rPr>
                <w:rFonts w:ascii="Calibri" w:hAnsi="Calibri" w:cs="Calibri"/>
              </w:rPr>
              <w:t>2.695</w:t>
            </w:r>
          </w:p>
        </w:tc>
        <w:tc>
          <w:tcPr>
            <w:tcW w:w="6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6EBBACF6" w14:textId="77777777" w:rsidR="00072A80" w:rsidRPr="00072A80" w:rsidRDefault="00072A80" w:rsidP="00072A80">
            <w:pPr>
              <w:spacing w:after="0" w:line="240" w:lineRule="auto"/>
              <w:jc w:val="right"/>
              <w:rPr>
                <w:rFonts w:ascii="Calibri"/>
                <w:w w:val="95"/>
              </w:rPr>
            </w:pPr>
            <w:r w:rsidRPr="00072A80">
              <w:rPr>
                <w:rFonts w:ascii="Calibri"/>
                <w:w w:val="95"/>
              </w:rPr>
              <w:t>10.784</w:t>
            </w:r>
          </w:p>
        </w:tc>
      </w:tr>
      <w:tr w:rsidR="00072A80" w:rsidRPr="00072A80" w14:paraId="3C8E8791" w14:textId="77777777" w:rsidTr="00072A80">
        <w:trPr>
          <w:trHeight w:val="283"/>
        </w:trPr>
        <w:tc>
          <w:tcPr>
            <w:tcW w:w="7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35CBAEB7" w14:textId="77777777" w:rsidR="00072A80" w:rsidRPr="00072A80" w:rsidRDefault="00072A80" w:rsidP="00072A80">
            <w:pPr>
              <w:spacing w:after="0" w:line="240" w:lineRule="auto"/>
              <w:jc w:val="left"/>
              <w:rPr>
                <w:rFonts w:cstheme="minorHAnsi"/>
                <w:color w:val="000000"/>
              </w:rPr>
            </w:pPr>
            <w:r w:rsidRPr="00072A80">
              <w:rPr>
                <w:rFonts w:cstheme="minorHAnsi"/>
                <w:color w:val="000000"/>
              </w:rPr>
              <w:t>LPG Taşıma Lisansı</w:t>
            </w:r>
          </w:p>
        </w:tc>
        <w:tc>
          <w:tcPr>
            <w:tcW w:w="54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61FA7E0B" w14:textId="77777777" w:rsidR="00072A80" w:rsidRPr="00072A80" w:rsidRDefault="00072A80" w:rsidP="00072A80">
            <w:pPr>
              <w:spacing w:after="0" w:line="240" w:lineRule="auto"/>
              <w:jc w:val="right"/>
              <w:rPr>
                <w:rFonts w:ascii="Calibri"/>
                <w:w w:val="95"/>
              </w:rPr>
            </w:pPr>
            <w:r w:rsidRPr="00072A80">
              <w:rPr>
                <w:rFonts w:ascii="Calibri"/>
                <w:w w:val="95"/>
              </w:rPr>
              <w:t> </w:t>
            </w:r>
          </w:p>
        </w:tc>
        <w:tc>
          <w:tcPr>
            <w:tcW w:w="54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61C2447C" w14:textId="77777777" w:rsidR="00072A80" w:rsidRPr="00072A80" w:rsidRDefault="00072A80" w:rsidP="00072A80">
            <w:pPr>
              <w:spacing w:after="0" w:line="240" w:lineRule="auto"/>
              <w:jc w:val="right"/>
              <w:rPr>
                <w:rFonts w:ascii="Calibri"/>
                <w:w w:val="95"/>
              </w:rPr>
            </w:pPr>
            <w:r w:rsidRPr="00072A80">
              <w:rPr>
                <w:rFonts w:ascii="Calibri"/>
                <w:w w:val="95"/>
              </w:rPr>
              <w:t> </w:t>
            </w:r>
          </w:p>
        </w:tc>
        <w:tc>
          <w:tcPr>
            <w:tcW w:w="83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74CA36BD" w14:textId="77777777" w:rsidR="00072A80" w:rsidRPr="00072A80" w:rsidRDefault="00072A80" w:rsidP="00072A80">
            <w:pPr>
              <w:spacing w:after="0" w:line="240" w:lineRule="auto"/>
              <w:jc w:val="right"/>
              <w:rPr>
                <w:rFonts w:ascii="Calibri"/>
                <w:w w:val="95"/>
              </w:rPr>
            </w:pPr>
            <w:r w:rsidRPr="00072A80">
              <w:rPr>
                <w:rFonts w:ascii="Calibri"/>
                <w:w w:val="95"/>
              </w:rPr>
              <w:t> </w:t>
            </w:r>
          </w:p>
        </w:tc>
        <w:tc>
          <w:tcPr>
            <w:tcW w:w="54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0CA2EDDE" w14:textId="77777777" w:rsidR="00072A80" w:rsidRPr="00072A80" w:rsidRDefault="00072A80" w:rsidP="00072A80">
            <w:pPr>
              <w:spacing w:after="0" w:line="240" w:lineRule="auto"/>
              <w:jc w:val="right"/>
              <w:rPr>
                <w:rFonts w:ascii="Calibri"/>
                <w:w w:val="95"/>
              </w:rPr>
            </w:pPr>
            <w:r w:rsidRPr="00072A80">
              <w:rPr>
                <w:rFonts w:ascii="Calibri"/>
                <w:w w:val="95"/>
              </w:rPr>
              <w:t> </w:t>
            </w:r>
          </w:p>
        </w:tc>
        <w:tc>
          <w:tcPr>
            <w:tcW w:w="5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618C2534" w14:textId="77777777" w:rsidR="00072A80" w:rsidRPr="00072A80" w:rsidRDefault="00072A80" w:rsidP="00072A80">
            <w:pPr>
              <w:spacing w:after="0" w:line="240" w:lineRule="auto"/>
              <w:jc w:val="right"/>
              <w:rPr>
                <w:rFonts w:ascii="Calibri"/>
                <w:w w:val="95"/>
              </w:rPr>
            </w:pPr>
            <w:r w:rsidRPr="00072A80">
              <w:rPr>
                <w:rFonts w:ascii="Calibri"/>
                <w:w w:val="95"/>
              </w:rPr>
              <w:t>8</w:t>
            </w:r>
          </w:p>
        </w:tc>
        <w:tc>
          <w:tcPr>
            <w:tcW w:w="5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587C27A3" w14:textId="77777777" w:rsidR="00072A80" w:rsidRPr="00072A80" w:rsidRDefault="00072A80" w:rsidP="00072A80">
            <w:pPr>
              <w:spacing w:after="0" w:line="240" w:lineRule="auto"/>
              <w:jc w:val="right"/>
              <w:rPr>
                <w:rFonts w:ascii="Calibri" w:hAnsi="Calibri" w:cs="Calibri"/>
              </w:rPr>
            </w:pPr>
            <w:r w:rsidRPr="00072A80">
              <w:rPr>
                <w:rFonts w:ascii="Calibri" w:hAnsi="Calibri" w:cs="Calibri"/>
              </w:rPr>
              <w:t>8</w:t>
            </w:r>
          </w:p>
        </w:tc>
        <w:tc>
          <w:tcPr>
            <w:tcW w:w="6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2E0979B3" w14:textId="77777777" w:rsidR="00072A80" w:rsidRPr="00072A80" w:rsidRDefault="00072A80" w:rsidP="00072A80">
            <w:pPr>
              <w:spacing w:after="0" w:line="240" w:lineRule="auto"/>
              <w:jc w:val="right"/>
              <w:rPr>
                <w:rFonts w:ascii="Calibri"/>
                <w:w w:val="95"/>
              </w:rPr>
            </w:pPr>
            <w:r w:rsidRPr="00072A80">
              <w:rPr>
                <w:rFonts w:ascii="Calibri"/>
                <w:w w:val="95"/>
              </w:rPr>
              <w:t>45</w:t>
            </w:r>
          </w:p>
        </w:tc>
      </w:tr>
      <w:tr w:rsidR="00072A80" w:rsidRPr="00072A80" w14:paraId="0E8BD335" w14:textId="77777777" w:rsidTr="00072A80">
        <w:trPr>
          <w:trHeight w:val="283"/>
        </w:trPr>
        <w:tc>
          <w:tcPr>
            <w:tcW w:w="7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42F3A0B7" w14:textId="77777777" w:rsidR="00072A80" w:rsidRPr="00072A80" w:rsidRDefault="00072A80" w:rsidP="00072A80">
            <w:pPr>
              <w:spacing w:after="0" w:line="240" w:lineRule="auto"/>
              <w:jc w:val="left"/>
              <w:rPr>
                <w:rFonts w:cstheme="minorHAnsi"/>
                <w:color w:val="000000"/>
              </w:rPr>
            </w:pPr>
            <w:r w:rsidRPr="00072A80">
              <w:rPr>
                <w:rFonts w:cstheme="minorHAnsi"/>
                <w:color w:val="000000"/>
              </w:rPr>
              <w:t>LPG Tüpü İmalatı Lisansı</w:t>
            </w:r>
          </w:p>
        </w:tc>
        <w:tc>
          <w:tcPr>
            <w:tcW w:w="54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17695A8F" w14:textId="77777777" w:rsidR="00072A80" w:rsidRPr="00072A80" w:rsidRDefault="00072A80" w:rsidP="00072A80">
            <w:pPr>
              <w:spacing w:after="0" w:line="240" w:lineRule="auto"/>
              <w:jc w:val="right"/>
              <w:rPr>
                <w:rFonts w:ascii="Calibri"/>
                <w:w w:val="95"/>
              </w:rPr>
            </w:pPr>
            <w:r w:rsidRPr="00072A80">
              <w:rPr>
                <w:rFonts w:ascii="Calibri"/>
                <w:w w:val="95"/>
              </w:rPr>
              <w:t> </w:t>
            </w:r>
          </w:p>
        </w:tc>
        <w:tc>
          <w:tcPr>
            <w:tcW w:w="54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3FC3DDC4" w14:textId="77777777" w:rsidR="00072A80" w:rsidRPr="00072A80" w:rsidRDefault="00072A80" w:rsidP="00072A80">
            <w:pPr>
              <w:spacing w:after="0" w:line="240" w:lineRule="auto"/>
              <w:jc w:val="right"/>
              <w:rPr>
                <w:rFonts w:ascii="Calibri"/>
                <w:w w:val="95"/>
              </w:rPr>
            </w:pPr>
            <w:r w:rsidRPr="00072A80">
              <w:rPr>
                <w:rFonts w:ascii="Calibri"/>
                <w:w w:val="95"/>
              </w:rPr>
              <w:t> </w:t>
            </w:r>
          </w:p>
        </w:tc>
        <w:tc>
          <w:tcPr>
            <w:tcW w:w="83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581F7C6C" w14:textId="77777777" w:rsidR="00072A80" w:rsidRPr="00072A80" w:rsidRDefault="00072A80" w:rsidP="00072A80">
            <w:pPr>
              <w:spacing w:after="0" w:line="240" w:lineRule="auto"/>
              <w:jc w:val="right"/>
              <w:rPr>
                <w:rFonts w:ascii="Calibri"/>
                <w:w w:val="95"/>
              </w:rPr>
            </w:pPr>
            <w:r w:rsidRPr="00072A80">
              <w:rPr>
                <w:rFonts w:ascii="Calibri"/>
                <w:w w:val="95"/>
              </w:rPr>
              <w:t> </w:t>
            </w:r>
          </w:p>
        </w:tc>
        <w:tc>
          <w:tcPr>
            <w:tcW w:w="54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4AF51B5E" w14:textId="77777777" w:rsidR="00072A80" w:rsidRPr="00072A80" w:rsidRDefault="00072A80" w:rsidP="00072A80">
            <w:pPr>
              <w:spacing w:after="0" w:line="240" w:lineRule="auto"/>
              <w:jc w:val="right"/>
              <w:rPr>
                <w:rFonts w:ascii="Calibri"/>
                <w:w w:val="95"/>
              </w:rPr>
            </w:pPr>
            <w:r w:rsidRPr="00072A80">
              <w:rPr>
                <w:rFonts w:ascii="Calibri"/>
                <w:w w:val="95"/>
              </w:rPr>
              <w:t> </w:t>
            </w:r>
          </w:p>
        </w:tc>
        <w:tc>
          <w:tcPr>
            <w:tcW w:w="5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3827C0B6" w14:textId="77777777" w:rsidR="00072A80" w:rsidRPr="00072A80" w:rsidRDefault="00072A80" w:rsidP="00072A80">
            <w:pPr>
              <w:spacing w:after="0" w:line="240" w:lineRule="auto"/>
              <w:jc w:val="right"/>
              <w:rPr>
                <w:rFonts w:ascii="Calibri"/>
                <w:w w:val="95"/>
              </w:rPr>
            </w:pPr>
            <w:r w:rsidRPr="00072A80">
              <w:rPr>
                <w:rFonts w:ascii="Calibri"/>
                <w:w w:val="95"/>
              </w:rPr>
              <w:t> </w:t>
            </w:r>
          </w:p>
        </w:tc>
        <w:tc>
          <w:tcPr>
            <w:tcW w:w="5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6818DE9B" w14:textId="77777777" w:rsidR="00072A80" w:rsidRPr="00072A80" w:rsidRDefault="00072A80" w:rsidP="00072A80">
            <w:pPr>
              <w:spacing w:after="0" w:line="240" w:lineRule="auto"/>
              <w:jc w:val="right"/>
              <w:rPr>
                <w:rFonts w:ascii="Calibri" w:hAnsi="Calibri" w:cs="Calibri"/>
              </w:rPr>
            </w:pPr>
            <w:r w:rsidRPr="00072A80">
              <w:rPr>
                <w:rFonts w:ascii="Calibri" w:hAnsi="Calibri" w:cs="Calibri"/>
              </w:rPr>
              <w:t>0</w:t>
            </w:r>
          </w:p>
        </w:tc>
        <w:tc>
          <w:tcPr>
            <w:tcW w:w="6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1D20CE02" w14:textId="77777777" w:rsidR="00072A80" w:rsidRPr="00072A80" w:rsidRDefault="00072A80" w:rsidP="00072A80">
            <w:pPr>
              <w:spacing w:after="0" w:line="240" w:lineRule="auto"/>
              <w:jc w:val="right"/>
              <w:rPr>
                <w:rFonts w:ascii="Calibri"/>
                <w:w w:val="95"/>
              </w:rPr>
            </w:pPr>
            <w:r w:rsidRPr="00072A80">
              <w:rPr>
                <w:rFonts w:ascii="Calibri"/>
                <w:w w:val="95"/>
              </w:rPr>
              <w:t>8</w:t>
            </w:r>
          </w:p>
        </w:tc>
      </w:tr>
      <w:tr w:rsidR="00072A80" w:rsidRPr="00072A80" w14:paraId="2CCAB5A5" w14:textId="77777777" w:rsidTr="00072A80">
        <w:trPr>
          <w:trHeight w:val="283"/>
        </w:trPr>
        <w:tc>
          <w:tcPr>
            <w:tcW w:w="7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25325FBD" w14:textId="77777777" w:rsidR="00072A80" w:rsidRPr="00072A80" w:rsidRDefault="00072A80" w:rsidP="00072A80">
            <w:pPr>
              <w:spacing w:after="0" w:line="240" w:lineRule="auto"/>
              <w:jc w:val="left"/>
              <w:rPr>
                <w:rFonts w:cstheme="minorHAnsi"/>
                <w:color w:val="000000"/>
              </w:rPr>
            </w:pPr>
            <w:r w:rsidRPr="00072A80">
              <w:rPr>
                <w:rFonts w:cstheme="minorHAnsi"/>
                <w:color w:val="000000"/>
              </w:rPr>
              <w:t>LPG Tüpü Muayenesi Tamiri Bakımı Lisansı</w:t>
            </w:r>
          </w:p>
        </w:tc>
        <w:tc>
          <w:tcPr>
            <w:tcW w:w="54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188F9414" w14:textId="77777777" w:rsidR="00072A80" w:rsidRPr="00072A80" w:rsidRDefault="00072A80" w:rsidP="00072A80">
            <w:pPr>
              <w:spacing w:after="0" w:line="240" w:lineRule="auto"/>
              <w:jc w:val="right"/>
              <w:rPr>
                <w:rFonts w:ascii="Calibri"/>
                <w:w w:val="95"/>
              </w:rPr>
            </w:pPr>
            <w:r w:rsidRPr="00072A80">
              <w:rPr>
                <w:rFonts w:ascii="Calibri"/>
                <w:w w:val="95"/>
              </w:rPr>
              <w:t> </w:t>
            </w:r>
          </w:p>
        </w:tc>
        <w:tc>
          <w:tcPr>
            <w:tcW w:w="54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57308281" w14:textId="77777777" w:rsidR="00072A80" w:rsidRPr="00072A80" w:rsidRDefault="00072A80" w:rsidP="00072A80">
            <w:pPr>
              <w:spacing w:after="0" w:line="240" w:lineRule="auto"/>
              <w:jc w:val="right"/>
              <w:rPr>
                <w:rFonts w:ascii="Calibri"/>
                <w:w w:val="95"/>
              </w:rPr>
            </w:pPr>
            <w:r w:rsidRPr="00072A80">
              <w:rPr>
                <w:rFonts w:ascii="Calibri"/>
                <w:w w:val="95"/>
              </w:rPr>
              <w:t> </w:t>
            </w:r>
          </w:p>
        </w:tc>
        <w:tc>
          <w:tcPr>
            <w:tcW w:w="83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7B0B7463" w14:textId="77777777" w:rsidR="00072A80" w:rsidRPr="00072A80" w:rsidRDefault="00072A80" w:rsidP="00072A80">
            <w:pPr>
              <w:spacing w:after="0" w:line="240" w:lineRule="auto"/>
              <w:jc w:val="right"/>
              <w:rPr>
                <w:rFonts w:ascii="Calibri"/>
                <w:w w:val="95"/>
              </w:rPr>
            </w:pPr>
            <w:r w:rsidRPr="00072A80">
              <w:rPr>
                <w:rFonts w:ascii="Calibri"/>
                <w:w w:val="95"/>
              </w:rPr>
              <w:t>2</w:t>
            </w:r>
          </w:p>
        </w:tc>
        <w:tc>
          <w:tcPr>
            <w:tcW w:w="54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017CFEE4" w14:textId="77777777" w:rsidR="00072A80" w:rsidRPr="00072A80" w:rsidRDefault="00072A80" w:rsidP="00072A80">
            <w:pPr>
              <w:spacing w:after="0" w:line="240" w:lineRule="auto"/>
              <w:jc w:val="right"/>
              <w:rPr>
                <w:rFonts w:ascii="Calibri"/>
                <w:w w:val="95"/>
              </w:rPr>
            </w:pPr>
            <w:r w:rsidRPr="00072A80">
              <w:rPr>
                <w:rFonts w:ascii="Calibri"/>
                <w:w w:val="95"/>
              </w:rPr>
              <w:t> </w:t>
            </w:r>
          </w:p>
        </w:tc>
        <w:tc>
          <w:tcPr>
            <w:tcW w:w="5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334B2D4C" w14:textId="77777777" w:rsidR="00072A80" w:rsidRPr="00072A80" w:rsidRDefault="00072A80" w:rsidP="00072A80">
            <w:pPr>
              <w:spacing w:after="0" w:line="240" w:lineRule="auto"/>
              <w:jc w:val="right"/>
              <w:rPr>
                <w:rFonts w:ascii="Calibri"/>
                <w:w w:val="95"/>
              </w:rPr>
            </w:pPr>
            <w:r w:rsidRPr="00072A80">
              <w:rPr>
                <w:rFonts w:ascii="Calibri"/>
                <w:w w:val="95"/>
              </w:rPr>
              <w:t>4</w:t>
            </w:r>
          </w:p>
        </w:tc>
        <w:tc>
          <w:tcPr>
            <w:tcW w:w="5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6615867D" w14:textId="77777777" w:rsidR="00072A80" w:rsidRPr="00072A80" w:rsidRDefault="00072A80" w:rsidP="00072A80">
            <w:pPr>
              <w:spacing w:after="0" w:line="240" w:lineRule="auto"/>
              <w:jc w:val="right"/>
              <w:rPr>
                <w:rFonts w:ascii="Calibri" w:hAnsi="Calibri" w:cs="Calibri"/>
              </w:rPr>
            </w:pPr>
            <w:r w:rsidRPr="00072A80">
              <w:rPr>
                <w:rFonts w:ascii="Calibri" w:hAnsi="Calibri" w:cs="Calibri"/>
              </w:rPr>
              <w:t>6</w:t>
            </w:r>
          </w:p>
        </w:tc>
        <w:tc>
          <w:tcPr>
            <w:tcW w:w="6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62D5527F" w14:textId="77777777" w:rsidR="00072A80" w:rsidRPr="00072A80" w:rsidRDefault="00072A80" w:rsidP="00072A80">
            <w:pPr>
              <w:spacing w:after="0" w:line="240" w:lineRule="auto"/>
              <w:jc w:val="right"/>
              <w:rPr>
                <w:rFonts w:ascii="Calibri"/>
                <w:w w:val="95"/>
              </w:rPr>
            </w:pPr>
            <w:r w:rsidRPr="00072A80">
              <w:rPr>
                <w:rFonts w:ascii="Calibri"/>
                <w:w w:val="95"/>
              </w:rPr>
              <w:t>54</w:t>
            </w:r>
          </w:p>
        </w:tc>
      </w:tr>
      <w:tr w:rsidR="00072A80" w:rsidRPr="00072A80" w14:paraId="2929B28B" w14:textId="77777777" w:rsidTr="00072A80">
        <w:trPr>
          <w:trHeight w:val="283"/>
        </w:trPr>
        <w:tc>
          <w:tcPr>
            <w:tcW w:w="7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77A736CE" w14:textId="77777777" w:rsidR="00072A80" w:rsidRPr="00072A80" w:rsidRDefault="00072A80" w:rsidP="00072A80">
            <w:pPr>
              <w:spacing w:after="0" w:line="240" w:lineRule="auto"/>
              <w:jc w:val="left"/>
              <w:rPr>
                <w:rFonts w:cstheme="minorHAnsi"/>
                <w:color w:val="000000"/>
              </w:rPr>
            </w:pPr>
            <w:r w:rsidRPr="00072A80">
              <w:rPr>
                <w:rFonts w:cstheme="minorHAnsi"/>
                <w:b/>
                <w:bCs/>
                <w:color w:val="000000"/>
              </w:rPr>
              <w:t>Toplam</w:t>
            </w:r>
          </w:p>
        </w:tc>
        <w:tc>
          <w:tcPr>
            <w:tcW w:w="54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64EE820E" w14:textId="77777777" w:rsidR="00072A80" w:rsidRPr="00072A80" w:rsidRDefault="00072A80" w:rsidP="00072A80">
            <w:pPr>
              <w:spacing w:after="0" w:line="240" w:lineRule="auto"/>
              <w:jc w:val="right"/>
              <w:rPr>
                <w:rFonts w:ascii="Calibri"/>
                <w:w w:val="95"/>
              </w:rPr>
            </w:pPr>
            <w:r w:rsidRPr="00072A80">
              <w:rPr>
                <w:rFonts w:ascii="Calibri"/>
                <w:w w:val="95"/>
              </w:rPr>
              <w:t>597</w:t>
            </w:r>
          </w:p>
        </w:tc>
        <w:tc>
          <w:tcPr>
            <w:tcW w:w="54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2D0051CB" w14:textId="77777777" w:rsidR="00072A80" w:rsidRPr="00072A80" w:rsidRDefault="00072A80" w:rsidP="00072A80">
            <w:pPr>
              <w:spacing w:after="0" w:line="240" w:lineRule="auto"/>
              <w:jc w:val="right"/>
              <w:rPr>
                <w:rFonts w:ascii="Calibri"/>
                <w:w w:val="95"/>
              </w:rPr>
            </w:pPr>
            <w:r w:rsidRPr="00072A80">
              <w:rPr>
                <w:rFonts w:ascii="Calibri"/>
                <w:w w:val="95"/>
              </w:rPr>
              <w:t>584</w:t>
            </w:r>
          </w:p>
        </w:tc>
        <w:tc>
          <w:tcPr>
            <w:tcW w:w="83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004E9225" w14:textId="77777777" w:rsidR="00072A80" w:rsidRPr="00072A80" w:rsidRDefault="00072A80" w:rsidP="00072A80">
            <w:pPr>
              <w:spacing w:after="0" w:line="240" w:lineRule="auto"/>
              <w:jc w:val="right"/>
              <w:rPr>
                <w:rFonts w:ascii="Calibri"/>
                <w:w w:val="95"/>
              </w:rPr>
            </w:pPr>
            <w:r w:rsidRPr="00072A80">
              <w:rPr>
                <w:rFonts w:ascii="Calibri"/>
                <w:w w:val="95"/>
              </w:rPr>
              <w:t>645</w:t>
            </w:r>
          </w:p>
        </w:tc>
        <w:tc>
          <w:tcPr>
            <w:tcW w:w="54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61494E29" w14:textId="77777777" w:rsidR="00072A80" w:rsidRPr="00072A80" w:rsidRDefault="00072A80" w:rsidP="00072A80">
            <w:pPr>
              <w:spacing w:after="0" w:line="240" w:lineRule="auto"/>
              <w:jc w:val="right"/>
              <w:rPr>
                <w:rFonts w:ascii="Calibri"/>
                <w:w w:val="95"/>
              </w:rPr>
            </w:pPr>
            <w:r w:rsidRPr="00072A80">
              <w:rPr>
                <w:rFonts w:ascii="Calibri"/>
                <w:w w:val="95"/>
              </w:rPr>
              <w:t> </w:t>
            </w:r>
          </w:p>
        </w:tc>
        <w:tc>
          <w:tcPr>
            <w:tcW w:w="5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544867FE" w14:textId="77777777" w:rsidR="00072A80" w:rsidRPr="00072A80" w:rsidRDefault="00072A80" w:rsidP="00072A80">
            <w:pPr>
              <w:spacing w:after="0" w:line="240" w:lineRule="auto"/>
              <w:jc w:val="right"/>
              <w:rPr>
                <w:rFonts w:ascii="Calibri"/>
                <w:w w:val="95"/>
              </w:rPr>
            </w:pPr>
            <w:r w:rsidRPr="00072A80">
              <w:rPr>
                <w:rFonts w:ascii="Calibri"/>
                <w:w w:val="95"/>
              </w:rPr>
              <w:t>908</w:t>
            </w:r>
          </w:p>
        </w:tc>
        <w:tc>
          <w:tcPr>
            <w:tcW w:w="5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78CA4F1D" w14:textId="77777777" w:rsidR="00072A80" w:rsidRPr="00072A80" w:rsidRDefault="00072A80" w:rsidP="00072A80">
            <w:pPr>
              <w:spacing w:after="0" w:line="240" w:lineRule="auto"/>
              <w:jc w:val="right"/>
              <w:rPr>
                <w:rFonts w:ascii="Calibri" w:hAnsi="Calibri" w:cs="Calibri"/>
              </w:rPr>
            </w:pPr>
            <w:r w:rsidRPr="00072A80">
              <w:rPr>
                <w:rFonts w:ascii="Calibri" w:hAnsi="Calibri" w:cs="Calibri"/>
              </w:rPr>
              <w:t>2.734</w:t>
            </w:r>
          </w:p>
        </w:tc>
        <w:tc>
          <w:tcPr>
            <w:tcW w:w="64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044A158F" w14:textId="77777777" w:rsidR="00072A80" w:rsidRPr="00072A80" w:rsidRDefault="00072A80" w:rsidP="00072A80">
            <w:pPr>
              <w:spacing w:after="0" w:line="240" w:lineRule="auto"/>
              <w:jc w:val="right"/>
              <w:rPr>
                <w:rFonts w:ascii="Calibri"/>
                <w:w w:val="95"/>
              </w:rPr>
            </w:pPr>
            <w:r w:rsidRPr="00072A80">
              <w:rPr>
                <w:rFonts w:ascii="Calibri"/>
                <w:w w:val="95"/>
              </w:rPr>
              <w:t>11.068</w:t>
            </w:r>
          </w:p>
        </w:tc>
      </w:tr>
    </w:tbl>
    <w:p w14:paraId="0F202990" w14:textId="77777777" w:rsidR="005748C0" w:rsidRPr="002048A7" w:rsidRDefault="00B32C14" w:rsidP="00577AAF">
      <w:pPr>
        <w:pStyle w:val="Balk4"/>
        <w:numPr>
          <w:ilvl w:val="2"/>
          <w:numId w:val="11"/>
        </w:numPr>
        <w:spacing w:after="240"/>
        <w:rPr>
          <w:rStyle w:val="Gl"/>
          <w:rFonts w:cstheme="minorHAnsi"/>
          <w:color w:val="000000" w:themeColor="text1"/>
        </w:rPr>
      </w:pPr>
      <w:bookmarkStart w:id="158" w:name="_Toc416447591"/>
      <w:bookmarkStart w:id="159" w:name="_Toc442441741"/>
      <w:bookmarkStart w:id="160" w:name="_Toc195868707"/>
      <w:r w:rsidRPr="002048A7">
        <w:rPr>
          <w:rFonts w:asciiTheme="minorHAnsi" w:hAnsiTheme="minorHAnsi" w:cstheme="minorHAnsi"/>
          <w:bCs w:val="0"/>
          <w:i w:val="0"/>
          <w:iCs w:val="0"/>
          <w:color w:val="auto"/>
        </w:rPr>
        <w:lastRenderedPageBreak/>
        <w:t>Sıvılaştırılmış Petrol Gazları (LPG) Piyasası Kupon İzni Verme Faaliyetleri</w:t>
      </w:r>
      <w:r w:rsidRPr="002048A7">
        <w:rPr>
          <w:rFonts w:asciiTheme="minorHAnsi" w:hAnsiTheme="minorHAnsi" w:cstheme="minorHAnsi"/>
          <w:bCs w:val="0"/>
          <w:i w:val="0"/>
          <w:iCs w:val="0"/>
          <w:color w:val="auto"/>
        </w:rPr>
        <w:t> </w:t>
      </w:r>
      <w:bookmarkStart w:id="161" w:name="_Toc416447593"/>
      <w:bookmarkStart w:id="162" w:name="_Toc442441742"/>
      <w:bookmarkEnd w:id="158"/>
      <w:bookmarkEnd w:id="159"/>
      <w:bookmarkEnd w:id="160"/>
    </w:p>
    <w:p w14:paraId="5FE72691" w14:textId="77777777" w:rsidR="005748C0" w:rsidRPr="002048A7" w:rsidRDefault="00FC2252" w:rsidP="00FC2252">
      <w:r w:rsidRPr="002048A7">
        <w:t xml:space="preserve">Ulusal Petrol Stok Komisyonun 2017/1 sayılı Kararı ve LPG Piyasasında Zorunlu Petrol Stoku ve Zorunlu Petrol Stokunun Kupon Sistemi Kapsamında LPG Olarak Tutulabilmesine Dair Karar kapsamında, </w:t>
      </w:r>
      <w:r w:rsidR="00DE2860" w:rsidRPr="002048A7">
        <w:t>202</w:t>
      </w:r>
      <w:r w:rsidR="000E274F">
        <w:t>4</w:t>
      </w:r>
      <w:r w:rsidR="00DE2860" w:rsidRPr="002048A7">
        <w:t xml:space="preserve"> yılında (202</w:t>
      </w:r>
      <w:r w:rsidR="009833F3" w:rsidRPr="002048A7">
        <w:t>4</w:t>
      </w:r>
      <w:r w:rsidR="00DE2860" w:rsidRPr="002048A7">
        <w:t xml:space="preserve"> yılında hizmet vermek üzere) </w:t>
      </w:r>
      <w:r w:rsidR="000E274F">
        <w:t>9</w:t>
      </w:r>
      <w:r w:rsidR="00DE2860" w:rsidRPr="002048A7">
        <w:t xml:space="preserve"> Dağıtıcı lisansı sahibi şirkete ve 4 Rafinerici lisansı tesisine lisans bazında kupon izni verilmiştir.</w:t>
      </w:r>
      <w:r w:rsidRPr="002048A7">
        <w:t xml:space="preserve"> </w:t>
      </w:r>
    </w:p>
    <w:p w14:paraId="41BF7DCA" w14:textId="77777777" w:rsidR="00CB5826" w:rsidRDefault="00CB5826" w:rsidP="00C466F8">
      <w:pPr>
        <w:pStyle w:val="Balk5"/>
        <w:jc w:val="center"/>
        <w:rPr>
          <w:rStyle w:val="Gl"/>
          <w:color w:val="000000" w:themeColor="text1"/>
        </w:rPr>
      </w:pPr>
      <w:bookmarkStart w:id="163" w:name="_Toc195868810"/>
      <w:r w:rsidRPr="002048A7">
        <w:rPr>
          <w:rStyle w:val="Gl"/>
          <w:color w:val="000000" w:themeColor="text1"/>
        </w:rPr>
        <w:t>T</w:t>
      </w:r>
      <w:r w:rsidR="004E03B6" w:rsidRPr="002048A7">
        <w:rPr>
          <w:rStyle w:val="Gl"/>
          <w:color w:val="000000" w:themeColor="text1"/>
        </w:rPr>
        <w:t>ablo 3.1</w:t>
      </w:r>
      <w:r w:rsidR="0007594C" w:rsidRPr="002048A7">
        <w:rPr>
          <w:rStyle w:val="Gl"/>
          <w:color w:val="000000" w:themeColor="text1"/>
        </w:rPr>
        <w:t>4</w:t>
      </w:r>
      <w:r w:rsidR="004132BA" w:rsidRPr="002048A7">
        <w:rPr>
          <w:rStyle w:val="Gl"/>
          <w:color w:val="000000" w:themeColor="text1"/>
        </w:rPr>
        <w:t>: 202</w:t>
      </w:r>
      <w:r w:rsidR="000E274F">
        <w:rPr>
          <w:rStyle w:val="Gl"/>
          <w:color w:val="000000" w:themeColor="text1"/>
        </w:rPr>
        <w:t>4</w:t>
      </w:r>
      <w:r w:rsidRPr="002048A7">
        <w:rPr>
          <w:rStyle w:val="Gl"/>
          <w:color w:val="000000" w:themeColor="text1"/>
        </w:rPr>
        <w:t xml:space="preserve"> Yılı Sonu İtibar</w:t>
      </w:r>
      <w:r w:rsidR="00B32DD7" w:rsidRPr="002048A7">
        <w:rPr>
          <w:rStyle w:val="Gl"/>
          <w:color w:val="000000" w:themeColor="text1"/>
        </w:rPr>
        <w:t>ı</w:t>
      </w:r>
      <w:r w:rsidRPr="002048A7">
        <w:rPr>
          <w:rStyle w:val="Gl"/>
          <w:color w:val="000000" w:themeColor="text1"/>
        </w:rPr>
        <w:t>yl</w:t>
      </w:r>
      <w:r w:rsidR="00B32DD7" w:rsidRPr="002048A7">
        <w:rPr>
          <w:rStyle w:val="Gl"/>
          <w:color w:val="000000" w:themeColor="text1"/>
        </w:rPr>
        <w:t>a</w:t>
      </w:r>
      <w:r w:rsidRPr="002048A7">
        <w:rPr>
          <w:rStyle w:val="Gl"/>
          <w:color w:val="000000" w:themeColor="text1"/>
        </w:rPr>
        <w:t xml:space="preserve"> LPG Piyasası Depolama </w:t>
      </w:r>
      <w:r w:rsidR="009833F3" w:rsidRPr="002048A7">
        <w:rPr>
          <w:rStyle w:val="Gl"/>
          <w:color w:val="000000" w:themeColor="text1"/>
        </w:rPr>
        <w:t>Kapasitesi</w:t>
      </w:r>
      <w:r w:rsidRPr="002048A7">
        <w:rPr>
          <w:rStyle w:val="Gl"/>
          <w:color w:val="000000" w:themeColor="text1"/>
        </w:rPr>
        <w:t xml:space="preserve"> Bilgileri</w:t>
      </w:r>
      <w:bookmarkEnd w:id="161"/>
      <w:bookmarkEnd w:id="162"/>
      <w:bookmarkEnd w:id="163"/>
    </w:p>
    <w:tbl>
      <w:tblPr>
        <w:tblW w:w="87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30"/>
        <w:gridCol w:w="2379"/>
        <w:gridCol w:w="3747"/>
      </w:tblGrid>
      <w:tr w:rsidR="000E274F" w:rsidRPr="002048A7" w14:paraId="2D6912C8" w14:textId="77777777" w:rsidTr="000E274F">
        <w:trPr>
          <w:trHeight w:val="552"/>
          <w:tblHeader/>
          <w:jc w:val="center"/>
        </w:trPr>
        <w:tc>
          <w:tcPr>
            <w:tcW w:w="2630" w:type="dxa"/>
            <w:shd w:val="clear" w:color="6E9ECA" w:fill="6E9ECA"/>
            <w:hideMark/>
          </w:tcPr>
          <w:p w14:paraId="6A49848C" w14:textId="77777777" w:rsidR="000E274F" w:rsidRPr="002048A7" w:rsidRDefault="000E274F" w:rsidP="000E274F">
            <w:pPr>
              <w:spacing w:after="0" w:line="240" w:lineRule="auto"/>
              <w:rPr>
                <w:rFonts w:eastAsia="Times New Roman" w:cstheme="minorHAnsi"/>
                <w:b/>
                <w:color w:val="FFFFFF" w:themeColor="background1"/>
                <w:lang w:eastAsia="tr-TR"/>
              </w:rPr>
            </w:pPr>
            <w:r w:rsidRPr="002048A7">
              <w:rPr>
                <w:rFonts w:eastAsia="Times New Roman" w:cstheme="minorHAnsi"/>
                <w:b/>
                <w:color w:val="FFFFFF" w:themeColor="background1"/>
                <w:lang w:eastAsia="tr-TR"/>
              </w:rPr>
              <w:t>Tesisin Bulunduğu İl</w:t>
            </w:r>
          </w:p>
        </w:tc>
        <w:tc>
          <w:tcPr>
            <w:tcW w:w="2379" w:type="dxa"/>
            <w:shd w:val="clear" w:color="6E9ECA" w:fill="6E9ECA"/>
            <w:hideMark/>
          </w:tcPr>
          <w:p w14:paraId="216EEAB8" w14:textId="77777777" w:rsidR="000E274F" w:rsidRPr="002048A7" w:rsidRDefault="000E274F" w:rsidP="000E274F">
            <w:pPr>
              <w:spacing w:after="0" w:line="240" w:lineRule="auto"/>
              <w:jc w:val="center"/>
              <w:rPr>
                <w:rFonts w:eastAsia="Times New Roman" w:cstheme="minorHAnsi"/>
                <w:b/>
                <w:color w:val="FFFFFF" w:themeColor="background1"/>
                <w:lang w:eastAsia="tr-TR"/>
              </w:rPr>
            </w:pPr>
            <w:r w:rsidRPr="002048A7">
              <w:rPr>
                <w:rFonts w:eastAsia="Times New Roman" w:cstheme="minorHAnsi"/>
                <w:b/>
                <w:color w:val="FFFFFF" w:themeColor="background1"/>
                <w:lang w:eastAsia="tr-TR"/>
              </w:rPr>
              <w:t>Toplam Kapasite (m</w:t>
            </w:r>
            <w:r w:rsidRPr="00BA3B20">
              <w:rPr>
                <w:rFonts w:eastAsia="Times New Roman" w:cstheme="minorHAnsi"/>
                <w:b/>
                <w:color w:val="FFFFFF" w:themeColor="background1"/>
                <w:vertAlign w:val="superscript"/>
                <w:lang w:eastAsia="tr-TR"/>
              </w:rPr>
              <w:t>3</w:t>
            </w:r>
            <w:r w:rsidRPr="002048A7">
              <w:rPr>
                <w:rFonts w:eastAsia="Times New Roman" w:cstheme="minorHAnsi"/>
                <w:b/>
                <w:color w:val="FFFFFF" w:themeColor="background1"/>
                <w:lang w:eastAsia="tr-TR"/>
              </w:rPr>
              <w:t>)</w:t>
            </w:r>
          </w:p>
        </w:tc>
        <w:tc>
          <w:tcPr>
            <w:tcW w:w="3747" w:type="dxa"/>
            <w:shd w:val="clear" w:color="6E9ECA" w:fill="6E9ECA"/>
            <w:hideMark/>
          </w:tcPr>
          <w:p w14:paraId="372F51FC" w14:textId="77777777" w:rsidR="000E274F" w:rsidRPr="002048A7" w:rsidRDefault="000E274F" w:rsidP="000E274F">
            <w:pPr>
              <w:spacing w:after="0" w:line="240" w:lineRule="auto"/>
              <w:jc w:val="center"/>
              <w:rPr>
                <w:rFonts w:eastAsia="Times New Roman" w:cstheme="minorHAnsi"/>
                <w:b/>
                <w:color w:val="FFFFFF" w:themeColor="background1"/>
                <w:lang w:eastAsia="tr-TR"/>
              </w:rPr>
            </w:pPr>
            <w:r w:rsidRPr="002048A7">
              <w:rPr>
                <w:rFonts w:eastAsia="Times New Roman" w:cstheme="minorHAnsi"/>
                <w:b/>
                <w:color w:val="FFFFFF" w:themeColor="background1"/>
                <w:lang w:eastAsia="tr-TR"/>
              </w:rPr>
              <w:t>Toplam Depolama Kapasitesindeki Payı (%)</w:t>
            </w:r>
          </w:p>
        </w:tc>
      </w:tr>
      <w:tr w:rsidR="000E274F" w:rsidRPr="002048A7" w14:paraId="2281D7DA" w14:textId="77777777" w:rsidTr="000E274F">
        <w:trPr>
          <w:trHeight w:val="288"/>
          <w:jc w:val="center"/>
        </w:trPr>
        <w:tc>
          <w:tcPr>
            <w:tcW w:w="2630" w:type="dxa"/>
            <w:tcBorders>
              <w:top w:val="single" w:sz="4" w:space="0" w:color="D3D3D3"/>
              <w:left w:val="single" w:sz="4" w:space="0" w:color="D3D3D3"/>
              <w:bottom w:val="single" w:sz="4" w:space="0" w:color="D3D3D3"/>
              <w:right w:val="single" w:sz="4" w:space="0" w:color="D3D3D3"/>
            </w:tcBorders>
            <w:shd w:val="clear" w:color="auto" w:fill="auto"/>
            <w:hideMark/>
          </w:tcPr>
          <w:p w14:paraId="33023B27" w14:textId="77777777" w:rsidR="000E274F" w:rsidRPr="002048A7" w:rsidRDefault="000E274F" w:rsidP="000E274F">
            <w:pPr>
              <w:spacing w:after="0" w:line="240" w:lineRule="auto"/>
              <w:rPr>
                <w:rFonts w:eastAsia="Times New Roman" w:cstheme="minorHAnsi"/>
                <w:color w:val="000000"/>
                <w:lang w:eastAsia="tr-TR"/>
              </w:rPr>
            </w:pPr>
            <w:r w:rsidRPr="002048A7">
              <w:rPr>
                <w:rFonts w:ascii="Tahoma" w:hAnsi="Tahoma" w:cs="Tahoma"/>
                <w:color w:val="000000"/>
                <w:sz w:val="20"/>
                <w:szCs w:val="20"/>
              </w:rPr>
              <w:t>ADANA</w:t>
            </w:r>
          </w:p>
        </w:tc>
        <w:tc>
          <w:tcPr>
            <w:tcW w:w="2379" w:type="dxa"/>
            <w:tcBorders>
              <w:top w:val="single" w:sz="4" w:space="0" w:color="D3D3D3"/>
              <w:left w:val="nil"/>
              <w:bottom w:val="single" w:sz="4" w:space="0" w:color="D3D3D3"/>
              <w:right w:val="single" w:sz="4" w:space="0" w:color="D3D3D3"/>
            </w:tcBorders>
            <w:shd w:val="clear" w:color="auto" w:fill="auto"/>
            <w:noWrap/>
            <w:vAlign w:val="bottom"/>
          </w:tcPr>
          <w:p w14:paraId="77A41F5B" w14:textId="77777777" w:rsidR="000E274F" w:rsidRPr="002048A7" w:rsidRDefault="000E274F" w:rsidP="000E274F">
            <w:pPr>
              <w:spacing w:after="0" w:line="240" w:lineRule="auto"/>
              <w:jc w:val="right"/>
              <w:rPr>
                <w:rFonts w:eastAsia="Times New Roman" w:cstheme="minorHAnsi"/>
                <w:color w:val="000000"/>
                <w:lang w:eastAsia="tr-TR"/>
              </w:rPr>
            </w:pPr>
            <w:r>
              <w:rPr>
                <w:rFonts w:ascii="Calibri" w:hAnsi="Calibri" w:cs="Calibri"/>
                <w:color w:val="000000"/>
              </w:rPr>
              <w:t>950,000</w:t>
            </w:r>
          </w:p>
        </w:tc>
        <w:tc>
          <w:tcPr>
            <w:tcW w:w="3747" w:type="dxa"/>
            <w:tcBorders>
              <w:top w:val="single" w:sz="4" w:space="0" w:color="D3D3D3"/>
              <w:left w:val="nil"/>
              <w:bottom w:val="single" w:sz="4" w:space="0" w:color="D3D3D3"/>
              <w:right w:val="single" w:sz="4" w:space="0" w:color="D3D3D3"/>
            </w:tcBorders>
            <w:shd w:val="clear" w:color="auto" w:fill="auto"/>
            <w:noWrap/>
            <w:vAlign w:val="bottom"/>
            <w:hideMark/>
          </w:tcPr>
          <w:p w14:paraId="6E53DE3E" w14:textId="77777777" w:rsidR="000E274F" w:rsidRPr="00FD454C" w:rsidRDefault="000E274F" w:rsidP="000E274F">
            <w:pPr>
              <w:spacing w:after="0" w:line="240" w:lineRule="auto"/>
              <w:jc w:val="center"/>
              <w:rPr>
                <w:rFonts w:eastAsia="Times New Roman" w:cstheme="minorHAnsi"/>
                <w:color w:val="000000"/>
                <w:lang w:eastAsia="tr-TR"/>
              </w:rPr>
            </w:pPr>
            <w:r>
              <w:rPr>
                <w:rFonts w:ascii="Calibri" w:hAnsi="Calibri" w:cs="Calibri"/>
                <w:color w:val="000000"/>
              </w:rPr>
              <w:t xml:space="preserve">0,12 </w:t>
            </w:r>
          </w:p>
        </w:tc>
      </w:tr>
      <w:tr w:rsidR="000E274F" w:rsidRPr="002048A7" w14:paraId="6339AE3E" w14:textId="77777777" w:rsidTr="000E274F">
        <w:trPr>
          <w:trHeight w:val="288"/>
          <w:jc w:val="center"/>
        </w:trPr>
        <w:tc>
          <w:tcPr>
            <w:tcW w:w="2630" w:type="dxa"/>
            <w:tcBorders>
              <w:top w:val="nil"/>
              <w:left w:val="single" w:sz="4" w:space="0" w:color="D3D3D3"/>
              <w:bottom w:val="single" w:sz="4" w:space="0" w:color="D3D3D3"/>
              <w:right w:val="single" w:sz="4" w:space="0" w:color="D3D3D3"/>
            </w:tcBorders>
            <w:shd w:val="clear" w:color="auto" w:fill="auto"/>
            <w:hideMark/>
          </w:tcPr>
          <w:p w14:paraId="6A428C40" w14:textId="77777777" w:rsidR="000E274F" w:rsidRPr="002048A7" w:rsidRDefault="000E274F" w:rsidP="000E274F">
            <w:pPr>
              <w:spacing w:after="0" w:line="240" w:lineRule="auto"/>
              <w:rPr>
                <w:rFonts w:eastAsia="Times New Roman" w:cstheme="minorHAnsi"/>
                <w:color w:val="000000"/>
                <w:lang w:eastAsia="tr-TR"/>
              </w:rPr>
            </w:pPr>
            <w:r w:rsidRPr="002048A7">
              <w:rPr>
                <w:rFonts w:ascii="Tahoma" w:hAnsi="Tahoma" w:cs="Tahoma"/>
                <w:color w:val="000000"/>
                <w:sz w:val="20"/>
                <w:szCs w:val="20"/>
              </w:rPr>
              <w:t>ADIYAMAN</w:t>
            </w:r>
          </w:p>
        </w:tc>
        <w:tc>
          <w:tcPr>
            <w:tcW w:w="2379" w:type="dxa"/>
            <w:tcBorders>
              <w:top w:val="nil"/>
              <w:left w:val="nil"/>
              <w:bottom w:val="single" w:sz="4" w:space="0" w:color="D3D3D3"/>
              <w:right w:val="single" w:sz="4" w:space="0" w:color="D3D3D3"/>
            </w:tcBorders>
            <w:shd w:val="clear" w:color="auto" w:fill="auto"/>
            <w:noWrap/>
            <w:vAlign w:val="bottom"/>
          </w:tcPr>
          <w:p w14:paraId="160B6D16" w14:textId="77777777" w:rsidR="000E274F" w:rsidRPr="002048A7" w:rsidRDefault="000E274F" w:rsidP="000E274F">
            <w:pPr>
              <w:spacing w:after="0" w:line="240" w:lineRule="auto"/>
              <w:jc w:val="right"/>
              <w:rPr>
                <w:rFonts w:eastAsia="Times New Roman" w:cstheme="minorHAnsi"/>
                <w:color w:val="000000"/>
                <w:lang w:eastAsia="tr-TR"/>
              </w:rPr>
            </w:pPr>
            <w:r>
              <w:rPr>
                <w:rFonts w:ascii="Calibri" w:hAnsi="Calibri" w:cs="Calibri"/>
                <w:color w:val="000000"/>
              </w:rPr>
              <w:t>1.115,000</w:t>
            </w:r>
          </w:p>
        </w:tc>
        <w:tc>
          <w:tcPr>
            <w:tcW w:w="3747" w:type="dxa"/>
            <w:tcBorders>
              <w:top w:val="nil"/>
              <w:left w:val="nil"/>
              <w:bottom w:val="single" w:sz="4" w:space="0" w:color="D3D3D3"/>
              <w:right w:val="single" w:sz="4" w:space="0" w:color="D3D3D3"/>
            </w:tcBorders>
            <w:shd w:val="clear" w:color="auto" w:fill="auto"/>
            <w:noWrap/>
            <w:vAlign w:val="bottom"/>
            <w:hideMark/>
          </w:tcPr>
          <w:p w14:paraId="4F64A5CE" w14:textId="77777777" w:rsidR="000E274F" w:rsidRPr="00FD454C" w:rsidRDefault="000E274F" w:rsidP="000E274F">
            <w:pPr>
              <w:spacing w:after="0" w:line="240" w:lineRule="auto"/>
              <w:jc w:val="center"/>
              <w:rPr>
                <w:rFonts w:eastAsia="Times New Roman" w:cstheme="minorHAnsi"/>
                <w:color w:val="000000"/>
                <w:lang w:eastAsia="tr-TR"/>
              </w:rPr>
            </w:pPr>
            <w:r>
              <w:rPr>
                <w:rFonts w:ascii="Calibri" w:hAnsi="Calibri" w:cs="Calibri"/>
                <w:color w:val="000000"/>
              </w:rPr>
              <w:t xml:space="preserve">0,14 </w:t>
            </w:r>
          </w:p>
        </w:tc>
      </w:tr>
      <w:tr w:rsidR="000E274F" w:rsidRPr="002048A7" w14:paraId="2E1FC172" w14:textId="77777777" w:rsidTr="000E274F">
        <w:trPr>
          <w:trHeight w:val="288"/>
          <w:jc w:val="center"/>
        </w:trPr>
        <w:tc>
          <w:tcPr>
            <w:tcW w:w="2630" w:type="dxa"/>
            <w:tcBorders>
              <w:top w:val="nil"/>
              <w:left w:val="single" w:sz="4" w:space="0" w:color="D3D3D3"/>
              <w:bottom w:val="single" w:sz="4" w:space="0" w:color="D3D3D3"/>
              <w:right w:val="single" w:sz="4" w:space="0" w:color="D3D3D3"/>
            </w:tcBorders>
            <w:shd w:val="clear" w:color="auto" w:fill="auto"/>
            <w:hideMark/>
          </w:tcPr>
          <w:p w14:paraId="36DE7BA2" w14:textId="77777777" w:rsidR="000E274F" w:rsidRPr="002048A7" w:rsidRDefault="000E274F" w:rsidP="000E274F">
            <w:pPr>
              <w:spacing w:after="0" w:line="240" w:lineRule="auto"/>
              <w:rPr>
                <w:rFonts w:eastAsia="Times New Roman" w:cstheme="minorHAnsi"/>
                <w:color w:val="000000"/>
                <w:lang w:eastAsia="tr-TR"/>
              </w:rPr>
            </w:pPr>
            <w:r>
              <w:rPr>
                <w:rFonts w:ascii="Tahoma" w:hAnsi="Tahoma" w:cs="Tahoma"/>
                <w:color w:val="000000"/>
                <w:sz w:val="20"/>
                <w:szCs w:val="20"/>
              </w:rPr>
              <w:t xml:space="preserve">AFYONKARAHİSAR </w:t>
            </w:r>
          </w:p>
        </w:tc>
        <w:tc>
          <w:tcPr>
            <w:tcW w:w="2379" w:type="dxa"/>
            <w:tcBorders>
              <w:top w:val="nil"/>
              <w:left w:val="nil"/>
              <w:bottom w:val="single" w:sz="4" w:space="0" w:color="D3D3D3"/>
              <w:right w:val="single" w:sz="4" w:space="0" w:color="D3D3D3"/>
            </w:tcBorders>
            <w:shd w:val="clear" w:color="auto" w:fill="auto"/>
            <w:noWrap/>
            <w:vAlign w:val="bottom"/>
          </w:tcPr>
          <w:p w14:paraId="1039BA0A" w14:textId="77777777" w:rsidR="000E274F" w:rsidRPr="002048A7" w:rsidRDefault="000E274F" w:rsidP="000E274F">
            <w:pPr>
              <w:spacing w:after="0" w:line="240" w:lineRule="auto"/>
              <w:jc w:val="right"/>
              <w:rPr>
                <w:rFonts w:ascii="Tahoma" w:hAnsi="Tahoma" w:cs="Tahoma"/>
                <w:color w:val="000000"/>
                <w:sz w:val="20"/>
                <w:szCs w:val="20"/>
              </w:rPr>
            </w:pPr>
            <w:r>
              <w:rPr>
                <w:rFonts w:ascii="Calibri" w:hAnsi="Calibri" w:cs="Calibri"/>
                <w:color w:val="000000"/>
              </w:rPr>
              <w:t xml:space="preserve">232,000 </w:t>
            </w:r>
          </w:p>
        </w:tc>
        <w:tc>
          <w:tcPr>
            <w:tcW w:w="3747" w:type="dxa"/>
            <w:tcBorders>
              <w:top w:val="nil"/>
              <w:left w:val="nil"/>
              <w:bottom w:val="single" w:sz="4" w:space="0" w:color="D3D3D3"/>
              <w:right w:val="single" w:sz="4" w:space="0" w:color="D3D3D3"/>
            </w:tcBorders>
            <w:shd w:val="clear" w:color="auto" w:fill="auto"/>
            <w:noWrap/>
            <w:vAlign w:val="bottom"/>
          </w:tcPr>
          <w:p w14:paraId="11A2D05A" w14:textId="77777777" w:rsidR="000E274F" w:rsidRPr="00FD454C" w:rsidRDefault="000E274F" w:rsidP="000E274F">
            <w:pPr>
              <w:spacing w:after="0" w:line="240" w:lineRule="auto"/>
              <w:jc w:val="center"/>
              <w:rPr>
                <w:rFonts w:eastAsia="Times New Roman" w:cstheme="minorHAnsi"/>
                <w:color w:val="000000"/>
                <w:lang w:eastAsia="tr-TR"/>
              </w:rPr>
            </w:pPr>
            <w:r>
              <w:rPr>
                <w:rFonts w:ascii="Calibri" w:hAnsi="Calibri" w:cs="Calibri"/>
                <w:color w:val="000000"/>
              </w:rPr>
              <w:t xml:space="preserve">0,02 </w:t>
            </w:r>
          </w:p>
        </w:tc>
      </w:tr>
      <w:tr w:rsidR="000E274F" w:rsidRPr="002048A7" w14:paraId="3AC033E5" w14:textId="77777777" w:rsidTr="000E274F">
        <w:trPr>
          <w:trHeight w:val="288"/>
          <w:jc w:val="center"/>
        </w:trPr>
        <w:tc>
          <w:tcPr>
            <w:tcW w:w="2630" w:type="dxa"/>
            <w:tcBorders>
              <w:top w:val="nil"/>
              <w:left w:val="single" w:sz="4" w:space="0" w:color="D3D3D3"/>
              <w:bottom w:val="single" w:sz="4" w:space="0" w:color="D3D3D3"/>
              <w:right w:val="single" w:sz="4" w:space="0" w:color="D3D3D3"/>
            </w:tcBorders>
            <w:shd w:val="clear" w:color="auto" w:fill="auto"/>
            <w:hideMark/>
          </w:tcPr>
          <w:p w14:paraId="134D0776" w14:textId="77777777" w:rsidR="000E274F" w:rsidRPr="002048A7" w:rsidRDefault="000E274F" w:rsidP="000E274F">
            <w:pPr>
              <w:spacing w:after="0" w:line="240" w:lineRule="auto"/>
              <w:rPr>
                <w:rFonts w:eastAsia="Times New Roman" w:cstheme="minorHAnsi"/>
                <w:color w:val="000000"/>
                <w:lang w:eastAsia="tr-TR"/>
              </w:rPr>
            </w:pPr>
            <w:r>
              <w:rPr>
                <w:rFonts w:ascii="Tahoma" w:hAnsi="Tahoma" w:cs="Tahoma"/>
                <w:color w:val="000000"/>
                <w:sz w:val="20"/>
                <w:szCs w:val="20"/>
              </w:rPr>
              <w:t>AĞRI</w:t>
            </w:r>
          </w:p>
        </w:tc>
        <w:tc>
          <w:tcPr>
            <w:tcW w:w="2379" w:type="dxa"/>
            <w:tcBorders>
              <w:top w:val="nil"/>
              <w:left w:val="nil"/>
              <w:bottom w:val="single" w:sz="4" w:space="0" w:color="D3D3D3"/>
              <w:right w:val="single" w:sz="4" w:space="0" w:color="D3D3D3"/>
            </w:tcBorders>
            <w:shd w:val="clear" w:color="auto" w:fill="auto"/>
            <w:noWrap/>
            <w:vAlign w:val="bottom"/>
          </w:tcPr>
          <w:p w14:paraId="0D23F391" w14:textId="77777777" w:rsidR="000E274F" w:rsidRPr="002048A7" w:rsidRDefault="000E274F" w:rsidP="000E274F">
            <w:pPr>
              <w:spacing w:after="0" w:line="240" w:lineRule="auto"/>
              <w:jc w:val="right"/>
              <w:rPr>
                <w:rFonts w:eastAsia="Times New Roman" w:cstheme="minorHAnsi"/>
                <w:color w:val="000000"/>
                <w:lang w:eastAsia="tr-TR"/>
              </w:rPr>
            </w:pPr>
            <w:r>
              <w:rPr>
                <w:rFonts w:ascii="Calibri" w:hAnsi="Calibri" w:cs="Calibri"/>
                <w:color w:val="000000"/>
              </w:rPr>
              <w:t xml:space="preserve">70,000 </w:t>
            </w:r>
          </w:p>
        </w:tc>
        <w:tc>
          <w:tcPr>
            <w:tcW w:w="3747" w:type="dxa"/>
            <w:tcBorders>
              <w:top w:val="nil"/>
              <w:left w:val="nil"/>
              <w:bottom w:val="single" w:sz="4" w:space="0" w:color="D3D3D3"/>
              <w:right w:val="single" w:sz="4" w:space="0" w:color="D3D3D3"/>
            </w:tcBorders>
            <w:shd w:val="clear" w:color="auto" w:fill="auto"/>
            <w:noWrap/>
            <w:vAlign w:val="bottom"/>
          </w:tcPr>
          <w:p w14:paraId="3743AFE8" w14:textId="77777777" w:rsidR="000E274F" w:rsidRPr="00FD454C" w:rsidRDefault="000E274F" w:rsidP="000E274F">
            <w:pPr>
              <w:spacing w:after="0" w:line="240" w:lineRule="auto"/>
              <w:jc w:val="center"/>
              <w:rPr>
                <w:rFonts w:eastAsia="Times New Roman" w:cstheme="minorHAnsi"/>
                <w:color w:val="000000"/>
                <w:lang w:eastAsia="tr-TR"/>
              </w:rPr>
            </w:pPr>
            <w:r>
              <w:rPr>
                <w:rFonts w:ascii="Calibri" w:hAnsi="Calibri" w:cs="Calibri"/>
                <w:color w:val="000000"/>
              </w:rPr>
              <w:t xml:space="preserve">0,00 </w:t>
            </w:r>
          </w:p>
        </w:tc>
      </w:tr>
      <w:tr w:rsidR="000E274F" w:rsidRPr="002048A7" w14:paraId="7BA4C266" w14:textId="77777777" w:rsidTr="000E274F">
        <w:trPr>
          <w:trHeight w:val="288"/>
          <w:jc w:val="center"/>
        </w:trPr>
        <w:tc>
          <w:tcPr>
            <w:tcW w:w="2630" w:type="dxa"/>
            <w:tcBorders>
              <w:top w:val="nil"/>
              <w:left w:val="single" w:sz="4" w:space="0" w:color="D3D3D3"/>
              <w:bottom w:val="single" w:sz="4" w:space="0" w:color="D3D3D3"/>
              <w:right w:val="single" w:sz="4" w:space="0" w:color="D3D3D3"/>
            </w:tcBorders>
            <w:shd w:val="clear" w:color="auto" w:fill="auto"/>
            <w:hideMark/>
          </w:tcPr>
          <w:p w14:paraId="7A939F25" w14:textId="77777777" w:rsidR="000E274F" w:rsidRPr="002048A7" w:rsidRDefault="000E274F" w:rsidP="000E274F">
            <w:pPr>
              <w:spacing w:after="0" w:line="240" w:lineRule="auto"/>
              <w:rPr>
                <w:rFonts w:eastAsia="Times New Roman" w:cstheme="minorHAnsi"/>
                <w:color w:val="000000"/>
                <w:lang w:eastAsia="tr-TR"/>
              </w:rPr>
            </w:pPr>
            <w:r>
              <w:rPr>
                <w:rFonts w:ascii="Tahoma" w:hAnsi="Tahoma" w:cs="Tahoma"/>
                <w:color w:val="000000"/>
                <w:sz w:val="20"/>
                <w:szCs w:val="20"/>
              </w:rPr>
              <w:t>AKSARAY</w:t>
            </w:r>
          </w:p>
        </w:tc>
        <w:tc>
          <w:tcPr>
            <w:tcW w:w="2379" w:type="dxa"/>
            <w:tcBorders>
              <w:top w:val="nil"/>
              <w:left w:val="nil"/>
              <w:bottom w:val="single" w:sz="4" w:space="0" w:color="D3D3D3"/>
              <w:right w:val="single" w:sz="4" w:space="0" w:color="D3D3D3"/>
            </w:tcBorders>
            <w:shd w:val="clear" w:color="auto" w:fill="auto"/>
            <w:noWrap/>
          </w:tcPr>
          <w:p w14:paraId="0C4D4F2C" w14:textId="77777777" w:rsidR="000E274F" w:rsidRPr="002048A7" w:rsidRDefault="000E274F" w:rsidP="000E274F">
            <w:pPr>
              <w:spacing w:after="0" w:line="240" w:lineRule="auto"/>
              <w:jc w:val="right"/>
              <w:rPr>
                <w:rFonts w:eastAsia="Times New Roman" w:cstheme="minorHAnsi"/>
                <w:color w:val="000000"/>
                <w:lang w:eastAsia="tr-TR"/>
              </w:rPr>
            </w:pPr>
            <w:r>
              <w:rPr>
                <w:rFonts w:ascii="Tahoma" w:hAnsi="Tahoma" w:cs="Tahoma"/>
                <w:color w:val="000000"/>
                <w:sz w:val="20"/>
                <w:szCs w:val="20"/>
              </w:rPr>
              <w:t xml:space="preserve">370,000 </w:t>
            </w:r>
          </w:p>
        </w:tc>
        <w:tc>
          <w:tcPr>
            <w:tcW w:w="3747" w:type="dxa"/>
            <w:tcBorders>
              <w:top w:val="nil"/>
              <w:left w:val="nil"/>
              <w:bottom w:val="single" w:sz="4" w:space="0" w:color="D3D3D3"/>
              <w:right w:val="single" w:sz="4" w:space="0" w:color="D3D3D3"/>
            </w:tcBorders>
            <w:shd w:val="clear" w:color="auto" w:fill="auto"/>
            <w:noWrap/>
          </w:tcPr>
          <w:p w14:paraId="0CE300DC" w14:textId="77777777" w:rsidR="000E274F" w:rsidRPr="00FD454C" w:rsidRDefault="000E274F" w:rsidP="000E274F">
            <w:pPr>
              <w:spacing w:after="0" w:line="240" w:lineRule="auto"/>
              <w:jc w:val="center"/>
              <w:rPr>
                <w:rFonts w:eastAsia="Times New Roman" w:cstheme="minorHAnsi"/>
                <w:color w:val="000000"/>
                <w:lang w:eastAsia="tr-TR"/>
              </w:rPr>
            </w:pPr>
            <w:r>
              <w:rPr>
                <w:rFonts w:ascii="Tahoma" w:hAnsi="Tahoma" w:cs="Tahoma"/>
                <w:color w:val="000000"/>
                <w:sz w:val="20"/>
                <w:szCs w:val="20"/>
              </w:rPr>
              <w:t xml:space="preserve">0,04 </w:t>
            </w:r>
          </w:p>
        </w:tc>
      </w:tr>
      <w:tr w:rsidR="000E274F" w:rsidRPr="002048A7" w14:paraId="63A5D703" w14:textId="77777777" w:rsidTr="000E274F">
        <w:trPr>
          <w:trHeight w:val="288"/>
          <w:jc w:val="center"/>
        </w:trPr>
        <w:tc>
          <w:tcPr>
            <w:tcW w:w="2630" w:type="dxa"/>
            <w:tcBorders>
              <w:top w:val="nil"/>
              <w:left w:val="single" w:sz="4" w:space="0" w:color="D3D3D3"/>
              <w:bottom w:val="single" w:sz="4" w:space="0" w:color="D3D3D3"/>
              <w:right w:val="single" w:sz="4" w:space="0" w:color="D3D3D3"/>
            </w:tcBorders>
            <w:shd w:val="clear" w:color="auto" w:fill="auto"/>
            <w:hideMark/>
          </w:tcPr>
          <w:p w14:paraId="7AC2B205" w14:textId="77777777" w:rsidR="000E274F" w:rsidRPr="002048A7" w:rsidRDefault="000E274F" w:rsidP="000E274F">
            <w:pPr>
              <w:spacing w:after="0" w:line="240" w:lineRule="auto"/>
              <w:rPr>
                <w:rFonts w:eastAsia="Times New Roman" w:cstheme="minorHAnsi"/>
                <w:color w:val="000000"/>
                <w:lang w:eastAsia="tr-TR"/>
              </w:rPr>
            </w:pPr>
            <w:r w:rsidRPr="002048A7">
              <w:rPr>
                <w:rFonts w:ascii="Tahoma" w:hAnsi="Tahoma" w:cs="Tahoma"/>
                <w:color w:val="000000"/>
                <w:sz w:val="20"/>
                <w:szCs w:val="20"/>
              </w:rPr>
              <w:t>ANKARA</w:t>
            </w:r>
          </w:p>
        </w:tc>
        <w:tc>
          <w:tcPr>
            <w:tcW w:w="2379" w:type="dxa"/>
            <w:tcBorders>
              <w:top w:val="nil"/>
              <w:left w:val="nil"/>
              <w:bottom w:val="single" w:sz="4" w:space="0" w:color="D3D3D3"/>
              <w:right w:val="single" w:sz="4" w:space="0" w:color="D3D3D3"/>
            </w:tcBorders>
            <w:shd w:val="clear" w:color="auto" w:fill="auto"/>
            <w:noWrap/>
            <w:vAlign w:val="bottom"/>
          </w:tcPr>
          <w:p w14:paraId="1A346A79" w14:textId="77777777" w:rsidR="000E274F" w:rsidRPr="002048A7" w:rsidRDefault="000E274F" w:rsidP="000E274F">
            <w:pPr>
              <w:spacing w:after="0" w:line="240" w:lineRule="auto"/>
              <w:jc w:val="right"/>
              <w:rPr>
                <w:rFonts w:eastAsia="Times New Roman" w:cstheme="minorHAnsi"/>
                <w:color w:val="000000"/>
                <w:lang w:eastAsia="tr-TR"/>
              </w:rPr>
            </w:pPr>
            <w:r>
              <w:rPr>
                <w:rFonts w:ascii="Calibri" w:hAnsi="Calibri" w:cs="Calibri"/>
                <w:color w:val="000000"/>
              </w:rPr>
              <w:t xml:space="preserve">15.775,000 </w:t>
            </w:r>
          </w:p>
        </w:tc>
        <w:tc>
          <w:tcPr>
            <w:tcW w:w="3747" w:type="dxa"/>
            <w:tcBorders>
              <w:top w:val="nil"/>
              <w:left w:val="nil"/>
              <w:bottom w:val="single" w:sz="4" w:space="0" w:color="D3D3D3"/>
              <w:right w:val="single" w:sz="4" w:space="0" w:color="D3D3D3"/>
            </w:tcBorders>
            <w:shd w:val="clear" w:color="auto" w:fill="auto"/>
            <w:noWrap/>
            <w:vAlign w:val="bottom"/>
          </w:tcPr>
          <w:p w14:paraId="67E552C9" w14:textId="77777777" w:rsidR="000E274F" w:rsidRPr="00FD454C" w:rsidRDefault="000E274F" w:rsidP="000E274F">
            <w:pPr>
              <w:spacing w:after="0" w:line="240" w:lineRule="auto"/>
              <w:jc w:val="center"/>
              <w:rPr>
                <w:rFonts w:eastAsia="Times New Roman" w:cstheme="minorHAnsi"/>
                <w:color w:val="000000"/>
                <w:lang w:eastAsia="tr-TR"/>
              </w:rPr>
            </w:pPr>
            <w:r>
              <w:rPr>
                <w:rFonts w:ascii="Calibri" w:hAnsi="Calibri" w:cs="Calibri"/>
                <w:color w:val="000000"/>
              </w:rPr>
              <w:t xml:space="preserve">2,03 </w:t>
            </w:r>
          </w:p>
        </w:tc>
      </w:tr>
      <w:tr w:rsidR="000E274F" w:rsidRPr="002048A7" w14:paraId="0C96F650" w14:textId="77777777" w:rsidTr="000E274F">
        <w:trPr>
          <w:trHeight w:val="288"/>
          <w:jc w:val="center"/>
        </w:trPr>
        <w:tc>
          <w:tcPr>
            <w:tcW w:w="2630" w:type="dxa"/>
            <w:tcBorders>
              <w:top w:val="nil"/>
              <w:left w:val="single" w:sz="4" w:space="0" w:color="D3D3D3"/>
              <w:bottom w:val="single" w:sz="4" w:space="0" w:color="D3D3D3"/>
              <w:right w:val="single" w:sz="4" w:space="0" w:color="D3D3D3"/>
            </w:tcBorders>
            <w:shd w:val="clear" w:color="auto" w:fill="auto"/>
            <w:hideMark/>
          </w:tcPr>
          <w:p w14:paraId="6C3680CD" w14:textId="77777777" w:rsidR="000E274F" w:rsidRPr="002048A7" w:rsidRDefault="000E274F" w:rsidP="000E274F">
            <w:pPr>
              <w:spacing w:after="0" w:line="240" w:lineRule="auto"/>
              <w:rPr>
                <w:rFonts w:eastAsia="Times New Roman" w:cstheme="minorHAnsi"/>
                <w:color w:val="000000"/>
                <w:lang w:eastAsia="tr-TR"/>
              </w:rPr>
            </w:pPr>
            <w:r w:rsidRPr="002048A7">
              <w:rPr>
                <w:rFonts w:ascii="Tahoma" w:hAnsi="Tahoma" w:cs="Tahoma"/>
                <w:color w:val="000000"/>
                <w:sz w:val="20"/>
                <w:szCs w:val="20"/>
              </w:rPr>
              <w:t>ANTALYA</w:t>
            </w:r>
          </w:p>
        </w:tc>
        <w:tc>
          <w:tcPr>
            <w:tcW w:w="2379" w:type="dxa"/>
            <w:tcBorders>
              <w:top w:val="nil"/>
              <w:left w:val="nil"/>
              <w:bottom w:val="single" w:sz="4" w:space="0" w:color="D3D3D3"/>
              <w:right w:val="single" w:sz="4" w:space="0" w:color="D3D3D3"/>
            </w:tcBorders>
            <w:shd w:val="clear" w:color="auto" w:fill="auto"/>
            <w:noWrap/>
            <w:vAlign w:val="bottom"/>
          </w:tcPr>
          <w:p w14:paraId="01F83C33" w14:textId="77777777" w:rsidR="000E274F" w:rsidRPr="002048A7" w:rsidRDefault="000E274F" w:rsidP="000E274F">
            <w:pPr>
              <w:spacing w:after="0" w:line="240" w:lineRule="auto"/>
              <w:jc w:val="right"/>
              <w:rPr>
                <w:rFonts w:eastAsia="Times New Roman" w:cstheme="minorHAnsi"/>
                <w:color w:val="000000"/>
                <w:lang w:eastAsia="tr-TR"/>
              </w:rPr>
            </w:pPr>
            <w:r>
              <w:rPr>
                <w:rFonts w:ascii="Calibri" w:hAnsi="Calibri" w:cs="Calibri"/>
                <w:color w:val="000000"/>
              </w:rPr>
              <w:t xml:space="preserve">36.434,000 </w:t>
            </w:r>
          </w:p>
        </w:tc>
        <w:tc>
          <w:tcPr>
            <w:tcW w:w="3747" w:type="dxa"/>
            <w:tcBorders>
              <w:top w:val="nil"/>
              <w:left w:val="nil"/>
              <w:bottom w:val="single" w:sz="4" w:space="0" w:color="D3D3D3"/>
              <w:right w:val="single" w:sz="4" w:space="0" w:color="D3D3D3"/>
            </w:tcBorders>
            <w:shd w:val="clear" w:color="auto" w:fill="auto"/>
            <w:noWrap/>
            <w:vAlign w:val="bottom"/>
          </w:tcPr>
          <w:p w14:paraId="2B2A3098" w14:textId="77777777" w:rsidR="000E274F" w:rsidRPr="00FD454C" w:rsidRDefault="000E274F" w:rsidP="000E274F">
            <w:pPr>
              <w:spacing w:after="0" w:line="240" w:lineRule="auto"/>
              <w:jc w:val="center"/>
              <w:rPr>
                <w:rFonts w:eastAsia="Times New Roman" w:cstheme="minorHAnsi"/>
                <w:color w:val="000000"/>
                <w:lang w:eastAsia="tr-TR"/>
              </w:rPr>
            </w:pPr>
            <w:r>
              <w:rPr>
                <w:rFonts w:ascii="Calibri" w:hAnsi="Calibri" w:cs="Calibri"/>
                <w:color w:val="000000"/>
              </w:rPr>
              <w:t xml:space="preserve">4,70 </w:t>
            </w:r>
          </w:p>
        </w:tc>
      </w:tr>
      <w:tr w:rsidR="000E274F" w:rsidRPr="002048A7" w14:paraId="771E1C76" w14:textId="77777777" w:rsidTr="000E274F">
        <w:trPr>
          <w:trHeight w:val="288"/>
          <w:jc w:val="center"/>
        </w:trPr>
        <w:tc>
          <w:tcPr>
            <w:tcW w:w="2630" w:type="dxa"/>
            <w:tcBorders>
              <w:top w:val="nil"/>
              <w:left w:val="single" w:sz="4" w:space="0" w:color="D3D3D3"/>
              <w:bottom w:val="single" w:sz="4" w:space="0" w:color="D3D3D3"/>
              <w:right w:val="single" w:sz="4" w:space="0" w:color="D3D3D3"/>
            </w:tcBorders>
            <w:shd w:val="clear" w:color="auto" w:fill="auto"/>
            <w:hideMark/>
          </w:tcPr>
          <w:p w14:paraId="1674234C" w14:textId="77777777" w:rsidR="000E274F" w:rsidRPr="002048A7" w:rsidRDefault="000E274F" w:rsidP="000E274F">
            <w:pPr>
              <w:spacing w:after="0" w:line="240" w:lineRule="auto"/>
              <w:rPr>
                <w:rFonts w:eastAsia="Times New Roman" w:cstheme="minorHAnsi"/>
                <w:color w:val="000000"/>
                <w:lang w:eastAsia="tr-TR"/>
              </w:rPr>
            </w:pPr>
            <w:r w:rsidRPr="002048A7">
              <w:rPr>
                <w:rFonts w:ascii="Tahoma" w:hAnsi="Tahoma" w:cs="Tahoma"/>
                <w:color w:val="000000"/>
                <w:sz w:val="20"/>
                <w:szCs w:val="20"/>
              </w:rPr>
              <w:t>ARTVİN</w:t>
            </w:r>
          </w:p>
        </w:tc>
        <w:tc>
          <w:tcPr>
            <w:tcW w:w="2379" w:type="dxa"/>
            <w:tcBorders>
              <w:top w:val="nil"/>
              <w:left w:val="nil"/>
              <w:bottom w:val="single" w:sz="4" w:space="0" w:color="D3D3D3"/>
              <w:right w:val="single" w:sz="4" w:space="0" w:color="D3D3D3"/>
            </w:tcBorders>
            <w:shd w:val="clear" w:color="auto" w:fill="auto"/>
            <w:noWrap/>
            <w:vAlign w:val="bottom"/>
          </w:tcPr>
          <w:p w14:paraId="007AD1FC" w14:textId="77777777" w:rsidR="000E274F" w:rsidRPr="002048A7" w:rsidRDefault="000E274F" w:rsidP="000E274F">
            <w:pPr>
              <w:spacing w:after="0" w:line="240" w:lineRule="auto"/>
              <w:jc w:val="right"/>
              <w:rPr>
                <w:rFonts w:eastAsia="Times New Roman" w:cstheme="minorHAnsi"/>
                <w:color w:val="000000"/>
                <w:lang w:eastAsia="tr-TR"/>
              </w:rPr>
            </w:pPr>
            <w:r>
              <w:rPr>
                <w:rFonts w:ascii="Calibri" w:hAnsi="Calibri" w:cs="Calibri"/>
                <w:color w:val="000000"/>
              </w:rPr>
              <w:t xml:space="preserve">420,000 </w:t>
            </w:r>
          </w:p>
        </w:tc>
        <w:tc>
          <w:tcPr>
            <w:tcW w:w="3747" w:type="dxa"/>
            <w:tcBorders>
              <w:top w:val="nil"/>
              <w:left w:val="nil"/>
              <w:bottom w:val="single" w:sz="4" w:space="0" w:color="D3D3D3"/>
              <w:right w:val="single" w:sz="4" w:space="0" w:color="D3D3D3"/>
            </w:tcBorders>
            <w:shd w:val="clear" w:color="auto" w:fill="auto"/>
            <w:noWrap/>
            <w:vAlign w:val="bottom"/>
          </w:tcPr>
          <w:p w14:paraId="02D66CF1" w14:textId="77777777" w:rsidR="000E274F" w:rsidRPr="00FD454C" w:rsidRDefault="000E274F" w:rsidP="000E274F">
            <w:pPr>
              <w:spacing w:after="0" w:line="240" w:lineRule="auto"/>
              <w:jc w:val="center"/>
              <w:rPr>
                <w:rFonts w:eastAsia="Times New Roman" w:cstheme="minorHAnsi"/>
                <w:color w:val="000000"/>
                <w:lang w:eastAsia="tr-TR"/>
              </w:rPr>
            </w:pPr>
            <w:r>
              <w:rPr>
                <w:rFonts w:ascii="Calibri" w:hAnsi="Calibri" w:cs="Calibri"/>
                <w:color w:val="000000"/>
              </w:rPr>
              <w:t xml:space="preserve">0,05 </w:t>
            </w:r>
          </w:p>
        </w:tc>
      </w:tr>
      <w:tr w:rsidR="000E274F" w:rsidRPr="002048A7" w14:paraId="3A22C9F4" w14:textId="77777777" w:rsidTr="000E274F">
        <w:trPr>
          <w:trHeight w:val="288"/>
          <w:jc w:val="center"/>
        </w:trPr>
        <w:tc>
          <w:tcPr>
            <w:tcW w:w="2630" w:type="dxa"/>
            <w:tcBorders>
              <w:top w:val="nil"/>
              <w:left w:val="single" w:sz="4" w:space="0" w:color="D3D3D3"/>
              <w:bottom w:val="single" w:sz="4" w:space="0" w:color="D3D3D3"/>
              <w:right w:val="single" w:sz="4" w:space="0" w:color="D3D3D3"/>
            </w:tcBorders>
            <w:shd w:val="clear" w:color="auto" w:fill="auto"/>
            <w:hideMark/>
          </w:tcPr>
          <w:p w14:paraId="5936C812" w14:textId="77777777" w:rsidR="000E274F" w:rsidRPr="002048A7" w:rsidRDefault="000E274F" w:rsidP="000E274F">
            <w:pPr>
              <w:spacing w:after="0" w:line="240" w:lineRule="auto"/>
              <w:rPr>
                <w:rFonts w:eastAsia="Times New Roman" w:cstheme="minorHAnsi"/>
                <w:color w:val="000000"/>
                <w:lang w:eastAsia="tr-TR"/>
              </w:rPr>
            </w:pPr>
            <w:r w:rsidRPr="002048A7">
              <w:rPr>
                <w:rFonts w:ascii="Tahoma" w:hAnsi="Tahoma" w:cs="Tahoma"/>
                <w:color w:val="000000"/>
                <w:sz w:val="20"/>
                <w:szCs w:val="20"/>
              </w:rPr>
              <w:t>AYDIN</w:t>
            </w:r>
          </w:p>
        </w:tc>
        <w:tc>
          <w:tcPr>
            <w:tcW w:w="2379" w:type="dxa"/>
            <w:tcBorders>
              <w:top w:val="nil"/>
              <w:left w:val="nil"/>
              <w:bottom w:val="single" w:sz="4" w:space="0" w:color="D3D3D3"/>
              <w:right w:val="single" w:sz="4" w:space="0" w:color="D3D3D3"/>
            </w:tcBorders>
            <w:shd w:val="clear" w:color="auto" w:fill="auto"/>
            <w:noWrap/>
            <w:vAlign w:val="bottom"/>
          </w:tcPr>
          <w:p w14:paraId="25A64D1B" w14:textId="77777777" w:rsidR="000E274F" w:rsidRPr="002048A7" w:rsidRDefault="000E274F" w:rsidP="000E274F">
            <w:pPr>
              <w:spacing w:after="0" w:line="240" w:lineRule="auto"/>
              <w:jc w:val="right"/>
              <w:rPr>
                <w:rFonts w:eastAsia="Times New Roman" w:cstheme="minorHAnsi"/>
                <w:color w:val="000000"/>
                <w:lang w:eastAsia="tr-TR"/>
              </w:rPr>
            </w:pPr>
            <w:r>
              <w:rPr>
                <w:rFonts w:ascii="Calibri" w:hAnsi="Calibri" w:cs="Calibri"/>
                <w:color w:val="000000"/>
              </w:rPr>
              <w:t xml:space="preserve">880,000 </w:t>
            </w:r>
          </w:p>
        </w:tc>
        <w:tc>
          <w:tcPr>
            <w:tcW w:w="3747" w:type="dxa"/>
            <w:tcBorders>
              <w:top w:val="nil"/>
              <w:left w:val="nil"/>
              <w:bottom w:val="single" w:sz="4" w:space="0" w:color="D3D3D3"/>
              <w:right w:val="single" w:sz="4" w:space="0" w:color="D3D3D3"/>
            </w:tcBorders>
            <w:shd w:val="clear" w:color="auto" w:fill="auto"/>
            <w:noWrap/>
            <w:vAlign w:val="bottom"/>
          </w:tcPr>
          <w:p w14:paraId="77E8D43B" w14:textId="77777777" w:rsidR="000E274F" w:rsidRPr="00FD454C" w:rsidRDefault="000E274F" w:rsidP="000E274F">
            <w:pPr>
              <w:spacing w:after="0" w:line="240" w:lineRule="auto"/>
              <w:jc w:val="center"/>
              <w:rPr>
                <w:rFonts w:eastAsia="Times New Roman" w:cstheme="minorHAnsi"/>
                <w:color w:val="000000"/>
                <w:lang w:eastAsia="tr-TR"/>
              </w:rPr>
            </w:pPr>
            <w:r>
              <w:rPr>
                <w:rFonts w:ascii="Calibri" w:hAnsi="Calibri" w:cs="Calibri"/>
                <w:color w:val="000000"/>
              </w:rPr>
              <w:t xml:space="preserve">0,11 </w:t>
            </w:r>
          </w:p>
        </w:tc>
      </w:tr>
      <w:tr w:rsidR="000E274F" w:rsidRPr="002048A7" w14:paraId="120DF8E5" w14:textId="77777777" w:rsidTr="000E274F">
        <w:trPr>
          <w:trHeight w:val="288"/>
          <w:jc w:val="center"/>
        </w:trPr>
        <w:tc>
          <w:tcPr>
            <w:tcW w:w="2630" w:type="dxa"/>
            <w:tcBorders>
              <w:top w:val="nil"/>
              <w:left w:val="single" w:sz="4" w:space="0" w:color="D3D3D3"/>
              <w:bottom w:val="single" w:sz="4" w:space="0" w:color="D3D3D3"/>
              <w:right w:val="single" w:sz="4" w:space="0" w:color="D3D3D3"/>
            </w:tcBorders>
            <w:shd w:val="clear" w:color="auto" w:fill="auto"/>
          </w:tcPr>
          <w:p w14:paraId="63AA6C7B" w14:textId="77777777" w:rsidR="000E274F" w:rsidRPr="002048A7" w:rsidRDefault="000E274F" w:rsidP="000E274F">
            <w:pPr>
              <w:spacing w:after="0" w:line="240" w:lineRule="auto"/>
              <w:rPr>
                <w:rFonts w:ascii="Tahoma" w:hAnsi="Tahoma" w:cs="Tahoma"/>
                <w:color w:val="000000"/>
                <w:sz w:val="20"/>
                <w:szCs w:val="20"/>
              </w:rPr>
            </w:pPr>
            <w:r>
              <w:rPr>
                <w:rFonts w:ascii="Tahoma" w:hAnsi="Tahoma" w:cs="Tahoma"/>
                <w:color w:val="000000"/>
                <w:sz w:val="20"/>
                <w:szCs w:val="20"/>
              </w:rPr>
              <w:t>BALIKESİR</w:t>
            </w:r>
          </w:p>
        </w:tc>
        <w:tc>
          <w:tcPr>
            <w:tcW w:w="2379" w:type="dxa"/>
            <w:tcBorders>
              <w:top w:val="nil"/>
              <w:left w:val="nil"/>
              <w:bottom w:val="single" w:sz="4" w:space="0" w:color="D3D3D3"/>
              <w:right w:val="single" w:sz="4" w:space="0" w:color="D3D3D3"/>
            </w:tcBorders>
            <w:shd w:val="clear" w:color="auto" w:fill="auto"/>
            <w:noWrap/>
            <w:vAlign w:val="bottom"/>
          </w:tcPr>
          <w:p w14:paraId="1C109888" w14:textId="77777777" w:rsidR="000E274F" w:rsidRPr="002048A7" w:rsidRDefault="000E274F" w:rsidP="000E274F">
            <w:pPr>
              <w:spacing w:after="0" w:line="240" w:lineRule="auto"/>
              <w:jc w:val="right"/>
              <w:rPr>
                <w:rFonts w:ascii="Tahoma" w:hAnsi="Tahoma" w:cs="Tahoma"/>
                <w:color w:val="000000"/>
                <w:sz w:val="20"/>
                <w:szCs w:val="20"/>
              </w:rPr>
            </w:pPr>
            <w:r>
              <w:rPr>
                <w:rFonts w:ascii="Calibri" w:hAnsi="Calibri" w:cs="Calibri"/>
                <w:color w:val="000000"/>
              </w:rPr>
              <w:t>200,000</w:t>
            </w:r>
          </w:p>
        </w:tc>
        <w:tc>
          <w:tcPr>
            <w:tcW w:w="3747" w:type="dxa"/>
            <w:tcBorders>
              <w:top w:val="nil"/>
              <w:left w:val="nil"/>
              <w:bottom w:val="single" w:sz="4" w:space="0" w:color="D3D3D3"/>
              <w:right w:val="single" w:sz="4" w:space="0" w:color="D3D3D3"/>
            </w:tcBorders>
            <w:shd w:val="clear" w:color="auto" w:fill="auto"/>
            <w:noWrap/>
            <w:vAlign w:val="bottom"/>
          </w:tcPr>
          <w:p w14:paraId="43B857D2" w14:textId="77777777" w:rsidR="000E274F" w:rsidRPr="00FD454C" w:rsidRDefault="000E274F" w:rsidP="000E274F">
            <w:pPr>
              <w:spacing w:after="0" w:line="240" w:lineRule="auto"/>
              <w:jc w:val="center"/>
              <w:rPr>
                <w:rFonts w:ascii="Tahoma" w:hAnsi="Tahoma" w:cs="Tahoma"/>
                <w:color w:val="000000"/>
                <w:sz w:val="20"/>
                <w:szCs w:val="20"/>
              </w:rPr>
            </w:pPr>
            <w:r>
              <w:rPr>
                <w:rFonts w:ascii="Calibri" w:hAnsi="Calibri" w:cs="Calibri"/>
                <w:color w:val="000000"/>
              </w:rPr>
              <w:t xml:space="preserve">0,02 </w:t>
            </w:r>
          </w:p>
        </w:tc>
      </w:tr>
      <w:tr w:rsidR="000E274F" w:rsidRPr="002048A7" w14:paraId="555F42A5" w14:textId="77777777" w:rsidTr="000E274F">
        <w:trPr>
          <w:trHeight w:val="288"/>
          <w:jc w:val="center"/>
        </w:trPr>
        <w:tc>
          <w:tcPr>
            <w:tcW w:w="2630" w:type="dxa"/>
            <w:tcBorders>
              <w:top w:val="nil"/>
              <w:left w:val="single" w:sz="4" w:space="0" w:color="D3D3D3"/>
              <w:bottom w:val="single" w:sz="4" w:space="0" w:color="D3D3D3"/>
              <w:right w:val="single" w:sz="4" w:space="0" w:color="D3D3D3"/>
            </w:tcBorders>
            <w:shd w:val="clear" w:color="auto" w:fill="auto"/>
          </w:tcPr>
          <w:p w14:paraId="3D12285B" w14:textId="77777777" w:rsidR="000E274F" w:rsidRPr="002048A7" w:rsidRDefault="000E274F" w:rsidP="000E274F">
            <w:pPr>
              <w:spacing w:after="0" w:line="240" w:lineRule="auto"/>
              <w:rPr>
                <w:rFonts w:ascii="Tahoma" w:hAnsi="Tahoma" w:cs="Tahoma"/>
                <w:color w:val="000000"/>
                <w:sz w:val="20"/>
                <w:szCs w:val="20"/>
              </w:rPr>
            </w:pPr>
            <w:r w:rsidRPr="002048A7">
              <w:rPr>
                <w:rFonts w:ascii="Tahoma" w:hAnsi="Tahoma" w:cs="Tahoma"/>
                <w:color w:val="000000"/>
                <w:sz w:val="20"/>
                <w:szCs w:val="20"/>
              </w:rPr>
              <w:t>BURDUR</w:t>
            </w:r>
          </w:p>
        </w:tc>
        <w:tc>
          <w:tcPr>
            <w:tcW w:w="2379" w:type="dxa"/>
            <w:tcBorders>
              <w:top w:val="nil"/>
              <w:left w:val="nil"/>
              <w:bottom w:val="single" w:sz="4" w:space="0" w:color="D3D3D3"/>
              <w:right w:val="single" w:sz="4" w:space="0" w:color="D3D3D3"/>
            </w:tcBorders>
            <w:shd w:val="clear" w:color="auto" w:fill="auto"/>
            <w:noWrap/>
            <w:vAlign w:val="bottom"/>
          </w:tcPr>
          <w:p w14:paraId="7CA3099D" w14:textId="77777777" w:rsidR="000E274F" w:rsidRPr="002048A7" w:rsidRDefault="000E274F" w:rsidP="000E274F">
            <w:pPr>
              <w:spacing w:after="0" w:line="240" w:lineRule="auto"/>
              <w:jc w:val="right"/>
              <w:rPr>
                <w:rFonts w:ascii="Tahoma" w:hAnsi="Tahoma" w:cs="Tahoma"/>
                <w:color w:val="000000"/>
                <w:sz w:val="20"/>
                <w:szCs w:val="20"/>
              </w:rPr>
            </w:pPr>
            <w:r>
              <w:rPr>
                <w:rFonts w:ascii="Calibri" w:hAnsi="Calibri" w:cs="Calibri"/>
                <w:color w:val="000000"/>
              </w:rPr>
              <w:t>740,000</w:t>
            </w:r>
          </w:p>
        </w:tc>
        <w:tc>
          <w:tcPr>
            <w:tcW w:w="3747" w:type="dxa"/>
            <w:tcBorders>
              <w:top w:val="nil"/>
              <w:left w:val="nil"/>
              <w:bottom w:val="single" w:sz="4" w:space="0" w:color="D3D3D3"/>
              <w:right w:val="single" w:sz="4" w:space="0" w:color="D3D3D3"/>
            </w:tcBorders>
            <w:shd w:val="clear" w:color="auto" w:fill="auto"/>
            <w:noWrap/>
            <w:vAlign w:val="bottom"/>
          </w:tcPr>
          <w:p w14:paraId="15B4D515" w14:textId="77777777" w:rsidR="000E274F" w:rsidRPr="00FD454C" w:rsidRDefault="000E274F" w:rsidP="000E274F">
            <w:pPr>
              <w:spacing w:after="0" w:line="240" w:lineRule="auto"/>
              <w:jc w:val="center"/>
              <w:rPr>
                <w:rFonts w:ascii="Tahoma" w:hAnsi="Tahoma" w:cs="Tahoma"/>
                <w:color w:val="000000"/>
                <w:sz w:val="20"/>
                <w:szCs w:val="20"/>
              </w:rPr>
            </w:pPr>
            <w:r>
              <w:rPr>
                <w:rFonts w:ascii="Calibri" w:hAnsi="Calibri" w:cs="Calibri"/>
                <w:color w:val="000000"/>
              </w:rPr>
              <w:t xml:space="preserve">0,09 </w:t>
            </w:r>
          </w:p>
        </w:tc>
      </w:tr>
      <w:tr w:rsidR="000E274F" w:rsidRPr="002048A7" w14:paraId="6FF383CE" w14:textId="77777777" w:rsidTr="000E274F">
        <w:trPr>
          <w:trHeight w:val="288"/>
          <w:jc w:val="center"/>
        </w:trPr>
        <w:tc>
          <w:tcPr>
            <w:tcW w:w="2630" w:type="dxa"/>
            <w:tcBorders>
              <w:top w:val="nil"/>
              <w:left w:val="single" w:sz="4" w:space="0" w:color="D3D3D3"/>
              <w:bottom w:val="single" w:sz="4" w:space="0" w:color="D3D3D3"/>
              <w:right w:val="single" w:sz="4" w:space="0" w:color="D3D3D3"/>
            </w:tcBorders>
            <w:shd w:val="clear" w:color="auto" w:fill="auto"/>
            <w:hideMark/>
          </w:tcPr>
          <w:p w14:paraId="428CA0BD" w14:textId="77777777" w:rsidR="000E274F" w:rsidRPr="002048A7" w:rsidRDefault="000E274F" w:rsidP="000E274F">
            <w:pPr>
              <w:spacing w:after="0" w:line="240" w:lineRule="auto"/>
              <w:rPr>
                <w:rFonts w:eastAsia="Times New Roman" w:cstheme="minorHAnsi"/>
                <w:color w:val="000000"/>
                <w:lang w:eastAsia="tr-TR"/>
              </w:rPr>
            </w:pPr>
            <w:r w:rsidRPr="002048A7">
              <w:rPr>
                <w:rFonts w:ascii="Tahoma" w:hAnsi="Tahoma" w:cs="Tahoma"/>
                <w:color w:val="000000"/>
                <w:sz w:val="20"/>
                <w:szCs w:val="20"/>
              </w:rPr>
              <w:t>BURSA</w:t>
            </w:r>
          </w:p>
        </w:tc>
        <w:tc>
          <w:tcPr>
            <w:tcW w:w="2379" w:type="dxa"/>
            <w:tcBorders>
              <w:top w:val="nil"/>
              <w:left w:val="nil"/>
              <w:bottom w:val="single" w:sz="4" w:space="0" w:color="D3D3D3"/>
              <w:right w:val="single" w:sz="4" w:space="0" w:color="D3D3D3"/>
            </w:tcBorders>
            <w:shd w:val="clear" w:color="auto" w:fill="auto"/>
            <w:noWrap/>
            <w:vAlign w:val="bottom"/>
          </w:tcPr>
          <w:p w14:paraId="27FF429C" w14:textId="77777777" w:rsidR="000E274F" w:rsidRPr="002048A7" w:rsidRDefault="000E274F" w:rsidP="000E274F">
            <w:pPr>
              <w:spacing w:after="0" w:line="240" w:lineRule="auto"/>
              <w:jc w:val="right"/>
              <w:rPr>
                <w:rFonts w:eastAsia="Times New Roman" w:cstheme="minorHAnsi"/>
                <w:color w:val="000000"/>
                <w:lang w:eastAsia="tr-TR"/>
              </w:rPr>
            </w:pPr>
            <w:r>
              <w:rPr>
                <w:rFonts w:ascii="Calibri" w:hAnsi="Calibri" w:cs="Calibri"/>
                <w:color w:val="000000"/>
              </w:rPr>
              <w:t xml:space="preserve">265,000 </w:t>
            </w:r>
          </w:p>
        </w:tc>
        <w:tc>
          <w:tcPr>
            <w:tcW w:w="3747" w:type="dxa"/>
            <w:tcBorders>
              <w:top w:val="nil"/>
              <w:left w:val="nil"/>
              <w:bottom w:val="single" w:sz="4" w:space="0" w:color="D3D3D3"/>
              <w:right w:val="single" w:sz="4" w:space="0" w:color="D3D3D3"/>
            </w:tcBorders>
            <w:shd w:val="clear" w:color="auto" w:fill="auto"/>
            <w:noWrap/>
            <w:vAlign w:val="bottom"/>
          </w:tcPr>
          <w:p w14:paraId="06AB2D3F" w14:textId="77777777" w:rsidR="000E274F" w:rsidRPr="00FD454C" w:rsidRDefault="000E274F" w:rsidP="000E274F">
            <w:pPr>
              <w:spacing w:after="0" w:line="240" w:lineRule="auto"/>
              <w:jc w:val="center"/>
              <w:rPr>
                <w:rFonts w:eastAsia="Times New Roman" w:cstheme="minorHAnsi"/>
                <w:color w:val="000000"/>
                <w:lang w:eastAsia="tr-TR"/>
              </w:rPr>
            </w:pPr>
            <w:r>
              <w:rPr>
                <w:rFonts w:ascii="Calibri" w:hAnsi="Calibri" w:cs="Calibri"/>
                <w:color w:val="000000"/>
              </w:rPr>
              <w:t xml:space="preserve">0,03 </w:t>
            </w:r>
          </w:p>
        </w:tc>
      </w:tr>
      <w:tr w:rsidR="000E274F" w:rsidRPr="002048A7" w14:paraId="49B94C3A" w14:textId="77777777" w:rsidTr="000E274F">
        <w:trPr>
          <w:trHeight w:val="288"/>
          <w:jc w:val="center"/>
        </w:trPr>
        <w:tc>
          <w:tcPr>
            <w:tcW w:w="2630" w:type="dxa"/>
            <w:tcBorders>
              <w:top w:val="nil"/>
              <w:left w:val="single" w:sz="4" w:space="0" w:color="D3D3D3"/>
              <w:bottom w:val="single" w:sz="4" w:space="0" w:color="D3D3D3"/>
              <w:right w:val="single" w:sz="4" w:space="0" w:color="D3D3D3"/>
            </w:tcBorders>
            <w:shd w:val="clear" w:color="auto" w:fill="auto"/>
            <w:hideMark/>
          </w:tcPr>
          <w:p w14:paraId="6C145F55" w14:textId="77777777" w:rsidR="000E274F" w:rsidRPr="002048A7" w:rsidRDefault="000E274F" w:rsidP="000E274F">
            <w:pPr>
              <w:spacing w:after="0" w:line="240" w:lineRule="auto"/>
              <w:rPr>
                <w:rFonts w:eastAsia="Times New Roman" w:cstheme="minorHAnsi"/>
                <w:color w:val="000000"/>
                <w:lang w:eastAsia="tr-TR"/>
              </w:rPr>
            </w:pPr>
            <w:r w:rsidRPr="002048A7">
              <w:rPr>
                <w:rFonts w:ascii="Tahoma" w:hAnsi="Tahoma" w:cs="Tahoma"/>
                <w:color w:val="000000"/>
                <w:sz w:val="20"/>
                <w:szCs w:val="20"/>
              </w:rPr>
              <w:t>ÇANKIRI</w:t>
            </w:r>
          </w:p>
        </w:tc>
        <w:tc>
          <w:tcPr>
            <w:tcW w:w="2379" w:type="dxa"/>
            <w:tcBorders>
              <w:top w:val="nil"/>
              <w:left w:val="nil"/>
              <w:bottom w:val="single" w:sz="4" w:space="0" w:color="D3D3D3"/>
              <w:right w:val="single" w:sz="4" w:space="0" w:color="D3D3D3"/>
            </w:tcBorders>
            <w:shd w:val="clear" w:color="auto" w:fill="auto"/>
            <w:noWrap/>
            <w:vAlign w:val="bottom"/>
          </w:tcPr>
          <w:p w14:paraId="649A367D" w14:textId="77777777" w:rsidR="000E274F" w:rsidRPr="002048A7" w:rsidRDefault="000E274F" w:rsidP="000E274F">
            <w:pPr>
              <w:spacing w:after="0" w:line="240" w:lineRule="auto"/>
              <w:jc w:val="right"/>
              <w:rPr>
                <w:rFonts w:eastAsia="Times New Roman" w:cstheme="minorHAnsi"/>
                <w:color w:val="000000"/>
                <w:lang w:eastAsia="tr-TR"/>
              </w:rPr>
            </w:pPr>
            <w:r>
              <w:rPr>
                <w:rFonts w:ascii="Calibri" w:hAnsi="Calibri" w:cs="Calibri"/>
                <w:color w:val="000000"/>
              </w:rPr>
              <w:t xml:space="preserve">360,000 </w:t>
            </w:r>
          </w:p>
        </w:tc>
        <w:tc>
          <w:tcPr>
            <w:tcW w:w="3747" w:type="dxa"/>
            <w:tcBorders>
              <w:top w:val="nil"/>
              <w:left w:val="nil"/>
              <w:bottom w:val="single" w:sz="4" w:space="0" w:color="D3D3D3"/>
              <w:right w:val="single" w:sz="4" w:space="0" w:color="D3D3D3"/>
            </w:tcBorders>
            <w:shd w:val="clear" w:color="auto" w:fill="auto"/>
            <w:noWrap/>
            <w:vAlign w:val="bottom"/>
          </w:tcPr>
          <w:p w14:paraId="0B2947EF" w14:textId="77777777" w:rsidR="000E274F" w:rsidRPr="00FD454C" w:rsidRDefault="000E274F" w:rsidP="000E274F">
            <w:pPr>
              <w:spacing w:after="0" w:line="240" w:lineRule="auto"/>
              <w:jc w:val="center"/>
              <w:rPr>
                <w:rFonts w:eastAsia="Times New Roman" w:cstheme="minorHAnsi"/>
                <w:color w:val="000000"/>
                <w:lang w:eastAsia="tr-TR"/>
              </w:rPr>
            </w:pPr>
            <w:r>
              <w:rPr>
                <w:rFonts w:ascii="Calibri" w:hAnsi="Calibri" w:cs="Calibri"/>
                <w:color w:val="000000"/>
              </w:rPr>
              <w:t xml:space="preserve">0,04 </w:t>
            </w:r>
          </w:p>
        </w:tc>
      </w:tr>
      <w:tr w:rsidR="000E274F" w:rsidRPr="002048A7" w14:paraId="17E3896F" w14:textId="77777777" w:rsidTr="000E274F">
        <w:trPr>
          <w:trHeight w:val="288"/>
          <w:jc w:val="center"/>
        </w:trPr>
        <w:tc>
          <w:tcPr>
            <w:tcW w:w="2630" w:type="dxa"/>
            <w:tcBorders>
              <w:top w:val="nil"/>
              <w:left w:val="single" w:sz="4" w:space="0" w:color="D3D3D3"/>
              <w:bottom w:val="single" w:sz="4" w:space="0" w:color="D3D3D3"/>
              <w:right w:val="single" w:sz="4" w:space="0" w:color="D3D3D3"/>
            </w:tcBorders>
            <w:shd w:val="clear" w:color="auto" w:fill="auto"/>
            <w:hideMark/>
          </w:tcPr>
          <w:p w14:paraId="64AE33F2" w14:textId="77777777" w:rsidR="000E274F" w:rsidRPr="002048A7" w:rsidRDefault="000E274F" w:rsidP="000E274F">
            <w:pPr>
              <w:spacing w:after="0" w:line="240" w:lineRule="auto"/>
              <w:rPr>
                <w:rFonts w:eastAsia="Times New Roman" w:cstheme="minorHAnsi"/>
                <w:color w:val="000000"/>
                <w:lang w:eastAsia="tr-TR"/>
              </w:rPr>
            </w:pPr>
            <w:r w:rsidRPr="002048A7">
              <w:rPr>
                <w:rFonts w:ascii="Tahoma" w:hAnsi="Tahoma" w:cs="Tahoma"/>
                <w:color w:val="000000"/>
                <w:sz w:val="20"/>
                <w:szCs w:val="20"/>
              </w:rPr>
              <w:t>ÇORUM</w:t>
            </w:r>
          </w:p>
        </w:tc>
        <w:tc>
          <w:tcPr>
            <w:tcW w:w="2379" w:type="dxa"/>
            <w:tcBorders>
              <w:top w:val="nil"/>
              <w:left w:val="nil"/>
              <w:bottom w:val="single" w:sz="4" w:space="0" w:color="D3D3D3"/>
              <w:right w:val="single" w:sz="4" w:space="0" w:color="D3D3D3"/>
            </w:tcBorders>
            <w:shd w:val="clear" w:color="auto" w:fill="auto"/>
            <w:noWrap/>
            <w:vAlign w:val="bottom"/>
          </w:tcPr>
          <w:p w14:paraId="0A0BB3D1" w14:textId="77777777" w:rsidR="000E274F" w:rsidRPr="002048A7" w:rsidRDefault="000E274F" w:rsidP="000E274F">
            <w:pPr>
              <w:spacing w:after="0" w:line="240" w:lineRule="auto"/>
              <w:jc w:val="right"/>
              <w:rPr>
                <w:rFonts w:eastAsia="Times New Roman" w:cstheme="minorHAnsi"/>
                <w:color w:val="000000"/>
                <w:lang w:eastAsia="tr-TR"/>
              </w:rPr>
            </w:pPr>
            <w:r>
              <w:rPr>
                <w:rFonts w:ascii="Calibri" w:hAnsi="Calibri" w:cs="Calibri"/>
                <w:color w:val="000000"/>
              </w:rPr>
              <w:t xml:space="preserve">700,000 </w:t>
            </w:r>
          </w:p>
        </w:tc>
        <w:tc>
          <w:tcPr>
            <w:tcW w:w="3747" w:type="dxa"/>
            <w:tcBorders>
              <w:top w:val="nil"/>
              <w:left w:val="nil"/>
              <w:bottom w:val="single" w:sz="4" w:space="0" w:color="D3D3D3"/>
              <w:right w:val="single" w:sz="4" w:space="0" w:color="D3D3D3"/>
            </w:tcBorders>
            <w:shd w:val="clear" w:color="auto" w:fill="auto"/>
            <w:noWrap/>
            <w:vAlign w:val="bottom"/>
          </w:tcPr>
          <w:p w14:paraId="7DFE17CA" w14:textId="77777777" w:rsidR="000E274F" w:rsidRPr="00FD454C" w:rsidRDefault="000E274F" w:rsidP="000E274F">
            <w:pPr>
              <w:spacing w:after="0" w:line="240" w:lineRule="auto"/>
              <w:jc w:val="center"/>
              <w:rPr>
                <w:rFonts w:eastAsia="Times New Roman" w:cstheme="minorHAnsi"/>
                <w:color w:val="000000"/>
                <w:lang w:eastAsia="tr-TR"/>
              </w:rPr>
            </w:pPr>
            <w:r>
              <w:rPr>
                <w:rFonts w:ascii="Calibri" w:hAnsi="Calibri" w:cs="Calibri"/>
                <w:color w:val="000000"/>
              </w:rPr>
              <w:t xml:space="preserve">0,09 </w:t>
            </w:r>
          </w:p>
        </w:tc>
      </w:tr>
      <w:tr w:rsidR="000E274F" w:rsidRPr="002048A7" w14:paraId="2AFB6E8C" w14:textId="77777777" w:rsidTr="000E274F">
        <w:trPr>
          <w:trHeight w:val="288"/>
          <w:jc w:val="center"/>
        </w:trPr>
        <w:tc>
          <w:tcPr>
            <w:tcW w:w="2630" w:type="dxa"/>
            <w:tcBorders>
              <w:top w:val="nil"/>
              <w:left w:val="single" w:sz="4" w:space="0" w:color="D3D3D3"/>
              <w:bottom w:val="single" w:sz="4" w:space="0" w:color="D3D3D3"/>
              <w:right w:val="single" w:sz="4" w:space="0" w:color="D3D3D3"/>
            </w:tcBorders>
            <w:shd w:val="clear" w:color="auto" w:fill="auto"/>
            <w:hideMark/>
          </w:tcPr>
          <w:p w14:paraId="0F1C3447" w14:textId="77777777" w:rsidR="000E274F" w:rsidRPr="002048A7" w:rsidRDefault="000E274F" w:rsidP="000E274F">
            <w:pPr>
              <w:spacing w:after="0" w:line="240" w:lineRule="auto"/>
              <w:rPr>
                <w:rFonts w:eastAsia="Times New Roman" w:cstheme="minorHAnsi"/>
                <w:color w:val="000000"/>
                <w:lang w:eastAsia="tr-TR"/>
              </w:rPr>
            </w:pPr>
            <w:r w:rsidRPr="002048A7">
              <w:rPr>
                <w:rFonts w:ascii="Tahoma" w:hAnsi="Tahoma" w:cs="Tahoma"/>
                <w:color w:val="000000"/>
                <w:sz w:val="20"/>
                <w:szCs w:val="20"/>
              </w:rPr>
              <w:t>DİYARBAKIR</w:t>
            </w:r>
          </w:p>
        </w:tc>
        <w:tc>
          <w:tcPr>
            <w:tcW w:w="2379" w:type="dxa"/>
            <w:tcBorders>
              <w:top w:val="nil"/>
              <w:left w:val="nil"/>
              <w:bottom w:val="single" w:sz="4" w:space="0" w:color="D3D3D3"/>
              <w:right w:val="single" w:sz="4" w:space="0" w:color="D3D3D3"/>
            </w:tcBorders>
            <w:shd w:val="clear" w:color="auto" w:fill="auto"/>
            <w:noWrap/>
            <w:vAlign w:val="bottom"/>
          </w:tcPr>
          <w:p w14:paraId="480E502C" w14:textId="77777777" w:rsidR="000E274F" w:rsidRPr="002048A7" w:rsidRDefault="000E274F" w:rsidP="000E274F">
            <w:pPr>
              <w:spacing w:after="0" w:line="240" w:lineRule="auto"/>
              <w:jc w:val="right"/>
              <w:rPr>
                <w:rFonts w:eastAsia="Times New Roman" w:cstheme="minorHAnsi"/>
                <w:color w:val="000000"/>
                <w:lang w:eastAsia="tr-TR"/>
              </w:rPr>
            </w:pPr>
            <w:r>
              <w:rPr>
                <w:rFonts w:ascii="Calibri" w:hAnsi="Calibri" w:cs="Calibri"/>
                <w:color w:val="000000"/>
              </w:rPr>
              <w:t xml:space="preserve">2.595,000 </w:t>
            </w:r>
          </w:p>
        </w:tc>
        <w:tc>
          <w:tcPr>
            <w:tcW w:w="3747" w:type="dxa"/>
            <w:tcBorders>
              <w:top w:val="nil"/>
              <w:left w:val="nil"/>
              <w:bottom w:val="single" w:sz="4" w:space="0" w:color="D3D3D3"/>
              <w:right w:val="single" w:sz="4" w:space="0" w:color="D3D3D3"/>
            </w:tcBorders>
            <w:shd w:val="clear" w:color="auto" w:fill="auto"/>
            <w:noWrap/>
            <w:vAlign w:val="bottom"/>
          </w:tcPr>
          <w:p w14:paraId="682693A7" w14:textId="77777777" w:rsidR="000E274F" w:rsidRPr="00FD454C" w:rsidRDefault="000E274F" w:rsidP="000E274F">
            <w:pPr>
              <w:spacing w:after="0" w:line="240" w:lineRule="auto"/>
              <w:jc w:val="center"/>
              <w:rPr>
                <w:rFonts w:eastAsia="Times New Roman" w:cstheme="minorHAnsi"/>
                <w:color w:val="000000"/>
                <w:lang w:eastAsia="tr-TR"/>
              </w:rPr>
            </w:pPr>
            <w:r>
              <w:rPr>
                <w:rFonts w:ascii="Calibri" w:hAnsi="Calibri" w:cs="Calibri"/>
                <w:color w:val="000000"/>
              </w:rPr>
              <w:t xml:space="preserve">0,33 </w:t>
            </w:r>
          </w:p>
        </w:tc>
      </w:tr>
      <w:tr w:rsidR="000E274F" w:rsidRPr="002048A7" w14:paraId="2FD54D14" w14:textId="77777777" w:rsidTr="000E274F">
        <w:trPr>
          <w:trHeight w:val="288"/>
          <w:jc w:val="center"/>
        </w:trPr>
        <w:tc>
          <w:tcPr>
            <w:tcW w:w="2630" w:type="dxa"/>
            <w:tcBorders>
              <w:top w:val="nil"/>
              <w:left w:val="single" w:sz="4" w:space="0" w:color="D3D3D3"/>
              <w:bottom w:val="single" w:sz="4" w:space="0" w:color="D3D3D3"/>
              <w:right w:val="single" w:sz="4" w:space="0" w:color="D3D3D3"/>
            </w:tcBorders>
            <w:shd w:val="clear" w:color="auto" w:fill="auto"/>
            <w:hideMark/>
          </w:tcPr>
          <w:p w14:paraId="0ACCB486" w14:textId="77777777" w:rsidR="000E274F" w:rsidRPr="002048A7" w:rsidRDefault="000E274F" w:rsidP="000E274F">
            <w:pPr>
              <w:spacing w:after="0" w:line="240" w:lineRule="auto"/>
              <w:rPr>
                <w:rFonts w:eastAsia="Times New Roman" w:cstheme="minorHAnsi"/>
                <w:color w:val="000000"/>
                <w:lang w:eastAsia="tr-TR"/>
              </w:rPr>
            </w:pPr>
            <w:r w:rsidRPr="002048A7">
              <w:rPr>
                <w:rFonts w:ascii="Tahoma" w:hAnsi="Tahoma" w:cs="Tahoma"/>
                <w:color w:val="000000"/>
                <w:sz w:val="20"/>
                <w:szCs w:val="20"/>
              </w:rPr>
              <w:t>ELAZIĞ</w:t>
            </w:r>
          </w:p>
        </w:tc>
        <w:tc>
          <w:tcPr>
            <w:tcW w:w="2379" w:type="dxa"/>
            <w:tcBorders>
              <w:top w:val="nil"/>
              <w:left w:val="nil"/>
              <w:bottom w:val="single" w:sz="4" w:space="0" w:color="D3D3D3"/>
              <w:right w:val="single" w:sz="4" w:space="0" w:color="D3D3D3"/>
            </w:tcBorders>
            <w:shd w:val="clear" w:color="auto" w:fill="auto"/>
            <w:noWrap/>
            <w:vAlign w:val="bottom"/>
          </w:tcPr>
          <w:p w14:paraId="6A362CFA" w14:textId="77777777" w:rsidR="000E274F" w:rsidRPr="002048A7" w:rsidRDefault="000E274F" w:rsidP="000E274F">
            <w:pPr>
              <w:spacing w:after="0" w:line="240" w:lineRule="auto"/>
              <w:jc w:val="right"/>
              <w:rPr>
                <w:rFonts w:eastAsia="Times New Roman" w:cstheme="minorHAnsi"/>
                <w:color w:val="000000"/>
                <w:lang w:eastAsia="tr-TR"/>
              </w:rPr>
            </w:pPr>
            <w:r>
              <w:rPr>
                <w:rFonts w:ascii="Calibri" w:hAnsi="Calibri" w:cs="Calibri"/>
                <w:color w:val="000000"/>
              </w:rPr>
              <w:t xml:space="preserve">575,000 </w:t>
            </w:r>
          </w:p>
        </w:tc>
        <w:tc>
          <w:tcPr>
            <w:tcW w:w="3747" w:type="dxa"/>
            <w:tcBorders>
              <w:top w:val="nil"/>
              <w:left w:val="nil"/>
              <w:bottom w:val="single" w:sz="4" w:space="0" w:color="D3D3D3"/>
              <w:right w:val="single" w:sz="4" w:space="0" w:color="D3D3D3"/>
            </w:tcBorders>
            <w:shd w:val="clear" w:color="auto" w:fill="auto"/>
            <w:noWrap/>
            <w:vAlign w:val="bottom"/>
          </w:tcPr>
          <w:p w14:paraId="3B686AC8" w14:textId="77777777" w:rsidR="000E274F" w:rsidRPr="00FD454C" w:rsidRDefault="000E274F" w:rsidP="000E274F">
            <w:pPr>
              <w:spacing w:after="0" w:line="240" w:lineRule="auto"/>
              <w:jc w:val="center"/>
              <w:rPr>
                <w:rFonts w:eastAsia="Times New Roman" w:cstheme="minorHAnsi"/>
                <w:color w:val="000000"/>
                <w:lang w:eastAsia="tr-TR"/>
              </w:rPr>
            </w:pPr>
            <w:r>
              <w:rPr>
                <w:rFonts w:ascii="Calibri" w:hAnsi="Calibri" w:cs="Calibri"/>
                <w:color w:val="000000"/>
              </w:rPr>
              <w:t xml:space="preserve">0,07 </w:t>
            </w:r>
          </w:p>
        </w:tc>
      </w:tr>
      <w:tr w:rsidR="000E274F" w:rsidRPr="002048A7" w14:paraId="29AA19DA" w14:textId="77777777" w:rsidTr="000E274F">
        <w:trPr>
          <w:trHeight w:val="288"/>
          <w:jc w:val="center"/>
        </w:trPr>
        <w:tc>
          <w:tcPr>
            <w:tcW w:w="2630" w:type="dxa"/>
            <w:tcBorders>
              <w:top w:val="nil"/>
              <w:left w:val="single" w:sz="4" w:space="0" w:color="D3D3D3"/>
              <w:bottom w:val="single" w:sz="4" w:space="0" w:color="D3D3D3"/>
              <w:right w:val="single" w:sz="4" w:space="0" w:color="D3D3D3"/>
            </w:tcBorders>
            <w:shd w:val="clear" w:color="auto" w:fill="auto"/>
            <w:hideMark/>
          </w:tcPr>
          <w:p w14:paraId="24FACA9D" w14:textId="77777777" w:rsidR="000E274F" w:rsidRPr="002048A7" w:rsidRDefault="000E274F" w:rsidP="000E274F">
            <w:pPr>
              <w:spacing w:after="0" w:line="240" w:lineRule="auto"/>
              <w:rPr>
                <w:rFonts w:eastAsia="Times New Roman" w:cstheme="minorHAnsi"/>
                <w:color w:val="000000"/>
                <w:lang w:eastAsia="tr-TR"/>
              </w:rPr>
            </w:pPr>
            <w:r w:rsidRPr="002048A7">
              <w:rPr>
                <w:rFonts w:ascii="Tahoma" w:hAnsi="Tahoma" w:cs="Tahoma"/>
                <w:color w:val="000000"/>
                <w:sz w:val="20"/>
                <w:szCs w:val="20"/>
              </w:rPr>
              <w:t>ERZURUM</w:t>
            </w:r>
          </w:p>
        </w:tc>
        <w:tc>
          <w:tcPr>
            <w:tcW w:w="2379" w:type="dxa"/>
            <w:tcBorders>
              <w:top w:val="nil"/>
              <w:left w:val="nil"/>
              <w:bottom w:val="single" w:sz="4" w:space="0" w:color="D3D3D3"/>
              <w:right w:val="single" w:sz="4" w:space="0" w:color="D3D3D3"/>
            </w:tcBorders>
            <w:shd w:val="clear" w:color="auto" w:fill="auto"/>
            <w:noWrap/>
            <w:vAlign w:val="bottom"/>
          </w:tcPr>
          <w:p w14:paraId="443BB46A" w14:textId="77777777" w:rsidR="000E274F" w:rsidRPr="002048A7" w:rsidRDefault="000E274F" w:rsidP="000E274F">
            <w:pPr>
              <w:spacing w:after="0" w:line="240" w:lineRule="auto"/>
              <w:jc w:val="right"/>
              <w:rPr>
                <w:rFonts w:eastAsia="Times New Roman" w:cstheme="minorHAnsi"/>
                <w:color w:val="000000"/>
                <w:lang w:eastAsia="tr-TR"/>
              </w:rPr>
            </w:pPr>
            <w:r>
              <w:rPr>
                <w:rFonts w:ascii="Calibri" w:hAnsi="Calibri" w:cs="Calibri"/>
                <w:color w:val="000000"/>
              </w:rPr>
              <w:t xml:space="preserve">4.035,000 </w:t>
            </w:r>
          </w:p>
        </w:tc>
        <w:tc>
          <w:tcPr>
            <w:tcW w:w="3747" w:type="dxa"/>
            <w:tcBorders>
              <w:top w:val="nil"/>
              <w:left w:val="nil"/>
              <w:bottom w:val="single" w:sz="4" w:space="0" w:color="D3D3D3"/>
              <w:right w:val="single" w:sz="4" w:space="0" w:color="D3D3D3"/>
            </w:tcBorders>
            <w:shd w:val="clear" w:color="auto" w:fill="auto"/>
            <w:noWrap/>
            <w:vAlign w:val="bottom"/>
          </w:tcPr>
          <w:p w14:paraId="41851602" w14:textId="77777777" w:rsidR="000E274F" w:rsidRPr="00FD454C" w:rsidRDefault="000E274F" w:rsidP="000E274F">
            <w:pPr>
              <w:spacing w:after="0" w:line="240" w:lineRule="auto"/>
              <w:jc w:val="center"/>
              <w:rPr>
                <w:rFonts w:ascii="Tahoma" w:hAnsi="Tahoma" w:cs="Tahoma"/>
                <w:color w:val="000000"/>
                <w:sz w:val="20"/>
                <w:szCs w:val="20"/>
              </w:rPr>
            </w:pPr>
            <w:r>
              <w:rPr>
                <w:rFonts w:ascii="Calibri" w:hAnsi="Calibri" w:cs="Calibri"/>
                <w:color w:val="000000"/>
              </w:rPr>
              <w:t xml:space="preserve">0,52 </w:t>
            </w:r>
          </w:p>
        </w:tc>
      </w:tr>
      <w:tr w:rsidR="000E274F" w:rsidRPr="002048A7" w14:paraId="57BFF20D" w14:textId="77777777" w:rsidTr="000E274F">
        <w:trPr>
          <w:trHeight w:val="288"/>
          <w:jc w:val="center"/>
        </w:trPr>
        <w:tc>
          <w:tcPr>
            <w:tcW w:w="2630" w:type="dxa"/>
            <w:tcBorders>
              <w:top w:val="nil"/>
              <w:left w:val="single" w:sz="4" w:space="0" w:color="D3D3D3"/>
              <w:bottom w:val="single" w:sz="4" w:space="0" w:color="D3D3D3"/>
              <w:right w:val="single" w:sz="4" w:space="0" w:color="D3D3D3"/>
            </w:tcBorders>
            <w:shd w:val="clear" w:color="auto" w:fill="auto"/>
            <w:hideMark/>
          </w:tcPr>
          <w:p w14:paraId="7DAE92D6" w14:textId="77777777" w:rsidR="000E274F" w:rsidRPr="002048A7" w:rsidRDefault="000E274F" w:rsidP="000E274F">
            <w:pPr>
              <w:spacing w:after="0" w:line="240" w:lineRule="auto"/>
              <w:rPr>
                <w:rFonts w:eastAsia="Times New Roman" w:cstheme="minorHAnsi"/>
                <w:color w:val="000000"/>
                <w:lang w:eastAsia="tr-TR"/>
              </w:rPr>
            </w:pPr>
            <w:r w:rsidRPr="002048A7">
              <w:rPr>
                <w:rFonts w:ascii="Tahoma" w:hAnsi="Tahoma" w:cs="Tahoma"/>
                <w:color w:val="000000"/>
                <w:sz w:val="20"/>
                <w:szCs w:val="20"/>
              </w:rPr>
              <w:t>ESKİŞEHİR</w:t>
            </w:r>
          </w:p>
        </w:tc>
        <w:tc>
          <w:tcPr>
            <w:tcW w:w="2379" w:type="dxa"/>
            <w:tcBorders>
              <w:top w:val="nil"/>
              <w:left w:val="nil"/>
              <w:bottom w:val="single" w:sz="4" w:space="0" w:color="D3D3D3"/>
              <w:right w:val="single" w:sz="4" w:space="0" w:color="D3D3D3"/>
            </w:tcBorders>
            <w:shd w:val="clear" w:color="auto" w:fill="auto"/>
            <w:noWrap/>
            <w:vAlign w:val="bottom"/>
          </w:tcPr>
          <w:p w14:paraId="2D44295C" w14:textId="77777777" w:rsidR="000E274F" w:rsidRPr="002048A7" w:rsidRDefault="000E274F" w:rsidP="000E274F">
            <w:pPr>
              <w:spacing w:after="0" w:line="240" w:lineRule="auto"/>
              <w:jc w:val="right"/>
              <w:rPr>
                <w:rFonts w:eastAsia="Times New Roman" w:cstheme="minorHAnsi"/>
                <w:color w:val="000000"/>
                <w:lang w:eastAsia="tr-TR"/>
              </w:rPr>
            </w:pPr>
            <w:r>
              <w:rPr>
                <w:rFonts w:ascii="Calibri" w:hAnsi="Calibri" w:cs="Calibri"/>
                <w:color w:val="000000"/>
              </w:rPr>
              <w:t xml:space="preserve">476,000 </w:t>
            </w:r>
          </w:p>
        </w:tc>
        <w:tc>
          <w:tcPr>
            <w:tcW w:w="3747" w:type="dxa"/>
            <w:tcBorders>
              <w:top w:val="nil"/>
              <w:left w:val="nil"/>
              <w:bottom w:val="single" w:sz="4" w:space="0" w:color="D3D3D3"/>
              <w:right w:val="single" w:sz="4" w:space="0" w:color="D3D3D3"/>
            </w:tcBorders>
            <w:shd w:val="clear" w:color="auto" w:fill="auto"/>
            <w:noWrap/>
            <w:vAlign w:val="bottom"/>
          </w:tcPr>
          <w:p w14:paraId="2AF36D97" w14:textId="77777777" w:rsidR="000E274F" w:rsidRPr="00FD454C" w:rsidRDefault="000E274F" w:rsidP="000E274F">
            <w:pPr>
              <w:spacing w:after="0" w:line="240" w:lineRule="auto"/>
              <w:jc w:val="center"/>
              <w:rPr>
                <w:rFonts w:eastAsia="Times New Roman" w:cstheme="minorHAnsi"/>
                <w:color w:val="000000"/>
                <w:lang w:eastAsia="tr-TR"/>
              </w:rPr>
            </w:pPr>
            <w:r>
              <w:rPr>
                <w:rFonts w:ascii="Calibri" w:hAnsi="Calibri" w:cs="Calibri"/>
                <w:color w:val="000000"/>
              </w:rPr>
              <w:t xml:space="preserve">0,06 </w:t>
            </w:r>
          </w:p>
        </w:tc>
      </w:tr>
      <w:tr w:rsidR="000E274F" w:rsidRPr="002048A7" w14:paraId="6B374456" w14:textId="77777777" w:rsidTr="000E274F">
        <w:trPr>
          <w:trHeight w:val="288"/>
          <w:jc w:val="center"/>
        </w:trPr>
        <w:tc>
          <w:tcPr>
            <w:tcW w:w="2630" w:type="dxa"/>
            <w:tcBorders>
              <w:top w:val="nil"/>
              <w:left w:val="single" w:sz="4" w:space="0" w:color="D3D3D3"/>
              <w:bottom w:val="single" w:sz="4" w:space="0" w:color="D3D3D3"/>
              <w:right w:val="single" w:sz="4" w:space="0" w:color="D3D3D3"/>
            </w:tcBorders>
            <w:shd w:val="clear" w:color="auto" w:fill="auto"/>
            <w:hideMark/>
          </w:tcPr>
          <w:p w14:paraId="79B5BF66" w14:textId="77777777" w:rsidR="000E274F" w:rsidRPr="002048A7" w:rsidRDefault="000E274F" w:rsidP="000E274F">
            <w:pPr>
              <w:spacing w:after="0" w:line="240" w:lineRule="auto"/>
              <w:rPr>
                <w:rFonts w:eastAsia="Times New Roman" w:cstheme="minorHAnsi"/>
                <w:color w:val="000000"/>
                <w:lang w:eastAsia="tr-TR"/>
              </w:rPr>
            </w:pPr>
            <w:r w:rsidRPr="002048A7">
              <w:rPr>
                <w:rFonts w:ascii="Tahoma" w:hAnsi="Tahoma" w:cs="Tahoma"/>
                <w:color w:val="000000"/>
                <w:sz w:val="20"/>
                <w:szCs w:val="20"/>
              </w:rPr>
              <w:t>GAZİANTEP</w:t>
            </w:r>
          </w:p>
        </w:tc>
        <w:tc>
          <w:tcPr>
            <w:tcW w:w="2379" w:type="dxa"/>
            <w:tcBorders>
              <w:top w:val="nil"/>
              <w:left w:val="nil"/>
              <w:bottom w:val="single" w:sz="4" w:space="0" w:color="D3D3D3"/>
              <w:right w:val="single" w:sz="4" w:space="0" w:color="D3D3D3"/>
            </w:tcBorders>
            <w:shd w:val="clear" w:color="auto" w:fill="auto"/>
            <w:noWrap/>
            <w:vAlign w:val="bottom"/>
          </w:tcPr>
          <w:p w14:paraId="4C7CB4B9" w14:textId="77777777" w:rsidR="000E274F" w:rsidRPr="002048A7" w:rsidRDefault="000E274F" w:rsidP="000E274F">
            <w:pPr>
              <w:spacing w:after="0" w:line="240" w:lineRule="auto"/>
              <w:jc w:val="right"/>
              <w:rPr>
                <w:rFonts w:eastAsia="Times New Roman" w:cstheme="minorHAnsi"/>
                <w:color w:val="000000"/>
                <w:lang w:eastAsia="tr-TR"/>
              </w:rPr>
            </w:pPr>
            <w:r>
              <w:rPr>
                <w:rFonts w:ascii="Calibri" w:hAnsi="Calibri" w:cs="Calibri"/>
                <w:color w:val="000000"/>
              </w:rPr>
              <w:t xml:space="preserve">115,000 </w:t>
            </w:r>
          </w:p>
        </w:tc>
        <w:tc>
          <w:tcPr>
            <w:tcW w:w="3747" w:type="dxa"/>
            <w:tcBorders>
              <w:top w:val="nil"/>
              <w:left w:val="nil"/>
              <w:bottom w:val="single" w:sz="4" w:space="0" w:color="D3D3D3"/>
              <w:right w:val="single" w:sz="4" w:space="0" w:color="D3D3D3"/>
            </w:tcBorders>
            <w:shd w:val="clear" w:color="auto" w:fill="auto"/>
            <w:noWrap/>
            <w:vAlign w:val="bottom"/>
          </w:tcPr>
          <w:p w14:paraId="672E0308" w14:textId="77777777" w:rsidR="000E274F" w:rsidRPr="00FD454C" w:rsidRDefault="000E274F" w:rsidP="000E274F">
            <w:pPr>
              <w:spacing w:after="0" w:line="240" w:lineRule="auto"/>
              <w:jc w:val="center"/>
              <w:rPr>
                <w:rFonts w:eastAsia="Times New Roman" w:cstheme="minorHAnsi"/>
                <w:color w:val="000000"/>
                <w:lang w:eastAsia="tr-TR"/>
              </w:rPr>
            </w:pPr>
            <w:r>
              <w:rPr>
                <w:rFonts w:ascii="Calibri" w:hAnsi="Calibri" w:cs="Calibri"/>
                <w:color w:val="000000"/>
              </w:rPr>
              <w:t xml:space="preserve">0,01 </w:t>
            </w:r>
          </w:p>
        </w:tc>
      </w:tr>
      <w:tr w:rsidR="000E274F" w:rsidRPr="002048A7" w14:paraId="48AEB60A" w14:textId="77777777" w:rsidTr="000E274F">
        <w:trPr>
          <w:trHeight w:val="288"/>
          <w:jc w:val="center"/>
        </w:trPr>
        <w:tc>
          <w:tcPr>
            <w:tcW w:w="2630" w:type="dxa"/>
            <w:tcBorders>
              <w:top w:val="nil"/>
              <w:left w:val="single" w:sz="4" w:space="0" w:color="D3D3D3"/>
              <w:bottom w:val="single" w:sz="4" w:space="0" w:color="D3D3D3"/>
              <w:right w:val="single" w:sz="4" w:space="0" w:color="D3D3D3"/>
            </w:tcBorders>
            <w:shd w:val="clear" w:color="auto" w:fill="auto"/>
            <w:hideMark/>
          </w:tcPr>
          <w:p w14:paraId="42458FCD" w14:textId="77777777" w:rsidR="000E274F" w:rsidRPr="002048A7" w:rsidRDefault="000E274F" w:rsidP="000E274F">
            <w:pPr>
              <w:spacing w:after="0" w:line="240" w:lineRule="auto"/>
              <w:rPr>
                <w:rFonts w:eastAsia="Times New Roman" w:cstheme="minorHAnsi"/>
                <w:color w:val="000000"/>
                <w:lang w:eastAsia="tr-TR"/>
              </w:rPr>
            </w:pPr>
            <w:r w:rsidRPr="002048A7">
              <w:rPr>
                <w:rFonts w:ascii="Tahoma" w:hAnsi="Tahoma" w:cs="Tahoma"/>
                <w:color w:val="000000"/>
                <w:sz w:val="20"/>
                <w:szCs w:val="20"/>
              </w:rPr>
              <w:t>GİRESUN</w:t>
            </w:r>
          </w:p>
        </w:tc>
        <w:tc>
          <w:tcPr>
            <w:tcW w:w="2379" w:type="dxa"/>
            <w:tcBorders>
              <w:top w:val="nil"/>
              <w:left w:val="nil"/>
              <w:bottom w:val="single" w:sz="4" w:space="0" w:color="D3D3D3"/>
              <w:right w:val="single" w:sz="4" w:space="0" w:color="D3D3D3"/>
            </w:tcBorders>
            <w:shd w:val="clear" w:color="auto" w:fill="auto"/>
            <w:noWrap/>
            <w:vAlign w:val="bottom"/>
          </w:tcPr>
          <w:p w14:paraId="01AA8F5B" w14:textId="77777777" w:rsidR="000E274F" w:rsidRPr="002048A7" w:rsidRDefault="000E274F" w:rsidP="000E274F">
            <w:pPr>
              <w:spacing w:after="0" w:line="240" w:lineRule="auto"/>
              <w:jc w:val="right"/>
              <w:rPr>
                <w:rFonts w:eastAsia="Times New Roman" w:cstheme="minorHAnsi"/>
                <w:color w:val="000000"/>
                <w:lang w:eastAsia="tr-TR"/>
              </w:rPr>
            </w:pPr>
            <w:r>
              <w:rPr>
                <w:rFonts w:ascii="Calibri" w:hAnsi="Calibri" w:cs="Calibri"/>
                <w:color w:val="000000"/>
              </w:rPr>
              <w:t xml:space="preserve">9.139,000 </w:t>
            </w:r>
          </w:p>
        </w:tc>
        <w:tc>
          <w:tcPr>
            <w:tcW w:w="3747" w:type="dxa"/>
            <w:tcBorders>
              <w:top w:val="nil"/>
              <w:left w:val="nil"/>
              <w:bottom w:val="single" w:sz="4" w:space="0" w:color="D3D3D3"/>
              <w:right w:val="single" w:sz="4" w:space="0" w:color="D3D3D3"/>
            </w:tcBorders>
            <w:shd w:val="clear" w:color="auto" w:fill="auto"/>
            <w:noWrap/>
            <w:vAlign w:val="bottom"/>
          </w:tcPr>
          <w:p w14:paraId="074A4E69" w14:textId="77777777" w:rsidR="000E274F" w:rsidRPr="00FD454C" w:rsidRDefault="000E274F" w:rsidP="000E274F">
            <w:pPr>
              <w:spacing w:after="0" w:line="240" w:lineRule="auto"/>
              <w:jc w:val="center"/>
              <w:rPr>
                <w:rFonts w:eastAsia="Times New Roman" w:cstheme="minorHAnsi"/>
                <w:color w:val="000000"/>
                <w:lang w:eastAsia="tr-TR"/>
              </w:rPr>
            </w:pPr>
            <w:r>
              <w:rPr>
                <w:rFonts w:ascii="Calibri" w:hAnsi="Calibri" w:cs="Calibri"/>
                <w:color w:val="000000"/>
              </w:rPr>
              <w:t xml:space="preserve">1,18 </w:t>
            </w:r>
          </w:p>
        </w:tc>
      </w:tr>
      <w:tr w:rsidR="000E274F" w:rsidRPr="002048A7" w14:paraId="4BF7DE45" w14:textId="77777777" w:rsidTr="000E274F">
        <w:trPr>
          <w:trHeight w:val="288"/>
          <w:jc w:val="center"/>
        </w:trPr>
        <w:tc>
          <w:tcPr>
            <w:tcW w:w="2630" w:type="dxa"/>
            <w:tcBorders>
              <w:top w:val="nil"/>
              <w:left w:val="single" w:sz="4" w:space="0" w:color="D3D3D3"/>
              <w:bottom w:val="single" w:sz="4" w:space="0" w:color="D3D3D3"/>
              <w:right w:val="single" w:sz="4" w:space="0" w:color="D3D3D3"/>
            </w:tcBorders>
            <w:shd w:val="clear" w:color="auto" w:fill="auto"/>
            <w:hideMark/>
          </w:tcPr>
          <w:p w14:paraId="718A6853" w14:textId="77777777" w:rsidR="000E274F" w:rsidRPr="002048A7" w:rsidRDefault="000E274F" w:rsidP="000E274F">
            <w:pPr>
              <w:spacing w:after="0" w:line="240" w:lineRule="auto"/>
              <w:rPr>
                <w:rFonts w:eastAsia="Times New Roman" w:cstheme="minorHAnsi"/>
                <w:color w:val="000000"/>
                <w:lang w:eastAsia="tr-TR"/>
              </w:rPr>
            </w:pPr>
            <w:r w:rsidRPr="002048A7">
              <w:rPr>
                <w:rFonts w:ascii="Tahoma" w:hAnsi="Tahoma" w:cs="Tahoma"/>
                <w:color w:val="000000"/>
                <w:sz w:val="20"/>
                <w:szCs w:val="20"/>
              </w:rPr>
              <w:t>HATAY</w:t>
            </w:r>
          </w:p>
        </w:tc>
        <w:tc>
          <w:tcPr>
            <w:tcW w:w="2379" w:type="dxa"/>
            <w:tcBorders>
              <w:top w:val="nil"/>
              <w:left w:val="nil"/>
              <w:bottom w:val="single" w:sz="4" w:space="0" w:color="D3D3D3"/>
              <w:right w:val="single" w:sz="4" w:space="0" w:color="D3D3D3"/>
            </w:tcBorders>
            <w:shd w:val="clear" w:color="auto" w:fill="auto"/>
            <w:noWrap/>
            <w:vAlign w:val="bottom"/>
          </w:tcPr>
          <w:p w14:paraId="65D12CBD" w14:textId="77777777" w:rsidR="000E274F" w:rsidRPr="002048A7" w:rsidRDefault="000E274F" w:rsidP="000E274F">
            <w:pPr>
              <w:spacing w:after="0" w:line="240" w:lineRule="auto"/>
              <w:jc w:val="right"/>
              <w:rPr>
                <w:rFonts w:eastAsia="Times New Roman" w:cstheme="minorHAnsi"/>
                <w:color w:val="000000"/>
                <w:lang w:eastAsia="tr-TR"/>
              </w:rPr>
            </w:pPr>
            <w:r>
              <w:rPr>
                <w:rFonts w:ascii="Calibri" w:hAnsi="Calibri" w:cs="Calibri"/>
                <w:color w:val="000000"/>
              </w:rPr>
              <w:t>233.160,000</w:t>
            </w:r>
          </w:p>
        </w:tc>
        <w:tc>
          <w:tcPr>
            <w:tcW w:w="3747" w:type="dxa"/>
            <w:tcBorders>
              <w:top w:val="nil"/>
              <w:left w:val="nil"/>
              <w:bottom w:val="single" w:sz="4" w:space="0" w:color="D3D3D3"/>
              <w:right w:val="single" w:sz="4" w:space="0" w:color="D3D3D3"/>
            </w:tcBorders>
            <w:shd w:val="clear" w:color="auto" w:fill="auto"/>
            <w:noWrap/>
            <w:vAlign w:val="bottom"/>
          </w:tcPr>
          <w:p w14:paraId="24AE40C7" w14:textId="77777777" w:rsidR="000E274F" w:rsidRPr="00FD454C" w:rsidRDefault="000E274F" w:rsidP="000E274F">
            <w:pPr>
              <w:spacing w:after="0" w:line="240" w:lineRule="auto"/>
              <w:jc w:val="center"/>
              <w:rPr>
                <w:rFonts w:eastAsia="Times New Roman" w:cstheme="minorHAnsi"/>
                <w:color w:val="000000"/>
                <w:lang w:eastAsia="tr-TR"/>
              </w:rPr>
            </w:pPr>
            <w:r>
              <w:rPr>
                <w:rFonts w:ascii="Calibri" w:hAnsi="Calibri" w:cs="Calibri"/>
                <w:color w:val="000000"/>
              </w:rPr>
              <w:t xml:space="preserve">30,10 </w:t>
            </w:r>
          </w:p>
        </w:tc>
      </w:tr>
      <w:tr w:rsidR="000E274F" w:rsidRPr="002048A7" w14:paraId="60C22131" w14:textId="77777777" w:rsidTr="000E274F">
        <w:trPr>
          <w:trHeight w:val="288"/>
          <w:jc w:val="center"/>
        </w:trPr>
        <w:tc>
          <w:tcPr>
            <w:tcW w:w="2630" w:type="dxa"/>
            <w:tcBorders>
              <w:top w:val="nil"/>
              <w:left w:val="single" w:sz="4" w:space="0" w:color="D3D3D3"/>
              <w:bottom w:val="single" w:sz="4" w:space="0" w:color="D3D3D3"/>
              <w:right w:val="single" w:sz="4" w:space="0" w:color="D3D3D3"/>
            </w:tcBorders>
            <w:shd w:val="clear" w:color="auto" w:fill="auto"/>
            <w:hideMark/>
          </w:tcPr>
          <w:p w14:paraId="7F16DDF2" w14:textId="77777777" w:rsidR="000E274F" w:rsidRPr="002048A7" w:rsidRDefault="000E274F" w:rsidP="000E274F">
            <w:pPr>
              <w:spacing w:after="0" w:line="240" w:lineRule="auto"/>
              <w:rPr>
                <w:rFonts w:eastAsia="Times New Roman" w:cstheme="minorHAnsi"/>
                <w:color w:val="000000"/>
                <w:lang w:eastAsia="tr-TR"/>
              </w:rPr>
            </w:pPr>
            <w:r w:rsidRPr="002048A7">
              <w:rPr>
                <w:rFonts w:ascii="Tahoma" w:hAnsi="Tahoma" w:cs="Tahoma"/>
                <w:color w:val="000000"/>
                <w:sz w:val="20"/>
                <w:szCs w:val="20"/>
              </w:rPr>
              <w:t>ISPARTA</w:t>
            </w:r>
          </w:p>
        </w:tc>
        <w:tc>
          <w:tcPr>
            <w:tcW w:w="2379" w:type="dxa"/>
            <w:tcBorders>
              <w:top w:val="nil"/>
              <w:left w:val="nil"/>
              <w:bottom w:val="single" w:sz="4" w:space="0" w:color="D3D3D3"/>
              <w:right w:val="single" w:sz="4" w:space="0" w:color="D3D3D3"/>
            </w:tcBorders>
            <w:shd w:val="clear" w:color="auto" w:fill="auto"/>
            <w:noWrap/>
            <w:vAlign w:val="bottom"/>
          </w:tcPr>
          <w:p w14:paraId="2B4D87CC" w14:textId="77777777" w:rsidR="000E274F" w:rsidRPr="002048A7" w:rsidRDefault="000E274F" w:rsidP="000E274F">
            <w:pPr>
              <w:spacing w:after="0" w:line="240" w:lineRule="auto"/>
              <w:jc w:val="right"/>
              <w:rPr>
                <w:rFonts w:eastAsia="Times New Roman" w:cstheme="minorHAnsi"/>
                <w:color w:val="000000"/>
                <w:lang w:eastAsia="tr-TR"/>
              </w:rPr>
            </w:pPr>
            <w:r>
              <w:rPr>
                <w:rFonts w:ascii="Calibri" w:hAnsi="Calibri" w:cs="Calibri"/>
                <w:color w:val="000000"/>
              </w:rPr>
              <w:t>1.755,000</w:t>
            </w:r>
          </w:p>
        </w:tc>
        <w:tc>
          <w:tcPr>
            <w:tcW w:w="3747" w:type="dxa"/>
            <w:tcBorders>
              <w:top w:val="nil"/>
              <w:left w:val="nil"/>
              <w:bottom w:val="single" w:sz="4" w:space="0" w:color="D3D3D3"/>
              <w:right w:val="single" w:sz="4" w:space="0" w:color="D3D3D3"/>
            </w:tcBorders>
            <w:shd w:val="clear" w:color="auto" w:fill="auto"/>
            <w:noWrap/>
            <w:vAlign w:val="bottom"/>
          </w:tcPr>
          <w:p w14:paraId="585F72C0" w14:textId="77777777" w:rsidR="000E274F" w:rsidRPr="00FD454C" w:rsidRDefault="000E274F" w:rsidP="000E274F">
            <w:pPr>
              <w:spacing w:after="0" w:line="240" w:lineRule="auto"/>
              <w:jc w:val="center"/>
              <w:rPr>
                <w:rFonts w:eastAsia="Times New Roman" w:cstheme="minorHAnsi"/>
                <w:color w:val="000000"/>
                <w:lang w:eastAsia="tr-TR"/>
              </w:rPr>
            </w:pPr>
            <w:r>
              <w:rPr>
                <w:rFonts w:ascii="Calibri" w:hAnsi="Calibri" w:cs="Calibri"/>
                <w:color w:val="000000"/>
              </w:rPr>
              <w:t xml:space="preserve">0,22 </w:t>
            </w:r>
          </w:p>
        </w:tc>
      </w:tr>
      <w:tr w:rsidR="000E274F" w:rsidRPr="002048A7" w14:paraId="7EE2E535" w14:textId="77777777" w:rsidTr="000E274F">
        <w:trPr>
          <w:trHeight w:val="288"/>
          <w:jc w:val="center"/>
        </w:trPr>
        <w:tc>
          <w:tcPr>
            <w:tcW w:w="2630" w:type="dxa"/>
            <w:tcBorders>
              <w:top w:val="nil"/>
              <w:left w:val="single" w:sz="4" w:space="0" w:color="D3D3D3"/>
              <w:bottom w:val="single" w:sz="4" w:space="0" w:color="D3D3D3"/>
              <w:right w:val="single" w:sz="4" w:space="0" w:color="D3D3D3"/>
            </w:tcBorders>
            <w:shd w:val="clear" w:color="auto" w:fill="auto"/>
            <w:hideMark/>
          </w:tcPr>
          <w:p w14:paraId="12802ECB" w14:textId="77777777" w:rsidR="000E274F" w:rsidRPr="002048A7" w:rsidRDefault="000E274F" w:rsidP="000E274F">
            <w:pPr>
              <w:spacing w:after="0" w:line="240" w:lineRule="auto"/>
              <w:rPr>
                <w:rFonts w:eastAsia="Times New Roman" w:cstheme="minorHAnsi"/>
                <w:color w:val="000000"/>
                <w:lang w:eastAsia="tr-TR"/>
              </w:rPr>
            </w:pPr>
            <w:r w:rsidRPr="002048A7">
              <w:rPr>
                <w:rFonts w:ascii="Tahoma" w:hAnsi="Tahoma" w:cs="Tahoma"/>
                <w:color w:val="000000"/>
                <w:sz w:val="20"/>
                <w:szCs w:val="20"/>
              </w:rPr>
              <w:t>İSTANBUL</w:t>
            </w:r>
          </w:p>
        </w:tc>
        <w:tc>
          <w:tcPr>
            <w:tcW w:w="2379" w:type="dxa"/>
            <w:tcBorders>
              <w:top w:val="nil"/>
              <w:left w:val="nil"/>
              <w:bottom w:val="single" w:sz="4" w:space="0" w:color="D3D3D3"/>
              <w:right w:val="single" w:sz="4" w:space="0" w:color="D3D3D3"/>
            </w:tcBorders>
            <w:shd w:val="clear" w:color="auto" w:fill="auto"/>
            <w:noWrap/>
            <w:vAlign w:val="bottom"/>
          </w:tcPr>
          <w:p w14:paraId="5A8FDAFD" w14:textId="77777777" w:rsidR="000E274F" w:rsidRPr="002048A7" w:rsidRDefault="000E274F" w:rsidP="000E274F">
            <w:pPr>
              <w:spacing w:after="0" w:line="240" w:lineRule="auto"/>
              <w:jc w:val="right"/>
              <w:rPr>
                <w:rFonts w:eastAsia="Times New Roman" w:cstheme="minorHAnsi"/>
                <w:color w:val="000000"/>
                <w:lang w:eastAsia="tr-TR"/>
              </w:rPr>
            </w:pPr>
            <w:r>
              <w:rPr>
                <w:rFonts w:ascii="Calibri" w:hAnsi="Calibri" w:cs="Calibri"/>
                <w:color w:val="000000"/>
              </w:rPr>
              <w:t>14.100,000</w:t>
            </w:r>
          </w:p>
        </w:tc>
        <w:tc>
          <w:tcPr>
            <w:tcW w:w="3747" w:type="dxa"/>
            <w:tcBorders>
              <w:top w:val="nil"/>
              <w:left w:val="nil"/>
              <w:bottom w:val="single" w:sz="4" w:space="0" w:color="D3D3D3"/>
              <w:right w:val="single" w:sz="4" w:space="0" w:color="D3D3D3"/>
            </w:tcBorders>
            <w:shd w:val="clear" w:color="auto" w:fill="auto"/>
            <w:noWrap/>
            <w:vAlign w:val="bottom"/>
          </w:tcPr>
          <w:p w14:paraId="5BD1136B" w14:textId="77777777" w:rsidR="000E274F" w:rsidRPr="00FD454C" w:rsidRDefault="000E274F" w:rsidP="000E274F">
            <w:pPr>
              <w:spacing w:after="0" w:line="240" w:lineRule="auto"/>
              <w:jc w:val="center"/>
              <w:rPr>
                <w:rFonts w:eastAsia="Times New Roman" w:cstheme="minorHAnsi"/>
                <w:color w:val="000000"/>
                <w:lang w:eastAsia="tr-TR"/>
              </w:rPr>
            </w:pPr>
            <w:r>
              <w:rPr>
                <w:rFonts w:ascii="Calibri" w:hAnsi="Calibri" w:cs="Calibri"/>
                <w:color w:val="000000"/>
              </w:rPr>
              <w:t xml:space="preserve">1,82 </w:t>
            </w:r>
          </w:p>
        </w:tc>
      </w:tr>
      <w:tr w:rsidR="000E274F" w:rsidRPr="002048A7" w14:paraId="073E609A" w14:textId="77777777" w:rsidTr="000E274F">
        <w:trPr>
          <w:trHeight w:val="207"/>
          <w:jc w:val="center"/>
        </w:trPr>
        <w:tc>
          <w:tcPr>
            <w:tcW w:w="2630" w:type="dxa"/>
            <w:tcBorders>
              <w:top w:val="nil"/>
              <w:left w:val="single" w:sz="4" w:space="0" w:color="D3D3D3"/>
              <w:bottom w:val="single" w:sz="4" w:space="0" w:color="D3D3D3"/>
              <w:right w:val="single" w:sz="4" w:space="0" w:color="D3D3D3"/>
            </w:tcBorders>
            <w:shd w:val="clear" w:color="auto" w:fill="auto"/>
            <w:hideMark/>
          </w:tcPr>
          <w:p w14:paraId="61800D53" w14:textId="77777777" w:rsidR="000E274F" w:rsidRPr="002048A7" w:rsidRDefault="000E274F" w:rsidP="000E274F">
            <w:pPr>
              <w:spacing w:after="0" w:line="240" w:lineRule="auto"/>
              <w:rPr>
                <w:rFonts w:eastAsia="Times New Roman" w:cstheme="minorHAnsi"/>
                <w:color w:val="000000"/>
                <w:lang w:eastAsia="tr-TR"/>
              </w:rPr>
            </w:pPr>
            <w:r w:rsidRPr="002048A7">
              <w:rPr>
                <w:rFonts w:ascii="Tahoma" w:hAnsi="Tahoma" w:cs="Tahoma"/>
                <w:color w:val="000000"/>
                <w:sz w:val="20"/>
                <w:szCs w:val="20"/>
              </w:rPr>
              <w:t>İZMİR</w:t>
            </w:r>
          </w:p>
        </w:tc>
        <w:tc>
          <w:tcPr>
            <w:tcW w:w="2379" w:type="dxa"/>
            <w:tcBorders>
              <w:top w:val="nil"/>
              <w:left w:val="nil"/>
              <w:bottom w:val="single" w:sz="4" w:space="0" w:color="D3D3D3"/>
              <w:right w:val="single" w:sz="4" w:space="0" w:color="D3D3D3"/>
            </w:tcBorders>
            <w:shd w:val="clear" w:color="auto" w:fill="auto"/>
            <w:noWrap/>
            <w:vAlign w:val="bottom"/>
          </w:tcPr>
          <w:p w14:paraId="088C18B9" w14:textId="77777777" w:rsidR="000E274F" w:rsidRPr="002048A7" w:rsidRDefault="000E274F" w:rsidP="000E274F">
            <w:pPr>
              <w:spacing w:after="0" w:line="240" w:lineRule="auto"/>
              <w:jc w:val="right"/>
              <w:rPr>
                <w:rFonts w:eastAsia="Times New Roman" w:cstheme="minorHAnsi"/>
                <w:color w:val="000000"/>
                <w:lang w:eastAsia="tr-TR"/>
              </w:rPr>
            </w:pPr>
            <w:r>
              <w:rPr>
                <w:rFonts w:ascii="Calibri" w:hAnsi="Calibri" w:cs="Calibri"/>
                <w:color w:val="000000"/>
              </w:rPr>
              <w:t>124.009,980</w:t>
            </w:r>
          </w:p>
        </w:tc>
        <w:tc>
          <w:tcPr>
            <w:tcW w:w="3747" w:type="dxa"/>
            <w:tcBorders>
              <w:top w:val="nil"/>
              <w:left w:val="nil"/>
              <w:bottom w:val="single" w:sz="4" w:space="0" w:color="D3D3D3"/>
              <w:right w:val="single" w:sz="4" w:space="0" w:color="D3D3D3"/>
            </w:tcBorders>
            <w:shd w:val="clear" w:color="auto" w:fill="auto"/>
            <w:noWrap/>
            <w:vAlign w:val="bottom"/>
          </w:tcPr>
          <w:p w14:paraId="019D3672" w14:textId="77777777" w:rsidR="000E274F" w:rsidRPr="00FD454C" w:rsidRDefault="000E274F" w:rsidP="000E274F">
            <w:pPr>
              <w:spacing w:after="0" w:line="240" w:lineRule="auto"/>
              <w:jc w:val="center"/>
              <w:rPr>
                <w:rFonts w:eastAsia="Times New Roman" w:cstheme="minorHAnsi"/>
                <w:color w:val="000000"/>
                <w:lang w:eastAsia="tr-TR"/>
              </w:rPr>
            </w:pPr>
            <w:r>
              <w:rPr>
                <w:rFonts w:ascii="Calibri" w:hAnsi="Calibri" w:cs="Calibri"/>
                <w:color w:val="000000"/>
              </w:rPr>
              <w:t xml:space="preserve">16,0 </w:t>
            </w:r>
          </w:p>
        </w:tc>
      </w:tr>
      <w:tr w:rsidR="00E35362" w:rsidRPr="002048A7" w14:paraId="58DB59A1" w14:textId="77777777" w:rsidTr="00D56350">
        <w:trPr>
          <w:trHeight w:val="207"/>
          <w:jc w:val="center"/>
        </w:trPr>
        <w:tc>
          <w:tcPr>
            <w:tcW w:w="2630" w:type="dxa"/>
            <w:tcBorders>
              <w:top w:val="nil"/>
              <w:left w:val="single" w:sz="4" w:space="0" w:color="D3D3D3"/>
              <w:bottom w:val="single" w:sz="4" w:space="0" w:color="D3D3D3"/>
              <w:right w:val="single" w:sz="4" w:space="0" w:color="D3D3D3"/>
            </w:tcBorders>
            <w:shd w:val="clear" w:color="auto" w:fill="auto"/>
          </w:tcPr>
          <w:p w14:paraId="69591662" w14:textId="10EAD484" w:rsidR="00E35362" w:rsidRPr="002048A7" w:rsidRDefault="00E35362" w:rsidP="00E35362">
            <w:pPr>
              <w:spacing w:after="0" w:line="240" w:lineRule="auto"/>
              <w:rPr>
                <w:rFonts w:ascii="Tahoma" w:hAnsi="Tahoma" w:cs="Tahoma"/>
                <w:color w:val="000000"/>
                <w:sz w:val="20"/>
                <w:szCs w:val="20"/>
              </w:rPr>
            </w:pPr>
            <w:r w:rsidRPr="002048A7">
              <w:rPr>
                <w:rFonts w:ascii="Tahoma" w:hAnsi="Tahoma" w:cs="Tahoma"/>
                <w:color w:val="000000"/>
                <w:sz w:val="20"/>
                <w:szCs w:val="20"/>
              </w:rPr>
              <w:t>KAHRAMANMARAŞ</w:t>
            </w:r>
          </w:p>
        </w:tc>
        <w:tc>
          <w:tcPr>
            <w:tcW w:w="2379" w:type="dxa"/>
            <w:tcBorders>
              <w:top w:val="nil"/>
              <w:left w:val="nil"/>
              <w:bottom w:val="single" w:sz="4" w:space="0" w:color="D3D3D3"/>
              <w:right w:val="single" w:sz="4" w:space="0" w:color="D3D3D3"/>
            </w:tcBorders>
            <w:shd w:val="clear" w:color="auto" w:fill="auto"/>
            <w:noWrap/>
          </w:tcPr>
          <w:p w14:paraId="19BCA9AF" w14:textId="1BE797DC" w:rsidR="00E35362" w:rsidRDefault="00E35362" w:rsidP="00E35362">
            <w:pPr>
              <w:spacing w:after="0" w:line="240" w:lineRule="auto"/>
              <w:jc w:val="right"/>
              <w:rPr>
                <w:rFonts w:ascii="Calibri" w:hAnsi="Calibri" w:cs="Calibri"/>
                <w:color w:val="000000"/>
              </w:rPr>
            </w:pPr>
            <w:r>
              <w:rPr>
                <w:rFonts w:ascii="Calibri" w:hAnsi="Calibri" w:cs="Calibri"/>
                <w:color w:val="000000"/>
              </w:rPr>
              <w:t>1.282,000</w:t>
            </w:r>
          </w:p>
        </w:tc>
        <w:tc>
          <w:tcPr>
            <w:tcW w:w="3747" w:type="dxa"/>
            <w:tcBorders>
              <w:top w:val="nil"/>
              <w:left w:val="nil"/>
              <w:bottom w:val="single" w:sz="4" w:space="0" w:color="D3D3D3"/>
              <w:right w:val="single" w:sz="4" w:space="0" w:color="D3D3D3"/>
            </w:tcBorders>
            <w:shd w:val="clear" w:color="auto" w:fill="auto"/>
            <w:noWrap/>
          </w:tcPr>
          <w:p w14:paraId="75C6709E" w14:textId="1EB9867A" w:rsidR="00E35362" w:rsidRDefault="00E35362" w:rsidP="00E35362">
            <w:pPr>
              <w:spacing w:after="0" w:line="240" w:lineRule="auto"/>
              <w:jc w:val="center"/>
              <w:rPr>
                <w:rFonts w:ascii="Calibri" w:hAnsi="Calibri" w:cs="Calibri"/>
                <w:color w:val="000000"/>
              </w:rPr>
            </w:pPr>
            <w:r>
              <w:rPr>
                <w:rFonts w:ascii="Tahoma" w:hAnsi="Tahoma" w:cs="Tahoma"/>
                <w:color w:val="000000"/>
                <w:sz w:val="20"/>
                <w:szCs w:val="20"/>
              </w:rPr>
              <w:t>0,16</w:t>
            </w:r>
          </w:p>
        </w:tc>
      </w:tr>
      <w:tr w:rsidR="00E35362" w:rsidRPr="002048A7" w14:paraId="05A67905" w14:textId="77777777" w:rsidTr="00D56350">
        <w:trPr>
          <w:trHeight w:val="207"/>
          <w:jc w:val="center"/>
        </w:trPr>
        <w:tc>
          <w:tcPr>
            <w:tcW w:w="2630" w:type="dxa"/>
            <w:tcBorders>
              <w:top w:val="nil"/>
              <w:left w:val="single" w:sz="4" w:space="0" w:color="D3D3D3"/>
              <w:bottom w:val="single" w:sz="4" w:space="0" w:color="D3D3D3"/>
              <w:right w:val="single" w:sz="4" w:space="0" w:color="D3D3D3"/>
            </w:tcBorders>
            <w:shd w:val="clear" w:color="auto" w:fill="auto"/>
          </w:tcPr>
          <w:p w14:paraId="720A559E" w14:textId="4E68A899" w:rsidR="00E35362" w:rsidRPr="002048A7" w:rsidRDefault="00E35362" w:rsidP="00E35362">
            <w:pPr>
              <w:spacing w:after="0" w:line="240" w:lineRule="auto"/>
              <w:rPr>
                <w:rFonts w:ascii="Tahoma" w:hAnsi="Tahoma" w:cs="Tahoma"/>
                <w:color w:val="000000"/>
                <w:sz w:val="20"/>
                <w:szCs w:val="20"/>
              </w:rPr>
            </w:pPr>
            <w:r w:rsidRPr="002048A7">
              <w:rPr>
                <w:rFonts w:ascii="Tahoma" w:hAnsi="Tahoma" w:cs="Tahoma"/>
                <w:color w:val="000000"/>
                <w:sz w:val="20"/>
                <w:szCs w:val="20"/>
              </w:rPr>
              <w:t>KAYSERİ</w:t>
            </w:r>
          </w:p>
        </w:tc>
        <w:tc>
          <w:tcPr>
            <w:tcW w:w="2379" w:type="dxa"/>
            <w:tcBorders>
              <w:top w:val="nil"/>
              <w:left w:val="nil"/>
              <w:bottom w:val="single" w:sz="4" w:space="0" w:color="D3D3D3"/>
              <w:right w:val="single" w:sz="4" w:space="0" w:color="D3D3D3"/>
            </w:tcBorders>
            <w:shd w:val="clear" w:color="auto" w:fill="auto"/>
            <w:noWrap/>
          </w:tcPr>
          <w:p w14:paraId="11839054" w14:textId="2018CADA" w:rsidR="00E35362" w:rsidRDefault="00E35362" w:rsidP="00E35362">
            <w:pPr>
              <w:spacing w:after="0" w:line="240" w:lineRule="auto"/>
              <w:jc w:val="right"/>
              <w:rPr>
                <w:rFonts w:ascii="Calibri" w:hAnsi="Calibri" w:cs="Calibri"/>
                <w:color w:val="000000"/>
              </w:rPr>
            </w:pPr>
            <w:r>
              <w:rPr>
                <w:rFonts w:ascii="Calibri" w:hAnsi="Calibri" w:cs="Calibri"/>
                <w:color w:val="000000"/>
              </w:rPr>
              <w:t>1.368,000</w:t>
            </w:r>
          </w:p>
        </w:tc>
        <w:tc>
          <w:tcPr>
            <w:tcW w:w="3747" w:type="dxa"/>
            <w:tcBorders>
              <w:top w:val="nil"/>
              <w:left w:val="nil"/>
              <w:bottom w:val="single" w:sz="4" w:space="0" w:color="D3D3D3"/>
              <w:right w:val="single" w:sz="4" w:space="0" w:color="D3D3D3"/>
            </w:tcBorders>
            <w:shd w:val="clear" w:color="auto" w:fill="auto"/>
            <w:noWrap/>
          </w:tcPr>
          <w:p w14:paraId="7F4498CA" w14:textId="722ADBCB" w:rsidR="00E35362" w:rsidRDefault="00E35362" w:rsidP="00E35362">
            <w:pPr>
              <w:spacing w:after="0" w:line="240" w:lineRule="auto"/>
              <w:jc w:val="center"/>
              <w:rPr>
                <w:rFonts w:ascii="Calibri" w:hAnsi="Calibri" w:cs="Calibri"/>
                <w:color w:val="000000"/>
              </w:rPr>
            </w:pPr>
            <w:r>
              <w:rPr>
                <w:rFonts w:ascii="Calibri" w:hAnsi="Calibri" w:cs="Calibri"/>
                <w:color w:val="000000"/>
              </w:rPr>
              <w:t xml:space="preserve">0,17 </w:t>
            </w:r>
          </w:p>
        </w:tc>
      </w:tr>
      <w:tr w:rsidR="00E35362" w:rsidRPr="002048A7" w14:paraId="39CD7F0E" w14:textId="77777777" w:rsidTr="00D56350">
        <w:trPr>
          <w:trHeight w:val="207"/>
          <w:jc w:val="center"/>
        </w:trPr>
        <w:tc>
          <w:tcPr>
            <w:tcW w:w="2630" w:type="dxa"/>
            <w:tcBorders>
              <w:top w:val="nil"/>
              <w:left w:val="single" w:sz="4" w:space="0" w:color="D3D3D3"/>
              <w:bottom w:val="single" w:sz="4" w:space="0" w:color="D3D3D3"/>
              <w:right w:val="single" w:sz="4" w:space="0" w:color="D3D3D3"/>
            </w:tcBorders>
            <w:shd w:val="clear" w:color="auto" w:fill="auto"/>
          </w:tcPr>
          <w:p w14:paraId="5E7D5D34" w14:textId="713EE956" w:rsidR="00E35362" w:rsidRPr="002048A7" w:rsidRDefault="00E35362" w:rsidP="00E35362">
            <w:pPr>
              <w:spacing w:after="0" w:line="240" w:lineRule="auto"/>
              <w:rPr>
                <w:rFonts w:ascii="Tahoma" w:hAnsi="Tahoma" w:cs="Tahoma"/>
                <w:color w:val="000000"/>
                <w:sz w:val="20"/>
                <w:szCs w:val="20"/>
              </w:rPr>
            </w:pPr>
            <w:r w:rsidRPr="002048A7">
              <w:rPr>
                <w:rFonts w:ascii="Tahoma" w:hAnsi="Tahoma" w:cs="Tahoma"/>
                <w:color w:val="000000"/>
                <w:sz w:val="20"/>
                <w:szCs w:val="20"/>
              </w:rPr>
              <w:t>KIRIKKALE</w:t>
            </w:r>
          </w:p>
        </w:tc>
        <w:tc>
          <w:tcPr>
            <w:tcW w:w="2379" w:type="dxa"/>
            <w:tcBorders>
              <w:top w:val="nil"/>
              <w:left w:val="nil"/>
              <w:bottom w:val="single" w:sz="4" w:space="0" w:color="D3D3D3"/>
              <w:right w:val="single" w:sz="4" w:space="0" w:color="D3D3D3"/>
            </w:tcBorders>
            <w:shd w:val="clear" w:color="auto" w:fill="auto"/>
            <w:noWrap/>
          </w:tcPr>
          <w:p w14:paraId="0A6D6A10" w14:textId="158A8C58" w:rsidR="00E35362" w:rsidRDefault="00E35362" w:rsidP="00E35362">
            <w:pPr>
              <w:spacing w:after="0" w:line="240" w:lineRule="auto"/>
              <w:jc w:val="right"/>
              <w:rPr>
                <w:rFonts w:ascii="Calibri" w:hAnsi="Calibri" w:cs="Calibri"/>
                <w:color w:val="000000"/>
              </w:rPr>
            </w:pPr>
            <w:r>
              <w:rPr>
                <w:rFonts w:ascii="Tahoma" w:hAnsi="Tahoma" w:cs="Tahoma"/>
                <w:color w:val="000000"/>
                <w:sz w:val="20"/>
                <w:szCs w:val="20"/>
              </w:rPr>
              <w:t xml:space="preserve">10.079,00 </w:t>
            </w:r>
          </w:p>
        </w:tc>
        <w:tc>
          <w:tcPr>
            <w:tcW w:w="3747" w:type="dxa"/>
            <w:tcBorders>
              <w:top w:val="nil"/>
              <w:left w:val="nil"/>
              <w:bottom w:val="single" w:sz="4" w:space="0" w:color="D3D3D3"/>
              <w:right w:val="single" w:sz="4" w:space="0" w:color="D3D3D3"/>
            </w:tcBorders>
            <w:shd w:val="clear" w:color="auto" w:fill="auto"/>
            <w:noWrap/>
          </w:tcPr>
          <w:p w14:paraId="228A96F2" w14:textId="7F36C86F" w:rsidR="00E35362" w:rsidRDefault="00E35362" w:rsidP="00E35362">
            <w:pPr>
              <w:spacing w:after="0" w:line="240" w:lineRule="auto"/>
              <w:jc w:val="center"/>
              <w:rPr>
                <w:rFonts w:ascii="Calibri" w:hAnsi="Calibri" w:cs="Calibri"/>
                <w:color w:val="000000"/>
              </w:rPr>
            </w:pPr>
            <w:r w:rsidRPr="00FD454C">
              <w:rPr>
                <w:rFonts w:ascii="Tahoma" w:hAnsi="Tahoma" w:cs="Tahoma"/>
                <w:color w:val="000000"/>
                <w:sz w:val="20"/>
                <w:szCs w:val="20"/>
              </w:rPr>
              <w:t>1,3</w:t>
            </w:r>
            <w:r>
              <w:rPr>
                <w:rFonts w:ascii="Tahoma" w:hAnsi="Tahoma" w:cs="Tahoma"/>
                <w:color w:val="000000"/>
                <w:sz w:val="20"/>
                <w:szCs w:val="20"/>
              </w:rPr>
              <w:t>0</w:t>
            </w:r>
          </w:p>
        </w:tc>
      </w:tr>
      <w:tr w:rsidR="00E35362" w:rsidRPr="002048A7" w14:paraId="10D8E7F2" w14:textId="77777777" w:rsidTr="00D56350">
        <w:trPr>
          <w:trHeight w:val="207"/>
          <w:jc w:val="center"/>
        </w:trPr>
        <w:tc>
          <w:tcPr>
            <w:tcW w:w="2630" w:type="dxa"/>
            <w:tcBorders>
              <w:top w:val="nil"/>
              <w:left w:val="single" w:sz="4" w:space="0" w:color="D3D3D3"/>
              <w:bottom w:val="single" w:sz="4" w:space="0" w:color="D3D3D3"/>
              <w:right w:val="single" w:sz="4" w:space="0" w:color="D3D3D3"/>
            </w:tcBorders>
            <w:shd w:val="clear" w:color="auto" w:fill="auto"/>
          </w:tcPr>
          <w:p w14:paraId="1B901E52" w14:textId="73B43A90" w:rsidR="00E35362" w:rsidRPr="002048A7" w:rsidRDefault="00E35362" w:rsidP="00E35362">
            <w:pPr>
              <w:spacing w:after="0" w:line="240" w:lineRule="auto"/>
              <w:rPr>
                <w:rFonts w:ascii="Tahoma" w:hAnsi="Tahoma" w:cs="Tahoma"/>
                <w:color w:val="000000"/>
                <w:sz w:val="20"/>
                <w:szCs w:val="20"/>
              </w:rPr>
            </w:pPr>
            <w:r w:rsidRPr="002048A7">
              <w:rPr>
                <w:rFonts w:ascii="Tahoma" w:hAnsi="Tahoma" w:cs="Tahoma"/>
                <w:color w:val="000000"/>
                <w:sz w:val="20"/>
                <w:szCs w:val="20"/>
              </w:rPr>
              <w:t>KİLİS</w:t>
            </w:r>
          </w:p>
        </w:tc>
        <w:tc>
          <w:tcPr>
            <w:tcW w:w="2379" w:type="dxa"/>
            <w:tcBorders>
              <w:top w:val="nil"/>
              <w:left w:val="nil"/>
              <w:bottom w:val="single" w:sz="4" w:space="0" w:color="D3D3D3"/>
              <w:right w:val="single" w:sz="4" w:space="0" w:color="D3D3D3"/>
            </w:tcBorders>
            <w:shd w:val="clear" w:color="auto" w:fill="auto"/>
            <w:noWrap/>
          </w:tcPr>
          <w:p w14:paraId="02E7E84A" w14:textId="6437AA69" w:rsidR="00E35362" w:rsidRDefault="00E35362" w:rsidP="00E35362">
            <w:pPr>
              <w:spacing w:after="0" w:line="240" w:lineRule="auto"/>
              <w:jc w:val="right"/>
              <w:rPr>
                <w:rFonts w:ascii="Calibri" w:hAnsi="Calibri" w:cs="Calibri"/>
                <w:color w:val="000000"/>
              </w:rPr>
            </w:pPr>
            <w:r>
              <w:rPr>
                <w:rFonts w:ascii="Tahoma" w:hAnsi="Tahoma" w:cs="Tahoma"/>
                <w:color w:val="000000"/>
                <w:sz w:val="20"/>
                <w:szCs w:val="20"/>
              </w:rPr>
              <w:t>165.000</w:t>
            </w:r>
          </w:p>
        </w:tc>
        <w:tc>
          <w:tcPr>
            <w:tcW w:w="3747" w:type="dxa"/>
            <w:tcBorders>
              <w:top w:val="nil"/>
              <w:left w:val="nil"/>
              <w:bottom w:val="single" w:sz="4" w:space="0" w:color="D3D3D3"/>
              <w:right w:val="single" w:sz="4" w:space="0" w:color="D3D3D3"/>
            </w:tcBorders>
            <w:shd w:val="clear" w:color="auto" w:fill="auto"/>
            <w:noWrap/>
          </w:tcPr>
          <w:p w14:paraId="15C710B7" w14:textId="469160FA" w:rsidR="00E35362" w:rsidRDefault="00E35362" w:rsidP="00E35362">
            <w:pPr>
              <w:spacing w:after="0" w:line="240" w:lineRule="auto"/>
              <w:jc w:val="center"/>
              <w:rPr>
                <w:rFonts w:ascii="Calibri" w:hAnsi="Calibri" w:cs="Calibri"/>
                <w:color w:val="000000"/>
              </w:rPr>
            </w:pPr>
            <w:r>
              <w:rPr>
                <w:rFonts w:ascii="Tahoma" w:hAnsi="Tahoma" w:cs="Tahoma"/>
                <w:color w:val="000000"/>
                <w:sz w:val="20"/>
                <w:szCs w:val="20"/>
              </w:rPr>
              <w:t xml:space="preserve">0,21 </w:t>
            </w:r>
          </w:p>
        </w:tc>
      </w:tr>
      <w:tr w:rsidR="00E35362" w:rsidRPr="002048A7" w14:paraId="4A68D26E" w14:textId="77777777" w:rsidTr="000E274F">
        <w:trPr>
          <w:trHeight w:val="207"/>
          <w:jc w:val="center"/>
        </w:trPr>
        <w:tc>
          <w:tcPr>
            <w:tcW w:w="2630" w:type="dxa"/>
            <w:tcBorders>
              <w:top w:val="nil"/>
              <w:left w:val="single" w:sz="4" w:space="0" w:color="D3D3D3"/>
              <w:bottom w:val="single" w:sz="4" w:space="0" w:color="D3D3D3"/>
              <w:right w:val="single" w:sz="4" w:space="0" w:color="D3D3D3"/>
            </w:tcBorders>
            <w:shd w:val="clear" w:color="auto" w:fill="auto"/>
          </w:tcPr>
          <w:p w14:paraId="6C46E084" w14:textId="524220B3" w:rsidR="00E35362" w:rsidRPr="002048A7" w:rsidRDefault="00E35362" w:rsidP="00E35362">
            <w:pPr>
              <w:spacing w:after="0" w:line="240" w:lineRule="auto"/>
              <w:rPr>
                <w:rFonts w:ascii="Tahoma" w:hAnsi="Tahoma" w:cs="Tahoma"/>
                <w:color w:val="000000"/>
                <w:sz w:val="20"/>
                <w:szCs w:val="20"/>
              </w:rPr>
            </w:pPr>
            <w:r w:rsidRPr="002048A7">
              <w:rPr>
                <w:rFonts w:ascii="Tahoma" w:hAnsi="Tahoma" w:cs="Tahoma"/>
                <w:color w:val="000000"/>
                <w:sz w:val="20"/>
                <w:szCs w:val="20"/>
              </w:rPr>
              <w:t>KOCAELİ</w:t>
            </w:r>
          </w:p>
        </w:tc>
        <w:tc>
          <w:tcPr>
            <w:tcW w:w="2379" w:type="dxa"/>
            <w:tcBorders>
              <w:top w:val="nil"/>
              <w:left w:val="nil"/>
              <w:bottom w:val="single" w:sz="4" w:space="0" w:color="D3D3D3"/>
              <w:right w:val="single" w:sz="4" w:space="0" w:color="D3D3D3"/>
            </w:tcBorders>
            <w:shd w:val="clear" w:color="auto" w:fill="auto"/>
            <w:noWrap/>
            <w:vAlign w:val="bottom"/>
          </w:tcPr>
          <w:p w14:paraId="76200B3B" w14:textId="4DED509D" w:rsidR="00E35362" w:rsidRDefault="00E35362" w:rsidP="00E35362">
            <w:pPr>
              <w:spacing w:after="0" w:line="240" w:lineRule="auto"/>
              <w:jc w:val="right"/>
              <w:rPr>
                <w:rFonts w:ascii="Calibri" w:hAnsi="Calibri" w:cs="Calibri"/>
                <w:color w:val="000000"/>
              </w:rPr>
            </w:pPr>
            <w:r>
              <w:rPr>
                <w:rFonts w:ascii="Calibri" w:hAnsi="Calibri" w:cs="Calibri"/>
                <w:color w:val="000000"/>
              </w:rPr>
              <w:t>190.448,210</w:t>
            </w:r>
          </w:p>
        </w:tc>
        <w:tc>
          <w:tcPr>
            <w:tcW w:w="3747" w:type="dxa"/>
            <w:tcBorders>
              <w:top w:val="nil"/>
              <w:left w:val="nil"/>
              <w:bottom w:val="single" w:sz="4" w:space="0" w:color="D3D3D3"/>
              <w:right w:val="single" w:sz="4" w:space="0" w:color="D3D3D3"/>
            </w:tcBorders>
            <w:shd w:val="clear" w:color="auto" w:fill="auto"/>
            <w:noWrap/>
            <w:vAlign w:val="bottom"/>
          </w:tcPr>
          <w:p w14:paraId="465BCA33" w14:textId="243A6BDB" w:rsidR="00E35362" w:rsidRDefault="00E35362" w:rsidP="00E35362">
            <w:pPr>
              <w:spacing w:after="0" w:line="240" w:lineRule="auto"/>
              <w:jc w:val="center"/>
              <w:rPr>
                <w:rFonts w:ascii="Calibri" w:hAnsi="Calibri" w:cs="Calibri"/>
                <w:color w:val="000000"/>
              </w:rPr>
            </w:pPr>
            <w:r>
              <w:rPr>
                <w:rFonts w:ascii="Calibri" w:hAnsi="Calibri" w:cs="Calibri"/>
                <w:color w:val="000000"/>
              </w:rPr>
              <w:t xml:space="preserve">24,5 </w:t>
            </w:r>
          </w:p>
        </w:tc>
      </w:tr>
      <w:tr w:rsidR="00E35362" w:rsidRPr="002048A7" w14:paraId="4C1CD2CE" w14:textId="77777777" w:rsidTr="000E274F">
        <w:trPr>
          <w:trHeight w:val="207"/>
          <w:jc w:val="center"/>
        </w:trPr>
        <w:tc>
          <w:tcPr>
            <w:tcW w:w="2630" w:type="dxa"/>
            <w:tcBorders>
              <w:top w:val="nil"/>
              <w:left w:val="single" w:sz="4" w:space="0" w:color="D3D3D3"/>
              <w:bottom w:val="single" w:sz="4" w:space="0" w:color="D3D3D3"/>
              <w:right w:val="single" w:sz="4" w:space="0" w:color="D3D3D3"/>
            </w:tcBorders>
            <w:shd w:val="clear" w:color="auto" w:fill="auto"/>
          </w:tcPr>
          <w:p w14:paraId="325D9FE0" w14:textId="70487BB6" w:rsidR="00E35362" w:rsidRPr="002048A7" w:rsidRDefault="00E35362" w:rsidP="00E35362">
            <w:pPr>
              <w:spacing w:after="0" w:line="240" w:lineRule="auto"/>
              <w:rPr>
                <w:rFonts w:ascii="Tahoma" w:hAnsi="Tahoma" w:cs="Tahoma"/>
                <w:color w:val="000000"/>
                <w:sz w:val="20"/>
                <w:szCs w:val="20"/>
              </w:rPr>
            </w:pPr>
            <w:r w:rsidRPr="002048A7">
              <w:rPr>
                <w:rFonts w:ascii="Tahoma" w:hAnsi="Tahoma" w:cs="Tahoma"/>
                <w:color w:val="000000"/>
                <w:sz w:val="20"/>
                <w:szCs w:val="20"/>
              </w:rPr>
              <w:t>KONYA</w:t>
            </w:r>
          </w:p>
        </w:tc>
        <w:tc>
          <w:tcPr>
            <w:tcW w:w="2379" w:type="dxa"/>
            <w:tcBorders>
              <w:top w:val="nil"/>
              <w:left w:val="nil"/>
              <w:bottom w:val="single" w:sz="4" w:space="0" w:color="D3D3D3"/>
              <w:right w:val="single" w:sz="4" w:space="0" w:color="D3D3D3"/>
            </w:tcBorders>
            <w:shd w:val="clear" w:color="auto" w:fill="auto"/>
            <w:noWrap/>
            <w:vAlign w:val="bottom"/>
          </w:tcPr>
          <w:p w14:paraId="4CCB2D04" w14:textId="27BED614" w:rsidR="00E35362" w:rsidRDefault="00E35362" w:rsidP="00E35362">
            <w:pPr>
              <w:spacing w:after="0" w:line="240" w:lineRule="auto"/>
              <w:jc w:val="right"/>
              <w:rPr>
                <w:rFonts w:ascii="Calibri" w:hAnsi="Calibri" w:cs="Calibri"/>
                <w:color w:val="000000"/>
              </w:rPr>
            </w:pPr>
            <w:r>
              <w:rPr>
                <w:rFonts w:ascii="Calibri" w:hAnsi="Calibri" w:cs="Calibri"/>
                <w:color w:val="000000"/>
              </w:rPr>
              <w:t>4.331,000</w:t>
            </w:r>
          </w:p>
        </w:tc>
        <w:tc>
          <w:tcPr>
            <w:tcW w:w="3747" w:type="dxa"/>
            <w:tcBorders>
              <w:top w:val="nil"/>
              <w:left w:val="nil"/>
              <w:bottom w:val="single" w:sz="4" w:space="0" w:color="D3D3D3"/>
              <w:right w:val="single" w:sz="4" w:space="0" w:color="D3D3D3"/>
            </w:tcBorders>
            <w:shd w:val="clear" w:color="auto" w:fill="auto"/>
            <w:noWrap/>
            <w:vAlign w:val="bottom"/>
          </w:tcPr>
          <w:p w14:paraId="298AC7B9" w14:textId="5F27728A" w:rsidR="00E35362" w:rsidRDefault="00E35362" w:rsidP="00E35362">
            <w:pPr>
              <w:spacing w:after="0" w:line="240" w:lineRule="auto"/>
              <w:jc w:val="center"/>
              <w:rPr>
                <w:rFonts w:ascii="Calibri" w:hAnsi="Calibri" w:cs="Calibri"/>
                <w:color w:val="000000"/>
              </w:rPr>
            </w:pPr>
            <w:r>
              <w:rPr>
                <w:rFonts w:ascii="Calibri" w:hAnsi="Calibri" w:cs="Calibri"/>
                <w:color w:val="000000"/>
              </w:rPr>
              <w:t xml:space="preserve">0,55 </w:t>
            </w:r>
          </w:p>
        </w:tc>
      </w:tr>
      <w:tr w:rsidR="00E35362" w:rsidRPr="002048A7" w14:paraId="667E3925" w14:textId="77777777" w:rsidTr="000E274F">
        <w:trPr>
          <w:trHeight w:val="207"/>
          <w:jc w:val="center"/>
        </w:trPr>
        <w:tc>
          <w:tcPr>
            <w:tcW w:w="2630" w:type="dxa"/>
            <w:tcBorders>
              <w:top w:val="nil"/>
              <w:left w:val="single" w:sz="4" w:space="0" w:color="D3D3D3"/>
              <w:bottom w:val="single" w:sz="4" w:space="0" w:color="D3D3D3"/>
              <w:right w:val="single" w:sz="4" w:space="0" w:color="D3D3D3"/>
            </w:tcBorders>
            <w:shd w:val="clear" w:color="auto" w:fill="auto"/>
          </w:tcPr>
          <w:p w14:paraId="08D0176F" w14:textId="0761F798" w:rsidR="00E35362" w:rsidRPr="002048A7" w:rsidRDefault="00E35362" w:rsidP="00E35362">
            <w:pPr>
              <w:spacing w:after="0" w:line="240" w:lineRule="auto"/>
              <w:rPr>
                <w:rFonts w:ascii="Tahoma" w:hAnsi="Tahoma" w:cs="Tahoma"/>
                <w:color w:val="000000"/>
                <w:sz w:val="20"/>
                <w:szCs w:val="20"/>
              </w:rPr>
            </w:pPr>
            <w:r w:rsidRPr="002048A7">
              <w:rPr>
                <w:rFonts w:ascii="Tahoma" w:hAnsi="Tahoma" w:cs="Tahoma"/>
                <w:color w:val="000000"/>
                <w:sz w:val="20"/>
                <w:szCs w:val="20"/>
              </w:rPr>
              <w:t>MALATYA</w:t>
            </w:r>
          </w:p>
        </w:tc>
        <w:tc>
          <w:tcPr>
            <w:tcW w:w="2379" w:type="dxa"/>
            <w:tcBorders>
              <w:top w:val="nil"/>
              <w:left w:val="nil"/>
              <w:bottom w:val="single" w:sz="4" w:space="0" w:color="D3D3D3"/>
              <w:right w:val="single" w:sz="4" w:space="0" w:color="D3D3D3"/>
            </w:tcBorders>
            <w:shd w:val="clear" w:color="auto" w:fill="auto"/>
            <w:noWrap/>
            <w:vAlign w:val="bottom"/>
          </w:tcPr>
          <w:p w14:paraId="321FB4B3" w14:textId="5464456E" w:rsidR="00E35362" w:rsidRDefault="00E35362" w:rsidP="00E35362">
            <w:pPr>
              <w:spacing w:after="0" w:line="240" w:lineRule="auto"/>
              <w:jc w:val="right"/>
              <w:rPr>
                <w:rFonts w:ascii="Calibri" w:hAnsi="Calibri" w:cs="Calibri"/>
                <w:color w:val="000000"/>
              </w:rPr>
            </w:pPr>
            <w:r>
              <w:rPr>
                <w:rFonts w:ascii="Calibri" w:hAnsi="Calibri" w:cs="Calibri"/>
                <w:color w:val="000000"/>
              </w:rPr>
              <w:t>1.985,000</w:t>
            </w:r>
          </w:p>
        </w:tc>
        <w:tc>
          <w:tcPr>
            <w:tcW w:w="3747" w:type="dxa"/>
            <w:tcBorders>
              <w:top w:val="nil"/>
              <w:left w:val="nil"/>
              <w:bottom w:val="single" w:sz="4" w:space="0" w:color="D3D3D3"/>
              <w:right w:val="single" w:sz="4" w:space="0" w:color="D3D3D3"/>
            </w:tcBorders>
            <w:shd w:val="clear" w:color="auto" w:fill="auto"/>
            <w:noWrap/>
            <w:vAlign w:val="bottom"/>
          </w:tcPr>
          <w:p w14:paraId="0563F36C" w14:textId="25C8642E" w:rsidR="00E35362" w:rsidRDefault="00E35362" w:rsidP="00E35362">
            <w:pPr>
              <w:spacing w:after="0" w:line="240" w:lineRule="auto"/>
              <w:jc w:val="center"/>
              <w:rPr>
                <w:rFonts w:ascii="Calibri" w:hAnsi="Calibri" w:cs="Calibri"/>
                <w:color w:val="000000"/>
              </w:rPr>
            </w:pPr>
            <w:r>
              <w:rPr>
                <w:rFonts w:ascii="Calibri" w:hAnsi="Calibri" w:cs="Calibri"/>
                <w:color w:val="000000"/>
              </w:rPr>
              <w:t xml:space="preserve">0,25 </w:t>
            </w:r>
          </w:p>
        </w:tc>
      </w:tr>
      <w:tr w:rsidR="00E35362" w:rsidRPr="002048A7" w14:paraId="0749E44D" w14:textId="77777777" w:rsidTr="00D56350">
        <w:trPr>
          <w:trHeight w:val="207"/>
          <w:jc w:val="center"/>
        </w:trPr>
        <w:tc>
          <w:tcPr>
            <w:tcW w:w="2630" w:type="dxa"/>
            <w:tcBorders>
              <w:top w:val="nil"/>
              <w:left w:val="single" w:sz="4" w:space="0" w:color="D3D3D3"/>
              <w:bottom w:val="single" w:sz="4" w:space="0" w:color="D3D3D3"/>
              <w:right w:val="single" w:sz="4" w:space="0" w:color="D3D3D3"/>
            </w:tcBorders>
            <w:shd w:val="clear" w:color="auto" w:fill="auto"/>
          </w:tcPr>
          <w:p w14:paraId="13632227" w14:textId="13B7FCAD" w:rsidR="00E35362" w:rsidRPr="002048A7" w:rsidRDefault="00E35362" w:rsidP="00E35362">
            <w:pPr>
              <w:spacing w:after="0" w:line="240" w:lineRule="auto"/>
              <w:rPr>
                <w:rFonts w:ascii="Tahoma" w:hAnsi="Tahoma" w:cs="Tahoma"/>
                <w:color w:val="000000"/>
                <w:sz w:val="20"/>
                <w:szCs w:val="20"/>
              </w:rPr>
            </w:pPr>
            <w:r w:rsidRPr="002048A7">
              <w:rPr>
                <w:rFonts w:ascii="Tahoma" w:hAnsi="Tahoma" w:cs="Tahoma"/>
                <w:color w:val="000000"/>
                <w:sz w:val="20"/>
                <w:szCs w:val="20"/>
              </w:rPr>
              <w:t>MARDİN</w:t>
            </w:r>
          </w:p>
        </w:tc>
        <w:tc>
          <w:tcPr>
            <w:tcW w:w="2379" w:type="dxa"/>
            <w:tcBorders>
              <w:top w:val="nil"/>
              <w:left w:val="nil"/>
              <w:bottom w:val="single" w:sz="4" w:space="0" w:color="D3D3D3"/>
              <w:right w:val="single" w:sz="4" w:space="0" w:color="D3D3D3"/>
            </w:tcBorders>
            <w:shd w:val="clear" w:color="auto" w:fill="auto"/>
            <w:noWrap/>
          </w:tcPr>
          <w:p w14:paraId="5D21E03F" w14:textId="146522A9" w:rsidR="00E35362" w:rsidRDefault="00E35362" w:rsidP="00E35362">
            <w:pPr>
              <w:spacing w:after="0" w:line="240" w:lineRule="auto"/>
              <w:jc w:val="right"/>
              <w:rPr>
                <w:rFonts w:ascii="Calibri" w:hAnsi="Calibri" w:cs="Calibri"/>
                <w:color w:val="000000"/>
              </w:rPr>
            </w:pPr>
            <w:r>
              <w:rPr>
                <w:rFonts w:ascii="Tahoma" w:hAnsi="Tahoma" w:cs="Tahoma"/>
                <w:color w:val="000000"/>
                <w:sz w:val="20"/>
                <w:szCs w:val="20"/>
              </w:rPr>
              <w:t>1.595,00</w:t>
            </w:r>
          </w:p>
        </w:tc>
        <w:tc>
          <w:tcPr>
            <w:tcW w:w="3747" w:type="dxa"/>
            <w:tcBorders>
              <w:top w:val="nil"/>
              <w:left w:val="nil"/>
              <w:bottom w:val="single" w:sz="4" w:space="0" w:color="D3D3D3"/>
              <w:right w:val="single" w:sz="4" w:space="0" w:color="D3D3D3"/>
            </w:tcBorders>
            <w:shd w:val="clear" w:color="auto" w:fill="auto"/>
            <w:noWrap/>
          </w:tcPr>
          <w:p w14:paraId="77A4C5EC" w14:textId="06EF6E83" w:rsidR="00E35362" w:rsidRDefault="00E35362" w:rsidP="00E35362">
            <w:pPr>
              <w:spacing w:after="0" w:line="240" w:lineRule="auto"/>
              <w:jc w:val="center"/>
              <w:rPr>
                <w:rFonts w:ascii="Calibri" w:hAnsi="Calibri" w:cs="Calibri"/>
                <w:color w:val="000000"/>
              </w:rPr>
            </w:pPr>
            <w:r>
              <w:rPr>
                <w:rFonts w:ascii="Calibri" w:hAnsi="Calibri" w:cs="Calibri"/>
                <w:color w:val="000000"/>
              </w:rPr>
              <w:t xml:space="preserve">0,20 </w:t>
            </w:r>
          </w:p>
        </w:tc>
      </w:tr>
      <w:tr w:rsidR="00E35362" w:rsidRPr="002048A7" w14:paraId="7EE7CA83" w14:textId="77777777" w:rsidTr="00D56350">
        <w:trPr>
          <w:trHeight w:val="207"/>
          <w:jc w:val="center"/>
        </w:trPr>
        <w:tc>
          <w:tcPr>
            <w:tcW w:w="2630" w:type="dxa"/>
            <w:tcBorders>
              <w:top w:val="nil"/>
              <w:left w:val="single" w:sz="4" w:space="0" w:color="D3D3D3"/>
              <w:bottom w:val="single" w:sz="4" w:space="0" w:color="D3D3D3"/>
              <w:right w:val="single" w:sz="4" w:space="0" w:color="D3D3D3"/>
            </w:tcBorders>
            <w:shd w:val="clear" w:color="auto" w:fill="auto"/>
          </w:tcPr>
          <w:p w14:paraId="38C8114D" w14:textId="2A6F4526" w:rsidR="00E35362" w:rsidRPr="002048A7" w:rsidRDefault="00E35362" w:rsidP="00E35362">
            <w:pPr>
              <w:spacing w:after="0" w:line="240" w:lineRule="auto"/>
              <w:rPr>
                <w:rFonts w:ascii="Tahoma" w:hAnsi="Tahoma" w:cs="Tahoma"/>
                <w:color w:val="000000"/>
                <w:sz w:val="20"/>
                <w:szCs w:val="20"/>
              </w:rPr>
            </w:pPr>
            <w:r w:rsidRPr="002048A7">
              <w:rPr>
                <w:rFonts w:ascii="Tahoma" w:hAnsi="Tahoma" w:cs="Tahoma"/>
                <w:color w:val="000000"/>
                <w:sz w:val="20"/>
                <w:szCs w:val="20"/>
              </w:rPr>
              <w:t>MERSİN</w:t>
            </w:r>
          </w:p>
        </w:tc>
        <w:tc>
          <w:tcPr>
            <w:tcW w:w="2379" w:type="dxa"/>
            <w:tcBorders>
              <w:top w:val="nil"/>
              <w:left w:val="nil"/>
              <w:bottom w:val="single" w:sz="4" w:space="0" w:color="D3D3D3"/>
              <w:right w:val="single" w:sz="4" w:space="0" w:color="D3D3D3"/>
            </w:tcBorders>
            <w:shd w:val="clear" w:color="auto" w:fill="auto"/>
            <w:noWrap/>
          </w:tcPr>
          <w:p w14:paraId="6E4C7AB5" w14:textId="09BC8711" w:rsidR="00E35362" w:rsidRDefault="00E35362" w:rsidP="00E35362">
            <w:pPr>
              <w:spacing w:after="0" w:line="240" w:lineRule="auto"/>
              <w:jc w:val="right"/>
              <w:rPr>
                <w:rFonts w:ascii="Calibri" w:hAnsi="Calibri" w:cs="Calibri"/>
                <w:color w:val="000000"/>
              </w:rPr>
            </w:pPr>
            <w:r>
              <w:rPr>
                <w:rFonts w:ascii="Tahoma" w:hAnsi="Tahoma" w:cs="Tahoma"/>
                <w:color w:val="000000"/>
                <w:sz w:val="20"/>
                <w:szCs w:val="20"/>
              </w:rPr>
              <w:t>1.000,00</w:t>
            </w:r>
          </w:p>
        </w:tc>
        <w:tc>
          <w:tcPr>
            <w:tcW w:w="3747" w:type="dxa"/>
            <w:tcBorders>
              <w:top w:val="nil"/>
              <w:left w:val="nil"/>
              <w:bottom w:val="single" w:sz="4" w:space="0" w:color="D3D3D3"/>
              <w:right w:val="single" w:sz="4" w:space="0" w:color="D3D3D3"/>
            </w:tcBorders>
            <w:shd w:val="clear" w:color="auto" w:fill="auto"/>
            <w:noWrap/>
          </w:tcPr>
          <w:p w14:paraId="070C5364" w14:textId="20965CDD" w:rsidR="00E35362" w:rsidRDefault="00E35362" w:rsidP="00E35362">
            <w:pPr>
              <w:spacing w:after="0" w:line="240" w:lineRule="auto"/>
              <w:jc w:val="center"/>
              <w:rPr>
                <w:rFonts w:ascii="Calibri" w:hAnsi="Calibri" w:cs="Calibri"/>
                <w:color w:val="000000"/>
              </w:rPr>
            </w:pPr>
            <w:r w:rsidRPr="00FD454C">
              <w:rPr>
                <w:rFonts w:ascii="Tahoma" w:hAnsi="Tahoma" w:cs="Tahoma"/>
                <w:color w:val="000000"/>
                <w:sz w:val="20"/>
                <w:szCs w:val="20"/>
              </w:rPr>
              <w:t>0,1</w:t>
            </w:r>
            <w:r>
              <w:rPr>
                <w:rFonts w:ascii="Tahoma" w:hAnsi="Tahoma" w:cs="Tahoma"/>
                <w:color w:val="000000"/>
                <w:sz w:val="20"/>
                <w:szCs w:val="20"/>
              </w:rPr>
              <w:t>2</w:t>
            </w:r>
          </w:p>
        </w:tc>
      </w:tr>
      <w:tr w:rsidR="00E35362" w:rsidRPr="002048A7" w14:paraId="314A6A25" w14:textId="77777777" w:rsidTr="00D56350">
        <w:trPr>
          <w:trHeight w:val="207"/>
          <w:jc w:val="center"/>
        </w:trPr>
        <w:tc>
          <w:tcPr>
            <w:tcW w:w="2630" w:type="dxa"/>
            <w:tcBorders>
              <w:top w:val="nil"/>
              <w:left w:val="single" w:sz="4" w:space="0" w:color="D3D3D3"/>
              <w:bottom w:val="single" w:sz="4" w:space="0" w:color="D3D3D3"/>
              <w:right w:val="single" w:sz="4" w:space="0" w:color="D3D3D3"/>
            </w:tcBorders>
            <w:shd w:val="clear" w:color="auto" w:fill="auto"/>
          </w:tcPr>
          <w:p w14:paraId="1D5103B8" w14:textId="43753AEA" w:rsidR="00E35362" w:rsidRPr="002048A7" w:rsidRDefault="00E35362" w:rsidP="00E35362">
            <w:pPr>
              <w:spacing w:after="0" w:line="240" w:lineRule="auto"/>
              <w:rPr>
                <w:rFonts w:ascii="Tahoma" w:hAnsi="Tahoma" w:cs="Tahoma"/>
                <w:color w:val="000000"/>
                <w:sz w:val="20"/>
                <w:szCs w:val="20"/>
              </w:rPr>
            </w:pPr>
            <w:r w:rsidRPr="002048A7">
              <w:rPr>
                <w:rFonts w:ascii="Tahoma" w:hAnsi="Tahoma" w:cs="Tahoma"/>
                <w:color w:val="000000"/>
                <w:sz w:val="20"/>
                <w:szCs w:val="20"/>
              </w:rPr>
              <w:t>NİĞDE</w:t>
            </w:r>
          </w:p>
        </w:tc>
        <w:tc>
          <w:tcPr>
            <w:tcW w:w="2379" w:type="dxa"/>
            <w:tcBorders>
              <w:top w:val="nil"/>
              <w:left w:val="nil"/>
              <w:bottom w:val="single" w:sz="4" w:space="0" w:color="D3D3D3"/>
              <w:right w:val="single" w:sz="4" w:space="0" w:color="D3D3D3"/>
            </w:tcBorders>
            <w:shd w:val="clear" w:color="auto" w:fill="auto"/>
            <w:noWrap/>
          </w:tcPr>
          <w:p w14:paraId="480874B2" w14:textId="0361F86E" w:rsidR="00E35362" w:rsidRDefault="00E35362" w:rsidP="00E35362">
            <w:pPr>
              <w:spacing w:after="0" w:line="240" w:lineRule="auto"/>
              <w:jc w:val="right"/>
              <w:rPr>
                <w:rFonts w:ascii="Calibri" w:hAnsi="Calibri" w:cs="Calibri"/>
                <w:color w:val="000000"/>
              </w:rPr>
            </w:pPr>
            <w:r>
              <w:rPr>
                <w:rFonts w:ascii="Tahoma" w:hAnsi="Tahoma" w:cs="Tahoma"/>
                <w:color w:val="000000"/>
                <w:sz w:val="20"/>
                <w:szCs w:val="20"/>
              </w:rPr>
              <w:t>1.252,00</w:t>
            </w:r>
          </w:p>
        </w:tc>
        <w:tc>
          <w:tcPr>
            <w:tcW w:w="3747" w:type="dxa"/>
            <w:tcBorders>
              <w:top w:val="nil"/>
              <w:left w:val="nil"/>
              <w:bottom w:val="single" w:sz="4" w:space="0" w:color="D3D3D3"/>
              <w:right w:val="single" w:sz="4" w:space="0" w:color="D3D3D3"/>
            </w:tcBorders>
            <w:shd w:val="clear" w:color="auto" w:fill="auto"/>
            <w:noWrap/>
            <w:vAlign w:val="bottom"/>
          </w:tcPr>
          <w:p w14:paraId="0771BC1D" w14:textId="60844A22" w:rsidR="00E35362" w:rsidRDefault="00E35362" w:rsidP="00E35362">
            <w:pPr>
              <w:spacing w:after="0" w:line="240" w:lineRule="auto"/>
              <w:jc w:val="center"/>
              <w:rPr>
                <w:rFonts w:ascii="Calibri" w:hAnsi="Calibri" w:cs="Calibri"/>
                <w:color w:val="000000"/>
              </w:rPr>
            </w:pPr>
            <w:r>
              <w:rPr>
                <w:rFonts w:ascii="Calibri" w:hAnsi="Calibri" w:cs="Calibri"/>
                <w:color w:val="000000"/>
              </w:rPr>
              <w:t xml:space="preserve">0,16 </w:t>
            </w:r>
          </w:p>
        </w:tc>
      </w:tr>
      <w:tr w:rsidR="00E35362" w:rsidRPr="002048A7" w14:paraId="555AF571" w14:textId="77777777" w:rsidTr="00D56350">
        <w:trPr>
          <w:trHeight w:val="207"/>
          <w:jc w:val="center"/>
        </w:trPr>
        <w:tc>
          <w:tcPr>
            <w:tcW w:w="2630" w:type="dxa"/>
            <w:tcBorders>
              <w:top w:val="nil"/>
              <w:left w:val="single" w:sz="4" w:space="0" w:color="D3D3D3"/>
              <w:bottom w:val="single" w:sz="4" w:space="0" w:color="D3D3D3"/>
              <w:right w:val="single" w:sz="4" w:space="0" w:color="D3D3D3"/>
            </w:tcBorders>
            <w:shd w:val="clear" w:color="auto" w:fill="auto"/>
          </w:tcPr>
          <w:p w14:paraId="0ED6DD78" w14:textId="4E1CE0B4" w:rsidR="00E35362" w:rsidRPr="002048A7" w:rsidRDefault="00E35362" w:rsidP="00E35362">
            <w:pPr>
              <w:spacing w:after="0" w:line="240" w:lineRule="auto"/>
              <w:rPr>
                <w:rFonts w:ascii="Tahoma" w:hAnsi="Tahoma" w:cs="Tahoma"/>
                <w:color w:val="000000"/>
                <w:sz w:val="20"/>
                <w:szCs w:val="20"/>
              </w:rPr>
            </w:pPr>
            <w:r w:rsidRPr="002048A7">
              <w:rPr>
                <w:rFonts w:ascii="Tahoma" w:hAnsi="Tahoma" w:cs="Tahoma"/>
                <w:color w:val="000000"/>
                <w:sz w:val="20"/>
                <w:szCs w:val="20"/>
              </w:rPr>
              <w:t>ORDU</w:t>
            </w:r>
          </w:p>
        </w:tc>
        <w:tc>
          <w:tcPr>
            <w:tcW w:w="2379" w:type="dxa"/>
            <w:tcBorders>
              <w:top w:val="nil"/>
              <w:left w:val="nil"/>
              <w:bottom w:val="single" w:sz="4" w:space="0" w:color="D3D3D3"/>
              <w:right w:val="single" w:sz="4" w:space="0" w:color="D3D3D3"/>
            </w:tcBorders>
            <w:shd w:val="clear" w:color="auto" w:fill="auto"/>
            <w:noWrap/>
          </w:tcPr>
          <w:p w14:paraId="63FAF7C5" w14:textId="44E537E0" w:rsidR="00E35362" w:rsidRDefault="00E35362" w:rsidP="00E35362">
            <w:pPr>
              <w:spacing w:after="0" w:line="240" w:lineRule="auto"/>
              <w:jc w:val="right"/>
              <w:rPr>
                <w:rFonts w:ascii="Calibri" w:hAnsi="Calibri" w:cs="Calibri"/>
                <w:color w:val="000000"/>
              </w:rPr>
            </w:pPr>
            <w:r>
              <w:rPr>
                <w:rFonts w:ascii="Tahoma" w:hAnsi="Tahoma" w:cs="Tahoma"/>
                <w:color w:val="000000"/>
                <w:sz w:val="20"/>
                <w:szCs w:val="20"/>
              </w:rPr>
              <w:t>345,000</w:t>
            </w:r>
          </w:p>
        </w:tc>
        <w:tc>
          <w:tcPr>
            <w:tcW w:w="3747" w:type="dxa"/>
            <w:tcBorders>
              <w:top w:val="nil"/>
              <w:left w:val="nil"/>
              <w:bottom w:val="single" w:sz="4" w:space="0" w:color="D3D3D3"/>
              <w:right w:val="single" w:sz="4" w:space="0" w:color="D3D3D3"/>
            </w:tcBorders>
            <w:shd w:val="clear" w:color="auto" w:fill="auto"/>
            <w:noWrap/>
            <w:vAlign w:val="bottom"/>
          </w:tcPr>
          <w:p w14:paraId="2E001CBB" w14:textId="289D6817" w:rsidR="00E35362" w:rsidRDefault="00E35362" w:rsidP="00E35362">
            <w:pPr>
              <w:spacing w:after="0" w:line="240" w:lineRule="auto"/>
              <w:jc w:val="center"/>
              <w:rPr>
                <w:rFonts w:ascii="Calibri" w:hAnsi="Calibri" w:cs="Calibri"/>
                <w:color w:val="000000"/>
              </w:rPr>
            </w:pPr>
            <w:r>
              <w:rPr>
                <w:rFonts w:ascii="Calibri" w:hAnsi="Calibri" w:cs="Calibri"/>
                <w:color w:val="000000"/>
              </w:rPr>
              <w:t xml:space="preserve">0,04 </w:t>
            </w:r>
          </w:p>
        </w:tc>
      </w:tr>
      <w:tr w:rsidR="00E35362" w:rsidRPr="002048A7" w14:paraId="25EAE163" w14:textId="77777777" w:rsidTr="00D56350">
        <w:trPr>
          <w:trHeight w:val="207"/>
          <w:jc w:val="center"/>
        </w:trPr>
        <w:tc>
          <w:tcPr>
            <w:tcW w:w="2630" w:type="dxa"/>
            <w:tcBorders>
              <w:top w:val="nil"/>
              <w:left w:val="single" w:sz="4" w:space="0" w:color="D3D3D3"/>
              <w:bottom w:val="single" w:sz="4" w:space="0" w:color="D3D3D3"/>
              <w:right w:val="single" w:sz="4" w:space="0" w:color="D3D3D3"/>
            </w:tcBorders>
            <w:shd w:val="clear" w:color="auto" w:fill="auto"/>
          </w:tcPr>
          <w:p w14:paraId="1D86E325" w14:textId="39AEFA6B" w:rsidR="00E35362" w:rsidRPr="002048A7" w:rsidRDefault="00E35362" w:rsidP="00E35362">
            <w:pPr>
              <w:spacing w:after="0" w:line="240" w:lineRule="auto"/>
              <w:rPr>
                <w:rFonts w:ascii="Tahoma" w:hAnsi="Tahoma" w:cs="Tahoma"/>
                <w:color w:val="000000"/>
                <w:sz w:val="20"/>
                <w:szCs w:val="20"/>
              </w:rPr>
            </w:pPr>
            <w:r w:rsidRPr="002048A7">
              <w:rPr>
                <w:rFonts w:ascii="Tahoma" w:hAnsi="Tahoma" w:cs="Tahoma"/>
                <w:color w:val="000000"/>
                <w:sz w:val="20"/>
                <w:szCs w:val="20"/>
              </w:rPr>
              <w:t>OSMANİYE</w:t>
            </w:r>
          </w:p>
        </w:tc>
        <w:tc>
          <w:tcPr>
            <w:tcW w:w="2379" w:type="dxa"/>
            <w:tcBorders>
              <w:top w:val="nil"/>
              <w:left w:val="nil"/>
              <w:bottom w:val="single" w:sz="4" w:space="0" w:color="D3D3D3"/>
              <w:right w:val="single" w:sz="4" w:space="0" w:color="D3D3D3"/>
            </w:tcBorders>
            <w:shd w:val="clear" w:color="auto" w:fill="auto"/>
            <w:noWrap/>
          </w:tcPr>
          <w:p w14:paraId="5AC4B5EA" w14:textId="08C9C054" w:rsidR="00E35362" w:rsidRDefault="00E35362" w:rsidP="00E35362">
            <w:pPr>
              <w:spacing w:after="0" w:line="240" w:lineRule="auto"/>
              <w:jc w:val="right"/>
              <w:rPr>
                <w:rFonts w:ascii="Calibri" w:hAnsi="Calibri" w:cs="Calibri"/>
                <w:color w:val="000000"/>
              </w:rPr>
            </w:pPr>
            <w:r>
              <w:rPr>
                <w:rFonts w:ascii="Tahoma" w:hAnsi="Tahoma" w:cs="Tahoma"/>
                <w:color w:val="000000"/>
                <w:sz w:val="20"/>
                <w:szCs w:val="20"/>
              </w:rPr>
              <w:t>5.491,00</w:t>
            </w:r>
          </w:p>
        </w:tc>
        <w:tc>
          <w:tcPr>
            <w:tcW w:w="3747" w:type="dxa"/>
            <w:tcBorders>
              <w:top w:val="nil"/>
              <w:left w:val="nil"/>
              <w:bottom w:val="single" w:sz="4" w:space="0" w:color="D3D3D3"/>
              <w:right w:val="single" w:sz="4" w:space="0" w:color="D3D3D3"/>
            </w:tcBorders>
            <w:shd w:val="clear" w:color="auto" w:fill="auto"/>
            <w:noWrap/>
          </w:tcPr>
          <w:p w14:paraId="4783CA0B" w14:textId="3EE407BE" w:rsidR="00E35362" w:rsidRDefault="00E35362" w:rsidP="00E35362">
            <w:pPr>
              <w:spacing w:after="0" w:line="240" w:lineRule="auto"/>
              <w:jc w:val="center"/>
              <w:rPr>
                <w:rFonts w:ascii="Calibri" w:hAnsi="Calibri" w:cs="Calibri"/>
                <w:color w:val="000000"/>
              </w:rPr>
            </w:pPr>
            <w:r w:rsidRPr="00FD454C">
              <w:rPr>
                <w:rFonts w:ascii="Tahoma" w:hAnsi="Tahoma" w:cs="Tahoma"/>
                <w:color w:val="000000"/>
                <w:sz w:val="20"/>
                <w:szCs w:val="20"/>
              </w:rPr>
              <w:t>0,7</w:t>
            </w:r>
            <w:r>
              <w:rPr>
                <w:rFonts w:ascii="Tahoma" w:hAnsi="Tahoma" w:cs="Tahoma"/>
                <w:color w:val="000000"/>
                <w:sz w:val="20"/>
                <w:szCs w:val="20"/>
              </w:rPr>
              <w:t>0</w:t>
            </w:r>
          </w:p>
        </w:tc>
      </w:tr>
      <w:tr w:rsidR="00E35362" w:rsidRPr="002048A7" w14:paraId="23EEBC32" w14:textId="77777777" w:rsidTr="000E274F">
        <w:trPr>
          <w:trHeight w:val="207"/>
          <w:jc w:val="center"/>
        </w:trPr>
        <w:tc>
          <w:tcPr>
            <w:tcW w:w="2630" w:type="dxa"/>
            <w:tcBorders>
              <w:top w:val="nil"/>
              <w:left w:val="single" w:sz="4" w:space="0" w:color="D3D3D3"/>
              <w:bottom w:val="single" w:sz="4" w:space="0" w:color="D3D3D3"/>
              <w:right w:val="single" w:sz="4" w:space="0" w:color="D3D3D3"/>
            </w:tcBorders>
            <w:shd w:val="clear" w:color="auto" w:fill="auto"/>
          </w:tcPr>
          <w:p w14:paraId="3ED56131" w14:textId="4D09EAD3" w:rsidR="00E35362" w:rsidRPr="002048A7" w:rsidRDefault="00E35362" w:rsidP="00E35362">
            <w:pPr>
              <w:spacing w:after="0" w:line="240" w:lineRule="auto"/>
              <w:rPr>
                <w:rFonts w:ascii="Tahoma" w:hAnsi="Tahoma" w:cs="Tahoma"/>
                <w:color w:val="000000"/>
                <w:sz w:val="20"/>
                <w:szCs w:val="20"/>
              </w:rPr>
            </w:pPr>
            <w:r w:rsidRPr="002048A7">
              <w:rPr>
                <w:rFonts w:ascii="Tahoma" w:hAnsi="Tahoma" w:cs="Tahoma"/>
                <w:color w:val="000000"/>
                <w:sz w:val="20"/>
                <w:szCs w:val="20"/>
              </w:rPr>
              <w:t>SAMSUN</w:t>
            </w:r>
          </w:p>
        </w:tc>
        <w:tc>
          <w:tcPr>
            <w:tcW w:w="2379" w:type="dxa"/>
            <w:tcBorders>
              <w:top w:val="nil"/>
              <w:left w:val="nil"/>
              <w:bottom w:val="single" w:sz="4" w:space="0" w:color="D3D3D3"/>
              <w:right w:val="single" w:sz="4" w:space="0" w:color="D3D3D3"/>
            </w:tcBorders>
            <w:shd w:val="clear" w:color="auto" w:fill="auto"/>
            <w:noWrap/>
            <w:vAlign w:val="bottom"/>
          </w:tcPr>
          <w:p w14:paraId="1AFE608E" w14:textId="10828296" w:rsidR="00E35362" w:rsidRDefault="00E35362" w:rsidP="00E35362">
            <w:pPr>
              <w:spacing w:after="0" w:line="240" w:lineRule="auto"/>
              <w:jc w:val="right"/>
              <w:rPr>
                <w:rFonts w:ascii="Calibri" w:hAnsi="Calibri" w:cs="Calibri"/>
                <w:color w:val="000000"/>
              </w:rPr>
            </w:pPr>
            <w:r>
              <w:rPr>
                <w:rFonts w:ascii="Calibri" w:hAnsi="Calibri" w:cs="Calibri"/>
                <w:color w:val="000000"/>
              </w:rPr>
              <w:t>28.351,000</w:t>
            </w:r>
          </w:p>
        </w:tc>
        <w:tc>
          <w:tcPr>
            <w:tcW w:w="3747" w:type="dxa"/>
            <w:tcBorders>
              <w:top w:val="nil"/>
              <w:left w:val="nil"/>
              <w:bottom w:val="single" w:sz="4" w:space="0" w:color="D3D3D3"/>
              <w:right w:val="single" w:sz="4" w:space="0" w:color="D3D3D3"/>
            </w:tcBorders>
            <w:shd w:val="clear" w:color="auto" w:fill="auto"/>
            <w:noWrap/>
            <w:vAlign w:val="bottom"/>
          </w:tcPr>
          <w:p w14:paraId="2BCAF391" w14:textId="79D8777A" w:rsidR="00E35362" w:rsidRDefault="00E35362" w:rsidP="00E35362">
            <w:pPr>
              <w:spacing w:after="0" w:line="240" w:lineRule="auto"/>
              <w:jc w:val="center"/>
              <w:rPr>
                <w:rFonts w:ascii="Calibri" w:hAnsi="Calibri" w:cs="Calibri"/>
                <w:color w:val="000000"/>
              </w:rPr>
            </w:pPr>
            <w:r>
              <w:rPr>
                <w:rFonts w:ascii="Calibri" w:hAnsi="Calibri" w:cs="Calibri"/>
                <w:color w:val="000000"/>
              </w:rPr>
              <w:t xml:space="preserve">3,66 </w:t>
            </w:r>
          </w:p>
        </w:tc>
      </w:tr>
      <w:tr w:rsidR="00E35362" w:rsidRPr="002048A7" w14:paraId="5087F939" w14:textId="77777777" w:rsidTr="000E274F">
        <w:trPr>
          <w:trHeight w:val="207"/>
          <w:jc w:val="center"/>
        </w:trPr>
        <w:tc>
          <w:tcPr>
            <w:tcW w:w="2630" w:type="dxa"/>
            <w:tcBorders>
              <w:top w:val="nil"/>
              <w:left w:val="single" w:sz="4" w:space="0" w:color="D3D3D3"/>
              <w:bottom w:val="single" w:sz="4" w:space="0" w:color="D3D3D3"/>
              <w:right w:val="single" w:sz="4" w:space="0" w:color="D3D3D3"/>
            </w:tcBorders>
            <w:shd w:val="clear" w:color="auto" w:fill="auto"/>
          </w:tcPr>
          <w:p w14:paraId="18B69EB0" w14:textId="006C6C00" w:rsidR="00E35362" w:rsidRPr="002048A7" w:rsidRDefault="00E35362" w:rsidP="00E35362">
            <w:pPr>
              <w:spacing w:after="0" w:line="240" w:lineRule="auto"/>
              <w:rPr>
                <w:rFonts w:ascii="Tahoma" w:hAnsi="Tahoma" w:cs="Tahoma"/>
                <w:color w:val="000000"/>
                <w:sz w:val="20"/>
                <w:szCs w:val="20"/>
              </w:rPr>
            </w:pPr>
            <w:r w:rsidRPr="002048A7">
              <w:rPr>
                <w:rFonts w:ascii="Tahoma" w:hAnsi="Tahoma" w:cs="Tahoma"/>
                <w:color w:val="000000"/>
                <w:sz w:val="20"/>
                <w:szCs w:val="20"/>
              </w:rPr>
              <w:t>TEKİRDAĞ</w:t>
            </w:r>
          </w:p>
        </w:tc>
        <w:tc>
          <w:tcPr>
            <w:tcW w:w="2379" w:type="dxa"/>
            <w:tcBorders>
              <w:top w:val="nil"/>
              <w:left w:val="nil"/>
              <w:bottom w:val="single" w:sz="4" w:space="0" w:color="D3D3D3"/>
              <w:right w:val="single" w:sz="4" w:space="0" w:color="D3D3D3"/>
            </w:tcBorders>
            <w:shd w:val="clear" w:color="auto" w:fill="auto"/>
            <w:noWrap/>
            <w:vAlign w:val="bottom"/>
          </w:tcPr>
          <w:p w14:paraId="30F27538" w14:textId="5A77E609" w:rsidR="00E35362" w:rsidRDefault="00E35362" w:rsidP="00E35362">
            <w:pPr>
              <w:spacing w:after="0" w:line="240" w:lineRule="auto"/>
              <w:jc w:val="right"/>
              <w:rPr>
                <w:rFonts w:ascii="Calibri" w:hAnsi="Calibri" w:cs="Calibri"/>
                <w:color w:val="000000"/>
              </w:rPr>
            </w:pPr>
            <w:r>
              <w:rPr>
                <w:rFonts w:ascii="Calibri" w:hAnsi="Calibri" w:cs="Calibri"/>
                <w:color w:val="000000"/>
              </w:rPr>
              <w:t>53.864,000</w:t>
            </w:r>
          </w:p>
        </w:tc>
        <w:tc>
          <w:tcPr>
            <w:tcW w:w="3747" w:type="dxa"/>
            <w:tcBorders>
              <w:top w:val="nil"/>
              <w:left w:val="nil"/>
              <w:bottom w:val="single" w:sz="4" w:space="0" w:color="D3D3D3"/>
              <w:right w:val="single" w:sz="4" w:space="0" w:color="D3D3D3"/>
            </w:tcBorders>
            <w:shd w:val="clear" w:color="auto" w:fill="auto"/>
            <w:noWrap/>
            <w:vAlign w:val="bottom"/>
          </w:tcPr>
          <w:p w14:paraId="6087B06C" w14:textId="44C0BD4A" w:rsidR="00E35362" w:rsidRDefault="00E35362" w:rsidP="00E35362">
            <w:pPr>
              <w:spacing w:after="0" w:line="240" w:lineRule="auto"/>
              <w:jc w:val="center"/>
              <w:rPr>
                <w:rFonts w:ascii="Calibri" w:hAnsi="Calibri" w:cs="Calibri"/>
                <w:color w:val="000000"/>
              </w:rPr>
            </w:pPr>
            <w:r>
              <w:rPr>
                <w:rFonts w:ascii="Calibri" w:hAnsi="Calibri" w:cs="Calibri"/>
                <w:color w:val="000000"/>
              </w:rPr>
              <w:t xml:space="preserve">6,95 </w:t>
            </w:r>
          </w:p>
        </w:tc>
      </w:tr>
      <w:tr w:rsidR="00E35362" w:rsidRPr="002048A7" w14:paraId="15AEFAF3" w14:textId="77777777" w:rsidTr="000E274F">
        <w:trPr>
          <w:trHeight w:val="207"/>
          <w:jc w:val="center"/>
        </w:trPr>
        <w:tc>
          <w:tcPr>
            <w:tcW w:w="2630" w:type="dxa"/>
            <w:tcBorders>
              <w:top w:val="nil"/>
              <w:left w:val="single" w:sz="4" w:space="0" w:color="D3D3D3"/>
              <w:bottom w:val="single" w:sz="4" w:space="0" w:color="D3D3D3"/>
              <w:right w:val="single" w:sz="4" w:space="0" w:color="D3D3D3"/>
            </w:tcBorders>
            <w:shd w:val="clear" w:color="auto" w:fill="auto"/>
          </w:tcPr>
          <w:p w14:paraId="0B70DF52" w14:textId="312A92E8" w:rsidR="00E35362" w:rsidRPr="002048A7" w:rsidRDefault="00E35362" w:rsidP="00E35362">
            <w:pPr>
              <w:spacing w:after="0" w:line="240" w:lineRule="auto"/>
              <w:rPr>
                <w:rFonts w:ascii="Tahoma" w:hAnsi="Tahoma" w:cs="Tahoma"/>
                <w:color w:val="000000"/>
                <w:sz w:val="20"/>
                <w:szCs w:val="20"/>
              </w:rPr>
            </w:pPr>
            <w:r w:rsidRPr="002048A7">
              <w:rPr>
                <w:rFonts w:ascii="Tahoma" w:hAnsi="Tahoma" w:cs="Tahoma"/>
                <w:color w:val="000000"/>
                <w:sz w:val="20"/>
                <w:szCs w:val="20"/>
              </w:rPr>
              <w:lastRenderedPageBreak/>
              <w:t>TOKAT</w:t>
            </w:r>
          </w:p>
        </w:tc>
        <w:tc>
          <w:tcPr>
            <w:tcW w:w="2379" w:type="dxa"/>
            <w:tcBorders>
              <w:top w:val="nil"/>
              <w:left w:val="nil"/>
              <w:bottom w:val="single" w:sz="4" w:space="0" w:color="D3D3D3"/>
              <w:right w:val="single" w:sz="4" w:space="0" w:color="D3D3D3"/>
            </w:tcBorders>
            <w:shd w:val="clear" w:color="auto" w:fill="auto"/>
            <w:noWrap/>
            <w:vAlign w:val="bottom"/>
          </w:tcPr>
          <w:p w14:paraId="0433F794" w14:textId="49528BA6" w:rsidR="00E35362" w:rsidRDefault="00E35362" w:rsidP="00E35362">
            <w:pPr>
              <w:spacing w:after="0" w:line="240" w:lineRule="auto"/>
              <w:jc w:val="right"/>
              <w:rPr>
                <w:rFonts w:ascii="Calibri" w:hAnsi="Calibri" w:cs="Calibri"/>
                <w:color w:val="000000"/>
              </w:rPr>
            </w:pPr>
            <w:r>
              <w:rPr>
                <w:rFonts w:ascii="Calibri" w:hAnsi="Calibri" w:cs="Calibri"/>
                <w:color w:val="000000"/>
              </w:rPr>
              <w:t>935,000</w:t>
            </w:r>
          </w:p>
        </w:tc>
        <w:tc>
          <w:tcPr>
            <w:tcW w:w="3747" w:type="dxa"/>
            <w:tcBorders>
              <w:top w:val="nil"/>
              <w:left w:val="nil"/>
              <w:bottom w:val="single" w:sz="4" w:space="0" w:color="D3D3D3"/>
              <w:right w:val="single" w:sz="4" w:space="0" w:color="D3D3D3"/>
            </w:tcBorders>
            <w:shd w:val="clear" w:color="auto" w:fill="auto"/>
            <w:noWrap/>
            <w:vAlign w:val="bottom"/>
          </w:tcPr>
          <w:p w14:paraId="58AD9160" w14:textId="7EC43013" w:rsidR="00E35362" w:rsidRDefault="00E35362" w:rsidP="00E35362">
            <w:pPr>
              <w:spacing w:after="0" w:line="240" w:lineRule="auto"/>
              <w:jc w:val="center"/>
              <w:rPr>
                <w:rFonts w:ascii="Calibri" w:hAnsi="Calibri" w:cs="Calibri"/>
                <w:color w:val="000000"/>
              </w:rPr>
            </w:pPr>
            <w:r>
              <w:rPr>
                <w:rFonts w:ascii="Calibri" w:hAnsi="Calibri" w:cs="Calibri"/>
                <w:color w:val="000000"/>
              </w:rPr>
              <w:t xml:space="preserve">0,12 </w:t>
            </w:r>
          </w:p>
        </w:tc>
      </w:tr>
      <w:tr w:rsidR="00E35362" w:rsidRPr="002048A7" w14:paraId="630E1CD7" w14:textId="77777777" w:rsidTr="000E274F">
        <w:trPr>
          <w:trHeight w:val="207"/>
          <w:jc w:val="center"/>
        </w:trPr>
        <w:tc>
          <w:tcPr>
            <w:tcW w:w="2630" w:type="dxa"/>
            <w:tcBorders>
              <w:top w:val="nil"/>
              <w:left w:val="single" w:sz="4" w:space="0" w:color="D3D3D3"/>
              <w:bottom w:val="single" w:sz="4" w:space="0" w:color="D3D3D3"/>
              <w:right w:val="single" w:sz="4" w:space="0" w:color="D3D3D3"/>
            </w:tcBorders>
            <w:shd w:val="clear" w:color="auto" w:fill="auto"/>
          </w:tcPr>
          <w:p w14:paraId="74DE0568" w14:textId="477541C3" w:rsidR="00E35362" w:rsidRPr="002048A7" w:rsidRDefault="00E35362" w:rsidP="00E35362">
            <w:pPr>
              <w:spacing w:after="0" w:line="240" w:lineRule="auto"/>
              <w:rPr>
                <w:rFonts w:ascii="Tahoma" w:hAnsi="Tahoma" w:cs="Tahoma"/>
                <w:color w:val="000000"/>
                <w:sz w:val="20"/>
                <w:szCs w:val="20"/>
              </w:rPr>
            </w:pPr>
            <w:r w:rsidRPr="002048A7">
              <w:rPr>
                <w:rFonts w:ascii="Tahoma" w:hAnsi="Tahoma" w:cs="Tahoma"/>
                <w:color w:val="000000"/>
                <w:sz w:val="20"/>
                <w:szCs w:val="20"/>
              </w:rPr>
              <w:t>TRABZON</w:t>
            </w:r>
          </w:p>
        </w:tc>
        <w:tc>
          <w:tcPr>
            <w:tcW w:w="2379" w:type="dxa"/>
            <w:tcBorders>
              <w:top w:val="nil"/>
              <w:left w:val="nil"/>
              <w:bottom w:val="single" w:sz="4" w:space="0" w:color="D3D3D3"/>
              <w:right w:val="single" w:sz="4" w:space="0" w:color="D3D3D3"/>
            </w:tcBorders>
            <w:shd w:val="clear" w:color="auto" w:fill="auto"/>
            <w:noWrap/>
            <w:vAlign w:val="bottom"/>
          </w:tcPr>
          <w:p w14:paraId="04824B6A" w14:textId="7868AF3A" w:rsidR="00E35362" w:rsidRDefault="00E35362" w:rsidP="00E35362">
            <w:pPr>
              <w:spacing w:after="0" w:line="240" w:lineRule="auto"/>
              <w:jc w:val="right"/>
              <w:rPr>
                <w:rFonts w:ascii="Calibri" w:hAnsi="Calibri" w:cs="Calibri"/>
                <w:color w:val="000000"/>
              </w:rPr>
            </w:pPr>
            <w:r>
              <w:rPr>
                <w:rFonts w:ascii="Calibri" w:hAnsi="Calibri" w:cs="Calibri"/>
                <w:color w:val="000000"/>
              </w:rPr>
              <w:t>21.633,000</w:t>
            </w:r>
          </w:p>
        </w:tc>
        <w:tc>
          <w:tcPr>
            <w:tcW w:w="3747" w:type="dxa"/>
            <w:tcBorders>
              <w:top w:val="nil"/>
              <w:left w:val="nil"/>
              <w:bottom w:val="single" w:sz="4" w:space="0" w:color="D3D3D3"/>
              <w:right w:val="single" w:sz="4" w:space="0" w:color="D3D3D3"/>
            </w:tcBorders>
            <w:shd w:val="clear" w:color="auto" w:fill="auto"/>
            <w:noWrap/>
            <w:vAlign w:val="bottom"/>
          </w:tcPr>
          <w:p w14:paraId="1593D2E3" w14:textId="631738A8" w:rsidR="00E35362" w:rsidRDefault="00E35362" w:rsidP="00E35362">
            <w:pPr>
              <w:spacing w:after="0" w:line="240" w:lineRule="auto"/>
              <w:jc w:val="center"/>
              <w:rPr>
                <w:rFonts w:ascii="Calibri" w:hAnsi="Calibri" w:cs="Calibri"/>
                <w:color w:val="000000"/>
              </w:rPr>
            </w:pPr>
            <w:r>
              <w:rPr>
                <w:rFonts w:ascii="Calibri" w:hAnsi="Calibri" w:cs="Calibri"/>
                <w:color w:val="000000"/>
              </w:rPr>
              <w:t xml:space="preserve">2,79 </w:t>
            </w:r>
          </w:p>
        </w:tc>
      </w:tr>
      <w:tr w:rsidR="00E35362" w:rsidRPr="002048A7" w14:paraId="212B3492" w14:textId="77777777" w:rsidTr="000E274F">
        <w:trPr>
          <w:trHeight w:val="207"/>
          <w:jc w:val="center"/>
        </w:trPr>
        <w:tc>
          <w:tcPr>
            <w:tcW w:w="2630" w:type="dxa"/>
            <w:tcBorders>
              <w:top w:val="nil"/>
              <w:left w:val="single" w:sz="4" w:space="0" w:color="D3D3D3"/>
              <w:bottom w:val="single" w:sz="4" w:space="0" w:color="D3D3D3"/>
              <w:right w:val="single" w:sz="4" w:space="0" w:color="D3D3D3"/>
            </w:tcBorders>
            <w:shd w:val="clear" w:color="auto" w:fill="auto"/>
          </w:tcPr>
          <w:p w14:paraId="3BB9E0EC" w14:textId="0CE57727" w:rsidR="00E35362" w:rsidRPr="002048A7" w:rsidRDefault="00E35362" w:rsidP="00E35362">
            <w:pPr>
              <w:spacing w:after="0" w:line="240" w:lineRule="auto"/>
              <w:rPr>
                <w:rFonts w:ascii="Tahoma" w:hAnsi="Tahoma" w:cs="Tahoma"/>
                <w:color w:val="000000"/>
                <w:sz w:val="20"/>
                <w:szCs w:val="20"/>
              </w:rPr>
            </w:pPr>
            <w:r w:rsidRPr="002048A7">
              <w:rPr>
                <w:rFonts w:ascii="Tahoma" w:hAnsi="Tahoma" w:cs="Tahoma"/>
                <w:color w:val="000000"/>
                <w:sz w:val="20"/>
                <w:szCs w:val="20"/>
              </w:rPr>
              <w:t>VAN</w:t>
            </w:r>
          </w:p>
        </w:tc>
        <w:tc>
          <w:tcPr>
            <w:tcW w:w="2379" w:type="dxa"/>
            <w:tcBorders>
              <w:top w:val="nil"/>
              <w:left w:val="nil"/>
              <w:bottom w:val="single" w:sz="4" w:space="0" w:color="D3D3D3"/>
              <w:right w:val="single" w:sz="4" w:space="0" w:color="D3D3D3"/>
            </w:tcBorders>
            <w:shd w:val="clear" w:color="auto" w:fill="auto"/>
            <w:noWrap/>
            <w:vAlign w:val="bottom"/>
          </w:tcPr>
          <w:p w14:paraId="64F69087" w14:textId="5A18B8C8" w:rsidR="00E35362" w:rsidRDefault="00E35362" w:rsidP="00E35362">
            <w:pPr>
              <w:spacing w:after="0" w:line="240" w:lineRule="auto"/>
              <w:jc w:val="right"/>
              <w:rPr>
                <w:rFonts w:ascii="Calibri" w:hAnsi="Calibri" w:cs="Calibri"/>
                <w:color w:val="000000"/>
              </w:rPr>
            </w:pPr>
            <w:r>
              <w:rPr>
                <w:rFonts w:ascii="Calibri" w:hAnsi="Calibri" w:cs="Calibri"/>
                <w:color w:val="000000"/>
              </w:rPr>
              <w:t>575,000</w:t>
            </w:r>
          </w:p>
        </w:tc>
        <w:tc>
          <w:tcPr>
            <w:tcW w:w="3747" w:type="dxa"/>
            <w:tcBorders>
              <w:top w:val="nil"/>
              <w:left w:val="nil"/>
              <w:bottom w:val="single" w:sz="4" w:space="0" w:color="D3D3D3"/>
              <w:right w:val="single" w:sz="4" w:space="0" w:color="D3D3D3"/>
            </w:tcBorders>
            <w:shd w:val="clear" w:color="auto" w:fill="auto"/>
            <w:noWrap/>
            <w:vAlign w:val="bottom"/>
          </w:tcPr>
          <w:p w14:paraId="6213803B" w14:textId="0175B18B" w:rsidR="00E35362" w:rsidRDefault="00E35362" w:rsidP="00E35362">
            <w:pPr>
              <w:spacing w:after="0" w:line="240" w:lineRule="auto"/>
              <w:jc w:val="center"/>
              <w:rPr>
                <w:rFonts w:ascii="Calibri" w:hAnsi="Calibri" w:cs="Calibri"/>
                <w:color w:val="000000"/>
              </w:rPr>
            </w:pPr>
            <w:r>
              <w:rPr>
                <w:rFonts w:ascii="Calibri" w:hAnsi="Calibri" w:cs="Calibri"/>
                <w:color w:val="000000"/>
              </w:rPr>
              <w:t xml:space="preserve">0,07 </w:t>
            </w:r>
          </w:p>
        </w:tc>
      </w:tr>
      <w:tr w:rsidR="00E35362" w:rsidRPr="002048A7" w14:paraId="14CFB716" w14:textId="77777777" w:rsidTr="000E274F">
        <w:trPr>
          <w:trHeight w:val="207"/>
          <w:jc w:val="center"/>
        </w:trPr>
        <w:tc>
          <w:tcPr>
            <w:tcW w:w="2630" w:type="dxa"/>
            <w:tcBorders>
              <w:top w:val="nil"/>
              <w:left w:val="single" w:sz="4" w:space="0" w:color="D3D3D3"/>
              <w:bottom w:val="single" w:sz="4" w:space="0" w:color="D3D3D3"/>
              <w:right w:val="single" w:sz="4" w:space="0" w:color="D3D3D3"/>
            </w:tcBorders>
            <w:shd w:val="clear" w:color="auto" w:fill="auto"/>
          </w:tcPr>
          <w:p w14:paraId="118C966A" w14:textId="1B28CFA8" w:rsidR="00E35362" w:rsidRPr="002048A7" w:rsidRDefault="00E35362" w:rsidP="00E35362">
            <w:pPr>
              <w:spacing w:after="0" w:line="240" w:lineRule="auto"/>
              <w:rPr>
                <w:rFonts w:ascii="Tahoma" w:hAnsi="Tahoma" w:cs="Tahoma"/>
                <w:color w:val="000000"/>
                <w:sz w:val="20"/>
                <w:szCs w:val="20"/>
              </w:rPr>
            </w:pPr>
            <w:r w:rsidRPr="002048A7">
              <w:rPr>
                <w:rFonts w:ascii="Tahoma" w:hAnsi="Tahoma" w:cs="Tahoma"/>
                <w:color w:val="000000"/>
                <w:sz w:val="20"/>
                <w:szCs w:val="20"/>
              </w:rPr>
              <w:t>YOZGAT</w:t>
            </w:r>
          </w:p>
        </w:tc>
        <w:tc>
          <w:tcPr>
            <w:tcW w:w="2379" w:type="dxa"/>
            <w:tcBorders>
              <w:top w:val="nil"/>
              <w:left w:val="nil"/>
              <w:bottom w:val="single" w:sz="4" w:space="0" w:color="D3D3D3"/>
              <w:right w:val="single" w:sz="4" w:space="0" w:color="D3D3D3"/>
            </w:tcBorders>
            <w:shd w:val="clear" w:color="auto" w:fill="auto"/>
            <w:noWrap/>
            <w:vAlign w:val="bottom"/>
          </w:tcPr>
          <w:p w14:paraId="59731E06" w14:textId="07B30F51" w:rsidR="00E35362" w:rsidRDefault="00E35362" w:rsidP="00E35362">
            <w:pPr>
              <w:spacing w:after="0" w:line="240" w:lineRule="auto"/>
              <w:jc w:val="right"/>
              <w:rPr>
                <w:rFonts w:ascii="Calibri" w:hAnsi="Calibri" w:cs="Calibri"/>
                <w:color w:val="000000"/>
              </w:rPr>
            </w:pPr>
            <w:r>
              <w:rPr>
                <w:rFonts w:ascii="Calibri" w:hAnsi="Calibri" w:cs="Calibri"/>
                <w:color w:val="000000"/>
              </w:rPr>
              <w:t>645,000</w:t>
            </w:r>
          </w:p>
        </w:tc>
        <w:tc>
          <w:tcPr>
            <w:tcW w:w="3747" w:type="dxa"/>
            <w:tcBorders>
              <w:top w:val="nil"/>
              <w:left w:val="nil"/>
              <w:bottom w:val="single" w:sz="4" w:space="0" w:color="D3D3D3"/>
              <w:right w:val="single" w:sz="4" w:space="0" w:color="D3D3D3"/>
            </w:tcBorders>
            <w:shd w:val="clear" w:color="auto" w:fill="auto"/>
            <w:noWrap/>
            <w:vAlign w:val="bottom"/>
          </w:tcPr>
          <w:p w14:paraId="3053AAE4" w14:textId="7B5F46A4" w:rsidR="00E35362" w:rsidRDefault="00E35362" w:rsidP="00E35362">
            <w:pPr>
              <w:spacing w:after="0" w:line="240" w:lineRule="auto"/>
              <w:jc w:val="center"/>
              <w:rPr>
                <w:rFonts w:ascii="Calibri" w:hAnsi="Calibri" w:cs="Calibri"/>
                <w:color w:val="000000"/>
              </w:rPr>
            </w:pPr>
            <w:r>
              <w:rPr>
                <w:rFonts w:ascii="Calibri" w:hAnsi="Calibri" w:cs="Calibri"/>
                <w:color w:val="000000"/>
              </w:rPr>
              <w:t xml:space="preserve">0,08 </w:t>
            </w:r>
          </w:p>
        </w:tc>
      </w:tr>
      <w:tr w:rsidR="00E35362" w:rsidRPr="002048A7" w14:paraId="0718306D" w14:textId="77777777" w:rsidTr="00D56350">
        <w:trPr>
          <w:trHeight w:val="207"/>
          <w:jc w:val="center"/>
        </w:trPr>
        <w:tc>
          <w:tcPr>
            <w:tcW w:w="2630" w:type="dxa"/>
            <w:tcBorders>
              <w:top w:val="nil"/>
              <w:left w:val="single" w:sz="4" w:space="0" w:color="D3D3D3"/>
              <w:bottom w:val="single" w:sz="4" w:space="0" w:color="D3D3D3"/>
              <w:right w:val="single" w:sz="4" w:space="0" w:color="D3D3D3"/>
            </w:tcBorders>
            <w:shd w:val="clear" w:color="auto" w:fill="auto"/>
          </w:tcPr>
          <w:p w14:paraId="7FAF7AB0" w14:textId="1125EA38" w:rsidR="00E35362" w:rsidRPr="002048A7" w:rsidRDefault="00E35362" w:rsidP="00E35362">
            <w:pPr>
              <w:spacing w:after="0" w:line="240" w:lineRule="auto"/>
              <w:rPr>
                <w:rFonts w:ascii="Tahoma" w:hAnsi="Tahoma" w:cs="Tahoma"/>
                <w:color w:val="000000"/>
                <w:sz w:val="20"/>
                <w:szCs w:val="20"/>
              </w:rPr>
            </w:pPr>
            <w:r w:rsidRPr="002048A7">
              <w:rPr>
                <w:rFonts w:ascii="Calibri" w:hAnsi="Calibri" w:cs="Calibri"/>
                <w:b/>
                <w:bCs/>
                <w:color w:val="000000"/>
              </w:rPr>
              <w:t>Toplam</w:t>
            </w:r>
          </w:p>
        </w:tc>
        <w:tc>
          <w:tcPr>
            <w:tcW w:w="2379" w:type="dxa"/>
            <w:tcBorders>
              <w:top w:val="nil"/>
              <w:left w:val="nil"/>
              <w:bottom w:val="single" w:sz="4" w:space="0" w:color="D3D3D3"/>
              <w:right w:val="single" w:sz="4" w:space="0" w:color="D3D3D3"/>
            </w:tcBorders>
            <w:shd w:val="clear" w:color="auto" w:fill="auto"/>
            <w:noWrap/>
          </w:tcPr>
          <w:p w14:paraId="0A02BEE2" w14:textId="7697201C" w:rsidR="00E35362" w:rsidRDefault="00E35362" w:rsidP="00E35362">
            <w:pPr>
              <w:spacing w:after="0" w:line="240" w:lineRule="auto"/>
              <w:jc w:val="right"/>
              <w:rPr>
                <w:rFonts w:ascii="Calibri" w:hAnsi="Calibri" w:cs="Calibri"/>
                <w:color w:val="000000"/>
              </w:rPr>
            </w:pPr>
            <w:r>
              <w:rPr>
                <w:rFonts w:ascii="Calibri" w:hAnsi="Calibri" w:cs="Calibri"/>
                <w:b/>
                <w:color w:val="000000"/>
              </w:rPr>
              <w:t>774.491,190</w:t>
            </w:r>
          </w:p>
        </w:tc>
        <w:tc>
          <w:tcPr>
            <w:tcW w:w="3747" w:type="dxa"/>
            <w:tcBorders>
              <w:top w:val="nil"/>
              <w:left w:val="nil"/>
              <w:bottom w:val="single" w:sz="4" w:space="0" w:color="D3D3D3"/>
              <w:right w:val="single" w:sz="4" w:space="0" w:color="D3D3D3"/>
            </w:tcBorders>
            <w:shd w:val="clear" w:color="auto" w:fill="auto"/>
            <w:noWrap/>
          </w:tcPr>
          <w:p w14:paraId="26618AD7" w14:textId="1EB7D41A" w:rsidR="00E35362" w:rsidRDefault="00E35362" w:rsidP="00E35362">
            <w:pPr>
              <w:spacing w:after="0" w:line="240" w:lineRule="auto"/>
              <w:jc w:val="center"/>
              <w:rPr>
                <w:rFonts w:ascii="Calibri" w:hAnsi="Calibri" w:cs="Calibri"/>
                <w:color w:val="000000"/>
              </w:rPr>
            </w:pPr>
            <w:r w:rsidRPr="002048A7">
              <w:rPr>
                <w:rFonts w:ascii="Calibri" w:hAnsi="Calibri" w:cs="Calibri"/>
                <w:b/>
                <w:bCs/>
                <w:color w:val="000000"/>
              </w:rPr>
              <w:t>100</w:t>
            </w:r>
          </w:p>
        </w:tc>
      </w:tr>
    </w:tbl>
    <w:p w14:paraId="64D692D1" w14:textId="19A75FEC" w:rsidR="00E35362" w:rsidRDefault="00E35362" w:rsidP="000E274F"/>
    <w:p w14:paraId="4517A8F7" w14:textId="77777777" w:rsidR="00E35362" w:rsidRDefault="00E35362">
      <w:pPr>
        <w:jc w:val="left"/>
      </w:pPr>
      <w:r>
        <w:br w:type="page"/>
      </w:r>
    </w:p>
    <w:p w14:paraId="16CB3684" w14:textId="77777777" w:rsidR="00D3422D" w:rsidRPr="002048A7" w:rsidRDefault="009F5F1A" w:rsidP="00577AAF">
      <w:pPr>
        <w:pStyle w:val="Balk1"/>
        <w:numPr>
          <w:ilvl w:val="0"/>
          <w:numId w:val="11"/>
        </w:numPr>
        <w:spacing w:before="0"/>
        <w:rPr>
          <w:rFonts w:asciiTheme="minorHAnsi" w:hAnsiTheme="minorHAnsi"/>
          <w:color w:val="auto"/>
          <w:sz w:val="22"/>
          <w:szCs w:val="22"/>
        </w:rPr>
      </w:pPr>
      <w:bookmarkStart w:id="164" w:name="_Toc442431264"/>
      <w:bookmarkStart w:id="165" w:name="_Toc195868708"/>
      <w:r w:rsidRPr="002048A7">
        <w:rPr>
          <w:rFonts w:asciiTheme="minorHAnsi" w:hAnsiTheme="minorHAnsi"/>
          <w:color w:val="auto"/>
          <w:sz w:val="22"/>
          <w:szCs w:val="22"/>
        </w:rPr>
        <w:lastRenderedPageBreak/>
        <w:t>FİYAT OLUŞUMU ve TARİFELENDİRME FAALİYETLERİ</w:t>
      </w:r>
      <w:bookmarkEnd w:id="164"/>
      <w:bookmarkEnd w:id="165"/>
    </w:p>
    <w:p w14:paraId="0CF73096" w14:textId="77777777" w:rsidR="002C3099" w:rsidRPr="002048A7" w:rsidRDefault="002C3099" w:rsidP="002C3099">
      <w:pPr>
        <w:spacing w:after="240"/>
      </w:pPr>
      <w:r w:rsidRPr="002048A7">
        <w:t xml:space="preserve">Bu bölümde elektrik, doğal gaz, petrol ve LPG piyasalarına ilişkin </w:t>
      </w:r>
      <w:r w:rsidR="007A6CDB" w:rsidRPr="002048A7">
        <w:t>202</w:t>
      </w:r>
      <w:r w:rsidR="00905AC2">
        <w:t>4</w:t>
      </w:r>
      <w:r w:rsidR="007A6CDB" w:rsidRPr="002048A7">
        <w:t xml:space="preserve"> </w:t>
      </w:r>
      <w:r w:rsidRPr="002048A7">
        <w:t>yılı içerisinde yürütülen tarifelendirme ile fiyat oluşumuna ilişkin faaliyetler yer almaktadır.</w:t>
      </w:r>
    </w:p>
    <w:p w14:paraId="020F9AAD" w14:textId="77777777" w:rsidR="002C3099" w:rsidRPr="002048A7" w:rsidRDefault="002C3099" w:rsidP="00577AAF">
      <w:pPr>
        <w:pStyle w:val="Balk2"/>
        <w:numPr>
          <w:ilvl w:val="1"/>
          <w:numId w:val="11"/>
        </w:numPr>
        <w:spacing w:after="240"/>
        <w:rPr>
          <w:rFonts w:asciiTheme="minorHAnsi" w:hAnsiTheme="minorHAnsi"/>
          <w:color w:val="auto"/>
          <w:sz w:val="22"/>
          <w:szCs w:val="22"/>
        </w:rPr>
      </w:pPr>
      <w:bookmarkStart w:id="166" w:name="_Toc66267370"/>
      <w:bookmarkStart w:id="167" w:name="_Toc195868709"/>
      <w:r w:rsidRPr="002048A7">
        <w:rPr>
          <w:rFonts w:asciiTheme="minorHAnsi" w:hAnsiTheme="minorHAnsi"/>
          <w:color w:val="auto"/>
          <w:sz w:val="22"/>
          <w:szCs w:val="22"/>
        </w:rPr>
        <w:t>Elektrik Piyasası Tarifeleri</w:t>
      </w:r>
      <w:bookmarkEnd w:id="166"/>
      <w:bookmarkEnd w:id="167"/>
    </w:p>
    <w:p w14:paraId="2BAD8A75" w14:textId="77777777" w:rsidR="002C3099" w:rsidRPr="002048A7" w:rsidRDefault="002C3099" w:rsidP="002C3099">
      <w:pPr>
        <w:spacing w:after="240"/>
      </w:pPr>
      <w:r w:rsidRPr="002048A7">
        <w:t xml:space="preserve">Elektrik piyasasında düzenlemeye tabi tarifelerin hazırlanmasına, incelenmesine, değerlendirilmesine, değiştirilmesine ve onaylanmasına ilişkin usul ve esaslar Elektrik Piyasası Tarifeler Yönetmeliği ve ilgili tebliğlerde düzenlenmiştir. </w:t>
      </w:r>
      <w:r w:rsidR="007A6CDB" w:rsidRPr="002048A7">
        <w:t>202</w:t>
      </w:r>
      <w:r w:rsidR="00905AC2">
        <w:t>4</w:t>
      </w:r>
      <w:r w:rsidR="007A6CDB" w:rsidRPr="002048A7">
        <w:t xml:space="preserve"> </w:t>
      </w:r>
      <w:r w:rsidRPr="002048A7">
        <w:t>yılında tarife uygulamalarına dair alınan Kurul Kararları ve yapılan işlemlere dair önemli bilgiler aşağıda verilmektedir.</w:t>
      </w:r>
    </w:p>
    <w:p w14:paraId="3BA57968" w14:textId="77777777" w:rsidR="00C839EE" w:rsidRPr="002048A7" w:rsidRDefault="002C3099" w:rsidP="00577AAF">
      <w:pPr>
        <w:pStyle w:val="Balk3"/>
        <w:numPr>
          <w:ilvl w:val="2"/>
          <w:numId w:val="11"/>
        </w:numPr>
        <w:spacing w:after="240"/>
        <w:rPr>
          <w:rFonts w:asciiTheme="minorHAnsi" w:hAnsiTheme="minorHAnsi"/>
          <w:color w:val="auto"/>
        </w:rPr>
      </w:pPr>
      <w:bookmarkStart w:id="168" w:name="_Toc66267371"/>
      <w:bookmarkStart w:id="169" w:name="_Toc195868710"/>
      <w:r w:rsidRPr="002048A7">
        <w:rPr>
          <w:rFonts w:asciiTheme="minorHAnsi" w:hAnsiTheme="minorHAnsi"/>
          <w:color w:val="auto"/>
        </w:rPr>
        <w:t>İletim Tarifesi</w:t>
      </w:r>
      <w:bookmarkEnd w:id="168"/>
      <w:bookmarkEnd w:id="169"/>
    </w:p>
    <w:p w14:paraId="562F5F86" w14:textId="77777777" w:rsidR="002C3099" w:rsidRPr="002048A7" w:rsidRDefault="00905AC2" w:rsidP="002C3099">
      <w:pPr>
        <w:spacing w:after="0"/>
        <w:rPr>
          <w:color w:val="000000" w:themeColor="text1"/>
        </w:rPr>
      </w:pPr>
      <w:r>
        <w:rPr>
          <w:color w:val="000000" w:themeColor="text1"/>
        </w:rPr>
        <w:t>28</w:t>
      </w:r>
      <w:r w:rsidRPr="002048A7">
        <w:rPr>
          <w:color w:val="000000" w:themeColor="text1"/>
        </w:rPr>
        <w:t>.12.202</w:t>
      </w:r>
      <w:r>
        <w:rPr>
          <w:color w:val="000000" w:themeColor="text1"/>
        </w:rPr>
        <w:t>4</w:t>
      </w:r>
      <w:r w:rsidRPr="002048A7">
        <w:rPr>
          <w:color w:val="000000" w:themeColor="text1"/>
        </w:rPr>
        <w:t xml:space="preserve"> tarihli ve 32</w:t>
      </w:r>
      <w:r>
        <w:rPr>
          <w:color w:val="000000" w:themeColor="text1"/>
        </w:rPr>
        <w:t>766</w:t>
      </w:r>
      <w:r w:rsidRPr="002048A7">
        <w:rPr>
          <w:color w:val="000000" w:themeColor="text1"/>
        </w:rPr>
        <w:t xml:space="preserve"> sayılı Resmî Gazete’de yayımlanan 2</w:t>
      </w:r>
      <w:r>
        <w:rPr>
          <w:color w:val="000000" w:themeColor="text1"/>
        </w:rPr>
        <w:t>6</w:t>
      </w:r>
      <w:r w:rsidRPr="002048A7">
        <w:rPr>
          <w:color w:val="000000" w:themeColor="text1"/>
        </w:rPr>
        <w:t>.12.202</w:t>
      </w:r>
      <w:r>
        <w:rPr>
          <w:color w:val="000000" w:themeColor="text1"/>
        </w:rPr>
        <w:t>4</w:t>
      </w:r>
      <w:r w:rsidRPr="002048A7">
        <w:rPr>
          <w:color w:val="000000" w:themeColor="text1"/>
        </w:rPr>
        <w:t xml:space="preserve"> tarihli ve 1</w:t>
      </w:r>
      <w:r>
        <w:rPr>
          <w:color w:val="000000" w:themeColor="text1"/>
        </w:rPr>
        <w:t>3150</w:t>
      </w:r>
      <w:r w:rsidRPr="002048A7">
        <w:rPr>
          <w:color w:val="000000" w:themeColor="text1"/>
        </w:rPr>
        <w:t xml:space="preserve"> sayılı Kurul Kararı ile TEİAŞ’ın 202</w:t>
      </w:r>
      <w:r>
        <w:rPr>
          <w:color w:val="000000" w:themeColor="text1"/>
        </w:rPr>
        <w:t>5</w:t>
      </w:r>
      <w:r w:rsidRPr="002048A7">
        <w:rPr>
          <w:color w:val="000000" w:themeColor="text1"/>
        </w:rPr>
        <w:t xml:space="preserve"> yılı sistem kullanım ve sistem işletim gelir tavanları Tablo 4.1’de yer aldığı şekliyle onaylanmıştır.</w:t>
      </w:r>
    </w:p>
    <w:p w14:paraId="7270823A" w14:textId="267F0294" w:rsidR="002C3099" w:rsidRPr="002048A7" w:rsidRDefault="002C3099" w:rsidP="002C3099">
      <w:pPr>
        <w:pStyle w:val="Balk5"/>
        <w:jc w:val="center"/>
        <w:rPr>
          <w:rStyle w:val="Gl"/>
          <w:color w:val="auto"/>
        </w:rPr>
      </w:pPr>
      <w:bookmarkStart w:id="170" w:name="_Toc66267467"/>
      <w:bookmarkStart w:id="171" w:name="_Toc195868811"/>
      <w:r w:rsidRPr="002048A7">
        <w:rPr>
          <w:rStyle w:val="Gl"/>
          <w:color w:val="auto"/>
        </w:rPr>
        <w:t>Tablo 4.</w:t>
      </w:r>
      <w:r w:rsidRPr="002048A7">
        <w:rPr>
          <w:rStyle w:val="Gl"/>
          <w:color w:val="auto"/>
        </w:rPr>
        <w:fldChar w:fldCharType="begin"/>
      </w:r>
      <w:r w:rsidRPr="002048A7">
        <w:rPr>
          <w:rStyle w:val="Gl"/>
          <w:color w:val="auto"/>
        </w:rPr>
        <w:instrText xml:space="preserve"> SEQ Tablo \* ARABIC </w:instrText>
      </w:r>
      <w:r w:rsidRPr="002048A7">
        <w:rPr>
          <w:rStyle w:val="Gl"/>
          <w:color w:val="auto"/>
        </w:rPr>
        <w:fldChar w:fldCharType="separate"/>
      </w:r>
      <w:r w:rsidR="00AE2496">
        <w:rPr>
          <w:rStyle w:val="Gl"/>
          <w:noProof/>
          <w:color w:val="auto"/>
        </w:rPr>
        <w:t>1</w:t>
      </w:r>
      <w:r w:rsidRPr="002048A7">
        <w:rPr>
          <w:rStyle w:val="Gl"/>
          <w:color w:val="auto"/>
        </w:rPr>
        <w:fldChar w:fldCharType="end"/>
      </w:r>
      <w:r w:rsidRPr="002048A7">
        <w:rPr>
          <w:rStyle w:val="Gl"/>
          <w:color w:val="auto"/>
        </w:rPr>
        <w:t xml:space="preserve">: TEİAŞ’ın </w:t>
      </w:r>
      <w:r w:rsidR="007A6CDB" w:rsidRPr="002048A7">
        <w:rPr>
          <w:rStyle w:val="Gl"/>
          <w:color w:val="auto"/>
        </w:rPr>
        <w:t>202</w:t>
      </w:r>
      <w:r w:rsidR="00905AC2">
        <w:rPr>
          <w:rStyle w:val="Gl"/>
          <w:color w:val="auto"/>
        </w:rPr>
        <w:t>5</w:t>
      </w:r>
      <w:r w:rsidR="007A6CDB" w:rsidRPr="002048A7">
        <w:rPr>
          <w:rStyle w:val="Gl"/>
          <w:color w:val="auto"/>
        </w:rPr>
        <w:t xml:space="preserve"> </w:t>
      </w:r>
      <w:r w:rsidR="003237E9" w:rsidRPr="002048A7">
        <w:rPr>
          <w:rStyle w:val="Gl"/>
          <w:color w:val="auto"/>
        </w:rPr>
        <w:t>Y</w:t>
      </w:r>
      <w:r w:rsidRPr="002048A7">
        <w:rPr>
          <w:rStyle w:val="Gl"/>
          <w:color w:val="auto"/>
        </w:rPr>
        <w:t xml:space="preserve">ılı </w:t>
      </w:r>
      <w:r w:rsidR="003237E9" w:rsidRPr="002048A7">
        <w:rPr>
          <w:rStyle w:val="Gl"/>
          <w:color w:val="auto"/>
        </w:rPr>
        <w:t>S</w:t>
      </w:r>
      <w:r w:rsidRPr="002048A7">
        <w:rPr>
          <w:rStyle w:val="Gl"/>
          <w:color w:val="auto"/>
        </w:rPr>
        <w:t xml:space="preserve">istem </w:t>
      </w:r>
      <w:r w:rsidR="003237E9" w:rsidRPr="002048A7">
        <w:rPr>
          <w:rStyle w:val="Gl"/>
          <w:color w:val="auto"/>
        </w:rPr>
        <w:t>K</w:t>
      </w:r>
      <w:r w:rsidRPr="002048A7">
        <w:rPr>
          <w:rStyle w:val="Gl"/>
          <w:color w:val="auto"/>
        </w:rPr>
        <w:t xml:space="preserve">ullanım ve </w:t>
      </w:r>
      <w:r w:rsidR="003237E9" w:rsidRPr="002048A7">
        <w:rPr>
          <w:rStyle w:val="Gl"/>
          <w:color w:val="auto"/>
        </w:rPr>
        <w:t>S</w:t>
      </w:r>
      <w:r w:rsidRPr="002048A7">
        <w:rPr>
          <w:rStyle w:val="Gl"/>
          <w:color w:val="auto"/>
        </w:rPr>
        <w:t xml:space="preserve">istem </w:t>
      </w:r>
      <w:r w:rsidR="003237E9" w:rsidRPr="002048A7">
        <w:rPr>
          <w:rStyle w:val="Gl"/>
          <w:color w:val="auto"/>
        </w:rPr>
        <w:t>İ</w:t>
      </w:r>
      <w:r w:rsidRPr="002048A7">
        <w:rPr>
          <w:rStyle w:val="Gl"/>
          <w:color w:val="auto"/>
        </w:rPr>
        <w:t xml:space="preserve">şletim </w:t>
      </w:r>
      <w:r w:rsidR="003237E9" w:rsidRPr="002048A7">
        <w:rPr>
          <w:rStyle w:val="Gl"/>
          <w:color w:val="auto"/>
        </w:rPr>
        <w:t>G</w:t>
      </w:r>
      <w:r w:rsidRPr="002048A7">
        <w:rPr>
          <w:rStyle w:val="Gl"/>
          <w:color w:val="auto"/>
        </w:rPr>
        <w:t xml:space="preserve">elir </w:t>
      </w:r>
      <w:r w:rsidR="003237E9" w:rsidRPr="002048A7">
        <w:rPr>
          <w:rStyle w:val="Gl"/>
          <w:color w:val="auto"/>
        </w:rPr>
        <w:t>T</w:t>
      </w:r>
      <w:r w:rsidRPr="002048A7">
        <w:rPr>
          <w:rStyle w:val="Gl"/>
          <w:color w:val="auto"/>
        </w:rPr>
        <w:t>avanları</w:t>
      </w:r>
      <w:bookmarkEnd w:id="170"/>
      <w:bookmarkEnd w:id="171"/>
    </w:p>
    <w:tbl>
      <w:tblPr>
        <w:tblW w:w="4226" w:type="pct"/>
        <w:jc w:val="center"/>
        <w:tblCellMar>
          <w:left w:w="70" w:type="dxa"/>
          <w:right w:w="70" w:type="dxa"/>
        </w:tblCellMar>
        <w:tblLook w:val="04A0" w:firstRow="1" w:lastRow="0" w:firstColumn="1" w:lastColumn="0" w:noHBand="0" w:noVBand="1"/>
      </w:tblPr>
      <w:tblGrid>
        <w:gridCol w:w="2794"/>
        <w:gridCol w:w="2795"/>
        <w:gridCol w:w="2793"/>
      </w:tblGrid>
      <w:tr w:rsidR="002C3099" w:rsidRPr="002048A7" w14:paraId="6B4F8474" w14:textId="77777777" w:rsidTr="007A6CDB">
        <w:trPr>
          <w:trHeight w:val="20"/>
          <w:jc w:val="center"/>
        </w:trPr>
        <w:tc>
          <w:tcPr>
            <w:tcW w:w="1667" w:type="pct"/>
            <w:tcBorders>
              <w:top w:val="nil"/>
              <w:left w:val="nil"/>
              <w:bottom w:val="single" w:sz="4" w:space="0" w:color="D9D9D9" w:themeColor="background1" w:themeShade="D9"/>
              <w:right w:val="single" w:sz="4" w:space="0" w:color="D9D9D9" w:themeColor="background1" w:themeShade="D9"/>
            </w:tcBorders>
            <w:shd w:val="clear" w:color="auto" w:fill="auto"/>
            <w:noWrap/>
            <w:vAlign w:val="center"/>
            <w:hideMark/>
          </w:tcPr>
          <w:p w14:paraId="6140D026" w14:textId="77777777" w:rsidR="002C3099" w:rsidRPr="002048A7" w:rsidRDefault="002C3099" w:rsidP="002C3099">
            <w:pPr>
              <w:spacing w:after="0" w:line="240" w:lineRule="auto"/>
              <w:rPr>
                <w:rFonts w:eastAsia="Times New Roman" w:cstheme="minorHAnsi"/>
                <w:szCs w:val="24"/>
                <w:lang w:eastAsia="tr-TR"/>
              </w:rPr>
            </w:pPr>
          </w:p>
        </w:tc>
        <w:tc>
          <w:tcPr>
            <w:tcW w:w="166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14:paraId="0E7E1CFF" w14:textId="77777777" w:rsidR="002C3099" w:rsidRPr="002048A7" w:rsidRDefault="002C3099" w:rsidP="002C3099">
            <w:pPr>
              <w:spacing w:after="0" w:line="240" w:lineRule="auto"/>
              <w:jc w:val="center"/>
              <w:rPr>
                <w:rFonts w:eastAsia="Times New Roman" w:cstheme="minorHAnsi"/>
                <w:b/>
                <w:bCs/>
                <w:color w:val="FFFFFF" w:themeColor="background1"/>
                <w:szCs w:val="24"/>
                <w:lang w:eastAsia="tr-TR"/>
              </w:rPr>
            </w:pPr>
            <w:r w:rsidRPr="002048A7">
              <w:rPr>
                <w:rFonts w:eastAsia="Times New Roman" w:cstheme="minorHAnsi"/>
                <w:b/>
                <w:bCs/>
                <w:color w:val="FFFFFF" w:themeColor="background1"/>
                <w:szCs w:val="24"/>
                <w:lang w:eastAsia="tr-TR"/>
              </w:rPr>
              <w:t>Sistem Kullanım</w:t>
            </w:r>
          </w:p>
        </w:tc>
        <w:tc>
          <w:tcPr>
            <w:tcW w:w="166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14:paraId="172B184A" w14:textId="77777777" w:rsidR="002C3099" w:rsidRPr="002048A7" w:rsidRDefault="002C3099" w:rsidP="002C3099">
            <w:pPr>
              <w:spacing w:after="0" w:line="240" w:lineRule="auto"/>
              <w:jc w:val="center"/>
              <w:rPr>
                <w:rFonts w:eastAsia="Times New Roman" w:cstheme="minorHAnsi"/>
                <w:b/>
                <w:bCs/>
                <w:color w:val="FFFFFF" w:themeColor="background1"/>
                <w:szCs w:val="24"/>
                <w:lang w:eastAsia="tr-TR"/>
              </w:rPr>
            </w:pPr>
            <w:r w:rsidRPr="002048A7">
              <w:rPr>
                <w:rFonts w:eastAsia="Times New Roman" w:cstheme="minorHAnsi"/>
                <w:b/>
                <w:bCs/>
                <w:color w:val="FFFFFF" w:themeColor="background1"/>
                <w:szCs w:val="24"/>
                <w:lang w:eastAsia="tr-TR"/>
              </w:rPr>
              <w:t>Sistem İşletim</w:t>
            </w:r>
          </w:p>
        </w:tc>
      </w:tr>
      <w:tr w:rsidR="004C391E" w:rsidRPr="002048A7" w14:paraId="695521EB" w14:textId="77777777" w:rsidTr="007A6CDB">
        <w:trPr>
          <w:trHeight w:val="20"/>
          <w:jc w:val="center"/>
        </w:trPr>
        <w:tc>
          <w:tcPr>
            <w:tcW w:w="166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vAlign w:val="center"/>
            <w:hideMark/>
          </w:tcPr>
          <w:p w14:paraId="64995178" w14:textId="77777777" w:rsidR="004C391E" w:rsidRPr="002048A7" w:rsidRDefault="004C391E" w:rsidP="004C391E">
            <w:pPr>
              <w:spacing w:after="0" w:line="240" w:lineRule="auto"/>
              <w:jc w:val="center"/>
              <w:rPr>
                <w:rFonts w:eastAsia="Times New Roman" w:cstheme="minorHAnsi"/>
                <w:b/>
                <w:bCs/>
                <w:szCs w:val="24"/>
                <w:lang w:eastAsia="tr-TR"/>
              </w:rPr>
            </w:pPr>
            <w:r w:rsidRPr="002048A7">
              <w:rPr>
                <w:rFonts w:eastAsia="Times New Roman" w:cstheme="minorHAnsi"/>
                <w:b/>
                <w:bCs/>
                <w:szCs w:val="24"/>
                <w:lang w:eastAsia="tr-TR"/>
              </w:rPr>
              <w:t>202</w:t>
            </w:r>
            <w:r w:rsidR="00905AC2">
              <w:rPr>
                <w:rFonts w:eastAsia="Times New Roman" w:cstheme="minorHAnsi"/>
                <w:b/>
                <w:bCs/>
                <w:szCs w:val="24"/>
                <w:lang w:eastAsia="tr-TR"/>
              </w:rPr>
              <w:t>5</w:t>
            </w:r>
            <w:r w:rsidRPr="002048A7">
              <w:rPr>
                <w:rFonts w:eastAsia="Times New Roman" w:cstheme="minorHAnsi"/>
                <w:b/>
                <w:bCs/>
                <w:szCs w:val="24"/>
                <w:lang w:eastAsia="tr-TR"/>
              </w:rPr>
              <w:t xml:space="preserve"> Gelir Tavanı</w:t>
            </w:r>
            <w:r w:rsidRPr="002048A7">
              <w:rPr>
                <w:rFonts w:eastAsia="Times New Roman" w:cstheme="minorHAnsi"/>
                <w:b/>
                <w:bCs/>
                <w:szCs w:val="24"/>
                <w:lang w:eastAsia="tr-TR"/>
              </w:rPr>
              <w:br/>
              <w:t>(TÜFE=</w:t>
            </w:r>
            <w:r w:rsidR="00905AC2" w:rsidRPr="00905AC2">
              <w:rPr>
                <w:rFonts w:eastAsia="Times New Roman" w:cstheme="minorHAnsi"/>
                <w:b/>
                <w:bCs/>
                <w:szCs w:val="24"/>
                <w:lang w:eastAsia="tr-TR"/>
              </w:rPr>
              <w:t>3.061,46</w:t>
            </w:r>
            <w:r w:rsidRPr="002048A7">
              <w:rPr>
                <w:rFonts w:eastAsia="Times New Roman" w:cstheme="minorHAnsi"/>
                <w:b/>
                <w:bCs/>
                <w:szCs w:val="24"/>
                <w:lang w:eastAsia="tr-TR"/>
              </w:rPr>
              <w:t xml:space="preserve"> TL)</w:t>
            </w:r>
          </w:p>
        </w:tc>
        <w:tc>
          <w:tcPr>
            <w:tcW w:w="166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noWrap/>
            <w:vAlign w:val="center"/>
            <w:hideMark/>
          </w:tcPr>
          <w:p w14:paraId="68D76832" w14:textId="77777777" w:rsidR="004C391E" w:rsidRPr="002048A7" w:rsidRDefault="00905AC2" w:rsidP="004C391E">
            <w:pPr>
              <w:spacing w:after="0" w:line="240" w:lineRule="auto"/>
              <w:jc w:val="center"/>
              <w:rPr>
                <w:rFonts w:eastAsia="Times New Roman" w:cstheme="minorHAnsi"/>
                <w:szCs w:val="24"/>
                <w:lang w:eastAsia="tr-TR"/>
              </w:rPr>
            </w:pPr>
            <w:r w:rsidRPr="00905AC2">
              <w:rPr>
                <w:rFonts w:eastAsia="Times New Roman" w:cstheme="minorHAnsi"/>
                <w:szCs w:val="24"/>
                <w:lang w:eastAsia="tr-TR"/>
              </w:rPr>
              <w:t>73.049.102.367</w:t>
            </w:r>
          </w:p>
        </w:tc>
        <w:tc>
          <w:tcPr>
            <w:tcW w:w="166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noWrap/>
            <w:vAlign w:val="center"/>
            <w:hideMark/>
          </w:tcPr>
          <w:p w14:paraId="2AC52CD1" w14:textId="77777777" w:rsidR="004C391E" w:rsidRPr="002048A7" w:rsidRDefault="00905AC2" w:rsidP="004C391E">
            <w:pPr>
              <w:spacing w:after="0" w:line="240" w:lineRule="auto"/>
              <w:jc w:val="center"/>
              <w:rPr>
                <w:rFonts w:eastAsia="Times New Roman" w:cstheme="minorHAnsi"/>
                <w:szCs w:val="24"/>
                <w:lang w:eastAsia="tr-TR"/>
              </w:rPr>
            </w:pPr>
            <w:r w:rsidRPr="00905AC2">
              <w:rPr>
                <w:rFonts w:eastAsia="Times New Roman" w:cstheme="minorHAnsi"/>
                <w:szCs w:val="24"/>
                <w:lang w:eastAsia="tr-TR"/>
              </w:rPr>
              <w:t>22.640.385.225</w:t>
            </w:r>
          </w:p>
        </w:tc>
      </w:tr>
    </w:tbl>
    <w:p w14:paraId="020325F7" w14:textId="77777777" w:rsidR="002C3099" w:rsidRPr="002048A7" w:rsidRDefault="002C3099" w:rsidP="002C3099">
      <w:pPr>
        <w:spacing w:after="0"/>
        <w:rPr>
          <w:color w:val="000000" w:themeColor="text1"/>
        </w:rPr>
      </w:pPr>
    </w:p>
    <w:p w14:paraId="4DD4364B" w14:textId="77777777" w:rsidR="00905AC2" w:rsidRPr="002048A7" w:rsidRDefault="00905AC2" w:rsidP="00905AC2">
      <w:pPr>
        <w:spacing w:after="0"/>
      </w:pPr>
      <w:r>
        <w:rPr>
          <w:color w:val="000000" w:themeColor="text1"/>
        </w:rPr>
        <w:t>28</w:t>
      </w:r>
      <w:r w:rsidRPr="002048A7">
        <w:rPr>
          <w:color w:val="000000" w:themeColor="text1"/>
        </w:rPr>
        <w:t>.12.202</w:t>
      </w:r>
      <w:r>
        <w:rPr>
          <w:color w:val="000000" w:themeColor="text1"/>
        </w:rPr>
        <w:t>4</w:t>
      </w:r>
      <w:r w:rsidRPr="002048A7">
        <w:rPr>
          <w:color w:val="000000" w:themeColor="text1"/>
        </w:rPr>
        <w:t xml:space="preserve"> </w:t>
      </w:r>
      <w:r w:rsidRPr="002048A7">
        <w:rPr>
          <w:color w:val="000000"/>
        </w:rPr>
        <w:t>tarih</w:t>
      </w:r>
      <w:r w:rsidRPr="002048A7">
        <w:rPr>
          <w:color w:val="000000" w:themeColor="text1"/>
        </w:rPr>
        <w:t>li</w:t>
      </w:r>
      <w:r w:rsidRPr="002048A7">
        <w:rPr>
          <w:color w:val="000000"/>
        </w:rPr>
        <w:t xml:space="preserve"> ve 32</w:t>
      </w:r>
      <w:r>
        <w:rPr>
          <w:color w:val="000000"/>
        </w:rPr>
        <w:t>766</w:t>
      </w:r>
      <w:r w:rsidRPr="002048A7">
        <w:rPr>
          <w:color w:val="000000"/>
        </w:rPr>
        <w:t xml:space="preserve"> sayılı Resmî Gazete’de yayımlan</w:t>
      </w:r>
      <w:r w:rsidRPr="002048A7">
        <w:rPr>
          <w:color w:val="000000" w:themeColor="text1"/>
        </w:rPr>
        <w:t xml:space="preserve">an </w:t>
      </w:r>
      <w:r w:rsidRPr="002048A7">
        <w:rPr>
          <w:color w:val="000000"/>
        </w:rPr>
        <w:t>2</w:t>
      </w:r>
      <w:r>
        <w:rPr>
          <w:color w:val="000000"/>
        </w:rPr>
        <w:t>6</w:t>
      </w:r>
      <w:r w:rsidRPr="002048A7">
        <w:rPr>
          <w:color w:val="000000"/>
        </w:rPr>
        <w:t>.12.202</w:t>
      </w:r>
      <w:r>
        <w:rPr>
          <w:color w:val="000000"/>
        </w:rPr>
        <w:t>4</w:t>
      </w:r>
      <w:r w:rsidRPr="002048A7">
        <w:rPr>
          <w:color w:val="000000" w:themeColor="text1"/>
        </w:rPr>
        <w:t xml:space="preserve"> tarihli ve </w:t>
      </w:r>
      <w:r w:rsidRPr="002048A7">
        <w:rPr>
          <w:color w:val="000000"/>
        </w:rPr>
        <w:t>1</w:t>
      </w:r>
      <w:r>
        <w:rPr>
          <w:color w:val="000000"/>
        </w:rPr>
        <w:t>3151</w:t>
      </w:r>
      <w:r w:rsidRPr="002048A7">
        <w:rPr>
          <w:color w:val="000000"/>
        </w:rPr>
        <w:t xml:space="preserve"> </w:t>
      </w:r>
      <w:r w:rsidRPr="002048A7">
        <w:rPr>
          <w:color w:val="000000" w:themeColor="text1"/>
        </w:rPr>
        <w:t>sayılı Kurul</w:t>
      </w:r>
      <w:r w:rsidRPr="002048A7">
        <w:t xml:space="preserve"> Kararı ile 01.01.202</w:t>
      </w:r>
      <w:r>
        <w:t>5</w:t>
      </w:r>
      <w:r w:rsidRPr="002048A7">
        <w:t xml:space="preserve"> tarihinden itibaren TEİAŞ iletim sistemi sistem kullanım ve sistem işletim tarifeleri, 15 bölge bazında üreticiler ve tüketiciler için İletim Sistemi Sistem Kullanım ve Sistem İşletim Tarifelerini Hesaplama ve Uygulama Yöntem Bildirimi çerçevesinde Tablo 4.2’deki gibi belirlenmiştir.</w:t>
      </w:r>
    </w:p>
    <w:p w14:paraId="6133B29D" w14:textId="77777777" w:rsidR="00905AC2" w:rsidRPr="002048A7" w:rsidRDefault="00905AC2" w:rsidP="00905AC2">
      <w:pPr>
        <w:pStyle w:val="Balk5"/>
        <w:jc w:val="center"/>
        <w:rPr>
          <w:rStyle w:val="Gl"/>
          <w:color w:val="000000" w:themeColor="text1"/>
        </w:rPr>
      </w:pPr>
      <w:bookmarkStart w:id="172" w:name="_Toc195868812"/>
      <w:r w:rsidRPr="002048A7">
        <w:rPr>
          <w:rStyle w:val="Gl"/>
          <w:color w:val="000000" w:themeColor="text1"/>
        </w:rPr>
        <w:t>Tablo 4.2: İletim Sistemi Sistem Kullanım ve Sistem İşletim Tarifeleri</w:t>
      </w:r>
      <w:bookmarkEnd w:id="172"/>
    </w:p>
    <w:tbl>
      <w:tblPr>
        <w:tblW w:w="5000" w:type="pct"/>
        <w:jc w:val="center"/>
        <w:tblCellMar>
          <w:left w:w="70" w:type="dxa"/>
          <w:right w:w="70" w:type="dxa"/>
        </w:tblCellMar>
        <w:tblLook w:val="04A0" w:firstRow="1" w:lastRow="0" w:firstColumn="1" w:lastColumn="0" w:noHBand="0" w:noVBand="1"/>
      </w:tblPr>
      <w:tblGrid>
        <w:gridCol w:w="794"/>
        <w:gridCol w:w="1889"/>
        <w:gridCol w:w="1135"/>
        <w:gridCol w:w="1505"/>
        <w:gridCol w:w="1755"/>
        <w:gridCol w:w="1275"/>
        <w:gridCol w:w="1549"/>
      </w:tblGrid>
      <w:tr w:rsidR="00905AC2" w:rsidRPr="002048A7" w14:paraId="20EF6ABC" w14:textId="77777777" w:rsidTr="00905AC2">
        <w:trPr>
          <w:trHeight w:val="20"/>
          <w:tblHeader/>
          <w:jc w:val="center"/>
        </w:trPr>
        <w:tc>
          <w:tcPr>
            <w:tcW w:w="401" w:type="pct"/>
            <w:vMerge w:val="restart"/>
            <w:tcBorders>
              <w:top w:val="single" w:sz="8" w:space="0" w:color="BFBFBF"/>
              <w:left w:val="single" w:sz="8" w:space="0" w:color="BFBFBF"/>
              <w:bottom w:val="single" w:sz="8" w:space="0" w:color="BFBFBF"/>
              <w:right w:val="single" w:sz="8" w:space="0" w:color="BFBFBF"/>
            </w:tcBorders>
            <w:shd w:val="clear" w:color="000000" w:fill="6E9ECA"/>
            <w:vAlign w:val="center"/>
            <w:hideMark/>
          </w:tcPr>
          <w:p w14:paraId="175819F0" w14:textId="77777777" w:rsidR="00905AC2" w:rsidRPr="002048A7" w:rsidRDefault="00905AC2" w:rsidP="00905AC2">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Tarife Bölgesi</w:t>
            </w:r>
          </w:p>
        </w:tc>
        <w:tc>
          <w:tcPr>
            <w:tcW w:w="2287" w:type="pct"/>
            <w:gridSpan w:val="3"/>
            <w:tcBorders>
              <w:top w:val="single" w:sz="8" w:space="0" w:color="BFBFBF"/>
              <w:left w:val="nil"/>
              <w:bottom w:val="single" w:sz="8" w:space="0" w:color="BFBFBF"/>
              <w:right w:val="single" w:sz="8" w:space="0" w:color="BFBFBF"/>
            </w:tcBorders>
            <w:shd w:val="clear" w:color="000000" w:fill="6E9ECA"/>
            <w:vAlign w:val="center"/>
            <w:hideMark/>
          </w:tcPr>
          <w:p w14:paraId="29E7CB0E" w14:textId="77777777" w:rsidR="00905AC2" w:rsidRPr="002048A7" w:rsidRDefault="00905AC2" w:rsidP="00905AC2">
            <w:pPr>
              <w:spacing w:after="0" w:line="240" w:lineRule="auto"/>
              <w:jc w:val="center"/>
              <w:rPr>
                <w:rFonts w:ascii="Calibri" w:eastAsia="Times New Roman" w:hAnsi="Calibri" w:cs="Calibri"/>
                <w:b/>
                <w:bCs/>
                <w:color w:val="FFFFFF"/>
                <w:lang w:eastAsia="tr-TR"/>
              </w:rPr>
            </w:pPr>
            <w:proofErr w:type="gramStart"/>
            <w:r w:rsidRPr="002048A7">
              <w:rPr>
                <w:rFonts w:ascii="Calibri" w:eastAsia="Times New Roman" w:hAnsi="Calibri" w:cs="Calibri"/>
                <w:b/>
                <w:bCs/>
                <w:color w:val="FFFFFF"/>
                <w:lang w:eastAsia="tr-TR"/>
              </w:rPr>
              <w:t>Üretim</w:t>
            </w:r>
            <w:r w:rsidRPr="002048A7">
              <w:rPr>
                <w:rFonts w:ascii="Calibri" w:eastAsia="Times New Roman" w:hAnsi="Calibri" w:cs="Calibri"/>
                <w:b/>
                <w:bCs/>
                <w:color w:val="FFFFFF"/>
                <w:vertAlign w:val="superscript"/>
                <w:lang w:eastAsia="tr-TR"/>
              </w:rPr>
              <w:t>(</w:t>
            </w:r>
            <w:proofErr w:type="gramEnd"/>
            <w:r w:rsidRPr="002048A7">
              <w:rPr>
                <w:rFonts w:ascii="Calibri" w:eastAsia="Times New Roman" w:hAnsi="Calibri" w:cs="Calibri"/>
                <w:b/>
                <w:bCs/>
                <w:color w:val="FFFFFF"/>
                <w:vertAlign w:val="superscript"/>
                <w:lang w:eastAsia="tr-TR"/>
              </w:rPr>
              <w:t>1)</w:t>
            </w:r>
          </w:p>
        </w:tc>
        <w:tc>
          <w:tcPr>
            <w:tcW w:w="2312" w:type="pct"/>
            <w:gridSpan w:val="3"/>
            <w:tcBorders>
              <w:top w:val="single" w:sz="8" w:space="0" w:color="BFBFBF"/>
              <w:left w:val="nil"/>
              <w:bottom w:val="single" w:sz="8" w:space="0" w:color="BFBFBF"/>
              <w:right w:val="single" w:sz="8" w:space="0" w:color="BFBFBF"/>
            </w:tcBorders>
            <w:shd w:val="clear" w:color="000000" w:fill="6E9ECA"/>
            <w:vAlign w:val="center"/>
            <w:hideMark/>
          </w:tcPr>
          <w:p w14:paraId="3C659AC6" w14:textId="77777777" w:rsidR="00905AC2" w:rsidRPr="002048A7" w:rsidRDefault="00905AC2" w:rsidP="00905AC2">
            <w:pPr>
              <w:spacing w:after="0" w:line="240" w:lineRule="auto"/>
              <w:jc w:val="center"/>
              <w:rPr>
                <w:rFonts w:ascii="Calibri" w:eastAsia="Times New Roman" w:hAnsi="Calibri" w:cs="Calibri"/>
                <w:b/>
                <w:bCs/>
                <w:color w:val="FFFFFF"/>
                <w:lang w:eastAsia="tr-TR"/>
              </w:rPr>
            </w:pPr>
            <w:proofErr w:type="gramStart"/>
            <w:r w:rsidRPr="002048A7">
              <w:rPr>
                <w:rFonts w:ascii="Calibri" w:eastAsia="Times New Roman" w:hAnsi="Calibri" w:cs="Calibri"/>
                <w:b/>
                <w:bCs/>
                <w:color w:val="FFFFFF"/>
                <w:lang w:eastAsia="tr-TR"/>
              </w:rPr>
              <w:t>Tüketim</w:t>
            </w:r>
            <w:r w:rsidRPr="002048A7">
              <w:rPr>
                <w:rFonts w:ascii="Calibri" w:eastAsia="Times New Roman" w:hAnsi="Calibri" w:cs="Calibri"/>
                <w:b/>
                <w:bCs/>
                <w:color w:val="FFFFFF"/>
                <w:vertAlign w:val="superscript"/>
                <w:lang w:eastAsia="tr-TR"/>
              </w:rPr>
              <w:t>(</w:t>
            </w:r>
            <w:proofErr w:type="gramEnd"/>
            <w:r w:rsidRPr="002048A7">
              <w:rPr>
                <w:rFonts w:ascii="Calibri" w:eastAsia="Times New Roman" w:hAnsi="Calibri" w:cs="Calibri"/>
                <w:b/>
                <w:bCs/>
                <w:color w:val="FFFFFF"/>
                <w:vertAlign w:val="superscript"/>
                <w:lang w:eastAsia="tr-TR"/>
              </w:rPr>
              <w:t>1)</w:t>
            </w:r>
          </w:p>
        </w:tc>
      </w:tr>
      <w:tr w:rsidR="00905AC2" w:rsidRPr="002048A7" w14:paraId="01C42F9D" w14:textId="77777777" w:rsidTr="00905AC2">
        <w:trPr>
          <w:trHeight w:val="20"/>
          <w:tblHeader/>
          <w:jc w:val="center"/>
        </w:trPr>
        <w:tc>
          <w:tcPr>
            <w:tcW w:w="401" w:type="pct"/>
            <w:vMerge/>
            <w:tcBorders>
              <w:top w:val="single" w:sz="8" w:space="0" w:color="BFBFBF"/>
              <w:left w:val="single" w:sz="8" w:space="0" w:color="BFBFBF"/>
              <w:bottom w:val="single" w:sz="8" w:space="0" w:color="BFBFBF"/>
              <w:right w:val="single" w:sz="8" w:space="0" w:color="BFBFBF"/>
            </w:tcBorders>
            <w:vAlign w:val="center"/>
            <w:hideMark/>
          </w:tcPr>
          <w:p w14:paraId="1BDE68BE" w14:textId="77777777" w:rsidR="00905AC2" w:rsidRPr="002048A7" w:rsidRDefault="00905AC2" w:rsidP="00905AC2">
            <w:pPr>
              <w:spacing w:after="0" w:line="240" w:lineRule="auto"/>
              <w:jc w:val="left"/>
              <w:rPr>
                <w:rFonts w:ascii="Calibri" w:eastAsia="Times New Roman" w:hAnsi="Calibri" w:cs="Calibri"/>
                <w:b/>
                <w:bCs/>
                <w:color w:val="FFFFFF"/>
                <w:lang w:eastAsia="tr-TR"/>
              </w:rPr>
            </w:pPr>
          </w:p>
        </w:tc>
        <w:tc>
          <w:tcPr>
            <w:tcW w:w="1527" w:type="pct"/>
            <w:gridSpan w:val="2"/>
            <w:tcBorders>
              <w:top w:val="single" w:sz="8" w:space="0" w:color="BFBFBF"/>
              <w:left w:val="nil"/>
              <w:bottom w:val="single" w:sz="8" w:space="0" w:color="BFBFBF"/>
              <w:right w:val="single" w:sz="8" w:space="0" w:color="BFBFBF"/>
            </w:tcBorders>
            <w:shd w:val="clear" w:color="000000" w:fill="6E9ECA"/>
            <w:vAlign w:val="center"/>
            <w:hideMark/>
          </w:tcPr>
          <w:p w14:paraId="3E650E93" w14:textId="77777777" w:rsidR="00905AC2" w:rsidRPr="002048A7" w:rsidRDefault="00905AC2" w:rsidP="00905AC2">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Sistem Kullanım</w:t>
            </w:r>
          </w:p>
        </w:tc>
        <w:tc>
          <w:tcPr>
            <w:tcW w:w="760" w:type="pct"/>
            <w:tcBorders>
              <w:top w:val="nil"/>
              <w:left w:val="nil"/>
              <w:bottom w:val="single" w:sz="8" w:space="0" w:color="BFBFBF"/>
              <w:right w:val="single" w:sz="8" w:space="0" w:color="BFBFBF"/>
            </w:tcBorders>
            <w:shd w:val="clear" w:color="000000" w:fill="6E9ECA"/>
            <w:vAlign w:val="center"/>
            <w:hideMark/>
          </w:tcPr>
          <w:p w14:paraId="45ECF72B" w14:textId="77777777" w:rsidR="00905AC2" w:rsidRPr="002048A7" w:rsidRDefault="00905AC2" w:rsidP="00905AC2">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Sistem İşletim</w:t>
            </w:r>
          </w:p>
        </w:tc>
        <w:tc>
          <w:tcPr>
            <w:tcW w:w="1530" w:type="pct"/>
            <w:gridSpan w:val="2"/>
            <w:tcBorders>
              <w:top w:val="single" w:sz="8" w:space="0" w:color="BFBFBF"/>
              <w:left w:val="nil"/>
              <w:bottom w:val="single" w:sz="8" w:space="0" w:color="BFBFBF"/>
              <w:right w:val="single" w:sz="8" w:space="0" w:color="BFBFBF"/>
            </w:tcBorders>
            <w:shd w:val="clear" w:color="000000" w:fill="6E9ECA"/>
            <w:vAlign w:val="center"/>
            <w:hideMark/>
          </w:tcPr>
          <w:p w14:paraId="2ED2F753" w14:textId="77777777" w:rsidR="00905AC2" w:rsidRPr="002048A7" w:rsidRDefault="00905AC2" w:rsidP="00905AC2">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Sistem Kullanım</w:t>
            </w:r>
          </w:p>
        </w:tc>
        <w:tc>
          <w:tcPr>
            <w:tcW w:w="782" w:type="pct"/>
            <w:tcBorders>
              <w:top w:val="nil"/>
              <w:left w:val="nil"/>
              <w:bottom w:val="single" w:sz="8" w:space="0" w:color="BFBFBF"/>
              <w:right w:val="single" w:sz="8" w:space="0" w:color="BFBFBF"/>
            </w:tcBorders>
            <w:shd w:val="clear" w:color="000000" w:fill="6E9ECA"/>
            <w:vAlign w:val="center"/>
            <w:hideMark/>
          </w:tcPr>
          <w:p w14:paraId="6E6708A9" w14:textId="77777777" w:rsidR="00905AC2" w:rsidRPr="002048A7" w:rsidRDefault="00905AC2" w:rsidP="00905AC2">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Sistem İşletim</w:t>
            </w:r>
          </w:p>
        </w:tc>
      </w:tr>
      <w:tr w:rsidR="00905AC2" w:rsidRPr="002048A7" w14:paraId="1C2054ED" w14:textId="77777777" w:rsidTr="00905AC2">
        <w:trPr>
          <w:trHeight w:val="20"/>
          <w:tblHeader/>
          <w:jc w:val="center"/>
        </w:trPr>
        <w:tc>
          <w:tcPr>
            <w:tcW w:w="401" w:type="pct"/>
            <w:vMerge/>
            <w:tcBorders>
              <w:top w:val="single" w:sz="8" w:space="0" w:color="BFBFBF"/>
              <w:left w:val="single" w:sz="8" w:space="0" w:color="BFBFBF"/>
              <w:bottom w:val="single" w:sz="4" w:space="0" w:color="auto"/>
              <w:right w:val="single" w:sz="8" w:space="0" w:color="BFBFBF"/>
            </w:tcBorders>
            <w:vAlign w:val="center"/>
            <w:hideMark/>
          </w:tcPr>
          <w:p w14:paraId="5E634305" w14:textId="77777777" w:rsidR="00905AC2" w:rsidRPr="002048A7" w:rsidRDefault="00905AC2" w:rsidP="00905AC2">
            <w:pPr>
              <w:spacing w:after="0" w:line="240" w:lineRule="auto"/>
              <w:jc w:val="left"/>
              <w:rPr>
                <w:rFonts w:ascii="Calibri" w:eastAsia="Times New Roman" w:hAnsi="Calibri" w:cs="Calibri"/>
                <w:b/>
                <w:bCs/>
                <w:color w:val="FFFFFF"/>
                <w:lang w:eastAsia="tr-TR"/>
              </w:rPr>
            </w:pPr>
          </w:p>
        </w:tc>
        <w:tc>
          <w:tcPr>
            <w:tcW w:w="954" w:type="pct"/>
            <w:tcBorders>
              <w:top w:val="nil"/>
              <w:left w:val="nil"/>
              <w:bottom w:val="single" w:sz="8" w:space="0" w:color="BFBFBF"/>
              <w:right w:val="single" w:sz="8" w:space="0" w:color="BFBFBF"/>
            </w:tcBorders>
            <w:shd w:val="clear" w:color="000000" w:fill="6E9ECA"/>
            <w:vAlign w:val="center"/>
            <w:hideMark/>
          </w:tcPr>
          <w:p w14:paraId="210EFE5F" w14:textId="77777777" w:rsidR="00905AC2" w:rsidRPr="002048A7" w:rsidRDefault="00905AC2" w:rsidP="00905AC2">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(TL/MW-Yıl)</w:t>
            </w:r>
          </w:p>
        </w:tc>
        <w:tc>
          <w:tcPr>
            <w:tcW w:w="573" w:type="pct"/>
            <w:tcBorders>
              <w:top w:val="nil"/>
              <w:left w:val="nil"/>
              <w:bottom w:val="single" w:sz="8" w:space="0" w:color="BFBFBF"/>
              <w:right w:val="single" w:sz="8" w:space="0" w:color="BFBFBF"/>
            </w:tcBorders>
            <w:shd w:val="clear" w:color="000000" w:fill="6E9ECA"/>
            <w:vAlign w:val="center"/>
            <w:hideMark/>
          </w:tcPr>
          <w:p w14:paraId="57414E0A" w14:textId="77777777" w:rsidR="00905AC2" w:rsidRPr="002048A7" w:rsidRDefault="00905AC2" w:rsidP="00905AC2">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(TL/MWh)</w:t>
            </w:r>
          </w:p>
        </w:tc>
        <w:tc>
          <w:tcPr>
            <w:tcW w:w="760" w:type="pct"/>
            <w:tcBorders>
              <w:top w:val="nil"/>
              <w:left w:val="nil"/>
              <w:bottom w:val="single" w:sz="8" w:space="0" w:color="BFBFBF"/>
              <w:right w:val="single" w:sz="8" w:space="0" w:color="BFBFBF"/>
            </w:tcBorders>
            <w:shd w:val="clear" w:color="000000" w:fill="6E9ECA"/>
            <w:vAlign w:val="center"/>
            <w:hideMark/>
          </w:tcPr>
          <w:p w14:paraId="7F5BB311" w14:textId="77777777" w:rsidR="00905AC2" w:rsidRPr="002048A7" w:rsidRDefault="00905AC2" w:rsidP="00905AC2">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(TL/MWh)</w:t>
            </w:r>
          </w:p>
        </w:tc>
        <w:tc>
          <w:tcPr>
            <w:tcW w:w="886" w:type="pct"/>
            <w:tcBorders>
              <w:top w:val="nil"/>
              <w:left w:val="nil"/>
              <w:bottom w:val="single" w:sz="8" w:space="0" w:color="BFBFBF"/>
              <w:right w:val="single" w:sz="8" w:space="0" w:color="BFBFBF"/>
            </w:tcBorders>
            <w:shd w:val="clear" w:color="000000" w:fill="6E9ECA"/>
            <w:vAlign w:val="center"/>
            <w:hideMark/>
          </w:tcPr>
          <w:p w14:paraId="7BF1806B" w14:textId="77777777" w:rsidR="00905AC2" w:rsidRPr="002048A7" w:rsidRDefault="00905AC2" w:rsidP="00905AC2">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(TL/MW-Yıl)</w:t>
            </w:r>
          </w:p>
        </w:tc>
        <w:tc>
          <w:tcPr>
            <w:tcW w:w="644" w:type="pct"/>
            <w:tcBorders>
              <w:top w:val="nil"/>
              <w:left w:val="nil"/>
              <w:bottom w:val="single" w:sz="8" w:space="0" w:color="BFBFBF"/>
              <w:right w:val="single" w:sz="8" w:space="0" w:color="BFBFBF"/>
            </w:tcBorders>
            <w:shd w:val="clear" w:color="000000" w:fill="6E9ECA"/>
            <w:vAlign w:val="center"/>
            <w:hideMark/>
          </w:tcPr>
          <w:p w14:paraId="7AD882C7" w14:textId="77777777" w:rsidR="00905AC2" w:rsidRPr="002048A7" w:rsidRDefault="00905AC2" w:rsidP="00905AC2">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(TL/MWh)</w:t>
            </w:r>
          </w:p>
        </w:tc>
        <w:tc>
          <w:tcPr>
            <w:tcW w:w="782" w:type="pct"/>
            <w:tcBorders>
              <w:top w:val="nil"/>
              <w:left w:val="nil"/>
              <w:bottom w:val="single" w:sz="8" w:space="0" w:color="BFBFBF"/>
              <w:right w:val="single" w:sz="8" w:space="0" w:color="BFBFBF"/>
            </w:tcBorders>
            <w:shd w:val="clear" w:color="000000" w:fill="6E9ECA"/>
            <w:vAlign w:val="center"/>
            <w:hideMark/>
          </w:tcPr>
          <w:p w14:paraId="5F1DFA83" w14:textId="77777777" w:rsidR="00905AC2" w:rsidRPr="002048A7" w:rsidRDefault="00905AC2" w:rsidP="00905AC2">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(TL/MWh)</w:t>
            </w:r>
          </w:p>
        </w:tc>
      </w:tr>
      <w:tr w:rsidR="00905AC2" w:rsidRPr="002048A7" w14:paraId="213AEA42" w14:textId="77777777" w:rsidTr="00905AC2">
        <w:trPr>
          <w:trHeight w:val="20"/>
          <w:jc w:val="center"/>
        </w:trPr>
        <w:tc>
          <w:tcPr>
            <w:tcW w:w="40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66B9B4" w14:textId="77777777" w:rsidR="00905AC2" w:rsidRPr="002048A7" w:rsidRDefault="00905AC2" w:rsidP="00905AC2">
            <w:pPr>
              <w:spacing w:after="0" w:line="240" w:lineRule="auto"/>
              <w:jc w:val="center"/>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1</w:t>
            </w:r>
          </w:p>
        </w:tc>
        <w:tc>
          <w:tcPr>
            <w:tcW w:w="954" w:type="pct"/>
            <w:tcBorders>
              <w:top w:val="single" w:sz="8" w:space="0" w:color="auto"/>
              <w:left w:val="single" w:sz="4" w:space="0" w:color="auto"/>
              <w:bottom w:val="single" w:sz="4" w:space="0" w:color="auto"/>
              <w:right w:val="single" w:sz="4" w:space="0" w:color="auto"/>
            </w:tcBorders>
            <w:shd w:val="clear" w:color="auto" w:fill="auto"/>
            <w:hideMark/>
          </w:tcPr>
          <w:p w14:paraId="42EEEB4F" w14:textId="77777777" w:rsidR="00905AC2" w:rsidRPr="002048A7" w:rsidRDefault="00905AC2" w:rsidP="00905AC2">
            <w:pPr>
              <w:spacing w:after="0" w:line="240" w:lineRule="auto"/>
              <w:jc w:val="center"/>
              <w:rPr>
                <w:rFonts w:ascii="Calibri" w:eastAsia="Times New Roman" w:hAnsi="Calibri" w:cs="Calibri"/>
                <w:color w:val="000000"/>
                <w:lang w:eastAsia="tr-TR"/>
              </w:rPr>
            </w:pPr>
            <w:r w:rsidRPr="002048A7">
              <w:t>1</w:t>
            </w:r>
            <w:r>
              <w:t>00.485,59</w:t>
            </w:r>
            <w:r w:rsidRPr="002048A7">
              <w:t xml:space="preserve"> </w:t>
            </w:r>
          </w:p>
        </w:tc>
        <w:tc>
          <w:tcPr>
            <w:tcW w:w="573" w:type="pct"/>
            <w:tcBorders>
              <w:top w:val="single" w:sz="8" w:space="0" w:color="auto"/>
              <w:left w:val="nil"/>
              <w:bottom w:val="single" w:sz="4" w:space="0" w:color="auto"/>
              <w:right w:val="single" w:sz="4" w:space="0" w:color="auto"/>
            </w:tcBorders>
            <w:shd w:val="clear" w:color="auto" w:fill="auto"/>
            <w:hideMark/>
          </w:tcPr>
          <w:p w14:paraId="62C60306" w14:textId="77777777" w:rsidR="00905AC2" w:rsidRPr="002048A7" w:rsidRDefault="00905AC2" w:rsidP="00905AC2">
            <w:pPr>
              <w:spacing w:after="0" w:line="240" w:lineRule="auto"/>
              <w:jc w:val="center"/>
              <w:rPr>
                <w:rFonts w:ascii="Calibri" w:eastAsia="Times New Roman" w:hAnsi="Calibri" w:cs="Calibri"/>
                <w:color w:val="000000"/>
                <w:lang w:eastAsia="tr-TR"/>
              </w:rPr>
            </w:pPr>
            <w:r>
              <w:t>82,90</w:t>
            </w:r>
            <w:r w:rsidRPr="002048A7">
              <w:t xml:space="preserve">   </w:t>
            </w:r>
          </w:p>
        </w:tc>
        <w:tc>
          <w:tcPr>
            <w:tcW w:w="760" w:type="pct"/>
            <w:tcBorders>
              <w:top w:val="single" w:sz="8" w:space="0" w:color="auto"/>
              <w:left w:val="nil"/>
              <w:bottom w:val="single" w:sz="4" w:space="0" w:color="auto"/>
              <w:right w:val="single" w:sz="8" w:space="0" w:color="auto"/>
            </w:tcBorders>
            <w:shd w:val="clear" w:color="auto" w:fill="auto"/>
            <w:hideMark/>
          </w:tcPr>
          <w:p w14:paraId="616EE866" w14:textId="77777777" w:rsidR="00905AC2" w:rsidRPr="002048A7" w:rsidRDefault="00905AC2" w:rsidP="00905AC2">
            <w:pPr>
              <w:spacing w:after="0" w:line="240" w:lineRule="auto"/>
              <w:jc w:val="center"/>
              <w:rPr>
                <w:rFonts w:ascii="Calibri" w:eastAsia="Times New Roman" w:hAnsi="Calibri" w:cs="Calibri"/>
                <w:color w:val="000000"/>
                <w:lang w:eastAsia="tr-TR"/>
              </w:rPr>
            </w:pPr>
            <w:r w:rsidRPr="002048A7">
              <w:t>4</w:t>
            </w:r>
            <w:r>
              <w:t>5,38</w:t>
            </w:r>
            <w:r w:rsidRPr="002048A7">
              <w:t xml:space="preserve">   </w:t>
            </w:r>
          </w:p>
        </w:tc>
        <w:tc>
          <w:tcPr>
            <w:tcW w:w="886" w:type="pct"/>
            <w:tcBorders>
              <w:top w:val="single" w:sz="8" w:space="0" w:color="auto"/>
              <w:left w:val="nil"/>
              <w:bottom w:val="single" w:sz="4" w:space="0" w:color="auto"/>
              <w:right w:val="single" w:sz="4" w:space="0" w:color="auto"/>
            </w:tcBorders>
            <w:shd w:val="clear" w:color="auto" w:fill="auto"/>
            <w:hideMark/>
          </w:tcPr>
          <w:p w14:paraId="76D68E7B" w14:textId="77777777" w:rsidR="00905AC2" w:rsidRPr="002048A7" w:rsidRDefault="00905AC2" w:rsidP="00905AC2">
            <w:pPr>
              <w:spacing w:after="0" w:line="240" w:lineRule="auto"/>
              <w:jc w:val="center"/>
              <w:rPr>
                <w:rFonts w:ascii="Calibri" w:eastAsia="Times New Roman" w:hAnsi="Calibri" w:cs="Calibri"/>
                <w:color w:val="000000"/>
                <w:lang w:eastAsia="tr-TR"/>
              </w:rPr>
            </w:pPr>
            <w:r>
              <w:t>234.754,76</w:t>
            </w:r>
            <w:r w:rsidRPr="002048A7">
              <w:t xml:space="preserve">   </w:t>
            </w:r>
          </w:p>
        </w:tc>
        <w:tc>
          <w:tcPr>
            <w:tcW w:w="644" w:type="pct"/>
            <w:tcBorders>
              <w:top w:val="single" w:sz="8" w:space="0" w:color="auto"/>
              <w:left w:val="nil"/>
              <w:bottom w:val="single" w:sz="4" w:space="0" w:color="auto"/>
              <w:right w:val="single" w:sz="4" w:space="0" w:color="auto"/>
            </w:tcBorders>
            <w:shd w:val="clear" w:color="auto" w:fill="auto"/>
            <w:hideMark/>
          </w:tcPr>
          <w:p w14:paraId="20250770" w14:textId="77777777" w:rsidR="00905AC2" w:rsidRPr="002048A7" w:rsidRDefault="00905AC2" w:rsidP="00905AC2">
            <w:pPr>
              <w:spacing w:after="0" w:line="240" w:lineRule="auto"/>
              <w:jc w:val="center"/>
              <w:rPr>
                <w:rFonts w:ascii="Calibri" w:eastAsia="Times New Roman" w:hAnsi="Calibri" w:cs="Calibri"/>
                <w:color w:val="000000"/>
                <w:lang w:eastAsia="tr-TR"/>
              </w:rPr>
            </w:pPr>
            <w:r w:rsidRPr="002048A7">
              <w:t>6</w:t>
            </w:r>
            <w:r>
              <w:t>4</w:t>
            </w:r>
            <w:r w:rsidRPr="002048A7">
              <w:t>,</w:t>
            </w:r>
            <w:r>
              <w:t>89</w:t>
            </w:r>
            <w:r w:rsidRPr="002048A7">
              <w:t xml:space="preserve">   </w:t>
            </w:r>
          </w:p>
        </w:tc>
        <w:tc>
          <w:tcPr>
            <w:tcW w:w="782" w:type="pct"/>
            <w:tcBorders>
              <w:top w:val="single" w:sz="8" w:space="0" w:color="auto"/>
              <w:left w:val="nil"/>
              <w:bottom w:val="single" w:sz="4" w:space="0" w:color="auto"/>
              <w:right w:val="single" w:sz="8" w:space="0" w:color="auto"/>
            </w:tcBorders>
            <w:shd w:val="clear" w:color="auto" w:fill="auto"/>
            <w:hideMark/>
          </w:tcPr>
          <w:p w14:paraId="479B05D0" w14:textId="77777777" w:rsidR="00905AC2" w:rsidRPr="002048A7" w:rsidRDefault="00905AC2" w:rsidP="00905AC2">
            <w:pPr>
              <w:spacing w:after="0" w:line="240" w:lineRule="auto"/>
              <w:jc w:val="center"/>
              <w:rPr>
                <w:rFonts w:ascii="Calibri" w:eastAsia="Times New Roman" w:hAnsi="Calibri" w:cs="Calibri"/>
                <w:color w:val="000000"/>
                <w:lang w:eastAsia="tr-TR"/>
              </w:rPr>
            </w:pPr>
            <w:r>
              <w:t>33,93</w:t>
            </w:r>
            <w:r w:rsidRPr="002048A7">
              <w:t xml:space="preserve">   </w:t>
            </w:r>
          </w:p>
        </w:tc>
      </w:tr>
      <w:tr w:rsidR="00905AC2" w:rsidRPr="002048A7" w14:paraId="27E59497" w14:textId="77777777" w:rsidTr="00905AC2">
        <w:trPr>
          <w:trHeight w:val="20"/>
          <w:jc w:val="center"/>
        </w:trPr>
        <w:tc>
          <w:tcPr>
            <w:tcW w:w="40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39BCD1" w14:textId="77777777" w:rsidR="00905AC2" w:rsidRPr="002048A7" w:rsidRDefault="00905AC2" w:rsidP="00905AC2">
            <w:pPr>
              <w:spacing w:after="0" w:line="240" w:lineRule="auto"/>
              <w:jc w:val="center"/>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2</w:t>
            </w:r>
          </w:p>
        </w:tc>
        <w:tc>
          <w:tcPr>
            <w:tcW w:w="954" w:type="pct"/>
            <w:tcBorders>
              <w:top w:val="nil"/>
              <w:left w:val="single" w:sz="4" w:space="0" w:color="auto"/>
              <w:bottom w:val="single" w:sz="4" w:space="0" w:color="auto"/>
              <w:right w:val="single" w:sz="4" w:space="0" w:color="auto"/>
            </w:tcBorders>
            <w:shd w:val="clear" w:color="auto" w:fill="auto"/>
            <w:hideMark/>
          </w:tcPr>
          <w:p w14:paraId="7E0D8BC4" w14:textId="77777777" w:rsidR="00905AC2" w:rsidRPr="002048A7" w:rsidRDefault="00905AC2" w:rsidP="00905AC2">
            <w:pPr>
              <w:spacing w:after="0" w:line="240" w:lineRule="auto"/>
              <w:jc w:val="center"/>
              <w:rPr>
                <w:rFonts w:ascii="Calibri" w:eastAsia="Times New Roman" w:hAnsi="Calibri" w:cs="Calibri"/>
                <w:color w:val="000000"/>
                <w:lang w:eastAsia="tr-TR"/>
              </w:rPr>
            </w:pPr>
            <w:r w:rsidRPr="002048A7">
              <w:t>1</w:t>
            </w:r>
            <w:r>
              <w:t>26</w:t>
            </w:r>
            <w:r w:rsidRPr="002048A7">
              <w:t>.</w:t>
            </w:r>
            <w:r>
              <w:t>142</w:t>
            </w:r>
            <w:r w:rsidRPr="002048A7">
              <w:t>,</w:t>
            </w:r>
            <w:r>
              <w:t>79</w:t>
            </w:r>
            <w:r w:rsidRPr="002048A7">
              <w:t xml:space="preserve">  </w:t>
            </w:r>
          </w:p>
        </w:tc>
        <w:tc>
          <w:tcPr>
            <w:tcW w:w="573" w:type="pct"/>
            <w:tcBorders>
              <w:top w:val="nil"/>
              <w:left w:val="nil"/>
              <w:bottom w:val="single" w:sz="4" w:space="0" w:color="auto"/>
              <w:right w:val="single" w:sz="4" w:space="0" w:color="auto"/>
            </w:tcBorders>
            <w:shd w:val="clear" w:color="auto" w:fill="auto"/>
            <w:hideMark/>
          </w:tcPr>
          <w:p w14:paraId="68B7E97E" w14:textId="77777777" w:rsidR="00905AC2" w:rsidRPr="002048A7" w:rsidRDefault="00905AC2" w:rsidP="00905AC2">
            <w:pPr>
              <w:spacing w:after="0" w:line="240" w:lineRule="auto"/>
              <w:jc w:val="center"/>
              <w:rPr>
                <w:rFonts w:ascii="Calibri" w:eastAsia="Times New Roman" w:hAnsi="Calibri" w:cs="Calibri"/>
                <w:color w:val="000000"/>
                <w:lang w:eastAsia="tr-TR"/>
              </w:rPr>
            </w:pPr>
            <w:r>
              <w:t>82,90</w:t>
            </w:r>
            <w:r w:rsidRPr="002048A7">
              <w:t xml:space="preserve">   </w:t>
            </w:r>
          </w:p>
        </w:tc>
        <w:tc>
          <w:tcPr>
            <w:tcW w:w="760" w:type="pct"/>
            <w:tcBorders>
              <w:top w:val="nil"/>
              <w:left w:val="nil"/>
              <w:bottom w:val="single" w:sz="4" w:space="0" w:color="auto"/>
              <w:right w:val="single" w:sz="8" w:space="0" w:color="auto"/>
            </w:tcBorders>
            <w:shd w:val="clear" w:color="auto" w:fill="auto"/>
            <w:hideMark/>
          </w:tcPr>
          <w:p w14:paraId="72857A63" w14:textId="77777777" w:rsidR="00905AC2" w:rsidRPr="002048A7" w:rsidRDefault="00905AC2" w:rsidP="00905AC2">
            <w:pPr>
              <w:spacing w:after="0" w:line="240" w:lineRule="auto"/>
              <w:jc w:val="center"/>
              <w:rPr>
                <w:rFonts w:ascii="Calibri" w:eastAsia="Times New Roman" w:hAnsi="Calibri" w:cs="Calibri"/>
                <w:color w:val="000000"/>
                <w:lang w:eastAsia="tr-TR"/>
              </w:rPr>
            </w:pPr>
            <w:r w:rsidRPr="002048A7">
              <w:t>4</w:t>
            </w:r>
            <w:r>
              <w:t>5</w:t>
            </w:r>
            <w:r w:rsidRPr="002048A7">
              <w:t>,</w:t>
            </w:r>
            <w:r>
              <w:t>38</w:t>
            </w:r>
            <w:r w:rsidRPr="002048A7">
              <w:t xml:space="preserve">   </w:t>
            </w:r>
          </w:p>
        </w:tc>
        <w:tc>
          <w:tcPr>
            <w:tcW w:w="886" w:type="pct"/>
            <w:tcBorders>
              <w:top w:val="nil"/>
              <w:left w:val="nil"/>
              <w:bottom w:val="single" w:sz="4" w:space="0" w:color="auto"/>
              <w:right w:val="single" w:sz="4" w:space="0" w:color="auto"/>
            </w:tcBorders>
            <w:shd w:val="clear" w:color="auto" w:fill="auto"/>
            <w:hideMark/>
          </w:tcPr>
          <w:p w14:paraId="05B50C39" w14:textId="77777777" w:rsidR="00905AC2" w:rsidRPr="002048A7" w:rsidRDefault="00905AC2" w:rsidP="00905AC2">
            <w:pPr>
              <w:spacing w:after="0" w:line="240" w:lineRule="auto"/>
              <w:jc w:val="center"/>
              <w:rPr>
                <w:rFonts w:ascii="Calibri" w:eastAsia="Times New Roman" w:hAnsi="Calibri" w:cs="Calibri"/>
                <w:color w:val="000000"/>
                <w:lang w:eastAsia="tr-TR"/>
              </w:rPr>
            </w:pPr>
            <w:r>
              <w:t>201.884,56</w:t>
            </w:r>
            <w:r w:rsidRPr="002048A7">
              <w:t xml:space="preserve">   </w:t>
            </w:r>
          </w:p>
        </w:tc>
        <w:tc>
          <w:tcPr>
            <w:tcW w:w="644" w:type="pct"/>
            <w:tcBorders>
              <w:top w:val="nil"/>
              <w:left w:val="nil"/>
              <w:bottom w:val="single" w:sz="4" w:space="0" w:color="auto"/>
              <w:right w:val="single" w:sz="4" w:space="0" w:color="auto"/>
            </w:tcBorders>
            <w:shd w:val="clear" w:color="auto" w:fill="auto"/>
            <w:hideMark/>
          </w:tcPr>
          <w:p w14:paraId="0DA29BAF" w14:textId="77777777" w:rsidR="00905AC2" w:rsidRPr="002048A7" w:rsidRDefault="00905AC2" w:rsidP="00905AC2">
            <w:pPr>
              <w:spacing w:after="0" w:line="240" w:lineRule="auto"/>
              <w:jc w:val="center"/>
              <w:rPr>
                <w:rFonts w:ascii="Calibri" w:eastAsia="Times New Roman" w:hAnsi="Calibri" w:cs="Calibri"/>
                <w:color w:val="000000"/>
                <w:lang w:eastAsia="tr-TR"/>
              </w:rPr>
            </w:pPr>
            <w:r w:rsidRPr="002048A7">
              <w:t>6</w:t>
            </w:r>
            <w:r>
              <w:t>4</w:t>
            </w:r>
            <w:r w:rsidRPr="002048A7">
              <w:t>,</w:t>
            </w:r>
            <w:r>
              <w:t>89</w:t>
            </w:r>
            <w:r w:rsidRPr="002048A7">
              <w:t xml:space="preserve">      </w:t>
            </w:r>
          </w:p>
        </w:tc>
        <w:tc>
          <w:tcPr>
            <w:tcW w:w="782" w:type="pct"/>
            <w:tcBorders>
              <w:top w:val="nil"/>
              <w:left w:val="nil"/>
              <w:bottom w:val="single" w:sz="4" w:space="0" w:color="auto"/>
              <w:right w:val="single" w:sz="8" w:space="0" w:color="auto"/>
            </w:tcBorders>
            <w:shd w:val="clear" w:color="auto" w:fill="auto"/>
            <w:hideMark/>
          </w:tcPr>
          <w:p w14:paraId="323B4C29" w14:textId="77777777" w:rsidR="00905AC2" w:rsidRPr="002048A7" w:rsidRDefault="00905AC2" w:rsidP="00905AC2">
            <w:pPr>
              <w:spacing w:after="0" w:line="240" w:lineRule="auto"/>
              <w:jc w:val="center"/>
              <w:rPr>
                <w:rFonts w:ascii="Calibri" w:eastAsia="Times New Roman" w:hAnsi="Calibri" w:cs="Calibri"/>
                <w:color w:val="000000"/>
                <w:lang w:eastAsia="tr-TR"/>
              </w:rPr>
            </w:pPr>
            <w:r>
              <w:t>33,93</w:t>
            </w:r>
            <w:r w:rsidRPr="002048A7">
              <w:t xml:space="preserve">   </w:t>
            </w:r>
          </w:p>
        </w:tc>
      </w:tr>
      <w:tr w:rsidR="00905AC2" w:rsidRPr="002048A7" w14:paraId="0EDBC7FA" w14:textId="77777777" w:rsidTr="00905AC2">
        <w:trPr>
          <w:trHeight w:val="20"/>
          <w:jc w:val="center"/>
        </w:trPr>
        <w:tc>
          <w:tcPr>
            <w:tcW w:w="40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823A93" w14:textId="77777777" w:rsidR="00905AC2" w:rsidRPr="002048A7" w:rsidRDefault="00905AC2" w:rsidP="00905AC2">
            <w:pPr>
              <w:spacing w:after="0" w:line="240" w:lineRule="auto"/>
              <w:jc w:val="center"/>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3</w:t>
            </w:r>
          </w:p>
        </w:tc>
        <w:tc>
          <w:tcPr>
            <w:tcW w:w="954" w:type="pct"/>
            <w:tcBorders>
              <w:top w:val="nil"/>
              <w:left w:val="single" w:sz="4" w:space="0" w:color="auto"/>
              <w:bottom w:val="single" w:sz="4" w:space="0" w:color="auto"/>
              <w:right w:val="single" w:sz="4" w:space="0" w:color="auto"/>
            </w:tcBorders>
            <w:shd w:val="clear" w:color="auto" w:fill="auto"/>
            <w:hideMark/>
          </w:tcPr>
          <w:p w14:paraId="780DEB72" w14:textId="77777777" w:rsidR="00905AC2" w:rsidRPr="002048A7" w:rsidRDefault="00905AC2" w:rsidP="00905AC2">
            <w:pPr>
              <w:spacing w:after="0" w:line="240" w:lineRule="auto"/>
              <w:jc w:val="center"/>
              <w:rPr>
                <w:rFonts w:ascii="Calibri" w:eastAsia="Times New Roman" w:hAnsi="Calibri" w:cs="Calibri"/>
                <w:color w:val="000000"/>
                <w:lang w:eastAsia="tr-TR"/>
              </w:rPr>
            </w:pPr>
            <w:r w:rsidRPr="002048A7">
              <w:t>1</w:t>
            </w:r>
            <w:r>
              <w:t>17</w:t>
            </w:r>
            <w:r w:rsidRPr="002048A7">
              <w:t>.</w:t>
            </w:r>
            <w:r>
              <w:t>971</w:t>
            </w:r>
            <w:r w:rsidRPr="002048A7">
              <w:t>,</w:t>
            </w:r>
            <w:r>
              <w:t>68</w:t>
            </w:r>
            <w:r w:rsidRPr="002048A7">
              <w:t xml:space="preserve">   </w:t>
            </w:r>
          </w:p>
        </w:tc>
        <w:tc>
          <w:tcPr>
            <w:tcW w:w="573" w:type="pct"/>
            <w:tcBorders>
              <w:top w:val="nil"/>
              <w:left w:val="nil"/>
              <w:bottom w:val="single" w:sz="4" w:space="0" w:color="auto"/>
              <w:right w:val="single" w:sz="4" w:space="0" w:color="auto"/>
            </w:tcBorders>
            <w:shd w:val="clear" w:color="auto" w:fill="auto"/>
            <w:hideMark/>
          </w:tcPr>
          <w:p w14:paraId="490E70A5" w14:textId="77777777" w:rsidR="00905AC2" w:rsidRPr="002048A7" w:rsidRDefault="00905AC2" w:rsidP="00905AC2">
            <w:pPr>
              <w:spacing w:after="0" w:line="240" w:lineRule="auto"/>
              <w:jc w:val="center"/>
              <w:rPr>
                <w:rFonts w:ascii="Calibri" w:eastAsia="Times New Roman" w:hAnsi="Calibri" w:cs="Calibri"/>
                <w:color w:val="000000"/>
                <w:lang w:eastAsia="tr-TR"/>
              </w:rPr>
            </w:pPr>
            <w:r>
              <w:t>82,90</w:t>
            </w:r>
            <w:r w:rsidRPr="002048A7">
              <w:t xml:space="preserve">  </w:t>
            </w:r>
          </w:p>
        </w:tc>
        <w:tc>
          <w:tcPr>
            <w:tcW w:w="760" w:type="pct"/>
            <w:tcBorders>
              <w:top w:val="nil"/>
              <w:left w:val="nil"/>
              <w:bottom w:val="single" w:sz="4" w:space="0" w:color="auto"/>
              <w:right w:val="single" w:sz="8" w:space="0" w:color="auto"/>
            </w:tcBorders>
            <w:shd w:val="clear" w:color="auto" w:fill="auto"/>
            <w:hideMark/>
          </w:tcPr>
          <w:p w14:paraId="4A044A13" w14:textId="77777777" w:rsidR="00905AC2" w:rsidRPr="002048A7" w:rsidRDefault="00905AC2" w:rsidP="00905AC2">
            <w:pPr>
              <w:spacing w:after="0" w:line="240" w:lineRule="auto"/>
              <w:jc w:val="center"/>
              <w:rPr>
                <w:rFonts w:ascii="Calibri" w:eastAsia="Times New Roman" w:hAnsi="Calibri" w:cs="Calibri"/>
                <w:color w:val="000000"/>
                <w:lang w:eastAsia="tr-TR"/>
              </w:rPr>
            </w:pPr>
            <w:r w:rsidRPr="002048A7">
              <w:t>4</w:t>
            </w:r>
            <w:r>
              <w:t>5</w:t>
            </w:r>
            <w:r w:rsidRPr="002048A7">
              <w:t>,</w:t>
            </w:r>
            <w:r>
              <w:t>38</w:t>
            </w:r>
            <w:r w:rsidRPr="002048A7">
              <w:t xml:space="preserve">   </w:t>
            </w:r>
          </w:p>
        </w:tc>
        <w:tc>
          <w:tcPr>
            <w:tcW w:w="886" w:type="pct"/>
            <w:tcBorders>
              <w:top w:val="nil"/>
              <w:left w:val="nil"/>
              <w:bottom w:val="single" w:sz="4" w:space="0" w:color="auto"/>
              <w:right w:val="single" w:sz="4" w:space="0" w:color="auto"/>
            </w:tcBorders>
            <w:shd w:val="clear" w:color="auto" w:fill="auto"/>
            <w:hideMark/>
          </w:tcPr>
          <w:p w14:paraId="219A9678" w14:textId="77777777" w:rsidR="00905AC2" w:rsidRPr="002048A7" w:rsidRDefault="00905AC2" w:rsidP="00905AC2">
            <w:pPr>
              <w:spacing w:after="0" w:line="240" w:lineRule="auto"/>
              <w:jc w:val="center"/>
              <w:rPr>
                <w:rFonts w:ascii="Calibri" w:eastAsia="Times New Roman" w:hAnsi="Calibri" w:cs="Calibri"/>
                <w:color w:val="000000"/>
                <w:lang w:eastAsia="tr-TR"/>
              </w:rPr>
            </w:pPr>
            <w:r>
              <w:t>215.561,12</w:t>
            </w:r>
            <w:r w:rsidRPr="002048A7">
              <w:t xml:space="preserve">   </w:t>
            </w:r>
          </w:p>
        </w:tc>
        <w:tc>
          <w:tcPr>
            <w:tcW w:w="644" w:type="pct"/>
            <w:tcBorders>
              <w:top w:val="nil"/>
              <w:left w:val="nil"/>
              <w:bottom w:val="single" w:sz="4" w:space="0" w:color="auto"/>
              <w:right w:val="single" w:sz="4" w:space="0" w:color="auto"/>
            </w:tcBorders>
            <w:shd w:val="clear" w:color="auto" w:fill="auto"/>
            <w:hideMark/>
          </w:tcPr>
          <w:p w14:paraId="428B2BB9" w14:textId="77777777" w:rsidR="00905AC2" w:rsidRPr="002048A7" w:rsidRDefault="00905AC2" w:rsidP="00905AC2">
            <w:pPr>
              <w:spacing w:after="0" w:line="240" w:lineRule="auto"/>
              <w:jc w:val="center"/>
              <w:rPr>
                <w:rFonts w:ascii="Calibri" w:eastAsia="Times New Roman" w:hAnsi="Calibri" w:cs="Calibri"/>
                <w:color w:val="000000"/>
                <w:lang w:eastAsia="tr-TR"/>
              </w:rPr>
            </w:pPr>
            <w:r w:rsidRPr="002048A7">
              <w:t>6</w:t>
            </w:r>
            <w:r>
              <w:t>4</w:t>
            </w:r>
            <w:r w:rsidRPr="002048A7">
              <w:t>,</w:t>
            </w:r>
            <w:r>
              <w:t>89</w:t>
            </w:r>
            <w:r w:rsidRPr="002048A7">
              <w:t xml:space="preserve">   </w:t>
            </w:r>
          </w:p>
        </w:tc>
        <w:tc>
          <w:tcPr>
            <w:tcW w:w="782" w:type="pct"/>
            <w:tcBorders>
              <w:top w:val="nil"/>
              <w:left w:val="nil"/>
              <w:bottom w:val="single" w:sz="4" w:space="0" w:color="auto"/>
              <w:right w:val="single" w:sz="8" w:space="0" w:color="auto"/>
            </w:tcBorders>
            <w:shd w:val="clear" w:color="auto" w:fill="auto"/>
            <w:hideMark/>
          </w:tcPr>
          <w:p w14:paraId="70191F89" w14:textId="77777777" w:rsidR="00905AC2" w:rsidRPr="002048A7" w:rsidRDefault="00905AC2" w:rsidP="00905AC2">
            <w:pPr>
              <w:spacing w:after="0" w:line="240" w:lineRule="auto"/>
              <w:jc w:val="center"/>
              <w:rPr>
                <w:rFonts w:ascii="Calibri" w:eastAsia="Times New Roman" w:hAnsi="Calibri" w:cs="Calibri"/>
                <w:color w:val="000000"/>
                <w:lang w:eastAsia="tr-TR"/>
              </w:rPr>
            </w:pPr>
            <w:r>
              <w:t>33,93</w:t>
            </w:r>
            <w:r w:rsidRPr="002048A7">
              <w:t xml:space="preserve">   </w:t>
            </w:r>
          </w:p>
        </w:tc>
      </w:tr>
      <w:tr w:rsidR="00905AC2" w:rsidRPr="002048A7" w14:paraId="6DAA07C5" w14:textId="77777777" w:rsidTr="00905AC2">
        <w:trPr>
          <w:trHeight w:val="20"/>
          <w:jc w:val="center"/>
        </w:trPr>
        <w:tc>
          <w:tcPr>
            <w:tcW w:w="40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938961" w14:textId="77777777" w:rsidR="00905AC2" w:rsidRPr="002048A7" w:rsidRDefault="00905AC2" w:rsidP="00905AC2">
            <w:pPr>
              <w:spacing w:after="0" w:line="240" w:lineRule="auto"/>
              <w:jc w:val="center"/>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4</w:t>
            </w:r>
          </w:p>
        </w:tc>
        <w:tc>
          <w:tcPr>
            <w:tcW w:w="954" w:type="pct"/>
            <w:tcBorders>
              <w:top w:val="nil"/>
              <w:left w:val="single" w:sz="4" w:space="0" w:color="auto"/>
              <w:bottom w:val="single" w:sz="4" w:space="0" w:color="auto"/>
              <w:right w:val="single" w:sz="4" w:space="0" w:color="auto"/>
            </w:tcBorders>
            <w:shd w:val="clear" w:color="auto" w:fill="auto"/>
            <w:hideMark/>
          </w:tcPr>
          <w:p w14:paraId="570A139F" w14:textId="77777777" w:rsidR="00905AC2" w:rsidRPr="002048A7" w:rsidRDefault="00905AC2" w:rsidP="00905AC2">
            <w:pPr>
              <w:spacing w:after="0" w:line="240" w:lineRule="auto"/>
              <w:jc w:val="center"/>
              <w:rPr>
                <w:rFonts w:ascii="Calibri" w:eastAsia="Times New Roman" w:hAnsi="Calibri" w:cs="Calibri"/>
                <w:color w:val="000000"/>
                <w:lang w:eastAsia="tr-TR"/>
              </w:rPr>
            </w:pPr>
            <w:r w:rsidRPr="002048A7">
              <w:t>1</w:t>
            </w:r>
            <w:r>
              <w:t>22</w:t>
            </w:r>
            <w:r w:rsidRPr="002048A7">
              <w:t>.</w:t>
            </w:r>
            <w:r>
              <w:t>443</w:t>
            </w:r>
            <w:r w:rsidRPr="002048A7">
              <w:t>,</w:t>
            </w:r>
            <w:r>
              <w:t>30</w:t>
            </w:r>
            <w:r w:rsidRPr="002048A7">
              <w:t xml:space="preserve">   </w:t>
            </w:r>
          </w:p>
        </w:tc>
        <w:tc>
          <w:tcPr>
            <w:tcW w:w="573" w:type="pct"/>
            <w:tcBorders>
              <w:top w:val="nil"/>
              <w:left w:val="nil"/>
              <w:bottom w:val="single" w:sz="4" w:space="0" w:color="auto"/>
              <w:right w:val="single" w:sz="4" w:space="0" w:color="auto"/>
            </w:tcBorders>
            <w:shd w:val="clear" w:color="auto" w:fill="auto"/>
            <w:hideMark/>
          </w:tcPr>
          <w:p w14:paraId="389F9C3F" w14:textId="77777777" w:rsidR="00905AC2" w:rsidRPr="002048A7" w:rsidRDefault="00905AC2" w:rsidP="00905AC2">
            <w:pPr>
              <w:spacing w:after="0" w:line="240" w:lineRule="auto"/>
              <w:jc w:val="center"/>
              <w:rPr>
                <w:rFonts w:ascii="Calibri" w:eastAsia="Times New Roman" w:hAnsi="Calibri" w:cs="Calibri"/>
                <w:color w:val="000000"/>
                <w:lang w:eastAsia="tr-TR"/>
              </w:rPr>
            </w:pPr>
            <w:r>
              <w:t>82,90</w:t>
            </w:r>
            <w:r w:rsidRPr="002048A7">
              <w:t xml:space="preserve">  </w:t>
            </w:r>
          </w:p>
        </w:tc>
        <w:tc>
          <w:tcPr>
            <w:tcW w:w="760" w:type="pct"/>
            <w:tcBorders>
              <w:top w:val="nil"/>
              <w:left w:val="nil"/>
              <w:bottom w:val="single" w:sz="4" w:space="0" w:color="auto"/>
              <w:right w:val="single" w:sz="8" w:space="0" w:color="auto"/>
            </w:tcBorders>
            <w:shd w:val="clear" w:color="auto" w:fill="auto"/>
            <w:hideMark/>
          </w:tcPr>
          <w:p w14:paraId="5E39DC6D" w14:textId="77777777" w:rsidR="00905AC2" w:rsidRPr="002048A7" w:rsidRDefault="00905AC2" w:rsidP="00905AC2">
            <w:pPr>
              <w:spacing w:after="0" w:line="240" w:lineRule="auto"/>
              <w:jc w:val="center"/>
              <w:rPr>
                <w:rFonts w:ascii="Calibri" w:eastAsia="Times New Roman" w:hAnsi="Calibri" w:cs="Calibri"/>
                <w:color w:val="000000"/>
                <w:lang w:eastAsia="tr-TR"/>
              </w:rPr>
            </w:pPr>
            <w:r w:rsidRPr="002048A7">
              <w:t>4</w:t>
            </w:r>
            <w:r>
              <w:t>5,38</w:t>
            </w:r>
            <w:r w:rsidRPr="002048A7">
              <w:t xml:space="preserve">   </w:t>
            </w:r>
          </w:p>
        </w:tc>
        <w:tc>
          <w:tcPr>
            <w:tcW w:w="886" w:type="pct"/>
            <w:tcBorders>
              <w:top w:val="nil"/>
              <w:left w:val="nil"/>
              <w:bottom w:val="single" w:sz="4" w:space="0" w:color="auto"/>
              <w:right w:val="single" w:sz="4" w:space="0" w:color="auto"/>
            </w:tcBorders>
            <w:shd w:val="clear" w:color="auto" w:fill="auto"/>
            <w:hideMark/>
          </w:tcPr>
          <w:p w14:paraId="6CCA1CA2" w14:textId="77777777" w:rsidR="00905AC2" w:rsidRPr="002048A7" w:rsidRDefault="00905AC2" w:rsidP="00905AC2">
            <w:pPr>
              <w:spacing w:after="0" w:line="240" w:lineRule="auto"/>
              <w:jc w:val="center"/>
              <w:rPr>
                <w:rFonts w:ascii="Calibri" w:eastAsia="Times New Roman" w:hAnsi="Calibri" w:cs="Calibri"/>
                <w:color w:val="000000"/>
                <w:lang w:eastAsia="tr-TR"/>
              </w:rPr>
            </w:pPr>
            <w:r>
              <w:t>207.019,82</w:t>
            </w:r>
            <w:r w:rsidRPr="002048A7">
              <w:t xml:space="preserve">   </w:t>
            </w:r>
          </w:p>
        </w:tc>
        <w:tc>
          <w:tcPr>
            <w:tcW w:w="644" w:type="pct"/>
            <w:tcBorders>
              <w:top w:val="nil"/>
              <w:left w:val="nil"/>
              <w:bottom w:val="single" w:sz="4" w:space="0" w:color="auto"/>
              <w:right w:val="single" w:sz="4" w:space="0" w:color="auto"/>
            </w:tcBorders>
            <w:shd w:val="clear" w:color="auto" w:fill="auto"/>
            <w:hideMark/>
          </w:tcPr>
          <w:p w14:paraId="20B9674B" w14:textId="77777777" w:rsidR="00905AC2" w:rsidRPr="002048A7" w:rsidRDefault="00905AC2" w:rsidP="00905AC2">
            <w:pPr>
              <w:spacing w:after="0" w:line="240" w:lineRule="auto"/>
              <w:jc w:val="center"/>
              <w:rPr>
                <w:rFonts w:ascii="Calibri" w:eastAsia="Times New Roman" w:hAnsi="Calibri" w:cs="Calibri"/>
                <w:color w:val="000000"/>
                <w:lang w:eastAsia="tr-TR"/>
              </w:rPr>
            </w:pPr>
            <w:r w:rsidRPr="002048A7">
              <w:t>6</w:t>
            </w:r>
            <w:r>
              <w:t>4</w:t>
            </w:r>
            <w:r w:rsidRPr="002048A7">
              <w:t>,</w:t>
            </w:r>
            <w:r>
              <w:t>89</w:t>
            </w:r>
            <w:r w:rsidRPr="002048A7">
              <w:t xml:space="preserve">   </w:t>
            </w:r>
          </w:p>
        </w:tc>
        <w:tc>
          <w:tcPr>
            <w:tcW w:w="782" w:type="pct"/>
            <w:tcBorders>
              <w:top w:val="nil"/>
              <w:left w:val="nil"/>
              <w:bottom w:val="single" w:sz="4" w:space="0" w:color="auto"/>
              <w:right w:val="single" w:sz="8" w:space="0" w:color="auto"/>
            </w:tcBorders>
            <w:shd w:val="clear" w:color="auto" w:fill="auto"/>
            <w:hideMark/>
          </w:tcPr>
          <w:p w14:paraId="03BC6637" w14:textId="77777777" w:rsidR="00905AC2" w:rsidRPr="002048A7" w:rsidRDefault="00905AC2" w:rsidP="00905AC2">
            <w:pPr>
              <w:spacing w:after="0" w:line="240" w:lineRule="auto"/>
              <w:jc w:val="center"/>
              <w:rPr>
                <w:rFonts w:ascii="Calibri" w:eastAsia="Times New Roman" w:hAnsi="Calibri" w:cs="Calibri"/>
                <w:color w:val="000000"/>
                <w:lang w:eastAsia="tr-TR"/>
              </w:rPr>
            </w:pPr>
            <w:r>
              <w:t>33,93</w:t>
            </w:r>
            <w:r w:rsidRPr="002048A7">
              <w:t xml:space="preserve">   </w:t>
            </w:r>
          </w:p>
        </w:tc>
      </w:tr>
      <w:tr w:rsidR="00905AC2" w:rsidRPr="002048A7" w14:paraId="38183C5F" w14:textId="77777777" w:rsidTr="00905AC2">
        <w:trPr>
          <w:trHeight w:val="20"/>
          <w:jc w:val="center"/>
        </w:trPr>
        <w:tc>
          <w:tcPr>
            <w:tcW w:w="40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F90ED2" w14:textId="77777777" w:rsidR="00905AC2" w:rsidRPr="002048A7" w:rsidRDefault="00905AC2" w:rsidP="00905AC2">
            <w:pPr>
              <w:spacing w:after="0" w:line="240" w:lineRule="auto"/>
              <w:jc w:val="center"/>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5</w:t>
            </w:r>
          </w:p>
        </w:tc>
        <w:tc>
          <w:tcPr>
            <w:tcW w:w="954" w:type="pct"/>
            <w:tcBorders>
              <w:top w:val="nil"/>
              <w:left w:val="single" w:sz="4" w:space="0" w:color="auto"/>
              <w:bottom w:val="single" w:sz="4" w:space="0" w:color="auto"/>
              <w:right w:val="single" w:sz="4" w:space="0" w:color="auto"/>
            </w:tcBorders>
            <w:shd w:val="clear" w:color="auto" w:fill="auto"/>
            <w:hideMark/>
          </w:tcPr>
          <w:p w14:paraId="23BA6AAD" w14:textId="77777777" w:rsidR="00905AC2" w:rsidRPr="002048A7" w:rsidRDefault="00905AC2" w:rsidP="00905AC2">
            <w:pPr>
              <w:spacing w:after="0" w:line="240" w:lineRule="auto"/>
              <w:jc w:val="center"/>
              <w:rPr>
                <w:rFonts w:ascii="Calibri" w:eastAsia="Times New Roman" w:hAnsi="Calibri" w:cs="Calibri"/>
                <w:color w:val="000000"/>
                <w:lang w:eastAsia="tr-TR"/>
              </w:rPr>
            </w:pPr>
            <w:r w:rsidRPr="002048A7">
              <w:t>1</w:t>
            </w:r>
            <w:r>
              <w:t>30</w:t>
            </w:r>
            <w:r w:rsidRPr="002048A7">
              <w:t>.</w:t>
            </w:r>
            <w:r>
              <w:t>361</w:t>
            </w:r>
            <w:r w:rsidRPr="002048A7">
              <w:t>,</w:t>
            </w:r>
            <w:r>
              <w:t>57</w:t>
            </w:r>
            <w:r w:rsidRPr="002048A7">
              <w:t xml:space="preserve">   </w:t>
            </w:r>
          </w:p>
        </w:tc>
        <w:tc>
          <w:tcPr>
            <w:tcW w:w="573" w:type="pct"/>
            <w:tcBorders>
              <w:top w:val="nil"/>
              <w:left w:val="nil"/>
              <w:bottom w:val="single" w:sz="4" w:space="0" w:color="auto"/>
              <w:right w:val="single" w:sz="4" w:space="0" w:color="auto"/>
            </w:tcBorders>
            <w:shd w:val="clear" w:color="auto" w:fill="auto"/>
            <w:hideMark/>
          </w:tcPr>
          <w:p w14:paraId="419B4743" w14:textId="77777777" w:rsidR="00905AC2" w:rsidRPr="002048A7" w:rsidRDefault="00905AC2" w:rsidP="00905AC2">
            <w:pPr>
              <w:spacing w:after="0" w:line="240" w:lineRule="auto"/>
              <w:jc w:val="center"/>
              <w:rPr>
                <w:rFonts w:ascii="Calibri" w:eastAsia="Times New Roman" w:hAnsi="Calibri" w:cs="Calibri"/>
                <w:color w:val="000000"/>
                <w:lang w:eastAsia="tr-TR"/>
              </w:rPr>
            </w:pPr>
            <w:r>
              <w:t>82,90</w:t>
            </w:r>
            <w:r w:rsidRPr="002048A7">
              <w:t xml:space="preserve"> </w:t>
            </w:r>
          </w:p>
        </w:tc>
        <w:tc>
          <w:tcPr>
            <w:tcW w:w="760" w:type="pct"/>
            <w:tcBorders>
              <w:top w:val="nil"/>
              <w:left w:val="nil"/>
              <w:bottom w:val="single" w:sz="4" w:space="0" w:color="auto"/>
              <w:right w:val="single" w:sz="8" w:space="0" w:color="auto"/>
            </w:tcBorders>
            <w:shd w:val="clear" w:color="auto" w:fill="auto"/>
            <w:hideMark/>
          </w:tcPr>
          <w:p w14:paraId="7D09BC10" w14:textId="77777777" w:rsidR="00905AC2" w:rsidRPr="002048A7" w:rsidRDefault="00905AC2" w:rsidP="00905AC2">
            <w:pPr>
              <w:spacing w:after="0" w:line="240" w:lineRule="auto"/>
              <w:jc w:val="center"/>
              <w:rPr>
                <w:rFonts w:ascii="Calibri" w:eastAsia="Times New Roman" w:hAnsi="Calibri" w:cs="Calibri"/>
                <w:color w:val="000000"/>
                <w:lang w:eastAsia="tr-TR"/>
              </w:rPr>
            </w:pPr>
            <w:r w:rsidRPr="002048A7">
              <w:t>4</w:t>
            </w:r>
            <w:r>
              <w:t>5,38</w:t>
            </w:r>
            <w:r w:rsidRPr="002048A7">
              <w:t xml:space="preserve">  </w:t>
            </w:r>
          </w:p>
        </w:tc>
        <w:tc>
          <w:tcPr>
            <w:tcW w:w="886" w:type="pct"/>
            <w:tcBorders>
              <w:top w:val="nil"/>
              <w:left w:val="nil"/>
              <w:bottom w:val="single" w:sz="4" w:space="0" w:color="auto"/>
              <w:right w:val="single" w:sz="4" w:space="0" w:color="auto"/>
            </w:tcBorders>
            <w:shd w:val="clear" w:color="auto" w:fill="auto"/>
            <w:hideMark/>
          </w:tcPr>
          <w:p w14:paraId="7980B323" w14:textId="77777777" w:rsidR="00905AC2" w:rsidRPr="002048A7" w:rsidRDefault="00905AC2" w:rsidP="00905AC2">
            <w:pPr>
              <w:spacing w:after="0" w:line="240" w:lineRule="auto"/>
              <w:jc w:val="center"/>
              <w:rPr>
                <w:rFonts w:ascii="Calibri" w:eastAsia="Times New Roman" w:hAnsi="Calibri" w:cs="Calibri"/>
                <w:color w:val="000000"/>
                <w:lang w:eastAsia="tr-TR"/>
              </w:rPr>
            </w:pPr>
            <w:r>
              <w:t>198.528,65</w:t>
            </w:r>
            <w:r w:rsidRPr="002048A7">
              <w:t xml:space="preserve">   </w:t>
            </w:r>
          </w:p>
        </w:tc>
        <w:tc>
          <w:tcPr>
            <w:tcW w:w="644" w:type="pct"/>
            <w:tcBorders>
              <w:top w:val="nil"/>
              <w:left w:val="nil"/>
              <w:bottom w:val="single" w:sz="4" w:space="0" w:color="auto"/>
              <w:right w:val="single" w:sz="4" w:space="0" w:color="auto"/>
            </w:tcBorders>
            <w:shd w:val="clear" w:color="auto" w:fill="auto"/>
            <w:hideMark/>
          </w:tcPr>
          <w:p w14:paraId="59653355" w14:textId="77777777" w:rsidR="00905AC2" w:rsidRPr="002048A7" w:rsidRDefault="00905AC2" w:rsidP="00905AC2">
            <w:pPr>
              <w:spacing w:after="0" w:line="240" w:lineRule="auto"/>
              <w:jc w:val="center"/>
              <w:rPr>
                <w:rFonts w:ascii="Calibri" w:eastAsia="Times New Roman" w:hAnsi="Calibri" w:cs="Calibri"/>
                <w:color w:val="000000"/>
                <w:lang w:eastAsia="tr-TR"/>
              </w:rPr>
            </w:pPr>
            <w:r w:rsidRPr="002048A7">
              <w:t>6</w:t>
            </w:r>
            <w:r>
              <w:t>4</w:t>
            </w:r>
            <w:r w:rsidRPr="002048A7">
              <w:t>,</w:t>
            </w:r>
            <w:r>
              <w:t>89</w:t>
            </w:r>
            <w:r w:rsidRPr="002048A7">
              <w:t xml:space="preserve">   </w:t>
            </w:r>
          </w:p>
        </w:tc>
        <w:tc>
          <w:tcPr>
            <w:tcW w:w="782" w:type="pct"/>
            <w:tcBorders>
              <w:top w:val="nil"/>
              <w:left w:val="nil"/>
              <w:bottom w:val="single" w:sz="4" w:space="0" w:color="auto"/>
              <w:right w:val="single" w:sz="8" w:space="0" w:color="auto"/>
            </w:tcBorders>
            <w:shd w:val="clear" w:color="auto" w:fill="auto"/>
            <w:hideMark/>
          </w:tcPr>
          <w:p w14:paraId="1A6F3A31" w14:textId="77777777" w:rsidR="00905AC2" w:rsidRPr="002048A7" w:rsidRDefault="00905AC2" w:rsidP="00905AC2">
            <w:pPr>
              <w:spacing w:after="0" w:line="240" w:lineRule="auto"/>
              <w:jc w:val="center"/>
              <w:rPr>
                <w:rFonts w:ascii="Calibri" w:eastAsia="Times New Roman" w:hAnsi="Calibri" w:cs="Calibri"/>
                <w:color w:val="000000"/>
                <w:lang w:eastAsia="tr-TR"/>
              </w:rPr>
            </w:pPr>
            <w:r>
              <w:t>33,93</w:t>
            </w:r>
            <w:r w:rsidRPr="002048A7">
              <w:t xml:space="preserve">   </w:t>
            </w:r>
          </w:p>
        </w:tc>
      </w:tr>
      <w:tr w:rsidR="00905AC2" w:rsidRPr="002048A7" w14:paraId="53309C2D" w14:textId="77777777" w:rsidTr="00905AC2">
        <w:trPr>
          <w:trHeight w:val="20"/>
          <w:jc w:val="center"/>
        </w:trPr>
        <w:tc>
          <w:tcPr>
            <w:tcW w:w="40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D0E8CC" w14:textId="77777777" w:rsidR="00905AC2" w:rsidRPr="002048A7" w:rsidRDefault="00905AC2" w:rsidP="00905AC2">
            <w:pPr>
              <w:spacing w:after="0" w:line="240" w:lineRule="auto"/>
              <w:jc w:val="center"/>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6</w:t>
            </w:r>
          </w:p>
        </w:tc>
        <w:tc>
          <w:tcPr>
            <w:tcW w:w="954" w:type="pct"/>
            <w:tcBorders>
              <w:top w:val="nil"/>
              <w:left w:val="single" w:sz="4" w:space="0" w:color="auto"/>
              <w:bottom w:val="single" w:sz="4" w:space="0" w:color="auto"/>
              <w:right w:val="single" w:sz="4" w:space="0" w:color="auto"/>
            </w:tcBorders>
            <w:shd w:val="clear" w:color="auto" w:fill="auto"/>
            <w:hideMark/>
          </w:tcPr>
          <w:p w14:paraId="2D7F9D3F" w14:textId="77777777" w:rsidR="00905AC2" w:rsidRPr="002048A7" w:rsidRDefault="00905AC2" w:rsidP="00905AC2">
            <w:pPr>
              <w:spacing w:after="0" w:line="240" w:lineRule="auto"/>
              <w:jc w:val="center"/>
              <w:rPr>
                <w:rFonts w:ascii="Calibri" w:eastAsia="Times New Roman" w:hAnsi="Calibri" w:cs="Calibri"/>
                <w:color w:val="000000"/>
                <w:lang w:eastAsia="tr-TR"/>
              </w:rPr>
            </w:pPr>
            <w:r>
              <w:t>130</w:t>
            </w:r>
            <w:r w:rsidRPr="002048A7">
              <w:t>.</w:t>
            </w:r>
            <w:r>
              <w:t>937</w:t>
            </w:r>
            <w:r w:rsidRPr="002048A7">
              <w:t xml:space="preserve">,15   </w:t>
            </w:r>
          </w:p>
        </w:tc>
        <w:tc>
          <w:tcPr>
            <w:tcW w:w="573" w:type="pct"/>
            <w:tcBorders>
              <w:top w:val="nil"/>
              <w:left w:val="nil"/>
              <w:bottom w:val="single" w:sz="4" w:space="0" w:color="auto"/>
              <w:right w:val="single" w:sz="4" w:space="0" w:color="auto"/>
            </w:tcBorders>
            <w:shd w:val="clear" w:color="auto" w:fill="auto"/>
            <w:hideMark/>
          </w:tcPr>
          <w:p w14:paraId="13C04A23" w14:textId="77777777" w:rsidR="00905AC2" w:rsidRPr="002048A7" w:rsidRDefault="00905AC2" w:rsidP="00905AC2">
            <w:pPr>
              <w:spacing w:after="0" w:line="240" w:lineRule="auto"/>
              <w:jc w:val="center"/>
              <w:rPr>
                <w:rFonts w:ascii="Calibri" w:eastAsia="Times New Roman" w:hAnsi="Calibri" w:cs="Calibri"/>
                <w:color w:val="000000"/>
                <w:lang w:eastAsia="tr-TR"/>
              </w:rPr>
            </w:pPr>
            <w:r>
              <w:t>82,90</w:t>
            </w:r>
            <w:r w:rsidRPr="002048A7">
              <w:t xml:space="preserve">  </w:t>
            </w:r>
          </w:p>
        </w:tc>
        <w:tc>
          <w:tcPr>
            <w:tcW w:w="760" w:type="pct"/>
            <w:tcBorders>
              <w:top w:val="nil"/>
              <w:left w:val="nil"/>
              <w:bottom w:val="single" w:sz="4" w:space="0" w:color="auto"/>
              <w:right w:val="single" w:sz="8" w:space="0" w:color="auto"/>
            </w:tcBorders>
            <w:shd w:val="clear" w:color="auto" w:fill="auto"/>
            <w:hideMark/>
          </w:tcPr>
          <w:p w14:paraId="52E8E8CC" w14:textId="77777777" w:rsidR="00905AC2" w:rsidRPr="002048A7" w:rsidRDefault="00905AC2" w:rsidP="00905AC2">
            <w:pPr>
              <w:spacing w:after="0" w:line="240" w:lineRule="auto"/>
              <w:jc w:val="center"/>
              <w:rPr>
                <w:rFonts w:ascii="Calibri" w:eastAsia="Times New Roman" w:hAnsi="Calibri" w:cs="Calibri"/>
                <w:color w:val="000000"/>
                <w:lang w:eastAsia="tr-TR"/>
              </w:rPr>
            </w:pPr>
            <w:r w:rsidRPr="002048A7">
              <w:t>4</w:t>
            </w:r>
            <w:r>
              <w:t>5,38</w:t>
            </w:r>
            <w:r w:rsidRPr="002048A7">
              <w:t xml:space="preserve">   </w:t>
            </w:r>
          </w:p>
        </w:tc>
        <w:tc>
          <w:tcPr>
            <w:tcW w:w="886" w:type="pct"/>
            <w:tcBorders>
              <w:top w:val="nil"/>
              <w:left w:val="nil"/>
              <w:bottom w:val="single" w:sz="4" w:space="0" w:color="auto"/>
              <w:right w:val="single" w:sz="4" w:space="0" w:color="auto"/>
            </w:tcBorders>
            <w:shd w:val="clear" w:color="auto" w:fill="auto"/>
            <w:hideMark/>
          </w:tcPr>
          <w:p w14:paraId="4C37A9E8" w14:textId="77777777" w:rsidR="00905AC2" w:rsidRPr="002048A7" w:rsidRDefault="00905AC2" w:rsidP="00905AC2">
            <w:pPr>
              <w:spacing w:after="0" w:line="240" w:lineRule="auto"/>
              <w:jc w:val="center"/>
              <w:rPr>
                <w:rFonts w:ascii="Calibri" w:eastAsia="Times New Roman" w:hAnsi="Calibri" w:cs="Calibri"/>
                <w:color w:val="000000"/>
                <w:lang w:eastAsia="tr-TR"/>
              </w:rPr>
            </w:pPr>
            <w:r>
              <w:t>209.481,44</w:t>
            </w:r>
            <w:r w:rsidRPr="002048A7">
              <w:t xml:space="preserve">   </w:t>
            </w:r>
          </w:p>
        </w:tc>
        <w:tc>
          <w:tcPr>
            <w:tcW w:w="644" w:type="pct"/>
            <w:tcBorders>
              <w:top w:val="nil"/>
              <w:left w:val="nil"/>
              <w:bottom w:val="single" w:sz="4" w:space="0" w:color="auto"/>
              <w:right w:val="single" w:sz="4" w:space="0" w:color="auto"/>
            </w:tcBorders>
            <w:shd w:val="clear" w:color="auto" w:fill="auto"/>
            <w:hideMark/>
          </w:tcPr>
          <w:p w14:paraId="0E7E1448" w14:textId="77777777" w:rsidR="00905AC2" w:rsidRPr="002048A7" w:rsidRDefault="00905AC2" w:rsidP="00905AC2">
            <w:pPr>
              <w:spacing w:after="0" w:line="240" w:lineRule="auto"/>
              <w:jc w:val="center"/>
              <w:rPr>
                <w:rFonts w:ascii="Calibri" w:eastAsia="Times New Roman" w:hAnsi="Calibri" w:cs="Calibri"/>
                <w:color w:val="000000"/>
                <w:lang w:eastAsia="tr-TR"/>
              </w:rPr>
            </w:pPr>
            <w:r w:rsidRPr="002048A7">
              <w:t>6</w:t>
            </w:r>
            <w:r>
              <w:t>4</w:t>
            </w:r>
            <w:r w:rsidRPr="002048A7">
              <w:t>,</w:t>
            </w:r>
            <w:r>
              <w:t>89</w:t>
            </w:r>
            <w:r w:rsidRPr="002048A7">
              <w:t xml:space="preserve">   </w:t>
            </w:r>
          </w:p>
        </w:tc>
        <w:tc>
          <w:tcPr>
            <w:tcW w:w="782" w:type="pct"/>
            <w:tcBorders>
              <w:top w:val="nil"/>
              <w:left w:val="nil"/>
              <w:bottom w:val="single" w:sz="4" w:space="0" w:color="auto"/>
              <w:right w:val="single" w:sz="8" w:space="0" w:color="auto"/>
            </w:tcBorders>
            <w:shd w:val="clear" w:color="auto" w:fill="auto"/>
            <w:hideMark/>
          </w:tcPr>
          <w:p w14:paraId="15DCD052" w14:textId="77777777" w:rsidR="00905AC2" w:rsidRPr="002048A7" w:rsidRDefault="00905AC2" w:rsidP="00905AC2">
            <w:pPr>
              <w:spacing w:after="0" w:line="240" w:lineRule="auto"/>
              <w:jc w:val="center"/>
              <w:rPr>
                <w:rFonts w:ascii="Calibri" w:eastAsia="Times New Roman" w:hAnsi="Calibri" w:cs="Calibri"/>
                <w:color w:val="000000"/>
                <w:lang w:eastAsia="tr-TR"/>
              </w:rPr>
            </w:pPr>
            <w:r>
              <w:t>33,93</w:t>
            </w:r>
            <w:r w:rsidRPr="002048A7">
              <w:t xml:space="preserve">   </w:t>
            </w:r>
          </w:p>
        </w:tc>
      </w:tr>
      <w:tr w:rsidR="00905AC2" w:rsidRPr="002048A7" w14:paraId="06407555" w14:textId="77777777" w:rsidTr="00905AC2">
        <w:trPr>
          <w:trHeight w:val="20"/>
          <w:jc w:val="center"/>
        </w:trPr>
        <w:tc>
          <w:tcPr>
            <w:tcW w:w="40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E441A5" w14:textId="77777777" w:rsidR="00905AC2" w:rsidRPr="002048A7" w:rsidRDefault="00905AC2" w:rsidP="00905AC2">
            <w:pPr>
              <w:spacing w:after="0" w:line="240" w:lineRule="auto"/>
              <w:jc w:val="center"/>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7</w:t>
            </w:r>
          </w:p>
        </w:tc>
        <w:tc>
          <w:tcPr>
            <w:tcW w:w="954" w:type="pct"/>
            <w:tcBorders>
              <w:top w:val="nil"/>
              <w:left w:val="single" w:sz="4" w:space="0" w:color="auto"/>
              <w:bottom w:val="single" w:sz="4" w:space="0" w:color="auto"/>
              <w:right w:val="single" w:sz="4" w:space="0" w:color="auto"/>
            </w:tcBorders>
            <w:shd w:val="clear" w:color="auto" w:fill="auto"/>
            <w:hideMark/>
          </w:tcPr>
          <w:p w14:paraId="71B6FB81" w14:textId="77777777" w:rsidR="00905AC2" w:rsidRPr="002048A7" w:rsidRDefault="00905AC2" w:rsidP="00905AC2">
            <w:pPr>
              <w:spacing w:after="0" w:line="240" w:lineRule="auto"/>
              <w:jc w:val="center"/>
              <w:rPr>
                <w:rFonts w:ascii="Calibri" w:eastAsia="Times New Roman" w:hAnsi="Calibri" w:cs="Calibri"/>
                <w:color w:val="000000"/>
                <w:lang w:eastAsia="tr-TR"/>
              </w:rPr>
            </w:pPr>
            <w:r>
              <w:t>147</w:t>
            </w:r>
            <w:r w:rsidRPr="002048A7">
              <w:t>.</w:t>
            </w:r>
            <w:r>
              <w:t>346</w:t>
            </w:r>
            <w:r w:rsidRPr="002048A7">
              <w:t>,</w:t>
            </w:r>
            <w:r>
              <w:t>12</w:t>
            </w:r>
            <w:r w:rsidRPr="002048A7">
              <w:t xml:space="preserve">   </w:t>
            </w:r>
          </w:p>
        </w:tc>
        <w:tc>
          <w:tcPr>
            <w:tcW w:w="573" w:type="pct"/>
            <w:tcBorders>
              <w:top w:val="nil"/>
              <w:left w:val="nil"/>
              <w:bottom w:val="single" w:sz="4" w:space="0" w:color="auto"/>
              <w:right w:val="single" w:sz="4" w:space="0" w:color="auto"/>
            </w:tcBorders>
            <w:shd w:val="clear" w:color="auto" w:fill="auto"/>
            <w:hideMark/>
          </w:tcPr>
          <w:p w14:paraId="13DB7648" w14:textId="77777777" w:rsidR="00905AC2" w:rsidRPr="002048A7" w:rsidRDefault="00905AC2" w:rsidP="00905AC2">
            <w:pPr>
              <w:spacing w:after="0" w:line="240" w:lineRule="auto"/>
              <w:jc w:val="center"/>
              <w:rPr>
                <w:rFonts w:ascii="Calibri" w:eastAsia="Times New Roman" w:hAnsi="Calibri" w:cs="Calibri"/>
                <w:color w:val="000000"/>
                <w:lang w:eastAsia="tr-TR"/>
              </w:rPr>
            </w:pPr>
            <w:r>
              <w:t>82,90</w:t>
            </w:r>
            <w:r w:rsidRPr="002048A7">
              <w:t xml:space="preserve">  </w:t>
            </w:r>
          </w:p>
        </w:tc>
        <w:tc>
          <w:tcPr>
            <w:tcW w:w="760" w:type="pct"/>
            <w:tcBorders>
              <w:top w:val="nil"/>
              <w:left w:val="nil"/>
              <w:bottom w:val="single" w:sz="4" w:space="0" w:color="auto"/>
              <w:right w:val="single" w:sz="8" w:space="0" w:color="auto"/>
            </w:tcBorders>
            <w:shd w:val="clear" w:color="auto" w:fill="auto"/>
            <w:hideMark/>
          </w:tcPr>
          <w:p w14:paraId="655569B7" w14:textId="77777777" w:rsidR="00905AC2" w:rsidRPr="002048A7" w:rsidRDefault="00905AC2" w:rsidP="00905AC2">
            <w:pPr>
              <w:spacing w:after="0" w:line="240" w:lineRule="auto"/>
              <w:jc w:val="center"/>
              <w:rPr>
                <w:rFonts w:ascii="Calibri" w:eastAsia="Times New Roman" w:hAnsi="Calibri" w:cs="Calibri"/>
                <w:color w:val="000000"/>
                <w:lang w:eastAsia="tr-TR"/>
              </w:rPr>
            </w:pPr>
            <w:r w:rsidRPr="002048A7">
              <w:t>4</w:t>
            </w:r>
            <w:r>
              <w:t>5,38</w:t>
            </w:r>
            <w:r w:rsidRPr="002048A7">
              <w:t xml:space="preserve">  </w:t>
            </w:r>
          </w:p>
        </w:tc>
        <w:tc>
          <w:tcPr>
            <w:tcW w:w="886" w:type="pct"/>
            <w:tcBorders>
              <w:top w:val="nil"/>
              <w:left w:val="nil"/>
              <w:bottom w:val="single" w:sz="4" w:space="0" w:color="auto"/>
              <w:right w:val="single" w:sz="4" w:space="0" w:color="auto"/>
            </w:tcBorders>
            <w:shd w:val="clear" w:color="auto" w:fill="auto"/>
            <w:hideMark/>
          </w:tcPr>
          <w:p w14:paraId="18C58F36" w14:textId="77777777" w:rsidR="00905AC2" w:rsidRPr="002048A7" w:rsidRDefault="00905AC2" w:rsidP="00905AC2">
            <w:pPr>
              <w:spacing w:after="0" w:line="240" w:lineRule="auto"/>
              <w:jc w:val="center"/>
              <w:rPr>
                <w:rFonts w:ascii="Calibri" w:eastAsia="Times New Roman" w:hAnsi="Calibri" w:cs="Calibri"/>
                <w:color w:val="000000"/>
                <w:lang w:eastAsia="tr-TR"/>
              </w:rPr>
            </w:pPr>
            <w:r>
              <w:t>182.931,47</w:t>
            </w:r>
            <w:r w:rsidRPr="002048A7">
              <w:t xml:space="preserve">   </w:t>
            </w:r>
          </w:p>
        </w:tc>
        <w:tc>
          <w:tcPr>
            <w:tcW w:w="644" w:type="pct"/>
            <w:tcBorders>
              <w:top w:val="nil"/>
              <w:left w:val="nil"/>
              <w:bottom w:val="single" w:sz="4" w:space="0" w:color="auto"/>
              <w:right w:val="single" w:sz="4" w:space="0" w:color="auto"/>
            </w:tcBorders>
            <w:shd w:val="clear" w:color="auto" w:fill="auto"/>
            <w:hideMark/>
          </w:tcPr>
          <w:p w14:paraId="6E13DC83" w14:textId="77777777" w:rsidR="00905AC2" w:rsidRPr="002048A7" w:rsidRDefault="00905AC2" w:rsidP="00905AC2">
            <w:pPr>
              <w:spacing w:after="0" w:line="240" w:lineRule="auto"/>
              <w:jc w:val="center"/>
              <w:rPr>
                <w:rFonts w:ascii="Calibri" w:eastAsia="Times New Roman" w:hAnsi="Calibri" w:cs="Calibri"/>
                <w:color w:val="000000"/>
                <w:lang w:eastAsia="tr-TR"/>
              </w:rPr>
            </w:pPr>
            <w:r w:rsidRPr="002048A7">
              <w:t>6</w:t>
            </w:r>
            <w:r>
              <w:t>4</w:t>
            </w:r>
            <w:r w:rsidRPr="002048A7">
              <w:t>,</w:t>
            </w:r>
            <w:r>
              <w:t>89</w:t>
            </w:r>
            <w:r w:rsidRPr="002048A7">
              <w:t xml:space="preserve">   </w:t>
            </w:r>
          </w:p>
        </w:tc>
        <w:tc>
          <w:tcPr>
            <w:tcW w:w="782" w:type="pct"/>
            <w:tcBorders>
              <w:top w:val="nil"/>
              <w:left w:val="nil"/>
              <w:bottom w:val="single" w:sz="4" w:space="0" w:color="auto"/>
              <w:right w:val="single" w:sz="8" w:space="0" w:color="auto"/>
            </w:tcBorders>
            <w:shd w:val="clear" w:color="auto" w:fill="auto"/>
            <w:hideMark/>
          </w:tcPr>
          <w:p w14:paraId="0AFF7BE3" w14:textId="77777777" w:rsidR="00905AC2" w:rsidRPr="002048A7" w:rsidRDefault="00905AC2" w:rsidP="00905AC2">
            <w:pPr>
              <w:spacing w:after="0" w:line="240" w:lineRule="auto"/>
              <w:jc w:val="center"/>
              <w:rPr>
                <w:rFonts w:ascii="Calibri" w:eastAsia="Times New Roman" w:hAnsi="Calibri" w:cs="Calibri"/>
                <w:color w:val="000000"/>
                <w:lang w:eastAsia="tr-TR"/>
              </w:rPr>
            </w:pPr>
            <w:r>
              <w:t>33,93</w:t>
            </w:r>
            <w:r w:rsidRPr="002048A7">
              <w:t xml:space="preserve">   </w:t>
            </w:r>
          </w:p>
        </w:tc>
      </w:tr>
      <w:tr w:rsidR="00905AC2" w:rsidRPr="002048A7" w14:paraId="2EC6A455" w14:textId="77777777" w:rsidTr="00905AC2">
        <w:trPr>
          <w:trHeight w:val="20"/>
          <w:jc w:val="center"/>
        </w:trPr>
        <w:tc>
          <w:tcPr>
            <w:tcW w:w="40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E1E464" w14:textId="77777777" w:rsidR="00905AC2" w:rsidRPr="002048A7" w:rsidRDefault="00905AC2" w:rsidP="00905AC2">
            <w:pPr>
              <w:spacing w:after="0" w:line="240" w:lineRule="auto"/>
              <w:jc w:val="center"/>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8</w:t>
            </w:r>
          </w:p>
        </w:tc>
        <w:tc>
          <w:tcPr>
            <w:tcW w:w="954" w:type="pct"/>
            <w:tcBorders>
              <w:top w:val="nil"/>
              <w:left w:val="single" w:sz="4" w:space="0" w:color="auto"/>
              <w:bottom w:val="single" w:sz="4" w:space="0" w:color="auto"/>
              <w:right w:val="single" w:sz="4" w:space="0" w:color="auto"/>
            </w:tcBorders>
            <w:shd w:val="clear" w:color="auto" w:fill="auto"/>
            <w:hideMark/>
          </w:tcPr>
          <w:p w14:paraId="0203B81C" w14:textId="77777777" w:rsidR="00905AC2" w:rsidRPr="002048A7" w:rsidRDefault="00905AC2" w:rsidP="00905AC2">
            <w:pPr>
              <w:spacing w:after="0" w:line="240" w:lineRule="auto"/>
              <w:jc w:val="center"/>
              <w:rPr>
                <w:rFonts w:ascii="Calibri" w:eastAsia="Times New Roman" w:hAnsi="Calibri" w:cs="Calibri"/>
                <w:color w:val="000000"/>
                <w:lang w:eastAsia="tr-TR"/>
              </w:rPr>
            </w:pPr>
            <w:r>
              <w:t>147</w:t>
            </w:r>
            <w:r w:rsidRPr="002048A7">
              <w:t>.</w:t>
            </w:r>
            <w:r>
              <w:t>764</w:t>
            </w:r>
            <w:r w:rsidRPr="002048A7">
              <w:t>,</w:t>
            </w:r>
            <w:r>
              <w:t>06</w:t>
            </w:r>
            <w:r w:rsidRPr="002048A7">
              <w:t xml:space="preserve">   </w:t>
            </w:r>
          </w:p>
        </w:tc>
        <w:tc>
          <w:tcPr>
            <w:tcW w:w="573" w:type="pct"/>
            <w:tcBorders>
              <w:top w:val="nil"/>
              <w:left w:val="nil"/>
              <w:bottom w:val="single" w:sz="4" w:space="0" w:color="auto"/>
              <w:right w:val="single" w:sz="4" w:space="0" w:color="auto"/>
            </w:tcBorders>
            <w:shd w:val="clear" w:color="auto" w:fill="auto"/>
            <w:hideMark/>
          </w:tcPr>
          <w:p w14:paraId="63BAAD50" w14:textId="77777777" w:rsidR="00905AC2" w:rsidRPr="002048A7" w:rsidRDefault="00905AC2" w:rsidP="00905AC2">
            <w:pPr>
              <w:spacing w:after="0" w:line="240" w:lineRule="auto"/>
              <w:jc w:val="center"/>
              <w:rPr>
                <w:rFonts w:ascii="Calibri" w:eastAsia="Times New Roman" w:hAnsi="Calibri" w:cs="Calibri"/>
                <w:color w:val="000000"/>
                <w:lang w:eastAsia="tr-TR"/>
              </w:rPr>
            </w:pPr>
            <w:r>
              <w:t>82,90</w:t>
            </w:r>
            <w:r w:rsidRPr="002048A7">
              <w:t xml:space="preserve"> </w:t>
            </w:r>
          </w:p>
        </w:tc>
        <w:tc>
          <w:tcPr>
            <w:tcW w:w="760" w:type="pct"/>
            <w:tcBorders>
              <w:top w:val="nil"/>
              <w:left w:val="nil"/>
              <w:bottom w:val="single" w:sz="4" w:space="0" w:color="auto"/>
              <w:right w:val="single" w:sz="8" w:space="0" w:color="auto"/>
            </w:tcBorders>
            <w:shd w:val="clear" w:color="auto" w:fill="auto"/>
            <w:hideMark/>
          </w:tcPr>
          <w:p w14:paraId="0B97B72D" w14:textId="77777777" w:rsidR="00905AC2" w:rsidRPr="002048A7" w:rsidRDefault="00905AC2" w:rsidP="00905AC2">
            <w:pPr>
              <w:spacing w:after="0" w:line="240" w:lineRule="auto"/>
              <w:jc w:val="center"/>
              <w:rPr>
                <w:rFonts w:ascii="Calibri" w:eastAsia="Times New Roman" w:hAnsi="Calibri" w:cs="Calibri"/>
                <w:color w:val="000000"/>
                <w:lang w:eastAsia="tr-TR"/>
              </w:rPr>
            </w:pPr>
            <w:r w:rsidRPr="002048A7">
              <w:t>4</w:t>
            </w:r>
            <w:r>
              <w:t>5,38</w:t>
            </w:r>
            <w:r w:rsidRPr="002048A7">
              <w:t xml:space="preserve">   </w:t>
            </w:r>
          </w:p>
        </w:tc>
        <w:tc>
          <w:tcPr>
            <w:tcW w:w="886" w:type="pct"/>
            <w:tcBorders>
              <w:top w:val="nil"/>
              <w:left w:val="nil"/>
              <w:bottom w:val="single" w:sz="4" w:space="0" w:color="auto"/>
              <w:right w:val="single" w:sz="4" w:space="0" w:color="auto"/>
            </w:tcBorders>
            <w:shd w:val="clear" w:color="auto" w:fill="auto"/>
            <w:hideMark/>
          </w:tcPr>
          <w:p w14:paraId="565AED0C" w14:textId="77777777" w:rsidR="00905AC2" w:rsidRPr="002048A7" w:rsidRDefault="00905AC2" w:rsidP="00905AC2">
            <w:pPr>
              <w:spacing w:after="0" w:line="240" w:lineRule="auto"/>
              <w:jc w:val="center"/>
              <w:rPr>
                <w:rFonts w:ascii="Calibri" w:eastAsia="Times New Roman" w:hAnsi="Calibri" w:cs="Calibri"/>
                <w:color w:val="000000"/>
                <w:lang w:eastAsia="tr-TR"/>
              </w:rPr>
            </w:pPr>
            <w:r>
              <w:t>190.577,33</w:t>
            </w:r>
            <w:r w:rsidRPr="002048A7">
              <w:t xml:space="preserve">   </w:t>
            </w:r>
          </w:p>
        </w:tc>
        <w:tc>
          <w:tcPr>
            <w:tcW w:w="644" w:type="pct"/>
            <w:tcBorders>
              <w:top w:val="nil"/>
              <w:left w:val="nil"/>
              <w:bottom w:val="single" w:sz="4" w:space="0" w:color="auto"/>
              <w:right w:val="single" w:sz="4" w:space="0" w:color="auto"/>
            </w:tcBorders>
            <w:shd w:val="clear" w:color="auto" w:fill="auto"/>
            <w:hideMark/>
          </w:tcPr>
          <w:p w14:paraId="7944CBEF" w14:textId="77777777" w:rsidR="00905AC2" w:rsidRPr="002048A7" w:rsidRDefault="00905AC2" w:rsidP="00905AC2">
            <w:pPr>
              <w:spacing w:after="0" w:line="240" w:lineRule="auto"/>
              <w:jc w:val="center"/>
              <w:rPr>
                <w:rFonts w:ascii="Calibri" w:eastAsia="Times New Roman" w:hAnsi="Calibri" w:cs="Calibri"/>
                <w:color w:val="000000"/>
                <w:lang w:eastAsia="tr-TR"/>
              </w:rPr>
            </w:pPr>
            <w:r w:rsidRPr="002048A7">
              <w:t>6</w:t>
            </w:r>
            <w:r>
              <w:t>4</w:t>
            </w:r>
            <w:r w:rsidRPr="002048A7">
              <w:t>,</w:t>
            </w:r>
            <w:r>
              <w:t>89</w:t>
            </w:r>
            <w:r w:rsidRPr="002048A7">
              <w:t xml:space="preserve">   </w:t>
            </w:r>
          </w:p>
        </w:tc>
        <w:tc>
          <w:tcPr>
            <w:tcW w:w="782" w:type="pct"/>
            <w:tcBorders>
              <w:top w:val="nil"/>
              <w:left w:val="nil"/>
              <w:bottom w:val="single" w:sz="4" w:space="0" w:color="auto"/>
              <w:right w:val="single" w:sz="8" w:space="0" w:color="auto"/>
            </w:tcBorders>
            <w:shd w:val="clear" w:color="auto" w:fill="auto"/>
            <w:hideMark/>
          </w:tcPr>
          <w:p w14:paraId="5F508336" w14:textId="77777777" w:rsidR="00905AC2" w:rsidRPr="002048A7" w:rsidRDefault="00905AC2" w:rsidP="00905AC2">
            <w:pPr>
              <w:spacing w:after="0" w:line="240" w:lineRule="auto"/>
              <w:jc w:val="center"/>
              <w:rPr>
                <w:rFonts w:ascii="Calibri" w:eastAsia="Times New Roman" w:hAnsi="Calibri" w:cs="Calibri"/>
                <w:color w:val="000000"/>
                <w:lang w:eastAsia="tr-TR"/>
              </w:rPr>
            </w:pPr>
            <w:r>
              <w:t>33,93</w:t>
            </w:r>
            <w:r w:rsidRPr="002048A7">
              <w:t xml:space="preserve">   </w:t>
            </w:r>
          </w:p>
        </w:tc>
      </w:tr>
      <w:tr w:rsidR="00905AC2" w:rsidRPr="002048A7" w14:paraId="5EB43ACC" w14:textId="77777777" w:rsidTr="00905AC2">
        <w:trPr>
          <w:trHeight w:val="20"/>
          <w:jc w:val="center"/>
        </w:trPr>
        <w:tc>
          <w:tcPr>
            <w:tcW w:w="40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9B1212" w14:textId="77777777" w:rsidR="00905AC2" w:rsidRPr="002048A7" w:rsidRDefault="00905AC2" w:rsidP="00905AC2">
            <w:pPr>
              <w:spacing w:after="0" w:line="240" w:lineRule="auto"/>
              <w:jc w:val="center"/>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9</w:t>
            </w:r>
          </w:p>
        </w:tc>
        <w:tc>
          <w:tcPr>
            <w:tcW w:w="954" w:type="pct"/>
            <w:tcBorders>
              <w:top w:val="nil"/>
              <w:left w:val="single" w:sz="4" w:space="0" w:color="auto"/>
              <w:bottom w:val="single" w:sz="4" w:space="0" w:color="auto"/>
              <w:right w:val="single" w:sz="4" w:space="0" w:color="auto"/>
            </w:tcBorders>
            <w:shd w:val="clear" w:color="auto" w:fill="auto"/>
            <w:hideMark/>
          </w:tcPr>
          <w:p w14:paraId="7910F110" w14:textId="77777777" w:rsidR="00905AC2" w:rsidRPr="002048A7" w:rsidRDefault="00905AC2" w:rsidP="00905AC2">
            <w:pPr>
              <w:spacing w:after="0" w:line="240" w:lineRule="auto"/>
              <w:jc w:val="center"/>
              <w:rPr>
                <w:rFonts w:ascii="Calibri" w:eastAsia="Times New Roman" w:hAnsi="Calibri" w:cs="Calibri"/>
                <w:color w:val="000000"/>
                <w:lang w:eastAsia="tr-TR"/>
              </w:rPr>
            </w:pPr>
            <w:r>
              <w:t>153</w:t>
            </w:r>
            <w:r w:rsidRPr="002048A7">
              <w:t>.</w:t>
            </w:r>
            <w:r>
              <w:t>221</w:t>
            </w:r>
            <w:r w:rsidRPr="002048A7">
              <w:t>,</w:t>
            </w:r>
            <w:r>
              <w:t>53</w:t>
            </w:r>
            <w:r w:rsidRPr="002048A7">
              <w:t xml:space="preserve">   </w:t>
            </w:r>
          </w:p>
        </w:tc>
        <w:tc>
          <w:tcPr>
            <w:tcW w:w="573" w:type="pct"/>
            <w:tcBorders>
              <w:top w:val="nil"/>
              <w:left w:val="nil"/>
              <w:bottom w:val="single" w:sz="4" w:space="0" w:color="auto"/>
              <w:right w:val="single" w:sz="4" w:space="0" w:color="auto"/>
            </w:tcBorders>
            <w:shd w:val="clear" w:color="auto" w:fill="auto"/>
            <w:hideMark/>
          </w:tcPr>
          <w:p w14:paraId="19FCD951" w14:textId="77777777" w:rsidR="00905AC2" w:rsidRPr="002048A7" w:rsidRDefault="00905AC2" w:rsidP="00905AC2">
            <w:pPr>
              <w:spacing w:after="0" w:line="240" w:lineRule="auto"/>
              <w:jc w:val="center"/>
              <w:rPr>
                <w:rFonts w:ascii="Calibri" w:eastAsia="Times New Roman" w:hAnsi="Calibri" w:cs="Calibri"/>
                <w:color w:val="000000"/>
                <w:lang w:eastAsia="tr-TR"/>
              </w:rPr>
            </w:pPr>
            <w:r>
              <w:t>82,90</w:t>
            </w:r>
            <w:r w:rsidRPr="002048A7">
              <w:t xml:space="preserve">  </w:t>
            </w:r>
          </w:p>
        </w:tc>
        <w:tc>
          <w:tcPr>
            <w:tcW w:w="760" w:type="pct"/>
            <w:tcBorders>
              <w:top w:val="nil"/>
              <w:left w:val="nil"/>
              <w:bottom w:val="single" w:sz="4" w:space="0" w:color="auto"/>
              <w:right w:val="single" w:sz="8" w:space="0" w:color="auto"/>
            </w:tcBorders>
            <w:shd w:val="clear" w:color="auto" w:fill="auto"/>
            <w:hideMark/>
          </w:tcPr>
          <w:p w14:paraId="1429BE7D" w14:textId="77777777" w:rsidR="00905AC2" w:rsidRPr="002048A7" w:rsidRDefault="00905AC2" w:rsidP="00905AC2">
            <w:pPr>
              <w:spacing w:after="0" w:line="240" w:lineRule="auto"/>
              <w:jc w:val="center"/>
              <w:rPr>
                <w:rFonts w:ascii="Calibri" w:eastAsia="Times New Roman" w:hAnsi="Calibri" w:cs="Calibri"/>
                <w:color w:val="000000"/>
                <w:lang w:eastAsia="tr-TR"/>
              </w:rPr>
            </w:pPr>
            <w:r w:rsidRPr="002048A7">
              <w:t>4</w:t>
            </w:r>
            <w:r>
              <w:t>5,38</w:t>
            </w:r>
            <w:r w:rsidRPr="002048A7">
              <w:t xml:space="preserve">   </w:t>
            </w:r>
          </w:p>
        </w:tc>
        <w:tc>
          <w:tcPr>
            <w:tcW w:w="886" w:type="pct"/>
            <w:tcBorders>
              <w:top w:val="nil"/>
              <w:left w:val="nil"/>
              <w:bottom w:val="single" w:sz="4" w:space="0" w:color="auto"/>
              <w:right w:val="single" w:sz="4" w:space="0" w:color="auto"/>
            </w:tcBorders>
            <w:shd w:val="clear" w:color="auto" w:fill="auto"/>
            <w:hideMark/>
          </w:tcPr>
          <w:p w14:paraId="207D6E85" w14:textId="77777777" w:rsidR="00905AC2" w:rsidRPr="002048A7" w:rsidRDefault="00905AC2" w:rsidP="00905AC2">
            <w:pPr>
              <w:spacing w:after="0" w:line="240" w:lineRule="auto"/>
              <w:jc w:val="center"/>
              <w:rPr>
                <w:rFonts w:ascii="Calibri" w:eastAsia="Times New Roman" w:hAnsi="Calibri" w:cs="Calibri"/>
                <w:color w:val="000000"/>
                <w:lang w:eastAsia="tr-TR"/>
              </w:rPr>
            </w:pPr>
            <w:r>
              <w:t>185.691,17</w:t>
            </w:r>
            <w:r w:rsidRPr="002048A7">
              <w:t xml:space="preserve">   </w:t>
            </w:r>
          </w:p>
        </w:tc>
        <w:tc>
          <w:tcPr>
            <w:tcW w:w="644" w:type="pct"/>
            <w:tcBorders>
              <w:top w:val="nil"/>
              <w:left w:val="nil"/>
              <w:bottom w:val="single" w:sz="4" w:space="0" w:color="auto"/>
              <w:right w:val="single" w:sz="4" w:space="0" w:color="auto"/>
            </w:tcBorders>
            <w:shd w:val="clear" w:color="auto" w:fill="auto"/>
            <w:hideMark/>
          </w:tcPr>
          <w:p w14:paraId="0705A522" w14:textId="77777777" w:rsidR="00905AC2" w:rsidRPr="002048A7" w:rsidRDefault="00905AC2" w:rsidP="00905AC2">
            <w:pPr>
              <w:spacing w:after="0" w:line="240" w:lineRule="auto"/>
              <w:jc w:val="center"/>
              <w:rPr>
                <w:rFonts w:ascii="Calibri" w:eastAsia="Times New Roman" w:hAnsi="Calibri" w:cs="Calibri"/>
                <w:color w:val="000000"/>
                <w:lang w:eastAsia="tr-TR"/>
              </w:rPr>
            </w:pPr>
            <w:r w:rsidRPr="002048A7">
              <w:t>6</w:t>
            </w:r>
            <w:r>
              <w:t>4</w:t>
            </w:r>
            <w:r w:rsidRPr="002048A7">
              <w:t>,</w:t>
            </w:r>
            <w:r>
              <w:t>89</w:t>
            </w:r>
            <w:r w:rsidRPr="002048A7">
              <w:t xml:space="preserve">   </w:t>
            </w:r>
          </w:p>
        </w:tc>
        <w:tc>
          <w:tcPr>
            <w:tcW w:w="782" w:type="pct"/>
            <w:tcBorders>
              <w:top w:val="nil"/>
              <w:left w:val="nil"/>
              <w:bottom w:val="single" w:sz="4" w:space="0" w:color="auto"/>
              <w:right w:val="single" w:sz="8" w:space="0" w:color="auto"/>
            </w:tcBorders>
            <w:shd w:val="clear" w:color="auto" w:fill="auto"/>
            <w:hideMark/>
          </w:tcPr>
          <w:p w14:paraId="7E9CC165" w14:textId="77777777" w:rsidR="00905AC2" w:rsidRPr="002048A7" w:rsidRDefault="00905AC2" w:rsidP="00905AC2">
            <w:pPr>
              <w:spacing w:after="0" w:line="240" w:lineRule="auto"/>
              <w:jc w:val="center"/>
              <w:rPr>
                <w:rFonts w:ascii="Calibri" w:eastAsia="Times New Roman" w:hAnsi="Calibri" w:cs="Calibri"/>
                <w:color w:val="000000"/>
                <w:lang w:eastAsia="tr-TR"/>
              </w:rPr>
            </w:pPr>
            <w:r>
              <w:t>33,93</w:t>
            </w:r>
            <w:r w:rsidRPr="002048A7">
              <w:t xml:space="preserve">   </w:t>
            </w:r>
          </w:p>
        </w:tc>
      </w:tr>
      <w:tr w:rsidR="00905AC2" w:rsidRPr="002048A7" w14:paraId="574FCE1D" w14:textId="77777777" w:rsidTr="00905AC2">
        <w:trPr>
          <w:trHeight w:val="20"/>
          <w:jc w:val="center"/>
        </w:trPr>
        <w:tc>
          <w:tcPr>
            <w:tcW w:w="40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408EBC" w14:textId="77777777" w:rsidR="00905AC2" w:rsidRPr="002048A7" w:rsidRDefault="00905AC2" w:rsidP="00905AC2">
            <w:pPr>
              <w:spacing w:after="0" w:line="240" w:lineRule="auto"/>
              <w:jc w:val="center"/>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10</w:t>
            </w:r>
          </w:p>
        </w:tc>
        <w:tc>
          <w:tcPr>
            <w:tcW w:w="954" w:type="pct"/>
            <w:tcBorders>
              <w:top w:val="nil"/>
              <w:left w:val="single" w:sz="4" w:space="0" w:color="auto"/>
              <w:bottom w:val="single" w:sz="4" w:space="0" w:color="auto"/>
              <w:right w:val="single" w:sz="4" w:space="0" w:color="auto"/>
            </w:tcBorders>
            <w:shd w:val="clear" w:color="auto" w:fill="auto"/>
            <w:hideMark/>
          </w:tcPr>
          <w:p w14:paraId="1EB087FC" w14:textId="77777777" w:rsidR="00905AC2" w:rsidRPr="002048A7" w:rsidRDefault="00905AC2" w:rsidP="00905AC2">
            <w:pPr>
              <w:spacing w:after="0" w:line="240" w:lineRule="auto"/>
              <w:jc w:val="center"/>
              <w:rPr>
                <w:rFonts w:ascii="Calibri" w:eastAsia="Times New Roman" w:hAnsi="Calibri" w:cs="Calibri"/>
                <w:color w:val="000000"/>
                <w:lang w:eastAsia="tr-TR"/>
              </w:rPr>
            </w:pPr>
            <w:r>
              <w:t>195</w:t>
            </w:r>
            <w:r w:rsidRPr="002048A7">
              <w:t>.</w:t>
            </w:r>
            <w:r>
              <w:t>066</w:t>
            </w:r>
            <w:r w:rsidRPr="002048A7">
              <w:t>,</w:t>
            </w:r>
            <w:r>
              <w:t>74</w:t>
            </w:r>
            <w:r w:rsidRPr="002048A7">
              <w:t xml:space="preserve">  </w:t>
            </w:r>
          </w:p>
        </w:tc>
        <w:tc>
          <w:tcPr>
            <w:tcW w:w="573" w:type="pct"/>
            <w:tcBorders>
              <w:top w:val="nil"/>
              <w:left w:val="nil"/>
              <w:bottom w:val="single" w:sz="4" w:space="0" w:color="auto"/>
              <w:right w:val="single" w:sz="4" w:space="0" w:color="auto"/>
            </w:tcBorders>
            <w:shd w:val="clear" w:color="auto" w:fill="auto"/>
            <w:hideMark/>
          </w:tcPr>
          <w:p w14:paraId="755D7F2C" w14:textId="77777777" w:rsidR="00905AC2" w:rsidRPr="002048A7" w:rsidRDefault="00905AC2" w:rsidP="00905AC2">
            <w:pPr>
              <w:spacing w:after="0" w:line="240" w:lineRule="auto"/>
              <w:jc w:val="center"/>
              <w:rPr>
                <w:rFonts w:ascii="Calibri" w:eastAsia="Times New Roman" w:hAnsi="Calibri" w:cs="Calibri"/>
                <w:color w:val="000000"/>
                <w:lang w:eastAsia="tr-TR"/>
              </w:rPr>
            </w:pPr>
            <w:r>
              <w:t>82,90</w:t>
            </w:r>
            <w:r w:rsidRPr="002048A7">
              <w:t xml:space="preserve">   </w:t>
            </w:r>
          </w:p>
        </w:tc>
        <w:tc>
          <w:tcPr>
            <w:tcW w:w="760" w:type="pct"/>
            <w:tcBorders>
              <w:top w:val="nil"/>
              <w:left w:val="nil"/>
              <w:bottom w:val="single" w:sz="4" w:space="0" w:color="auto"/>
              <w:right w:val="single" w:sz="8" w:space="0" w:color="auto"/>
            </w:tcBorders>
            <w:shd w:val="clear" w:color="auto" w:fill="auto"/>
            <w:hideMark/>
          </w:tcPr>
          <w:p w14:paraId="1EE4B6C5" w14:textId="77777777" w:rsidR="00905AC2" w:rsidRPr="002048A7" w:rsidRDefault="00905AC2" w:rsidP="00905AC2">
            <w:pPr>
              <w:spacing w:after="0" w:line="240" w:lineRule="auto"/>
              <w:jc w:val="center"/>
              <w:rPr>
                <w:rFonts w:ascii="Calibri" w:eastAsia="Times New Roman" w:hAnsi="Calibri" w:cs="Calibri"/>
                <w:color w:val="000000"/>
                <w:lang w:eastAsia="tr-TR"/>
              </w:rPr>
            </w:pPr>
            <w:r w:rsidRPr="002048A7">
              <w:t>4</w:t>
            </w:r>
            <w:r>
              <w:t>5,38</w:t>
            </w:r>
            <w:r w:rsidRPr="002048A7">
              <w:t xml:space="preserve">   </w:t>
            </w:r>
          </w:p>
        </w:tc>
        <w:tc>
          <w:tcPr>
            <w:tcW w:w="886" w:type="pct"/>
            <w:tcBorders>
              <w:top w:val="nil"/>
              <w:left w:val="nil"/>
              <w:bottom w:val="single" w:sz="4" w:space="0" w:color="auto"/>
              <w:right w:val="single" w:sz="4" w:space="0" w:color="auto"/>
            </w:tcBorders>
            <w:shd w:val="clear" w:color="auto" w:fill="auto"/>
            <w:hideMark/>
          </w:tcPr>
          <w:p w14:paraId="474459BD" w14:textId="77777777" w:rsidR="00905AC2" w:rsidRPr="002048A7" w:rsidRDefault="00905AC2" w:rsidP="00905AC2">
            <w:pPr>
              <w:spacing w:after="0" w:line="240" w:lineRule="auto"/>
              <w:jc w:val="center"/>
              <w:rPr>
                <w:rFonts w:ascii="Calibri" w:eastAsia="Times New Roman" w:hAnsi="Calibri" w:cs="Calibri"/>
                <w:color w:val="000000"/>
                <w:lang w:eastAsia="tr-TR"/>
              </w:rPr>
            </w:pPr>
            <w:r>
              <w:t>153.416,73</w:t>
            </w:r>
            <w:r w:rsidRPr="002048A7">
              <w:t xml:space="preserve">   </w:t>
            </w:r>
          </w:p>
        </w:tc>
        <w:tc>
          <w:tcPr>
            <w:tcW w:w="644" w:type="pct"/>
            <w:tcBorders>
              <w:top w:val="nil"/>
              <w:left w:val="nil"/>
              <w:bottom w:val="single" w:sz="4" w:space="0" w:color="auto"/>
              <w:right w:val="single" w:sz="4" w:space="0" w:color="auto"/>
            </w:tcBorders>
            <w:shd w:val="clear" w:color="auto" w:fill="auto"/>
            <w:hideMark/>
          </w:tcPr>
          <w:p w14:paraId="24338E04" w14:textId="77777777" w:rsidR="00905AC2" w:rsidRPr="002048A7" w:rsidRDefault="00905AC2" w:rsidP="00905AC2">
            <w:pPr>
              <w:spacing w:after="0" w:line="240" w:lineRule="auto"/>
              <w:jc w:val="center"/>
              <w:rPr>
                <w:rFonts w:ascii="Calibri" w:eastAsia="Times New Roman" w:hAnsi="Calibri" w:cs="Calibri"/>
                <w:color w:val="000000"/>
                <w:lang w:eastAsia="tr-TR"/>
              </w:rPr>
            </w:pPr>
            <w:r w:rsidRPr="002048A7">
              <w:t>6</w:t>
            </w:r>
            <w:r>
              <w:t>4</w:t>
            </w:r>
            <w:r w:rsidRPr="002048A7">
              <w:t>,</w:t>
            </w:r>
            <w:r>
              <w:t>89</w:t>
            </w:r>
            <w:r w:rsidRPr="002048A7">
              <w:t xml:space="preserve">   </w:t>
            </w:r>
          </w:p>
        </w:tc>
        <w:tc>
          <w:tcPr>
            <w:tcW w:w="782" w:type="pct"/>
            <w:tcBorders>
              <w:top w:val="nil"/>
              <w:left w:val="nil"/>
              <w:bottom w:val="single" w:sz="4" w:space="0" w:color="auto"/>
              <w:right w:val="single" w:sz="8" w:space="0" w:color="auto"/>
            </w:tcBorders>
            <w:shd w:val="clear" w:color="auto" w:fill="auto"/>
            <w:hideMark/>
          </w:tcPr>
          <w:p w14:paraId="68DBE792" w14:textId="77777777" w:rsidR="00905AC2" w:rsidRPr="002048A7" w:rsidRDefault="00905AC2" w:rsidP="00905AC2">
            <w:pPr>
              <w:spacing w:after="0" w:line="240" w:lineRule="auto"/>
              <w:jc w:val="center"/>
              <w:rPr>
                <w:rFonts w:ascii="Calibri" w:eastAsia="Times New Roman" w:hAnsi="Calibri" w:cs="Calibri"/>
                <w:color w:val="000000"/>
                <w:lang w:eastAsia="tr-TR"/>
              </w:rPr>
            </w:pPr>
            <w:r>
              <w:t>33,93</w:t>
            </w:r>
            <w:r w:rsidRPr="002048A7">
              <w:t xml:space="preserve">   </w:t>
            </w:r>
          </w:p>
        </w:tc>
      </w:tr>
      <w:tr w:rsidR="00905AC2" w:rsidRPr="002048A7" w14:paraId="1034B81B" w14:textId="77777777" w:rsidTr="00905AC2">
        <w:trPr>
          <w:trHeight w:val="20"/>
          <w:jc w:val="center"/>
        </w:trPr>
        <w:tc>
          <w:tcPr>
            <w:tcW w:w="40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A314F7" w14:textId="77777777" w:rsidR="00905AC2" w:rsidRPr="002048A7" w:rsidRDefault="00905AC2" w:rsidP="00905AC2">
            <w:pPr>
              <w:spacing w:after="0" w:line="240" w:lineRule="auto"/>
              <w:jc w:val="center"/>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11</w:t>
            </w:r>
          </w:p>
        </w:tc>
        <w:tc>
          <w:tcPr>
            <w:tcW w:w="954" w:type="pct"/>
            <w:tcBorders>
              <w:top w:val="nil"/>
              <w:left w:val="single" w:sz="4" w:space="0" w:color="auto"/>
              <w:bottom w:val="single" w:sz="4" w:space="0" w:color="auto"/>
              <w:right w:val="single" w:sz="4" w:space="0" w:color="auto"/>
            </w:tcBorders>
            <w:shd w:val="clear" w:color="auto" w:fill="auto"/>
            <w:hideMark/>
          </w:tcPr>
          <w:p w14:paraId="2A6806D2" w14:textId="77777777" w:rsidR="00905AC2" w:rsidRPr="002048A7" w:rsidRDefault="00905AC2" w:rsidP="00905AC2">
            <w:pPr>
              <w:spacing w:after="0" w:line="240" w:lineRule="auto"/>
              <w:jc w:val="center"/>
              <w:rPr>
                <w:rFonts w:ascii="Calibri" w:eastAsia="Times New Roman" w:hAnsi="Calibri" w:cs="Calibri"/>
                <w:color w:val="000000"/>
                <w:lang w:eastAsia="tr-TR"/>
              </w:rPr>
            </w:pPr>
            <w:r>
              <w:t>199</w:t>
            </w:r>
            <w:r w:rsidRPr="002048A7">
              <w:t>.4</w:t>
            </w:r>
            <w:r>
              <w:t>58</w:t>
            </w:r>
            <w:r w:rsidRPr="002048A7">
              <w:t>,</w:t>
            </w:r>
            <w:r>
              <w:t>41</w:t>
            </w:r>
            <w:r w:rsidRPr="002048A7">
              <w:t xml:space="preserve">  </w:t>
            </w:r>
          </w:p>
        </w:tc>
        <w:tc>
          <w:tcPr>
            <w:tcW w:w="573" w:type="pct"/>
            <w:tcBorders>
              <w:top w:val="nil"/>
              <w:left w:val="nil"/>
              <w:bottom w:val="single" w:sz="4" w:space="0" w:color="auto"/>
              <w:right w:val="single" w:sz="4" w:space="0" w:color="auto"/>
            </w:tcBorders>
            <w:shd w:val="clear" w:color="auto" w:fill="auto"/>
            <w:hideMark/>
          </w:tcPr>
          <w:p w14:paraId="73DA7DE1" w14:textId="77777777" w:rsidR="00905AC2" w:rsidRPr="002048A7" w:rsidRDefault="00905AC2" w:rsidP="00905AC2">
            <w:pPr>
              <w:spacing w:after="0" w:line="240" w:lineRule="auto"/>
              <w:jc w:val="center"/>
              <w:rPr>
                <w:rFonts w:ascii="Calibri" w:eastAsia="Times New Roman" w:hAnsi="Calibri" w:cs="Calibri"/>
                <w:color w:val="000000"/>
                <w:lang w:eastAsia="tr-TR"/>
              </w:rPr>
            </w:pPr>
            <w:r>
              <w:t>82,90</w:t>
            </w:r>
            <w:r w:rsidRPr="002048A7">
              <w:t xml:space="preserve">  </w:t>
            </w:r>
          </w:p>
        </w:tc>
        <w:tc>
          <w:tcPr>
            <w:tcW w:w="760" w:type="pct"/>
            <w:tcBorders>
              <w:top w:val="nil"/>
              <w:left w:val="nil"/>
              <w:bottom w:val="single" w:sz="4" w:space="0" w:color="auto"/>
              <w:right w:val="single" w:sz="8" w:space="0" w:color="auto"/>
            </w:tcBorders>
            <w:shd w:val="clear" w:color="auto" w:fill="auto"/>
            <w:hideMark/>
          </w:tcPr>
          <w:p w14:paraId="201C078B" w14:textId="77777777" w:rsidR="00905AC2" w:rsidRPr="002048A7" w:rsidRDefault="00905AC2" w:rsidP="00905AC2">
            <w:pPr>
              <w:spacing w:after="0" w:line="240" w:lineRule="auto"/>
              <w:jc w:val="center"/>
              <w:rPr>
                <w:rFonts w:ascii="Calibri" w:eastAsia="Times New Roman" w:hAnsi="Calibri" w:cs="Calibri"/>
                <w:color w:val="000000"/>
                <w:lang w:eastAsia="tr-TR"/>
              </w:rPr>
            </w:pPr>
            <w:r w:rsidRPr="002048A7">
              <w:t>4</w:t>
            </w:r>
            <w:r>
              <w:t>5,38</w:t>
            </w:r>
            <w:r w:rsidRPr="002048A7">
              <w:t xml:space="preserve">  </w:t>
            </w:r>
          </w:p>
        </w:tc>
        <w:tc>
          <w:tcPr>
            <w:tcW w:w="886" w:type="pct"/>
            <w:tcBorders>
              <w:top w:val="nil"/>
              <w:left w:val="nil"/>
              <w:bottom w:val="single" w:sz="4" w:space="0" w:color="auto"/>
              <w:right w:val="single" w:sz="4" w:space="0" w:color="auto"/>
            </w:tcBorders>
            <w:shd w:val="clear" w:color="auto" w:fill="auto"/>
            <w:hideMark/>
          </w:tcPr>
          <w:p w14:paraId="6E5A1B10" w14:textId="77777777" w:rsidR="00905AC2" w:rsidRPr="002048A7" w:rsidRDefault="00905AC2" w:rsidP="00905AC2">
            <w:pPr>
              <w:spacing w:after="0" w:line="240" w:lineRule="auto"/>
              <w:jc w:val="center"/>
              <w:rPr>
                <w:rFonts w:ascii="Calibri" w:eastAsia="Times New Roman" w:hAnsi="Calibri" w:cs="Calibri"/>
                <w:color w:val="000000"/>
                <w:lang w:eastAsia="tr-TR"/>
              </w:rPr>
            </w:pPr>
            <w:r>
              <w:t>158.802,84</w:t>
            </w:r>
            <w:r w:rsidRPr="002048A7">
              <w:t xml:space="preserve">   </w:t>
            </w:r>
          </w:p>
        </w:tc>
        <w:tc>
          <w:tcPr>
            <w:tcW w:w="644" w:type="pct"/>
            <w:tcBorders>
              <w:top w:val="nil"/>
              <w:left w:val="nil"/>
              <w:bottom w:val="single" w:sz="4" w:space="0" w:color="auto"/>
              <w:right w:val="single" w:sz="4" w:space="0" w:color="auto"/>
            </w:tcBorders>
            <w:shd w:val="clear" w:color="auto" w:fill="auto"/>
            <w:hideMark/>
          </w:tcPr>
          <w:p w14:paraId="11CD1E2A" w14:textId="77777777" w:rsidR="00905AC2" w:rsidRPr="002048A7" w:rsidRDefault="00905AC2" w:rsidP="00905AC2">
            <w:pPr>
              <w:spacing w:after="0" w:line="240" w:lineRule="auto"/>
              <w:jc w:val="center"/>
              <w:rPr>
                <w:rFonts w:ascii="Calibri" w:eastAsia="Times New Roman" w:hAnsi="Calibri" w:cs="Calibri"/>
                <w:color w:val="000000"/>
                <w:lang w:eastAsia="tr-TR"/>
              </w:rPr>
            </w:pPr>
            <w:r w:rsidRPr="002048A7">
              <w:t>6</w:t>
            </w:r>
            <w:r>
              <w:t>4</w:t>
            </w:r>
            <w:r w:rsidRPr="002048A7">
              <w:t>,</w:t>
            </w:r>
            <w:r>
              <w:t>89</w:t>
            </w:r>
            <w:r w:rsidRPr="002048A7">
              <w:t xml:space="preserve">   </w:t>
            </w:r>
          </w:p>
        </w:tc>
        <w:tc>
          <w:tcPr>
            <w:tcW w:w="782" w:type="pct"/>
            <w:tcBorders>
              <w:top w:val="nil"/>
              <w:left w:val="nil"/>
              <w:bottom w:val="single" w:sz="4" w:space="0" w:color="auto"/>
              <w:right w:val="single" w:sz="8" w:space="0" w:color="auto"/>
            </w:tcBorders>
            <w:shd w:val="clear" w:color="auto" w:fill="auto"/>
            <w:hideMark/>
          </w:tcPr>
          <w:p w14:paraId="050AF3B9" w14:textId="77777777" w:rsidR="00905AC2" w:rsidRPr="002048A7" w:rsidRDefault="00905AC2" w:rsidP="00905AC2">
            <w:pPr>
              <w:spacing w:after="0" w:line="240" w:lineRule="auto"/>
              <w:jc w:val="center"/>
              <w:rPr>
                <w:rFonts w:ascii="Calibri" w:eastAsia="Times New Roman" w:hAnsi="Calibri" w:cs="Calibri"/>
                <w:color w:val="000000"/>
                <w:lang w:eastAsia="tr-TR"/>
              </w:rPr>
            </w:pPr>
            <w:r>
              <w:t>33,93</w:t>
            </w:r>
            <w:r w:rsidRPr="002048A7">
              <w:t xml:space="preserve">   </w:t>
            </w:r>
          </w:p>
        </w:tc>
      </w:tr>
      <w:tr w:rsidR="00905AC2" w:rsidRPr="002048A7" w14:paraId="5D0B638E" w14:textId="77777777" w:rsidTr="00905AC2">
        <w:trPr>
          <w:trHeight w:val="20"/>
          <w:jc w:val="center"/>
        </w:trPr>
        <w:tc>
          <w:tcPr>
            <w:tcW w:w="40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87AA9D" w14:textId="77777777" w:rsidR="00905AC2" w:rsidRPr="002048A7" w:rsidRDefault="00905AC2" w:rsidP="00905AC2">
            <w:pPr>
              <w:spacing w:after="0" w:line="240" w:lineRule="auto"/>
              <w:jc w:val="center"/>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12</w:t>
            </w:r>
          </w:p>
        </w:tc>
        <w:tc>
          <w:tcPr>
            <w:tcW w:w="954" w:type="pct"/>
            <w:tcBorders>
              <w:top w:val="nil"/>
              <w:left w:val="single" w:sz="4" w:space="0" w:color="auto"/>
              <w:bottom w:val="single" w:sz="4" w:space="0" w:color="auto"/>
              <w:right w:val="single" w:sz="4" w:space="0" w:color="auto"/>
            </w:tcBorders>
            <w:shd w:val="clear" w:color="auto" w:fill="auto"/>
            <w:hideMark/>
          </w:tcPr>
          <w:p w14:paraId="5CA93BD3" w14:textId="77777777" w:rsidR="00905AC2" w:rsidRPr="002048A7" w:rsidRDefault="00905AC2" w:rsidP="00905AC2">
            <w:pPr>
              <w:spacing w:after="0" w:line="240" w:lineRule="auto"/>
              <w:jc w:val="center"/>
              <w:rPr>
                <w:rFonts w:ascii="Calibri" w:eastAsia="Times New Roman" w:hAnsi="Calibri" w:cs="Calibri"/>
                <w:color w:val="000000"/>
                <w:lang w:eastAsia="tr-TR"/>
              </w:rPr>
            </w:pPr>
            <w:r>
              <w:t>196</w:t>
            </w:r>
            <w:r w:rsidRPr="002048A7">
              <w:t>.</w:t>
            </w:r>
            <w:r>
              <w:t>472</w:t>
            </w:r>
            <w:r w:rsidRPr="002048A7">
              <w:t>,</w:t>
            </w:r>
            <w:r>
              <w:t>65</w:t>
            </w:r>
            <w:r w:rsidRPr="002048A7">
              <w:t xml:space="preserve">   </w:t>
            </w:r>
          </w:p>
        </w:tc>
        <w:tc>
          <w:tcPr>
            <w:tcW w:w="573" w:type="pct"/>
            <w:tcBorders>
              <w:top w:val="nil"/>
              <w:left w:val="nil"/>
              <w:bottom w:val="single" w:sz="4" w:space="0" w:color="auto"/>
              <w:right w:val="single" w:sz="4" w:space="0" w:color="auto"/>
            </w:tcBorders>
            <w:shd w:val="clear" w:color="auto" w:fill="auto"/>
            <w:hideMark/>
          </w:tcPr>
          <w:p w14:paraId="6368F1FB" w14:textId="77777777" w:rsidR="00905AC2" w:rsidRPr="002048A7" w:rsidRDefault="00905AC2" w:rsidP="00905AC2">
            <w:pPr>
              <w:spacing w:after="0" w:line="240" w:lineRule="auto"/>
              <w:jc w:val="center"/>
              <w:rPr>
                <w:rFonts w:ascii="Calibri" w:eastAsia="Times New Roman" w:hAnsi="Calibri" w:cs="Calibri"/>
                <w:color w:val="000000"/>
                <w:lang w:eastAsia="tr-TR"/>
              </w:rPr>
            </w:pPr>
            <w:r>
              <w:t>82,90</w:t>
            </w:r>
            <w:r w:rsidRPr="002048A7">
              <w:t xml:space="preserve">  </w:t>
            </w:r>
          </w:p>
        </w:tc>
        <w:tc>
          <w:tcPr>
            <w:tcW w:w="760" w:type="pct"/>
            <w:tcBorders>
              <w:top w:val="nil"/>
              <w:left w:val="nil"/>
              <w:bottom w:val="single" w:sz="4" w:space="0" w:color="auto"/>
              <w:right w:val="single" w:sz="8" w:space="0" w:color="auto"/>
            </w:tcBorders>
            <w:shd w:val="clear" w:color="auto" w:fill="auto"/>
            <w:hideMark/>
          </w:tcPr>
          <w:p w14:paraId="4C180C57" w14:textId="77777777" w:rsidR="00905AC2" w:rsidRPr="002048A7" w:rsidRDefault="00905AC2" w:rsidP="00905AC2">
            <w:pPr>
              <w:spacing w:after="0" w:line="240" w:lineRule="auto"/>
              <w:jc w:val="center"/>
              <w:rPr>
                <w:rFonts w:ascii="Calibri" w:eastAsia="Times New Roman" w:hAnsi="Calibri" w:cs="Calibri"/>
                <w:color w:val="000000"/>
                <w:lang w:eastAsia="tr-TR"/>
              </w:rPr>
            </w:pPr>
            <w:r w:rsidRPr="002048A7">
              <w:t>4</w:t>
            </w:r>
            <w:r>
              <w:t>5,38</w:t>
            </w:r>
            <w:r w:rsidRPr="002048A7">
              <w:t xml:space="preserve">   </w:t>
            </w:r>
          </w:p>
        </w:tc>
        <w:tc>
          <w:tcPr>
            <w:tcW w:w="886" w:type="pct"/>
            <w:tcBorders>
              <w:top w:val="nil"/>
              <w:left w:val="nil"/>
              <w:bottom w:val="single" w:sz="4" w:space="0" w:color="auto"/>
              <w:right w:val="single" w:sz="4" w:space="0" w:color="auto"/>
            </w:tcBorders>
            <w:shd w:val="clear" w:color="auto" w:fill="auto"/>
            <w:hideMark/>
          </w:tcPr>
          <w:p w14:paraId="519E3D7F" w14:textId="77777777" w:rsidR="00905AC2" w:rsidRPr="002048A7" w:rsidRDefault="00905AC2" w:rsidP="00905AC2">
            <w:pPr>
              <w:spacing w:after="0" w:line="240" w:lineRule="auto"/>
              <w:jc w:val="center"/>
              <w:rPr>
                <w:rFonts w:ascii="Calibri" w:eastAsia="Times New Roman" w:hAnsi="Calibri" w:cs="Calibri"/>
                <w:color w:val="000000"/>
                <w:lang w:eastAsia="tr-TR"/>
              </w:rPr>
            </w:pPr>
            <w:r>
              <w:t>155.091,08</w:t>
            </w:r>
            <w:r w:rsidRPr="002048A7">
              <w:t xml:space="preserve">   </w:t>
            </w:r>
          </w:p>
        </w:tc>
        <w:tc>
          <w:tcPr>
            <w:tcW w:w="644" w:type="pct"/>
            <w:tcBorders>
              <w:top w:val="nil"/>
              <w:left w:val="nil"/>
              <w:bottom w:val="single" w:sz="4" w:space="0" w:color="auto"/>
              <w:right w:val="single" w:sz="4" w:space="0" w:color="auto"/>
            </w:tcBorders>
            <w:shd w:val="clear" w:color="auto" w:fill="auto"/>
            <w:hideMark/>
          </w:tcPr>
          <w:p w14:paraId="3EAA0D73" w14:textId="77777777" w:rsidR="00905AC2" w:rsidRPr="002048A7" w:rsidRDefault="00905AC2" w:rsidP="00905AC2">
            <w:pPr>
              <w:spacing w:after="0" w:line="240" w:lineRule="auto"/>
              <w:jc w:val="center"/>
              <w:rPr>
                <w:rFonts w:ascii="Calibri" w:eastAsia="Times New Roman" w:hAnsi="Calibri" w:cs="Calibri"/>
                <w:color w:val="000000"/>
                <w:lang w:eastAsia="tr-TR"/>
              </w:rPr>
            </w:pPr>
            <w:r w:rsidRPr="002048A7">
              <w:t>6</w:t>
            </w:r>
            <w:r>
              <w:t>4</w:t>
            </w:r>
            <w:r w:rsidRPr="002048A7">
              <w:t>,</w:t>
            </w:r>
            <w:r>
              <w:t>89</w:t>
            </w:r>
            <w:r w:rsidRPr="002048A7">
              <w:t xml:space="preserve">   </w:t>
            </w:r>
          </w:p>
        </w:tc>
        <w:tc>
          <w:tcPr>
            <w:tcW w:w="782" w:type="pct"/>
            <w:tcBorders>
              <w:top w:val="nil"/>
              <w:left w:val="nil"/>
              <w:bottom w:val="single" w:sz="4" w:space="0" w:color="auto"/>
              <w:right w:val="single" w:sz="8" w:space="0" w:color="auto"/>
            </w:tcBorders>
            <w:shd w:val="clear" w:color="auto" w:fill="auto"/>
            <w:hideMark/>
          </w:tcPr>
          <w:p w14:paraId="1CD2C63A" w14:textId="77777777" w:rsidR="00905AC2" w:rsidRPr="002048A7" w:rsidRDefault="00905AC2" w:rsidP="00905AC2">
            <w:pPr>
              <w:spacing w:after="0" w:line="240" w:lineRule="auto"/>
              <w:jc w:val="center"/>
              <w:rPr>
                <w:rFonts w:ascii="Calibri" w:eastAsia="Times New Roman" w:hAnsi="Calibri" w:cs="Calibri"/>
                <w:color w:val="000000"/>
                <w:lang w:eastAsia="tr-TR"/>
              </w:rPr>
            </w:pPr>
            <w:r>
              <w:t>33,93</w:t>
            </w:r>
            <w:r w:rsidRPr="002048A7">
              <w:t xml:space="preserve">   </w:t>
            </w:r>
          </w:p>
        </w:tc>
      </w:tr>
      <w:tr w:rsidR="00905AC2" w:rsidRPr="002048A7" w14:paraId="40DB9294" w14:textId="77777777" w:rsidTr="00905AC2">
        <w:trPr>
          <w:trHeight w:val="20"/>
          <w:jc w:val="center"/>
        </w:trPr>
        <w:tc>
          <w:tcPr>
            <w:tcW w:w="40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F7192D" w14:textId="77777777" w:rsidR="00905AC2" w:rsidRPr="002048A7" w:rsidRDefault="00905AC2" w:rsidP="00905AC2">
            <w:pPr>
              <w:spacing w:after="0" w:line="240" w:lineRule="auto"/>
              <w:jc w:val="center"/>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13</w:t>
            </w:r>
          </w:p>
        </w:tc>
        <w:tc>
          <w:tcPr>
            <w:tcW w:w="954" w:type="pct"/>
            <w:tcBorders>
              <w:top w:val="nil"/>
              <w:left w:val="single" w:sz="4" w:space="0" w:color="auto"/>
              <w:bottom w:val="single" w:sz="4" w:space="0" w:color="auto"/>
              <w:right w:val="single" w:sz="4" w:space="0" w:color="auto"/>
            </w:tcBorders>
            <w:shd w:val="clear" w:color="auto" w:fill="auto"/>
            <w:hideMark/>
          </w:tcPr>
          <w:p w14:paraId="5A8D9DFA" w14:textId="77777777" w:rsidR="00905AC2" w:rsidRPr="002048A7" w:rsidRDefault="00905AC2" w:rsidP="00905AC2">
            <w:pPr>
              <w:spacing w:after="0" w:line="240" w:lineRule="auto"/>
              <w:jc w:val="center"/>
              <w:rPr>
                <w:rFonts w:ascii="Calibri" w:eastAsia="Times New Roman" w:hAnsi="Calibri" w:cs="Calibri"/>
                <w:color w:val="000000"/>
                <w:lang w:eastAsia="tr-TR"/>
              </w:rPr>
            </w:pPr>
            <w:r>
              <w:t>191</w:t>
            </w:r>
            <w:r w:rsidRPr="002048A7">
              <w:t>.</w:t>
            </w:r>
            <w:r>
              <w:t>683</w:t>
            </w:r>
            <w:r w:rsidRPr="002048A7">
              <w:t>,</w:t>
            </w:r>
            <w:r>
              <w:t>21</w:t>
            </w:r>
            <w:r w:rsidRPr="002048A7">
              <w:t xml:space="preserve">   </w:t>
            </w:r>
          </w:p>
        </w:tc>
        <w:tc>
          <w:tcPr>
            <w:tcW w:w="573" w:type="pct"/>
            <w:tcBorders>
              <w:top w:val="nil"/>
              <w:left w:val="nil"/>
              <w:bottom w:val="single" w:sz="4" w:space="0" w:color="auto"/>
              <w:right w:val="single" w:sz="4" w:space="0" w:color="auto"/>
            </w:tcBorders>
            <w:shd w:val="clear" w:color="auto" w:fill="auto"/>
            <w:hideMark/>
          </w:tcPr>
          <w:p w14:paraId="05F2565E" w14:textId="77777777" w:rsidR="00905AC2" w:rsidRPr="002048A7" w:rsidRDefault="00905AC2" w:rsidP="00905AC2">
            <w:pPr>
              <w:spacing w:after="0" w:line="240" w:lineRule="auto"/>
              <w:jc w:val="center"/>
              <w:rPr>
                <w:rFonts w:ascii="Calibri" w:eastAsia="Times New Roman" w:hAnsi="Calibri" w:cs="Calibri"/>
                <w:color w:val="000000"/>
                <w:lang w:eastAsia="tr-TR"/>
              </w:rPr>
            </w:pPr>
            <w:r>
              <w:t>82,90</w:t>
            </w:r>
            <w:r w:rsidRPr="002048A7">
              <w:t xml:space="preserve">  </w:t>
            </w:r>
          </w:p>
        </w:tc>
        <w:tc>
          <w:tcPr>
            <w:tcW w:w="760" w:type="pct"/>
            <w:tcBorders>
              <w:top w:val="nil"/>
              <w:left w:val="nil"/>
              <w:bottom w:val="single" w:sz="4" w:space="0" w:color="auto"/>
              <w:right w:val="single" w:sz="8" w:space="0" w:color="auto"/>
            </w:tcBorders>
            <w:shd w:val="clear" w:color="auto" w:fill="auto"/>
            <w:hideMark/>
          </w:tcPr>
          <w:p w14:paraId="3CE7FFC2" w14:textId="77777777" w:rsidR="00905AC2" w:rsidRPr="002048A7" w:rsidRDefault="00905AC2" w:rsidP="00905AC2">
            <w:pPr>
              <w:spacing w:after="0" w:line="240" w:lineRule="auto"/>
              <w:jc w:val="center"/>
              <w:rPr>
                <w:rFonts w:ascii="Calibri" w:eastAsia="Times New Roman" w:hAnsi="Calibri" w:cs="Calibri"/>
                <w:color w:val="000000"/>
                <w:lang w:eastAsia="tr-TR"/>
              </w:rPr>
            </w:pPr>
            <w:r w:rsidRPr="002048A7">
              <w:t>4</w:t>
            </w:r>
            <w:r>
              <w:t>5,38</w:t>
            </w:r>
            <w:r w:rsidRPr="002048A7">
              <w:t xml:space="preserve">   </w:t>
            </w:r>
          </w:p>
        </w:tc>
        <w:tc>
          <w:tcPr>
            <w:tcW w:w="886" w:type="pct"/>
            <w:tcBorders>
              <w:top w:val="nil"/>
              <w:left w:val="nil"/>
              <w:bottom w:val="single" w:sz="4" w:space="0" w:color="auto"/>
              <w:right w:val="single" w:sz="4" w:space="0" w:color="auto"/>
            </w:tcBorders>
            <w:shd w:val="clear" w:color="auto" w:fill="auto"/>
            <w:hideMark/>
          </w:tcPr>
          <w:p w14:paraId="2B4B8461" w14:textId="77777777" w:rsidR="00905AC2" w:rsidRPr="002048A7" w:rsidRDefault="00905AC2" w:rsidP="00905AC2">
            <w:pPr>
              <w:spacing w:after="0" w:line="240" w:lineRule="auto"/>
              <w:jc w:val="center"/>
              <w:rPr>
                <w:rFonts w:ascii="Calibri" w:eastAsia="Times New Roman" w:hAnsi="Calibri" w:cs="Calibri"/>
                <w:color w:val="000000"/>
                <w:lang w:eastAsia="tr-TR"/>
              </w:rPr>
            </w:pPr>
            <w:r>
              <w:t>166.845,65</w:t>
            </w:r>
            <w:r w:rsidRPr="002048A7">
              <w:t xml:space="preserve">   </w:t>
            </w:r>
          </w:p>
        </w:tc>
        <w:tc>
          <w:tcPr>
            <w:tcW w:w="644" w:type="pct"/>
            <w:tcBorders>
              <w:top w:val="nil"/>
              <w:left w:val="nil"/>
              <w:bottom w:val="single" w:sz="4" w:space="0" w:color="auto"/>
              <w:right w:val="single" w:sz="4" w:space="0" w:color="auto"/>
            </w:tcBorders>
            <w:shd w:val="clear" w:color="auto" w:fill="auto"/>
            <w:hideMark/>
          </w:tcPr>
          <w:p w14:paraId="0B223AFC" w14:textId="77777777" w:rsidR="00905AC2" w:rsidRPr="002048A7" w:rsidRDefault="00905AC2" w:rsidP="00905AC2">
            <w:pPr>
              <w:spacing w:after="0" w:line="240" w:lineRule="auto"/>
              <w:jc w:val="center"/>
              <w:rPr>
                <w:rFonts w:ascii="Calibri" w:eastAsia="Times New Roman" w:hAnsi="Calibri" w:cs="Calibri"/>
                <w:color w:val="000000"/>
                <w:lang w:eastAsia="tr-TR"/>
              </w:rPr>
            </w:pPr>
            <w:r w:rsidRPr="002048A7">
              <w:t>6</w:t>
            </w:r>
            <w:r>
              <w:t>4</w:t>
            </w:r>
            <w:r w:rsidRPr="002048A7">
              <w:t>,</w:t>
            </w:r>
            <w:r>
              <w:t>89</w:t>
            </w:r>
            <w:r w:rsidRPr="002048A7">
              <w:t xml:space="preserve">   </w:t>
            </w:r>
          </w:p>
        </w:tc>
        <w:tc>
          <w:tcPr>
            <w:tcW w:w="782" w:type="pct"/>
            <w:tcBorders>
              <w:top w:val="nil"/>
              <w:left w:val="nil"/>
              <w:bottom w:val="single" w:sz="4" w:space="0" w:color="auto"/>
              <w:right w:val="single" w:sz="8" w:space="0" w:color="auto"/>
            </w:tcBorders>
            <w:shd w:val="clear" w:color="auto" w:fill="auto"/>
            <w:hideMark/>
          </w:tcPr>
          <w:p w14:paraId="3B3D7C6F" w14:textId="77777777" w:rsidR="00905AC2" w:rsidRPr="002048A7" w:rsidRDefault="00905AC2" w:rsidP="00905AC2">
            <w:pPr>
              <w:spacing w:after="0" w:line="240" w:lineRule="auto"/>
              <w:jc w:val="center"/>
              <w:rPr>
                <w:rFonts w:ascii="Calibri" w:eastAsia="Times New Roman" w:hAnsi="Calibri" w:cs="Calibri"/>
                <w:color w:val="000000"/>
                <w:lang w:eastAsia="tr-TR"/>
              </w:rPr>
            </w:pPr>
            <w:r>
              <w:t>33,93</w:t>
            </w:r>
            <w:r w:rsidRPr="002048A7">
              <w:t xml:space="preserve">   </w:t>
            </w:r>
          </w:p>
        </w:tc>
      </w:tr>
      <w:tr w:rsidR="00905AC2" w:rsidRPr="002048A7" w14:paraId="1A099CBD" w14:textId="77777777" w:rsidTr="00905AC2">
        <w:trPr>
          <w:trHeight w:val="20"/>
          <w:jc w:val="center"/>
        </w:trPr>
        <w:tc>
          <w:tcPr>
            <w:tcW w:w="40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9312F4" w14:textId="77777777" w:rsidR="00905AC2" w:rsidRPr="002048A7" w:rsidRDefault="00905AC2" w:rsidP="00905AC2">
            <w:pPr>
              <w:spacing w:after="0" w:line="240" w:lineRule="auto"/>
              <w:jc w:val="center"/>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14</w:t>
            </w:r>
          </w:p>
        </w:tc>
        <w:tc>
          <w:tcPr>
            <w:tcW w:w="954" w:type="pct"/>
            <w:tcBorders>
              <w:top w:val="nil"/>
              <w:left w:val="single" w:sz="4" w:space="0" w:color="auto"/>
              <w:bottom w:val="single" w:sz="4" w:space="0" w:color="auto"/>
              <w:right w:val="single" w:sz="4" w:space="0" w:color="auto"/>
            </w:tcBorders>
            <w:shd w:val="clear" w:color="auto" w:fill="auto"/>
            <w:hideMark/>
          </w:tcPr>
          <w:p w14:paraId="1F4AF6A8" w14:textId="77777777" w:rsidR="00905AC2" w:rsidRPr="002048A7" w:rsidRDefault="00905AC2" w:rsidP="00905AC2">
            <w:pPr>
              <w:spacing w:after="0" w:line="240" w:lineRule="auto"/>
              <w:jc w:val="center"/>
              <w:rPr>
                <w:rFonts w:ascii="Calibri" w:eastAsia="Times New Roman" w:hAnsi="Calibri" w:cs="Calibri"/>
                <w:color w:val="000000"/>
                <w:lang w:eastAsia="tr-TR"/>
              </w:rPr>
            </w:pPr>
            <w:r>
              <w:t>210</w:t>
            </w:r>
            <w:r w:rsidRPr="002048A7">
              <w:t>.8</w:t>
            </w:r>
            <w:r>
              <w:t>73</w:t>
            </w:r>
            <w:r w:rsidRPr="002048A7">
              <w:t>,</w:t>
            </w:r>
            <w:r>
              <w:t>44</w:t>
            </w:r>
            <w:r w:rsidRPr="002048A7">
              <w:t xml:space="preserve">   </w:t>
            </w:r>
          </w:p>
        </w:tc>
        <w:tc>
          <w:tcPr>
            <w:tcW w:w="573" w:type="pct"/>
            <w:tcBorders>
              <w:top w:val="nil"/>
              <w:left w:val="nil"/>
              <w:bottom w:val="single" w:sz="4" w:space="0" w:color="auto"/>
              <w:right w:val="single" w:sz="4" w:space="0" w:color="auto"/>
            </w:tcBorders>
            <w:shd w:val="clear" w:color="auto" w:fill="auto"/>
            <w:hideMark/>
          </w:tcPr>
          <w:p w14:paraId="19E5409C" w14:textId="77777777" w:rsidR="00905AC2" w:rsidRPr="002048A7" w:rsidRDefault="00905AC2" w:rsidP="00905AC2">
            <w:pPr>
              <w:spacing w:after="0" w:line="240" w:lineRule="auto"/>
              <w:jc w:val="center"/>
              <w:rPr>
                <w:rFonts w:ascii="Calibri" w:eastAsia="Times New Roman" w:hAnsi="Calibri" w:cs="Calibri"/>
                <w:color w:val="000000"/>
                <w:lang w:eastAsia="tr-TR"/>
              </w:rPr>
            </w:pPr>
            <w:r>
              <w:t>82,90</w:t>
            </w:r>
            <w:r w:rsidRPr="002048A7">
              <w:t xml:space="preserve">  </w:t>
            </w:r>
          </w:p>
        </w:tc>
        <w:tc>
          <w:tcPr>
            <w:tcW w:w="760" w:type="pct"/>
            <w:tcBorders>
              <w:top w:val="nil"/>
              <w:left w:val="nil"/>
              <w:bottom w:val="single" w:sz="4" w:space="0" w:color="auto"/>
              <w:right w:val="single" w:sz="8" w:space="0" w:color="auto"/>
            </w:tcBorders>
            <w:shd w:val="clear" w:color="auto" w:fill="auto"/>
            <w:hideMark/>
          </w:tcPr>
          <w:p w14:paraId="0AEC4F48" w14:textId="77777777" w:rsidR="00905AC2" w:rsidRPr="002048A7" w:rsidRDefault="00905AC2" w:rsidP="00905AC2">
            <w:pPr>
              <w:spacing w:after="0" w:line="240" w:lineRule="auto"/>
              <w:jc w:val="center"/>
              <w:rPr>
                <w:rFonts w:ascii="Calibri" w:eastAsia="Times New Roman" w:hAnsi="Calibri" w:cs="Calibri"/>
                <w:color w:val="000000"/>
                <w:lang w:eastAsia="tr-TR"/>
              </w:rPr>
            </w:pPr>
            <w:r w:rsidRPr="002048A7">
              <w:t>4</w:t>
            </w:r>
            <w:r>
              <w:t>5,38</w:t>
            </w:r>
            <w:r w:rsidRPr="002048A7">
              <w:t xml:space="preserve">   </w:t>
            </w:r>
          </w:p>
        </w:tc>
        <w:tc>
          <w:tcPr>
            <w:tcW w:w="886" w:type="pct"/>
            <w:tcBorders>
              <w:top w:val="nil"/>
              <w:left w:val="nil"/>
              <w:bottom w:val="single" w:sz="4" w:space="0" w:color="auto"/>
              <w:right w:val="single" w:sz="4" w:space="0" w:color="auto"/>
            </w:tcBorders>
            <w:shd w:val="clear" w:color="auto" w:fill="auto"/>
            <w:hideMark/>
          </w:tcPr>
          <w:p w14:paraId="26AA2FE2" w14:textId="77777777" w:rsidR="00905AC2" w:rsidRPr="002048A7" w:rsidRDefault="00905AC2" w:rsidP="00905AC2">
            <w:pPr>
              <w:spacing w:after="0" w:line="240" w:lineRule="auto"/>
              <w:jc w:val="center"/>
              <w:rPr>
                <w:rFonts w:ascii="Calibri" w:eastAsia="Times New Roman" w:hAnsi="Calibri" w:cs="Calibri"/>
                <w:color w:val="000000"/>
                <w:lang w:eastAsia="tr-TR"/>
              </w:rPr>
            </w:pPr>
            <w:r>
              <w:t>141.791,61</w:t>
            </w:r>
            <w:r w:rsidRPr="002048A7">
              <w:t xml:space="preserve">   </w:t>
            </w:r>
          </w:p>
        </w:tc>
        <w:tc>
          <w:tcPr>
            <w:tcW w:w="644" w:type="pct"/>
            <w:tcBorders>
              <w:top w:val="nil"/>
              <w:left w:val="nil"/>
              <w:bottom w:val="single" w:sz="4" w:space="0" w:color="auto"/>
              <w:right w:val="single" w:sz="4" w:space="0" w:color="auto"/>
            </w:tcBorders>
            <w:shd w:val="clear" w:color="auto" w:fill="auto"/>
            <w:hideMark/>
          </w:tcPr>
          <w:p w14:paraId="69FBC9D0" w14:textId="77777777" w:rsidR="00905AC2" w:rsidRPr="002048A7" w:rsidRDefault="00905AC2" w:rsidP="00905AC2">
            <w:pPr>
              <w:spacing w:after="0" w:line="240" w:lineRule="auto"/>
              <w:jc w:val="center"/>
              <w:rPr>
                <w:rFonts w:ascii="Calibri" w:eastAsia="Times New Roman" w:hAnsi="Calibri" w:cs="Calibri"/>
                <w:color w:val="000000"/>
                <w:lang w:eastAsia="tr-TR"/>
              </w:rPr>
            </w:pPr>
            <w:r w:rsidRPr="002048A7">
              <w:t>6</w:t>
            </w:r>
            <w:r>
              <w:t>4</w:t>
            </w:r>
            <w:r w:rsidRPr="002048A7">
              <w:t>,</w:t>
            </w:r>
            <w:r>
              <w:t>89</w:t>
            </w:r>
            <w:r w:rsidRPr="002048A7">
              <w:t xml:space="preserve">   </w:t>
            </w:r>
          </w:p>
        </w:tc>
        <w:tc>
          <w:tcPr>
            <w:tcW w:w="782" w:type="pct"/>
            <w:tcBorders>
              <w:top w:val="nil"/>
              <w:left w:val="nil"/>
              <w:bottom w:val="single" w:sz="4" w:space="0" w:color="auto"/>
              <w:right w:val="single" w:sz="8" w:space="0" w:color="auto"/>
            </w:tcBorders>
            <w:shd w:val="clear" w:color="auto" w:fill="auto"/>
            <w:hideMark/>
          </w:tcPr>
          <w:p w14:paraId="7B7A3329" w14:textId="77777777" w:rsidR="00905AC2" w:rsidRPr="002048A7" w:rsidRDefault="00905AC2" w:rsidP="00905AC2">
            <w:pPr>
              <w:spacing w:after="0" w:line="240" w:lineRule="auto"/>
              <w:jc w:val="center"/>
              <w:rPr>
                <w:rFonts w:ascii="Calibri" w:eastAsia="Times New Roman" w:hAnsi="Calibri" w:cs="Calibri"/>
                <w:color w:val="000000"/>
                <w:lang w:eastAsia="tr-TR"/>
              </w:rPr>
            </w:pPr>
            <w:r>
              <w:t>33,93</w:t>
            </w:r>
            <w:r w:rsidRPr="002048A7">
              <w:t xml:space="preserve">   </w:t>
            </w:r>
          </w:p>
        </w:tc>
      </w:tr>
      <w:tr w:rsidR="00905AC2" w:rsidRPr="002048A7" w14:paraId="68F33F65" w14:textId="77777777" w:rsidTr="00905AC2">
        <w:trPr>
          <w:trHeight w:val="20"/>
          <w:jc w:val="center"/>
        </w:trPr>
        <w:tc>
          <w:tcPr>
            <w:tcW w:w="40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CEC769" w14:textId="77777777" w:rsidR="00905AC2" w:rsidRPr="002048A7" w:rsidRDefault="00905AC2" w:rsidP="00905AC2">
            <w:pPr>
              <w:spacing w:after="0" w:line="240" w:lineRule="auto"/>
              <w:jc w:val="center"/>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15</w:t>
            </w:r>
          </w:p>
        </w:tc>
        <w:tc>
          <w:tcPr>
            <w:tcW w:w="954" w:type="pct"/>
            <w:tcBorders>
              <w:top w:val="nil"/>
              <w:left w:val="single" w:sz="4" w:space="0" w:color="auto"/>
              <w:bottom w:val="single" w:sz="8" w:space="0" w:color="auto"/>
              <w:right w:val="single" w:sz="4" w:space="0" w:color="auto"/>
            </w:tcBorders>
            <w:shd w:val="clear" w:color="auto" w:fill="auto"/>
            <w:hideMark/>
          </w:tcPr>
          <w:p w14:paraId="00C515AA" w14:textId="77777777" w:rsidR="00905AC2" w:rsidRPr="002048A7" w:rsidRDefault="00905AC2" w:rsidP="00905AC2">
            <w:pPr>
              <w:spacing w:after="0" w:line="240" w:lineRule="auto"/>
              <w:jc w:val="center"/>
              <w:rPr>
                <w:rFonts w:ascii="Calibri" w:eastAsia="Times New Roman" w:hAnsi="Calibri" w:cs="Calibri"/>
                <w:color w:val="000000"/>
                <w:lang w:eastAsia="tr-TR"/>
              </w:rPr>
            </w:pPr>
            <w:r>
              <w:t>221.310</w:t>
            </w:r>
            <w:r w:rsidRPr="002048A7">
              <w:t>,</w:t>
            </w:r>
            <w:r>
              <w:t>82</w:t>
            </w:r>
            <w:r w:rsidRPr="002048A7">
              <w:t xml:space="preserve">   </w:t>
            </w:r>
          </w:p>
        </w:tc>
        <w:tc>
          <w:tcPr>
            <w:tcW w:w="573" w:type="pct"/>
            <w:tcBorders>
              <w:top w:val="nil"/>
              <w:left w:val="nil"/>
              <w:bottom w:val="single" w:sz="8" w:space="0" w:color="auto"/>
              <w:right w:val="single" w:sz="4" w:space="0" w:color="auto"/>
            </w:tcBorders>
            <w:shd w:val="clear" w:color="auto" w:fill="auto"/>
            <w:hideMark/>
          </w:tcPr>
          <w:p w14:paraId="23DCBA74" w14:textId="77777777" w:rsidR="00905AC2" w:rsidRPr="002048A7" w:rsidRDefault="00905AC2" w:rsidP="00905AC2">
            <w:pPr>
              <w:spacing w:after="0" w:line="240" w:lineRule="auto"/>
              <w:jc w:val="center"/>
              <w:rPr>
                <w:rFonts w:ascii="Calibri" w:eastAsia="Times New Roman" w:hAnsi="Calibri" w:cs="Calibri"/>
                <w:color w:val="000000"/>
                <w:lang w:eastAsia="tr-TR"/>
              </w:rPr>
            </w:pPr>
            <w:r>
              <w:t>82,90</w:t>
            </w:r>
            <w:r w:rsidRPr="002048A7">
              <w:t xml:space="preserve">   </w:t>
            </w:r>
          </w:p>
        </w:tc>
        <w:tc>
          <w:tcPr>
            <w:tcW w:w="760" w:type="pct"/>
            <w:tcBorders>
              <w:top w:val="nil"/>
              <w:left w:val="nil"/>
              <w:bottom w:val="single" w:sz="8" w:space="0" w:color="auto"/>
              <w:right w:val="single" w:sz="8" w:space="0" w:color="auto"/>
            </w:tcBorders>
            <w:shd w:val="clear" w:color="auto" w:fill="auto"/>
            <w:hideMark/>
          </w:tcPr>
          <w:p w14:paraId="65E9C79C" w14:textId="77777777" w:rsidR="00905AC2" w:rsidRPr="002048A7" w:rsidRDefault="00905AC2" w:rsidP="00905AC2">
            <w:pPr>
              <w:spacing w:after="0" w:line="240" w:lineRule="auto"/>
              <w:jc w:val="center"/>
              <w:rPr>
                <w:rFonts w:ascii="Calibri" w:eastAsia="Times New Roman" w:hAnsi="Calibri" w:cs="Calibri"/>
                <w:color w:val="000000"/>
                <w:lang w:eastAsia="tr-TR"/>
              </w:rPr>
            </w:pPr>
            <w:r w:rsidRPr="002048A7">
              <w:t>4</w:t>
            </w:r>
            <w:r>
              <w:t>5,38</w:t>
            </w:r>
            <w:r w:rsidRPr="002048A7">
              <w:t xml:space="preserve">   </w:t>
            </w:r>
          </w:p>
        </w:tc>
        <w:tc>
          <w:tcPr>
            <w:tcW w:w="886" w:type="pct"/>
            <w:tcBorders>
              <w:top w:val="nil"/>
              <w:left w:val="nil"/>
              <w:bottom w:val="single" w:sz="8" w:space="0" w:color="auto"/>
              <w:right w:val="single" w:sz="4" w:space="0" w:color="auto"/>
            </w:tcBorders>
            <w:shd w:val="clear" w:color="auto" w:fill="auto"/>
            <w:hideMark/>
          </w:tcPr>
          <w:p w14:paraId="549B9E59" w14:textId="77777777" w:rsidR="00905AC2" w:rsidRPr="002048A7" w:rsidRDefault="00905AC2" w:rsidP="00905AC2">
            <w:pPr>
              <w:spacing w:after="0" w:line="240" w:lineRule="auto"/>
              <w:jc w:val="center"/>
              <w:rPr>
                <w:rFonts w:ascii="Calibri" w:eastAsia="Times New Roman" w:hAnsi="Calibri" w:cs="Calibri"/>
                <w:color w:val="000000"/>
                <w:lang w:eastAsia="tr-TR"/>
              </w:rPr>
            </w:pPr>
            <w:r>
              <w:t>137.317,71</w:t>
            </w:r>
            <w:r w:rsidRPr="002048A7">
              <w:t xml:space="preserve">  </w:t>
            </w:r>
          </w:p>
        </w:tc>
        <w:tc>
          <w:tcPr>
            <w:tcW w:w="644" w:type="pct"/>
            <w:tcBorders>
              <w:top w:val="nil"/>
              <w:left w:val="nil"/>
              <w:bottom w:val="single" w:sz="8" w:space="0" w:color="auto"/>
              <w:right w:val="single" w:sz="4" w:space="0" w:color="auto"/>
            </w:tcBorders>
            <w:shd w:val="clear" w:color="auto" w:fill="auto"/>
            <w:hideMark/>
          </w:tcPr>
          <w:p w14:paraId="7116A96D" w14:textId="77777777" w:rsidR="00905AC2" w:rsidRPr="002048A7" w:rsidRDefault="00905AC2" w:rsidP="00905AC2">
            <w:pPr>
              <w:spacing w:after="0" w:line="240" w:lineRule="auto"/>
              <w:jc w:val="center"/>
              <w:rPr>
                <w:rFonts w:ascii="Calibri" w:eastAsia="Times New Roman" w:hAnsi="Calibri" w:cs="Calibri"/>
                <w:color w:val="000000"/>
                <w:lang w:eastAsia="tr-TR"/>
              </w:rPr>
            </w:pPr>
            <w:r w:rsidRPr="002048A7">
              <w:t>6</w:t>
            </w:r>
            <w:r>
              <w:t>4</w:t>
            </w:r>
            <w:r w:rsidRPr="002048A7">
              <w:t>,</w:t>
            </w:r>
            <w:r>
              <w:t>89</w:t>
            </w:r>
            <w:r w:rsidRPr="002048A7">
              <w:t xml:space="preserve">   </w:t>
            </w:r>
          </w:p>
        </w:tc>
        <w:tc>
          <w:tcPr>
            <w:tcW w:w="782" w:type="pct"/>
            <w:tcBorders>
              <w:top w:val="nil"/>
              <w:left w:val="nil"/>
              <w:bottom w:val="single" w:sz="8" w:space="0" w:color="auto"/>
              <w:right w:val="single" w:sz="8" w:space="0" w:color="auto"/>
            </w:tcBorders>
            <w:shd w:val="clear" w:color="auto" w:fill="auto"/>
            <w:hideMark/>
          </w:tcPr>
          <w:p w14:paraId="0D6EA66C" w14:textId="77777777" w:rsidR="00905AC2" w:rsidRPr="002048A7" w:rsidRDefault="00905AC2" w:rsidP="00905AC2">
            <w:pPr>
              <w:spacing w:after="0" w:line="240" w:lineRule="auto"/>
              <w:jc w:val="center"/>
              <w:rPr>
                <w:rFonts w:ascii="Calibri" w:eastAsia="Times New Roman" w:hAnsi="Calibri" w:cs="Calibri"/>
                <w:color w:val="000000"/>
                <w:lang w:eastAsia="tr-TR"/>
              </w:rPr>
            </w:pPr>
            <w:r>
              <w:t>33,93</w:t>
            </w:r>
            <w:r w:rsidRPr="002048A7">
              <w:t xml:space="preserve">   </w:t>
            </w:r>
          </w:p>
        </w:tc>
      </w:tr>
    </w:tbl>
    <w:p w14:paraId="56D3EE71" w14:textId="77777777" w:rsidR="00905AC2" w:rsidRPr="002048A7" w:rsidRDefault="00905AC2" w:rsidP="00905AC2">
      <w:pPr>
        <w:spacing w:after="0"/>
        <w:rPr>
          <w:sz w:val="16"/>
          <w:szCs w:val="16"/>
        </w:rPr>
      </w:pPr>
      <w:r w:rsidRPr="002048A7">
        <w:rPr>
          <w:sz w:val="16"/>
          <w:szCs w:val="16"/>
        </w:rPr>
        <w:t>1)</w:t>
      </w:r>
      <w:r w:rsidRPr="002048A7">
        <w:rPr>
          <w:i/>
          <w:sz w:val="16"/>
          <w:szCs w:val="16"/>
        </w:rPr>
        <w:t>İletim ek ücreti dâhil edilmemiştir</w:t>
      </w:r>
      <w:r w:rsidRPr="002048A7">
        <w:rPr>
          <w:sz w:val="16"/>
          <w:szCs w:val="16"/>
        </w:rPr>
        <w:t>.</w:t>
      </w:r>
    </w:p>
    <w:p w14:paraId="1B6F3C58" w14:textId="77777777" w:rsidR="00DC783D" w:rsidRPr="002048A7" w:rsidRDefault="002C3099" w:rsidP="00577AAF">
      <w:pPr>
        <w:pStyle w:val="Balk4"/>
        <w:numPr>
          <w:ilvl w:val="3"/>
          <w:numId w:val="11"/>
        </w:numPr>
        <w:spacing w:after="240"/>
        <w:rPr>
          <w:rFonts w:asciiTheme="minorHAnsi" w:hAnsiTheme="minorHAnsi"/>
          <w:i w:val="0"/>
          <w:color w:val="000000" w:themeColor="text1"/>
        </w:rPr>
      </w:pPr>
      <w:bookmarkStart w:id="173" w:name="_Toc66267372"/>
      <w:bookmarkStart w:id="174" w:name="_Toc195868711"/>
      <w:r w:rsidRPr="002048A7">
        <w:rPr>
          <w:rFonts w:asciiTheme="minorHAnsi" w:hAnsiTheme="minorHAnsi"/>
          <w:i w:val="0"/>
          <w:color w:val="000000" w:themeColor="text1"/>
        </w:rPr>
        <w:lastRenderedPageBreak/>
        <w:t>İletim Ek Ücret</w:t>
      </w:r>
      <w:bookmarkEnd w:id="173"/>
      <w:r w:rsidR="003C6441" w:rsidRPr="002048A7">
        <w:rPr>
          <w:rFonts w:asciiTheme="minorHAnsi" w:hAnsiTheme="minorHAnsi"/>
          <w:i w:val="0"/>
          <w:color w:val="000000" w:themeColor="text1"/>
        </w:rPr>
        <w:t>i</w:t>
      </w:r>
      <w:bookmarkEnd w:id="174"/>
    </w:p>
    <w:p w14:paraId="156AC6E6" w14:textId="77777777" w:rsidR="00801036" w:rsidRPr="002048A7" w:rsidRDefault="004C391E" w:rsidP="00304AD6">
      <w:pPr>
        <w:pStyle w:val="stBilgi"/>
        <w:spacing w:after="240" w:line="276" w:lineRule="auto"/>
      </w:pPr>
      <w:r w:rsidRPr="002048A7">
        <w:rPr>
          <w:rFonts w:cs="Arial"/>
        </w:rPr>
        <w:t xml:space="preserve">16.09.2023 tarihli ve 32311 sayılı Resmî Gazete’de yayımlanan </w:t>
      </w:r>
      <w:r w:rsidRPr="002048A7">
        <w:t xml:space="preserve">14.09.2023 tarihli ve 12069 sayılı Kurul Kararıyla, 4628 sayılı Kanunun 5 inci maddesinin yedinci fıkrasının (h) bendi ve aynı Kanunun 10 uncu maddesinin birinci fıkrasının (A) bendinin (e) alt bendi ile Elektrik Piyasası Tarifeler Yönetmeliği'nin </w:t>
      </w:r>
      <w:proofErr w:type="gramStart"/>
      <w:r w:rsidRPr="002048A7">
        <w:t>7</w:t>
      </w:r>
      <w:r w:rsidR="00905AC2">
        <w:t xml:space="preserve"> </w:t>
      </w:r>
      <w:r w:rsidRPr="002048A7">
        <w:t>nci</w:t>
      </w:r>
      <w:proofErr w:type="gramEnd"/>
      <w:r w:rsidRPr="002048A7">
        <w:t xml:space="preserve"> maddesinin üçüncü fıkrası uyarınca 2024 yılında uygulanacak iletim ek ücreti, TEİAŞ’ın iletim tarifesinin %0,5’i (binde beşi) oranında belirlenmiştir.</w:t>
      </w:r>
    </w:p>
    <w:p w14:paraId="3C5D319C" w14:textId="77777777" w:rsidR="00BA13C3" w:rsidRPr="002048A7" w:rsidRDefault="002C3099" w:rsidP="00577AAF">
      <w:pPr>
        <w:pStyle w:val="Balk3"/>
        <w:numPr>
          <w:ilvl w:val="2"/>
          <w:numId w:val="11"/>
        </w:numPr>
        <w:spacing w:before="0" w:after="240"/>
        <w:rPr>
          <w:rFonts w:asciiTheme="minorHAnsi" w:hAnsiTheme="minorHAnsi"/>
          <w:color w:val="000000" w:themeColor="text1"/>
        </w:rPr>
      </w:pPr>
      <w:bookmarkStart w:id="175" w:name="_Toc66267373"/>
      <w:bookmarkStart w:id="176" w:name="_Toc195868712"/>
      <w:r w:rsidRPr="002048A7">
        <w:rPr>
          <w:rFonts w:asciiTheme="minorHAnsi" w:hAnsiTheme="minorHAnsi"/>
          <w:color w:val="000000" w:themeColor="text1"/>
        </w:rPr>
        <w:t>Dağıtım ve Perakende Satış Tarifeleri</w:t>
      </w:r>
      <w:bookmarkEnd w:id="175"/>
      <w:bookmarkEnd w:id="176"/>
    </w:p>
    <w:p w14:paraId="5E44EF28" w14:textId="77777777" w:rsidR="004C391E" w:rsidRPr="002048A7" w:rsidRDefault="004C391E" w:rsidP="004C391E">
      <w:r w:rsidRPr="002048A7">
        <w:t>27.07.2019 tarihli ve 30844 sayılı Resmî Gazete’de yayımlanan 25.07.2019 tarihli ve 8750 sayılı Kurul Kararı ile Elektrik piyasasında faaliyet gösteren dağıtım şirketleri ve görevli tedarik şirketlerinin gelir/tarife düzenlemelerine esas parametrelerin geçerli olacağı dördüncü uygulama dönemi 01.01.2021</w:t>
      </w:r>
      <w:r w:rsidR="00B968E8" w:rsidRPr="002048A7">
        <w:t xml:space="preserve"> </w:t>
      </w:r>
      <w:r w:rsidRPr="002048A7">
        <w:t>(dâhil)-31.12.2025</w:t>
      </w:r>
      <w:r w:rsidR="00B968E8" w:rsidRPr="002048A7">
        <w:t xml:space="preserve"> </w:t>
      </w:r>
      <w:r w:rsidRPr="002048A7">
        <w:t>(dâhil) olarak belirlenmiştir.</w:t>
      </w:r>
    </w:p>
    <w:p w14:paraId="1597C84C" w14:textId="77777777" w:rsidR="00BA13C3" w:rsidRPr="002048A7" w:rsidRDefault="004C391E" w:rsidP="004C391E">
      <w:r w:rsidRPr="002048A7">
        <w:rPr>
          <w:bCs/>
          <w:spacing w:val="4"/>
        </w:rPr>
        <w:t>Dağıtım şirketleri</w:t>
      </w:r>
      <w:r w:rsidRPr="002048A7">
        <w:rPr>
          <w:spacing w:val="4"/>
        </w:rPr>
        <w:t xml:space="preserve"> tarafından, dağıtım sistemi kullanıcılarına ve </w:t>
      </w:r>
      <w:r w:rsidRPr="002048A7">
        <w:t>genel aydınlatma alt abone grubundaki tüketicilere; görevli tedarik şirketleri tarafından, serbest olmayan tüketiciler ile serbest tüketici olmasına rağmen tedarikçisini seçmeyen ve 20.01.2018 tarihli ve 30307 sayılı Resmî Gazete’de yayımlanan Son Kaynak Tedarik Tarifesinin Düzenlenmesi Hakkında Tebliğ kapsamında tanımlanan düşük tüketimli tüketicilere 202</w:t>
      </w:r>
      <w:r w:rsidR="00905AC2">
        <w:t>4</w:t>
      </w:r>
      <w:r w:rsidRPr="002048A7">
        <w:t xml:space="preserve"> yılının tamamı ile 202</w:t>
      </w:r>
      <w:r w:rsidR="00905AC2">
        <w:t>5</w:t>
      </w:r>
      <w:r w:rsidRPr="002048A7">
        <w:t xml:space="preserve"> yılının ilk tarife dönemi için uygulanan tarife tablolarının onaylanmasına dair alınan Kurul Kararları Tablo 4.3’te gösterilmektedir.</w:t>
      </w:r>
    </w:p>
    <w:p w14:paraId="7AEBBB43" w14:textId="77777777" w:rsidR="00905AC2" w:rsidRPr="002048A7" w:rsidRDefault="00905AC2" w:rsidP="00905AC2">
      <w:pPr>
        <w:pStyle w:val="Balk5"/>
        <w:jc w:val="center"/>
        <w:rPr>
          <w:rStyle w:val="Gl"/>
          <w:color w:val="000000" w:themeColor="text1"/>
        </w:rPr>
      </w:pPr>
      <w:bookmarkStart w:id="177" w:name="_Toc66267469"/>
      <w:bookmarkStart w:id="178" w:name="_Toc195868813"/>
      <w:r w:rsidRPr="002048A7">
        <w:rPr>
          <w:rStyle w:val="Gl"/>
          <w:color w:val="000000" w:themeColor="text1"/>
        </w:rPr>
        <w:t>Tablo 4.3: Dağıtım ve Görevli Tedarik Şirketleri Tarife Tablolarına Dair Kurul Kararları</w:t>
      </w:r>
      <w:bookmarkEnd w:id="177"/>
      <w:bookmarkEnd w:id="178"/>
    </w:p>
    <w:tbl>
      <w:tblPr>
        <w:tblStyle w:val="TableNormal"/>
        <w:tblW w:w="0" w:type="auto"/>
        <w:jc w:val="center"/>
        <w:tblLook w:val="01E0" w:firstRow="1" w:lastRow="1" w:firstColumn="1" w:lastColumn="1" w:noHBand="0" w:noVBand="0"/>
      </w:tblPr>
      <w:tblGrid>
        <w:gridCol w:w="2690"/>
        <w:gridCol w:w="1520"/>
        <w:gridCol w:w="1910"/>
        <w:gridCol w:w="2829"/>
      </w:tblGrid>
      <w:tr w:rsidR="00905AC2" w:rsidRPr="002048A7" w14:paraId="1B23D430" w14:textId="77777777" w:rsidTr="00905AC2">
        <w:trPr>
          <w:trHeight w:hRule="exact" w:val="624"/>
          <w:jc w:val="center"/>
        </w:trPr>
        <w:tc>
          <w:tcPr>
            <w:tcW w:w="2690" w:type="dxa"/>
            <w:tcBorders>
              <w:top w:val="single" w:sz="4" w:space="0" w:color="BFBFBF"/>
              <w:left w:val="single" w:sz="4" w:space="0" w:color="BFBFBF"/>
              <w:bottom w:val="single" w:sz="4" w:space="0" w:color="BFBFBF"/>
              <w:right w:val="single" w:sz="4" w:space="0" w:color="BFBFBF"/>
            </w:tcBorders>
            <w:shd w:val="clear" w:color="auto" w:fill="6E9ECA"/>
          </w:tcPr>
          <w:p w14:paraId="407BE743" w14:textId="77777777" w:rsidR="00905AC2" w:rsidRPr="002048A7" w:rsidRDefault="00905AC2" w:rsidP="00905AC2">
            <w:pPr>
              <w:pStyle w:val="TableParagraph"/>
              <w:spacing w:before="2"/>
              <w:rPr>
                <w:rFonts w:ascii="Calibri" w:eastAsia="Calibri" w:hAnsi="Calibri" w:cs="Calibri"/>
                <w:b/>
                <w:bCs/>
              </w:rPr>
            </w:pPr>
          </w:p>
          <w:p w14:paraId="6C63BACC" w14:textId="77777777" w:rsidR="00905AC2" w:rsidRPr="002048A7" w:rsidRDefault="00905AC2" w:rsidP="00905AC2">
            <w:pPr>
              <w:jc w:val="center"/>
              <w:rPr>
                <w:rFonts w:ascii="Calibri" w:hAnsi="Calibri" w:cs="Calibri"/>
              </w:rPr>
            </w:pPr>
            <w:r w:rsidRPr="002048A7">
              <w:rPr>
                <w:rFonts w:cstheme="minorHAnsi"/>
                <w:b/>
                <w:bCs/>
                <w:color w:val="FFFFFF" w:themeColor="background1"/>
              </w:rPr>
              <w:t>Kurul Karar Tarihi</w:t>
            </w:r>
          </w:p>
        </w:tc>
        <w:tc>
          <w:tcPr>
            <w:tcW w:w="1520" w:type="dxa"/>
            <w:tcBorders>
              <w:top w:val="single" w:sz="4" w:space="0" w:color="BFBFBF"/>
              <w:left w:val="single" w:sz="4" w:space="0" w:color="BFBFBF"/>
              <w:bottom w:val="single" w:sz="4" w:space="0" w:color="BFBFBF"/>
              <w:right w:val="single" w:sz="4" w:space="0" w:color="BFBFBF"/>
            </w:tcBorders>
            <w:shd w:val="clear" w:color="auto" w:fill="6E9ECA"/>
          </w:tcPr>
          <w:p w14:paraId="49020C8F" w14:textId="77777777" w:rsidR="00905AC2" w:rsidRPr="002048A7" w:rsidRDefault="00905AC2" w:rsidP="00905AC2">
            <w:pPr>
              <w:jc w:val="center"/>
              <w:rPr>
                <w:rFonts w:cstheme="minorHAnsi"/>
                <w:b/>
                <w:bCs/>
                <w:color w:val="FFFFFF" w:themeColor="background1"/>
              </w:rPr>
            </w:pPr>
            <w:r w:rsidRPr="002048A7">
              <w:rPr>
                <w:rFonts w:cstheme="minorHAnsi"/>
                <w:b/>
                <w:bCs/>
                <w:color w:val="FFFFFF" w:themeColor="background1"/>
              </w:rPr>
              <w:t>Kurul Karar Sayısı</w:t>
            </w:r>
          </w:p>
        </w:tc>
        <w:tc>
          <w:tcPr>
            <w:tcW w:w="1910" w:type="dxa"/>
            <w:tcBorders>
              <w:top w:val="single" w:sz="4" w:space="0" w:color="BFBFBF"/>
              <w:left w:val="single" w:sz="4" w:space="0" w:color="BFBFBF"/>
              <w:bottom w:val="single" w:sz="4" w:space="0" w:color="BFBFBF"/>
              <w:right w:val="single" w:sz="4" w:space="0" w:color="BFBFBF"/>
            </w:tcBorders>
            <w:shd w:val="clear" w:color="auto" w:fill="6E9ECA"/>
          </w:tcPr>
          <w:p w14:paraId="6EA8ABE1" w14:textId="77777777" w:rsidR="00905AC2" w:rsidRPr="002048A7" w:rsidRDefault="00905AC2" w:rsidP="00905AC2">
            <w:pPr>
              <w:pStyle w:val="TableParagraph"/>
              <w:spacing w:before="2"/>
              <w:rPr>
                <w:rFonts w:eastAsia="Calibri" w:cstheme="minorHAnsi"/>
                <w:b/>
                <w:bCs/>
                <w:color w:val="FFFFFF" w:themeColor="background1"/>
                <w:lang w:val="tr-TR"/>
              </w:rPr>
            </w:pPr>
          </w:p>
          <w:p w14:paraId="57D6C016" w14:textId="77777777" w:rsidR="00905AC2" w:rsidRPr="002048A7" w:rsidRDefault="00905AC2" w:rsidP="00905AC2">
            <w:pPr>
              <w:pStyle w:val="TableParagraph"/>
              <w:ind w:left="353"/>
              <w:rPr>
                <w:rFonts w:eastAsia="Calibri" w:cstheme="minorHAnsi"/>
                <w:b/>
                <w:bCs/>
                <w:color w:val="FFFFFF" w:themeColor="background1"/>
                <w:lang w:val="tr-TR"/>
              </w:rPr>
            </w:pPr>
            <w:r w:rsidRPr="002048A7">
              <w:rPr>
                <w:rFonts w:eastAsia="Calibri" w:cstheme="minorHAnsi"/>
                <w:b/>
                <w:bCs/>
                <w:color w:val="FFFFFF" w:themeColor="background1"/>
                <w:lang w:val="tr-TR"/>
              </w:rPr>
              <w:t>Yürürlük Tarihi</w:t>
            </w:r>
          </w:p>
        </w:tc>
        <w:tc>
          <w:tcPr>
            <w:tcW w:w="2829" w:type="dxa"/>
            <w:tcBorders>
              <w:top w:val="single" w:sz="4" w:space="0" w:color="BFBFBF"/>
              <w:left w:val="single" w:sz="4" w:space="0" w:color="BFBFBF"/>
              <w:bottom w:val="single" w:sz="4" w:space="0" w:color="BFBFBF"/>
              <w:right w:val="single" w:sz="4" w:space="0" w:color="BFBFBF"/>
            </w:tcBorders>
            <w:shd w:val="clear" w:color="auto" w:fill="6E9ECA"/>
          </w:tcPr>
          <w:p w14:paraId="6493F4D1" w14:textId="77777777" w:rsidR="00905AC2" w:rsidRPr="002048A7" w:rsidRDefault="00905AC2" w:rsidP="00905AC2">
            <w:pPr>
              <w:pStyle w:val="TableParagraph"/>
              <w:ind w:left="139"/>
              <w:jc w:val="center"/>
              <w:rPr>
                <w:rFonts w:eastAsia="Calibri" w:cstheme="minorHAnsi"/>
                <w:b/>
                <w:bCs/>
                <w:color w:val="FFFFFF" w:themeColor="background1"/>
                <w:lang w:val="tr-TR"/>
              </w:rPr>
            </w:pPr>
            <w:r w:rsidRPr="002048A7">
              <w:rPr>
                <w:rFonts w:eastAsia="Calibri" w:cstheme="minorHAnsi"/>
                <w:b/>
                <w:bCs/>
                <w:color w:val="FFFFFF" w:themeColor="background1"/>
                <w:lang w:val="tr-TR"/>
              </w:rPr>
              <w:t>Yayımlandığı Resmî Gazete’nin Tarih ve Sayısı</w:t>
            </w:r>
          </w:p>
        </w:tc>
      </w:tr>
      <w:tr w:rsidR="00905AC2" w:rsidRPr="002048A7" w14:paraId="74E0A8EF" w14:textId="77777777" w:rsidTr="00905AC2">
        <w:trPr>
          <w:trHeight w:hRule="exact" w:val="364"/>
          <w:jc w:val="center"/>
        </w:trPr>
        <w:tc>
          <w:tcPr>
            <w:tcW w:w="2690" w:type="dxa"/>
            <w:tcBorders>
              <w:top w:val="single" w:sz="4" w:space="0" w:color="BFBFBF"/>
              <w:left w:val="single" w:sz="4" w:space="0" w:color="BFBFBF"/>
              <w:bottom w:val="single" w:sz="4" w:space="0" w:color="BFBFBF"/>
              <w:right w:val="single" w:sz="4" w:space="0" w:color="BFBFBF"/>
            </w:tcBorders>
            <w:vAlign w:val="center"/>
          </w:tcPr>
          <w:p w14:paraId="488FFC3F" w14:textId="77777777" w:rsidR="00905AC2" w:rsidRPr="002048A7" w:rsidRDefault="00905AC2" w:rsidP="00905AC2">
            <w:pPr>
              <w:jc w:val="center"/>
            </w:pPr>
            <w:r w:rsidRPr="002048A7">
              <w:t>2</w:t>
            </w:r>
            <w:r>
              <w:t>8</w:t>
            </w:r>
            <w:r w:rsidRPr="002048A7">
              <w:t>.12.202</w:t>
            </w:r>
            <w:r>
              <w:t>3</w:t>
            </w:r>
          </w:p>
        </w:tc>
        <w:tc>
          <w:tcPr>
            <w:tcW w:w="1520" w:type="dxa"/>
            <w:tcBorders>
              <w:top w:val="single" w:sz="4" w:space="0" w:color="BFBFBF"/>
              <w:left w:val="single" w:sz="4" w:space="0" w:color="BFBFBF"/>
              <w:bottom w:val="single" w:sz="4" w:space="0" w:color="BFBFBF"/>
              <w:right w:val="single" w:sz="4" w:space="0" w:color="BFBFBF"/>
            </w:tcBorders>
            <w:vAlign w:val="center"/>
          </w:tcPr>
          <w:p w14:paraId="56CCC950" w14:textId="77777777" w:rsidR="00905AC2" w:rsidRPr="002048A7" w:rsidRDefault="00905AC2" w:rsidP="00905AC2">
            <w:pPr>
              <w:jc w:val="center"/>
            </w:pPr>
            <w:r w:rsidRPr="002048A7">
              <w:t>1</w:t>
            </w:r>
            <w:r>
              <w:t>2318</w:t>
            </w:r>
          </w:p>
        </w:tc>
        <w:tc>
          <w:tcPr>
            <w:tcW w:w="1910" w:type="dxa"/>
            <w:tcBorders>
              <w:top w:val="single" w:sz="4" w:space="0" w:color="BFBFBF"/>
              <w:left w:val="single" w:sz="4" w:space="0" w:color="BFBFBF"/>
              <w:bottom w:val="single" w:sz="4" w:space="0" w:color="BFBFBF"/>
              <w:right w:val="single" w:sz="4" w:space="0" w:color="BFBFBF"/>
            </w:tcBorders>
            <w:vAlign w:val="center"/>
          </w:tcPr>
          <w:p w14:paraId="0953E665" w14:textId="77777777" w:rsidR="00905AC2" w:rsidRPr="002048A7" w:rsidRDefault="00905AC2" w:rsidP="00905AC2">
            <w:pPr>
              <w:jc w:val="center"/>
            </w:pPr>
            <w:r w:rsidRPr="002048A7">
              <w:t>01.01.202</w:t>
            </w:r>
            <w:r>
              <w:t>4</w:t>
            </w:r>
          </w:p>
        </w:tc>
        <w:tc>
          <w:tcPr>
            <w:tcW w:w="2829" w:type="dxa"/>
            <w:tcBorders>
              <w:top w:val="single" w:sz="4" w:space="0" w:color="BFBFBF"/>
              <w:left w:val="single" w:sz="4" w:space="0" w:color="BFBFBF"/>
              <w:bottom w:val="single" w:sz="4" w:space="0" w:color="BFBFBF"/>
              <w:right w:val="single" w:sz="4" w:space="0" w:color="BFBFBF"/>
            </w:tcBorders>
            <w:vAlign w:val="center"/>
          </w:tcPr>
          <w:p w14:paraId="72BA6C7B" w14:textId="77777777" w:rsidR="00905AC2" w:rsidRPr="002048A7" w:rsidRDefault="00905AC2" w:rsidP="00905AC2">
            <w:pPr>
              <w:jc w:val="center"/>
            </w:pPr>
            <w:r w:rsidRPr="002048A7">
              <w:t>30.12.202</w:t>
            </w:r>
            <w:r>
              <w:t>3</w:t>
            </w:r>
            <w:r w:rsidRPr="002048A7">
              <w:t>-32</w:t>
            </w:r>
            <w:r>
              <w:t>415</w:t>
            </w:r>
          </w:p>
        </w:tc>
      </w:tr>
      <w:tr w:rsidR="00905AC2" w:rsidRPr="002048A7" w14:paraId="07AD392A" w14:textId="77777777" w:rsidTr="00905AC2">
        <w:trPr>
          <w:trHeight w:hRule="exact" w:val="364"/>
          <w:jc w:val="center"/>
        </w:trPr>
        <w:tc>
          <w:tcPr>
            <w:tcW w:w="2690" w:type="dxa"/>
            <w:tcBorders>
              <w:top w:val="single" w:sz="4" w:space="0" w:color="BFBFBF"/>
              <w:left w:val="single" w:sz="4" w:space="0" w:color="BFBFBF"/>
              <w:bottom w:val="single" w:sz="4" w:space="0" w:color="BFBFBF"/>
              <w:right w:val="single" w:sz="4" w:space="0" w:color="BFBFBF"/>
            </w:tcBorders>
            <w:vAlign w:val="center"/>
          </w:tcPr>
          <w:p w14:paraId="69BDDB92" w14:textId="77777777" w:rsidR="00905AC2" w:rsidRPr="002048A7" w:rsidRDefault="00905AC2" w:rsidP="00905AC2">
            <w:pPr>
              <w:jc w:val="center"/>
            </w:pPr>
            <w:r>
              <w:t>27</w:t>
            </w:r>
            <w:r w:rsidRPr="002048A7">
              <w:t>.0</w:t>
            </w:r>
            <w:r>
              <w:t>6</w:t>
            </w:r>
            <w:r w:rsidRPr="002048A7">
              <w:t>.202</w:t>
            </w:r>
            <w:r>
              <w:t>4</w:t>
            </w:r>
          </w:p>
        </w:tc>
        <w:tc>
          <w:tcPr>
            <w:tcW w:w="1520" w:type="dxa"/>
            <w:tcBorders>
              <w:top w:val="single" w:sz="4" w:space="0" w:color="BFBFBF"/>
              <w:left w:val="single" w:sz="4" w:space="0" w:color="BFBFBF"/>
              <w:bottom w:val="single" w:sz="4" w:space="0" w:color="BFBFBF"/>
              <w:right w:val="single" w:sz="4" w:space="0" w:color="BFBFBF"/>
            </w:tcBorders>
            <w:vAlign w:val="center"/>
          </w:tcPr>
          <w:p w14:paraId="339D6EE5" w14:textId="77777777" w:rsidR="00905AC2" w:rsidRPr="002048A7" w:rsidDel="001078E5" w:rsidRDefault="00905AC2" w:rsidP="00905AC2">
            <w:pPr>
              <w:jc w:val="center"/>
            </w:pPr>
            <w:r w:rsidRPr="002048A7">
              <w:t>1</w:t>
            </w:r>
            <w:r>
              <w:t>2719</w:t>
            </w:r>
          </w:p>
        </w:tc>
        <w:tc>
          <w:tcPr>
            <w:tcW w:w="1910" w:type="dxa"/>
            <w:tcBorders>
              <w:top w:val="single" w:sz="4" w:space="0" w:color="BFBFBF"/>
              <w:left w:val="single" w:sz="4" w:space="0" w:color="BFBFBF"/>
              <w:bottom w:val="single" w:sz="4" w:space="0" w:color="BFBFBF"/>
              <w:right w:val="single" w:sz="4" w:space="0" w:color="BFBFBF"/>
            </w:tcBorders>
            <w:vAlign w:val="center"/>
          </w:tcPr>
          <w:p w14:paraId="39B40E86" w14:textId="77777777" w:rsidR="00905AC2" w:rsidRPr="002048A7" w:rsidRDefault="00905AC2" w:rsidP="00905AC2">
            <w:pPr>
              <w:jc w:val="center"/>
            </w:pPr>
            <w:r w:rsidRPr="002048A7">
              <w:t>0</w:t>
            </w:r>
            <w:r>
              <w:t>1</w:t>
            </w:r>
            <w:r w:rsidRPr="002048A7">
              <w:t>.0</w:t>
            </w:r>
            <w:r>
              <w:t>7</w:t>
            </w:r>
            <w:r w:rsidRPr="002048A7">
              <w:t>.202</w:t>
            </w:r>
            <w:r>
              <w:t>4</w:t>
            </w:r>
          </w:p>
        </w:tc>
        <w:tc>
          <w:tcPr>
            <w:tcW w:w="2829" w:type="dxa"/>
            <w:tcBorders>
              <w:top w:val="single" w:sz="4" w:space="0" w:color="BFBFBF"/>
              <w:left w:val="single" w:sz="4" w:space="0" w:color="BFBFBF"/>
              <w:bottom w:val="single" w:sz="4" w:space="0" w:color="BFBFBF"/>
              <w:right w:val="single" w:sz="4" w:space="0" w:color="BFBFBF"/>
            </w:tcBorders>
            <w:vAlign w:val="center"/>
          </w:tcPr>
          <w:p w14:paraId="4B9E0185" w14:textId="77777777" w:rsidR="00905AC2" w:rsidRPr="002048A7" w:rsidRDefault="00905AC2" w:rsidP="00905AC2">
            <w:pPr>
              <w:jc w:val="center"/>
            </w:pPr>
            <w:r>
              <w:t>29</w:t>
            </w:r>
            <w:r w:rsidRPr="002048A7">
              <w:t>.0</w:t>
            </w:r>
            <w:r>
              <w:t>6</w:t>
            </w:r>
            <w:r w:rsidRPr="002048A7">
              <w:t>.202</w:t>
            </w:r>
            <w:r>
              <w:t>4</w:t>
            </w:r>
            <w:r w:rsidRPr="002048A7">
              <w:t>-32</w:t>
            </w:r>
            <w:r>
              <w:t>587</w:t>
            </w:r>
          </w:p>
        </w:tc>
      </w:tr>
    </w:tbl>
    <w:p w14:paraId="1B76BEAD" w14:textId="77777777" w:rsidR="00905AC2" w:rsidRPr="002048A7" w:rsidRDefault="00905AC2" w:rsidP="00905AC2">
      <w:pPr>
        <w:spacing w:after="120"/>
      </w:pPr>
    </w:p>
    <w:p w14:paraId="357DB217" w14:textId="77777777" w:rsidR="00FE2FC0" w:rsidRPr="002048A7" w:rsidRDefault="00FE2FC0" w:rsidP="00FE2FC0">
      <w:pPr>
        <w:rPr>
          <w:color w:val="000000" w:themeColor="text1"/>
        </w:rPr>
      </w:pPr>
      <w:r w:rsidRPr="002048A7">
        <w:rPr>
          <w:color w:val="000000" w:themeColor="text1"/>
        </w:rPr>
        <w:t>Tablo 4.4’te belirtilen Kurul Kararları ile dağıtım şirketlerinin 202</w:t>
      </w:r>
      <w:r w:rsidR="00905AC2">
        <w:rPr>
          <w:color w:val="000000" w:themeColor="text1"/>
        </w:rPr>
        <w:t>5</w:t>
      </w:r>
      <w:r w:rsidRPr="002048A7">
        <w:rPr>
          <w:color w:val="000000" w:themeColor="text1"/>
        </w:rPr>
        <w:t xml:space="preserve"> yılı </w:t>
      </w:r>
      <w:r w:rsidRPr="002048A7">
        <w:t xml:space="preserve">sistem işletim </w:t>
      </w:r>
      <w:r w:rsidRPr="002048A7">
        <w:rPr>
          <w:color w:val="000000" w:themeColor="text1"/>
        </w:rPr>
        <w:t>gelir tavanları onaylanmıştır.</w:t>
      </w:r>
    </w:p>
    <w:p w14:paraId="3225DB85" w14:textId="77777777" w:rsidR="00905AC2" w:rsidRPr="002048A7" w:rsidRDefault="00905AC2" w:rsidP="00905AC2">
      <w:pPr>
        <w:pStyle w:val="Balk5"/>
        <w:spacing w:before="0" w:line="269" w:lineRule="auto"/>
        <w:jc w:val="center"/>
        <w:rPr>
          <w:rStyle w:val="Gl"/>
          <w:color w:val="auto"/>
        </w:rPr>
      </w:pPr>
      <w:bookmarkStart w:id="179" w:name="_Toc195868814"/>
      <w:r w:rsidRPr="002048A7">
        <w:rPr>
          <w:rStyle w:val="Gl"/>
          <w:color w:val="auto"/>
        </w:rPr>
        <w:t>Tablo 4.4: Dağıtım Şirketlerinin 202</w:t>
      </w:r>
      <w:r>
        <w:rPr>
          <w:rStyle w:val="Gl"/>
          <w:color w:val="auto"/>
        </w:rPr>
        <w:t>5</w:t>
      </w:r>
      <w:r w:rsidRPr="002048A7">
        <w:rPr>
          <w:rStyle w:val="Gl"/>
          <w:color w:val="auto"/>
        </w:rPr>
        <w:t xml:space="preserve"> Yılı Sistem İşletim Gelir Tavanlarının Onaylanmasına İlişkin</w:t>
      </w:r>
      <w:r w:rsidRPr="002048A7">
        <w:rPr>
          <w:rStyle w:val="Gl"/>
          <w:color w:val="auto"/>
        </w:rPr>
        <w:br/>
        <w:t>Kurul Kararları</w:t>
      </w:r>
      <w:bookmarkEnd w:id="179"/>
    </w:p>
    <w:tbl>
      <w:tblPr>
        <w:tblStyle w:val="TableNormal"/>
        <w:tblW w:w="0" w:type="auto"/>
        <w:jc w:val="center"/>
        <w:tblLook w:val="01E0" w:firstRow="1" w:lastRow="1" w:firstColumn="1" w:lastColumn="1" w:noHBand="0" w:noVBand="0"/>
      </w:tblPr>
      <w:tblGrid>
        <w:gridCol w:w="4430"/>
        <w:gridCol w:w="2487"/>
        <w:gridCol w:w="2009"/>
      </w:tblGrid>
      <w:tr w:rsidR="00905AC2" w:rsidRPr="002048A7" w14:paraId="2EF7CC07" w14:textId="77777777" w:rsidTr="00905AC2">
        <w:trPr>
          <w:trHeight w:hRule="exact" w:val="454"/>
          <w:tblHeader/>
          <w:jc w:val="center"/>
        </w:trPr>
        <w:tc>
          <w:tcPr>
            <w:tcW w:w="4430" w:type="dxa"/>
            <w:tcBorders>
              <w:top w:val="single" w:sz="4" w:space="0" w:color="BFBFBF"/>
              <w:left w:val="single" w:sz="4" w:space="0" w:color="BFBFBF"/>
              <w:bottom w:val="single" w:sz="4" w:space="0" w:color="BFBFBF"/>
              <w:right w:val="single" w:sz="4" w:space="0" w:color="BFBFBF"/>
            </w:tcBorders>
            <w:shd w:val="clear" w:color="auto" w:fill="6E9ECA"/>
          </w:tcPr>
          <w:p w14:paraId="71635BE0" w14:textId="77777777" w:rsidR="00905AC2" w:rsidRPr="002048A7" w:rsidRDefault="00905AC2" w:rsidP="00905AC2">
            <w:pPr>
              <w:pStyle w:val="TableParagraph"/>
              <w:spacing w:before="152"/>
              <w:rPr>
                <w:rFonts w:ascii="Calibri" w:eastAsia="Calibri" w:hAnsi="Calibri" w:cs="Calibri"/>
              </w:rPr>
            </w:pPr>
            <w:r w:rsidRPr="002048A7">
              <w:rPr>
                <w:rFonts w:ascii="Calibri" w:hAnsi="Calibri"/>
                <w:b/>
                <w:color w:val="FFFFFF"/>
                <w:spacing w:val="-1"/>
              </w:rPr>
              <w:t>Dağıtım</w:t>
            </w:r>
            <w:r w:rsidRPr="002048A7">
              <w:rPr>
                <w:rFonts w:ascii="Calibri" w:hAnsi="Calibri"/>
                <w:b/>
                <w:color w:val="FFFFFF"/>
              </w:rPr>
              <w:t xml:space="preserve"> </w:t>
            </w:r>
            <w:r w:rsidRPr="002048A7">
              <w:rPr>
                <w:rFonts w:ascii="Calibri" w:hAnsi="Calibri"/>
                <w:b/>
                <w:color w:val="FFFFFF"/>
                <w:spacing w:val="-1"/>
              </w:rPr>
              <w:t>Şirketi</w:t>
            </w:r>
            <w:r w:rsidRPr="002048A7">
              <w:rPr>
                <w:rFonts w:ascii="Calibri" w:hAnsi="Calibri"/>
                <w:b/>
                <w:color w:val="FFFFFF"/>
              </w:rPr>
              <w:t xml:space="preserve"> </w:t>
            </w:r>
            <w:r w:rsidRPr="002048A7">
              <w:rPr>
                <w:rFonts w:ascii="Calibri" w:hAnsi="Calibri"/>
                <w:b/>
                <w:color w:val="FFFFFF"/>
                <w:spacing w:val="-1"/>
              </w:rPr>
              <w:t>Unvanı</w:t>
            </w:r>
          </w:p>
        </w:tc>
        <w:tc>
          <w:tcPr>
            <w:tcW w:w="2487" w:type="dxa"/>
            <w:tcBorders>
              <w:top w:val="single" w:sz="4" w:space="0" w:color="BFBFBF"/>
              <w:left w:val="single" w:sz="4" w:space="0" w:color="BFBFBF"/>
              <w:bottom w:val="single" w:sz="4" w:space="0" w:color="BFBFBF"/>
              <w:right w:val="single" w:sz="4" w:space="0" w:color="BFBFBF"/>
            </w:tcBorders>
            <w:shd w:val="clear" w:color="auto" w:fill="6E9ECA"/>
          </w:tcPr>
          <w:p w14:paraId="0BC8830F" w14:textId="77777777" w:rsidR="00905AC2" w:rsidRPr="002048A7" w:rsidRDefault="00905AC2" w:rsidP="00905AC2">
            <w:pPr>
              <w:pStyle w:val="TableParagraph"/>
              <w:spacing w:before="152"/>
              <w:ind w:left="379"/>
              <w:rPr>
                <w:rFonts w:ascii="Calibri" w:eastAsia="Calibri" w:hAnsi="Calibri" w:cs="Calibri"/>
              </w:rPr>
            </w:pPr>
            <w:r w:rsidRPr="002048A7">
              <w:rPr>
                <w:rFonts w:ascii="Calibri"/>
                <w:b/>
                <w:color w:val="FFFFFF"/>
                <w:spacing w:val="-1"/>
              </w:rPr>
              <w:t>Kurul</w:t>
            </w:r>
            <w:r w:rsidRPr="002048A7">
              <w:rPr>
                <w:rFonts w:ascii="Calibri"/>
                <w:b/>
                <w:color w:val="FFFFFF"/>
                <w:spacing w:val="-5"/>
              </w:rPr>
              <w:t xml:space="preserve"> </w:t>
            </w:r>
            <w:r w:rsidRPr="002048A7">
              <w:rPr>
                <w:rFonts w:ascii="Calibri"/>
                <w:b/>
                <w:color w:val="FFFFFF"/>
              </w:rPr>
              <w:t>Karar</w:t>
            </w:r>
            <w:r w:rsidRPr="002048A7">
              <w:rPr>
                <w:rFonts w:ascii="Calibri"/>
                <w:b/>
                <w:color w:val="FFFFFF"/>
                <w:spacing w:val="-5"/>
              </w:rPr>
              <w:t xml:space="preserve"> </w:t>
            </w:r>
            <w:r w:rsidRPr="002048A7">
              <w:rPr>
                <w:rFonts w:ascii="Calibri"/>
                <w:b/>
                <w:color w:val="FFFFFF"/>
                <w:spacing w:val="-1"/>
              </w:rPr>
              <w:t>Tarihi</w:t>
            </w:r>
          </w:p>
        </w:tc>
        <w:tc>
          <w:tcPr>
            <w:tcW w:w="2009" w:type="dxa"/>
            <w:tcBorders>
              <w:top w:val="single" w:sz="4" w:space="0" w:color="BFBFBF"/>
              <w:left w:val="single" w:sz="4" w:space="0" w:color="BFBFBF"/>
              <w:bottom w:val="single" w:sz="4" w:space="0" w:color="BFBFBF"/>
              <w:right w:val="single" w:sz="4" w:space="0" w:color="BFBFBF"/>
            </w:tcBorders>
            <w:shd w:val="clear" w:color="auto" w:fill="6E9ECA"/>
          </w:tcPr>
          <w:p w14:paraId="26589278" w14:textId="77777777" w:rsidR="00905AC2" w:rsidRPr="002048A7" w:rsidRDefault="00905AC2" w:rsidP="00905AC2">
            <w:pPr>
              <w:pStyle w:val="TableParagraph"/>
              <w:spacing w:before="152"/>
              <w:ind w:left="119"/>
              <w:rPr>
                <w:rFonts w:ascii="Calibri" w:eastAsia="Calibri" w:hAnsi="Calibri" w:cs="Calibri"/>
              </w:rPr>
            </w:pPr>
            <w:r w:rsidRPr="002048A7">
              <w:rPr>
                <w:rFonts w:ascii="Calibri" w:hAnsi="Calibri"/>
                <w:b/>
                <w:color w:val="FFFFFF"/>
                <w:spacing w:val="-1"/>
              </w:rPr>
              <w:t>Kurul</w:t>
            </w:r>
            <w:r w:rsidRPr="002048A7">
              <w:rPr>
                <w:rFonts w:ascii="Calibri" w:hAnsi="Calibri"/>
                <w:b/>
                <w:color w:val="FFFFFF"/>
                <w:spacing w:val="-3"/>
              </w:rPr>
              <w:t xml:space="preserve"> </w:t>
            </w:r>
            <w:r w:rsidRPr="002048A7">
              <w:rPr>
                <w:rFonts w:ascii="Calibri" w:hAnsi="Calibri"/>
                <w:b/>
                <w:color w:val="FFFFFF"/>
              </w:rPr>
              <w:t>Karar</w:t>
            </w:r>
            <w:r w:rsidRPr="002048A7">
              <w:rPr>
                <w:rFonts w:ascii="Calibri" w:hAnsi="Calibri"/>
                <w:b/>
                <w:color w:val="FFFFFF"/>
                <w:spacing w:val="-3"/>
              </w:rPr>
              <w:t xml:space="preserve"> </w:t>
            </w:r>
            <w:r w:rsidRPr="002048A7">
              <w:rPr>
                <w:rFonts w:ascii="Calibri" w:hAnsi="Calibri"/>
                <w:b/>
                <w:color w:val="FFFFFF"/>
                <w:spacing w:val="-1"/>
              </w:rPr>
              <w:t>Sayısı</w:t>
            </w:r>
          </w:p>
        </w:tc>
      </w:tr>
      <w:tr w:rsidR="00905AC2" w:rsidRPr="002048A7" w14:paraId="0C433C7E" w14:textId="77777777" w:rsidTr="00905AC2">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735AF87D" w14:textId="77777777" w:rsidR="00905AC2" w:rsidRPr="002048A7" w:rsidRDefault="00905AC2" w:rsidP="00905AC2">
            <w:pPr>
              <w:pStyle w:val="TableParagraph"/>
              <w:spacing w:before="20"/>
              <w:ind w:left="65"/>
              <w:rPr>
                <w:rFonts w:eastAsia="Calibri" w:cs="Times New Roman"/>
                <w:lang w:val="tr-TR"/>
              </w:rPr>
            </w:pPr>
            <w:r w:rsidRPr="002048A7">
              <w:rPr>
                <w:rFonts w:eastAsia="Calibri" w:cs="Times New Roman"/>
                <w:lang w:val="tr-TR"/>
              </w:rPr>
              <w:t>ADM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03FBCC59" w14:textId="77777777" w:rsidR="00905AC2" w:rsidRPr="002048A7" w:rsidRDefault="00905AC2" w:rsidP="00905AC2">
            <w:pPr>
              <w:pStyle w:val="TableParagraph"/>
              <w:spacing w:before="40"/>
              <w:ind w:left="653"/>
              <w:rPr>
                <w:rFonts w:eastAsia="Calibri" w:cs="Times New Roman"/>
                <w:lang w:val="tr-TR"/>
              </w:rPr>
            </w:pPr>
            <w:r w:rsidRPr="002B1439">
              <w:rPr>
                <w:rFonts w:eastAsia="Calibri" w:cs="Times New Roman"/>
                <w:lang w:val="tr-TR"/>
              </w:rPr>
              <w:t>31.12.2024</w:t>
            </w:r>
            <w:r w:rsidRPr="002B1439" w:rsidDel="0092641B">
              <w:rPr>
                <w:rFonts w:eastAsia="Calibri" w:cs="Times New Roman"/>
                <w:lang w:val="tr-TR"/>
              </w:rPr>
              <w:t xml:space="preserve"> </w:t>
            </w:r>
          </w:p>
        </w:tc>
        <w:tc>
          <w:tcPr>
            <w:tcW w:w="2009" w:type="dxa"/>
            <w:tcBorders>
              <w:top w:val="single" w:sz="4" w:space="0" w:color="BFBFBF"/>
              <w:left w:val="single" w:sz="4" w:space="0" w:color="BFBFBF"/>
              <w:bottom w:val="single" w:sz="4" w:space="0" w:color="BFBFBF"/>
              <w:right w:val="single" w:sz="4" w:space="0" w:color="BFBFBF"/>
            </w:tcBorders>
          </w:tcPr>
          <w:p w14:paraId="6DDB2C66" w14:textId="77777777" w:rsidR="00905AC2" w:rsidRPr="002048A7" w:rsidRDefault="00905AC2" w:rsidP="00905AC2">
            <w:pPr>
              <w:pStyle w:val="TableParagraph"/>
              <w:spacing w:before="40"/>
              <w:ind w:left="560"/>
              <w:rPr>
                <w:rFonts w:eastAsia="Calibri" w:cs="Times New Roman"/>
                <w:lang w:val="tr-TR"/>
              </w:rPr>
            </w:pPr>
            <w:r w:rsidRPr="00923939">
              <w:rPr>
                <w:rFonts w:eastAsia="Calibri" w:cs="Times New Roman"/>
                <w:lang w:val="tr-TR"/>
              </w:rPr>
              <w:t>13181/1</w:t>
            </w:r>
          </w:p>
        </w:tc>
      </w:tr>
      <w:tr w:rsidR="00905AC2" w:rsidRPr="002048A7" w14:paraId="2C7399D1" w14:textId="77777777" w:rsidTr="00905AC2">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0A7475EF" w14:textId="77777777" w:rsidR="00905AC2" w:rsidRPr="002048A7" w:rsidRDefault="00905AC2" w:rsidP="00905AC2">
            <w:pPr>
              <w:pStyle w:val="TableParagraph"/>
              <w:spacing w:before="20"/>
              <w:ind w:left="65"/>
              <w:rPr>
                <w:rFonts w:eastAsia="Calibri" w:cs="Times New Roman"/>
                <w:lang w:val="tr-TR"/>
              </w:rPr>
            </w:pPr>
            <w:r w:rsidRPr="002048A7">
              <w:rPr>
                <w:rFonts w:eastAsia="Calibri" w:cs="Times New Roman"/>
                <w:lang w:val="tr-TR"/>
              </w:rPr>
              <w:t>Akdeniz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30DD023B" w14:textId="77777777" w:rsidR="00905AC2" w:rsidRPr="002048A7" w:rsidRDefault="00905AC2" w:rsidP="00905AC2">
            <w:pPr>
              <w:pStyle w:val="TableParagraph"/>
              <w:ind w:left="653"/>
              <w:rPr>
                <w:rFonts w:eastAsia="Calibri" w:cs="Times New Roman"/>
                <w:lang w:val="tr-TR"/>
              </w:rPr>
            </w:pPr>
            <w:r>
              <w:rPr>
                <w:rFonts w:eastAsia="Calibri" w:cs="Times New Roman"/>
                <w:lang w:val="tr-TR"/>
              </w:rPr>
              <w:t>26</w:t>
            </w:r>
            <w:r w:rsidRPr="002048A7">
              <w:rPr>
                <w:rFonts w:eastAsia="Calibri" w:cs="Times New Roman"/>
                <w:lang w:val="tr-TR"/>
              </w:rPr>
              <w:t>.12.202</w:t>
            </w:r>
            <w:r>
              <w:rPr>
                <w:rFonts w:eastAsia="Calibri" w:cs="Times New Roman"/>
                <w:lang w:val="tr-TR"/>
              </w:rPr>
              <w:t>4</w:t>
            </w:r>
          </w:p>
        </w:tc>
        <w:tc>
          <w:tcPr>
            <w:tcW w:w="2009" w:type="dxa"/>
            <w:tcBorders>
              <w:top w:val="single" w:sz="4" w:space="0" w:color="BFBFBF"/>
              <w:left w:val="single" w:sz="4" w:space="0" w:color="BFBFBF"/>
              <w:bottom w:val="single" w:sz="4" w:space="0" w:color="BFBFBF"/>
              <w:right w:val="single" w:sz="4" w:space="0" w:color="BFBFBF"/>
            </w:tcBorders>
          </w:tcPr>
          <w:p w14:paraId="29AB51F3" w14:textId="77777777" w:rsidR="00905AC2" w:rsidRPr="002048A7" w:rsidRDefault="00905AC2" w:rsidP="00905AC2">
            <w:pPr>
              <w:pStyle w:val="TableParagraph"/>
              <w:spacing w:before="40"/>
              <w:ind w:left="560"/>
              <w:rPr>
                <w:rFonts w:eastAsia="Calibri" w:cs="Times New Roman"/>
                <w:lang w:val="tr-TR"/>
              </w:rPr>
            </w:pPr>
            <w:r w:rsidRPr="00923939">
              <w:rPr>
                <w:rFonts w:eastAsia="Calibri" w:cs="Times New Roman"/>
                <w:lang w:val="tr-TR"/>
              </w:rPr>
              <w:t>13165/2</w:t>
            </w:r>
          </w:p>
        </w:tc>
      </w:tr>
      <w:tr w:rsidR="00905AC2" w:rsidRPr="002048A7" w14:paraId="6C65566E" w14:textId="77777777" w:rsidTr="00905AC2">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69E0A5CA" w14:textId="77777777" w:rsidR="00905AC2" w:rsidRPr="002048A7" w:rsidRDefault="00905AC2" w:rsidP="00905AC2">
            <w:pPr>
              <w:pStyle w:val="TableParagraph"/>
              <w:spacing w:before="20"/>
              <w:ind w:left="65"/>
              <w:rPr>
                <w:rFonts w:eastAsia="Calibri" w:cs="Times New Roman"/>
                <w:lang w:val="tr-TR"/>
              </w:rPr>
            </w:pPr>
            <w:r w:rsidRPr="002048A7">
              <w:rPr>
                <w:rFonts w:eastAsia="Calibri" w:cs="Times New Roman"/>
                <w:lang w:val="tr-TR"/>
              </w:rPr>
              <w:t>Akedaş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6A451F6E" w14:textId="77777777" w:rsidR="00905AC2" w:rsidRPr="002048A7" w:rsidRDefault="00905AC2" w:rsidP="00905AC2">
            <w:pPr>
              <w:pStyle w:val="TableParagraph"/>
              <w:ind w:left="653"/>
              <w:rPr>
                <w:rFonts w:eastAsia="Calibri" w:cs="Times New Roman"/>
                <w:lang w:val="tr-TR"/>
              </w:rPr>
            </w:pPr>
            <w:r w:rsidRPr="002048A7">
              <w:rPr>
                <w:rFonts w:eastAsia="Calibri" w:cs="Times New Roman"/>
                <w:lang w:val="tr-TR"/>
              </w:rPr>
              <w:t>2</w:t>
            </w:r>
            <w:r>
              <w:rPr>
                <w:rFonts w:eastAsia="Calibri" w:cs="Times New Roman"/>
                <w:lang w:val="tr-TR"/>
              </w:rPr>
              <w:t>6</w:t>
            </w:r>
            <w:r w:rsidRPr="002048A7">
              <w:rPr>
                <w:rFonts w:eastAsia="Calibri" w:cs="Times New Roman"/>
                <w:lang w:val="tr-TR"/>
              </w:rPr>
              <w:t>.12.202</w:t>
            </w:r>
            <w:r>
              <w:rPr>
                <w:rFonts w:eastAsia="Calibri" w:cs="Times New Roman"/>
                <w:lang w:val="tr-TR"/>
              </w:rPr>
              <w:t>4</w:t>
            </w:r>
          </w:p>
        </w:tc>
        <w:tc>
          <w:tcPr>
            <w:tcW w:w="2009" w:type="dxa"/>
            <w:tcBorders>
              <w:top w:val="single" w:sz="4" w:space="0" w:color="BFBFBF"/>
              <w:left w:val="single" w:sz="4" w:space="0" w:color="BFBFBF"/>
              <w:bottom w:val="single" w:sz="4" w:space="0" w:color="BFBFBF"/>
              <w:right w:val="single" w:sz="4" w:space="0" w:color="BFBFBF"/>
            </w:tcBorders>
          </w:tcPr>
          <w:p w14:paraId="78D3B21F" w14:textId="77777777" w:rsidR="00905AC2" w:rsidRPr="002048A7" w:rsidRDefault="00905AC2" w:rsidP="00905AC2">
            <w:pPr>
              <w:pStyle w:val="TableParagraph"/>
              <w:spacing w:before="40"/>
              <w:ind w:left="560"/>
              <w:rPr>
                <w:rFonts w:eastAsia="Calibri" w:cs="Times New Roman"/>
                <w:lang w:val="tr-TR"/>
              </w:rPr>
            </w:pPr>
            <w:r w:rsidRPr="00923939">
              <w:rPr>
                <w:rFonts w:eastAsia="Calibri" w:cs="Times New Roman"/>
                <w:lang w:val="tr-TR"/>
              </w:rPr>
              <w:t>13165/3</w:t>
            </w:r>
          </w:p>
        </w:tc>
      </w:tr>
      <w:tr w:rsidR="00905AC2" w:rsidRPr="002048A7" w14:paraId="0B17B710" w14:textId="77777777" w:rsidTr="00905AC2">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06B1ADE1" w14:textId="77777777" w:rsidR="00905AC2" w:rsidRPr="002048A7" w:rsidRDefault="00905AC2" w:rsidP="00905AC2">
            <w:pPr>
              <w:pStyle w:val="TableParagraph"/>
              <w:spacing w:before="20"/>
              <w:ind w:left="65"/>
              <w:rPr>
                <w:rFonts w:eastAsia="Calibri" w:cs="Times New Roman"/>
                <w:lang w:val="tr-TR"/>
              </w:rPr>
            </w:pPr>
            <w:r w:rsidRPr="002048A7">
              <w:rPr>
                <w:rFonts w:eastAsia="Calibri" w:cs="Times New Roman"/>
                <w:lang w:val="tr-TR"/>
              </w:rPr>
              <w:t>Aras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69684436" w14:textId="77777777" w:rsidR="00905AC2" w:rsidRPr="002048A7" w:rsidRDefault="00905AC2" w:rsidP="00905AC2">
            <w:pPr>
              <w:pStyle w:val="TableParagraph"/>
              <w:ind w:left="653"/>
              <w:rPr>
                <w:rFonts w:eastAsia="Calibri" w:cs="Times New Roman"/>
                <w:lang w:val="tr-TR"/>
              </w:rPr>
            </w:pPr>
            <w:r w:rsidRPr="002048A7">
              <w:rPr>
                <w:rFonts w:eastAsia="Calibri" w:cs="Times New Roman"/>
                <w:lang w:val="tr-TR"/>
              </w:rPr>
              <w:t>2</w:t>
            </w:r>
            <w:r>
              <w:rPr>
                <w:rFonts w:eastAsia="Calibri" w:cs="Times New Roman"/>
                <w:lang w:val="tr-TR"/>
              </w:rPr>
              <w:t>6</w:t>
            </w:r>
            <w:r w:rsidRPr="002048A7">
              <w:rPr>
                <w:rFonts w:eastAsia="Calibri" w:cs="Times New Roman"/>
                <w:lang w:val="tr-TR"/>
              </w:rPr>
              <w:t>.12.202</w:t>
            </w:r>
            <w:r>
              <w:rPr>
                <w:rFonts w:eastAsia="Calibri" w:cs="Times New Roman"/>
                <w:lang w:val="tr-TR"/>
              </w:rPr>
              <w:t>4</w:t>
            </w:r>
          </w:p>
        </w:tc>
        <w:tc>
          <w:tcPr>
            <w:tcW w:w="2009" w:type="dxa"/>
            <w:tcBorders>
              <w:top w:val="single" w:sz="4" w:space="0" w:color="BFBFBF"/>
              <w:left w:val="single" w:sz="4" w:space="0" w:color="BFBFBF"/>
              <w:bottom w:val="single" w:sz="4" w:space="0" w:color="BFBFBF"/>
              <w:right w:val="single" w:sz="4" w:space="0" w:color="BFBFBF"/>
            </w:tcBorders>
          </w:tcPr>
          <w:p w14:paraId="600DC3A7" w14:textId="77777777" w:rsidR="00905AC2" w:rsidRPr="002048A7" w:rsidRDefault="00905AC2" w:rsidP="00905AC2">
            <w:pPr>
              <w:pStyle w:val="TableParagraph"/>
              <w:spacing w:before="40"/>
              <w:ind w:left="560"/>
              <w:rPr>
                <w:rFonts w:eastAsia="Calibri" w:cs="Times New Roman"/>
                <w:lang w:val="tr-TR"/>
              </w:rPr>
            </w:pPr>
            <w:r w:rsidRPr="00B27DE8">
              <w:rPr>
                <w:rFonts w:eastAsia="Calibri" w:cs="Times New Roman"/>
                <w:lang w:val="tr-TR"/>
              </w:rPr>
              <w:t>13165/4</w:t>
            </w:r>
            <w:r w:rsidRPr="00B27DE8" w:rsidDel="00B27DE8">
              <w:rPr>
                <w:rFonts w:eastAsia="Calibri" w:cs="Times New Roman"/>
                <w:lang w:val="tr-TR"/>
              </w:rPr>
              <w:t xml:space="preserve"> </w:t>
            </w:r>
          </w:p>
        </w:tc>
      </w:tr>
      <w:tr w:rsidR="00905AC2" w:rsidRPr="002048A7" w14:paraId="730161C4" w14:textId="77777777" w:rsidTr="00905AC2">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27D688AD" w14:textId="77777777" w:rsidR="00905AC2" w:rsidRPr="002048A7" w:rsidRDefault="00905AC2" w:rsidP="00905AC2">
            <w:pPr>
              <w:pStyle w:val="TableParagraph"/>
              <w:spacing w:before="20"/>
              <w:ind w:left="65"/>
              <w:rPr>
                <w:rFonts w:eastAsia="Calibri" w:cs="Times New Roman"/>
                <w:lang w:val="tr-TR"/>
              </w:rPr>
            </w:pPr>
            <w:r w:rsidRPr="002048A7">
              <w:rPr>
                <w:rFonts w:eastAsia="Calibri" w:cs="Times New Roman"/>
                <w:lang w:val="tr-TR"/>
              </w:rPr>
              <w:t>Başkent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6C462099" w14:textId="77777777" w:rsidR="00905AC2" w:rsidRPr="002048A7" w:rsidRDefault="00905AC2" w:rsidP="00905AC2">
            <w:pPr>
              <w:pStyle w:val="TableParagraph"/>
              <w:ind w:left="653"/>
              <w:rPr>
                <w:rFonts w:eastAsia="Calibri" w:cs="Times New Roman"/>
                <w:lang w:val="tr-TR"/>
              </w:rPr>
            </w:pPr>
            <w:r w:rsidRPr="002048A7">
              <w:rPr>
                <w:rFonts w:eastAsia="Calibri" w:cs="Times New Roman"/>
                <w:lang w:val="tr-TR"/>
              </w:rPr>
              <w:t>2</w:t>
            </w:r>
            <w:r>
              <w:rPr>
                <w:rFonts w:eastAsia="Calibri" w:cs="Times New Roman"/>
                <w:lang w:val="tr-TR"/>
              </w:rPr>
              <w:t>6</w:t>
            </w:r>
            <w:r w:rsidRPr="002048A7">
              <w:rPr>
                <w:rFonts w:eastAsia="Calibri" w:cs="Times New Roman"/>
                <w:lang w:val="tr-TR"/>
              </w:rPr>
              <w:t>.12.202</w:t>
            </w:r>
            <w:r>
              <w:rPr>
                <w:rFonts w:eastAsia="Calibri" w:cs="Times New Roman"/>
                <w:lang w:val="tr-TR"/>
              </w:rPr>
              <w:t>4</w:t>
            </w:r>
          </w:p>
        </w:tc>
        <w:tc>
          <w:tcPr>
            <w:tcW w:w="2009" w:type="dxa"/>
            <w:tcBorders>
              <w:top w:val="single" w:sz="4" w:space="0" w:color="BFBFBF"/>
              <w:left w:val="single" w:sz="4" w:space="0" w:color="BFBFBF"/>
              <w:bottom w:val="single" w:sz="4" w:space="0" w:color="BFBFBF"/>
              <w:right w:val="single" w:sz="4" w:space="0" w:color="BFBFBF"/>
            </w:tcBorders>
          </w:tcPr>
          <w:p w14:paraId="595D7FEC" w14:textId="77777777" w:rsidR="00905AC2" w:rsidRPr="002048A7" w:rsidRDefault="00905AC2" w:rsidP="00905AC2">
            <w:pPr>
              <w:pStyle w:val="TableParagraph"/>
              <w:spacing w:before="40"/>
              <w:ind w:left="560"/>
              <w:rPr>
                <w:rFonts w:eastAsia="Calibri" w:cs="Times New Roman"/>
                <w:lang w:val="tr-TR"/>
              </w:rPr>
            </w:pPr>
            <w:r w:rsidRPr="00C30430">
              <w:rPr>
                <w:rFonts w:eastAsia="Calibri" w:cs="Times New Roman"/>
                <w:lang w:val="tr-TR"/>
              </w:rPr>
              <w:t>13165/5</w:t>
            </w:r>
          </w:p>
        </w:tc>
      </w:tr>
      <w:tr w:rsidR="00905AC2" w:rsidRPr="002048A7" w14:paraId="4C9DFD10" w14:textId="77777777" w:rsidTr="00905AC2">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17107EA9" w14:textId="77777777" w:rsidR="00905AC2" w:rsidRPr="002048A7" w:rsidRDefault="00905AC2" w:rsidP="00905AC2">
            <w:pPr>
              <w:pStyle w:val="TableParagraph"/>
              <w:spacing w:before="20"/>
              <w:ind w:left="65"/>
              <w:rPr>
                <w:rFonts w:eastAsia="Calibri" w:cs="Times New Roman"/>
                <w:lang w:val="tr-TR"/>
              </w:rPr>
            </w:pPr>
            <w:r w:rsidRPr="002048A7">
              <w:rPr>
                <w:rFonts w:eastAsia="Calibri" w:cs="Times New Roman"/>
                <w:lang w:val="tr-TR"/>
              </w:rPr>
              <w:t>Boğaziçi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6ED7E6F1" w14:textId="77777777" w:rsidR="00905AC2" w:rsidRPr="002048A7" w:rsidRDefault="00905AC2" w:rsidP="00905AC2">
            <w:pPr>
              <w:pStyle w:val="TableParagraph"/>
              <w:ind w:left="653"/>
              <w:rPr>
                <w:rFonts w:eastAsia="Calibri" w:cs="Times New Roman"/>
                <w:lang w:val="tr-TR"/>
              </w:rPr>
            </w:pPr>
            <w:r w:rsidRPr="002048A7">
              <w:rPr>
                <w:rFonts w:eastAsia="Calibri" w:cs="Times New Roman"/>
                <w:lang w:val="tr-TR"/>
              </w:rPr>
              <w:t>2</w:t>
            </w:r>
            <w:r>
              <w:rPr>
                <w:rFonts w:eastAsia="Calibri" w:cs="Times New Roman"/>
                <w:lang w:val="tr-TR"/>
              </w:rPr>
              <w:t>6</w:t>
            </w:r>
            <w:r w:rsidRPr="002048A7">
              <w:rPr>
                <w:rFonts w:eastAsia="Calibri" w:cs="Times New Roman"/>
                <w:lang w:val="tr-TR"/>
              </w:rPr>
              <w:t>.12.202</w:t>
            </w:r>
            <w:r>
              <w:rPr>
                <w:rFonts w:eastAsia="Calibri" w:cs="Times New Roman"/>
                <w:lang w:val="tr-TR"/>
              </w:rPr>
              <w:t>4</w:t>
            </w:r>
          </w:p>
        </w:tc>
        <w:tc>
          <w:tcPr>
            <w:tcW w:w="2009" w:type="dxa"/>
            <w:tcBorders>
              <w:top w:val="single" w:sz="4" w:space="0" w:color="BFBFBF"/>
              <w:left w:val="single" w:sz="4" w:space="0" w:color="BFBFBF"/>
              <w:bottom w:val="single" w:sz="4" w:space="0" w:color="BFBFBF"/>
              <w:right w:val="single" w:sz="4" w:space="0" w:color="BFBFBF"/>
            </w:tcBorders>
          </w:tcPr>
          <w:p w14:paraId="6BC3ABAD" w14:textId="77777777" w:rsidR="00905AC2" w:rsidRPr="00FB4E8E" w:rsidRDefault="00905AC2" w:rsidP="00905AC2">
            <w:pPr>
              <w:pStyle w:val="TableParagraph"/>
              <w:spacing w:before="40"/>
              <w:ind w:left="560"/>
              <w:rPr>
                <w:rFonts w:eastAsia="Calibri" w:cstheme="minorHAnsi"/>
                <w:lang w:val="tr-TR"/>
              </w:rPr>
            </w:pPr>
            <w:r>
              <w:rPr>
                <w:rFonts w:cstheme="minorHAnsi"/>
              </w:rPr>
              <w:t>13165/</w:t>
            </w:r>
            <w:r w:rsidRPr="00FB4E8E">
              <w:rPr>
                <w:rFonts w:eastAsia="Calibri" w:cstheme="minorHAnsi"/>
                <w:lang w:val="tr-TR"/>
              </w:rPr>
              <w:t>6</w:t>
            </w:r>
          </w:p>
        </w:tc>
      </w:tr>
      <w:tr w:rsidR="00905AC2" w:rsidRPr="002048A7" w14:paraId="59F96EB7" w14:textId="77777777" w:rsidTr="00905AC2">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64023A55" w14:textId="77777777" w:rsidR="00905AC2" w:rsidRPr="002048A7" w:rsidRDefault="00905AC2" w:rsidP="00905AC2">
            <w:pPr>
              <w:pStyle w:val="TableParagraph"/>
              <w:spacing w:before="20"/>
              <w:ind w:left="65"/>
              <w:rPr>
                <w:rFonts w:eastAsia="Calibri" w:cs="Times New Roman"/>
                <w:lang w:val="tr-TR"/>
              </w:rPr>
            </w:pPr>
            <w:r w:rsidRPr="002048A7">
              <w:rPr>
                <w:rFonts w:eastAsia="Calibri" w:cs="Times New Roman"/>
                <w:lang w:val="tr-TR"/>
              </w:rPr>
              <w:t>Çamlıbel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4484C1D2" w14:textId="77777777" w:rsidR="00905AC2" w:rsidRPr="002048A7" w:rsidRDefault="00905AC2" w:rsidP="00905AC2">
            <w:pPr>
              <w:pStyle w:val="TableParagraph"/>
              <w:ind w:left="653"/>
              <w:rPr>
                <w:rFonts w:eastAsia="Calibri" w:cs="Times New Roman"/>
                <w:lang w:val="tr-TR"/>
              </w:rPr>
            </w:pPr>
            <w:r w:rsidRPr="002048A7">
              <w:rPr>
                <w:rFonts w:eastAsia="Calibri" w:cs="Times New Roman"/>
                <w:lang w:val="tr-TR"/>
              </w:rPr>
              <w:t>2</w:t>
            </w:r>
            <w:r>
              <w:rPr>
                <w:rFonts w:eastAsia="Calibri" w:cs="Times New Roman"/>
                <w:lang w:val="tr-TR"/>
              </w:rPr>
              <w:t>6</w:t>
            </w:r>
            <w:r w:rsidRPr="002048A7">
              <w:rPr>
                <w:rFonts w:eastAsia="Calibri" w:cs="Times New Roman"/>
                <w:lang w:val="tr-TR"/>
              </w:rPr>
              <w:t>.12.202</w:t>
            </w:r>
            <w:r>
              <w:rPr>
                <w:rFonts w:eastAsia="Calibri" w:cs="Times New Roman"/>
                <w:lang w:val="tr-TR"/>
              </w:rPr>
              <w:t>4</w:t>
            </w:r>
          </w:p>
        </w:tc>
        <w:tc>
          <w:tcPr>
            <w:tcW w:w="2009" w:type="dxa"/>
            <w:tcBorders>
              <w:top w:val="single" w:sz="4" w:space="0" w:color="BFBFBF"/>
              <w:left w:val="single" w:sz="4" w:space="0" w:color="BFBFBF"/>
              <w:bottom w:val="single" w:sz="4" w:space="0" w:color="BFBFBF"/>
              <w:right w:val="single" w:sz="4" w:space="0" w:color="BFBFBF"/>
            </w:tcBorders>
          </w:tcPr>
          <w:p w14:paraId="340C6131" w14:textId="77777777" w:rsidR="00905AC2" w:rsidRPr="002048A7" w:rsidRDefault="00905AC2" w:rsidP="00905AC2">
            <w:pPr>
              <w:pStyle w:val="TableParagraph"/>
              <w:spacing w:before="40"/>
              <w:ind w:left="560"/>
              <w:rPr>
                <w:rFonts w:eastAsia="Calibri" w:cs="Times New Roman"/>
                <w:lang w:val="tr-TR"/>
              </w:rPr>
            </w:pPr>
            <w:r>
              <w:rPr>
                <w:rFonts w:eastAsia="Calibri" w:cs="Times New Roman"/>
                <w:lang w:val="tr-TR"/>
              </w:rPr>
              <w:t>13165/7</w:t>
            </w:r>
          </w:p>
        </w:tc>
      </w:tr>
      <w:tr w:rsidR="00905AC2" w:rsidRPr="002048A7" w14:paraId="7D9C75F4" w14:textId="77777777" w:rsidTr="00905AC2">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51193B1F" w14:textId="77777777" w:rsidR="00905AC2" w:rsidRPr="002048A7" w:rsidRDefault="00905AC2" w:rsidP="00905AC2">
            <w:pPr>
              <w:pStyle w:val="TableParagraph"/>
              <w:spacing w:before="20"/>
              <w:ind w:left="65"/>
              <w:rPr>
                <w:rFonts w:eastAsia="Calibri" w:cs="Times New Roman"/>
                <w:lang w:val="tr-TR"/>
              </w:rPr>
            </w:pPr>
            <w:r w:rsidRPr="002048A7">
              <w:rPr>
                <w:rFonts w:eastAsia="Calibri" w:cs="Times New Roman"/>
                <w:lang w:val="tr-TR"/>
              </w:rPr>
              <w:t>Çoruh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4FFDE988" w14:textId="77777777" w:rsidR="00905AC2" w:rsidRPr="002048A7" w:rsidRDefault="00905AC2" w:rsidP="00905AC2">
            <w:pPr>
              <w:pStyle w:val="TableParagraph"/>
              <w:ind w:left="653"/>
              <w:rPr>
                <w:rFonts w:eastAsia="Calibri" w:cs="Times New Roman"/>
                <w:lang w:val="tr-TR"/>
              </w:rPr>
            </w:pPr>
            <w:r w:rsidRPr="002048A7">
              <w:rPr>
                <w:rFonts w:eastAsia="Calibri" w:cs="Times New Roman"/>
                <w:lang w:val="tr-TR"/>
              </w:rPr>
              <w:t>2</w:t>
            </w:r>
            <w:r>
              <w:rPr>
                <w:rFonts w:eastAsia="Calibri" w:cs="Times New Roman"/>
                <w:lang w:val="tr-TR"/>
              </w:rPr>
              <w:t>6</w:t>
            </w:r>
            <w:r w:rsidRPr="002048A7">
              <w:rPr>
                <w:rFonts w:eastAsia="Calibri" w:cs="Times New Roman"/>
                <w:lang w:val="tr-TR"/>
              </w:rPr>
              <w:t>.12.202</w:t>
            </w:r>
            <w:r>
              <w:rPr>
                <w:rFonts w:eastAsia="Calibri" w:cs="Times New Roman"/>
                <w:lang w:val="tr-TR"/>
              </w:rPr>
              <w:t>4</w:t>
            </w:r>
          </w:p>
        </w:tc>
        <w:tc>
          <w:tcPr>
            <w:tcW w:w="2009" w:type="dxa"/>
            <w:tcBorders>
              <w:top w:val="single" w:sz="4" w:space="0" w:color="BFBFBF"/>
              <w:left w:val="single" w:sz="4" w:space="0" w:color="BFBFBF"/>
              <w:bottom w:val="single" w:sz="4" w:space="0" w:color="BFBFBF"/>
              <w:right w:val="single" w:sz="4" w:space="0" w:color="BFBFBF"/>
            </w:tcBorders>
          </w:tcPr>
          <w:p w14:paraId="5AF4D501" w14:textId="77777777" w:rsidR="00905AC2" w:rsidRPr="00FB4E8E" w:rsidRDefault="00905AC2" w:rsidP="00905AC2">
            <w:pPr>
              <w:pStyle w:val="TableParagraph"/>
              <w:spacing w:before="40"/>
              <w:ind w:left="560"/>
              <w:rPr>
                <w:rFonts w:eastAsia="Calibri" w:cstheme="minorHAnsi"/>
                <w:lang w:val="tr-TR"/>
              </w:rPr>
            </w:pPr>
            <w:r>
              <w:rPr>
                <w:rFonts w:cstheme="minorHAnsi"/>
              </w:rPr>
              <w:t>13165/8</w:t>
            </w:r>
          </w:p>
        </w:tc>
      </w:tr>
      <w:tr w:rsidR="00905AC2" w:rsidRPr="002048A7" w14:paraId="52EDE920" w14:textId="77777777" w:rsidTr="00905AC2">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766615BC" w14:textId="77777777" w:rsidR="00905AC2" w:rsidRPr="002048A7" w:rsidRDefault="00905AC2" w:rsidP="00905AC2">
            <w:pPr>
              <w:pStyle w:val="TableParagraph"/>
              <w:spacing w:before="20"/>
              <w:ind w:left="65"/>
              <w:rPr>
                <w:rFonts w:eastAsia="Calibri" w:cs="Times New Roman"/>
                <w:lang w:val="tr-TR"/>
              </w:rPr>
            </w:pPr>
            <w:r w:rsidRPr="002048A7">
              <w:rPr>
                <w:rFonts w:eastAsia="Calibri" w:cs="Times New Roman"/>
                <w:lang w:val="tr-TR"/>
              </w:rPr>
              <w:lastRenderedPageBreak/>
              <w:t>Dicle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455CD67E" w14:textId="77777777" w:rsidR="00905AC2" w:rsidRPr="002048A7" w:rsidRDefault="00905AC2" w:rsidP="00905AC2">
            <w:pPr>
              <w:pStyle w:val="TableParagraph"/>
              <w:ind w:left="653"/>
              <w:rPr>
                <w:rFonts w:eastAsia="Calibri" w:cs="Times New Roman"/>
                <w:lang w:val="tr-TR"/>
              </w:rPr>
            </w:pPr>
            <w:r w:rsidRPr="002048A7">
              <w:rPr>
                <w:rFonts w:eastAsia="Calibri" w:cs="Times New Roman"/>
                <w:lang w:val="tr-TR"/>
              </w:rPr>
              <w:t>2</w:t>
            </w:r>
            <w:r>
              <w:rPr>
                <w:rFonts w:eastAsia="Calibri" w:cs="Times New Roman"/>
                <w:lang w:val="tr-TR"/>
              </w:rPr>
              <w:t>6</w:t>
            </w:r>
            <w:r w:rsidRPr="002048A7">
              <w:rPr>
                <w:rFonts w:eastAsia="Calibri" w:cs="Times New Roman"/>
                <w:lang w:val="tr-TR"/>
              </w:rPr>
              <w:t>.12.202</w:t>
            </w:r>
            <w:r>
              <w:rPr>
                <w:rFonts w:eastAsia="Calibri" w:cs="Times New Roman"/>
                <w:lang w:val="tr-TR"/>
              </w:rPr>
              <w:t>4</w:t>
            </w:r>
          </w:p>
        </w:tc>
        <w:tc>
          <w:tcPr>
            <w:tcW w:w="2009" w:type="dxa"/>
            <w:tcBorders>
              <w:top w:val="single" w:sz="4" w:space="0" w:color="BFBFBF"/>
              <w:left w:val="single" w:sz="4" w:space="0" w:color="BFBFBF"/>
              <w:bottom w:val="single" w:sz="4" w:space="0" w:color="BFBFBF"/>
              <w:right w:val="single" w:sz="4" w:space="0" w:color="BFBFBF"/>
            </w:tcBorders>
          </w:tcPr>
          <w:p w14:paraId="159D69BB" w14:textId="77777777" w:rsidR="00905AC2" w:rsidRPr="00C30430" w:rsidRDefault="00905AC2" w:rsidP="00905AC2">
            <w:pPr>
              <w:pStyle w:val="TableParagraph"/>
              <w:spacing w:before="40"/>
              <w:ind w:left="560"/>
              <w:rPr>
                <w:rFonts w:eastAsia="Calibri" w:cs="Times New Roman"/>
                <w:lang w:val="tr-TR"/>
              </w:rPr>
            </w:pPr>
            <w:r>
              <w:rPr>
                <w:rFonts w:eastAsia="Calibri" w:cs="Times New Roman"/>
                <w:lang w:val="tr-TR"/>
              </w:rPr>
              <w:t>13165/9</w:t>
            </w:r>
          </w:p>
        </w:tc>
      </w:tr>
      <w:tr w:rsidR="00905AC2" w:rsidRPr="002048A7" w14:paraId="167B6F31" w14:textId="77777777" w:rsidTr="00905AC2">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0C154154" w14:textId="77777777" w:rsidR="00905AC2" w:rsidRPr="002048A7" w:rsidRDefault="00905AC2" w:rsidP="00905AC2">
            <w:pPr>
              <w:pStyle w:val="TableParagraph"/>
              <w:spacing w:before="20"/>
              <w:ind w:left="65"/>
              <w:rPr>
                <w:rFonts w:eastAsia="Calibri" w:cs="Times New Roman"/>
                <w:lang w:val="tr-TR"/>
              </w:rPr>
            </w:pPr>
            <w:r w:rsidRPr="002048A7">
              <w:rPr>
                <w:rFonts w:eastAsia="Calibri" w:cs="Times New Roman"/>
                <w:lang w:val="tr-TR"/>
              </w:rPr>
              <w:t>Fırat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2677D8AF" w14:textId="77777777" w:rsidR="00905AC2" w:rsidRPr="002048A7" w:rsidRDefault="00905AC2" w:rsidP="00905AC2">
            <w:pPr>
              <w:pStyle w:val="TableParagraph"/>
              <w:ind w:left="653"/>
              <w:rPr>
                <w:rFonts w:eastAsia="Calibri" w:cs="Times New Roman"/>
                <w:lang w:val="tr-TR"/>
              </w:rPr>
            </w:pPr>
            <w:r w:rsidRPr="002048A7">
              <w:rPr>
                <w:rFonts w:eastAsia="Calibri" w:cs="Times New Roman"/>
                <w:lang w:val="tr-TR"/>
              </w:rPr>
              <w:t>2</w:t>
            </w:r>
            <w:r>
              <w:rPr>
                <w:rFonts w:eastAsia="Calibri" w:cs="Times New Roman"/>
                <w:lang w:val="tr-TR"/>
              </w:rPr>
              <w:t>6</w:t>
            </w:r>
            <w:r w:rsidRPr="002048A7">
              <w:rPr>
                <w:rFonts w:eastAsia="Calibri" w:cs="Times New Roman"/>
                <w:lang w:val="tr-TR"/>
              </w:rPr>
              <w:t>.12.202</w:t>
            </w:r>
            <w:r>
              <w:rPr>
                <w:rFonts w:eastAsia="Calibri" w:cs="Times New Roman"/>
                <w:lang w:val="tr-TR"/>
              </w:rPr>
              <w:t>4</w:t>
            </w:r>
          </w:p>
        </w:tc>
        <w:tc>
          <w:tcPr>
            <w:tcW w:w="2009" w:type="dxa"/>
            <w:tcBorders>
              <w:top w:val="single" w:sz="4" w:space="0" w:color="BFBFBF"/>
              <w:left w:val="single" w:sz="4" w:space="0" w:color="BFBFBF"/>
              <w:bottom w:val="single" w:sz="4" w:space="0" w:color="BFBFBF"/>
              <w:right w:val="single" w:sz="4" w:space="0" w:color="BFBFBF"/>
            </w:tcBorders>
          </w:tcPr>
          <w:p w14:paraId="5EC068A5" w14:textId="77777777" w:rsidR="00905AC2" w:rsidRPr="002048A7" w:rsidRDefault="00905AC2" w:rsidP="00905AC2">
            <w:pPr>
              <w:pStyle w:val="TableParagraph"/>
              <w:spacing w:before="40"/>
              <w:ind w:left="560"/>
              <w:rPr>
                <w:rFonts w:eastAsia="Calibri" w:cs="Times New Roman"/>
                <w:lang w:val="tr-TR"/>
              </w:rPr>
            </w:pPr>
            <w:r w:rsidRPr="002048A7">
              <w:rPr>
                <w:rFonts w:eastAsia="Calibri" w:cs="Times New Roman"/>
                <w:lang w:val="tr-TR"/>
              </w:rPr>
              <w:t>1</w:t>
            </w:r>
            <w:r>
              <w:rPr>
                <w:rFonts w:eastAsia="Calibri" w:cs="Times New Roman"/>
                <w:lang w:val="tr-TR"/>
              </w:rPr>
              <w:t>3165/10</w:t>
            </w:r>
          </w:p>
        </w:tc>
      </w:tr>
      <w:tr w:rsidR="00905AC2" w:rsidRPr="002048A7" w14:paraId="6EB1998C" w14:textId="77777777" w:rsidTr="00905AC2">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186557D6" w14:textId="77777777" w:rsidR="00905AC2" w:rsidRPr="002048A7" w:rsidRDefault="00905AC2" w:rsidP="00905AC2">
            <w:pPr>
              <w:pStyle w:val="TableParagraph"/>
              <w:spacing w:before="20"/>
              <w:ind w:left="65"/>
              <w:rPr>
                <w:rFonts w:eastAsia="Calibri" w:cs="Times New Roman"/>
                <w:lang w:val="tr-TR"/>
              </w:rPr>
            </w:pPr>
            <w:r w:rsidRPr="002048A7">
              <w:rPr>
                <w:rFonts w:eastAsia="Calibri" w:cs="Times New Roman"/>
                <w:lang w:val="tr-TR"/>
              </w:rPr>
              <w:t>GDZ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02E76697" w14:textId="77777777" w:rsidR="00905AC2" w:rsidRPr="002048A7" w:rsidRDefault="00905AC2" w:rsidP="00905AC2">
            <w:pPr>
              <w:pStyle w:val="TableParagraph"/>
              <w:ind w:left="653"/>
              <w:rPr>
                <w:rFonts w:eastAsia="Calibri" w:cs="Times New Roman"/>
                <w:lang w:val="tr-TR"/>
              </w:rPr>
            </w:pPr>
            <w:r w:rsidRPr="002048A7">
              <w:rPr>
                <w:rFonts w:eastAsia="Calibri" w:cs="Times New Roman"/>
                <w:lang w:val="tr-TR"/>
              </w:rPr>
              <w:t>2</w:t>
            </w:r>
            <w:r>
              <w:rPr>
                <w:rFonts w:eastAsia="Calibri" w:cs="Times New Roman"/>
                <w:lang w:val="tr-TR"/>
              </w:rPr>
              <w:t>6.</w:t>
            </w:r>
            <w:r w:rsidRPr="002048A7">
              <w:rPr>
                <w:rFonts w:eastAsia="Calibri" w:cs="Times New Roman"/>
                <w:lang w:val="tr-TR"/>
              </w:rPr>
              <w:t>12.202</w:t>
            </w:r>
            <w:r>
              <w:rPr>
                <w:rFonts w:eastAsia="Calibri" w:cs="Times New Roman"/>
                <w:lang w:val="tr-TR"/>
              </w:rPr>
              <w:t>4</w:t>
            </w:r>
          </w:p>
        </w:tc>
        <w:tc>
          <w:tcPr>
            <w:tcW w:w="2009" w:type="dxa"/>
            <w:tcBorders>
              <w:top w:val="single" w:sz="4" w:space="0" w:color="BFBFBF"/>
              <w:left w:val="single" w:sz="4" w:space="0" w:color="BFBFBF"/>
              <w:bottom w:val="single" w:sz="4" w:space="0" w:color="BFBFBF"/>
              <w:right w:val="single" w:sz="4" w:space="0" w:color="BFBFBF"/>
            </w:tcBorders>
          </w:tcPr>
          <w:p w14:paraId="02576B07" w14:textId="77777777" w:rsidR="00905AC2" w:rsidRPr="002048A7" w:rsidRDefault="00905AC2" w:rsidP="00905AC2">
            <w:pPr>
              <w:pStyle w:val="TableParagraph"/>
              <w:spacing w:before="40"/>
              <w:ind w:left="560"/>
              <w:rPr>
                <w:rFonts w:eastAsia="Calibri" w:cs="Times New Roman"/>
                <w:lang w:val="tr-TR"/>
              </w:rPr>
            </w:pPr>
            <w:r w:rsidRPr="002048A7">
              <w:rPr>
                <w:rFonts w:eastAsia="Calibri" w:cs="Times New Roman"/>
                <w:lang w:val="tr-TR"/>
              </w:rPr>
              <w:t>1</w:t>
            </w:r>
            <w:r>
              <w:rPr>
                <w:rFonts w:eastAsia="Calibri" w:cs="Times New Roman"/>
                <w:lang w:val="tr-TR"/>
              </w:rPr>
              <w:t>3165/11</w:t>
            </w:r>
          </w:p>
        </w:tc>
      </w:tr>
      <w:tr w:rsidR="00905AC2" w:rsidRPr="002048A7" w14:paraId="41C3C402" w14:textId="77777777" w:rsidTr="00905AC2">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2E5C94EE" w14:textId="77777777" w:rsidR="00905AC2" w:rsidRPr="002048A7" w:rsidRDefault="00905AC2" w:rsidP="00905AC2">
            <w:pPr>
              <w:pStyle w:val="TableParagraph"/>
              <w:spacing w:before="20"/>
              <w:ind w:left="65"/>
              <w:rPr>
                <w:rFonts w:eastAsia="Calibri" w:cs="Times New Roman"/>
                <w:lang w:val="tr-TR"/>
              </w:rPr>
            </w:pPr>
            <w:r w:rsidRPr="002048A7">
              <w:rPr>
                <w:rFonts w:eastAsia="Calibri" w:cs="Times New Roman"/>
                <w:lang w:val="tr-TR"/>
              </w:rPr>
              <w:t>İstanbul Anadolu Yakası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30CA3139" w14:textId="77777777" w:rsidR="00905AC2" w:rsidRPr="002048A7" w:rsidRDefault="00905AC2" w:rsidP="00905AC2">
            <w:pPr>
              <w:pStyle w:val="TableParagraph"/>
              <w:ind w:left="653"/>
              <w:rPr>
                <w:rFonts w:eastAsia="Calibri" w:cs="Times New Roman"/>
                <w:lang w:val="tr-TR"/>
              </w:rPr>
            </w:pPr>
            <w:r w:rsidRPr="002048A7">
              <w:rPr>
                <w:rFonts w:eastAsia="Calibri" w:cs="Times New Roman"/>
                <w:lang w:val="tr-TR"/>
              </w:rPr>
              <w:t>2</w:t>
            </w:r>
            <w:r>
              <w:rPr>
                <w:rFonts w:eastAsia="Calibri" w:cs="Times New Roman"/>
                <w:lang w:val="tr-TR"/>
              </w:rPr>
              <w:t>6</w:t>
            </w:r>
            <w:r w:rsidRPr="002048A7">
              <w:rPr>
                <w:rFonts w:eastAsia="Calibri" w:cs="Times New Roman"/>
                <w:lang w:val="tr-TR"/>
              </w:rPr>
              <w:t>.12.202</w:t>
            </w:r>
            <w:r>
              <w:rPr>
                <w:rFonts w:eastAsia="Calibri" w:cs="Times New Roman"/>
                <w:lang w:val="tr-TR"/>
              </w:rPr>
              <w:t>4</w:t>
            </w:r>
          </w:p>
        </w:tc>
        <w:tc>
          <w:tcPr>
            <w:tcW w:w="2009" w:type="dxa"/>
            <w:tcBorders>
              <w:top w:val="single" w:sz="4" w:space="0" w:color="BFBFBF"/>
              <w:left w:val="single" w:sz="4" w:space="0" w:color="BFBFBF"/>
              <w:bottom w:val="single" w:sz="4" w:space="0" w:color="BFBFBF"/>
              <w:right w:val="single" w:sz="4" w:space="0" w:color="BFBFBF"/>
            </w:tcBorders>
          </w:tcPr>
          <w:p w14:paraId="57CF2B7A" w14:textId="77777777" w:rsidR="00905AC2" w:rsidRPr="002048A7" w:rsidRDefault="00905AC2" w:rsidP="00905AC2">
            <w:pPr>
              <w:pStyle w:val="TableParagraph"/>
              <w:spacing w:before="40"/>
              <w:ind w:left="560"/>
              <w:rPr>
                <w:rFonts w:eastAsia="Calibri" w:cs="Times New Roman"/>
                <w:lang w:val="tr-TR"/>
              </w:rPr>
            </w:pPr>
            <w:r w:rsidRPr="002048A7">
              <w:rPr>
                <w:rFonts w:eastAsia="Calibri" w:cs="Times New Roman"/>
                <w:lang w:val="tr-TR"/>
              </w:rPr>
              <w:t>1</w:t>
            </w:r>
            <w:r>
              <w:rPr>
                <w:rFonts w:eastAsia="Calibri" w:cs="Times New Roman"/>
                <w:lang w:val="tr-TR"/>
              </w:rPr>
              <w:t>3165/12</w:t>
            </w:r>
          </w:p>
        </w:tc>
      </w:tr>
      <w:tr w:rsidR="00905AC2" w:rsidRPr="002048A7" w14:paraId="215C7832" w14:textId="77777777" w:rsidTr="00905AC2">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0E434EA8" w14:textId="77777777" w:rsidR="00905AC2" w:rsidRPr="002048A7" w:rsidRDefault="00905AC2" w:rsidP="00905AC2">
            <w:pPr>
              <w:pStyle w:val="TableParagraph"/>
              <w:spacing w:before="20"/>
              <w:ind w:left="65"/>
              <w:rPr>
                <w:rFonts w:eastAsia="Calibri" w:cs="Times New Roman"/>
                <w:lang w:val="tr-TR"/>
              </w:rPr>
            </w:pPr>
            <w:r w:rsidRPr="002048A7">
              <w:rPr>
                <w:rFonts w:eastAsia="Calibri" w:cs="Times New Roman"/>
                <w:lang w:val="tr-TR"/>
              </w:rPr>
              <w:t>Kayseri ve Civarı Elektrik Türk A.Ş.</w:t>
            </w:r>
          </w:p>
        </w:tc>
        <w:tc>
          <w:tcPr>
            <w:tcW w:w="2487" w:type="dxa"/>
            <w:tcBorders>
              <w:top w:val="single" w:sz="4" w:space="0" w:color="BFBFBF"/>
              <w:left w:val="single" w:sz="4" w:space="0" w:color="BFBFBF"/>
              <w:bottom w:val="single" w:sz="4" w:space="0" w:color="BFBFBF"/>
              <w:right w:val="single" w:sz="4" w:space="0" w:color="BFBFBF"/>
            </w:tcBorders>
          </w:tcPr>
          <w:p w14:paraId="472D32E9" w14:textId="77777777" w:rsidR="00905AC2" w:rsidRPr="002048A7" w:rsidRDefault="00905AC2" w:rsidP="00905AC2">
            <w:pPr>
              <w:pStyle w:val="TableParagraph"/>
              <w:ind w:left="653"/>
              <w:rPr>
                <w:rFonts w:eastAsia="Calibri" w:cs="Times New Roman"/>
                <w:lang w:val="tr-TR"/>
              </w:rPr>
            </w:pPr>
            <w:r w:rsidRPr="002048A7">
              <w:rPr>
                <w:rFonts w:eastAsia="Calibri" w:cs="Times New Roman"/>
                <w:lang w:val="tr-TR"/>
              </w:rPr>
              <w:t>2</w:t>
            </w:r>
            <w:r>
              <w:rPr>
                <w:rFonts w:eastAsia="Calibri" w:cs="Times New Roman"/>
                <w:lang w:val="tr-TR"/>
              </w:rPr>
              <w:t>6</w:t>
            </w:r>
            <w:r w:rsidRPr="002048A7">
              <w:rPr>
                <w:rFonts w:eastAsia="Calibri" w:cs="Times New Roman"/>
                <w:lang w:val="tr-TR"/>
              </w:rPr>
              <w:t>.12.202</w:t>
            </w:r>
            <w:r>
              <w:rPr>
                <w:rFonts w:eastAsia="Calibri" w:cs="Times New Roman"/>
                <w:lang w:val="tr-TR"/>
              </w:rPr>
              <w:t>4</w:t>
            </w:r>
          </w:p>
        </w:tc>
        <w:tc>
          <w:tcPr>
            <w:tcW w:w="2009" w:type="dxa"/>
            <w:tcBorders>
              <w:top w:val="single" w:sz="4" w:space="0" w:color="BFBFBF"/>
              <w:left w:val="single" w:sz="4" w:space="0" w:color="BFBFBF"/>
              <w:bottom w:val="single" w:sz="4" w:space="0" w:color="BFBFBF"/>
              <w:right w:val="single" w:sz="4" w:space="0" w:color="BFBFBF"/>
            </w:tcBorders>
          </w:tcPr>
          <w:p w14:paraId="2C06F11C" w14:textId="77777777" w:rsidR="00905AC2" w:rsidRPr="002048A7" w:rsidRDefault="00905AC2" w:rsidP="00905AC2">
            <w:pPr>
              <w:pStyle w:val="TableParagraph"/>
              <w:spacing w:before="40"/>
              <w:ind w:left="560"/>
              <w:rPr>
                <w:rFonts w:eastAsia="Calibri" w:cs="Times New Roman"/>
                <w:lang w:val="tr-TR"/>
              </w:rPr>
            </w:pPr>
            <w:r>
              <w:rPr>
                <w:rFonts w:eastAsia="Calibri" w:cs="Times New Roman"/>
                <w:lang w:val="tr-TR"/>
              </w:rPr>
              <w:t>13165/13</w:t>
            </w:r>
          </w:p>
        </w:tc>
      </w:tr>
      <w:tr w:rsidR="00905AC2" w:rsidRPr="002048A7" w14:paraId="312FD379" w14:textId="77777777" w:rsidTr="00905AC2">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737BD267" w14:textId="77777777" w:rsidR="00905AC2" w:rsidRPr="002048A7" w:rsidRDefault="00905AC2" w:rsidP="00905AC2">
            <w:pPr>
              <w:pStyle w:val="TableParagraph"/>
              <w:spacing w:before="20"/>
              <w:ind w:left="65"/>
              <w:rPr>
                <w:rFonts w:eastAsia="Calibri" w:cs="Times New Roman"/>
                <w:lang w:val="tr-TR"/>
              </w:rPr>
            </w:pPr>
            <w:r w:rsidRPr="002048A7">
              <w:rPr>
                <w:rFonts w:eastAsia="Calibri" w:cs="Times New Roman"/>
                <w:lang w:val="tr-TR"/>
              </w:rPr>
              <w:t>Meram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7043BB1E" w14:textId="77777777" w:rsidR="00905AC2" w:rsidRPr="002048A7" w:rsidRDefault="00905AC2" w:rsidP="00905AC2">
            <w:pPr>
              <w:pStyle w:val="TableParagraph"/>
              <w:ind w:left="653"/>
              <w:rPr>
                <w:rFonts w:eastAsia="Calibri" w:cs="Times New Roman"/>
                <w:lang w:val="tr-TR"/>
              </w:rPr>
            </w:pPr>
            <w:r w:rsidRPr="002048A7">
              <w:rPr>
                <w:rFonts w:eastAsia="Calibri" w:cs="Times New Roman"/>
                <w:lang w:val="tr-TR"/>
              </w:rPr>
              <w:t>2</w:t>
            </w:r>
            <w:r>
              <w:rPr>
                <w:rFonts w:eastAsia="Calibri" w:cs="Times New Roman"/>
                <w:lang w:val="tr-TR"/>
              </w:rPr>
              <w:t>6</w:t>
            </w:r>
            <w:r w:rsidRPr="002048A7">
              <w:rPr>
                <w:rFonts w:eastAsia="Calibri" w:cs="Times New Roman"/>
                <w:lang w:val="tr-TR"/>
              </w:rPr>
              <w:t>.12.202</w:t>
            </w:r>
            <w:r>
              <w:rPr>
                <w:rFonts w:eastAsia="Calibri" w:cs="Times New Roman"/>
                <w:lang w:val="tr-TR"/>
              </w:rPr>
              <w:t>4</w:t>
            </w:r>
          </w:p>
        </w:tc>
        <w:tc>
          <w:tcPr>
            <w:tcW w:w="2009" w:type="dxa"/>
            <w:tcBorders>
              <w:top w:val="single" w:sz="4" w:space="0" w:color="BFBFBF"/>
              <w:left w:val="single" w:sz="4" w:space="0" w:color="BFBFBF"/>
              <w:bottom w:val="single" w:sz="4" w:space="0" w:color="BFBFBF"/>
              <w:right w:val="single" w:sz="4" w:space="0" w:color="BFBFBF"/>
            </w:tcBorders>
          </w:tcPr>
          <w:p w14:paraId="716E57EB" w14:textId="77777777" w:rsidR="00905AC2" w:rsidRPr="002048A7" w:rsidRDefault="00905AC2" w:rsidP="00905AC2">
            <w:pPr>
              <w:pStyle w:val="TableParagraph"/>
              <w:spacing w:before="40"/>
              <w:ind w:left="560"/>
              <w:rPr>
                <w:rFonts w:eastAsia="Calibri" w:cs="Times New Roman"/>
                <w:lang w:val="tr-TR"/>
              </w:rPr>
            </w:pPr>
            <w:r w:rsidRPr="002048A7">
              <w:rPr>
                <w:rFonts w:eastAsia="Calibri" w:cs="Times New Roman"/>
                <w:lang w:val="tr-TR"/>
              </w:rPr>
              <w:t>1</w:t>
            </w:r>
            <w:r>
              <w:rPr>
                <w:rFonts w:eastAsia="Calibri" w:cs="Times New Roman"/>
                <w:lang w:val="tr-TR"/>
              </w:rPr>
              <w:t>3165/14</w:t>
            </w:r>
          </w:p>
        </w:tc>
      </w:tr>
      <w:tr w:rsidR="00905AC2" w:rsidRPr="002048A7" w14:paraId="3CCEC657" w14:textId="77777777" w:rsidTr="00905AC2">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12D0A19A" w14:textId="77777777" w:rsidR="00905AC2" w:rsidRPr="002048A7" w:rsidRDefault="00905AC2" w:rsidP="00905AC2">
            <w:pPr>
              <w:pStyle w:val="TableParagraph"/>
              <w:spacing w:before="20"/>
              <w:ind w:left="65"/>
              <w:rPr>
                <w:rFonts w:eastAsia="Calibri" w:cs="Times New Roman"/>
                <w:lang w:val="tr-TR"/>
              </w:rPr>
            </w:pPr>
            <w:r w:rsidRPr="002048A7">
              <w:rPr>
                <w:rFonts w:eastAsia="Calibri" w:cs="Times New Roman"/>
                <w:lang w:val="tr-TR"/>
              </w:rPr>
              <w:t>Osmangazi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68D43FD9" w14:textId="77777777" w:rsidR="00905AC2" w:rsidRPr="002048A7" w:rsidRDefault="00905AC2" w:rsidP="00905AC2">
            <w:pPr>
              <w:pStyle w:val="TableParagraph"/>
              <w:ind w:left="653"/>
              <w:rPr>
                <w:rFonts w:eastAsia="Calibri" w:cs="Times New Roman"/>
                <w:lang w:val="tr-TR"/>
              </w:rPr>
            </w:pPr>
            <w:r w:rsidRPr="002048A7">
              <w:rPr>
                <w:rFonts w:eastAsia="Calibri" w:cs="Times New Roman"/>
                <w:lang w:val="tr-TR"/>
              </w:rPr>
              <w:t>2</w:t>
            </w:r>
            <w:r>
              <w:rPr>
                <w:rFonts w:eastAsia="Calibri" w:cs="Times New Roman"/>
                <w:lang w:val="tr-TR"/>
              </w:rPr>
              <w:t>6</w:t>
            </w:r>
            <w:r w:rsidRPr="002048A7">
              <w:rPr>
                <w:rFonts w:eastAsia="Calibri" w:cs="Times New Roman"/>
                <w:lang w:val="tr-TR"/>
              </w:rPr>
              <w:t>.12.202</w:t>
            </w:r>
            <w:r>
              <w:rPr>
                <w:rFonts w:eastAsia="Calibri" w:cs="Times New Roman"/>
                <w:lang w:val="tr-TR"/>
              </w:rPr>
              <w:t>4</w:t>
            </w:r>
          </w:p>
        </w:tc>
        <w:tc>
          <w:tcPr>
            <w:tcW w:w="2009" w:type="dxa"/>
            <w:tcBorders>
              <w:top w:val="single" w:sz="4" w:space="0" w:color="BFBFBF"/>
              <w:left w:val="single" w:sz="4" w:space="0" w:color="BFBFBF"/>
              <w:bottom w:val="single" w:sz="4" w:space="0" w:color="BFBFBF"/>
              <w:right w:val="single" w:sz="4" w:space="0" w:color="BFBFBF"/>
            </w:tcBorders>
          </w:tcPr>
          <w:p w14:paraId="31A25CCC" w14:textId="77777777" w:rsidR="00905AC2" w:rsidRPr="002048A7" w:rsidRDefault="00905AC2" w:rsidP="00905AC2">
            <w:pPr>
              <w:pStyle w:val="TableParagraph"/>
              <w:spacing w:before="40"/>
              <w:ind w:left="560"/>
              <w:rPr>
                <w:rFonts w:eastAsia="Calibri" w:cs="Times New Roman"/>
                <w:lang w:val="tr-TR"/>
              </w:rPr>
            </w:pPr>
            <w:r w:rsidRPr="002048A7">
              <w:rPr>
                <w:rFonts w:eastAsia="Calibri" w:cs="Times New Roman"/>
                <w:lang w:val="tr-TR"/>
              </w:rPr>
              <w:t>1</w:t>
            </w:r>
            <w:r>
              <w:rPr>
                <w:rFonts w:eastAsia="Calibri" w:cs="Times New Roman"/>
                <w:lang w:val="tr-TR"/>
              </w:rPr>
              <w:t>3165/15</w:t>
            </w:r>
          </w:p>
        </w:tc>
      </w:tr>
      <w:tr w:rsidR="00905AC2" w:rsidRPr="002048A7" w14:paraId="284FAD72" w14:textId="77777777" w:rsidTr="00905AC2">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639BD557" w14:textId="77777777" w:rsidR="00905AC2" w:rsidRPr="002048A7" w:rsidRDefault="00905AC2" w:rsidP="00905AC2">
            <w:pPr>
              <w:pStyle w:val="TableParagraph"/>
              <w:spacing w:before="20"/>
              <w:ind w:left="65"/>
              <w:rPr>
                <w:rFonts w:eastAsia="Calibri" w:cs="Times New Roman"/>
                <w:lang w:val="tr-TR"/>
              </w:rPr>
            </w:pPr>
            <w:r w:rsidRPr="002048A7">
              <w:rPr>
                <w:rFonts w:eastAsia="Calibri" w:cs="Times New Roman"/>
                <w:lang w:val="tr-TR"/>
              </w:rPr>
              <w:t>Sakarya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6C544D5C" w14:textId="77777777" w:rsidR="00905AC2" w:rsidRPr="002048A7" w:rsidRDefault="00905AC2" w:rsidP="00905AC2">
            <w:pPr>
              <w:pStyle w:val="TableParagraph"/>
              <w:ind w:left="653"/>
              <w:rPr>
                <w:rFonts w:eastAsia="Calibri" w:cs="Times New Roman"/>
                <w:lang w:val="tr-TR"/>
              </w:rPr>
            </w:pPr>
            <w:r w:rsidRPr="002048A7">
              <w:rPr>
                <w:rFonts w:eastAsia="Calibri" w:cs="Times New Roman"/>
                <w:lang w:val="tr-TR"/>
              </w:rPr>
              <w:t>2</w:t>
            </w:r>
            <w:r>
              <w:rPr>
                <w:rFonts w:eastAsia="Calibri" w:cs="Times New Roman"/>
                <w:lang w:val="tr-TR"/>
              </w:rPr>
              <w:t>6</w:t>
            </w:r>
            <w:r w:rsidRPr="002048A7">
              <w:rPr>
                <w:rFonts w:eastAsia="Calibri" w:cs="Times New Roman"/>
                <w:lang w:val="tr-TR"/>
              </w:rPr>
              <w:t>.12.202</w:t>
            </w:r>
            <w:r>
              <w:rPr>
                <w:rFonts w:eastAsia="Calibri" w:cs="Times New Roman"/>
                <w:lang w:val="tr-TR"/>
              </w:rPr>
              <w:t>4</w:t>
            </w:r>
          </w:p>
        </w:tc>
        <w:tc>
          <w:tcPr>
            <w:tcW w:w="2009" w:type="dxa"/>
            <w:tcBorders>
              <w:top w:val="single" w:sz="4" w:space="0" w:color="BFBFBF"/>
              <w:left w:val="single" w:sz="4" w:space="0" w:color="BFBFBF"/>
              <w:bottom w:val="single" w:sz="4" w:space="0" w:color="BFBFBF"/>
              <w:right w:val="single" w:sz="4" w:space="0" w:color="BFBFBF"/>
            </w:tcBorders>
          </w:tcPr>
          <w:p w14:paraId="7928ABB1" w14:textId="77777777" w:rsidR="00905AC2" w:rsidRPr="002048A7" w:rsidRDefault="00905AC2" w:rsidP="00905AC2">
            <w:pPr>
              <w:pStyle w:val="TableParagraph"/>
              <w:spacing w:before="40"/>
              <w:ind w:left="560"/>
              <w:rPr>
                <w:rFonts w:eastAsia="Calibri" w:cs="Times New Roman"/>
                <w:lang w:val="tr-TR"/>
              </w:rPr>
            </w:pPr>
            <w:r w:rsidRPr="002048A7">
              <w:rPr>
                <w:rFonts w:eastAsia="Calibri" w:cs="Times New Roman"/>
                <w:lang w:val="tr-TR"/>
              </w:rPr>
              <w:t>1</w:t>
            </w:r>
            <w:r>
              <w:rPr>
                <w:rFonts w:eastAsia="Calibri" w:cs="Times New Roman"/>
                <w:lang w:val="tr-TR"/>
              </w:rPr>
              <w:t>3165/16</w:t>
            </w:r>
          </w:p>
        </w:tc>
      </w:tr>
      <w:tr w:rsidR="00905AC2" w:rsidRPr="002048A7" w14:paraId="5F76D167" w14:textId="77777777" w:rsidTr="00905AC2">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13BDC9E8" w14:textId="77777777" w:rsidR="00905AC2" w:rsidRPr="002048A7" w:rsidRDefault="00905AC2" w:rsidP="00905AC2">
            <w:pPr>
              <w:pStyle w:val="TableParagraph"/>
              <w:spacing w:before="20"/>
              <w:ind w:left="65"/>
              <w:rPr>
                <w:rFonts w:eastAsia="Calibri" w:cs="Times New Roman"/>
                <w:lang w:val="tr-TR"/>
              </w:rPr>
            </w:pPr>
            <w:r w:rsidRPr="002048A7">
              <w:rPr>
                <w:rFonts w:eastAsia="Calibri" w:cs="Times New Roman"/>
                <w:lang w:val="tr-TR"/>
              </w:rPr>
              <w:t>Toroslar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72F77470" w14:textId="77777777" w:rsidR="00905AC2" w:rsidRPr="002048A7" w:rsidRDefault="00905AC2" w:rsidP="00905AC2">
            <w:pPr>
              <w:pStyle w:val="TableParagraph"/>
              <w:ind w:left="653"/>
              <w:rPr>
                <w:rFonts w:eastAsia="Calibri" w:cs="Times New Roman"/>
                <w:lang w:val="tr-TR"/>
              </w:rPr>
            </w:pPr>
            <w:r w:rsidRPr="002048A7">
              <w:rPr>
                <w:rFonts w:eastAsia="Calibri" w:cs="Times New Roman"/>
                <w:lang w:val="tr-TR"/>
              </w:rPr>
              <w:t>2</w:t>
            </w:r>
            <w:r>
              <w:rPr>
                <w:rFonts w:eastAsia="Calibri" w:cs="Times New Roman"/>
                <w:lang w:val="tr-TR"/>
              </w:rPr>
              <w:t>6</w:t>
            </w:r>
            <w:r w:rsidRPr="002048A7">
              <w:rPr>
                <w:rFonts w:eastAsia="Calibri" w:cs="Times New Roman"/>
                <w:lang w:val="tr-TR"/>
              </w:rPr>
              <w:t>.12.202</w:t>
            </w:r>
            <w:r>
              <w:rPr>
                <w:rFonts w:eastAsia="Calibri" w:cs="Times New Roman"/>
                <w:lang w:val="tr-TR"/>
              </w:rPr>
              <w:t>4</w:t>
            </w:r>
          </w:p>
        </w:tc>
        <w:tc>
          <w:tcPr>
            <w:tcW w:w="2009" w:type="dxa"/>
            <w:tcBorders>
              <w:top w:val="single" w:sz="4" w:space="0" w:color="BFBFBF"/>
              <w:left w:val="single" w:sz="4" w:space="0" w:color="BFBFBF"/>
              <w:bottom w:val="single" w:sz="4" w:space="0" w:color="BFBFBF"/>
              <w:right w:val="single" w:sz="4" w:space="0" w:color="BFBFBF"/>
            </w:tcBorders>
          </w:tcPr>
          <w:p w14:paraId="1A3ADE82" w14:textId="77777777" w:rsidR="00905AC2" w:rsidRPr="002048A7" w:rsidRDefault="00905AC2" w:rsidP="00905AC2">
            <w:pPr>
              <w:pStyle w:val="TableParagraph"/>
              <w:spacing w:before="40"/>
              <w:ind w:left="560"/>
              <w:rPr>
                <w:rFonts w:eastAsia="Calibri" w:cs="Times New Roman"/>
                <w:lang w:val="tr-TR"/>
              </w:rPr>
            </w:pPr>
            <w:r w:rsidRPr="002048A7">
              <w:rPr>
                <w:rFonts w:eastAsia="Calibri" w:cs="Times New Roman"/>
                <w:lang w:val="tr-TR"/>
              </w:rPr>
              <w:t>1</w:t>
            </w:r>
            <w:r>
              <w:rPr>
                <w:rFonts w:eastAsia="Calibri" w:cs="Times New Roman"/>
                <w:lang w:val="tr-TR"/>
              </w:rPr>
              <w:t>3165/17</w:t>
            </w:r>
          </w:p>
        </w:tc>
      </w:tr>
      <w:tr w:rsidR="00905AC2" w:rsidRPr="002048A7" w14:paraId="0CCA3D4A" w14:textId="77777777" w:rsidTr="00905AC2">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6C4C54C0" w14:textId="77777777" w:rsidR="00905AC2" w:rsidRPr="002048A7" w:rsidRDefault="00905AC2" w:rsidP="00905AC2">
            <w:pPr>
              <w:pStyle w:val="TableParagraph"/>
              <w:spacing w:before="20"/>
              <w:ind w:left="65"/>
              <w:rPr>
                <w:rFonts w:eastAsia="Calibri" w:cs="Times New Roman"/>
                <w:lang w:val="tr-TR"/>
              </w:rPr>
            </w:pPr>
            <w:r w:rsidRPr="002048A7">
              <w:rPr>
                <w:rFonts w:eastAsia="Calibri" w:cs="Times New Roman"/>
                <w:lang w:val="tr-TR"/>
              </w:rPr>
              <w:t>Trakya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475C3F03" w14:textId="77777777" w:rsidR="00905AC2" w:rsidRPr="002048A7" w:rsidRDefault="00905AC2" w:rsidP="00905AC2">
            <w:pPr>
              <w:pStyle w:val="TableParagraph"/>
              <w:ind w:left="653"/>
              <w:rPr>
                <w:rFonts w:eastAsia="Calibri" w:cs="Times New Roman"/>
                <w:lang w:val="tr-TR"/>
              </w:rPr>
            </w:pPr>
            <w:r w:rsidRPr="002048A7">
              <w:rPr>
                <w:rFonts w:eastAsia="Calibri" w:cs="Times New Roman"/>
                <w:lang w:val="tr-TR"/>
              </w:rPr>
              <w:t>2</w:t>
            </w:r>
            <w:r>
              <w:rPr>
                <w:rFonts w:eastAsia="Calibri" w:cs="Times New Roman"/>
                <w:lang w:val="tr-TR"/>
              </w:rPr>
              <w:t>6</w:t>
            </w:r>
            <w:r w:rsidRPr="002048A7">
              <w:rPr>
                <w:rFonts w:eastAsia="Calibri" w:cs="Times New Roman"/>
                <w:lang w:val="tr-TR"/>
              </w:rPr>
              <w:t>.12.202</w:t>
            </w:r>
            <w:r>
              <w:rPr>
                <w:rFonts w:eastAsia="Calibri" w:cs="Times New Roman"/>
                <w:lang w:val="tr-TR"/>
              </w:rPr>
              <w:t>4</w:t>
            </w:r>
          </w:p>
        </w:tc>
        <w:tc>
          <w:tcPr>
            <w:tcW w:w="2009" w:type="dxa"/>
            <w:tcBorders>
              <w:top w:val="single" w:sz="4" w:space="0" w:color="BFBFBF"/>
              <w:left w:val="single" w:sz="4" w:space="0" w:color="BFBFBF"/>
              <w:bottom w:val="single" w:sz="4" w:space="0" w:color="BFBFBF"/>
              <w:right w:val="single" w:sz="4" w:space="0" w:color="BFBFBF"/>
            </w:tcBorders>
          </w:tcPr>
          <w:p w14:paraId="38EA3A45" w14:textId="77777777" w:rsidR="00905AC2" w:rsidRPr="002048A7" w:rsidRDefault="00905AC2" w:rsidP="00905AC2">
            <w:pPr>
              <w:pStyle w:val="TableParagraph"/>
              <w:spacing w:before="40"/>
              <w:ind w:left="560"/>
              <w:rPr>
                <w:rFonts w:eastAsia="Calibri" w:cs="Times New Roman"/>
                <w:lang w:val="tr-TR"/>
              </w:rPr>
            </w:pPr>
            <w:r w:rsidRPr="002048A7">
              <w:rPr>
                <w:rFonts w:eastAsia="Calibri" w:cs="Times New Roman"/>
                <w:lang w:val="tr-TR"/>
              </w:rPr>
              <w:t>1</w:t>
            </w:r>
            <w:r>
              <w:rPr>
                <w:rFonts w:eastAsia="Calibri" w:cs="Times New Roman"/>
                <w:lang w:val="tr-TR"/>
              </w:rPr>
              <w:t>3165/18</w:t>
            </w:r>
          </w:p>
        </w:tc>
      </w:tr>
      <w:tr w:rsidR="00905AC2" w:rsidRPr="002048A7" w14:paraId="12412D6F" w14:textId="77777777" w:rsidTr="00905AC2">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459DF9A7" w14:textId="77777777" w:rsidR="00905AC2" w:rsidRPr="002048A7" w:rsidRDefault="00905AC2" w:rsidP="00905AC2">
            <w:pPr>
              <w:pStyle w:val="TableParagraph"/>
              <w:spacing w:before="20"/>
              <w:ind w:left="65"/>
              <w:rPr>
                <w:rFonts w:eastAsia="Calibri" w:cs="Times New Roman"/>
                <w:lang w:val="tr-TR"/>
              </w:rPr>
            </w:pPr>
            <w:r w:rsidRPr="002048A7">
              <w:rPr>
                <w:rFonts w:eastAsia="Calibri" w:cs="Times New Roman"/>
                <w:lang w:val="tr-TR"/>
              </w:rPr>
              <w:t>Uludağ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587F573B" w14:textId="77777777" w:rsidR="00905AC2" w:rsidRPr="002048A7" w:rsidRDefault="00905AC2" w:rsidP="00905AC2">
            <w:pPr>
              <w:pStyle w:val="TableParagraph"/>
              <w:ind w:left="653"/>
              <w:rPr>
                <w:rFonts w:eastAsia="Calibri" w:cs="Times New Roman"/>
                <w:lang w:val="tr-TR"/>
              </w:rPr>
            </w:pPr>
            <w:r w:rsidRPr="002048A7">
              <w:rPr>
                <w:rFonts w:eastAsia="Calibri" w:cs="Times New Roman"/>
                <w:lang w:val="tr-TR"/>
              </w:rPr>
              <w:t>2</w:t>
            </w:r>
            <w:r>
              <w:rPr>
                <w:rFonts w:eastAsia="Calibri" w:cs="Times New Roman"/>
                <w:lang w:val="tr-TR"/>
              </w:rPr>
              <w:t>6</w:t>
            </w:r>
            <w:r w:rsidRPr="002048A7">
              <w:rPr>
                <w:rFonts w:eastAsia="Calibri" w:cs="Times New Roman"/>
                <w:lang w:val="tr-TR"/>
              </w:rPr>
              <w:t>.12.202</w:t>
            </w:r>
            <w:r>
              <w:rPr>
                <w:rFonts w:eastAsia="Calibri" w:cs="Times New Roman"/>
                <w:lang w:val="tr-TR"/>
              </w:rPr>
              <w:t>4</w:t>
            </w:r>
          </w:p>
        </w:tc>
        <w:tc>
          <w:tcPr>
            <w:tcW w:w="2009" w:type="dxa"/>
            <w:tcBorders>
              <w:top w:val="single" w:sz="4" w:space="0" w:color="BFBFBF"/>
              <w:left w:val="single" w:sz="4" w:space="0" w:color="BFBFBF"/>
              <w:bottom w:val="single" w:sz="4" w:space="0" w:color="BFBFBF"/>
              <w:right w:val="single" w:sz="4" w:space="0" w:color="BFBFBF"/>
            </w:tcBorders>
          </w:tcPr>
          <w:p w14:paraId="28424AED" w14:textId="77777777" w:rsidR="00905AC2" w:rsidRPr="002048A7" w:rsidRDefault="00905AC2" w:rsidP="00905AC2">
            <w:pPr>
              <w:pStyle w:val="TableParagraph"/>
              <w:spacing w:before="40"/>
              <w:ind w:left="560"/>
              <w:rPr>
                <w:rFonts w:eastAsia="Calibri" w:cs="Times New Roman"/>
                <w:lang w:val="tr-TR"/>
              </w:rPr>
            </w:pPr>
            <w:r w:rsidRPr="002048A7">
              <w:rPr>
                <w:rFonts w:eastAsia="Calibri" w:cs="Times New Roman"/>
                <w:lang w:val="tr-TR"/>
              </w:rPr>
              <w:t>1</w:t>
            </w:r>
            <w:r>
              <w:rPr>
                <w:rFonts w:eastAsia="Calibri" w:cs="Times New Roman"/>
                <w:lang w:val="tr-TR"/>
              </w:rPr>
              <w:t>3165/19</w:t>
            </w:r>
          </w:p>
        </w:tc>
      </w:tr>
      <w:tr w:rsidR="00905AC2" w:rsidRPr="002048A7" w14:paraId="5923457E" w14:textId="77777777" w:rsidTr="00905AC2">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6978ABCD" w14:textId="77777777" w:rsidR="00905AC2" w:rsidRPr="002048A7" w:rsidRDefault="00905AC2" w:rsidP="00905AC2">
            <w:pPr>
              <w:pStyle w:val="TableParagraph"/>
              <w:spacing w:before="20"/>
              <w:ind w:left="65"/>
              <w:rPr>
                <w:rFonts w:eastAsia="Calibri" w:cs="Times New Roman"/>
                <w:lang w:val="tr-TR"/>
              </w:rPr>
            </w:pPr>
            <w:r w:rsidRPr="002048A7">
              <w:rPr>
                <w:rFonts w:eastAsia="Calibri" w:cs="Times New Roman"/>
                <w:lang w:val="tr-TR"/>
              </w:rPr>
              <w:t>Vangölü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5563C551" w14:textId="77777777" w:rsidR="00905AC2" w:rsidRPr="002048A7" w:rsidRDefault="00905AC2" w:rsidP="00905AC2">
            <w:pPr>
              <w:pStyle w:val="TableParagraph"/>
              <w:ind w:left="653"/>
              <w:rPr>
                <w:rFonts w:eastAsia="Calibri" w:cs="Times New Roman"/>
                <w:lang w:val="tr-TR"/>
              </w:rPr>
            </w:pPr>
            <w:r w:rsidRPr="002048A7">
              <w:rPr>
                <w:rFonts w:eastAsia="Calibri" w:cs="Times New Roman"/>
                <w:lang w:val="tr-TR"/>
              </w:rPr>
              <w:t>2</w:t>
            </w:r>
            <w:r>
              <w:rPr>
                <w:rFonts w:eastAsia="Calibri" w:cs="Times New Roman"/>
                <w:lang w:val="tr-TR"/>
              </w:rPr>
              <w:t>6</w:t>
            </w:r>
            <w:r w:rsidRPr="002048A7">
              <w:rPr>
                <w:rFonts w:eastAsia="Calibri" w:cs="Times New Roman"/>
                <w:lang w:val="tr-TR"/>
              </w:rPr>
              <w:t>.12.202</w:t>
            </w:r>
            <w:r>
              <w:rPr>
                <w:rFonts w:eastAsia="Calibri" w:cs="Times New Roman"/>
                <w:lang w:val="tr-TR"/>
              </w:rPr>
              <w:t>4</w:t>
            </w:r>
          </w:p>
        </w:tc>
        <w:tc>
          <w:tcPr>
            <w:tcW w:w="2009" w:type="dxa"/>
            <w:tcBorders>
              <w:top w:val="single" w:sz="4" w:space="0" w:color="BFBFBF"/>
              <w:left w:val="single" w:sz="4" w:space="0" w:color="BFBFBF"/>
              <w:bottom w:val="single" w:sz="4" w:space="0" w:color="BFBFBF"/>
              <w:right w:val="single" w:sz="4" w:space="0" w:color="BFBFBF"/>
            </w:tcBorders>
          </w:tcPr>
          <w:p w14:paraId="6F959934" w14:textId="77777777" w:rsidR="00905AC2" w:rsidRPr="002048A7" w:rsidRDefault="00905AC2" w:rsidP="00905AC2">
            <w:pPr>
              <w:pStyle w:val="TableParagraph"/>
              <w:spacing w:before="40"/>
              <w:ind w:left="560"/>
              <w:rPr>
                <w:rFonts w:eastAsia="Calibri" w:cs="Times New Roman"/>
                <w:lang w:val="tr-TR"/>
              </w:rPr>
            </w:pPr>
            <w:r w:rsidRPr="002048A7">
              <w:rPr>
                <w:rFonts w:eastAsia="Calibri" w:cs="Times New Roman"/>
                <w:lang w:val="tr-TR"/>
              </w:rPr>
              <w:t>1</w:t>
            </w:r>
            <w:r>
              <w:rPr>
                <w:rFonts w:eastAsia="Calibri" w:cs="Times New Roman"/>
                <w:lang w:val="tr-TR"/>
              </w:rPr>
              <w:t>3165/20</w:t>
            </w:r>
          </w:p>
        </w:tc>
      </w:tr>
      <w:tr w:rsidR="00905AC2" w:rsidRPr="002048A7" w14:paraId="3FD4C24C" w14:textId="77777777" w:rsidTr="00905AC2">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392DD84D" w14:textId="77777777" w:rsidR="00905AC2" w:rsidRPr="002048A7" w:rsidRDefault="00905AC2" w:rsidP="00905AC2">
            <w:pPr>
              <w:pStyle w:val="TableParagraph"/>
              <w:spacing w:before="20"/>
              <w:ind w:left="65"/>
              <w:rPr>
                <w:rFonts w:eastAsia="Calibri" w:cs="Times New Roman"/>
                <w:lang w:val="tr-TR"/>
              </w:rPr>
            </w:pPr>
            <w:r w:rsidRPr="002048A7">
              <w:rPr>
                <w:rFonts w:eastAsia="Calibri" w:cs="Times New Roman"/>
                <w:lang w:val="tr-TR"/>
              </w:rPr>
              <w:t>Yeşilırmak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2ECFE089" w14:textId="77777777" w:rsidR="00905AC2" w:rsidRPr="002048A7" w:rsidRDefault="00905AC2" w:rsidP="00905AC2">
            <w:pPr>
              <w:pStyle w:val="TableParagraph"/>
              <w:ind w:left="653"/>
              <w:rPr>
                <w:rFonts w:eastAsia="Calibri" w:cs="Times New Roman"/>
                <w:lang w:val="tr-TR"/>
              </w:rPr>
            </w:pPr>
            <w:r w:rsidRPr="002048A7">
              <w:rPr>
                <w:rFonts w:eastAsia="Calibri" w:cs="Times New Roman"/>
                <w:lang w:val="tr-TR"/>
              </w:rPr>
              <w:t>2</w:t>
            </w:r>
            <w:r>
              <w:rPr>
                <w:rFonts w:eastAsia="Calibri" w:cs="Times New Roman"/>
                <w:lang w:val="tr-TR"/>
              </w:rPr>
              <w:t>6</w:t>
            </w:r>
            <w:r w:rsidRPr="002048A7">
              <w:rPr>
                <w:rFonts w:eastAsia="Calibri" w:cs="Times New Roman"/>
                <w:lang w:val="tr-TR"/>
              </w:rPr>
              <w:t>.12.202</w:t>
            </w:r>
            <w:r>
              <w:rPr>
                <w:rFonts w:eastAsia="Calibri" w:cs="Times New Roman"/>
                <w:lang w:val="tr-TR"/>
              </w:rPr>
              <w:t>4</w:t>
            </w:r>
          </w:p>
        </w:tc>
        <w:tc>
          <w:tcPr>
            <w:tcW w:w="2009" w:type="dxa"/>
            <w:tcBorders>
              <w:top w:val="single" w:sz="4" w:space="0" w:color="BFBFBF"/>
              <w:left w:val="single" w:sz="4" w:space="0" w:color="BFBFBF"/>
              <w:bottom w:val="single" w:sz="4" w:space="0" w:color="BFBFBF"/>
              <w:right w:val="single" w:sz="4" w:space="0" w:color="BFBFBF"/>
            </w:tcBorders>
          </w:tcPr>
          <w:p w14:paraId="77E5A415" w14:textId="77777777" w:rsidR="00905AC2" w:rsidRPr="002048A7" w:rsidRDefault="00905AC2" w:rsidP="00905AC2">
            <w:pPr>
              <w:pStyle w:val="TableParagraph"/>
              <w:spacing w:before="40"/>
              <w:ind w:left="560"/>
              <w:rPr>
                <w:rFonts w:eastAsia="Calibri" w:cs="Times New Roman"/>
                <w:lang w:val="tr-TR"/>
              </w:rPr>
            </w:pPr>
            <w:r>
              <w:rPr>
                <w:rFonts w:eastAsia="Calibri" w:cs="Times New Roman"/>
                <w:lang w:val="tr-TR"/>
              </w:rPr>
              <w:t>13165/</w:t>
            </w:r>
            <w:r w:rsidRPr="002048A7">
              <w:rPr>
                <w:rFonts w:eastAsia="Calibri" w:cs="Times New Roman"/>
                <w:lang w:val="tr-TR"/>
              </w:rPr>
              <w:t>21</w:t>
            </w:r>
          </w:p>
        </w:tc>
      </w:tr>
    </w:tbl>
    <w:p w14:paraId="602EC36F" w14:textId="77777777" w:rsidR="00FE2FC0" w:rsidRPr="002048A7" w:rsidRDefault="00905AC2" w:rsidP="00FE2FC0">
      <w:pPr>
        <w:spacing w:before="120" w:after="0"/>
        <w:rPr>
          <w:color w:val="000000" w:themeColor="text1"/>
        </w:rPr>
      </w:pPr>
      <w:r w:rsidRPr="002048A7">
        <w:rPr>
          <w:color w:val="000000" w:themeColor="text1"/>
        </w:rPr>
        <w:t>Tablo 4.5’te belirtilen Kurul Kararları ile görevli tedarik şirketlerinin 202</w:t>
      </w:r>
      <w:r>
        <w:rPr>
          <w:color w:val="000000" w:themeColor="text1"/>
        </w:rPr>
        <w:t>5</w:t>
      </w:r>
      <w:r w:rsidRPr="002048A7">
        <w:rPr>
          <w:color w:val="000000" w:themeColor="text1"/>
        </w:rPr>
        <w:t xml:space="preserve"> yılı </w:t>
      </w:r>
      <w:r w:rsidRPr="002048A7">
        <w:t>perakende satış</w:t>
      </w:r>
      <w:r w:rsidRPr="002048A7">
        <w:rPr>
          <w:color w:val="000000" w:themeColor="text1"/>
        </w:rPr>
        <w:t xml:space="preserve"> gelir tavanları onaylanmıştır.</w:t>
      </w:r>
    </w:p>
    <w:p w14:paraId="7D0C73C1" w14:textId="77777777" w:rsidR="00905AC2" w:rsidRPr="002048A7" w:rsidRDefault="00905AC2" w:rsidP="00905AC2">
      <w:pPr>
        <w:pStyle w:val="Balk5"/>
        <w:spacing w:before="0" w:line="269" w:lineRule="auto"/>
        <w:jc w:val="center"/>
        <w:rPr>
          <w:rStyle w:val="Gl"/>
          <w:color w:val="auto"/>
        </w:rPr>
      </w:pPr>
      <w:bookmarkStart w:id="180" w:name="_Toc195868815"/>
      <w:r w:rsidRPr="002048A7">
        <w:rPr>
          <w:rStyle w:val="Gl"/>
          <w:color w:val="auto"/>
        </w:rPr>
        <w:t>Tablo 4.5: Görevli Tedarik Şirketlerinin 202</w:t>
      </w:r>
      <w:r>
        <w:rPr>
          <w:rStyle w:val="Gl"/>
          <w:color w:val="auto"/>
        </w:rPr>
        <w:t>5</w:t>
      </w:r>
      <w:r w:rsidRPr="002048A7">
        <w:rPr>
          <w:rStyle w:val="Gl"/>
          <w:color w:val="auto"/>
        </w:rPr>
        <w:t xml:space="preserve"> Yılı Perakende Satış Gelir Tavanlarının Onaylanmasına İlişkin Kurul Kararları</w:t>
      </w:r>
      <w:bookmarkEnd w:id="180"/>
    </w:p>
    <w:tbl>
      <w:tblPr>
        <w:tblW w:w="0" w:type="auto"/>
        <w:jc w:val="center"/>
        <w:tblLook w:val="01E0" w:firstRow="1" w:lastRow="1" w:firstColumn="1" w:lastColumn="1" w:noHBand="0" w:noVBand="0"/>
      </w:tblPr>
      <w:tblGrid>
        <w:gridCol w:w="5731"/>
        <w:gridCol w:w="1810"/>
        <w:gridCol w:w="1918"/>
      </w:tblGrid>
      <w:tr w:rsidR="00905AC2" w:rsidRPr="002048A7" w14:paraId="48AE7964" w14:textId="77777777" w:rsidTr="00905AC2">
        <w:trPr>
          <w:trHeight w:hRule="exact" w:val="654"/>
          <w:tblHeader/>
          <w:jc w:val="center"/>
        </w:trPr>
        <w:tc>
          <w:tcPr>
            <w:tcW w:w="0" w:type="auto"/>
            <w:tcBorders>
              <w:top w:val="single" w:sz="4" w:space="0" w:color="BFBFBF"/>
              <w:left w:val="single" w:sz="4" w:space="0" w:color="BFBFBF"/>
              <w:bottom w:val="single" w:sz="4" w:space="0" w:color="BFBFBF"/>
              <w:right w:val="single" w:sz="4" w:space="0" w:color="BFBFBF"/>
            </w:tcBorders>
            <w:shd w:val="clear" w:color="auto" w:fill="6E9ECA"/>
          </w:tcPr>
          <w:p w14:paraId="61C1ABAC" w14:textId="77777777" w:rsidR="00905AC2" w:rsidRPr="002048A7" w:rsidRDefault="00905AC2" w:rsidP="00905AC2">
            <w:pPr>
              <w:pStyle w:val="TableParagraph"/>
              <w:spacing w:before="48"/>
              <w:ind w:left="22"/>
              <w:rPr>
                <w:rFonts w:ascii="Calibri" w:eastAsia="Calibri" w:hAnsi="Calibri" w:cs="Calibri"/>
              </w:rPr>
            </w:pPr>
            <w:r w:rsidRPr="002048A7">
              <w:rPr>
                <w:rFonts w:ascii="Calibri" w:hAnsi="Calibri"/>
                <w:b/>
                <w:color w:val="FFFFFF"/>
                <w:spacing w:val="-1"/>
              </w:rPr>
              <w:t xml:space="preserve"> Görevli</w:t>
            </w:r>
            <w:r w:rsidRPr="002048A7">
              <w:rPr>
                <w:rFonts w:ascii="Calibri" w:hAnsi="Calibri"/>
                <w:b/>
                <w:color w:val="FFFFFF"/>
                <w:spacing w:val="-3"/>
              </w:rPr>
              <w:t xml:space="preserve"> </w:t>
            </w:r>
            <w:r w:rsidRPr="002048A7">
              <w:rPr>
                <w:rFonts w:ascii="Calibri" w:hAnsi="Calibri"/>
                <w:b/>
                <w:color w:val="FFFFFF"/>
                <w:spacing w:val="-1"/>
              </w:rPr>
              <w:t>Tedarik</w:t>
            </w:r>
            <w:r w:rsidRPr="002048A7">
              <w:rPr>
                <w:rFonts w:ascii="Calibri" w:hAnsi="Calibri"/>
                <w:b/>
                <w:color w:val="FFFFFF"/>
                <w:spacing w:val="-3"/>
              </w:rPr>
              <w:t xml:space="preserve"> </w:t>
            </w:r>
            <w:r w:rsidRPr="002048A7">
              <w:rPr>
                <w:rFonts w:ascii="Calibri" w:hAnsi="Calibri"/>
                <w:b/>
                <w:color w:val="FFFFFF"/>
                <w:spacing w:val="-1"/>
              </w:rPr>
              <w:t>Şirketi</w:t>
            </w:r>
            <w:r w:rsidRPr="002048A7">
              <w:rPr>
                <w:rFonts w:ascii="Calibri" w:hAnsi="Calibri"/>
                <w:b/>
                <w:color w:val="FFFFFF"/>
                <w:spacing w:val="-2"/>
              </w:rPr>
              <w:t xml:space="preserve"> </w:t>
            </w:r>
            <w:r w:rsidRPr="002048A7">
              <w:rPr>
                <w:rFonts w:ascii="Calibri" w:hAnsi="Calibri"/>
                <w:b/>
                <w:color w:val="FFFFFF"/>
                <w:spacing w:val="-1"/>
              </w:rPr>
              <w:t>Unvanı</w:t>
            </w:r>
          </w:p>
        </w:tc>
        <w:tc>
          <w:tcPr>
            <w:tcW w:w="0" w:type="auto"/>
            <w:tcBorders>
              <w:top w:val="single" w:sz="4" w:space="0" w:color="BFBFBF"/>
              <w:left w:val="single" w:sz="4" w:space="0" w:color="BFBFBF"/>
              <w:bottom w:val="single" w:sz="4" w:space="0" w:color="BFBFBF"/>
              <w:right w:val="single" w:sz="4" w:space="0" w:color="BFBFBF"/>
            </w:tcBorders>
            <w:shd w:val="clear" w:color="auto" w:fill="6E9ECA"/>
          </w:tcPr>
          <w:p w14:paraId="5DE3C95D" w14:textId="77777777" w:rsidR="00905AC2" w:rsidRPr="002048A7" w:rsidRDefault="00905AC2" w:rsidP="00905AC2">
            <w:pPr>
              <w:pStyle w:val="TableParagraph"/>
              <w:spacing w:before="48"/>
              <w:ind w:left="11"/>
              <w:rPr>
                <w:rFonts w:ascii="Calibri" w:eastAsia="Calibri" w:hAnsi="Calibri" w:cs="Calibri"/>
              </w:rPr>
            </w:pPr>
            <w:r w:rsidRPr="002048A7">
              <w:rPr>
                <w:rFonts w:ascii="Calibri"/>
                <w:b/>
                <w:color w:val="FFFFFF"/>
                <w:spacing w:val="-1"/>
              </w:rPr>
              <w:t>Kurul</w:t>
            </w:r>
            <w:r w:rsidRPr="002048A7">
              <w:rPr>
                <w:rFonts w:ascii="Calibri"/>
                <w:b/>
                <w:color w:val="FFFFFF"/>
                <w:spacing w:val="-5"/>
              </w:rPr>
              <w:t xml:space="preserve"> </w:t>
            </w:r>
            <w:r w:rsidRPr="002048A7">
              <w:rPr>
                <w:rFonts w:ascii="Calibri"/>
                <w:b/>
                <w:color w:val="FFFFFF"/>
              </w:rPr>
              <w:t>Karar</w:t>
            </w:r>
            <w:r w:rsidRPr="002048A7">
              <w:rPr>
                <w:rFonts w:ascii="Calibri"/>
                <w:b/>
                <w:color w:val="FFFFFF"/>
                <w:spacing w:val="-5"/>
              </w:rPr>
              <w:t xml:space="preserve"> </w:t>
            </w:r>
            <w:r w:rsidRPr="002048A7">
              <w:rPr>
                <w:rFonts w:ascii="Calibri"/>
                <w:b/>
                <w:color w:val="FFFFFF"/>
                <w:spacing w:val="-1"/>
              </w:rPr>
              <w:t>Tarihi</w:t>
            </w:r>
          </w:p>
        </w:tc>
        <w:tc>
          <w:tcPr>
            <w:tcW w:w="0" w:type="auto"/>
            <w:tcBorders>
              <w:top w:val="single" w:sz="4" w:space="0" w:color="BFBFBF"/>
              <w:left w:val="single" w:sz="4" w:space="0" w:color="BFBFBF"/>
              <w:bottom w:val="single" w:sz="4" w:space="0" w:color="BFBFBF"/>
              <w:right w:val="single" w:sz="4" w:space="0" w:color="BFBFBF"/>
            </w:tcBorders>
            <w:shd w:val="clear" w:color="auto" w:fill="6E9ECA"/>
          </w:tcPr>
          <w:p w14:paraId="06B0D380" w14:textId="77777777" w:rsidR="00905AC2" w:rsidRPr="002048A7" w:rsidRDefault="00905AC2" w:rsidP="00905AC2">
            <w:pPr>
              <w:pStyle w:val="TableParagraph"/>
              <w:spacing w:before="48"/>
              <w:ind w:left="124"/>
              <w:rPr>
                <w:rFonts w:ascii="Calibri" w:eastAsia="Calibri" w:hAnsi="Calibri" w:cs="Calibri"/>
              </w:rPr>
            </w:pPr>
            <w:r w:rsidRPr="002048A7">
              <w:rPr>
                <w:rFonts w:ascii="Calibri" w:hAnsi="Calibri"/>
                <w:b/>
                <w:color w:val="FFFFFF"/>
                <w:spacing w:val="-1"/>
              </w:rPr>
              <w:t>Kurul</w:t>
            </w:r>
            <w:r w:rsidRPr="002048A7">
              <w:rPr>
                <w:rFonts w:ascii="Calibri" w:hAnsi="Calibri"/>
                <w:b/>
                <w:color w:val="FFFFFF"/>
                <w:spacing w:val="-3"/>
              </w:rPr>
              <w:t xml:space="preserve"> </w:t>
            </w:r>
            <w:r w:rsidRPr="002048A7">
              <w:rPr>
                <w:rFonts w:ascii="Calibri" w:hAnsi="Calibri"/>
                <w:b/>
                <w:color w:val="FFFFFF"/>
              </w:rPr>
              <w:t>Karar</w:t>
            </w:r>
            <w:r w:rsidRPr="002048A7">
              <w:rPr>
                <w:rFonts w:ascii="Calibri" w:hAnsi="Calibri"/>
                <w:b/>
                <w:color w:val="FFFFFF"/>
                <w:spacing w:val="-3"/>
              </w:rPr>
              <w:t xml:space="preserve"> </w:t>
            </w:r>
            <w:r w:rsidRPr="002048A7">
              <w:rPr>
                <w:rFonts w:ascii="Calibri" w:hAnsi="Calibri"/>
                <w:b/>
                <w:color w:val="FFFFFF"/>
                <w:spacing w:val="-1"/>
              </w:rPr>
              <w:t>Sayısı</w:t>
            </w:r>
          </w:p>
        </w:tc>
      </w:tr>
      <w:tr w:rsidR="00905AC2" w:rsidRPr="002048A7" w14:paraId="597FBC0C" w14:textId="77777777" w:rsidTr="00905AC2">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6873CB64" w14:textId="77777777" w:rsidR="00905AC2" w:rsidRPr="002048A7" w:rsidRDefault="00905AC2" w:rsidP="00905AC2">
            <w:pPr>
              <w:pStyle w:val="TableParagraph"/>
              <w:spacing w:before="20"/>
              <w:ind w:left="65"/>
              <w:rPr>
                <w:rFonts w:eastAsia="Calibri" w:cs="Times New Roman"/>
                <w:lang w:val="tr-TR"/>
              </w:rPr>
            </w:pPr>
            <w:r w:rsidRPr="002048A7">
              <w:rPr>
                <w:rFonts w:eastAsia="Calibri" w:cs="Times New Roman"/>
                <w:lang w:val="tr-TR"/>
              </w:rPr>
              <w:t>Akedaş Elektrik Perakende Satış A.Ş.</w:t>
            </w:r>
          </w:p>
        </w:tc>
        <w:tc>
          <w:tcPr>
            <w:tcW w:w="0" w:type="auto"/>
            <w:tcBorders>
              <w:top w:val="single" w:sz="4" w:space="0" w:color="BFBFBF"/>
              <w:left w:val="single" w:sz="4" w:space="0" w:color="BFBFBF"/>
              <w:bottom w:val="single" w:sz="4" w:space="0" w:color="BFBFBF"/>
              <w:right w:val="single" w:sz="4" w:space="0" w:color="BFBFBF"/>
            </w:tcBorders>
          </w:tcPr>
          <w:p w14:paraId="3D4EA1E8" w14:textId="77777777" w:rsidR="00905AC2" w:rsidRPr="002048A7" w:rsidRDefault="00905AC2" w:rsidP="00905AC2">
            <w:pPr>
              <w:pStyle w:val="TableParagraph"/>
              <w:spacing w:before="20"/>
              <w:ind w:left="153"/>
              <w:jc w:val="center"/>
              <w:rPr>
                <w:rFonts w:eastAsia="Calibri" w:cs="Times New Roman"/>
                <w:lang w:val="tr-TR"/>
              </w:rPr>
            </w:pPr>
            <w:r w:rsidRPr="002048A7">
              <w:rPr>
                <w:rFonts w:eastAsia="Calibri" w:cs="Times New Roman"/>
                <w:lang w:val="tr-TR"/>
              </w:rPr>
              <w:t>2</w:t>
            </w:r>
            <w:r>
              <w:rPr>
                <w:rFonts w:eastAsia="Calibri" w:cs="Times New Roman"/>
                <w:lang w:val="tr-TR"/>
              </w:rPr>
              <w:t>6</w:t>
            </w:r>
            <w:r w:rsidRPr="002048A7">
              <w:rPr>
                <w:rFonts w:eastAsia="Calibri" w:cs="Times New Roman"/>
                <w:lang w:val="tr-TR"/>
              </w:rPr>
              <w:t>.12.202</w:t>
            </w:r>
            <w:r>
              <w:rPr>
                <w:rFonts w:eastAsia="Calibri" w:cs="Times New Roman"/>
                <w:lang w:val="tr-TR"/>
              </w:rPr>
              <w:t>4</w:t>
            </w:r>
          </w:p>
        </w:tc>
        <w:tc>
          <w:tcPr>
            <w:tcW w:w="0" w:type="auto"/>
            <w:tcBorders>
              <w:top w:val="single" w:sz="4" w:space="0" w:color="BFBFBF"/>
              <w:left w:val="single" w:sz="4" w:space="0" w:color="BFBFBF"/>
              <w:bottom w:val="single" w:sz="4" w:space="0" w:color="BFBFBF"/>
              <w:right w:val="single" w:sz="4" w:space="0" w:color="BFBFBF"/>
            </w:tcBorders>
          </w:tcPr>
          <w:p w14:paraId="0CA60E50" w14:textId="77777777" w:rsidR="00905AC2" w:rsidRPr="002048A7" w:rsidRDefault="00905AC2" w:rsidP="00905AC2">
            <w:pPr>
              <w:pStyle w:val="TableParagraph"/>
              <w:spacing w:before="20"/>
              <w:jc w:val="center"/>
              <w:rPr>
                <w:rFonts w:eastAsia="Calibri" w:cs="Times New Roman"/>
                <w:lang w:val="tr-TR"/>
              </w:rPr>
            </w:pPr>
            <w:r w:rsidRPr="002048A7">
              <w:rPr>
                <w:rFonts w:eastAsia="Calibri" w:cs="Times New Roman"/>
                <w:lang w:val="tr-TR"/>
              </w:rPr>
              <w:t>1</w:t>
            </w:r>
            <w:r>
              <w:rPr>
                <w:rFonts w:eastAsia="Calibri" w:cs="Times New Roman"/>
                <w:lang w:val="tr-TR"/>
              </w:rPr>
              <w:t>3163/</w:t>
            </w:r>
            <w:r w:rsidRPr="002048A7">
              <w:rPr>
                <w:rFonts w:eastAsia="Calibri" w:cs="Times New Roman"/>
                <w:lang w:val="tr-TR"/>
              </w:rPr>
              <w:t>1</w:t>
            </w:r>
          </w:p>
        </w:tc>
      </w:tr>
      <w:tr w:rsidR="00905AC2" w:rsidRPr="002048A7" w14:paraId="00D123B5" w14:textId="77777777" w:rsidTr="00905AC2">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145DFFEA" w14:textId="77777777" w:rsidR="00905AC2" w:rsidRPr="002048A7" w:rsidRDefault="00905AC2" w:rsidP="00905AC2">
            <w:pPr>
              <w:pStyle w:val="TableParagraph"/>
              <w:spacing w:before="20"/>
              <w:ind w:left="65"/>
              <w:rPr>
                <w:rFonts w:eastAsia="Calibri" w:cs="Times New Roman"/>
                <w:lang w:val="tr-TR"/>
              </w:rPr>
            </w:pPr>
            <w:r w:rsidRPr="002048A7">
              <w:rPr>
                <w:rFonts w:eastAsia="Calibri" w:cs="Times New Roman"/>
                <w:lang w:val="tr-TR"/>
              </w:rPr>
              <w:t>Aksa Çoruh Elektrik Perakende Satış A.Ş.</w:t>
            </w:r>
          </w:p>
        </w:tc>
        <w:tc>
          <w:tcPr>
            <w:tcW w:w="0" w:type="auto"/>
            <w:tcBorders>
              <w:top w:val="single" w:sz="4" w:space="0" w:color="BFBFBF"/>
              <w:left w:val="single" w:sz="4" w:space="0" w:color="BFBFBF"/>
              <w:bottom w:val="single" w:sz="4" w:space="0" w:color="BFBFBF"/>
              <w:right w:val="single" w:sz="4" w:space="0" w:color="BFBFBF"/>
            </w:tcBorders>
          </w:tcPr>
          <w:p w14:paraId="752F6888" w14:textId="77777777" w:rsidR="00905AC2" w:rsidRPr="002048A7" w:rsidRDefault="00905AC2" w:rsidP="00905AC2">
            <w:pPr>
              <w:pStyle w:val="TableParagraph"/>
              <w:spacing w:before="20"/>
              <w:ind w:left="153"/>
              <w:jc w:val="center"/>
              <w:rPr>
                <w:rFonts w:eastAsia="Calibri" w:cs="Times New Roman"/>
                <w:lang w:val="tr-TR"/>
              </w:rPr>
            </w:pPr>
            <w:r w:rsidRPr="002048A7">
              <w:rPr>
                <w:rFonts w:eastAsia="Calibri" w:cs="Times New Roman"/>
                <w:lang w:val="tr-TR"/>
              </w:rPr>
              <w:t>2</w:t>
            </w:r>
            <w:r>
              <w:rPr>
                <w:rFonts w:eastAsia="Calibri" w:cs="Times New Roman"/>
                <w:lang w:val="tr-TR"/>
              </w:rPr>
              <w:t>6</w:t>
            </w:r>
            <w:r w:rsidRPr="002048A7">
              <w:rPr>
                <w:rFonts w:eastAsia="Calibri" w:cs="Times New Roman"/>
                <w:lang w:val="tr-TR"/>
              </w:rPr>
              <w:t>.12.202</w:t>
            </w:r>
            <w:r>
              <w:rPr>
                <w:rFonts w:eastAsia="Calibri" w:cs="Times New Roman"/>
                <w:lang w:val="tr-TR"/>
              </w:rPr>
              <w:t>4</w:t>
            </w:r>
          </w:p>
        </w:tc>
        <w:tc>
          <w:tcPr>
            <w:tcW w:w="0" w:type="auto"/>
            <w:tcBorders>
              <w:top w:val="single" w:sz="4" w:space="0" w:color="BFBFBF"/>
              <w:left w:val="single" w:sz="4" w:space="0" w:color="BFBFBF"/>
              <w:bottom w:val="single" w:sz="4" w:space="0" w:color="BFBFBF"/>
              <w:right w:val="single" w:sz="4" w:space="0" w:color="BFBFBF"/>
            </w:tcBorders>
          </w:tcPr>
          <w:p w14:paraId="36CA0FE9" w14:textId="77777777" w:rsidR="00905AC2" w:rsidRPr="002048A7" w:rsidRDefault="00905AC2" w:rsidP="00905AC2">
            <w:pPr>
              <w:pStyle w:val="TableParagraph"/>
              <w:spacing w:before="20"/>
              <w:jc w:val="center"/>
              <w:rPr>
                <w:rFonts w:eastAsia="Calibri" w:cs="Times New Roman"/>
                <w:lang w:val="tr-TR"/>
              </w:rPr>
            </w:pPr>
            <w:r w:rsidRPr="002048A7">
              <w:rPr>
                <w:rFonts w:eastAsia="Calibri" w:cs="Times New Roman"/>
                <w:lang w:val="tr-TR"/>
              </w:rPr>
              <w:t>1</w:t>
            </w:r>
            <w:r>
              <w:rPr>
                <w:rFonts w:eastAsia="Calibri" w:cs="Times New Roman"/>
                <w:lang w:val="tr-TR"/>
              </w:rPr>
              <w:t>3163/</w:t>
            </w:r>
            <w:r w:rsidRPr="002048A7">
              <w:rPr>
                <w:rFonts w:eastAsia="Calibri" w:cs="Times New Roman"/>
                <w:lang w:val="tr-TR"/>
              </w:rPr>
              <w:t>2</w:t>
            </w:r>
          </w:p>
        </w:tc>
      </w:tr>
      <w:tr w:rsidR="00905AC2" w:rsidRPr="002048A7" w14:paraId="71D4F178" w14:textId="77777777" w:rsidTr="00905AC2">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725383DC" w14:textId="77777777" w:rsidR="00905AC2" w:rsidRPr="002048A7" w:rsidRDefault="00905AC2" w:rsidP="00905AC2">
            <w:pPr>
              <w:pStyle w:val="TableParagraph"/>
              <w:spacing w:before="20"/>
              <w:ind w:left="65"/>
              <w:rPr>
                <w:rFonts w:eastAsia="Calibri" w:cs="Times New Roman"/>
                <w:lang w:val="tr-TR"/>
              </w:rPr>
            </w:pPr>
            <w:r w:rsidRPr="002048A7">
              <w:rPr>
                <w:rFonts w:eastAsia="Calibri" w:cs="Times New Roman"/>
                <w:lang w:val="tr-TR"/>
              </w:rPr>
              <w:t>Aksa Fırat Elektrik Perakende Satış A.Ş.</w:t>
            </w:r>
          </w:p>
        </w:tc>
        <w:tc>
          <w:tcPr>
            <w:tcW w:w="0" w:type="auto"/>
            <w:tcBorders>
              <w:top w:val="single" w:sz="4" w:space="0" w:color="BFBFBF"/>
              <w:left w:val="single" w:sz="4" w:space="0" w:color="BFBFBF"/>
              <w:bottom w:val="single" w:sz="4" w:space="0" w:color="BFBFBF"/>
              <w:right w:val="single" w:sz="4" w:space="0" w:color="BFBFBF"/>
            </w:tcBorders>
          </w:tcPr>
          <w:p w14:paraId="08F6761A" w14:textId="77777777" w:rsidR="00905AC2" w:rsidRPr="002048A7" w:rsidRDefault="00905AC2" w:rsidP="00905AC2">
            <w:pPr>
              <w:pStyle w:val="TableParagraph"/>
              <w:spacing w:before="20"/>
              <w:ind w:left="153"/>
              <w:jc w:val="center"/>
              <w:rPr>
                <w:rFonts w:eastAsia="Calibri" w:cs="Times New Roman"/>
                <w:lang w:val="tr-TR"/>
              </w:rPr>
            </w:pPr>
            <w:r w:rsidRPr="002048A7">
              <w:rPr>
                <w:rFonts w:eastAsia="Calibri" w:cs="Times New Roman"/>
                <w:lang w:val="tr-TR"/>
              </w:rPr>
              <w:t>2</w:t>
            </w:r>
            <w:r>
              <w:rPr>
                <w:rFonts w:eastAsia="Calibri" w:cs="Times New Roman"/>
                <w:lang w:val="tr-TR"/>
              </w:rPr>
              <w:t>6</w:t>
            </w:r>
            <w:r w:rsidRPr="002048A7">
              <w:rPr>
                <w:rFonts w:eastAsia="Calibri" w:cs="Times New Roman"/>
                <w:lang w:val="tr-TR"/>
              </w:rPr>
              <w:t>.12.202</w:t>
            </w:r>
            <w:r>
              <w:rPr>
                <w:rFonts w:eastAsia="Calibri" w:cs="Times New Roman"/>
                <w:lang w:val="tr-TR"/>
              </w:rPr>
              <w:t>4</w:t>
            </w:r>
          </w:p>
        </w:tc>
        <w:tc>
          <w:tcPr>
            <w:tcW w:w="0" w:type="auto"/>
            <w:tcBorders>
              <w:top w:val="single" w:sz="4" w:space="0" w:color="BFBFBF"/>
              <w:left w:val="single" w:sz="4" w:space="0" w:color="BFBFBF"/>
              <w:bottom w:val="single" w:sz="4" w:space="0" w:color="BFBFBF"/>
              <w:right w:val="single" w:sz="4" w:space="0" w:color="BFBFBF"/>
            </w:tcBorders>
          </w:tcPr>
          <w:p w14:paraId="721D871A" w14:textId="77777777" w:rsidR="00905AC2" w:rsidRPr="002048A7" w:rsidRDefault="00905AC2" w:rsidP="00905AC2">
            <w:pPr>
              <w:pStyle w:val="TableParagraph"/>
              <w:spacing w:before="20"/>
              <w:jc w:val="center"/>
              <w:rPr>
                <w:rFonts w:eastAsia="Calibri" w:cs="Times New Roman"/>
                <w:lang w:val="tr-TR"/>
              </w:rPr>
            </w:pPr>
            <w:r w:rsidRPr="002048A7">
              <w:rPr>
                <w:rFonts w:eastAsia="Calibri" w:cs="Times New Roman"/>
                <w:lang w:val="tr-TR"/>
              </w:rPr>
              <w:t>1</w:t>
            </w:r>
            <w:r>
              <w:rPr>
                <w:rFonts w:eastAsia="Calibri" w:cs="Times New Roman"/>
                <w:lang w:val="tr-TR"/>
              </w:rPr>
              <w:t>3163/</w:t>
            </w:r>
            <w:r w:rsidRPr="002048A7">
              <w:rPr>
                <w:rFonts w:eastAsia="Calibri" w:cs="Times New Roman"/>
                <w:lang w:val="tr-TR"/>
              </w:rPr>
              <w:t>3</w:t>
            </w:r>
          </w:p>
        </w:tc>
      </w:tr>
      <w:tr w:rsidR="00905AC2" w:rsidRPr="002048A7" w14:paraId="7187DBB9" w14:textId="77777777" w:rsidTr="00905AC2">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114080B5" w14:textId="77777777" w:rsidR="00905AC2" w:rsidRPr="002048A7" w:rsidRDefault="00905AC2" w:rsidP="00905AC2">
            <w:pPr>
              <w:pStyle w:val="TableParagraph"/>
              <w:spacing w:before="20"/>
              <w:ind w:left="65"/>
              <w:rPr>
                <w:rFonts w:eastAsia="Calibri" w:cs="Times New Roman"/>
                <w:lang w:val="tr-TR"/>
              </w:rPr>
            </w:pPr>
            <w:r w:rsidRPr="002048A7">
              <w:rPr>
                <w:rFonts w:eastAsia="Calibri" w:cs="Times New Roman"/>
                <w:lang w:val="tr-TR"/>
              </w:rPr>
              <w:t>Aras Elektrik Perakende Satış A.Ş.</w:t>
            </w:r>
          </w:p>
        </w:tc>
        <w:tc>
          <w:tcPr>
            <w:tcW w:w="0" w:type="auto"/>
            <w:tcBorders>
              <w:top w:val="single" w:sz="4" w:space="0" w:color="BFBFBF"/>
              <w:left w:val="single" w:sz="4" w:space="0" w:color="BFBFBF"/>
              <w:bottom w:val="single" w:sz="4" w:space="0" w:color="BFBFBF"/>
              <w:right w:val="single" w:sz="4" w:space="0" w:color="BFBFBF"/>
            </w:tcBorders>
          </w:tcPr>
          <w:p w14:paraId="729659D2" w14:textId="77777777" w:rsidR="00905AC2" w:rsidRPr="002048A7" w:rsidRDefault="00905AC2" w:rsidP="00905AC2">
            <w:pPr>
              <w:pStyle w:val="TableParagraph"/>
              <w:spacing w:before="20"/>
              <w:ind w:left="153"/>
              <w:jc w:val="center"/>
              <w:rPr>
                <w:rFonts w:eastAsia="Calibri" w:cs="Times New Roman"/>
                <w:lang w:val="tr-TR"/>
              </w:rPr>
            </w:pPr>
            <w:r w:rsidRPr="002048A7">
              <w:rPr>
                <w:rFonts w:eastAsia="Calibri" w:cs="Times New Roman"/>
                <w:lang w:val="tr-TR"/>
              </w:rPr>
              <w:t>2</w:t>
            </w:r>
            <w:r>
              <w:rPr>
                <w:rFonts w:eastAsia="Calibri" w:cs="Times New Roman"/>
                <w:lang w:val="tr-TR"/>
              </w:rPr>
              <w:t>6</w:t>
            </w:r>
            <w:r w:rsidRPr="002048A7">
              <w:rPr>
                <w:rFonts w:eastAsia="Calibri" w:cs="Times New Roman"/>
                <w:lang w:val="tr-TR"/>
              </w:rPr>
              <w:t>.12.202</w:t>
            </w:r>
            <w:r>
              <w:rPr>
                <w:rFonts w:eastAsia="Calibri" w:cs="Times New Roman"/>
                <w:lang w:val="tr-TR"/>
              </w:rPr>
              <w:t>4</w:t>
            </w:r>
          </w:p>
        </w:tc>
        <w:tc>
          <w:tcPr>
            <w:tcW w:w="0" w:type="auto"/>
            <w:tcBorders>
              <w:top w:val="single" w:sz="4" w:space="0" w:color="BFBFBF"/>
              <w:left w:val="single" w:sz="4" w:space="0" w:color="BFBFBF"/>
              <w:bottom w:val="single" w:sz="4" w:space="0" w:color="BFBFBF"/>
              <w:right w:val="single" w:sz="4" w:space="0" w:color="BFBFBF"/>
            </w:tcBorders>
          </w:tcPr>
          <w:p w14:paraId="0D00C4BA" w14:textId="77777777" w:rsidR="00905AC2" w:rsidRPr="002048A7" w:rsidRDefault="00905AC2" w:rsidP="00905AC2">
            <w:pPr>
              <w:pStyle w:val="TableParagraph"/>
              <w:spacing w:before="20"/>
              <w:jc w:val="center"/>
              <w:rPr>
                <w:rFonts w:eastAsia="Calibri" w:cs="Times New Roman"/>
                <w:lang w:val="tr-TR"/>
              </w:rPr>
            </w:pPr>
            <w:r w:rsidRPr="002048A7">
              <w:rPr>
                <w:rFonts w:eastAsia="Calibri" w:cs="Times New Roman"/>
                <w:lang w:val="tr-TR"/>
              </w:rPr>
              <w:t>1</w:t>
            </w:r>
            <w:r>
              <w:rPr>
                <w:rFonts w:eastAsia="Calibri" w:cs="Times New Roman"/>
                <w:lang w:val="tr-TR"/>
              </w:rPr>
              <w:t>3163/</w:t>
            </w:r>
            <w:r w:rsidRPr="002048A7">
              <w:rPr>
                <w:rFonts w:eastAsia="Calibri" w:cs="Times New Roman"/>
                <w:lang w:val="tr-TR"/>
              </w:rPr>
              <w:t>4</w:t>
            </w:r>
          </w:p>
        </w:tc>
      </w:tr>
      <w:tr w:rsidR="00905AC2" w:rsidRPr="002048A7" w14:paraId="7AB8A91E" w14:textId="77777777" w:rsidTr="00905AC2">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04054557" w14:textId="77777777" w:rsidR="00905AC2" w:rsidRPr="002048A7" w:rsidRDefault="00905AC2" w:rsidP="00905AC2">
            <w:pPr>
              <w:pStyle w:val="TableParagraph"/>
              <w:spacing w:before="20"/>
              <w:ind w:left="65"/>
              <w:rPr>
                <w:rFonts w:eastAsia="Calibri" w:cs="Times New Roman"/>
                <w:lang w:val="tr-TR"/>
              </w:rPr>
            </w:pPr>
            <w:r w:rsidRPr="002048A7">
              <w:rPr>
                <w:rFonts w:eastAsia="Calibri" w:cs="Times New Roman"/>
                <w:lang w:val="tr-TR"/>
              </w:rPr>
              <w:t>Aydem Elektrik Perakende Satış A.Ş.</w:t>
            </w:r>
          </w:p>
        </w:tc>
        <w:tc>
          <w:tcPr>
            <w:tcW w:w="0" w:type="auto"/>
            <w:tcBorders>
              <w:top w:val="single" w:sz="4" w:space="0" w:color="BFBFBF"/>
              <w:left w:val="single" w:sz="4" w:space="0" w:color="BFBFBF"/>
              <w:bottom w:val="single" w:sz="4" w:space="0" w:color="BFBFBF"/>
              <w:right w:val="single" w:sz="4" w:space="0" w:color="BFBFBF"/>
            </w:tcBorders>
          </w:tcPr>
          <w:p w14:paraId="5941DB44" w14:textId="77777777" w:rsidR="00905AC2" w:rsidRPr="002048A7" w:rsidRDefault="00905AC2" w:rsidP="00905AC2">
            <w:pPr>
              <w:pStyle w:val="TableParagraph"/>
              <w:spacing w:before="20"/>
              <w:ind w:left="153"/>
              <w:jc w:val="center"/>
              <w:rPr>
                <w:rFonts w:eastAsia="Calibri" w:cs="Times New Roman"/>
                <w:lang w:val="tr-TR"/>
              </w:rPr>
            </w:pPr>
            <w:r w:rsidRPr="002048A7">
              <w:rPr>
                <w:rFonts w:eastAsia="Calibri" w:cs="Times New Roman"/>
                <w:lang w:val="tr-TR"/>
              </w:rPr>
              <w:t>2</w:t>
            </w:r>
            <w:r>
              <w:rPr>
                <w:rFonts w:eastAsia="Calibri" w:cs="Times New Roman"/>
                <w:lang w:val="tr-TR"/>
              </w:rPr>
              <w:t>6</w:t>
            </w:r>
            <w:r w:rsidRPr="002048A7">
              <w:rPr>
                <w:rFonts w:eastAsia="Calibri" w:cs="Times New Roman"/>
                <w:lang w:val="tr-TR"/>
              </w:rPr>
              <w:t>.12.202</w:t>
            </w:r>
            <w:r>
              <w:rPr>
                <w:rFonts w:eastAsia="Calibri" w:cs="Times New Roman"/>
                <w:lang w:val="tr-TR"/>
              </w:rPr>
              <w:t>4</w:t>
            </w:r>
          </w:p>
        </w:tc>
        <w:tc>
          <w:tcPr>
            <w:tcW w:w="0" w:type="auto"/>
            <w:tcBorders>
              <w:top w:val="single" w:sz="4" w:space="0" w:color="BFBFBF"/>
              <w:left w:val="single" w:sz="4" w:space="0" w:color="BFBFBF"/>
              <w:bottom w:val="single" w:sz="4" w:space="0" w:color="BFBFBF"/>
              <w:right w:val="single" w:sz="4" w:space="0" w:color="BFBFBF"/>
            </w:tcBorders>
          </w:tcPr>
          <w:p w14:paraId="4E85B68A" w14:textId="77777777" w:rsidR="00905AC2" w:rsidRPr="002048A7" w:rsidRDefault="00905AC2" w:rsidP="00905AC2">
            <w:pPr>
              <w:pStyle w:val="TableParagraph"/>
              <w:spacing w:before="20"/>
              <w:jc w:val="center"/>
              <w:rPr>
                <w:rFonts w:eastAsia="Calibri" w:cs="Times New Roman"/>
                <w:lang w:val="tr-TR"/>
              </w:rPr>
            </w:pPr>
            <w:r w:rsidRPr="002048A7">
              <w:rPr>
                <w:rFonts w:eastAsia="Calibri" w:cs="Times New Roman"/>
                <w:lang w:val="tr-TR"/>
              </w:rPr>
              <w:t>1</w:t>
            </w:r>
            <w:r>
              <w:rPr>
                <w:rFonts w:eastAsia="Calibri" w:cs="Times New Roman"/>
                <w:lang w:val="tr-TR"/>
              </w:rPr>
              <w:t>3163/</w:t>
            </w:r>
            <w:r w:rsidRPr="002048A7">
              <w:rPr>
                <w:rFonts w:eastAsia="Calibri" w:cs="Times New Roman"/>
                <w:lang w:val="tr-TR"/>
              </w:rPr>
              <w:t>5</w:t>
            </w:r>
          </w:p>
        </w:tc>
      </w:tr>
      <w:tr w:rsidR="00905AC2" w:rsidRPr="002048A7" w14:paraId="45DE537B" w14:textId="77777777" w:rsidTr="00905AC2">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193CCDB3" w14:textId="77777777" w:rsidR="00905AC2" w:rsidRPr="002048A7" w:rsidRDefault="00905AC2" w:rsidP="00905AC2">
            <w:pPr>
              <w:pStyle w:val="TableParagraph"/>
              <w:spacing w:before="20"/>
              <w:ind w:left="65"/>
              <w:rPr>
                <w:rFonts w:eastAsia="Calibri" w:cs="Times New Roman"/>
                <w:lang w:val="tr-TR"/>
              </w:rPr>
            </w:pPr>
            <w:r w:rsidRPr="002048A7">
              <w:rPr>
                <w:rFonts w:eastAsia="Calibri" w:cs="Times New Roman"/>
                <w:lang w:val="tr-TR"/>
              </w:rPr>
              <w:t>CK Akdeniz Elektrik Perakende Satış A.Ş.</w:t>
            </w:r>
          </w:p>
        </w:tc>
        <w:tc>
          <w:tcPr>
            <w:tcW w:w="0" w:type="auto"/>
            <w:tcBorders>
              <w:top w:val="single" w:sz="4" w:space="0" w:color="BFBFBF"/>
              <w:left w:val="single" w:sz="4" w:space="0" w:color="BFBFBF"/>
              <w:bottom w:val="single" w:sz="4" w:space="0" w:color="BFBFBF"/>
              <w:right w:val="single" w:sz="4" w:space="0" w:color="BFBFBF"/>
            </w:tcBorders>
          </w:tcPr>
          <w:p w14:paraId="4CAC11C9" w14:textId="77777777" w:rsidR="00905AC2" w:rsidRPr="002048A7" w:rsidRDefault="00905AC2" w:rsidP="00905AC2">
            <w:pPr>
              <w:pStyle w:val="TableParagraph"/>
              <w:spacing w:before="20"/>
              <w:ind w:left="153"/>
              <w:jc w:val="center"/>
              <w:rPr>
                <w:rFonts w:eastAsia="Calibri" w:cs="Times New Roman"/>
                <w:lang w:val="tr-TR"/>
              </w:rPr>
            </w:pPr>
            <w:r w:rsidRPr="002048A7">
              <w:rPr>
                <w:rFonts w:eastAsia="Calibri" w:cs="Times New Roman"/>
                <w:lang w:val="tr-TR"/>
              </w:rPr>
              <w:t>2</w:t>
            </w:r>
            <w:r>
              <w:rPr>
                <w:rFonts w:eastAsia="Calibri" w:cs="Times New Roman"/>
                <w:lang w:val="tr-TR"/>
              </w:rPr>
              <w:t>6</w:t>
            </w:r>
            <w:r w:rsidRPr="002048A7">
              <w:rPr>
                <w:rFonts w:eastAsia="Calibri" w:cs="Times New Roman"/>
                <w:lang w:val="tr-TR"/>
              </w:rPr>
              <w:t>.12.202</w:t>
            </w:r>
            <w:r>
              <w:rPr>
                <w:rFonts w:eastAsia="Calibri" w:cs="Times New Roman"/>
                <w:lang w:val="tr-TR"/>
              </w:rPr>
              <w:t>4</w:t>
            </w:r>
          </w:p>
        </w:tc>
        <w:tc>
          <w:tcPr>
            <w:tcW w:w="0" w:type="auto"/>
            <w:tcBorders>
              <w:top w:val="single" w:sz="4" w:space="0" w:color="BFBFBF"/>
              <w:left w:val="single" w:sz="4" w:space="0" w:color="BFBFBF"/>
              <w:bottom w:val="single" w:sz="4" w:space="0" w:color="BFBFBF"/>
              <w:right w:val="single" w:sz="4" w:space="0" w:color="BFBFBF"/>
            </w:tcBorders>
          </w:tcPr>
          <w:p w14:paraId="003329FC" w14:textId="77777777" w:rsidR="00905AC2" w:rsidRPr="002048A7" w:rsidRDefault="00905AC2" w:rsidP="00905AC2">
            <w:pPr>
              <w:pStyle w:val="TableParagraph"/>
              <w:spacing w:before="20"/>
              <w:jc w:val="center"/>
              <w:rPr>
                <w:rFonts w:eastAsia="Calibri" w:cs="Times New Roman"/>
                <w:lang w:val="tr-TR"/>
              </w:rPr>
            </w:pPr>
            <w:r>
              <w:rPr>
                <w:rFonts w:eastAsia="Calibri" w:cs="Times New Roman"/>
                <w:lang w:val="tr-TR"/>
              </w:rPr>
              <w:t>13163/</w:t>
            </w:r>
            <w:r w:rsidRPr="002048A7">
              <w:rPr>
                <w:rFonts w:eastAsia="Calibri" w:cs="Times New Roman"/>
                <w:lang w:val="tr-TR"/>
              </w:rPr>
              <w:t>6</w:t>
            </w:r>
          </w:p>
        </w:tc>
      </w:tr>
      <w:tr w:rsidR="00905AC2" w:rsidRPr="002048A7" w14:paraId="76D63C68" w14:textId="77777777" w:rsidTr="00905AC2">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7D357298" w14:textId="77777777" w:rsidR="00905AC2" w:rsidRPr="002048A7" w:rsidRDefault="00905AC2" w:rsidP="00905AC2">
            <w:pPr>
              <w:pStyle w:val="TableParagraph"/>
              <w:spacing w:before="20"/>
              <w:ind w:left="65"/>
              <w:rPr>
                <w:rFonts w:eastAsia="Calibri" w:cs="Times New Roman"/>
                <w:lang w:val="tr-TR"/>
              </w:rPr>
            </w:pPr>
            <w:r w:rsidRPr="002048A7">
              <w:rPr>
                <w:rFonts w:eastAsia="Calibri" w:cs="Times New Roman"/>
                <w:lang w:val="tr-TR"/>
              </w:rPr>
              <w:t>CK Boğaziçi Elektrik Perakende Satış A.Ş.</w:t>
            </w:r>
          </w:p>
        </w:tc>
        <w:tc>
          <w:tcPr>
            <w:tcW w:w="0" w:type="auto"/>
            <w:tcBorders>
              <w:top w:val="single" w:sz="4" w:space="0" w:color="BFBFBF"/>
              <w:left w:val="single" w:sz="4" w:space="0" w:color="BFBFBF"/>
              <w:bottom w:val="single" w:sz="4" w:space="0" w:color="BFBFBF"/>
              <w:right w:val="single" w:sz="4" w:space="0" w:color="BFBFBF"/>
            </w:tcBorders>
          </w:tcPr>
          <w:p w14:paraId="067A2270" w14:textId="77777777" w:rsidR="00905AC2" w:rsidRPr="002048A7" w:rsidRDefault="00905AC2" w:rsidP="00905AC2">
            <w:pPr>
              <w:pStyle w:val="TableParagraph"/>
              <w:spacing w:before="20"/>
              <w:ind w:left="153"/>
              <w:jc w:val="center"/>
              <w:rPr>
                <w:rFonts w:eastAsia="Calibri" w:cs="Times New Roman"/>
                <w:lang w:val="tr-TR"/>
              </w:rPr>
            </w:pPr>
            <w:r w:rsidRPr="002048A7">
              <w:rPr>
                <w:rFonts w:eastAsia="Calibri" w:cs="Times New Roman"/>
                <w:lang w:val="tr-TR"/>
              </w:rPr>
              <w:t>2</w:t>
            </w:r>
            <w:r>
              <w:rPr>
                <w:rFonts w:eastAsia="Calibri" w:cs="Times New Roman"/>
                <w:lang w:val="tr-TR"/>
              </w:rPr>
              <w:t>6</w:t>
            </w:r>
            <w:r w:rsidRPr="002048A7">
              <w:rPr>
                <w:rFonts w:eastAsia="Calibri" w:cs="Times New Roman"/>
                <w:lang w:val="tr-TR"/>
              </w:rPr>
              <w:t>.12.202</w:t>
            </w:r>
            <w:r>
              <w:rPr>
                <w:rFonts w:eastAsia="Calibri" w:cs="Times New Roman"/>
                <w:lang w:val="tr-TR"/>
              </w:rPr>
              <w:t>4</w:t>
            </w:r>
          </w:p>
        </w:tc>
        <w:tc>
          <w:tcPr>
            <w:tcW w:w="0" w:type="auto"/>
            <w:tcBorders>
              <w:top w:val="single" w:sz="4" w:space="0" w:color="BFBFBF"/>
              <w:left w:val="single" w:sz="4" w:space="0" w:color="BFBFBF"/>
              <w:bottom w:val="single" w:sz="4" w:space="0" w:color="BFBFBF"/>
              <w:right w:val="single" w:sz="4" w:space="0" w:color="BFBFBF"/>
            </w:tcBorders>
          </w:tcPr>
          <w:p w14:paraId="1687E7D9" w14:textId="77777777" w:rsidR="00905AC2" w:rsidRPr="002048A7" w:rsidRDefault="00905AC2" w:rsidP="00905AC2">
            <w:pPr>
              <w:pStyle w:val="TableParagraph"/>
              <w:spacing w:before="20"/>
              <w:jc w:val="center"/>
              <w:rPr>
                <w:rFonts w:eastAsia="Calibri" w:cs="Times New Roman"/>
                <w:lang w:val="tr-TR"/>
              </w:rPr>
            </w:pPr>
            <w:r w:rsidRPr="002048A7">
              <w:rPr>
                <w:rFonts w:eastAsia="Calibri" w:cs="Times New Roman"/>
                <w:lang w:val="tr-TR"/>
              </w:rPr>
              <w:t>1</w:t>
            </w:r>
            <w:r>
              <w:rPr>
                <w:rFonts w:eastAsia="Calibri" w:cs="Times New Roman"/>
                <w:lang w:val="tr-TR"/>
              </w:rPr>
              <w:t>3163/</w:t>
            </w:r>
            <w:r w:rsidRPr="002048A7">
              <w:rPr>
                <w:rFonts w:eastAsia="Calibri" w:cs="Times New Roman"/>
                <w:lang w:val="tr-TR"/>
              </w:rPr>
              <w:t>7</w:t>
            </w:r>
          </w:p>
        </w:tc>
      </w:tr>
      <w:tr w:rsidR="00905AC2" w:rsidRPr="002048A7" w14:paraId="617C29B2" w14:textId="77777777" w:rsidTr="00905AC2">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13D8540D" w14:textId="77777777" w:rsidR="00905AC2" w:rsidRPr="002048A7" w:rsidRDefault="00905AC2" w:rsidP="00905AC2">
            <w:pPr>
              <w:pStyle w:val="TableParagraph"/>
              <w:spacing w:before="20"/>
              <w:ind w:left="65"/>
              <w:rPr>
                <w:rFonts w:eastAsia="Calibri" w:cs="Times New Roman"/>
                <w:lang w:val="tr-TR"/>
              </w:rPr>
            </w:pPr>
            <w:r w:rsidRPr="002048A7">
              <w:rPr>
                <w:rFonts w:eastAsia="Calibri" w:cs="Times New Roman"/>
                <w:lang w:val="tr-TR"/>
              </w:rPr>
              <w:t>CK Çamlıbel Elektrik Perakende Satış A.Ş.</w:t>
            </w:r>
          </w:p>
        </w:tc>
        <w:tc>
          <w:tcPr>
            <w:tcW w:w="0" w:type="auto"/>
            <w:tcBorders>
              <w:top w:val="single" w:sz="4" w:space="0" w:color="BFBFBF"/>
              <w:left w:val="single" w:sz="4" w:space="0" w:color="BFBFBF"/>
              <w:bottom w:val="single" w:sz="4" w:space="0" w:color="BFBFBF"/>
              <w:right w:val="single" w:sz="4" w:space="0" w:color="BFBFBF"/>
            </w:tcBorders>
          </w:tcPr>
          <w:p w14:paraId="6D1D2A59" w14:textId="77777777" w:rsidR="00905AC2" w:rsidRPr="002048A7" w:rsidRDefault="00905AC2" w:rsidP="00905AC2">
            <w:pPr>
              <w:pStyle w:val="TableParagraph"/>
              <w:spacing w:before="20"/>
              <w:ind w:left="153"/>
              <w:jc w:val="center"/>
              <w:rPr>
                <w:rFonts w:eastAsia="Calibri" w:cs="Times New Roman"/>
                <w:lang w:val="tr-TR"/>
              </w:rPr>
            </w:pPr>
            <w:r w:rsidRPr="002048A7">
              <w:rPr>
                <w:rFonts w:eastAsia="Calibri" w:cs="Times New Roman"/>
                <w:lang w:val="tr-TR"/>
              </w:rPr>
              <w:t>2</w:t>
            </w:r>
            <w:r>
              <w:rPr>
                <w:rFonts w:eastAsia="Calibri" w:cs="Times New Roman"/>
                <w:lang w:val="tr-TR"/>
              </w:rPr>
              <w:t>6</w:t>
            </w:r>
            <w:r w:rsidRPr="002048A7">
              <w:rPr>
                <w:rFonts w:eastAsia="Calibri" w:cs="Times New Roman"/>
                <w:lang w:val="tr-TR"/>
              </w:rPr>
              <w:t>.12.202</w:t>
            </w:r>
            <w:r>
              <w:rPr>
                <w:rFonts w:eastAsia="Calibri" w:cs="Times New Roman"/>
                <w:lang w:val="tr-TR"/>
              </w:rPr>
              <w:t>4</w:t>
            </w:r>
          </w:p>
        </w:tc>
        <w:tc>
          <w:tcPr>
            <w:tcW w:w="0" w:type="auto"/>
            <w:tcBorders>
              <w:top w:val="single" w:sz="4" w:space="0" w:color="BFBFBF"/>
              <w:left w:val="single" w:sz="4" w:space="0" w:color="BFBFBF"/>
              <w:bottom w:val="single" w:sz="4" w:space="0" w:color="BFBFBF"/>
              <w:right w:val="single" w:sz="4" w:space="0" w:color="BFBFBF"/>
            </w:tcBorders>
          </w:tcPr>
          <w:p w14:paraId="12EE77F2" w14:textId="77777777" w:rsidR="00905AC2" w:rsidRPr="002048A7" w:rsidRDefault="00905AC2" w:rsidP="00905AC2">
            <w:pPr>
              <w:pStyle w:val="TableParagraph"/>
              <w:spacing w:before="20"/>
              <w:jc w:val="center"/>
              <w:rPr>
                <w:rFonts w:eastAsia="Calibri" w:cs="Times New Roman"/>
                <w:lang w:val="tr-TR"/>
              </w:rPr>
            </w:pPr>
            <w:r w:rsidRPr="002048A7">
              <w:rPr>
                <w:rFonts w:eastAsia="Calibri" w:cs="Times New Roman"/>
                <w:lang w:val="tr-TR"/>
              </w:rPr>
              <w:t>1</w:t>
            </w:r>
            <w:r>
              <w:rPr>
                <w:rFonts w:eastAsia="Calibri" w:cs="Times New Roman"/>
                <w:lang w:val="tr-TR"/>
              </w:rPr>
              <w:t>3163/</w:t>
            </w:r>
            <w:r w:rsidRPr="002048A7">
              <w:rPr>
                <w:rFonts w:eastAsia="Calibri" w:cs="Times New Roman"/>
                <w:lang w:val="tr-TR"/>
              </w:rPr>
              <w:t>8</w:t>
            </w:r>
          </w:p>
        </w:tc>
      </w:tr>
      <w:tr w:rsidR="00905AC2" w:rsidRPr="002048A7" w14:paraId="0CA0F769" w14:textId="77777777" w:rsidTr="00905AC2">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73588700" w14:textId="77777777" w:rsidR="00905AC2" w:rsidRPr="002048A7" w:rsidRDefault="00905AC2" w:rsidP="00905AC2">
            <w:pPr>
              <w:pStyle w:val="TableParagraph"/>
              <w:spacing w:before="20"/>
              <w:ind w:left="65"/>
              <w:rPr>
                <w:rFonts w:eastAsia="Calibri" w:cs="Times New Roman"/>
                <w:lang w:val="tr-TR"/>
              </w:rPr>
            </w:pPr>
            <w:r w:rsidRPr="002048A7">
              <w:rPr>
                <w:rFonts w:eastAsia="Calibri" w:cs="Times New Roman"/>
                <w:lang w:val="tr-TR"/>
              </w:rPr>
              <w:t>Dicle Elektrik Perakende Satış A.Ş.</w:t>
            </w:r>
          </w:p>
        </w:tc>
        <w:tc>
          <w:tcPr>
            <w:tcW w:w="0" w:type="auto"/>
            <w:tcBorders>
              <w:top w:val="single" w:sz="4" w:space="0" w:color="BFBFBF"/>
              <w:left w:val="single" w:sz="4" w:space="0" w:color="BFBFBF"/>
              <w:bottom w:val="single" w:sz="4" w:space="0" w:color="BFBFBF"/>
              <w:right w:val="single" w:sz="4" w:space="0" w:color="BFBFBF"/>
            </w:tcBorders>
          </w:tcPr>
          <w:p w14:paraId="263FF613" w14:textId="77777777" w:rsidR="00905AC2" w:rsidRPr="002048A7" w:rsidRDefault="00905AC2" w:rsidP="00905AC2">
            <w:pPr>
              <w:pStyle w:val="TableParagraph"/>
              <w:spacing w:before="20"/>
              <w:ind w:left="153"/>
              <w:jc w:val="center"/>
              <w:rPr>
                <w:rFonts w:eastAsia="Calibri" w:cs="Times New Roman"/>
                <w:lang w:val="tr-TR"/>
              </w:rPr>
            </w:pPr>
            <w:r w:rsidRPr="002048A7">
              <w:rPr>
                <w:rFonts w:eastAsia="Calibri" w:cs="Times New Roman"/>
                <w:lang w:val="tr-TR"/>
              </w:rPr>
              <w:t>2</w:t>
            </w:r>
            <w:r>
              <w:rPr>
                <w:rFonts w:eastAsia="Calibri" w:cs="Times New Roman"/>
                <w:lang w:val="tr-TR"/>
              </w:rPr>
              <w:t>6</w:t>
            </w:r>
            <w:r w:rsidRPr="002048A7">
              <w:rPr>
                <w:rFonts w:eastAsia="Calibri" w:cs="Times New Roman"/>
                <w:lang w:val="tr-TR"/>
              </w:rPr>
              <w:t>.12.202</w:t>
            </w:r>
            <w:r>
              <w:rPr>
                <w:rFonts w:eastAsia="Calibri" w:cs="Times New Roman"/>
                <w:lang w:val="tr-TR"/>
              </w:rPr>
              <w:t>4</w:t>
            </w:r>
          </w:p>
        </w:tc>
        <w:tc>
          <w:tcPr>
            <w:tcW w:w="0" w:type="auto"/>
            <w:tcBorders>
              <w:top w:val="single" w:sz="4" w:space="0" w:color="BFBFBF"/>
              <w:left w:val="single" w:sz="4" w:space="0" w:color="BFBFBF"/>
              <w:bottom w:val="single" w:sz="4" w:space="0" w:color="BFBFBF"/>
              <w:right w:val="single" w:sz="4" w:space="0" w:color="BFBFBF"/>
            </w:tcBorders>
          </w:tcPr>
          <w:p w14:paraId="7ED0001B" w14:textId="77777777" w:rsidR="00905AC2" w:rsidRPr="002048A7" w:rsidRDefault="00905AC2" w:rsidP="00905AC2">
            <w:pPr>
              <w:pStyle w:val="TableParagraph"/>
              <w:spacing w:before="20"/>
              <w:jc w:val="center"/>
              <w:rPr>
                <w:rFonts w:eastAsia="Calibri" w:cs="Times New Roman"/>
                <w:lang w:val="tr-TR"/>
              </w:rPr>
            </w:pPr>
            <w:r w:rsidRPr="002048A7">
              <w:rPr>
                <w:rFonts w:eastAsia="Calibri" w:cs="Times New Roman"/>
                <w:lang w:val="tr-TR"/>
              </w:rPr>
              <w:t>1</w:t>
            </w:r>
            <w:r>
              <w:rPr>
                <w:rFonts w:eastAsia="Calibri" w:cs="Times New Roman"/>
                <w:lang w:val="tr-TR"/>
              </w:rPr>
              <w:t>3163/</w:t>
            </w:r>
            <w:r w:rsidRPr="002048A7">
              <w:rPr>
                <w:rFonts w:eastAsia="Calibri" w:cs="Times New Roman"/>
                <w:lang w:val="tr-TR"/>
              </w:rPr>
              <w:t>9</w:t>
            </w:r>
          </w:p>
        </w:tc>
      </w:tr>
      <w:tr w:rsidR="00905AC2" w:rsidRPr="002048A7" w14:paraId="66BCF7AC" w14:textId="77777777" w:rsidTr="00905AC2">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16402454" w14:textId="77777777" w:rsidR="00905AC2" w:rsidRPr="002048A7" w:rsidRDefault="00905AC2" w:rsidP="00905AC2">
            <w:pPr>
              <w:pStyle w:val="TableParagraph"/>
              <w:spacing w:before="20"/>
              <w:ind w:left="65"/>
              <w:rPr>
                <w:rFonts w:eastAsia="Calibri" w:cs="Times New Roman"/>
                <w:lang w:val="tr-TR"/>
              </w:rPr>
            </w:pPr>
            <w:r w:rsidRPr="002048A7">
              <w:rPr>
                <w:rFonts w:eastAsia="Calibri" w:cs="Times New Roman"/>
                <w:lang w:val="tr-TR"/>
              </w:rPr>
              <w:t>Enerjisa Başkent Elektrik Perakende Satış A.Ş.</w:t>
            </w:r>
          </w:p>
        </w:tc>
        <w:tc>
          <w:tcPr>
            <w:tcW w:w="0" w:type="auto"/>
            <w:tcBorders>
              <w:top w:val="single" w:sz="4" w:space="0" w:color="BFBFBF"/>
              <w:left w:val="single" w:sz="4" w:space="0" w:color="BFBFBF"/>
              <w:bottom w:val="single" w:sz="4" w:space="0" w:color="BFBFBF"/>
              <w:right w:val="single" w:sz="4" w:space="0" w:color="BFBFBF"/>
            </w:tcBorders>
          </w:tcPr>
          <w:p w14:paraId="35BE724C" w14:textId="77777777" w:rsidR="00905AC2" w:rsidRPr="002048A7" w:rsidRDefault="00905AC2" w:rsidP="00905AC2">
            <w:pPr>
              <w:pStyle w:val="TableParagraph"/>
              <w:spacing w:before="20"/>
              <w:ind w:left="153"/>
              <w:jc w:val="center"/>
              <w:rPr>
                <w:rFonts w:eastAsia="Calibri" w:cs="Times New Roman"/>
                <w:lang w:val="tr-TR"/>
              </w:rPr>
            </w:pPr>
            <w:r w:rsidRPr="002048A7">
              <w:rPr>
                <w:rFonts w:eastAsia="Calibri" w:cs="Times New Roman"/>
                <w:lang w:val="tr-TR"/>
              </w:rPr>
              <w:t>2</w:t>
            </w:r>
            <w:r>
              <w:rPr>
                <w:rFonts w:eastAsia="Calibri" w:cs="Times New Roman"/>
                <w:lang w:val="tr-TR"/>
              </w:rPr>
              <w:t>6</w:t>
            </w:r>
            <w:r w:rsidRPr="002048A7">
              <w:rPr>
                <w:rFonts w:eastAsia="Calibri" w:cs="Times New Roman"/>
                <w:lang w:val="tr-TR"/>
              </w:rPr>
              <w:t>.12.202</w:t>
            </w:r>
            <w:r>
              <w:rPr>
                <w:rFonts w:eastAsia="Calibri" w:cs="Times New Roman"/>
                <w:lang w:val="tr-TR"/>
              </w:rPr>
              <w:t>4</w:t>
            </w:r>
          </w:p>
        </w:tc>
        <w:tc>
          <w:tcPr>
            <w:tcW w:w="0" w:type="auto"/>
            <w:tcBorders>
              <w:top w:val="single" w:sz="4" w:space="0" w:color="BFBFBF"/>
              <w:left w:val="single" w:sz="4" w:space="0" w:color="BFBFBF"/>
              <w:bottom w:val="single" w:sz="4" w:space="0" w:color="BFBFBF"/>
              <w:right w:val="single" w:sz="4" w:space="0" w:color="BFBFBF"/>
            </w:tcBorders>
          </w:tcPr>
          <w:p w14:paraId="6633A7E5" w14:textId="77777777" w:rsidR="00905AC2" w:rsidRPr="002048A7" w:rsidRDefault="00905AC2" w:rsidP="00905AC2">
            <w:pPr>
              <w:pStyle w:val="TableParagraph"/>
              <w:spacing w:before="20"/>
              <w:jc w:val="center"/>
              <w:rPr>
                <w:rFonts w:eastAsia="Calibri" w:cs="Times New Roman"/>
                <w:lang w:val="tr-TR"/>
              </w:rPr>
            </w:pPr>
            <w:r w:rsidRPr="002048A7">
              <w:rPr>
                <w:rFonts w:eastAsia="Calibri" w:cs="Times New Roman"/>
                <w:lang w:val="tr-TR"/>
              </w:rPr>
              <w:t>1</w:t>
            </w:r>
            <w:r>
              <w:rPr>
                <w:rFonts w:eastAsia="Calibri" w:cs="Times New Roman"/>
                <w:lang w:val="tr-TR"/>
              </w:rPr>
              <w:t>3163/</w:t>
            </w:r>
            <w:r w:rsidRPr="002048A7">
              <w:rPr>
                <w:rFonts w:eastAsia="Calibri" w:cs="Times New Roman"/>
                <w:lang w:val="tr-TR"/>
              </w:rPr>
              <w:t>10</w:t>
            </w:r>
          </w:p>
        </w:tc>
      </w:tr>
      <w:tr w:rsidR="00905AC2" w:rsidRPr="002048A7" w14:paraId="1FBBBFA7" w14:textId="77777777" w:rsidTr="00905AC2">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7A766882" w14:textId="77777777" w:rsidR="00905AC2" w:rsidRPr="002048A7" w:rsidRDefault="00905AC2" w:rsidP="00905AC2">
            <w:pPr>
              <w:pStyle w:val="TableParagraph"/>
              <w:spacing w:before="20"/>
              <w:ind w:left="65"/>
              <w:rPr>
                <w:rFonts w:eastAsia="Calibri" w:cs="Times New Roman"/>
                <w:lang w:val="tr-TR"/>
              </w:rPr>
            </w:pPr>
            <w:r w:rsidRPr="002048A7">
              <w:rPr>
                <w:rFonts w:eastAsia="Calibri" w:cs="Times New Roman"/>
                <w:lang w:val="tr-TR"/>
              </w:rPr>
              <w:t>Enerjisa İstanbul Anadolu Yakası Elektrik Perakende Satış A.Ş.</w:t>
            </w:r>
          </w:p>
        </w:tc>
        <w:tc>
          <w:tcPr>
            <w:tcW w:w="0" w:type="auto"/>
            <w:tcBorders>
              <w:top w:val="single" w:sz="4" w:space="0" w:color="BFBFBF"/>
              <w:left w:val="single" w:sz="4" w:space="0" w:color="BFBFBF"/>
              <w:bottom w:val="single" w:sz="4" w:space="0" w:color="BFBFBF"/>
              <w:right w:val="single" w:sz="4" w:space="0" w:color="BFBFBF"/>
            </w:tcBorders>
          </w:tcPr>
          <w:p w14:paraId="2B943A10" w14:textId="77777777" w:rsidR="00905AC2" w:rsidRPr="002048A7" w:rsidRDefault="00905AC2" w:rsidP="00905AC2">
            <w:pPr>
              <w:pStyle w:val="TableParagraph"/>
              <w:spacing w:before="20"/>
              <w:ind w:left="153"/>
              <w:jc w:val="center"/>
              <w:rPr>
                <w:rFonts w:eastAsia="Calibri" w:cs="Times New Roman"/>
                <w:lang w:val="tr-TR"/>
              </w:rPr>
            </w:pPr>
            <w:r w:rsidRPr="002048A7">
              <w:rPr>
                <w:rFonts w:eastAsia="Calibri" w:cs="Times New Roman"/>
                <w:lang w:val="tr-TR"/>
              </w:rPr>
              <w:t>2</w:t>
            </w:r>
            <w:r>
              <w:rPr>
                <w:rFonts w:eastAsia="Calibri" w:cs="Times New Roman"/>
                <w:lang w:val="tr-TR"/>
              </w:rPr>
              <w:t>6</w:t>
            </w:r>
            <w:r w:rsidRPr="002048A7">
              <w:rPr>
                <w:rFonts w:eastAsia="Calibri" w:cs="Times New Roman"/>
                <w:lang w:val="tr-TR"/>
              </w:rPr>
              <w:t>.12.202</w:t>
            </w:r>
            <w:r>
              <w:rPr>
                <w:rFonts w:eastAsia="Calibri" w:cs="Times New Roman"/>
                <w:lang w:val="tr-TR"/>
              </w:rPr>
              <w:t>4</w:t>
            </w:r>
          </w:p>
        </w:tc>
        <w:tc>
          <w:tcPr>
            <w:tcW w:w="0" w:type="auto"/>
            <w:tcBorders>
              <w:top w:val="single" w:sz="4" w:space="0" w:color="BFBFBF"/>
              <w:left w:val="single" w:sz="4" w:space="0" w:color="BFBFBF"/>
              <w:bottom w:val="single" w:sz="4" w:space="0" w:color="BFBFBF"/>
              <w:right w:val="single" w:sz="4" w:space="0" w:color="BFBFBF"/>
            </w:tcBorders>
          </w:tcPr>
          <w:p w14:paraId="708454F2" w14:textId="77777777" w:rsidR="00905AC2" w:rsidRPr="002048A7" w:rsidRDefault="00905AC2" w:rsidP="00905AC2">
            <w:pPr>
              <w:pStyle w:val="TableParagraph"/>
              <w:spacing w:before="20"/>
              <w:jc w:val="center"/>
              <w:rPr>
                <w:rFonts w:eastAsia="Calibri" w:cs="Times New Roman"/>
                <w:lang w:val="tr-TR"/>
              </w:rPr>
            </w:pPr>
            <w:r w:rsidRPr="002048A7">
              <w:rPr>
                <w:rFonts w:eastAsia="Calibri" w:cs="Times New Roman"/>
                <w:lang w:val="tr-TR"/>
              </w:rPr>
              <w:t>1</w:t>
            </w:r>
            <w:r>
              <w:rPr>
                <w:rFonts w:eastAsia="Calibri" w:cs="Times New Roman"/>
                <w:lang w:val="tr-TR"/>
              </w:rPr>
              <w:t>3163/</w:t>
            </w:r>
            <w:r w:rsidRPr="002048A7">
              <w:rPr>
                <w:rFonts w:eastAsia="Calibri" w:cs="Times New Roman"/>
                <w:lang w:val="tr-TR"/>
              </w:rPr>
              <w:t>11</w:t>
            </w:r>
          </w:p>
        </w:tc>
      </w:tr>
      <w:tr w:rsidR="00905AC2" w:rsidRPr="002048A7" w14:paraId="12805C67" w14:textId="77777777" w:rsidTr="00905AC2">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00B42757" w14:textId="77777777" w:rsidR="00905AC2" w:rsidRPr="002048A7" w:rsidRDefault="00905AC2" w:rsidP="00905AC2">
            <w:pPr>
              <w:pStyle w:val="TableParagraph"/>
              <w:spacing w:before="20"/>
              <w:ind w:left="65"/>
              <w:rPr>
                <w:rFonts w:eastAsia="Calibri" w:cs="Times New Roman"/>
                <w:lang w:val="tr-TR"/>
              </w:rPr>
            </w:pPr>
            <w:r w:rsidRPr="002048A7">
              <w:rPr>
                <w:rFonts w:eastAsia="Calibri" w:cs="Times New Roman"/>
                <w:lang w:val="tr-TR"/>
              </w:rPr>
              <w:t>Enerjisa Toroslar Elektrik Perakende Satış A.Ş.</w:t>
            </w:r>
          </w:p>
        </w:tc>
        <w:tc>
          <w:tcPr>
            <w:tcW w:w="0" w:type="auto"/>
            <w:tcBorders>
              <w:top w:val="single" w:sz="4" w:space="0" w:color="BFBFBF"/>
              <w:left w:val="single" w:sz="4" w:space="0" w:color="BFBFBF"/>
              <w:bottom w:val="single" w:sz="4" w:space="0" w:color="BFBFBF"/>
              <w:right w:val="single" w:sz="4" w:space="0" w:color="BFBFBF"/>
            </w:tcBorders>
          </w:tcPr>
          <w:p w14:paraId="1A55D487" w14:textId="77777777" w:rsidR="00905AC2" w:rsidRPr="002048A7" w:rsidRDefault="00905AC2" w:rsidP="00905AC2">
            <w:pPr>
              <w:pStyle w:val="TableParagraph"/>
              <w:spacing w:before="20"/>
              <w:ind w:left="153"/>
              <w:jc w:val="center"/>
              <w:rPr>
                <w:rFonts w:eastAsia="Calibri" w:cs="Times New Roman"/>
                <w:lang w:val="tr-TR"/>
              </w:rPr>
            </w:pPr>
            <w:r w:rsidRPr="002048A7">
              <w:rPr>
                <w:rFonts w:eastAsia="Calibri" w:cs="Times New Roman"/>
                <w:lang w:val="tr-TR"/>
              </w:rPr>
              <w:t>2</w:t>
            </w:r>
            <w:r>
              <w:rPr>
                <w:rFonts w:eastAsia="Calibri" w:cs="Times New Roman"/>
                <w:lang w:val="tr-TR"/>
              </w:rPr>
              <w:t>6</w:t>
            </w:r>
            <w:r w:rsidRPr="002048A7">
              <w:rPr>
                <w:rFonts w:eastAsia="Calibri" w:cs="Times New Roman"/>
                <w:lang w:val="tr-TR"/>
              </w:rPr>
              <w:t>.12.202</w:t>
            </w:r>
            <w:r>
              <w:rPr>
                <w:rFonts w:eastAsia="Calibri" w:cs="Times New Roman"/>
                <w:lang w:val="tr-TR"/>
              </w:rPr>
              <w:t>4</w:t>
            </w:r>
          </w:p>
        </w:tc>
        <w:tc>
          <w:tcPr>
            <w:tcW w:w="0" w:type="auto"/>
            <w:tcBorders>
              <w:top w:val="single" w:sz="4" w:space="0" w:color="BFBFBF"/>
              <w:left w:val="single" w:sz="4" w:space="0" w:color="BFBFBF"/>
              <w:bottom w:val="single" w:sz="4" w:space="0" w:color="BFBFBF"/>
              <w:right w:val="single" w:sz="4" w:space="0" w:color="BFBFBF"/>
            </w:tcBorders>
          </w:tcPr>
          <w:p w14:paraId="69C7010E" w14:textId="77777777" w:rsidR="00905AC2" w:rsidRPr="002048A7" w:rsidRDefault="00905AC2" w:rsidP="00905AC2">
            <w:pPr>
              <w:pStyle w:val="TableParagraph"/>
              <w:spacing w:before="20"/>
              <w:jc w:val="center"/>
              <w:rPr>
                <w:rFonts w:eastAsia="Calibri" w:cs="Times New Roman"/>
                <w:lang w:val="tr-TR"/>
              </w:rPr>
            </w:pPr>
            <w:r>
              <w:rPr>
                <w:rFonts w:eastAsia="Calibri" w:cs="Times New Roman"/>
                <w:lang w:val="tr-TR"/>
              </w:rPr>
              <w:t>13163/</w:t>
            </w:r>
            <w:r w:rsidRPr="002048A7">
              <w:rPr>
                <w:rFonts w:eastAsia="Calibri" w:cs="Times New Roman"/>
                <w:lang w:val="tr-TR"/>
              </w:rPr>
              <w:t>12</w:t>
            </w:r>
          </w:p>
        </w:tc>
      </w:tr>
      <w:tr w:rsidR="00905AC2" w:rsidRPr="002048A7" w14:paraId="1553D507" w14:textId="77777777" w:rsidTr="00905AC2">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6165A333" w14:textId="77777777" w:rsidR="00905AC2" w:rsidRPr="002048A7" w:rsidRDefault="00905AC2" w:rsidP="00905AC2">
            <w:pPr>
              <w:pStyle w:val="TableParagraph"/>
              <w:spacing w:before="20"/>
              <w:ind w:left="65"/>
              <w:rPr>
                <w:rFonts w:eastAsia="Calibri" w:cs="Times New Roman"/>
                <w:lang w:val="tr-TR"/>
              </w:rPr>
            </w:pPr>
            <w:r w:rsidRPr="002048A7">
              <w:rPr>
                <w:rFonts w:eastAsia="Calibri" w:cs="Times New Roman"/>
                <w:lang w:val="tr-TR"/>
              </w:rPr>
              <w:t>Gediz Elektrik Perakende Satış A.Ş.</w:t>
            </w:r>
          </w:p>
        </w:tc>
        <w:tc>
          <w:tcPr>
            <w:tcW w:w="0" w:type="auto"/>
            <w:tcBorders>
              <w:top w:val="single" w:sz="4" w:space="0" w:color="BFBFBF"/>
              <w:left w:val="single" w:sz="4" w:space="0" w:color="BFBFBF"/>
              <w:bottom w:val="single" w:sz="4" w:space="0" w:color="BFBFBF"/>
              <w:right w:val="single" w:sz="4" w:space="0" w:color="BFBFBF"/>
            </w:tcBorders>
          </w:tcPr>
          <w:p w14:paraId="1332B5D2" w14:textId="77777777" w:rsidR="00905AC2" w:rsidRPr="002048A7" w:rsidRDefault="00905AC2" w:rsidP="00905AC2">
            <w:pPr>
              <w:pStyle w:val="TableParagraph"/>
              <w:spacing w:before="20"/>
              <w:ind w:left="153"/>
              <w:jc w:val="center"/>
              <w:rPr>
                <w:rFonts w:eastAsia="Calibri" w:cs="Times New Roman"/>
                <w:lang w:val="tr-TR"/>
              </w:rPr>
            </w:pPr>
            <w:r w:rsidRPr="002048A7">
              <w:rPr>
                <w:rFonts w:eastAsia="Calibri" w:cs="Times New Roman"/>
                <w:lang w:val="tr-TR"/>
              </w:rPr>
              <w:t>2</w:t>
            </w:r>
            <w:r>
              <w:rPr>
                <w:rFonts w:eastAsia="Calibri" w:cs="Times New Roman"/>
                <w:lang w:val="tr-TR"/>
              </w:rPr>
              <w:t>6</w:t>
            </w:r>
            <w:r w:rsidRPr="002048A7">
              <w:rPr>
                <w:rFonts w:eastAsia="Calibri" w:cs="Times New Roman"/>
                <w:lang w:val="tr-TR"/>
              </w:rPr>
              <w:t>.12.202</w:t>
            </w:r>
            <w:r>
              <w:rPr>
                <w:rFonts w:eastAsia="Calibri" w:cs="Times New Roman"/>
                <w:lang w:val="tr-TR"/>
              </w:rPr>
              <w:t>4</w:t>
            </w:r>
          </w:p>
        </w:tc>
        <w:tc>
          <w:tcPr>
            <w:tcW w:w="0" w:type="auto"/>
            <w:tcBorders>
              <w:top w:val="single" w:sz="4" w:space="0" w:color="BFBFBF"/>
              <w:left w:val="single" w:sz="4" w:space="0" w:color="BFBFBF"/>
              <w:bottom w:val="single" w:sz="4" w:space="0" w:color="BFBFBF"/>
              <w:right w:val="single" w:sz="4" w:space="0" w:color="BFBFBF"/>
            </w:tcBorders>
          </w:tcPr>
          <w:p w14:paraId="1B75E80C" w14:textId="77777777" w:rsidR="00905AC2" w:rsidRPr="002048A7" w:rsidRDefault="00905AC2" w:rsidP="00905AC2">
            <w:pPr>
              <w:pStyle w:val="TableParagraph"/>
              <w:spacing w:before="20"/>
              <w:jc w:val="center"/>
              <w:rPr>
                <w:rFonts w:eastAsia="Calibri" w:cs="Times New Roman"/>
                <w:lang w:val="tr-TR"/>
              </w:rPr>
            </w:pPr>
            <w:r w:rsidRPr="002048A7">
              <w:rPr>
                <w:rFonts w:eastAsia="Calibri" w:cs="Times New Roman"/>
                <w:lang w:val="tr-TR"/>
              </w:rPr>
              <w:t>1</w:t>
            </w:r>
            <w:r>
              <w:rPr>
                <w:rFonts w:eastAsia="Calibri" w:cs="Times New Roman"/>
                <w:lang w:val="tr-TR"/>
              </w:rPr>
              <w:t>3163/</w:t>
            </w:r>
            <w:r w:rsidRPr="002048A7">
              <w:rPr>
                <w:rFonts w:eastAsia="Calibri" w:cs="Times New Roman"/>
                <w:lang w:val="tr-TR"/>
              </w:rPr>
              <w:t>13</w:t>
            </w:r>
          </w:p>
        </w:tc>
      </w:tr>
      <w:tr w:rsidR="00905AC2" w:rsidRPr="002048A7" w14:paraId="43759F5A" w14:textId="77777777" w:rsidTr="00905AC2">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4C2017A7" w14:textId="77777777" w:rsidR="00905AC2" w:rsidRPr="002048A7" w:rsidRDefault="00905AC2" w:rsidP="00905AC2">
            <w:pPr>
              <w:pStyle w:val="TableParagraph"/>
              <w:spacing w:before="20"/>
              <w:ind w:left="65"/>
              <w:rPr>
                <w:rFonts w:eastAsia="Calibri" w:cs="Times New Roman"/>
                <w:lang w:val="tr-TR"/>
              </w:rPr>
            </w:pPr>
            <w:r w:rsidRPr="002048A7">
              <w:rPr>
                <w:rFonts w:eastAsia="Calibri" w:cs="Times New Roman"/>
                <w:lang w:val="tr-TR"/>
              </w:rPr>
              <w:t>Kayseri Elektrik Perakende Satış A.Ş.</w:t>
            </w:r>
          </w:p>
        </w:tc>
        <w:tc>
          <w:tcPr>
            <w:tcW w:w="0" w:type="auto"/>
            <w:tcBorders>
              <w:top w:val="single" w:sz="4" w:space="0" w:color="BFBFBF"/>
              <w:left w:val="single" w:sz="4" w:space="0" w:color="BFBFBF"/>
              <w:bottom w:val="single" w:sz="4" w:space="0" w:color="BFBFBF"/>
              <w:right w:val="single" w:sz="4" w:space="0" w:color="BFBFBF"/>
            </w:tcBorders>
          </w:tcPr>
          <w:p w14:paraId="06383EA8" w14:textId="77777777" w:rsidR="00905AC2" w:rsidRPr="002048A7" w:rsidRDefault="00905AC2" w:rsidP="00905AC2">
            <w:pPr>
              <w:pStyle w:val="TableParagraph"/>
              <w:spacing w:before="20"/>
              <w:ind w:left="153"/>
              <w:jc w:val="center"/>
              <w:rPr>
                <w:rFonts w:eastAsia="Calibri" w:cs="Times New Roman"/>
                <w:lang w:val="tr-TR"/>
              </w:rPr>
            </w:pPr>
            <w:r w:rsidRPr="002048A7">
              <w:rPr>
                <w:rFonts w:eastAsia="Calibri" w:cs="Times New Roman"/>
                <w:lang w:val="tr-TR"/>
              </w:rPr>
              <w:t>2</w:t>
            </w:r>
            <w:r>
              <w:rPr>
                <w:rFonts w:eastAsia="Calibri" w:cs="Times New Roman"/>
                <w:lang w:val="tr-TR"/>
              </w:rPr>
              <w:t>6</w:t>
            </w:r>
            <w:r w:rsidRPr="002048A7">
              <w:rPr>
                <w:rFonts w:eastAsia="Calibri" w:cs="Times New Roman"/>
                <w:lang w:val="tr-TR"/>
              </w:rPr>
              <w:t>.12.202</w:t>
            </w:r>
            <w:r>
              <w:rPr>
                <w:rFonts w:eastAsia="Calibri" w:cs="Times New Roman"/>
                <w:lang w:val="tr-TR"/>
              </w:rPr>
              <w:t>4</w:t>
            </w:r>
          </w:p>
        </w:tc>
        <w:tc>
          <w:tcPr>
            <w:tcW w:w="0" w:type="auto"/>
            <w:tcBorders>
              <w:top w:val="single" w:sz="4" w:space="0" w:color="BFBFBF"/>
              <w:left w:val="single" w:sz="4" w:space="0" w:color="BFBFBF"/>
              <w:bottom w:val="single" w:sz="4" w:space="0" w:color="BFBFBF"/>
              <w:right w:val="single" w:sz="4" w:space="0" w:color="BFBFBF"/>
            </w:tcBorders>
          </w:tcPr>
          <w:p w14:paraId="36C87678" w14:textId="77777777" w:rsidR="00905AC2" w:rsidRPr="002048A7" w:rsidRDefault="00905AC2" w:rsidP="00905AC2">
            <w:pPr>
              <w:pStyle w:val="TableParagraph"/>
              <w:spacing w:before="20"/>
              <w:jc w:val="center"/>
              <w:rPr>
                <w:rFonts w:eastAsia="Calibri" w:cs="Times New Roman"/>
                <w:lang w:val="tr-TR"/>
              </w:rPr>
            </w:pPr>
            <w:r>
              <w:rPr>
                <w:rFonts w:eastAsia="Calibri" w:cs="Times New Roman"/>
                <w:lang w:val="tr-TR"/>
              </w:rPr>
              <w:t>13163/14</w:t>
            </w:r>
          </w:p>
        </w:tc>
      </w:tr>
      <w:tr w:rsidR="00905AC2" w:rsidRPr="002048A7" w14:paraId="2B9BFE6E" w14:textId="77777777" w:rsidTr="00905AC2">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126F1DA9" w14:textId="77777777" w:rsidR="00905AC2" w:rsidRPr="002048A7" w:rsidRDefault="00905AC2" w:rsidP="00905AC2">
            <w:pPr>
              <w:pStyle w:val="TableParagraph"/>
              <w:spacing w:before="20"/>
              <w:ind w:left="65"/>
              <w:rPr>
                <w:rFonts w:eastAsia="Calibri" w:cs="Times New Roman"/>
                <w:lang w:val="tr-TR"/>
              </w:rPr>
            </w:pPr>
            <w:r w:rsidRPr="002048A7">
              <w:rPr>
                <w:rFonts w:eastAsia="Calibri" w:cs="Times New Roman"/>
                <w:lang w:val="tr-TR"/>
              </w:rPr>
              <w:lastRenderedPageBreak/>
              <w:t>Meram Elektrik Perakende Satış A.Ş.</w:t>
            </w:r>
          </w:p>
        </w:tc>
        <w:tc>
          <w:tcPr>
            <w:tcW w:w="0" w:type="auto"/>
            <w:tcBorders>
              <w:top w:val="single" w:sz="4" w:space="0" w:color="BFBFBF"/>
              <w:left w:val="single" w:sz="4" w:space="0" w:color="BFBFBF"/>
              <w:bottom w:val="single" w:sz="4" w:space="0" w:color="BFBFBF"/>
              <w:right w:val="single" w:sz="4" w:space="0" w:color="BFBFBF"/>
            </w:tcBorders>
          </w:tcPr>
          <w:p w14:paraId="4BD18754" w14:textId="77777777" w:rsidR="00905AC2" w:rsidRPr="002048A7" w:rsidRDefault="00905AC2" w:rsidP="00905AC2">
            <w:pPr>
              <w:pStyle w:val="TableParagraph"/>
              <w:spacing w:before="20"/>
              <w:ind w:left="153"/>
              <w:jc w:val="center"/>
              <w:rPr>
                <w:rFonts w:eastAsia="Calibri" w:cs="Times New Roman"/>
                <w:lang w:val="tr-TR"/>
              </w:rPr>
            </w:pPr>
            <w:r w:rsidRPr="002048A7">
              <w:rPr>
                <w:rFonts w:eastAsia="Calibri" w:cs="Times New Roman"/>
                <w:lang w:val="tr-TR"/>
              </w:rPr>
              <w:t>2</w:t>
            </w:r>
            <w:r>
              <w:rPr>
                <w:rFonts w:eastAsia="Calibri" w:cs="Times New Roman"/>
                <w:lang w:val="tr-TR"/>
              </w:rPr>
              <w:t>6</w:t>
            </w:r>
            <w:r w:rsidRPr="002048A7">
              <w:rPr>
                <w:rFonts w:eastAsia="Calibri" w:cs="Times New Roman"/>
                <w:lang w:val="tr-TR"/>
              </w:rPr>
              <w:t>.12.202</w:t>
            </w:r>
            <w:r>
              <w:rPr>
                <w:rFonts w:eastAsia="Calibri" w:cs="Times New Roman"/>
                <w:lang w:val="tr-TR"/>
              </w:rPr>
              <w:t>4</w:t>
            </w:r>
          </w:p>
        </w:tc>
        <w:tc>
          <w:tcPr>
            <w:tcW w:w="0" w:type="auto"/>
            <w:tcBorders>
              <w:top w:val="single" w:sz="4" w:space="0" w:color="BFBFBF"/>
              <w:left w:val="single" w:sz="4" w:space="0" w:color="BFBFBF"/>
              <w:bottom w:val="single" w:sz="4" w:space="0" w:color="BFBFBF"/>
              <w:right w:val="single" w:sz="4" w:space="0" w:color="BFBFBF"/>
            </w:tcBorders>
          </w:tcPr>
          <w:p w14:paraId="40417E6D" w14:textId="77777777" w:rsidR="00905AC2" w:rsidRPr="002048A7" w:rsidRDefault="00905AC2" w:rsidP="00905AC2">
            <w:pPr>
              <w:pStyle w:val="TableParagraph"/>
              <w:spacing w:before="20"/>
              <w:jc w:val="center"/>
              <w:rPr>
                <w:rFonts w:eastAsia="Calibri" w:cs="Times New Roman"/>
                <w:lang w:val="tr-TR"/>
              </w:rPr>
            </w:pPr>
            <w:r>
              <w:rPr>
                <w:rFonts w:eastAsia="Calibri" w:cs="Times New Roman"/>
                <w:lang w:val="tr-TR"/>
              </w:rPr>
              <w:t>13163/15</w:t>
            </w:r>
          </w:p>
        </w:tc>
      </w:tr>
      <w:tr w:rsidR="00905AC2" w:rsidRPr="002048A7" w14:paraId="7BCCB369" w14:textId="77777777" w:rsidTr="00905AC2">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1A7C8BD8" w14:textId="77777777" w:rsidR="00905AC2" w:rsidRPr="002048A7" w:rsidRDefault="00905AC2" w:rsidP="00905AC2">
            <w:pPr>
              <w:pStyle w:val="TableParagraph"/>
              <w:spacing w:before="20"/>
              <w:ind w:left="65"/>
              <w:rPr>
                <w:rFonts w:eastAsia="Calibri" w:cs="Times New Roman"/>
                <w:lang w:val="tr-TR"/>
              </w:rPr>
            </w:pPr>
            <w:r w:rsidRPr="002048A7">
              <w:rPr>
                <w:rFonts w:eastAsia="Calibri" w:cs="Times New Roman"/>
                <w:lang w:val="tr-TR"/>
              </w:rPr>
              <w:t>Osmangazi Elektrik Perakende Satış A.Ş.</w:t>
            </w:r>
          </w:p>
        </w:tc>
        <w:tc>
          <w:tcPr>
            <w:tcW w:w="0" w:type="auto"/>
            <w:tcBorders>
              <w:top w:val="single" w:sz="4" w:space="0" w:color="BFBFBF"/>
              <w:left w:val="single" w:sz="4" w:space="0" w:color="BFBFBF"/>
              <w:bottom w:val="single" w:sz="4" w:space="0" w:color="BFBFBF"/>
              <w:right w:val="single" w:sz="4" w:space="0" w:color="BFBFBF"/>
            </w:tcBorders>
          </w:tcPr>
          <w:p w14:paraId="370D94B1" w14:textId="77777777" w:rsidR="00905AC2" w:rsidRPr="002048A7" w:rsidRDefault="00905AC2" w:rsidP="00905AC2">
            <w:pPr>
              <w:pStyle w:val="TableParagraph"/>
              <w:spacing w:before="20"/>
              <w:ind w:left="153"/>
              <w:jc w:val="center"/>
              <w:rPr>
                <w:rFonts w:eastAsia="Calibri" w:cs="Times New Roman"/>
                <w:lang w:val="tr-TR"/>
              </w:rPr>
            </w:pPr>
            <w:r w:rsidRPr="002048A7">
              <w:rPr>
                <w:rFonts w:eastAsia="Calibri" w:cs="Times New Roman"/>
                <w:lang w:val="tr-TR"/>
              </w:rPr>
              <w:t>2</w:t>
            </w:r>
            <w:r>
              <w:rPr>
                <w:rFonts w:eastAsia="Calibri" w:cs="Times New Roman"/>
                <w:lang w:val="tr-TR"/>
              </w:rPr>
              <w:t>6</w:t>
            </w:r>
            <w:r w:rsidRPr="002048A7">
              <w:rPr>
                <w:rFonts w:eastAsia="Calibri" w:cs="Times New Roman"/>
                <w:lang w:val="tr-TR"/>
              </w:rPr>
              <w:t>.12.202</w:t>
            </w:r>
            <w:r>
              <w:rPr>
                <w:rFonts w:eastAsia="Calibri" w:cs="Times New Roman"/>
                <w:lang w:val="tr-TR"/>
              </w:rPr>
              <w:t>4</w:t>
            </w:r>
          </w:p>
        </w:tc>
        <w:tc>
          <w:tcPr>
            <w:tcW w:w="0" w:type="auto"/>
            <w:tcBorders>
              <w:top w:val="single" w:sz="4" w:space="0" w:color="BFBFBF"/>
              <w:left w:val="single" w:sz="4" w:space="0" w:color="BFBFBF"/>
              <w:bottom w:val="single" w:sz="4" w:space="0" w:color="BFBFBF"/>
              <w:right w:val="single" w:sz="4" w:space="0" w:color="BFBFBF"/>
            </w:tcBorders>
          </w:tcPr>
          <w:p w14:paraId="1F0E1F1F" w14:textId="77777777" w:rsidR="00905AC2" w:rsidRPr="002048A7" w:rsidRDefault="00905AC2" w:rsidP="00905AC2">
            <w:pPr>
              <w:pStyle w:val="TableParagraph"/>
              <w:spacing w:before="20"/>
              <w:jc w:val="center"/>
              <w:rPr>
                <w:rFonts w:eastAsia="Calibri" w:cs="Times New Roman"/>
                <w:lang w:val="tr-TR"/>
              </w:rPr>
            </w:pPr>
            <w:r w:rsidRPr="002048A7">
              <w:rPr>
                <w:rFonts w:eastAsia="Calibri" w:cs="Times New Roman"/>
                <w:lang w:val="tr-TR"/>
              </w:rPr>
              <w:t>1</w:t>
            </w:r>
            <w:r>
              <w:rPr>
                <w:rFonts w:eastAsia="Calibri" w:cs="Times New Roman"/>
                <w:lang w:val="tr-TR"/>
              </w:rPr>
              <w:t>3163/16</w:t>
            </w:r>
          </w:p>
        </w:tc>
      </w:tr>
      <w:tr w:rsidR="00905AC2" w:rsidRPr="002048A7" w14:paraId="1E420B41" w14:textId="77777777" w:rsidTr="00905AC2">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770BCA76" w14:textId="77777777" w:rsidR="00905AC2" w:rsidRPr="002048A7" w:rsidRDefault="00905AC2" w:rsidP="00905AC2">
            <w:pPr>
              <w:pStyle w:val="TableParagraph"/>
              <w:spacing w:before="20"/>
              <w:ind w:left="65"/>
              <w:rPr>
                <w:rFonts w:eastAsia="Calibri" w:cs="Times New Roman"/>
                <w:lang w:val="tr-TR"/>
              </w:rPr>
            </w:pPr>
            <w:r w:rsidRPr="002048A7">
              <w:rPr>
                <w:rFonts w:eastAsia="Calibri" w:cs="Times New Roman"/>
                <w:lang w:val="tr-TR"/>
              </w:rPr>
              <w:t>Sakarya Elektrik Perakende Satış A.Ş.</w:t>
            </w:r>
          </w:p>
        </w:tc>
        <w:tc>
          <w:tcPr>
            <w:tcW w:w="0" w:type="auto"/>
            <w:tcBorders>
              <w:top w:val="single" w:sz="4" w:space="0" w:color="BFBFBF"/>
              <w:left w:val="single" w:sz="4" w:space="0" w:color="BFBFBF"/>
              <w:bottom w:val="single" w:sz="4" w:space="0" w:color="BFBFBF"/>
              <w:right w:val="single" w:sz="4" w:space="0" w:color="BFBFBF"/>
            </w:tcBorders>
          </w:tcPr>
          <w:p w14:paraId="1A6312DF" w14:textId="77777777" w:rsidR="00905AC2" w:rsidRPr="002048A7" w:rsidRDefault="00905AC2" w:rsidP="00905AC2">
            <w:pPr>
              <w:pStyle w:val="TableParagraph"/>
              <w:spacing w:before="20"/>
              <w:ind w:left="153"/>
              <w:jc w:val="center"/>
              <w:rPr>
                <w:rFonts w:eastAsia="Calibri" w:cs="Times New Roman"/>
                <w:lang w:val="tr-TR"/>
              </w:rPr>
            </w:pPr>
            <w:r w:rsidRPr="002048A7">
              <w:rPr>
                <w:rFonts w:eastAsia="Calibri" w:cs="Times New Roman"/>
                <w:lang w:val="tr-TR"/>
              </w:rPr>
              <w:t>2</w:t>
            </w:r>
            <w:r>
              <w:rPr>
                <w:rFonts w:eastAsia="Calibri" w:cs="Times New Roman"/>
                <w:lang w:val="tr-TR"/>
              </w:rPr>
              <w:t>6</w:t>
            </w:r>
            <w:r w:rsidRPr="002048A7">
              <w:rPr>
                <w:rFonts w:eastAsia="Calibri" w:cs="Times New Roman"/>
                <w:lang w:val="tr-TR"/>
              </w:rPr>
              <w:t>.12.202</w:t>
            </w:r>
            <w:r>
              <w:rPr>
                <w:rFonts w:eastAsia="Calibri" w:cs="Times New Roman"/>
                <w:lang w:val="tr-TR"/>
              </w:rPr>
              <w:t>4</w:t>
            </w:r>
          </w:p>
        </w:tc>
        <w:tc>
          <w:tcPr>
            <w:tcW w:w="0" w:type="auto"/>
            <w:tcBorders>
              <w:top w:val="single" w:sz="4" w:space="0" w:color="BFBFBF"/>
              <w:left w:val="single" w:sz="4" w:space="0" w:color="BFBFBF"/>
              <w:bottom w:val="single" w:sz="4" w:space="0" w:color="BFBFBF"/>
              <w:right w:val="single" w:sz="4" w:space="0" w:color="BFBFBF"/>
            </w:tcBorders>
          </w:tcPr>
          <w:p w14:paraId="65D7AE2E" w14:textId="77777777" w:rsidR="00905AC2" w:rsidRPr="002048A7" w:rsidRDefault="00905AC2" w:rsidP="00905AC2">
            <w:pPr>
              <w:pStyle w:val="TableParagraph"/>
              <w:spacing w:before="20"/>
              <w:jc w:val="center"/>
              <w:rPr>
                <w:rFonts w:eastAsia="Calibri" w:cs="Times New Roman"/>
                <w:lang w:val="tr-TR"/>
              </w:rPr>
            </w:pPr>
            <w:r w:rsidRPr="002048A7">
              <w:rPr>
                <w:rFonts w:eastAsia="Calibri" w:cs="Times New Roman"/>
                <w:lang w:val="tr-TR"/>
              </w:rPr>
              <w:t>1</w:t>
            </w:r>
            <w:r>
              <w:rPr>
                <w:rFonts w:eastAsia="Calibri" w:cs="Times New Roman"/>
                <w:lang w:val="tr-TR"/>
              </w:rPr>
              <w:t>3163/17</w:t>
            </w:r>
          </w:p>
        </w:tc>
      </w:tr>
      <w:tr w:rsidR="00905AC2" w:rsidRPr="002048A7" w14:paraId="4610999E" w14:textId="77777777" w:rsidTr="00905AC2">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66B68FB5" w14:textId="77777777" w:rsidR="00905AC2" w:rsidRPr="002048A7" w:rsidRDefault="00905AC2" w:rsidP="00905AC2">
            <w:pPr>
              <w:pStyle w:val="TableParagraph"/>
              <w:spacing w:before="20"/>
              <w:ind w:left="65"/>
              <w:rPr>
                <w:rFonts w:eastAsia="Calibri" w:cs="Times New Roman"/>
                <w:lang w:val="tr-TR"/>
              </w:rPr>
            </w:pPr>
            <w:r w:rsidRPr="002048A7">
              <w:rPr>
                <w:rFonts w:eastAsia="Calibri" w:cs="Times New Roman"/>
                <w:lang w:val="tr-TR"/>
              </w:rPr>
              <w:t>Trakya Elektrik Perakende Satış A.Ş.</w:t>
            </w:r>
          </w:p>
        </w:tc>
        <w:tc>
          <w:tcPr>
            <w:tcW w:w="0" w:type="auto"/>
            <w:tcBorders>
              <w:top w:val="single" w:sz="4" w:space="0" w:color="BFBFBF"/>
              <w:left w:val="single" w:sz="4" w:space="0" w:color="BFBFBF"/>
              <w:bottom w:val="single" w:sz="4" w:space="0" w:color="BFBFBF"/>
              <w:right w:val="single" w:sz="4" w:space="0" w:color="BFBFBF"/>
            </w:tcBorders>
          </w:tcPr>
          <w:p w14:paraId="04B3FD75" w14:textId="77777777" w:rsidR="00905AC2" w:rsidRPr="002048A7" w:rsidRDefault="00905AC2" w:rsidP="00905AC2">
            <w:pPr>
              <w:pStyle w:val="TableParagraph"/>
              <w:spacing w:before="20"/>
              <w:ind w:left="153"/>
              <w:jc w:val="center"/>
              <w:rPr>
                <w:rFonts w:eastAsia="Calibri" w:cs="Times New Roman"/>
                <w:lang w:val="tr-TR"/>
              </w:rPr>
            </w:pPr>
            <w:r w:rsidRPr="002048A7">
              <w:rPr>
                <w:rFonts w:eastAsia="Calibri" w:cs="Times New Roman"/>
                <w:lang w:val="tr-TR"/>
              </w:rPr>
              <w:t>2</w:t>
            </w:r>
            <w:r>
              <w:rPr>
                <w:rFonts w:eastAsia="Calibri" w:cs="Times New Roman"/>
                <w:lang w:val="tr-TR"/>
              </w:rPr>
              <w:t>6</w:t>
            </w:r>
            <w:r w:rsidRPr="002048A7">
              <w:rPr>
                <w:rFonts w:eastAsia="Calibri" w:cs="Times New Roman"/>
                <w:lang w:val="tr-TR"/>
              </w:rPr>
              <w:t>.12.202</w:t>
            </w:r>
            <w:r>
              <w:rPr>
                <w:rFonts w:eastAsia="Calibri" w:cs="Times New Roman"/>
                <w:lang w:val="tr-TR"/>
              </w:rPr>
              <w:t>4</w:t>
            </w:r>
          </w:p>
        </w:tc>
        <w:tc>
          <w:tcPr>
            <w:tcW w:w="0" w:type="auto"/>
            <w:tcBorders>
              <w:top w:val="single" w:sz="4" w:space="0" w:color="BFBFBF"/>
              <w:left w:val="single" w:sz="4" w:space="0" w:color="BFBFBF"/>
              <w:bottom w:val="single" w:sz="4" w:space="0" w:color="BFBFBF"/>
              <w:right w:val="single" w:sz="4" w:space="0" w:color="BFBFBF"/>
            </w:tcBorders>
          </w:tcPr>
          <w:p w14:paraId="080F17CC" w14:textId="77777777" w:rsidR="00905AC2" w:rsidRPr="002048A7" w:rsidRDefault="00905AC2" w:rsidP="00905AC2">
            <w:pPr>
              <w:pStyle w:val="TableParagraph"/>
              <w:spacing w:before="20"/>
              <w:jc w:val="center"/>
              <w:rPr>
                <w:rFonts w:eastAsia="Calibri" w:cs="Times New Roman"/>
                <w:lang w:val="tr-TR"/>
              </w:rPr>
            </w:pPr>
            <w:r>
              <w:rPr>
                <w:rFonts w:eastAsia="Calibri" w:cs="Times New Roman"/>
                <w:lang w:val="tr-TR"/>
              </w:rPr>
              <w:t>13163/18</w:t>
            </w:r>
          </w:p>
        </w:tc>
      </w:tr>
      <w:tr w:rsidR="00905AC2" w:rsidRPr="002048A7" w14:paraId="09D585D9" w14:textId="77777777" w:rsidTr="00905AC2">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05E21832" w14:textId="77777777" w:rsidR="00905AC2" w:rsidRPr="002048A7" w:rsidRDefault="00905AC2" w:rsidP="00905AC2">
            <w:pPr>
              <w:pStyle w:val="TableParagraph"/>
              <w:spacing w:before="20"/>
              <w:ind w:left="65"/>
              <w:rPr>
                <w:rFonts w:eastAsia="Calibri" w:cs="Times New Roman"/>
                <w:lang w:val="tr-TR"/>
              </w:rPr>
            </w:pPr>
            <w:r w:rsidRPr="00B32DD7">
              <w:rPr>
                <w:rFonts w:eastAsia="Calibri" w:cs="Times New Roman"/>
                <w:lang w:val="tr-TR"/>
              </w:rPr>
              <w:t>Türkerler Vangölü Elektrik Perakende Satış A.Ş.</w:t>
            </w:r>
          </w:p>
        </w:tc>
        <w:tc>
          <w:tcPr>
            <w:tcW w:w="0" w:type="auto"/>
            <w:tcBorders>
              <w:top w:val="single" w:sz="4" w:space="0" w:color="BFBFBF"/>
              <w:left w:val="single" w:sz="4" w:space="0" w:color="BFBFBF"/>
              <w:bottom w:val="single" w:sz="4" w:space="0" w:color="BFBFBF"/>
              <w:right w:val="single" w:sz="4" w:space="0" w:color="BFBFBF"/>
            </w:tcBorders>
          </w:tcPr>
          <w:p w14:paraId="4DC6E8D1" w14:textId="77777777" w:rsidR="00905AC2" w:rsidRPr="002048A7" w:rsidRDefault="00905AC2" w:rsidP="00905AC2">
            <w:pPr>
              <w:pStyle w:val="TableParagraph"/>
              <w:spacing w:before="20"/>
              <w:ind w:left="153"/>
              <w:jc w:val="center"/>
              <w:rPr>
                <w:rFonts w:eastAsia="Calibri" w:cs="Times New Roman"/>
                <w:lang w:val="tr-TR"/>
              </w:rPr>
            </w:pPr>
            <w:r w:rsidRPr="006426E3">
              <w:rPr>
                <w:rFonts w:eastAsia="Calibri" w:cs="Times New Roman"/>
                <w:lang w:val="tr-TR"/>
              </w:rPr>
              <w:t>26.12.2024</w:t>
            </w:r>
          </w:p>
        </w:tc>
        <w:tc>
          <w:tcPr>
            <w:tcW w:w="0" w:type="auto"/>
            <w:tcBorders>
              <w:top w:val="single" w:sz="4" w:space="0" w:color="BFBFBF"/>
              <w:left w:val="single" w:sz="4" w:space="0" w:color="BFBFBF"/>
              <w:bottom w:val="single" w:sz="4" w:space="0" w:color="BFBFBF"/>
              <w:right w:val="single" w:sz="4" w:space="0" w:color="BFBFBF"/>
            </w:tcBorders>
          </w:tcPr>
          <w:p w14:paraId="62DE6BAC" w14:textId="77777777" w:rsidR="00905AC2" w:rsidRPr="002048A7" w:rsidRDefault="00905AC2" w:rsidP="00905AC2">
            <w:pPr>
              <w:pStyle w:val="TableParagraph"/>
              <w:spacing w:before="20"/>
              <w:jc w:val="center"/>
              <w:rPr>
                <w:rFonts w:eastAsia="Calibri" w:cs="Times New Roman"/>
                <w:lang w:val="tr-TR"/>
              </w:rPr>
            </w:pPr>
            <w:r>
              <w:rPr>
                <w:rFonts w:eastAsia="Calibri" w:cs="Times New Roman"/>
                <w:lang w:val="tr-TR"/>
              </w:rPr>
              <w:t>13163/19</w:t>
            </w:r>
          </w:p>
        </w:tc>
      </w:tr>
      <w:tr w:rsidR="00905AC2" w:rsidRPr="002048A7" w14:paraId="2A64D790" w14:textId="77777777" w:rsidTr="00905AC2">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5F7C7992" w14:textId="77777777" w:rsidR="00905AC2" w:rsidRPr="002048A7" w:rsidRDefault="00905AC2" w:rsidP="00905AC2">
            <w:pPr>
              <w:pStyle w:val="TableParagraph"/>
              <w:spacing w:before="20"/>
              <w:ind w:left="65"/>
              <w:rPr>
                <w:rFonts w:eastAsia="Calibri" w:cs="Times New Roman"/>
                <w:lang w:val="tr-TR"/>
              </w:rPr>
            </w:pPr>
            <w:r w:rsidRPr="002048A7">
              <w:rPr>
                <w:rFonts w:eastAsia="Calibri" w:cs="Times New Roman"/>
                <w:lang w:val="tr-TR"/>
              </w:rPr>
              <w:t>Uludağ Perakende Elektrik Satış A.Ş.</w:t>
            </w:r>
          </w:p>
        </w:tc>
        <w:tc>
          <w:tcPr>
            <w:tcW w:w="0" w:type="auto"/>
            <w:tcBorders>
              <w:top w:val="single" w:sz="4" w:space="0" w:color="BFBFBF"/>
              <w:left w:val="single" w:sz="4" w:space="0" w:color="BFBFBF"/>
              <w:bottom w:val="single" w:sz="4" w:space="0" w:color="BFBFBF"/>
              <w:right w:val="single" w:sz="4" w:space="0" w:color="BFBFBF"/>
            </w:tcBorders>
          </w:tcPr>
          <w:p w14:paraId="4550C888" w14:textId="77777777" w:rsidR="00905AC2" w:rsidRPr="002048A7" w:rsidRDefault="00905AC2" w:rsidP="00905AC2">
            <w:pPr>
              <w:pStyle w:val="TableParagraph"/>
              <w:spacing w:before="20"/>
              <w:ind w:left="153"/>
              <w:jc w:val="center"/>
              <w:rPr>
                <w:rFonts w:eastAsia="Calibri" w:cs="Times New Roman"/>
                <w:lang w:val="tr-TR"/>
              </w:rPr>
            </w:pPr>
            <w:r w:rsidRPr="002048A7">
              <w:rPr>
                <w:rFonts w:eastAsia="Calibri" w:cs="Times New Roman"/>
                <w:lang w:val="tr-TR"/>
              </w:rPr>
              <w:t>2</w:t>
            </w:r>
            <w:r>
              <w:rPr>
                <w:rFonts w:eastAsia="Calibri" w:cs="Times New Roman"/>
                <w:lang w:val="tr-TR"/>
              </w:rPr>
              <w:t>6</w:t>
            </w:r>
            <w:r w:rsidRPr="002048A7">
              <w:rPr>
                <w:rFonts w:eastAsia="Calibri" w:cs="Times New Roman"/>
                <w:lang w:val="tr-TR"/>
              </w:rPr>
              <w:t>.12.202</w:t>
            </w:r>
            <w:r>
              <w:rPr>
                <w:rFonts w:eastAsia="Calibri" w:cs="Times New Roman"/>
                <w:lang w:val="tr-TR"/>
              </w:rPr>
              <w:t>4</w:t>
            </w:r>
          </w:p>
        </w:tc>
        <w:tc>
          <w:tcPr>
            <w:tcW w:w="0" w:type="auto"/>
            <w:tcBorders>
              <w:top w:val="single" w:sz="4" w:space="0" w:color="BFBFBF"/>
              <w:left w:val="single" w:sz="4" w:space="0" w:color="BFBFBF"/>
              <w:bottom w:val="single" w:sz="4" w:space="0" w:color="BFBFBF"/>
              <w:right w:val="single" w:sz="4" w:space="0" w:color="BFBFBF"/>
            </w:tcBorders>
          </w:tcPr>
          <w:p w14:paraId="4729D1DD" w14:textId="77777777" w:rsidR="00905AC2" w:rsidRPr="002048A7" w:rsidRDefault="00905AC2" w:rsidP="00905AC2">
            <w:pPr>
              <w:pStyle w:val="TableParagraph"/>
              <w:spacing w:before="20"/>
              <w:jc w:val="center"/>
              <w:rPr>
                <w:rFonts w:eastAsia="Calibri" w:cs="Times New Roman"/>
                <w:lang w:val="tr-TR"/>
              </w:rPr>
            </w:pPr>
            <w:r>
              <w:rPr>
                <w:rFonts w:eastAsia="Calibri" w:cs="Times New Roman"/>
                <w:lang w:val="tr-TR"/>
              </w:rPr>
              <w:t>13163/</w:t>
            </w:r>
            <w:r w:rsidRPr="002048A7">
              <w:rPr>
                <w:rFonts w:eastAsia="Calibri" w:cs="Times New Roman"/>
                <w:lang w:val="tr-TR"/>
              </w:rPr>
              <w:t>20</w:t>
            </w:r>
          </w:p>
        </w:tc>
      </w:tr>
      <w:tr w:rsidR="00905AC2" w:rsidRPr="002048A7" w14:paraId="592AF809" w14:textId="77777777" w:rsidTr="00905AC2">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79AE85B4" w14:textId="77777777" w:rsidR="00905AC2" w:rsidRPr="002048A7" w:rsidRDefault="00905AC2" w:rsidP="00905AC2">
            <w:pPr>
              <w:pStyle w:val="TableParagraph"/>
              <w:spacing w:before="20"/>
              <w:ind w:left="65"/>
              <w:rPr>
                <w:rFonts w:eastAsia="Calibri" w:cs="Times New Roman"/>
                <w:lang w:val="tr-TR"/>
              </w:rPr>
            </w:pPr>
            <w:r w:rsidRPr="002048A7">
              <w:rPr>
                <w:rFonts w:eastAsia="Calibri" w:cs="Times New Roman"/>
                <w:lang w:val="tr-TR"/>
              </w:rPr>
              <w:t>Yeşilırmak Elektrik Perakende Satış A.Ş.</w:t>
            </w:r>
          </w:p>
        </w:tc>
        <w:tc>
          <w:tcPr>
            <w:tcW w:w="0" w:type="auto"/>
            <w:tcBorders>
              <w:top w:val="single" w:sz="4" w:space="0" w:color="BFBFBF"/>
              <w:left w:val="single" w:sz="4" w:space="0" w:color="BFBFBF"/>
              <w:bottom w:val="single" w:sz="4" w:space="0" w:color="BFBFBF"/>
              <w:right w:val="single" w:sz="4" w:space="0" w:color="BFBFBF"/>
            </w:tcBorders>
          </w:tcPr>
          <w:p w14:paraId="374C34CA" w14:textId="77777777" w:rsidR="00905AC2" w:rsidRPr="002048A7" w:rsidRDefault="00905AC2" w:rsidP="00905AC2">
            <w:pPr>
              <w:pStyle w:val="TableParagraph"/>
              <w:spacing w:before="20"/>
              <w:ind w:left="153"/>
              <w:jc w:val="center"/>
              <w:rPr>
                <w:rFonts w:eastAsia="Calibri" w:cs="Times New Roman"/>
                <w:lang w:val="tr-TR"/>
              </w:rPr>
            </w:pPr>
            <w:r w:rsidRPr="002048A7">
              <w:rPr>
                <w:rFonts w:eastAsia="Calibri" w:cs="Times New Roman"/>
                <w:lang w:val="tr-TR"/>
              </w:rPr>
              <w:t>2</w:t>
            </w:r>
            <w:r>
              <w:rPr>
                <w:rFonts w:eastAsia="Calibri" w:cs="Times New Roman"/>
                <w:lang w:val="tr-TR"/>
              </w:rPr>
              <w:t>6</w:t>
            </w:r>
            <w:r w:rsidRPr="002048A7">
              <w:rPr>
                <w:rFonts w:eastAsia="Calibri" w:cs="Times New Roman"/>
                <w:lang w:val="tr-TR"/>
              </w:rPr>
              <w:t>.12.202</w:t>
            </w:r>
            <w:r>
              <w:rPr>
                <w:rFonts w:eastAsia="Calibri" w:cs="Times New Roman"/>
                <w:lang w:val="tr-TR"/>
              </w:rPr>
              <w:t>4</w:t>
            </w:r>
          </w:p>
        </w:tc>
        <w:tc>
          <w:tcPr>
            <w:tcW w:w="0" w:type="auto"/>
            <w:tcBorders>
              <w:top w:val="single" w:sz="4" w:space="0" w:color="BFBFBF"/>
              <w:left w:val="single" w:sz="4" w:space="0" w:color="BFBFBF"/>
              <w:bottom w:val="single" w:sz="4" w:space="0" w:color="BFBFBF"/>
              <w:right w:val="single" w:sz="4" w:space="0" w:color="BFBFBF"/>
            </w:tcBorders>
          </w:tcPr>
          <w:p w14:paraId="01920087" w14:textId="77777777" w:rsidR="00905AC2" w:rsidRPr="002048A7" w:rsidRDefault="00905AC2" w:rsidP="00905AC2">
            <w:pPr>
              <w:pStyle w:val="TableParagraph"/>
              <w:spacing w:before="20"/>
              <w:jc w:val="center"/>
              <w:rPr>
                <w:rFonts w:eastAsia="Calibri" w:cs="Times New Roman"/>
                <w:lang w:val="tr-TR"/>
              </w:rPr>
            </w:pPr>
            <w:r w:rsidRPr="00284AA7">
              <w:rPr>
                <w:rFonts w:eastAsia="Calibri" w:cs="Times New Roman"/>
                <w:lang w:val="tr-TR"/>
              </w:rPr>
              <w:t>13163/21</w:t>
            </w:r>
          </w:p>
        </w:tc>
      </w:tr>
    </w:tbl>
    <w:p w14:paraId="607A4590" w14:textId="77777777" w:rsidR="00905AC2" w:rsidRPr="002048A7" w:rsidRDefault="00905AC2" w:rsidP="00905AC2">
      <w:pPr>
        <w:pStyle w:val="GvdeMetni"/>
        <w:spacing w:before="55" w:line="276" w:lineRule="auto"/>
        <w:ind w:left="0" w:right="103"/>
        <w:rPr>
          <w:rFonts w:cs="Calibri"/>
          <w:spacing w:val="-1"/>
          <w:sz w:val="22"/>
        </w:rPr>
      </w:pPr>
    </w:p>
    <w:p w14:paraId="4DCB97E1" w14:textId="77777777" w:rsidR="00FE2FC0" w:rsidRPr="002048A7" w:rsidRDefault="00FE2FC0" w:rsidP="00FE2FC0">
      <w:pPr>
        <w:pStyle w:val="GvdeMetni"/>
        <w:spacing w:before="55" w:line="276" w:lineRule="auto"/>
        <w:ind w:left="0" w:right="103"/>
        <w:rPr>
          <w:rFonts w:asciiTheme="minorHAnsi" w:eastAsia="Calibri" w:hAnsiTheme="minorHAnsi" w:cs="Times New Roman"/>
          <w:color w:val="000000" w:themeColor="text1"/>
          <w:sz w:val="22"/>
          <w:szCs w:val="22"/>
          <w:lang w:val="tr-TR"/>
        </w:rPr>
      </w:pPr>
      <w:r w:rsidRPr="002048A7">
        <w:rPr>
          <w:rFonts w:asciiTheme="minorHAnsi" w:eastAsia="Calibri" w:hAnsiTheme="minorHAnsi" w:cs="Times New Roman"/>
          <w:color w:val="000000" w:themeColor="text1"/>
          <w:sz w:val="22"/>
          <w:szCs w:val="22"/>
          <w:lang w:val="tr-TR"/>
        </w:rPr>
        <w:t>Ayrıca; Tablo 4.6’da gösterildiği üzere 10/12/2020 tarihli Kurul Kararları ile elektrik dağıtım şirketlerinin 01/01/2021 tarihinde başlayan dördüncü uygulama dönemine ilişkin 2021-2025 yılları yatırım planları onaylanmış ve daha sonra alınan Kurul Kararlarıyla bazı elektrik dağıtım şirketlerinin 2021-2025 yılları yatırım planları revize edilmiştir.</w:t>
      </w:r>
    </w:p>
    <w:p w14:paraId="168E622A" w14:textId="77777777" w:rsidR="00905AC2" w:rsidRPr="00D528BB" w:rsidRDefault="00905AC2" w:rsidP="00905AC2">
      <w:pPr>
        <w:widowControl w:val="0"/>
        <w:spacing w:before="55" w:after="0"/>
        <w:ind w:right="103"/>
        <w:rPr>
          <w:color w:val="000000" w:themeColor="text1"/>
        </w:rPr>
      </w:pPr>
    </w:p>
    <w:p w14:paraId="6F58AD69" w14:textId="77777777" w:rsidR="00905AC2" w:rsidRPr="00D528BB" w:rsidRDefault="00905AC2" w:rsidP="00905AC2">
      <w:pPr>
        <w:keepNext/>
        <w:keepLines/>
        <w:spacing w:after="0" w:line="269" w:lineRule="auto"/>
        <w:jc w:val="center"/>
        <w:outlineLvl w:val="4"/>
        <w:rPr>
          <w:rFonts w:eastAsiaTheme="majorEastAsia" w:cstheme="majorBidi"/>
        </w:rPr>
      </w:pPr>
      <w:r w:rsidRPr="00D528BB">
        <w:rPr>
          <w:rFonts w:eastAsiaTheme="majorEastAsia" w:cstheme="majorBidi"/>
          <w:b/>
          <w:bCs/>
        </w:rPr>
        <w:t>Tablo 4.6: 2021-2025 Yılları Yatırım Planlarının Revize Edilmesine Dair Kurul Kararları</w:t>
      </w:r>
    </w:p>
    <w:tbl>
      <w:tblPr>
        <w:tblW w:w="8642" w:type="dxa"/>
        <w:jc w:val="center"/>
        <w:tblLayout w:type="fixed"/>
        <w:tblLook w:val="01E0" w:firstRow="1" w:lastRow="1" w:firstColumn="1" w:lastColumn="1" w:noHBand="0" w:noVBand="0"/>
      </w:tblPr>
      <w:tblGrid>
        <w:gridCol w:w="4390"/>
        <w:gridCol w:w="2590"/>
        <w:gridCol w:w="1662"/>
      </w:tblGrid>
      <w:tr w:rsidR="00905AC2" w:rsidRPr="00D528BB" w14:paraId="4491A9CE" w14:textId="77777777" w:rsidTr="00905AC2">
        <w:trPr>
          <w:trHeight w:hRule="exact" w:val="690"/>
          <w:tblHeader/>
          <w:jc w:val="center"/>
        </w:trPr>
        <w:tc>
          <w:tcPr>
            <w:tcW w:w="4390" w:type="dxa"/>
            <w:tcBorders>
              <w:top w:val="single" w:sz="4" w:space="0" w:color="D9D9D9"/>
              <w:left w:val="single" w:sz="4" w:space="0" w:color="D9D9D9"/>
              <w:bottom w:val="single" w:sz="4" w:space="0" w:color="D9D9D9"/>
              <w:right w:val="single" w:sz="4" w:space="0" w:color="D9D9D9"/>
            </w:tcBorders>
            <w:shd w:val="clear" w:color="auto" w:fill="6E9ECA"/>
          </w:tcPr>
          <w:p w14:paraId="38019247" w14:textId="77777777" w:rsidR="00905AC2" w:rsidRPr="00D528BB" w:rsidRDefault="00905AC2" w:rsidP="00905AC2">
            <w:pPr>
              <w:widowControl w:val="0"/>
              <w:spacing w:before="48" w:after="0" w:line="240" w:lineRule="auto"/>
              <w:ind w:left="164"/>
              <w:jc w:val="left"/>
              <w:rPr>
                <w:rFonts w:ascii="Calibri" w:hAnsi="Calibri" w:cs="Calibri"/>
                <w:lang w:val="en-US"/>
              </w:rPr>
            </w:pPr>
            <w:r w:rsidRPr="00D528BB">
              <w:rPr>
                <w:rFonts w:ascii="Calibri" w:eastAsiaTheme="minorHAnsi" w:hAnsi="Calibri" w:cstheme="minorBidi"/>
                <w:b/>
                <w:color w:val="FFFFFF"/>
                <w:spacing w:val="-1"/>
                <w:lang w:val="en-US"/>
              </w:rPr>
              <w:t>Dağıtım</w:t>
            </w:r>
            <w:r w:rsidRPr="00D528BB">
              <w:rPr>
                <w:rFonts w:ascii="Calibri" w:eastAsiaTheme="minorHAnsi" w:hAnsi="Calibri" w:cstheme="minorBidi"/>
                <w:b/>
                <w:color w:val="FFFFFF"/>
                <w:lang w:val="en-US"/>
              </w:rPr>
              <w:t xml:space="preserve"> </w:t>
            </w:r>
            <w:r w:rsidRPr="00D528BB">
              <w:rPr>
                <w:rFonts w:ascii="Calibri" w:eastAsiaTheme="minorHAnsi" w:hAnsi="Calibri" w:cstheme="minorBidi"/>
                <w:b/>
                <w:color w:val="FFFFFF"/>
                <w:spacing w:val="-1"/>
                <w:lang w:val="en-US"/>
              </w:rPr>
              <w:t>Şirketi</w:t>
            </w:r>
            <w:r w:rsidRPr="00D528BB">
              <w:rPr>
                <w:rFonts w:ascii="Calibri" w:eastAsiaTheme="minorHAnsi" w:hAnsi="Calibri" w:cstheme="minorBidi"/>
                <w:b/>
                <w:color w:val="FFFFFF"/>
                <w:lang w:val="en-US"/>
              </w:rPr>
              <w:t xml:space="preserve"> </w:t>
            </w:r>
            <w:r w:rsidRPr="00D528BB">
              <w:rPr>
                <w:rFonts w:ascii="Calibri" w:eastAsiaTheme="minorHAnsi" w:hAnsi="Calibri" w:cstheme="minorBidi"/>
                <w:b/>
                <w:color w:val="FFFFFF"/>
                <w:spacing w:val="-1"/>
                <w:lang w:val="en-US"/>
              </w:rPr>
              <w:t>Unvanı</w:t>
            </w:r>
          </w:p>
        </w:tc>
        <w:tc>
          <w:tcPr>
            <w:tcW w:w="2590" w:type="dxa"/>
            <w:tcBorders>
              <w:top w:val="single" w:sz="4" w:space="0" w:color="D9D9D9"/>
              <w:left w:val="single" w:sz="4" w:space="0" w:color="D9D9D9"/>
              <w:bottom w:val="single" w:sz="4" w:space="0" w:color="D9D9D9"/>
              <w:right w:val="single" w:sz="4" w:space="0" w:color="D9D9D9"/>
            </w:tcBorders>
            <w:shd w:val="clear" w:color="auto" w:fill="6E9ECA"/>
          </w:tcPr>
          <w:p w14:paraId="2F556E75" w14:textId="77777777" w:rsidR="00905AC2" w:rsidRPr="00D528BB" w:rsidRDefault="00905AC2" w:rsidP="00905AC2">
            <w:pPr>
              <w:widowControl w:val="0"/>
              <w:spacing w:before="48" w:after="0" w:line="240" w:lineRule="auto"/>
              <w:ind w:left="512"/>
              <w:jc w:val="left"/>
              <w:rPr>
                <w:rFonts w:ascii="Calibri" w:hAnsi="Calibri" w:cs="Calibri"/>
                <w:lang w:val="en-US"/>
              </w:rPr>
            </w:pPr>
            <w:r w:rsidRPr="00D528BB">
              <w:rPr>
                <w:rFonts w:ascii="Calibri" w:eastAsiaTheme="minorHAnsi" w:cstheme="minorBidi"/>
                <w:b/>
                <w:color w:val="FFFFFF"/>
                <w:spacing w:val="-1"/>
                <w:lang w:val="en-US"/>
              </w:rPr>
              <w:t>Kurul</w:t>
            </w:r>
            <w:r w:rsidRPr="00D528BB">
              <w:rPr>
                <w:rFonts w:ascii="Calibri" w:eastAsiaTheme="minorHAnsi" w:cstheme="minorBidi"/>
                <w:b/>
                <w:color w:val="FFFFFF"/>
                <w:spacing w:val="-5"/>
                <w:lang w:val="en-US"/>
              </w:rPr>
              <w:t xml:space="preserve"> </w:t>
            </w:r>
            <w:r w:rsidRPr="00D528BB">
              <w:rPr>
                <w:rFonts w:ascii="Calibri" w:eastAsiaTheme="minorHAnsi" w:cstheme="minorBidi"/>
                <w:b/>
                <w:color w:val="FFFFFF"/>
                <w:lang w:val="en-US"/>
              </w:rPr>
              <w:t>Karar</w:t>
            </w:r>
            <w:r w:rsidRPr="00D528BB">
              <w:rPr>
                <w:rFonts w:ascii="Calibri" w:eastAsiaTheme="minorHAnsi" w:cstheme="minorBidi"/>
                <w:b/>
                <w:color w:val="FFFFFF"/>
                <w:spacing w:val="-5"/>
                <w:lang w:val="en-US"/>
              </w:rPr>
              <w:t xml:space="preserve"> </w:t>
            </w:r>
            <w:r w:rsidRPr="00D528BB">
              <w:rPr>
                <w:rFonts w:ascii="Calibri" w:eastAsiaTheme="minorHAnsi" w:cstheme="minorBidi"/>
                <w:b/>
                <w:color w:val="FFFFFF"/>
                <w:spacing w:val="-1"/>
                <w:lang w:val="en-US"/>
              </w:rPr>
              <w:t>Tarihi</w:t>
            </w:r>
          </w:p>
        </w:tc>
        <w:tc>
          <w:tcPr>
            <w:tcW w:w="1662" w:type="dxa"/>
            <w:tcBorders>
              <w:top w:val="single" w:sz="4" w:space="0" w:color="D9D9D9"/>
              <w:left w:val="single" w:sz="4" w:space="0" w:color="D9D9D9"/>
              <w:bottom w:val="single" w:sz="4" w:space="0" w:color="D9D9D9"/>
              <w:right w:val="single" w:sz="4" w:space="0" w:color="D9D9D9"/>
            </w:tcBorders>
            <w:shd w:val="clear" w:color="auto" w:fill="6E9ECA"/>
          </w:tcPr>
          <w:p w14:paraId="7B7B4EF9" w14:textId="77777777" w:rsidR="00905AC2" w:rsidRPr="00D528BB" w:rsidRDefault="00905AC2" w:rsidP="00905AC2">
            <w:pPr>
              <w:widowControl w:val="0"/>
              <w:spacing w:before="48" w:after="0" w:line="240" w:lineRule="auto"/>
              <w:ind w:left="-6"/>
              <w:jc w:val="center"/>
              <w:rPr>
                <w:rFonts w:ascii="Calibri" w:hAnsi="Calibri" w:cs="Calibri"/>
                <w:lang w:val="en-US"/>
              </w:rPr>
            </w:pPr>
            <w:r w:rsidRPr="00D528BB">
              <w:rPr>
                <w:rFonts w:ascii="Calibri" w:eastAsiaTheme="minorHAnsi" w:hAnsi="Calibri" w:cstheme="minorBidi"/>
                <w:b/>
                <w:color w:val="FFFFFF"/>
                <w:spacing w:val="-1"/>
                <w:lang w:val="en-US"/>
              </w:rPr>
              <w:t>Kurul</w:t>
            </w:r>
            <w:r w:rsidRPr="00D528BB">
              <w:rPr>
                <w:rFonts w:ascii="Calibri" w:eastAsiaTheme="minorHAnsi" w:hAnsi="Calibri" w:cstheme="minorBidi"/>
                <w:b/>
                <w:color w:val="FFFFFF"/>
                <w:spacing w:val="-3"/>
                <w:lang w:val="en-US"/>
              </w:rPr>
              <w:t xml:space="preserve"> </w:t>
            </w:r>
            <w:r w:rsidRPr="00D528BB">
              <w:rPr>
                <w:rFonts w:ascii="Calibri" w:eastAsiaTheme="minorHAnsi" w:hAnsi="Calibri" w:cstheme="minorBidi"/>
                <w:b/>
                <w:color w:val="FFFFFF"/>
                <w:lang w:val="en-US"/>
              </w:rPr>
              <w:t>Karar</w:t>
            </w:r>
            <w:r w:rsidRPr="00D528BB">
              <w:rPr>
                <w:rFonts w:ascii="Calibri" w:eastAsiaTheme="minorHAnsi" w:hAnsi="Calibri" w:cstheme="minorBidi"/>
                <w:b/>
                <w:color w:val="FFFFFF"/>
                <w:spacing w:val="-3"/>
                <w:lang w:val="en-US"/>
              </w:rPr>
              <w:t xml:space="preserve"> </w:t>
            </w:r>
            <w:r w:rsidRPr="00D528BB">
              <w:rPr>
                <w:rFonts w:ascii="Calibri" w:eastAsiaTheme="minorHAnsi" w:hAnsi="Calibri" w:cstheme="minorBidi"/>
                <w:b/>
                <w:color w:val="FFFFFF"/>
                <w:spacing w:val="-1"/>
                <w:lang w:val="en-US"/>
              </w:rPr>
              <w:t>Sayısı</w:t>
            </w:r>
          </w:p>
        </w:tc>
      </w:tr>
      <w:tr w:rsidR="00905AC2" w:rsidRPr="00D528BB" w14:paraId="509B0372" w14:textId="77777777" w:rsidTr="00905AC2">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232C2DB6" w14:textId="77777777" w:rsidR="00905AC2" w:rsidRPr="00D528BB" w:rsidRDefault="00905AC2" w:rsidP="00905AC2">
            <w:pPr>
              <w:widowControl w:val="0"/>
              <w:spacing w:after="0" w:line="240" w:lineRule="auto"/>
              <w:ind w:left="103"/>
              <w:jc w:val="left"/>
              <w:rPr>
                <w:rFonts w:ascii="Calibri" w:hAnsi="Calibri" w:cs="Calibri"/>
                <w:lang w:val="en-US"/>
              </w:rPr>
            </w:pPr>
            <w:r w:rsidRPr="00D528BB">
              <w:rPr>
                <w:rFonts w:ascii="Calibri" w:eastAsiaTheme="minorHAnsi" w:hAnsi="Calibri" w:cstheme="minorBidi"/>
                <w:lang w:val="en-US"/>
              </w:rPr>
              <w:t>ADM</w:t>
            </w:r>
            <w:r w:rsidRPr="00D528BB">
              <w:rPr>
                <w:rFonts w:ascii="Calibri" w:eastAsiaTheme="minorHAnsi" w:hAnsi="Calibri" w:cstheme="minorBidi"/>
                <w:spacing w:val="-2"/>
                <w:lang w:val="en-US"/>
              </w:rPr>
              <w:t xml:space="preserve"> </w:t>
            </w:r>
            <w:r w:rsidRPr="00D528BB">
              <w:rPr>
                <w:rFonts w:ascii="Calibri" w:eastAsiaTheme="minorHAnsi" w:hAnsi="Calibri" w:cstheme="minorBidi"/>
                <w:spacing w:val="-1"/>
                <w:lang w:val="en-US"/>
              </w:rPr>
              <w:t>Elektrik</w:t>
            </w:r>
            <w:r w:rsidRPr="00D528BB">
              <w:rPr>
                <w:rFonts w:ascii="Calibri" w:eastAsiaTheme="minorHAnsi" w:hAnsi="Calibri" w:cstheme="minorBidi"/>
                <w:spacing w:val="-3"/>
                <w:lang w:val="en-US"/>
              </w:rPr>
              <w:t xml:space="preserve"> </w:t>
            </w:r>
            <w:r w:rsidRPr="00D528BB">
              <w:rPr>
                <w:rFonts w:ascii="Calibri" w:eastAsiaTheme="minorHAnsi" w:hAnsi="Calibri" w:cstheme="minorBidi"/>
                <w:lang w:val="en-US"/>
              </w:rPr>
              <w:t>Dağıtım</w:t>
            </w:r>
            <w:r w:rsidRPr="00D528BB">
              <w:rPr>
                <w:rFonts w:ascii="Calibri" w:eastAsiaTheme="minorHAnsi" w:hAnsi="Calibri" w:cstheme="minorBidi"/>
                <w:spacing w:val="-3"/>
                <w:lang w:val="en-US"/>
              </w:rPr>
              <w:t xml:space="preserve"> </w:t>
            </w:r>
            <w:r w:rsidRPr="00D528BB">
              <w:rPr>
                <w:rFonts w:ascii="Calibri" w:eastAsiaTheme="minorHAnsi" w:hAnsi="Calibri" w:cstheme="minorBidi"/>
                <w:lang w:val="en-US"/>
              </w:rPr>
              <w:t>A.Ş.</w:t>
            </w:r>
          </w:p>
        </w:tc>
        <w:tc>
          <w:tcPr>
            <w:tcW w:w="2590" w:type="dxa"/>
            <w:tcBorders>
              <w:top w:val="single" w:sz="4" w:space="0" w:color="D9D9D9"/>
              <w:left w:val="single" w:sz="4" w:space="0" w:color="D9D9D9"/>
              <w:bottom w:val="single" w:sz="4" w:space="0" w:color="D9D9D9"/>
              <w:right w:val="single" w:sz="4" w:space="0" w:color="D9D9D9"/>
            </w:tcBorders>
          </w:tcPr>
          <w:p w14:paraId="70E26BD7" w14:textId="77777777" w:rsidR="00905AC2" w:rsidRPr="00D528BB" w:rsidRDefault="00905AC2" w:rsidP="00905AC2">
            <w:pPr>
              <w:widowControl w:val="0"/>
              <w:spacing w:after="0" w:line="240" w:lineRule="auto"/>
              <w:ind w:left="786"/>
              <w:jc w:val="left"/>
              <w:rPr>
                <w:rFonts w:ascii="Calibri" w:hAnsi="Calibri" w:cs="Calibri"/>
                <w:lang w:val="en-US"/>
              </w:rPr>
            </w:pPr>
            <w:r w:rsidRPr="00D528BB">
              <w:rPr>
                <w:rFonts w:ascii="Calibri" w:eastAsiaTheme="minorHAnsi" w:cstheme="minorBidi"/>
                <w:lang w:val="en-US"/>
              </w:rPr>
              <w:t>05.12.2024</w:t>
            </w:r>
          </w:p>
        </w:tc>
        <w:tc>
          <w:tcPr>
            <w:tcW w:w="1662" w:type="dxa"/>
            <w:tcBorders>
              <w:top w:val="single" w:sz="4" w:space="0" w:color="D9D9D9"/>
              <w:left w:val="single" w:sz="4" w:space="0" w:color="D9D9D9"/>
              <w:bottom w:val="single" w:sz="4" w:space="0" w:color="D9D9D9"/>
              <w:right w:val="single" w:sz="4" w:space="0" w:color="D9D9D9"/>
            </w:tcBorders>
          </w:tcPr>
          <w:p w14:paraId="3950174F" w14:textId="77777777" w:rsidR="00905AC2" w:rsidRPr="00D528BB" w:rsidRDefault="00905AC2" w:rsidP="00905AC2">
            <w:pPr>
              <w:widowControl w:val="0"/>
              <w:spacing w:after="0" w:line="240" w:lineRule="auto"/>
              <w:jc w:val="center"/>
              <w:rPr>
                <w:rFonts w:ascii="Calibri" w:hAnsi="Calibri" w:cs="Calibri"/>
                <w:lang w:val="en-US"/>
              </w:rPr>
            </w:pPr>
            <w:r w:rsidRPr="00D528BB">
              <w:rPr>
                <w:rFonts w:ascii="Calibri" w:eastAsiaTheme="minorHAnsi" w:cstheme="minorBidi"/>
                <w:lang w:val="en-US"/>
              </w:rPr>
              <w:t>13053</w:t>
            </w:r>
          </w:p>
        </w:tc>
      </w:tr>
      <w:tr w:rsidR="00905AC2" w:rsidRPr="00D528BB" w14:paraId="2AF26483" w14:textId="77777777" w:rsidTr="00905AC2">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65E00CC5" w14:textId="77777777" w:rsidR="00905AC2" w:rsidRPr="00D528BB" w:rsidRDefault="00905AC2" w:rsidP="00905AC2">
            <w:pPr>
              <w:widowControl w:val="0"/>
              <w:spacing w:after="0" w:line="240" w:lineRule="auto"/>
              <w:ind w:left="103"/>
              <w:jc w:val="left"/>
              <w:rPr>
                <w:rFonts w:ascii="Calibri" w:hAnsi="Calibri" w:cs="Calibri"/>
                <w:lang w:val="en-US"/>
              </w:rPr>
            </w:pPr>
            <w:r w:rsidRPr="00D528BB">
              <w:rPr>
                <w:rFonts w:ascii="Calibri" w:eastAsiaTheme="minorHAnsi" w:hAnsi="Calibri" w:cstheme="minorBidi"/>
                <w:spacing w:val="-1"/>
                <w:lang w:val="en-US"/>
              </w:rPr>
              <w:t>Akdeniz</w:t>
            </w:r>
            <w:r w:rsidRPr="00D528BB">
              <w:rPr>
                <w:rFonts w:ascii="Calibri" w:eastAsiaTheme="minorHAnsi" w:hAnsi="Calibri" w:cstheme="minorBidi"/>
                <w:spacing w:val="-2"/>
                <w:lang w:val="en-US"/>
              </w:rPr>
              <w:t xml:space="preserve"> </w:t>
            </w:r>
            <w:r w:rsidRPr="00D528BB">
              <w:rPr>
                <w:rFonts w:ascii="Calibri" w:eastAsiaTheme="minorHAnsi" w:hAnsi="Calibri" w:cstheme="minorBidi"/>
                <w:spacing w:val="-1"/>
                <w:lang w:val="en-US"/>
              </w:rPr>
              <w:t>Elektrik</w:t>
            </w:r>
            <w:r w:rsidRPr="00D528BB">
              <w:rPr>
                <w:rFonts w:ascii="Calibri" w:eastAsiaTheme="minorHAnsi" w:hAnsi="Calibri" w:cstheme="minorBidi"/>
                <w:spacing w:val="-3"/>
                <w:lang w:val="en-US"/>
              </w:rPr>
              <w:t xml:space="preserve"> </w:t>
            </w:r>
            <w:r w:rsidRPr="00D528BB">
              <w:rPr>
                <w:rFonts w:ascii="Calibri" w:eastAsiaTheme="minorHAnsi" w:hAnsi="Calibri" w:cstheme="minorBidi"/>
                <w:spacing w:val="-1"/>
                <w:lang w:val="en-US"/>
              </w:rPr>
              <w:t xml:space="preserve">Dağıtım </w:t>
            </w:r>
            <w:r w:rsidRPr="00D528BB">
              <w:rPr>
                <w:rFonts w:ascii="Calibri" w:eastAsiaTheme="minorHAnsi" w:hAnsi="Calibri" w:cstheme="minorBidi"/>
                <w:lang w:val="en-US"/>
              </w:rPr>
              <w:t>A.Ş.</w:t>
            </w:r>
          </w:p>
        </w:tc>
        <w:tc>
          <w:tcPr>
            <w:tcW w:w="2590" w:type="dxa"/>
            <w:tcBorders>
              <w:top w:val="single" w:sz="4" w:space="0" w:color="D9D9D9"/>
              <w:left w:val="single" w:sz="4" w:space="0" w:color="D9D9D9"/>
              <w:bottom w:val="single" w:sz="4" w:space="0" w:color="D9D9D9"/>
              <w:right w:val="single" w:sz="4" w:space="0" w:color="D9D9D9"/>
            </w:tcBorders>
          </w:tcPr>
          <w:p w14:paraId="5F56D208" w14:textId="77777777" w:rsidR="00905AC2" w:rsidRPr="00D528BB" w:rsidRDefault="00905AC2" w:rsidP="00905AC2">
            <w:pPr>
              <w:widowControl w:val="0"/>
              <w:spacing w:after="0" w:line="240" w:lineRule="auto"/>
              <w:ind w:left="786"/>
              <w:jc w:val="left"/>
              <w:rPr>
                <w:rFonts w:ascii="Calibri" w:hAnsi="Calibri" w:cs="Calibri"/>
                <w:lang w:val="en-US"/>
              </w:rPr>
            </w:pPr>
            <w:r w:rsidRPr="00D528BB">
              <w:rPr>
                <w:rFonts w:ascii="Calibri" w:eastAsiaTheme="minorHAnsi" w:cstheme="minorBidi"/>
                <w:lang w:val="en-US"/>
              </w:rPr>
              <w:t>04.07.2024</w:t>
            </w:r>
          </w:p>
        </w:tc>
        <w:tc>
          <w:tcPr>
            <w:tcW w:w="1662" w:type="dxa"/>
            <w:tcBorders>
              <w:top w:val="single" w:sz="4" w:space="0" w:color="D9D9D9"/>
              <w:left w:val="single" w:sz="4" w:space="0" w:color="D9D9D9"/>
              <w:bottom w:val="single" w:sz="4" w:space="0" w:color="D9D9D9"/>
              <w:right w:val="single" w:sz="4" w:space="0" w:color="D9D9D9"/>
            </w:tcBorders>
          </w:tcPr>
          <w:p w14:paraId="20C46F66" w14:textId="77777777" w:rsidR="00905AC2" w:rsidRPr="00D528BB" w:rsidRDefault="00905AC2" w:rsidP="00905AC2">
            <w:pPr>
              <w:widowControl w:val="0"/>
              <w:spacing w:after="0" w:line="240" w:lineRule="auto"/>
              <w:jc w:val="center"/>
              <w:rPr>
                <w:rFonts w:ascii="Calibri" w:hAnsi="Calibri" w:cs="Calibri"/>
                <w:lang w:val="en-US"/>
              </w:rPr>
            </w:pPr>
            <w:r w:rsidRPr="00D528BB">
              <w:rPr>
                <w:rFonts w:ascii="Calibri" w:eastAsiaTheme="minorHAnsi" w:cstheme="minorBidi"/>
                <w:lang w:val="en-US"/>
              </w:rPr>
              <w:t>12729</w:t>
            </w:r>
          </w:p>
        </w:tc>
      </w:tr>
      <w:tr w:rsidR="00905AC2" w:rsidRPr="00D528BB" w14:paraId="6312840C" w14:textId="77777777" w:rsidTr="00905AC2">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3006C1DE" w14:textId="77777777" w:rsidR="00905AC2" w:rsidRPr="00D528BB" w:rsidRDefault="00905AC2" w:rsidP="00905AC2">
            <w:pPr>
              <w:widowControl w:val="0"/>
              <w:spacing w:after="0" w:line="240" w:lineRule="auto"/>
              <w:ind w:left="103"/>
              <w:jc w:val="left"/>
              <w:rPr>
                <w:rFonts w:ascii="Calibri" w:hAnsi="Calibri" w:cs="Calibri"/>
                <w:lang w:val="en-US"/>
              </w:rPr>
            </w:pPr>
            <w:r w:rsidRPr="00D528BB">
              <w:rPr>
                <w:rFonts w:ascii="Calibri" w:eastAsiaTheme="minorHAnsi" w:hAnsi="Calibri" w:cstheme="minorBidi"/>
                <w:spacing w:val="-1"/>
                <w:lang w:val="en-US"/>
              </w:rPr>
              <w:t>Akedaş</w:t>
            </w:r>
            <w:r w:rsidRPr="00D528BB">
              <w:rPr>
                <w:rFonts w:ascii="Calibri" w:eastAsiaTheme="minorHAnsi" w:hAnsi="Calibri" w:cstheme="minorBidi"/>
                <w:spacing w:val="-2"/>
                <w:lang w:val="en-US"/>
              </w:rPr>
              <w:t xml:space="preserve"> </w:t>
            </w:r>
            <w:r w:rsidRPr="00D528BB">
              <w:rPr>
                <w:rFonts w:ascii="Calibri" w:eastAsiaTheme="minorHAnsi" w:hAnsi="Calibri" w:cstheme="minorBidi"/>
                <w:spacing w:val="-1"/>
                <w:lang w:val="en-US"/>
              </w:rPr>
              <w:t>Elektrik</w:t>
            </w:r>
            <w:r w:rsidRPr="00D528BB">
              <w:rPr>
                <w:rFonts w:ascii="Calibri" w:eastAsiaTheme="minorHAnsi" w:hAnsi="Calibri" w:cstheme="minorBidi"/>
                <w:spacing w:val="-3"/>
                <w:lang w:val="en-US"/>
              </w:rPr>
              <w:t xml:space="preserve"> </w:t>
            </w:r>
            <w:r w:rsidRPr="00D528BB">
              <w:rPr>
                <w:rFonts w:ascii="Calibri" w:eastAsiaTheme="minorHAnsi" w:hAnsi="Calibri" w:cstheme="minorBidi"/>
                <w:spacing w:val="-1"/>
                <w:lang w:val="en-US"/>
              </w:rPr>
              <w:t>Dağıtım</w:t>
            </w:r>
            <w:r w:rsidRPr="00D528BB">
              <w:rPr>
                <w:rFonts w:ascii="Calibri" w:eastAsiaTheme="minorHAnsi" w:hAnsi="Calibri" w:cstheme="minorBidi"/>
                <w:spacing w:val="-2"/>
                <w:lang w:val="en-US"/>
              </w:rPr>
              <w:t xml:space="preserve"> </w:t>
            </w:r>
            <w:r w:rsidRPr="00D528BB">
              <w:rPr>
                <w:rFonts w:ascii="Calibri" w:eastAsiaTheme="minorHAnsi" w:hAnsi="Calibri" w:cstheme="minorBidi"/>
                <w:lang w:val="en-US"/>
              </w:rPr>
              <w:t>A.Ş.</w:t>
            </w:r>
          </w:p>
        </w:tc>
        <w:tc>
          <w:tcPr>
            <w:tcW w:w="2590" w:type="dxa"/>
            <w:tcBorders>
              <w:top w:val="single" w:sz="4" w:space="0" w:color="D9D9D9"/>
              <w:left w:val="single" w:sz="4" w:space="0" w:color="D9D9D9"/>
              <w:bottom w:val="single" w:sz="4" w:space="0" w:color="D9D9D9"/>
              <w:right w:val="single" w:sz="4" w:space="0" w:color="D9D9D9"/>
            </w:tcBorders>
          </w:tcPr>
          <w:p w14:paraId="0E48380B" w14:textId="77777777" w:rsidR="00905AC2" w:rsidRPr="00D528BB" w:rsidRDefault="00905AC2" w:rsidP="00905AC2">
            <w:pPr>
              <w:widowControl w:val="0"/>
              <w:spacing w:after="0" w:line="240" w:lineRule="auto"/>
              <w:ind w:left="786"/>
              <w:jc w:val="left"/>
              <w:rPr>
                <w:rFonts w:ascii="Calibri" w:hAnsi="Calibri" w:cs="Calibri"/>
                <w:lang w:val="en-US"/>
              </w:rPr>
            </w:pPr>
            <w:r w:rsidRPr="00D528BB">
              <w:rPr>
                <w:rFonts w:ascii="Calibri" w:eastAsiaTheme="minorHAnsi" w:cstheme="minorBidi"/>
                <w:lang w:val="en-US"/>
              </w:rPr>
              <w:t>03.10.2024</w:t>
            </w:r>
          </w:p>
        </w:tc>
        <w:tc>
          <w:tcPr>
            <w:tcW w:w="1662" w:type="dxa"/>
            <w:tcBorders>
              <w:top w:val="single" w:sz="4" w:space="0" w:color="D9D9D9"/>
              <w:left w:val="single" w:sz="4" w:space="0" w:color="D9D9D9"/>
              <w:bottom w:val="single" w:sz="4" w:space="0" w:color="D9D9D9"/>
              <w:right w:val="single" w:sz="4" w:space="0" w:color="D9D9D9"/>
            </w:tcBorders>
          </w:tcPr>
          <w:p w14:paraId="039AC209" w14:textId="77777777" w:rsidR="00905AC2" w:rsidRPr="00D528BB" w:rsidRDefault="00905AC2" w:rsidP="00905AC2">
            <w:pPr>
              <w:widowControl w:val="0"/>
              <w:spacing w:after="0" w:line="240" w:lineRule="auto"/>
              <w:jc w:val="center"/>
              <w:rPr>
                <w:rFonts w:ascii="Calibri" w:hAnsi="Calibri" w:cs="Calibri"/>
                <w:lang w:val="en-US"/>
              </w:rPr>
            </w:pPr>
            <w:r w:rsidRPr="00D528BB">
              <w:rPr>
                <w:rFonts w:ascii="Calibri" w:eastAsiaTheme="minorHAnsi" w:cstheme="minorBidi"/>
                <w:lang w:val="en-US"/>
              </w:rPr>
              <w:t>12912</w:t>
            </w:r>
          </w:p>
        </w:tc>
      </w:tr>
      <w:tr w:rsidR="00905AC2" w:rsidRPr="00D528BB" w14:paraId="276CE059" w14:textId="77777777" w:rsidTr="00905AC2">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5860A3B7" w14:textId="77777777" w:rsidR="00905AC2" w:rsidRPr="00D528BB" w:rsidRDefault="00905AC2" w:rsidP="00905AC2">
            <w:pPr>
              <w:widowControl w:val="0"/>
              <w:spacing w:after="0" w:line="240" w:lineRule="auto"/>
              <w:ind w:left="103"/>
              <w:jc w:val="left"/>
              <w:rPr>
                <w:rFonts w:ascii="Calibri" w:hAnsi="Calibri" w:cs="Calibri"/>
                <w:lang w:val="en-US"/>
              </w:rPr>
            </w:pPr>
            <w:r w:rsidRPr="00D528BB">
              <w:rPr>
                <w:rFonts w:ascii="Calibri" w:eastAsiaTheme="minorHAnsi" w:hAnsi="Calibri" w:cstheme="minorBidi"/>
                <w:spacing w:val="-1"/>
                <w:lang w:val="en-US"/>
              </w:rPr>
              <w:t>Aras</w:t>
            </w:r>
            <w:r w:rsidRPr="00D528BB">
              <w:rPr>
                <w:rFonts w:ascii="Calibri" w:eastAsiaTheme="minorHAnsi" w:hAnsi="Calibri" w:cstheme="minorBidi"/>
                <w:spacing w:val="-4"/>
                <w:lang w:val="en-US"/>
              </w:rPr>
              <w:t xml:space="preserve"> </w:t>
            </w:r>
            <w:r w:rsidRPr="00D528BB">
              <w:rPr>
                <w:rFonts w:ascii="Calibri" w:eastAsiaTheme="minorHAnsi" w:hAnsi="Calibri" w:cstheme="minorBidi"/>
                <w:spacing w:val="-1"/>
                <w:lang w:val="en-US"/>
              </w:rPr>
              <w:t>Elektrik</w:t>
            </w:r>
            <w:r w:rsidRPr="00D528BB">
              <w:rPr>
                <w:rFonts w:ascii="Calibri" w:eastAsiaTheme="minorHAnsi" w:hAnsi="Calibri" w:cstheme="minorBidi"/>
                <w:spacing w:val="-3"/>
                <w:lang w:val="en-US"/>
              </w:rPr>
              <w:t xml:space="preserve"> </w:t>
            </w:r>
            <w:r w:rsidRPr="00D528BB">
              <w:rPr>
                <w:rFonts w:ascii="Calibri" w:eastAsiaTheme="minorHAnsi" w:hAnsi="Calibri" w:cstheme="minorBidi"/>
                <w:spacing w:val="-1"/>
                <w:lang w:val="en-US"/>
              </w:rPr>
              <w:t>Dağıtım</w:t>
            </w:r>
            <w:r w:rsidRPr="00D528BB">
              <w:rPr>
                <w:rFonts w:ascii="Calibri" w:eastAsiaTheme="minorHAnsi" w:hAnsi="Calibri" w:cstheme="minorBidi"/>
                <w:spacing w:val="-4"/>
                <w:lang w:val="en-US"/>
              </w:rPr>
              <w:t xml:space="preserve"> </w:t>
            </w:r>
            <w:r w:rsidRPr="00D528BB">
              <w:rPr>
                <w:rFonts w:ascii="Calibri" w:eastAsiaTheme="minorHAnsi" w:hAnsi="Calibri" w:cstheme="minorBidi"/>
                <w:lang w:val="en-US"/>
              </w:rPr>
              <w:t>A.Ş.</w:t>
            </w:r>
          </w:p>
        </w:tc>
        <w:tc>
          <w:tcPr>
            <w:tcW w:w="2590" w:type="dxa"/>
            <w:tcBorders>
              <w:top w:val="single" w:sz="4" w:space="0" w:color="D9D9D9"/>
              <w:left w:val="single" w:sz="4" w:space="0" w:color="D9D9D9"/>
              <w:bottom w:val="single" w:sz="4" w:space="0" w:color="D9D9D9"/>
              <w:right w:val="single" w:sz="4" w:space="0" w:color="D9D9D9"/>
            </w:tcBorders>
          </w:tcPr>
          <w:p w14:paraId="0E7577C7" w14:textId="77777777" w:rsidR="00905AC2" w:rsidRPr="00D528BB" w:rsidRDefault="00905AC2" w:rsidP="00905AC2">
            <w:pPr>
              <w:widowControl w:val="0"/>
              <w:spacing w:after="0" w:line="240" w:lineRule="auto"/>
              <w:ind w:left="786"/>
              <w:jc w:val="left"/>
              <w:rPr>
                <w:rFonts w:ascii="Calibri" w:hAnsi="Calibri" w:cs="Calibri"/>
                <w:lang w:val="en-US"/>
              </w:rPr>
            </w:pPr>
            <w:r w:rsidRPr="00D528BB">
              <w:rPr>
                <w:rFonts w:ascii="Calibri" w:eastAsiaTheme="minorHAnsi" w:cstheme="minorBidi"/>
                <w:lang w:val="en-US"/>
              </w:rPr>
              <w:t>08.09.2022</w:t>
            </w:r>
          </w:p>
        </w:tc>
        <w:tc>
          <w:tcPr>
            <w:tcW w:w="1662" w:type="dxa"/>
            <w:tcBorders>
              <w:top w:val="single" w:sz="4" w:space="0" w:color="D9D9D9"/>
              <w:left w:val="single" w:sz="4" w:space="0" w:color="D9D9D9"/>
              <w:bottom w:val="single" w:sz="4" w:space="0" w:color="D9D9D9"/>
              <w:right w:val="single" w:sz="4" w:space="0" w:color="D9D9D9"/>
            </w:tcBorders>
          </w:tcPr>
          <w:p w14:paraId="4B80CE08" w14:textId="77777777" w:rsidR="00905AC2" w:rsidRPr="00D528BB" w:rsidRDefault="00905AC2" w:rsidP="00905AC2">
            <w:pPr>
              <w:widowControl w:val="0"/>
              <w:spacing w:after="0" w:line="240" w:lineRule="auto"/>
              <w:jc w:val="center"/>
              <w:rPr>
                <w:rFonts w:ascii="Calibri" w:hAnsi="Calibri" w:cs="Calibri"/>
                <w:lang w:val="en-US"/>
              </w:rPr>
            </w:pPr>
            <w:r w:rsidRPr="00D528BB">
              <w:rPr>
                <w:rFonts w:ascii="Calibri" w:eastAsiaTheme="minorHAnsi" w:cstheme="minorBidi"/>
                <w:lang w:val="en-US"/>
              </w:rPr>
              <w:t>11193</w:t>
            </w:r>
          </w:p>
        </w:tc>
      </w:tr>
      <w:tr w:rsidR="00905AC2" w:rsidRPr="00D528BB" w14:paraId="6AB959D2" w14:textId="77777777" w:rsidTr="00905AC2">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16E78F33" w14:textId="77777777" w:rsidR="00905AC2" w:rsidRPr="00D528BB" w:rsidRDefault="00905AC2" w:rsidP="00905AC2">
            <w:pPr>
              <w:widowControl w:val="0"/>
              <w:spacing w:after="0" w:line="240" w:lineRule="auto"/>
              <w:ind w:left="103"/>
              <w:jc w:val="left"/>
              <w:rPr>
                <w:rFonts w:ascii="Calibri" w:hAnsi="Calibri" w:cs="Calibri"/>
                <w:lang w:val="en-US"/>
              </w:rPr>
            </w:pPr>
            <w:r w:rsidRPr="00D528BB">
              <w:rPr>
                <w:rFonts w:ascii="Calibri" w:eastAsiaTheme="minorHAnsi" w:hAnsi="Calibri" w:cstheme="minorBidi"/>
                <w:spacing w:val="-1"/>
                <w:lang w:val="en-US"/>
              </w:rPr>
              <w:t>Başkent</w:t>
            </w:r>
            <w:r w:rsidRPr="00D528BB">
              <w:rPr>
                <w:rFonts w:ascii="Calibri" w:eastAsiaTheme="minorHAnsi" w:hAnsi="Calibri" w:cstheme="minorBidi"/>
                <w:spacing w:val="-2"/>
                <w:lang w:val="en-US"/>
              </w:rPr>
              <w:t xml:space="preserve"> </w:t>
            </w:r>
            <w:r w:rsidRPr="00D528BB">
              <w:rPr>
                <w:rFonts w:ascii="Calibri" w:eastAsiaTheme="minorHAnsi" w:hAnsi="Calibri" w:cstheme="minorBidi"/>
                <w:spacing w:val="-1"/>
                <w:lang w:val="en-US"/>
              </w:rPr>
              <w:t>Elektrik</w:t>
            </w:r>
            <w:r w:rsidRPr="00D528BB">
              <w:rPr>
                <w:rFonts w:ascii="Calibri" w:eastAsiaTheme="minorHAnsi" w:hAnsi="Calibri" w:cstheme="minorBidi"/>
                <w:spacing w:val="-2"/>
                <w:lang w:val="en-US"/>
              </w:rPr>
              <w:t xml:space="preserve"> </w:t>
            </w:r>
            <w:r w:rsidRPr="00D528BB">
              <w:rPr>
                <w:rFonts w:ascii="Calibri" w:eastAsiaTheme="minorHAnsi" w:hAnsi="Calibri" w:cstheme="minorBidi"/>
                <w:spacing w:val="-1"/>
                <w:lang w:val="en-US"/>
              </w:rPr>
              <w:t>Dağıtım</w:t>
            </w:r>
            <w:r w:rsidRPr="00D528BB">
              <w:rPr>
                <w:rFonts w:ascii="Calibri" w:eastAsiaTheme="minorHAnsi" w:hAnsi="Calibri" w:cstheme="minorBidi"/>
                <w:spacing w:val="-2"/>
                <w:lang w:val="en-US"/>
              </w:rPr>
              <w:t xml:space="preserve"> </w:t>
            </w:r>
            <w:r w:rsidRPr="00D528BB">
              <w:rPr>
                <w:rFonts w:ascii="Calibri" w:eastAsiaTheme="minorHAnsi" w:hAnsi="Calibri" w:cstheme="minorBidi"/>
                <w:lang w:val="en-US"/>
              </w:rPr>
              <w:t>A.Ş.</w:t>
            </w:r>
          </w:p>
        </w:tc>
        <w:tc>
          <w:tcPr>
            <w:tcW w:w="2590" w:type="dxa"/>
            <w:tcBorders>
              <w:top w:val="single" w:sz="4" w:space="0" w:color="D9D9D9"/>
              <w:left w:val="single" w:sz="4" w:space="0" w:color="D9D9D9"/>
              <w:bottom w:val="single" w:sz="4" w:space="0" w:color="D9D9D9"/>
              <w:right w:val="single" w:sz="4" w:space="0" w:color="D9D9D9"/>
            </w:tcBorders>
          </w:tcPr>
          <w:p w14:paraId="4C6D5B56" w14:textId="77777777" w:rsidR="00905AC2" w:rsidRPr="00D528BB" w:rsidRDefault="00905AC2" w:rsidP="00905AC2">
            <w:pPr>
              <w:widowControl w:val="0"/>
              <w:spacing w:after="0" w:line="240" w:lineRule="auto"/>
              <w:ind w:left="786"/>
              <w:jc w:val="left"/>
              <w:rPr>
                <w:rFonts w:ascii="Calibri" w:hAnsi="Calibri" w:cs="Calibri"/>
                <w:lang w:val="en-US"/>
              </w:rPr>
            </w:pPr>
            <w:r w:rsidRPr="00D528BB">
              <w:rPr>
                <w:rFonts w:ascii="Calibri" w:eastAsiaTheme="minorHAnsi" w:cstheme="minorBidi"/>
                <w:lang w:val="en-US"/>
              </w:rPr>
              <w:t>14.11.2024</w:t>
            </w:r>
          </w:p>
        </w:tc>
        <w:tc>
          <w:tcPr>
            <w:tcW w:w="1662" w:type="dxa"/>
            <w:tcBorders>
              <w:top w:val="single" w:sz="4" w:space="0" w:color="D9D9D9"/>
              <w:left w:val="single" w:sz="4" w:space="0" w:color="D9D9D9"/>
              <w:bottom w:val="single" w:sz="4" w:space="0" w:color="D9D9D9"/>
              <w:right w:val="single" w:sz="4" w:space="0" w:color="D9D9D9"/>
            </w:tcBorders>
          </w:tcPr>
          <w:p w14:paraId="1A55DAD8" w14:textId="77777777" w:rsidR="00905AC2" w:rsidRPr="00D528BB" w:rsidRDefault="00905AC2" w:rsidP="00905AC2">
            <w:pPr>
              <w:widowControl w:val="0"/>
              <w:spacing w:after="0" w:line="240" w:lineRule="auto"/>
              <w:jc w:val="center"/>
              <w:rPr>
                <w:rFonts w:ascii="Calibri" w:hAnsi="Calibri" w:cs="Calibri"/>
                <w:lang w:val="en-US"/>
              </w:rPr>
            </w:pPr>
            <w:r w:rsidRPr="00D528BB">
              <w:rPr>
                <w:rFonts w:ascii="Calibri" w:eastAsiaTheme="minorHAnsi" w:cstheme="minorBidi"/>
                <w:lang w:val="en-US"/>
              </w:rPr>
              <w:t>13006</w:t>
            </w:r>
          </w:p>
        </w:tc>
      </w:tr>
      <w:tr w:rsidR="00905AC2" w:rsidRPr="00D528BB" w14:paraId="02A0CD05" w14:textId="77777777" w:rsidTr="00905AC2">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63B7C6D2" w14:textId="77777777" w:rsidR="00905AC2" w:rsidRPr="00D528BB" w:rsidRDefault="00905AC2" w:rsidP="00905AC2">
            <w:pPr>
              <w:widowControl w:val="0"/>
              <w:spacing w:after="0" w:line="240" w:lineRule="auto"/>
              <w:ind w:left="103"/>
              <w:jc w:val="left"/>
              <w:rPr>
                <w:rFonts w:ascii="Calibri" w:hAnsi="Calibri" w:cs="Calibri"/>
                <w:lang w:val="en-US"/>
              </w:rPr>
            </w:pPr>
            <w:r w:rsidRPr="00D528BB">
              <w:rPr>
                <w:rFonts w:ascii="Calibri" w:eastAsiaTheme="minorHAnsi" w:hAnsi="Calibri" w:cstheme="minorBidi"/>
                <w:spacing w:val="-1"/>
                <w:lang w:val="en-US"/>
              </w:rPr>
              <w:t>Boğaziçi Elektrik</w:t>
            </w:r>
            <w:r w:rsidRPr="00D528BB">
              <w:rPr>
                <w:rFonts w:ascii="Calibri" w:eastAsiaTheme="minorHAnsi" w:hAnsi="Calibri" w:cstheme="minorBidi"/>
                <w:spacing w:val="-3"/>
                <w:lang w:val="en-US"/>
              </w:rPr>
              <w:t xml:space="preserve"> </w:t>
            </w:r>
            <w:r w:rsidRPr="00D528BB">
              <w:rPr>
                <w:rFonts w:ascii="Calibri" w:eastAsiaTheme="minorHAnsi" w:hAnsi="Calibri" w:cstheme="minorBidi"/>
                <w:lang w:val="en-US"/>
              </w:rPr>
              <w:t>Dağıtım</w:t>
            </w:r>
            <w:r w:rsidRPr="00D528BB">
              <w:rPr>
                <w:rFonts w:ascii="Calibri" w:eastAsiaTheme="minorHAnsi" w:hAnsi="Calibri" w:cstheme="minorBidi"/>
                <w:spacing w:val="-2"/>
                <w:lang w:val="en-US"/>
              </w:rPr>
              <w:t xml:space="preserve"> </w:t>
            </w:r>
            <w:r w:rsidRPr="00D528BB">
              <w:rPr>
                <w:rFonts w:ascii="Calibri" w:eastAsiaTheme="minorHAnsi" w:hAnsi="Calibri" w:cstheme="minorBidi"/>
                <w:spacing w:val="-1"/>
                <w:lang w:val="en-US"/>
              </w:rPr>
              <w:t>A.Ş.</w:t>
            </w:r>
          </w:p>
        </w:tc>
        <w:tc>
          <w:tcPr>
            <w:tcW w:w="2590" w:type="dxa"/>
            <w:tcBorders>
              <w:top w:val="single" w:sz="4" w:space="0" w:color="D9D9D9"/>
              <w:left w:val="single" w:sz="4" w:space="0" w:color="D9D9D9"/>
              <w:bottom w:val="single" w:sz="4" w:space="0" w:color="D9D9D9"/>
              <w:right w:val="single" w:sz="4" w:space="0" w:color="D9D9D9"/>
            </w:tcBorders>
          </w:tcPr>
          <w:p w14:paraId="1C5357F5" w14:textId="77777777" w:rsidR="00905AC2" w:rsidRPr="00D528BB" w:rsidRDefault="00905AC2" w:rsidP="00905AC2">
            <w:pPr>
              <w:widowControl w:val="0"/>
              <w:spacing w:after="0" w:line="240" w:lineRule="auto"/>
              <w:ind w:left="786"/>
              <w:jc w:val="left"/>
              <w:rPr>
                <w:rFonts w:ascii="Calibri" w:hAnsi="Calibri" w:cs="Calibri"/>
                <w:lang w:val="en-US"/>
              </w:rPr>
            </w:pPr>
            <w:r w:rsidRPr="00D528BB">
              <w:rPr>
                <w:rFonts w:ascii="Calibri" w:eastAsiaTheme="minorHAnsi" w:cstheme="minorBidi"/>
                <w:lang w:val="en-US"/>
              </w:rPr>
              <w:t>05.09.2024</w:t>
            </w:r>
          </w:p>
        </w:tc>
        <w:tc>
          <w:tcPr>
            <w:tcW w:w="1662" w:type="dxa"/>
            <w:tcBorders>
              <w:top w:val="single" w:sz="4" w:space="0" w:color="D9D9D9"/>
              <w:left w:val="single" w:sz="4" w:space="0" w:color="D9D9D9"/>
              <w:bottom w:val="single" w:sz="4" w:space="0" w:color="D9D9D9"/>
              <w:right w:val="single" w:sz="4" w:space="0" w:color="D9D9D9"/>
            </w:tcBorders>
          </w:tcPr>
          <w:p w14:paraId="44621A89" w14:textId="77777777" w:rsidR="00905AC2" w:rsidRPr="00D528BB" w:rsidRDefault="00905AC2" w:rsidP="00905AC2">
            <w:pPr>
              <w:widowControl w:val="0"/>
              <w:spacing w:after="0" w:line="240" w:lineRule="auto"/>
              <w:jc w:val="center"/>
              <w:rPr>
                <w:rFonts w:ascii="Calibri" w:hAnsi="Calibri" w:cs="Calibri"/>
                <w:lang w:val="en-US"/>
              </w:rPr>
            </w:pPr>
            <w:r w:rsidRPr="00D528BB">
              <w:rPr>
                <w:rFonts w:ascii="Calibri" w:eastAsiaTheme="minorHAnsi" w:cstheme="minorBidi"/>
                <w:lang w:val="en-US"/>
              </w:rPr>
              <w:t>12866</w:t>
            </w:r>
          </w:p>
        </w:tc>
      </w:tr>
      <w:tr w:rsidR="00905AC2" w:rsidRPr="00D528BB" w14:paraId="186D44E3" w14:textId="77777777" w:rsidTr="00905AC2">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6DE5E4B9" w14:textId="77777777" w:rsidR="00905AC2" w:rsidRPr="00D528BB" w:rsidRDefault="00905AC2" w:rsidP="00905AC2">
            <w:pPr>
              <w:widowControl w:val="0"/>
              <w:spacing w:after="0" w:line="240" w:lineRule="auto"/>
              <w:ind w:left="103"/>
              <w:jc w:val="left"/>
              <w:rPr>
                <w:rFonts w:ascii="Calibri" w:hAnsi="Calibri" w:cs="Calibri"/>
                <w:lang w:val="en-US"/>
              </w:rPr>
            </w:pPr>
            <w:r w:rsidRPr="00D528BB">
              <w:rPr>
                <w:rFonts w:ascii="Calibri" w:eastAsiaTheme="minorHAnsi" w:hAnsi="Calibri" w:cstheme="minorBidi"/>
                <w:lang w:val="en-US"/>
              </w:rPr>
              <w:t>Çamlıbel</w:t>
            </w:r>
            <w:r w:rsidRPr="00D528BB">
              <w:rPr>
                <w:rFonts w:ascii="Calibri" w:eastAsiaTheme="minorHAnsi" w:hAnsi="Calibri" w:cstheme="minorBidi"/>
                <w:spacing w:val="-2"/>
                <w:lang w:val="en-US"/>
              </w:rPr>
              <w:t xml:space="preserve"> </w:t>
            </w:r>
            <w:r w:rsidRPr="00D528BB">
              <w:rPr>
                <w:rFonts w:ascii="Calibri" w:eastAsiaTheme="minorHAnsi" w:hAnsi="Calibri" w:cstheme="minorBidi"/>
                <w:spacing w:val="-1"/>
                <w:lang w:val="en-US"/>
              </w:rPr>
              <w:t>Elektrik</w:t>
            </w:r>
            <w:r w:rsidRPr="00D528BB">
              <w:rPr>
                <w:rFonts w:ascii="Calibri" w:eastAsiaTheme="minorHAnsi" w:hAnsi="Calibri" w:cstheme="minorBidi"/>
                <w:spacing w:val="-2"/>
                <w:lang w:val="en-US"/>
              </w:rPr>
              <w:t xml:space="preserve"> </w:t>
            </w:r>
            <w:r w:rsidRPr="00D528BB">
              <w:rPr>
                <w:rFonts w:ascii="Calibri" w:eastAsiaTheme="minorHAnsi" w:hAnsi="Calibri" w:cstheme="minorBidi"/>
                <w:spacing w:val="-1"/>
                <w:lang w:val="en-US"/>
              </w:rPr>
              <w:t>Dağıtım</w:t>
            </w:r>
            <w:r w:rsidRPr="00D528BB">
              <w:rPr>
                <w:rFonts w:ascii="Calibri" w:eastAsiaTheme="minorHAnsi" w:hAnsi="Calibri" w:cstheme="minorBidi"/>
                <w:spacing w:val="-2"/>
                <w:lang w:val="en-US"/>
              </w:rPr>
              <w:t xml:space="preserve"> </w:t>
            </w:r>
            <w:r w:rsidRPr="00D528BB">
              <w:rPr>
                <w:rFonts w:ascii="Calibri" w:eastAsiaTheme="minorHAnsi" w:hAnsi="Calibri" w:cstheme="minorBidi"/>
                <w:lang w:val="en-US"/>
              </w:rPr>
              <w:t>A.Ş.</w:t>
            </w:r>
          </w:p>
        </w:tc>
        <w:tc>
          <w:tcPr>
            <w:tcW w:w="2590" w:type="dxa"/>
            <w:tcBorders>
              <w:top w:val="single" w:sz="4" w:space="0" w:color="D9D9D9"/>
              <w:left w:val="single" w:sz="4" w:space="0" w:color="D9D9D9"/>
              <w:bottom w:val="single" w:sz="4" w:space="0" w:color="D9D9D9"/>
              <w:right w:val="single" w:sz="4" w:space="0" w:color="D9D9D9"/>
            </w:tcBorders>
          </w:tcPr>
          <w:p w14:paraId="278477FC" w14:textId="77777777" w:rsidR="00905AC2" w:rsidRPr="00D528BB" w:rsidRDefault="00905AC2" w:rsidP="00905AC2">
            <w:pPr>
              <w:widowControl w:val="0"/>
              <w:spacing w:after="0" w:line="240" w:lineRule="auto"/>
              <w:ind w:left="786"/>
              <w:jc w:val="left"/>
              <w:rPr>
                <w:rFonts w:ascii="Calibri" w:hAnsi="Calibri" w:cs="Calibri"/>
                <w:lang w:val="en-US"/>
              </w:rPr>
            </w:pPr>
            <w:r w:rsidRPr="00D528BB">
              <w:rPr>
                <w:rFonts w:ascii="Calibri" w:eastAsiaTheme="minorHAnsi" w:cstheme="minorBidi"/>
                <w:lang w:val="en-US"/>
              </w:rPr>
              <w:t>24.10.2024</w:t>
            </w:r>
          </w:p>
        </w:tc>
        <w:tc>
          <w:tcPr>
            <w:tcW w:w="1662" w:type="dxa"/>
            <w:tcBorders>
              <w:top w:val="single" w:sz="4" w:space="0" w:color="D9D9D9"/>
              <w:left w:val="single" w:sz="4" w:space="0" w:color="D9D9D9"/>
              <w:bottom w:val="single" w:sz="4" w:space="0" w:color="D9D9D9"/>
              <w:right w:val="single" w:sz="4" w:space="0" w:color="D9D9D9"/>
            </w:tcBorders>
          </w:tcPr>
          <w:p w14:paraId="1FFBC2CF" w14:textId="77777777" w:rsidR="00905AC2" w:rsidRPr="00D528BB" w:rsidRDefault="00905AC2" w:rsidP="00905AC2">
            <w:pPr>
              <w:widowControl w:val="0"/>
              <w:spacing w:after="0" w:line="240" w:lineRule="auto"/>
              <w:jc w:val="center"/>
              <w:rPr>
                <w:rFonts w:ascii="Calibri" w:hAnsi="Calibri" w:cs="Calibri"/>
                <w:lang w:val="en-US"/>
              </w:rPr>
            </w:pPr>
            <w:r w:rsidRPr="00D528BB">
              <w:rPr>
                <w:rFonts w:ascii="Calibri" w:eastAsiaTheme="minorHAnsi" w:cstheme="minorBidi"/>
                <w:lang w:val="en-US"/>
              </w:rPr>
              <w:t>12948</w:t>
            </w:r>
          </w:p>
        </w:tc>
      </w:tr>
      <w:tr w:rsidR="00905AC2" w:rsidRPr="00D528BB" w14:paraId="2FAAB7AE" w14:textId="77777777" w:rsidTr="00905AC2">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32F86918" w14:textId="77777777" w:rsidR="00905AC2" w:rsidRPr="00D528BB" w:rsidRDefault="00905AC2" w:rsidP="00905AC2">
            <w:pPr>
              <w:widowControl w:val="0"/>
              <w:spacing w:after="0" w:line="240" w:lineRule="auto"/>
              <w:ind w:left="103"/>
              <w:jc w:val="left"/>
              <w:rPr>
                <w:rFonts w:ascii="Calibri" w:hAnsi="Calibri" w:cs="Calibri"/>
                <w:lang w:val="en-US"/>
              </w:rPr>
            </w:pPr>
            <w:r w:rsidRPr="00D528BB">
              <w:rPr>
                <w:rFonts w:ascii="Calibri" w:eastAsiaTheme="minorHAnsi" w:hAnsi="Calibri" w:cstheme="minorBidi"/>
                <w:spacing w:val="-1"/>
                <w:lang w:val="en-US"/>
              </w:rPr>
              <w:t>Çoruh</w:t>
            </w:r>
            <w:r w:rsidRPr="00D528BB">
              <w:rPr>
                <w:rFonts w:ascii="Calibri" w:eastAsiaTheme="minorHAnsi" w:hAnsi="Calibri" w:cstheme="minorBidi"/>
                <w:spacing w:val="-4"/>
                <w:lang w:val="en-US"/>
              </w:rPr>
              <w:t xml:space="preserve"> </w:t>
            </w:r>
            <w:r w:rsidRPr="00D528BB">
              <w:rPr>
                <w:rFonts w:ascii="Calibri" w:eastAsiaTheme="minorHAnsi" w:hAnsi="Calibri" w:cstheme="minorBidi"/>
                <w:spacing w:val="-1"/>
                <w:lang w:val="en-US"/>
              </w:rPr>
              <w:t>Elektrik</w:t>
            </w:r>
            <w:r w:rsidRPr="00D528BB">
              <w:rPr>
                <w:rFonts w:ascii="Calibri" w:eastAsiaTheme="minorHAnsi" w:hAnsi="Calibri" w:cstheme="minorBidi"/>
                <w:spacing w:val="-3"/>
                <w:lang w:val="en-US"/>
              </w:rPr>
              <w:t xml:space="preserve"> </w:t>
            </w:r>
            <w:r w:rsidRPr="00D528BB">
              <w:rPr>
                <w:rFonts w:ascii="Calibri" w:eastAsiaTheme="minorHAnsi" w:hAnsi="Calibri" w:cstheme="minorBidi"/>
                <w:lang w:val="en-US"/>
              </w:rPr>
              <w:t>Dağıtım</w:t>
            </w:r>
            <w:r w:rsidRPr="00D528BB">
              <w:rPr>
                <w:rFonts w:ascii="Calibri" w:eastAsiaTheme="minorHAnsi" w:hAnsi="Calibri" w:cstheme="minorBidi"/>
                <w:spacing w:val="-3"/>
                <w:lang w:val="en-US"/>
              </w:rPr>
              <w:t xml:space="preserve"> </w:t>
            </w:r>
            <w:r w:rsidRPr="00D528BB">
              <w:rPr>
                <w:rFonts w:ascii="Calibri" w:eastAsiaTheme="minorHAnsi" w:hAnsi="Calibri" w:cstheme="minorBidi"/>
                <w:lang w:val="en-US"/>
              </w:rPr>
              <w:t>A.Ş.</w:t>
            </w:r>
          </w:p>
        </w:tc>
        <w:tc>
          <w:tcPr>
            <w:tcW w:w="2590" w:type="dxa"/>
            <w:tcBorders>
              <w:top w:val="single" w:sz="4" w:space="0" w:color="D9D9D9"/>
              <w:left w:val="single" w:sz="4" w:space="0" w:color="D9D9D9"/>
              <w:bottom w:val="single" w:sz="4" w:space="0" w:color="D9D9D9"/>
              <w:right w:val="single" w:sz="4" w:space="0" w:color="D9D9D9"/>
            </w:tcBorders>
          </w:tcPr>
          <w:p w14:paraId="7EE49322" w14:textId="77777777" w:rsidR="00905AC2" w:rsidRPr="00D528BB" w:rsidRDefault="00905AC2" w:rsidP="00905AC2">
            <w:pPr>
              <w:widowControl w:val="0"/>
              <w:spacing w:after="0" w:line="240" w:lineRule="auto"/>
              <w:ind w:left="786"/>
              <w:jc w:val="left"/>
              <w:rPr>
                <w:rFonts w:ascii="Calibri" w:hAnsi="Calibri" w:cs="Calibri"/>
                <w:lang w:val="en-US"/>
              </w:rPr>
            </w:pPr>
            <w:r w:rsidRPr="00D528BB">
              <w:rPr>
                <w:rFonts w:ascii="Calibri" w:eastAsiaTheme="minorHAnsi" w:cstheme="minorBidi"/>
                <w:lang w:val="en-US"/>
              </w:rPr>
              <w:t>23.02.2023</w:t>
            </w:r>
          </w:p>
        </w:tc>
        <w:tc>
          <w:tcPr>
            <w:tcW w:w="1662" w:type="dxa"/>
            <w:tcBorders>
              <w:top w:val="single" w:sz="4" w:space="0" w:color="D9D9D9"/>
              <w:left w:val="single" w:sz="4" w:space="0" w:color="D9D9D9"/>
              <w:bottom w:val="single" w:sz="4" w:space="0" w:color="D9D9D9"/>
              <w:right w:val="single" w:sz="4" w:space="0" w:color="D9D9D9"/>
            </w:tcBorders>
          </w:tcPr>
          <w:p w14:paraId="21ED8241" w14:textId="77777777" w:rsidR="00905AC2" w:rsidRPr="00D528BB" w:rsidRDefault="00905AC2" w:rsidP="00905AC2">
            <w:pPr>
              <w:widowControl w:val="0"/>
              <w:spacing w:after="0" w:line="240" w:lineRule="auto"/>
              <w:jc w:val="center"/>
              <w:rPr>
                <w:rFonts w:ascii="Calibri" w:hAnsi="Calibri" w:cs="Calibri"/>
                <w:lang w:val="en-US"/>
              </w:rPr>
            </w:pPr>
            <w:r w:rsidRPr="00D528BB">
              <w:rPr>
                <w:rFonts w:ascii="Calibri" w:eastAsiaTheme="minorHAnsi" w:cstheme="minorBidi"/>
                <w:lang w:val="en-US"/>
              </w:rPr>
              <w:t>11677</w:t>
            </w:r>
          </w:p>
        </w:tc>
      </w:tr>
      <w:tr w:rsidR="00905AC2" w:rsidRPr="00D528BB" w14:paraId="256D9378" w14:textId="77777777" w:rsidTr="00905AC2">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43554D4D" w14:textId="77777777" w:rsidR="00905AC2" w:rsidRPr="00D528BB" w:rsidRDefault="00905AC2" w:rsidP="00905AC2">
            <w:pPr>
              <w:widowControl w:val="0"/>
              <w:spacing w:after="0" w:line="240" w:lineRule="auto"/>
              <w:ind w:left="103"/>
              <w:jc w:val="left"/>
              <w:rPr>
                <w:rFonts w:ascii="Calibri" w:hAnsi="Calibri" w:cs="Calibri"/>
                <w:lang w:val="en-US"/>
              </w:rPr>
            </w:pPr>
            <w:r w:rsidRPr="00D528BB">
              <w:rPr>
                <w:rFonts w:ascii="Calibri" w:eastAsiaTheme="minorHAnsi" w:hAnsi="Calibri" w:cstheme="minorBidi"/>
                <w:spacing w:val="-1"/>
                <w:lang w:val="en-US"/>
              </w:rPr>
              <w:t>Dicle</w:t>
            </w:r>
            <w:r w:rsidRPr="00D528BB">
              <w:rPr>
                <w:rFonts w:ascii="Calibri" w:eastAsiaTheme="minorHAnsi" w:hAnsi="Calibri" w:cstheme="minorBidi"/>
                <w:spacing w:val="-3"/>
                <w:lang w:val="en-US"/>
              </w:rPr>
              <w:t xml:space="preserve"> </w:t>
            </w:r>
            <w:r w:rsidRPr="00D528BB">
              <w:rPr>
                <w:rFonts w:ascii="Calibri" w:eastAsiaTheme="minorHAnsi" w:hAnsi="Calibri" w:cstheme="minorBidi"/>
                <w:spacing w:val="-1"/>
                <w:lang w:val="en-US"/>
              </w:rPr>
              <w:t>Elektrik</w:t>
            </w:r>
            <w:r w:rsidRPr="00D528BB">
              <w:rPr>
                <w:rFonts w:ascii="Calibri" w:eastAsiaTheme="minorHAnsi" w:hAnsi="Calibri" w:cstheme="minorBidi"/>
                <w:spacing w:val="-3"/>
                <w:lang w:val="en-US"/>
              </w:rPr>
              <w:t xml:space="preserve"> </w:t>
            </w:r>
            <w:r w:rsidRPr="00D528BB">
              <w:rPr>
                <w:rFonts w:ascii="Calibri" w:eastAsiaTheme="minorHAnsi" w:hAnsi="Calibri" w:cstheme="minorBidi"/>
                <w:lang w:val="en-US"/>
              </w:rPr>
              <w:t>Dağıtım</w:t>
            </w:r>
            <w:r w:rsidRPr="00D528BB">
              <w:rPr>
                <w:rFonts w:ascii="Calibri" w:eastAsiaTheme="minorHAnsi" w:hAnsi="Calibri" w:cstheme="minorBidi"/>
                <w:spacing w:val="-2"/>
                <w:lang w:val="en-US"/>
              </w:rPr>
              <w:t xml:space="preserve"> </w:t>
            </w:r>
            <w:r w:rsidRPr="00D528BB">
              <w:rPr>
                <w:rFonts w:ascii="Calibri" w:eastAsiaTheme="minorHAnsi" w:hAnsi="Calibri" w:cstheme="minorBidi"/>
                <w:lang w:val="en-US"/>
              </w:rPr>
              <w:t>A.Ş.</w:t>
            </w:r>
          </w:p>
        </w:tc>
        <w:tc>
          <w:tcPr>
            <w:tcW w:w="2590" w:type="dxa"/>
            <w:tcBorders>
              <w:top w:val="single" w:sz="4" w:space="0" w:color="D9D9D9"/>
              <w:left w:val="single" w:sz="4" w:space="0" w:color="D9D9D9"/>
              <w:bottom w:val="single" w:sz="4" w:space="0" w:color="D9D9D9"/>
              <w:right w:val="single" w:sz="4" w:space="0" w:color="D9D9D9"/>
            </w:tcBorders>
          </w:tcPr>
          <w:p w14:paraId="3A835A91" w14:textId="77777777" w:rsidR="00905AC2" w:rsidRPr="00D528BB" w:rsidRDefault="00905AC2" w:rsidP="00905AC2">
            <w:pPr>
              <w:widowControl w:val="0"/>
              <w:spacing w:after="0" w:line="240" w:lineRule="auto"/>
              <w:ind w:left="786"/>
              <w:jc w:val="left"/>
              <w:rPr>
                <w:rFonts w:ascii="Calibri" w:hAnsi="Calibri" w:cs="Calibri"/>
                <w:lang w:val="en-US"/>
              </w:rPr>
            </w:pPr>
            <w:r w:rsidRPr="00D528BB">
              <w:rPr>
                <w:rFonts w:ascii="Calibri" w:eastAsiaTheme="minorHAnsi" w:cstheme="minorBidi"/>
                <w:lang w:val="en-US"/>
              </w:rPr>
              <w:t>19.12.2024</w:t>
            </w:r>
          </w:p>
        </w:tc>
        <w:tc>
          <w:tcPr>
            <w:tcW w:w="1662" w:type="dxa"/>
            <w:tcBorders>
              <w:top w:val="single" w:sz="4" w:space="0" w:color="D9D9D9"/>
              <w:left w:val="single" w:sz="4" w:space="0" w:color="D9D9D9"/>
              <w:bottom w:val="single" w:sz="4" w:space="0" w:color="D9D9D9"/>
              <w:right w:val="single" w:sz="4" w:space="0" w:color="D9D9D9"/>
            </w:tcBorders>
          </w:tcPr>
          <w:p w14:paraId="5C362D1D" w14:textId="77777777" w:rsidR="00905AC2" w:rsidRPr="00D528BB" w:rsidRDefault="00905AC2" w:rsidP="00905AC2">
            <w:pPr>
              <w:widowControl w:val="0"/>
              <w:spacing w:after="0" w:line="240" w:lineRule="auto"/>
              <w:jc w:val="center"/>
              <w:rPr>
                <w:rFonts w:ascii="Calibri" w:hAnsi="Calibri" w:cs="Calibri"/>
                <w:lang w:val="en-US"/>
              </w:rPr>
            </w:pPr>
            <w:r w:rsidRPr="00D528BB">
              <w:rPr>
                <w:rFonts w:ascii="Calibri" w:eastAsiaTheme="minorHAnsi" w:cstheme="minorBidi"/>
                <w:lang w:val="en-US"/>
              </w:rPr>
              <w:t>13098</w:t>
            </w:r>
          </w:p>
        </w:tc>
      </w:tr>
      <w:tr w:rsidR="00905AC2" w:rsidRPr="00D528BB" w14:paraId="29B473DF" w14:textId="77777777" w:rsidTr="00905AC2">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77BF2594" w14:textId="77777777" w:rsidR="00905AC2" w:rsidRPr="00D528BB" w:rsidRDefault="00905AC2" w:rsidP="00905AC2">
            <w:pPr>
              <w:widowControl w:val="0"/>
              <w:spacing w:after="0" w:line="240" w:lineRule="auto"/>
              <w:ind w:left="103"/>
              <w:jc w:val="left"/>
              <w:rPr>
                <w:rFonts w:ascii="Calibri" w:hAnsi="Calibri" w:cs="Calibri"/>
                <w:lang w:val="en-US"/>
              </w:rPr>
            </w:pPr>
            <w:r w:rsidRPr="00D528BB">
              <w:rPr>
                <w:rFonts w:ascii="Calibri" w:eastAsiaTheme="minorHAnsi" w:hAnsi="Calibri" w:cstheme="minorBidi"/>
                <w:lang w:val="en-US"/>
              </w:rPr>
              <w:t>Fırat</w:t>
            </w:r>
            <w:r w:rsidRPr="00D528BB">
              <w:rPr>
                <w:rFonts w:ascii="Calibri" w:eastAsiaTheme="minorHAnsi" w:hAnsi="Calibri" w:cstheme="minorBidi"/>
                <w:spacing w:val="-2"/>
                <w:lang w:val="en-US"/>
              </w:rPr>
              <w:t xml:space="preserve"> </w:t>
            </w:r>
            <w:r w:rsidRPr="00D528BB">
              <w:rPr>
                <w:rFonts w:ascii="Calibri" w:eastAsiaTheme="minorHAnsi" w:hAnsi="Calibri" w:cstheme="minorBidi"/>
                <w:spacing w:val="-1"/>
                <w:lang w:val="en-US"/>
              </w:rPr>
              <w:t>Elektrik</w:t>
            </w:r>
            <w:r w:rsidRPr="00D528BB">
              <w:rPr>
                <w:rFonts w:ascii="Calibri" w:eastAsiaTheme="minorHAnsi" w:hAnsi="Calibri" w:cstheme="minorBidi"/>
                <w:spacing w:val="-3"/>
                <w:lang w:val="en-US"/>
              </w:rPr>
              <w:t xml:space="preserve"> </w:t>
            </w:r>
            <w:r w:rsidRPr="00D528BB">
              <w:rPr>
                <w:rFonts w:ascii="Calibri" w:eastAsiaTheme="minorHAnsi" w:hAnsi="Calibri" w:cstheme="minorBidi"/>
                <w:spacing w:val="-1"/>
                <w:lang w:val="en-US"/>
              </w:rPr>
              <w:t>Dağıtım</w:t>
            </w:r>
            <w:r w:rsidRPr="00D528BB">
              <w:rPr>
                <w:rFonts w:ascii="Calibri" w:eastAsiaTheme="minorHAnsi" w:hAnsi="Calibri" w:cstheme="minorBidi"/>
                <w:spacing w:val="-2"/>
                <w:lang w:val="en-US"/>
              </w:rPr>
              <w:t xml:space="preserve"> </w:t>
            </w:r>
            <w:r w:rsidRPr="00D528BB">
              <w:rPr>
                <w:rFonts w:ascii="Calibri" w:eastAsiaTheme="minorHAnsi" w:hAnsi="Calibri" w:cstheme="minorBidi"/>
                <w:lang w:val="en-US"/>
              </w:rPr>
              <w:t>A.Ş.</w:t>
            </w:r>
          </w:p>
        </w:tc>
        <w:tc>
          <w:tcPr>
            <w:tcW w:w="2590" w:type="dxa"/>
            <w:tcBorders>
              <w:top w:val="single" w:sz="4" w:space="0" w:color="D9D9D9"/>
              <w:left w:val="single" w:sz="4" w:space="0" w:color="D9D9D9"/>
              <w:bottom w:val="single" w:sz="4" w:space="0" w:color="D9D9D9"/>
              <w:right w:val="single" w:sz="4" w:space="0" w:color="D9D9D9"/>
            </w:tcBorders>
          </w:tcPr>
          <w:p w14:paraId="7B118770" w14:textId="77777777" w:rsidR="00905AC2" w:rsidRPr="00D528BB" w:rsidRDefault="00905AC2" w:rsidP="00905AC2">
            <w:pPr>
              <w:widowControl w:val="0"/>
              <w:spacing w:after="0" w:line="240" w:lineRule="auto"/>
              <w:ind w:left="786"/>
              <w:jc w:val="left"/>
              <w:rPr>
                <w:rFonts w:ascii="Calibri" w:hAnsi="Calibri" w:cs="Calibri"/>
                <w:lang w:val="en-US"/>
              </w:rPr>
            </w:pPr>
            <w:r w:rsidRPr="00D528BB">
              <w:rPr>
                <w:rFonts w:ascii="Calibri" w:eastAsiaTheme="minorHAnsi" w:cstheme="minorBidi"/>
                <w:lang w:val="en-US"/>
              </w:rPr>
              <w:t>20.07.2023</w:t>
            </w:r>
          </w:p>
        </w:tc>
        <w:tc>
          <w:tcPr>
            <w:tcW w:w="1662" w:type="dxa"/>
            <w:tcBorders>
              <w:top w:val="single" w:sz="4" w:space="0" w:color="D9D9D9"/>
              <w:left w:val="single" w:sz="4" w:space="0" w:color="D9D9D9"/>
              <w:bottom w:val="single" w:sz="4" w:space="0" w:color="D9D9D9"/>
              <w:right w:val="single" w:sz="4" w:space="0" w:color="D9D9D9"/>
            </w:tcBorders>
          </w:tcPr>
          <w:p w14:paraId="6A85CA72" w14:textId="77777777" w:rsidR="00905AC2" w:rsidRPr="00D528BB" w:rsidRDefault="00905AC2" w:rsidP="00905AC2">
            <w:pPr>
              <w:widowControl w:val="0"/>
              <w:spacing w:after="0" w:line="240" w:lineRule="auto"/>
              <w:jc w:val="center"/>
              <w:rPr>
                <w:rFonts w:ascii="Calibri" w:hAnsi="Calibri" w:cs="Calibri"/>
                <w:lang w:val="en-US"/>
              </w:rPr>
            </w:pPr>
            <w:r w:rsidRPr="00D528BB">
              <w:rPr>
                <w:rFonts w:ascii="Calibri" w:eastAsiaTheme="minorHAnsi" w:cstheme="minorBidi"/>
                <w:lang w:val="en-US"/>
              </w:rPr>
              <w:t>11967</w:t>
            </w:r>
          </w:p>
        </w:tc>
      </w:tr>
      <w:tr w:rsidR="00905AC2" w:rsidRPr="00D528BB" w14:paraId="1020783E" w14:textId="77777777" w:rsidTr="00905AC2">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0ACE008A" w14:textId="77777777" w:rsidR="00905AC2" w:rsidRPr="00D528BB" w:rsidRDefault="00905AC2" w:rsidP="00905AC2">
            <w:pPr>
              <w:widowControl w:val="0"/>
              <w:spacing w:after="0" w:line="240" w:lineRule="auto"/>
              <w:ind w:left="103"/>
              <w:jc w:val="left"/>
              <w:rPr>
                <w:rFonts w:ascii="Calibri" w:hAnsi="Calibri" w:cs="Calibri"/>
                <w:lang w:val="en-US"/>
              </w:rPr>
            </w:pPr>
            <w:r w:rsidRPr="00D528BB">
              <w:rPr>
                <w:rFonts w:ascii="Calibri" w:eastAsiaTheme="minorHAnsi" w:hAnsi="Calibri" w:cstheme="minorBidi"/>
                <w:lang w:val="en-US"/>
              </w:rPr>
              <w:t>GDZ</w:t>
            </w:r>
            <w:r w:rsidRPr="00D528BB" w:rsidDel="008941C0">
              <w:rPr>
                <w:rFonts w:ascii="Calibri" w:eastAsiaTheme="minorHAnsi" w:hAnsi="Calibri" w:cstheme="minorBidi"/>
                <w:spacing w:val="-1"/>
                <w:lang w:val="en-US"/>
              </w:rPr>
              <w:t xml:space="preserve"> </w:t>
            </w:r>
            <w:r w:rsidRPr="00D528BB">
              <w:rPr>
                <w:rFonts w:ascii="Calibri" w:eastAsiaTheme="minorHAnsi" w:hAnsi="Calibri" w:cstheme="minorBidi"/>
                <w:spacing w:val="-4"/>
                <w:lang w:val="en-US"/>
              </w:rPr>
              <w:t>Elektrik</w:t>
            </w:r>
            <w:r w:rsidRPr="00D528BB">
              <w:rPr>
                <w:rFonts w:ascii="Calibri" w:eastAsiaTheme="minorHAnsi" w:hAnsi="Calibri" w:cstheme="minorBidi"/>
                <w:spacing w:val="-5"/>
                <w:lang w:val="en-US"/>
              </w:rPr>
              <w:t xml:space="preserve"> </w:t>
            </w:r>
            <w:r w:rsidRPr="00D528BB">
              <w:rPr>
                <w:rFonts w:ascii="Calibri" w:eastAsiaTheme="minorHAnsi" w:hAnsi="Calibri" w:cstheme="minorBidi"/>
                <w:lang w:val="en-US"/>
              </w:rPr>
              <w:t>Dağıtım</w:t>
            </w:r>
            <w:r w:rsidRPr="00D528BB">
              <w:rPr>
                <w:rFonts w:ascii="Calibri" w:eastAsiaTheme="minorHAnsi" w:hAnsi="Calibri" w:cstheme="minorBidi"/>
                <w:spacing w:val="-3"/>
                <w:lang w:val="en-US"/>
              </w:rPr>
              <w:t xml:space="preserve"> </w:t>
            </w:r>
            <w:r w:rsidRPr="00D528BB">
              <w:rPr>
                <w:rFonts w:ascii="Calibri" w:eastAsiaTheme="minorHAnsi" w:hAnsi="Calibri" w:cstheme="minorBidi"/>
                <w:spacing w:val="-1"/>
                <w:lang w:val="en-US"/>
              </w:rPr>
              <w:t>A.Ş.</w:t>
            </w:r>
          </w:p>
        </w:tc>
        <w:tc>
          <w:tcPr>
            <w:tcW w:w="2590" w:type="dxa"/>
            <w:tcBorders>
              <w:top w:val="single" w:sz="4" w:space="0" w:color="D9D9D9"/>
              <w:left w:val="single" w:sz="4" w:space="0" w:color="D9D9D9"/>
              <w:bottom w:val="single" w:sz="4" w:space="0" w:color="D9D9D9"/>
              <w:right w:val="single" w:sz="4" w:space="0" w:color="D9D9D9"/>
            </w:tcBorders>
          </w:tcPr>
          <w:p w14:paraId="1BF76F66" w14:textId="77777777" w:rsidR="00905AC2" w:rsidRPr="00D528BB" w:rsidRDefault="00905AC2" w:rsidP="00905AC2">
            <w:pPr>
              <w:widowControl w:val="0"/>
              <w:spacing w:after="0" w:line="240" w:lineRule="auto"/>
              <w:ind w:left="786"/>
              <w:jc w:val="left"/>
              <w:rPr>
                <w:rFonts w:ascii="Calibri" w:hAnsi="Calibri" w:cs="Calibri"/>
                <w:lang w:val="en-US"/>
              </w:rPr>
            </w:pPr>
            <w:r w:rsidRPr="00D528BB">
              <w:rPr>
                <w:rFonts w:ascii="Calibri" w:eastAsiaTheme="minorHAnsi" w:cstheme="minorBidi"/>
                <w:lang w:val="en-US"/>
              </w:rPr>
              <w:t>26.12.2024</w:t>
            </w:r>
          </w:p>
        </w:tc>
        <w:tc>
          <w:tcPr>
            <w:tcW w:w="1662" w:type="dxa"/>
            <w:tcBorders>
              <w:top w:val="single" w:sz="4" w:space="0" w:color="D9D9D9"/>
              <w:left w:val="single" w:sz="4" w:space="0" w:color="D9D9D9"/>
              <w:bottom w:val="single" w:sz="4" w:space="0" w:color="D9D9D9"/>
              <w:right w:val="single" w:sz="4" w:space="0" w:color="D9D9D9"/>
            </w:tcBorders>
          </w:tcPr>
          <w:p w14:paraId="7E79578B" w14:textId="77777777" w:rsidR="00905AC2" w:rsidRPr="00D528BB" w:rsidRDefault="00905AC2" w:rsidP="00905AC2">
            <w:pPr>
              <w:widowControl w:val="0"/>
              <w:spacing w:after="0" w:line="240" w:lineRule="auto"/>
              <w:jc w:val="center"/>
              <w:rPr>
                <w:rFonts w:ascii="Calibri" w:hAnsi="Calibri" w:cs="Calibri"/>
                <w:lang w:val="en-US"/>
              </w:rPr>
            </w:pPr>
            <w:r w:rsidRPr="00D528BB">
              <w:rPr>
                <w:rFonts w:ascii="Calibri" w:eastAsiaTheme="minorHAnsi" w:cstheme="minorBidi"/>
                <w:spacing w:val="-1"/>
                <w:lang w:val="en-US"/>
              </w:rPr>
              <w:t>13143</w:t>
            </w:r>
          </w:p>
        </w:tc>
      </w:tr>
      <w:tr w:rsidR="00905AC2" w:rsidRPr="00D528BB" w14:paraId="668CBD1A" w14:textId="77777777" w:rsidTr="00905AC2">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48B1A908" w14:textId="77777777" w:rsidR="00905AC2" w:rsidRPr="00D528BB" w:rsidRDefault="00905AC2" w:rsidP="00905AC2">
            <w:pPr>
              <w:widowControl w:val="0"/>
              <w:spacing w:after="0" w:line="240" w:lineRule="auto"/>
              <w:ind w:left="103"/>
              <w:jc w:val="left"/>
              <w:rPr>
                <w:rFonts w:ascii="Calibri" w:hAnsi="Calibri" w:cs="Calibri"/>
                <w:lang w:val="en-US"/>
              </w:rPr>
            </w:pPr>
            <w:r w:rsidRPr="00D528BB">
              <w:rPr>
                <w:rFonts w:ascii="Calibri" w:eastAsiaTheme="minorHAnsi" w:hAnsi="Calibri" w:cstheme="minorBidi"/>
                <w:lang w:val="en-US"/>
              </w:rPr>
              <w:t>İstanbul</w:t>
            </w:r>
            <w:r w:rsidRPr="00D528BB">
              <w:rPr>
                <w:rFonts w:ascii="Calibri" w:eastAsiaTheme="minorHAnsi" w:hAnsi="Calibri" w:cstheme="minorBidi"/>
                <w:spacing w:val="-2"/>
                <w:lang w:val="en-US"/>
              </w:rPr>
              <w:t xml:space="preserve"> </w:t>
            </w:r>
            <w:r w:rsidRPr="00D528BB">
              <w:rPr>
                <w:rFonts w:ascii="Calibri" w:eastAsiaTheme="minorHAnsi" w:hAnsi="Calibri" w:cstheme="minorBidi"/>
                <w:spacing w:val="-1"/>
                <w:lang w:val="en-US"/>
              </w:rPr>
              <w:t>Anadolu Yakası Elektrik</w:t>
            </w:r>
            <w:r w:rsidRPr="00D528BB">
              <w:rPr>
                <w:rFonts w:ascii="Calibri" w:eastAsiaTheme="minorHAnsi" w:hAnsi="Calibri" w:cstheme="minorBidi"/>
                <w:spacing w:val="-2"/>
                <w:lang w:val="en-US"/>
              </w:rPr>
              <w:t xml:space="preserve"> </w:t>
            </w:r>
            <w:r w:rsidRPr="00D528BB">
              <w:rPr>
                <w:rFonts w:ascii="Calibri" w:eastAsiaTheme="minorHAnsi" w:hAnsi="Calibri" w:cstheme="minorBidi"/>
                <w:lang w:val="en-US"/>
              </w:rPr>
              <w:t>Dağıtım A.Ş.</w:t>
            </w:r>
            <w:r w:rsidRPr="00D528BB">
              <w:rPr>
                <w:rFonts w:ascii="Calibri" w:eastAsiaTheme="minorHAnsi" w:hAnsi="Calibri" w:cstheme="minorBidi"/>
                <w:spacing w:val="-1"/>
                <w:lang w:val="en-US"/>
              </w:rPr>
              <w:t xml:space="preserve"> </w:t>
            </w:r>
          </w:p>
        </w:tc>
        <w:tc>
          <w:tcPr>
            <w:tcW w:w="2590" w:type="dxa"/>
            <w:tcBorders>
              <w:top w:val="single" w:sz="4" w:space="0" w:color="D9D9D9"/>
              <w:left w:val="single" w:sz="4" w:space="0" w:color="D9D9D9"/>
              <w:bottom w:val="single" w:sz="4" w:space="0" w:color="D9D9D9"/>
              <w:right w:val="single" w:sz="4" w:space="0" w:color="D9D9D9"/>
            </w:tcBorders>
          </w:tcPr>
          <w:p w14:paraId="62AE6ED2" w14:textId="77777777" w:rsidR="00905AC2" w:rsidRPr="00D528BB" w:rsidRDefault="00905AC2" w:rsidP="00905AC2">
            <w:pPr>
              <w:widowControl w:val="0"/>
              <w:spacing w:after="0" w:line="240" w:lineRule="auto"/>
              <w:ind w:left="786"/>
              <w:jc w:val="left"/>
              <w:rPr>
                <w:rFonts w:ascii="Calibri" w:hAnsi="Calibri" w:cs="Calibri"/>
                <w:lang w:val="en-US"/>
              </w:rPr>
            </w:pPr>
            <w:r w:rsidRPr="00D528BB">
              <w:rPr>
                <w:rFonts w:ascii="Calibri" w:eastAsiaTheme="minorHAnsi" w:cstheme="minorBidi"/>
                <w:lang w:val="en-US"/>
              </w:rPr>
              <w:t>14.11.2024</w:t>
            </w:r>
          </w:p>
        </w:tc>
        <w:tc>
          <w:tcPr>
            <w:tcW w:w="1662" w:type="dxa"/>
            <w:tcBorders>
              <w:top w:val="single" w:sz="4" w:space="0" w:color="D9D9D9"/>
              <w:left w:val="single" w:sz="4" w:space="0" w:color="D9D9D9"/>
              <w:bottom w:val="single" w:sz="4" w:space="0" w:color="D9D9D9"/>
              <w:right w:val="single" w:sz="4" w:space="0" w:color="D9D9D9"/>
            </w:tcBorders>
          </w:tcPr>
          <w:p w14:paraId="58DE631A" w14:textId="77777777" w:rsidR="00905AC2" w:rsidRPr="00D528BB" w:rsidRDefault="00905AC2" w:rsidP="00905AC2">
            <w:pPr>
              <w:widowControl w:val="0"/>
              <w:spacing w:after="0" w:line="240" w:lineRule="auto"/>
              <w:jc w:val="center"/>
              <w:rPr>
                <w:rFonts w:ascii="Calibri" w:hAnsi="Calibri" w:cs="Calibri"/>
                <w:lang w:val="en-US"/>
              </w:rPr>
            </w:pPr>
            <w:r w:rsidRPr="00D528BB">
              <w:rPr>
                <w:rFonts w:ascii="Calibri" w:eastAsiaTheme="minorHAnsi" w:cstheme="minorBidi"/>
                <w:lang w:val="en-US"/>
              </w:rPr>
              <w:t>13007</w:t>
            </w:r>
          </w:p>
        </w:tc>
      </w:tr>
      <w:tr w:rsidR="00905AC2" w:rsidRPr="00D528BB" w14:paraId="17590DE0" w14:textId="77777777" w:rsidTr="00905AC2">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403F746C" w14:textId="77777777" w:rsidR="00905AC2" w:rsidRPr="00D528BB" w:rsidRDefault="00905AC2" w:rsidP="00905AC2">
            <w:pPr>
              <w:widowControl w:val="0"/>
              <w:spacing w:after="0" w:line="240" w:lineRule="auto"/>
              <w:ind w:left="103"/>
              <w:jc w:val="left"/>
              <w:rPr>
                <w:rFonts w:ascii="Calibri" w:hAnsi="Calibri" w:cs="Calibri"/>
                <w:lang w:val="en-US"/>
              </w:rPr>
            </w:pPr>
            <w:r w:rsidRPr="00D528BB">
              <w:rPr>
                <w:rFonts w:ascii="Calibri" w:eastAsiaTheme="minorHAnsi" w:hAnsi="Calibri" w:cstheme="minorBidi"/>
                <w:spacing w:val="-1"/>
                <w:lang w:val="en-US"/>
              </w:rPr>
              <w:t>Kayseri</w:t>
            </w:r>
            <w:r w:rsidRPr="00D528BB">
              <w:rPr>
                <w:rFonts w:ascii="Calibri" w:eastAsiaTheme="minorHAnsi" w:hAnsi="Calibri" w:cstheme="minorBidi"/>
                <w:spacing w:val="-4"/>
                <w:lang w:val="en-US"/>
              </w:rPr>
              <w:t xml:space="preserve"> </w:t>
            </w:r>
            <w:r w:rsidRPr="00D528BB">
              <w:rPr>
                <w:rFonts w:ascii="Calibri" w:eastAsiaTheme="minorHAnsi" w:hAnsi="Calibri" w:cstheme="minorBidi"/>
                <w:lang w:val="en-US"/>
              </w:rPr>
              <w:t>ve</w:t>
            </w:r>
            <w:r w:rsidRPr="00D528BB">
              <w:rPr>
                <w:rFonts w:ascii="Calibri" w:eastAsiaTheme="minorHAnsi" w:hAnsi="Calibri" w:cstheme="minorBidi"/>
                <w:spacing w:val="-4"/>
                <w:lang w:val="en-US"/>
              </w:rPr>
              <w:t xml:space="preserve"> </w:t>
            </w:r>
            <w:r w:rsidRPr="00D528BB">
              <w:rPr>
                <w:rFonts w:ascii="Calibri" w:eastAsiaTheme="minorHAnsi" w:hAnsi="Calibri" w:cstheme="minorBidi"/>
                <w:spacing w:val="-1"/>
                <w:lang w:val="en-US"/>
              </w:rPr>
              <w:t>Civarı</w:t>
            </w:r>
            <w:r w:rsidRPr="00D528BB">
              <w:rPr>
                <w:rFonts w:ascii="Calibri" w:eastAsiaTheme="minorHAnsi" w:hAnsi="Calibri" w:cstheme="minorBidi"/>
                <w:spacing w:val="-3"/>
                <w:lang w:val="en-US"/>
              </w:rPr>
              <w:t xml:space="preserve"> </w:t>
            </w:r>
            <w:r w:rsidRPr="00D528BB">
              <w:rPr>
                <w:rFonts w:ascii="Calibri" w:eastAsiaTheme="minorHAnsi" w:hAnsi="Calibri" w:cstheme="minorBidi"/>
                <w:spacing w:val="-1"/>
                <w:lang w:val="en-US"/>
              </w:rPr>
              <w:t>Elektrik</w:t>
            </w:r>
            <w:r w:rsidRPr="00D528BB">
              <w:rPr>
                <w:rFonts w:ascii="Calibri" w:eastAsiaTheme="minorHAnsi" w:hAnsi="Calibri" w:cstheme="minorBidi"/>
                <w:spacing w:val="-4"/>
                <w:lang w:val="en-US"/>
              </w:rPr>
              <w:t xml:space="preserve"> </w:t>
            </w:r>
            <w:r w:rsidRPr="00D528BB">
              <w:rPr>
                <w:rFonts w:ascii="Calibri" w:eastAsiaTheme="minorHAnsi" w:hAnsi="Calibri" w:cstheme="minorBidi"/>
                <w:spacing w:val="-1"/>
                <w:lang w:val="en-US"/>
              </w:rPr>
              <w:t>Türk</w:t>
            </w:r>
            <w:r w:rsidRPr="00D528BB">
              <w:rPr>
                <w:rFonts w:ascii="Calibri" w:eastAsiaTheme="minorHAnsi" w:hAnsi="Calibri" w:cstheme="minorBidi"/>
                <w:spacing w:val="-3"/>
                <w:lang w:val="en-US"/>
              </w:rPr>
              <w:t xml:space="preserve"> </w:t>
            </w:r>
            <w:r w:rsidRPr="00D528BB">
              <w:rPr>
                <w:rFonts w:ascii="Calibri" w:eastAsiaTheme="minorHAnsi" w:hAnsi="Calibri" w:cstheme="minorBidi"/>
                <w:spacing w:val="-1"/>
                <w:lang w:val="en-US"/>
              </w:rPr>
              <w:t>A.Ş.</w:t>
            </w:r>
          </w:p>
        </w:tc>
        <w:tc>
          <w:tcPr>
            <w:tcW w:w="2590" w:type="dxa"/>
            <w:tcBorders>
              <w:top w:val="single" w:sz="4" w:space="0" w:color="D9D9D9"/>
              <w:left w:val="single" w:sz="4" w:space="0" w:color="D9D9D9"/>
              <w:bottom w:val="single" w:sz="4" w:space="0" w:color="D9D9D9"/>
              <w:right w:val="single" w:sz="4" w:space="0" w:color="D9D9D9"/>
            </w:tcBorders>
          </w:tcPr>
          <w:p w14:paraId="5D62353D" w14:textId="77777777" w:rsidR="00905AC2" w:rsidRPr="00D528BB" w:rsidRDefault="00905AC2" w:rsidP="00905AC2">
            <w:pPr>
              <w:widowControl w:val="0"/>
              <w:spacing w:before="19" w:after="0" w:line="240" w:lineRule="auto"/>
              <w:ind w:left="786"/>
              <w:jc w:val="left"/>
              <w:rPr>
                <w:rFonts w:ascii="Calibri" w:hAnsi="Calibri" w:cs="Calibri"/>
                <w:lang w:val="en-US"/>
              </w:rPr>
            </w:pPr>
            <w:r w:rsidRPr="00D528BB">
              <w:rPr>
                <w:rFonts w:ascii="Calibri" w:eastAsiaTheme="minorHAnsi" w:cstheme="minorBidi"/>
                <w:lang w:val="en-US"/>
              </w:rPr>
              <w:t>10.12.2020</w:t>
            </w:r>
          </w:p>
        </w:tc>
        <w:tc>
          <w:tcPr>
            <w:tcW w:w="1662" w:type="dxa"/>
            <w:tcBorders>
              <w:top w:val="single" w:sz="4" w:space="0" w:color="D9D9D9"/>
              <w:left w:val="single" w:sz="4" w:space="0" w:color="D9D9D9"/>
              <w:bottom w:val="single" w:sz="4" w:space="0" w:color="D9D9D9"/>
              <w:right w:val="single" w:sz="4" w:space="0" w:color="D9D9D9"/>
            </w:tcBorders>
          </w:tcPr>
          <w:p w14:paraId="1BA1557B" w14:textId="77777777" w:rsidR="00905AC2" w:rsidRPr="00D528BB" w:rsidRDefault="00905AC2" w:rsidP="00905AC2">
            <w:pPr>
              <w:widowControl w:val="0"/>
              <w:spacing w:before="19" w:after="0" w:line="240" w:lineRule="auto"/>
              <w:jc w:val="center"/>
              <w:rPr>
                <w:rFonts w:ascii="Calibri" w:hAnsi="Calibri" w:cs="Calibri"/>
                <w:lang w:val="en-US"/>
              </w:rPr>
            </w:pPr>
            <w:r w:rsidRPr="00D528BB">
              <w:rPr>
                <w:rFonts w:ascii="Calibri" w:eastAsiaTheme="minorHAnsi" w:cstheme="minorBidi"/>
                <w:lang w:val="en-US"/>
              </w:rPr>
              <w:t>9785</w:t>
            </w:r>
          </w:p>
        </w:tc>
      </w:tr>
      <w:tr w:rsidR="00905AC2" w:rsidRPr="00D528BB" w14:paraId="05BDAFF1" w14:textId="77777777" w:rsidTr="00905AC2">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4E761B12" w14:textId="77777777" w:rsidR="00905AC2" w:rsidRPr="00D528BB" w:rsidRDefault="00905AC2" w:rsidP="00905AC2">
            <w:pPr>
              <w:widowControl w:val="0"/>
              <w:spacing w:after="0" w:line="240" w:lineRule="auto"/>
              <w:ind w:left="103"/>
              <w:jc w:val="left"/>
              <w:rPr>
                <w:rFonts w:ascii="Calibri" w:hAnsi="Calibri" w:cs="Calibri"/>
                <w:lang w:val="en-US"/>
              </w:rPr>
            </w:pPr>
            <w:r w:rsidRPr="00D528BB">
              <w:rPr>
                <w:rFonts w:ascii="Calibri" w:eastAsiaTheme="minorHAnsi" w:hAnsi="Calibri" w:cstheme="minorBidi"/>
                <w:lang w:val="en-US"/>
              </w:rPr>
              <w:t>Meram</w:t>
            </w:r>
            <w:r w:rsidRPr="00D528BB">
              <w:rPr>
                <w:rFonts w:ascii="Calibri" w:eastAsiaTheme="minorHAnsi" w:hAnsi="Calibri" w:cstheme="minorBidi"/>
                <w:spacing w:val="-2"/>
                <w:lang w:val="en-US"/>
              </w:rPr>
              <w:t xml:space="preserve"> </w:t>
            </w:r>
            <w:r w:rsidRPr="00D528BB">
              <w:rPr>
                <w:rFonts w:ascii="Calibri" w:eastAsiaTheme="minorHAnsi" w:hAnsi="Calibri" w:cstheme="minorBidi"/>
                <w:spacing w:val="-1"/>
                <w:lang w:val="en-US"/>
              </w:rPr>
              <w:t>Elektrik</w:t>
            </w:r>
            <w:r w:rsidRPr="00D528BB">
              <w:rPr>
                <w:rFonts w:ascii="Calibri" w:eastAsiaTheme="minorHAnsi" w:hAnsi="Calibri" w:cstheme="minorBidi"/>
                <w:spacing w:val="-2"/>
                <w:lang w:val="en-US"/>
              </w:rPr>
              <w:t xml:space="preserve"> </w:t>
            </w:r>
            <w:r w:rsidRPr="00D528BB">
              <w:rPr>
                <w:rFonts w:ascii="Calibri" w:eastAsiaTheme="minorHAnsi" w:hAnsi="Calibri" w:cstheme="minorBidi"/>
                <w:lang w:val="en-US"/>
              </w:rPr>
              <w:t>Dağıtım</w:t>
            </w:r>
            <w:r w:rsidRPr="00D528BB">
              <w:rPr>
                <w:rFonts w:ascii="Calibri" w:eastAsiaTheme="minorHAnsi" w:hAnsi="Calibri" w:cstheme="minorBidi"/>
                <w:spacing w:val="-2"/>
                <w:lang w:val="en-US"/>
              </w:rPr>
              <w:t xml:space="preserve"> </w:t>
            </w:r>
            <w:r w:rsidRPr="00D528BB">
              <w:rPr>
                <w:rFonts w:ascii="Calibri" w:eastAsiaTheme="minorHAnsi" w:hAnsi="Calibri" w:cstheme="minorBidi"/>
                <w:lang w:val="en-US"/>
              </w:rPr>
              <w:t>A.Ş.</w:t>
            </w:r>
          </w:p>
        </w:tc>
        <w:tc>
          <w:tcPr>
            <w:tcW w:w="2590" w:type="dxa"/>
            <w:tcBorders>
              <w:top w:val="single" w:sz="4" w:space="0" w:color="D9D9D9"/>
              <w:left w:val="single" w:sz="4" w:space="0" w:color="D9D9D9"/>
              <w:bottom w:val="single" w:sz="4" w:space="0" w:color="D9D9D9"/>
              <w:right w:val="single" w:sz="4" w:space="0" w:color="D9D9D9"/>
            </w:tcBorders>
          </w:tcPr>
          <w:p w14:paraId="23F9736F" w14:textId="77777777" w:rsidR="00905AC2" w:rsidRPr="00D528BB" w:rsidRDefault="00905AC2" w:rsidP="00905AC2">
            <w:pPr>
              <w:widowControl w:val="0"/>
              <w:spacing w:after="0" w:line="240" w:lineRule="auto"/>
              <w:ind w:left="786"/>
              <w:jc w:val="left"/>
              <w:rPr>
                <w:rFonts w:ascii="Calibri" w:hAnsi="Calibri" w:cs="Calibri"/>
                <w:lang w:val="en-US"/>
              </w:rPr>
            </w:pPr>
            <w:r w:rsidRPr="00D528BB">
              <w:rPr>
                <w:rFonts w:ascii="Calibri" w:eastAsiaTheme="minorHAnsi" w:cstheme="minorBidi"/>
                <w:lang w:val="en-US"/>
              </w:rPr>
              <w:t>03.10.2024</w:t>
            </w:r>
          </w:p>
        </w:tc>
        <w:tc>
          <w:tcPr>
            <w:tcW w:w="1662" w:type="dxa"/>
            <w:tcBorders>
              <w:top w:val="single" w:sz="4" w:space="0" w:color="D9D9D9"/>
              <w:left w:val="single" w:sz="4" w:space="0" w:color="D9D9D9"/>
              <w:bottom w:val="single" w:sz="4" w:space="0" w:color="D9D9D9"/>
              <w:right w:val="single" w:sz="4" w:space="0" w:color="D9D9D9"/>
            </w:tcBorders>
          </w:tcPr>
          <w:p w14:paraId="33CE2066" w14:textId="77777777" w:rsidR="00905AC2" w:rsidRPr="00D528BB" w:rsidRDefault="00905AC2" w:rsidP="00905AC2">
            <w:pPr>
              <w:widowControl w:val="0"/>
              <w:spacing w:after="0" w:line="240" w:lineRule="auto"/>
              <w:jc w:val="center"/>
              <w:rPr>
                <w:rFonts w:ascii="Calibri" w:hAnsi="Calibri" w:cs="Calibri"/>
                <w:lang w:val="en-US"/>
              </w:rPr>
            </w:pPr>
            <w:r w:rsidRPr="00D528BB">
              <w:rPr>
                <w:rFonts w:ascii="Calibri" w:eastAsiaTheme="minorHAnsi" w:cstheme="minorBidi"/>
                <w:lang w:val="en-US"/>
              </w:rPr>
              <w:t>12913</w:t>
            </w:r>
          </w:p>
        </w:tc>
      </w:tr>
      <w:tr w:rsidR="00905AC2" w:rsidRPr="00D528BB" w14:paraId="63D5B64C" w14:textId="77777777" w:rsidTr="00905AC2">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59135D95" w14:textId="77777777" w:rsidR="00905AC2" w:rsidRPr="00D528BB" w:rsidRDefault="00905AC2" w:rsidP="00905AC2">
            <w:pPr>
              <w:widowControl w:val="0"/>
              <w:spacing w:after="0" w:line="240" w:lineRule="auto"/>
              <w:ind w:left="103"/>
              <w:jc w:val="left"/>
              <w:rPr>
                <w:rFonts w:ascii="Calibri" w:hAnsi="Calibri" w:cs="Calibri"/>
                <w:lang w:val="en-US"/>
              </w:rPr>
            </w:pPr>
            <w:r w:rsidRPr="00D528BB">
              <w:rPr>
                <w:rFonts w:ascii="Calibri" w:eastAsiaTheme="minorHAnsi" w:hAnsi="Calibri" w:cstheme="minorBidi"/>
                <w:lang w:val="en-US"/>
              </w:rPr>
              <w:t>Osmangazi</w:t>
            </w:r>
            <w:r w:rsidRPr="00D528BB">
              <w:rPr>
                <w:rFonts w:ascii="Calibri" w:eastAsiaTheme="minorHAnsi" w:hAnsi="Calibri" w:cstheme="minorBidi"/>
                <w:spacing w:val="-2"/>
                <w:lang w:val="en-US"/>
              </w:rPr>
              <w:t xml:space="preserve"> </w:t>
            </w:r>
            <w:r w:rsidRPr="00D528BB">
              <w:rPr>
                <w:rFonts w:ascii="Calibri" w:eastAsiaTheme="minorHAnsi" w:hAnsi="Calibri" w:cstheme="minorBidi"/>
                <w:spacing w:val="-1"/>
                <w:lang w:val="en-US"/>
              </w:rPr>
              <w:t>Elektrik</w:t>
            </w:r>
            <w:r w:rsidRPr="00D528BB">
              <w:rPr>
                <w:rFonts w:ascii="Calibri" w:eastAsiaTheme="minorHAnsi" w:hAnsi="Calibri" w:cstheme="minorBidi"/>
                <w:spacing w:val="-3"/>
                <w:lang w:val="en-US"/>
              </w:rPr>
              <w:t xml:space="preserve"> </w:t>
            </w:r>
            <w:r w:rsidRPr="00D528BB">
              <w:rPr>
                <w:rFonts w:ascii="Calibri" w:eastAsiaTheme="minorHAnsi" w:hAnsi="Calibri" w:cstheme="minorBidi"/>
                <w:spacing w:val="-1"/>
                <w:lang w:val="en-US"/>
              </w:rPr>
              <w:t>Dağıtım</w:t>
            </w:r>
            <w:r w:rsidRPr="00D528BB">
              <w:rPr>
                <w:rFonts w:ascii="Calibri" w:eastAsiaTheme="minorHAnsi" w:hAnsi="Calibri" w:cstheme="minorBidi"/>
                <w:spacing w:val="-2"/>
                <w:lang w:val="en-US"/>
              </w:rPr>
              <w:t xml:space="preserve"> </w:t>
            </w:r>
            <w:r w:rsidRPr="00D528BB">
              <w:rPr>
                <w:rFonts w:ascii="Calibri" w:eastAsiaTheme="minorHAnsi" w:hAnsi="Calibri" w:cstheme="minorBidi"/>
                <w:lang w:val="en-US"/>
              </w:rPr>
              <w:t>A.Ş.</w:t>
            </w:r>
          </w:p>
        </w:tc>
        <w:tc>
          <w:tcPr>
            <w:tcW w:w="2590" w:type="dxa"/>
            <w:tcBorders>
              <w:top w:val="single" w:sz="4" w:space="0" w:color="D9D9D9"/>
              <w:left w:val="single" w:sz="4" w:space="0" w:color="D9D9D9"/>
              <w:bottom w:val="single" w:sz="4" w:space="0" w:color="D9D9D9"/>
              <w:right w:val="single" w:sz="4" w:space="0" w:color="D9D9D9"/>
            </w:tcBorders>
          </w:tcPr>
          <w:p w14:paraId="56F9FD56" w14:textId="77777777" w:rsidR="00905AC2" w:rsidRPr="00D528BB" w:rsidRDefault="00905AC2" w:rsidP="00905AC2">
            <w:pPr>
              <w:widowControl w:val="0"/>
              <w:spacing w:after="0" w:line="240" w:lineRule="auto"/>
              <w:ind w:left="786"/>
              <w:jc w:val="left"/>
              <w:rPr>
                <w:rFonts w:ascii="Calibri" w:hAnsi="Calibri" w:cs="Calibri"/>
                <w:lang w:val="en-US"/>
              </w:rPr>
            </w:pPr>
            <w:r w:rsidRPr="00D528BB">
              <w:rPr>
                <w:rFonts w:ascii="Calibri" w:eastAsiaTheme="minorHAnsi" w:cstheme="minorBidi"/>
                <w:lang w:val="en-US"/>
              </w:rPr>
              <w:t>26.12.2024</w:t>
            </w:r>
          </w:p>
        </w:tc>
        <w:tc>
          <w:tcPr>
            <w:tcW w:w="1662" w:type="dxa"/>
            <w:tcBorders>
              <w:top w:val="single" w:sz="4" w:space="0" w:color="D9D9D9"/>
              <w:left w:val="single" w:sz="4" w:space="0" w:color="D9D9D9"/>
              <w:bottom w:val="single" w:sz="4" w:space="0" w:color="D9D9D9"/>
              <w:right w:val="single" w:sz="4" w:space="0" w:color="D9D9D9"/>
            </w:tcBorders>
          </w:tcPr>
          <w:p w14:paraId="4F78AEC6" w14:textId="77777777" w:rsidR="00905AC2" w:rsidRPr="00D528BB" w:rsidRDefault="00905AC2" w:rsidP="00905AC2">
            <w:pPr>
              <w:widowControl w:val="0"/>
              <w:spacing w:after="0" w:line="240" w:lineRule="auto"/>
              <w:jc w:val="center"/>
              <w:rPr>
                <w:rFonts w:ascii="Calibri" w:hAnsi="Calibri" w:cs="Calibri"/>
                <w:lang w:val="en-US"/>
              </w:rPr>
            </w:pPr>
            <w:r w:rsidRPr="00D528BB">
              <w:rPr>
                <w:rFonts w:ascii="Calibri" w:eastAsiaTheme="minorHAnsi" w:cstheme="minorBidi"/>
                <w:lang w:val="en-US"/>
              </w:rPr>
              <w:t>13144</w:t>
            </w:r>
          </w:p>
        </w:tc>
      </w:tr>
      <w:tr w:rsidR="00905AC2" w:rsidRPr="00D528BB" w14:paraId="0FA17399" w14:textId="77777777" w:rsidTr="00905AC2">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18BF6FAF" w14:textId="77777777" w:rsidR="00905AC2" w:rsidRPr="00D528BB" w:rsidRDefault="00905AC2" w:rsidP="00905AC2">
            <w:pPr>
              <w:widowControl w:val="0"/>
              <w:spacing w:after="0" w:line="240" w:lineRule="auto"/>
              <w:ind w:left="103"/>
              <w:jc w:val="left"/>
              <w:rPr>
                <w:rFonts w:ascii="Calibri" w:hAnsi="Calibri" w:cs="Calibri"/>
                <w:lang w:val="en-US"/>
              </w:rPr>
            </w:pPr>
            <w:r w:rsidRPr="00D528BB">
              <w:rPr>
                <w:rFonts w:ascii="Calibri" w:eastAsiaTheme="minorHAnsi" w:hAnsi="Calibri" w:cstheme="minorBidi"/>
                <w:spacing w:val="-1"/>
                <w:lang w:val="en-US"/>
              </w:rPr>
              <w:t>Sakarya</w:t>
            </w:r>
            <w:r w:rsidRPr="00D528BB">
              <w:rPr>
                <w:rFonts w:ascii="Calibri" w:eastAsiaTheme="minorHAnsi" w:hAnsi="Calibri" w:cstheme="minorBidi"/>
                <w:spacing w:val="-3"/>
                <w:lang w:val="en-US"/>
              </w:rPr>
              <w:t xml:space="preserve"> </w:t>
            </w:r>
            <w:r w:rsidRPr="00D528BB">
              <w:rPr>
                <w:rFonts w:ascii="Calibri" w:eastAsiaTheme="minorHAnsi" w:hAnsi="Calibri" w:cstheme="minorBidi"/>
                <w:spacing w:val="-1"/>
                <w:lang w:val="en-US"/>
              </w:rPr>
              <w:t>Elektrik</w:t>
            </w:r>
            <w:r w:rsidRPr="00D528BB">
              <w:rPr>
                <w:rFonts w:ascii="Calibri" w:eastAsiaTheme="minorHAnsi" w:hAnsi="Calibri" w:cstheme="minorBidi"/>
                <w:spacing w:val="-3"/>
                <w:lang w:val="en-US"/>
              </w:rPr>
              <w:t xml:space="preserve"> </w:t>
            </w:r>
            <w:r w:rsidRPr="00D528BB">
              <w:rPr>
                <w:rFonts w:ascii="Calibri" w:eastAsiaTheme="minorHAnsi" w:hAnsi="Calibri" w:cstheme="minorBidi"/>
                <w:lang w:val="en-US"/>
              </w:rPr>
              <w:t>Dağıtım</w:t>
            </w:r>
            <w:r w:rsidRPr="00D528BB">
              <w:rPr>
                <w:rFonts w:ascii="Calibri" w:eastAsiaTheme="minorHAnsi" w:hAnsi="Calibri" w:cstheme="minorBidi"/>
                <w:spacing w:val="-2"/>
                <w:lang w:val="en-US"/>
              </w:rPr>
              <w:t xml:space="preserve"> </w:t>
            </w:r>
            <w:r w:rsidRPr="00D528BB">
              <w:rPr>
                <w:rFonts w:ascii="Calibri" w:eastAsiaTheme="minorHAnsi" w:hAnsi="Calibri" w:cstheme="minorBidi"/>
                <w:spacing w:val="-1"/>
                <w:lang w:val="en-US"/>
              </w:rPr>
              <w:t>A.Ş.</w:t>
            </w:r>
          </w:p>
        </w:tc>
        <w:tc>
          <w:tcPr>
            <w:tcW w:w="2590" w:type="dxa"/>
            <w:tcBorders>
              <w:top w:val="single" w:sz="4" w:space="0" w:color="D9D9D9"/>
              <w:left w:val="single" w:sz="4" w:space="0" w:color="D9D9D9"/>
              <w:bottom w:val="single" w:sz="4" w:space="0" w:color="D9D9D9"/>
              <w:right w:val="single" w:sz="4" w:space="0" w:color="D9D9D9"/>
            </w:tcBorders>
          </w:tcPr>
          <w:p w14:paraId="032C3989" w14:textId="77777777" w:rsidR="00905AC2" w:rsidRPr="00D528BB" w:rsidRDefault="00905AC2" w:rsidP="00905AC2">
            <w:pPr>
              <w:widowControl w:val="0"/>
              <w:spacing w:after="0" w:line="240" w:lineRule="auto"/>
              <w:ind w:left="786"/>
              <w:jc w:val="left"/>
              <w:rPr>
                <w:rFonts w:ascii="Calibri" w:hAnsi="Calibri" w:cs="Calibri"/>
                <w:lang w:val="en-US"/>
              </w:rPr>
            </w:pPr>
            <w:r w:rsidRPr="00D528BB">
              <w:rPr>
                <w:rFonts w:ascii="Calibri" w:eastAsiaTheme="minorHAnsi" w:cstheme="minorBidi"/>
                <w:lang w:val="en-US"/>
              </w:rPr>
              <w:t>21.11.2024</w:t>
            </w:r>
          </w:p>
        </w:tc>
        <w:tc>
          <w:tcPr>
            <w:tcW w:w="1662" w:type="dxa"/>
            <w:tcBorders>
              <w:top w:val="single" w:sz="4" w:space="0" w:color="D9D9D9"/>
              <w:left w:val="single" w:sz="4" w:space="0" w:color="D9D9D9"/>
              <w:bottom w:val="single" w:sz="4" w:space="0" w:color="D9D9D9"/>
              <w:right w:val="single" w:sz="4" w:space="0" w:color="D9D9D9"/>
            </w:tcBorders>
          </w:tcPr>
          <w:p w14:paraId="52A7EFA5" w14:textId="77777777" w:rsidR="00905AC2" w:rsidRPr="00D528BB" w:rsidRDefault="00905AC2" w:rsidP="00905AC2">
            <w:pPr>
              <w:widowControl w:val="0"/>
              <w:spacing w:after="0" w:line="240" w:lineRule="auto"/>
              <w:jc w:val="center"/>
              <w:rPr>
                <w:rFonts w:ascii="Calibri" w:hAnsi="Calibri" w:cs="Calibri"/>
                <w:lang w:val="en-US"/>
              </w:rPr>
            </w:pPr>
            <w:r w:rsidRPr="00D528BB">
              <w:rPr>
                <w:rFonts w:ascii="Calibri" w:eastAsiaTheme="minorHAnsi" w:cstheme="minorBidi"/>
                <w:lang w:val="en-US"/>
              </w:rPr>
              <w:t>13032</w:t>
            </w:r>
          </w:p>
        </w:tc>
      </w:tr>
      <w:tr w:rsidR="00905AC2" w:rsidRPr="00D528BB" w14:paraId="3267BA54" w14:textId="77777777" w:rsidTr="00905AC2">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3FDC7937" w14:textId="12B86A95" w:rsidR="00905AC2" w:rsidRPr="00D528BB" w:rsidRDefault="005A0361" w:rsidP="00905AC2">
            <w:pPr>
              <w:widowControl w:val="0"/>
              <w:spacing w:after="0" w:line="240" w:lineRule="auto"/>
              <w:ind w:left="103"/>
              <w:jc w:val="left"/>
              <w:rPr>
                <w:rFonts w:ascii="Calibri" w:hAnsi="Calibri" w:cs="Calibri"/>
                <w:lang w:val="en-US"/>
              </w:rPr>
            </w:pPr>
            <w:r w:rsidRPr="002048A7">
              <w:rPr>
                <w:rFonts w:ascii="Calibri" w:eastAsiaTheme="minorHAnsi" w:hAnsi="Calibri" w:cstheme="minorBidi"/>
                <w:spacing w:val="-1"/>
                <w:lang w:val="en-US"/>
              </w:rPr>
              <w:t>Toroslar</w:t>
            </w:r>
            <w:r w:rsidRPr="002048A7">
              <w:rPr>
                <w:rFonts w:ascii="Calibri" w:eastAsiaTheme="minorHAnsi" w:hAnsi="Calibri" w:cstheme="minorBidi"/>
                <w:spacing w:val="-4"/>
                <w:lang w:val="en-US"/>
              </w:rPr>
              <w:t xml:space="preserve"> </w:t>
            </w:r>
            <w:r w:rsidRPr="002048A7">
              <w:rPr>
                <w:rFonts w:ascii="Calibri" w:eastAsiaTheme="minorHAnsi" w:hAnsi="Calibri" w:cstheme="minorBidi"/>
                <w:spacing w:val="-1"/>
                <w:lang w:val="en-US"/>
              </w:rPr>
              <w:t>Elektrik</w:t>
            </w:r>
            <w:r w:rsidRPr="002048A7">
              <w:rPr>
                <w:rFonts w:ascii="Calibri" w:eastAsiaTheme="minorHAnsi" w:hAnsi="Calibri" w:cstheme="minorBidi"/>
                <w:spacing w:val="-4"/>
                <w:lang w:val="en-US"/>
              </w:rPr>
              <w:t xml:space="preserve"> </w:t>
            </w:r>
            <w:r w:rsidRPr="002048A7">
              <w:rPr>
                <w:rFonts w:ascii="Calibri" w:eastAsiaTheme="minorHAnsi" w:hAnsi="Calibri" w:cstheme="minorBidi"/>
                <w:spacing w:val="-1"/>
                <w:lang w:val="en-US"/>
              </w:rPr>
              <w:t>Dağıtım</w:t>
            </w:r>
            <w:r w:rsidRPr="002048A7">
              <w:rPr>
                <w:rFonts w:ascii="Calibri" w:eastAsiaTheme="minorHAnsi" w:hAnsi="Calibri" w:cstheme="minorBidi"/>
                <w:spacing w:val="-2"/>
                <w:lang w:val="en-US"/>
              </w:rPr>
              <w:t xml:space="preserve"> </w:t>
            </w:r>
            <w:r w:rsidRPr="002048A7">
              <w:rPr>
                <w:rFonts w:ascii="Calibri" w:eastAsiaTheme="minorHAnsi" w:hAnsi="Calibri" w:cstheme="minorBidi"/>
                <w:lang w:val="en-US"/>
              </w:rPr>
              <w:t>A.Ş.</w:t>
            </w:r>
          </w:p>
        </w:tc>
        <w:tc>
          <w:tcPr>
            <w:tcW w:w="2590" w:type="dxa"/>
            <w:tcBorders>
              <w:top w:val="single" w:sz="4" w:space="0" w:color="D9D9D9"/>
              <w:left w:val="single" w:sz="4" w:space="0" w:color="D9D9D9"/>
              <w:bottom w:val="single" w:sz="4" w:space="0" w:color="D9D9D9"/>
              <w:right w:val="single" w:sz="4" w:space="0" w:color="D9D9D9"/>
            </w:tcBorders>
          </w:tcPr>
          <w:p w14:paraId="08231B82" w14:textId="77777777" w:rsidR="00905AC2" w:rsidRPr="00D528BB" w:rsidRDefault="00905AC2" w:rsidP="00905AC2">
            <w:pPr>
              <w:widowControl w:val="0"/>
              <w:spacing w:after="0" w:line="240" w:lineRule="auto"/>
              <w:ind w:left="786"/>
              <w:jc w:val="left"/>
              <w:rPr>
                <w:rFonts w:ascii="Calibri" w:hAnsi="Calibri" w:cs="Calibri"/>
                <w:lang w:val="en-US"/>
              </w:rPr>
            </w:pPr>
            <w:r w:rsidRPr="00D528BB">
              <w:rPr>
                <w:rFonts w:ascii="Calibri" w:eastAsiaTheme="minorHAnsi" w:cstheme="minorBidi"/>
                <w:lang w:val="en-US"/>
              </w:rPr>
              <w:t>14.11.2024</w:t>
            </w:r>
          </w:p>
        </w:tc>
        <w:tc>
          <w:tcPr>
            <w:tcW w:w="1662" w:type="dxa"/>
            <w:tcBorders>
              <w:top w:val="single" w:sz="4" w:space="0" w:color="D9D9D9"/>
              <w:left w:val="single" w:sz="4" w:space="0" w:color="D9D9D9"/>
              <w:bottom w:val="single" w:sz="4" w:space="0" w:color="D9D9D9"/>
              <w:right w:val="single" w:sz="4" w:space="0" w:color="D9D9D9"/>
            </w:tcBorders>
          </w:tcPr>
          <w:p w14:paraId="45E30C9D" w14:textId="77777777" w:rsidR="00905AC2" w:rsidRPr="00D528BB" w:rsidRDefault="00905AC2" w:rsidP="00905AC2">
            <w:pPr>
              <w:widowControl w:val="0"/>
              <w:spacing w:after="0" w:line="240" w:lineRule="auto"/>
              <w:jc w:val="center"/>
              <w:rPr>
                <w:rFonts w:ascii="Calibri" w:hAnsi="Calibri" w:cs="Calibri"/>
                <w:lang w:val="en-US"/>
              </w:rPr>
            </w:pPr>
            <w:r w:rsidRPr="00D528BB">
              <w:rPr>
                <w:rFonts w:ascii="Calibri" w:eastAsiaTheme="minorHAnsi" w:cstheme="minorBidi"/>
                <w:lang w:val="en-US"/>
              </w:rPr>
              <w:t>13008</w:t>
            </w:r>
          </w:p>
        </w:tc>
      </w:tr>
      <w:tr w:rsidR="00905AC2" w:rsidRPr="00D528BB" w14:paraId="2EA70707" w14:textId="77777777" w:rsidTr="00905AC2">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5063F371" w14:textId="77777777" w:rsidR="00905AC2" w:rsidRPr="00D528BB" w:rsidRDefault="00905AC2" w:rsidP="00905AC2">
            <w:pPr>
              <w:widowControl w:val="0"/>
              <w:spacing w:after="0" w:line="240" w:lineRule="auto"/>
              <w:ind w:left="103"/>
              <w:jc w:val="left"/>
              <w:rPr>
                <w:rFonts w:ascii="Calibri" w:hAnsi="Calibri" w:cs="Calibri"/>
                <w:lang w:val="en-US"/>
              </w:rPr>
            </w:pPr>
            <w:r w:rsidRPr="00D528BB">
              <w:rPr>
                <w:rFonts w:ascii="Calibri" w:eastAsiaTheme="minorHAnsi" w:hAnsi="Calibri" w:cstheme="minorBidi"/>
                <w:lang w:val="en-US"/>
              </w:rPr>
              <w:t>Trakya</w:t>
            </w:r>
            <w:r w:rsidRPr="00D528BB">
              <w:rPr>
                <w:rFonts w:ascii="Calibri" w:eastAsiaTheme="minorHAnsi" w:hAnsi="Calibri" w:cstheme="minorBidi"/>
                <w:spacing w:val="-2"/>
                <w:lang w:val="en-US"/>
              </w:rPr>
              <w:t xml:space="preserve"> </w:t>
            </w:r>
            <w:r w:rsidRPr="00D528BB">
              <w:rPr>
                <w:rFonts w:ascii="Calibri" w:eastAsiaTheme="minorHAnsi" w:hAnsi="Calibri" w:cstheme="minorBidi"/>
                <w:spacing w:val="-1"/>
                <w:lang w:val="en-US"/>
              </w:rPr>
              <w:t>Elektrik</w:t>
            </w:r>
            <w:r w:rsidRPr="00D528BB">
              <w:rPr>
                <w:rFonts w:ascii="Calibri" w:eastAsiaTheme="minorHAnsi" w:hAnsi="Calibri" w:cstheme="minorBidi"/>
                <w:spacing w:val="-3"/>
                <w:lang w:val="en-US"/>
              </w:rPr>
              <w:t xml:space="preserve"> </w:t>
            </w:r>
            <w:r w:rsidRPr="00D528BB">
              <w:rPr>
                <w:rFonts w:ascii="Calibri" w:eastAsiaTheme="minorHAnsi" w:hAnsi="Calibri" w:cstheme="minorBidi"/>
                <w:spacing w:val="-1"/>
                <w:lang w:val="en-US"/>
              </w:rPr>
              <w:t xml:space="preserve">Dağıtım </w:t>
            </w:r>
            <w:r w:rsidRPr="00D528BB">
              <w:rPr>
                <w:rFonts w:ascii="Calibri" w:eastAsiaTheme="minorHAnsi" w:hAnsi="Calibri" w:cstheme="minorBidi"/>
                <w:lang w:val="en-US"/>
              </w:rPr>
              <w:t>A.Ş.</w:t>
            </w:r>
          </w:p>
        </w:tc>
        <w:tc>
          <w:tcPr>
            <w:tcW w:w="2590" w:type="dxa"/>
            <w:tcBorders>
              <w:top w:val="single" w:sz="4" w:space="0" w:color="D9D9D9"/>
              <w:left w:val="single" w:sz="4" w:space="0" w:color="D9D9D9"/>
              <w:bottom w:val="single" w:sz="4" w:space="0" w:color="D9D9D9"/>
              <w:right w:val="single" w:sz="4" w:space="0" w:color="D9D9D9"/>
            </w:tcBorders>
          </w:tcPr>
          <w:p w14:paraId="257F2878" w14:textId="77777777" w:rsidR="00905AC2" w:rsidRPr="00D528BB" w:rsidRDefault="00905AC2" w:rsidP="00905AC2">
            <w:pPr>
              <w:widowControl w:val="0"/>
              <w:spacing w:after="0" w:line="240" w:lineRule="auto"/>
              <w:ind w:left="786"/>
              <w:jc w:val="left"/>
              <w:rPr>
                <w:rFonts w:ascii="Calibri" w:hAnsi="Calibri" w:cs="Calibri"/>
                <w:lang w:val="en-US"/>
              </w:rPr>
            </w:pPr>
            <w:r w:rsidRPr="00D528BB">
              <w:rPr>
                <w:rFonts w:ascii="Calibri" w:eastAsiaTheme="minorHAnsi" w:cstheme="minorBidi"/>
                <w:lang w:val="en-US"/>
              </w:rPr>
              <w:t>26.12.2024</w:t>
            </w:r>
          </w:p>
        </w:tc>
        <w:tc>
          <w:tcPr>
            <w:tcW w:w="1662" w:type="dxa"/>
            <w:tcBorders>
              <w:top w:val="single" w:sz="4" w:space="0" w:color="D9D9D9"/>
              <w:left w:val="single" w:sz="4" w:space="0" w:color="D9D9D9"/>
              <w:bottom w:val="single" w:sz="4" w:space="0" w:color="D9D9D9"/>
              <w:right w:val="single" w:sz="4" w:space="0" w:color="D9D9D9"/>
            </w:tcBorders>
          </w:tcPr>
          <w:p w14:paraId="1A404515" w14:textId="77777777" w:rsidR="00905AC2" w:rsidRPr="00D528BB" w:rsidRDefault="00905AC2" w:rsidP="00905AC2">
            <w:pPr>
              <w:widowControl w:val="0"/>
              <w:spacing w:after="0" w:line="240" w:lineRule="auto"/>
              <w:jc w:val="center"/>
              <w:rPr>
                <w:rFonts w:ascii="Calibri" w:hAnsi="Calibri" w:cs="Calibri"/>
                <w:lang w:val="en-US"/>
              </w:rPr>
            </w:pPr>
            <w:r w:rsidRPr="00D528BB">
              <w:rPr>
                <w:rFonts w:ascii="Calibri" w:eastAsiaTheme="minorHAnsi" w:cstheme="minorBidi"/>
                <w:lang w:val="en-US"/>
              </w:rPr>
              <w:t>13145</w:t>
            </w:r>
          </w:p>
        </w:tc>
      </w:tr>
      <w:tr w:rsidR="00905AC2" w:rsidRPr="00D528BB" w14:paraId="362F082D" w14:textId="77777777" w:rsidTr="00905AC2">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58C56D8F" w14:textId="77777777" w:rsidR="00905AC2" w:rsidRPr="00D528BB" w:rsidRDefault="00905AC2" w:rsidP="00905AC2">
            <w:pPr>
              <w:widowControl w:val="0"/>
              <w:spacing w:after="0" w:line="240" w:lineRule="auto"/>
              <w:ind w:left="103"/>
              <w:jc w:val="left"/>
              <w:rPr>
                <w:rFonts w:ascii="Calibri" w:hAnsi="Calibri" w:cs="Calibri"/>
                <w:lang w:val="en-US"/>
              </w:rPr>
            </w:pPr>
            <w:r w:rsidRPr="00D528BB">
              <w:rPr>
                <w:rFonts w:ascii="Calibri" w:eastAsiaTheme="minorHAnsi" w:hAnsi="Calibri" w:cstheme="minorBidi"/>
                <w:spacing w:val="-1"/>
                <w:lang w:val="en-US"/>
              </w:rPr>
              <w:t>Uludağ</w:t>
            </w:r>
            <w:r w:rsidRPr="00D528BB">
              <w:rPr>
                <w:rFonts w:ascii="Calibri" w:eastAsiaTheme="minorHAnsi" w:hAnsi="Calibri" w:cstheme="minorBidi"/>
                <w:spacing w:val="-2"/>
                <w:lang w:val="en-US"/>
              </w:rPr>
              <w:t xml:space="preserve"> </w:t>
            </w:r>
            <w:r w:rsidRPr="00D528BB">
              <w:rPr>
                <w:rFonts w:ascii="Calibri" w:eastAsiaTheme="minorHAnsi" w:hAnsi="Calibri" w:cstheme="minorBidi"/>
                <w:spacing w:val="-1"/>
                <w:lang w:val="en-US"/>
              </w:rPr>
              <w:t>Elektrik</w:t>
            </w:r>
            <w:r w:rsidRPr="00D528BB">
              <w:rPr>
                <w:rFonts w:ascii="Calibri" w:eastAsiaTheme="minorHAnsi" w:hAnsi="Calibri" w:cstheme="minorBidi"/>
                <w:spacing w:val="-3"/>
                <w:lang w:val="en-US"/>
              </w:rPr>
              <w:t xml:space="preserve"> </w:t>
            </w:r>
            <w:r w:rsidRPr="00D528BB">
              <w:rPr>
                <w:rFonts w:ascii="Calibri" w:eastAsiaTheme="minorHAnsi" w:hAnsi="Calibri" w:cstheme="minorBidi"/>
                <w:lang w:val="en-US"/>
              </w:rPr>
              <w:t>Dağıtım</w:t>
            </w:r>
            <w:r w:rsidRPr="00D528BB">
              <w:rPr>
                <w:rFonts w:ascii="Calibri" w:eastAsiaTheme="minorHAnsi" w:hAnsi="Calibri" w:cstheme="minorBidi"/>
                <w:spacing w:val="-2"/>
                <w:lang w:val="en-US"/>
              </w:rPr>
              <w:t xml:space="preserve"> </w:t>
            </w:r>
            <w:r w:rsidRPr="00D528BB">
              <w:rPr>
                <w:rFonts w:ascii="Calibri" w:eastAsiaTheme="minorHAnsi" w:hAnsi="Calibri" w:cstheme="minorBidi"/>
                <w:lang w:val="en-US"/>
              </w:rPr>
              <w:t>A.Ş.</w:t>
            </w:r>
          </w:p>
        </w:tc>
        <w:tc>
          <w:tcPr>
            <w:tcW w:w="2590" w:type="dxa"/>
            <w:tcBorders>
              <w:top w:val="single" w:sz="4" w:space="0" w:color="D9D9D9"/>
              <w:left w:val="single" w:sz="4" w:space="0" w:color="D9D9D9"/>
              <w:bottom w:val="single" w:sz="4" w:space="0" w:color="D9D9D9"/>
              <w:right w:val="single" w:sz="4" w:space="0" w:color="D9D9D9"/>
            </w:tcBorders>
          </w:tcPr>
          <w:p w14:paraId="2908F4DF" w14:textId="77777777" w:rsidR="00905AC2" w:rsidRPr="00D528BB" w:rsidRDefault="00905AC2" w:rsidP="00905AC2">
            <w:pPr>
              <w:widowControl w:val="0"/>
              <w:spacing w:after="0" w:line="240" w:lineRule="auto"/>
              <w:ind w:left="786"/>
              <w:jc w:val="left"/>
              <w:rPr>
                <w:rFonts w:ascii="Calibri" w:hAnsi="Calibri" w:cs="Calibri"/>
                <w:lang w:val="en-US"/>
              </w:rPr>
            </w:pPr>
            <w:r w:rsidRPr="00D528BB">
              <w:rPr>
                <w:rFonts w:ascii="Calibri" w:eastAsiaTheme="minorHAnsi" w:cstheme="minorBidi"/>
                <w:lang w:val="en-US"/>
              </w:rPr>
              <w:t>10.12.2020</w:t>
            </w:r>
          </w:p>
        </w:tc>
        <w:tc>
          <w:tcPr>
            <w:tcW w:w="1662" w:type="dxa"/>
            <w:tcBorders>
              <w:top w:val="single" w:sz="4" w:space="0" w:color="D9D9D9"/>
              <w:left w:val="single" w:sz="4" w:space="0" w:color="D9D9D9"/>
              <w:bottom w:val="single" w:sz="4" w:space="0" w:color="D9D9D9"/>
              <w:right w:val="single" w:sz="4" w:space="0" w:color="D9D9D9"/>
            </w:tcBorders>
          </w:tcPr>
          <w:p w14:paraId="57A6D465" w14:textId="77777777" w:rsidR="00905AC2" w:rsidRPr="00D528BB" w:rsidRDefault="00905AC2" w:rsidP="00905AC2">
            <w:pPr>
              <w:widowControl w:val="0"/>
              <w:spacing w:after="0" w:line="240" w:lineRule="auto"/>
              <w:jc w:val="center"/>
              <w:rPr>
                <w:rFonts w:ascii="Calibri" w:hAnsi="Calibri" w:cs="Calibri"/>
                <w:lang w:val="en-US"/>
              </w:rPr>
            </w:pPr>
            <w:r w:rsidRPr="00D528BB">
              <w:rPr>
                <w:rFonts w:ascii="Calibri" w:eastAsiaTheme="minorHAnsi" w:cstheme="minorBidi"/>
                <w:lang w:val="en-US"/>
              </w:rPr>
              <w:t>9792</w:t>
            </w:r>
          </w:p>
        </w:tc>
      </w:tr>
      <w:tr w:rsidR="00905AC2" w:rsidRPr="00D528BB" w14:paraId="7F00455D" w14:textId="77777777" w:rsidTr="00905AC2">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455965E3" w14:textId="77777777" w:rsidR="00905AC2" w:rsidRPr="00D528BB" w:rsidRDefault="00905AC2" w:rsidP="00905AC2">
            <w:pPr>
              <w:widowControl w:val="0"/>
              <w:spacing w:after="0" w:line="240" w:lineRule="auto"/>
              <w:ind w:left="103"/>
              <w:jc w:val="left"/>
              <w:rPr>
                <w:rFonts w:ascii="Calibri" w:eastAsiaTheme="minorHAnsi" w:hAnsi="Calibri" w:cstheme="minorBidi"/>
                <w:spacing w:val="-1"/>
                <w:lang w:val="en-US"/>
              </w:rPr>
            </w:pPr>
            <w:r w:rsidRPr="00D528BB">
              <w:rPr>
                <w:rFonts w:ascii="Calibri" w:eastAsiaTheme="minorHAnsi" w:hAnsi="Calibri" w:cstheme="minorBidi"/>
                <w:spacing w:val="-1"/>
                <w:lang w:val="en-US"/>
              </w:rPr>
              <w:lastRenderedPageBreak/>
              <w:t>Vangölü</w:t>
            </w:r>
            <w:r w:rsidRPr="00D528BB">
              <w:rPr>
                <w:rFonts w:ascii="Calibri" w:eastAsiaTheme="minorHAnsi" w:hAnsi="Calibri" w:cstheme="minorBidi"/>
                <w:spacing w:val="-4"/>
                <w:lang w:val="en-US"/>
              </w:rPr>
              <w:t xml:space="preserve"> </w:t>
            </w:r>
            <w:r w:rsidRPr="00D528BB">
              <w:rPr>
                <w:rFonts w:ascii="Calibri" w:eastAsiaTheme="minorHAnsi" w:hAnsi="Calibri" w:cstheme="minorBidi"/>
                <w:spacing w:val="-1"/>
                <w:lang w:val="en-US"/>
              </w:rPr>
              <w:t>Elektrik</w:t>
            </w:r>
            <w:r w:rsidRPr="00D528BB">
              <w:rPr>
                <w:rFonts w:ascii="Calibri" w:eastAsiaTheme="minorHAnsi" w:hAnsi="Calibri" w:cstheme="minorBidi"/>
                <w:spacing w:val="-3"/>
                <w:lang w:val="en-US"/>
              </w:rPr>
              <w:t xml:space="preserve"> </w:t>
            </w:r>
            <w:r w:rsidRPr="00D528BB">
              <w:rPr>
                <w:rFonts w:ascii="Calibri" w:eastAsiaTheme="minorHAnsi" w:hAnsi="Calibri" w:cstheme="minorBidi"/>
                <w:lang w:val="en-US"/>
              </w:rPr>
              <w:t>Dağıtım</w:t>
            </w:r>
            <w:r w:rsidRPr="00D528BB">
              <w:rPr>
                <w:rFonts w:ascii="Calibri" w:eastAsiaTheme="minorHAnsi" w:hAnsi="Calibri" w:cstheme="minorBidi"/>
                <w:spacing w:val="-3"/>
                <w:lang w:val="en-US"/>
              </w:rPr>
              <w:t xml:space="preserve"> </w:t>
            </w:r>
            <w:r w:rsidRPr="00D528BB">
              <w:rPr>
                <w:rFonts w:ascii="Calibri" w:eastAsiaTheme="minorHAnsi" w:hAnsi="Calibri" w:cstheme="minorBidi"/>
                <w:spacing w:val="-1"/>
                <w:lang w:val="en-US"/>
              </w:rPr>
              <w:t>A.Ş.</w:t>
            </w:r>
          </w:p>
        </w:tc>
        <w:tc>
          <w:tcPr>
            <w:tcW w:w="2590" w:type="dxa"/>
            <w:tcBorders>
              <w:top w:val="single" w:sz="4" w:space="0" w:color="D9D9D9"/>
              <w:left w:val="single" w:sz="4" w:space="0" w:color="D9D9D9"/>
              <w:bottom w:val="single" w:sz="4" w:space="0" w:color="D9D9D9"/>
              <w:right w:val="single" w:sz="4" w:space="0" w:color="D9D9D9"/>
            </w:tcBorders>
          </w:tcPr>
          <w:p w14:paraId="11A69082" w14:textId="77777777" w:rsidR="00905AC2" w:rsidRPr="00D528BB" w:rsidRDefault="00905AC2" w:rsidP="00905AC2">
            <w:pPr>
              <w:widowControl w:val="0"/>
              <w:spacing w:after="0" w:line="240" w:lineRule="auto"/>
              <w:ind w:left="786"/>
              <w:jc w:val="left"/>
              <w:rPr>
                <w:rFonts w:ascii="Calibri" w:eastAsiaTheme="minorHAnsi" w:cstheme="minorBidi"/>
                <w:lang w:val="en-US"/>
              </w:rPr>
            </w:pPr>
            <w:r w:rsidRPr="00D528BB">
              <w:rPr>
                <w:rFonts w:ascii="Calibri" w:eastAsiaTheme="minorHAnsi" w:cstheme="minorBidi"/>
                <w:lang w:val="en-US"/>
              </w:rPr>
              <w:t>28.12.2023</w:t>
            </w:r>
          </w:p>
        </w:tc>
        <w:tc>
          <w:tcPr>
            <w:tcW w:w="1662" w:type="dxa"/>
            <w:tcBorders>
              <w:top w:val="single" w:sz="4" w:space="0" w:color="D9D9D9"/>
              <w:left w:val="single" w:sz="4" w:space="0" w:color="D9D9D9"/>
              <w:bottom w:val="single" w:sz="4" w:space="0" w:color="D9D9D9"/>
              <w:right w:val="single" w:sz="4" w:space="0" w:color="D9D9D9"/>
            </w:tcBorders>
          </w:tcPr>
          <w:p w14:paraId="3E0272F0" w14:textId="77777777" w:rsidR="00905AC2" w:rsidRPr="00D528BB" w:rsidRDefault="00905AC2" w:rsidP="00905AC2">
            <w:pPr>
              <w:widowControl w:val="0"/>
              <w:spacing w:after="0" w:line="240" w:lineRule="auto"/>
              <w:jc w:val="center"/>
              <w:rPr>
                <w:rFonts w:ascii="Calibri" w:eastAsiaTheme="minorHAnsi" w:cstheme="minorBidi"/>
                <w:lang w:val="en-US"/>
              </w:rPr>
            </w:pPr>
            <w:r w:rsidRPr="00D528BB">
              <w:rPr>
                <w:rFonts w:ascii="Calibri" w:eastAsiaTheme="minorHAnsi" w:cstheme="minorBidi"/>
                <w:lang w:val="en-US"/>
              </w:rPr>
              <w:t>12303</w:t>
            </w:r>
          </w:p>
        </w:tc>
      </w:tr>
      <w:tr w:rsidR="00905AC2" w:rsidRPr="00D528BB" w14:paraId="06586957" w14:textId="77777777" w:rsidTr="00905AC2">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4871FB5E" w14:textId="77777777" w:rsidR="00905AC2" w:rsidRPr="00D528BB" w:rsidRDefault="00905AC2" w:rsidP="00905AC2">
            <w:pPr>
              <w:widowControl w:val="0"/>
              <w:spacing w:after="0" w:line="240" w:lineRule="auto"/>
              <w:ind w:left="103"/>
              <w:jc w:val="left"/>
              <w:rPr>
                <w:rFonts w:ascii="Calibri" w:eastAsiaTheme="minorHAnsi" w:hAnsi="Calibri" w:cstheme="minorBidi"/>
                <w:spacing w:val="-1"/>
                <w:lang w:val="en-US"/>
              </w:rPr>
            </w:pPr>
            <w:r w:rsidRPr="00D528BB">
              <w:rPr>
                <w:rFonts w:ascii="Calibri" w:eastAsiaTheme="minorHAnsi" w:hAnsi="Calibri" w:cstheme="minorBidi"/>
                <w:spacing w:val="-1"/>
                <w:lang w:val="en-US"/>
              </w:rPr>
              <w:t>Yeşilırmak</w:t>
            </w:r>
            <w:r w:rsidRPr="00D528BB">
              <w:rPr>
                <w:rFonts w:ascii="Calibri" w:eastAsiaTheme="minorHAnsi" w:hAnsi="Calibri" w:cstheme="minorBidi"/>
                <w:spacing w:val="-2"/>
                <w:lang w:val="en-US"/>
              </w:rPr>
              <w:t xml:space="preserve"> </w:t>
            </w:r>
            <w:r w:rsidRPr="00D528BB">
              <w:rPr>
                <w:rFonts w:ascii="Calibri" w:eastAsiaTheme="minorHAnsi" w:hAnsi="Calibri" w:cstheme="minorBidi"/>
                <w:spacing w:val="-1"/>
                <w:lang w:val="en-US"/>
              </w:rPr>
              <w:t>Elektrik</w:t>
            </w:r>
            <w:r w:rsidRPr="00D528BB">
              <w:rPr>
                <w:rFonts w:ascii="Calibri" w:eastAsiaTheme="minorHAnsi" w:hAnsi="Calibri" w:cstheme="minorBidi"/>
                <w:spacing w:val="-3"/>
                <w:lang w:val="en-US"/>
              </w:rPr>
              <w:t xml:space="preserve"> </w:t>
            </w:r>
            <w:r w:rsidRPr="00D528BB">
              <w:rPr>
                <w:rFonts w:ascii="Calibri" w:eastAsiaTheme="minorHAnsi" w:hAnsi="Calibri" w:cstheme="minorBidi"/>
                <w:spacing w:val="-1"/>
                <w:lang w:val="en-US"/>
              </w:rPr>
              <w:t>Dağıtım</w:t>
            </w:r>
            <w:r w:rsidRPr="00D528BB">
              <w:rPr>
                <w:rFonts w:ascii="Calibri" w:eastAsiaTheme="minorHAnsi" w:hAnsi="Calibri" w:cstheme="minorBidi"/>
                <w:spacing w:val="-2"/>
                <w:lang w:val="en-US"/>
              </w:rPr>
              <w:t xml:space="preserve"> </w:t>
            </w:r>
            <w:r w:rsidRPr="00D528BB">
              <w:rPr>
                <w:rFonts w:ascii="Calibri" w:eastAsiaTheme="minorHAnsi" w:hAnsi="Calibri" w:cstheme="minorBidi"/>
                <w:lang w:val="en-US"/>
              </w:rPr>
              <w:t>A.Ş.</w:t>
            </w:r>
          </w:p>
        </w:tc>
        <w:tc>
          <w:tcPr>
            <w:tcW w:w="2590" w:type="dxa"/>
            <w:tcBorders>
              <w:top w:val="single" w:sz="4" w:space="0" w:color="D9D9D9"/>
              <w:left w:val="single" w:sz="4" w:space="0" w:color="D9D9D9"/>
              <w:bottom w:val="single" w:sz="4" w:space="0" w:color="D9D9D9"/>
              <w:right w:val="single" w:sz="4" w:space="0" w:color="D9D9D9"/>
            </w:tcBorders>
          </w:tcPr>
          <w:p w14:paraId="57C52548" w14:textId="77777777" w:rsidR="00905AC2" w:rsidRPr="00D528BB" w:rsidRDefault="00905AC2" w:rsidP="00905AC2">
            <w:pPr>
              <w:widowControl w:val="0"/>
              <w:spacing w:after="0" w:line="240" w:lineRule="auto"/>
              <w:ind w:left="786"/>
              <w:jc w:val="left"/>
              <w:rPr>
                <w:rFonts w:ascii="Calibri" w:eastAsiaTheme="minorHAnsi" w:cstheme="minorBidi"/>
                <w:lang w:val="en-US"/>
              </w:rPr>
            </w:pPr>
            <w:r w:rsidRPr="00D528BB">
              <w:rPr>
                <w:rFonts w:ascii="Calibri" w:eastAsiaTheme="minorHAnsi" w:cstheme="minorBidi"/>
                <w:lang w:val="en-US"/>
              </w:rPr>
              <w:t>26.12.2024</w:t>
            </w:r>
          </w:p>
        </w:tc>
        <w:tc>
          <w:tcPr>
            <w:tcW w:w="1662" w:type="dxa"/>
            <w:tcBorders>
              <w:top w:val="single" w:sz="4" w:space="0" w:color="D9D9D9"/>
              <w:left w:val="single" w:sz="4" w:space="0" w:color="D9D9D9"/>
              <w:bottom w:val="single" w:sz="4" w:space="0" w:color="D9D9D9"/>
              <w:right w:val="single" w:sz="4" w:space="0" w:color="D9D9D9"/>
            </w:tcBorders>
          </w:tcPr>
          <w:p w14:paraId="413416B8" w14:textId="77777777" w:rsidR="00905AC2" w:rsidRPr="00D528BB" w:rsidRDefault="00905AC2" w:rsidP="00905AC2">
            <w:pPr>
              <w:widowControl w:val="0"/>
              <w:spacing w:after="0" w:line="240" w:lineRule="auto"/>
              <w:jc w:val="center"/>
              <w:rPr>
                <w:rFonts w:ascii="Calibri" w:eastAsiaTheme="minorHAnsi" w:cstheme="minorBidi"/>
                <w:lang w:val="en-US"/>
              </w:rPr>
            </w:pPr>
            <w:r w:rsidRPr="00D528BB">
              <w:rPr>
                <w:rFonts w:ascii="Calibri" w:eastAsiaTheme="minorHAnsi" w:cstheme="minorBidi"/>
                <w:lang w:val="en-US"/>
              </w:rPr>
              <w:t>13146</w:t>
            </w:r>
          </w:p>
        </w:tc>
      </w:tr>
    </w:tbl>
    <w:p w14:paraId="08CDCF94" w14:textId="77777777" w:rsidR="00905AC2" w:rsidRPr="00D528BB" w:rsidRDefault="00905AC2" w:rsidP="00905AC2">
      <w:pPr>
        <w:spacing w:before="10"/>
        <w:rPr>
          <w:rFonts w:ascii="Calibri" w:hAnsi="Calibri" w:cs="Calibri"/>
          <w:b/>
          <w:bCs/>
          <w:sz w:val="11"/>
          <w:szCs w:val="11"/>
        </w:rPr>
      </w:pPr>
    </w:p>
    <w:p w14:paraId="5AA1113E" w14:textId="77777777" w:rsidR="00FE2FC0" w:rsidRPr="002048A7" w:rsidRDefault="00905AC2" w:rsidP="00905AC2">
      <w:pPr>
        <w:spacing w:before="10"/>
        <w:rPr>
          <w:rFonts w:ascii="Calibri" w:hAnsi="Calibri" w:cs="Calibri"/>
          <w:b/>
          <w:bCs/>
          <w:sz w:val="11"/>
          <w:szCs w:val="11"/>
        </w:rPr>
      </w:pPr>
      <w:r w:rsidRPr="00D528BB">
        <w:rPr>
          <w:color w:val="000000" w:themeColor="text1"/>
        </w:rPr>
        <w:t>Tablo 4.7’de 2024 yılında elektrik dağıtım bölgesi bazında yapılan elektrik dağıtım yatırım tutarları gösterilmektedir.</w:t>
      </w:r>
    </w:p>
    <w:p w14:paraId="701F655E" w14:textId="77777777" w:rsidR="00CA62D9" w:rsidRDefault="00CA62D9" w:rsidP="00CA62D9">
      <w:pPr>
        <w:keepNext/>
        <w:keepLines/>
        <w:spacing w:after="0" w:line="269" w:lineRule="auto"/>
        <w:jc w:val="center"/>
        <w:outlineLvl w:val="4"/>
        <w:rPr>
          <w:rFonts w:eastAsiaTheme="majorEastAsia" w:cstheme="majorBidi"/>
          <w:b/>
          <w:bCs/>
        </w:rPr>
      </w:pPr>
      <w:r w:rsidRPr="00D528BB">
        <w:rPr>
          <w:rFonts w:eastAsiaTheme="majorEastAsia" w:cstheme="majorBidi"/>
          <w:b/>
          <w:bCs/>
        </w:rPr>
        <w:t>Tablo 4.7: 2024 Yılında Dağıtım Bölgesi Bazında Gerçekleşen Yatırım Tutarları (Haziran 2024 Fiyatlarıyla-TL)</w:t>
      </w:r>
    </w:p>
    <w:tbl>
      <w:tblPr>
        <w:tblStyle w:val="TableNormal32"/>
        <w:tblW w:w="0" w:type="auto"/>
        <w:jc w:val="center"/>
        <w:tblLayout w:type="fixed"/>
        <w:tblLook w:val="01E0" w:firstRow="1" w:lastRow="1" w:firstColumn="1" w:lastColumn="1" w:noHBand="0" w:noVBand="0"/>
      </w:tblPr>
      <w:tblGrid>
        <w:gridCol w:w="4390"/>
        <w:gridCol w:w="2126"/>
      </w:tblGrid>
      <w:tr w:rsidR="00CA62D9" w:rsidRPr="00C82CF4" w14:paraId="5A9C0080" w14:textId="77777777" w:rsidTr="00F45E83">
        <w:trPr>
          <w:trHeight w:hRule="exact" w:val="460"/>
          <w:tblHeader/>
          <w:jc w:val="center"/>
        </w:trPr>
        <w:tc>
          <w:tcPr>
            <w:tcW w:w="4390" w:type="dxa"/>
            <w:tcBorders>
              <w:top w:val="single" w:sz="4" w:space="0" w:color="D9D9D9"/>
              <w:left w:val="single" w:sz="4" w:space="0" w:color="D9D9D9"/>
              <w:bottom w:val="single" w:sz="4" w:space="0" w:color="D9D9D9"/>
              <w:right w:val="single" w:sz="4" w:space="0" w:color="D9D9D9"/>
            </w:tcBorders>
            <w:shd w:val="clear" w:color="auto" w:fill="6E9ECA"/>
            <w:vAlign w:val="center"/>
          </w:tcPr>
          <w:p w14:paraId="7F80ABEC" w14:textId="77777777" w:rsidR="00CA62D9" w:rsidRPr="00C82CF4" w:rsidRDefault="00CA62D9" w:rsidP="00F45E83">
            <w:pPr>
              <w:jc w:val="left"/>
              <w:rPr>
                <w:rFonts w:ascii="Calibri" w:hAnsi="Calibri" w:cs="Calibri"/>
              </w:rPr>
            </w:pPr>
            <w:r w:rsidRPr="00C82CF4">
              <w:rPr>
                <w:rFonts w:ascii="Calibri" w:eastAsiaTheme="minorHAnsi" w:hAnsi="Calibri" w:cstheme="minorBidi"/>
                <w:b/>
                <w:color w:val="FFFFFF"/>
                <w:spacing w:val="-1"/>
              </w:rPr>
              <w:t xml:space="preserve">  Dağıtım</w:t>
            </w:r>
            <w:r w:rsidRPr="00C82CF4">
              <w:rPr>
                <w:rFonts w:ascii="Calibri" w:eastAsiaTheme="minorHAnsi" w:hAnsi="Calibri" w:cstheme="minorBidi"/>
                <w:b/>
                <w:color w:val="FFFFFF"/>
                <w:spacing w:val="-4"/>
              </w:rPr>
              <w:t xml:space="preserve"> </w:t>
            </w:r>
            <w:r w:rsidRPr="00C82CF4">
              <w:rPr>
                <w:rFonts w:ascii="Calibri" w:eastAsiaTheme="minorHAnsi" w:hAnsi="Calibri" w:cstheme="minorBidi"/>
                <w:b/>
                <w:color w:val="FFFFFF"/>
                <w:spacing w:val="-1"/>
              </w:rPr>
              <w:t>Bölgesi</w:t>
            </w:r>
          </w:p>
        </w:tc>
        <w:tc>
          <w:tcPr>
            <w:tcW w:w="2126" w:type="dxa"/>
            <w:tcBorders>
              <w:top w:val="single" w:sz="4" w:space="0" w:color="D9D9D9"/>
              <w:left w:val="single" w:sz="4" w:space="0" w:color="D9D9D9"/>
              <w:bottom w:val="single" w:sz="4" w:space="0" w:color="D9D9D9"/>
              <w:right w:val="single" w:sz="4" w:space="0" w:color="D9D9D9"/>
            </w:tcBorders>
            <w:shd w:val="clear" w:color="auto" w:fill="6E9ECA"/>
            <w:vAlign w:val="center"/>
          </w:tcPr>
          <w:p w14:paraId="065088C7" w14:textId="77777777" w:rsidR="00CA62D9" w:rsidRPr="00C82CF4" w:rsidRDefault="00CA62D9" w:rsidP="00F45E83">
            <w:pPr>
              <w:jc w:val="center"/>
              <w:rPr>
                <w:rFonts w:ascii="Calibri" w:hAnsi="Calibri" w:cs="Calibri"/>
              </w:rPr>
            </w:pPr>
            <w:r w:rsidRPr="00C82CF4">
              <w:rPr>
                <w:rFonts w:ascii="Calibri" w:eastAsiaTheme="minorHAnsi" w:hAnsi="Calibri" w:cstheme="minorBidi"/>
                <w:b/>
                <w:color w:val="FFFFFF"/>
                <w:spacing w:val="-1"/>
              </w:rPr>
              <w:t>Yatırım</w:t>
            </w:r>
            <w:r w:rsidRPr="00C82CF4">
              <w:rPr>
                <w:rFonts w:ascii="Calibri" w:eastAsiaTheme="minorHAnsi" w:hAnsi="Calibri" w:cstheme="minorBidi"/>
                <w:b/>
                <w:color w:val="FFFFFF"/>
                <w:spacing w:val="-3"/>
              </w:rPr>
              <w:t xml:space="preserve"> </w:t>
            </w:r>
            <w:r w:rsidRPr="00C82CF4">
              <w:rPr>
                <w:rFonts w:ascii="Calibri" w:eastAsiaTheme="minorHAnsi" w:hAnsi="Calibri" w:cstheme="minorBidi"/>
                <w:b/>
                <w:color w:val="FFFFFF"/>
                <w:spacing w:val="-1"/>
              </w:rPr>
              <w:t>Tutarı</w:t>
            </w:r>
          </w:p>
        </w:tc>
      </w:tr>
      <w:tr w:rsidR="00CA62D9" w:rsidRPr="00C82CF4" w14:paraId="5AE01B23" w14:textId="77777777" w:rsidTr="00F45E83">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2DCC0FE9" w14:textId="77777777" w:rsidR="00CA62D9" w:rsidRPr="00C82CF4" w:rsidRDefault="00CA62D9" w:rsidP="00F45E83">
            <w:pPr>
              <w:ind w:left="65"/>
              <w:jc w:val="left"/>
              <w:rPr>
                <w:rFonts w:ascii="Calibri" w:hAnsi="Calibri" w:cs="Calibri"/>
              </w:rPr>
            </w:pPr>
            <w:r w:rsidRPr="00C82CF4">
              <w:t>Toroslar Elektrik Dağıtım A.Ş.</w:t>
            </w:r>
          </w:p>
        </w:tc>
        <w:tc>
          <w:tcPr>
            <w:tcW w:w="2126" w:type="dxa"/>
            <w:tcBorders>
              <w:top w:val="single" w:sz="4" w:space="0" w:color="D9D9D9"/>
              <w:left w:val="single" w:sz="4" w:space="0" w:color="D9D9D9"/>
              <w:bottom w:val="single" w:sz="4" w:space="0" w:color="D9D9D9"/>
              <w:right w:val="single" w:sz="4" w:space="0" w:color="D9D9D9"/>
            </w:tcBorders>
          </w:tcPr>
          <w:p w14:paraId="088B1638" w14:textId="77777777" w:rsidR="00CA62D9" w:rsidRPr="00C82CF4" w:rsidRDefault="00CA62D9" w:rsidP="00F45E83">
            <w:pPr>
              <w:ind w:left="786"/>
              <w:jc w:val="right"/>
              <w:rPr>
                <w:rFonts w:ascii="Calibri" w:eastAsiaTheme="minorHAnsi" w:cstheme="minorBidi"/>
              </w:rPr>
            </w:pPr>
            <w:r w:rsidRPr="00C82CF4">
              <w:t>5.810.808.679</w:t>
            </w:r>
          </w:p>
        </w:tc>
      </w:tr>
      <w:tr w:rsidR="00CA62D9" w:rsidRPr="00C82CF4" w14:paraId="6BD9F719" w14:textId="77777777" w:rsidTr="00F45E83">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627E01C7" w14:textId="77777777" w:rsidR="00CA62D9" w:rsidRPr="00C82CF4" w:rsidRDefault="00CA62D9" w:rsidP="00F45E83">
            <w:pPr>
              <w:ind w:left="65"/>
              <w:jc w:val="left"/>
              <w:rPr>
                <w:rFonts w:ascii="Calibri" w:hAnsi="Calibri" w:cs="Calibri"/>
              </w:rPr>
            </w:pPr>
            <w:r w:rsidRPr="00C82CF4">
              <w:t>Meram Elektrik Dağıtım A.Ş.</w:t>
            </w:r>
          </w:p>
        </w:tc>
        <w:tc>
          <w:tcPr>
            <w:tcW w:w="2126" w:type="dxa"/>
            <w:tcBorders>
              <w:top w:val="single" w:sz="4" w:space="0" w:color="D9D9D9"/>
              <w:left w:val="single" w:sz="4" w:space="0" w:color="D9D9D9"/>
              <w:bottom w:val="single" w:sz="4" w:space="0" w:color="D9D9D9"/>
              <w:right w:val="single" w:sz="4" w:space="0" w:color="D9D9D9"/>
            </w:tcBorders>
          </w:tcPr>
          <w:p w14:paraId="171716FF" w14:textId="77777777" w:rsidR="00CA62D9" w:rsidRPr="00C82CF4" w:rsidRDefault="00CA62D9" w:rsidP="00F45E83">
            <w:pPr>
              <w:ind w:left="786"/>
              <w:jc w:val="right"/>
              <w:rPr>
                <w:rFonts w:ascii="Calibri" w:eastAsiaTheme="minorHAnsi" w:cstheme="minorBidi"/>
              </w:rPr>
            </w:pPr>
            <w:r w:rsidRPr="00C82CF4">
              <w:t>5.651.068.897</w:t>
            </w:r>
          </w:p>
        </w:tc>
      </w:tr>
      <w:tr w:rsidR="00CA62D9" w:rsidRPr="00C82CF4" w14:paraId="6E50D475" w14:textId="77777777" w:rsidTr="00F45E83">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23E95858" w14:textId="77777777" w:rsidR="00CA62D9" w:rsidRPr="00C82CF4" w:rsidRDefault="00CA62D9" w:rsidP="00F45E83">
            <w:pPr>
              <w:ind w:left="65"/>
              <w:jc w:val="left"/>
              <w:rPr>
                <w:rFonts w:ascii="Calibri" w:hAnsi="Calibri" w:cs="Calibri"/>
              </w:rPr>
            </w:pPr>
            <w:r w:rsidRPr="00C82CF4">
              <w:t>Boğaziçi Elektrik Dağıtım A.Ş.</w:t>
            </w:r>
          </w:p>
        </w:tc>
        <w:tc>
          <w:tcPr>
            <w:tcW w:w="2126" w:type="dxa"/>
            <w:tcBorders>
              <w:top w:val="single" w:sz="4" w:space="0" w:color="D9D9D9"/>
              <w:left w:val="single" w:sz="4" w:space="0" w:color="D9D9D9"/>
              <w:bottom w:val="single" w:sz="4" w:space="0" w:color="D9D9D9"/>
              <w:right w:val="single" w:sz="4" w:space="0" w:color="D9D9D9"/>
            </w:tcBorders>
          </w:tcPr>
          <w:p w14:paraId="49EEEEED" w14:textId="77777777" w:rsidR="00CA62D9" w:rsidRPr="00C82CF4" w:rsidRDefault="00CA62D9" w:rsidP="00F45E83">
            <w:pPr>
              <w:ind w:left="786"/>
              <w:jc w:val="right"/>
              <w:rPr>
                <w:rFonts w:ascii="Calibri" w:eastAsiaTheme="minorHAnsi" w:cstheme="minorBidi"/>
              </w:rPr>
            </w:pPr>
            <w:r w:rsidRPr="00C82CF4">
              <w:t>5.547.907.664</w:t>
            </w:r>
          </w:p>
        </w:tc>
      </w:tr>
      <w:tr w:rsidR="00CA62D9" w:rsidRPr="00C82CF4" w14:paraId="293DF094" w14:textId="77777777" w:rsidTr="00F45E83">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2DF38EF5" w14:textId="77777777" w:rsidR="00CA62D9" w:rsidRPr="00C82CF4" w:rsidRDefault="00CA62D9" w:rsidP="00F45E83">
            <w:pPr>
              <w:ind w:left="65"/>
              <w:jc w:val="left"/>
              <w:rPr>
                <w:rFonts w:ascii="Calibri" w:hAnsi="Calibri" w:cs="Calibri"/>
              </w:rPr>
            </w:pPr>
            <w:r w:rsidRPr="00C82CF4">
              <w:t>GDZ Elektrik Dağıtım A.Ş.</w:t>
            </w:r>
          </w:p>
        </w:tc>
        <w:tc>
          <w:tcPr>
            <w:tcW w:w="2126" w:type="dxa"/>
            <w:tcBorders>
              <w:top w:val="single" w:sz="4" w:space="0" w:color="D9D9D9"/>
              <w:left w:val="single" w:sz="4" w:space="0" w:color="D9D9D9"/>
              <w:bottom w:val="single" w:sz="4" w:space="0" w:color="D9D9D9"/>
              <w:right w:val="single" w:sz="4" w:space="0" w:color="D9D9D9"/>
            </w:tcBorders>
          </w:tcPr>
          <w:p w14:paraId="73C0099E" w14:textId="77777777" w:rsidR="00CA62D9" w:rsidRPr="00C82CF4" w:rsidRDefault="00CA62D9" w:rsidP="00F45E83">
            <w:pPr>
              <w:ind w:left="786"/>
              <w:jc w:val="right"/>
              <w:rPr>
                <w:rFonts w:ascii="Calibri" w:eastAsiaTheme="minorHAnsi" w:cstheme="minorBidi"/>
              </w:rPr>
            </w:pPr>
            <w:r w:rsidRPr="00C82CF4">
              <w:t>5.521.466.252</w:t>
            </w:r>
          </w:p>
        </w:tc>
      </w:tr>
      <w:tr w:rsidR="00CA62D9" w:rsidRPr="00C82CF4" w14:paraId="5DCCD322" w14:textId="77777777" w:rsidTr="00F45E83">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4843331C" w14:textId="77777777" w:rsidR="00CA62D9" w:rsidRPr="00C82CF4" w:rsidRDefault="00CA62D9" w:rsidP="00F45E83">
            <w:pPr>
              <w:ind w:left="65"/>
              <w:jc w:val="left"/>
              <w:rPr>
                <w:rFonts w:ascii="Calibri" w:hAnsi="Calibri" w:cs="Calibri"/>
              </w:rPr>
            </w:pPr>
            <w:r w:rsidRPr="00C82CF4">
              <w:t>Başkent Elektrik Dağıtım A.Ş.</w:t>
            </w:r>
          </w:p>
        </w:tc>
        <w:tc>
          <w:tcPr>
            <w:tcW w:w="2126" w:type="dxa"/>
            <w:tcBorders>
              <w:top w:val="single" w:sz="4" w:space="0" w:color="D9D9D9"/>
              <w:left w:val="single" w:sz="4" w:space="0" w:color="D9D9D9"/>
              <w:bottom w:val="single" w:sz="4" w:space="0" w:color="D9D9D9"/>
              <w:right w:val="single" w:sz="4" w:space="0" w:color="D9D9D9"/>
            </w:tcBorders>
          </w:tcPr>
          <w:p w14:paraId="550C8EBD" w14:textId="77777777" w:rsidR="00CA62D9" w:rsidRPr="00C82CF4" w:rsidRDefault="00CA62D9" w:rsidP="00F45E83">
            <w:pPr>
              <w:ind w:left="786"/>
              <w:jc w:val="right"/>
              <w:rPr>
                <w:rFonts w:ascii="Calibri" w:eastAsiaTheme="minorHAnsi" w:cstheme="minorBidi"/>
              </w:rPr>
            </w:pPr>
            <w:r w:rsidRPr="00C82CF4">
              <w:t>4.888.543.512</w:t>
            </w:r>
          </w:p>
        </w:tc>
      </w:tr>
      <w:tr w:rsidR="00CA62D9" w:rsidRPr="00C82CF4" w14:paraId="4ECE951D" w14:textId="77777777" w:rsidTr="00F45E83">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15CC9D77" w14:textId="77777777" w:rsidR="00CA62D9" w:rsidRPr="00C82CF4" w:rsidRDefault="00CA62D9" w:rsidP="00F45E83">
            <w:pPr>
              <w:ind w:left="65"/>
              <w:jc w:val="left"/>
              <w:rPr>
                <w:rFonts w:ascii="Calibri" w:hAnsi="Calibri" w:cs="Calibri"/>
              </w:rPr>
            </w:pPr>
            <w:r w:rsidRPr="00C82CF4">
              <w:t>Dicle Elektrik Dağıtım A.Ş.</w:t>
            </w:r>
          </w:p>
        </w:tc>
        <w:tc>
          <w:tcPr>
            <w:tcW w:w="2126" w:type="dxa"/>
            <w:tcBorders>
              <w:top w:val="single" w:sz="4" w:space="0" w:color="D9D9D9"/>
              <w:left w:val="single" w:sz="4" w:space="0" w:color="D9D9D9"/>
              <w:bottom w:val="single" w:sz="4" w:space="0" w:color="D9D9D9"/>
              <w:right w:val="single" w:sz="4" w:space="0" w:color="D9D9D9"/>
            </w:tcBorders>
          </w:tcPr>
          <w:p w14:paraId="65C19719" w14:textId="77777777" w:rsidR="00CA62D9" w:rsidRPr="00C82CF4" w:rsidRDefault="00CA62D9" w:rsidP="00F45E83">
            <w:pPr>
              <w:ind w:left="786"/>
              <w:jc w:val="right"/>
              <w:rPr>
                <w:rFonts w:ascii="Calibri" w:eastAsiaTheme="minorHAnsi" w:cstheme="minorBidi"/>
              </w:rPr>
            </w:pPr>
            <w:r w:rsidRPr="00C82CF4">
              <w:t>4.480.801.540</w:t>
            </w:r>
          </w:p>
        </w:tc>
      </w:tr>
      <w:tr w:rsidR="00CA62D9" w:rsidRPr="00C82CF4" w14:paraId="7B58A908" w14:textId="77777777" w:rsidTr="00F45E83">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663B5D1D" w14:textId="77777777" w:rsidR="00CA62D9" w:rsidRPr="00C82CF4" w:rsidRDefault="00CA62D9" w:rsidP="00F45E83">
            <w:pPr>
              <w:ind w:left="65"/>
              <w:jc w:val="left"/>
              <w:rPr>
                <w:rFonts w:ascii="Calibri" w:hAnsi="Calibri" w:cs="Calibri"/>
              </w:rPr>
            </w:pPr>
            <w:r w:rsidRPr="00C82CF4">
              <w:t>Akdeniz Elektrik Dağıtım A.Ş.</w:t>
            </w:r>
          </w:p>
        </w:tc>
        <w:tc>
          <w:tcPr>
            <w:tcW w:w="2126" w:type="dxa"/>
            <w:tcBorders>
              <w:top w:val="single" w:sz="4" w:space="0" w:color="D9D9D9"/>
              <w:left w:val="single" w:sz="4" w:space="0" w:color="D9D9D9"/>
              <w:bottom w:val="single" w:sz="4" w:space="0" w:color="D9D9D9"/>
              <w:right w:val="single" w:sz="4" w:space="0" w:color="D9D9D9"/>
            </w:tcBorders>
          </w:tcPr>
          <w:p w14:paraId="0E700ABD" w14:textId="77777777" w:rsidR="00CA62D9" w:rsidRPr="00C82CF4" w:rsidRDefault="00CA62D9" w:rsidP="00F45E83">
            <w:pPr>
              <w:ind w:left="786"/>
              <w:jc w:val="right"/>
              <w:rPr>
                <w:rFonts w:ascii="Calibri" w:eastAsiaTheme="minorHAnsi" w:cstheme="minorBidi"/>
              </w:rPr>
            </w:pPr>
            <w:r w:rsidRPr="00C82CF4">
              <w:t>4.185.748.759</w:t>
            </w:r>
          </w:p>
        </w:tc>
      </w:tr>
      <w:tr w:rsidR="00CA62D9" w:rsidRPr="00C82CF4" w14:paraId="62B65E75" w14:textId="77777777" w:rsidTr="00F45E83">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135996D6" w14:textId="77777777" w:rsidR="00CA62D9" w:rsidRPr="00C82CF4" w:rsidRDefault="00CA62D9" w:rsidP="00F45E83">
            <w:pPr>
              <w:ind w:left="65"/>
              <w:jc w:val="left"/>
              <w:rPr>
                <w:rFonts w:ascii="Calibri" w:hAnsi="Calibri" w:cs="Calibri"/>
              </w:rPr>
            </w:pPr>
            <w:r w:rsidRPr="00C82CF4">
              <w:t>AKEDAŞ Elektrik Dağıtım A.Ş.</w:t>
            </w:r>
          </w:p>
        </w:tc>
        <w:tc>
          <w:tcPr>
            <w:tcW w:w="2126" w:type="dxa"/>
            <w:tcBorders>
              <w:top w:val="single" w:sz="4" w:space="0" w:color="D9D9D9"/>
              <w:left w:val="single" w:sz="4" w:space="0" w:color="D9D9D9"/>
              <w:bottom w:val="single" w:sz="4" w:space="0" w:color="D9D9D9"/>
              <w:right w:val="single" w:sz="4" w:space="0" w:color="D9D9D9"/>
            </w:tcBorders>
          </w:tcPr>
          <w:p w14:paraId="6EFC5E31" w14:textId="77777777" w:rsidR="00CA62D9" w:rsidRPr="00C82CF4" w:rsidRDefault="00CA62D9" w:rsidP="00F45E83">
            <w:pPr>
              <w:ind w:left="786"/>
              <w:jc w:val="right"/>
              <w:rPr>
                <w:rFonts w:ascii="Calibri" w:eastAsiaTheme="minorHAnsi" w:cstheme="minorBidi"/>
              </w:rPr>
            </w:pPr>
            <w:r w:rsidRPr="00C82CF4">
              <w:t>3.698.407.434</w:t>
            </w:r>
          </w:p>
        </w:tc>
      </w:tr>
      <w:tr w:rsidR="00CA62D9" w:rsidRPr="00C82CF4" w14:paraId="2D0E680A" w14:textId="77777777" w:rsidTr="00F45E83">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095294A3" w14:textId="77777777" w:rsidR="00CA62D9" w:rsidRPr="00C82CF4" w:rsidRDefault="00CA62D9" w:rsidP="00F45E83">
            <w:pPr>
              <w:ind w:left="65"/>
              <w:jc w:val="left"/>
              <w:rPr>
                <w:rFonts w:ascii="Calibri" w:hAnsi="Calibri" w:cs="Calibri"/>
              </w:rPr>
            </w:pPr>
            <w:r w:rsidRPr="00C82CF4">
              <w:t>İstanbul Anadolu Yakası Elektrik Dağıtım A.Ş.</w:t>
            </w:r>
          </w:p>
        </w:tc>
        <w:tc>
          <w:tcPr>
            <w:tcW w:w="2126" w:type="dxa"/>
            <w:tcBorders>
              <w:top w:val="single" w:sz="4" w:space="0" w:color="D9D9D9"/>
              <w:left w:val="single" w:sz="4" w:space="0" w:color="D9D9D9"/>
              <w:bottom w:val="single" w:sz="4" w:space="0" w:color="D9D9D9"/>
              <w:right w:val="single" w:sz="4" w:space="0" w:color="D9D9D9"/>
            </w:tcBorders>
          </w:tcPr>
          <w:p w14:paraId="401CD46E" w14:textId="77777777" w:rsidR="00CA62D9" w:rsidRPr="00C82CF4" w:rsidRDefault="00CA62D9" w:rsidP="00F45E83">
            <w:pPr>
              <w:ind w:left="786"/>
              <w:jc w:val="right"/>
              <w:rPr>
                <w:rFonts w:ascii="Calibri" w:eastAsiaTheme="minorHAnsi" w:cstheme="minorBidi"/>
              </w:rPr>
            </w:pPr>
            <w:r w:rsidRPr="00C82CF4">
              <w:t>3.065.884.434</w:t>
            </w:r>
          </w:p>
        </w:tc>
      </w:tr>
      <w:tr w:rsidR="00CA62D9" w:rsidRPr="00C82CF4" w14:paraId="0037AB22" w14:textId="77777777" w:rsidTr="00F45E83">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1CBA0693" w14:textId="77777777" w:rsidR="00CA62D9" w:rsidRPr="00C82CF4" w:rsidRDefault="00CA62D9" w:rsidP="00F45E83">
            <w:pPr>
              <w:ind w:left="65"/>
              <w:jc w:val="left"/>
              <w:rPr>
                <w:rFonts w:ascii="Calibri" w:hAnsi="Calibri" w:cs="Calibri"/>
              </w:rPr>
            </w:pPr>
            <w:r w:rsidRPr="00C82CF4">
              <w:t>ADM Elektrik Dağıtım A.Ş.</w:t>
            </w:r>
          </w:p>
        </w:tc>
        <w:tc>
          <w:tcPr>
            <w:tcW w:w="2126" w:type="dxa"/>
            <w:tcBorders>
              <w:top w:val="single" w:sz="4" w:space="0" w:color="D9D9D9"/>
              <w:left w:val="single" w:sz="4" w:space="0" w:color="D9D9D9"/>
              <w:bottom w:val="single" w:sz="4" w:space="0" w:color="D9D9D9"/>
              <w:right w:val="single" w:sz="4" w:space="0" w:color="D9D9D9"/>
            </w:tcBorders>
          </w:tcPr>
          <w:p w14:paraId="279AFF0F" w14:textId="77777777" w:rsidR="00CA62D9" w:rsidRPr="00C82CF4" w:rsidRDefault="00CA62D9" w:rsidP="00F45E83">
            <w:pPr>
              <w:ind w:left="786"/>
              <w:jc w:val="right"/>
              <w:rPr>
                <w:rFonts w:ascii="Calibri" w:eastAsiaTheme="minorHAnsi" w:cstheme="minorBidi"/>
              </w:rPr>
            </w:pPr>
            <w:r w:rsidRPr="00C82CF4">
              <w:t>2.935.223.351</w:t>
            </w:r>
          </w:p>
        </w:tc>
      </w:tr>
      <w:tr w:rsidR="00CA62D9" w:rsidRPr="00C82CF4" w14:paraId="18180900" w14:textId="77777777" w:rsidTr="00F45E83">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72ACF22B" w14:textId="77777777" w:rsidR="00CA62D9" w:rsidRPr="00C82CF4" w:rsidRDefault="00CA62D9" w:rsidP="00F45E83">
            <w:pPr>
              <w:ind w:left="65"/>
              <w:jc w:val="left"/>
              <w:rPr>
                <w:rFonts w:ascii="Calibri" w:hAnsi="Calibri" w:cs="Calibri"/>
              </w:rPr>
            </w:pPr>
            <w:r w:rsidRPr="00C82CF4">
              <w:t>Sakarya Elektrik Dağıtım A.Ş.</w:t>
            </w:r>
          </w:p>
        </w:tc>
        <w:tc>
          <w:tcPr>
            <w:tcW w:w="2126" w:type="dxa"/>
            <w:tcBorders>
              <w:top w:val="single" w:sz="4" w:space="0" w:color="D9D9D9"/>
              <w:left w:val="single" w:sz="4" w:space="0" w:color="D9D9D9"/>
              <w:bottom w:val="single" w:sz="4" w:space="0" w:color="D9D9D9"/>
              <w:right w:val="single" w:sz="4" w:space="0" w:color="D9D9D9"/>
            </w:tcBorders>
          </w:tcPr>
          <w:p w14:paraId="6FD34C03" w14:textId="77777777" w:rsidR="00CA62D9" w:rsidRPr="00C82CF4" w:rsidRDefault="00CA62D9" w:rsidP="00F45E83">
            <w:pPr>
              <w:ind w:left="786"/>
              <w:jc w:val="right"/>
              <w:rPr>
                <w:rFonts w:ascii="Calibri" w:eastAsiaTheme="minorHAnsi" w:cstheme="minorBidi"/>
              </w:rPr>
            </w:pPr>
            <w:r w:rsidRPr="00C82CF4">
              <w:t>2.584.126.782</w:t>
            </w:r>
          </w:p>
        </w:tc>
      </w:tr>
      <w:tr w:rsidR="00CA62D9" w:rsidRPr="00C82CF4" w14:paraId="12A53914" w14:textId="77777777" w:rsidTr="00F45E83">
        <w:trPr>
          <w:trHeight w:val="397"/>
          <w:jc w:val="center"/>
        </w:trPr>
        <w:tc>
          <w:tcPr>
            <w:tcW w:w="4390" w:type="dxa"/>
            <w:tcBorders>
              <w:top w:val="single" w:sz="4" w:space="0" w:color="D9D9D9"/>
              <w:left w:val="single" w:sz="4" w:space="0" w:color="D9D9D9"/>
              <w:bottom w:val="single" w:sz="4" w:space="0" w:color="D9D9D9"/>
              <w:right w:val="single" w:sz="4" w:space="0" w:color="D9D9D9"/>
            </w:tcBorders>
          </w:tcPr>
          <w:p w14:paraId="6D1E0CDB" w14:textId="77777777" w:rsidR="00CA62D9" w:rsidRPr="00C82CF4" w:rsidRDefault="00CA62D9" w:rsidP="00F45E83">
            <w:pPr>
              <w:ind w:left="65"/>
              <w:jc w:val="left"/>
              <w:rPr>
                <w:rFonts w:ascii="Calibri" w:hAnsi="Calibri" w:cs="Calibri"/>
              </w:rPr>
            </w:pPr>
            <w:r w:rsidRPr="00C82CF4">
              <w:t>Uludağ Elektrik Dağıtım A.Ş.</w:t>
            </w:r>
          </w:p>
        </w:tc>
        <w:tc>
          <w:tcPr>
            <w:tcW w:w="2126" w:type="dxa"/>
            <w:tcBorders>
              <w:top w:val="single" w:sz="4" w:space="0" w:color="D9D9D9"/>
              <w:left w:val="single" w:sz="4" w:space="0" w:color="D9D9D9"/>
              <w:bottom w:val="single" w:sz="4" w:space="0" w:color="D9D9D9"/>
              <w:right w:val="single" w:sz="4" w:space="0" w:color="D9D9D9"/>
            </w:tcBorders>
          </w:tcPr>
          <w:p w14:paraId="34E00ED1" w14:textId="77777777" w:rsidR="00CA62D9" w:rsidRPr="00C82CF4" w:rsidRDefault="00CA62D9" w:rsidP="00F45E83">
            <w:pPr>
              <w:ind w:left="786"/>
              <w:jc w:val="right"/>
              <w:rPr>
                <w:rFonts w:ascii="Calibri" w:eastAsiaTheme="minorHAnsi" w:cstheme="minorBidi"/>
              </w:rPr>
            </w:pPr>
            <w:r w:rsidRPr="00C82CF4">
              <w:t>2.530.304.150</w:t>
            </w:r>
          </w:p>
        </w:tc>
      </w:tr>
      <w:tr w:rsidR="00CA62D9" w:rsidRPr="00C82CF4" w14:paraId="34C04CE9" w14:textId="77777777" w:rsidTr="00F45E83">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678B5CE0" w14:textId="77777777" w:rsidR="00CA62D9" w:rsidRPr="00C82CF4" w:rsidRDefault="00CA62D9" w:rsidP="00F45E83">
            <w:pPr>
              <w:ind w:left="65"/>
              <w:jc w:val="left"/>
              <w:rPr>
                <w:rFonts w:ascii="Calibri" w:hAnsi="Calibri" w:cs="Calibri"/>
              </w:rPr>
            </w:pPr>
            <w:r w:rsidRPr="00C82CF4">
              <w:t>Aras Elektrik Dağıtım A.Ş.</w:t>
            </w:r>
          </w:p>
        </w:tc>
        <w:tc>
          <w:tcPr>
            <w:tcW w:w="2126" w:type="dxa"/>
            <w:tcBorders>
              <w:top w:val="single" w:sz="4" w:space="0" w:color="D9D9D9"/>
              <w:left w:val="single" w:sz="4" w:space="0" w:color="D9D9D9"/>
              <w:bottom w:val="single" w:sz="4" w:space="0" w:color="D9D9D9"/>
              <w:right w:val="single" w:sz="4" w:space="0" w:color="D9D9D9"/>
            </w:tcBorders>
          </w:tcPr>
          <w:p w14:paraId="6876E872" w14:textId="77777777" w:rsidR="00CA62D9" w:rsidRPr="00C82CF4" w:rsidRDefault="00CA62D9" w:rsidP="00F45E83">
            <w:pPr>
              <w:ind w:left="786"/>
              <w:jc w:val="right"/>
              <w:rPr>
                <w:rFonts w:ascii="Calibri" w:eastAsiaTheme="minorHAnsi" w:cstheme="minorBidi"/>
              </w:rPr>
            </w:pPr>
            <w:r w:rsidRPr="00C82CF4">
              <w:t>2.218.918.097</w:t>
            </w:r>
          </w:p>
        </w:tc>
      </w:tr>
      <w:tr w:rsidR="00CA62D9" w:rsidRPr="00C82CF4" w14:paraId="58D2A278" w14:textId="77777777" w:rsidTr="00F45E83">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505344E9" w14:textId="77777777" w:rsidR="00CA62D9" w:rsidRPr="00C82CF4" w:rsidRDefault="00CA62D9" w:rsidP="00F45E83">
            <w:pPr>
              <w:ind w:left="65"/>
              <w:jc w:val="left"/>
              <w:rPr>
                <w:rFonts w:ascii="Calibri" w:hAnsi="Calibri" w:cs="Calibri"/>
              </w:rPr>
            </w:pPr>
            <w:r w:rsidRPr="00C82CF4">
              <w:t>Vangölü Elektrik Dağıtım A.Ş.</w:t>
            </w:r>
          </w:p>
        </w:tc>
        <w:tc>
          <w:tcPr>
            <w:tcW w:w="2126" w:type="dxa"/>
            <w:tcBorders>
              <w:top w:val="single" w:sz="4" w:space="0" w:color="D9D9D9"/>
              <w:left w:val="single" w:sz="4" w:space="0" w:color="D9D9D9"/>
              <w:bottom w:val="single" w:sz="4" w:space="0" w:color="D9D9D9"/>
              <w:right w:val="single" w:sz="4" w:space="0" w:color="D9D9D9"/>
            </w:tcBorders>
          </w:tcPr>
          <w:p w14:paraId="25877650" w14:textId="77777777" w:rsidR="00CA62D9" w:rsidRPr="00C82CF4" w:rsidRDefault="00CA62D9" w:rsidP="00F45E83">
            <w:pPr>
              <w:ind w:left="786"/>
              <w:jc w:val="right"/>
              <w:rPr>
                <w:rFonts w:ascii="Calibri" w:eastAsiaTheme="minorHAnsi" w:cstheme="minorBidi"/>
              </w:rPr>
            </w:pPr>
            <w:r w:rsidRPr="00C82CF4">
              <w:t>2.105.181.885</w:t>
            </w:r>
          </w:p>
        </w:tc>
      </w:tr>
      <w:tr w:rsidR="00CA62D9" w:rsidRPr="00C82CF4" w14:paraId="72AF2A3B" w14:textId="77777777" w:rsidTr="00F45E83">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23AFB368" w14:textId="77777777" w:rsidR="00CA62D9" w:rsidRPr="00C82CF4" w:rsidRDefault="00CA62D9" w:rsidP="00F45E83">
            <w:pPr>
              <w:ind w:left="65"/>
              <w:jc w:val="left"/>
              <w:rPr>
                <w:rFonts w:ascii="Calibri" w:hAnsi="Calibri" w:cs="Calibri"/>
              </w:rPr>
            </w:pPr>
            <w:r w:rsidRPr="00C82CF4">
              <w:t>Çamlıbel Elektrik Dağıtım A.Ş.</w:t>
            </w:r>
          </w:p>
        </w:tc>
        <w:tc>
          <w:tcPr>
            <w:tcW w:w="2126" w:type="dxa"/>
            <w:tcBorders>
              <w:top w:val="single" w:sz="4" w:space="0" w:color="D9D9D9"/>
              <w:left w:val="single" w:sz="4" w:space="0" w:color="D9D9D9"/>
              <w:bottom w:val="single" w:sz="4" w:space="0" w:color="D9D9D9"/>
              <w:right w:val="single" w:sz="4" w:space="0" w:color="D9D9D9"/>
            </w:tcBorders>
          </w:tcPr>
          <w:p w14:paraId="26826025" w14:textId="77777777" w:rsidR="00CA62D9" w:rsidRPr="00C82CF4" w:rsidRDefault="00CA62D9" w:rsidP="00F45E83">
            <w:pPr>
              <w:ind w:left="786"/>
              <w:jc w:val="right"/>
              <w:rPr>
                <w:rFonts w:ascii="Calibri" w:eastAsiaTheme="minorHAnsi" w:cstheme="minorBidi"/>
              </w:rPr>
            </w:pPr>
            <w:r w:rsidRPr="00C82CF4">
              <w:t>1.802.999.830</w:t>
            </w:r>
          </w:p>
        </w:tc>
      </w:tr>
      <w:tr w:rsidR="00CA62D9" w:rsidRPr="00C82CF4" w14:paraId="55779CAD" w14:textId="77777777" w:rsidTr="00F45E83">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44F3FB84" w14:textId="77777777" w:rsidR="00CA62D9" w:rsidRPr="00C82CF4" w:rsidRDefault="00CA62D9" w:rsidP="00F45E83">
            <w:pPr>
              <w:ind w:left="65"/>
              <w:jc w:val="left"/>
              <w:rPr>
                <w:rFonts w:ascii="Calibri" w:hAnsi="Calibri" w:cs="Calibri"/>
              </w:rPr>
            </w:pPr>
            <w:r w:rsidRPr="00C82CF4">
              <w:t>Yeşilırmak Elektrik Dağıtım A.Ş.</w:t>
            </w:r>
          </w:p>
        </w:tc>
        <w:tc>
          <w:tcPr>
            <w:tcW w:w="2126" w:type="dxa"/>
            <w:tcBorders>
              <w:top w:val="single" w:sz="4" w:space="0" w:color="D9D9D9"/>
              <w:left w:val="single" w:sz="4" w:space="0" w:color="D9D9D9"/>
              <w:bottom w:val="single" w:sz="4" w:space="0" w:color="D9D9D9"/>
              <w:right w:val="single" w:sz="4" w:space="0" w:color="D9D9D9"/>
            </w:tcBorders>
          </w:tcPr>
          <w:p w14:paraId="5F04C7F3" w14:textId="77777777" w:rsidR="00CA62D9" w:rsidRPr="00C82CF4" w:rsidRDefault="00CA62D9" w:rsidP="00F45E83">
            <w:pPr>
              <w:ind w:left="786"/>
              <w:jc w:val="right"/>
              <w:rPr>
                <w:rFonts w:ascii="Calibri" w:eastAsiaTheme="minorHAnsi" w:cstheme="minorBidi"/>
              </w:rPr>
            </w:pPr>
            <w:r w:rsidRPr="00C82CF4">
              <w:t>1.801.755.032</w:t>
            </w:r>
          </w:p>
        </w:tc>
      </w:tr>
      <w:tr w:rsidR="00CA62D9" w:rsidRPr="00C82CF4" w14:paraId="1C012BE4" w14:textId="77777777" w:rsidTr="00F45E83">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68C28C29" w14:textId="77777777" w:rsidR="00CA62D9" w:rsidRPr="00C82CF4" w:rsidRDefault="00CA62D9" w:rsidP="00F45E83">
            <w:pPr>
              <w:ind w:left="65"/>
              <w:jc w:val="left"/>
              <w:rPr>
                <w:rFonts w:ascii="Calibri" w:hAnsi="Calibri" w:cs="Calibri"/>
              </w:rPr>
            </w:pPr>
            <w:r w:rsidRPr="00C82CF4">
              <w:t>Osmangazi Elektrik Dağıtım A.Ş.</w:t>
            </w:r>
          </w:p>
        </w:tc>
        <w:tc>
          <w:tcPr>
            <w:tcW w:w="2126" w:type="dxa"/>
            <w:tcBorders>
              <w:top w:val="single" w:sz="4" w:space="0" w:color="D9D9D9"/>
              <w:left w:val="single" w:sz="4" w:space="0" w:color="D9D9D9"/>
              <w:bottom w:val="single" w:sz="4" w:space="0" w:color="D9D9D9"/>
              <w:right w:val="single" w:sz="4" w:space="0" w:color="D9D9D9"/>
            </w:tcBorders>
          </w:tcPr>
          <w:p w14:paraId="0A87EFA4" w14:textId="77777777" w:rsidR="00CA62D9" w:rsidRPr="00C82CF4" w:rsidRDefault="00CA62D9" w:rsidP="00F45E83">
            <w:pPr>
              <w:ind w:left="786"/>
              <w:jc w:val="right"/>
              <w:rPr>
                <w:rFonts w:ascii="Calibri" w:eastAsiaTheme="minorHAnsi" w:cstheme="minorBidi"/>
              </w:rPr>
            </w:pPr>
            <w:r w:rsidRPr="00C82CF4">
              <w:t>1.775.106.537</w:t>
            </w:r>
          </w:p>
        </w:tc>
      </w:tr>
      <w:tr w:rsidR="00CA62D9" w:rsidRPr="00C82CF4" w14:paraId="710A3E34" w14:textId="77777777" w:rsidTr="00F45E83">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73FD7DFA" w14:textId="77777777" w:rsidR="00CA62D9" w:rsidRPr="00C82CF4" w:rsidRDefault="00CA62D9" w:rsidP="00F45E83">
            <w:pPr>
              <w:ind w:left="65"/>
              <w:jc w:val="left"/>
              <w:rPr>
                <w:rFonts w:ascii="Calibri" w:hAnsi="Calibri" w:cs="Calibri"/>
              </w:rPr>
            </w:pPr>
            <w:r w:rsidRPr="00C82CF4">
              <w:t>Fırat Elektrik Dağıtım A.Ş.</w:t>
            </w:r>
          </w:p>
        </w:tc>
        <w:tc>
          <w:tcPr>
            <w:tcW w:w="2126" w:type="dxa"/>
            <w:tcBorders>
              <w:top w:val="single" w:sz="4" w:space="0" w:color="D9D9D9"/>
              <w:left w:val="single" w:sz="4" w:space="0" w:color="D9D9D9"/>
              <w:bottom w:val="single" w:sz="4" w:space="0" w:color="D9D9D9"/>
              <w:right w:val="single" w:sz="4" w:space="0" w:color="D9D9D9"/>
            </w:tcBorders>
          </w:tcPr>
          <w:p w14:paraId="5ED6C9D8" w14:textId="77777777" w:rsidR="00CA62D9" w:rsidRPr="00C82CF4" w:rsidRDefault="00CA62D9" w:rsidP="00F45E83">
            <w:pPr>
              <w:ind w:left="786"/>
              <w:jc w:val="right"/>
              <w:rPr>
                <w:rFonts w:ascii="Calibri" w:eastAsiaTheme="minorHAnsi" w:cstheme="minorBidi"/>
              </w:rPr>
            </w:pPr>
            <w:r w:rsidRPr="00C82CF4">
              <w:t>1.360.101.522</w:t>
            </w:r>
          </w:p>
        </w:tc>
      </w:tr>
      <w:tr w:rsidR="00CA62D9" w:rsidRPr="00C82CF4" w14:paraId="6EFCA851" w14:textId="77777777" w:rsidTr="00F45E83">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31014FD2" w14:textId="77777777" w:rsidR="00CA62D9" w:rsidRPr="00C82CF4" w:rsidRDefault="00CA62D9" w:rsidP="00F45E83">
            <w:pPr>
              <w:ind w:left="65"/>
              <w:jc w:val="left"/>
              <w:rPr>
                <w:rFonts w:ascii="Calibri" w:hAnsi="Calibri" w:cs="Calibri"/>
              </w:rPr>
            </w:pPr>
            <w:r w:rsidRPr="00C82CF4">
              <w:t>Çoruh Elektrik Dağıtım A.Ş.</w:t>
            </w:r>
          </w:p>
        </w:tc>
        <w:tc>
          <w:tcPr>
            <w:tcW w:w="2126" w:type="dxa"/>
            <w:tcBorders>
              <w:top w:val="single" w:sz="4" w:space="0" w:color="D9D9D9"/>
              <w:left w:val="single" w:sz="4" w:space="0" w:color="D9D9D9"/>
              <w:bottom w:val="single" w:sz="4" w:space="0" w:color="D9D9D9"/>
              <w:right w:val="single" w:sz="4" w:space="0" w:color="D9D9D9"/>
            </w:tcBorders>
          </w:tcPr>
          <w:p w14:paraId="1A5FF9BE" w14:textId="77777777" w:rsidR="00CA62D9" w:rsidRPr="00C82CF4" w:rsidRDefault="00CA62D9" w:rsidP="00F45E83">
            <w:pPr>
              <w:ind w:left="786"/>
              <w:jc w:val="right"/>
              <w:rPr>
                <w:rFonts w:ascii="Calibri" w:eastAsiaTheme="minorHAnsi" w:cstheme="minorBidi"/>
              </w:rPr>
            </w:pPr>
            <w:r w:rsidRPr="00C82CF4">
              <w:t>1.149.952.261</w:t>
            </w:r>
          </w:p>
        </w:tc>
      </w:tr>
      <w:tr w:rsidR="00CA62D9" w:rsidRPr="00C82CF4" w14:paraId="27EBC580" w14:textId="77777777" w:rsidTr="00F45E83">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6DD21167" w14:textId="77777777" w:rsidR="00CA62D9" w:rsidRPr="00C82CF4" w:rsidRDefault="00CA62D9" w:rsidP="00F45E83">
            <w:pPr>
              <w:ind w:left="65"/>
              <w:jc w:val="left"/>
              <w:rPr>
                <w:rFonts w:ascii="Calibri" w:hAnsi="Calibri" w:cs="Calibri"/>
              </w:rPr>
            </w:pPr>
            <w:r w:rsidRPr="00C82CF4">
              <w:t>Kayseri ve Civarı Elektrik Türk A.Ş.</w:t>
            </w:r>
          </w:p>
        </w:tc>
        <w:tc>
          <w:tcPr>
            <w:tcW w:w="2126" w:type="dxa"/>
            <w:tcBorders>
              <w:top w:val="single" w:sz="4" w:space="0" w:color="D9D9D9"/>
              <w:left w:val="single" w:sz="4" w:space="0" w:color="D9D9D9"/>
              <w:bottom w:val="single" w:sz="4" w:space="0" w:color="D9D9D9"/>
              <w:right w:val="single" w:sz="4" w:space="0" w:color="D9D9D9"/>
            </w:tcBorders>
          </w:tcPr>
          <w:p w14:paraId="2EF27E80" w14:textId="77777777" w:rsidR="00CA62D9" w:rsidRPr="00C82CF4" w:rsidRDefault="00CA62D9" w:rsidP="00F45E83">
            <w:pPr>
              <w:ind w:left="786"/>
              <w:jc w:val="right"/>
              <w:rPr>
                <w:rFonts w:ascii="Calibri" w:eastAsiaTheme="minorHAnsi" w:cstheme="minorBidi"/>
              </w:rPr>
            </w:pPr>
            <w:r w:rsidRPr="00C82CF4">
              <w:t>1.079.896.012</w:t>
            </w:r>
          </w:p>
        </w:tc>
      </w:tr>
      <w:tr w:rsidR="00CA62D9" w:rsidRPr="00C82CF4" w14:paraId="7784435F" w14:textId="77777777" w:rsidTr="00F45E83">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1B04808A" w14:textId="77777777" w:rsidR="00CA62D9" w:rsidRPr="00C82CF4" w:rsidRDefault="00CA62D9" w:rsidP="00F45E83">
            <w:pPr>
              <w:ind w:left="65"/>
              <w:jc w:val="left"/>
              <w:rPr>
                <w:rFonts w:ascii="Calibri" w:hAnsi="Calibri" w:cs="Calibri"/>
              </w:rPr>
            </w:pPr>
            <w:r w:rsidRPr="00C82CF4">
              <w:t>Trakya Elektrik Dağıtım A.Ş.</w:t>
            </w:r>
          </w:p>
        </w:tc>
        <w:tc>
          <w:tcPr>
            <w:tcW w:w="2126" w:type="dxa"/>
            <w:tcBorders>
              <w:top w:val="single" w:sz="4" w:space="0" w:color="D9D9D9"/>
              <w:left w:val="single" w:sz="4" w:space="0" w:color="D9D9D9"/>
              <w:bottom w:val="single" w:sz="4" w:space="0" w:color="D9D9D9"/>
              <w:right w:val="single" w:sz="4" w:space="0" w:color="D9D9D9"/>
            </w:tcBorders>
          </w:tcPr>
          <w:p w14:paraId="16C3FB16" w14:textId="77777777" w:rsidR="00CA62D9" w:rsidRPr="00C82CF4" w:rsidRDefault="00CA62D9" w:rsidP="00F45E83">
            <w:pPr>
              <w:ind w:left="786"/>
              <w:jc w:val="right"/>
              <w:rPr>
                <w:rFonts w:ascii="Calibri" w:eastAsiaTheme="minorHAnsi" w:cstheme="minorBidi"/>
              </w:rPr>
            </w:pPr>
            <w:r w:rsidRPr="00C82CF4">
              <w:t>1.062.209.409</w:t>
            </w:r>
          </w:p>
        </w:tc>
      </w:tr>
      <w:tr w:rsidR="00CA62D9" w:rsidRPr="00C82CF4" w14:paraId="75262C62" w14:textId="77777777" w:rsidTr="00F45E83">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28197F2F" w14:textId="77777777" w:rsidR="00CA62D9" w:rsidRPr="00C82CF4" w:rsidRDefault="00CA62D9" w:rsidP="00F45E83">
            <w:pPr>
              <w:ind w:left="65"/>
              <w:jc w:val="left"/>
              <w:rPr>
                <w:rFonts w:ascii="Calibri" w:hAnsi="Calibri" w:cs="Calibri"/>
                <w:b/>
              </w:rPr>
            </w:pPr>
            <w:r w:rsidRPr="00C82CF4">
              <w:rPr>
                <w:b/>
              </w:rPr>
              <w:t>TOPLAM</w:t>
            </w:r>
          </w:p>
        </w:tc>
        <w:tc>
          <w:tcPr>
            <w:tcW w:w="2126" w:type="dxa"/>
            <w:tcBorders>
              <w:top w:val="single" w:sz="4" w:space="0" w:color="D9D9D9"/>
              <w:left w:val="single" w:sz="4" w:space="0" w:color="D9D9D9"/>
              <w:bottom w:val="single" w:sz="4" w:space="0" w:color="D9D9D9"/>
              <w:right w:val="single" w:sz="4" w:space="0" w:color="D9D9D9"/>
            </w:tcBorders>
          </w:tcPr>
          <w:p w14:paraId="753108A9" w14:textId="77777777" w:rsidR="00CA62D9" w:rsidRPr="00C82CF4" w:rsidRDefault="00CA62D9" w:rsidP="00F45E83">
            <w:pPr>
              <w:ind w:left="567"/>
              <w:jc w:val="right"/>
              <w:rPr>
                <w:rFonts w:ascii="Calibri" w:eastAsiaTheme="minorHAnsi" w:cstheme="minorBidi"/>
                <w:b/>
              </w:rPr>
            </w:pPr>
            <w:r w:rsidRPr="00C82CF4">
              <w:rPr>
                <w:b/>
              </w:rPr>
              <w:t>65.256.412.035</w:t>
            </w:r>
          </w:p>
        </w:tc>
      </w:tr>
    </w:tbl>
    <w:p w14:paraId="5481A882" w14:textId="77777777" w:rsidR="00CA62D9" w:rsidRPr="00D528BB" w:rsidRDefault="00CA62D9" w:rsidP="00CA62D9">
      <w:pPr>
        <w:keepNext/>
        <w:keepLines/>
        <w:spacing w:after="0" w:line="269" w:lineRule="auto"/>
        <w:outlineLvl w:val="4"/>
        <w:rPr>
          <w:rFonts w:eastAsiaTheme="majorEastAsia" w:cstheme="majorBidi"/>
          <w:b/>
          <w:bCs/>
        </w:rPr>
      </w:pPr>
    </w:p>
    <w:p w14:paraId="0D2A5547" w14:textId="77777777" w:rsidR="00D3422D" w:rsidRPr="002048A7" w:rsidRDefault="00CA62D9" w:rsidP="00CA62D9">
      <w:pPr>
        <w:ind w:left="118"/>
        <w:rPr>
          <w:rFonts w:ascii="Calibri" w:hAnsi="Calibri"/>
          <w:spacing w:val="-1"/>
          <w:sz w:val="20"/>
        </w:rPr>
      </w:pPr>
      <w:r w:rsidRPr="00D528BB">
        <w:rPr>
          <w:rFonts w:ascii="Calibri" w:hAnsi="Calibri" w:cs="Calibri"/>
          <w:sz w:val="20"/>
          <w:szCs w:val="20"/>
        </w:rPr>
        <w:t>Not:</w:t>
      </w:r>
      <w:r w:rsidRPr="00D528BB">
        <w:rPr>
          <w:rFonts w:ascii="Calibri" w:hAnsi="Calibri" w:cs="Calibri"/>
          <w:spacing w:val="12"/>
          <w:sz w:val="20"/>
          <w:szCs w:val="20"/>
        </w:rPr>
        <w:t xml:space="preserve"> </w:t>
      </w:r>
      <w:r w:rsidRPr="00D528BB">
        <w:rPr>
          <w:rFonts w:ascii="Calibri" w:hAnsi="Calibri" w:cs="Calibri"/>
          <w:i/>
          <w:spacing w:val="-1"/>
          <w:sz w:val="20"/>
          <w:szCs w:val="20"/>
        </w:rPr>
        <w:t>Elektrik Dağıtım Şirketleri</w:t>
      </w:r>
      <w:r w:rsidRPr="00D528BB">
        <w:rPr>
          <w:rFonts w:ascii="Calibri" w:hAnsi="Calibri" w:cs="Calibri"/>
          <w:i/>
          <w:spacing w:val="12"/>
          <w:sz w:val="20"/>
          <w:szCs w:val="20"/>
        </w:rPr>
        <w:t xml:space="preserve"> </w:t>
      </w:r>
      <w:r w:rsidRPr="00D528BB">
        <w:rPr>
          <w:rFonts w:ascii="Calibri" w:hAnsi="Calibri" w:cs="Calibri"/>
          <w:i/>
          <w:spacing w:val="-1"/>
          <w:sz w:val="20"/>
          <w:szCs w:val="20"/>
        </w:rPr>
        <w:t>tarafından,</w:t>
      </w:r>
      <w:r w:rsidRPr="00D528BB">
        <w:rPr>
          <w:rFonts w:ascii="Calibri" w:hAnsi="Calibri" w:cs="Calibri"/>
          <w:i/>
          <w:spacing w:val="12"/>
          <w:sz w:val="20"/>
          <w:szCs w:val="20"/>
        </w:rPr>
        <w:t xml:space="preserve"> </w:t>
      </w:r>
      <w:r w:rsidRPr="00D528BB">
        <w:rPr>
          <w:rFonts w:ascii="Calibri" w:hAnsi="Calibri" w:cs="Calibri"/>
          <w:i/>
          <w:spacing w:val="-1"/>
          <w:sz w:val="20"/>
          <w:szCs w:val="20"/>
        </w:rPr>
        <w:t>31/12/2024</w:t>
      </w:r>
      <w:r w:rsidRPr="00D528BB">
        <w:rPr>
          <w:rFonts w:ascii="Calibri" w:hAnsi="Calibri" w:cs="Calibri"/>
          <w:i/>
          <w:spacing w:val="12"/>
          <w:sz w:val="20"/>
          <w:szCs w:val="20"/>
        </w:rPr>
        <w:t xml:space="preserve"> </w:t>
      </w:r>
      <w:r w:rsidRPr="00D528BB">
        <w:rPr>
          <w:rFonts w:ascii="Calibri" w:hAnsi="Calibri" w:cs="Calibri"/>
          <w:i/>
          <w:spacing w:val="-1"/>
          <w:sz w:val="20"/>
          <w:szCs w:val="20"/>
        </w:rPr>
        <w:t>tarihi</w:t>
      </w:r>
      <w:r w:rsidRPr="00D528BB">
        <w:rPr>
          <w:rFonts w:ascii="Calibri" w:hAnsi="Calibri" w:cs="Calibri"/>
          <w:i/>
          <w:spacing w:val="12"/>
          <w:sz w:val="20"/>
          <w:szCs w:val="20"/>
        </w:rPr>
        <w:t xml:space="preserve"> </w:t>
      </w:r>
      <w:r w:rsidRPr="00D528BB">
        <w:rPr>
          <w:rFonts w:ascii="Calibri" w:hAnsi="Calibri" w:cs="Calibri"/>
          <w:i/>
          <w:spacing w:val="-1"/>
          <w:sz w:val="20"/>
          <w:szCs w:val="20"/>
        </w:rPr>
        <w:t>itibarıyla</w:t>
      </w:r>
      <w:r w:rsidRPr="00D528BB">
        <w:rPr>
          <w:rFonts w:ascii="Calibri" w:hAnsi="Calibri" w:cs="Calibri"/>
          <w:i/>
          <w:spacing w:val="13"/>
          <w:sz w:val="20"/>
          <w:szCs w:val="20"/>
        </w:rPr>
        <w:t xml:space="preserve"> </w:t>
      </w:r>
      <w:r w:rsidRPr="00D528BB">
        <w:rPr>
          <w:rFonts w:ascii="Calibri" w:hAnsi="Calibri" w:cs="Calibri"/>
          <w:i/>
          <w:spacing w:val="-1"/>
          <w:sz w:val="20"/>
          <w:szCs w:val="20"/>
        </w:rPr>
        <w:t>EBİS</w:t>
      </w:r>
      <w:r w:rsidRPr="00D528BB">
        <w:rPr>
          <w:rFonts w:ascii="Calibri" w:hAnsi="Calibri" w:cs="Calibri"/>
          <w:i/>
          <w:spacing w:val="13"/>
          <w:sz w:val="20"/>
          <w:szCs w:val="20"/>
        </w:rPr>
        <w:t xml:space="preserve"> </w:t>
      </w:r>
      <w:r w:rsidRPr="00D528BB">
        <w:rPr>
          <w:rFonts w:ascii="Calibri" w:hAnsi="Calibri" w:cs="Calibri"/>
          <w:i/>
          <w:spacing w:val="-1"/>
          <w:sz w:val="20"/>
          <w:szCs w:val="20"/>
        </w:rPr>
        <w:t>üzerinden</w:t>
      </w:r>
      <w:r w:rsidRPr="00D528BB">
        <w:rPr>
          <w:rFonts w:ascii="Calibri" w:hAnsi="Calibri" w:cs="Calibri"/>
          <w:i/>
          <w:spacing w:val="13"/>
          <w:sz w:val="20"/>
          <w:szCs w:val="20"/>
        </w:rPr>
        <w:t xml:space="preserve"> </w:t>
      </w:r>
      <w:r w:rsidRPr="00D528BB">
        <w:rPr>
          <w:rFonts w:ascii="Calibri" w:hAnsi="Calibri" w:cs="Calibri"/>
          <w:i/>
          <w:spacing w:val="-1"/>
          <w:sz w:val="20"/>
          <w:szCs w:val="20"/>
        </w:rPr>
        <w:t>bildirilen</w:t>
      </w:r>
      <w:r w:rsidRPr="00D528BB">
        <w:rPr>
          <w:rFonts w:ascii="Calibri" w:hAnsi="Calibri" w:cs="Calibri"/>
          <w:i/>
          <w:spacing w:val="12"/>
          <w:sz w:val="20"/>
          <w:szCs w:val="20"/>
        </w:rPr>
        <w:t xml:space="preserve"> </w:t>
      </w:r>
      <w:r w:rsidRPr="00D528BB">
        <w:rPr>
          <w:rFonts w:ascii="Calibri" w:hAnsi="Calibri" w:cs="Calibri"/>
          <w:i/>
          <w:sz w:val="20"/>
          <w:szCs w:val="20"/>
        </w:rPr>
        <w:t>2024</w:t>
      </w:r>
      <w:r w:rsidRPr="00D528BB">
        <w:rPr>
          <w:rFonts w:ascii="Calibri" w:hAnsi="Calibri" w:cs="Calibri"/>
          <w:i/>
          <w:spacing w:val="12"/>
          <w:sz w:val="20"/>
          <w:szCs w:val="20"/>
        </w:rPr>
        <w:t xml:space="preserve"> </w:t>
      </w:r>
      <w:r w:rsidRPr="00D528BB">
        <w:rPr>
          <w:rFonts w:ascii="Calibri" w:hAnsi="Calibri" w:cs="Calibri"/>
          <w:i/>
          <w:sz w:val="20"/>
          <w:szCs w:val="20"/>
        </w:rPr>
        <w:t>yılı</w:t>
      </w:r>
      <w:r w:rsidRPr="00D528BB">
        <w:rPr>
          <w:rFonts w:ascii="Calibri" w:hAnsi="Calibri" w:cs="Calibri"/>
          <w:i/>
          <w:spacing w:val="12"/>
          <w:sz w:val="20"/>
          <w:szCs w:val="20"/>
        </w:rPr>
        <w:t xml:space="preserve"> </w:t>
      </w:r>
      <w:r w:rsidRPr="00D528BB">
        <w:rPr>
          <w:rFonts w:ascii="Calibri" w:hAnsi="Calibri" w:cs="Calibri"/>
          <w:i/>
          <w:spacing w:val="-1"/>
          <w:sz w:val="20"/>
          <w:szCs w:val="20"/>
        </w:rPr>
        <w:t>yatırım</w:t>
      </w:r>
      <w:r w:rsidRPr="00D528BB">
        <w:rPr>
          <w:rFonts w:ascii="Calibri" w:hAnsi="Calibri" w:cs="Calibri"/>
          <w:i/>
          <w:spacing w:val="12"/>
          <w:sz w:val="20"/>
          <w:szCs w:val="20"/>
        </w:rPr>
        <w:t xml:space="preserve"> </w:t>
      </w:r>
      <w:r w:rsidRPr="00D528BB">
        <w:rPr>
          <w:rFonts w:ascii="Calibri" w:hAnsi="Calibri" w:cs="Calibri"/>
          <w:i/>
          <w:sz w:val="20"/>
          <w:szCs w:val="20"/>
        </w:rPr>
        <w:t>tahmin</w:t>
      </w:r>
      <w:r w:rsidRPr="00D528BB">
        <w:rPr>
          <w:rFonts w:ascii="Calibri" w:hAnsi="Calibri" w:cs="Calibri"/>
          <w:i/>
          <w:spacing w:val="13"/>
          <w:sz w:val="20"/>
          <w:szCs w:val="20"/>
        </w:rPr>
        <w:t xml:space="preserve"> </w:t>
      </w:r>
      <w:r w:rsidRPr="00D528BB">
        <w:rPr>
          <w:rFonts w:ascii="Calibri" w:hAnsi="Calibri" w:cs="Calibri"/>
          <w:i/>
          <w:spacing w:val="-1"/>
          <w:sz w:val="20"/>
          <w:szCs w:val="20"/>
        </w:rPr>
        <w:t>bildirim</w:t>
      </w:r>
      <w:r w:rsidRPr="00D528BB">
        <w:rPr>
          <w:rFonts w:ascii="Calibri" w:hAnsi="Calibri" w:cs="Calibri"/>
          <w:i/>
          <w:spacing w:val="12"/>
          <w:sz w:val="20"/>
          <w:szCs w:val="20"/>
        </w:rPr>
        <w:t xml:space="preserve"> </w:t>
      </w:r>
      <w:r w:rsidRPr="00D528BB">
        <w:rPr>
          <w:rFonts w:ascii="Calibri" w:hAnsi="Calibri" w:cs="Calibri"/>
          <w:i/>
          <w:spacing w:val="-1"/>
          <w:sz w:val="20"/>
          <w:szCs w:val="20"/>
        </w:rPr>
        <w:t>beyanları</w:t>
      </w:r>
      <w:r w:rsidRPr="00D528BB">
        <w:rPr>
          <w:rFonts w:ascii="Calibri" w:hAnsi="Calibri"/>
          <w:i/>
          <w:spacing w:val="-1"/>
          <w:sz w:val="20"/>
        </w:rPr>
        <w:t xml:space="preserve"> dikkate</w:t>
      </w:r>
      <w:r w:rsidRPr="00D528BB">
        <w:rPr>
          <w:rFonts w:ascii="Calibri" w:hAnsi="Calibri"/>
          <w:i/>
          <w:spacing w:val="-4"/>
          <w:sz w:val="20"/>
        </w:rPr>
        <w:t xml:space="preserve"> </w:t>
      </w:r>
      <w:r w:rsidRPr="00D528BB">
        <w:rPr>
          <w:rFonts w:ascii="Calibri" w:hAnsi="Calibri"/>
          <w:i/>
          <w:sz w:val="20"/>
        </w:rPr>
        <w:t>alınarak</w:t>
      </w:r>
      <w:r w:rsidRPr="00D528BB">
        <w:rPr>
          <w:rFonts w:ascii="Calibri" w:hAnsi="Calibri"/>
          <w:i/>
          <w:spacing w:val="-3"/>
          <w:sz w:val="20"/>
        </w:rPr>
        <w:t xml:space="preserve"> </w:t>
      </w:r>
      <w:r w:rsidRPr="00D528BB">
        <w:rPr>
          <w:rFonts w:ascii="Calibri" w:hAnsi="Calibri"/>
          <w:i/>
          <w:spacing w:val="-1"/>
          <w:sz w:val="20"/>
        </w:rPr>
        <w:t>hazırlanmıştır. III. Uygulama döneminden devam eden yatırımlara ilişkin beyan edilen tahmin tutarları da hesaplamalara dahil edilmiştir</w:t>
      </w:r>
      <w:r w:rsidRPr="00D528BB">
        <w:rPr>
          <w:rFonts w:ascii="Calibri" w:hAnsi="Calibri"/>
          <w:spacing w:val="-1"/>
          <w:sz w:val="20"/>
        </w:rPr>
        <w:t>.</w:t>
      </w:r>
    </w:p>
    <w:p w14:paraId="2C16344D" w14:textId="77777777" w:rsidR="002C3099" w:rsidRPr="002048A7" w:rsidRDefault="002C3099" w:rsidP="00577AAF">
      <w:pPr>
        <w:pStyle w:val="Balk4"/>
        <w:numPr>
          <w:ilvl w:val="3"/>
          <w:numId w:val="11"/>
        </w:numPr>
        <w:spacing w:after="240"/>
        <w:rPr>
          <w:rFonts w:asciiTheme="minorHAnsi" w:hAnsiTheme="minorHAnsi"/>
          <w:i w:val="0"/>
          <w:color w:val="000000" w:themeColor="text1"/>
        </w:rPr>
      </w:pPr>
      <w:bookmarkStart w:id="181" w:name="_Toc66267374"/>
      <w:bookmarkStart w:id="182" w:name="_Toc195868713"/>
      <w:r w:rsidRPr="002048A7">
        <w:rPr>
          <w:rFonts w:asciiTheme="minorHAnsi" w:hAnsiTheme="minorHAnsi"/>
          <w:i w:val="0"/>
          <w:color w:val="000000" w:themeColor="text1"/>
        </w:rPr>
        <w:lastRenderedPageBreak/>
        <w:t>Dağıtım Sistemi Bağlantı Bedeli</w:t>
      </w:r>
      <w:bookmarkEnd w:id="181"/>
      <w:bookmarkEnd w:id="182"/>
    </w:p>
    <w:p w14:paraId="6AE12797" w14:textId="77777777" w:rsidR="00CA62D9" w:rsidRPr="002048A7" w:rsidRDefault="00CA62D9" w:rsidP="00CA62D9">
      <w:pPr>
        <w:spacing w:after="0"/>
        <w:rPr>
          <w:color w:val="000000" w:themeColor="text1"/>
        </w:rPr>
      </w:pPr>
      <w:r w:rsidRPr="002048A7">
        <w:rPr>
          <w:color w:val="000000" w:themeColor="text1"/>
        </w:rPr>
        <w:t>3</w:t>
      </w:r>
      <w:r>
        <w:rPr>
          <w:color w:val="000000" w:themeColor="text1"/>
        </w:rPr>
        <w:t>1</w:t>
      </w:r>
      <w:r w:rsidRPr="002048A7">
        <w:rPr>
          <w:color w:val="000000" w:themeColor="text1"/>
        </w:rPr>
        <w:t>.12.202</w:t>
      </w:r>
      <w:r>
        <w:rPr>
          <w:color w:val="000000" w:themeColor="text1"/>
        </w:rPr>
        <w:t>4</w:t>
      </w:r>
      <w:r w:rsidRPr="002048A7">
        <w:rPr>
          <w:color w:val="000000" w:themeColor="text1"/>
        </w:rPr>
        <w:t xml:space="preserve"> tarihli ve 32</w:t>
      </w:r>
      <w:r>
        <w:rPr>
          <w:color w:val="000000" w:themeColor="text1"/>
        </w:rPr>
        <w:t>769</w:t>
      </w:r>
      <w:r w:rsidRPr="002048A7">
        <w:rPr>
          <w:color w:val="000000" w:themeColor="text1"/>
        </w:rPr>
        <w:t xml:space="preserve"> (</w:t>
      </w:r>
      <w:r>
        <w:rPr>
          <w:color w:val="000000" w:themeColor="text1"/>
        </w:rPr>
        <w:t>5</w:t>
      </w:r>
      <w:r w:rsidRPr="002048A7">
        <w:rPr>
          <w:color w:val="000000" w:themeColor="text1"/>
        </w:rPr>
        <w:t>. Mükerrer) sayılı Resmî Gazete’de yayımlanan 2</w:t>
      </w:r>
      <w:r>
        <w:rPr>
          <w:color w:val="000000" w:themeColor="text1"/>
        </w:rPr>
        <w:t>6</w:t>
      </w:r>
      <w:r w:rsidRPr="002048A7">
        <w:rPr>
          <w:color w:val="000000" w:themeColor="text1"/>
        </w:rPr>
        <w:t>.12.202</w:t>
      </w:r>
      <w:r>
        <w:rPr>
          <w:color w:val="000000" w:themeColor="text1"/>
        </w:rPr>
        <w:t>4</w:t>
      </w:r>
      <w:r w:rsidRPr="002048A7">
        <w:rPr>
          <w:color w:val="000000" w:themeColor="text1"/>
        </w:rPr>
        <w:t xml:space="preserve"> tarihli ve 1</w:t>
      </w:r>
      <w:r>
        <w:rPr>
          <w:color w:val="000000" w:themeColor="text1"/>
        </w:rPr>
        <w:t>3156</w:t>
      </w:r>
      <w:r w:rsidRPr="002048A7">
        <w:rPr>
          <w:color w:val="000000" w:themeColor="text1"/>
        </w:rPr>
        <w:t>-11 sayılı Kurul Kararı ile</w:t>
      </w:r>
    </w:p>
    <w:p w14:paraId="5AB8BFD8" w14:textId="77777777" w:rsidR="00CA62D9" w:rsidRDefault="00CA62D9" w:rsidP="00CA62D9">
      <w:pPr>
        <w:pStyle w:val="ListeParagraf"/>
        <w:numPr>
          <w:ilvl w:val="0"/>
          <w:numId w:val="13"/>
        </w:numPr>
        <w:spacing w:after="0" w:line="240" w:lineRule="auto"/>
      </w:pPr>
      <w:r w:rsidRPr="002048A7">
        <w:t>Bağlantı hattında hem havai hem de yeraltı kablolarının kullanılması durumunda, birim bedel hesaplanırken havai ve yer altı hatlarının her birinin uzunluğunun ayrı ayrı dikkate alınarak hesaplanmasına,</w:t>
      </w:r>
    </w:p>
    <w:p w14:paraId="7CA4A233" w14:textId="77777777" w:rsidR="00CA62D9" w:rsidRPr="00E35362" w:rsidRDefault="00CA62D9" w:rsidP="00E35362">
      <w:pPr>
        <w:pStyle w:val="ListeParagraf"/>
        <w:numPr>
          <w:ilvl w:val="0"/>
          <w:numId w:val="13"/>
        </w:numPr>
        <w:spacing w:after="0" w:line="240" w:lineRule="auto"/>
      </w:pPr>
      <w:r w:rsidRPr="00E35362">
        <w:t>100 kW üzeri hatlar için bağlantı bedeli hesaplanırken, 100 kW’a kadar olan 957,59 TL/metre fiyatına, 100 kW üzerindeki her kW’ın 3,87 TL/m ile çarpılması ile bulunan bedelin ilave edilerek hesaplanmasına,</w:t>
      </w:r>
    </w:p>
    <w:p w14:paraId="52EF6B79" w14:textId="77777777" w:rsidR="00CA62D9" w:rsidRPr="00E35362" w:rsidRDefault="00CA62D9" w:rsidP="00E35362">
      <w:pPr>
        <w:pStyle w:val="ListeParagraf"/>
        <w:numPr>
          <w:ilvl w:val="0"/>
          <w:numId w:val="13"/>
        </w:numPr>
        <w:spacing w:after="0" w:line="240" w:lineRule="auto"/>
      </w:pPr>
      <w:r w:rsidRPr="00E35362">
        <w:t>Dağıtım şirketi tarafından bağlantı hizmeti alan tüketiciye aşağıda yer alan TL/metre bazlı bedeller dışında başka bir ad altında herhangi bir bedel uygulanmamasına,</w:t>
      </w:r>
    </w:p>
    <w:p w14:paraId="45FADEFE" w14:textId="77777777" w:rsidR="00CA62D9" w:rsidRPr="00E35362" w:rsidRDefault="00CA62D9" w:rsidP="00E35362">
      <w:pPr>
        <w:pStyle w:val="ListeParagraf"/>
        <w:numPr>
          <w:ilvl w:val="0"/>
          <w:numId w:val="13"/>
        </w:numPr>
        <w:spacing w:after="0" w:line="240" w:lineRule="auto"/>
      </w:pPr>
      <w:r w:rsidRPr="00E35362">
        <w:t xml:space="preserve">Bağlantı bedeline esas güç olarak Dağıtım Sistemine Bağlantı Anlaşmasının </w:t>
      </w:r>
      <w:proofErr w:type="gramStart"/>
      <w:r w:rsidRPr="00E35362">
        <w:t>3 üncü</w:t>
      </w:r>
      <w:proofErr w:type="gramEnd"/>
      <w:r w:rsidRPr="00E35362">
        <w:t xml:space="preserve"> maddesinin birinci fıkrasında yer alan ilgili mevzuat kapsamında belirtilen gücün esas alınmasına,</w:t>
      </w:r>
    </w:p>
    <w:p w14:paraId="44498E8A" w14:textId="77777777" w:rsidR="00CA62D9" w:rsidRPr="00E35362" w:rsidRDefault="00CA62D9" w:rsidP="00E35362">
      <w:pPr>
        <w:pStyle w:val="ListeParagraf"/>
        <w:numPr>
          <w:ilvl w:val="0"/>
          <w:numId w:val="13"/>
        </w:numPr>
        <w:spacing w:after="0" w:line="240" w:lineRule="auto"/>
      </w:pPr>
      <w:r w:rsidRPr="00E35362">
        <w:t>Bu kapsamda, tüketici dağıtım bağlantı bedelinin 1/1/2025 tarihinden itibaren aşağıda yer alan şekilde uygulanmasına,</w:t>
      </w:r>
    </w:p>
    <w:p w14:paraId="54EE1CEC" w14:textId="77777777" w:rsidR="00CA62D9" w:rsidRPr="002048A7" w:rsidRDefault="00CA62D9" w:rsidP="00CA62D9">
      <w:pPr>
        <w:pStyle w:val="Balk5"/>
        <w:jc w:val="center"/>
        <w:rPr>
          <w:rStyle w:val="Gl"/>
          <w:color w:val="000000" w:themeColor="text1"/>
        </w:rPr>
      </w:pPr>
      <w:bookmarkStart w:id="183" w:name="_Toc195868816"/>
      <w:r w:rsidRPr="002048A7">
        <w:rPr>
          <w:rStyle w:val="Gl"/>
          <w:color w:val="000000" w:themeColor="text1"/>
        </w:rPr>
        <w:t>Tablo 4.8: Dağıtım Sistemi Bağlantı Bedelleri</w:t>
      </w:r>
      <w:bookmarkEnd w:id="183"/>
    </w:p>
    <w:tbl>
      <w:tblPr>
        <w:tblW w:w="3205"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3177"/>
        <w:gridCol w:w="3177"/>
      </w:tblGrid>
      <w:tr w:rsidR="00CA62D9" w:rsidRPr="002048A7" w14:paraId="384CF6A0" w14:textId="77777777" w:rsidTr="00F45E83">
        <w:trPr>
          <w:trHeight w:val="340"/>
          <w:jc w:val="center"/>
        </w:trPr>
        <w:tc>
          <w:tcPr>
            <w:tcW w:w="2500" w:type="pct"/>
            <w:shd w:val="clear" w:color="auto" w:fill="6E9ECA"/>
            <w:noWrap/>
            <w:vAlign w:val="center"/>
            <w:hideMark/>
          </w:tcPr>
          <w:p w14:paraId="4DD86CF0" w14:textId="77777777" w:rsidR="00CA62D9" w:rsidRPr="002048A7" w:rsidRDefault="00CA62D9" w:rsidP="00F45E83">
            <w:pPr>
              <w:spacing w:after="0"/>
              <w:rPr>
                <w:b/>
                <w:bCs/>
                <w:color w:val="FFFFFF" w:themeColor="background1"/>
              </w:rPr>
            </w:pPr>
            <w:r w:rsidRPr="002048A7">
              <w:rPr>
                <w:b/>
                <w:bCs/>
                <w:color w:val="FFFFFF" w:themeColor="background1"/>
              </w:rPr>
              <w:t>Bağlantı Bedeli</w:t>
            </w:r>
          </w:p>
        </w:tc>
        <w:tc>
          <w:tcPr>
            <w:tcW w:w="2500" w:type="pct"/>
            <w:shd w:val="clear" w:color="auto" w:fill="6E9ECA"/>
            <w:noWrap/>
            <w:vAlign w:val="center"/>
            <w:hideMark/>
          </w:tcPr>
          <w:p w14:paraId="02D81FEA" w14:textId="77777777" w:rsidR="00CA62D9" w:rsidRPr="002048A7" w:rsidRDefault="00CA62D9" w:rsidP="00F45E83">
            <w:pPr>
              <w:spacing w:after="0"/>
              <w:rPr>
                <w:b/>
                <w:bCs/>
                <w:color w:val="FFFFFF" w:themeColor="background1"/>
              </w:rPr>
            </w:pPr>
            <w:r w:rsidRPr="002048A7">
              <w:rPr>
                <w:b/>
                <w:bCs/>
                <w:color w:val="FFFFFF" w:themeColor="background1"/>
              </w:rPr>
              <w:t>TL/metre</w:t>
            </w:r>
          </w:p>
        </w:tc>
      </w:tr>
      <w:tr w:rsidR="00CA62D9" w:rsidRPr="002048A7" w14:paraId="7E76FED5" w14:textId="77777777" w:rsidTr="00F45E83">
        <w:trPr>
          <w:trHeight w:val="340"/>
          <w:jc w:val="center"/>
        </w:trPr>
        <w:tc>
          <w:tcPr>
            <w:tcW w:w="5000" w:type="pct"/>
            <w:gridSpan w:val="2"/>
            <w:shd w:val="clear" w:color="auto" w:fill="D9D9D9" w:themeFill="background1" w:themeFillShade="D9"/>
            <w:noWrap/>
            <w:vAlign w:val="center"/>
            <w:hideMark/>
          </w:tcPr>
          <w:p w14:paraId="7B9E2ED1" w14:textId="77777777" w:rsidR="00CA62D9" w:rsidRPr="002048A7" w:rsidRDefault="00CA62D9" w:rsidP="00F45E83">
            <w:pPr>
              <w:spacing w:after="0"/>
              <w:jc w:val="center"/>
              <w:rPr>
                <w:b/>
                <w:bCs/>
              </w:rPr>
            </w:pPr>
            <w:r w:rsidRPr="002048A7">
              <w:rPr>
                <w:b/>
                <w:bCs/>
              </w:rPr>
              <w:t>AG</w:t>
            </w:r>
          </w:p>
        </w:tc>
      </w:tr>
      <w:tr w:rsidR="00CA62D9" w:rsidRPr="002048A7" w14:paraId="4DD0E149" w14:textId="77777777" w:rsidTr="00F45E83">
        <w:trPr>
          <w:trHeight w:val="340"/>
          <w:jc w:val="center"/>
        </w:trPr>
        <w:tc>
          <w:tcPr>
            <w:tcW w:w="5000" w:type="pct"/>
            <w:gridSpan w:val="2"/>
            <w:noWrap/>
            <w:vAlign w:val="center"/>
            <w:hideMark/>
          </w:tcPr>
          <w:p w14:paraId="361B3BC6" w14:textId="77777777" w:rsidR="00CA62D9" w:rsidRPr="002048A7" w:rsidRDefault="00CA62D9" w:rsidP="00F45E83">
            <w:pPr>
              <w:spacing w:after="0"/>
              <w:rPr>
                <w:b/>
                <w:bCs/>
              </w:rPr>
            </w:pPr>
            <w:r w:rsidRPr="002048A7">
              <w:rPr>
                <w:b/>
                <w:bCs/>
              </w:rPr>
              <w:t>0-15 kW (dâhil)</w:t>
            </w:r>
          </w:p>
        </w:tc>
      </w:tr>
      <w:tr w:rsidR="00CA62D9" w:rsidRPr="002048A7" w14:paraId="3B5976BB" w14:textId="77777777" w:rsidTr="00F45E83">
        <w:trPr>
          <w:trHeight w:val="340"/>
          <w:jc w:val="center"/>
        </w:trPr>
        <w:tc>
          <w:tcPr>
            <w:tcW w:w="2500" w:type="pct"/>
            <w:shd w:val="clear" w:color="auto" w:fill="FFFFFF"/>
            <w:noWrap/>
            <w:vAlign w:val="center"/>
            <w:hideMark/>
          </w:tcPr>
          <w:p w14:paraId="615F9CDC" w14:textId="77777777" w:rsidR="00CA62D9" w:rsidRPr="002048A7" w:rsidRDefault="00CA62D9" w:rsidP="00F45E83">
            <w:pPr>
              <w:spacing w:after="0"/>
            </w:pPr>
            <w:r w:rsidRPr="002048A7">
              <w:t>Yer altı</w:t>
            </w:r>
          </w:p>
        </w:tc>
        <w:tc>
          <w:tcPr>
            <w:tcW w:w="2500" w:type="pct"/>
            <w:shd w:val="clear" w:color="auto" w:fill="FFFFFF"/>
            <w:noWrap/>
            <w:vAlign w:val="center"/>
            <w:hideMark/>
          </w:tcPr>
          <w:p w14:paraId="2C11A0FB" w14:textId="77777777" w:rsidR="00CA62D9" w:rsidRPr="002048A7" w:rsidRDefault="00CA62D9" w:rsidP="00F45E83">
            <w:pPr>
              <w:spacing w:after="0"/>
              <w:jc w:val="right"/>
            </w:pPr>
            <w:r>
              <w:t>518</w:t>
            </w:r>
            <w:r w:rsidRPr="002048A7">
              <w:t>,</w:t>
            </w:r>
            <w:r>
              <w:t>09</w:t>
            </w:r>
          </w:p>
        </w:tc>
      </w:tr>
      <w:tr w:rsidR="00CA62D9" w:rsidRPr="002048A7" w14:paraId="3160D77A" w14:textId="77777777" w:rsidTr="00F45E83">
        <w:trPr>
          <w:trHeight w:val="340"/>
          <w:jc w:val="center"/>
        </w:trPr>
        <w:tc>
          <w:tcPr>
            <w:tcW w:w="2500" w:type="pct"/>
            <w:shd w:val="clear" w:color="auto" w:fill="FFFFFF"/>
            <w:noWrap/>
            <w:vAlign w:val="center"/>
            <w:hideMark/>
          </w:tcPr>
          <w:p w14:paraId="722CAA97" w14:textId="77777777" w:rsidR="00CA62D9" w:rsidRPr="002048A7" w:rsidRDefault="00CA62D9" w:rsidP="00F45E83">
            <w:pPr>
              <w:spacing w:after="0"/>
            </w:pPr>
            <w:r w:rsidRPr="002048A7">
              <w:t>Havai</w:t>
            </w:r>
          </w:p>
        </w:tc>
        <w:tc>
          <w:tcPr>
            <w:tcW w:w="2500" w:type="pct"/>
            <w:shd w:val="clear" w:color="auto" w:fill="FFFFFF"/>
            <w:noWrap/>
            <w:vAlign w:val="center"/>
            <w:hideMark/>
          </w:tcPr>
          <w:p w14:paraId="369947B6" w14:textId="77777777" w:rsidR="00CA62D9" w:rsidRPr="002048A7" w:rsidRDefault="00CA62D9" w:rsidP="00F45E83">
            <w:pPr>
              <w:spacing w:after="0"/>
              <w:jc w:val="right"/>
            </w:pPr>
            <w:r>
              <w:t>359</w:t>
            </w:r>
            <w:r w:rsidRPr="002048A7">
              <w:t>,</w:t>
            </w:r>
            <w:r>
              <w:t>88</w:t>
            </w:r>
          </w:p>
        </w:tc>
      </w:tr>
      <w:tr w:rsidR="00CA62D9" w:rsidRPr="002048A7" w14:paraId="3EAB5CAA" w14:textId="77777777" w:rsidTr="00F45E83">
        <w:trPr>
          <w:trHeight w:val="340"/>
          <w:jc w:val="center"/>
        </w:trPr>
        <w:tc>
          <w:tcPr>
            <w:tcW w:w="5000" w:type="pct"/>
            <w:gridSpan w:val="2"/>
            <w:noWrap/>
            <w:vAlign w:val="center"/>
            <w:hideMark/>
          </w:tcPr>
          <w:p w14:paraId="6B372C4C" w14:textId="77777777" w:rsidR="00CA62D9" w:rsidRPr="002048A7" w:rsidRDefault="00CA62D9" w:rsidP="00F45E83">
            <w:pPr>
              <w:spacing w:after="0"/>
              <w:rPr>
                <w:b/>
                <w:bCs/>
              </w:rPr>
            </w:pPr>
            <w:r w:rsidRPr="002048A7">
              <w:rPr>
                <w:b/>
                <w:bCs/>
              </w:rPr>
              <w:t>15-50 kW (dâhil)</w:t>
            </w:r>
          </w:p>
        </w:tc>
      </w:tr>
      <w:tr w:rsidR="00CA62D9" w:rsidRPr="002048A7" w14:paraId="0E91DC0A" w14:textId="77777777" w:rsidTr="00F45E83">
        <w:trPr>
          <w:trHeight w:val="340"/>
          <w:jc w:val="center"/>
        </w:trPr>
        <w:tc>
          <w:tcPr>
            <w:tcW w:w="2500" w:type="pct"/>
            <w:shd w:val="clear" w:color="auto" w:fill="FFFFFF"/>
            <w:noWrap/>
            <w:vAlign w:val="center"/>
            <w:hideMark/>
          </w:tcPr>
          <w:p w14:paraId="4F0EC5BE" w14:textId="77777777" w:rsidR="00CA62D9" w:rsidRPr="002048A7" w:rsidRDefault="00CA62D9" w:rsidP="00F45E83">
            <w:pPr>
              <w:spacing w:after="0"/>
            </w:pPr>
            <w:r w:rsidRPr="002048A7">
              <w:t>Yer altı</w:t>
            </w:r>
          </w:p>
        </w:tc>
        <w:tc>
          <w:tcPr>
            <w:tcW w:w="2500" w:type="pct"/>
            <w:shd w:val="clear" w:color="auto" w:fill="FFFFFF"/>
            <w:noWrap/>
            <w:vAlign w:val="center"/>
            <w:hideMark/>
          </w:tcPr>
          <w:p w14:paraId="04C4D7A7" w14:textId="77777777" w:rsidR="00CA62D9" w:rsidRPr="002048A7" w:rsidRDefault="00CA62D9" w:rsidP="00F45E83">
            <w:pPr>
              <w:spacing w:after="0"/>
              <w:jc w:val="right"/>
            </w:pPr>
            <w:r>
              <w:t>701,32</w:t>
            </w:r>
          </w:p>
        </w:tc>
      </w:tr>
      <w:tr w:rsidR="00CA62D9" w:rsidRPr="002048A7" w14:paraId="26771FFB" w14:textId="77777777" w:rsidTr="00F45E83">
        <w:trPr>
          <w:trHeight w:val="340"/>
          <w:jc w:val="center"/>
        </w:trPr>
        <w:tc>
          <w:tcPr>
            <w:tcW w:w="2500" w:type="pct"/>
            <w:noWrap/>
            <w:vAlign w:val="center"/>
            <w:hideMark/>
          </w:tcPr>
          <w:p w14:paraId="0CB33238" w14:textId="77777777" w:rsidR="00CA62D9" w:rsidRPr="002048A7" w:rsidRDefault="00CA62D9" w:rsidP="00F45E83">
            <w:pPr>
              <w:spacing w:after="0"/>
            </w:pPr>
            <w:r w:rsidRPr="002048A7">
              <w:t>Havai</w:t>
            </w:r>
          </w:p>
        </w:tc>
        <w:tc>
          <w:tcPr>
            <w:tcW w:w="2500" w:type="pct"/>
            <w:shd w:val="clear" w:color="auto" w:fill="FFFFFF"/>
            <w:noWrap/>
            <w:vAlign w:val="center"/>
            <w:hideMark/>
          </w:tcPr>
          <w:p w14:paraId="519A45DD" w14:textId="77777777" w:rsidR="00CA62D9" w:rsidRPr="002048A7" w:rsidRDefault="00CA62D9" w:rsidP="00F45E83">
            <w:pPr>
              <w:spacing w:after="0"/>
              <w:jc w:val="right"/>
            </w:pPr>
            <w:r>
              <w:t>468,79</w:t>
            </w:r>
          </w:p>
        </w:tc>
      </w:tr>
      <w:tr w:rsidR="00CA62D9" w:rsidRPr="002048A7" w14:paraId="3BCB7FA7" w14:textId="77777777" w:rsidTr="00F45E83">
        <w:trPr>
          <w:trHeight w:val="340"/>
          <w:jc w:val="center"/>
        </w:trPr>
        <w:tc>
          <w:tcPr>
            <w:tcW w:w="5000" w:type="pct"/>
            <w:gridSpan w:val="2"/>
            <w:shd w:val="clear" w:color="auto" w:fill="FFFFFF"/>
            <w:noWrap/>
            <w:vAlign w:val="center"/>
            <w:hideMark/>
          </w:tcPr>
          <w:p w14:paraId="43129ADA" w14:textId="77777777" w:rsidR="00CA62D9" w:rsidRPr="002048A7" w:rsidRDefault="00CA62D9" w:rsidP="00F45E83">
            <w:pPr>
              <w:spacing w:after="0"/>
              <w:rPr>
                <w:b/>
                <w:bCs/>
              </w:rPr>
            </w:pPr>
            <w:r w:rsidRPr="002048A7">
              <w:rPr>
                <w:b/>
                <w:bCs/>
              </w:rPr>
              <w:t>50-100 kW (dâhil)</w:t>
            </w:r>
          </w:p>
        </w:tc>
      </w:tr>
      <w:tr w:rsidR="00CA62D9" w:rsidRPr="002048A7" w14:paraId="79D89E17" w14:textId="77777777" w:rsidTr="00F45E83">
        <w:trPr>
          <w:trHeight w:val="340"/>
          <w:jc w:val="center"/>
        </w:trPr>
        <w:tc>
          <w:tcPr>
            <w:tcW w:w="2500" w:type="pct"/>
            <w:shd w:val="clear" w:color="auto" w:fill="FFFFFF"/>
            <w:noWrap/>
            <w:vAlign w:val="center"/>
            <w:hideMark/>
          </w:tcPr>
          <w:p w14:paraId="08ECF713" w14:textId="77777777" w:rsidR="00CA62D9" w:rsidRPr="002048A7" w:rsidRDefault="00CA62D9" w:rsidP="00F45E83">
            <w:pPr>
              <w:spacing w:after="0"/>
            </w:pPr>
            <w:r w:rsidRPr="002048A7">
              <w:t>Yer altı</w:t>
            </w:r>
          </w:p>
        </w:tc>
        <w:tc>
          <w:tcPr>
            <w:tcW w:w="2500" w:type="pct"/>
            <w:shd w:val="clear" w:color="auto" w:fill="FFFFFF"/>
            <w:noWrap/>
            <w:vAlign w:val="center"/>
            <w:hideMark/>
          </w:tcPr>
          <w:p w14:paraId="05CF395F" w14:textId="77777777" w:rsidR="00CA62D9" w:rsidRPr="002048A7" w:rsidRDefault="00CA62D9" w:rsidP="00F45E83">
            <w:pPr>
              <w:spacing w:after="0"/>
              <w:jc w:val="right"/>
            </w:pPr>
            <w:r>
              <w:t>957,59</w:t>
            </w:r>
          </w:p>
        </w:tc>
      </w:tr>
      <w:tr w:rsidR="00CA62D9" w:rsidRPr="002048A7" w14:paraId="216E09A1" w14:textId="77777777" w:rsidTr="00F45E83">
        <w:trPr>
          <w:trHeight w:val="340"/>
          <w:jc w:val="center"/>
        </w:trPr>
        <w:tc>
          <w:tcPr>
            <w:tcW w:w="2500" w:type="pct"/>
            <w:shd w:val="clear" w:color="auto" w:fill="FFFFFF"/>
            <w:noWrap/>
            <w:vAlign w:val="center"/>
            <w:hideMark/>
          </w:tcPr>
          <w:p w14:paraId="0635DB7C" w14:textId="77777777" w:rsidR="00CA62D9" w:rsidRPr="002048A7" w:rsidRDefault="00CA62D9" w:rsidP="00F45E83">
            <w:pPr>
              <w:spacing w:after="0"/>
            </w:pPr>
            <w:r w:rsidRPr="002048A7">
              <w:t>Havai</w:t>
            </w:r>
          </w:p>
        </w:tc>
        <w:tc>
          <w:tcPr>
            <w:tcW w:w="2500" w:type="pct"/>
            <w:shd w:val="clear" w:color="auto" w:fill="FFFFFF"/>
            <w:noWrap/>
            <w:vAlign w:val="center"/>
            <w:hideMark/>
          </w:tcPr>
          <w:p w14:paraId="5B31D2BA" w14:textId="77777777" w:rsidR="00CA62D9" w:rsidRPr="002048A7" w:rsidRDefault="00CA62D9" w:rsidP="00F45E83">
            <w:pPr>
              <w:spacing w:after="0"/>
              <w:jc w:val="right"/>
            </w:pPr>
            <w:r>
              <w:t>535,07</w:t>
            </w:r>
          </w:p>
        </w:tc>
      </w:tr>
      <w:tr w:rsidR="00CA62D9" w:rsidRPr="002048A7" w14:paraId="26E5143E" w14:textId="77777777" w:rsidTr="00F45E83">
        <w:trPr>
          <w:trHeight w:val="340"/>
          <w:jc w:val="center"/>
        </w:trPr>
        <w:tc>
          <w:tcPr>
            <w:tcW w:w="5000" w:type="pct"/>
            <w:gridSpan w:val="2"/>
            <w:noWrap/>
            <w:vAlign w:val="center"/>
            <w:hideMark/>
          </w:tcPr>
          <w:p w14:paraId="15743A16" w14:textId="77777777" w:rsidR="00CA62D9" w:rsidRPr="002048A7" w:rsidRDefault="00CA62D9" w:rsidP="00F45E83">
            <w:pPr>
              <w:spacing w:after="0"/>
              <w:rPr>
                <w:b/>
                <w:bCs/>
              </w:rPr>
            </w:pPr>
            <w:r w:rsidRPr="002048A7">
              <w:rPr>
                <w:b/>
                <w:bCs/>
              </w:rPr>
              <w:t>100 kW üzeri </w:t>
            </w:r>
          </w:p>
        </w:tc>
      </w:tr>
      <w:tr w:rsidR="00CA62D9" w:rsidRPr="002048A7" w14:paraId="0E3BEA73" w14:textId="77777777" w:rsidTr="00F45E83">
        <w:trPr>
          <w:trHeight w:val="340"/>
          <w:jc w:val="center"/>
        </w:trPr>
        <w:tc>
          <w:tcPr>
            <w:tcW w:w="2500" w:type="pct"/>
            <w:shd w:val="clear" w:color="auto" w:fill="FFFFFF"/>
            <w:noWrap/>
            <w:vAlign w:val="center"/>
            <w:hideMark/>
          </w:tcPr>
          <w:p w14:paraId="3D46557B" w14:textId="77777777" w:rsidR="00CA62D9" w:rsidRPr="002048A7" w:rsidRDefault="00CA62D9" w:rsidP="00F45E83">
            <w:pPr>
              <w:spacing w:after="0"/>
            </w:pPr>
            <w:r w:rsidRPr="002048A7">
              <w:t>Yer altı</w:t>
            </w:r>
          </w:p>
        </w:tc>
        <w:tc>
          <w:tcPr>
            <w:tcW w:w="2500" w:type="pct"/>
            <w:shd w:val="clear" w:color="auto" w:fill="FFFFFF"/>
            <w:noWrap/>
            <w:vAlign w:val="center"/>
            <w:hideMark/>
          </w:tcPr>
          <w:p w14:paraId="4E4A2A0C" w14:textId="77777777" w:rsidR="00CA62D9" w:rsidRPr="002048A7" w:rsidRDefault="00CA62D9" w:rsidP="00F45E83">
            <w:pPr>
              <w:spacing w:after="0"/>
              <w:jc w:val="right"/>
            </w:pPr>
            <w:r>
              <w:t>957,59</w:t>
            </w:r>
            <w:r w:rsidRPr="002048A7">
              <w:t>+</w:t>
            </w:r>
            <w:r>
              <w:t>3,87</w:t>
            </w:r>
            <w:r w:rsidRPr="002048A7">
              <w:t>×(Güç-100)</w:t>
            </w:r>
          </w:p>
        </w:tc>
      </w:tr>
      <w:tr w:rsidR="00CA62D9" w:rsidRPr="002048A7" w14:paraId="6698ECA2" w14:textId="77777777" w:rsidTr="00F45E83">
        <w:trPr>
          <w:trHeight w:val="340"/>
          <w:jc w:val="center"/>
        </w:trPr>
        <w:tc>
          <w:tcPr>
            <w:tcW w:w="5000" w:type="pct"/>
            <w:gridSpan w:val="2"/>
            <w:shd w:val="clear" w:color="auto" w:fill="D9D9D9" w:themeFill="background1" w:themeFillShade="D9"/>
            <w:noWrap/>
            <w:vAlign w:val="center"/>
            <w:hideMark/>
          </w:tcPr>
          <w:p w14:paraId="2B9DFA52" w14:textId="77777777" w:rsidR="00CA62D9" w:rsidRPr="002048A7" w:rsidRDefault="00CA62D9" w:rsidP="00F45E83">
            <w:pPr>
              <w:spacing w:after="0"/>
              <w:jc w:val="center"/>
              <w:rPr>
                <w:b/>
                <w:bCs/>
              </w:rPr>
            </w:pPr>
            <w:r w:rsidRPr="002048A7">
              <w:rPr>
                <w:b/>
                <w:bCs/>
              </w:rPr>
              <w:t>OG</w:t>
            </w:r>
          </w:p>
        </w:tc>
      </w:tr>
      <w:tr w:rsidR="00CA62D9" w:rsidRPr="002048A7" w14:paraId="4AFD376A" w14:textId="77777777" w:rsidTr="00F45E83">
        <w:trPr>
          <w:trHeight w:val="340"/>
          <w:jc w:val="center"/>
        </w:trPr>
        <w:tc>
          <w:tcPr>
            <w:tcW w:w="2500" w:type="pct"/>
            <w:shd w:val="clear" w:color="auto" w:fill="FFFFFF"/>
            <w:noWrap/>
            <w:vAlign w:val="center"/>
            <w:hideMark/>
          </w:tcPr>
          <w:p w14:paraId="13BB02AF" w14:textId="77777777" w:rsidR="00CA62D9" w:rsidRPr="002048A7" w:rsidRDefault="00CA62D9" w:rsidP="00F45E83">
            <w:pPr>
              <w:spacing w:after="0"/>
            </w:pPr>
            <w:r w:rsidRPr="002048A7">
              <w:t>Yer altı</w:t>
            </w:r>
          </w:p>
        </w:tc>
        <w:tc>
          <w:tcPr>
            <w:tcW w:w="2500" w:type="pct"/>
            <w:shd w:val="clear" w:color="auto" w:fill="FFFFFF"/>
            <w:noWrap/>
            <w:vAlign w:val="center"/>
            <w:hideMark/>
          </w:tcPr>
          <w:p w14:paraId="0862A268" w14:textId="77777777" w:rsidR="00CA62D9" w:rsidRPr="002048A7" w:rsidRDefault="00CA62D9" w:rsidP="00F45E83">
            <w:pPr>
              <w:spacing w:after="0"/>
              <w:jc w:val="right"/>
            </w:pPr>
            <w:r>
              <w:t>2.040,53</w:t>
            </w:r>
          </w:p>
        </w:tc>
      </w:tr>
      <w:tr w:rsidR="00CA62D9" w:rsidRPr="002048A7" w14:paraId="2F40C296" w14:textId="77777777" w:rsidTr="00F45E83">
        <w:trPr>
          <w:trHeight w:val="340"/>
          <w:jc w:val="center"/>
        </w:trPr>
        <w:tc>
          <w:tcPr>
            <w:tcW w:w="2500" w:type="pct"/>
            <w:noWrap/>
            <w:vAlign w:val="center"/>
            <w:hideMark/>
          </w:tcPr>
          <w:p w14:paraId="6F43A9DB" w14:textId="77777777" w:rsidR="00CA62D9" w:rsidRPr="002048A7" w:rsidRDefault="00CA62D9" w:rsidP="00F45E83">
            <w:pPr>
              <w:spacing w:after="0"/>
              <w:rPr>
                <w:bCs/>
              </w:rPr>
            </w:pPr>
            <w:r w:rsidRPr="002048A7">
              <w:rPr>
                <w:bCs/>
              </w:rPr>
              <w:t>Havai</w:t>
            </w:r>
          </w:p>
        </w:tc>
        <w:tc>
          <w:tcPr>
            <w:tcW w:w="2500" w:type="pct"/>
            <w:shd w:val="clear" w:color="auto" w:fill="FFFFFF"/>
            <w:noWrap/>
            <w:vAlign w:val="center"/>
            <w:hideMark/>
          </w:tcPr>
          <w:p w14:paraId="11D83A49" w14:textId="77777777" w:rsidR="00CA62D9" w:rsidRPr="002048A7" w:rsidRDefault="00CA62D9" w:rsidP="00F45E83">
            <w:pPr>
              <w:spacing w:after="0"/>
              <w:jc w:val="right"/>
            </w:pPr>
            <w:r>
              <w:t>975,32</w:t>
            </w:r>
          </w:p>
        </w:tc>
      </w:tr>
    </w:tbl>
    <w:p w14:paraId="6275B394" w14:textId="77777777" w:rsidR="002C3099" w:rsidRPr="002048A7" w:rsidRDefault="002C3099" w:rsidP="002C3099">
      <w:pPr>
        <w:spacing w:after="0"/>
        <w:rPr>
          <w:color w:val="000000" w:themeColor="text1"/>
        </w:rPr>
      </w:pPr>
    </w:p>
    <w:p w14:paraId="587732B8" w14:textId="77777777" w:rsidR="002C3099" w:rsidRPr="002048A7" w:rsidRDefault="002C3099" w:rsidP="00577AAF">
      <w:pPr>
        <w:pStyle w:val="Balk4"/>
        <w:numPr>
          <w:ilvl w:val="3"/>
          <w:numId w:val="11"/>
        </w:numPr>
        <w:spacing w:before="0" w:after="240"/>
        <w:rPr>
          <w:rFonts w:asciiTheme="minorHAnsi" w:hAnsiTheme="minorHAnsi"/>
          <w:i w:val="0"/>
          <w:color w:val="000000" w:themeColor="text1"/>
        </w:rPr>
      </w:pPr>
      <w:bookmarkStart w:id="184" w:name="_Toc66267375"/>
      <w:bookmarkStart w:id="185" w:name="_Toc195868714"/>
      <w:r w:rsidRPr="002048A7">
        <w:rPr>
          <w:rFonts w:asciiTheme="minorHAnsi" w:hAnsiTheme="minorHAnsi"/>
          <w:i w:val="0"/>
          <w:color w:val="000000" w:themeColor="text1"/>
        </w:rPr>
        <w:t>Kesme-Bağlama Bedeli</w:t>
      </w:r>
      <w:bookmarkEnd w:id="184"/>
      <w:bookmarkEnd w:id="185"/>
    </w:p>
    <w:p w14:paraId="6FE1A3A5" w14:textId="77777777" w:rsidR="00CA62D9" w:rsidRPr="002048A7" w:rsidRDefault="00CA62D9" w:rsidP="00CA62D9">
      <w:pPr>
        <w:spacing w:after="0"/>
        <w:rPr>
          <w:color w:val="000000" w:themeColor="text1"/>
        </w:rPr>
      </w:pPr>
      <w:bookmarkStart w:id="186" w:name="_Toc66267383"/>
      <w:r w:rsidRPr="002048A7">
        <w:rPr>
          <w:color w:val="000000" w:themeColor="text1"/>
        </w:rPr>
        <w:t>3</w:t>
      </w:r>
      <w:r>
        <w:rPr>
          <w:color w:val="000000" w:themeColor="text1"/>
        </w:rPr>
        <w:t>1</w:t>
      </w:r>
      <w:r w:rsidRPr="002048A7">
        <w:rPr>
          <w:color w:val="000000" w:themeColor="text1"/>
        </w:rPr>
        <w:t>.12.202</w:t>
      </w:r>
      <w:r>
        <w:rPr>
          <w:color w:val="000000" w:themeColor="text1"/>
        </w:rPr>
        <w:t>4</w:t>
      </w:r>
      <w:r w:rsidRPr="002048A7">
        <w:rPr>
          <w:color w:val="000000" w:themeColor="text1"/>
        </w:rPr>
        <w:t xml:space="preserve"> tarihli ve 32</w:t>
      </w:r>
      <w:r>
        <w:rPr>
          <w:color w:val="000000" w:themeColor="text1"/>
        </w:rPr>
        <w:t>769</w:t>
      </w:r>
      <w:r w:rsidRPr="002048A7">
        <w:rPr>
          <w:color w:val="000000" w:themeColor="text1"/>
        </w:rPr>
        <w:t xml:space="preserve"> (</w:t>
      </w:r>
      <w:r>
        <w:rPr>
          <w:color w:val="000000" w:themeColor="text1"/>
        </w:rPr>
        <w:t>5</w:t>
      </w:r>
      <w:r w:rsidRPr="002048A7">
        <w:rPr>
          <w:color w:val="000000" w:themeColor="text1"/>
        </w:rPr>
        <w:t>. Mükerrer) sayılı Resmî Gazete’de yayımlanan 2</w:t>
      </w:r>
      <w:r>
        <w:rPr>
          <w:color w:val="000000" w:themeColor="text1"/>
        </w:rPr>
        <w:t>6</w:t>
      </w:r>
      <w:r w:rsidRPr="002048A7">
        <w:rPr>
          <w:color w:val="000000" w:themeColor="text1"/>
        </w:rPr>
        <w:t>.12.202</w:t>
      </w:r>
      <w:r>
        <w:rPr>
          <w:color w:val="000000" w:themeColor="text1"/>
        </w:rPr>
        <w:t>4</w:t>
      </w:r>
      <w:r w:rsidRPr="002048A7">
        <w:rPr>
          <w:color w:val="000000" w:themeColor="text1"/>
        </w:rPr>
        <w:t xml:space="preserve"> tarihli ve 1</w:t>
      </w:r>
      <w:r>
        <w:rPr>
          <w:color w:val="000000" w:themeColor="text1"/>
        </w:rPr>
        <w:t>3156</w:t>
      </w:r>
      <w:r w:rsidRPr="002048A7">
        <w:rPr>
          <w:color w:val="000000" w:themeColor="text1"/>
        </w:rPr>
        <w:t>-2 sayılı Kurul Kararı ile 01.01.202</w:t>
      </w:r>
      <w:r>
        <w:rPr>
          <w:color w:val="000000" w:themeColor="text1"/>
        </w:rPr>
        <w:t>5</w:t>
      </w:r>
      <w:r w:rsidRPr="002048A7">
        <w:rPr>
          <w:color w:val="000000" w:themeColor="text1"/>
        </w:rPr>
        <w:t xml:space="preserve"> tarihinden itibaren Tablo 4.9’da yer alan kesme-bağlama bedellerinin uygulanmasına karar verilmiştir.</w:t>
      </w:r>
    </w:p>
    <w:p w14:paraId="3E4FD2E0" w14:textId="77777777" w:rsidR="00CA62D9" w:rsidRPr="002048A7" w:rsidRDefault="00CA62D9" w:rsidP="00CA62D9">
      <w:pPr>
        <w:pStyle w:val="Balk5"/>
        <w:jc w:val="center"/>
        <w:rPr>
          <w:rStyle w:val="Gl"/>
          <w:color w:val="000000" w:themeColor="text1"/>
        </w:rPr>
      </w:pPr>
      <w:bookmarkStart w:id="187" w:name="_Toc195868817"/>
      <w:bookmarkStart w:id="188" w:name="_Toc66267476"/>
      <w:r w:rsidRPr="002048A7">
        <w:rPr>
          <w:rStyle w:val="Gl"/>
          <w:color w:val="000000" w:themeColor="text1"/>
        </w:rPr>
        <w:t>Tablo 4.9: Kesme-Bağlama Bedelleri</w:t>
      </w:r>
      <w:bookmarkEnd w:id="187"/>
    </w:p>
    <w:tbl>
      <w:tblPr>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1E0" w:firstRow="1" w:lastRow="1" w:firstColumn="1" w:lastColumn="1" w:noHBand="0" w:noVBand="0"/>
      </w:tblPr>
      <w:tblGrid>
        <w:gridCol w:w="3314"/>
        <w:gridCol w:w="3202"/>
      </w:tblGrid>
      <w:tr w:rsidR="00CA62D9" w:rsidRPr="002048A7" w14:paraId="3978B14C" w14:textId="77777777" w:rsidTr="00F45E83">
        <w:trPr>
          <w:jc w:val="center"/>
        </w:trPr>
        <w:tc>
          <w:tcPr>
            <w:tcW w:w="3314" w:type="dxa"/>
            <w:shd w:val="clear" w:color="auto" w:fill="6E9ECA"/>
            <w:hideMark/>
          </w:tcPr>
          <w:p w14:paraId="17599E70" w14:textId="77777777" w:rsidR="00CA62D9" w:rsidRPr="002048A7" w:rsidRDefault="00CA62D9" w:rsidP="00F45E83">
            <w:pPr>
              <w:spacing w:after="0"/>
              <w:jc w:val="center"/>
              <w:rPr>
                <w:b/>
                <w:color w:val="FFFFFF" w:themeColor="background1"/>
              </w:rPr>
            </w:pPr>
            <w:r w:rsidRPr="002048A7">
              <w:rPr>
                <w:b/>
                <w:color w:val="FFFFFF" w:themeColor="background1"/>
              </w:rPr>
              <w:t>Bağlantı Seviyesi</w:t>
            </w:r>
          </w:p>
        </w:tc>
        <w:tc>
          <w:tcPr>
            <w:tcW w:w="3202" w:type="dxa"/>
            <w:shd w:val="clear" w:color="auto" w:fill="6E9ECA"/>
            <w:hideMark/>
          </w:tcPr>
          <w:p w14:paraId="641FF7F7" w14:textId="77777777" w:rsidR="00CA62D9" w:rsidRPr="002048A7" w:rsidRDefault="00CA62D9" w:rsidP="00F45E83">
            <w:pPr>
              <w:spacing w:after="0"/>
              <w:jc w:val="center"/>
              <w:rPr>
                <w:b/>
                <w:color w:val="FFFFFF" w:themeColor="background1"/>
              </w:rPr>
            </w:pPr>
            <w:r w:rsidRPr="002048A7">
              <w:rPr>
                <w:b/>
                <w:color w:val="FFFFFF" w:themeColor="background1"/>
              </w:rPr>
              <w:t>Kesme-Bağlama Bedeli (TL)</w:t>
            </w:r>
          </w:p>
        </w:tc>
      </w:tr>
      <w:tr w:rsidR="00CA62D9" w:rsidRPr="002048A7" w14:paraId="056FA95E" w14:textId="77777777" w:rsidTr="00F45E83">
        <w:trPr>
          <w:jc w:val="center"/>
        </w:trPr>
        <w:tc>
          <w:tcPr>
            <w:tcW w:w="3314" w:type="dxa"/>
            <w:hideMark/>
          </w:tcPr>
          <w:p w14:paraId="66368008" w14:textId="77777777" w:rsidR="00CA62D9" w:rsidRPr="002048A7" w:rsidRDefault="00CA62D9" w:rsidP="00F45E83">
            <w:pPr>
              <w:spacing w:after="0"/>
              <w:rPr>
                <w:color w:val="000000" w:themeColor="text1"/>
              </w:rPr>
            </w:pPr>
            <w:r w:rsidRPr="002048A7">
              <w:rPr>
                <w:color w:val="000000" w:themeColor="text1"/>
              </w:rPr>
              <w:t>AG</w:t>
            </w:r>
          </w:p>
        </w:tc>
        <w:tc>
          <w:tcPr>
            <w:tcW w:w="3202" w:type="dxa"/>
            <w:hideMark/>
          </w:tcPr>
          <w:p w14:paraId="53DAA16D" w14:textId="77777777" w:rsidR="00CA62D9" w:rsidRPr="002048A7" w:rsidRDefault="00CA62D9" w:rsidP="00F45E83">
            <w:pPr>
              <w:spacing w:after="0"/>
              <w:jc w:val="right"/>
              <w:rPr>
                <w:color w:val="000000" w:themeColor="text1"/>
              </w:rPr>
            </w:pPr>
            <w:r>
              <w:rPr>
                <w:color w:val="000000" w:themeColor="text1"/>
              </w:rPr>
              <w:t>106</w:t>
            </w:r>
            <w:r w:rsidRPr="002048A7">
              <w:rPr>
                <w:color w:val="000000" w:themeColor="text1"/>
              </w:rPr>
              <w:t>,</w:t>
            </w:r>
            <w:r>
              <w:rPr>
                <w:color w:val="000000" w:themeColor="text1"/>
              </w:rPr>
              <w:t>8</w:t>
            </w:r>
          </w:p>
        </w:tc>
      </w:tr>
      <w:tr w:rsidR="00CA62D9" w:rsidRPr="002048A7" w14:paraId="092A417A" w14:textId="77777777" w:rsidTr="00F45E83">
        <w:trPr>
          <w:jc w:val="center"/>
        </w:trPr>
        <w:tc>
          <w:tcPr>
            <w:tcW w:w="3314" w:type="dxa"/>
            <w:hideMark/>
          </w:tcPr>
          <w:p w14:paraId="27C13BAA" w14:textId="77777777" w:rsidR="00CA62D9" w:rsidRPr="002048A7" w:rsidRDefault="00CA62D9" w:rsidP="00F45E83">
            <w:pPr>
              <w:spacing w:after="0"/>
              <w:rPr>
                <w:color w:val="000000" w:themeColor="text1"/>
              </w:rPr>
            </w:pPr>
            <w:r w:rsidRPr="002048A7">
              <w:rPr>
                <w:color w:val="000000" w:themeColor="text1"/>
              </w:rPr>
              <w:t>OG</w:t>
            </w:r>
          </w:p>
        </w:tc>
        <w:tc>
          <w:tcPr>
            <w:tcW w:w="3202" w:type="dxa"/>
            <w:hideMark/>
          </w:tcPr>
          <w:p w14:paraId="3B1AAB4B" w14:textId="77777777" w:rsidR="00CA62D9" w:rsidRPr="002048A7" w:rsidRDefault="00CA62D9" w:rsidP="00F45E83">
            <w:pPr>
              <w:spacing w:after="0"/>
              <w:jc w:val="right"/>
              <w:rPr>
                <w:color w:val="000000" w:themeColor="text1"/>
              </w:rPr>
            </w:pPr>
            <w:r>
              <w:rPr>
                <w:color w:val="000000" w:themeColor="text1"/>
              </w:rPr>
              <w:t>799,6</w:t>
            </w:r>
          </w:p>
        </w:tc>
      </w:tr>
      <w:bookmarkEnd w:id="188"/>
    </w:tbl>
    <w:p w14:paraId="351EA802" w14:textId="77777777" w:rsidR="00CA62D9" w:rsidRPr="002048A7" w:rsidRDefault="00CA62D9" w:rsidP="00CA62D9">
      <w:pPr>
        <w:pStyle w:val="AralkYok"/>
      </w:pPr>
    </w:p>
    <w:p w14:paraId="74202186" w14:textId="77777777" w:rsidR="00CA62D9" w:rsidRPr="002048A7" w:rsidRDefault="00CA62D9" w:rsidP="00CA62D9">
      <w:pPr>
        <w:pStyle w:val="Balk4"/>
        <w:numPr>
          <w:ilvl w:val="3"/>
          <w:numId w:val="11"/>
        </w:numPr>
        <w:spacing w:before="0" w:after="240"/>
        <w:rPr>
          <w:rFonts w:asciiTheme="minorHAnsi" w:hAnsiTheme="minorHAnsi"/>
          <w:i w:val="0"/>
          <w:color w:val="FFC000"/>
        </w:rPr>
      </w:pPr>
      <w:bookmarkStart w:id="189" w:name="_Toc66267376"/>
      <w:bookmarkStart w:id="190" w:name="_Toc195868715"/>
      <w:r w:rsidRPr="002048A7">
        <w:rPr>
          <w:rFonts w:asciiTheme="minorHAnsi" w:hAnsiTheme="minorHAnsi"/>
          <w:i w:val="0"/>
          <w:color w:val="000000" w:themeColor="text1"/>
        </w:rPr>
        <w:lastRenderedPageBreak/>
        <w:t>Güvence Bedeli</w:t>
      </w:r>
      <w:bookmarkEnd w:id="189"/>
      <w:bookmarkEnd w:id="190"/>
    </w:p>
    <w:p w14:paraId="0FB318DB" w14:textId="77777777" w:rsidR="00CA62D9" w:rsidRPr="002048A7" w:rsidRDefault="00CA62D9" w:rsidP="00CA62D9">
      <w:pPr>
        <w:spacing w:after="0"/>
        <w:rPr>
          <w:color w:val="000000" w:themeColor="text1"/>
        </w:rPr>
      </w:pPr>
      <w:r w:rsidRPr="002048A7">
        <w:rPr>
          <w:color w:val="000000" w:themeColor="text1"/>
        </w:rPr>
        <w:t>3</w:t>
      </w:r>
      <w:r>
        <w:rPr>
          <w:color w:val="000000" w:themeColor="text1"/>
        </w:rPr>
        <w:t>1</w:t>
      </w:r>
      <w:r w:rsidRPr="002048A7">
        <w:rPr>
          <w:color w:val="000000" w:themeColor="text1"/>
        </w:rPr>
        <w:t>.12.202</w:t>
      </w:r>
      <w:r>
        <w:rPr>
          <w:color w:val="000000" w:themeColor="text1"/>
        </w:rPr>
        <w:t>4</w:t>
      </w:r>
      <w:r w:rsidRPr="002048A7">
        <w:rPr>
          <w:color w:val="000000" w:themeColor="text1"/>
        </w:rPr>
        <w:t xml:space="preserve"> tarihli ve 32</w:t>
      </w:r>
      <w:r>
        <w:rPr>
          <w:color w:val="000000" w:themeColor="text1"/>
        </w:rPr>
        <w:t>769</w:t>
      </w:r>
      <w:r w:rsidRPr="002048A7">
        <w:rPr>
          <w:color w:val="000000" w:themeColor="text1"/>
        </w:rPr>
        <w:t xml:space="preserve"> (</w:t>
      </w:r>
      <w:r>
        <w:rPr>
          <w:color w:val="000000" w:themeColor="text1"/>
        </w:rPr>
        <w:t>5</w:t>
      </w:r>
      <w:r w:rsidRPr="002048A7">
        <w:rPr>
          <w:color w:val="000000" w:themeColor="text1"/>
        </w:rPr>
        <w:t>. Mükerrer) sayılı Resmî Gazete’de yayımlanan 2</w:t>
      </w:r>
      <w:r>
        <w:rPr>
          <w:color w:val="000000" w:themeColor="text1"/>
        </w:rPr>
        <w:t>6</w:t>
      </w:r>
      <w:r w:rsidRPr="002048A7">
        <w:rPr>
          <w:color w:val="000000" w:themeColor="text1"/>
        </w:rPr>
        <w:t>.12.202</w:t>
      </w:r>
      <w:r>
        <w:rPr>
          <w:color w:val="000000" w:themeColor="text1"/>
        </w:rPr>
        <w:t>4</w:t>
      </w:r>
      <w:r w:rsidRPr="002048A7">
        <w:rPr>
          <w:color w:val="000000" w:themeColor="text1"/>
        </w:rPr>
        <w:t xml:space="preserve"> tarihli ve 1</w:t>
      </w:r>
      <w:r>
        <w:rPr>
          <w:color w:val="000000" w:themeColor="text1"/>
        </w:rPr>
        <w:t>3156</w:t>
      </w:r>
      <w:r w:rsidRPr="002048A7">
        <w:rPr>
          <w:color w:val="000000" w:themeColor="text1"/>
        </w:rPr>
        <w:t>-1 sayılı Kurul Kararı ile 01.01.202</w:t>
      </w:r>
      <w:r>
        <w:rPr>
          <w:color w:val="000000" w:themeColor="text1"/>
        </w:rPr>
        <w:t>5</w:t>
      </w:r>
      <w:r w:rsidRPr="002048A7">
        <w:rPr>
          <w:color w:val="000000" w:themeColor="text1"/>
        </w:rPr>
        <w:t xml:space="preserve"> tarihinden itibaren Tablo 4.10’da yer alan güvence bedellerinin uygulanmasına karar verilmiştir.</w:t>
      </w:r>
    </w:p>
    <w:p w14:paraId="64CD30BF" w14:textId="77777777" w:rsidR="00CA62D9" w:rsidRPr="002048A7" w:rsidRDefault="00CA62D9" w:rsidP="00CA62D9">
      <w:pPr>
        <w:pStyle w:val="Balk5"/>
        <w:jc w:val="center"/>
        <w:rPr>
          <w:rStyle w:val="Gl"/>
          <w:color w:val="000000" w:themeColor="text1"/>
        </w:rPr>
      </w:pPr>
      <w:bookmarkStart w:id="191" w:name="_Toc195868818"/>
      <w:bookmarkStart w:id="192" w:name="_Toc66267477"/>
      <w:r w:rsidRPr="002048A7">
        <w:rPr>
          <w:rStyle w:val="Gl"/>
          <w:color w:val="000000" w:themeColor="text1"/>
        </w:rPr>
        <w:t>Tablo 4.10: Güvence Bedelleri</w:t>
      </w:r>
      <w:bookmarkEnd w:id="191"/>
    </w:p>
    <w:tbl>
      <w:tblPr>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1E0" w:firstRow="1" w:lastRow="1" w:firstColumn="1" w:lastColumn="1" w:noHBand="0" w:noVBand="0"/>
      </w:tblPr>
      <w:tblGrid>
        <w:gridCol w:w="4844"/>
        <w:gridCol w:w="3373"/>
      </w:tblGrid>
      <w:tr w:rsidR="00CA62D9" w:rsidRPr="002048A7" w14:paraId="43661386" w14:textId="77777777" w:rsidTr="00F45E83">
        <w:trPr>
          <w:trHeight w:val="377"/>
          <w:jc w:val="center"/>
        </w:trPr>
        <w:tc>
          <w:tcPr>
            <w:tcW w:w="4844" w:type="dxa"/>
            <w:shd w:val="clear" w:color="auto" w:fill="6E9ECA"/>
            <w:vAlign w:val="center"/>
          </w:tcPr>
          <w:p w14:paraId="2ED3E927" w14:textId="77777777" w:rsidR="00CA62D9" w:rsidRPr="002048A7" w:rsidRDefault="00CA62D9" w:rsidP="00F45E83">
            <w:pPr>
              <w:spacing w:after="0"/>
              <w:jc w:val="center"/>
              <w:rPr>
                <w:b/>
                <w:color w:val="FFFFFF" w:themeColor="background1"/>
              </w:rPr>
            </w:pPr>
            <w:r w:rsidRPr="002048A7">
              <w:rPr>
                <w:b/>
                <w:color w:val="FFFFFF" w:themeColor="background1"/>
              </w:rPr>
              <w:t>Abone Grupları</w:t>
            </w:r>
          </w:p>
        </w:tc>
        <w:tc>
          <w:tcPr>
            <w:tcW w:w="3373" w:type="dxa"/>
            <w:shd w:val="clear" w:color="auto" w:fill="6E9ECA"/>
            <w:vAlign w:val="center"/>
          </w:tcPr>
          <w:p w14:paraId="12A447E0" w14:textId="77777777" w:rsidR="00CA62D9" w:rsidRPr="002048A7" w:rsidRDefault="00CA62D9" w:rsidP="00F45E83">
            <w:pPr>
              <w:spacing w:after="0"/>
              <w:jc w:val="center"/>
              <w:rPr>
                <w:b/>
                <w:color w:val="FFFFFF" w:themeColor="background1"/>
              </w:rPr>
            </w:pPr>
            <w:r w:rsidRPr="002048A7">
              <w:rPr>
                <w:b/>
                <w:color w:val="FFFFFF" w:themeColor="background1"/>
              </w:rPr>
              <w:t>Güvence Birim Bedeli (TL/kW)</w:t>
            </w:r>
          </w:p>
        </w:tc>
      </w:tr>
      <w:tr w:rsidR="00CA62D9" w:rsidRPr="002048A7" w14:paraId="4DD734CB" w14:textId="77777777" w:rsidTr="00F45E83">
        <w:trPr>
          <w:jc w:val="center"/>
        </w:trPr>
        <w:tc>
          <w:tcPr>
            <w:tcW w:w="4844" w:type="dxa"/>
          </w:tcPr>
          <w:p w14:paraId="3E07C988" w14:textId="77777777" w:rsidR="00CA62D9" w:rsidRPr="002048A7" w:rsidRDefault="00CA62D9" w:rsidP="00F45E83">
            <w:pPr>
              <w:spacing w:after="0"/>
              <w:rPr>
                <w:color w:val="000000" w:themeColor="text1"/>
              </w:rPr>
            </w:pPr>
            <w:r w:rsidRPr="002048A7">
              <w:rPr>
                <w:color w:val="000000" w:themeColor="text1"/>
              </w:rPr>
              <w:t xml:space="preserve">Sanayi ve Kamu ve Özel Hizmetler Sektörü ile </w:t>
            </w:r>
            <w:proofErr w:type="gramStart"/>
            <w:r w:rsidRPr="002048A7">
              <w:rPr>
                <w:color w:val="000000" w:themeColor="text1"/>
              </w:rPr>
              <w:t>Diğer</w:t>
            </w:r>
            <w:proofErr w:type="gramEnd"/>
          </w:p>
        </w:tc>
        <w:tc>
          <w:tcPr>
            <w:tcW w:w="3373" w:type="dxa"/>
          </w:tcPr>
          <w:p w14:paraId="4BCB35AE" w14:textId="77777777" w:rsidR="00CA62D9" w:rsidRPr="002048A7" w:rsidRDefault="00CA62D9" w:rsidP="00F45E83">
            <w:pPr>
              <w:spacing w:after="0"/>
              <w:jc w:val="center"/>
              <w:rPr>
                <w:color w:val="000000" w:themeColor="text1"/>
              </w:rPr>
            </w:pPr>
            <w:r w:rsidRPr="00F13D2E">
              <w:rPr>
                <w:color w:val="000000" w:themeColor="text1"/>
              </w:rPr>
              <w:t>569,4</w:t>
            </w:r>
          </w:p>
        </w:tc>
      </w:tr>
      <w:tr w:rsidR="00CA62D9" w:rsidRPr="002048A7" w14:paraId="30E67C1B" w14:textId="77777777" w:rsidTr="00F45E83">
        <w:trPr>
          <w:jc w:val="center"/>
        </w:trPr>
        <w:tc>
          <w:tcPr>
            <w:tcW w:w="4844" w:type="dxa"/>
          </w:tcPr>
          <w:p w14:paraId="54112EC1" w14:textId="77777777" w:rsidR="00CA62D9" w:rsidRPr="002048A7" w:rsidRDefault="00CA62D9" w:rsidP="00F45E83">
            <w:pPr>
              <w:spacing w:after="0"/>
              <w:rPr>
                <w:color w:val="000000" w:themeColor="text1"/>
              </w:rPr>
            </w:pPr>
            <w:r w:rsidRPr="002048A7">
              <w:rPr>
                <w:color w:val="000000" w:themeColor="text1"/>
              </w:rPr>
              <w:t>Mesken</w:t>
            </w:r>
          </w:p>
        </w:tc>
        <w:tc>
          <w:tcPr>
            <w:tcW w:w="3373" w:type="dxa"/>
          </w:tcPr>
          <w:p w14:paraId="323B883E" w14:textId="77777777" w:rsidR="00CA62D9" w:rsidRPr="002048A7" w:rsidRDefault="00CA62D9" w:rsidP="00F45E83">
            <w:pPr>
              <w:spacing w:after="0"/>
              <w:jc w:val="center"/>
              <w:rPr>
                <w:color w:val="000000" w:themeColor="text1"/>
              </w:rPr>
            </w:pPr>
            <w:r w:rsidRPr="0089088E">
              <w:rPr>
                <w:color w:val="000000" w:themeColor="text1"/>
              </w:rPr>
              <w:t>200,3</w:t>
            </w:r>
          </w:p>
        </w:tc>
      </w:tr>
      <w:tr w:rsidR="00CA62D9" w:rsidRPr="002048A7" w14:paraId="294DA56B" w14:textId="77777777" w:rsidTr="00F45E83">
        <w:trPr>
          <w:jc w:val="center"/>
        </w:trPr>
        <w:tc>
          <w:tcPr>
            <w:tcW w:w="4844" w:type="dxa"/>
          </w:tcPr>
          <w:p w14:paraId="1533D986" w14:textId="77777777" w:rsidR="00CA62D9" w:rsidRPr="002048A7" w:rsidRDefault="00CA62D9" w:rsidP="00F45E83">
            <w:pPr>
              <w:spacing w:after="0"/>
              <w:rPr>
                <w:color w:val="000000" w:themeColor="text1"/>
              </w:rPr>
            </w:pPr>
            <w:r w:rsidRPr="002048A7">
              <w:rPr>
                <w:color w:val="000000" w:themeColor="text1"/>
              </w:rPr>
              <w:t>Şehit Aileleri ve Muharip/Malul Gaziler</w:t>
            </w:r>
          </w:p>
        </w:tc>
        <w:tc>
          <w:tcPr>
            <w:tcW w:w="3373" w:type="dxa"/>
          </w:tcPr>
          <w:p w14:paraId="012CA8A0" w14:textId="77777777" w:rsidR="00CA62D9" w:rsidRPr="002048A7" w:rsidRDefault="00CA62D9" w:rsidP="00F45E83">
            <w:pPr>
              <w:spacing w:after="0"/>
              <w:jc w:val="center"/>
              <w:rPr>
                <w:color w:val="000000" w:themeColor="text1"/>
              </w:rPr>
            </w:pPr>
            <w:r w:rsidRPr="0089088E">
              <w:rPr>
                <w:color w:val="000000" w:themeColor="text1"/>
              </w:rPr>
              <w:t>100,0</w:t>
            </w:r>
          </w:p>
        </w:tc>
      </w:tr>
      <w:tr w:rsidR="00CA62D9" w:rsidRPr="002048A7" w14:paraId="79D5A7F5" w14:textId="77777777" w:rsidTr="00F45E83">
        <w:trPr>
          <w:jc w:val="center"/>
        </w:trPr>
        <w:tc>
          <w:tcPr>
            <w:tcW w:w="4844" w:type="dxa"/>
          </w:tcPr>
          <w:p w14:paraId="22CFC28E" w14:textId="77777777" w:rsidR="00CA62D9" w:rsidRPr="002048A7" w:rsidRDefault="00CA62D9" w:rsidP="00F45E83">
            <w:pPr>
              <w:spacing w:after="0"/>
              <w:rPr>
                <w:color w:val="000000" w:themeColor="text1"/>
              </w:rPr>
            </w:pPr>
            <w:r w:rsidRPr="002048A7">
              <w:rPr>
                <w:color w:val="000000" w:themeColor="text1"/>
              </w:rPr>
              <w:t xml:space="preserve">Tarımsal Faaliyetler, Aydınlatma ve </w:t>
            </w:r>
            <w:proofErr w:type="gramStart"/>
            <w:r w:rsidRPr="002048A7">
              <w:rPr>
                <w:color w:val="000000" w:themeColor="text1"/>
              </w:rPr>
              <w:t>Diğer</w:t>
            </w:r>
            <w:proofErr w:type="gramEnd"/>
          </w:p>
        </w:tc>
        <w:tc>
          <w:tcPr>
            <w:tcW w:w="3373" w:type="dxa"/>
          </w:tcPr>
          <w:p w14:paraId="176787E9" w14:textId="77777777" w:rsidR="00CA62D9" w:rsidRPr="002048A7" w:rsidRDefault="00CA62D9" w:rsidP="00F45E83">
            <w:pPr>
              <w:spacing w:after="0"/>
              <w:jc w:val="center"/>
              <w:rPr>
                <w:color w:val="000000" w:themeColor="text1"/>
              </w:rPr>
            </w:pPr>
            <w:r w:rsidRPr="0089088E">
              <w:rPr>
                <w:color w:val="000000" w:themeColor="text1"/>
              </w:rPr>
              <w:t>270,2</w:t>
            </w:r>
          </w:p>
        </w:tc>
      </w:tr>
    </w:tbl>
    <w:p w14:paraId="14994DF1" w14:textId="77777777" w:rsidR="00CA62D9" w:rsidRPr="002048A7" w:rsidRDefault="00CA62D9" w:rsidP="00CA62D9">
      <w:pPr>
        <w:spacing w:after="240"/>
      </w:pPr>
    </w:p>
    <w:p w14:paraId="584FD005" w14:textId="77777777" w:rsidR="00CA62D9" w:rsidRPr="002048A7" w:rsidRDefault="00CA62D9" w:rsidP="00CA62D9">
      <w:pPr>
        <w:pStyle w:val="Balk4"/>
        <w:numPr>
          <w:ilvl w:val="3"/>
          <w:numId w:val="11"/>
        </w:numPr>
        <w:spacing w:before="0" w:after="240"/>
        <w:rPr>
          <w:rFonts w:asciiTheme="minorHAnsi" w:hAnsiTheme="minorHAnsi"/>
          <w:i w:val="0"/>
          <w:color w:val="000000" w:themeColor="text1"/>
        </w:rPr>
      </w:pPr>
      <w:bookmarkStart w:id="193" w:name="_Toc66267377"/>
      <w:bookmarkStart w:id="194" w:name="_Toc195868716"/>
      <w:bookmarkEnd w:id="192"/>
      <w:r w:rsidRPr="002048A7">
        <w:rPr>
          <w:rFonts w:asciiTheme="minorHAnsi" w:hAnsiTheme="minorHAnsi"/>
          <w:i w:val="0"/>
          <w:color w:val="000000" w:themeColor="text1"/>
        </w:rPr>
        <w:t>Sayaç Kontrol Bedeli</w:t>
      </w:r>
      <w:bookmarkEnd w:id="193"/>
      <w:bookmarkEnd w:id="194"/>
    </w:p>
    <w:p w14:paraId="08EC35DF" w14:textId="77777777" w:rsidR="00CA62D9" w:rsidRPr="002048A7" w:rsidRDefault="00CA62D9" w:rsidP="00CA62D9">
      <w:pPr>
        <w:spacing w:after="240"/>
        <w:rPr>
          <w:color w:val="000000" w:themeColor="text1"/>
        </w:rPr>
      </w:pPr>
      <w:r w:rsidRPr="002048A7">
        <w:rPr>
          <w:color w:val="000000" w:themeColor="text1"/>
        </w:rPr>
        <w:t>3</w:t>
      </w:r>
      <w:r>
        <w:rPr>
          <w:color w:val="000000" w:themeColor="text1"/>
        </w:rPr>
        <w:t>1</w:t>
      </w:r>
      <w:r w:rsidRPr="002048A7">
        <w:rPr>
          <w:color w:val="000000" w:themeColor="text1"/>
        </w:rPr>
        <w:t>.12.202</w:t>
      </w:r>
      <w:r>
        <w:rPr>
          <w:color w:val="000000" w:themeColor="text1"/>
        </w:rPr>
        <w:t>4</w:t>
      </w:r>
      <w:r w:rsidRPr="002048A7">
        <w:rPr>
          <w:color w:val="000000" w:themeColor="text1"/>
        </w:rPr>
        <w:t xml:space="preserve"> tarihli ve 32</w:t>
      </w:r>
      <w:r>
        <w:rPr>
          <w:color w:val="000000" w:themeColor="text1"/>
        </w:rPr>
        <w:t>769</w:t>
      </w:r>
      <w:r w:rsidRPr="002048A7">
        <w:rPr>
          <w:color w:val="000000" w:themeColor="text1"/>
        </w:rPr>
        <w:t xml:space="preserve"> (</w:t>
      </w:r>
      <w:r>
        <w:rPr>
          <w:color w:val="000000" w:themeColor="text1"/>
        </w:rPr>
        <w:t>5</w:t>
      </w:r>
      <w:r w:rsidRPr="002048A7">
        <w:rPr>
          <w:color w:val="000000" w:themeColor="text1"/>
        </w:rPr>
        <w:t>. Mükerrer) sayılı Resmî Gazete’de yayımlanan 2</w:t>
      </w:r>
      <w:r>
        <w:rPr>
          <w:color w:val="000000" w:themeColor="text1"/>
        </w:rPr>
        <w:t>6</w:t>
      </w:r>
      <w:r w:rsidRPr="002048A7">
        <w:rPr>
          <w:color w:val="000000" w:themeColor="text1"/>
        </w:rPr>
        <w:t>.12.202</w:t>
      </w:r>
      <w:r>
        <w:rPr>
          <w:color w:val="000000" w:themeColor="text1"/>
        </w:rPr>
        <w:t>4</w:t>
      </w:r>
      <w:r w:rsidRPr="002048A7">
        <w:rPr>
          <w:color w:val="000000" w:themeColor="text1"/>
        </w:rPr>
        <w:t xml:space="preserve"> tarihli ve 1</w:t>
      </w:r>
      <w:r>
        <w:rPr>
          <w:color w:val="000000" w:themeColor="text1"/>
        </w:rPr>
        <w:t>3156</w:t>
      </w:r>
      <w:r w:rsidRPr="002048A7">
        <w:rPr>
          <w:color w:val="000000" w:themeColor="text1"/>
        </w:rPr>
        <w:t>-3 sayılı Kurul Kararı ile 01.01.202</w:t>
      </w:r>
      <w:r>
        <w:rPr>
          <w:color w:val="000000" w:themeColor="text1"/>
        </w:rPr>
        <w:t>5</w:t>
      </w:r>
      <w:r w:rsidRPr="002048A7">
        <w:rPr>
          <w:color w:val="000000" w:themeColor="text1"/>
        </w:rPr>
        <w:t xml:space="preserve"> tarihinden itibaren Tablo 4.11’de yer alan sayaç kontrol bedellerinin uygulanmasına karar verilmiştir.</w:t>
      </w:r>
    </w:p>
    <w:p w14:paraId="68DB6E9F" w14:textId="77777777" w:rsidR="00CA62D9" w:rsidRPr="002048A7" w:rsidRDefault="00CA62D9" w:rsidP="00CA62D9">
      <w:pPr>
        <w:pStyle w:val="Balk5"/>
        <w:jc w:val="center"/>
        <w:rPr>
          <w:rStyle w:val="Gl"/>
          <w:color w:val="000000" w:themeColor="text1"/>
        </w:rPr>
      </w:pPr>
      <w:bookmarkStart w:id="195" w:name="_Toc195868819"/>
      <w:bookmarkStart w:id="196" w:name="_Toc66267478"/>
      <w:r w:rsidRPr="002048A7">
        <w:rPr>
          <w:rStyle w:val="Gl"/>
          <w:color w:val="000000" w:themeColor="text1"/>
        </w:rPr>
        <w:t>Tablo 4.11: Sayaç Kontrol Bedeli</w:t>
      </w:r>
      <w:bookmarkEnd w:id="195"/>
    </w:p>
    <w:tbl>
      <w:tblPr>
        <w:tblW w:w="9438"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6574"/>
        <w:gridCol w:w="2864"/>
      </w:tblGrid>
      <w:tr w:rsidR="00CA62D9" w:rsidRPr="002048A7" w14:paraId="6F4E09FF" w14:textId="77777777" w:rsidTr="00F45E83">
        <w:trPr>
          <w:trHeight w:val="361"/>
          <w:jc w:val="center"/>
        </w:trPr>
        <w:tc>
          <w:tcPr>
            <w:tcW w:w="6574" w:type="dxa"/>
            <w:shd w:val="clear" w:color="auto" w:fill="6E9ECA"/>
            <w:vAlign w:val="center"/>
          </w:tcPr>
          <w:p w14:paraId="452FB5F5" w14:textId="77777777" w:rsidR="00CA62D9" w:rsidRPr="002048A7" w:rsidRDefault="00CA62D9" w:rsidP="00F45E83">
            <w:pPr>
              <w:tabs>
                <w:tab w:val="left" w:pos="6828"/>
              </w:tabs>
              <w:jc w:val="center"/>
              <w:rPr>
                <w:b/>
                <w:color w:val="FFFFFF" w:themeColor="background1"/>
              </w:rPr>
            </w:pPr>
            <w:r w:rsidRPr="002048A7">
              <w:rPr>
                <w:b/>
                <w:color w:val="FFFFFF" w:themeColor="background1"/>
              </w:rPr>
              <w:t>Sayaç Tipi</w:t>
            </w:r>
          </w:p>
        </w:tc>
        <w:tc>
          <w:tcPr>
            <w:tcW w:w="2864" w:type="dxa"/>
            <w:shd w:val="clear" w:color="auto" w:fill="6E9ECA"/>
            <w:vAlign w:val="center"/>
          </w:tcPr>
          <w:p w14:paraId="52645CEE" w14:textId="77777777" w:rsidR="00CA62D9" w:rsidRPr="002048A7" w:rsidRDefault="00CA62D9" w:rsidP="00F45E83">
            <w:pPr>
              <w:tabs>
                <w:tab w:val="left" w:pos="6828"/>
              </w:tabs>
              <w:jc w:val="center"/>
              <w:rPr>
                <w:b/>
                <w:color w:val="FFFFFF" w:themeColor="background1"/>
              </w:rPr>
            </w:pPr>
            <w:r w:rsidRPr="002048A7">
              <w:rPr>
                <w:b/>
                <w:color w:val="FFFFFF" w:themeColor="background1"/>
              </w:rPr>
              <w:t>Sayaç Kontrol Bedeli (TL)</w:t>
            </w:r>
          </w:p>
        </w:tc>
      </w:tr>
      <w:tr w:rsidR="00CA62D9" w:rsidRPr="002048A7" w14:paraId="7D286A85" w14:textId="77777777" w:rsidTr="00F45E83">
        <w:trPr>
          <w:trHeight w:val="343"/>
          <w:jc w:val="center"/>
        </w:trPr>
        <w:tc>
          <w:tcPr>
            <w:tcW w:w="6574" w:type="dxa"/>
          </w:tcPr>
          <w:p w14:paraId="1FE27F4A" w14:textId="77777777" w:rsidR="00CA62D9" w:rsidRPr="002048A7" w:rsidRDefault="00CA62D9" w:rsidP="00F45E83">
            <w:pPr>
              <w:tabs>
                <w:tab w:val="left" w:pos="6828"/>
              </w:tabs>
              <w:spacing w:after="0"/>
            </w:pPr>
            <w:r w:rsidRPr="002048A7">
              <w:t>Direkt bağlı tek fazlı aktif veya üç fazlı aktif ve/veya reaktif sayaçlar</w:t>
            </w:r>
          </w:p>
        </w:tc>
        <w:tc>
          <w:tcPr>
            <w:tcW w:w="2864" w:type="dxa"/>
          </w:tcPr>
          <w:p w14:paraId="4F39F2E7" w14:textId="77777777" w:rsidR="00CA62D9" w:rsidRPr="002048A7" w:rsidRDefault="00CA62D9" w:rsidP="00F45E83">
            <w:pPr>
              <w:tabs>
                <w:tab w:val="left" w:pos="6828"/>
              </w:tabs>
              <w:spacing w:after="0"/>
              <w:jc w:val="center"/>
            </w:pPr>
            <w:r>
              <w:t>148,0</w:t>
            </w:r>
          </w:p>
        </w:tc>
      </w:tr>
      <w:tr w:rsidR="00CA62D9" w:rsidRPr="002048A7" w14:paraId="01203BFD" w14:textId="77777777" w:rsidTr="00F45E83">
        <w:trPr>
          <w:trHeight w:val="361"/>
          <w:jc w:val="center"/>
        </w:trPr>
        <w:tc>
          <w:tcPr>
            <w:tcW w:w="6574" w:type="dxa"/>
          </w:tcPr>
          <w:p w14:paraId="128B7205" w14:textId="77777777" w:rsidR="00CA62D9" w:rsidRPr="002048A7" w:rsidRDefault="00CA62D9" w:rsidP="00F45E83">
            <w:pPr>
              <w:tabs>
                <w:tab w:val="left" w:pos="6828"/>
              </w:tabs>
              <w:spacing w:after="0"/>
            </w:pPr>
            <w:r w:rsidRPr="002048A7">
              <w:t>Akım trafolu ve/veya gerilim trafolu aktif ve/veya reaktif sayaçlar</w:t>
            </w:r>
          </w:p>
        </w:tc>
        <w:tc>
          <w:tcPr>
            <w:tcW w:w="2864" w:type="dxa"/>
          </w:tcPr>
          <w:p w14:paraId="0AA1ED7B" w14:textId="77777777" w:rsidR="00CA62D9" w:rsidRPr="002048A7" w:rsidRDefault="00CA62D9" w:rsidP="00F45E83">
            <w:pPr>
              <w:tabs>
                <w:tab w:val="left" w:pos="6828"/>
              </w:tabs>
              <w:spacing w:after="0"/>
              <w:jc w:val="center"/>
            </w:pPr>
            <w:r w:rsidRPr="002048A7">
              <w:t>1</w:t>
            </w:r>
            <w:r>
              <w:t>87,5</w:t>
            </w:r>
          </w:p>
        </w:tc>
      </w:tr>
    </w:tbl>
    <w:p w14:paraId="4CAA0425" w14:textId="77777777" w:rsidR="00CA62D9" w:rsidRPr="002048A7" w:rsidRDefault="00CA62D9" w:rsidP="00CA62D9">
      <w:pPr>
        <w:pStyle w:val="AralkYok"/>
      </w:pPr>
    </w:p>
    <w:p w14:paraId="316DD1DD" w14:textId="77777777" w:rsidR="00CA62D9" w:rsidRPr="002048A7" w:rsidRDefault="00CA62D9" w:rsidP="00CA62D9">
      <w:pPr>
        <w:spacing w:after="240"/>
      </w:pPr>
      <w:r w:rsidRPr="002048A7">
        <w:t>Bahsi geçen düzenlemelerin yanı sıra;</w:t>
      </w:r>
    </w:p>
    <w:p w14:paraId="5D18E918" w14:textId="77777777" w:rsidR="00CA62D9" w:rsidRDefault="00CA62D9" w:rsidP="00CA62D9">
      <w:pPr>
        <w:tabs>
          <w:tab w:val="left" w:pos="6828"/>
        </w:tabs>
        <w:spacing w:after="0"/>
      </w:pPr>
      <w:r w:rsidRPr="002048A7">
        <w:t xml:space="preserve">- </w:t>
      </w:r>
      <w:bookmarkEnd w:id="196"/>
      <w:r w:rsidRPr="002048A7">
        <w:t>3</w:t>
      </w:r>
      <w:r>
        <w:t>1</w:t>
      </w:r>
      <w:r w:rsidRPr="002048A7">
        <w:t>.12.202</w:t>
      </w:r>
      <w:r>
        <w:t>4</w:t>
      </w:r>
      <w:r w:rsidRPr="002048A7">
        <w:t xml:space="preserve"> tarihli ve 32</w:t>
      </w:r>
      <w:r>
        <w:t>769</w:t>
      </w:r>
      <w:r w:rsidRPr="002048A7">
        <w:t xml:space="preserve"> (</w:t>
      </w:r>
      <w:r>
        <w:t>5</w:t>
      </w:r>
      <w:r w:rsidRPr="002048A7">
        <w:t>.Mükerrer) sayılı Resmî Gazete’de yayımlanan 2</w:t>
      </w:r>
      <w:r>
        <w:t>6</w:t>
      </w:r>
      <w:r w:rsidRPr="002048A7">
        <w:t>.12.202</w:t>
      </w:r>
      <w:r>
        <w:t>4</w:t>
      </w:r>
      <w:r w:rsidRPr="002048A7">
        <w:t xml:space="preserve"> tarihli ve 1</w:t>
      </w:r>
      <w:r>
        <w:t>3156</w:t>
      </w:r>
      <w:r w:rsidRPr="002048A7">
        <w:t>-5 sayılı Kurul Kararı ile ilgili şebeke işletmecisi tarafından Elektrik Piyasasında Lisanssız Elektrik Üretim Yönetmeliğinin 36’ncı maddesinin ikinci fıkrasının (a) bendi gereğince 202</w:t>
      </w:r>
      <w:r>
        <w:t>5</w:t>
      </w:r>
      <w:r w:rsidRPr="002048A7">
        <w:t xml:space="preserve"> yılı için tahsil edilebilecek lisanssız üretim başvuru bedeli Tablo 4.12’de yer alan şekilde belirlenmiştir.</w:t>
      </w:r>
    </w:p>
    <w:p w14:paraId="1FB32772" w14:textId="77777777" w:rsidR="00CA62D9" w:rsidRPr="002048A7" w:rsidRDefault="00CA62D9" w:rsidP="00CA62D9">
      <w:pPr>
        <w:pStyle w:val="Balk5"/>
        <w:jc w:val="center"/>
        <w:rPr>
          <w:rStyle w:val="Gl"/>
          <w:color w:val="000000" w:themeColor="text1"/>
        </w:rPr>
      </w:pPr>
      <w:bookmarkStart w:id="197" w:name="_Toc195868820"/>
      <w:bookmarkStart w:id="198" w:name="_Toc66267479"/>
      <w:r w:rsidRPr="002048A7">
        <w:rPr>
          <w:rStyle w:val="Gl"/>
          <w:color w:val="000000" w:themeColor="text1"/>
        </w:rPr>
        <w:t>Tablo 4.12: Lisanssız Üretim Başvuru Bedeli (Şebeke İşletmecisi)</w:t>
      </w:r>
      <w:bookmarkEnd w:id="197"/>
    </w:p>
    <w:tbl>
      <w:tblPr>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3789"/>
        <w:gridCol w:w="3724"/>
      </w:tblGrid>
      <w:tr w:rsidR="00CA62D9" w:rsidRPr="002048A7" w14:paraId="3923D461" w14:textId="77777777" w:rsidTr="00F45E83">
        <w:trPr>
          <w:jc w:val="center"/>
        </w:trPr>
        <w:tc>
          <w:tcPr>
            <w:tcW w:w="3789" w:type="dxa"/>
            <w:shd w:val="clear" w:color="auto" w:fill="6E9ECA"/>
            <w:vAlign w:val="center"/>
          </w:tcPr>
          <w:p w14:paraId="36FCFF34" w14:textId="77777777" w:rsidR="00CA62D9" w:rsidRPr="002048A7" w:rsidRDefault="00CA62D9" w:rsidP="00F45E83">
            <w:pPr>
              <w:tabs>
                <w:tab w:val="left" w:pos="6828"/>
              </w:tabs>
              <w:jc w:val="center"/>
              <w:rPr>
                <w:b/>
                <w:color w:val="FFFFFF" w:themeColor="background1"/>
              </w:rPr>
            </w:pPr>
            <w:r w:rsidRPr="002048A7">
              <w:rPr>
                <w:b/>
                <w:color w:val="FFFFFF" w:themeColor="background1"/>
              </w:rPr>
              <w:t>Kurulu Güç</w:t>
            </w:r>
          </w:p>
        </w:tc>
        <w:tc>
          <w:tcPr>
            <w:tcW w:w="3724" w:type="dxa"/>
            <w:shd w:val="clear" w:color="auto" w:fill="6E9ECA"/>
            <w:vAlign w:val="center"/>
          </w:tcPr>
          <w:p w14:paraId="22D74FF9" w14:textId="77777777" w:rsidR="00CA62D9" w:rsidRPr="002048A7" w:rsidRDefault="00CA62D9" w:rsidP="00F45E83">
            <w:pPr>
              <w:tabs>
                <w:tab w:val="left" w:pos="6828"/>
              </w:tabs>
              <w:jc w:val="center"/>
              <w:rPr>
                <w:b/>
                <w:color w:val="FFFFFF" w:themeColor="background1"/>
              </w:rPr>
            </w:pPr>
            <w:r w:rsidRPr="002048A7">
              <w:rPr>
                <w:b/>
                <w:color w:val="FFFFFF" w:themeColor="background1"/>
              </w:rPr>
              <w:t>Başvuru Bedeli (TL/Yıl)</w:t>
            </w:r>
          </w:p>
        </w:tc>
      </w:tr>
      <w:tr w:rsidR="00CA62D9" w:rsidRPr="002048A7" w14:paraId="65EEA5F4" w14:textId="77777777" w:rsidTr="00F45E83">
        <w:trPr>
          <w:jc w:val="center"/>
        </w:trPr>
        <w:tc>
          <w:tcPr>
            <w:tcW w:w="3789" w:type="dxa"/>
          </w:tcPr>
          <w:p w14:paraId="2E976DAC" w14:textId="77777777" w:rsidR="00CA62D9" w:rsidRPr="002048A7" w:rsidRDefault="00CA62D9" w:rsidP="00F45E83">
            <w:pPr>
              <w:tabs>
                <w:tab w:val="left" w:pos="6828"/>
              </w:tabs>
              <w:spacing w:after="0"/>
            </w:pPr>
            <w:r w:rsidRPr="002048A7">
              <w:t xml:space="preserve">0-50 kW (dâhil) </w:t>
            </w:r>
          </w:p>
        </w:tc>
        <w:tc>
          <w:tcPr>
            <w:tcW w:w="3724" w:type="dxa"/>
          </w:tcPr>
          <w:p w14:paraId="02573090" w14:textId="77777777" w:rsidR="00CA62D9" w:rsidRPr="0089088E" w:rsidRDefault="00CA62D9" w:rsidP="0089088E">
            <w:pPr>
              <w:spacing w:after="0"/>
              <w:jc w:val="center"/>
              <w:rPr>
                <w:color w:val="000000" w:themeColor="text1"/>
              </w:rPr>
            </w:pPr>
            <w:r w:rsidRPr="0089088E">
              <w:rPr>
                <w:color w:val="000000" w:themeColor="text1"/>
              </w:rPr>
              <w:t>0</w:t>
            </w:r>
          </w:p>
        </w:tc>
      </w:tr>
      <w:tr w:rsidR="00CA62D9" w:rsidRPr="002048A7" w14:paraId="396A8A96" w14:textId="77777777" w:rsidTr="00F45E83">
        <w:trPr>
          <w:jc w:val="center"/>
        </w:trPr>
        <w:tc>
          <w:tcPr>
            <w:tcW w:w="3789" w:type="dxa"/>
          </w:tcPr>
          <w:p w14:paraId="0F6170D7" w14:textId="77777777" w:rsidR="00CA62D9" w:rsidRPr="002048A7" w:rsidRDefault="00CA62D9" w:rsidP="00F45E83">
            <w:pPr>
              <w:tabs>
                <w:tab w:val="left" w:pos="6828"/>
              </w:tabs>
              <w:spacing w:after="0"/>
            </w:pPr>
            <w:r w:rsidRPr="002048A7">
              <w:t xml:space="preserve">50-250 kW (dâhil) </w:t>
            </w:r>
          </w:p>
        </w:tc>
        <w:tc>
          <w:tcPr>
            <w:tcW w:w="3724" w:type="dxa"/>
          </w:tcPr>
          <w:p w14:paraId="2832A181" w14:textId="77777777" w:rsidR="00CA62D9" w:rsidRPr="0089088E" w:rsidRDefault="00CA62D9" w:rsidP="0089088E">
            <w:pPr>
              <w:spacing w:after="0"/>
              <w:jc w:val="center"/>
              <w:rPr>
                <w:color w:val="000000" w:themeColor="text1"/>
              </w:rPr>
            </w:pPr>
            <w:r w:rsidRPr="0089088E">
              <w:rPr>
                <w:color w:val="000000" w:themeColor="text1"/>
              </w:rPr>
              <w:t>2.524,8</w:t>
            </w:r>
          </w:p>
        </w:tc>
      </w:tr>
      <w:tr w:rsidR="00CA62D9" w:rsidRPr="002048A7" w14:paraId="0F00BC7F" w14:textId="77777777" w:rsidTr="00F45E83">
        <w:trPr>
          <w:jc w:val="center"/>
        </w:trPr>
        <w:tc>
          <w:tcPr>
            <w:tcW w:w="3789" w:type="dxa"/>
          </w:tcPr>
          <w:p w14:paraId="47536339" w14:textId="77777777" w:rsidR="00CA62D9" w:rsidRPr="002048A7" w:rsidRDefault="00CA62D9" w:rsidP="00F45E83">
            <w:pPr>
              <w:tabs>
                <w:tab w:val="left" w:pos="6828"/>
              </w:tabs>
              <w:spacing w:after="0"/>
            </w:pPr>
            <w:r w:rsidRPr="002048A7">
              <w:t xml:space="preserve">250 kW-5MW (dâhil) </w:t>
            </w:r>
          </w:p>
        </w:tc>
        <w:tc>
          <w:tcPr>
            <w:tcW w:w="3724" w:type="dxa"/>
          </w:tcPr>
          <w:p w14:paraId="65126D87" w14:textId="77777777" w:rsidR="00CA62D9" w:rsidRPr="0089088E" w:rsidRDefault="00CA62D9" w:rsidP="0089088E">
            <w:pPr>
              <w:spacing w:after="0"/>
              <w:jc w:val="center"/>
              <w:rPr>
                <w:color w:val="000000" w:themeColor="text1"/>
              </w:rPr>
            </w:pPr>
            <w:r w:rsidRPr="0089088E">
              <w:rPr>
                <w:color w:val="000000" w:themeColor="text1"/>
              </w:rPr>
              <w:t>5.049,7</w:t>
            </w:r>
          </w:p>
        </w:tc>
      </w:tr>
      <w:tr w:rsidR="00CA62D9" w:rsidRPr="002048A7" w14:paraId="1570488E" w14:textId="77777777" w:rsidTr="00F45E83">
        <w:trPr>
          <w:jc w:val="center"/>
        </w:trPr>
        <w:tc>
          <w:tcPr>
            <w:tcW w:w="3789" w:type="dxa"/>
          </w:tcPr>
          <w:p w14:paraId="2A4C0F8E" w14:textId="77777777" w:rsidR="00CA62D9" w:rsidRPr="002048A7" w:rsidRDefault="00CA62D9" w:rsidP="00F45E83">
            <w:pPr>
              <w:tabs>
                <w:tab w:val="left" w:pos="6828"/>
              </w:tabs>
              <w:spacing w:after="0"/>
            </w:pPr>
            <w:r w:rsidRPr="002048A7">
              <w:t>5 MW üzeri</w:t>
            </w:r>
          </w:p>
        </w:tc>
        <w:tc>
          <w:tcPr>
            <w:tcW w:w="3724" w:type="dxa"/>
          </w:tcPr>
          <w:p w14:paraId="42FD9600" w14:textId="77777777" w:rsidR="00CA62D9" w:rsidRPr="0089088E" w:rsidRDefault="00CA62D9" w:rsidP="0089088E">
            <w:pPr>
              <w:spacing w:after="0"/>
              <w:jc w:val="center"/>
              <w:rPr>
                <w:color w:val="000000" w:themeColor="text1"/>
              </w:rPr>
            </w:pPr>
            <w:r w:rsidRPr="0089088E">
              <w:rPr>
                <w:color w:val="000000" w:themeColor="text1"/>
              </w:rPr>
              <w:t>10.099,2</w:t>
            </w:r>
          </w:p>
        </w:tc>
      </w:tr>
    </w:tbl>
    <w:p w14:paraId="0F9C3F2A" w14:textId="77777777" w:rsidR="00CA62D9" w:rsidRPr="002048A7" w:rsidRDefault="00CA62D9" w:rsidP="00CA62D9">
      <w:pPr>
        <w:tabs>
          <w:tab w:val="left" w:pos="6828"/>
        </w:tabs>
        <w:spacing w:after="0"/>
      </w:pPr>
    </w:p>
    <w:p w14:paraId="782FDDFC" w14:textId="77777777" w:rsidR="00CA62D9" w:rsidRPr="002048A7" w:rsidRDefault="00CA62D9" w:rsidP="00CA62D9">
      <w:pPr>
        <w:spacing w:after="0"/>
      </w:pPr>
      <w:r w:rsidRPr="002048A7">
        <w:t xml:space="preserve">- </w:t>
      </w:r>
      <w:r>
        <w:t>31</w:t>
      </w:r>
      <w:r w:rsidRPr="002048A7">
        <w:t>.12.202</w:t>
      </w:r>
      <w:r>
        <w:t>4</w:t>
      </w:r>
      <w:r w:rsidRPr="002048A7">
        <w:t xml:space="preserve"> tarihli ve 32</w:t>
      </w:r>
      <w:r>
        <w:t>769</w:t>
      </w:r>
      <w:r w:rsidRPr="002048A7">
        <w:t xml:space="preserve"> (</w:t>
      </w:r>
      <w:r>
        <w:t>5</w:t>
      </w:r>
      <w:r w:rsidRPr="002048A7">
        <w:t>.Mükerrer) sayılı Resmî Gazete’de yayımlanan 2</w:t>
      </w:r>
      <w:r>
        <w:t>6</w:t>
      </w:r>
      <w:r w:rsidRPr="002048A7">
        <w:t>.12.202</w:t>
      </w:r>
      <w:r>
        <w:t>4</w:t>
      </w:r>
      <w:r w:rsidRPr="002048A7">
        <w:t xml:space="preserve"> tarihli ve 1</w:t>
      </w:r>
      <w:r>
        <w:t>3156</w:t>
      </w:r>
      <w:r w:rsidRPr="002048A7">
        <w:t>-6 sayılı Kurul Kararı ile görevli tedarik şirketlerinin Elektrik Piyasasında Lisanssız Elektrik Üretim Yönetmeliğinin 36’ncı maddesinin ikinci fıkrasının (b) bendi gereğince 202</w:t>
      </w:r>
      <w:r>
        <w:t>5</w:t>
      </w:r>
      <w:r w:rsidRPr="002048A7">
        <w:t xml:space="preserve"> yılı için tahsil edebileceği yıllık lisanssız üretim işletim bedeli Tablo 4.13’teki gibi belirlenmiştir.</w:t>
      </w:r>
    </w:p>
    <w:p w14:paraId="5F64016F" w14:textId="77777777" w:rsidR="00CA62D9" w:rsidRPr="002048A7" w:rsidRDefault="00CA62D9" w:rsidP="00CA62D9">
      <w:pPr>
        <w:pStyle w:val="Balk5"/>
        <w:jc w:val="center"/>
      </w:pPr>
      <w:bookmarkStart w:id="199" w:name="_Toc195868821"/>
      <w:r w:rsidRPr="002048A7">
        <w:rPr>
          <w:rStyle w:val="Gl"/>
          <w:color w:val="000000" w:themeColor="text1"/>
        </w:rPr>
        <w:lastRenderedPageBreak/>
        <w:t>Tablo 4.13: Lisanssız Üretim İşletim Bedeli (Görevli Tedarik Şirketleri)</w:t>
      </w:r>
      <w:bookmarkEnd w:id="199"/>
    </w:p>
    <w:tbl>
      <w:tblPr>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3789"/>
        <w:gridCol w:w="3724"/>
      </w:tblGrid>
      <w:tr w:rsidR="00CA62D9" w:rsidRPr="002048A7" w14:paraId="6D542CBB" w14:textId="77777777" w:rsidTr="00F45E83">
        <w:trPr>
          <w:jc w:val="center"/>
        </w:trPr>
        <w:tc>
          <w:tcPr>
            <w:tcW w:w="3789" w:type="dxa"/>
            <w:shd w:val="clear" w:color="auto" w:fill="6E9ECA"/>
            <w:vAlign w:val="center"/>
          </w:tcPr>
          <w:p w14:paraId="1A97E6F4" w14:textId="77777777" w:rsidR="00CA62D9" w:rsidRPr="002048A7" w:rsidRDefault="00CA62D9" w:rsidP="00F45E83">
            <w:pPr>
              <w:tabs>
                <w:tab w:val="left" w:pos="6828"/>
              </w:tabs>
              <w:jc w:val="center"/>
              <w:rPr>
                <w:b/>
                <w:color w:val="FFFFFF" w:themeColor="background1"/>
              </w:rPr>
            </w:pPr>
            <w:r w:rsidRPr="002048A7">
              <w:rPr>
                <w:b/>
                <w:color w:val="FFFFFF" w:themeColor="background1"/>
              </w:rPr>
              <w:t>Kurulu Güç</w:t>
            </w:r>
          </w:p>
        </w:tc>
        <w:tc>
          <w:tcPr>
            <w:tcW w:w="3724" w:type="dxa"/>
            <w:shd w:val="clear" w:color="auto" w:fill="6E9ECA"/>
            <w:vAlign w:val="center"/>
          </w:tcPr>
          <w:p w14:paraId="5083DA22" w14:textId="77777777" w:rsidR="00CA62D9" w:rsidRPr="002048A7" w:rsidRDefault="00CA62D9" w:rsidP="00F45E83">
            <w:pPr>
              <w:tabs>
                <w:tab w:val="left" w:pos="6828"/>
              </w:tabs>
              <w:jc w:val="center"/>
              <w:rPr>
                <w:b/>
                <w:color w:val="FFFFFF" w:themeColor="background1"/>
              </w:rPr>
            </w:pPr>
            <w:r w:rsidRPr="002048A7">
              <w:rPr>
                <w:b/>
                <w:color w:val="FFFFFF" w:themeColor="background1"/>
              </w:rPr>
              <w:t>İşletim Bedeli (TL/Yıl)</w:t>
            </w:r>
          </w:p>
        </w:tc>
      </w:tr>
      <w:tr w:rsidR="00CA62D9" w:rsidRPr="002048A7" w14:paraId="4D76EFAC" w14:textId="77777777" w:rsidTr="00F45E83">
        <w:trPr>
          <w:jc w:val="center"/>
        </w:trPr>
        <w:tc>
          <w:tcPr>
            <w:tcW w:w="3789" w:type="dxa"/>
          </w:tcPr>
          <w:p w14:paraId="5144EEBB" w14:textId="77777777" w:rsidR="00CA62D9" w:rsidRPr="002048A7" w:rsidRDefault="00CA62D9" w:rsidP="00F45E83">
            <w:pPr>
              <w:tabs>
                <w:tab w:val="left" w:pos="6828"/>
              </w:tabs>
            </w:pPr>
            <w:r w:rsidRPr="002048A7">
              <w:t>0-50 kW (dâhil)</w:t>
            </w:r>
          </w:p>
        </w:tc>
        <w:tc>
          <w:tcPr>
            <w:tcW w:w="3724" w:type="dxa"/>
          </w:tcPr>
          <w:p w14:paraId="5C874BE1" w14:textId="77777777" w:rsidR="00CA62D9" w:rsidRPr="002048A7" w:rsidRDefault="00CA62D9" w:rsidP="00F45E83">
            <w:pPr>
              <w:tabs>
                <w:tab w:val="left" w:pos="6828"/>
              </w:tabs>
              <w:jc w:val="right"/>
            </w:pPr>
            <w:r w:rsidRPr="002048A7">
              <w:t>0</w:t>
            </w:r>
          </w:p>
        </w:tc>
      </w:tr>
      <w:tr w:rsidR="00CA62D9" w:rsidRPr="002048A7" w14:paraId="5F24F2A3" w14:textId="77777777" w:rsidTr="00F45E83">
        <w:trPr>
          <w:jc w:val="center"/>
        </w:trPr>
        <w:tc>
          <w:tcPr>
            <w:tcW w:w="3789" w:type="dxa"/>
          </w:tcPr>
          <w:p w14:paraId="66D579C4" w14:textId="77777777" w:rsidR="00CA62D9" w:rsidRPr="002048A7" w:rsidRDefault="00CA62D9" w:rsidP="00F45E83">
            <w:pPr>
              <w:tabs>
                <w:tab w:val="left" w:pos="6828"/>
              </w:tabs>
            </w:pPr>
            <w:r w:rsidRPr="002048A7">
              <w:t>50-250 kW (dâhil)</w:t>
            </w:r>
          </w:p>
        </w:tc>
        <w:tc>
          <w:tcPr>
            <w:tcW w:w="3724" w:type="dxa"/>
          </w:tcPr>
          <w:p w14:paraId="26AD3DB4" w14:textId="77777777" w:rsidR="00CA62D9" w:rsidRPr="002048A7" w:rsidRDefault="00CA62D9" w:rsidP="00F45E83">
            <w:pPr>
              <w:tabs>
                <w:tab w:val="left" w:pos="6828"/>
              </w:tabs>
              <w:jc w:val="right"/>
            </w:pPr>
            <w:r w:rsidRPr="00A9708D">
              <w:t>5.049,7</w:t>
            </w:r>
          </w:p>
        </w:tc>
      </w:tr>
      <w:tr w:rsidR="00CA62D9" w:rsidRPr="002048A7" w14:paraId="196D26CD" w14:textId="77777777" w:rsidTr="00F45E83">
        <w:trPr>
          <w:jc w:val="center"/>
        </w:trPr>
        <w:tc>
          <w:tcPr>
            <w:tcW w:w="3789" w:type="dxa"/>
          </w:tcPr>
          <w:p w14:paraId="277D45A9" w14:textId="77777777" w:rsidR="00CA62D9" w:rsidRPr="002048A7" w:rsidRDefault="00CA62D9" w:rsidP="00F45E83">
            <w:pPr>
              <w:tabs>
                <w:tab w:val="left" w:pos="6828"/>
              </w:tabs>
            </w:pPr>
            <w:r w:rsidRPr="002048A7">
              <w:rPr>
                <w:rFonts w:cstheme="minorHAnsi"/>
              </w:rPr>
              <w:t>250 kW-5 MW (dahil)</w:t>
            </w:r>
          </w:p>
        </w:tc>
        <w:tc>
          <w:tcPr>
            <w:tcW w:w="3724" w:type="dxa"/>
          </w:tcPr>
          <w:p w14:paraId="0BE63432" w14:textId="77777777" w:rsidR="00CA62D9" w:rsidRPr="002048A7" w:rsidRDefault="00CA62D9" w:rsidP="00F45E83">
            <w:pPr>
              <w:tabs>
                <w:tab w:val="left" w:pos="6828"/>
              </w:tabs>
              <w:jc w:val="right"/>
            </w:pPr>
            <w:r w:rsidRPr="00A9708D">
              <w:t>10.099,2</w:t>
            </w:r>
          </w:p>
        </w:tc>
      </w:tr>
      <w:tr w:rsidR="00CA62D9" w:rsidRPr="002048A7" w14:paraId="07A6863E" w14:textId="77777777" w:rsidTr="00F45E83">
        <w:trPr>
          <w:jc w:val="center"/>
        </w:trPr>
        <w:tc>
          <w:tcPr>
            <w:tcW w:w="3789" w:type="dxa"/>
          </w:tcPr>
          <w:p w14:paraId="0B7648A3" w14:textId="77777777" w:rsidR="00CA62D9" w:rsidRPr="002048A7" w:rsidRDefault="00CA62D9" w:rsidP="00F45E83">
            <w:pPr>
              <w:tabs>
                <w:tab w:val="left" w:pos="6828"/>
              </w:tabs>
            </w:pPr>
            <w:r w:rsidRPr="002048A7">
              <w:rPr>
                <w:rFonts w:cstheme="minorHAnsi"/>
              </w:rPr>
              <w:t xml:space="preserve">5 MW üzeri </w:t>
            </w:r>
          </w:p>
        </w:tc>
        <w:tc>
          <w:tcPr>
            <w:tcW w:w="3724" w:type="dxa"/>
          </w:tcPr>
          <w:p w14:paraId="53CD579A" w14:textId="77777777" w:rsidR="00CA62D9" w:rsidRPr="002048A7" w:rsidRDefault="00CA62D9" w:rsidP="00F45E83">
            <w:pPr>
              <w:tabs>
                <w:tab w:val="left" w:pos="6828"/>
              </w:tabs>
              <w:jc w:val="right"/>
            </w:pPr>
            <w:r w:rsidRPr="00A9708D">
              <w:t>20.198,0</w:t>
            </w:r>
          </w:p>
        </w:tc>
      </w:tr>
    </w:tbl>
    <w:p w14:paraId="1A789D17" w14:textId="77777777" w:rsidR="00CA62D9" w:rsidRPr="002048A7" w:rsidRDefault="00CA62D9" w:rsidP="00CA62D9">
      <w:pPr>
        <w:spacing w:after="0"/>
      </w:pPr>
    </w:p>
    <w:p w14:paraId="202F4769" w14:textId="77777777" w:rsidR="00CA62D9" w:rsidRPr="002048A7" w:rsidRDefault="00CA62D9" w:rsidP="00CA62D9">
      <w:pPr>
        <w:spacing w:after="0"/>
        <w:rPr>
          <w:rStyle w:val="Gl"/>
          <w:b w:val="0"/>
          <w:bCs w:val="0"/>
        </w:rPr>
      </w:pPr>
      <w:r w:rsidRPr="002048A7">
        <w:t>- 3</w:t>
      </w:r>
      <w:r>
        <w:t>1</w:t>
      </w:r>
      <w:r w:rsidRPr="002048A7">
        <w:t>.12.20</w:t>
      </w:r>
      <w:r>
        <w:t>24</w:t>
      </w:r>
      <w:r w:rsidRPr="002048A7">
        <w:t xml:space="preserve"> tarihli ve 32</w:t>
      </w:r>
      <w:r>
        <w:t>769</w:t>
      </w:r>
      <w:r w:rsidRPr="002048A7">
        <w:t xml:space="preserve"> (</w:t>
      </w:r>
      <w:r>
        <w:t>5</w:t>
      </w:r>
      <w:r w:rsidRPr="002048A7">
        <w:t>. Mükerrer) sayılı Resmî Gazete’de yayımlanan 2</w:t>
      </w:r>
      <w:r>
        <w:t>6</w:t>
      </w:r>
      <w:r w:rsidRPr="002048A7">
        <w:t>.12.202</w:t>
      </w:r>
      <w:r>
        <w:t>4</w:t>
      </w:r>
      <w:r w:rsidRPr="002048A7">
        <w:t xml:space="preserve"> tarihli ve 1</w:t>
      </w:r>
      <w:r>
        <w:t>3156</w:t>
      </w:r>
      <w:r w:rsidRPr="002048A7">
        <w:t>-7 sayılı Kurul Kararı ile ilgili şebeke işletmecisinin Elektrik Piyasasında Lisanssız Elektrik Üretim Yönetmeliğinin 36’ncı maddesinin ikinci fıkrasının (b) bendi gereğince 202</w:t>
      </w:r>
      <w:r>
        <w:t>5</w:t>
      </w:r>
      <w:r w:rsidRPr="002048A7">
        <w:t xml:space="preserve"> yılı için tahsil edebileceği yıllık lisanssız üretim işletim bedeli Tablo 4.14’deki gibi belirlenmiştir.</w:t>
      </w:r>
    </w:p>
    <w:p w14:paraId="50D348A2" w14:textId="77777777" w:rsidR="00CA62D9" w:rsidRPr="002048A7" w:rsidRDefault="00CA62D9" w:rsidP="00CA62D9">
      <w:pPr>
        <w:pStyle w:val="Balk5"/>
        <w:jc w:val="center"/>
      </w:pPr>
      <w:bookmarkStart w:id="200" w:name="_Toc195868822"/>
      <w:r w:rsidRPr="002048A7">
        <w:rPr>
          <w:rStyle w:val="Gl"/>
          <w:color w:val="000000" w:themeColor="text1"/>
        </w:rPr>
        <w:t>Tablo 4.14: Lisanssız Üretim İşletim Bedeli (İlgili Şebeke İşletmecisi)</w:t>
      </w:r>
      <w:bookmarkEnd w:id="200"/>
    </w:p>
    <w:tbl>
      <w:tblPr>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3789"/>
        <w:gridCol w:w="3724"/>
      </w:tblGrid>
      <w:tr w:rsidR="00CA62D9" w:rsidRPr="002048A7" w14:paraId="1DE52EA0" w14:textId="77777777" w:rsidTr="00F45E83">
        <w:trPr>
          <w:jc w:val="center"/>
        </w:trPr>
        <w:tc>
          <w:tcPr>
            <w:tcW w:w="3789" w:type="dxa"/>
            <w:shd w:val="clear" w:color="auto" w:fill="6E9ECA"/>
            <w:vAlign w:val="center"/>
          </w:tcPr>
          <w:p w14:paraId="54963F40" w14:textId="77777777" w:rsidR="00CA62D9" w:rsidRPr="002048A7" w:rsidRDefault="00CA62D9" w:rsidP="00F45E83">
            <w:pPr>
              <w:tabs>
                <w:tab w:val="left" w:pos="6828"/>
              </w:tabs>
              <w:jc w:val="center"/>
              <w:rPr>
                <w:b/>
                <w:color w:val="FFFFFF" w:themeColor="background1"/>
              </w:rPr>
            </w:pPr>
            <w:r w:rsidRPr="002048A7">
              <w:rPr>
                <w:b/>
                <w:color w:val="FFFFFF" w:themeColor="background1"/>
              </w:rPr>
              <w:t>Kurulu Güç</w:t>
            </w:r>
          </w:p>
        </w:tc>
        <w:tc>
          <w:tcPr>
            <w:tcW w:w="3724" w:type="dxa"/>
            <w:shd w:val="clear" w:color="auto" w:fill="6E9ECA"/>
            <w:vAlign w:val="center"/>
          </w:tcPr>
          <w:p w14:paraId="23055045" w14:textId="77777777" w:rsidR="00CA62D9" w:rsidRPr="002048A7" w:rsidRDefault="00CA62D9" w:rsidP="00F45E83">
            <w:pPr>
              <w:tabs>
                <w:tab w:val="left" w:pos="6828"/>
              </w:tabs>
              <w:jc w:val="center"/>
              <w:rPr>
                <w:b/>
                <w:color w:val="FFFFFF" w:themeColor="background1"/>
              </w:rPr>
            </w:pPr>
            <w:r w:rsidRPr="002048A7">
              <w:rPr>
                <w:b/>
                <w:color w:val="FFFFFF" w:themeColor="background1"/>
              </w:rPr>
              <w:t>İşletim Bedeli (TL/yıl)</w:t>
            </w:r>
          </w:p>
        </w:tc>
      </w:tr>
      <w:tr w:rsidR="00CA62D9" w:rsidRPr="002048A7" w14:paraId="40D84EBB" w14:textId="77777777" w:rsidTr="00F45E83">
        <w:trPr>
          <w:jc w:val="center"/>
        </w:trPr>
        <w:tc>
          <w:tcPr>
            <w:tcW w:w="3789" w:type="dxa"/>
          </w:tcPr>
          <w:p w14:paraId="7C3A7581" w14:textId="77777777" w:rsidR="00CA62D9" w:rsidRPr="002048A7" w:rsidRDefault="00CA62D9" w:rsidP="00F45E83">
            <w:pPr>
              <w:tabs>
                <w:tab w:val="left" w:pos="6828"/>
              </w:tabs>
            </w:pPr>
            <w:r w:rsidRPr="002048A7">
              <w:rPr>
                <w:rFonts w:cstheme="minorHAnsi"/>
              </w:rPr>
              <w:t>0-50 kW (dâhil)</w:t>
            </w:r>
          </w:p>
        </w:tc>
        <w:tc>
          <w:tcPr>
            <w:tcW w:w="3724" w:type="dxa"/>
          </w:tcPr>
          <w:p w14:paraId="69BADDB5" w14:textId="77777777" w:rsidR="00CA62D9" w:rsidRPr="002048A7" w:rsidRDefault="00CA62D9" w:rsidP="00F45E83">
            <w:pPr>
              <w:tabs>
                <w:tab w:val="left" w:pos="6828"/>
              </w:tabs>
              <w:jc w:val="right"/>
            </w:pPr>
            <w:r w:rsidRPr="002048A7">
              <w:t>0</w:t>
            </w:r>
          </w:p>
        </w:tc>
      </w:tr>
      <w:tr w:rsidR="00CA62D9" w:rsidRPr="002048A7" w14:paraId="2800096B" w14:textId="77777777" w:rsidTr="00F45E83">
        <w:trPr>
          <w:jc w:val="center"/>
        </w:trPr>
        <w:tc>
          <w:tcPr>
            <w:tcW w:w="3789" w:type="dxa"/>
          </w:tcPr>
          <w:p w14:paraId="45513DF1" w14:textId="77777777" w:rsidR="00CA62D9" w:rsidRPr="002048A7" w:rsidRDefault="00CA62D9" w:rsidP="00F45E83">
            <w:pPr>
              <w:tabs>
                <w:tab w:val="left" w:pos="6828"/>
              </w:tabs>
            </w:pPr>
            <w:r w:rsidRPr="002048A7">
              <w:rPr>
                <w:rFonts w:cstheme="minorHAnsi"/>
              </w:rPr>
              <w:t xml:space="preserve">50-250 kW (dâhil) </w:t>
            </w:r>
          </w:p>
        </w:tc>
        <w:tc>
          <w:tcPr>
            <w:tcW w:w="3724" w:type="dxa"/>
          </w:tcPr>
          <w:p w14:paraId="58C21081" w14:textId="77777777" w:rsidR="00CA62D9" w:rsidRPr="002048A7" w:rsidRDefault="00CA62D9" w:rsidP="00F45E83">
            <w:pPr>
              <w:tabs>
                <w:tab w:val="left" w:pos="6828"/>
              </w:tabs>
              <w:jc w:val="right"/>
            </w:pPr>
            <w:r w:rsidRPr="00FD6B24">
              <w:t>7.060,5</w:t>
            </w:r>
          </w:p>
        </w:tc>
      </w:tr>
      <w:tr w:rsidR="00CA62D9" w:rsidRPr="002048A7" w14:paraId="5326A21C" w14:textId="77777777" w:rsidTr="00F45E83">
        <w:trPr>
          <w:jc w:val="center"/>
        </w:trPr>
        <w:tc>
          <w:tcPr>
            <w:tcW w:w="3789" w:type="dxa"/>
          </w:tcPr>
          <w:p w14:paraId="24761E92" w14:textId="77777777" w:rsidR="00CA62D9" w:rsidRPr="002048A7" w:rsidRDefault="00CA62D9" w:rsidP="00F45E83">
            <w:pPr>
              <w:tabs>
                <w:tab w:val="left" w:pos="6828"/>
              </w:tabs>
            </w:pPr>
            <w:r w:rsidRPr="002048A7">
              <w:rPr>
                <w:rFonts w:cstheme="minorHAnsi"/>
              </w:rPr>
              <w:t>250 kW-5 MW (dahil)</w:t>
            </w:r>
          </w:p>
        </w:tc>
        <w:tc>
          <w:tcPr>
            <w:tcW w:w="3724" w:type="dxa"/>
          </w:tcPr>
          <w:p w14:paraId="627F9291" w14:textId="77777777" w:rsidR="00CA62D9" w:rsidRPr="002048A7" w:rsidRDefault="00CA62D9" w:rsidP="00F45E83">
            <w:pPr>
              <w:tabs>
                <w:tab w:val="left" w:pos="6828"/>
              </w:tabs>
              <w:jc w:val="right"/>
            </w:pPr>
            <w:r w:rsidRPr="00FD6B24">
              <w:t>14.120,6</w:t>
            </w:r>
          </w:p>
        </w:tc>
      </w:tr>
      <w:tr w:rsidR="00CA62D9" w:rsidRPr="002048A7" w14:paraId="16E07DEA" w14:textId="77777777" w:rsidTr="00F45E83">
        <w:trPr>
          <w:jc w:val="center"/>
        </w:trPr>
        <w:tc>
          <w:tcPr>
            <w:tcW w:w="3789" w:type="dxa"/>
          </w:tcPr>
          <w:p w14:paraId="0C25F96C" w14:textId="77777777" w:rsidR="00CA62D9" w:rsidRPr="002048A7" w:rsidRDefault="00CA62D9" w:rsidP="00F45E83">
            <w:pPr>
              <w:tabs>
                <w:tab w:val="left" w:pos="6828"/>
              </w:tabs>
              <w:rPr>
                <w:rFonts w:cstheme="minorHAnsi"/>
              </w:rPr>
            </w:pPr>
            <w:r w:rsidRPr="002048A7">
              <w:rPr>
                <w:rFonts w:cstheme="minorHAnsi"/>
              </w:rPr>
              <w:t xml:space="preserve">5 MW üzeri </w:t>
            </w:r>
          </w:p>
        </w:tc>
        <w:tc>
          <w:tcPr>
            <w:tcW w:w="3724" w:type="dxa"/>
          </w:tcPr>
          <w:p w14:paraId="27DE5145" w14:textId="77777777" w:rsidR="00CA62D9" w:rsidRPr="002048A7" w:rsidRDefault="00CA62D9" w:rsidP="00F45E83">
            <w:pPr>
              <w:tabs>
                <w:tab w:val="left" w:pos="6828"/>
              </w:tabs>
              <w:jc w:val="right"/>
            </w:pPr>
            <w:r w:rsidRPr="00FD6B24">
              <w:t>28.240,6</w:t>
            </w:r>
          </w:p>
        </w:tc>
      </w:tr>
    </w:tbl>
    <w:p w14:paraId="3D4B362D" w14:textId="77777777" w:rsidR="00CA62D9" w:rsidRPr="002048A7" w:rsidRDefault="00CA62D9" w:rsidP="00CA62D9">
      <w:pPr>
        <w:pStyle w:val="Balk3"/>
        <w:spacing w:before="0"/>
        <w:ind w:left="720"/>
        <w:rPr>
          <w:rFonts w:asciiTheme="minorHAnsi" w:hAnsiTheme="minorHAnsi"/>
          <w:color w:val="000000" w:themeColor="text1"/>
        </w:rPr>
      </w:pPr>
      <w:bookmarkStart w:id="201" w:name="_Toc66267378"/>
      <w:bookmarkEnd w:id="198"/>
    </w:p>
    <w:p w14:paraId="096A30B8" w14:textId="77777777" w:rsidR="00CA62D9" w:rsidRPr="002048A7" w:rsidRDefault="00CA62D9" w:rsidP="00CA62D9">
      <w:pPr>
        <w:pStyle w:val="Balk3"/>
        <w:numPr>
          <w:ilvl w:val="2"/>
          <w:numId w:val="11"/>
        </w:numPr>
        <w:spacing w:before="0"/>
        <w:rPr>
          <w:rFonts w:asciiTheme="minorHAnsi" w:hAnsiTheme="minorHAnsi"/>
          <w:color w:val="000000" w:themeColor="text1"/>
        </w:rPr>
      </w:pPr>
      <w:bookmarkStart w:id="202" w:name="_Toc195868717"/>
      <w:r w:rsidRPr="002048A7">
        <w:rPr>
          <w:rFonts w:asciiTheme="minorHAnsi" w:hAnsiTheme="minorHAnsi"/>
          <w:color w:val="000000" w:themeColor="text1"/>
        </w:rPr>
        <w:t>Piyasa İşletim Tarifesi</w:t>
      </w:r>
      <w:bookmarkEnd w:id="201"/>
      <w:bookmarkEnd w:id="202"/>
    </w:p>
    <w:p w14:paraId="49DBCA8D" w14:textId="77777777" w:rsidR="00CA62D9" w:rsidRPr="002048A7" w:rsidRDefault="00CA62D9" w:rsidP="00CA62D9">
      <w:pPr>
        <w:spacing w:before="120" w:after="120"/>
      </w:pPr>
      <w:r>
        <w:rPr>
          <w:rFonts w:eastAsia="Batang"/>
          <w:lang w:eastAsia="ko-KR"/>
        </w:rPr>
        <w:t>24</w:t>
      </w:r>
      <w:r w:rsidRPr="002048A7">
        <w:rPr>
          <w:rFonts w:eastAsia="Batang"/>
          <w:lang w:eastAsia="ko-KR"/>
        </w:rPr>
        <w:t>.12.202</w:t>
      </w:r>
      <w:r>
        <w:rPr>
          <w:rFonts w:eastAsia="Batang"/>
          <w:lang w:eastAsia="ko-KR"/>
        </w:rPr>
        <w:t>4</w:t>
      </w:r>
      <w:r w:rsidRPr="002048A7">
        <w:rPr>
          <w:rFonts w:eastAsia="Batang"/>
          <w:lang w:eastAsia="ko-KR"/>
        </w:rPr>
        <w:t xml:space="preserve"> tarihli ve 32</w:t>
      </w:r>
      <w:r>
        <w:rPr>
          <w:rFonts w:eastAsia="Batang"/>
          <w:lang w:eastAsia="ko-KR"/>
        </w:rPr>
        <w:t xml:space="preserve">762 </w:t>
      </w:r>
      <w:r w:rsidRPr="002048A7">
        <w:rPr>
          <w:rFonts w:eastAsia="Batang"/>
          <w:lang w:eastAsia="ko-KR"/>
        </w:rPr>
        <w:t xml:space="preserve">sayılı Resmî Gazete’de yayımlanan </w:t>
      </w:r>
      <w:r>
        <w:t>19</w:t>
      </w:r>
      <w:r w:rsidRPr="002048A7">
        <w:t>.12.202</w:t>
      </w:r>
      <w:r>
        <w:t>4</w:t>
      </w:r>
      <w:r w:rsidRPr="002048A7">
        <w:t xml:space="preserve"> tarihli ve 1</w:t>
      </w:r>
      <w:r>
        <w:t>3100</w:t>
      </w:r>
      <w:r w:rsidRPr="002048A7">
        <w:t xml:space="preserve"> sayılı Kurul Kararıyla, EPİAŞ’ın 202</w:t>
      </w:r>
      <w:r>
        <w:t>5</w:t>
      </w:r>
      <w:r w:rsidRPr="002048A7">
        <w:t xml:space="preserve"> yılı piyasa işletim gelir tavanı Tablo 4.15’teki gibi belirlenmiş ve </w:t>
      </w:r>
    </w:p>
    <w:p w14:paraId="0FF6568C" w14:textId="77777777" w:rsidR="00CA62D9" w:rsidRPr="002048A7" w:rsidRDefault="00CA62D9" w:rsidP="00CA62D9">
      <w:pPr>
        <w:pStyle w:val="ListeParagraf"/>
        <w:numPr>
          <w:ilvl w:val="0"/>
          <w:numId w:val="26"/>
        </w:numPr>
        <w:spacing w:before="120" w:after="120"/>
      </w:pPr>
      <w:r>
        <w:t>24</w:t>
      </w:r>
      <w:r w:rsidRPr="002048A7">
        <w:t>.12.202</w:t>
      </w:r>
      <w:r>
        <w:t>4</w:t>
      </w:r>
      <w:r w:rsidRPr="002048A7">
        <w:t xml:space="preserve"> tarihli ve 32</w:t>
      </w:r>
      <w:r>
        <w:t>762</w:t>
      </w:r>
      <w:r w:rsidRPr="002048A7">
        <w:t xml:space="preserve"> sayılı Resmî Gazete’de yayımlanan</w:t>
      </w:r>
      <w:r>
        <w:t xml:space="preserve"> 19.12.2024 tarihli ve 13101-1 sayılı Kurul Kararı ile “</w:t>
      </w:r>
      <w:r w:rsidRPr="00E50E37">
        <w:t>Elektrik Piyasası İşletim Gelir Tavanının Karşılanması İçin Uygulanacak Bedel ve Komisyonlar İle Uygulamaya İlişkin Yöntem Bildirimi</w:t>
      </w:r>
      <w:r>
        <w:t>”;</w:t>
      </w:r>
      <w:r w:rsidRPr="00E50E37">
        <w:t xml:space="preserve"> </w:t>
      </w:r>
      <w:r w:rsidRPr="002048A7">
        <w:t xml:space="preserve"> </w:t>
      </w:r>
      <w:r>
        <w:t>19</w:t>
      </w:r>
      <w:r w:rsidRPr="002048A7">
        <w:t>.12.202</w:t>
      </w:r>
      <w:r>
        <w:t>4</w:t>
      </w:r>
      <w:r w:rsidRPr="002048A7">
        <w:t xml:space="preserve"> tarihli ve 1</w:t>
      </w:r>
      <w:r>
        <w:t>3102</w:t>
      </w:r>
      <w:r w:rsidRPr="002048A7">
        <w:t xml:space="preserve"> sayılı Kurul Kararı ile 202</w:t>
      </w:r>
      <w:r>
        <w:t>5</w:t>
      </w:r>
      <w:r w:rsidRPr="002048A7">
        <w:t xml:space="preserve"> yılı için “Vadeli Elektrik Piyasası İşletim Gelir Tavanının Karşılanması İçin Uygulanacak Bedel ve Komisyonlar ile Uygulamaya İlişkin Yöntem Bildirimi” ile “Yenilenebilir Enerji Kaynak Garanti Sistemi ve Organize Yek-G Piyasası İşletim Gelir Tavanının Karşılanması İçin Uygulanacak Bedel Ve Komisyonlar ile Uygulamaya İlişkin Yöntem Bildirimi”nde ifade edilen ücretler,</w:t>
      </w:r>
    </w:p>
    <w:p w14:paraId="7862EBBC" w14:textId="77777777" w:rsidR="00CA62D9" w:rsidRPr="002048A7" w:rsidRDefault="00CA62D9" w:rsidP="00CA62D9">
      <w:pPr>
        <w:spacing w:before="120" w:after="120"/>
      </w:pPr>
      <w:proofErr w:type="gramStart"/>
      <w:r w:rsidRPr="002048A7">
        <w:t>onaylanmıştır</w:t>
      </w:r>
      <w:proofErr w:type="gramEnd"/>
      <w:r w:rsidRPr="002048A7">
        <w:t>.</w:t>
      </w:r>
    </w:p>
    <w:p w14:paraId="05FA71F4" w14:textId="77777777" w:rsidR="00CA62D9" w:rsidRPr="002048A7" w:rsidRDefault="00CA62D9" w:rsidP="00CA62D9">
      <w:pPr>
        <w:pStyle w:val="Balk5"/>
        <w:jc w:val="center"/>
      </w:pPr>
      <w:bookmarkStart w:id="203" w:name="_Toc195868823"/>
      <w:bookmarkStart w:id="204" w:name="_Toc66267482"/>
      <w:r w:rsidRPr="002048A7">
        <w:rPr>
          <w:rStyle w:val="Gl"/>
          <w:color w:val="000000" w:themeColor="text1"/>
        </w:rPr>
        <w:t>Tablo 4.15: EPİAŞ 202</w:t>
      </w:r>
      <w:r>
        <w:rPr>
          <w:rStyle w:val="Gl"/>
          <w:color w:val="000000" w:themeColor="text1"/>
        </w:rPr>
        <w:t>5</w:t>
      </w:r>
      <w:r w:rsidRPr="002048A7">
        <w:rPr>
          <w:rStyle w:val="Gl"/>
          <w:color w:val="000000" w:themeColor="text1"/>
        </w:rPr>
        <w:t xml:space="preserve"> Yılı Piyasa İşletim Gelir Tavanı (TL)</w:t>
      </w:r>
      <w:bookmarkEnd w:id="203"/>
    </w:p>
    <w:tbl>
      <w:tblPr>
        <w:tblW w:w="5000" w:type="pct"/>
        <w:jc w:val="center"/>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left w:w="70" w:type="dxa"/>
          <w:right w:w="70" w:type="dxa"/>
        </w:tblCellMar>
        <w:tblLook w:val="04A0" w:firstRow="1" w:lastRow="0" w:firstColumn="1" w:lastColumn="0" w:noHBand="0" w:noVBand="1"/>
      </w:tblPr>
      <w:tblGrid>
        <w:gridCol w:w="7743"/>
        <w:gridCol w:w="2169"/>
      </w:tblGrid>
      <w:tr w:rsidR="00CA62D9" w:rsidRPr="002048A7" w14:paraId="2373F3E4" w14:textId="77777777" w:rsidTr="00F45E83">
        <w:trPr>
          <w:trHeight w:val="315"/>
          <w:jc w:val="center"/>
        </w:trPr>
        <w:tc>
          <w:tcPr>
            <w:tcW w:w="3906" w:type="pct"/>
            <w:shd w:val="clear" w:color="auto" w:fill="auto"/>
            <w:noWrap/>
            <w:vAlign w:val="center"/>
            <w:hideMark/>
          </w:tcPr>
          <w:p w14:paraId="73F24B6B" w14:textId="77777777" w:rsidR="00CA62D9" w:rsidRPr="002048A7" w:rsidRDefault="00CA62D9" w:rsidP="00F45E83">
            <w:pPr>
              <w:spacing w:after="0" w:line="240" w:lineRule="auto"/>
              <w:rPr>
                <w:rFonts w:eastAsia="Times New Roman" w:cs="Calibri"/>
                <w:bCs/>
                <w:lang w:eastAsia="tr-TR"/>
              </w:rPr>
            </w:pPr>
            <w:r w:rsidRPr="002048A7">
              <w:rPr>
                <w:rFonts w:eastAsia="Times New Roman" w:cs="Calibri"/>
                <w:bCs/>
                <w:lang w:eastAsia="tr-TR"/>
              </w:rPr>
              <w:t>202</w:t>
            </w:r>
            <w:r>
              <w:rPr>
                <w:rFonts w:eastAsia="Times New Roman" w:cs="Calibri"/>
                <w:bCs/>
                <w:lang w:eastAsia="tr-TR"/>
              </w:rPr>
              <w:t>5</w:t>
            </w:r>
            <w:r w:rsidRPr="002048A7">
              <w:rPr>
                <w:rFonts w:eastAsia="Times New Roman" w:cs="Calibri"/>
                <w:bCs/>
                <w:lang w:eastAsia="tr-TR"/>
              </w:rPr>
              <w:t xml:space="preserve"> Yılı Piyasa İşletim Gelir </w:t>
            </w:r>
            <w:proofErr w:type="gramStart"/>
            <w:r w:rsidRPr="002048A7">
              <w:rPr>
                <w:rFonts w:eastAsia="Times New Roman" w:cs="Calibri"/>
                <w:bCs/>
                <w:lang w:eastAsia="tr-TR"/>
              </w:rPr>
              <w:t>Tavanı -</w:t>
            </w:r>
            <w:proofErr w:type="gramEnd"/>
            <w:r w:rsidRPr="002048A7">
              <w:rPr>
                <w:rFonts w:eastAsia="Times New Roman" w:cs="Calibri"/>
                <w:bCs/>
                <w:lang w:eastAsia="tr-TR"/>
              </w:rPr>
              <w:t xml:space="preserve"> Elektrik Piyasası Payı </w:t>
            </w:r>
            <w:r w:rsidRPr="002048A7">
              <w:rPr>
                <w:rFonts w:eastAsia="Times New Roman" w:cs="Calibri"/>
                <w:lang w:eastAsia="tr-TR"/>
              </w:rPr>
              <w:t>(TL - TÜFE=</w:t>
            </w:r>
            <w:r>
              <w:rPr>
                <w:rFonts w:eastAsia="Times New Roman" w:cs="Calibri"/>
                <w:lang w:eastAsia="tr-TR"/>
              </w:rPr>
              <w:t>3.061</w:t>
            </w:r>
            <w:r w:rsidRPr="002048A7">
              <w:rPr>
                <w:rFonts w:eastAsia="Times New Roman" w:cs="Calibri"/>
                <w:lang w:eastAsia="tr-TR"/>
              </w:rPr>
              <w:t>,</w:t>
            </w:r>
            <w:r>
              <w:rPr>
                <w:rFonts w:eastAsia="Times New Roman" w:cs="Calibri"/>
                <w:lang w:eastAsia="tr-TR"/>
              </w:rPr>
              <w:t>46</w:t>
            </w:r>
            <w:r w:rsidRPr="002048A7">
              <w:rPr>
                <w:rFonts w:eastAsia="Times New Roman" w:cs="Calibri"/>
                <w:lang w:eastAsia="tr-TR"/>
              </w:rPr>
              <w:t>)</w:t>
            </w:r>
          </w:p>
        </w:tc>
        <w:tc>
          <w:tcPr>
            <w:tcW w:w="1094" w:type="pct"/>
            <w:shd w:val="clear" w:color="auto" w:fill="auto"/>
            <w:noWrap/>
            <w:vAlign w:val="center"/>
            <w:hideMark/>
          </w:tcPr>
          <w:p w14:paraId="31444766" w14:textId="77777777" w:rsidR="00CA62D9" w:rsidRPr="002048A7" w:rsidRDefault="00CA62D9" w:rsidP="00F45E83">
            <w:pPr>
              <w:spacing w:after="0" w:line="240" w:lineRule="auto"/>
              <w:jc w:val="right"/>
              <w:rPr>
                <w:rFonts w:eastAsia="Times New Roman" w:cs="Calibri"/>
                <w:bCs/>
                <w:lang w:eastAsia="tr-TR"/>
              </w:rPr>
            </w:pPr>
            <w:r w:rsidRPr="00FD6B24">
              <w:rPr>
                <w:rFonts w:eastAsia="Times New Roman" w:cs="Calibri"/>
                <w:bCs/>
                <w:lang w:eastAsia="tr-TR"/>
              </w:rPr>
              <w:t>1.812.590.378</w:t>
            </w:r>
          </w:p>
        </w:tc>
      </w:tr>
    </w:tbl>
    <w:p w14:paraId="32603185" w14:textId="77777777" w:rsidR="00CA62D9" w:rsidRPr="002048A7" w:rsidRDefault="00CA62D9" w:rsidP="00CA62D9">
      <w:pPr>
        <w:pStyle w:val="Balk3"/>
        <w:numPr>
          <w:ilvl w:val="2"/>
          <w:numId w:val="11"/>
        </w:numPr>
        <w:spacing w:before="120" w:after="120"/>
        <w:rPr>
          <w:rFonts w:asciiTheme="minorHAnsi" w:hAnsiTheme="minorHAnsi"/>
          <w:color w:val="000000" w:themeColor="text1"/>
        </w:rPr>
      </w:pPr>
      <w:bookmarkStart w:id="205" w:name="_Toc66267379"/>
      <w:bookmarkStart w:id="206" w:name="_Toc195868718"/>
      <w:bookmarkEnd w:id="204"/>
      <w:r w:rsidRPr="002048A7">
        <w:rPr>
          <w:rFonts w:asciiTheme="minorHAnsi" w:hAnsiTheme="minorHAnsi"/>
          <w:color w:val="000000" w:themeColor="text1"/>
        </w:rPr>
        <w:t>OSB Dağıtım Bedeli</w:t>
      </w:r>
      <w:bookmarkEnd w:id="205"/>
      <w:bookmarkEnd w:id="206"/>
    </w:p>
    <w:p w14:paraId="2F587DEE" w14:textId="77777777" w:rsidR="00CA62D9" w:rsidRPr="002048A7" w:rsidRDefault="00CA62D9" w:rsidP="00CA62D9">
      <w:pPr>
        <w:rPr>
          <w:lang w:bidi="he-IL"/>
        </w:rPr>
      </w:pPr>
      <w:r w:rsidRPr="002048A7">
        <w:rPr>
          <w:lang w:bidi="he-IL"/>
        </w:rPr>
        <w:t>Dağıtım lisansı sahibi Organize Sanayi Bölgelerinin 202</w:t>
      </w:r>
      <w:r>
        <w:rPr>
          <w:lang w:bidi="he-IL"/>
        </w:rPr>
        <w:t>5</w:t>
      </w:r>
      <w:r w:rsidRPr="002048A7">
        <w:rPr>
          <w:lang w:bidi="he-IL"/>
        </w:rPr>
        <w:t xml:space="preserve"> yılında onaylı sınırları içerisindeki katılımcılarına uygulayacağı dağıtım bedelleri, </w:t>
      </w:r>
      <w:r>
        <w:rPr>
          <w:lang w:bidi="he-IL"/>
        </w:rPr>
        <w:t>24</w:t>
      </w:r>
      <w:r w:rsidRPr="002048A7">
        <w:rPr>
          <w:lang w:bidi="he-IL"/>
        </w:rPr>
        <w:t>.12.202</w:t>
      </w:r>
      <w:r>
        <w:rPr>
          <w:lang w:bidi="he-IL"/>
        </w:rPr>
        <w:t>4</w:t>
      </w:r>
      <w:r w:rsidRPr="002048A7">
        <w:rPr>
          <w:lang w:bidi="he-IL"/>
        </w:rPr>
        <w:t xml:space="preserve"> tarihli ve 32</w:t>
      </w:r>
      <w:r>
        <w:rPr>
          <w:lang w:bidi="he-IL"/>
        </w:rPr>
        <w:t>762</w:t>
      </w:r>
      <w:r w:rsidRPr="002048A7">
        <w:rPr>
          <w:lang w:bidi="he-IL"/>
        </w:rPr>
        <w:t xml:space="preserve"> </w:t>
      </w:r>
      <w:r>
        <w:rPr>
          <w:lang w:bidi="he-IL"/>
        </w:rPr>
        <w:t>s</w:t>
      </w:r>
      <w:r w:rsidRPr="002048A7">
        <w:rPr>
          <w:lang w:bidi="he-IL"/>
        </w:rPr>
        <w:t xml:space="preserve">ayılı Resmî Gazete’de yayımlanan </w:t>
      </w:r>
      <w:r>
        <w:rPr>
          <w:lang w:bidi="he-IL"/>
        </w:rPr>
        <w:t>19</w:t>
      </w:r>
      <w:r w:rsidRPr="002048A7">
        <w:rPr>
          <w:lang w:bidi="he-IL"/>
        </w:rPr>
        <w:t>.12.202</w:t>
      </w:r>
      <w:r>
        <w:rPr>
          <w:lang w:bidi="he-IL"/>
        </w:rPr>
        <w:t>4</w:t>
      </w:r>
      <w:r w:rsidRPr="002048A7">
        <w:rPr>
          <w:lang w:bidi="he-IL"/>
        </w:rPr>
        <w:t xml:space="preserve"> tarihli ve 1</w:t>
      </w:r>
      <w:r>
        <w:rPr>
          <w:lang w:bidi="he-IL"/>
        </w:rPr>
        <w:t>3118</w:t>
      </w:r>
      <w:r w:rsidRPr="002048A7">
        <w:rPr>
          <w:lang w:bidi="he-IL"/>
        </w:rPr>
        <w:t>-1 ila 12308-2</w:t>
      </w:r>
      <w:r>
        <w:rPr>
          <w:lang w:bidi="he-IL"/>
        </w:rPr>
        <w:t>11</w:t>
      </w:r>
      <w:r w:rsidRPr="002048A7">
        <w:rPr>
          <w:lang w:bidi="he-IL"/>
        </w:rPr>
        <w:t xml:space="preserve"> sayılı Kurul Kararları ile onaylanmıştır.</w:t>
      </w:r>
    </w:p>
    <w:p w14:paraId="70E3D94B" w14:textId="77777777" w:rsidR="00CA62D9" w:rsidRPr="002048A7" w:rsidRDefault="00CA62D9" w:rsidP="00CA62D9">
      <w:pPr>
        <w:rPr>
          <w:lang w:bidi="he-IL"/>
        </w:rPr>
      </w:pPr>
      <w:r w:rsidRPr="002048A7">
        <w:rPr>
          <w:lang w:bidi="he-IL"/>
        </w:rPr>
        <w:lastRenderedPageBreak/>
        <w:t xml:space="preserve">OSB yönetimleri Organize Sanayi Bölgelerinin Elektrik Piyasası Faaliyetlerine İlişkin Yönetmelik çerçevesinde dağıtım bedeli tekliflerini Sanayi veya Sanayi Harici tüketicileri ile Üreticiler için AG, OG, tek terimli ve çift terimli olarak sunabilmektedirler. Dağıtım bedeli değerlendirmeleri OSB’lerin tüketim tahminleri, yatırım giderleri, işletme giderleri, kayıp enerji giderleri ve içinde bulundukları dağıtım bölgeleri için öngörülen dağıtım tarife öngörüleri göz önüne alınarak </w:t>
      </w:r>
      <w:r w:rsidRPr="002048A7">
        <w:rPr>
          <w:i/>
          <w:iCs/>
          <w:lang w:bidi="he-IL"/>
        </w:rPr>
        <w:t xml:space="preserve">“kıyaslama modeli” </w:t>
      </w:r>
      <w:r w:rsidRPr="002048A7">
        <w:rPr>
          <w:lang w:bidi="he-IL"/>
        </w:rPr>
        <w:t>çerçevesinde yapılmaktadır.</w:t>
      </w:r>
    </w:p>
    <w:p w14:paraId="7013F72C" w14:textId="77777777" w:rsidR="00CA62D9" w:rsidRPr="002048A7" w:rsidRDefault="00CA62D9" w:rsidP="00CA62D9">
      <w:pPr>
        <w:pStyle w:val="Balk3"/>
        <w:numPr>
          <w:ilvl w:val="2"/>
          <w:numId w:val="11"/>
        </w:numPr>
        <w:spacing w:before="0" w:after="240"/>
        <w:rPr>
          <w:rFonts w:asciiTheme="minorHAnsi" w:hAnsiTheme="minorHAnsi"/>
          <w:color w:val="000000" w:themeColor="text1"/>
        </w:rPr>
      </w:pPr>
      <w:bookmarkStart w:id="207" w:name="_Toc66267380"/>
      <w:bookmarkStart w:id="208" w:name="_Toc195868719"/>
      <w:r w:rsidRPr="002048A7">
        <w:rPr>
          <w:rFonts w:asciiTheme="minorHAnsi" w:hAnsiTheme="minorHAnsi"/>
          <w:color w:val="000000" w:themeColor="text1"/>
        </w:rPr>
        <w:t>EÜAŞ Toptan Satış Tarifesi</w:t>
      </w:r>
      <w:bookmarkEnd w:id="207"/>
      <w:bookmarkEnd w:id="208"/>
    </w:p>
    <w:p w14:paraId="48FE4699" w14:textId="77777777" w:rsidR="00CA62D9" w:rsidRPr="002048A7" w:rsidRDefault="00CA62D9" w:rsidP="00CA62D9">
      <w:pPr>
        <w:spacing w:after="0"/>
        <w:rPr>
          <w:rStyle w:val="Gl"/>
          <w:b w:val="0"/>
          <w:bCs w:val="0"/>
          <w:color w:val="000000" w:themeColor="text1"/>
        </w:rPr>
      </w:pPr>
      <w:r w:rsidRPr="002048A7">
        <w:t>EÜAŞ’ın 202</w:t>
      </w:r>
      <w:r>
        <w:t>4</w:t>
      </w:r>
      <w:r w:rsidRPr="002048A7">
        <w:t xml:space="preserve"> yılının tamamı ve 202</w:t>
      </w:r>
      <w:r>
        <w:t>5</w:t>
      </w:r>
      <w:r w:rsidRPr="002048A7">
        <w:t xml:space="preserve"> yılının ilk tarife dönemi için onaylanan toptan satış tarifeleri Tablo 4.16 ve 4.17’de </w:t>
      </w:r>
      <w:r w:rsidRPr="002048A7">
        <w:rPr>
          <w:color w:val="000000" w:themeColor="text1"/>
        </w:rPr>
        <w:t>yer almaktadır.</w:t>
      </w:r>
    </w:p>
    <w:p w14:paraId="5DE73FE9" w14:textId="77777777" w:rsidR="00CA62D9" w:rsidRPr="002048A7" w:rsidRDefault="00CA62D9" w:rsidP="00CA62D9">
      <w:pPr>
        <w:pStyle w:val="Balk5"/>
        <w:spacing w:after="240"/>
        <w:jc w:val="center"/>
        <w:rPr>
          <w:rFonts w:asciiTheme="minorHAnsi" w:hAnsiTheme="minorHAnsi"/>
          <w:b/>
          <w:color w:val="auto"/>
        </w:rPr>
      </w:pPr>
      <w:bookmarkStart w:id="209" w:name="_Toc195868824"/>
      <w:bookmarkStart w:id="210" w:name="_Toc66267483"/>
      <w:r w:rsidRPr="002048A7">
        <w:rPr>
          <w:rStyle w:val="Gl"/>
          <w:color w:val="auto"/>
        </w:rPr>
        <w:t xml:space="preserve">Tablo 4.16: EÜAŞ Toptan Satış Tarifeleri </w:t>
      </w:r>
      <w:r w:rsidRPr="002048A7">
        <w:rPr>
          <w:rStyle w:val="Gl"/>
          <w:b w:val="0"/>
          <w:color w:val="auto"/>
        </w:rPr>
        <w:t>(</w:t>
      </w:r>
      <w:r w:rsidRPr="002048A7">
        <w:rPr>
          <w:rFonts w:asciiTheme="minorHAnsi" w:hAnsiTheme="minorHAnsi"/>
          <w:b/>
          <w:color w:val="auto"/>
        </w:rPr>
        <w:t>Dağıtım Şirketlerine Teknik ve Teknik Olmayan Kayıp Enerji Satışları İle Dağıtım Şirketlerine Genel Aydınlatma Kapsamında Yapılan Satışlarda)</w:t>
      </w:r>
      <w:bookmarkEnd w:id="209"/>
    </w:p>
    <w:tbl>
      <w:tblPr>
        <w:tblW w:w="10343"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0A0" w:firstRow="1" w:lastRow="0" w:firstColumn="1" w:lastColumn="0" w:noHBand="0" w:noVBand="0"/>
      </w:tblPr>
      <w:tblGrid>
        <w:gridCol w:w="2147"/>
        <w:gridCol w:w="1146"/>
        <w:gridCol w:w="2147"/>
        <w:gridCol w:w="1723"/>
        <w:gridCol w:w="1693"/>
        <w:gridCol w:w="1487"/>
      </w:tblGrid>
      <w:tr w:rsidR="00CA62D9" w:rsidRPr="002048A7" w14:paraId="75FC3450" w14:textId="77777777" w:rsidTr="00F45E83">
        <w:trPr>
          <w:trHeight w:val="397"/>
          <w:jc w:val="center"/>
        </w:trPr>
        <w:tc>
          <w:tcPr>
            <w:tcW w:w="2147" w:type="dxa"/>
            <w:shd w:val="clear" w:color="auto" w:fill="6E9ECA"/>
            <w:vAlign w:val="center"/>
          </w:tcPr>
          <w:p w14:paraId="0B8BAFCE" w14:textId="77777777" w:rsidR="00CA62D9" w:rsidRPr="002048A7" w:rsidRDefault="00CA62D9" w:rsidP="00F45E83">
            <w:pPr>
              <w:spacing w:after="0" w:line="240" w:lineRule="auto"/>
              <w:jc w:val="center"/>
              <w:rPr>
                <w:b/>
                <w:bCs/>
                <w:color w:val="FFFFFF" w:themeColor="background1"/>
              </w:rPr>
            </w:pPr>
            <w:r w:rsidRPr="002048A7">
              <w:rPr>
                <w:b/>
                <w:bCs/>
                <w:color w:val="FFFFFF" w:themeColor="background1"/>
              </w:rPr>
              <w:t>Kurul Karar Tarihi</w:t>
            </w:r>
          </w:p>
        </w:tc>
        <w:tc>
          <w:tcPr>
            <w:tcW w:w="1146" w:type="dxa"/>
            <w:shd w:val="clear" w:color="auto" w:fill="6E9ECA"/>
            <w:vAlign w:val="center"/>
          </w:tcPr>
          <w:p w14:paraId="08E4235E" w14:textId="77777777" w:rsidR="00CA62D9" w:rsidRPr="002048A7" w:rsidRDefault="00CA62D9" w:rsidP="00F45E83">
            <w:pPr>
              <w:spacing w:after="0" w:line="240" w:lineRule="auto"/>
              <w:jc w:val="center"/>
              <w:rPr>
                <w:b/>
                <w:bCs/>
                <w:color w:val="FFFFFF" w:themeColor="background1"/>
              </w:rPr>
            </w:pPr>
            <w:r w:rsidRPr="002048A7">
              <w:rPr>
                <w:b/>
                <w:bCs/>
                <w:color w:val="FFFFFF" w:themeColor="background1"/>
              </w:rPr>
              <w:t>Kurul Karar Sayısı</w:t>
            </w:r>
          </w:p>
        </w:tc>
        <w:tc>
          <w:tcPr>
            <w:tcW w:w="2147" w:type="dxa"/>
            <w:shd w:val="clear" w:color="auto" w:fill="6E9ECA"/>
            <w:vAlign w:val="center"/>
          </w:tcPr>
          <w:p w14:paraId="332D8319" w14:textId="77777777" w:rsidR="00CA62D9" w:rsidRPr="002048A7" w:rsidRDefault="00CA62D9" w:rsidP="00F45E83">
            <w:pPr>
              <w:spacing w:after="0" w:line="240" w:lineRule="auto"/>
              <w:jc w:val="center"/>
              <w:rPr>
                <w:b/>
                <w:bCs/>
                <w:color w:val="FFFFFF" w:themeColor="background1"/>
              </w:rPr>
            </w:pPr>
            <w:r w:rsidRPr="002048A7">
              <w:rPr>
                <w:b/>
                <w:bCs/>
                <w:color w:val="FFFFFF" w:themeColor="background1"/>
              </w:rPr>
              <w:t>Yürürlük Tarihi</w:t>
            </w:r>
          </w:p>
        </w:tc>
        <w:tc>
          <w:tcPr>
            <w:tcW w:w="1723" w:type="dxa"/>
            <w:shd w:val="clear" w:color="auto" w:fill="6E9ECA"/>
          </w:tcPr>
          <w:p w14:paraId="740B2787" w14:textId="77777777" w:rsidR="00CA62D9" w:rsidRPr="002048A7" w:rsidRDefault="00CA62D9" w:rsidP="00F45E83">
            <w:pPr>
              <w:spacing w:after="0" w:line="240" w:lineRule="auto"/>
              <w:jc w:val="center"/>
              <w:rPr>
                <w:b/>
                <w:bCs/>
                <w:color w:val="FFFFFF" w:themeColor="background1"/>
              </w:rPr>
            </w:pPr>
            <w:r w:rsidRPr="002048A7">
              <w:rPr>
                <w:b/>
                <w:bCs/>
                <w:color w:val="FFFFFF" w:themeColor="background1"/>
              </w:rPr>
              <w:t>Yayımlandığı Resmî Gazete Tarih ve Sayısı</w:t>
            </w:r>
          </w:p>
        </w:tc>
        <w:tc>
          <w:tcPr>
            <w:tcW w:w="1693" w:type="dxa"/>
            <w:shd w:val="clear" w:color="auto" w:fill="6E9ECA"/>
            <w:vAlign w:val="center"/>
          </w:tcPr>
          <w:p w14:paraId="6AF850E3" w14:textId="77777777" w:rsidR="00CA62D9" w:rsidRPr="002048A7" w:rsidRDefault="00CA62D9" w:rsidP="00F45E83">
            <w:pPr>
              <w:spacing w:after="0" w:line="240" w:lineRule="auto"/>
              <w:jc w:val="center"/>
              <w:rPr>
                <w:b/>
                <w:bCs/>
                <w:color w:val="FFFFFF" w:themeColor="background1"/>
              </w:rPr>
            </w:pPr>
            <w:r w:rsidRPr="002048A7">
              <w:rPr>
                <w:b/>
                <w:bCs/>
                <w:color w:val="FFFFFF" w:themeColor="background1"/>
              </w:rPr>
              <w:t>Teknik ve Teknik Olmayan Kayıp Enerji Kapsamında Yapılan Satışlar (Krş/kWh)</w:t>
            </w:r>
          </w:p>
        </w:tc>
        <w:tc>
          <w:tcPr>
            <w:tcW w:w="1487" w:type="dxa"/>
            <w:shd w:val="clear" w:color="auto" w:fill="6E9ECA"/>
          </w:tcPr>
          <w:p w14:paraId="53441591" w14:textId="77777777" w:rsidR="00CA62D9" w:rsidRPr="002048A7" w:rsidRDefault="00CA62D9" w:rsidP="00F45E83">
            <w:pPr>
              <w:spacing w:after="0" w:line="240" w:lineRule="auto"/>
              <w:jc w:val="center"/>
              <w:rPr>
                <w:b/>
                <w:bCs/>
                <w:color w:val="FFFFFF" w:themeColor="background1"/>
              </w:rPr>
            </w:pPr>
            <w:r w:rsidRPr="002048A7">
              <w:rPr>
                <w:b/>
                <w:bCs/>
                <w:color w:val="FFFFFF" w:themeColor="background1"/>
              </w:rPr>
              <w:t>Genel Aydınlatma Kapsamında Yapılan Satışlar (kr/kWh</w:t>
            </w:r>
          </w:p>
        </w:tc>
      </w:tr>
      <w:tr w:rsidR="00CA62D9" w:rsidRPr="002048A7" w14:paraId="21F60448" w14:textId="77777777" w:rsidTr="00F45E83">
        <w:trPr>
          <w:trHeight w:val="397"/>
          <w:jc w:val="center"/>
        </w:trPr>
        <w:tc>
          <w:tcPr>
            <w:tcW w:w="2147" w:type="dxa"/>
            <w:noWrap/>
          </w:tcPr>
          <w:p w14:paraId="676FDCB1" w14:textId="77777777" w:rsidR="00CA62D9" w:rsidRPr="002048A7" w:rsidRDefault="00CA62D9" w:rsidP="00F45E83">
            <w:pPr>
              <w:spacing w:after="0" w:line="240" w:lineRule="auto"/>
              <w:jc w:val="center"/>
              <w:rPr>
                <w:color w:val="000000" w:themeColor="text1"/>
              </w:rPr>
            </w:pPr>
            <w:r>
              <w:rPr>
                <w:color w:val="000000" w:themeColor="text1"/>
              </w:rPr>
              <w:t>17</w:t>
            </w:r>
            <w:r w:rsidRPr="002048A7">
              <w:rPr>
                <w:color w:val="000000" w:themeColor="text1"/>
              </w:rPr>
              <w:t>.</w:t>
            </w:r>
            <w:r>
              <w:rPr>
                <w:color w:val="000000" w:themeColor="text1"/>
              </w:rPr>
              <w:t>08</w:t>
            </w:r>
            <w:r w:rsidRPr="002048A7">
              <w:rPr>
                <w:color w:val="000000" w:themeColor="text1"/>
              </w:rPr>
              <w:t>.202</w:t>
            </w:r>
            <w:r>
              <w:rPr>
                <w:color w:val="000000" w:themeColor="text1"/>
              </w:rPr>
              <w:t>3</w:t>
            </w:r>
          </w:p>
        </w:tc>
        <w:tc>
          <w:tcPr>
            <w:tcW w:w="1146" w:type="dxa"/>
          </w:tcPr>
          <w:p w14:paraId="4972676A" w14:textId="77777777" w:rsidR="00CA62D9" w:rsidRPr="002048A7" w:rsidRDefault="00CA62D9" w:rsidP="00F45E83">
            <w:pPr>
              <w:spacing w:after="0" w:line="240" w:lineRule="auto"/>
              <w:jc w:val="center"/>
              <w:rPr>
                <w:color w:val="000000" w:themeColor="text1"/>
              </w:rPr>
            </w:pPr>
            <w:r>
              <w:rPr>
                <w:color w:val="000000" w:themeColor="text1"/>
              </w:rPr>
              <w:t>12031</w:t>
            </w:r>
          </w:p>
        </w:tc>
        <w:tc>
          <w:tcPr>
            <w:tcW w:w="2147" w:type="dxa"/>
            <w:noWrap/>
          </w:tcPr>
          <w:p w14:paraId="44F623AD" w14:textId="77777777" w:rsidR="00CA62D9" w:rsidRPr="002048A7" w:rsidRDefault="00CA62D9" w:rsidP="00F45E83">
            <w:pPr>
              <w:spacing w:after="0" w:line="240" w:lineRule="auto"/>
              <w:jc w:val="center"/>
              <w:rPr>
                <w:color w:val="000000" w:themeColor="text1"/>
              </w:rPr>
            </w:pPr>
            <w:r>
              <w:rPr>
                <w:color w:val="000000" w:themeColor="text1"/>
              </w:rPr>
              <w:t>18</w:t>
            </w:r>
            <w:r w:rsidRPr="002048A7">
              <w:rPr>
                <w:color w:val="000000" w:themeColor="text1"/>
              </w:rPr>
              <w:t>.0</w:t>
            </w:r>
            <w:r>
              <w:rPr>
                <w:color w:val="000000" w:themeColor="text1"/>
              </w:rPr>
              <w:t>8</w:t>
            </w:r>
            <w:r w:rsidRPr="002048A7">
              <w:rPr>
                <w:color w:val="000000" w:themeColor="text1"/>
              </w:rPr>
              <w:t>.2023</w:t>
            </w:r>
          </w:p>
        </w:tc>
        <w:tc>
          <w:tcPr>
            <w:tcW w:w="1723" w:type="dxa"/>
          </w:tcPr>
          <w:p w14:paraId="31C37958" w14:textId="77777777" w:rsidR="00CA62D9" w:rsidRPr="002048A7" w:rsidRDefault="00CA62D9" w:rsidP="00F45E83">
            <w:pPr>
              <w:spacing w:after="0" w:line="240" w:lineRule="auto"/>
              <w:jc w:val="center"/>
              <w:rPr>
                <w:color w:val="000000" w:themeColor="text1"/>
              </w:rPr>
            </w:pPr>
            <w:r>
              <w:rPr>
                <w:color w:val="000000" w:themeColor="text1"/>
              </w:rPr>
              <w:t>18</w:t>
            </w:r>
            <w:r w:rsidRPr="002048A7">
              <w:rPr>
                <w:color w:val="000000" w:themeColor="text1"/>
              </w:rPr>
              <w:t>.</w:t>
            </w:r>
            <w:r>
              <w:rPr>
                <w:color w:val="000000" w:themeColor="text1"/>
              </w:rPr>
              <w:t>08</w:t>
            </w:r>
            <w:r w:rsidRPr="002048A7">
              <w:rPr>
                <w:color w:val="000000" w:themeColor="text1"/>
              </w:rPr>
              <w:t>.202</w:t>
            </w:r>
            <w:r>
              <w:rPr>
                <w:color w:val="000000" w:themeColor="text1"/>
              </w:rPr>
              <w:t>3</w:t>
            </w:r>
            <w:r w:rsidRPr="002048A7">
              <w:rPr>
                <w:color w:val="000000" w:themeColor="text1"/>
              </w:rPr>
              <w:t>-32</w:t>
            </w:r>
            <w:r>
              <w:rPr>
                <w:color w:val="000000" w:themeColor="text1"/>
              </w:rPr>
              <w:t>283</w:t>
            </w:r>
          </w:p>
        </w:tc>
        <w:tc>
          <w:tcPr>
            <w:tcW w:w="1693" w:type="dxa"/>
            <w:noWrap/>
          </w:tcPr>
          <w:p w14:paraId="3312E21D" w14:textId="77777777" w:rsidR="00CA62D9" w:rsidRPr="002048A7" w:rsidRDefault="00CA62D9" w:rsidP="00F45E83">
            <w:pPr>
              <w:spacing w:after="0" w:line="240" w:lineRule="auto"/>
              <w:jc w:val="center"/>
              <w:rPr>
                <w:color w:val="000000" w:themeColor="text1"/>
              </w:rPr>
            </w:pPr>
            <w:r>
              <w:rPr>
                <w:color w:val="000000" w:themeColor="text1"/>
              </w:rPr>
              <w:t>10</w:t>
            </w:r>
            <w:r w:rsidRPr="002048A7">
              <w:rPr>
                <w:color w:val="000000" w:themeColor="text1"/>
              </w:rPr>
              <w:t>0,0000</w:t>
            </w:r>
          </w:p>
        </w:tc>
        <w:tc>
          <w:tcPr>
            <w:tcW w:w="1487" w:type="dxa"/>
          </w:tcPr>
          <w:p w14:paraId="76792E66" w14:textId="77777777" w:rsidR="00CA62D9" w:rsidRPr="002048A7" w:rsidRDefault="00CA62D9" w:rsidP="00F45E83">
            <w:pPr>
              <w:spacing w:after="0" w:line="240" w:lineRule="auto"/>
              <w:jc w:val="center"/>
              <w:rPr>
                <w:color w:val="000000" w:themeColor="text1"/>
              </w:rPr>
            </w:pPr>
            <w:r w:rsidRPr="002048A7">
              <w:rPr>
                <w:color w:val="000000" w:themeColor="text1"/>
              </w:rPr>
              <w:t>380,0000</w:t>
            </w:r>
          </w:p>
        </w:tc>
      </w:tr>
      <w:tr w:rsidR="00CA62D9" w:rsidRPr="002048A7" w14:paraId="6868ECB6" w14:textId="77777777" w:rsidTr="00F45E83">
        <w:trPr>
          <w:trHeight w:val="397"/>
          <w:jc w:val="center"/>
        </w:trPr>
        <w:tc>
          <w:tcPr>
            <w:tcW w:w="2147" w:type="dxa"/>
            <w:noWrap/>
          </w:tcPr>
          <w:p w14:paraId="760EF021" w14:textId="77777777" w:rsidR="00CA62D9" w:rsidRPr="002048A7" w:rsidRDefault="00CA62D9" w:rsidP="00F45E83">
            <w:pPr>
              <w:spacing w:after="0" w:line="240" w:lineRule="auto"/>
              <w:jc w:val="center"/>
              <w:rPr>
                <w:color w:val="000000" w:themeColor="text1"/>
              </w:rPr>
            </w:pPr>
            <w:r>
              <w:rPr>
                <w:color w:val="000000" w:themeColor="text1"/>
              </w:rPr>
              <w:t>26</w:t>
            </w:r>
            <w:r w:rsidRPr="002048A7">
              <w:rPr>
                <w:color w:val="000000" w:themeColor="text1"/>
              </w:rPr>
              <w:t>.</w:t>
            </w:r>
            <w:r>
              <w:rPr>
                <w:color w:val="000000" w:themeColor="text1"/>
              </w:rPr>
              <w:t>12</w:t>
            </w:r>
            <w:r w:rsidRPr="002048A7">
              <w:rPr>
                <w:color w:val="000000" w:themeColor="text1"/>
              </w:rPr>
              <w:t>.202</w:t>
            </w:r>
            <w:r>
              <w:rPr>
                <w:color w:val="000000" w:themeColor="text1"/>
              </w:rPr>
              <w:t>4</w:t>
            </w:r>
          </w:p>
        </w:tc>
        <w:tc>
          <w:tcPr>
            <w:tcW w:w="1146" w:type="dxa"/>
          </w:tcPr>
          <w:p w14:paraId="361F281C" w14:textId="77777777" w:rsidR="00CA62D9" w:rsidRPr="002048A7" w:rsidRDefault="00CA62D9" w:rsidP="00F45E83">
            <w:pPr>
              <w:spacing w:after="0" w:line="240" w:lineRule="auto"/>
              <w:jc w:val="center"/>
              <w:rPr>
                <w:color w:val="000000" w:themeColor="text1"/>
              </w:rPr>
            </w:pPr>
            <w:r w:rsidRPr="002048A7">
              <w:rPr>
                <w:color w:val="000000" w:themeColor="text1"/>
              </w:rPr>
              <w:t>1</w:t>
            </w:r>
            <w:r>
              <w:rPr>
                <w:color w:val="000000" w:themeColor="text1"/>
              </w:rPr>
              <w:t>3149</w:t>
            </w:r>
          </w:p>
        </w:tc>
        <w:tc>
          <w:tcPr>
            <w:tcW w:w="2147" w:type="dxa"/>
            <w:noWrap/>
          </w:tcPr>
          <w:p w14:paraId="64529967" w14:textId="77777777" w:rsidR="00CA62D9" w:rsidRPr="002048A7" w:rsidRDefault="00CA62D9" w:rsidP="00F45E83">
            <w:pPr>
              <w:spacing w:after="0" w:line="240" w:lineRule="auto"/>
              <w:jc w:val="center"/>
              <w:rPr>
                <w:color w:val="000000" w:themeColor="text1"/>
              </w:rPr>
            </w:pPr>
            <w:r w:rsidRPr="002048A7">
              <w:rPr>
                <w:color w:val="000000" w:themeColor="text1"/>
              </w:rPr>
              <w:t>01.0</w:t>
            </w:r>
            <w:r>
              <w:rPr>
                <w:color w:val="000000" w:themeColor="text1"/>
              </w:rPr>
              <w:t>1</w:t>
            </w:r>
            <w:r w:rsidRPr="002048A7">
              <w:rPr>
                <w:color w:val="000000" w:themeColor="text1"/>
              </w:rPr>
              <w:t>.202</w:t>
            </w:r>
            <w:r>
              <w:rPr>
                <w:color w:val="000000" w:themeColor="text1"/>
              </w:rPr>
              <w:t>5</w:t>
            </w:r>
          </w:p>
        </w:tc>
        <w:tc>
          <w:tcPr>
            <w:tcW w:w="1723" w:type="dxa"/>
          </w:tcPr>
          <w:p w14:paraId="4FD3FF73" w14:textId="77777777" w:rsidR="00CA62D9" w:rsidRPr="002048A7" w:rsidRDefault="00CA62D9" w:rsidP="00F45E83">
            <w:pPr>
              <w:spacing w:after="0" w:line="240" w:lineRule="auto"/>
              <w:jc w:val="center"/>
              <w:rPr>
                <w:color w:val="000000" w:themeColor="text1"/>
              </w:rPr>
            </w:pPr>
            <w:r>
              <w:rPr>
                <w:color w:val="000000" w:themeColor="text1"/>
              </w:rPr>
              <w:t>28</w:t>
            </w:r>
            <w:r w:rsidRPr="002048A7">
              <w:rPr>
                <w:color w:val="000000" w:themeColor="text1"/>
              </w:rPr>
              <w:t>.</w:t>
            </w:r>
            <w:r>
              <w:rPr>
                <w:color w:val="000000" w:themeColor="text1"/>
              </w:rPr>
              <w:t>12</w:t>
            </w:r>
            <w:r w:rsidRPr="002048A7">
              <w:rPr>
                <w:color w:val="000000" w:themeColor="text1"/>
              </w:rPr>
              <w:t>.202</w:t>
            </w:r>
            <w:r>
              <w:rPr>
                <w:color w:val="000000" w:themeColor="text1"/>
              </w:rPr>
              <w:t>4</w:t>
            </w:r>
            <w:r w:rsidRPr="002048A7">
              <w:rPr>
                <w:color w:val="000000" w:themeColor="text1"/>
              </w:rPr>
              <w:t>-32</w:t>
            </w:r>
            <w:r>
              <w:rPr>
                <w:color w:val="000000" w:themeColor="text1"/>
              </w:rPr>
              <w:t>766</w:t>
            </w:r>
          </w:p>
        </w:tc>
        <w:tc>
          <w:tcPr>
            <w:tcW w:w="1693" w:type="dxa"/>
            <w:noWrap/>
          </w:tcPr>
          <w:p w14:paraId="12FBC25C" w14:textId="77777777" w:rsidR="00CA62D9" w:rsidRPr="002048A7" w:rsidRDefault="00CA62D9" w:rsidP="00F45E83">
            <w:pPr>
              <w:spacing w:after="0" w:line="240" w:lineRule="auto"/>
              <w:jc w:val="center"/>
              <w:rPr>
                <w:color w:val="000000" w:themeColor="text1"/>
              </w:rPr>
            </w:pPr>
            <w:r>
              <w:rPr>
                <w:color w:val="000000" w:themeColor="text1"/>
              </w:rPr>
              <w:t>175</w:t>
            </w:r>
            <w:r w:rsidRPr="002048A7">
              <w:rPr>
                <w:color w:val="000000" w:themeColor="text1"/>
              </w:rPr>
              <w:t>,0000</w:t>
            </w:r>
          </w:p>
        </w:tc>
        <w:tc>
          <w:tcPr>
            <w:tcW w:w="1487" w:type="dxa"/>
          </w:tcPr>
          <w:p w14:paraId="5F5C0642" w14:textId="77777777" w:rsidR="00CA62D9" w:rsidRPr="002048A7" w:rsidRDefault="00CA62D9" w:rsidP="00F45E83">
            <w:pPr>
              <w:spacing w:after="0" w:line="240" w:lineRule="auto"/>
              <w:jc w:val="center"/>
              <w:rPr>
                <w:color w:val="000000" w:themeColor="text1"/>
              </w:rPr>
            </w:pPr>
            <w:r w:rsidRPr="002048A7">
              <w:rPr>
                <w:color w:val="000000" w:themeColor="text1"/>
              </w:rPr>
              <w:t>380,0000</w:t>
            </w:r>
          </w:p>
        </w:tc>
      </w:tr>
    </w:tbl>
    <w:p w14:paraId="1C4E010C" w14:textId="77777777" w:rsidR="00CA62D9" w:rsidRPr="002048A7" w:rsidRDefault="00CA62D9" w:rsidP="00CA62D9">
      <w:pPr>
        <w:pStyle w:val="Balk5"/>
        <w:jc w:val="center"/>
        <w:rPr>
          <w:rStyle w:val="Gl"/>
          <w:color w:val="auto"/>
        </w:rPr>
      </w:pPr>
      <w:bookmarkStart w:id="211" w:name="_Toc195868825"/>
      <w:r w:rsidRPr="002048A7">
        <w:rPr>
          <w:rStyle w:val="Gl"/>
          <w:color w:val="auto"/>
        </w:rPr>
        <w:t>Tablo 4.17: EÜAŞ Toptan Satış Tarifeleri</w:t>
      </w:r>
      <w:r w:rsidRPr="002048A7">
        <w:rPr>
          <w:rStyle w:val="Gl"/>
          <w:color w:val="auto"/>
        </w:rPr>
        <w:br/>
      </w:r>
      <w:r w:rsidRPr="002048A7">
        <w:rPr>
          <w:rStyle w:val="Gl"/>
          <w:b w:val="0"/>
          <w:color w:val="auto"/>
        </w:rPr>
        <w:t>(</w:t>
      </w:r>
      <w:r w:rsidRPr="002048A7">
        <w:rPr>
          <w:rFonts w:asciiTheme="minorHAnsi" w:hAnsiTheme="minorHAnsi"/>
          <w:b/>
          <w:color w:val="auto"/>
        </w:rPr>
        <w:t>Görevli Tedarik Şirketlerine Yapılan Satışlarda)</w:t>
      </w:r>
      <w:bookmarkEnd w:id="211"/>
    </w:p>
    <w:tbl>
      <w:tblPr>
        <w:tblW w:w="10062"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0A0" w:firstRow="1" w:lastRow="0" w:firstColumn="1" w:lastColumn="0" w:noHBand="0" w:noVBand="0"/>
      </w:tblPr>
      <w:tblGrid>
        <w:gridCol w:w="2147"/>
        <w:gridCol w:w="1689"/>
        <w:gridCol w:w="2035"/>
        <w:gridCol w:w="2137"/>
        <w:gridCol w:w="2054"/>
      </w:tblGrid>
      <w:tr w:rsidR="00CA62D9" w:rsidRPr="002048A7" w14:paraId="318D1FA1" w14:textId="77777777" w:rsidTr="00CA62D9">
        <w:trPr>
          <w:trHeight w:val="397"/>
          <w:tblHeader/>
          <w:jc w:val="center"/>
        </w:trPr>
        <w:tc>
          <w:tcPr>
            <w:tcW w:w="2147" w:type="dxa"/>
            <w:shd w:val="clear" w:color="auto" w:fill="6E9ECA"/>
          </w:tcPr>
          <w:p w14:paraId="778AF7A8" w14:textId="77777777" w:rsidR="00CA62D9" w:rsidRPr="002048A7" w:rsidRDefault="00CA62D9" w:rsidP="00F45E83">
            <w:pPr>
              <w:spacing w:after="0" w:line="240" w:lineRule="auto"/>
              <w:jc w:val="center"/>
              <w:rPr>
                <w:b/>
                <w:bCs/>
                <w:color w:val="FFFFFF" w:themeColor="background1"/>
              </w:rPr>
            </w:pPr>
            <w:r w:rsidRPr="002048A7">
              <w:rPr>
                <w:b/>
                <w:bCs/>
                <w:color w:val="FFFFFF" w:themeColor="background1"/>
              </w:rPr>
              <w:t>Kurul Karar Tarihi</w:t>
            </w:r>
          </w:p>
        </w:tc>
        <w:tc>
          <w:tcPr>
            <w:tcW w:w="1689" w:type="dxa"/>
            <w:shd w:val="clear" w:color="auto" w:fill="6E9ECA"/>
          </w:tcPr>
          <w:p w14:paraId="294BE11E" w14:textId="77777777" w:rsidR="00CA62D9" w:rsidRPr="002048A7" w:rsidRDefault="00CA62D9" w:rsidP="00F45E83">
            <w:pPr>
              <w:spacing w:after="0" w:line="240" w:lineRule="auto"/>
              <w:jc w:val="center"/>
              <w:rPr>
                <w:b/>
                <w:bCs/>
                <w:color w:val="FFFFFF" w:themeColor="background1"/>
              </w:rPr>
            </w:pPr>
            <w:r w:rsidRPr="002048A7">
              <w:rPr>
                <w:b/>
                <w:bCs/>
                <w:color w:val="FFFFFF" w:themeColor="background1"/>
              </w:rPr>
              <w:t>Kurul Karar Sayısı</w:t>
            </w:r>
          </w:p>
        </w:tc>
        <w:tc>
          <w:tcPr>
            <w:tcW w:w="2035" w:type="dxa"/>
            <w:shd w:val="clear" w:color="auto" w:fill="6E9ECA"/>
          </w:tcPr>
          <w:p w14:paraId="5F0803C1" w14:textId="77777777" w:rsidR="00CA62D9" w:rsidRPr="002048A7" w:rsidRDefault="00CA62D9" w:rsidP="00F45E83">
            <w:pPr>
              <w:spacing w:after="0" w:line="240" w:lineRule="auto"/>
              <w:jc w:val="center"/>
              <w:rPr>
                <w:b/>
                <w:bCs/>
                <w:color w:val="FFFFFF" w:themeColor="background1"/>
              </w:rPr>
            </w:pPr>
            <w:r w:rsidRPr="002048A7">
              <w:rPr>
                <w:b/>
                <w:bCs/>
                <w:color w:val="FFFFFF" w:themeColor="background1"/>
              </w:rPr>
              <w:t>Yürürlük Tarihi</w:t>
            </w:r>
          </w:p>
        </w:tc>
        <w:tc>
          <w:tcPr>
            <w:tcW w:w="2137" w:type="dxa"/>
            <w:shd w:val="clear" w:color="auto" w:fill="6E9ECA"/>
          </w:tcPr>
          <w:p w14:paraId="5184E45F" w14:textId="77777777" w:rsidR="00CA62D9" w:rsidRPr="002048A7" w:rsidRDefault="00CA62D9" w:rsidP="00F45E83">
            <w:pPr>
              <w:spacing w:after="0" w:line="240" w:lineRule="auto"/>
              <w:jc w:val="center"/>
              <w:rPr>
                <w:b/>
                <w:bCs/>
                <w:color w:val="FFFFFF" w:themeColor="background1"/>
              </w:rPr>
            </w:pPr>
            <w:r w:rsidRPr="002048A7">
              <w:rPr>
                <w:b/>
                <w:bCs/>
                <w:color w:val="FFFFFF" w:themeColor="background1"/>
              </w:rPr>
              <w:t>Yayımlandığı Resmî Gazete Tarih ve Sayısı</w:t>
            </w:r>
          </w:p>
        </w:tc>
        <w:tc>
          <w:tcPr>
            <w:tcW w:w="2054" w:type="dxa"/>
            <w:shd w:val="clear" w:color="auto" w:fill="6E9ECA"/>
          </w:tcPr>
          <w:p w14:paraId="7239E182" w14:textId="77777777" w:rsidR="00CA62D9" w:rsidRPr="002048A7" w:rsidRDefault="00CA62D9" w:rsidP="00F45E83">
            <w:pPr>
              <w:spacing w:after="0" w:line="240" w:lineRule="auto"/>
              <w:jc w:val="center"/>
              <w:rPr>
                <w:b/>
                <w:bCs/>
                <w:color w:val="FFFFFF" w:themeColor="background1"/>
              </w:rPr>
            </w:pPr>
            <w:r w:rsidRPr="002048A7">
              <w:rPr>
                <w:b/>
                <w:bCs/>
                <w:color w:val="FFFFFF" w:themeColor="background1"/>
              </w:rPr>
              <w:t>Aktif Elektrik Enerjisi Bedeli (kr /kWh)</w:t>
            </w:r>
          </w:p>
        </w:tc>
      </w:tr>
      <w:tr w:rsidR="00CA62D9" w:rsidRPr="002048A7" w14:paraId="15C877DE" w14:textId="77777777" w:rsidTr="00CA62D9">
        <w:trPr>
          <w:trHeight w:val="397"/>
          <w:jc w:val="center"/>
        </w:trPr>
        <w:tc>
          <w:tcPr>
            <w:tcW w:w="2147" w:type="dxa"/>
            <w:noWrap/>
          </w:tcPr>
          <w:p w14:paraId="0E033071" w14:textId="77777777" w:rsidR="00CA62D9" w:rsidRPr="002048A7" w:rsidRDefault="00CA62D9" w:rsidP="00F45E83">
            <w:pPr>
              <w:spacing w:after="0" w:line="240" w:lineRule="auto"/>
              <w:jc w:val="center"/>
              <w:rPr>
                <w:color w:val="000000" w:themeColor="text1"/>
              </w:rPr>
            </w:pPr>
            <w:r w:rsidRPr="002048A7">
              <w:rPr>
                <w:color w:val="000000" w:themeColor="text1"/>
              </w:rPr>
              <w:t>09.11.2023</w:t>
            </w:r>
          </w:p>
        </w:tc>
        <w:tc>
          <w:tcPr>
            <w:tcW w:w="1689" w:type="dxa"/>
          </w:tcPr>
          <w:p w14:paraId="2B66276F" w14:textId="77777777" w:rsidR="00CA62D9" w:rsidRPr="002048A7" w:rsidRDefault="00CA62D9" w:rsidP="00F45E83">
            <w:pPr>
              <w:spacing w:after="0" w:line="240" w:lineRule="auto"/>
              <w:jc w:val="center"/>
              <w:rPr>
                <w:color w:val="000000" w:themeColor="text1"/>
              </w:rPr>
            </w:pPr>
            <w:r w:rsidRPr="002048A7">
              <w:rPr>
                <w:color w:val="000000" w:themeColor="text1"/>
              </w:rPr>
              <w:t>12186</w:t>
            </w:r>
          </w:p>
        </w:tc>
        <w:tc>
          <w:tcPr>
            <w:tcW w:w="2035" w:type="dxa"/>
            <w:noWrap/>
          </w:tcPr>
          <w:p w14:paraId="090392A3" w14:textId="77777777" w:rsidR="00CA62D9" w:rsidRPr="002048A7" w:rsidRDefault="00CA62D9" w:rsidP="00F45E83">
            <w:pPr>
              <w:spacing w:after="0" w:line="240" w:lineRule="auto"/>
              <w:jc w:val="center"/>
              <w:rPr>
                <w:color w:val="000000" w:themeColor="text1"/>
              </w:rPr>
            </w:pPr>
            <w:r w:rsidRPr="002048A7">
              <w:rPr>
                <w:color w:val="000000" w:themeColor="text1"/>
              </w:rPr>
              <w:t>11.11.2023</w:t>
            </w:r>
          </w:p>
        </w:tc>
        <w:tc>
          <w:tcPr>
            <w:tcW w:w="2137" w:type="dxa"/>
          </w:tcPr>
          <w:p w14:paraId="691D2B5D" w14:textId="77777777" w:rsidR="00CA62D9" w:rsidRPr="002048A7" w:rsidRDefault="00CA62D9" w:rsidP="00F45E83">
            <w:pPr>
              <w:spacing w:after="0" w:line="240" w:lineRule="auto"/>
              <w:jc w:val="center"/>
              <w:rPr>
                <w:color w:val="000000" w:themeColor="text1"/>
              </w:rPr>
            </w:pPr>
            <w:r w:rsidRPr="002048A7">
              <w:rPr>
                <w:color w:val="000000" w:themeColor="text1"/>
              </w:rPr>
              <w:t>10.11.2023-32365</w:t>
            </w:r>
          </w:p>
        </w:tc>
        <w:tc>
          <w:tcPr>
            <w:tcW w:w="2054" w:type="dxa"/>
            <w:noWrap/>
          </w:tcPr>
          <w:p w14:paraId="1F1578D0" w14:textId="77777777" w:rsidR="00CA62D9" w:rsidRPr="002048A7" w:rsidRDefault="00CA62D9" w:rsidP="00F45E83">
            <w:pPr>
              <w:spacing w:after="0" w:line="240" w:lineRule="auto"/>
              <w:jc w:val="center"/>
              <w:rPr>
                <w:color w:val="000000" w:themeColor="text1"/>
              </w:rPr>
            </w:pPr>
            <w:r w:rsidRPr="002048A7">
              <w:rPr>
                <w:color w:val="000000" w:themeColor="text1"/>
              </w:rPr>
              <w:t>48,2187</w:t>
            </w:r>
          </w:p>
        </w:tc>
      </w:tr>
    </w:tbl>
    <w:p w14:paraId="46AB2AE2" w14:textId="77777777" w:rsidR="00CA62D9" w:rsidRPr="002048A7" w:rsidRDefault="00CA62D9" w:rsidP="00CA62D9">
      <w:pPr>
        <w:pStyle w:val="Balk3"/>
        <w:numPr>
          <w:ilvl w:val="2"/>
          <w:numId w:val="11"/>
        </w:numPr>
        <w:spacing w:after="240"/>
        <w:rPr>
          <w:rFonts w:asciiTheme="minorHAnsi" w:hAnsiTheme="minorHAnsi"/>
          <w:color w:val="000000" w:themeColor="text1"/>
        </w:rPr>
      </w:pPr>
      <w:bookmarkStart w:id="212" w:name="_Toc66267381"/>
      <w:bookmarkStart w:id="213" w:name="_Toc195868720"/>
      <w:bookmarkEnd w:id="210"/>
      <w:r w:rsidRPr="002048A7">
        <w:rPr>
          <w:rFonts w:asciiTheme="minorHAnsi" w:eastAsia="Times New Roman" w:hAnsiTheme="minorHAnsi" w:cs="Times New Roman"/>
          <w:color w:val="000000" w:themeColor="text1"/>
        </w:rPr>
        <w:t>Türkiye Ortalama Elektrik Toptan Satış Fiyatı</w:t>
      </w:r>
      <w:bookmarkEnd w:id="212"/>
      <w:bookmarkEnd w:id="213"/>
    </w:p>
    <w:p w14:paraId="2F98F286" w14:textId="77777777" w:rsidR="00CA62D9" w:rsidRPr="002048A7" w:rsidRDefault="00CA62D9" w:rsidP="00CA62D9">
      <w:pPr>
        <w:spacing w:after="240"/>
        <w:rPr>
          <w:color w:val="000000" w:themeColor="text1"/>
        </w:rPr>
      </w:pPr>
      <w:r>
        <w:rPr>
          <w:color w:val="000000" w:themeColor="text1"/>
        </w:rPr>
        <w:t>28</w:t>
      </w:r>
      <w:r w:rsidRPr="002048A7">
        <w:rPr>
          <w:color w:val="000000" w:themeColor="text1"/>
        </w:rPr>
        <w:t>.04.202</w:t>
      </w:r>
      <w:r>
        <w:rPr>
          <w:color w:val="000000" w:themeColor="text1"/>
        </w:rPr>
        <w:t>4</w:t>
      </w:r>
      <w:r w:rsidRPr="002048A7">
        <w:rPr>
          <w:color w:val="000000" w:themeColor="text1"/>
        </w:rPr>
        <w:t xml:space="preserve"> tarihli ve </w:t>
      </w:r>
      <w:proofErr w:type="gramStart"/>
      <w:r w:rsidRPr="00732A4F">
        <w:rPr>
          <w:color w:val="000000" w:themeColor="text1"/>
        </w:rPr>
        <w:t>32530</w:t>
      </w:r>
      <w:r w:rsidRPr="00732A4F" w:rsidDel="00732A4F">
        <w:rPr>
          <w:color w:val="000000" w:themeColor="text1"/>
        </w:rPr>
        <w:t xml:space="preserve"> </w:t>
      </w:r>
      <w:r w:rsidRPr="002048A7">
        <w:rPr>
          <w:color w:val="000000" w:themeColor="text1"/>
        </w:rPr>
        <w:t xml:space="preserve"> sayılı</w:t>
      </w:r>
      <w:proofErr w:type="gramEnd"/>
      <w:r w:rsidRPr="002048A7">
        <w:rPr>
          <w:color w:val="000000" w:themeColor="text1"/>
        </w:rPr>
        <w:t xml:space="preserve"> Resmî Gazete’de yayımlanan </w:t>
      </w:r>
      <w:r>
        <w:rPr>
          <w:color w:val="000000" w:themeColor="text1"/>
        </w:rPr>
        <w:t>25</w:t>
      </w:r>
      <w:r w:rsidRPr="002048A7">
        <w:rPr>
          <w:color w:val="000000" w:themeColor="text1"/>
        </w:rPr>
        <w:t>.0</w:t>
      </w:r>
      <w:r>
        <w:rPr>
          <w:color w:val="000000" w:themeColor="text1"/>
        </w:rPr>
        <w:t>4</w:t>
      </w:r>
      <w:r w:rsidRPr="002048A7">
        <w:rPr>
          <w:color w:val="000000" w:themeColor="text1"/>
        </w:rPr>
        <w:t>.202</w:t>
      </w:r>
      <w:r>
        <w:rPr>
          <w:color w:val="000000" w:themeColor="text1"/>
        </w:rPr>
        <w:t>4</w:t>
      </w:r>
      <w:r w:rsidRPr="002048A7">
        <w:rPr>
          <w:color w:val="000000" w:themeColor="text1"/>
        </w:rPr>
        <w:t xml:space="preserve"> tarihli ve 1</w:t>
      </w:r>
      <w:r>
        <w:rPr>
          <w:color w:val="000000" w:themeColor="text1"/>
        </w:rPr>
        <w:t>2583</w:t>
      </w:r>
      <w:r w:rsidRPr="002048A7">
        <w:rPr>
          <w:color w:val="000000" w:themeColor="text1"/>
        </w:rPr>
        <w:t xml:space="preserve"> sayılı Kurul Kararı ile </w:t>
      </w:r>
      <w:r w:rsidRPr="002048A7">
        <w:rPr>
          <w:i/>
          <w:color w:val="000000" w:themeColor="text1"/>
        </w:rPr>
        <w:t>5346 sayılı Yenilenebilir Enerji Kaynaklarının Elektrik Enerjisi Üretimi Amaçlı Kullanımına İlişkin Kanun</w:t>
      </w:r>
      <w:r w:rsidRPr="002048A7">
        <w:rPr>
          <w:color w:val="000000" w:themeColor="text1"/>
        </w:rPr>
        <w:t xml:space="preserve"> kapsamında, 202</w:t>
      </w:r>
      <w:r>
        <w:rPr>
          <w:color w:val="000000" w:themeColor="text1"/>
        </w:rPr>
        <w:t>3</w:t>
      </w:r>
      <w:r w:rsidRPr="002048A7">
        <w:rPr>
          <w:color w:val="000000" w:themeColor="text1"/>
        </w:rPr>
        <w:t xml:space="preserve"> yılına ait Türkiye Ortalama Elektrik Toptan Satış Fiyatının (TORETOSAF) 2</w:t>
      </w:r>
      <w:r>
        <w:rPr>
          <w:color w:val="000000" w:themeColor="text1"/>
        </w:rPr>
        <w:t>22</w:t>
      </w:r>
      <w:r w:rsidRPr="002048A7">
        <w:rPr>
          <w:color w:val="000000" w:themeColor="text1"/>
        </w:rPr>
        <w:t>,</w:t>
      </w:r>
      <w:r>
        <w:rPr>
          <w:color w:val="000000" w:themeColor="text1"/>
        </w:rPr>
        <w:t>96</w:t>
      </w:r>
      <w:r w:rsidRPr="002048A7">
        <w:rPr>
          <w:color w:val="000000" w:themeColor="text1"/>
        </w:rPr>
        <w:t xml:space="preserve"> kr/kWh olarak belirlenmesine karar verilmiştir.</w:t>
      </w:r>
    </w:p>
    <w:p w14:paraId="199CD107" w14:textId="77777777" w:rsidR="00CA62D9" w:rsidRDefault="00CA62D9" w:rsidP="00CA62D9">
      <w:pPr>
        <w:pStyle w:val="Balk3"/>
        <w:numPr>
          <w:ilvl w:val="2"/>
          <w:numId w:val="11"/>
        </w:numPr>
        <w:spacing w:after="240"/>
        <w:rPr>
          <w:rFonts w:asciiTheme="minorHAnsi" w:eastAsia="Times New Roman" w:hAnsiTheme="minorHAnsi" w:cs="Times New Roman"/>
          <w:color w:val="000000" w:themeColor="text1"/>
        </w:rPr>
      </w:pPr>
      <w:bookmarkStart w:id="214" w:name="_Toc66267382"/>
      <w:bookmarkStart w:id="215" w:name="_Toc195868721"/>
      <w:r w:rsidRPr="002048A7">
        <w:rPr>
          <w:rFonts w:asciiTheme="minorHAnsi" w:eastAsia="Times New Roman" w:hAnsiTheme="minorHAnsi" w:cs="Times New Roman"/>
          <w:color w:val="000000" w:themeColor="text1"/>
        </w:rPr>
        <w:t>Elektrik Piyasası ile İlgili Alınan Diğer Tarife Kurul Kararları</w:t>
      </w:r>
      <w:bookmarkEnd w:id="214"/>
      <w:bookmarkEnd w:id="215"/>
    </w:p>
    <w:tbl>
      <w:tblPr>
        <w:tblStyle w:val="TabloKlavuzu"/>
        <w:tblW w:w="0" w:type="auto"/>
        <w:tblLook w:val="04A0" w:firstRow="1" w:lastRow="0" w:firstColumn="1" w:lastColumn="0" w:noHBand="0" w:noVBand="1"/>
      </w:tblPr>
      <w:tblGrid>
        <w:gridCol w:w="2547"/>
        <w:gridCol w:w="7365"/>
      </w:tblGrid>
      <w:tr w:rsidR="00CA62D9" w:rsidRPr="002048A7" w14:paraId="58CA7561" w14:textId="77777777" w:rsidTr="0089088E">
        <w:trPr>
          <w:tblHeader/>
        </w:trPr>
        <w:tc>
          <w:tcPr>
            <w:tcW w:w="2547" w:type="dxa"/>
          </w:tcPr>
          <w:p w14:paraId="300BC4EC" w14:textId="77777777" w:rsidR="00CA62D9" w:rsidRPr="002048A7" w:rsidRDefault="00CA62D9" w:rsidP="00F45E83">
            <w:pPr>
              <w:jc w:val="center"/>
              <w:rPr>
                <w:rFonts w:cstheme="minorHAnsi"/>
                <w:b/>
                <w:color w:val="000000" w:themeColor="text1"/>
              </w:rPr>
            </w:pPr>
            <w:proofErr w:type="gramStart"/>
            <w:r w:rsidRPr="002048A7">
              <w:rPr>
                <w:rFonts w:cstheme="minorHAnsi"/>
                <w:b/>
                <w:color w:val="000000" w:themeColor="text1"/>
              </w:rPr>
              <w:t>Resmi</w:t>
            </w:r>
            <w:proofErr w:type="gramEnd"/>
            <w:r w:rsidRPr="002048A7">
              <w:rPr>
                <w:rFonts w:cstheme="minorHAnsi"/>
                <w:b/>
                <w:color w:val="000000" w:themeColor="text1"/>
              </w:rPr>
              <w:t xml:space="preserve"> Gazete Tarih/Sayı</w:t>
            </w:r>
          </w:p>
          <w:p w14:paraId="4E8E613C" w14:textId="77777777" w:rsidR="00CA62D9" w:rsidRPr="002048A7" w:rsidRDefault="00CA62D9" w:rsidP="00F45E83">
            <w:pPr>
              <w:jc w:val="center"/>
              <w:rPr>
                <w:rFonts w:cstheme="minorHAnsi"/>
                <w:b/>
                <w:color w:val="000000" w:themeColor="text1"/>
              </w:rPr>
            </w:pPr>
            <w:r w:rsidRPr="002048A7">
              <w:rPr>
                <w:rFonts w:cstheme="minorHAnsi"/>
                <w:b/>
                <w:color w:val="000000" w:themeColor="text1"/>
              </w:rPr>
              <w:t>Kurul Kararı Tarih/Sayı</w:t>
            </w:r>
          </w:p>
        </w:tc>
        <w:tc>
          <w:tcPr>
            <w:tcW w:w="7365" w:type="dxa"/>
          </w:tcPr>
          <w:p w14:paraId="473509EC" w14:textId="77777777" w:rsidR="00CA62D9" w:rsidRPr="002048A7" w:rsidRDefault="00CA62D9" w:rsidP="00F45E83">
            <w:pPr>
              <w:jc w:val="center"/>
              <w:rPr>
                <w:rFonts w:cstheme="minorHAnsi"/>
                <w:b/>
                <w:color w:val="000000" w:themeColor="text1"/>
              </w:rPr>
            </w:pPr>
            <w:r w:rsidRPr="002048A7">
              <w:rPr>
                <w:rFonts w:cstheme="minorHAnsi"/>
                <w:b/>
                <w:color w:val="000000" w:themeColor="text1"/>
              </w:rPr>
              <w:t>Konusu</w:t>
            </w:r>
          </w:p>
        </w:tc>
      </w:tr>
      <w:tr w:rsidR="00CA62D9" w:rsidRPr="002048A7" w14:paraId="3D52644A" w14:textId="77777777" w:rsidTr="00F45E83">
        <w:tc>
          <w:tcPr>
            <w:tcW w:w="2547" w:type="dxa"/>
          </w:tcPr>
          <w:p w14:paraId="6A05F17D" w14:textId="77777777" w:rsidR="00CA62D9" w:rsidRPr="002048A7" w:rsidRDefault="00CA62D9" w:rsidP="00F45E83">
            <w:pPr>
              <w:rPr>
                <w:rFonts w:ascii="Calibri" w:hAnsi="Calibri" w:cs="Calibri"/>
                <w:color w:val="000000"/>
              </w:rPr>
            </w:pPr>
            <w:r>
              <w:rPr>
                <w:rFonts w:ascii="Calibri" w:hAnsi="Calibri" w:cs="Calibri"/>
                <w:color w:val="000000"/>
              </w:rPr>
              <w:t>07</w:t>
            </w:r>
            <w:r w:rsidRPr="002048A7">
              <w:rPr>
                <w:rFonts w:ascii="Calibri" w:hAnsi="Calibri" w:cs="Calibri"/>
                <w:color w:val="000000"/>
              </w:rPr>
              <w:t>.0</w:t>
            </w:r>
            <w:r>
              <w:rPr>
                <w:rFonts w:ascii="Calibri" w:hAnsi="Calibri" w:cs="Calibri"/>
                <w:color w:val="000000"/>
              </w:rPr>
              <w:t>5</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 32</w:t>
            </w:r>
            <w:r>
              <w:rPr>
                <w:rFonts w:ascii="Calibri" w:hAnsi="Calibri" w:cs="Calibri"/>
                <w:color w:val="000000"/>
              </w:rPr>
              <w:t>539</w:t>
            </w:r>
          </w:p>
          <w:p w14:paraId="010E2DCB" w14:textId="77777777" w:rsidR="00CA62D9" w:rsidRPr="002048A7" w:rsidRDefault="00CA62D9" w:rsidP="00F45E83">
            <w:pPr>
              <w:rPr>
                <w:rFonts w:cstheme="minorHAnsi"/>
                <w:b/>
                <w:color w:val="000000" w:themeColor="text1"/>
              </w:rPr>
            </w:pPr>
            <w:r>
              <w:rPr>
                <w:rFonts w:ascii="Calibri" w:hAnsi="Calibri" w:cs="Calibri"/>
                <w:color w:val="000000"/>
              </w:rPr>
              <w:t>02</w:t>
            </w:r>
            <w:r w:rsidRPr="002048A7">
              <w:rPr>
                <w:rFonts w:ascii="Calibri" w:hAnsi="Calibri" w:cs="Calibri"/>
                <w:color w:val="000000"/>
              </w:rPr>
              <w:t>.0</w:t>
            </w:r>
            <w:r>
              <w:rPr>
                <w:rFonts w:ascii="Calibri" w:hAnsi="Calibri" w:cs="Calibri"/>
                <w:color w:val="000000"/>
              </w:rPr>
              <w:t>5</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 </w:t>
            </w:r>
            <w:r>
              <w:rPr>
                <w:rFonts w:ascii="Calibri" w:hAnsi="Calibri" w:cs="Calibri"/>
                <w:color w:val="000000"/>
              </w:rPr>
              <w:t>12608</w:t>
            </w:r>
          </w:p>
        </w:tc>
        <w:tc>
          <w:tcPr>
            <w:tcW w:w="7365" w:type="dxa"/>
          </w:tcPr>
          <w:p w14:paraId="17FF6F02" w14:textId="77777777" w:rsidR="00CA62D9" w:rsidRPr="009D5F4B" w:rsidRDefault="00CA62D9" w:rsidP="00F45E83">
            <w:pPr>
              <w:rPr>
                <w:rFonts w:cstheme="minorHAnsi"/>
                <w:color w:val="000000" w:themeColor="text1"/>
              </w:rPr>
            </w:pPr>
            <w:r w:rsidRPr="00C54BCB">
              <w:rPr>
                <w:rFonts w:cstheme="minorHAnsi"/>
                <w:color w:val="000000" w:themeColor="text1"/>
              </w:rPr>
              <w:t>İletim Sistemi Sistem Kullanım ve Sistem İşletim Tarifelerini Hesaplama ve Uygulama Yöntem Bildiriminin revize edilmesi</w:t>
            </w:r>
          </w:p>
        </w:tc>
      </w:tr>
      <w:tr w:rsidR="00CA62D9" w:rsidRPr="002048A7" w14:paraId="1AE2DA77" w14:textId="77777777" w:rsidTr="00F45E83">
        <w:tc>
          <w:tcPr>
            <w:tcW w:w="2547" w:type="dxa"/>
          </w:tcPr>
          <w:p w14:paraId="1CDE3195" w14:textId="77777777" w:rsidR="00CA62D9" w:rsidRPr="002048A7" w:rsidRDefault="00CA62D9" w:rsidP="00F45E83">
            <w:pPr>
              <w:rPr>
                <w:rFonts w:ascii="Calibri" w:hAnsi="Calibri" w:cs="Calibri"/>
                <w:color w:val="000000"/>
              </w:rPr>
            </w:pPr>
            <w:r>
              <w:rPr>
                <w:rFonts w:ascii="Calibri" w:hAnsi="Calibri" w:cs="Calibri"/>
                <w:color w:val="000000"/>
              </w:rPr>
              <w:t>01</w:t>
            </w:r>
            <w:r w:rsidRPr="002048A7">
              <w:rPr>
                <w:rFonts w:ascii="Calibri" w:hAnsi="Calibri" w:cs="Calibri"/>
                <w:color w:val="000000"/>
              </w:rPr>
              <w:t>.0</w:t>
            </w:r>
            <w:r>
              <w:rPr>
                <w:rFonts w:ascii="Calibri" w:hAnsi="Calibri" w:cs="Calibri"/>
                <w:color w:val="000000"/>
              </w:rPr>
              <w:t>6</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 </w:t>
            </w:r>
            <w:r>
              <w:rPr>
                <w:rFonts w:ascii="Calibri" w:hAnsi="Calibri" w:cs="Calibri"/>
                <w:color w:val="000000"/>
              </w:rPr>
              <w:t>32563</w:t>
            </w:r>
          </w:p>
          <w:p w14:paraId="1320CFE3" w14:textId="77777777" w:rsidR="00CA62D9" w:rsidRDefault="00CA62D9" w:rsidP="00F45E83">
            <w:pPr>
              <w:rPr>
                <w:rFonts w:ascii="Calibri" w:hAnsi="Calibri" w:cs="Calibri"/>
                <w:color w:val="000000"/>
              </w:rPr>
            </w:pPr>
            <w:r>
              <w:rPr>
                <w:rFonts w:ascii="Calibri" w:hAnsi="Calibri" w:cs="Calibri"/>
                <w:color w:val="000000"/>
              </w:rPr>
              <w:t>30</w:t>
            </w:r>
            <w:r w:rsidRPr="002048A7">
              <w:rPr>
                <w:rFonts w:ascii="Calibri" w:hAnsi="Calibri" w:cs="Calibri"/>
                <w:color w:val="000000"/>
              </w:rPr>
              <w:t>.0</w:t>
            </w:r>
            <w:r>
              <w:rPr>
                <w:rFonts w:ascii="Calibri" w:hAnsi="Calibri" w:cs="Calibri"/>
                <w:color w:val="000000"/>
              </w:rPr>
              <w:t>5</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 </w:t>
            </w:r>
            <w:r>
              <w:rPr>
                <w:rFonts w:ascii="Calibri" w:hAnsi="Calibri" w:cs="Calibri"/>
                <w:color w:val="000000"/>
              </w:rPr>
              <w:t>12665</w:t>
            </w:r>
          </w:p>
        </w:tc>
        <w:tc>
          <w:tcPr>
            <w:tcW w:w="7365" w:type="dxa"/>
          </w:tcPr>
          <w:p w14:paraId="6CD3F820" w14:textId="77777777" w:rsidR="00CA62D9" w:rsidRPr="00C54BCB" w:rsidRDefault="00CA62D9" w:rsidP="00F45E83">
            <w:pPr>
              <w:rPr>
                <w:rFonts w:cstheme="minorHAnsi"/>
                <w:color w:val="000000" w:themeColor="text1"/>
              </w:rPr>
            </w:pPr>
            <w:r w:rsidRPr="001210FA">
              <w:rPr>
                <w:rFonts w:cstheme="minorHAnsi"/>
                <w:color w:val="000000" w:themeColor="text1"/>
              </w:rPr>
              <w:t>Enerji Piyasaları İşletme Anonim Şirketi’nin 2024 yılı piyasa işletim gelir tavanın</w:t>
            </w:r>
            <w:r>
              <w:rPr>
                <w:rFonts w:cstheme="minorHAnsi"/>
                <w:color w:val="000000" w:themeColor="text1"/>
              </w:rPr>
              <w:t>ın revize edilmesi</w:t>
            </w:r>
          </w:p>
        </w:tc>
      </w:tr>
      <w:tr w:rsidR="00CA62D9" w:rsidRPr="002048A7" w14:paraId="6BCA120E" w14:textId="77777777" w:rsidTr="00F45E83">
        <w:tc>
          <w:tcPr>
            <w:tcW w:w="2547" w:type="dxa"/>
          </w:tcPr>
          <w:p w14:paraId="0BE3BE02" w14:textId="77777777" w:rsidR="00CA62D9" w:rsidRPr="002048A7" w:rsidRDefault="00CA62D9" w:rsidP="00F45E83">
            <w:pPr>
              <w:rPr>
                <w:rFonts w:ascii="Calibri" w:hAnsi="Calibri" w:cs="Calibri"/>
                <w:color w:val="000000"/>
              </w:rPr>
            </w:pPr>
            <w:r w:rsidRPr="002048A7">
              <w:rPr>
                <w:rFonts w:ascii="Calibri" w:hAnsi="Calibri" w:cs="Calibri"/>
                <w:color w:val="000000"/>
              </w:rPr>
              <w:t>2</w:t>
            </w:r>
            <w:r>
              <w:rPr>
                <w:rFonts w:ascii="Calibri" w:hAnsi="Calibri" w:cs="Calibri"/>
                <w:color w:val="000000"/>
              </w:rPr>
              <w:t>9</w:t>
            </w:r>
            <w:r w:rsidRPr="002048A7">
              <w:rPr>
                <w:rFonts w:ascii="Calibri" w:hAnsi="Calibri" w:cs="Calibri"/>
                <w:color w:val="000000"/>
              </w:rPr>
              <w:t>.0</w:t>
            </w:r>
            <w:r>
              <w:rPr>
                <w:rFonts w:ascii="Calibri" w:hAnsi="Calibri" w:cs="Calibri"/>
                <w:color w:val="000000"/>
              </w:rPr>
              <w:t>6</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 32</w:t>
            </w:r>
            <w:r>
              <w:rPr>
                <w:rFonts w:ascii="Calibri" w:hAnsi="Calibri" w:cs="Calibri"/>
                <w:color w:val="000000"/>
              </w:rPr>
              <w:t>587</w:t>
            </w:r>
          </w:p>
          <w:p w14:paraId="3AFCFDBC" w14:textId="77777777" w:rsidR="00CA62D9" w:rsidRDefault="00CA62D9" w:rsidP="00F45E83">
            <w:pPr>
              <w:rPr>
                <w:rFonts w:ascii="Calibri" w:hAnsi="Calibri" w:cs="Calibri"/>
                <w:color w:val="000000"/>
              </w:rPr>
            </w:pPr>
            <w:r>
              <w:rPr>
                <w:rFonts w:ascii="Calibri" w:hAnsi="Calibri" w:cs="Calibri"/>
                <w:color w:val="000000"/>
              </w:rPr>
              <w:t>27</w:t>
            </w:r>
            <w:r w:rsidRPr="002048A7">
              <w:rPr>
                <w:rFonts w:ascii="Calibri" w:hAnsi="Calibri" w:cs="Calibri"/>
                <w:color w:val="000000"/>
              </w:rPr>
              <w:t>.0</w:t>
            </w:r>
            <w:r>
              <w:rPr>
                <w:rFonts w:ascii="Calibri" w:hAnsi="Calibri" w:cs="Calibri"/>
                <w:color w:val="000000"/>
              </w:rPr>
              <w:t>6</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 </w:t>
            </w:r>
            <w:r>
              <w:rPr>
                <w:rFonts w:ascii="Calibri" w:hAnsi="Calibri" w:cs="Calibri"/>
                <w:color w:val="000000"/>
              </w:rPr>
              <w:t>12717</w:t>
            </w:r>
          </w:p>
        </w:tc>
        <w:tc>
          <w:tcPr>
            <w:tcW w:w="7365" w:type="dxa"/>
          </w:tcPr>
          <w:p w14:paraId="169EF92E" w14:textId="77777777" w:rsidR="00CA62D9" w:rsidRPr="00C54BCB" w:rsidRDefault="00CA62D9" w:rsidP="00F45E83">
            <w:pPr>
              <w:rPr>
                <w:rFonts w:cstheme="minorHAnsi"/>
                <w:color w:val="000000" w:themeColor="text1"/>
              </w:rPr>
            </w:pPr>
            <w:r w:rsidRPr="00C54BCB">
              <w:rPr>
                <w:rFonts w:cstheme="minorHAnsi"/>
                <w:color w:val="000000" w:themeColor="text1"/>
              </w:rPr>
              <w:t>Türkiye Elektrik İletim Anonim Şirketi’nin 2024 yılı sistem kullanım ve sistem işletim gelir tavanlarının revize edilmesi</w:t>
            </w:r>
          </w:p>
        </w:tc>
      </w:tr>
      <w:tr w:rsidR="00CA62D9" w:rsidRPr="002048A7" w14:paraId="46B47BC3" w14:textId="77777777" w:rsidTr="00F45E83">
        <w:tc>
          <w:tcPr>
            <w:tcW w:w="2547" w:type="dxa"/>
          </w:tcPr>
          <w:p w14:paraId="422393B4" w14:textId="77777777" w:rsidR="00CA62D9" w:rsidRPr="002048A7" w:rsidRDefault="00CA62D9" w:rsidP="00F45E83">
            <w:pPr>
              <w:rPr>
                <w:rFonts w:ascii="Calibri" w:hAnsi="Calibri" w:cs="Calibri"/>
                <w:color w:val="000000"/>
              </w:rPr>
            </w:pPr>
            <w:r w:rsidRPr="002048A7">
              <w:rPr>
                <w:rFonts w:ascii="Calibri" w:hAnsi="Calibri" w:cs="Calibri"/>
                <w:color w:val="000000"/>
              </w:rPr>
              <w:lastRenderedPageBreak/>
              <w:t>2</w:t>
            </w:r>
            <w:r>
              <w:rPr>
                <w:rFonts w:ascii="Calibri" w:hAnsi="Calibri" w:cs="Calibri"/>
                <w:color w:val="000000"/>
              </w:rPr>
              <w:t>9</w:t>
            </w:r>
            <w:r w:rsidRPr="002048A7">
              <w:rPr>
                <w:rFonts w:ascii="Calibri" w:hAnsi="Calibri" w:cs="Calibri"/>
                <w:color w:val="000000"/>
              </w:rPr>
              <w:t>.0</w:t>
            </w:r>
            <w:r>
              <w:rPr>
                <w:rFonts w:ascii="Calibri" w:hAnsi="Calibri" w:cs="Calibri"/>
                <w:color w:val="000000"/>
              </w:rPr>
              <w:t>6</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 32</w:t>
            </w:r>
            <w:r>
              <w:rPr>
                <w:rFonts w:ascii="Calibri" w:hAnsi="Calibri" w:cs="Calibri"/>
                <w:color w:val="000000"/>
              </w:rPr>
              <w:t>587</w:t>
            </w:r>
          </w:p>
          <w:p w14:paraId="69E63A87" w14:textId="77777777" w:rsidR="00CA62D9" w:rsidRPr="002048A7" w:rsidRDefault="00CA62D9" w:rsidP="00F45E83">
            <w:pPr>
              <w:rPr>
                <w:rFonts w:ascii="Calibri" w:hAnsi="Calibri" w:cs="Calibri"/>
                <w:color w:val="000000"/>
              </w:rPr>
            </w:pPr>
            <w:r>
              <w:rPr>
                <w:rFonts w:ascii="Calibri" w:hAnsi="Calibri" w:cs="Calibri"/>
                <w:color w:val="000000"/>
              </w:rPr>
              <w:t>27</w:t>
            </w:r>
            <w:r w:rsidRPr="002048A7">
              <w:rPr>
                <w:rFonts w:ascii="Calibri" w:hAnsi="Calibri" w:cs="Calibri"/>
                <w:color w:val="000000"/>
              </w:rPr>
              <w:t>.0</w:t>
            </w:r>
            <w:r>
              <w:rPr>
                <w:rFonts w:ascii="Calibri" w:hAnsi="Calibri" w:cs="Calibri"/>
                <w:color w:val="000000"/>
              </w:rPr>
              <w:t>6</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 </w:t>
            </w:r>
            <w:r>
              <w:rPr>
                <w:rFonts w:ascii="Calibri" w:hAnsi="Calibri" w:cs="Calibri"/>
                <w:color w:val="000000"/>
              </w:rPr>
              <w:t>12718</w:t>
            </w:r>
          </w:p>
        </w:tc>
        <w:tc>
          <w:tcPr>
            <w:tcW w:w="7365" w:type="dxa"/>
          </w:tcPr>
          <w:p w14:paraId="40603A97" w14:textId="77777777" w:rsidR="00CA62D9" w:rsidRPr="00C54BCB" w:rsidRDefault="00CA62D9" w:rsidP="00F45E83">
            <w:pPr>
              <w:rPr>
                <w:rFonts w:cstheme="minorHAnsi"/>
                <w:color w:val="000000" w:themeColor="text1"/>
              </w:rPr>
            </w:pPr>
            <w:r w:rsidRPr="00C54BCB">
              <w:rPr>
                <w:rFonts w:cstheme="minorHAnsi"/>
                <w:color w:val="000000" w:themeColor="text1"/>
              </w:rPr>
              <w:t xml:space="preserve">Türkiye Elektrik İletim Anonim Şirketi (Şirket) tarafından uygulanmakta olan iletim sistem kullanım ve sistem işletim tarifelerinin, 1/7/2024 tarihinden itibaren uygulanmak üzere revize edilmesi  </w:t>
            </w:r>
          </w:p>
        </w:tc>
      </w:tr>
      <w:tr w:rsidR="00CA62D9" w:rsidRPr="002048A7" w14:paraId="4398A8A0" w14:textId="77777777" w:rsidTr="00F45E83">
        <w:tc>
          <w:tcPr>
            <w:tcW w:w="2547" w:type="dxa"/>
          </w:tcPr>
          <w:p w14:paraId="14FCB791" w14:textId="77777777" w:rsidR="00CA62D9" w:rsidRPr="002048A7" w:rsidRDefault="00CA62D9" w:rsidP="00F45E83">
            <w:pPr>
              <w:rPr>
                <w:rFonts w:ascii="Calibri" w:hAnsi="Calibri" w:cs="Calibri"/>
                <w:color w:val="000000"/>
              </w:rPr>
            </w:pPr>
            <w:r>
              <w:rPr>
                <w:rFonts w:ascii="Calibri" w:hAnsi="Calibri" w:cs="Calibri"/>
                <w:color w:val="000000"/>
              </w:rPr>
              <w:t>09</w:t>
            </w:r>
            <w:r w:rsidRPr="002048A7">
              <w:rPr>
                <w:rFonts w:ascii="Calibri" w:hAnsi="Calibri" w:cs="Calibri"/>
                <w:color w:val="000000"/>
              </w:rPr>
              <w:t>.</w:t>
            </w:r>
            <w:r>
              <w:rPr>
                <w:rFonts w:ascii="Calibri" w:hAnsi="Calibri" w:cs="Calibri"/>
                <w:color w:val="000000"/>
              </w:rPr>
              <w:t>11</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 </w:t>
            </w:r>
            <w:r>
              <w:rPr>
                <w:rFonts w:ascii="Calibri" w:hAnsi="Calibri" w:cs="Calibri"/>
                <w:color w:val="000000"/>
              </w:rPr>
              <w:t>32717</w:t>
            </w:r>
          </w:p>
          <w:p w14:paraId="3E1AF358" w14:textId="77777777" w:rsidR="00CA62D9" w:rsidRPr="002048A7" w:rsidRDefault="00CA62D9" w:rsidP="00F45E83">
            <w:pPr>
              <w:rPr>
                <w:rFonts w:ascii="Calibri" w:hAnsi="Calibri" w:cs="Calibri"/>
                <w:color w:val="000000"/>
              </w:rPr>
            </w:pPr>
            <w:r>
              <w:rPr>
                <w:rFonts w:ascii="Calibri" w:hAnsi="Calibri" w:cs="Calibri"/>
                <w:color w:val="000000"/>
              </w:rPr>
              <w:t>07</w:t>
            </w:r>
            <w:r w:rsidRPr="002048A7">
              <w:rPr>
                <w:rFonts w:ascii="Calibri" w:hAnsi="Calibri" w:cs="Calibri"/>
                <w:color w:val="000000"/>
              </w:rPr>
              <w:t>.</w:t>
            </w:r>
            <w:r>
              <w:rPr>
                <w:rFonts w:ascii="Calibri" w:hAnsi="Calibri" w:cs="Calibri"/>
                <w:color w:val="000000"/>
              </w:rPr>
              <w:t>11</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 </w:t>
            </w:r>
            <w:r>
              <w:rPr>
                <w:rFonts w:ascii="Calibri" w:hAnsi="Calibri" w:cs="Calibri"/>
                <w:color w:val="000000"/>
              </w:rPr>
              <w:t>12987</w:t>
            </w:r>
          </w:p>
        </w:tc>
        <w:tc>
          <w:tcPr>
            <w:tcW w:w="7365" w:type="dxa"/>
          </w:tcPr>
          <w:p w14:paraId="2AF63D41" w14:textId="77777777" w:rsidR="00CA62D9" w:rsidRPr="00323912" w:rsidRDefault="00CA62D9" w:rsidP="00F45E83">
            <w:pPr>
              <w:rPr>
                <w:rFonts w:cstheme="minorHAnsi"/>
                <w:color w:val="000000" w:themeColor="text1"/>
              </w:rPr>
            </w:pPr>
            <w:r w:rsidRPr="00C54BCB">
              <w:rPr>
                <w:rFonts w:cstheme="minorHAnsi"/>
                <w:color w:val="000000" w:themeColor="text1"/>
              </w:rPr>
              <w:t>Elektrik piyasasında faaliyet gösteren dağıtım şirketleri ve görevli tedarik şirketlerinin gelir/tarife düzenlemelerine esas parametrelerin geçerli olacağı beşinci uygulama döneminin 1/1/2026 (dâhil</w:t>
            </w:r>
            <w:proofErr w:type="gramStart"/>
            <w:r w:rsidRPr="00C54BCB">
              <w:rPr>
                <w:rFonts w:cstheme="minorHAnsi"/>
                <w:color w:val="000000" w:themeColor="text1"/>
              </w:rPr>
              <w:t>) -</w:t>
            </w:r>
            <w:proofErr w:type="gramEnd"/>
            <w:r w:rsidRPr="00C54BCB">
              <w:rPr>
                <w:rFonts w:cstheme="minorHAnsi"/>
                <w:color w:val="000000" w:themeColor="text1"/>
              </w:rPr>
              <w:t xml:space="preserve"> 31/12/2030 (dâhil) olarak belirlenmesi</w:t>
            </w:r>
          </w:p>
        </w:tc>
      </w:tr>
      <w:tr w:rsidR="00CA62D9" w:rsidRPr="002048A7" w14:paraId="322C9210" w14:textId="77777777" w:rsidTr="00F45E83">
        <w:tc>
          <w:tcPr>
            <w:tcW w:w="2547" w:type="dxa"/>
          </w:tcPr>
          <w:p w14:paraId="5289DCF0" w14:textId="77777777" w:rsidR="00CA62D9" w:rsidRPr="002048A7" w:rsidRDefault="00CA62D9" w:rsidP="00F45E83">
            <w:pPr>
              <w:rPr>
                <w:rFonts w:ascii="Calibri" w:hAnsi="Calibri" w:cs="Calibri"/>
                <w:color w:val="000000"/>
              </w:rPr>
            </w:pPr>
            <w:r>
              <w:rPr>
                <w:rFonts w:ascii="Calibri" w:hAnsi="Calibri" w:cs="Calibri"/>
                <w:color w:val="000000"/>
              </w:rPr>
              <w:t>16</w:t>
            </w:r>
            <w:r w:rsidRPr="002048A7">
              <w:rPr>
                <w:rFonts w:ascii="Calibri" w:hAnsi="Calibri" w:cs="Calibri"/>
                <w:color w:val="000000"/>
              </w:rPr>
              <w:t>.</w:t>
            </w:r>
            <w:r>
              <w:rPr>
                <w:rFonts w:ascii="Calibri" w:hAnsi="Calibri" w:cs="Calibri"/>
                <w:color w:val="000000"/>
              </w:rPr>
              <w:t>11</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 </w:t>
            </w:r>
            <w:r>
              <w:rPr>
                <w:rFonts w:ascii="Calibri" w:hAnsi="Calibri" w:cs="Calibri"/>
                <w:color w:val="000000"/>
              </w:rPr>
              <w:t>32724</w:t>
            </w:r>
          </w:p>
          <w:p w14:paraId="0DEDC2B9" w14:textId="77777777" w:rsidR="00CA62D9" w:rsidRDefault="00CA62D9" w:rsidP="00F45E83">
            <w:pPr>
              <w:rPr>
                <w:rFonts w:ascii="Calibri" w:hAnsi="Calibri" w:cs="Calibri"/>
                <w:color w:val="000000"/>
              </w:rPr>
            </w:pPr>
            <w:r>
              <w:rPr>
                <w:rFonts w:ascii="Calibri" w:hAnsi="Calibri" w:cs="Calibri"/>
                <w:color w:val="000000"/>
              </w:rPr>
              <w:t>07</w:t>
            </w:r>
            <w:r w:rsidRPr="002048A7">
              <w:rPr>
                <w:rFonts w:ascii="Calibri" w:hAnsi="Calibri" w:cs="Calibri"/>
                <w:color w:val="000000"/>
              </w:rPr>
              <w:t>.</w:t>
            </w:r>
            <w:r>
              <w:rPr>
                <w:rFonts w:ascii="Calibri" w:hAnsi="Calibri" w:cs="Calibri"/>
                <w:color w:val="000000"/>
              </w:rPr>
              <w:t>11</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 </w:t>
            </w:r>
            <w:r>
              <w:rPr>
                <w:rFonts w:ascii="Calibri" w:hAnsi="Calibri" w:cs="Calibri"/>
                <w:color w:val="000000"/>
              </w:rPr>
              <w:t>12989</w:t>
            </w:r>
          </w:p>
        </w:tc>
        <w:tc>
          <w:tcPr>
            <w:tcW w:w="7365" w:type="dxa"/>
          </w:tcPr>
          <w:p w14:paraId="7553FD62" w14:textId="77777777" w:rsidR="00CA62D9" w:rsidRPr="00C54BCB" w:rsidRDefault="00CA62D9" w:rsidP="00F45E83">
            <w:pPr>
              <w:rPr>
                <w:rFonts w:cstheme="minorHAnsi"/>
                <w:color w:val="000000" w:themeColor="text1"/>
              </w:rPr>
            </w:pPr>
            <w:r w:rsidRPr="00C54BCB">
              <w:rPr>
                <w:rFonts w:cstheme="minorHAnsi"/>
                <w:color w:val="000000" w:themeColor="text1"/>
              </w:rPr>
              <w:t xml:space="preserve">Son Kaynak Tedarik Tarifesinin Düzenlenmesi Hakkında Tebliğ’in 5 inci ve </w:t>
            </w:r>
            <w:proofErr w:type="gramStart"/>
            <w:r w:rsidRPr="00C54BCB">
              <w:rPr>
                <w:rFonts w:cstheme="minorHAnsi"/>
                <w:color w:val="000000" w:themeColor="text1"/>
              </w:rPr>
              <w:t>6 ncı</w:t>
            </w:r>
            <w:proofErr w:type="gramEnd"/>
            <w:r w:rsidRPr="00C54BCB">
              <w:rPr>
                <w:rFonts w:cstheme="minorHAnsi"/>
                <w:color w:val="000000" w:themeColor="text1"/>
              </w:rPr>
              <w:t xml:space="preserve"> maddelerinde yer alan tüketim miktarına ve Kurulca belirlenen katsayıya ilişkin </w:t>
            </w:r>
            <w:r>
              <w:rPr>
                <w:rFonts w:cstheme="minorHAnsi"/>
                <w:color w:val="000000" w:themeColor="text1"/>
              </w:rPr>
              <w:t>hususların belirlenmesi</w:t>
            </w:r>
            <w:r w:rsidRPr="00C54BCB">
              <w:rPr>
                <w:rFonts w:cstheme="minorHAnsi"/>
                <w:color w:val="000000" w:themeColor="text1"/>
              </w:rPr>
              <w:t xml:space="preserve"> </w:t>
            </w:r>
          </w:p>
        </w:tc>
      </w:tr>
      <w:tr w:rsidR="00CA62D9" w:rsidRPr="002048A7" w14:paraId="07B889E0" w14:textId="77777777" w:rsidTr="00F45E83">
        <w:tc>
          <w:tcPr>
            <w:tcW w:w="2547" w:type="dxa"/>
          </w:tcPr>
          <w:p w14:paraId="72EC3438" w14:textId="77777777" w:rsidR="00CA62D9" w:rsidRPr="002048A7" w:rsidRDefault="00CA62D9" w:rsidP="00F45E83">
            <w:pPr>
              <w:rPr>
                <w:rFonts w:ascii="Calibri" w:hAnsi="Calibri" w:cs="Calibri"/>
                <w:color w:val="000000"/>
              </w:rPr>
            </w:pPr>
            <w:r w:rsidRPr="002048A7">
              <w:rPr>
                <w:rFonts w:ascii="Calibri" w:hAnsi="Calibri" w:cs="Calibri"/>
                <w:color w:val="000000"/>
              </w:rPr>
              <w:t>2</w:t>
            </w:r>
            <w:r>
              <w:rPr>
                <w:rFonts w:ascii="Calibri" w:hAnsi="Calibri" w:cs="Calibri"/>
                <w:color w:val="000000"/>
              </w:rPr>
              <w:t>4</w:t>
            </w:r>
            <w:r w:rsidRPr="002048A7">
              <w:rPr>
                <w:rFonts w:ascii="Calibri" w:hAnsi="Calibri" w:cs="Calibri"/>
                <w:color w:val="000000"/>
              </w:rPr>
              <w:t>.</w:t>
            </w:r>
            <w:r>
              <w:rPr>
                <w:rFonts w:ascii="Calibri" w:hAnsi="Calibri" w:cs="Calibri"/>
                <w:color w:val="000000"/>
              </w:rPr>
              <w:t>12</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 32</w:t>
            </w:r>
            <w:r>
              <w:rPr>
                <w:rFonts w:ascii="Calibri" w:hAnsi="Calibri" w:cs="Calibri"/>
                <w:color w:val="000000"/>
              </w:rPr>
              <w:t>762</w:t>
            </w:r>
          </w:p>
          <w:p w14:paraId="6A9C4253" w14:textId="77777777" w:rsidR="00CA62D9" w:rsidRDefault="00CA62D9" w:rsidP="00F45E83">
            <w:pPr>
              <w:rPr>
                <w:rFonts w:ascii="Calibri" w:hAnsi="Calibri" w:cs="Calibri"/>
                <w:color w:val="000000"/>
              </w:rPr>
            </w:pPr>
            <w:r w:rsidRPr="002048A7">
              <w:rPr>
                <w:rFonts w:ascii="Calibri" w:hAnsi="Calibri" w:cs="Calibri"/>
                <w:color w:val="000000"/>
              </w:rPr>
              <w:t>1</w:t>
            </w:r>
            <w:r>
              <w:rPr>
                <w:rFonts w:ascii="Calibri" w:hAnsi="Calibri" w:cs="Calibri"/>
                <w:color w:val="000000"/>
              </w:rPr>
              <w:t>9</w:t>
            </w:r>
            <w:r w:rsidRPr="002048A7">
              <w:rPr>
                <w:rFonts w:ascii="Calibri" w:hAnsi="Calibri" w:cs="Calibri"/>
                <w:color w:val="000000"/>
              </w:rPr>
              <w:t>.</w:t>
            </w:r>
            <w:r>
              <w:rPr>
                <w:rFonts w:ascii="Calibri" w:hAnsi="Calibri" w:cs="Calibri"/>
                <w:color w:val="000000"/>
              </w:rPr>
              <w:t>12</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 </w:t>
            </w:r>
            <w:r>
              <w:rPr>
                <w:rFonts w:ascii="Calibri" w:hAnsi="Calibri" w:cs="Calibri"/>
                <w:color w:val="000000"/>
              </w:rPr>
              <w:t>13101-2</w:t>
            </w:r>
          </w:p>
        </w:tc>
        <w:tc>
          <w:tcPr>
            <w:tcW w:w="7365" w:type="dxa"/>
          </w:tcPr>
          <w:p w14:paraId="07A95F45" w14:textId="77777777" w:rsidR="00CA62D9" w:rsidRPr="00C54BCB" w:rsidRDefault="00CA62D9" w:rsidP="00F45E83">
            <w:pPr>
              <w:rPr>
                <w:rFonts w:cstheme="minorHAnsi"/>
                <w:color w:val="000000" w:themeColor="text1"/>
              </w:rPr>
            </w:pPr>
            <w:r w:rsidRPr="001210FA">
              <w:rPr>
                <w:rFonts w:cstheme="minorHAnsi"/>
                <w:color w:val="000000" w:themeColor="text1"/>
              </w:rPr>
              <w:t>Spot Doğal Gaz Piyasası İşletim Gelir Tavanının Karşılanması İçin Uygulanacak Bedel ve Komisyonlar İle Uygulamaya İlişkin Yöntem Bildirimi</w:t>
            </w:r>
          </w:p>
        </w:tc>
      </w:tr>
      <w:tr w:rsidR="00CA62D9" w:rsidRPr="002048A7" w14:paraId="69099118" w14:textId="77777777" w:rsidTr="00F45E83">
        <w:tc>
          <w:tcPr>
            <w:tcW w:w="2547" w:type="dxa"/>
          </w:tcPr>
          <w:p w14:paraId="4D8E0581" w14:textId="77777777" w:rsidR="00CA62D9" w:rsidRPr="002048A7" w:rsidRDefault="00CA62D9" w:rsidP="00F45E83">
            <w:pPr>
              <w:rPr>
                <w:rFonts w:ascii="Calibri" w:hAnsi="Calibri" w:cs="Calibri"/>
                <w:color w:val="000000"/>
              </w:rPr>
            </w:pPr>
            <w:r w:rsidRPr="002048A7">
              <w:rPr>
                <w:rFonts w:ascii="Calibri" w:hAnsi="Calibri" w:cs="Calibri"/>
                <w:color w:val="000000"/>
              </w:rPr>
              <w:t>2</w:t>
            </w:r>
            <w:r>
              <w:rPr>
                <w:rFonts w:ascii="Calibri" w:hAnsi="Calibri" w:cs="Calibri"/>
                <w:color w:val="000000"/>
              </w:rPr>
              <w:t>4</w:t>
            </w:r>
            <w:r w:rsidRPr="002048A7">
              <w:rPr>
                <w:rFonts w:ascii="Calibri" w:hAnsi="Calibri" w:cs="Calibri"/>
                <w:color w:val="000000"/>
              </w:rPr>
              <w:t>.</w:t>
            </w:r>
            <w:r>
              <w:rPr>
                <w:rFonts w:ascii="Calibri" w:hAnsi="Calibri" w:cs="Calibri"/>
                <w:color w:val="000000"/>
              </w:rPr>
              <w:t>12</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 32</w:t>
            </w:r>
            <w:r>
              <w:rPr>
                <w:rFonts w:ascii="Calibri" w:hAnsi="Calibri" w:cs="Calibri"/>
                <w:color w:val="000000"/>
              </w:rPr>
              <w:t>762</w:t>
            </w:r>
          </w:p>
          <w:p w14:paraId="5C76095E" w14:textId="77777777" w:rsidR="00CA62D9" w:rsidRDefault="00CA62D9" w:rsidP="00F45E83">
            <w:pPr>
              <w:rPr>
                <w:rFonts w:ascii="Calibri" w:hAnsi="Calibri" w:cs="Calibri"/>
                <w:color w:val="000000"/>
              </w:rPr>
            </w:pPr>
            <w:r w:rsidRPr="002048A7">
              <w:rPr>
                <w:rFonts w:ascii="Calibri" w:hAnsi="Calibri" w:cs="Calibri"/>
                <w:color w:val="000000"/>
              </w:rPr>
              <w:t>1</w:t>
            </w:r>
            <w:r>
              <w:rPr>
                <w:rFonts w:ascii="Calibri" w:hAnsi="Calibri" w:cs="Calibri"/>
                <w:color w:val="000000"/>
              </w:rPr>
              <w:t>9</w:t>
            </w:r>
            <w:r w:rsidRPr="002048A7">
              <w:rPr>
                <w:rFonts w:ascii="Calibri" w:hAnsi="Calibri" w:cs="Calibri"/>
                <w:color w:val="000000"/>
              </w:rPr>
              <w:t>.</w:t>
            </w:r>
            <w:r>
              <w:rPr>
                <w:rFonts w:ascii="Calibri" w:hAnsi="Calibri" w:cs="Calibri"/>
                <w:color w:val="000000"/>
              </w:rPr>
              <w:t>12</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 </w:t>
            </w:r>
            <w:r>
              <w:rPr>
                <w:rFonts w:ascii="Calibri" w:hAnsi="Calibri" w:cs="Calibri"/>
                <w:color w:val="000000"/>
              </w:rPr>
              <w:t>13101-3</w:t>
            </w:r>
          </w:p>
        </w:tc>
        <w:tc>
          <w:tcPr>
            <w:tcW w:w="7365" w:type="dxa"/>
          </w:tcPr>
          <w:p w14:paraId="37523D61" w14:textId="77777777" w:rsidR="00CA62D9" w:rsidRPr="00C54BCB" w:rsidRDefault="00CA62D9" w:rsidP="00F45E83">
            <w:pPr>
              <w:rPr>
                <w:rFonts w:cstheme="minorHAnsi"/>
                <w:color w:val="000000" w:themeColor="text1"/>
              </w:rPr>
            </w:pPr>
            <w:r w:rsidRPr="001210FA">
              <w:rPr>
                <w:rFonts w:cstheme="minorHAnsi"/>
                <w:color w:val="000000" w:themeColor="text1"/>
              </w:rPr>
              <w:t xml:space="preserve">Organize Toptan Doğal Gaz Satış Piyasası İşletim Gelir Tavanının Karşılanması İçin Uygulanacak Bedeller ve Uygulamaya İlişkin Yöntem Bildirimi Hk.  </w:t>
            </w:r>
          </w:p>
        </w:tc>
      </w:tr>
      <w:tr w:rsidR="00CA62D9" w:rsidRPr="002048A7" w14:paraId="611414BF" w14:textId="77777777" w:rsidTr="00F45E83">
        <w:tc>
          <w:tcPr>
            <w:tcW w:w="2547" w:type="dxa"/>
          </w:tcPr>
          <w:p w14:paraId="2F104446" w14:textId="77777777" w:rsidR="00CA62D9" w:rsidRPr="002048A7" w:rsidRDefault="00CA62D9" w:rsidP="00F45E83">
            <w:pPr>
              <w:rPr>
                <w:rFonts w:ascii="Calibri" w:hAnsi="Calibri" w:cs="Calibri"/>
                <w:color w:val="000000"/>
              </w:rPr>
            </w:pPr>
            <w:r w:rsidRPr="002048A7">
              <w:rPr>
                <w:rFonts w:ascii="Calibri" w:hAnsi="Calibri" w:cs="Calibri"/>
                <w:color w:val="000000"/>
              </w:rPr>
              <w:t>2</w:t>
            </w:r>
            <w:r>
              <w:rPr>
                <w:rFonts w:ascii="Calibri" w:hAnsi="Calibri" w:cs="Calibri"/>
                <w:color w:val="000000"/>
              </w:rPr>
              <w:t>4</w:t>
            </w:r>
            <w:r w:rsidRPr="002048A7">
              <w:rPr>
                <w:rFonts w:ascii="Calibri" w:hAnsi="Calibri" w:cs="Calibri"/>
                <w:color w:val="000000"/>
              </w:rPr>
              <w:t>.</w:t>
            </w:r>
            <w:r>
              <w:rPr>
                <w:rFonts w:ascii="Calibri" w:hAnsi="Calibri" w:cs="Calibri"/>
                <w:color w:val="000000"/>
              </w:rPr>
              <w:t>12</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 32</w:t>
            </w:r>
            <w:r>
              <w:rPr>
                <w:rFonts w:ascii="Calibri" w:hAnsi="Calibri" w:cs="Calibri"/>
                <w:color w:val="000000"/>
              </w:rPr>
              <w:t>762</w:t>
            </w:r>
          </w:p>
          <w:p w14:paraId="1E180341" w14:textId="77777777" w:rsidR="00CA62D9" w:rsidRPr="002048A7" w:rsidRDefault="00CA62D9" w:rsidP="00F45E83">
            <w:pPr>
              <w:rPr>
                <w:rFonts w:ascii="Calibri" w:hAnsi="Calibri" w:cs="Calibri"/>
                <w:color w:val="000000"/>
              </w:rPr>
            </w:pPr>
            <w:r w:rsidRPr="002048A7">
              <w:rPr>
                <w:rFonts w:ascii="Calibri" w:hAnsi="Calibri" w:cs="Calibri"/>
                <w:color w:val="000000"/>
              </w:rPr>
              <w:t>1</w:t>
            </w:r>
            <w:r>
              <w:rPr>
                <w:rFonts w:ascii="Calibri" w:hAnsi="Calibri" w:cs="Calibri"/>
                <w:color w:val="000000"/>
              </w:rPr>
              <w:t>9</w:t>
            </w:r>
            <w:r w:rsidRPr="002048A7">
              <w:rPr>
                <w:rFonts w:ascii="Calibri" w:hAnsi="Calibri" w:cs="Calibri"/>
                <w:color w:val="000000"/>
              </w:rPr>
              <w:t>.</w:t>
            </w:r>
            <w:r>
              <w:rPr>
                <w:rFonts w:ascii="Calibri" w:hAnsi="Calibri" w:cs="Calibri"/>
                <w:color w:val="000000"/>
              </w:rPr>
              <w:t>12</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 </w:t>
            </w:r>
            <w:r>
              <w:rPr>
                <w:rFonts w:ascii="Calibri" w:hAnsi="Calibri" w:cs="Calibri"/>
                <w:color w:val="000000"/>
              </w:rPr>
              <w:t>13107</w:t>
            </w:r>
          </w:p>
        </w:tc>
        <w:tc>
          <w:tcPr>
            <w:tcW w:w="7365" w:type="dxa"/>
          </w:tcPr>
          <w:p w14:paraId="1A419594" w14:textId="77777777" w:rsidR="00CA62D9" w:rsidRPr="00323912" w:rsidRDefault="00CA62D9" w:rsidP="00F45E83">
            <w:pPr>
              <w:tabs>
                <w:tab w:val="left" w:pos="1635"/>
              </w:tabs>
              <w:rPr>
                <w:rFonts w:ascii="Calibri" w:hAnsi="Calibri" w:cs="Calibri"/>
                <w:color w:val="000000"/>
              </w:rPr>
            </w:pPr>
            <w:r w:rsidRPr="00C54BCB">
              <w:rPr>
                <w:rFonts w:ascii="Calibri" w:hAnsi="Calibri" w:cs="Calibri"/>
                <w:color w:val="000000"/>
              </w:rPr>
              <w:t xml:space="preserve">Elektrik Piyasasında 2025 yılında uygulanacak olan önlisans ve lisans alma, yıllık lisans, lisans yenileme, önlisans ve lisans tadili, önlisans ve lisans sureti çıkartma bedellerine ilişkin  </w:t>
            </w:r>
          </w:p>
        </w:tc>
      </w:tr>
      <w:tr w:rsidR="00CA62D9" w:rsidRPr="002048A7" w14:paraId="0A80E176" w14:textId="77777777" w:rsidTr="00F45E83">
        <w:tc>
          <w:tcPr>
            <w:tcW w:w="2547" w:type="dxa"/>
          </w:tcPr>
          <w:p w14:paraId="5A6CD640" w14:textId="77777777" w:rsidR="00CA62D9" w:rsidRPr="002048A7" w:rsidRDefault="00CA62D9" w:rsidP="00F45E83">
            <w:pPr>
              <w:rPr>
                <w:rFonts w:ascii="Calibri" w:hAnsi="Calibri" w:cs="Calibri"/>
                <w:color w:val="000000"/>
              </w:rPr>
            </w:pPr>
            <w:r w:rsidRPr="002048A7">
              <w:rPr>
                <w:rFonts w:ascii="Calibri" w:hAnsi="Calibri" w:cs="Calibri"/>
                <w:color w:val="000000"/>
              </w:rPr>
              <w:t>2</w:t>
            </w:r>
            <w:r>
              <w:rPr>
                <w:rFonts w:ascii="Calibri" w:hAnsi="Calibri" w:cs="Calibri"/>
                <w:color w:val="000000"/>
              </w:rPr>
              <w:t>8</w:t>
            </w:r>
            <w:r w:rsidRPr="002048A7">
              <w:rPr>
                <w:rFonts w:ascii="Calibri" w:hAnsi="Calibri" w:cs="Calibri"/>
                <w:color w:val="000000"/>
              </w:rPr>
              <w:t>.</w:t>
            </w:r>
            <w:r>
              <w:rPr>
                <w:rFonts w:ascii="Calibri" w:hAnsi="Calibri" w:cs="Calibri"/>
                <w:color w:val="000000"/>
              </w:rPr>
              <w:t>12</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 32</w:t>
            </w:r>
            <w:r>
              <w:rPr>
                <w:rFonts w:ascii="Calibri" w:hAnsi="Calibri" w:cs="Calibri"/>
                <w:color w:val="000000"/>
              </w:rPr>
              <w:t>766</w:t>
            </w:r>
          </w:p>
          <w:p w14:paraId="1C64408D" w14:textId="77777777" w:rsidR="00CA62D9" w:rsidRPr="002048A7" w:rsidRDefault="00CA62D9" w:rsidP="00F45E83">
            <w:pPr>
              <w:rPr>
                <w:rFonts w:ascii="Calibri" w:hAnsi="Calibri" w:cs="Calibri"/>
                <w:color w:val="000000"/>
              </w:rPr>
            </w:pPr>
            <w:r>
              <w:rPr>
                <w:rFonts w:ascii="Calibri" w:hAnsi="Calibri" w:cs="Calibri"/>
                <w:color w:val="000000"/>
              </w:rPr>
              <w:t>26</w:t>
            </w:r>
            <w:r w:rsidRPr="002048A7">
              <w:rPr>
                <w:rFonts w:ascii="Calibri" w:hAnsi="Calibri" w:cs="Calibri"/>
                <w:color w:val="000000"/>
              </w:rPr>
              <w:t>.</w:t>
            </w:r>
            <w:r>
              <w:rPr>
                <w:rFonts w:ascii="Calibri" w:hAnsi="Calibri" w:cs="Calibri"/>
                <w:color w:val="000000"/>
              </w:rPr>
              <w:t>12</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 </w:t>
            </w:r>
            <w:r>
              <w:rPr>
                <w:rFonts w:ascii="Calibri" w:hAnsi="Calibri" w:cs="Calibri"/>
                <w:color w:val="000000"/>
              </w:rPr>
              <w:t>13166</w:t>
            </w:r>
          </w:p>
        </w:tc>
        <w:tc>
          <w:tcPr>
            <w:tcW w:w="7365" w:type="dxa"/>
          </w:tcPr>
          <w:p w14:paraId="4D0D18E5" w14:textId="77777777" w:rsidR="00CA62D9" w:rsidRPr="00C54BCB" w:rsidRDefault="00CA62D9" w:rsidP="00F45E83">
            <w:pPr>
              <w:tabs>
                <w:tab w:val="left" w:pos="1635"/>
              </w:tabs>
              <w:rPr>
                <w:rFonts w:ascii="Calibri" w:hAnsi="Calibri" w:cs="Calibri"/>
                <w:color w:val="000000"/>
              </w:rPr>
            </w:pPr>
            <w:r w:rsidRPr="00C54BCB">
              <w:rPr>
                <w:rFonts w:ascii="Calibri" w:hAnsi="Calibri" w:cs="Calibri"/>
                <w:color w:val="000000"/>
              </w:rPr>
              <w:t xml:space="preserve">Son Kaynak Tedarik Tarifesinin Düzenlenmesi Hakkında Tebliğ’in </w:t>
            </w:r>
            <w:proofErr w:type="gramStart"/>
            <w:r w:rsidRPr="00C54BCB">
              <w:rPr>
                <w:rFonts w:ascii="Calibri" w:hAnsi="Calibri" w:cs="Calibri"/>
                <w:color w:val="000000"/>
              </w:rPr>
              <w:t>6 ncı</w:t>
            </w:r>
            <w:proofErr w:type="gramEnd"/>
            <w:r w:rsidRPr="00C54BCB">
              <w:rPr>
                <w:rFonts w:ascii="Calibri" w:hAnsi="Calibri" w:cs="Calibri"/>
                <w:color w:val="000000"/>
              </w:rPr>
              <w:t xml:space="preserve"> madde</w:t>
            </w:r>
            <w:r>
              <w:rPr>
                <w:rFonts w:ascii="Calibri" w:hAnsi="Calibri" w:cs="Calibri"/>
                <w:color w:val="000000"/>
              </w:rPr>
              <w:t>sinin beşinci fıkrasında</w:t>
            </w:r>
            <w:r w:rsidRPr="00C54BCB">
              <w:rPr>
                <w:rFonts w:ascii="Calibri" w:hAnsi="Calibri" w:cs="Calibri"/>
                <w:color w:val="000000"/>
              </w:rPr>
              <w:t xml:space="preserve"> </w:t>
            </w:r>
            <w:r>
              <w:rPr>
                <w:rFonts w:ascii="Calibri" w:hAnsi="Calibri" w:cs="Calibri"/>
                <w:color w:val="000000"/>
              </w:rPr>
              <w:t xml:space="preserve">yer alan </w:t>
            </w:r>
            <w:r w:rsidRPr="00C54BCB">
              <w:rPr>
                <w:rFonts w:ascii="Calibri" w:hAnsi="Calibri" w:cs="Calibri"/>
                <w:color w:val="000000"/>
              </w:rPr>
              <w:t>Kurulca belirlenen katsayı</w:t>
            </w:r>
            <w:r>
              <w:rPr>
                <w:rFonts w:ascii="Calibri" w:hAnsi="Calibri" w:cs="Calibri"/>
                <w:color w:val="000000"/>
              </w:rPr>
              <w:t>nın 1/1/2025 tarihinden itibaren mesken tüketici grubu için 1,05 diğer tüketici grupları için 1,0938 olarak uygulanmasına karar verilmesi</w:t>
            </w:r>
          </w:p>
        </w:tc>
      </w:tr>
      <w:tr w:rsidR="00CA62D9" w:rsidRPr="002048A7" w14:paraId="28B4357B" w14:textId="77777777" w:rsidTr="00F45E83">
        <w:tc>
          <w:tcPr>
            <w:tcW w:w="2547" w:type="dxa"/>
          </w:tcPr>
          <w:p w14:paraId="0D561E4C" w14:textId="77777777" w:rsidR="00CA62D9" w:rsidRPr="002048A7" w:rsidRDefault="00CA62D9" w:rsidP="00F45E83">
            <w:pPr>
              <w:rPr>
                <w:rFonts w:ascii="Calibri" w:hAnsi="Calibri" w:cs="Calibri"/>
                <w:color w:val="000000"/>
              </w:rPr>
            </w:pPr>
            <w:r w:rsidRPr="002048A7">
              <w:rPr>
                <w:rFonts w:ascii="Calibri" w:hAnsi="Calibri" w:cs="Calibri"/>
                <w:color w:val="000000"/>
              </w:rPr>
              <w:t>2</w:t>
            </w:r>
            <w:r>
              <w:rPr>
                <w:rFonts w:ascii="Calibri" w:hAnsi="Calibri" w:cs="Calibri"/>
                <w:color w:val="000000"/>
              </w:rPr>
              <w:t>9</w:t>
            </w:r>
            <w:r w:rsidRPr="002048A7">
              <w:rPr>
                <w:rFonts w:ascii="Calibri" w:hAnsi="Calibri" w:cs="Calibri"/>
                <w:color w:val="000000"/>
              </w:rPr>
              <w:t>.</w:t>
            </w:r>
            <w:r>
              <w:rPr>
                <w:rFonts w:ascii="Calibri" w:hAnsi="Calibri" w:cs="Calibri"/>
                <w:color w:val="000000"/>
              </w:rPr>
              <w:t>12</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 32</w:t>
            </w:r>
            <w:r>
              <w:rPr>
                <w:rFonts w:ascii="Calibri" w:hAnsi="Calibri" w:cs="Calibri"/>
                <w:color w:val="000000"/>
              </w:rPr>
              <w:t>767</w:t>
            </w:r>
          </w:p>
          <w:p w14:paraId="3BD50674" w14:textId="77777777" w:rsidR="00CA62D9" w:rsidRPr="002048A7" w:rsidRDefault="00CA62D9" w:rsidP="00F45E83">
            <w:pPr>
              <w:rPr>
                <w:rFonts w:ascii="Calibri" w:hAnsi="Calibri" w:cs="Calibri"/>
                <w:color w:val="000000"/>
              </w:rPr>
            </w:pPr>
            <w:r>
              <w:rPr>
                <w:rFonts w:ascii="Calibri" w:hAnsi="Calibri" w:cs="Calibri"/>
                <w:color w:val="000000"/>
              </w:rPr>
              <w:t>26</w:t>
            </w:r>
            <w:r w:rsidRPr="002048A7">
              <w:rPr>
                <w:rFonts w:ascii="Calibri" w:hAnsi="Calibri" w:cs="Calibri"/>
                <w:color w:val="000000"/>
              </w:rPr>
              <w:t>.</w:t>
            </w:r>
            <w:r>
              <w:rPr>
                <w:rFonts w:ascii="Calibri" w:hAnsi="Calibri" w:cs="Calibri"/>
                <w:color w:val="000000"/>
              </w:rPr>
              <w:t>12</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 </w:t>
            </w:r>
            <w:r>
              <w:rPr>
                <w:rFonts w:ascii="Calibri" w:hAnsi="Calibri" w:cs="Calibri"/>
                <w:color w:val="000000"/>
              </w:rPr>
              <w:t>13129</w:t>
            </w:r>
          </w:p>
        </w:tc>
        <w:tc>
          <w:tcPr>
            <w:tcW w:w="7365" w:type="dxa"/>
          </w:tcPr>
          <w:p w14:paraId="7665567F" w14:textId="77777777" w:rsidR="00CA62D9" w:rsidRPr="00323912" w:rsidRDefault="00CA62D9" w:rsidP="00F45E83">
            <w:pPr>
              <w:tabs>
                <w:tab w:val="left" w:pos="1635"/>
              </w:tabs>
              <w:rPr>
                <w:rFonts w:ascii="Calibri" w:hAnsi="Calibri" w:cs="Calibri"/>
                <w:color w:val="000000"/>
              </w:rPr>
            </w:pPr>
            <w:r w:rsidRPr="009D5F4B">
              <w:rPr>
                <w:rFonts w:ascii="Calibri" w:hAnsi="Calibri" w:cs="Calibri"/>
                <w:color w:val="000000"/>
              </w:rPr>
              <w:t>Elektrik Piyasasında 2025 yılında uygulanacak olan toplayıcı lisansına ilişkin lisans alma, lisans tadili ve lisans suret çıkarma bedelleri hk.</w:t>
            </w:r>
          </w:p>
        </w:tc>
      </w:tr>
      <w:tr w:rsidR="00CA62D9" w:rsidRPr="002048A7" w14:paraId="356A131C" w14:textId="77777777" w:rsidTr="00F45E83">
        <w:tc>
          <w:tcPr>
            <w:tcW w:w="2547" w:type="dxa"/>
          </w:tcPr>
          <w:p w14:paraId="24748687" w14:textId="77777777" w:rsidR="00CA62D9" w:rsidRPr="002048A7" w:rsidRDefault="00CA62D9" w:rsidP="00F45E83">
            <w:pPr>
              <w:rPr>
                <w:rFonts w:ascii="Calibri" w:hAnsi="Calibri" w:cs="Calibri"/>
                <w:color w:val="000000"/>
              </w:rPr>
            </w:pPr>
            <w:r>
              <w:rPr>
                <w:rFonts w:ascii="Calibri" w:hAnsi="Calibri" w:cs="Calibri"/>
                <w:color w:val="000000"/>
              </w:rPr>
              <w:t>31</w:t>
            </w:r>
            <w:r w:rsidRPr="002048A7">
              <w:rPr>
                <w:rFonts w:ascii="Calibri" w:hAnsi="Calibri" w:cs="Calibri"/>
                <w:color w:val="000000"/>
              </w:rPr>
              <w:t>.</w:t>
            </w:r>
            <w:r>
              <w:rPr>
                <w:rFonts w:ascii="Calibri" w:hAnsi="Calibri" w:cs="Calibri"/>
                <w:color w:val="000000"/>
              </w:rPr>
              <w:t>12</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 32</w:t>
            </w:r>
            <w:r>
              <w:rPr>
                <w:rFonts w:ascii="Calibri" w:hAnsi="Calibri" w:cs="Calibri"/>
                <w:color w:val="000000"/>
              </w:rPr>
              <w:t>769 (5. Mükerrer</w:t>
            </w:r>
            <w:r w:rsidRPr="002048A7">
              <w:rPr>
                <w:rFonts w:ascii="Calibri" w:hAnsi="Calibri" w:cs="Calibri"/>
                <w:color w:val="000000"/>
              </w:rPr>
              <w:t xml:space="preserve"> </w:t>
            </w:r>
          </w:p>
          <w:p w14:paraId="2559B087" w14:textId="77777777" w:rsidR="00CA62D9" w:rsidRPr="002048A7" w:rsidRDefault="00CA62D9" w:rsidP="00F45E83">
            <w:pPr>
              <w:rPr>
                <w:rFonts w:ascii="Calibri" w:hAnsi="Calibri" w:cs="Calibri"/>
                <w:color w:val="000000"/>
              </w:rPr>
            </w:pPr>
            <w:r>
              <w:rPr>
                <w:rFonts w:ascii="Calibri" w:hAnsi="Calibri" w:cs="Calibri"/>
                <w:color w:val="000000"/>
              </w:rPr>
              <w:t>26</w:t>
            </w:r>
            <w:r w:rsidRPr="002048A7">
              <w:rPr>
                <w:rFonts w:ascii="Calibri" w:hAnsi="Calibri" w:cs="Calibri"/>
                <w:color w:val="000000"/>
              </w:rPr>
              <w:t>.</w:t>
            </w:r>
            <w:r>
              <w:rPr>
                <w:rFonts w:ascii="Calibri" w:hAnsi="Calibri" w:cs="Calibri"/>
                <w:color w:val="000000"/>
              </w:rPr>
              <w:t>12</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 1</w:t>
            </w:r>
            <w:r>
              <w:rPr>
                <w:rFonts w:ascii="Calibri" w:hAnsi="Calibri" w:cs="Calibri"/>
                <w:color w:val="000000"/>
              </w:rPr>
              <w:t>3156-4</w:t>
            </w:r>
          </w:p>
        </w:tc>
        <w:tc>
          <w:tcPr>
            <w:tcW w:w="7365" w:type="dxa"/>
          </w:tcPr>
          <w:p w14:paraId="7CD5E974" w14:textId="77777777" w:rsidR="00CA62D9" w:rsidRPr="002048A7" w:rsidRDefault="00CA62D9" w:rsidP="00F45E83">
            <w:r w:rsidRPr="009D5F4B">
              <w:t>1/1/2025 tarihinden itibaren uygulanan ödeme bildirimi ve ikinci bildirim bırakma hizmetlerine ilişkin bedeller</w:t>
            </w:r>
          </w:p>
        </w:tc>
      </w:tr>
      <w:tr w:rsidR="00CA62D9" w:rsidRPr="002048A7" w14:paraId="4C7CCA79" w14:textId="77777777" w:rsidTr="00F45E83">
        <w:tc>
          <w:tcPr>
            <w:tcW w:w="2547" w:type="dxa"/>
          </w:tcPr>
          <w:p w14:paraId="416BD856" w14:textId="77777777" w:rsidR="00CA62D9" w:rsidRPr="002048A7" w:rsidRDefault="00CA62D9" w:rsidP="00F45E83">
            <w:pPr>
              <w:rPr>
                <w:rFonts w:ascii="Calibri" w:hAnsi="Calibri" w:cs="Calibri"/>
                <w:color w:val="000000"/>
              </w:rPr>
            </w:pPr>
            <w:r>
              <w:rPr>
                <w:rFonts w:ascii="Calibri" w:hAnsi="Calibri" w:cs="Calibri"/>
                <w:color w:val="000000"/>
              </w:rPr>
              <w:t>31</w:t>
            </w:r>
            <w:r w:rsidRPr="002048A7">
              <w:rPr>
                <w:rFonts w:ascii="Calibri" w:hAnsi="Calibri" w:cs="Calibri"/>
                <w:color w:val="000000"/>
              </w:rPr>
              <w:t>.</w:t>
            </w:r>
            <w:r>
              <w:rPr>
                <w:rFonts w:ascii="Calibri" w:hAnsi="Calibri" w:cs="Calibri"/>
                <w:color w:val="000000"/>
              </w:rPr>
              <w:t>12</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 32</w:t>
            </w:r>
            <w:r>
              <w:rPr>
                <w:rFonts w:ascii="Calibri" w:hAnsi="Calibri" w:cs="Calibri"/>
                <w:color w:val="000000"/>
              </w:rPr>
              <w:t>769 (5. Mükerrer</w:t>
            </w:r>
            <w:r w:rsidRPr="002048A7">
              <w:rPr>
                <w:rFonts w:ascii="Calibri" w:hAnsi="Calibri" w:cs="Calibri"/>
                <w:color w:val="000000"/>
              </w:rPr>
              <w:t xml:space="preserve"> </w:t>
            </w:r>
          </w:p>
          <w:p w14:paraId="615739CD" w14:textId="77777777" w:rsidR="00CA62D9" w:rsidRPr="002048A7" w:rsidRDefault="00CA62D9" w:rsidP="00F45E83">
            <w:pPr>
              <w:rPr>
                <w:rFonts w:ascii="Calibri" w:hAnsi="Calibri" w:cs="Calibri"/>
                <w:color w:val="000000"/>
              </w:rPr>
            </w:pPr>
            <w:r>
              <w:rPr>
                <w:rFonts w:ascii="Calibri" w:hAnsi="Calibri" w:cs="Calibri"/>
                <w:color w:val="000000"/>
              </w:rPr>
              <w:t>26</w:t>
            </w:r>
            <w:r w:rsidRPr="002048A7">
              <w:rPr>
                <w:rFonts w:ascii="Calibri" w:hAnsi="Calibri" w:cs="Calibri"/>
                <w:color w:val="000000"/>
              </w:rPr>
              <w:t>.</w:t>
            </w:r>
            <w:r>
              <w:rPr>
                <w:rFonts w:ascii="Calibri" w:hAnsi="Calibri" w:cs="Calibri"/>
                <w:color w:val="000000"/>
              </w:rPr>
              <w:t>12</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 1</w:t>
            </w:r>
            <w:r>
              <w:rPr>
                <w:rFonts w:ascii="Calibri" w:hAnsi="Calibri" w:cs="Calibri"/>
                <w:color w:val="000000"/>
              </w:rPr>
              <w:t>3156-8</w:t>
            </w:r>
          </w:p>
        </w:tc>
        <w:tc>
          <w:tcPr>
            <w:tcW w:w="7365" w:type="dxa"/>
          </w:tcPr>
          <w:p w14:paraId="6A515027" w14:textId="77777777" w:rsidR="00CA62D9" w:rsidRPr="002048A7" w:rsidRDefault="00CA62D9" w:rsidP="00F45E83">
            <w:r w:rsidRPr="009D5F4B">
              <w:t xml:space="preserve">2025 yılına ilişkin şebeke işletmecisi ve görevli tedarik şirketlerinin tahsil edeceği işlem </w:t>
            </w:r>
            <w:proofErr w:type="gramStart"/>
            <w:r w:rsidRPr="009D5F4B">
              <w:t xml:space="preserve">bedeli  </w:t>
            </w:r>
            <w:r w:rsidRPr="009D5F4B">
              <w:tab/>
            </w:r>
            <w:proofErr w:type="gramEnd"/>
          </w:p>
        </w:tc>
      </w:tr>
      <w:tr w:rsidR="00CA62D9" w:rsidRPr="002048A7" w14:paraId="227C911B" w14:textId="77777777" w:rsidTr="00F45E83">
        <w:tc>
          <w:tcPr>
            <w:tcW w:w="2547" w:type="dxa"/>
          </w:tcPr>
          <w:p w14:paraId="6A7069C8" w14:textId="77777777" w:rsidR="00CA62D9" w:rsidRPr="002048A7" w:rsidRDefault="00CA62D9" w:rsidP="00F45E83">
            <w:pPr>
              <w:rPr>
                <w:rFonts w:ascii="Calibri" w:hAnsi="Calibri" w:cs="Calibri"/>
                <w:color w:val="000000"/>
              </w:rPr>
            </w:pPr>
            <w:r>
              <w:rPr>
                <w:rFonts w:ascii="Calibri" w:hAnsi="Calibri" w:cs="Calibri"/>
                <w:color w:val="000000"/>
              </w:rPr>
              <w:t>31</w:t>
            </w:r>
            <w:r w:rsidRPr="002048A7">
              <w:rPr>
                <w:rFonts w:ascii="Calibri" w:hAnsi="Calibri" w:cs="Calibri"/>
                <w:color w:val="000000"/>
              </w:rPr>
              <w:t>.</w:t>
            </w:r>
            <w:r>
              <w:rPr>
                <w:rFonts w:ascii="Calibri" w:hAnsi="Calibri" w:cs="Calibri"/>
                <w:color w:val="000000"/>
              </w:rPr>
              <w:t>12</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 32</w:t>
            </w:r>
            <w:r>
              <w:rPr>
                <w:rFonts w:ascii="Calibri" w:hAnsi="Calibri" w:cs="Calibri"/>
                <w:color w:val="000000"/>
              </w:rPr>
              <w:t>769 (5. Mükerrer</w:t>
            </w:r>
            <w:r w:rsidRPr="002048A7">
              <w:rPr>
                <w:rFonts w:ascii="Calibri" w:hAnsi="Calibri" w:cs="Calibri"/>
                <w:color w:val="000000"/>
              </w:rPr>
              <w:t xml:space="preserve"> </w:t>
            </w:r>
          </w:p>
          <w:p w14:paraId="75971816" w14:textId="77777777" w:rsidR="00CA62D9" w:rsidRDefault="00CA62D9" w:rsidP="00F45E83">
            <w:pPr>
              <w:rPr>
                <w:rFonts w:ascii="Calibri" w:hAnsi="Calibri" w:cs="Calibri"/>
                <w:color w:val="000000"/>
              </w:rPr>
            </w:pPr>
            <w:r>
              <w:rPr>
                <w:rFonts w:ascii="Calibri" w:hAnsi="Calibri" w:cs="Calibri"/>
                <w:color w:val="000000"/>
              </w:rPr>
              <w:t>26</w:t>
            </w:r>
            <w:r w:rsidRPr="002048A7">
              <w:rPr>
                <w:rFonts w:ascii="Calibri" w:hAnsi="Calibri" w:cs="Calibri"/>
                <w:color w:val="000000"/>
              </w:rPr>
              <w:t>.</w:t>
            </w:r>
            <w:r>
              <w:rPr>
                <w:rFonts w:ascii="Calibri" w:hAnsi="Calibri" w:cs="Calibri"/>
                <w:color w:val="000000"/>
              </w:rPr>
              <w:t>12</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 1</w:t>
            </w:r>
            <w:r>
              <w:rPr>
                <w:rFonts w:ascii="Calibri" w:hAnsi="Calibri" w:cs="Calibri"/>
                <w:color w:val="000000"/>
              </w:rPr>
              <w:t>3156-9</w:t>
            </w:r>
          </w:p>
        </w:tc>
        <w:tc>
          <w:tcPr>
            <w:tcW w:w="7365" w:type="dxa"/>
          </w:tcPr>
          <w:p w14:paraId="4083FC8D" w14:textId="77777777" w:rsidR="00CA62D9" w:rsidRPr="009D5F4B" w:rsidRDefault="00CA62D9" w:rsidP="00F45E83">
            <w:r w:rsidRPr="009D5F4B">
              <w:t xml:space="preserve">Elektrik Piyasasında Lisanssız Elektrik Üretim Yönetmeliği kapsamında 50 kW ve altı çatı ve cephe uygulamalı güneş enerjisine dayalı elektrik üretim tesisleri için elektrik dağıtım şirketleri tarafından yapılacak proje onay ve kabul işlemleri </w:t>
            </w:r>
            <w:r>
              <w:t>kapsamında</w:t>
            </w:r>
            <w:r w:rsidRPr="009D5F4B">
              <w:t xml:space="preserve"> 1/1/2025 tarihinden itibaren uygulanan bedeller  </w:t>
            </w:r>
          </w:p>
        </w:tc>
      </w:tr>
      <w:tr w:rsidR="00CA62D9" w:rsidRPr="002048A7" w14:paraId="4486BE35" w14:textId="77777777" w:rsidTr="00F45E83">
        <w:tc>
          <w:tcPr>
            <w:tcW w:w="2547" w:type="dxa"/>
          </w:tcPr>
          <w:p w14:paraId="1FD77128" w14:textId="77777777" w:rsidR="00CA62D9" w:rsidRPr="002048A7" w:rsidRDefault="00CA62D9" w:rsidP="00F45E83">
            <w:pPr>
              <w:rPr>
                <w:rFonts w:ascii="Calibri" w:hAnsi="Calibri" w:cs="Calibri"/>
                <w:color w:val="000000"/>
              </w:rPr>
            </w:pPr>
            <w:r>
              <w:rPr>
                <w:rFonts w:ascii="Calibri" w:hAnsi="Calibri" w:cs="Calibri"/>
                <w:color w:val="000000"/>
              </w:rPr>
              <w:t>31</w:t>
            </w:r>
            <w:r w:rsidRPr="002048A7">
              <w:rPr>
                <w:rFonts w:ascii="Calibri" w:hAnsi="Calibri" w:cs="Calibri"/>
                <w:color w:val="000000"/>
              </w:rPr>
              <w:t>.</w:t>
            </w:r>
            <w:r>
              <w:rPr>
                <w:rFonts w:ascii="Calibri" w:hAnsi="Calibri" w:cs="Calibri"/>
                <w:color w:val="000000"/>
              </w:rPr>
              <w:t>12</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 32</w:t>
            </w:r>
            <w:r>
              <w:rPr>
                <w:rFonts w:ascii="Calibri" w:hAnsi="Calibri" w:cs="Calibri"/>
                <w:color w:val="000000"/>
              </w:rPr>
              <w:t>769 (5. Mükerrer</w:t>
            </w:r>
            <w:r w:rsidRPr="002048A7">
              <w:rPr>
                <w:rFonts w:ascii="Calibri" w:hAnsi="Calibri" w:cs="Calibri"/>
                <w:color w:val="000000"/>
              </w:rPr>
              <w:t xml:space="preserve"> </w:t>
            </w:r>
          </w:p>
          <w:p w14:paraId="271CD5C9" w14:textId="77777777" w:rsidR="00CA62D9" w:rsidRDefault="00CA62D9" w:rsidP="00F45E83">
            <w:pPr>
              <w:rPr>
                <w:rFonts w:ascii="Calibri" w:hAnsi="Calibri" w:cs="Calibri"/>
                <w:color w:val="000000"/>
              </w:rPr>
            </w:pPr>
            <w:r>
              <w:rPr>
                <w:rFonts w:ascii="Calibri" w:hAnsi="Calibri" w:cs="Calibri"/>
                <w:color w:val="000000"/>
              </w:rPr>
              <w:t>26</w:t>
            </w:r>
            <w:r w:rsidRPr="002048A7">
              <w:rPr>
                <w:rFonts w:ascii="Calibri" w:hAnsi="Calibri" w:cs="Calibri"/>
                <w:color w:val="000000"/>
              </w:rPr>
              <w:t>.</w:t>
            </w:r>
            <w:r>
              <w:rPr>
                <w:rFonts w:ascii="Calibri" w:hAnsi="Calibri" w:cs="Calibri"/>
                <w:color w:val="000000"/>
              </w:rPr>
              <w:t>12</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 1</w:t>
            </w:r>
            <w:r>
              <w:rPr>
                <w:rFonts w:ascii="Calibri" w:hAnsi="Calibri" w:cs="Calibri"/>
                <w:color w:val="000000"/>
              </w:rPr>
              <w:t>3156-10</w:t>
            </w:r>
          </w:p>
        </w:tc>
        <w:tc>
          <w:tcPr>
            <w:tcW w:w="7365" w:type="dxa"/>
          </w:tcPr>
          <w:p w14:paraId="18425A16" w14:textId="77777777" w:rsidR="00CA62D9" w:rsidRPr="009D5F4B" w:rsidRDefault="00CA62D9" w:rsidP="00F45E83">
            <w:r w:rsidRPr="009D5F4B">
              <w:t xml:space="preserve">1/1/2025 tarihinden itibaren uygulanan Otomatik Sayaç Okuma Sistemi kapsamında ilave veri talep edilmesi halinde tahsil edilecek bedel  </w:t>
            </w:r>
          </w:p>
        </w:tc>
      </w:tr>
      <w:tr w:rsidR="00CA62D9" w:rsidRPr="002048A7" w14:paraId="55818CC3" w14:textId="77777777" w:rsidTr="00F45E83">
        <w:tc>
          <w:tcPr>
            <w:tcW w:w="2547" w:type="dxa"/>
          </w:tcPr>
          <w:p w14:paraId="003BC449" w14:textId="77777777" w:rsidR="00CA62D9" w:rsidRPr="002048A7" w:rsidRDefault="00CA62D9" w:rsidP="00F45E83">
            <w:pPr>
              <w:rPr>
                <w:rFonts w:ascii="Calibri" w:hAnsi="Calibri" w:cs="Calibri"/>
                <w:color w:val="000000"/>
              </w:rPr>
            </w:pPr>
            <w:r>
              <w:rPr>
                <w:rFonts w:ascii="Calibri" w:hAnsi="Calibri" w:cs="Calibri"/>
                <w:color w:val="000000"/>
              </w:rPr>
              <w:t>31</w:t>
            </w:r>
            <w:r w:rsidRPr="002048A7">
              <w:rPr>
                <w:rFonts w:ascii="Calibri" w:hAnsi="Calibri" w:cs="Calibri"/>
                <w:color w:val="000000"/>
              </w:rPr>
              <w:t>.</w:t>
            </w:r>
            <w:r>
              <w:rPr>
                <w:rFonts w:ascii="Calibri" w:hAnsi="Calibri" w:cs="Calibri"/>
                <w:color w:val="000000"/>
              </w:rPr>
              <w:t>12</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 32</w:t>
            </w:r>
            <w:r>
              <w:rPr>
                <w:rFonts w:ascii="Calibri" w:hAnsi="Calibri" w:cs="Calibri"/>
                <w:color w:val="000000"/>
              </w:rPr>
              <w:t>769 (5. Mükerrer</w:t>
            </w:r>
            <w:r w:rsidRPr="002048A7">
              <w:rPr>
                <w:rFonts w:ascii="Calibri" w:hAnsi="Calibri" w:cs="Calibri"/>
                <w:color w:val="000000"/>
              </w:rPr>
              <w:t xml:space="preserve"> </w:t>
            </w:r>
          </w:p>
          <w:p w14:paraId="0FE5CD82" w14:textId="77777777" w:rsidR="00CA62D9" w:rsidRDefault="00CA62D9" w:rsidP="00F45E83">
            <w:pPr>
              <w:rPr>
                <w:rFonts w:ascii="Calibri" w:hAnsi="Calibri" w:cs="Calibri"/>
                <w:color w:val="000000"/>
              </w:rPr>
            </w:pPr>
            <w:r>
              <w:rPr>
                <w:rFonts w:ascii="Calibri" w:hAnsi="Calibri" w:cs="Calibri"/>
                <w:color w:val="000000"/>
              </w:rPr>
              <w:t>26</w:t>
            </w:r>
            <w:r w:rsidRPr="002048A7">
              <w:rPr>
                <w:rFonts w:ascii="Calibri" w:hAnsi="Calibri" w:cs="Calibri"/>
                <w:color w:val="000000"/>
              </w:rPr>
              <w:t>.</w:t>
            </w:r>
            <w:r>
              <w:rPr>
                <w:rFonts w:ascii="Calibri" w:hAnsi="Calibri" w:cs="Calibri"/>
                <w:color w:val="000000"/>
              </w:rPr>
              <w:t>12</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 1</w:t>
            </w:r>
            <w:r>
              <w:rPr>
                <w:rFonts w:ascii="Calibri" w:hAnsi="Calibri" w:cs="Calibri"/>
                <w:color w:val="000000"/>
              </w:rPr>
              <w:t>3156-12</w:t>
            </w:r>
          </w:p>
        </w:tc>
        <w:tc>
          <w:tcPr>
            <w:tcW w:w="7365" w:type="dxa"/>
          </w:tcPr>
          <w:p w14:paraId="7E09B56A" w14:textId="77777777" w:rsidR="00CA62D9" w:rsidRPr="009D5F4B" w:rsidRDefault="00CA62D9" w:rsidP="00F45E83">
            <w:r w:rsidRPr="009D5F4B">
              <w:t xml:space="preserve">Elektrik Piyasasında Lisanssız Elektrik Üretim Yönetmeliği kapsamında lisanssız güneş enerjisine dayalı elektrik üretim tesisleri için elektrik dağıtım şirketleri tarafından yapılacak proje onay ve kabul işlemlerinde 1/1/2025 tarihinden itibaren uygulanan bedeller  </w:t>
            </w:r>
          </w:p>
        </w:tc>
      </w:tr>
      <w:tr w:rsidR="00CA62D9" w:rsidRPr="002048A7" w14:paraId="6CB29FA7" w14:textId="77777777" w:rsidTr="00F45E83">
        <w:tc>
          <w:tcPr>
            <w:tcW w:w="2547" w:type="dxa"/>
          </w:tcPr>
          <w:p w14:paraId="6601FE69" w14:textId="77777777" w:rsidR="00CA62D9" w:rsidRPr="002048A7" w:rsidRDefault="00CA62D9" w:rsidP="00F45E83">
            <w:pPr>
              <w:rPr>
                <w:rFonts w:ascii="Calibri" w:hAnsi="Calibri" w:cs="Calibri"/>
                <w:color w:val="000000"/>
              </w:rPr>
            </w:pPr>
            <w:r>
              <w:rPr>
                <w:rFonts w:ascii="Calibri" w:hAnsi="Calibri" w:cs="Calibri"/>
                <w:color w:val="000000"/>
              </w:rPr>
              <w:t>31</w:t>
            </w:r>
            <w:r w:rsidRPr="002048A7">
              <w:rPr>
                <w:rFonts w:ascii="Calibri" w:hAnsi="Calibri" w:cs="Calibri"/>
                <w:color w:val="000000"/>
              </w:rPr>
              <w:t>.</w:t>
            </w:r>
            <w:r>
              <w:rPr>
                <w:rFonts w:ascii="Calibri" w:hAnsi="Calibri" w:cs="Calibri"/>
                <w:color w:val="000000"/>
              </w:rPr>
              <w:t>12</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 32</w:t>
            </w:r>
            <w:r>
              <w:rPr>
                <w:rFonts w:ascii="Calibri" w:hAnsi="Calibri" w:cs="Calibri"/>
                <w:color w:val="000000"/>
              </w:rPr>
              <w:t>769 (5. Mükerrer</w:t>
            </w:r>
            <w:r w:rsidRPr="002048A7">
              <w:rPr>
                <w:rFonts w:ascii="Calibri" w:hAnsi="Calibri" w:cs="Calibri"/>
                <w:color w:val="000000"/>
              </w:rPr>
              <w:t xml:space="preserve"> </w:t>
            </w:r>
          </w:p>
          <w:p w14:paraId="7589FFB9" w14:textId="77777777" w:rsidR="00CA62D9" w:rsidRDefault="00CA62D9" w:rsidP="00F45E83">
            <w:pPr>
              <w:rPr>
                <w:rFonts w:ascii="Calibri" w:hAnsi="Calibri" w:cs="Calibri"/>
                <w:color w:val="000000"/>
              </w:rPr>
            </w:pPr>
            <w:r>
              <w:rPr>
                <w:rFonts w:ascii="Calibri" w:hAnsi="Calibri" w:cs="Calibri"/>
                <w:color w:val="000000"/>
              </w:rPr>
              <w:t>26</w:t>
            </w:r>
            <w:r w:rsidRPr="002048A7">
              <w:rPr>
                <w:rFonts w:ascii="Calibri" w:hAnsi="Calibri" w:cs="Calibri"/>
                <w:color w:val="000000"/>
              </w:rPr>
              <w:t>.</w:t>
            </w:r>
            <w:r>
              <w:rPr>
                <w:rFonts w:ascii="Calibri" w:hAnsi="Calibri" w:cs="Calibri"/>
                <w:color w:val="000000"/>
              </w:rPr>
              <w:t>12</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 1</w:t>
            </w:r>
            <w:r>
              <w:rPr>
                <w:rFonts w:ascii="Calibri" w:hAnsi="Calibri" w:cs="Calibri"/>
                <w:color w:val="000000"/>
              </w:rPr>
              <w:t>3156-13</w:t>
            </w:r>
          </w:p>
        </w:tc>
        <w:tc>
          <w:tcPr>
            <w:tcW w:w="7365" w:type="dxa"/>
          </w:tcPr>
          <w:p w14:paraId="4A244688" w14:textId="77777777" w:rsidR="00CA62D9" w:rsidRPr="009D5F4B" w:rsidRDefault="00CA62D9" w:rsidP="00F45E83">
            <w:r w:rsidRPr="009D5F4B">
              <w:t>1/1/2025 tarihinden itibaren uygulanan Teknik Kalite Ölçüm Hizmeti Bedelleri</w:t>
            </w:r>
          </w:p>
        </w:tc>
      </w:tr>
      <w:tr w:rsidR="00CA62D9" w:rsidRPr="002048A7" w14:paraId="7BC9F8D4" w14:textId="77777777" w:rsidTr="00F45E83">
        <w:tc>
          <w:tcPr>
            <w:tcW w:w="2547" w:type="dxa"/>
          </w:tcPr>
          <w:p w14:paraId="1BA3B81D" w14:textId="77777777" w:rsidR="00CA62D9" w:rsidRPr="002048A7" w:rsidRDefault="00CA62D9" w:rsidP="00F45E83">
            <w:pPr>
              <w:rPr>
                <w:rFonts w:ascii="Calibri" w:hAnsi="Calibri" w:cs="Calibri"/>
                <w:color w:val="000000"/>
              </w:rPr>
            </w:pPr>
            <w:r>
              <w:rPr>
                <w:rFonts w:ascii="Calibri" w:hAnsi="Calibri" w:cs="Calibri"/>
                <w:color w:val="000000"/>
              </w:rPr>
              <w:t>31</w:t>
            </w:r>
            <w:r w:rsidRPr="002048A7">
              <w:rPr>
                <w:rFonts w:ascii="Calibri" w:hAnsi="Calibri" w:cs="Calibri"/>
                <w:color w:val="000000"/>
              </w:rPr>
              <w:t>.</w:t>
            </w:r>
            <w:r>
              <w:rPr>
                <w:rFonts w:ascii="Calibri" w:hAnsi="Calibri" w:cs="Calibri"/>
                <w:color w:val="000000"/>
              </w:rPr>
              <w:t>12</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 32</w:t>
            </w:r>
            <w:r>
              <w:rPr>
                <w:rFonts w:ascii="Calibri" w:hAnsi="Calibri" w:cs="Calibri"/>
                <w:color w:val="000000"/>
              </w:rPr>
              <w:t>769 (5. Mükerrer</w:t>
            </w:r>
            <w:r w:rsidRPr="002048A7">
              <w:rPr>
                <w:rFonts w:ascii="Calibri" w:hAnsi="Calibri" w:cs="Calibri"/>
                <w:color w:val="000000"/>
              </w:rPr>
              <w:t xml:space="preserve"> </w:t>
            </w:r>
          </w:p>
          <w:p w14:paraId="72DB007B" w14:textId="77777777" w:rsidR="00CA62D9" w:rsidRPr="002048A7" w:rsidRDefault="00CA62D9" w:rsidP="00F45E83">
            <w:pPr>
              <w:rPr>
                <w:rFonts w:ascii="Calibri" w:hAnsi="Calibri" w:cs="Calibri"/>
                <w:color w:val="000000"/>
              </w:rPr>
            </w:pPr>
            <w:r>
              <w:rPr>
                <w:rFonts w:ascii="Calibri" w:hAnsi="Calibri" w:cs="Calibri"/>
                <w:color w:val="000000"/>
              </w:rPr>
              <w:t>31</w:t>
            </w:r>
            <w:r w:rsidRPr="002048A7">
              <w:rPr>
                <w:rFonts w:ascii="Calibri" w:hAnsi="Calibri" w:cs="Calibri"/>
                <w:color w:val="000000"/>
              </w:rPr>
              <w:t>.</w:t>
            </w:r>
            <w:r>
              <w:rPr>
                <w:rFonts w:ascii="Calibri" w:hAnsi="Calibri" w:cs="Calibri"/>
                <w:color w:val="000000"/>
              </w:rPr>
              <w:t>12</w:t>
            </w:r>
            <w:r w:rsidRPr="002048A7">
              <w:rPr>
                <w:rFonts w:ascii="Calibri" w:hAnsi="Calibri" w:cs="Calibri"/>
                <w:color w:val="000000"/>
              </w:rPr>
              <w:t>.202</w:t>
            </w:r>
            <w:r>
              <w:rPr>
                <w:rFonts w:ascii="Calibri" w:hAnsi="Calibri" w:cs="Calibri"/>
                <w:color w:val="000000"/>
              </w:rPr>
              <w:t>4</w:t>
            </w:r>
            <w:r w:rsidRPr="002048A7">
              <w:rPr>
                <w:rFonts w:ascii="Calibri" w:hAnsi="Calibri" w:cs="Calibri"/>
                <w:color w:val="000000"/>
              </w:rPr>
              <w:t xml:space="preserve"> / 1</w:t>
            </w:r>
            <w:r>
              <w:rPr>
                <w:rFonts w:ascii="Calibri" w:hAnsi="Calibri" w:cs="Calibri"/>
                <w:color w:val="000000"/>
              </w:rPr>
              <w:t>3182</w:t>
            </w:r>
          </w:p>
        </w:tc>
        <w:tc>
          <w:tcPr>
            <w:tcW w:w="7365" w:type="dxa"/>
          </w:tcPr>
          <w:p w14:paraId="56AE679E" w14:textId="77777777" w:rsidR="00CA62D9" w:rsidRPr="002048A7" w:rsidRDefault="00CA62D9" w:rsidP="00F45E83">
            <w:r w:rsidRPr="001210FA">
              <w:t xml:space="preserve">26/12/2024 tarihli ve 13151 sayılı Kurul Kararının ekinde yer alan İletim Sistemi Sistem Kullanım ve Sistem İşletim Tarifelerini Hesaplama ve Uygulama Yöntem Bildirimine ilişkin </w:t>
            </w:r>
            <w:r>
              <w:t>revize</w:t>
            </w:r>
          </w:p>
        </w:tc>
      </w:tr>
    </w:tbl>
    <w:p w14:paraId="0E5BD474" w14:textId="77777777" w:rsidR="00CA62D9" w:rsidRPr="00323912" w:rsidRDefault="00CA62D9" w:rsidP="00CA62D9"/>
    <w:p w14:paraId="73F22E4B" w14:textId="77777777" w:rsidR="002C3099" w:rsidRPr="002048A7" w:rsidRDefault="002C3099" w:rsidP="00577AAF">
      <w:pPr>
        <w:pStyle w:val="Balk3"/>
        <w:numPr>
          <w:ilvl w:val="2"/>
          <w:numId w:val="11"/>
        </w:numPr>
        <w:spacing w:before="0" w:after="240"/>
        <w:rPr>
          <w:rFonts w:asciiTheme="minorHAnsi" w:hAnsiTheme="minorHAnsi"/>
          <w:color w:val="000000" w:themeColor="text1"/>
        </w:rPr>
      </w:pPr>
      <w:bookmarkStart w:id="216" w:name="_Toc195868722"/>
      <w:r w:rsidRPr="002048A7">
        <w:rPr>
          <w:rFonts w:asciiTheme="minorHAnsi" w:hAnsiTheme="minorHAnsi"/>
          <w:color w:val="000000" w:themeColor="text1"/>
        </w:rPr>
        <w:lastRenderedPageBreak/>
        <w:t>Lisans Bedelleri</w:t>
      </w:r>
      <w:bookmarkEnd w:id="186"/>
      <w:bookmarkEnd w:id="216"/>
    </w:p>
    <w:p w14:paraId="2CE6F061" w14:textId="148F618C" w:rsidR="002C3099" w:rsidRPr="002048A7" w:rsidRDefault="00D47534" w:rsidP="002C3099">
      <w:pPr>
        <w:spacing w:after="240"/>
      </w:pPr>
      <w:r>
        <w:t>29</w:t>
      </w:r>
      <w:r w:rsidR="000C11F6" w:rsidRPr="002048A7">
        <w:t>.12.202</w:t>
      </w:r>
      <w:r>
        <w:t>4</w:t>
      </w:r>
      <w:r w:rsidR="000C11F6" w:rsidRPr="002048A7">
        <w:t xml:space="preserve"> tarihli ve 3</w:t>
      </w:r>
      <w:r w:rsidR="005A2C27" w:rsidRPr="002048A7">
        <w:t>2</w:t>
      </w:r>
      <w:r>
        <w:t>767</w:t>
      </w:r>
      <w:r w:rsidR="00A521FC" w:rsidRPr="002048A7">
        <w:t xml:space="preserve"> </w:t>
      </w:r>
      <w:r w:rsidR="000C11F6" w:rsidRPr="002048A7">
        <w:t xml:space="preserve">sayılı Resmî </w:t>
      </w:r>
      <w:r w:rsidR="00274939" w:rsidRPr="002048A7">
        <w:t>Gazetede</w:t>
      </w:r>
      <w:r w:rsidR="000C11F6" w:rsidRPr="002048A7">
        <w:t xml:space="preserve"> yayımlanan </w:t>
      </w:r>
      <w:r>
        <w:t>26</w:t>
      </w:r>
      <w:r w:rsidR="000C11F6" w:rsidRPr="002048A7">
        <w:t>.12.202</w:t>
      </w:r>
      <w:r>
        <w:t>4</w:t>
      </w:r>
      <w:r w:rsidR="000C11F6" w:rsidRPr="002048A7">
        <w:t xml:space="preserve"> tarihli ve 1</w:t>
      </w:r>
      <w:r>
        <w:t>3107</w:t>
      </w:r>
      <w:r w:rsidR="000C11F6" w:rsidRPr="002048A7">
        <w:t xml:space="preserve"> sayılı Kurul Kararı ile Elektrik Piyasası Lisans Yönetmeliğinin 43</w:t>
      </w:r>
      <w:r w:rsidR="00847DDF" w:rsidRPr="002048A7">
        <w:t>’</w:t>
      </w:r>
      <w:r w:rsidR="000C11F6" w:rsidRPr="002048A7">
        <w:t>üncü maddesi uyarınca 202</w:t>
      </w:r>
      <w:r>
        <w:t>5</w:t>
      </w:r>
      <w:r w:rsidR="000C11F6" w:rsidRPr="002048A7">
        <w:t xml:space="preserve"> yılında uygulanacak olan önlisans ve lisans alma, yıllık lisans, lisans yenileme, önlisans ve lisans tadili, önlisans ve lisans sureti çıkartma bedelleri belirlenmiştir.</w:t>
      </w:r>
    </w:p>
    <w:p w14:paraId="32A079E7" w14:textId="77777777" w:rsidR="00881DA9" w:rsidRPr="002048A7" w:rsidRDefault="00881DA9" w:rsidP="00577AAF">
      <w:pPr>
        <w:pStyle w:val="Balk2"/>
        <w:numPr>
          <w:ilvl w:val="1"/>
          <w:numId w:val="11"/>
        </w:numPr>
        <w:tabs>
          <w:tab w:val="left" w:pos="7200"/>
        </w:tabs>
        <w:spacing w:after="240"/>
        <w:rPr>
          <w:rFonts w:asciiTheme="minorHAnsi" w:hAnsiTheme="minorHAnsi"/>
          <w:color w:val="auto"/>
          <w:sz w:val="22"/>
          <w:szCs w:val="22"/>
        </w:rPr>
      </w:pPr>
      <w:bookmarkStart w:id="217" w:name="_Toc130290924"/>
      <w:bookmarkStart w:id="218" w:name="_Toc195868723"/>
      <w:r w:rsidRPr="002048A7">
        <w:rPr>
          <w:rFonts w:asciiTheme="minorHAnsi" w:hAnsiTheme="minorHAnsi"/>
          <w:color w:val="auto"/>
          <w:sz w:val="22"/>
          <w:szCs w:val="22"/>
        </w:rPr>
        <w:t>Şarj Hizmeti Piyasası Tarifeleri</w:t>
      </w:r>
      <w:bookmarkEnd w:id="217"/>
      <w:bookmarkEnd w:id="218"/>
    </w:p>
    <w:p w14:paraId="51716364" w14:textId="77777777" w:rsidR="00881DA9" w:rsidRPr="002048A7" w:rsidRDefault="00881DA9" w:rsidP="00881DA9">
      <w:pPr>
        <w:ind w:firstLine="360"/>
      </w:pPr>
      <w:r w:rsidRPr="002048A7">
        <w:t xml:space="preserve">6446 sayılı Elektrik Piyasası Kanunu (Kanun); </w:t>
      </w:r>
    </w:p>
    <w:p w14:paraId="05FED051" w14:textId="77777777" w:rsidR="00881DA9" w:rsidRPr="002048A7" w:rsidRDefault="00881DA9" w:rsidP="00881DA9">
      <w:pPr>
        <w:ind w:firstLine="360"/>
      </w:pPr>
      <w:r w:rsidRPr="002048A7">
        <w:t>Ek 5 inci maddesinin üçüncü fıkrası “</w:t>
      </w:r>
      <w:r w:rsidRPr="002048A7">
        <w:rPr>
          <w:i/>
        </w:rPr>
        <w:t>Şarj hizmeti fiyatı Kurum tarafından hazırlanan usul ve esaslar dâhilinde serbestçe belirlenir. Şarj hizmeti fiyatının, rekabeti bozucu veya kısıtlayıcı ya da şarj hizmeti sağlanmasını bozucu veya aksatıcı olmaması esastır. Şarj hizmeti fiyatının belirlenmesinde şarj istasyonu kurulması ve şarj ağı oluşturulmasına esas yatırım ve işletme maliyetleri, elektrik enerjisi alım maliyetleri ve benzeri maliyetler ile vergi, pay, fon gibi yasal yükümlülükler ve makul ölçüde kârlılık dikkate alınır. Belirlenen şarj hizmeti fiyatı şarj istasyonlarında ve şarj ağı işletmeci lisans sahibi tarafından dijital mecralarda ilan edilir</w:t>
      </w:r>
      <w:r w:rsidRPr="002048A7">
        <w:t>.”,</w:t>
      </w:r>
    </w:p>
    <w:p w14:paraId="1B8A76DD" w14:textId="77777777" w:rsidR="00881DA9" w:rsidRPr="002048A7" w:rsidRDefault="00881DA9" w:rsidP="00881DA9">
      <w:pPr>
        <w:ind w:firstLine="360"/>
      </w:pPr>
      <w:r w:rsidRPr="002048A7">
        <w:t>Ek 5 inci maddesinin dördüncü fıkrasının (e) bendi “</w:t>
      </w:r>
      <w:r w:rsidRPr="002048A7">
        <w:rPr>
          <w:i/>
        </w:rPr>
        <w:t>Şarj hizmeti kapsamında düzenlenen faaliyetleri veya rekabeti engelleme, bozma veya kısıtlama amacını taşıyan veya bu etkiyi doğuran veya doğurabilecek nitelikte anlaşma veya eylemlerin şarj hizmetlerini bozucu etkiler oluşturması halinde, gerekli işlemlerin başlatılmasıyla birlikte, her seferinde üç ayı aşmamak üzere, faaliyetlerin her aşamasında, bölgesel veya ulusal düzeyde uygulanmak için taban ve/veya tavan fiyat tespitine ve gerekli tedbirlerin alınmasına yetkilidir. Bu etkilerin değerlendirilmesine göre şarj hizmeti kapsamında uygulanan fiyatlara ilişkin asgari ve azami limit uygulaması yapabilir</w:t>
      </w:r>
      <w:r w:rsidRPr="002048A7">
        <w:t xml:space="preserve">.” </w:t>
      </w:r>
    </w:p>
    <w:p w14:paraId="29FEC20C" w14:textId="77777777" w:rsidR="00881DA9" w:rsidRPr="002048A7" w:rsidRDefault="00881DA9" w:rsidP="00881DA9">
      <w:pPr>
        <w:ind w:firstLine="360"/>
      </w:pPr>
      <w:proofErr w:type="gramStart"/>
      <w:r w:rsidRPr="002048A7">
        <w:t>hükümlerine</w:t>
      </w:r>
      <w:proofErr w:type="gramEnd"/>
      <w:r w:rsidRPr="002048A7">
        <w:t xml:space="preserve"> yer vermektedir. Kanuna göre şarj ağı işletmeci lisansı sahipleri uyguladıkları şarj hizmeti fiyatlarını; şarj istasyonu kurulması ve şarj ağı oluşturulmasına esas yatırım ve işletme maliyetlerini, elektrik enerjisi alım maliyetleri ve benzeri maliyetler ile vergi, pay, fon gibi yasal yükümlülükleri ve makul ölçüde kârlılığı dikkate alarak Kuruma bildirmektedir.</w:t>
      </w:r>
    </w:p>
    <w:p w14:paraId="2D66FDF5" w14:textId="77777777" w:rsidR="00881DA9" w:rsidRPr="002048A7" w:rsidRDefault="00881DA9" w:rsidP="00881DA9">
      <w:pPr>
        <w:ind w:firstLine="360"/>
      </w:pPr>
      <w:r w:rsidRPr="002048A7">
        <w:t>Şarj Hizmeti Yönetmeliğine göre şarj hizmeti fiyatı belirlenirken aşağıdaki hususların dikkate alınması gerekmektedir.</w:t>
      </w:r>
    </w:p>
    <w:p w14:paraId="6329714D" w14:textId="77777777" w:rsidR="00881DA9" w:rsidRPr="002048A7" w:rsidRDefault="00881DA9" w:rsidP="0025080A">
      <w:pPr>
        <w:pStyle w:val="ListeParagraf"/>
        <w:numPr>
          <w:ilvl w:val="0"/>
          <w:numId w:val="23"/>
        </w:numPr>
        <w:spacing w:after="160" w:line="259" w:lineRule="auto"/>
      </w:pPr>
      <w:r w:rsidRPr="002048A7">
        <w:t>Fiyat için serbest piyasa koşulları esas alınmaktadır.</w:t>
      </w:r>
    </w:p>
    <w:p w14:paraId="47EC73E2" w14:textId="77777777" w:rsidR="00881DA9" w:rsidRPr="002048A7" w:rsidRDefault="00881DA9" w:rsidP="0025080A">
      <w:pPr>
        <w:pStyle w:val="ListeParagraf"/>
        <w:numPr>
          <w:ilvl w:val="0"/>
          <w:numId w:val="23"/>
        </w:numPr>
        <w:spacing w:after="160" w:line="259" w:lineRule="auto"/>
      </w:pPr>
      <w:r w:rsidRPr="002048A7">
        <w:t>Şarj ağı işletmecileri fiyatlandırma bilgilerini basit, açık ve kolayca karşılaştırılabilir bir şekilde sunmalıdır.</w:t>
      </w:r>
    </w:p>
    <w:p w14:paraId="552687EE" w14:textId="77777777" w:rsidR="00881DA9" w:rsidRPr="002048A7" w:rsidRDefault="00881DA9" w:rsidP="0025080A">
      <w:pPr>
        <w:pStyle w:val="ListeParagraf"/>
        <w:numPr>
          <w:ilvl w:val="0"/>
          <w:numId w:val="23"/>
        </w:numPr>
        <w:spacing w:after="160" w:line="259" w:lineRule="auto"/>
      </w:pPr>
      <w:r w:rsidRPr="002048A7">
        <w:t>Şarj ağı işletmecisi, şarj ağında yer alan şarj istasyonlarında uygulanan şarj hizmeti fiyatlarını kendi internet sayfası, dijital mecralar ile şarj istasyonlarından da erişilebilecek şekilde eş zamanlı olarak ilan etmelidir.</w:t>
      </w:r>
    </w:p>
    <w:p w14:paraId="4239A5B4" w14:textId="77777777" w:rsidR="00881DA9" w:rsidRPr="002048A7" w:rsidRDefault="00881DA9" w:rsidP="0025080A">
      <w:pPr>
        <w:pStyle w:val="ListeParagraf"/>
        <w:numPr>
          <w:ilvl w:val="0"/>
          <w:numId w:val="23"/>
        </w:numPr>
        <w:spacing w:after="160" w:line="259" w:lineRule="auto"/>
      </w:pPr>
      <w:r w:rsidRPr="002048A7">
        <w:t>Tüm ödeme yöntemlerinde standartlaştırılmış birim enerji fiyatı (TL/kWh) fiyatlandırma biçimi olarak kullanılmalıdır.</w:t>
      </w:r>
    </w:p>
    <w:p w14:paraId="3896C7FA" w14:textId="77777777" w:rsidR="00881DA9" w:rsidRPr="002048A7" w:rsidRDefault="00881DA9" w:rsidP="0025080A">
      <w:pPr>
        <w:pStyle w:val="ListeParagraf"/>
        <w:numPr>
          <w:ilvl w:val="0"/>
          <w:numId w:val="23"/>
        </w:numPr>
        <w:spacing w:after="160" w:line="259" w:lineRule="auto"/>
      </w:pPr>
      <w:r w:rsidRPr="002048A7">
        <w:t>Farklı tip ve güçteki şarj üniteleri için farklı fiyat uygulanabilecektir.</w:t>
      </w:r>
    </w:p>
    <w:p w14:paraId="0B8296A5" w14:textId="77777777" w:rsidR="00881DA9" w:rsidRPr="002048A7" w:rsidRDefault="00881DA9" w:rsidP="0025080A">
      <w:pPr>
        <w:pStyle w:val="ListeParagraf"/>
        <w:numPr>
          <w:ilvl w:val="0"/>
          <w:numId w:val="23"/>
        </w:numPr>
        <w:spacing w:after="160" w:line="259" w:lineRule="auto"/>
      </w:pPr>
      <w:r w:rsidRPr="002048A7">
        <w:t>Uygulanan şarj hizmeti karşılığında, şarj hizmeti fiyatı esas alınarak hesaplanan bedel dışında bağlanma bedeli, işlem başlatma bedeli, şarj ekipmanı kullanımı bedeli gibi her ne ad altında olursa olsun ayrı bir bedel talep edilemeyecektir.</w:t>
      </w:r>
    </w:p>
    <w:p w14:paraId="2BD9DCBC" w14:textId="77777777" w:rsidR="00881DA9" w:rsidRPr="002048A7" w:rsidRDefault="00881DA9" w:rsidP="0025080A">
      <w:pPr>
        <w:pStyle w:val="ListeParagraf"/>
        <w:numPr>
          <w:ilvl w:val="0"/>
          <w:numId w:val="23"/>
        </w:numPr>
        <w:spacing w:after="160" w:line="259" w:lineRule="auto"/>
      </w:pPr>
      <w:r w:rsidRPr="002048A7">
        <w:t>Şarj ağı işletmecilerinin uygulayacağı şarj hizmeti fiyatı, sadakat sözleşmesi akdettiği kullanıcılara uyguladığı en düşük şarj hizmeti fiyatının %25 fazlasını aşamayacaktır.</w:t>
      </w:r>
    </w:p>
    <w:p w14:paraId="5FF5D2E4" w14:textId="77777777" w:rsidR="00881DA9" w:rsidRPr="002048A7" w:rsidRDefault="00881DA9" w:rsidP="0025080A">
      <w:pPr>
        <w:pStyle w:val="ListeParagraf"/>
        <w:numPr>
          <w:ilvl w:val="0"/>
          <w:numId w:val="23"/>
        </w:numPr>
        <w:spacing w:after="160" w:line="259" w:lineRule="auto"/>
      </w:pPr>
      <w:r w:rsidRPr="002048A7">
        <w:lastRenderedPageBreak/>
        <w:t>Şarj ağı işletmecisi tarafından sunulan rezervasyon hizmeti kapsamında kullanıcıdan ücret alınması halinde, bu ücret ilgili rezervasyon kapsamında kullanıcının şarj hizmetini almasından sonra iade edilir.</w:t>
      </w:r>
    </w:p>
    <w:p w14:paraId="74A85050" w14:textId="77777777" w:rsidR="00881DA9" w:rsidRPr="002048A7" w:rsidRDefault="00881DA9" w:rsidP="0025080A">
      <w:pPr>
        <w:pStyle w:val="ListeParagraf"/>
        <w:numPr>
          <w:ilvl w:val="0"/>
          <w:numId w:val="23"/>
        </w:numPr>
        <w:spacing w:after="160" w:line="259" w:lineRule="auto"/>
      </w:pPr>
      <w:r w:rsidRPr="002048A7">
        <w:t>Şarj ağı işletmecisi tarafından şarj hizmetinin tamamlandığına ilişkin kullanıcıya bilgi verilmesi şartıyla şarj istasyonundan ayrılmayan kullanıcılardan ilave bedel alınabilir.</w:t>
      </w:r>
    </w:p>
    <w:p w14:paraId="781E04F2" w14:textId="77777777" w:rsidR="00881DA9" w:rsidRPr="002048A7" w:rsidRDefault="00881DA9" w:rsidP="00881DA9">
      <w:pPr>
        <w:ind w:firstLine="410"/>
      </w:pPr>
      <w:r w:rsidRPr="002048A7">
        <w:t xml:space="preserve">Yukarıda yer verilen hususlar çerçevesinde şarj ağı işletmeci lisansı sahiplerinin, lisansları kapsamında yaptıkları piyasa faaliyetlerine ilişkin vermiş oldukları fiyat bildirimleri dikkate alınarak yurtiçi şarj hizmeti fiyatları Kurumumuzca düzenli olarak takip edilmekte ve incelenmektedir. Ülkemiz şarj hizmeti piyasasındaki fiyatlardaki gelişmeler diğer gelişmiş ülke piyasalarındaki fiyat hareketleri ile karşılaştırılmaktadır. Ayrıca halka açık tüm şarj istasyonlarının fiyatlarının kullanıcılar tarafından görülebilmesi için Kurum tarafından </w:t>
      </w:r>
      <w:r w:rsidR="00961B27" w:rsidRPr="002048A7">
        <w:t xml:space="preserve">“Serbest Erişim Platformu-Şarj@TR” uygulaması </w:t>
      </w:r>
      <w:r w:rsidRPr="002048A7">
        <w:t>hazırlan</w:t>
      </w:r>
      <w:r w:rsidR="00961B27" w:rsidRPr="002048A7">
        <w:t>arak</w:t>
      </w:r>
      <w:r w:rsidRPr="002048A7">
        <w:t xml:space="preserve"> </w:t>
      </w:r>
      <w:r w:rsidR="00961B27" w:rsidRPr="002048A7">
        <w:t>elektrikli araç kullanıcılarının erişimine açılmıştır</w:t>
      </w:r>
      <w:r w:rsidRPr="002048A7">
        <w:t>. Böylelikle; elektrikli araçların çevresel avantajları dışında, gelişmiş teknolojik özellikleri de dikkate alınarak, araçların özelliklerine de uygun olacak şekilde elektrikli araç kullanıcıları açısından fiyatların takibinin yapılabilmesi amaçlanmaktadır.</w:t>
      </w:r>
    </w:p>
    <w:p w14:paraId="32B0A9BB" w14:textId="77777777" w:rsidR="00881DA9" w:rsidRPr="002048A7" w:rsidRDefault="00881DA9" w:rsidP="00577AAF">
      <w:pPr>
        <w:pStyle w:val="Balk3"/>
        <w:numPr>
          <w:ilvl w:val="2"/>
          <w:numId w:val="11"/>
        </w:numPr>
        <w:spacing w:before="0" w:after="240"/>
        <w:rPr>
          <w:rFonts w:asciiTheme="minorHAnsi" w:hAnsiTheme="minorHAnsi"/>
          <w:color w:val="000000" w:themeColor="text1"/>
        </w:rPr>
      </w:pPr>
      <w:bookmarkStart w:id="219" w:name="_Toc130290925"/>
      <w:bookmarkStart w:id="220" w:name="_Toc195868724"/>
      <w:r w:rsidRPr="002048A7">
        <w:rPr>
          <w:rFonts w:asciiTheme="minorHAnsi" w:hAnsiTheme="minorHAnsi"/>
          <w:color w:val="000000" w:themeColor="text1"/>
        </w:rPr>
        <w:t>Lisans Bedelleri</w:t>
      </w:r>
      <w:bookmarkEnd w:id="219"/>
      <w:bookmarkEnd w:id="220"/>
    </w:p>
    <w:p w14:paraId="3E6C417A" w14:textId="6FCA06A2" w:rsidR="00881DA9" w:rsidRPr="002048A7" w:rsidRDefault="00D47534" w:rsidP="00881DA9">
      <w:pPr>
        <w:spacing w:after="240"/>
      </w:pPr>
      <w:r>
        <w:t>29</w:t>
      </w:r>
      <w:r w:rsidRPr="002048A7">
        <w:t>.12.202</w:t>
      </w:r>
      <w:r>
        <w:t>4</w:t>
      </w:r>
      <w:r w:rsidRPr="002048A7">
        <w:t xml:space="preserve"> tarihli ve 32</w:t>
      </w:r>
      <w:r>
        <w:t>767</w:t>
      </w:r>
      <w:r w:rsidRPr="002048A7">
        <w:t xml:space="preserve"> sayılı Resmî Gazetede yayımlanan </w:t>
      </w:r>
      <w:r>
        <w:t>26</w:t>
      </w:r>
      <w:r w:rsidRPr="002048A7">
        <w:t>.12.202</w:t>
      </w:r>
      <w:r>
        <w:t>4</w:t>
      </w:r>
      <w:r w:rsidRPr="002048A7">
        <w:t xml:space="preserve"> tarihli ve 1</w:t>
      </w:r>
      <w:r>
        <w:t>310</w:t>
      </w:r>
      <w:r w:rsidR="0068033C">
        <w:t>8</w:t>
      </w:r>
      <w:r w:rsidRPr="002048A7">
        <w:t xml:space="preserve"> sayılı Kurul Kararı</w:t>
      </w:r>
      <w:r w:rsidR="00A521FC" w:rsidRPr="002048A7">
        <w:t xml:space="preserve"> ile </w:t>
      </w:r>
      <w:r w:rsidR="00881DA9" w:rsidRPr="002048A7">
        <w:t>4628 sayılı Enerji Piyasası Düzenleme Kurumunun Teşkilat ve Görevleri Hakkında Kanununun 5</w:t>
      </w:r>
      <w:r w:rsidR="00847DDF" w:rsidRPr="002048A7">
        <w:t>’</w:t>
      </w:r>
      <w:r w:rsidR="00881DA9" w:rsidRPr="002048A7">
        <w:t>inci maddesinin yedinci fıkrasının (i) bendi ve 6446 sayılı Elektrik Piyasası Kanunun Ek Madde 5</w:t>
      </w:r>
      <w:r w:rsidR="00847DDF" w:rsidRPr="002048A7">
        <w:t>’</w:t>
      </w:r>
      <w:r w:rsidR="00881DA9" w:rsidRPr="002048A7">
        <w:t>inci maddesinin dördüncü fıkrasının (a) bendi ile Şarj Hizmeti Yönetmeliğinin 11</w:t>
      </w:r>
      <w:r w:rsidR="00847DDF" w:rsidRPr="002048A7">
        <w:t>’</w:t>
      </w:r>
      <w:r w:rsidR="00881DA9" w:rsidRPr="002048A7">
        <w:t>inci maddesi uyarınca 202</w:t>
      </w:r>
      <w:r>
        <w:t>5</w:t>
      </w:r>
      <w:r w:rsidR="00881DA9" w:rsidRPr="002048A7">
        <w:t xml:space="preserve"> yılında uygulanacak olan “Şarj Ağı İşletmeci Lisansına” ilişkin lisans alma, lisans tadili ve lisans sureti çıkartma bedelleri belirlenmiştir.</w:t>
      </w:r>
    </w:p>
    <w:p w14:paraId="5A18B74A" w14:textId="77777777" w:rsidR="002C3099" w:rsidRPr="002048A7" w:rsidRDefault="002C3099" w:rsidP="00577AAF">
      <w:pPr>
        <w:pStyle w:val="Balk2"/>
        <w:numPr>
          <w:ilvl w:val="1"/>
          <w:numId w:val="11"/>
        </w:numPr>
        <w:tabs>
          <w:tab w:val="left" w:pos="7200"/>
        </w:tabs>
        <w:spacing w:after="240"/>
        <w:rPr>
          <w:rFonts w:asciiTheme="minorHAnsi" w:hAnsiTheme="minorHAnsi"/>
          <w:color w:val="auto"/>
          <w:sz w:val="22"/>
          <w:szCs w:val="22"/>
        </w:rPr>
      </w:pPr>
      <w:bookmarkStart w:id="221" w:name="_Toc66267384"/>
      <w:bookmarkStart w:id="222" w:name="_Toc195868725"/>
      <w:r w:rsidRPr="002048A7">
        <w:rPr>
          <w:rFonts w:asciiTheme="minorHAnsi" w:hAnsiTheme="minorHAnsi"/>
          <w:color w:val="auto"/>
          <w:sz w:val="22"/>
          <w:szCs w:val="22"/>
        </w:rPr>
        <w:t>Doğal Gaz Piyasası Tarifeleri</w:t>
      </w:r>
      <w:bookmarkEnd w:id="221"/>
      <w:bookmarkEnd w:id="222"/>
      <w:r w:rsidRPr="002048A7">
        <w:rPr>
          <w:rFonts w:asciiTheme="minorHAnsi" w:hAnsiTheme="minorHAnsi"/>
          <w:color w:val="auto"/>
          <w:sz w:val="22"/>
          <w:szCs w:val="22"/>
        </w:rPr>
        <w:tab/>
      </w:r>
    </w:p>
    <w:p w14:paraId="013C8726" w14:textId="77777777" w:rsidR="002C3099" w:rsidRPr="002048A7" w:rsidRDefault="002C3099" w:rsidP="002C3099">
      <w:pPr>
        <w:spacing w:after="240"/>
      </w:pPr>
      <w:r w:rsidRPr="002048A7">
        <w:t xml:space="preserve">Doğal gaz piyasası tarifelerine ilişkin düzenlemeler, 4646 sayılı Doğal Gaz Piyasası Kanunu ve bu Kanuna dayanılarak hazırlanan Doğal Gaz Piyasası Tarifeler Yönetmeliği kapsamında yapılmaktadır. </w:t>
      </w:r>
    </w:p>
    <w:p w14:paraId="0A197A8D" w14:textId="77777777" w:rsidR="002C3099" w:rsidRPr="002048A7" w:rsidRDefault="002C3099" w:rsidP="00577AAF">
      <w:pPr>
        <w:pStyle w:val="Balk3"/>
        <w:numPr>
          <w:ilvl w:val="2"/>
          <w:numId w:val="11"/>
        </w:numPr>
        <w:spacing w:before="0" w:after="240" w:line="240" w:lineRule="auto"/>
        <w:rPr>
          <w:rFonts w:asciiTheme="minorHAnsi" w:hAnsiTheme="minorHAnsi"/>
          <w:color w:val="000000" w:themeColor="text1"/>
        </w:rPr>
      </w:pPr>
      <w:bookmarkStart w:id="223" w:name="_Toc66267385"/>
      <w:bookmarkStart w:id="224" w:name="_Toc195868726"/>
      <w:bookmarkStart w:id="225" w:name="_Hlk161754483"/>
      <w:r w:rsidRPr="002048A7">
        <w:rPr>
          <w:rFonts w:asciiTheme="minorHAnsi" w:hAnsiTheme="minorHAnsi"/>
          <w:color w:val="000000" w:themeColor="text1"/>
        </w:rPr>
        <w:t>İletim ve Sevkiyat Kontrol Tarifeleri</w:t>
      </w:r>
      <w:bookmarkEnd w:id="223"/>
      <w:bookmarkEnd w:id="224"/>
    </w:p>
    <w:p w14:paraId="0E7F1A1D" w14:textId="77777777" w:rsidR="00CA62D9" w:rsidRPr="00D528BB" w:rsidRDefault="00CA62D9" w:rsidP="00CA62D9">
      <w:pPr>
        <w:spacing w:after="0"/>
        <w:rPr>
          <w:color w:val="000000" w:themeColor="text1"/>
        </w:rPr>
      </w:pPr>
      <w:bookmarkStart w:id="226" w:name="_Toc66267391"/>
      <w:bookmarkEnd w:id="225"/>
      <w:r w:rsidRPr="00D528BB">
        <w:t xml:space="preserve">03.10.2013 tarihli ve 4638-1 sayılı Kurul Kararı ile kabul edilen </w:t>
      </w:r>
      <w:r w:rsidRPr="00D528BB">
        <w:rPr>
          <w:i/>
        </w:rPr>
        <w:t>“Doğal Gaz İletim Lisansı Sahibi Şirketlerin Tarifelerine Esas Gelir Tavanlarının Belirlenmesine İlişkin Usul Ve Esaslar”</w:t>
      </w:r>
      <w:r w:rsidRPr="00D528BB">
        <w:t xml:space="preserve"> çerçevesinde </w:t>
      </w:r>
      <w:r w:rsidRPr="00D528BB">
        <w:rPr>
          <w:bCs/>
          <w:color w:val="000000" w:themeColor="text1"/>
        </w:rPr>
        <w:t>BOTAŞ’ın 2025 yılı iletim ve sevkiyat kontrol bedellerinin belirlenmesine yönelik 12.12.2024</w:t>
      </w:r>
      <w:r w:rsidRPr="00D528BB">
        <w:rPr>
          <w:color w:val="000000" w:themeColor="text1"/>
        </w:rPr>
        <w:t xml:space="preserve"> tarihli ve 13075 sayılı Kurul Kararı, 14.12.2024 tarihli ve 32752 sayılı Resmî Gazete’de yayımlanmış ve 01.01.2025 tarihi itibarıyla yürürlüğe girmiştir. Söz konusu Kararla belirlenen iletim kapasite bedeli üst sınırları Tablo 4.18’da gösterilmektedir.</w:t>
      </w:r>
    </w:p>
    <w:p w14:paraId="49C9E9C5" w14:textId="5F0EC830" w:rsidR="00DF2CBC" w:rsidRPr="002048A7" w:rsidRDefault="00DF2CBC" w:rsidP="00DF2CBC">
      <w:pPr>
        <w:pStyle w:val="Balk5"/>
        <w:jc w:val="center"/>
        <w:rPr>
          <w:rStyle w:val="Gl"/>
          <w:color w:val="000000" w:themeColor="text1"/>
        </w:rPr>
      </w:pPr>
      <w:bookmarkStart w:id="227" w:name="_Toc66267485"/>
      <w:bookmarkStart w:id="228" w:name="_Toc164175447"/>
      <w:bookmarkStart w:id="229" w:name="_Toc195868826"/>
      <w:r w:rsidRPr="002048A7">
        <w:rPr>
          <w:rStyle w:val="Gl"/>
          <w:color w:val="000000" w:themeColor="text1"/>
        </w:rPr>
        <w:t>Tablo 4.18: 202</w:t>
      </w:r>
      <w:r>
        <w:rPr>
          <w:rStyle w:val="Gl"/>
          <w:color w:val="000000" w:themeColor="text1"/>
        </w:rPr>
        <w:t xml:space="preserve">5 </w:t>
      </w:r>
      <w:r w:rsidRPr="002048A7">
        <w:rPr>
          <w:rStyle w:val="Gl"/>
          <w:color w:val="000000" w:themeColor="text1"/>
        </w:rPr>
        <w:t>Yılı İletim Kapasite</w:t>
      </w:r>
      <w:r w:rsidRPr="002048A7">
        <w:rPr>
          <w:rFonts w:ascii="Times New Roman" w:hAnsi="Times New Roman"/>
          <w:color w:val="000000"/>
          <w:sz w:val="23"/>
        </w:rPr>
        <w:t xml:space="preserve"> </w:t>
      </w:r>
      <w:r w:rsidRPr="002048A7">
        <w:rPr>
          <w:rStyle w:val="Gl"/>
          <w:color w:val="000000" w:themeColor="text1"/>
        </w:rPr>
        <w:t>Bedeli Üst Sınırları</w:t>
      </w:r>
      <w:bookmarkEnd w:id="227"/>
      <w:bookmarkEnd w:id="228"/>
      <w:bookmarkEnd w:id="229"/>
    </w:p>
    <w:tbl>
      <w:tblPr>
        <w:tblW w:w="8595"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5069"/>
        <w:gridCol w:w="1640"/>
        <w:gridCol w:w="1886"/>
      </w:tblGrid>
      <w:tr w:rsidR="00CA62D9" w:rsidRPr="00D528BB" w14:paraId="17A0AC87" w14:textId="77777777" w:rsidTr="00F45E83">
        <w:trPr>
          <w:trHeight w:val="20"/>
          <w:jc w:val="center"/>
        </w:trPr>
        <w:tc>
          <w:tcPr>
            <w:tcW w:w="5069" w:type="dxa"/>
            <w:shd w:val="clear" w:color="auto" w:fill="6E9ECA"/>
            <w:vAlign w:val="center"/>
            <w:hideMark/>
          </w:tcPr>
          <w:p w14:paraId="194CD4F0" w14:textId="77777777" w:rsidR="00CA62D9" w:rsidRPr="00D528BB" w:rsidRDefault="00CA62D9" w:rsidP="00F45E83">
            <w:pPr>
              <w:spacing w:after="0"/>
              <w:jc w:val="left"/>
              <w:rPr>
                <w:b/>
                <w:bCs/>
                <w:color w:val="FFFFFF" w:themeColor="background1"/>
              </w:rPr>
            </w:pPr>
            <w:r w:rsidRPr="00D528BB">
              <w:rPr>
                <w:b/>
                <w:bCs/>
                <w:color w:val="FFFFFF" w:themeColor="background1"/>
              </w:rPr>
              <w:t>Noktalar</w:t>
            </w:r>
          </w:p>
        </w:tc>
        <w:tc>
          <w:tcPr>
            <w:tcW w:w="1640" w:type="dxa"/>
            <w:shd w:val="clear" w:color="auto" w:fill="6E9ECA"/>
            <w:vAlign w:val="center"/>
            <w:hideMark/>
          </w:tcPr>
          <w:p w14:paraId="3391B149" w14:textId="77777777" w:rsidR="00CA62D9" w:rsidRPr="00D528BB" w:rsidRDefault="00CA62D9" w:rsidP="00F45E83">
            <w:pPr>
              <w:spacing w:after="0"/>
              <w:jc w:val="center"/>
              <w:rPr>
                <w:b/>
                <w:bCs/>
                <w:color w:val="FFFFFF" w:themeColor="background1"/>
              </w:rPr>
            </w:pPr>
            <w:r w:rsidRPr="00D528BB">
              <w:rPr>
                <w:b/>
                <w:bCs/>
                <w:color w:val="FFFFFF" w:themeColor="background1"/>
              </w:rPr>
              <w:t>(TL/Sm</w:t>
            </w:r>
            <w:r w:rsidRPr="00D528BB">
              <w:rPr>
                <w:b/>
                <w:bCs/>
                <w:color w:val="FFFFFF" w:themeColor="background1"/>
                <w:vertAlign w:val="superscript"/>
              </w:rPr>
              <w:t>3</w:t>
            </w:r>
            <w:r w:rsidRPr="00D528BB">
              <w:rPr>
                <w:b/>
                <w:bCs/>
                <w:color w:val="FFFFFF" w:themeColor="background1"/>
              </w:rPr>
              <w:t>-Gün)</w:t>
            </w:r>
          </w:p>
        </w:tc>
        <w:tc>
          <w:tcPr>
            <w:tcW w:w="1886" w:type="dxa"/>
            <w:shd w:val="clear" w:color="auto" w:fill="6E9ECA"/>
            <w:vAlign w:val="center"/>
            <w:hideMark/>
          </w:tcPr>
          <w:p w14:paraId="774B1CE6" w14:textId="77777777" w:rsidR="00CA62D9" w:rsidRPr="00D528BB" w:rsidRDefault="00CA62D9" w:rsidP="00F45E83">
            <w:pPr>
              <w:spacing w:after="0"/>
              <w:jc w:val="center"/>
              <w:rPr>
                <w:b/>
                <w:bCs/>
                <w:color w:val="FFFFFF" w:themeColor="background1"/>
              </w:rPr>
            </w:pPr>
            <w:r w:rsidRPr="00D528BB">
              <w:rPr>
                <w:b/>
                <w:bCs/>
                <w:color w:val="FFFFFF" w:themeColor="background1"/>
              </w:rPr>
              <w:t>(TL/kWh-Gün)</w:t>
            </w:r>
          </w:p>
        </w:tc>
      </w:tr>
      <w:tr w:rsidR="00CA62D9" w:rsidRPr="00D528BB" w14:paraId="1D1F7C41" w14:textId="77777777" w:rsidTr="00F45E83">
        <w:trPr>
          <w:trHeight w:val="20"/>
          <w:jc w:val="center"/>
        </w:trPr>
        <w:tc>
          <w:tcPr>
            <w:tcW w:w="5069" w:type="dxa"/>
            <w:shd w:val="clear" w:color="auto" w:fill="auto"/>
            <w:noWrap/>
            <w:vAlign w:val="center"/>
            <w:hideMark/>
          </w:tcPr>
          <w:p w14:paraId="0A076C05" w14:textId="77777777" w:rsidR="00CA62D9" w:rsidRPr="00D528BB" w:rsidRDefault="00CA62D9" w:rsidP="00F45E83">
            <w:pPr>
              <w:spacing w:after="0"/>
              <w:rPr>
                <w:color w:val="000000" w:themeColor="text1"/>
              </w:rPr>
            </w:pPr>
            <w:r w:rsidRPr="00D528BB">
              <w:rPr>
                <w:color w:val="000000" w:themeColor="text1"/>
              </w:rPr>
              <w:t>Giriş Noktaları</w:t>
            </w:r>
          </w:p>
        </w:tc>
        <w:tc>
          <w:tcPr>
            <w:tcW w:w="1640" w:type="dxa"/>
            <w:shd w:val="clear" w:color="auto" w:fill="auto"/>
            <w:noWrap/>
            <w:hideMark/>
          </w:tcPr>
          <w:p w14:paraId="59C7BF67" w14:textId="77777777" w:rsidR="00CA62D9" w:rsidRPr="00D528BB" w:rsidRDefault="00CA62D9" w:rsidP="00F45E83">
            <w:pPr>
              <w:spacing w:after="0"/>
              <w:jc w:val="center"/>
              <w:rPr>
                <w:color w:val="000000" w:themeColor="text1"/>
              </w:rPr>
            </w:pPr>
            <w:r w:rsidRPr="00D528BB">
              <w:t>0,015022</w:t>
            </w:r>
          </w:p>
        </w:tc>
        <w:tc>
          <w:tcPr>
            <w:tcW w:w="1886" w:type="dxa"/>
            <w:shd w:val="clear" w:color="auto" w:fill="auto"/>
            <w:noWrap/>
            <w:hideMark/>
          </w:tcPr>
          <w:p w14:paraId="5F06A61C" w14:textId="77777777" w:rsidR="00CA62D9" w:rsidRPr="00D528BB" w:rsidRDefault="00CA62D9" w:rsidP="00F45E83">
            <w:pPr>
              <w:spacing w:after="0"/>
              <w:jc w:val="center"/>
              <w:rPr>
                <w:color w:val="000000" w:themeColor="text1"/>
              </w:rPr>
            </w:pPr>
            <w:r w:rsidRPr="00D528BB">
              <w:t>0,00141184</w:t>
            </w:r>
          </w:p>
        </w:tc>
      </w:tr>
      <w:tr w:rsidR="00CA62D9" w:rsidRPr="00D528BB" w14:paraId="632477DA" w14:textId="77777777" w:rsidTr="00F45E83">
        <w:trPr>
          <w:trHeight w:val="20"/>
          <w:jc w:val="center"/>
        </w:trPr>
        <w:tc>
          <w:tcPr>
            <w:tcW w:w="5069" w:type="dxa"/>
            <w:shd w:val="clear" w:color="auto" w:fill="auto"/>
            <w:noWrap/>
            <w:vAlign w:val="center"/>
          </w:tcPr>
          <w:p w14:paraId="5BEE9BA9" w14:textId="77777777" w:rsidR="00CA62D9" w:rsidRPr="00D528BB" w:rsidRDefault="00CA62D9" w:rsidP="00F45E83">
            <w:pPr>
              <w:spacing w:after="0"/>
              <w:rPr>
                <w:color w:val="000000" w:themeColor="text1"/>
              </w:rPr>
            </w:pPr>
            <w:r w:rsidRPr="00D528BB">
              <w:rPr>
                <w:color w:val="000000" w:themeColor="text1"/>
              </w:rPr>
              <w:t>Çıkış Noktası</w:t>
            </w:r>
          </w:p>
        </w:tc>
        <w:tc>
          <w:tcPr>
            <w:tcW w:w="1640" w:type="dxa"/>
            <w:shd w:val="clear" w:color="auto" w:fill="auto"/>
            <w:noWrap/>
          </w:tcPr>
          <w:p w14:paraId="6BD67843" w14:textId="77777777" w:rsidR="00CA62D9" w:rsidRPr="00D528BB" w:rsidRDefault="00CA62D9" w:rsidP="00F45E83">
            <w:pPr>
              <w:spacing w:after="0"/>
              <w:jc w:val="center"/>
              <w:rPr>
                <w:color w:val="000000" w:themeColor="text1"/>
              </w:rPr>
            </w:pPr>
            <w:r w:rsidRPr="00D528BB">
              <w:t>0,300279</w:t>
            </w:r>
          </w:p>
        </w:tc>
        <w:tc>
          <w:tcPr>
            <w:tcW w:w="1886" w:type="dxa"/>
            <w:shd w:val="clear" w:color="auto" w:fill="auto"/>
            <w:noWrap/>
          </w:tcPr>
          <w:p w14:paraId="1DD08253" w14:textId="77777777" w:rsidR="00CA62D9" w:rsidRPr="00D528BB" w:rsidRDefault="00CA62D9" w:rsidP="00F45E83">
            <w:pPr>
              <w:spacing w:after="0"/>
              <w:jc w:val="center"/>
              <w:rPr>
                <w:color w:val="000000" w:themeColor="text1"/>
              </w:rPr>
            </w:pPr>
            <w:r w:rsidRPr="00D528BB">
              <w:t>0,02822171</w:t>
            </w:r>
          </w:p>
        </w:tc>
      </w:tr>
    </w:tbl>
    <w:p w14:paraId="0916CDE6" w14:textId="77777777" w:rsidR="00CA62D9" w:rsidRPr="00D528BB" w:rsidRDefault="00CA62D9" w:rsidP="00CA62D9">
      <w:pPr>
        <w:spacing w:after="0"/>
        <w:rPr>
          <w:color w:val="000000" w:themeColor="text1"/>
        </w:rPr>
      </w:pPr>
    </w:p>
    <w:p w14:paraId="4AE5B304" w14:textId="77777777" w:rsidR="00CA62D9" w:rsidRPr="00D528BB" w:rsidRDefault="00CA62D9" w:rsidP="00CA62D9">
      <w:pPr>
        <w:rPr>
          <w:color w:val="000000" w:themeColor="text1"/>
        </w:rPr>
      </w:pPr>
      <w:r w:rsidRPr="00D528BB">
        <w:rPr>
          <w:color w:val="000000" w:themeColor="text1"/>
        </w:rPr>
        <w:t>BOTAŞ’ın iletim hizmet bedeli üst sınırı ise aynı Kurul Kararı ile aşağıdaki gibi belirlenmiştir.</w:t>
      </w:r>
    </w:p>
    <w:p w14:paraId="6CA438F0" w14:textId="0F1D2C04" w:rsidR="00DF2CBC" w:rsidRPr="002048A7" w:rsidRDefault="00DF2CBC" w:rsidP="00DF2CBC">
      <w:pPr>
        <w:pStyle w:val="Balk5"/>
        <w:jc w:val="center"/>
        <w:rPr>
          <w:rStyle w:val="Gl"/>
          <w:color w:val="auto"/>
        </w:rPr>
      </w:pPr>
      <w:bookmarkStart w:id="230" w:name="_Toc66267486"/>
      <w:bookmarkStart w:id="231" w:name="_Toc164175448"/>
      <w:bookmarkStart w:id="232" w:name="_Toc195868827"/>
      <w:r w:rsidRPr="002048A7">
        <w:rPr>
          <w:rStyle w:val="Gl"/>
          <w:color w:val="auto"/>
        </w:rPr>
        <w:t>Tablo 4.19: 202</w:t>
      </w:r>
      <w:r>
        <w:rPr>
          <w:rStyle w:val="Gl"/>
          <w:color w:val="auto"/>
        </w:rPr>
        <w:t>5</w:t>
      </w:r>
      <w:r w:rsidRPr="002048A7">
        <w:rPr>
          <w:rStyle w:val="Gl"/>
          <w:color w:val="auto"/>
        </w:rPr>
        <w:t xml:space="preserve"> Yılı BOTAŞ’ın İletim Hizmet Bedeli Üst Sınırı</w:t>
      </w:r>
      <w:bookmarkEnd w:id="230"/>
      <w:bookmarkEnd w:id="231"/>
      <w:bookmarkEnd w:id="232"/>
    </w:p>
    <w:tbl>
      <w:tblPr>
        <w:tblW w:w="6602"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3076"/>
        <w:gridCol w:w="1640"/>
        <w:gridCol w:w="1886"/>
      </w:tblGrid>
      <w:tr w:rsidR="00CA62D9" w:rsidRPr="00D528BB" w14:paraId="6DBEF5B2" w14:textId="77777777" w:rsidTr="00F45E83">
        <w:trPr>
          <w:trHeight w:hRule="exact" w:val="397"/>
          <w:jc w:val="center"/>
        </w:trPr>
        <w:tc>
          <w:tcPr>
            <w:tcW w:w="3076" w:type="dxa"/>
            <w:shd w:val="clear" w:color="auto" w:fill="6E9ECA"/>
            <w:vAlign w:val="center"/>
            <w:hideMark/>
          </w:tcPr>
          <w:p w14:paraId="5F36F949" w14:textId="77777777" w:rsidR="00CA62D9" w:rsidRPr="00D528BB" w:rsidRDefault="00CA62D9" w:rsidP="00F45E83">
            <w:pPr>
              <w:rPr>
                <w:b/>
                <w:bCs/>
                <w:color w:val="FFFFFF" w:themeColor="background1"/>
              </w:rPr>
            </w:pPr>
          </w:p>
        </w:tc>
        <w:tc>
          <w:tcPr>
            <w:tcW w:w="1640" w:type="dxa"/>
            <w:shd w:val="clear" w:color="auto" w:fill="6E9ECA"/>
            <w:vAlign w:val="center"/>
            <w:hideMark/>
          </w:tcPr>
          <w:p w14:paraId="5B06584F" w14:textId="77777777" w:rsidR="00CA62D9" w:rsidRPr="00D528BB" w:rsidRDefault="00CA62D9" w:rsidP="00F45E83">
            <w:pPr>
              <w:jc w:val="center"/>
              <w:rPr>
                <w:b/>
                <w:bCs/>
                <w:color w:val="FFFFFF" w:themeColor="background1"/>
              </w:rPr>
            </w:pPr>
            <w:r w:rsidRPr="00D528BB">
              <w:rPr>
                <w:b/>
                <w:bCs/>
                <w:color w:val="FFFFFF" w:themeColor="background1"/>
              </w:rPr>
              <w:t>(TL/Sm</w:t>
            </w:r>
            <w:r w:rsidRPr="00D528BB">
              <w:rPr>
                <w:b/>
                <w:bCs/>
                <w:color w:val="FFFFFF" w:themeColor="background1"/>
                <w:vertAlign w:val="superscript"/>
              </w:rPr>
              <w:t>3</w:t>
            </w:r>
            <w:r w:rsidRPr="00D528BB">
              <w:rPr>
                <w:b/>
                <w:bCs/>
                <w:color w:val="FFFFFF" w:themeColor="background1"/>
              </w:rPr>
              <w:t>)</w:t>
            </w:r>
          </w:p>
        </w:tc>
        <w:tc>
          <w:tcPr>
            <w:tcW w:w="1886" w:type="dxa"/>
            <w:shd w:val="clear" w:color="auto" w:fill="6E9ECA"/>
            <w:vAlign w:val="center"/>
            <w:hideMark/>
          </w:tcPr>
          <w:p w14:paraId="1D76B308" w14:textId="77777777" w:rsidR="00CA62D9" w:rsidRPr="00D528BB" w:rsidRDefault="00CA62D9" w:rsidP="00F45E83">
            <w:pPr>
              <w:jc w:val="center"/>
              <w:rPr>
                <w:b/>
                <w:bCs/>
                <w:color w:val="FFFFFF" w:themeColor="background1"/>
              </w:rPr>
            </w:pPr>
            <w:r w:rsidRPr="00D528BB">
              <w:rPr>
                <w:b/>
                <w:bCs/>
                <w:color w:val="FFFFFF" w:themeColor="background1"/>
              </w:rPr>
              <w:t>(TL/kWh)</w:t>
            </w:r>
          </w:p>
        </w:tc>
      </w:tr>
      <w:tr w:rsidR="00CA62D9" w:rsidRPr="00D528BB" w14:paraId="65FA558E" w14:textId="77777777" w:rsidTr="00F45E83">
        <w:trPr>
          <w:trHeight w:hRule="exact" w:val="397"/>
          <w:jc w:val="center"/>
        </w:trPr>
        <w:tc>
          <w:tcPr>
            <w:tcW w:w="3076" w:type="dxa"/>
            <w:shd w:val="clear" w:color="auto" w:fill="auto"/>
            <w:noWrap/>
            <w:vAlign w:val="center"/>
            <w:hideMark/>
          </w:tcPr>
          <w:p w14:paraId="51E4ABEB" w14:textId="77777777" w:rsidR="00CA62D9" w:rsidRPr="00D528BB" w:rsidRDefault="00CA62D9" w:rsidP="00F45E83">
            <w:pPr>
              <w:rPr>
                <w:color w:val="000000" w:themeColor="text1"/>
              </w:rPr>
            </w:pPr>
            <w:r w:rsidRPr="00D528BB">
              <w:rPr>
                <w:color w:val="000000" w:themeColor="text1"/>
              </w:rPr>
              <w:t>İletim Hizmet Bedeli</w:t>
            </w:r>
          </w:p>
        </w:tc>
        <w:tc>
          <w:tcPr>
            <w:tcW w:w="1640" w:type="dxa"/>
            <w:shd w:val="clear" w:color="auto" w:fill="auto"/>
            <w:noWrap/>
            <w:hideMark/>
          </w:tcPr>
          <w:p w14:paraId="4CA432C2" w14:textId="77777777" w:rsidR="00CA62D9" w:rsidRPr="00D528BB" w:rsidRDefault="00CA62D9" w:rsidP="00F45E83">
            <w:pPr>
              <w:jc w:val="center"/>
              <w:rPr>
                <w:color w:val="000000" w:themeColor="text1"/>
              </w:rPr>
            </w:pPr>
            <w:r w:rsidRPr="00D528BB">
              <w:t>0,384709</w:t>
            </w:r>
          </w:p>
        </w:tc>
        <w:tc>
          <w:tcPr>
            <w:tcW w:w="1886" w:type="dxa"/>
            <w:shd w:val="clear" w:color="auto" w:fill="auto"/>
            <w:noWrap/>
            <w:hideMark/>
          </w:tcPr>
          <w:p w14:paraId="523C14E4" w14:textId="77777777" w:rsidR="00CA62D9" w:rsidRPr="00D528BB" w:rsidRDefault="00CA62D9" w:rsidP="00F45E83">
            <w:pPr>
              <w:jc w:val="center"/>
              <w:rPr>
                <w:color w:val="000000" w:themeColor="text1"/>
              </w:rPr>
            </w:pPr>
            <w:r w:rsidRPr="00D528BB">
              <w:t>0,03615686</w:t>
            </w:r>
          </w:p>
        </w:tc>
      </w:tr>
    </w:tbl>
    <w:p w14:paraId="4FB1038C" w14:textId="77777777" w:rsidR="00CA62D9" w:rsidRDefault="00CA62D9" w:rsidP="00CA62D9">
      <w:pPr>
        <w:pStyle w:val="Balk3"/>
        <w:spacing w:before="0" w:after="240" w:line="240" w:lineRule="auto"/>
        <w:rPr>
          <w:rFonts w:asciiTheme="minorHAnsi" w:hAnsiTheme="minorHAnsi"/>
          <w:color w:val="000000" w:themeColor="text1"/>
        </w:rPr>
      </w:pPr>
    </w:p>
    <w:p w14:paraId="54E1FF54" w14:textId="77777777" w:rsidR="00CA62D9" w:rsidRPr="00D528BB" w:rsidRDefault="00CA62D9" w:rsidP="00CA62D9">
      <w:pPr>
        <w:keepNext/>
        <w:keepLines/>
        <w:numPr>
          <w:ilvl w:val="2"/>
          <w:numId w:val="11"/>
        </w:numPr>
        <w:spacing w:after="240" w:line="240" w:lineRule="auto"/>
        <w:outlineLvl w:val="2"/>
        <w:rPr>
          <w:rFonts w:eastAsiaTheme="majorEastAsia" w:cstheme="majorBidi"/>
          <w:b/>
          <w:bCs/>
          <w:color w:val="000000" w:themeColor="text1"/>
        </w:rPr>
      </w:pPr>
      <w:bookmarkStart w:id="233" w:name="_Toc195868727"/>
      <w:r w:rsidRPr="00D528BB">
        <w:rPr>
          <w:rFonts w:eastAsiaTheme="majorEastAsia" w:cstheme="majorBidi"/>
          <w:b/>
          <w:bCs/>
          <w:color w:val="000000" w:themeColor="text1"/>
        </w:rPr>
        <w:t>Piyasa İşletim Tarifesi</w:t>
      </w:r>
      <w:bookmarkEnd w:id="233"/>
    </w:p>
    <w:p w14:paraId="7D0D21D0" w14:textId="77777777" w:rsidR="00CA62D9" w:rsidRPr="00D528BB" w:rsidRDefault="00CA62D9" w:rsidP="00CA62D9">
      <w:pPr>
        <w:spacing w:after="160" w:line="256" w:lineRule="auto"/>
      </w:pPr>
      <w:r w:rsidRPr="00D528BB">
        <w:t>24.12.2024 tarihli ve 32762 sayılı Resmî Gazetede yayımlanan 19.12.2024 tarihli ve 13103 sayılı Kurul Kararı ile “Spot Doğal Gaz Satış Piyasası İşletim Gelir Tavanının Karşılanması İçin Uygulanacak Bedeller ve Uygulamaya İlişkin Yöntem Bildirimi”nde ifade edilen ücretlerin belirlenmesine yönelik karar verilmiştir.</w:t>
      </w:r>
    </w:p>
    <w:p w14:paraId="7BD722C4" w14:textId="1B7AC714" w:rsidR="00CA62D9" w:rsidRPr="00DF2CBC" w:rsidRDefault="00DF2CBC" w:rsidP="00DF2CBC">
      <w:pPr>
        <w:pStyle w:val="Balk5"/>
        <w:jc w:val="center"/>
        <w:rPr>
          <w:rStyle w:val="Gl"/>
          <w:color w:val="auto"/>
        </w:rPr>
      </w:pPr>
      <w:bookmarkStart w:id="234" w:name="_Toc164175449"/>
      <w:bookmarkStart w:id="235" w:name="_Toc195868828"/>
      <w:r w:rsidRPr="00DF2CBC">
        <w:rPr>
          <w:rStyle w:val="Gl"/>
          <w:color w:val="auto"/>
        </w:rPr>
        <w:t xml:space="preserve">Tablo 4.20: </w:t>
      </w:r>
      <w:bookmarkEnd w:id="234"/>
      <w:r w:rsidR="00CA62D9" w:rsidRPr="00DF2CBC">
        <w:rPr>
          <w:rStyle w:val="Gl"/>
          <w:bCs w:val="0"/>
          <w:color w:val="auto"/>
        </w:rPr>
        <w:t>2025 Spot Doğal Gaz Satış Piyasası Birim Ücretler (TL/Sm3)</w:t>
      </w:r>
      <w:bookmarkEnd w:id="235"/>
    </w:p>
    <w:tbl>
      <w:tblPr>
        <w:tblW w:w="4156" w:type="pct"/>
        <w:tblInd w:w="-5"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5382"/>
        <w:gridCol w:w="2857"/>
      </w:tblGrid>
      <w:tr w:rsidR="00CA62D9" w:rsidRPr="00D528BB" w14:paraId="093660F9" w14:textId="77777777" w:rsidTr="00F45E83">
        <w:trPr>
          <w:trHeight w:val="20"/>
        </w:trPr>
        <w:tc>
          <w:tcPr>
            <w:tcW w:w="3266" w:type="pct"/>
            <w:shd w:val="clear" w:color="auto" w:fill="548DD4" w:themeFill="text2" w:themeFillTint="99"/>
            <w:noWrap/>
            <w:vAlign w:val="center"/>
            <w:hideMark/>
          </w:tcPr>
          <w:p w14:paraId="075DC34D" w14:textId="77777777" w:rsidR="00CA62D9" w:rsidRPr="00D528BB" w:rsidRDefault="00CA62D9" w:rsidP="00F45E83">
            <w:pPr>
              <w:jc w:val="left"/>
              <w:rPr>
                <w:rFonts w:cstheme="minorHAnsi"/>
                <w:b/>
                <w:bCs/>
                <w:color w:val="FFFFFF" w:themeColor="background1"/>
              </w:rPr>
            </w:pPr>
            <w:r w:rsidRPr="00D528BB">
              <w:rPr>
                <w:rFonts w:cstheme="minorHAnsi"/>
                <w:b/>
                <w:bCs/>
                <w:color w:val="FFFFFF" w:themeColor="background1"/>
              </w:rPr>
              <w:t>Ücret adı</w:t>
            </w:r>
          </w:p>
        </w:tc>
        <w:tc>
          <w:tcPr>
            <w:tcW w:w="1734" w:type="pct"/>
            <w:shd w:val="clear" w:color="auto" w:fill="548DD4" w:themeFill="text2" w:themeFillTint="99"/>
            <w:noWrap/>
            <w:vAlign w:val="center"/>
            <w:hideMark/>
          </w:tcPr>
          <w:p w14:paraId="331A0B75" w14:textId="77777777" w:rsidR="00CA62D9" w:rsidRPr="00D528BB" w:rsidRDefault="00CA62D9" w:rsidP="00F45E83">
            <w:pPr>
              <w:jc w:val="center"/>
              <w:rPr>
                <w:rFonts w:cstheme="minorHAnsi"/>
                <w:b/>
                <w:bCs/>
                <w:color w:val="FFFFFF" w:themeColor="background1"/>
              </w:rPr>
            </w:pPr>
            <w:r w:rsidRPr="00D528BB">
              <w:rPr>
                <w:rFonts w:cstheme="minorHAnsi"/>
                <w:b/>
                <w:bCs/>
                <w:color w:val="FFFFFF" w:themeColor="background1"/>
              </w:rPr>
              <w:t>Birim Fiyatı</w:t>
            </w:r>
          </w:p>
        </w:tc>
      </w:tr>
      <w:tr w:rsidR="00CA62D9" w:rsidRPr="00D528BB" w14:paraId="4B54514E" w14:textId="77777777" w:rsidTr="00F45E83">
        <w:trPr>
          <w:trHeight w:val="20"/>
        </w:trPr>
        <w:tc>
          <w:tcPr>
            <w:tcW w:w="3266" w:type="pct"/>
            <w:shd w:val="clear" w:color="auto" w:fill="auto"/>
            <w:noWrap/>
            <w:vAlign w:val="center"/>
            <w:hideMark/>
          </w:tcPr>
          <w:p w14:paraId="0632DF4B" w14:textId="77777777" w:rsidR="00CA62D9" w:rsidRPr="00D528BB" w:rsidRDefault="00CA62D9" w:rsidP="00F45E83">
            <w:pPr>
              <w:spacing w:after="0" w:line="240" w:lineRule="auto"/>
              <w:rPr>
                <w:rFonts w:cstheme="minorHAnsi"/>
                <w:color w:val="000000" w:themeColor="text1"/>
              </w:rPr>
            </w:pPr>
            <w:r w:rsidRPr="00D528BB">
              <w:rPr>
                <w:rFonts w:cstheme="minorHAnsi"/>
                <w:color w:val="000000" w:themeColor="text1"/>
              </w:rPr>
              <w:t>Birim İşlem Ücreti</w:t>
            </w:r>
          </w:p>
        </w:tc>
        <w:tc>
          <w:tcPr>
            <w:tcW w:w="1734" w:type="pct"/>
            <w:shd w:val="clear" w:color="auto" w:fill="auto"/>
            <w:noWrap/>
            <w:hideMark/>
          </w:tcPr>
          <w:p w14:paraId="68ACE183" w14:textId="77777777" w:rsidR="00CA62D9" w:rsidRPr="00D528BB" w:rsidRDefault="00CA62D9" w:rsidP="00F45E83">
            <w:pPr>
              <w:spacing w:after="0" w:line="240" w:lineRule="auto"/>
              <w:jc w:val="center"/>
              <w:rPr>
                <w:rFonts w:cstheme="minorHAnsi"/>
                <w:color w:val="000000" w:themeColor="text1"/>
              </w:rPr>
            </w:pPr>
            <w:r w:rsidRPr="00D528BB">
              <w:t>0,011250 TL/Sm</w:t>
            </w:r>
            <w:r w:rsidRPr="00D528BB">
              <w:rPr>
                <w:vertAlign w:val="superscript"/>
              </w:rPr>
              <w:t>3</w:t>
            </w:r>
          </w:p>
        </w:tc>
      </w:tr>
      <w:tr w:rsidR="00CA62D9" w:rsidRPr="00D528BB" w14:paraId="0C8A4925" w14:textId="77777777" w:rsidTr="00F45E83">
        <w:trPr>
          <w:trHeight w:val="20"/>
        </w:trPr>
        <w:tc>
          <w:tcPr>
            <w:tcW w:w="3266" w:type="pct"/>
            <w:shd w:val="clear" w:color="auto" w:fill="auto"/>
            <w:noWrap/>
            <w:vAlign w:val="center"/>
            <w:hideMark/>
          </w:tcPr>
          <w:p w14:paraId="7CBFFAB1" w14:textId="77777777" w:rsidR="00CA62D9" w:rsidRPr="00D528BB" w:rsidRDefault="00CA62D9" w:rsidP="00F45E83">
            <w:pPr>
              <w:spacing w:after="0" w:line="240" w:lineRule="auto"/>
              <w:rPr>
                <w:rFonts w:cstheme="minorHAnsi"/>
                <w:color w:val="000000" w:themeColor="text1"/>
              </w:rPr>
            </w:pPr>
            <w:r w:rsidRPr="00D528BB">
              <w:rPr>
                <w:rFonts w:cstheme="minorHAnsi"/>
                <w:color w:val="000000" w:themeColor="text1"/>
              </w:rPr>
              <w:t>Birim Dengesizlik Uzlaştırma İşletim Ücreti</w:t>
            </w:r>
          </w:p>
        </w:tc>
        <w:tc>
          <w:tcPr>
            <w:tcW w:w="1734" w:type="pct"/>
            <w:shd w:val="clear" w:color="auto" w:fill="auto"/>
            <w:noWrap/>
            <w:hideMark/>
          </w:tcPr>
          <w:p w14:paraId="6C0164F0" w14:textId="77777777" w:rsidR="00CA62D9" w:rsidRPr="00D528BB" w:rsidRDefault="00CA62D9" w:rsidP="00F45E83">
            <w:pPr>
              <w:spacing w:after="0" w:line="240" w:lineRule="auto"/>
              <w:jc w:val="center"/>
              <w:rPr>
                <w:rFonts w:cstheme="minorHAnsi"/>
                <w:color w:val="000000" w:themeColor="text1"/>
              </w:rPr>
            </w:pPr>
            <w:r w:rsidRPr="00D528BB">
              <w:t>0,011250 TL/Sm</w:t>
            </w:r>
            <w:r w:rsidRPr="00D528BB">
              <w:rPr>
                <w:vertAlign w:val="superscript"/>
              </w:rPr>
              <w:t>3</w:t>
            </w:r>
          </w:p>
        </w:tc>
      </w:tr>
      <w:tr w:rsidR="00CA62D9" w:rsidRPr="00D528BB" w14:paraId="7E87D85C" w14:textId="77777777" w:rsidTr="00F45E83">
        <w:trPr>
          <w:trHeight w:val="20"/>
        </w:trPr>
        <w:tc>
          <w:tcPr>
            <w:tcW w:w="3266" w:type="pct"/>
            <w:shd w:val="clear" w:color="auto" w:fill="auto"/>
            <w:noWrap/>
            <w:vAlign w:val="center"/>
            <w:hideMark/>
          </w:tcPr>
          <w:p w14:paraId="3024D0F5" w14:textId="77777777" w:rsidR="00CA62D9" w:rsidRPr="00D528BB" w:rsidRDefault="00CA62D9" w:rsidP="00F45E83">
            <w:pPr>
              <w:spacing w:after="0" w:line="240" w:lineRule="auto"/>
              <w:rPr>
                <w:rFonts w:cstheme="minorHAnsi"/>
                <w:color w:val="000000" w:themeColor="text1"/>
              </w:rPr>
            </w:pPr>
            <w:r w:rsidRPr="00D528BB">
              <w:rPr>
                <w:rFonts w:cstheme="minorHAnsi"/>
                <w:color w:val="000000" w:themeColor="text1"/>
              </w:rPr>
              <w:t>Yıllık Katılım Ücreti</w:t>
            </w:r>
          </w:p>
        </w:tc>
        <w:tc>
          <w:tcPr>
            <w:tcW w:w="1734" w:type="pct"/>
            <w:shd w:val="clear" w:color="auto" w:fill="auto"/>
            <w:noWrap/>
            <w:hideMark/>
          </w:tcPr>
          <w:p w14:paraId="0F71098B" w14:textId="77777777" w:rsidR="00CA62D9" w:rsidRPr="00D528BB" w:rsidRDefault="00CA62D9" w:rsidP="00F45E83">
            <w:pPr>
              <w:spacing w:after="0" w:line="240" w:lineRule="auto"/>
              <w:jc w:val="center"/>
              <w:rPr>
                <w:rFonts w:cstheme="minorHAnsi"/>
                <w:color w:val="000000" w:themeColor="text1"/>
              </w:rPr>
            </w:pPr>
            <w:r w:rsidRPr="00D528BB">
              <w:t>150.000 TL</w:t>
            </w:r>
          </w:p>
        </w:tc>
      </w:tr>
      <w:tr w:rsidR="00CA62D9" w:rsidRPr="00D528BB" w14:paraId="79872306" w14:textId="77777777" w:rsidTr="00F45E83">
        <w:trPr>
          <w:trHeight w:val="20"/>
        </w:trPr>
        <w:tc>
          <w:tcPr>
            <w:tcW w:w="3266" w:type="pct"/>
            <w:shd w:val="clear" w:color="auto" w:fill="auto"/>
            <w:noWrap/>
            <w:vAlign w:val="center"/>
            <w:hideMark/>
          </w:tcPr>
          <w:p w14:paraId="3C842A79" w14:textId="77777777" w:rsidR="00CA62D9" w:rsidRPr="00D528BB" w:rsidRDefault="00CA62D9" w:rsidP="00F45E83">
            <w:pPr>
              <w:spacing w:after="0" w:line="240" w:lineRule="auto"/>
              <w:rPr>
                <w:rFonts w:cstheme="minorHAnsi"/>
                <w:color w:val="000000" w:themeColor="text1"/>
              </w:rPr>
            </w:pPr>
            <w:r w:rsidRPr="00D528BB">
              <w:rPr>
                <w:rFonts w:cstheme="minorHAnsi"/>
                <w:color w:val="000000" w:themeColor="text1"/>
              </w:rPr>
              <w:t>Kabul edilmeyen İtiraz Ücreti</w:t>
            </w:r>
          </w:p>
        </w:tc>
        <w:tc>
          <w:tcPr>
            <w:tcW w:w="1734" w:type="pct"/>
            <w:shd w:val="clear" w:color="auto" w:fill="auto"/>
            <w:noWrap/>
            <w:hideMark/>
          </w:tcPr>
          <w:p w14:paraId="355E30E9" w14:textId="77777777" w:rsidR="00CA62D9" w:rsidRPr="00D528BB" w:rsidRDefault="00CA62D9" w:rsidP="00F45E83">
            <w:pPr>
              <w:spacing w:after="0" w:line="240" w:lineRule="auto"/>
              <w:jc w:val="center"/>
              <w:rPr>
                <w:rFonts w:cstheme="minorHAnsi"/>
                <w:color w:val="000000" w:themeColor="text1"/>
              </w:rPr>
            </w:pPr>
            <w:r w:rsidRPr="00D528BB">
              <w:t>1000 TL/adet</w:t>
            </w:r>
          </w:p>
        </w:tc>
      </w:tr>
    </w:tbl>
    <w:p w14:paraId="505788DA" w14:textId="77777777" w:rsidR="00CA62D9" w:rsidRPr="00D528BB" w:rsidRDefault="00CA62D9" w:rsidP="00CA62D9">
      <w:pPr>
        <w:spacing w:after="160" w:line="259" w:lineRule="auto"/>
      </w:pPr>
    </w:p>
    <w:p w14:paraId="4929EDC9" w14:textId="77777777" w:rsidR="00CA62D9" w:rsidRPr="00D528BB" w:rsidRDefault="00CA62D9" w:rsidP="00CA62D9">
      <w:pPr>
        <w:spacing w:after="160" w:line="259" w:lineRule="auto"/>
      </w:pPr>
      <w:r w:rsidRPr="00D528BB">
        <w:t>24.12.2024 tarihli ve 32762 sayılı Resmî Gazetede yayımlanan 19.12.2024 tarihli ve 13104 sayılı Kurul Kararı ile “Vadeli Doğal Gaz Piyasası İşletim Gelir Tavanının Karşılanması İçin Uygulanacak Bedel ve Komisyonlar ile Uygulamaya İlişkin Yöntem Bildirimi”nde ifade edilen ücretlerin belirlenmesine yönelik karar verilmiştir.</w:t>
      </w:r>
    </w:p>
    <w:p w14:paraId="0B2EBFFF" w14:textId="50FDB204" w:rsidR="00DF2CBC" w:rsidRPr="002048A7" w:rsidRDefault="00DF2CBC" w:rsidP="00DF2CBC">
      <w:pPr>
        <w:pStyle w:val="Balk5"/>
      </w:pPr>
      <w:bookmarkStart w:id="236" w:name="_Toc164175450"/>
      <w:bookmarkStart w:id="237" w:name="_Toc195868829"/>
      <w:r w:rsidRPr="002048A7">
        <w:rPr>
          <w:rStyle w:val="Gl"/>
          <w:color w:val="000000" w:themeColor="text1"/>
        </w:rPr>
        <w:t>Tablo 4.21: 202</w:t>
      </w:r>
      <w:r>
        <w:rPr>
          <w:rStyle w:val="Gl"/>
          <w:color w:val="000000" w:themeColor="text1"/>
        </w:rPr>
        <w:t>5</w:t>
      </w:r>
      <w:r w:rsidRPr="002048A7">
        <w:rPr>
          <w:rStyle w:val="Gl"/>
          <w:color w:val="000000" w:themeColor="text1"/>
        </w:rPr>
        <w:t xml:space="preserve"> Yılı Vadeli Doğal Gaz Piyasası Birim Ücretler</w:t>
      </w:r>
      <w:bookmarkEnd w:id="236"/>
      <w:bookmarkEnd w:id="237"/>
      <w:r w:rsidRPr="002048A7">
        <w:rPr>
          <w:rStyle w:val="Gl"/>
          <w:color w:val="000000" w:themeColor="text1"/>
        </w:rPr>
        <w:t xml:space="preserve"> </w:t>
      </w:r>
    </w:p>
    <w:tbl>
      <w:tblPr>
        <w:tblW w:w="4100" w:type="pct"/>
        <w:tblInd w:w="-5"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left w:w="70" w:type="dxa"/>
          <w:right w:w="70" w:type="dxa"/>
        </w:tblCellMar>
        <w:tblLook w:val="04A0" w:firstRow="1" w:lastRow="0" w:firstColumn="1" w:lastColumn="0" w:noHBand="0" w:noVBand="1"/>
      </w:tblPr>
      <w:tblGrid>
        <w:gridCol w:w="5043"/>
        <w:gridCol w:w="3085"/>
      </w:tblGrid>
      <w:tr w:rsidR="00CA62D9" w:rsidRPr="00D528BB" w14:paraId="79D5DBBB" w14:textId="77777777" w:rsidTr="00F45E83">
        <w:trPr>
          <w:trHeight w:val="400"/>
        </w:trPr>
        <w:tc>
          <w:tcPr>
            <w:tcW w:w="3102"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48DD4" w:themeFill="text2" w:themeFillTint="99"/>
            <w:noWrap/>
            <w:vAlign w:val="bottom"/>
            <w:hideMark/>
          </w:tcPr>
          <w:p w14:paraId="113670DA" w14:textId="77777777" w:rsidR="00CA62D9" w:rsidRPr="00D528BB" w:rsidRDefault="00CA62D9" w:rsidP="00F45E83">
            <w:pPr>
              <w:jc w:val="left"/>
              <w:rPr>
                <w:rFonts w:cstheme="minorHAnsi"/>
                <w:b/>
                <w:bCs/>
                <w:color w:val="FFFFFF" w:themeColor="background1"/>
              </w:rPr>
            </w:pPr>
            <w:r w:rsidRPr="00D528BB">
              <w:rPr>
                <w:rFonts w:cstheme="minorHAnsi"/>
                <w:b/>
                <w:bCs/>
                <w:color w:val="FFFFFF" w:themeColor="background1"/>
              </w:rPr>
              <w:t>Ücret adı</w:t>
            </w:r>
          </w:p>
        </w:tc>
        <w:tc>
          <w:tcPr>
            <w:tcW w:w="1898"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48DD4" w:themeFill="text2" w:themeFillTint="99"/>
            <w:noWrap/>
            <w:vAlign w:val="bottom"/>
            <w:hideMark/>
          </w:tcPr>
          <w:p w14:paraId="709406CD" w14:textId="77777777" w:rsidR="00CA62D9" w:rsidRPr="00D528BB" w:rsidRDefault="00CA62D9" w:rsidP="00F45E83">
            <w:pPr>
              <w:jc w:val="center"/>
              <w:rPr>
                <w:rFonts w:cstheme="minorHAnsi"/>
                <w:b/>
                <w:bCs/>
                <w:color w:val="FFFFFF" w:themeColor="background1"/>
              </w:rPr>
            </w:pPr>
            <w:r w:rsidRPr="00D528BB">
              <w:rPr>
                <w:rFonts w:cstheme="minorHAnsi"/>
                <w:b/>
                <w:bCs/>
                <w:color w:val="FFFFFF" w:themeColor="background1"/>
              </w:rPr>
              <w:t>Birim Fiyat</w:t>
            </w:r>
          </w:p>
        </w:tc>
      </w:tr>
      <w:tr w:rsidR="00CA62D9" w:rsidRPr="00D528BB" w14:paraId="1CEC7124" w14:textId="77777777" w:rsidTr="00F45E83">
        <w:trPr>
          <w:trHeight w:val="400"/>
        </w:trPr>
        <w:tc>
          <w:tcPr>
            <w:tcW w:w="3102"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bottom"/>
            <w:hideMark/>
          </w:tcPr>
          <w:p w14:paraId="1C5B9F7A" w14:textId="77777777" w:rsidR="00CA62D9" w:rsidRPr="00D528BB" w:rsidRDefault="00CA62D9" w:rsidP="00F45E83">
            <w:pPr>
              <w:spacing w:after="0" w:line="240" w:lineRule="auto"/>
              <w:rPr>
                <w:rFonts w:cstheme="minorHAnsi"/>
                <w:color w:val="000000" w:themeColor="text1"/>
              </w:rPr>
            </w:pPr>
            <w:r w:rsidRPr="00D528BB">
              <w:rPr>
                <w:rFonts w:cstheme="minorHAnsi"/>
                <w:color w:val="000000" w:themeColor="text1"/>
              </w:rPr>
              <w:t>Birim işlem ücreti</w:t>
            </w:r>
          </w:p>
        </w:tc>
        <w:tc>
          <w:tcPr>
            <w:tcW w:w="1898"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bottom"/>
            <w:hideMark/>
          </w:tcPr>
          <w:p w14:paraId="0201DF9E" w14:textId="77777777" w:rsidR="00CA62D9" w:rsidRPr="00D528BB" w:rsidRDefault="00CA62D9" w:rsidP="00F45E83">
            <w:pPr>
              <w:spacing w:after="0" w:line="240" w:lineRule="auto"/>
              <w:jc w:val="center"/>
            </w:pPr>
            <w:r w:rsidRPr="00D528BB">
              <w:t>0,0009 TL/Sm</w:t>
            </w:r>
            <w:r w:rsidRPr="00D528BB">
              <w:rPr>
                <w:vertAlign w:val="superscript"/>
              </w:rPr>
              <w:t>3</w:t>
            </w:r>
          </w:p>
        </w:tc>
      </w:tr>
      <w:tr w:rsidR="00CA62D9" w:rsidRPr="00D528BB" w14:paraId="31A81B2A" w14:textId="77777777" w:rsidTr="00F45E83">
        <w:trPr>
          <w:trHeight w:val="400"/>
        </w:trPr>
        <w:tc>
          <w:tcPr>
            <w:tcW w:w="3102"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bottom"/>
            <w:hideMark/>
          </w:tcPr>
          <w:p w14:paraId="35BD2329" w14:textId="77777777" w:rsidR="00CA62D9" w:rsidRPr="00D528BB" w:rsidRDefault="00CA62D9" w:rsidP="00F45E83">
            <w:pPr>
              <w:spacing w:after="0" w:line="240" w:lineRule="auto"/>
              <w:rPr>
                <w:rFonts w:cstheme="minorHAnsi"/>
                <w:color w:val="000000" w:themeColor="text1"/>
              </w:rPr>
            </w:pPr>
            <w:r w:rsidRPr="00D528BB">
              <w:rPr>
                <w:rFonts w:cstheme="minorHAnsi"/>
                <w:color w:val="000000" w:themeColor="text1"/>
              </w:rPr>
              <w:t>Yıllık katılım ücreti</w:t>
            </w:r>
          </w:p>
        </w:tc>
        <w:tc>
          <w:tcPr>
            <w:tcW w:w="1898"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bottom"/>
            <w:hideMark/>
          </w:tcPr>
          <w:p w14:paraId="33FAA566" w14:textId="77777777" w:rsidR="00CA62D9" w:rsidRPr="00D528BB" w:rsidRDefault="00CA62D9" w:rsidP="00F45E83">
            <w:pPr>
              <w:spacing w:after="0" w:line="240" w:lineRule="auto"/>
              <w:jc w:val="center"/>
            </w:pPr>
            <w:r w:rsidRPr="00D528BB">
              <w:t>2.500 TL</w:t>
            </w:r>
          </w:p>
        </w:tc>
      </w:tr>
      <w:tr w:rsidR="00CA62D9" w:rsidRPr="00D528BB" w14:paraId="7FA9EABD" w14:textId="77777777" w:rsidTr="00F45E83">
        <w:trPr>
          <w:trHeight w:val="400"/>
        </w:trPr>
        <w:tc>
          <w:tcPr>
            <w:tcW w:w="3102"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bottom"/>
            <w:hideMark/>
          </w:tcPr>
          <w:p w14:paraId="1926DD52" w14:textId="77777777" w:rsidR="00CA62D9" w:rsidRPr="00D528BB" w:rsidRDefault="00CA62D9" w:rsidP="00F45E83">
            <w:pPr>
              <w:spacing w:after="0" w:line="240" w:lineRule="auto"/>
              <w:rPr>
                <w:rFonts w:cstheme="minorHAnsi"/>
                <w:color w:val="000000" w:themeColor="text1"/>
              </w:rPr>
            </w:pPr>
            <w:r w:rsidRPr="00D528BB">
              <w:rPr>
                <w:rFonts w:cstheme="minorHAnsi"/>
                <w:color w:val="000000" w:themeColor="text1"/>
              </w:rPr>
              <w:t>Kabul edilmeyen itiraz ücreti</w:t>
            </w:r>
          </w:p>
        </w:tc>
        <w:tc>
          <w:tcPr>
            <w:tcW w:w="1898"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bottom"/>
            <w:hideMark/>
          </w:tcPr>
          <w:p w14:paraId="03055C13" w14:textId="77777777" w:rsidR="00CA62D9" w:rsidRPr="00D528BB" w:rsidRDefault="00CA62D9" w:rsidP="00F45E83">
            <w:pPr>
              <w:spacing w:after="0" w:line="240" w:lineRule="auto"/>
              <w:jc w:val="center"/>
            </w:pPr>
            <w:r w:rsidRPr="00D528BB">
              <w:t>500 TL/adet</w:t>
            </w:r>
          </w:p>
        </w:tc>
      </w:tr>
    </w:tbl>
    <w:p w14:paraId="349F4A73" w14:textId="77777777" w:rsidR="00CA62D9" w:rsidRPr="00D528BB" w:rsidRDefault="00CA62D9" w:rsidP="00CA62D9">
      <w:pPr>
        <w:spacing w:after="160" w:line="259" w:lineRule="auto"/>
      </w:pPr>
    </w:p>
    <w:p w14:paraId="5DF7FD02" w14:textId="77777777" w:rsidR="00CA62D9" w:rsidRPr="00D528BB" w:rsidRDefault="00CA62D9" w:rsidP="00CA62D9">
      <w:r w:rsidRPr="00D528BB">
        <w:t xml:space="preserve">24.12.2024 tarihli ve 32762 sayılı Resmî Gazetede yayımlanan 19.12.2024 tarihli ve 13100 sayılı Kurul Kararı ile Enerji Piyasaları İşletme Anonim Şirketi’nin 2025 yılı Piyasa işletim gelir tavanının belirlenmesine yönelik karar alınmıştır. </w:t>
      </w:r>
    </w:p>
    <w:p w14:paraId="22B02D2E" w14:textId="0E702F49" w:rsidR="00DF2CBC" w:rsidRPr="00DF2CBC" w:rsidRDefault="00DF2CBC" w:rsidP="00DF2CBC">
      <w:pPr>
        <w:pStyle w:val="Balk5"/>
        <w:jc w:val="center"/>
        <w:rPr>
          <w:rStyle w:val="Gl"/>
        </w:rPr>
      </w:pPr>
      <w:bookmarkStart w:id="238" w:name="_Toc195864069"/>
      <w:bookmarkStart w:id="239" w:name="_Toc195868830"/>
      <w:r w:rsidRPr="002048A7">
        <w:rPr>
          <w:rStyle w:val="Gl"/>
          <w:color w:val="000000" w:themeColor="text1"/>
        </w:rPr>
        <w:t>Tablo 4.22: EPİAŞ 202</w:t>
      </w:r>
      <w:r>
        <w:rPr>
          <w:rStyle w:val="Gl"/>
          <w:color w:val="000000" w:themeColor="text1"/>
        </w:rPr>
        <w:t>5</w:t>
      </w:r>
      <w:r w:rsidRPr="002048A7">
        <w:rPr>
          <w:rStyle w:val="Gl"/>
          <w:color w:val="000000" w:themeColor="text1"/>
        </w:rPr>
        <w:t xml:space="preserve"> Yılı Piyasa İşletim Gelir Tavanı (TL)</w:t>
      </w:r>
      <w:bookmarkEnd w:id="238"/>
      <w:bookmarkEnd w:id="239"/>
    </w:p>
    <w:tbl>
      <w:tblPr>
        <w:tblW w:w="4574" w:type="pct"/>
        <w:jc w:val="center"/>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left w:w="70" w:type="dxa"/>
          <w:right w:w="70" w:type="dxa"/>
        </w:tblCellMar>
        <w:tblLook w:val="04A0" w:firstRow="1" w:lastRow="0" w:firstColumn="1" w:lastColumn="0" w:noHBand="0" w:noVBand="1"/>
      </w:tblPr>
      <w:tblGrid>
        <w:gridCol w:w="7915"/>
        <w:gridCol w:w="1152"/>
      </w:tblGrid>
      <w:tr w:rsidR="00CA62D9" w:rsidRPr="00D528BB" w14:paraId="0C629B43" w14:textId="77777777" w:rsidTr="00CA62D9">
        <w:trPr>
          <w:trHeight w:val="315"/>
          <w:jc w:val="center"/>
        </w:trPr>
        <w:tc>
          <w:tcPr>
            <w:tcW w:w="4365" w:type="pct"/>
            <w:shd w:val="clear" w:color="auto" w:fill="auto"/>
            <w:noWrap/>
            <w:vAlign w:val="center"/>
            <w:hideMark/>
          </w:tcPr>
          <w:p w14:paraId="0805660F" w14:textId="77777777" w:rsidR="00CA62D9" w:rsidRPr="00D528BB" w:rsidRDefault="00CA62D9" w:rsidP="00F45E83">
            <w:pPr>
              <w:spacing w:after="0" w:line="240" w:lineRule="auto"/>
              <w:rPr>
                <w:rFonts w:eastAsia="Times New Roman" w:cs="Calibri"/>
                <w:bCs/>
                <w:lang w:eastAsia="tr-TR"/>
              </w:rPr>
            </w:pPr>
            <w:r w:rsidRPr="00D528BB">
              <w:rPr>
                <w:rFonts w:eastAsia="Times New Roman" w:cs="Calibri"/>
                <w:bCs/>
                <w:lang w:eastAsia="tr-TR"/>
              </w:rPr>
              <w:t xml:space="preserve">2025 Yılı Piyasa İşletim Gelir </w:t>
            </w:r>
            <w:proofErr w:type="gramStart"/>
            <w:r w:rsidRPr="00D528BB">
              <w:rPr>
                <w:rFonts w:eastAsia="Times New Roman" w:cs="Calibri"/>
                <w:bCs/>
                <w:lang w:eastAsia="tr-TR"/>
              </w:rPr>
              <w:t>Tavanı -</w:t>
            </w:r>
            <w:proofErr w:type="gramEnd"/>
            <w:r w:rsidRPr="00D528BB">
              <w:rPr>
                <w:rFonts w:eastAsia="Times New Roman" w:cs="Calibri"/>
                <w:bCs/>
                <w:lang w:eastAsia="tr-TR"/>
              </w:rPr>
              <w:t xml:space="preserve"> Doğal Gaz Piyasası Payı </w:t>
            </w:r>
            <w:r w:rsidRPr="00D528BB">
              <w:rPr>
                <w:rFonts w:eastAsia="Times New Roman" w:cs="Calibri"/>
                <w:lang w:eastAsia="tr-TR"/>
              </w:rPr>
              <w:t>(TL - TÜFE=3061,46)</w:t>
            </w:r>
          </w:p>
        </w:tc>
        <w:tc>
          <w:tcPr>
            <w:tcW w:w="635" w:type="pct"/>
            <w:shd w:val="clear" w:color="auto" w:fill="auto"/>
            <w:noWrap/>
            <w:vAlign w:val="center"/>
            <w:hideMark/>
          </w:tcPr>
          <w:p w14:paraId="52291049" w14:textId="77777777" w:rsidR="00CA62D9" w:rsidRPr="00D528BB" w:rsidRDefault="00CA62D9" w:rsidP="00F45E83">
            <w:pPr>
              <w:spacing w:after="0" w:line="240" w:lineRule="auto"/>
              <w:jc w:val="right"/>
              <w:rPr>
                <w:rFonts w:eastAsia="Times New Roman" w:cs="Calibri"/>
                <w:bCs/>
                <w:lang w:eastAsia="tr-TR"/>
              </w:rPr>
            </w:pPr>
            <w:r w:rsidRPr="00D528BB">
              <w:rPr>
                <w:rFonts w:eastAsia="Times New Roman" w:cs="Calibri"/>
                <w:bCs/>
                <w:lang w:eastAsia="tr-TR"/>
              </w:rPr>
              <w:t>75.500.000</w:t>
            </w:r>
          </w:p>
        </w:tc>
      </w:tr>
    </w:tbl>
    <w:p w14:paraId="7D26A1CB" w14:textId="77777777" w:rsidR="00CA62D9" w:rsidRPr="00D528BB" w:rsidRDefault="00CA62D9" w:rsidP="00CA62D9">
      <w:pPr>
        <w:keepNext/>
        <w:keepLines/>
        <w:numPr>
          <w:ilvl w:val="2"/>
          <w:numId w:val="11"/>
        </w:numPr>
        <w:spacing w:before="200" w:after="240"/>
        <w:outlineLvl w:val="2"/>
        <w:rPr>
          <w:rFonts w:eastAsiaTheme="majorEastAsia" w:cstheme="majorBidi"/>
          <w:b/>
          <w:bCs/>
          <w:color w:val="000000" w:themeColor="text1"/>
        </w:rPr>
      </w:pPr>
      <w:bookmarkStart w:id="240" w:name="_Toc66267386"/>
      <w:bookmarkStart w:id="241" w:name="_Toc195868728"/>
      <w:bookmarkStart w:id="242" w:name="_Toc66267388"/>
      <w:r w:rsidRPr="00D528BB">
        <w:rPr>
          <w:rFonts w:eastAsiaTheme="majorEastAsia" w:cstheme="majorBidi"/>
          <w:b/>
          <w:bCs/>
          <w:color w:val="000000" w:themeColor="text1"/>
        </w:rPr>
        <w:t>Bağlantı Tarifeleri</w:t>
      </w:r>
      <w:bookmarkEnd w:id="240"/>
      <w:bookmarkEnd w:id="241"/>
    </w:p>
    <w:p w14:paraId="4E19E1D4" w14:textId="77777777" w:rsidR="00CA62D9" w:rsidRPr="00D528BB" w:rsidRDefault="00CA62D9" w:rsidP="00CA62D9">
      <w:pPr>
        <w:spacing w:after="0"/>
        <w:rPr>
          <w:color w:val="000000" w:themeColor="text1"/>
        </w:rPr>
      </w:pPr>
      <w:r w:rsidRPr="00D528BB">
        <w:rPr>
          <w:color w:val="000000" w:themeColor="text1"/>
        </w:rPr>
        <w:t>31.12.2024 tarihli ve 32769 sayılı Resmî Gazetede yayımlanan 26.12.2024 tarihli ve 13155 sayılı Kurul Kararı ile Doğal Gaz Dağıtım Sektörü Bağlantı ve Hizmet Bedellerine İlişkin Usul ve Esaslarda yer verilen bedellerin belirlenmesine yönelik karar alınmıştır. 2025 yılına ilişkin güncellenmiş bedeller Tablo 4.23’te yer almaktadır.</w:t>
      </w:r>
    </w:p>
    <w:p w14:paraId="51F9703C" w14:textId="1A5C54E7" w:rsidR="00CA62D9" w:rsidRPr="00DF2CBC" w:rsidRDefault="00DF2CBC" w:rsidP="00DF2CBC">
      <w:pPr>
        <w:pStyle w:val="Balk5"/>
        <w:jc w:val="center"/>
        <w:rPr>
          <w:rStyle w:val="Gl"/>
          <w:color w:val="000000" w:themeColor="text1"/>
        </w:rPr>
      </w:pPr>
      <w:bookmarkStart w:id="243" w:name="_Toc66267489"/>
      <w:bookmarkStart w:id="244" w:name="_Toc195864070"/>
      <w:bookmarkStart w:id="245" w:name="_Toc195868831"/>
      <w:r w:rsidRPr="002048A7">
        <w:rPr>
          <w:rStyle w:val="Gl"/>
          <w:color w:val="000000" w:themeColor="text1"/>
        </w:rPr>
        <w:t>Tablo 4.23: Dağıtım Şirketleri İçin Belirlenen Bağlantı Tarifeleri</w:t>
      </w:r>
      <w:bookmarkEnd w:id="243"/>
      <w:bookmarkEnd w:id="244"/>
      <w:bookmarkEnd w:id="245"/>
    </w:p>
    <w:tbl>
      <w:tblPr>
        <w:tblW w:w="4156"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5410"/>
        <w:gridCol w:w="1415"/>
        <w:gridCol w:w="1414"/>
      </w:tblGrid>
      <w:tr w:rsidR="00CA62D9" w:rsidRPr="00D528BB" w14:paraId="5CA23DDB" w14:textId="77777777" w:rsidTr="0089088E">
        <w:trPr>
          <w:trHeight w:val="20"/>
          <w:tblHeader/>
          <w:jc w:val="center"/>
        </w:trPr>
        <w:tc>
          <w:tcPr>
            <w:tcW w:w="3283" w:type="pct"/>
            <w:shd w:val="clear" w:color="auto" w:fill="548DD4" w:themeFill="text2" w:themeFillTint="99"/>
            <w:noWrap/>
            <w:vAlign w:val="center"/>
            <w:hideMark/>
          </w:tcPr>
          <w:p w14:paraId="69538F0D" w14:textId="77777777" w:rsidR="00CA62D9" w:rsidRPr="00D528BB" w:rsidRDefault="00CA62D9" w:rsidP="00F45E83">
            <w:pPr>
              <w:jc w:val="left"/>
              <w:rPr>
                <w:rFonts w:cstheme="minorHAnsi"/>
                <w:b/>
                <w:bCs/>
                <w:color w:val="FFFFFF" w:themeColor="background1"/>
              </w:rPr>
            </w:pPr>
            <w:r w:rsidRPr="00D528BB">
              <w:rPr>
                <w:rFonts w:cstheme="minorHAnsi"/>
                <w:b/>
                <w:bCs/>
                <w:color w:val="FFFFFF" w:themeColor="background1"/>
              </w:rPr>
              <w:t>BAĞLANTI BEDELLERİ</w:t>
            </w:r>
          </w:p>
        </w:tc>
        <w:tc>
          <w:tcPr>
            <w:tcW w:w="859" w:type="pct"/>
            <w:shd w:val="clear" w:color="auto" w:fill="548DD4" w:themeFill="text2" w:themeFillTint="99"/>
            <w:noWrap/>
            <w:vAlign w:val="center"/>
            <w:hideMark/>
          </w:tcPr>
          <w:p w14:paraId="45A3DD15" w14:textId="77777777" w:rsidR="00CA62D9" w:rsidRPr="00D528BB" w:rsidRDefault="00CA62D9" w:rsidP="00F45E83">
            <w:pPr>
              <w:jc w:val="center"/>
              <w:rPr>
                <w:rFonts w:cstheme="minorHAnsi"/>
                <w:b/>
                <w:bCs/>
                <w:color w:val="FFFFFF" w:themeColor="background1"/>
              </w:rPr>
            </w:pPr>
            <w:r w:rsidRPr="00D528BB">
              <w:rPr>
                <w:rFonts w:cstheme="minorHAnsi"/>
                <w:b/>
                <w:bCs/>
                <w:color w:val="FFFFFF" w:themeColor="background1"/>
              </w:rPr>
              <w:t>2024</w:t>
            </w:r>
          </w:p>
        </w:tc>
        <w:tc>
          <w:tcPr>
            <w:tcW w:w="858" w:type="pct"/>
            <w:shd w:val="clear" w:color="auto" w:fill="548DD4" w:themeFill="text2" w:themeFillTint="99"/>
            <w:noWrap/>
            <w:vAlign w:val="center"/>
            <w:hideMark/>
          </w:tcPr>
          <w:p w14:paraId="3A655608" w14:textId="77777777" w:rsidR="00CA62D9" w:rsidRPr="00D528BB" w:rsidRDefault="00CA62D9" w:rsidP="00F45E83">
            <w:pPr>
              <w:jc w:val="center"/>
              <w:rPr>
                <w:rFonts w:cstheme="minorHAnsi"/>
                <w:b/>
                <w:bCs/>
                <w:color w:val="FFFFFF" w:themeColor="background1"/>
              </w:rPr>
            </w:pPr>
            <w:r w:rsidRPr="00D528BB">
              <w:rPr>
                <w:rFonts w:cstheme="minorHAnsi"/>
                <w:b/>
                <w:bCs/>
                <w:color w:val="FFFFFF" w:themeColor="background1"/>
              </w:rPr>
              <w:t>2025</w:t>
            </w:r>
          </w:p>
        </w:tc>
      </w:tr>
      <w:tr w:rsidR="00CA62D9" w:rsidRPr="00D528BB" w14:paraId="38357A2A" w14:textId="77777777" w:rsidTr="00F45E83">
        <w:trPr>
          <w:trHeight w:val="20"/>
          <w:jc w:val="center"/>
        </w:trPr>
        <w:tc>
          <w:tcPr>
            <w:tcW w:w="3283" w:type="pct"/>
            <w:shd w:val="clear" w:color="auto" w:fill="auto"/>
            <w:noWrap/>
            <w:vAlign w:val="center"/>
            <w:hideMark/>
          </w:tcPr>
          <w:p w14:paraId="572BE94D" w14:textId="77777777" w:rsidR="00CA62D9" w:rsidRPr="00D528BB" w:rsidRDefault="00CA62D9" w:rsidP="00F45E83">
            <w:pPr>
              <w:spacing w:after="0" w:line="240" w:lineRule="auto"/>
              <w:rPr>
                <w:rFonts w:cstheme="minorHAnsi"/>
                <w:color w:val="000000" w:themeColor="text1"/>
              </w:rPr>
            </w:pPr>
            <w:r w:rsidRPr="00D528BB">
              <w:rPr>
                <w:rFonts w:cstheme="minorHAnsi"/>
                <w:color w:val="000000" w:themeColor="text1"/>
              </w:rPr>
              <w:t>Abone Bağlantı Bedeli (TL)</w:t>
            </w:r>
          </w:p>
        </w:tc>
        <w:tc>
          <w:tcPr>
            <w:tcW w:w="859" w:type="pct"/>
            <w:shd w:val="clear" w:color="auto" w:fill="auto"/>
            <w:noWrap/>
            <w:hideMark/>
          </w:tcPr>
          <w:p w14:paraId="4AA21AA5" w14:textId="77777777" w:rsidR="00CA62D9" w:rsidRPr="00D528BB" w:rsidRDefault="00CA62D9" w:rsidP="00F45E83">
            <w:pPr>
              <w:spacing w:after="0" w:line="240" w:lineRule="auto"/>
              <w:jc w:val="center"/>
            </w:pPr>
            <w:r w:rsidRPr="00D528BB">
              <w:rPr>
                <w:rFonts w:cstheme="minorHAnsi"/>
              </w:rPr>
              <w:t>3458</w:t>
            </w:r>
          </w:p>
        </w:tc>
        <w:tc>
          <w:tcPr>
            <w:tcW w:w="858" w:type="pct"/>
            <w:shd w:val="clear" w:color="auto" w:fill="auto"/>
            <w:noWrap/>
            <w:hideMark/>
          </w:tcPr>
          <w:p w14:paraId="47E50674" w14:textId="77777777" w:rsidR="00CA62D9" w:rsidRPr="00D528BB" w:rsidRDefault="00CA62D9" w:rsidP="00F45E83">
            <w:pPr>
              <w:spacing w:after="0" w:line="240" w:lineRule="auto"/>
              <w:jc w:val="center"/>
              <w:rPr>
                <w:rFonts w:cstheme="minorHAnsi"/>
                <w:color w:val="000000" w:themeColor="text1"/>
              </w:rPr>
            </w:pPr>
            <w:r w:rsidRPr="00D528BB">
              <w:t>6154</w:t>
            </w:r>
          </w:p>
        </w:tc>
      </w:tr>
      <w:tr w:rsidR="00CA62D9" w:rsidRPr="00D528BB" w14:paraId="5E2C6943" w14:textId="77777777" w:rsidTr="00F45E83">
        <w:trPr>
          <w:trHeight w:val="20"/>
          <w:jc w:val="center"/>
        </w:trPr>
        <w:tc>
          <w:tcPr>
            <w:tcW w:w="3283" w:type="pct"/>
            <w:shd w:val="clear" w:color="auto" w:fill="auto"/>
            <w:noWrap/>
            <w:vAlign w:val="center"/>
            <w:hideMark/>
          </w:tcPr>
          <w:p w14:paraId="769C77EB" w14:textId="77777777" w:rsidR="00CA62D9" w:rsidRPr="00D528BB" w:rsidRDefault="00CA62D9" w:rsidP="00F45E83">
            <w:pPr>
              <w:spacing w:after="0" w:line="240" w:lineRule="auto"/>
              <w:rPr>
                <w:rFonts w:cstheme="minorHAnsi"/>
                <w:color w:val="000000" w:themeColor="text1"/>
              </w:rPr>
            </w:pPr>
            <w:r w:rsidRPr="00D528BB">
              <w:rPr>
                <w:rFonts w:cstheme="minorHAnsi"/>
                <w:color w:val="000000" w:themeColor="text1"/>
              </w:rPr>
              <w:t>İlave Abone Bağlantı Bedeli (TL/100 m</w:t>
            </w:r>
            <w:r w:rsidRPr="00D528BB">
              <w:rPr>
                <w:rFonts w:cstheme="minorHAnsi"/>
                <w:color w:val="000000" w:themeColor="text1"/>
                <w:vertAlign w:val="superscript"/>
              </w:rPr>
              <w:t>2</w:t>
            </w:r>
            <w:r w:rsidRPr="00D528BB">
              <w:rPr>
                <w:rFonts w:cstheme="minorHAnsi"/>
                <w:color w:val="000000" w:themeColor="text1"/>
              </w:rPr>
              <w:t>)</w:t>
            </w:r>
          </w:p>
        </w:tc>
        <w:tc>
          <w:tcPr>
            <w:tcW w:w="859" w:type="pct"/>
            <w:shd w:val="clear" w:color="auto" w:fill="auto"/>
            <w:noWrap/>
            <w:hideMark/>
          </w:tcPr>
          <w:p w14:paraId="6BB16A54" w14:textId="77777777" w:rsidR="00CA62D9" w:rsidRPr="00D528BB" w:rsidRDefault="00CA62D9" w:rsidP="00F45E83">
            <w:pPr>
              <w:spacing w:after="0" w:line="240" w:lineRule="auto"/>
              <w:jc w:val="center"/>
            </w:pPr>
            <w:r w:rsidRPr="00D528BB">
              <w:rPr>
                <w:rFonts w:cstheme="minorHAnsi"/>
              </w:rPr>
              <w:t>3008</w:t>
            </w:r>
          </w:p>
        </w:tc>
        <w:tc>
          <w:tcPr>
            <w:tcW w:w="858" w:type="pct"/>
            <w:shd w:val="clear" w:color="auto" w:fill="auto"/>
            <w:noWrap/>
            <w:hideMark/>
          </w:tcPr>
          <w:p w14:paraId="10491161" w14:textId="77777777" w:rsidR="00CA62D9" w:rsidRPr="00D528BB" w:rsidRDefault="00CA62D9" w:rsidP="00F45E83">
            <w:pPr>
              <w:spacing w:after="0" w:line="240" w:lineRule="auto"/>
              <w:jc w:val="center"/>
              <w:rPr>
                <w:rFonts w:cstheme="minorHAnsi"/>
                <w:color w:val="000000" w:themeColor="text1"/>
              </w:rPr>
            </w:pPr>
            <w:r w:rsidRPr="00D528BB">
              <w:t>5353</w:t>
            </w:r>
          </w:p>
        </w:tc>
      </w:tr>
      <w:tr w:rsidR="00CA62D9" w:rsidRPr="00D528BB" w14:paraId="73BA3209" w14:textId="77777777" w:rsidTr="00F45E83">
        <w:trPr>
          <w:trHeight w:val="20"/>
          <w:jc w:val="center"/>
        </w:trPr>
        <w:tc>
          <w:tcPr>
            <w:tcW w:w="3283" w:type="pct"/>
            <w:shd w:val="clear" w:color="auto" w:fill="auto"/>
            <w:noWrap/>
            <w:vAlign w:val="center"/>
            <w:hideMark/>
          </w:tcPr>
          <w:p w14:paraId="68CF23ED" w14:textId="77777777" w:rsidR="00CA62D9" w:rsidRPr="00D528BB" w:rsidRDefault="00CA62D9" w:rsidP="00F45E83">
            <w:pPr>
              <w:spacing w:after="0" w:line="240" w:lineRule="auto"/>
              <w:rPr>
                <w:rFonts w:cstheme="minorHAnsi"/>
                <w:color w:val="000000" w:themeColor="text1"/>
              </w:rPr>
            </w:pPr>
            <w:r w:rsidRPr="00D528BB">
              <w:rPr>
                <w:rFonts w:cstheme="minorHAnsi"/>
                <w:color w:val="000000" w:themeColor="text1"/>
              </w:rPr>
              <w:t>Bağlantı Kontrol ve Onay Bedeli (İlk 100 metre için) (TL)</w:t>
            </w:r>
          </w:p>
        </w:tc>
        <w:tc>
          <w:tcPr>
            <w:tcW w:w="859" w:type="pct"/>
            <w:shd w:val="clear" w:color="auto" w:fill="auto"/>
            <w:noWrap/>
            <w:hideMark/>
          </w:tcPr>
          <w:p w14:paraId="6DA22D36" w14:textId="77777777" w:rsidR="00CA62D9" w:rsidRPr="00D528BB" w:rsidRDefault="00CA62D9" w:rsidP="00F45E83">
            <w:pPr>
              <w:spacing w:after="0" w:line="240" w:lineRule="auto"/>
              <w:jc w:val="center"/>
            </w:pPr>
            <w:r w:rsidRPr="00D528BB">
              <w:rPr>
                <w:rFonts w:cstheme="minorHAnsi"/>
              </w:rPr>
              <w:t>2360</w:t>
            </w:r>
          </w:p>
        </w:tc>
        <w:tc>
          <w:tcPr>
            <w:tcW w:w="858" w:type="pct"/>
            <w:shd w:val="clear" w:color="auto" w:fill="auto"/>
            <w:noWrap/>
          </w:tcPr>
          <w:p w14:paraId="01AD62F6" w14:textId="77777777" w:rsidR="00CA62D9" w:rsidRPr="00D528BB" w:rsidRDefault="00CA62D9" w:rsidP="00F45E83">
            <w:pPr>
              <w:spacing w:after="0" w:line="240" w:lineRule="auto"/>
              <w:jc w:val="center"/>
              <w:rPr>
                <w:rFonts w:cstheme="minorHAnsi"/>
                <w:color w:val="000000" w:themeColor="text1"/>
              </w:rPr>
            </w:pPr>
            <w:r w:rsidRPr="00D528BB">
              <w:t>3471</w:t>
            </w:r>
          </w:p>
        </w:tc>
      </w:tr>
      <w:tr w:rsidR="00CA62D9" w:rsidRPr="00D528BB" w14:paraId="32965ACA" w14:textId="77777777" w:rsidTr="00F45E83">
        <w:trPr>
          <w:trHeight w:val="20"/>
          <w:jc w:val="center"/>
        </w:trPr>
        <w:tc>
          <w:tcPr>
            <w:tcW w:w="3283" w:type="pct"/>
            <w:shd w:val="clear" w:color="auto" w:fill="auto"/>
            <w:noWrap/>
            <w:vAlign w:val="center"/>
            <w:hideMark/>
          </w:tcPr>
          <w:p w14:paraId="491E65BA" w14:textId="77777777" w:rsidR="00CA62D9" w:rsidRPr="00D528BB" w:rsidRDefault="00CA62D9" w:rsidP="00F45E83">
            <w:pPr>
              <w:spacing w:after="0" w:line="240" w:lineRule="auto"/>
              <w:rPr>
                <w:rFonts w:cstheme="minorHAnsi"/>
                <w:color w:val="000000" w:themeColor="text1"/>
              </w:rPr>
            </w:pPr>
            <w:r w:rsidRPr="00D528BB">
              <w:rPr>
                <w:rFonts w:cstheme="minorHAnsi"/>
                <w:color w:val="000000" w:themeColor="text1"/>
              </w:rPr>
              <w:t>Bağlantı Kontrol ve Onay Bedeli (İlave her 1 metre için) (TL)</w:t>
            </w:r>
          </w:p>
        </w:tc>
        <w:tc>
          <w:tcPr>
            <w:tcW w:w="859" w:type="pct"/>
            <w:shd w:val="clear" w:color="auto" w:fill="auto"/>
            <w:noWrap/>
            <w:hideMark/>
          </w:tcPr>
          <w:p w14:paraId="2E31750D" w14:textId="77777777" w:rsidR="00CA62D9" w:rsidRPr="00D528BB" w:rsidRDefault="00CA62D9" w:rsidP="00F45E83">
            <w:pPr>
              <w:spacing w:after="0" w:line="240" w:lineRule="auto"/>
              <w:jc w:val="center"/>
            </w:pPr>
            <w:r w:rsidRPr="00D528BB">
              <w:rPr>
                <w:rFonts w:cstheme="minorHAnsi"/>
              </w:rPr>
              <w:t>15</w:t>
            </w:r>
          </w:p>
        </w:tc>
        <w:tc>
          <w:tcPr>
            <w:tcW w:w="858" w:type="pct"/>
            <w:shd w:val="clear" w:color="auto" w:fill="auto"/>
            <w:noWrap/>
          </w:tcPr>
          <w:p w14:paraId="3A643D74" w14:textId="77777777" w:rsidR="00CA62D9" w:rsidRPr="00D528BB" w:rsidRDefault="00CA62D9" w:rsidP="00F45E83">
            <w:pPr>
              <w:spacing w:after="0" w:line="240" w:lineRule="auto"/>
              <w:jc w:val="center"/>
              <w:rPr>
                <w:rFonts w:cstheme="minorHAnsi"/>
                <w:color w:val="000000" w:themeColor="text1"/>
              </w:rPr>
            </w:pPr>
            <w:r w:rsidRPr="00D528BB">
              <w:t>22</w:t>
            </w:r>
          </w:p>
        </w:tc>
      </w:tr>
      <w:tr w:rsidR="00CA62D9" w:rsidRPr="00D528BB" w14:paraId="0F2B5270" w14:textId="77777777" w:rsidTr="00F45E83">
        <w:trPr>
          <w:trHeight w:val="20"/>
          <w:jc w:val="center"/>
        </w:trPr>
        <w:tc>
          <w:tcPr>
            <w:tcW w:w="3283" w:type="pct"/>
            <w:shd w:val="clear" w:color="auto" w:fill="auto"/>
            <w:noWrap/>
            <w:vAlign w:val="center"/>
            <w:hideMark/>
          </w:tcPr>
          <w:p w14:paraId="4D25D471" w14:textId="77777777" w:rsidR="00CA62D9" w:rsidRPr="00D528BB" w:rsidRDefault="00CA62D9" w:rsidP="00F45E83">
            <w:pPr>
              <w:spacing w:after="0" w:line="240" w:lineRule="auto"/>
              <w:rPr>
                <w:rFonts w:cstheme="minorHAnsi"/>
                <w:color w:val="000000" w:themeColor="text1"/>
              </w:rPr>
            </w:pPr>
            <w:r w:rsidRPr="00D528BB">
              <w:rPr>
                <w:rFonts w:cstheme="minorHAnsi"/>
                <w:color w:val="000000" w:themeColor="text1"/>
              </w:rPr>
              <w:t>Güvence Bedeli Kombi (TL/Adet)</w:t>
            </w:r>
          </w:p>
        </w:tc>
        <w:tc>
          <w:tcPr>
            <w:tcW w:w="859" w:type="pct"/>
            <w:shd w:val="clear" w:color="auto" w:fill="auto"/>
            <w:noWrap/>
            <w:hideMark/>
          </w:tcPr>
          <w:p w14:paraId="3F53E3D1" w14:textId="77777777" w:rsidR="00CA62D9" w:rsidRPr="00D528BB" w:rsidRDefault="00CA62D9" w:rsidP="00F45E83">
            <w:pPr>
              <w:spacing w:after="0" w:line="240" w:lineRule="auto"/>
              <w:jc w:val="center"/>
            </w:pPr>
            <w:r w:rsidRPr="00D528BB">
              <w:rPr>
                <w:rFonts w:cstheme="minorHAnsi"/>
              </w:rPr>
              <w:t>2087</w:t>
            </w:r>
          </w:p>
        </w:tc>
        <w:tc>
          <w:tcPr>
            <w:tcW w:w="858" w:type="pct"/>
            <w:shd w:val="clear" w:color="auto" w:fill="auto"/>
            <w:noWrap/>
          </w:tcPr>
          <w:p w14:paraId="1057B0EE" w14:textId="77777777" w:rsidR="00CA62D9" w:rsidRPr="00D528BB" w:rsidRDefault="00CA62D9" w:rsidP="00F45E83">
            <w:pPr>
              <w:spacing w:after="0" w:line="240" w:lineRule="auto"/>
              <w:jc w:val="center"/>
              <w:rPr>
                <w:rFonts w:cstheme="minorHAnsi"/>
                <w:color w:val="000000" w:themeColor="text1"/>
              </w:rPr>
            </w:pPr>
            <w:r w:rsidRPr="00D528BB">
              <w:t>3035</w:t>
            </w:r>
          </w:p>
        </w:tc>
      </w:tr>
      <w:tr w:rsidR="00CA62D9" w:rsidRPr="00D528BB" w14:paraId="32BCF9C7" w14:textId="77777777" w:rsidTr="00F45E83">
        <w:trPr>
          <w:trHeight w:val="20"/>
          <w:jc w:val="center"/>
        </w:trPr>
        <w:tc>
          <w:tcPr>
            <w:tcW w:w="3283" w:type="pct"/>
            <w:shd w:val="clear" w:color="auto" w:fill="auto"/>
            <w:noWrap/>
            <w:vAlign w:val="center"/>
            <w:hideMark/>
          </w:tcPr>
          <w:p w14:paraId="0C063A1A" w14:textId="77777777" w:rsidR="00CA62D9" w:rsidRPr="00D528BB" w:rsidRDefault="00CA62D9" w:rsidP="00F45E83">
            <w:pPr>
              <w:spacing w:after="0" w:line="240" w:lineRule="auto"/>
              <w:rPr>
                <w:rFonts w:cstheme="minorHAnsi"/>
                <w:color w:val="000000" w:themeColor="text1"/>
              </w:rPr>
            </w:pPr>
            <w:r w:rsidRPr="00D528BB">
              <w:rPr>
                <w:rFonts w:cstheme="minorHAnsi"/>
                <w:color w:val="000000" w:themeColor="text1"/>
              </w:rPr>
              <w:lastRenderedPageBreak/>
              <w:t>Güvence Bedeli Soba (TL/Konut)</w:t>
            </w:r>
          </w:p>
        </w:tc>
        <w:tc>
          <w:tcPr>
            <w:tcW w:w="859" w:type="pct"/>
            <w:shd w:val="clear" w:color="auto" w:fill="auto"/>
            <w:noWrap/>
            <w:hideMark/>
          </w:tcPr>
          <w:p w14:paraId="65EFBFC0" w14:textId="77777777" w:rsidR="00CA62D9" w:rsidRPr="00D528BB" w:rsidRDefault="00CA62D9" w:rsidP="00F45E83">
            <w:pPr>
              <w:spacing w:after="0" w:line="240" w:lineRule="auto"/>
              <w:jc w:val="center"/>
            </w:pPr>
            <w:r w:rsidRPr="00D528BB">
              <w:rPr>
                <w:rFonts w:cstheme="minorHAnsi"/>
              </w:rPr>
              <w:t>1835</w:t>
            </w:r>
          </w:p>
        </w:tc>
        <w:tc>
          <w:tcPr>
            <w:tcW w:w="858" w:type="pct"/>
            <w:shd w:val="clear" w:color="auto" w:fill="auto"/>
            <w:noWrap/>
          </w:tcPr>
          <w:p w14:paraId="399C0D74" w14:textId="77777777" w:rsidR="00CA62D9" w:rsidRPr="00D528BB" w:rsidRDefault="00CA62D9" w:rsidP="00F45E83">
            <w:pPr>
              <w:spacing w:after="0" w:line="240" w:lineRule="auto"/>
              <w:jc w:val="center"/>
              <w:rPr>
                <w:rFonts w:cstheme="minorHAnsi"/>
                <w:color w:val="000000" w:themeColor="text1"/>
              </w:rPr>
            </w:pPr>
            <w:r w:rsidRPr="00D528BB">
              <w:t>2673</w:t>
            </w:r>
          </w:p>
        </w:tc>
      </w:tr>
      <w:tr w:rsidR="00CA62D9" w:rsidRPr="00D528BB" w14:paraId="603F243B" w14:textId="77777777" w:rsidTr="00F45E83">
        <w:trPr>
          <w:trHeight w:val="20"/>
          <w:jc w:val="center"/>
        </w:trPr>
        <w:tc>
          <w:tcPr>
            <w:tcW w:w="3283" w:type="pct"/>
            <w:shd w:val="clear" w:color="auto" w:fill="auto"/>
            <w:noWrap/>
            <w:vAlign w:val="center"/>
            <w:hideMark/>
          </w:tcPr>
          <w:p w14:paraId="16C70A95" w14:textId="77777777" w:rsidR="00CA62D9" w:rsidRPr="00D528BB" w:rsidRDefault="00CA62D9" w:rsidP="00F45E83">
            <w:pPr>
              <w:spacing w:after="0" w:line="240" w:lineRule="auto"/>
              <w:rPr>
                <w:rFonts w:cstheme="minorHAnsi"/>
                <w:color w:val="000000" w:themeColor="text1"/>
              </w:rPr>
            </w:pPr>
            <w:r w:rsidRPr="00D528BB">
              <w:rPr>
                <w:rFonts w:cstheme="minorHAnsi"/>
                <w:color w:val="000000" w:themeColor="text1"/>
              </w:rPr>
              <w:t>Güvence Bedeli Merkezi Sistem (TL/BBS)</w:t>
            </w:r>
          </w:p>
        </w:tc>
        <w:tc>
          <w:tcPr>
            <w:tcW w:w="859" w:type="pct"/>
            <w:shd w:val="clear" w:color="auto" w:fill="auto"/>
            <w:noWrap/>
            <w:hideMark/>
          </w:tcPr>
          <w:p w14:paraId="6CEDADF3" w14:textId="77777777" w:rsidR="00CA62D9" w:rsidRPr="00D528BB" w:rsidRDefault="00CA62D9" w:rsidP="00F45E83">
            <w:pPr>
              <w:spacing w:after="0" w:line="240" w:lineRule="auto"/>
              <w:jc w:val="center"/>
            </w:pPr>
            <w:r w:rsidRPr="00D528BB">
              <w:rPr>
                <w:rFonts w:cstheme="minorHAnsi"/>
              </w:rPr>
              <w:t>1835</w:t>
            </w:r>
          </w:p>
        </w:tc>
        <w:tc>
          <w:tcPr>
            <w:tcW w:w="858" w:type="pct"/>
            <w:shd w:val="clear" w:color="auto" w:fill="auto"/>
            <w:noWrap/>
          </w:tcPr>
          <w:p w14:paraId="7537297A" w14:textId="77777777" w:rsidR="00CA62D9" w:rsidRPr="00D528BB" w:rsidRDefault="00CA62D9" w:rsidP="00F45E83">
            <w:pPr>
              <w:spacing w:after="0" w:line="240" w:lineRule="auto"/>
              <w:jc w:val="center"/>
              <w:rPr>
                <w:rFonts w:cstheme="minorHAnsi"/>
                <w:color w:val="000000" w:themeColor="text1"/>
              </w:rPr>
            </w:pPr>
            <w:r w:rsidRPr="00D528BB">
              <w:t>2673</w:t>
            </w:r>
          </w:p>
        </w:tc>
      </w:tr>
      <w:tr w:rsidR="00CA62D9" w:rsidRPr="00D528BB" w14:paraId="70632148" w14:textId="77777777" w:rsidTr="00F45E83">
        <w:trPr>
          <w:trHeight w:val="20"/>
          <w:jc w:val="center"/>
        </w:trPr>
        <w:tc>
          <w:tcPr>
            <w:tcW w:w="3283" w:type="pct"/>
            <w:shd w:val="clear" w:color="auto" w:fill="auto"/>
            <w:noWrap/>
            <w:vAlign w:val="center"/>
            <w:hideMark/>
          </w:tcPr>
          <w:p w14:paraId="715DCF76" w14:textId="77777777" w:rsidR="00CA62D9" w:rsidRPr="00D528BB" w:rsidRDefault="00CA62D9" w:rsidP="00F45E83">
            <w:pPr>
              <w:spacing w:after="0" w:line="240" w:lineRule="auto"/>
              <w:rPr>
                <w:rFonts w:cstheme="minorHAnsi"/>
                <w:color w:val="000000" w:themeColor="text1"/>
              </w:rPr>
            </w:pPr>
            <w:r w:rsidRPr="00D528BB">
              <w:rPr>
                <w:rFonts w:cstheme="minorHAnsi"/>
                <w:color w:val="000000" w:themeColor="text1"/>
              </w:rPr>
              <w:t>Güvence Bedeli Ocak (TL)</w:t>
            </w:r>
          </w:p>
        </w:tc>
        <w:tc>
          <w:tcPr>
            <w:tcW w:w="859" w:type="pct"/>
            <w:shd w:val="clear" w:color="auto" w:fill="auto"/>
            <w:noWrap/>
            <w:hideMark/>
          </w:tcPr>
          <w:p w14:paraId="36ECCE84" w14:textId="77777777" w:rsidR="00CA62D9" w:rsidRPr="00D528BB" w:rsidRDefault="00CA62D9" w:rsidP="00F45E83">
            <w:pPr>
              <w:spacing w:after="0" w:line="240" w:lineRule="auto"/>
              <w:jc w:val="center"/>
            </w:pPr>
            <w:r w:rsidRPr="00D528BB">
              <w:rPr>
                <w:rFonts w:cstheme="minorHAnsi"/>
              </w:rPr>
              <w:t>126</w:t>
            </w:r>
          </w:p>
        </w:tc>
        <w:tc>
          <w:tcPr>
            <w:tcW w:w="858" w:type="pct"/>
            <w:shd w:val="clear" w:color="auto" w:fill="auto"/>
            <w:noWrap/>
          </w:tcPr>
          <w:p w14:paraId="35BB601E" w14:textId="77777777" w:rsidR="00CA62D9" w:rsidRPr="00D528BB" w:rsidRDefault="00CA62D9" w:rsidP="00F45E83">
            <w:pPr>
              <w:spacing w:after="0" w:line="240" w:lineRule="auto"/>
              <w:jc w:val="center"/>
              <w:rPr>
                <w:rFonts w:cstheme="minorHAnsi"/>
                <w:color w:val="000000" w:themeColor="text1"/>
              </w:rPr>
            </w:pPr>
            <w:r w:rsidRPr="00D528BB">
              <w:t>181</w:t>
            </w:r>
          </w:p>
        </w:tc>
      </w:tr>
      <w:tr w:rsidR="00CA62D9" w:rsidRPr="00D528BB" w14:paraId="4EE8C365" w14:textId="77777777" w:rsidTr="00F45E83">
        <w:trPr>
          <w:trHeight w:val="20"/>
          <w:jc w:val="center"/>
        </w:trPr>
        <w:tc>
          <w:tcPr>
            <w:tcW w:w="3283" w:type="pct"/>
            <w:shd w:val="clear" w:color="auto" w:fill="auto"/>
            <w:noWrap/>
            <w:vAlign w:val="center"/>
            <w:hideMark/>
          </w:tcPr>
          <w:p w14:paraId="2600C4D0" w14:textId="77777777" w:rsidR="00CA62D9" w:rsidRPr="00D528BB" w:rsidRDefault="00CA62D9" w:rsidP="00F45E83">
            <w:pPr>
              <w:spacing w:after="0" w:line="240" w:lineRule="auto"/>
              <w:rPr>
                <w:rFonts w:cstheme="minorHAnsi"/>
                <w:color w:val="000000" w:themeColor="text1"/>
              </w:rPr>
            </w:pPr>
            <w:r w:rsidRPr="00D528BB">
              <w:rPr>
                <w:rFonts w:cstheme="minorHAnsi"/>
                <w:color w:val="000000" w:themeColor="text1"/>
              </w:rPr>
              <w:t>Güvence Bedeli Şofben (TL)</w:t>
            </w:r>
          </w:p>
        </w:tc>
        <w:tc>
          <w:tcPr>
            <w:tcW w:w="859" w:type="pct"/>
            <w:shd w:val="clear" w:color="auto" w:fill="auto"/>
            <w:noWrap/>
            <w:hideMark/>
          </w:tcPr>
          <w:p w14:paraId="068B2A92" w14:textId="77777777" w:rsidR="00CA62D9" w:rsidRPr="00D528BB" w:rsidRDefault="00CA62D9" w:rsidP="00F45E83">
            <w:pPr>
              <w:spacing w:after="0" w:line="240" w:lineRule="auto"/>
              <w:jc w:val="center"/>
            </w:pPr>
            <w:r w:rsidRPr="00D528BB">
              <w:rPr>
                <w:rFonts w:cstheme="minorHAnsi"/>
              </w:rPr>
              <w:t>252</w:t>
            </w:r>
          </w:p>
        </w:tc>
        <w:tc>
          <w:tcPr>
            <w:tcW w:w="858" w:type="pct"/>
            <w:shd w:val="clear" w:color="auto" w:fill="auto"/>
            <w:noWrap/>
          </w:tcPr>
          <w:p w14:paraId="23ECCFB3" w14:textId="77777777" w:rsidR="00CA62D9" w:rsidRPr="00D528BB" w:rsidRDefault="00CA62D9" w:rsidP="00F45E83">
            <w:pPr>
              <w:spacing w:after="0" w:line="240" w:lineRule="auto"/>
              <w:jc w:val="center"/>
              <w:rPr>
                <w:rFonts w:cstheme="minorHAnsi"/>
                <w:color w:val="000000" w:themeColor="text1"/>
              </w:rPr>
            </w:pPr>
            <w:r w:rsidRPr="00D528BB">
              <w:t>362</w:t>
            </w:r>
          </w:p>
        </w:tc>
      </w:tr>
      <w:tr w:rsidR="00CA62D9" w:rsidRPr="00D528BB" w14:paraId="2285B4B9" w14:textId="77777777" w:rsidTr="00F45E83">
        <w:trPr>
          <w:trHeight w:val="20"/>
          <w:jc w:val="center"/>
        </w:trPr>
        <w:tc>
          <w:tcPr>
            <w:tcW w:w="3283" w:type="pct"/>
            <w:shd w:val="clear" w:color="auto" w:fill="auto"/>
            <w:noWrap/>
            <w:vAlign w:val="center"/>
            <w:hideMark/>
          </w:tcPr>
          <w:p w14:paraId="529CCA77" w14:textId="77777777" w:rsidR="00CA62D9" w:rsidRPr="00D528BB" w:rsidRDefault="00CA62D9" w:rsidP="00F45E83">
            <w:pPr>
              <w:spacing w:after="0" w:line="240" w:lineRule="auto"/>
              <w:rPr>
                <w:rFonts w:cstheme="minorHAnsi"/>
                <w:color w:val="000000" w:themeColor="text1"/>
              </w:rPr>
            </w:pPr>
            <w:r w:rsidRPr="00D528BB">
              <w:rPr>
                <w:rFonts w:cstheme="minorHAnsi"/>
                <w:color w:val="000000" w:themeColor="text1"/>
              </w:rPr>
              <w:t>Ön Ödemeli Sayaç Değişim Bedeli (TL)</w:t>
            </w:r>
          </w:p>
        </w:tc>
        <w:tc>
          <w:tcPr>
            <w:tcW w:w="859" w:type="pct"/>
            <w:shd w:val="clear" w:color="auto" w:fill="auto"/>
            <w:noWrap/>
            <w:hideMark/>
          </w:tcPr>
          <w:p w14:paraId="641009BA" w14:textId="77777777" w:rsidR="00CA62D9" w:rsidRPr="00D528BB" w:rsidRDefault="00CA62D9" w:rsidP="00F45E83">
            <w:pPr>
              <w:spacing w:after="0" w:line="240" w:lineRule="auto"/>
              <w:jc w:val="center"/>
            </w:pPr>
            <w:r w:rsidRPr="00D528BB">
              <w:rPr>
                <w:rFonts w:cstheme="minorHAnsi"/>
              </w:rPr>
              <w:t>1108</w:t>
            </w:r>
          </w:p>
        </w:tc>
        <w:tc>
          <w:tcPr>
            <w:tcW w:w="858" w:type="pct"/>
            <w:shd w:val="clear" w:color="auto" w:fill="auto"/>
            <w:noWrap/>
          </w:tcPr>
          <w:p w14:paraId="5651FDE2" w14:textId="77777777" w:rsidR="00CA62D9" w:rsidRPr="00D528BB" w:rsidRDefault="00CA62D9" w:rsidP="00F45E83">
            <w:pPr>
              <w:spacing w:after="0" w:line="240" w:lineRule="auto"/>
              <w:jc w:val="center"/>
              <w:rPr>
                <w:rFonts w:cstheme="minorHAnsi"/>
                <w:color w:val="000000" w:themeColor="text1"/>
              </w:rPr>
            </w:pPr>
            <w:r w:rsidRPr="00D528BB">
              <w:t>1630</w:t>
            </w:r>
          </w:p>
        </w:tc>
      </w:tr>
      <w:tr w:rsidR="00CA62D9" w:rsidRPr="00D528BB" w14:paraId="17AEA3BD" w14:textId="77777777" w:rsidTr="00F45E83">
        <w:trPr>
          <w:trHeight w:val="20"/>
          <w:jc w:val="center"/>
        </w:trPr>
        <w:tc>
          <w:tcPr>
            <w:tcW w:w="3283" w:type="pct"/>
            <w:shd w:val="clear" w:color="auto" w:fill="auto"/>
            <w:noWrap/>
            <w:vAlign w:val="center"/>
            <w:hideMark/>
          </w:tcPr>
          <w:p w14:paraId="7E72ED14" w14:textId="77777777" w:rsidR="00CA62D9" w:rsidRPr="00D528BB" w:rsidRDefault="00CA62D9" w:rsidP="00F45E83">
            <w:pPr>
              <w:spacing w:after="0" w:line="240" w:lineRule="auto"/>
              <w:rPr>
                <w:rFonts w:cstheme="minorHAnsi"/>
                <w:color w:val="000000" w:themeColor="text1"/>
              </w:rPr>
            </w:pPr>
            <w:r w:rsidRPr="00D528BB">
              <w:rPr>
                <w:rFonts w:cstheme="minorHAnsi"/>
                <w:color w:val="000000" w:themeColor="text1"/>
              </w:rPr>
              <w:t>Sayaç Açma Kapama Bedeli (TL)</w:t>
            </w:r>
          </w:p>
        </w:tc>
        <w:tc>
          <w:tcPr>
            <w:tcW w:w="859" w:type="pct"/>
            <w:shd w:val="clear" w:color="auto" w:fill="auto"/>
            <w:noWrap/>
            <w:hideMark/>
          </w:tcPr>
          <w:p w14:paraId="19FE0A3C" w14:textId="77777777" w:rsidR="00CA62D9" w:rsidRPr="00D528BB" w:rsidRDefault="00CA62D9" w:rsidP="00F45E83">
            <w:pPr>
              <w:spacing w:after="0" w:line="240" w:lineRule="auto"/>
              <w:jc w:val="center"/>
            </w:pPr>
            <w:r w:rsidRPr="00D528BB">
              <w:rPr>
                <w:rFonts w:cstheme="minorHAnsi"/>
              </w:rPr>
              <w:t>107</w:t>
            </w:r>
          </w:p>
        </w:tc>
        <w:tc>
          <w:tcPr>
            <w:tcW w:w="858" w:type="pct"/>
            <w:shd w:val="clear" w:color="auto" w:fill="auto"/>
            <w:noWrap/>
          </w:tcPr>
          <w:p w14:paraId="41DB5DEA" w14:textId="77777777" w:rsidR="00CA62D9" w:rsidRPr="00D528BB" w:rsidRDefault="00CA62D9" w:rsidP="00F45E83">
            <w:pPr>
              <w:spacing w:after="0" w:line="240" w:lineRule="auto"/>
              <w:jc w:val="center"/>
              <w:rPr>
                <w:rFonts w:cstheme="minorHAnsi"/>
                <w:color w:val="000000" w:themeColor="text1"/>
              </w:rPr>
            </w:pPr>
            <w:r w:rsidRPr="00D528BB">
              <w:t>157</w:t>
            </w:r>
          </w:p>
        </w:tc>
      </w:tr>
      <w:tr w:rsidR="00CA62D9" w:rsidRPr="00D528BB" w14:paraId="6EDC9185" w14:textId="77777777" w:rsidTr="00F45E83">
        <w:trPr>
          <w:trHeight w:val="20"/>
          <w:jc w:val="center"/>
        </w:trPr>
        <w:tc>
          <w:tcPr>
            <w:tcW w:w="3283" w:type="pct"/>
            <w:shd w:val="clear" w:color="auto" w:fill="auto"/>
            <w:noWrap/>
            <w:vAlign w:val="center"/>
            <w:hideMark/>
          </w:tcPr>
          <w:p w14:paraId="21CC5950" w14:textId="77777777" w:rsidR="00CA62D9" w:rsidRPr="00D528BB" w:rsidRDefault="00CA62D9" w:rsidP="00F45E83">
            <w:pPr>
              <w:spacing w:after="0" w:line="240" w:lineRule="auto"/>
              <w:rPr>
                <w:rFonts w:cstheme="minorHAnsi"/>
                <w:color w:val="000000" w:themeColor="text1"/>
              </w:rPr>
            </w:pPr>
            <w:r w:rsidRPr="00D528BB">
              <w:rPr>
                <w:rFonts w:cstheme="minorHAnsi"/>
                <w:color w:val="000000" w:themeColor="text1"/>
              </w:rPr>
              <w:t>Servis Kutusu Söküm Bedeli (TL)</w:t>
            </w:r>
          </w:p>
        </w:tc>
        <w:tc>
          <w:tcPr>
            <w:tcW w:w="859" w:type="pct"/>
            <w:shd w:val="clear" w:color="auto" w:fill="auto"/>
            <w:noWrap/>
            <w:hideMark/>
          </w:tcPr>
          <w:p w14:paraId="378B08C3" w14:textId="77777777" w:rsidR="00CA62D9" w:rsidRPr="00D528BB" w:rsidRDefault="00CA62D9" w:rsidP="00F45E83">
            <w:pPr>
              <w:spacing w:after="0" w:line="240" w:lineRule="auto"/>
              <w:jc w:val="center"/>
            </w:pPr>
            <w:r w:rsidRPr="00D528BB">
              <w:rPr>
                <w:rFonts w:cstheme="minorHAnsi"/>
              </w:rPr>
              <w:t>941</w:t>
            </w:r>
          </w:p>
        </w:tc>
        <w:tc>
          <w:tcPr>
            <w:tcW w:w="858" w:type="pct"/>
            <w:shd w:val="clear" w:color="auto" w:fill="auto"/>
            <w:noWrap/>
          </w:tcPr>
          <w:p w14:paraId="6BDBEB3E" w14:textId="77777777" w:rsidR="00CA62D9" w:rsidRPr="00D528BB" w:rsidRDefault="00CA62D9" w:rsidP="00F45E83">
            <w:pPr>
              <w:spacing w:after="0" w:line="240" w:lineRule="auto"/>
              <w:jc w:val="center"/>
              <w:rPr>
                <w:rFonts w:cstheme="minorHAnsi"/>
                <w:color w:val="000000" w:themeColor="text1"/>
              </w:rPr>
            </w:pPr>
            <w:r w:rsidRPr="00D528BB">
              <w:t>1384</w:t>
            </w:r>
          </w:p>
        </w:tc>
      </w:tr>
    </w:tbl>
    <w:p w14:paraId="1EC7A004" w14:textId="77777777" w:rsidR="00CA62D9" w:rsidRPr="00D528BB" w:rsidRDefault="00CA62D9" w:rsidP="00CA62D9">
      <w:pPr>
        <w:keepNext/>
        <w:keepLines/>
        <w:numPr>
          <w:ilvl w:val="2"/>
          <w:numId w:val="11"/>
        </w:numPr>
        <w:spacing w:before="200" w:after="240"/>
        <w:outlineLvl w:val="2"/>
        <w:rPr>
          <w:rFonts w:eastAsiaTheme="majorEastAsia" w:cstheme="majorBidi"/>
          <w:b/>
          <w:bCs/>
          <w:color w:val="000000" w:themeColor="text1"/>
        </w:rPr>
      </w:pPr>
      <w:bookmarkStart w:id="246" w:name="_Toc66267387"/>
      <w:bookmarkStart w:id="247" w:name="_Toc195868729"/>
      <w:r w:rsidRPr="00D528BB">
        <w:rPr>
          <w:rFonts w:eastAsiaTheme="majorEastAsia" w:cstheme="majorBidi"/>
          <w:b/>
          <w:bCs/>
          <w:color w:val="000000" w:themeColor="text1"/>
        </w:rPr>
        <w:t>İç Tesisat Proje Onay, Kontrolörlük, Test ve İşletmeye Alma İşlemleri Bedelleri</w:t>
      </w:r>
      <w:bookmarkEnd w:id="246"/>
      <w:bookmarkEnd w:id="247"/>
    </w:p>
    <w:p w14:paraId="6B52874D" w14:textId="77777777" w:rsidR="00CA62D9" w:rsidRPr="00D528BB" w:rsidRDefault="00CA62D9" w:rsidP="00CA62D9">
      <w:pPr>
        <w:spacing w:after="0"/>
        <w:rPr>
          <w:color w:val="000000" w:themeColor="text1"/>
        </w:rPr>
      </w:pPr>
      <w:r w:rsidRPr="00D528BB">
        <w:rPr>
          <w:color w:val="000000" w:themeColor="text1"/>
        </w:rPr>
        <w:t>Doğal gaz dağıtım şirketlerinin iç tesisat proje onay, kontrolörlük, test ve işletmeye alma işlemleri bedelleri üst sınırlarına ilişkin alınan 26.12.2024 tarihli ve 13155 sayılı Kurul Kararı 31.12.2024 tarihli ve 32769 sayılı Resmî Gazetede yayımlanmıştır. 2024 yılına ilişkin güncellenmiş bedeller Tablo 4.24’te gösterilmektedir.</w:t>
      </w:r>
    </w:p>
    <w:p w14:paraId="581D8A9C" w14:textId="77777777" w:rsidR="00CA62D9" w:rsidRPr="00D528BB" w:rsidRDefault="00CA62D9" w:rsidP="00CA62D9">
      <w:pPr>
        <w:spacing w:after="0"/>
        <w:rPr>
          <w:color w:val="000000" w:themeColor="text1"/>
        </w:rPr>
      </w:pPr>
    </w:p>
    <w:p w14:paraId="005B6369" w14:textId="07035571" w:rsidR="00CA62D9" w:rsidRPr="00DF2CBC" w:rsidRDefault="00DF2CBC" w:rsidP="00DF2CBC">
      <w:pPr>
        <w:pStyle w:val="Balk5"/>
        <w:jc w:val="center"/>
        <w:rPr>
          <w:rStyle w:val="Gl"/>
          <w:color w:val="000000" w:themeColor="text1"/>
        </w:rPr>
      </w:pPr>
      <w:bookmarkStart w:id="248" w:name="_Toc66267490"/>
      <w:bookmarkStart w:id="249" w:name="_Toc195864071"/>
      <w:bookmarkStart w:id="250" w:name="_Toc195868832"/>
      <w:r w:rsidRPr="002048A7">
        <w:rPr>
          <w:rStyle w:val="Gl"/>
          <w:color w:val="000000" w:themeColor="text1"/>
        </w:rPr>
        <w:t>Tablo 4.24: Kurum Tarafından Belirlenen İç Tesisat Proje Onay, Kontrol, Test ve İşletmeye Alma Üst Bedelleri</w:t>
      </w:r>
      <w:bookmarkEnd w:id="248"/>
      <w:bookmarkEnd w:id="249"/>
      <w:bookmarkEnd w:id="250"/>
    </w:p>
    <w:tbl>
      <w:tblPr>
        <w:tblW w:w="4156"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4190"/>
        <w:gridCol w:w="1953"/>
        <w:gridCol w:w="2096"/>
      </w:tblGrid>
      <w:tr w:rsidR="00CA62D9" w:rsidRPr="00D528BB" w14:paraId="2AF8D7C4" w14:textId="77777777" w:rsidTr="00F45E83">
        <w:trPr>
          <w:trHeight w:val="315"/>
          <w:jc w:val="center"/>
        </w:trPr>
        <w:tc>
          <w:tcPr>
            <w:tcW w:w="2543" w:type="pct"/>
            <w:shd w:val="clear" w:color="auto" w:fill="548DD4" w:themeFill="text2" w:themeFillTint="99"/>
            <w:vAlign w:val="center"/>
            <w:hideMark/>
          </w:tcPr>
          <w:p w14:paraId="4D01535D" w14:textId="77777777" w:rsidR="00CA62D9" w:rsidRPr="00D528BB" w:rsidRDefault="00CA62D9" w:rsidP="00F45E83">
            <w:pPr>
              <w:jc w:val="left"/>
              <w:rPr>
                <w:rFonts w:cstheme="minorHAnsi"/>
                <w:b/>
                <w:bCs/>
                <w:color w:val="FFFFFF" w:themeColor="background1"/>
              </w:rPr>
            </w:pPr>
            <w:r w:rsidRPr="00D528BB">
              <w:rPr>
                <w:rFonts w:cstheme="minorHAnsi"/>
                <w:b/>
                <w:bCs/>
                <w:color w:val="FFFFFF" w:themeColor="background1"/>
              </w:rPr>
              <w:t>İÇ TESİSAT İŞLEM BEDELLERİ</w:t>
            </w:r>
          </w:p>
        </w:tc>
        <w:tc>
          <w:tcPr>
            <w:tcW w:w="1185" w:type="pct"/>
            <w:shd w:val="clear" w:color="auto" w:fill="548DD4" w:themeFill="text2" w:themeFillTint="99"/>
            <w:noWrap/>
            <w:vAlign w:val="center"/>
            <w:hideMark/>
          </w:tcPr>
          <w:p w14:paraId="46E7F4AC" w14:textId="77777777" w:rsidR="00CA62D9" w:rsidRPr="00D528BB" w:rsidRDefault="00CA62D9" w:rsidP="00F45E83">
            <w:pPr>
              <w:jc w:val="center"/>
              <w:rPr>
                <w:rFonts w:cstheme="minorHAnsi"/>
                <w:b/>
                <w:bCs/>
                <w:color w:val="FFFFFF" w:themeColor="background1"/>
              </w:rPr>
            </w:pPr>
            <w:r w:rsidRPr="00D528BB">
              <w:rPr>
                <w:rFonts w:cstheme="minorHAnsi"/>
                <w:b/>
                <w:bCs/>
                <w:color w:val="FFFFFF" w:themeColor="background1"/>
              </w:rPr>
              <w:t>2024</w:t>
            </w:r>
          </w:p>
        </w:tc>
        <w:tc>
          <w:tcPr>
            <w:tcW w:w="1272" w:type="pct"/>
            <w:shd w:val="clear" w:color="auto" w:fill="548DD4" w:themeFill="text2" w:themeFillTint="99"/>
            <w:noWrap/>
            <w:vAlign w:val="center"/>
            <w:hideMark/>
          </w:tcPr>
          <w:p w14:paraId="4BA24333" w14:textId="77777777" w:rsidR="00CA62D9" w:rsidRPr="00D528BB" w:rsidRDefault="00CA62D9" w:rsidP="00F45E83">
            <w:pPr>
              <w:jc w:val="center"/>
              <w:rPr>
                <w:rFonts w:cstheme="minorHAnsi"/>
                <w:b/>
                <w:bCs/>
                <w:color w:val="FFFFFF" w:themeColor="background1"/>
              </w:rPr>
            </w:pPr>
            <w:r w:rsidRPr="00D528BB">
              <w:rPr>
                <w:rFonts w:cstheme="minorHAnsi"/>
                <w:b/>
                <w:bCs/>
                <w:color w:val="FFFFFF" w:themeColor="background1"/>
              </w:rPr>
              <w:t>2025</w:t>
            </w:r>
          </w:p>
        </w:tc>
      </w:tr>
      <w:tr w:rsidR="00CA62D9" w:rsidRPr="00D528BB" w14:paraId="522E3E3F" w14:textId="77777777" w:rsidTr="00F45E83">
        <w:trPr>
          <w:trHeight w:val="330"/>
          <w:jc w:val="center"/>
        </w:trPr>
        <w:tc>
          <w:tcPr>
            <w:tcW w:w="2543" w:type="pct"/>
            <w:shd w:val="clear" w:color="auto" w:fill="auto"/>
            <w:noWrap/>
            <w:vAlign w:val="center"/>
            <w:hideMark/>
          </w:tcPr>
          <w:p w14:paraId="277A44AF" w14:textId="77777777" w:rsidR="00CA62D9" w:rsidRPr="00D528BB" w:rsidRDefault="00CA62D9" w:rsidP="00F45E83">
            <w:pPr>
              <w:spacing w:after="0" w:line="240" w:lineRule="auto"/>
              <w:rPr>
                <w:color w:val="000000" w:themeColor="text1"/>
              </w:rPr>
            </w:pPr>
            <w:r w:rsidRPr="00D528BB">
              <w:rPr>
                <w:color w:val="000000" w:themeColor="text1"/>
              </w:rPr>
              <w:t>SAYAÇ TİPİ</w:t>
            </w:r>
          </w:p>
        </w:tc>
        <w:tc>
          <w:tcPr>
            <w:tcW w:w="1185" w:type="pct"/>
            <w:shd w:val="clear" w:color="auto" w:fill="auto"/>
            <w:noWrap/>
            <w:vAlign w:val="center"/>
            <w:hideMark/>
          </w:tcPr>
          <w:p w14:paraId="18A9B62F" w14:textId="77777777" w:rsidR="00CA62D9" w:rsidRPr="00D528BB" w:rsidRDefault="00CA62D9" w:rsidP="00F45E83">
            <w:pPr>
              <w:spacing w:after="0" w:line="240" w:lineRule="auto"/>
              <w:rPr>
                <w:color w:val="000000" w:themeColor="text1"/>
              </w:rPr>
            </w:pPr>
            <w:r w:rsidRPr="00D528BB">
              <w:rPr>
                <w:color w:val="000000" w:themeColor="text1"/>
              </w:rPr>
              <w:t> </w:t>
            </w:r>
          </w:p>
        </w:tc>
        <w:tc>
          <w:tcPr>
            <w:tcW w:w="1272" w:type="pct"/>
            <w:shd w:val="clear" w:color="auto" w:fill="auto"/>
            <w:noWrap/>
            <w:vAlign w:val="center"/>
            <w:hideMark/>
          </w:tcPr>
          <w:p w14:paraId="41BEDCED" w14:textId="77777777" w:rsidR="00CA62D9" w:rsidRPr="00D528BB" w:rsidRDefault="00CA62D9" w:rsidP="00F45E83">
            <w:pPr>
              <w:spacing w:after="0" w:line="240" w:lineRule="auto"/>
              <w:jc w:val="center"/>
              <w:rPr>
                <w:color w:val="000000" w:themeColor="text1"/>
              </w:rPr>
            </w:pPr>
            <w:r w:rsidRPr="00D528BB">
              <w:rPr>
                <w:color w:val="000000" w:themeColor="text1"/>
              </w:rPr>
              <w:t> </w:t>
            </w:r>
          </w:p>
        </w:tc>
      </w:tr>
      <w:tr w:rsidR="00CA62D9" w:rsidRPr="00D528BB" w14:paraId="03DAFE13" w14:textId="77777777" w:rsidTr="00F45E83">
        <w:trPr>
          <w:trHeight w:val="330"/>
          <w:jc w:val="center"/>
        </w:trPr>
        <w:tc>
          <w:tcPr>
            <w:tcW w:w="2543" w:type="pct"/>
            <w:shd w:val="clear" w:color="auto" w:fill="auto"/>
            <w:noWrap/>
            <w:vAlign w:val="center"/>
            <w:hideMark/>
          </w:tcPr>
          <w:p w14:paraId="5316E209" w14:textId="77777777" w:rsidR="00CA62D9" w:rsidRPr="00D528BB" w:rsidRDefault="00CA62D9" w:rsidP="00F45E83">
            <w:pPr>
              <w:spacing w:after="0" w:line="240" w:lineRule="auto"/>
              <w:rPr>
                <w:color w:val="000000" w:themeColor="text1"/>
              </w:rPr>
            </w:pPr>
            <w:r w:rsidRPr="00D528BB">
              <w:rPr>
                <w:color w:val="000000" w:themeColor="text1"/>
              </w:rPr>
              <w:t>G4, G6 (TL/Adet)</w:t>
            </w:r>
          </w:p>
        </w:tc>
        <w:tc>
          <w:tcPr>
            <w:tcW w:w="1185" w:type="pct"/>
            <w:shd w:val="clear" w:color="auto" w:fill="auto"/>
            <w:noWrap/>
            <w:hideMark/>
          </w:tcPr>
          <w:p w14:paraId="2FEA435F" w14:textId="77777777" w:rsidR="00CA62D9" w:rsidRPr="00D528BB" w:rsidRDefault="00CA62D9" w:rsidP="00F45E83">
            <w:pPr>
              <w:spacing w:after="0" w:line="240" w:lineRule="auto"/>
              <w:jc w:val="center"/>
              <w:rPr>
                <w:color w:val="000000" w:themeColor="text1"/>
              </w:rPr>
            </w:pPr>
            <w:r w:rsidRPr="00D528BB">
              <w:t>188</w:t>
            </w:r>
          </w:p>
        </w:tc>
        <w:tc>
          <w:tcPr>
            <w:tcW w:w="1272" w:type="pct"/>
            <w:shd w:val="clear" w:color="auto" w:fill="auto"/>
            <w:noWrap/>
            <w:hideMark/>
          </w:tcPr>
          <w:p w14:paraId="49274DA8" w14:textId="77777777" w:rsidR="00CA62D9" w:rsidRPr="00D528BB" w:rsidRDefault="00CA62D9" w:rsidP="00F45E83">
            <w:pPr>
              <w:spacing w:after="0" w:line="240" w:lineRule="auto"/>
              <w:jc w:val="center"/>
              <w:rPr>
                <w:color w:val="000000" w:themeColor="text1"/>
              </w:rPr>
            </w:pPr>
            <w:r w:rsidRPr="00D528BB">
              <w:t>277</w:t>
            </w:r>
          </w:p>
        </w:tc>
      </w:tr>
      <w:tr w:rsidR="00CA62D9" w:rsidRPr="00D528BB" w14:paraId="175DD2FB" w14:textId="77777777" w:rsidTr="00F45E83">
        <w:trPr>
          <w:trHeight w:val="330"/>
          <w:jc w:val="center"/>
        </w:trPr>
        <w:tc>
          <w:tcPr>
            <w:tcW w:w="2543" w:type="pct"/>
            <w:shd w:val="clear" w:color="auto" w:fill="auto"/>
            <w:noWrap/>
            <w:vAlign w:val="center"/>
            <w:hideMark/>
          </w:tcPr>
          <w:p w14:paraId="0351E2CB" w14:textId="77777777" w:rsidR="00CA62D9" w:rsidRPr="00D528BB" w:rsidRDefault="00CA62D9" w:rsidP="00F45E83">
            <w:pPr>
              <w:spacing w:after="0" w:line="240" w:lineRule="auto"/>
              <w:rPr>
                <w:color w:val="000000" w:themeColor="text1"/>
              </w:rPr>
            </w:pPr>
            <w:r w:rsidRPr="00D528BB">
              <w:rPr>
                <w:color w:val="000000" w:themeColor="text1"/>
              </w:rPr>
              <w:t>G10, G16, G25 (TL/Adet)</w:t>
            </w:r>
          </w:p>
        </w:tc>
        <w:tc>
          <w:tcPr>
            <w:tcW w:w="1185" w:type="pct"/>
            <w:shd w:val="clear" w:color="auto" w:fill="auto"/>
            <w:noWrap/>
            <w:hideMark/>
          </w:tcPr>
          <w:p w14:paraId="77762896" w14:textId="77777777" w:rsidR="00CA62D9" w:rsidRPr="00D528BB" w:rsidRDefault="00CA62D9" w:rsidP="00F45E83">
            <w:pPr>
              <w:spacing w:after="0" w:line="240" w:lineRule="auto"/>
              <w:jc w:val="center"/>
              <w:rPr>
                <w:color w:val="000000" w:themeColor="text1"/>
              </w:rPr>
            </w:pPr>
            <w:r w:rsidRPr="00D528BB">
              <w:t>353</w:t>
            </w:r>
          </w:p>
        </w:tc>
        <w:tc>
          <w:tcPr>
            <w:tcW w:w="1272" w:type="pct"/>
            <w:shd w:val="clear" w:color="auto" w:fill="auto"/>
            <w:noWrap/>
          </w:tcPr>
          <w:p w14:paraId="0AFFEE18" w14:textId="77777777" w:rsidR="00CA62D9" w:rsidRPr="00D528BB" w:rsidRDefault="00CA62D9" w:rsidP="00F45E83">
            <w:pPr>
              <w:spacing w:after="0" w:line="240" w:lineRule="auto"/>
              <w:jc w:val="center"/>
              <w:rPr>
                <w:color w:val="000000" w:themeColor="text1"/>
              </w:rPr>
            </w:pPr>
            <w:r w:rsidRPr="00D528BB">
              <w:t>519</w:t>
            </w:r>
          </w:p>
        </w:tc>
      </w:tr>
      <w:tr w:rsidR="00CA62D9" w:rsidRPr="00D528BB" w14:paraId="48FE6A2C" w14:textId="77777777" w:rsidTr="00F45E83">
        <w:trPr>
          <w:trHeight w:val="330"/>
          <w:jc w:val="center"/>
        </w:trPr>
        <w:tc>
          <w:tcPr>
            <w:tcW w:w="2543" w:type="pct"/>
            <w:shd w:val="clear" w:color="auto" w:fill="auto"/>
            <w:noWrap/>
            <w:vAlign w:val="center"/>
            <w:hideMark/>
          </w:tcPr>
          <w:p w14:paraId="0573ACDF" w14:textId="77777777" w:rsidR="00CA62D9" w:rsidRPr="00D528BB" w:rsidRDefault="00CA62D9" w:rsidP="00F45E83">
            <w:pPr>
              <w:spacing w:after="0" w:line="240" w:lineRule="auto"/>
              <w:rPr>
                <w:color w:val="000000" w:themeColor="text1"/>
              </w:rPr>
            </w:pPr>
            <w:r w:rsidRPr="00D528BB">
              <w:rPr>
                <w:color w:val="000000" w:themeColor="text1"/>
              </w:rPr>
              <w:t>G40, G65, G100 (TL/Adet)</w:t>
            </w:r>
          </w:p>
        </w:tc>
        <w:tc>
          <w:tcPr>
            <w:tcW w:w="1185" w:type="pct"/>
            <w:shd w:val="clear" w:color="auto" w:fill="auto"/>
            <w:noWrap/>
            <w:hideMark/>
          </w:tcPr>
          <w:p w14:paraId="41BB97A4" w14:textId="77777777" w:rsidR="00CA62D9" w:rsidRPr="00D528BB" w:rsidRDefault="00CA62D9" w:rsidP="00F45E83">
            <w:pPr>
              <w:spacing w:after="0" w:line="240" w:lineRule="auto"/>
              <w:jc w:val="center"/>
              <w:rPr>
                <w:color w:val="000000" w:themeColor="text1"/>
              </w:rPr>
            </w:pPr>
            <w:r w:rsidRPr="00D528BB">
              <w:t>701</w:t>
            </w:r>
          </w:p>
        </w:tc>
        <w:tc>
          <w:tcPr>
            <w:tcW w:w="1272" w:type="pct"/>
            <w:shd w:val="clear" w:color="auto" w:fill="auto"/>
            <w:noWrap/>
          </w:tcPr>
          <w:p w14:paraId="54B543FF" w14:textId="77777777" w:rsidR="00CA62D9" w:rsidRPr="00D528BB" w:rsidRDefault="00CA62D9" w:rsidP="00F45E83">
            <w:pPr>
              <w:spacing w:after="0" w:line="240" w:lineRule="auto"/>
              <w:jc w:val="center"/>
              <w:rPr>
                <w:color w:val="000000" w:themeColor="text1"/>
              </w:rPr>
            </w:pPr>
            <w:r w:rsidRPr="00D528BB">
              <w:t>1031</w:t>
            </w:r>
          </w:p>
        </w:tc>
      </w:tr>
      <w:tr w:rsidR="00CA62D9" w:rsidRPr="00D528BB" w14:paraId="1E872896" w14:textId="77777777" w:rsidTr="00F45E83">
        <w:trPr>
          <w:trHeight w:val="330"/>
          <w:jc w:val="center"/>
        </w:trPr>
        <w:tc>
          <w:tcPr>
            <w:tcW w:w="2543" w:type="pct"/>
            <w:shd w:val="clear" w:color="auto" w:fill="auto"/>
            <w:noWrap/>
            <w:vAlign w:val="center"/>
            <w:hideMark/>
          </w:tcPr>
          <w:p w14:paraId="633C0056" w14:textId="77777777" w:rsidR="00CA62D9" w:rsidRPr="00D528BB" w:rsidRDefault="00CA62D9" w:rsidP="00F45E83">
            <w:pPr>
              <w:spacing w:after="0" w:line="240" w:lineRule="auto"/>
              <w:rPr>
                <w:color w:val="000000" w:themeColor="text1"/>
              </w:rPr>
            </w:pPr>
            <w:r w:rsidRPr="00D528BB">
              <w:rPr>
                <w:color w:val="000000" w:themeColor="text1"/>
              </w:rPr>
              <w:t>G160, G250, G400 (TL/Adet)</w:t>
            </w:r>
          </w:p>
        </w:tc>
        <w:tc>
          <w:tcPr>
            <w:tcW w:w="1185" w:type="pct"/>
            <w:shd w:val="clear" w:color="auto" w:fill="auto"/>
            <w:noWrap/>
            <w:hideMark/>
          </w:tcPr>
          <w:p w14:paraId="0FE5C1BB" w14:textId="77777777" w:rsidR="00CA62D9" w:rsidRPr="00D528BB" w:rsidRDefault="00CA62D9" w:rsidP="00F45E83">
            <w:pPr>
              <w:spacing w:after="0" w:line="240" w:lineRule="auto"/>
              <w:jc w:val="center"/>
              <w:rPr>
                <w:color w:val="000000" w:themeColor="text1"/>
              </w:rPr>
            </w:pPr>
            <w:r w:rsidRPr="00D528BB">
              <w:t>1069</w:t>
            </w:r>
          </w:p>
        </w:tc>
        <w:tc>
          <w:tcPr>
            <w:tcW w:w="1272" w:type="pct"/>
            <w:shd w:val="clear" w:color="auto" w:fill="auto"/>
            <w:noWrap/>
          </w:tcPr>
          <w:p w14:paraId="7C45D847" w14:textId="77777777" w:rsidR="00CA62D9" w:rsidRPr="00D528BB" w:rsidRDefault="00CA62D9" w:rsidP="00F45E83">
            <w:pPr>
              <w:spacing w:after="0" w:line="240" w:lineRule="auto"/>
              <w:jc w:val="center"/>
              <w:rPr>
                <w:color w:val="000000" w:themeColor="text1"/>
              </w:rPr>
            </w:pPr>
            <w:r w:rsidRPr="00D528BB">
              <w:t>1572</w:t>
            </w:r>
          </w:p>
        </w:tc>
      </w:tr>
      <w:tr w:rsidR="00CA62D9" w:rsidRPr="00D528BB" w14:paraId="2D1F6914" w14:textId="77777777" w:rsidTr="00F45E83">
        <w:trPr>
          <w:trHeight w:val="330"/>
          <w:jc w:val="center"/>
        </w:trPr>
        <w:tc>
          <w:tcPr>
            <w:tcW w:w="2543" w:type="pct"/>
            <w:shd w:val="clear" w:color="auto" w:fill="auto"/>
            <w:noWrap/>
            <w:vAlign w:val="center"/>
            <w:hideMark/>
          </w:tcPr>
          <w:p w14:paraId="422CC1A8" w14:textId="77777777" w:rsidR="00CA62D9" w:rsidRPr="00D528BB" w:rsidRDefault="00CA62D9" w:rsidP="00F45E83">
            <w:pPr>
              <w:spacing w:after="0" w:line="240" w:lineRule="auto"/>
              <w:rPr>
                <w:color w:val="000000" w:themeColor="text1"/>
              </w:rPr>
            </w:pPr>
            <w:r w:rsidRPr="00D528BB">
              <w:rPr>
                <w:color w:val="000000" w:themeColor="text1"/>
              </w:rPr>
              <w:t>G400’den büyük (TL/Adet)</w:t>
            </w:r>
          </w:p>
        </w:tc>
        <w:tc>
          <w:tcPr>
            <w:tcW w:w="1185" w:type="pct"/>
            <w:shd w:val="clear" w:color="auto" w:fill="auto"/>
            <w:noWrap/>
            <w:hideMark/>
          </w:tcPr>
          <w:p w14:paraId="4A0E2897" w14:textId="77777777" w:rsidR="00CA62D9" w:rsidRPr="00D528BB" w:rsidRDefault="00CA62D9" w:rsidP="00F45E83">
            <w:pPr>
              <w:spacing w:after="0" w:line="240" w:lineRule="auto"/>
              <w:jc w:val="center"/>
              <w:rPr>
                <w:color w:val="000000" w:themeColor="text1"/>
              </w:rPr>
            </w:pPr>
            <w:r w:rsidRPr="00D528BB">
              <w:t>1440</w:t>
            </w:r>
          </w:p>
        </w:tc>
        <w:tc>
          <w:tcPr>
            <w:tcW w:w="1272" w:type="pct"/>
            <w:shd w:val="clear" w:color="auto" w:fill="auto"/>
            <w:noWrap/>
          </w:tcPr>
          <w:p w14:paraId="1C380B8A" w14:textId="77777777" w:rsidR="00CA62D9" w:rsidRPr="00D528BB" w:rsidRDefault="00CA62D9" w:rsidP="00F45E83">
            <w:pPr>
              <w:spacing w:after="0" w:line="240" w:lineRule="auto"/>
              <w:jc w:val="center"/>
              <w:rPr>
                <w:color w:val="000000" w:themeColor="text1"/>
              </w:rPr>
            </w:pPr>
            <w:r w:rsidRPr="00D528BB">
              <w:t>2118</w:t>
            </w:r>
          </w:p>
        </w:tc>
      </w:tr>
      <w:tr w:rsidR="00CA62D9" w:rsidRPr="00D528BB" w14:paraId="055002C2" w14:textId="77777777" w:rsidTr="00F45E83">
        <w:trPr>
          <w:trHeight w:val="330"/>
          <w:jc w:val="center"/>
        </w:trPr>
        <w:tc>
          <w:tcPr>
            <w:tcW w:w="2543" w:type="pct"/>
            <w:shd w:val="clear" w:color="auto" w:fill="auto"/>
            <w:noWrap/>
            <w:vAlign w:val="center"/>
            <w:hideMark/>
          </w:tcPr>
          <w:p w14:paraId="290EE3BB" w14:textId="77777777" w:rsidR="00CA62D9" w:rsidRPr="00D528BB" w:rsidRDefault="00CA62D9" w:rsidP="00F45E83">
            <w:pPr>
              <w:spacing w:after="0" w:line="240" w:lineRule="auto"/>
              <w:rPr>
                <w:color w:val="000000" w:themeColor="text1"/>
              </w:rPr>
            </w:pPr>
            <w:r w:rsidRPr="00D528BB">
              <w:rPr>
                <w:color w:val="000000" w:themeColor="text1"/>
              </w:rPr>
              <w:t>Kolon Hattı (TL/Proje)</w:t>
            </w:r>
          </w:p>
        </w:tc>
        <w:tc>
          <w:tcPr>
            <w:tcW w:w="1185" w:type="pct"/>
            <w:shd w:val="clear" w:color="auto" w:fill="auto"/>
            <w:noWrap/>
            <w:hideMark/>
          </w:tcPr>
          <w:p w14:paraId="3B435101" w14:textId="77777777" w:rsidR="00CA62D9" w:rsidRPr="00D528BB" w:rsidRDefault="00CA62D9" w:rsidP="00F45E83">
            <w:pPr>
              <w:spacing w:after="0" w:line="240" w:lineRule="auto"/>
              <w:jc w:val="center"/>
              <w:rPr>
                <w:color w:val="000000" w:themeColor="text1"/>
              </w:rPr>
            </w:pPr>
            <w:r w:rsidRPr="00D528BB">
              <w:t>188</w:t>
            </w:r>
          </w:p>
        </w:tc>
        <w:tc>
          <w:tcPr>
            <w:tcW w:w="1272" w:type="pct"/>
            <w:shd w:val="clear" w:color="auto" w:fill="auto"/>
            <w:noWrap/>
          </w:tcPr>
          <w:p w14:paraId="20876590" w14:textId="77777777" w:rsidR="00CA62D9" w:rsidRPr="00D528BB" w:rsidRDefault="00CA62D9" w:rsidP="00F45E83">
            <w:pPr>
              <w:spacing w:after="0" w:line="240" w:lineRule="auto"/>
              <w:jc w:val="center"/>
              <w:rPr>
                <w:color w:val="000000" w:themeColor="text1"/>
              </w:rPr>
            </w:pPr>
            <w:r w:rsidRPr="00D528BB">
              <w:t>277</w:t>
            </w:r>
          </w:p>
        </w:tc>
      </w:tr>
      <w:tr w:rsidR="00CA62D9" w:rsidRPr="00D528BB" w14:paraId="038795B1" w14:textId="77777777" w:rsidTr="00F45E83">
        <w:trPr>
          <w:trHeight w:val="330"/>
          <w:jc w:val="center"/>
        </w:trPr>
        <w:tc>
          <w:tcPr>
            <w:tcW w:w="2543" w:type="pct"/>
            <w:shd w:val="clear" w:color="auto" w:fill="auto"/>
            <w:noWrap/>
            <w:vAlign w:val="center"/>
          </w:tcPr>
          <w:p w14:paraId="69867DDA" w14:textId="77777777" w:rsidR="00CA62D9" w:rsidRPr="00D528BB" w:rsidRDefault="00CA62D9" w:rsidP="00F45E83">
            <w:pPr>
              <w:spacing w:after="0" w:line="240" w:lineRule="auto"/>
              <w:rPr>
                <w:color w:val="000000" w:themeColor="text1"/>
              </w:rPr>
            </w:pPr>
            <w:r w:rsidRPr="00D528BB">
              <w:rPr>
                <w:color w:val="000000" w:themeColor="text1"/>
              </w:rPr>
              <w:t>Ön Proje (TL/Proje)</w:t>
            </w:r>
          </w:p>
        </w:tc>
        <w:tc>
          <w:tcPr>
            <w:tcW w:w="1185" w:type="pct"/>
            <w:shd w:val="clear" w:color="auto" w:fill="auto"/>
            <w:noWrap/>
          </w:tcPr>
          <w:p w14:paraId="679708EE" w14:textId="77777777" w:rsidR="00CA62D9" w:rsidRPr="00D528BB" w:rsidRDefault="00CA62D9" w:rsidP="00F45E83">
            <w:pPr>
              <w:spacing w:after="0" w:line="240" w:lineRule="auto"/>
              <w:jc w:val="center"/>
              <w:rPr>
                <w:color w:val="000000" w:themeColor="text1"/>
              </w:rPr>
            </w:pPr>
            <w:r w:rsidRPr="00D528BB">
              <w:t>63</w:t>
            </w:r>
          </w:p>
        </w:tc>
        <w:tc>
          <w:tcPr>
            <w:tcW w:w="1272" w:type="pct"/>
            <w:shd w:val="clear" w:color="auto" w:fill="auto"/>
            <w:noWrap/>
          </w:tcPr>
          <w:p w14:paraId="283E9284" w14:textId="77777777" w:rsidR="00CA62D9" w:rsidRPr="00D528BB" w:rsidRDefault="00CA62D9" w:rsidP="00F45E83">
            <w:pPr>
              <w:spacing w:after="0" w:line="240" w:lineRule="auto"/>
              <w:jc w:val="center"/>
            </w:pPr>
            <w:r w:rsidRPr="00D528BB">
              <w:t>92</w:t>
            </w:r>
          </w:p>
        </w:tc>
      </w:tr>
    </w:tbl>
    <w:p w14:paraId="03866293" w14:textId="77777777" w:rsidR="00CA62D9" w:rsidRPr="002048A7" w:rsidRDefault="00CA62D9" w:rsidP="00CA62D9">
      <w:pPr>
        <w:pStyle w:val="Balk3"/>
        <w:numPr>
          <w:ilvl w:val="2"/>
          <w:numId w:val="11"/>
        </w:numPr>
        <w:spacing w:after="240"/>
        <w:rPr>
          <w:rFonts w:asciiTheme="minorHAnsi" w:hAnsiTheme="minorHAnsi"/>
          <w:color w:val="000000" w:themeColor="text1"/>
        </w:rPr>
      </w:pPr>
      <w:bookmarkStart w:id="251" w:name="_Toc195868730"/>
      <w:r w:rsidRPr="002048A7">
        <w:rPr>
          <w:rFonts w:asciiTheme="minorHAnsi" w:hAnsiTheme="minorHAnsi"/>
          <w:color w:val="000000" w:themeColor="text1"/>
        </w:rPr>
        <w:t>Toptan Satış Tarifeleri</w:t>
      </w:r>
      <w:bookmarkEnd w:id="242"/>
      <w:bookmarkEnd w:id="251"/>
    </w:p>
    <w:p w14:paraId="55804884" w14:textId="77777777" w:rsidR="00CA62D9" w:rsidRDefault="00CA62D9" w:rsidP="00CA62D9">
      <w:pPr>
        <w:spacing w:after="240"/>
        <w:rPr>
          <w:color w:val="000000" w:themeColor="text1"/>
        </w:rPr>
      </w:pPr>
      <w:r w:rsidRPr="002048A7">
        <w:rPr>
          <w:color w:val="000000" w:themeColor="text1"/>
        </w:rPr>
        <w:t>22.12.2011 tarihli ve 3577 sayılı Kurul Kararı ile 01.01.2012 tarihinden itibaren bu konuda yeni bir düzenleme yapılıncaya kadar uygulanmak üzere, doğal gaz toptan satış fiyatlarının taraflar arasında serbestçe belirlenmesi kararlaştırılmış olup söz konusu uygulama halen devam etmektedir.</w:t>
      </w:r>
    </w:p>
    <w:p w14:paraId="356AC2C0" w14:textId="77777777" w:rsidR="00CA62D9" w:rsidRPr="002048A7" w:rsidRDefault="00CA62D9" w:rsidP="00CA62D9">
      <w:pPr>
        <w:pStyle w:val="Balk3"/>
        <w:numPr>
          <w:ilvl w:val="2"/>
          <w:numId w:val="11"/>
        </w:numPr>
        <w:spacing w:after="240"/>
        <w:rPr>
          <w:rFonts w:asciiTheme="minorHAnsi" w:hAnsiTheme="minorHAnsi"/>
          <w:color w:val="000000" w:themeColor="text1"/>
        </w:rPr>
      </w:pPr>
      <w:bookmarkStart w:id="252" w:name="_Toc66267389"/>
      <w:bookmarkStart w:id="253" w:name="_Toc195868731"/>
      <w:r w:rsidRPr="002048A7">
        <w:rPr>
          <w:rFonts w:asciiTheme="minorHAnsi" w:hAnsiTheme="minorHAnsi"/>
          <w:color w:val="000000" w:themeColor="text1"/>
        </w:rPr>
        <w:t>Perakende Satış Tarifeleri</w:t>
      </w:r>
      <w:bookmarkEnd w:id="252"/>
      <w:bookmarkEnd w:id="253"/>
    </w:p>
    <w:p w14:paraId="2541FA8A" w14:textId="34A31F1D" w:rsidR="00CA62D9" w:rsidRPr="00AD7ADA" w:rsidRDefault="00CA62D9" w:rsidP="00CA62D9">
      <w:pPr>
        <w:spacing w:line="240" w:lineRule="auto"/>
        <w:rPr>
          <w:color w:val="000000" w:themeColor="text1"/>
        </w:rPr>
      </w:pPr>
      <w:bookmarkStart w:id="254" w:name="_Toc66267491"/>
      <w:r>
        <w:rPr>
          <w:color w:val="000000" w:themeColor="text1"/>
        </w:rPr>
        <w:t>2024 yılında</w:t>
      </w:r>
      <w:bookmarkStart w:id="255" w:name="_Hlk98857086"/>
      <w:r>
        <w:rPr>
          <w:color w:val="000000" w:themeColor="text1"/>
        </w:rPr>
        <w:t xml:space="preserve"> </w:t>
      </w:r>
      <w:bookmarkEnd w:id="255"/>
      <w:r>
        <w:rPr>
          <w:bCs/>
          <w:color w:val="000000" w:themeColor="text1"/>
        </w:rPr>
        <w:t xml:space="preserve">19 </w:t>
      </w:r>
      <w:r w:rsidRPr="002048A7">
        <w:rPr>
          <w:color w:val="000000" w:themeColor="text1"/>
        </w:rPr>
        <w:t>doğal gaz dağıtım şirketi için üçüncü uygulama dönemi perak</w:t>
      </w:r>
      <w:r>
        <w:rPr>
          <w:color w:val="000000" w:themeColor="text1"/>
        </w:rPr>
        <w:t xml:space="preserve">ende satış tarifeleri revize edilerek </w:t>
      </w:r>
      <w:r w:rsidRPr="002048A7">
        <w:rPr>
          <w:color w:val="000000" w:themeColor="text1"/>
        </w:rPr>
        <w:t>aşağıda belirtilen Kurul Kararları alınmıştır.</w:t>
      </w:r>
    </w:p>
    <w:p w14:paraId="6F355181" w14:textId="77777777" w:rsidR="00CA62D9" w:rsidRDefault="00CA62D9" w:rsidP="00CA62D9">
      <w:pPr>
        <w:spacing w:line="240" w:lineRule="auto"/>
        <w:rPr>
          <w:color w:val="000000" w:themeColor="text1"/>
        </w:rPr>
      </w:pPr>
    </w:p>
    <w:p w14:paraId="6B84A5BE" w14:textId="77777777" w:rsidR="00CA62D9" w:rsidRPr="002048A7" w:rsidRDefault="00CA62D9" w:rsidP="00CA62D9">
      <w:pPr>
        <w:pStyle w:val="Balk5"/>
        <w:spacing w:before="0" w:line="269" w:lineRule="auto"/>
        <w:jc w:val="center"/>
        <w:rPr>
          <w:rStyle w:val="Gl"/>
          <w:color w:val="000000" w:themeColor="text1"/>
        </w:rPr>
      </w:pPr>
      <w:bookmarkStart w:id="256" w:name="_Toc195868833"/>
      <w:r w:rsidRPr="002048A7">
        <w:rPr>
          <w:rStyle w:val="Gl"/>
          <w:color w:val="000000" w:themeColor="text1"/>
        </w:rPr>
        <w:t>Tablo 4.25: 202</w:t>
      </w:r>
      <w:r>
        <w:rPr>
          <w:rStyle w:val="Gl"/>
          <w:color w:val="000000" w:themeColor="text1"/>
        </w:rPr>
        <w:t>4</w:t>
      </w:r>
      <w:r w:rsidRPr="002048A7">
        <w:rPr>
          <w:rStyle w:val="Gl"/>
          <w:color w:val="000000" w:themeColor="text1"/>
        </w:rPr>
        <w:t xml:space="preserve"> Yılında Perakende Satış Tarifeleri Hakkında Kurul Kararı Alınan Doğal Gaz Dağıtım Şirketleri</w:t>
      </w:r>
      <w:bookmarkEnd w:id="254"/>
      <w:bookmarkEnd w:id="256"/>
    </w:p>
    <w:tbl>
      <w:tblPr>
        <w:tblW w:w="9767" w:type="dxa"/>
        <w:tblInd w:w="-5" w:type="dxa"/>
        <w:tblLayout w:type="fixed"/>
        <w:tblCellMar>
          <w:left w:w="70" w:type="dxa"/>
          <w:right w:w="70" w:type="dxa"/>
        </w:tblCellMar>
        <w:tblLook w:val="04A0" w:firstRow="1" w:lastRow="0" w:firstColumn="1" w:lastColumn="0" w:noHBand="0" w:noVBand="1"/>
      </w:tblPr>
      <w:tblGrid>
        <w:gridCol w:w="3855"/>
        <w:gridCol w:w="1463"/>
        <w:gridCol w:w="1275"/>
        <w:gridCol w:w="3174"/>
      </w:tblGrid>
      <w:tr w:rsidR="00CA62D9" w:rsidRPr="002048A7" w14:paraId="414477C1" w14:textId="77777777" w:rsidTr="00CA62D9">
        <w:trPr>
          <w:cantSplit/>
          <w:trHeight w:val="792"/>
          <w:tblHeader/>
        </w:trPr>
        <w:tc>
          <w:tcPr>
            <w:tcW w:w="3855" w:type="dxa"/>
            <w:tcBorders>
              <w:top w:val="single" w:sz="4" w:space="0" w:color="auto"/>
              <w:left w:val="single" w:sz="4" w:space="0" w:color="auto"/>
              <w:bottom w:val="single" w:sz="4" w:space="0" w:color="auto"/>
              <w:right w:val="single" w:sz="4" w:space="0" w:color="auto"/>
            </w:tcBorders>
            <w:shd w:val="clear" w:color="000000" w:fill="6E9ECA"/>
            <w:vAlign w:val="center"/>
            <w:hideMark/>
          </w:tcPr>
          <w:p w14:paraId="5AD748CE" w14:textId="77777777" w:rsidR="00CA62D9" w:rsidRPr="002048A7" w:rsidRDefault="00CA62D9" w:rsidP="00F45E83">
            <w:pPr>
              <w:spacing w:after="0" w:line="240" w:lineRule="auto"/>
              <w:jc w:val="center"/>
              <w:rPr>
                <w:rFonts w:cstheme="minorHAnsi"/>
                <w:b/>
                <w:color w:val="FFFFFF"/>
              </w:rPr>
            </w:pPr>
            <w:r w:rsidRPr="002048A7">
              <w:rPr>
                <w:rFonts w:cstheme="minorHAnsi"/>
                <w:b/>
                <w:color w:val="FFFFFF"/>
              </w:rPr>
              <w:t>Doğal Gaz Dağıtım Şirketi Unvanı</w:t>
            </w:r>
          </w:p>
        </w:tc>
        <w:tc>
          <w:tcPr>
            <w:tcW w:w="1463" w:type="dxa"/>
            <w:tcBorders>
              <w:top w:val="single" w:sz="4" w:space="0" w:color="auto"/>
              <w:left w:val="nil"/>
              <w:bottom w:val="single" w:sz="4" w:space="0" w:color="auto"/>
              <w:right w:val="single" w:sz="4" w:space="0" w:color="auto"/>
            </w:tcBorders>
            <w:shd w:val="clear" w:color="000000" w:fill="6E9ECA"/>
            <w:vAlign w:val="center"/>
            <w:hideMark/>
          </w:tcPr>
          <w:p w14:paraId="1010FE80" w14:textId="77777777" w:rsidR="00CA62D9" w:rsidRPr="002048A7" w:rsidRDefault="00CA62D9" w:rsidP="00F45E83">
            <w:pPr>
              <w:spacing w:after="0" w:line="240" w:lineRule="auto"/>
              <w:jc w:val="center"/>
              <w:rPr>
                <w:rFonts w:cstheme="minorHAnsi"/>
                <w:b/>
                <w:color w:val="FFFFFF"/>
              </w:rPr>
            </w:pPr>
            <w:r w:rsidRPr="002048A7">
              <w:rPr>
                <w:rFonts w:cstheme="minorHAnsi"/>
                <w:b/>
                <w:color w:val="FFFFFF"/>
              </w:rPr>
              <w:t>Kurul Karar Tarihi</w:t>
            </w:r>
          </w:p>
        </w:tc>
        <w:tc>
          <w:tcPr>
            <w:tcW w:w="1275" w:type="dxa"/>
            <w:tcBorders>
              <w:top w:val="single" w:sz="4" w:space="0" w:color="auto"/>
              <w:left w:val="nil"/>
              <w:bottom w:val="single" w:sz="4" w:space="0" w:color="auto"/>
              <w:right w:val="single" w:sz="4" w:space="0" w:color="auto"/>
            </w:tcBorders>
            <w:shd w:val="clear" w:color="000000" w:fill="6E9ECA"/>
            <w:vAlign w:val="center"/>
            <w:hideMark/>
          </w:tcPr>
          <w:p w14:paraId="77002B0B" w14:textId="77777777" w:rsidR="00CA62D9" w:rsidRPr="002048A7" w:rsidRDefault="00CA62D9" w:rsidP="00F45E83">
            <w:pPr>
              <w:spacing w:after="0" w:line="240" w:lineRule="auto"/>
              <w:jc w:val="center"/>
              <w:rPr>
                <w:rFonts w:cstheme="minorHAnsi"/>
                <w:b/>
                <w:color w:val="FFFFFF"/>
              </w:rPr>
            </w:pPr>
            <w:r w:rsidRPr="002048A7">
              <w:rPr>
                <w:rFonts w:cstheme="minorHAnsi"/>
                <w:b/>
                <w:color w:val="FFFFFF"/>
              </w:rPr>
              <w:t>Kurul Karar Sayısı</w:t>
            </w:r>
          </w:p>
        </w:tc>
        <w:tc>
          <w:tcPr>
            <w:tcW w:w="3174" w:type="dxa"/>
            <w:tcBorders>
              <w:top w:val="single" w:sz="4" w:space="0" w:color="auto"/>
              <w:left w:val="nil"/>
              <w:bottom w:val="single" w:sz="4" w:space="0" w:color="auto"/>
              <w:right w:val="single" w:sz="4" w:space="0" w:color="auto"/>
            </w:tcBorders>
            <w:shd w:val="clear" w:color="000000" w:fill="6E9ECA"/>
            <w:vAlign w:val="center"/>
            <w:hideMark/>
          </w:tcPr>
          <w:p w14:paraId="5C804E30" w14:textId="77777777" w:rsidR="00CA62D9" w:rsidRPr="002048A7" w:rsidRDefault="00CA62D9" w:rsidP="00F45E83">
            <w:pPr>
              <w:spacing w:after="0" w:line="240" w:lineRule="auto"/>
              <w:jc w:val="center"/>
              <w:rPr>
                <w:rFonts w:cstheme="minorHAnsi"/>
                <w:b/>
                <w:color w:val="FFFFFF"/>
              </w:rPr>
            </w:pPr>
            <w:r w:rsidRPr="002048A7">
              <w:rPr>
                <w:rFonts w:cstheme="minorHAnsi"/>
                <w:b/>
                <w:color w:val="FFFFFF"/>
              </w:rPr>
              <w:t>Kapsamı</w:t>
            </w:r>
          </w:p>
        </w:tc>
      </w:tr>
      <w:tr w:rsidR="00CA62D9" w:rsidRPr="002048A7" w14:paraId="6C78F98E" w14:textId="77777777" w:rsidTr="00CA62D9">
        <w:trPr>
          <w:trHeight w:val="528"/>
        </w:trPr>
        <w:tc>
          <w:tcPr>
            <w:tcW w:w="3855" w:type="dxa"/>
            <w:tcBorders>
              <w:top w:val="nil"/>
              <w:left w:val="single" w:sz="4" w:space="0" w:color="auto"/>
              <w:bottom w:val="single" w:sz="4" w:space="0" w:color="auto"/>
              <w:right w:val="single" w:sz="4" w:space="0" w:color="auto"/>
            </w:tcBorders>
            <w:shd w:val="clear" w:color="auto" w:fill="auto"/>
            <w:noWrap/>
            <w:vAlign w:val="center"/>
            <w:hideMark/>
          </w:tcPr>
          <w:p w14:paraId="7AB30BAA" w14:textId="77777777" w:rsidR="00CA62D9" w:rsidRPr="002048A7" w:rsidRDefault="00CA62D9" w:rsidP="00F45E83">
            <w:pPr>
              <w:spacing w:after="0" w:line="240" w:lineRule="auto"/>
              <w:jc w:val="left"/>
              <w:rPr>
                <w:rFonts w:ascii="Calibri" w:eastAsia="Times New Roman" w:hAnsi="Calibri" w:cs="Calibri"/>
                <w:color w:val="000000"/>
                <w:lang w:eastAsia="tr-TR"/>
              </w:rPr>
            </w:pPr>
            <w:r w:rsidRPr="00056BB1">
              <w:rPr>
                <w:rFonts w:ascii="Calibri" w:eastAsia="Times New Roman" w:hAnsi="Calibri" w:cs="Calibri"/>
                <w:color w:val="000000"/>
                <w:lang w:eastAsia="tr-TR"/>
              </w:rPr>
              <w:t>Agdaş Adapazarı Gaz Dağıtım Anonim Şirketi</w:t>
            </w:r>
          </w:p>
        </w:tc>
        <w:tc>
          <w:tcPr>
            <w:tcW w:w="1463" w:type="dxa"/>
            <w:tcBorders>
              <w:top w:val="nil"/>
              <w:left w:val="nil"/>
              <w:bottom w:val="single" w:sz="4" w:space="0" w:color="auto"/>
              <w:right w:val="single" w:sz="4" w:space="0" w:color="auto"/>
            </w:tcBorders>
            <w:shd w:val="clear" w:color="auto" w:fill="auto"/>
            <w:vAlign w:val="center"/>
            <w:hideMark/>
          </w:tcPr>
          <w:p w14:paraId="41D36FD2" w14:textId="77777777" w:rsidR="00CA62D9" w:rsidRPr="002048A7" w:rsidRDefault="00CA62D9" w:rsidP="00F45E83">
            <w:pPr>
              <w:spacing w:after="0" w:line="240" w:lineRule="auto"/>
              <w:jc w:val="center"/>
              <w:rPr>
                <w:rFonts w:ascii="Calibri" w:hAnsi="Calibri"/>
                <w:color w:val="000000" w:themeColor="text1"/>
              </w:rPr>
            </w:pPr>
            <w:r w:rsidRPr="002048A7">
              <w:rPr>
                <w:rFonts w:ascii="Calibri" w:eastAsia="Times New Roman" w:hAnsi="Calibri" w:cs="Calibri"/>
                <w:color w:val="000000" w:themeColor="text1"/>
                <w:lang w:eastAsia="tr-TR"/>
              </w:rPr>
              <w:t>30/0</w:t>
            </w:r>
            <w:r>
              <w:rPr>
                <w:rFonts w:ascii="Calibri" w:eastAsia="Times New Roman" w:hAnsi="Calibri" w:cs="Calibri"/>
                <w:color w:val="000000" w:themeColor="text1"/>
                <w:lang w:eastAsia="tr-TR"/>
              </w:rPr>
              <w:t>5</w:t>
            </w:r>
            <w:r w:rsidRPr="002048A7">
              <w:rPr>
                <w:rFonts w:ascii="Calibri" w:eastAsia="Times New Roman" w:hAnsi="Calibri" w:cs="Calibri"/>
                <w:color w:val="000000" w:themeColor="text1"/>
                <w:lang w:eastAsia="tr-TR"/>
              </w:rPr>
              <w:t>/202</w:t>
            </w:r>
            <w:r>
              <w:rPr>
                <w:rFonts w:ascii="Calibri" w:eastAsia="Times New Roman" w:hAnsi="Calibri" w:cs="Calibri"/>
                <w:color w:val="000000" w:themeColor="text1"/>
                <w:lang w:eastAsia="tr-TR"/>
              </w:rPr>
              <w:t>4</w:t>
            </w:r>
          </w:p>
        </w:tc>
        <w:tc>
          <w:tcPr>
            <w:tcW w:w="1275" w:type="dxa"/>
            <w:tcBorders>
              <w:top w:val="nil"/>
              <w:left w:val="nil"/>
              <w:bottom w:val="single" w:sz="4" w:space="0" w:color="auto"/>
              <w:right w:val="single" w:sz="4" w:space="0" w:color="auto"/>
            </w:tcBorders>
            <w:shd w:val="clear" w:color="auto" w:fill="auto"/>
            <w:vAlign w:val="center"/>
            <w:hideMark/>
          </w:tcPr>
          <w:p w14:paraId="677596E4" w14:textId="77777777" w:rsidR="00CA62D9" w:rsidRPr="002048A7" w:rsidRDefault="00CA62D9" w:rsidP="00F45E83">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themeColor="text1"/>
                <w:lang w:eastAsia="tr-TR"/>
              </w:rPr>
              <w:t>12</w:t>
            </w:r>
            <w:r>
              <w:rPr>
                <w:rFonts w:ascii="Calibri" w:eastAsia="Times New Roman" w:hAnsi="Calibri" w:cs="Calibri"/>
                <w:color w:val="000000" w:themeColor="text1"/>
                <w:lang w:eastAsia="tr-TR"/>
              </w:rPr>
              <w:t>658</w:t>
            </w:r>
          </w:p>
        </w:tc>
        <w:tc>
          <w:tcPr>
            <w:tcW w:w="3174" w:type="dxa"/>
            <w:tcBorders>
              <w:top w:val="nil"/>
              <w:left w:val="nil"/>
              <w:bottom w:val="single" w:sz="4" w:space="0" w:color="auto"/>
              <w:right w:val="single" w:sz="4" w:space="0" w:color="auto"/>
            </w:tcBorders>
            <w:shd w:val="clear" w:color="auto" w:fill="auto"/>
            <w:noWrap/>
            <w:vAlign w:val="center"/>
            <w:hideMark/>
          </w:tcPr>
          <w:p w14:paraId="252A8D3C" w14:textId="77777777" w:rsidR="00CA62D9" w:rsidRPr="002048A7" w:rsidRDefault="00CA62D9" w:rsidP="00F45E83">
            <w:pPr>
              <w:spacing w:after="0" w:line="240" w:lineRule="auto"/>
              <w:rPr>
                <w:rFonts w:ascii="Calibri" w:eastAsia="Times New Roman" w:hAnsi="Calibri" w:cs="Calibri"/>
                <w:color w:val="000000"/>
                <w:lang w:eastAsia="tr-TR"/>
              </w:rPr>
            </w:pPr>
            <w:r w:rsidRPr="002048A7">
              <w:rPr>
                <w:rFonts w:ascii="Calibri" w:eastAsia="Times New Roman" w:hAnsi="Calibri" w:cs="Calibri"/>
                <w:color w:val="000000" w:themeColor="text1"/>
                <w:lang w:eastAsia="tr-TR"/>
              </w:rPr>
              <w:t xml:space="preserve">2022-2026 Tarife Uygulama Dönemi Perakende Satış Tarifelerinin </w:t>
            </w:r>
            <w:r>
              <w:rPr>
                <w:rFonts w:ascii="Calibri" w:eastAsia="Times New Roman" w:hAnsi="Calibri" w:cs="Calibri"/>
                <w:color w:val="000000" w:themeColor="text1"/>
                <w:lang w:eastAsia="tr-TR"/>
              </w:rPr>
              <w:t>Revize Edilmesi</w:t>
            </w:r>
          </w:p>
        </w:tc>
      </w:tr>
      <w:tr w:rsidR="00CA62D9" w:rsidRPr="002048A7" w14:paraId="3D489B2B" w14:textId="77777777" w:rsidTr="00CA62D9">
        <w:trPr>
          <w:trHeight w:val="528"/>
        </w:trPr>
        <w:tc>
          <w:tcPr>
            <w:tcW w:w="3855" w:type="dxa"/>
            <w:tcBorders>
              <w:top w:val="nil"/>
              <w:left w:val="single" w:sz="4" w:space="0" w:color="auto"/>
              <w:bottom w:val="single" w:sz="4" w:space="0" w:color="auto"/>
              <w:right w:val="single" w:sz="4" w:space="0" w:color="auto"/>
            </w:tcBorders>
            <w:shd w:val="clear" w:color="auto" w:fill="auto"/>
            <w:noWrap/>
            <w:vAlign w:val="center"/>
            <w:hideMark/>
          </w:tcPr>
          <w:p w14:paraId="780AB6B7" w14:textId="77777777" w:rsidR="00CA62D9" w:rsidRPr="002048A7" w:rsidRDefault="00CA62D9" w:rsidP="00F45E83">
            <w:pPr>
              <w:spacing w:after="0" w:line="240" w:lineRule="auto"/>
              <w:jc w:val="left"/>
              <w:rPr>
                <w:rFonts w:ascii="Calibri" w:eastAsia="Times New Roman" w:hAnsi="Calibri" w:cs="Calibri"/>
                <w:color w:val="000000"/>
                <w:lang w:eastAsia="tr-TR"/>
              </w:rPr>
            </w:pPr>
            <w:r w:rsidRPr="00CF6D14">
              <w:rPr>
                <w:rFonts w:ascii="Calibri" w:eastAsia="Times New Roman" w:hAnsi="Calibri" w:cs="Calibri"/>
                <w:color w:val="000000"/>
                <w:lang w:eastAsia="tr-TR"/>
              </w:rPr>
              <w:lastRenderedPageBreak/>
              <w:t>Akmercan Adıyaman Doğal Gaz Dağıtım Sanayi ve Ticaret Anonim Şirketi</w:t>
            </w:r>
          </w:p>
        </w:tc>
        <w:tc>
          <w:tcPr>
            <w:tcW w:w="1463" w:type="dxa"/>
            <w:tcBorders>
              <w:top w:val="nil"/>
              <w:left w:val="nil"/>
              <w:bottom w:val="single" w:sz="4" w:space="0" w:color="auto"/>
              <w:right w:val="single" w:sz="4" w:space="0" w:color="auto"/>
            </w:tcBorders>
            <w:shd w:val="clear" w:color="auto" w:fill="auto"/>
            <w:vAlign w:val="center"/>
            <w:hideMark/>
          </w:tcPr>
          <w:p w14:paraId="4E108DAE" w14:textId="77777777" w:rsidR="00CA62D9" w:rsidRPr="002048A7" w:rsidRDefault="00CA62D9" w:rsidP="00F45E83">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16</w:t>
            </w:r>
            <w:r w:rsidRPr="002048A7">
              <w:rPr>
                <w:rFonts w:ascii="Calibri" w:eastAsia="Times New Roman" w:hAnsi="Calibri" w:cs="Calibri"/>
                <w:color w:val="000000"/>
                <w:lang w:eastAsia="tr-TR"/>
              </w:rPr>
              <w:t>/0</w:t>
            </w:r>
            <w:r>
              <w:rPr>
                <w:rFonts w:ascii="Calibri" w:eastAsia="Times New Roman" w:hAnsi="Calibri" w:cs="Calibri"/>
                <w:color w:val="000000"/>
                <w:lang w:eastAsia="tr-TR"/>
              </w:rPr>
              <w:t>5</w:t>
            </w:r>
            <w:r w:rsidRPr="002048A7">
              <w:rPr>
                <w:rFonts w:ascii="Calibri" w:eastAsia="Times New Roman" w:hAnsi="Calibri" w:cs="Calibri"/>
                <w:color w:val="000000"/>
                <w:lang w:eastAsia="tr-TR"/>
              </w:rPr>
              <w:t>/202</w:t>
            </w:r>
            <w:r>
              <w:rPr>
                <w:rFonts w:ascii="Calibri" w:eastAsia="Times New Roman" w:hAnsi="Calibri" w:cs="Calibri"/>
                <w:color w:val="000000"/>
                <w:lang w:eastAsia="tr-TR"/>
              </w:rPr>
              <w:t>4</w:t>
            </w:r>
          </w:p>
        </w:tc>
        <w:tc>
          <w:tcPr>
            <w:tcW w:w="1275" w:type="dxa"/>
            <w:tcBorders>
              <w:top w:val="nil"/>
              <w:left w:val="nil"/>
              <w:bottom w:val="single" w:sz="4" w:space="0" w:color="auto"/>
              <w:right w:val="single" w:sz="4" w:space="0" w:color="auto"/>
            </w:tcBorders>
            <w:shd w:val="clear" w:color="auto" w:fill="auto"/>
            <w:vAlign w:val="center"/>
            <w:hideMark/>
          </w:tcPr>
          <w:p w14:paraId="6C182825" w14:textId="77777777" w:rsidR="00CA62D9" w:rsidRPr="002048A7" w:rsidDel="000F3358" w:rsidRDefault="00CA62D9" w:rsidP="00F45E83">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12</w:t>
            </w:r>
            <w:r>
              <w:rPr>
                <w:rFonts w:ascii="Calibri" w:eastAsia="Times New Roman" w:hAnsi="Calibri" w:cs="Calibri"/>
                <w:color w:val="000000"/>
                <w:lang w:eastAsia="tr-TR"/>
              </w:rPr>
              <w:t>633</w:t>
            </w:r>
          </w:p>
        </w:tc>
        <w:tc>
          <w:tcPr>
            <w:tcW w:w="3174" w:type="dxa"/>
            <w:tcBorders>
              <w:top w:val="nil"/>
              <w:left w:val="nil"/>
              <w:bottom w:val="single" w:sz="4" w:space="0" w:color="auto"/>
              <w:right w:val="single" w:sz="4" w:space="0" w:color="auto"/>
            </w:tcBorders>
            <w:shd w:val="clear" w:color="auto" w:fill="auto"/>
            <w:noWrap/>
            <w:vAlign w:val="center"/>
            <w:hideMark/>
          </w:tcPr>
          <w:p w14:paraId="75C90EC5" w14:textId="77777777" w:rsidR="00CA62D9" w:rsidRPr="002048A7" w:rsidRDefault="00CA62D9" w:rsidP="00F45E83">
            <w:pPr>
              <w:spacing w:after="0" w:line="240" w:lineRule="auto"/>
              <w:rPr>
                <w:rFonts w:ascii="Calibri" w:eastAsia="Times New Roman" w:hAnsi="Calibri" w:cs="Calibri"/>
                <w:color w:val="000000"/>
                <w:lang w:eastAsia="tr-TR"/>
              </w:rPr>
            </w:pPr>
            <w:r w:rsidRPr="00CF6D14">
              <w:rPr>
                <w:rFonts w:ascii="Calibri" w:eastAsia="Times New Roman" w:hAnsi="Calibri" w:cs="Calibri"/>
                <w:color w:val="000000"/>
                <w:lang w:eastAsia="tr-TR"/>
              </w:rPr>
              <w:t>2022-2026 Tarife Uygulama Dönemi Perakende Satış Tarifelerinin Revize Edilmesi</w:t>
            </w:r>
          </w:p>
        </w:tc>
      </w:tr>
      <w:tr w:rsidR="00CA62D9" w:rsidRPr="002048A7" w14:paraId="144D9681" w14:textId="77777777" w:rsidTr="00CA62D9">
        <w:trPr>
          <w:trHeight w:val="528"/>
        </w:trPr>
        <w:tc>
          <w:tcPr>
            <w:tcW w:w="3855" w:type="dxa"/>
            <w:tcBorders>
              <w:top w:val="nil"/>
              <w:left w:val="single" w:sz="4" w:space="0" w:color="auto"/>
              <w:bottom w:val="single" w:sz="4" w:space="0" w:color="auto"/>
              <w:right w:val="single" w:sz="4" w:space="0" w:color="auto"/>
            </w:tcBorders>
            <w:shd w:val="clear" w:color="auto" w:fill="auto"/>
            <w:noWrap/>
            <w:vAlign w:val="center"/>
            <w:hideMark/>
          </w:tcPr>
          <w:p w14:paraId="2575A75A" w14:textId="77777777" w:rsidR="00CA62D9" w:rsidRPr="002048A7" w:rsidRDefault="00CA62D9" w:rsidP="00F45E83">
            <w:pPr>
              <w:spacing w:after="0" w:line="240" w:lineRule="auto"/>
              <w:jc w:val="left"/>
              <w:rPr>
                <w:rFonts w:ascii="Calibri" w:eastAsia="Times New Roman" w:hAnsi="Calibri" w:cs="Calibri"/>
                <w:color w:val="000000"/>
                <w:lang w:eastAsia="tr-TR"/>
              </w:rPr>
            </w:pPr>
            <w:r w:rsidRPr="00DE32FC">
              <w:rPr>
                <w:rFonts w:ascii="Calibri" w:eastAsia="Times New Roman" w:hAnsi="Calibri" w:cs="Calibri"/>
                <w:color w:val="000000"/>
                <w:lang w:eastAsia="tr-TR"/>
              </w:rPr>
              <w:t>Aksa Bandırma Doğal Gaz Dağıtım Anonim Şirketi</w:t>
            </w:r>
          </w:p>
        </w:tc>
        <w:tc>
          <w:tcPr>
            <w:tcW w:w="1463" w:type="dxa"/>
            <w:tcBorders>
              <w:top w:val="nil"/>
              <w:left w:val="nil"/>
              <w:bottom w:val="single" w:sz="4" w:space="0" w:color="auto"/>
              <w:right w:val="single" w:sz="4" w:space="0" w:color="auto"/>
            </w:tcBorders>
            <w:shd w:val="clear" w:color="auto" w:fill="auto"/>
            <w:vAlign w:val="center"/>
            <w:hideMark/>
          </w:tcPr>
          <w:p w14:paraId="2DA1DC4C" w14:textId="77777777" w:rsidR="00CA62D9" w:rsidRPr="002048A7" w:rsidRDefault="00CA62D9" w:rsidP="00F45E83">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themeColor="text1"/>
                <w:lang w:eastAsia="tr-TR"/>
              </w:rPr>
              <w:t>30</w:t>
            </w:r>
            <w:r w:rsidRPr="002048A7">
              <w:rPr>
                <w:rFonts w:ascii="Calibri" w:eastAsia="Times New Roman" w:hAnsi="Calibri" w:cs="Calibri"/>
                <w:color w:val="000000" w:themeColor="text1"/>
                <w:lang w:eastAsia="tr-TR"/>
              </w:rPr>
              <w:t>/0</w:t>
            </w:r>
            <w:r>
              <w:rPr>
                <w:rFonts w:ascii="Calibri" w:eastAsia="Times New Roman" w:hAnsi="Calibri" w:cs="Calibri"/>
                <w:color w:val="000000" w:themeColor="text1"/>
                <w:lang w:eastAsia="tr-TR"/>
              </w:rPr>
              <w:t>5</w:t>
            </w:r>
            <w:r w:rsidRPr="002048A7">
              <w:rPr>
                <w:rFonts w:ascii="Calibri" w:eastAsia="Times New Roman" w:hAnsi="Calibri" w:cs="Calibri"/>
                <w:color w:val="000000" w:themeColor="text1"/>
                <w:lang w:eastAsia="tr-TR"/>
              </w:rPr>
              <w:t>/202</w:t>
            </w:r>
            <w:r>
              <w:rPr>
                <w:rFonts w:ascii="Calibri" w:eastAsia="Times New Roman" w:hAnsi="Calibri" w:cs="Calibri"/>
                <w:color w:val="000000" w:themeColor="text1"/>
                <w:lang w:eastAsia="tr-TR"/>
              </w:rPr>
              <w:t>4</w:t>
            </w:r>
          </w:p>
        </w:tc>
        <w:tc>
          <w:tcPr>
            <w:tcW w:w="1275" w:type="dxa"/>
            <w:tcBorders>
              <w:top w:val="nil"/>
              <w:left w:val="nil"/>
              <w:bottom w:val="single" w:sz="4" w:space="0" w:color="auto"/>
              <w:right w:val="single" w:sz="4" w:space="0" w:color="auto"/>
            </w:tcBorders>
            <w:shd w:val="clear" w:color="auto" w:fill="auto"/>
            <w:vAlign w:val="center"/>
            <w:hideMark/>
          </w:tcPr>
          <w:p w14:paraId="358D16B8" w14:textId="77777777" w:rsidR="00CA62D9" w:rsidRPr="002048A7" w:rsidRDefault="00CA62D9" w:rsidP="00F45E83">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themeColor="text1"/>
                <w:lang w:eastAsia="tr-TR"/>
              </w:rPr>
              <w:t>12</w:t>
            </w:r>
            <w:r>
              <w:rPr>
                <w:rFonts w:ascii="Calibri" w:eastAsia="Times New Roman" w:hAnsi="Calibri" w:cs="Calibri"/>
                <w:color w:val="000000" w:themeColor="text1"/>
                <w:lang w:eastAsia="tr-TR"/>
              </w:rPr>
              <w:t>660</w:t>
            </w:r>
          </w:p>
        </w:tc>
        <w:tc>
          <w:tcPr>
            <w:tcW w:w="3174" w:type="dxa"/>
            <w:tcBorders>
              <w:top w:val="nil"/>
              <w:left w:val="nil"/>
              <w:bottom w:val="single" w:sz="4" w:space="0" w:color="auto"/>
              <w:right w:val="single" w:sz="4" w:space="0" w:color="auto"/>
            </w:tcBorders>
            <w:shd w:val="clear" w:color="auto" w:fill="auto"/>
            <w:noWrap/>
            <w:vAlign w:val="center"/>
            <w:hideMark/>
          </w:tcPr>
          <w:p w14:paraId="00AD52C9" w14:textId="77777777" w:rsidR="00CA62D9" w:rsidRPr="002048A7" w:rsidRDefault="00CA62D9" w:rsidP="00F45E83">
            <w:pPr>
              <w:spacing w:after="0" w:line="240" w:lineRule="auto"/>
              <w:rPr>
                <w:rFonts w:ascii="Calibri" w:eastAsia="Times New Roman" w:hAnsi="Calibri" w:cs="Calibri"/>
                <w:color w:val="000000"/>
                <w:lang w:eastAsia="tr-TR"/>
              </w:rPr>
            </w:pPr>
            <w:r w:rsidRPr="00DE32FC">
              <w:rPr>
                <w:rFonts w:ascii="Calibri" w:eastAsia="Times New Roman" w:hAnsi="Calibri" w:cs="Calibri"/>
                <w:color w:val="000000" w:themeColor="text1"/>
                <w:lang w:eastAsia="tr-TR"/>
              </w:rPr>
              <w:t>2022-2026 Tarife Uygulama Dönemi Perakende Satış Tarifelerinin Revize Edilmesi</w:t>
            </w:r>
          </w:p>
        </w:tc>
      </w:tr>
      <w:tr w:rsidR="00CA62D9" w:rsidRPr="002048A7" w14:paraId="052BE807" w14:textId="77777777" w:rsidTr="00CA62D9">
        <w:trPr>
          <w:trHeight w:val="528"/>
        </w:trPr>
        <w:tc>
          <w:tcPr>
            <w:tcW w:w="3855" w:type="dxa"/>
            <w:tcBorders>
              <w:top w:val="nil"/>
              <w:left w:val="single" w:sz="4" w:space="0" w:color="auto"/>
              <w:bottom w:val="single" w:sz="4" w:space="0" w:color="auto"/>
              <w:right w:val="single" w:sz="4" w:space="0" w:color="auto"/>
            </w:tcBorders>
            <w:shd w:val="clear" w:color="auto" w:fill="auto"/>
            <w:noWrap/>
            <w:vAlign w:val="center"/>
            <w:hideMark/>
          </w:tcPr>
          <w:p w14:paraId="7F939027" w14:textId="77777777" w:rsidR="00CA62D9" w:rsidRPr="002048A7" w:rsidRDefault="00CA62D9" w:rsidP="00F45E83">
            <w:pPr>
              <w:spacing w:after="0" w:line="240" w:lineRule="auto"/>
              <w:jc w:val="left"/>
              <w:rPr>
                <w:rFonts w:ascii="Calibri" w:eastAsia="Times New Roman" w:hAnsi="Calibri" w:cs="Calibri"/>
                <w:color w:val="000000"/>
                <w:lang w:eastAsia="tr-TR"/>
              </w:rPr>
            </w:pPr>
            <w:r>
              <w:t>Aksa Çanakkale Doğal Gaz Dağıtım Anonim Şirketi</w:t>
            </w:r>
          </w:p>
        </w:tc>
        <w:tc>
          <w:tcPr>
            <w:tcW w:w="1463" w:type="dxa"/>
            <w:tcBorders>
              <w:top w:val="nil"/>
              <w:left w:val="nil"/>
              <w:bottom w:val="single" w:sz="4" w:space="0" w:color="auto"/>
              <w:right w:val="single" w:sz="4" w:space="0" w:color="auto"/>
            </w:tcBorders>
            <w:shd w:val="clear" w:color="auto" w:fill="auto"/>
            <w:vAlign w:val="center"/>
            <w:hideMark/>
          </w:tcPr>
          <w:p w14:paraId="5B0E23D6" w14:textId="77777777" w:rsidR="00CA62D9" w:rsidRPr="002048A7" w:rsidRDefault="00CA62D9" w:rsidP="00F45E83">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themeColor="text1"/>
                <w:lang w:eastAsia="tr-TR"/>
              </w:rPr>
              <w:t>30</w:t>
            </w:r>
            <w:r w:rsidRPr="002048A7">
              <w:rPr>
                <w:rFonts w:ascii="Calibri" w:eastAsia="Times New Roman" w:hAnsi="Calibri" w:cs="Calibri"/>
                <w:color w:val="000000" w:themeColor="text1"/>
                <w:lang w:eastAsia="tr-TR"/>
              </w:rPr>
              <w:t>/</w:t>
            </w:r>
            <w:r>
              <w:rPr>
                <w:rFonts w:ascii="Calibri" w:eastAsia="Times New Roman" w:hAnsi="Calibri" w:cs="Calibri"/>
                <w:color w:val="000000" w:themeColor="text1"/>
                <w:lang w:eastAsia="tr-TR"/>
              </w:rPr>
              <w:t>05</w:t>
            </w:r>
            <w:r w:rsidRPr="002048A7">
              <w:rPr>
                <w:rFonts w:ascii="Calibri" w:eastAsia="Times New Roman" w:hAnsi="Calibri" w:cs="Calibri"/>
                <w:color w:val="000000" w:themeColor="text1"/>
                <w:lang w:eastAsia="tr-TR"/>
              </w:rPr>
              <w:t>/202</w:t>
            </w:r>
            <w:r>
              <w:rPr>
                <w:rFonts w:ascii="Calibri" w:eastAsia="Times New Roman" w:hAnsi="Calibri" w:cs="Calibri"/>
                <w:color w:val="000000" w:themeColor="text1"/>
                <w:lang w:eastAsia="tr-TR"/>
              </w:rPr>
              <w:t>4</w:t>
            </w:r>
          </w:p>
        </w:tc>
        <w:tc>
          <w:tcPr>
            <w:tcW w:w="1275" w:type="dxa"/>
            <w:tcBorders>
              <w:top w:val="nil"/>
              <w:left w:val="nil"/>
              <w:bottom w:val="single" w:sz="4" w:space="0" w:color="auto"/>
              <w:right w:val="single" w:sz="4" w:space="0" w:color="auto"/>
            </w:tcBorders>
            <w:shd w:val="clear" w:color="auto" w:fill="auto"/>
            <w:vAlign w:val="center"/>
            <w:hideMark/>
          </w:tcPr>
          <w:p w14:paraId="4881AE1F" w14:textId="77777777" w:rsidR="00CA62D9" w:rsidRPr="002048A7" w:rsidRDefault="00CA62D9" w:rsidP="00F45E83">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themeColor="text1"/>
                <w:lang w:eastAsia="tr-TR"/>
              </w:rPr>
              <w:t>12</w:t>
            </w:r>
            <w:r>
              <w:rPr>
                <w:rFonts w:ascii="Calibri" w:eastAsia="Times New Roman" w:hAnsi="Calibri" w:cs="Calibri"/>
                <w:color w:val="000000" w:themeColor="text1"/>
                <w:lang w:eastAsia="tr-TR"/>
              </w:rPr>
              <w:t>662</w:t>
            </w:r>
          </w:p>
        </w:tc>
        <w:tc>
          <w:tcPr>
            <w:tcW w:w="3174" w:type="dxa"/>
            <w:tcBorders>
              <w:top w:val="nil"/>
              <w:left w:val="nil"/>
              <w:bottom w:val="single" w:sz="4" w:space="0" w:color="auto"/>
              <w:right w:val="single" w:sz="4" w:space="0" w:color="auto"/>
            </w:tcBorders>
            <w:shd w:val="clear" w:color="auto" w:fill="auto"/>
            <w:noWrap/>
            <w:vAlign w:val="center"/>
            <w:hideMark/>
          </w:tcPr>
          <w:p w14:paraId="3201ABE3" w14:textId="77777777" w:rsidR="00CA62D9" w:rsidRPr="002048A7" w:rsidRDefault="00CA62D9" w:rsidP="00F45E83">
            <w:pPr>
              <w:spacing w:after="0" w:line="240" w:lineRule="auto"/>
              <w:rPr>
                <w:rFonts w:ascii="Calibri" w:eastAsia="Times New Roman" w:hAnsi="Calibri" w:cs="Calibri"/>
                <w:color w:val="000000"/>
                <w:lang w:eastAsia="tr-TR"/>
              </w:rPr>
            </w:pPr>
            <w:r w:rsidRPr="00EA0B22">
              <w:rPr>
                <w:rFonts w:ascii="Calibri" w:eastAsia="Times New Roman" w:hAnsi="Calibri" w:cs="Calibri"/>
                <w:color w:val="000000" w:themeColor="text1"/>
                <w:lang w:eastAsia="tr-TR"/>
              </w:rPr>
              <w:t>2022-2026 Tarife Uygulama Dönemi Perakende Satış Tarifelerinin Revize Edilmesi</w:t>
            </w:r>
          </w:p>
        </w:tc>
      </w:tr>
      <w:tr w:rsidR="00CA62D9" w:rsidRPr="002048A7" w14:paraId="1E65C0F0" w14:textId="77777777" w:rsidTr="00CA62D9">
        <w:trPr>
          <w:trHeight w:val="528"/>
        </w:trPr>
        <w:tc>
          <w:tcPr>
            <w:tcW w:w="385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710FBE" w14:textId="77777777" w:rsidR="00CA62D9" w:rsidRDefault="00CA62D9" w:rsidP="00F45E83">
            <w:pPr>
              <w:spacing w:after="0" w:line="240" w:lineRule="auto"/>
              <w:jc w:val="left"/>
            </w:pPr>
            <w:r w:rsidRPr="00823BE7">
              <w:t>Aksa Çukurova Doğal Gaz Dağıtım Anonim Şirketi</w:t>
            </w:r>
          </w:p>
        </w:tc>
        <w:tc>
          <w:tcPr>
            <w:tcW w:w="1463" w:type="dxa"/>
            <w:tcBorders>
              <w:top w:val="single" w:sz="4" w:space="0" w:color="auto"/>
              <w:left w:val="nil"/>
              <w:bottom w:val="single" w:sz="4" w:space="0" w:color="auto"/>
              <w:right w:val="single" w:sz="4" w:space="0" w:color="auto"/>
            </w:tcBorders>
            <w:shd w:val="clear" w:color="auto" w:fill="auto"/>
            <w:vAlign w:val="center"/>
          </w:tcPr>
          <w:p w14:paraId="0C758C2C" w14:textId="77777777" w:rsidR="00CA62D9" w:rsidRPr="002048A7" w:rsidDel="00EA0B22" w:rsidRDefault="00CA62D9" w:rsidP="00F45E83">
            <w:pPr>
              <w:spacing w:after="0" w:line="240" w:lineRule="auto"/>
              <w:jc w:val="center"/>
              <w:rPr>
                <w:rFonts w:ascii="Calibri" w:eastAsia="Times New Roman" w:hAnsi="Calibri" w:cs="Calibri"/>
                <w:color w:val="000000" w:themeColor="text1"/>
                <w:lang w:eastAsia="tr-TR"/>
              </w:rPr>
            </w:pPr>
            <w:r w:rsidRPr="00823BE7">
              <w:rPr>
                <w:rFonts w:ascii="Calibri" w:eastAsia="Times New Roman" w:hAnsi="Calibri" w:cs="Calibri"/>
                <w:color w:val="000000" w:themeColor="text1"/>
                <w:lang w:eastAsia="tr-TR"/>
              </w:rPr>
              <w:t>16/05/2024</w:t>
            </w:r>
          </w:p>
        </w:tc>
        <w:tc>
          <w:tcPr>
            <w:tcW w:w="1275" w:type="dxa"/>
            <w:tcBorders>
              <w:top w:val="single" w:sz="4" w:space="0" w:color="auto"/>
              <w:left w:val="nil"/>
              <w:bottom w:val="single" w:sz="4" w:space="0" w:color="auto"/>
              <w:right w:val="single" w:sz="4" w:space="0" w:color="auto"/>
            </w:tcBorders>
            <w:shd w:val="clear" w:color="auto" w:fill="auto"/>
            <w:vAlign w:val="center"/>
          </w:tcPr>
          <w:p w14:paraId="148F248B" w14:textId="77777777" w:rsidR="00CA62D9" w:rsidRPr="002048A7" w:rsidDel="00EA0B22" w:rsidRDefault="00CA62D9" w:rsidP="00F45E83">
            <w:pPr>
              <w:spacing w:after="0" w:line="240" w:lineRule="auto"/>
              <w:jc w:val="center"/>
              <w:rPr>
                <w:rFonts w:ascii="Calibri" w:eastAsia="Times New Roman" w:hAnsi="Calibri" w:cs="Calibri"/>
                <w:color w:val="000000" w:themeColor="text1"/>
                <w:lang w:eastAsia="tr-TR"/>
              </w:rPr>
            </w:pPr>
            <w:r w:rsidRPr="00823BE7">
              <w:rPr>
                <w:rFonts w:ascii="Calibri" w:eastAsia="Times New Roman" w:hAnsi="Calibri" w:cs="Calibri"/>
                <w:color w:val="000000" w:themeColor="text1"/>
                <w:lang w:eastAsia="tr-TR"/>
              </w:rPr>
              <w:t>12633</w:t>
            </w:r>
          </w:p>
        </w:tc>
        <w:tc>
          <w:tcPr>
            <w:tcW w:w="3174" w:type="dxa"/>
            <w:tcBorders>
              <w:top w:val="single" w:sz="4" w:space="0" w:color="auto"/>
              <w:left w:val="nil"/>
              <w:bottom w:val="single" w:sz="4" w:space="0" w:color="auto"/>
              <w:right w:val="single" w:sz="4" w:space="0" w:color="auto"/>
            </w:tcBorders>
            <w:shd w:val="clear" w:color="auto" w:fill="auto"/>
            <w:noWrap/>
            <w:vAlign w:val="center"/>
          </w:tcPr>
          <w:p w14:paraId="52799C15" w14:textId="77777777" w:rsidR="00CA62D9" w:rsidRPr="00EA0B22" w:rsidRDefault="00CA62D9" w:rsidP="00F45E83">
            <w:pPr>
              <w:spacing w:after="0" w:line="240" w:lineRule="auto"/>
              <w:rPr>
                <w:rFonts w:ascii="Calibri" w:eastAsia="Times New Roman" w:hAnsi="Calibri" w:cs="Calibri"/>
                <w:color w:val="000000" w:themeColor="text1"/>
                <w:lang w:eastAsia="tr-TR"/>
              </w:rPr>
            </w:pPr>
            <w:r w:rsidRPr="00823BE7">
              <w:rPr>
                <w:rFonts w:ascii="Calibri" w:eastAsia="Times New Roman" w:hAnsi="Calibri" w:cs="Calibri"/>
                <w:color w:val="000000" w:themeColor="text1"/>
                <w:lang w:eastAsia="tr-TR"/>
              </w:rPr>
              <w:t>2022-2026 Tarife Uygulama Dönemi Perakende Satış Tarifelerinin Revize Edilmesi</w:t>
            </w:r>
          </w:p>
        </w:tc>
      </w:tr>
      <w:tr w:rsidR="00CA62D9" w:rsidRPr="002048A7" w14:paraId="3219481C" w14:textId="77777777" w:rsidTr="00F45E83">
        <w:trPr>
          <w:trHeight w:val="528"/>
        </w:trPr>
        <w:tc>
          <w:tcPr>
            <w:tcW w:w="385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A7772D" w14:textId="77777777" w:rsidR="00CA62D9" w:rsidRDefault="00CA62D9" w:rsidP="00F45E83">
            <w:pPr>
              <w:spacing w:after="0" w:line="240" w:lineRule="auto"/>
              <w:jc w:val="left"/>
            </w:pPr>
            <w:r w:rsidRPr="00823BE7">
              <w:t xml:space="preserve">Aksa </w:t>
            </w:r>
            <w:r>
              <w:t>Malatya</w:t>
            </w:r>
            <w:r w:rsidRPr="00823BE7">
              <w:t xml:space="preserve"> Doğal Gaz Dağıtım Anonim Şirketi</w:t>
            </w:r>
          </w:p>
        </w:tc>
        <w:tc>
          <w:tcPr>
            <w:tcW w:w="1463" w:type="dxa"/>
            <w:tcBorders>
              <w:top w:val="single" w:sz="4" w:space="0" w:color="auto"/>
              <w:left w:val="nil"/>
              <w:bottom w:val="single" w:sz="4" w:space="0" w:color="auto"/>
              <w:right w:val="single" w:sz="4" w:space="0" w:color="auto"/>
            </w:tcBorders>
            <w:shd w:val="clear" w:color="auto" w:fill="auto"/>
            <w:vAlign w:val="center"/>
          </w:tcPr>
          <w:p w14:paraId="7393D7D4" w14:textId="77777777" w:rsidR="00CA62D9" w:rsidRPr="002048A7" w:rsidDel="00EA0B22" w:rsidRDefault="00CA62D9" w:rsidP="00F45E83">
            <w:pPr>
              <w:spacing w:after="0" w:line="240" w:lineRule="auto"/>
              <w:jc w:val="center"/>
              <w:rPr>
                <w:rFonts w:ascii="Calibri" w:eastAsia="Times New Roman" w:hAnsi="Calibri" w:cs="Calibri"/>
                <w:color w:val="000000" w:themeColor="text1"/>
                <w:lang w:eastAsia="tr-TR"/>
              </w:rPr>
            </w:pPr>
            <w:r w:rsidRPr="00823BE7">
              <w:rPr>
                <w:rFonts w:ascii="Calibri" w:eastAsia="Times New Roman" w:hAnsi="Calibri" w:cs="Calibri"/>
                <w:color w:val="000000" w:themeColor="text1"/>
                <w:lang w:eastAsia="tr-TR"/>
              </w:rPr>
              <w:t>16/05/2024</w:t>
            </w:r>
          </w:p>
        </w:tc>
        <w:tc>
          <w:tcPr>
            <w:tcW w:w="1275" w:type="dxa"/>
            <w:tcBorders>
              <w:top w:val="single" w:sz="4" w:space="0" w:color="auto"/>
              <w:left w:val="nil"/>
              <w:bottom w:val="single" w:sz="4" w:space="0" w:color="auto"/>
              <w:right w:val="single" w:sz="4" w:space="0" w:color="auto"/>
            </w:tcBorders>
            <w:shd w:val="clear" w:color="auto" w:fill="auto"/>
            <w:vAlign w:val="center"/>
          </w:tcPr>
          <w:p w14:paraId="09CBE218" w14:textId="77777777" w:rsidR="00CA62D9" w:rsidRPr="002048A7" w:rsidDel="00EA0B22" w:rsidRDefault="00CA62D9" w:rsidP="00F45E83">
            <w:pPr>
              <w:spacing w:after="0" w:line="240" w:lineRule="auto"/>
              <w:jc w:val="center"/>
              <w:rPr>
                <w:rFonts w:ascii="Calibri" w:eastAsia="Times New Roman" w:hAnsi="Calibri" w:cs="Calibri"/>
                <w:color w:val="000000" w:themeColor="text1"/>
                <w:lang w:eastAsia="tr-TR"/>
              </w:rPr>
            </w:pPr>
            <w:r w:rsidRPr="00823BE7">
              <w:rPr>
                <w:rFonts w:ascii="Calibri" w:eastAsia="Times New Roman" w:hAnsi="Calibri" w:cs="Calibri"/>
                <w:color w:val="000000" w:themeColor="text1"/>
                <w:lang w:eastAsia="tr-TR"/>
              </w:rPr>
              <w:t>1263</w:t>
            </w:r>
            <w:r>
              <w:rPr>
                <w:rFonts w:ascii="Calibri" w:eastAsia="Times New Roman" w:hAnsi="Calibri" w:cs="Calibri"/>
                <w:color w:val="000000" w:themeColor="text1"/>
                <w:lang w:eastAsia="tr-TR"/>
              </w:rPr>
              <w:t>4</w:t>
            </w:r>
          </w:p>
        </w:tc>
        <w:tc>
          <w:tcPr>
            <w:tcW w:w="3174" w:type="dxa"/>
            <w:tcBorders>
              <w:top w:val="single" w:sz="4" w:space="0" w:color="auto"/>
              <w:left w:val="nil"/>
              <w:bottom w:val="single" w:sz="4" w:space="0" w:color="auto"/>
              <w:right w:val="single" w:sz="4" w:space="0" w:color="auto"/>
            </w:tcBorders>
            <w:shd w:val="clear" w:color="auto" w:fill="auto"/>
            <w:noWrap/>
            <w:vAlign w:val="center"/>
          </w:tcPr>
          <w:p w14:paraId="6DAD72C8" w14:textId="77777777" w:rsidR="00CA62D9" w:rsidRPr="00EA0B22" w:rsidRDefault="00CA62D9" w:rsidP="00F45E83">
            <w:pPr>
              <w:spacing w:after="0" w:line="240" w:lineRule="auto"/>
              <w:rPr>
                <w:rFonts w:ascii="Calibri" w:eastAsia="Times New Roman" w:hAnsi="Calibri" w:cs="Calibri"/>
                <w:color w:val="000000" w:themeColor="text1"/>
                <w:lang w:eastAsia="tr-TR"/>
              </w:rPr>
            </w:pPr>
            <w:r w:rsidRPr="00823BE7">
              <w:rPr>
                <w:rFonts w:ascii="Calibri" w:eastAsia="Times New Roman" w:hAnsi="Calibri" w:cs="Calibri"/>
                <w:color w:val="000000" w:themeColor="text1"/>
                <w:lang w:eastAsia="tr-TR"/>
              </w:rPr>
              <w:t>2022-2026 Tarife Uygulama Dönemi Perakende Satış Tarifelerinin Revize Edilmesi</w:t>
            </w:r>
          </w:p>
        </w:tc>
      </w:tr>
      <w:tr w:rsidR="00CA62D9" w:rsidRPr="002048A7" w14:paraId="07A46BD2" w14:textId="77777777" w:rsidTr="00CA62D9">
        <w:trPr>
          <w:trHeight w:val="528"/>
        </w:trPr>
        <w:tc>
          <w:tcPr>
            <w:tcW w:w="3855" w:type="dxa"/>
            <w:tcBorders>
              <w:top w:val="nil"/>
              <w:left w:val="single" w:sz="4" w:space="0" w:color="auto"/>
              <w:bottom w:val="single" w:sz="4" w:space="0" w:color="auto"/>
              <w:right w:val="single" w:sz="4" w:space="0" w:color="auto"/>
            </w:tcBorders>
            <w:shd w:val="clear" w:color="auto" w:fill="auto"/>
            <w:noWrap/>
            <w:vAlign w:val="center"/>
          </w:tcPr>
          <w:p w14:paraId="0EF031EB" w14:textId="77777777" w:rsidR="00CA62D9" w:rsidRDefault="00CA62D9" w:rsidP="00F45E83">
            <w:pPr>
              <w:spacing w:after="0" w:line="240" w:lineRule="auto"/>
              <w:jc w:val="left"/>
            </w:pPr>
            <w:r w:rsidRPr="00823BE7">
              <w:t xml:space="preserve">Aksa </w:t>
            </w:r>
            <w:r>
              <w:t>Van</w:t>
            </w:r>
            <w:r w:rsidRPr="00823BE7">
              <w:t xml:space="preserve"> Doğal Gaz Dağıtım Anonim Şirketi</w:t>
            </w:r>
          </w:p>
        </w:tc>
        <w:tc>
          <w:tcPr>
            <w:tcW w:w="1463" w:type="dxa"/>
            <w:tcBorders>
              <w:top w:val="nil"/>
              <w:left w:val="nil"/>
              <w:bottom w:val="single" w:sz="4" w:space="0" w:color="auto"/>
              <w:right w:val="single" w:sz="4" w:space="0" w:color="auto"/>
            </w:tcBorders>
            <w:shd w:val="clear" w:color="auto" w:fill="auto"/>
            <w:vAlign w:val="center"/>
          </w:tcPr>
          <w:p w14:paraId="2FB7AC62" w14:textId="77777777" w:rsidR="00CA62D9" w:rsidRPr="002048A7" w:rsidDel="00EA0B22" w:rsidRDefault="00CA62D9" w:rsidP="00F45E83">
            <w:pPr>
              <w:spacing w:after="0" w:line="240" w:lineRule="auto"/>
              <w:jc w:val="center"/>
              <w:rPr>
                <w:rFonts w:ascii="Calibri" w:eastAsia="Times New Roman" w:hAnsi="Calibri" w:cs="Calibri"/>
                <w:color w:val="000000" w:themeColor="text1"/>
                <w:lang w:eastAsia="tr-TR"/>
              </w:rPr>
            </w:pPr>
            <w:r w:rsidRPr="006E1144">
              <w:rPr>
                <w:rFonts w:ascii="Calibri" w:eastAsia="Times New Roman" w:hAnsi="Calibri" w:cs="Calibri"/>
                <w:color w:val="000000" w:themeColor="text1"/>
                <w:lang w:eastAsia="tr-TR"/>
              </w:rPr>
              <w:t>30/05/2024</w:t>
            </w:r>
          </w:p>
        </w:tc>
        <w:tc>
          <w:tcPr>
            <w:tcW w:w="1275" w:type="dxa"/>
            <w:tcBorders>
              <w:top w:val="nil"/>
              <w:left w:val="nil"/>
              <w:bottom w:val="single" w:sz="4" w:space="0" w:color="auto"/>
              <w:right w:val="single" w:sz="4" w:space="0" w:color="auto"/>
            </w:tcBorders>
            <w:shd w:val="clear" w:color="auto" w:fill="auto"/>
            <w:vAlign w:val="center"/>
          </w:tcPr>
          <w:p w14:paraId="345D054B" w14:textId="77777777" w:rsidR="00CA62D9" w:rsidRPr="002048A7" w:rsidDel="00EA0B22" w:rsidRDefault="00CA62D9" w:rsidP="00F45E83">
            <w:pPr>
              <w:spacing w:after="0" w:line="240" w:lineRule="auto"/>
              <w:jc w:val="center"/>
              <w:rPr>
                <w:rFonts w:ascii="Calibri" w:eastAsia="Times New Roman" w:hAnsi="Calibri" w:cs="Calibri"/>
                <w:color w:val="000000" w:themeColor="text1"/>
                <w:lang w:eastAsia="tr-TR"/>
              </w:rPr>
            </w:pPr>
            <w:r w:rsidRPr="006E1144">
              <w:rPr>
                <w:rFonts w:ascii="Calibri" w:eastAsia="Times New Roman" w:hAnsi="Calibri" w:cs="Calibri"/>
                <w:color w:val="000000" w:themeColor="text1"/>
                <w:lang w:eastAsia="tr-TR"/>
              </w:rPr>
              <w:t>12662</w:t>
            </w:r>
          </w:p>
        </w:tc>
        <w:tc>
          <w:tcPr>
            <w:tcW w:w="3174" w:type="dxa"/>
            <w:tcBorders>
              <w:top w:val="nil"/>
              <w:left w:val="nil"/>
              <w:bottom w:val="single" w:sz="4" w:space="0" w:color="auto"/>
              <w:right w:val="single" w:sz="4" w:space="0" w:color="auto"/>
            </w:tcBorders>
            <w:shd w:val="clear" w:color="auto" w:fill="auto"/>
            <w:noWrap/>
            <w:vAlign w:val="center"/>
          </w:tcPr>
          <w:p w14:paraId="6FA0D1FB" w14:textId="77777777" w:rsidR="00CA62D9" w:rsidRPr="00EA0B22" w:rsidRDefault="00CA62D9" w:rsidP="00F45E83">
            <w:pPr>
              <w:spacing w:after="0" w:line="240" w:lineRule="auto"/>
              <w:rPr>
                <w:rFonts w:ascii="Calibri" w:eastAsia="Times New Roman" w:hAnsi="Calibri" w:cs="Calibri"/>
                <w:color w:val="000000" w:themeColor="text1"/>
                <w:lang w:eastAsia="tr-TR"/>
              </w:rPr>
            </w:pPr>
            <w:r w:rsidRPr="006E1144">
              <w:rPr>
                <w:rFonts w:ascii="Calibri" w:eastAsia="Times New Roman" w:hAnsi="Calibri" w:cs="Calibri"/>
                <w:color w:val="000000" w:themeColor="text1"/>
                <w:lang w:eastAsia="tr-TR"/>
              </w:rPr>
              <w:t>2022-2026 Tarife Uygulama Dönemi Perakende Satış Tarifelerinin Revize Edilmesi</w:t>
            </w:r>
          </w:p>
        </w:tc>
      </w:tr>
      <w:tr w:rsidR="00CA62D9" w:rsidRPr="002048A7" w14:paraId="1C40FC33" w14:textId="77777777" w:rsidTr="00CA62D9">
        <w:trPr>
          <w:trHeight w:val="528"/>
        </w:trPr>
        <w:tc>
          <w:tcPr>
            <w:tcW w:w="385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C8FE7A" w14:textId="77777777" w:rsidR="00CA62D9" w:rsidRPr="00823BE7" w:rsidRDefault="00CA62D9" w:rsidP="00F45E83">
            <w:pPr>
              <w:spacing w:after="0" w:line="240" w:lineRule="auto"/>
              <w:jc w:val="left"/>
            </w:pPr>
            <w:r w:rsidRPr="009307C1">
              <w:t>Armadaş Arsan Maraş Doğal Gaz Dağıtım Anonim Şirketi</w:t>
            </w:r>
          </w:p>
        </w:tc>
        <w:tc>
          <w:tcPr>
            <w:tcW w:w="1463" w:type="dxa"/>
            <w:tcBorders>
              <w:top w:val="single" w:sz="4" w:space="0" w:color="auto"/>
              <w:left w:val="nil"/>
              <w:bottom w:val="single" w:sz="4" w:space="0" w:color="auto"/>
              <w:right w:val="single" w:sz="4" w:space="0" w:color="auto"/>
            </w:tcBorders>
            <w:shd w:val="clear" w:color="auto" w:fill="auto"/>
            <w:vAlign w:val="center"/>
          </w:tcPr>
          <w:p w14:paraId="3ED76816" w14:textId="77777777" w:rsidR="00CA62D9" w:rsidRPr="006E1144" w:rsidRDefault="00CA62D9" w:rsidP="00F45E83">
            <w:pPr>
              <w:spacing w:after="0" w:line="240" w:lineRule="auto"/>
              <w:jc w:val="center"/>
              <w:rPr>
                <w:rFonts w:ascii="Calibri" w:eastAsia="Times New Roman" w:hAnsi="Calibri" w:cs="Calibri"/>
                <w:color w:val="000000" w:themeColor="text1"/>
                <w:lang w:eastAsia="tr-TR"/>
              </w:rPr>
            </w:pPr>
            <w:r w:rsidRPr="009307C1">
              <w:rPr>
                <w:rFonts w:ascii="Calibri" w:eastAsia="Times New Roman" w:hAnsi="Calibri" w:cs="Calibri"/>
                <w:color w:val="000000" w:themeColor="text1"/>
                <w:lang w:eastAsia="tr-TR"/>
              </w:rPr>
              <w:t>16/05/2024</w:t>
            </w:r>
          </w:p>
        </w:tc>
        <w:tc>
          <w:tcPr>
            <w:tcW w:w="1275" w:type="dxa"/>
            <w:tcBorders>
              <w:top w:val="single" w:sz="4" w:space="0" w:color="auto"/>
              <w:left w:val="nil"/>
              <w:bottom w:val="single" w:sz="4" w:space="0" w:color="auto"/>
              <w:right w:val="single" w:sz="4" w:space="0" w:color="auto"/>
            </w:tcBorders>
            <w:shd w:val="clear" w:color="auto" w:fill="auto"/>
            <w:vAlign w:val="center"/>
          </w:tcPr>
          <w:p w14:paraId="68C0DEB2" w14:textId="77777777" w:rsidR="00CA62D9" w:rsidRPr="006E1144" w:rsidRDefault="00CA62D9" w:rsidP="00F45E83">
            <w:pPr>
              <w:spacing w:after="0" w:line="240" w:lineRule="auto"/>
              <w:jc w:val="center"/>
              <w:rPr>
                <w:rFonts w:ascii="Calibri" w:eastAsia="Times New Roman" w:hAnsi="Calibri" w:cs="Calibri"/>
                <w:color w:val="000000" w:themeColor="text1"/>
                <w:lang w:eastAsia="tr-TR"/>
              </w:rPr>
            </w:pPr>
            <w:r w:rsidRPr="009307C1">
              <w:rPr>
                <w:rFonts w:ascii="Calibri" w:eastAsia="Times New Roman" w:hAnsi="Calibri" w:cs="Calibri"/>
                <w:color w:val="000000" w:themeColor="text1"/>
                <w:lang w:eastAsia="tr-TR"/>
              </w:rPr>
              <w:t>12634</w:t>
            </w:r>
          </w:p>
        </w:tc>
        <w:tc>
          <w:tcPr>
            <w:tcW w:w="3174" w:type="dxa"/>
            <w:tcBorders>
              <w:top w:val="single" w:sz="4" w:space="0" w:color="auto"/>
              <w:left w:val="nil"/>
              <w:bottom w:val="single" w:sz="4" w:space="0" w:color="auto"/>
              <w:right w:val="single" w:sz="4" w:space="0" w:color="auto"/>
            </w:tcBorders>
            <w:shd w:val="clear" w:color="auto" w:fill="auto"/>
            <w:noWrap/>
            <w:vAlign w:val="center"/>
          </w:tcPr>
          <w:p w14:paraId="4A2C302D" w14:textId="77777777" w:rsidR="00CA62D9" w:rsidRPr="006E1144" w:rsidRDefault="00CA62D9" w:rsidP="00F45E83">
            <w:pPr>
              <w:spacing w:after="0" w:line="240" w:lineRule="auto"/>
              <w:rPr>
                <w:rFonts w:ascii="Calibri" w:eastAsia="Times New Roman" w:hAnsi="Calibri" w:cs="Calibri"/>
                <w:color w:val="000000" w:themeColor="text1"/>
                <w:lang w:eastAsia="tr-TR"/>
              </w:rPr>
            </w:pPr>
            <w:r w:rsidRPr="009307C1">
              <w:rPr>
                <w:rFonts w:ascii="Calibri" w:eastAsia="Times New Roman" w:hAnsi="Calibri" w:cs="Calibri"/>
                <w:color w:val="000000" w:themeColor="text1"/>
                <w:lang w:eastAsia="tr-TR"/>
              </w:rPr>
              <w:t>2022-2026 Tarife Uygulama Dönemi Perakende Satış Tarifelerinin Revize Edilmesi</w:t>
            </w:r>
          </w:p>
        </w:tc>
      </w:tr>
      <w:tr w:rsidR="00CA62D9" w:rsidRPr="002048A7" w14:paraId="4849F869" w14:textId="77777777" w:rsidTr="00F45E83">
        <w:trPr>
          <w:trHeight w:val="528"/>
        </w:trPr>
        <w:tc>
          <w:tcPr>
            <w:tcW w:w="3855" w:type="dxa"/>
            <w:tcBorders>
              <w:top w:val="nil"/>
              <w:left w:val="single" w:sz="4" w:space="0" w:color="auto"/>
              <w:bottom w:val="single" w:sz="4" w:space="0" w:color="auto"/>
              <w:right w:val="single" w:sz="4" w:space="0" w:color="auto"/>
            </w:tcBorders>
            <w:shd w:val="clear" w:color="auto" w:fill="auto"/>
            <w:noWrap/>
            <w:vAlign w:val="center"/>
          </w:tcPr>
          <w:p w14:paraId="0417FFCE" w14:textId="77777777" w:rsidR="00CA62D9" w:rsidRPr="00823BE7" w:rsidRDefault="00CA62D9" w:rsidP="00F45E83">
            <w:pPr>
              <w:spacing w:after="0" w:line="240" w:lineRule="auto"/>
              <w:jc w:val="left"/>
            </w:pPr>
            <w:r>
              <w:t>Çinigaz</w:t>
            </w:r>
            <w:r w:rsidRPr="00296484">
              <w:t xml:space="preserve"> Doğal Gaz Dağıtım </w:t>
            </w:r>
            <w:r>
              <w:t xml:space="preserve">Sanayi ve Ticaret </w:t>
            </w:r>
            <w:r w:rsidRPr="00296484">
              <w:t>Anonim Şirketi</w:t>
            </w:r>
          </w:p>
        </w:tc>
        <w:tc>
          <w:tcPr>
            <w:tcW w:w="1463" w:type="dxa"/>
            <w:tcBorders>
              <w:top w:val="nil"/>
              <w:left w:val="nil"/>
              <w:bottom w:val="single" w:sz="4" w:space="0" w:color="auto"/>
              <w:right w:val="single" w:sz="4" w:space="0" w:color="auto"/>
            </w:tcBorders>
            <w:shd w:val="clear" w:color="auto" w:fill="auto"/>
            <w:vAlign w:val="center"/>
          </w:tcPr>
          <w:p w14:paraId="27BD3C0F" w14:textId="77777777" w:rsidR="00CA62D9" w:rsidRPr="006E1144" w:rsidRDefault="00CA62D9" w:rsidP="00F45E83">
            <w:pPr>
              <w:spacing w:after="0" w:line="240" w:lineRule="auto"/>
              <w:jc w:val="center"/>
              <w:rPr>
                <w:rFonts w:ascii="Calibri" w:eastAsia="Times New Roman" w:hAnsi="Calibri" w:cs="Calibri"/>
                <w:color w:val="000000" w:themeColor="text1"/>
                <w:lang w:eastAsia="tr-TR"/>
              </w:rPr>
            </w:pPr>
            <w:r w:rsidRPr="00296484">
              <w:rPr>
                <w:rFonts w:ascii="Calibri" w:eastAsia="Times New Roman" w:hAnsi="Calibri" w:cs="Calibri"/>
                <w:color w:val="000000" w:themeColor="text1"/>
                <w:lang w:eastAsia="tr-TR"/>
              </w:rPr>
              <w:t>1</w:t>
            </w:r>
            <w:r>
              <w:rPr>
                <w:rFonts w:ascii="Calibri" w:eastAsia="Times New Roman" w:hAnsi="Calibri" w:cs="Calibri"/>
                <w:color w:val="000000" w:themeColor="text1"/>
                <w:lang w:eastAsia="tr-TR"/>
              </w:rPr>
              <w:t>8</w:t>
            </w:r>
            <w:r w:rsidRPr="00296484">
              <w:rPr>
                <w:rFonts w:ascii="Calibri" w:eastAsia="Times New Roman" w:hAnsi="Calibri" w:cs="Calibri"/>
                <w:color w:val="000000" w:themeColor="text1"/>
                <w:lang w:eastAsia="tr-TR"/>
              </w:rPr>
              <w:t>/0</w:t>
            </w:r>
            <w:r>
              <w:rPr>
                <w:rFonts w:ascii="Calibri" w:eastAsia="Times New Roman" w:hAnsi="Calibri" w:cs="Calibri"/>
                <w:color w:val="000000" w:themeColor="text1"/>
                <w:lang w:eastAsia="tr-TR"/>
              </w:rPr>
              <w:t>7</w:t>
            </w:r>
            <w:r w:rsidRPr="00296484">
              <w:rPr>
                <w:rFonts w:ascii="Calibri" w:eastAsia="Times New Roman" w:hAnsi="Calibri" w:cs="Calibri"/>
                <w:color w:val="000000" w:themeColor="text1"/>
                <w:lang w:eastAsia="tr-TR"/>
              </w:rPr>
              <w:t>/2024</w:t>
            </w:r>
          </w:p>
        </w:tc>
        <w:tc>
          <w:tcPr>
            <w:tcW w:w="1275" w:type="dxa"/>
            <w:tcBorders>
              <w:top w:val="nil"/>
              <w:left w:val="nil"/>
              <w:bottom w:val="single" w:sz="4" w:space="0" w:color="auto"/>
              <w:right w:val="single" w:sz="4" w:space="0" w:color="auto"/>
            </w:tcBorders>
            <w:shd w:val="clear" w:color="auto" w:fill="auto"/>
            <w:vAlign w:val="center"/>
          </w:tcPr>
          <w:p w14:paraId="21B5C419" w14:textId="77777777" w:rsidR="00CA62D9" w:rsidRPr="006E1144" w:rsidRDefault="00CA62D9" w:rsidP="00F45E83">
            <w:pPr>
              <w:spacing w:after="0" w:line="240" w:lineRule="auto"/>
              <w:jc w:val="center"/>
              <w:rPr>
                <w:rFonts w:ascii="Calibri" w:eastAsia="Times New Roman" w:hAnsi="Calibri" w:cs="Calibri"/>
                <w:color w:val="000000" w:themeColor="text1"/>
                <w:lang w:eastAsia="tr-TR"/>
              </w:rPr>
            </w:pPr>
            <w:r>
              <w:rPr>
                <w:rFonts w:ascii="Calibri" w:eastAsia="Times New Roman" w:hAnsi="Calibri" w:cs="Calibri"/>
                <w:color w:val="000000" w:themeColor="text1"/>
                <w:lang w:eastAsia="tr-TR"/>
              </w:rPr>
              <w:t>12754</w:t>
            </w:r>
          </w:p>
        </w:tc>
        <w:tc>
          <w:tcPr>
            <w:tcW w:w="3174" w:type="dxa"/>
            <w:tcBorders>
              <w:top w:val="nil"/>
              <w:left w:val="nil"/>
              <w:bottom w:val="single" w:sz="4" w:space="0" w:color="auto"/>
              <w:right w:val="single" w:sz="4" w:space="0" w:color="auto"/>
            </w:tcBorders>
            <w:shd w:val="clear" w:color="auto" w:fill="auto"/>
            <w:noWrap/>
            <w:vAlign w:val="center"/>
          </w:tcPr>
          <w:p w14:paraId="5530B2D8" w14:textId="77777777" w:rsidR="00CA62D9" w:rsidRPr="006E1144" w:rsidRDefault="00CA62D9" w:rsidP="00F45E83">
            <w:pPr>
              <w:spacing w:after="0" w:line="240" w:lineRule="auto"/>
              <w:rPr>
                <w:rFonts w:ascii="Calibri" w:eastAsia="Times New Roman" w:hAnsi="Calibri" w:cs="Calibri"/>
                <w:color w:val="000000" w:themeColor="text1"/>
                <w:lang w:eastAsia="tr-TR"/>
              </w:rPr>
            </w:pPr>
            <w:r w:rsidRPr="00296484">
              <w:rPr>
                <w:rFonts w:ascii="Calibri" w:eastAsia="Times New Roman" w:hAnsi="Calibri" w:cs="Calibri"/>
                <w:color w:val="000000" w:themeColor="text1"/>
                <w:lang w:eastAsia="tr-TR"/>
              </w:rPr>
              <w:t>2022-2026 Tarife Uygulama Dönemi Perakende Satış Tarifelerinin Revize Edilmesi</w:t>
            </w:r>
          </w:p>
        </w:tc>
      </w:tr>
      <w:tr w:rsidR="00CA62D9" w:rsidRPr="002048A7" w14:paraId="5A7D958B" w14:textId="77777777" w:rsidTr="00CA62D9">
        <w:trPr>
          <w:trHeight w:val="528"/>
        </w:trPr>
        <w:tc>
          <w:tcPr>
            <w:tcW w:w="3855" w:type="dxa"/>
            <w:tcBorders>
              <w:top w:val="nil"/>
              <w:left w:val="single" w:sz="4" w:space="0" w:color="auto"/>
              <w:bottom w:val="single" w:sz="4" w:space="0" w:color="auto"/>
              <w:right w:val="single" w:sz="4" w:space="0" w:color="auto"/>
            </w:tcBorders>
            <w:shd w:val="clear" w:color="auto" w:fill="auto"/>
            <w:noWrap/>
            <w:vAlign w:val="center"/>
          </w:tcPr>
          <w:p w14:paraId="58CBBC38" w14:textId="77777777" w:rsidR="00CA62D9" w:rsidRPr="00823BE7" w:rsidRDefault="00CA62D9" w:rsidP="00F45E83">
            <w:pPr>
              <w:spacing w:after="0" w:line="240" w:lineRule="auto"/>
              <w:jc w:val="left"/>
            </w:pPr>
            <w:r>
              <w:t>Enerya Aksaray</w:t>
            </w:r>
            <w:r w:rsidRPr="00296484">
              <w:t xml:space="preserve"> Gaz Dağıtım Anonim Şirketi</w:t>
            </w:r>
          </w:p>
        </w:tc>
        <w:tc>
          <w:tcPr>
            <w:tcW w:w="1463" w:type="dxa"/>
            <w:tcBorders>
              <w:top w:val="nil"/>
              <w:left w:val="nil"/>
              <w:bottom w:val="single" w:sz="4" w:space="0" w:color="auto"/>
              <w:right w:val="single" w:sz="4" w:space="0" w:color="auto"/>
            </w:tcBorders>
            <w:shd w:val="clear" w:color="auto" w:fill="auto"/>
            <w:vAlign w:val="center"/>
          </w:tcPr>
          <w:p w14:paraId="1B0095A6" w14:textId="77777777" w:rsidR="00CA62D9" w:rsidRPr="006E1144" w:rsidRDefault="00CA62D9" w:rsidP="00F45E83">
            <w:pPr>
              <w:spacing w:after="0" w:line="240" w:lineRule="auto"/>
              <w:jc w:val="center"/>
              <w:rPr>
                <w:rFonts w:ascii="Calibri" w:eastAsia="Times New Roman" w:hAnsi="Calibri" w:cs="Calibri"/>
                <w:color w:val="000000" w:themeColor="text1"/>
                <w:lang w:eastAsia="tr-TR"/>
              </w:rPr>
            </w:pPr>
            <w:r>
              <w:rPr>
                <w:rFonts w:ascii="Calibri" w:eastAsia="Times New Roman" w:hAnsi="Calibri" w:cs="Calibri"/>
                <w:color w:val="000000" w:themeColor="text1"/>
                <w:lang w:eastAsia="tr-TR"/>
              </w:rPr>
              <w:t>27</w:t>
            </w:r>
            <w:r w:rsidRPr="00296484">
              <w:rPr>
                <w:rFonts w:ascii="Calibri" w:eastAsia="Times New Roman" w:hAnsi="Calibri" w:cs="Calibri"/>
                <w:color w:val="000000" w:themeColor="text1"/>
                <w:lang w:eastAsia="tr-TR"/>
              </w:rPr>
              <w:t>/0</w:t>
            </w:r>
            <w:r>
              <w:rPr>
                <w:rFonts w:ascii="Calibri" w:eastAsia="Times New Roman" w:hAnsi="Calibri" w:cs="Calibri"/>
                <w:color w:val="000000" w:themeColor="text1"/>
                <w:lang w:eastAsia="tr-TR"/>
              </w:rPr>
              <w:t>6</w:t>
            </w:r>
            <w:r w:rsidRPr="00296484">
              <w:rPr>
                <w:rFonts w:ascii="Calibri" w:eastAsia="Times New Roman" w:hAnsi="Calibri" w:cs="Calibri"/>
                <w:color w:val="000000" w:themeColor="text1"/>
                <w:lang w:eastAsia="tr-TR"/>
              </w:rPr>
              <w:t>/2024</w:t>
            </w:r>
          </w:p>
        </w:tc>
        <w:tc>
          <w:tcPr>
            <w:tcW w:w="1275" w:type="dxa"/>
            <w:tcBorders>
              <w:top w:val="nil"/>
              <w:left w:val="nil"/>
              <w:bottom w:val="single" w:sz="4" w:space="0" w:color="auto"/>
              <w:right w:val="single" w:sz="4" w:space="0" w:color="auto"/>
            </w:tcBorders>
            <w:shd w:val="clear" w:color="auto" w:fill="auto"/>
            <w:vAlign w:val="center"/>
          </w:tcPr>
          <w:p w14:paraId="0079CAF7" w14:textId="77777777" w:rsidR="00CA62D9" w:rsidRPr="006E1144" w:rsidRDefault="00CA62D9" w:rsidP="00F45E83">
            <w:pPr>
              <w:spacing w:after="0" w:line="240" w:lineRule="auto"/>
              <w:jc w:val="center"/>
              <w:rPr>
                <w:rFonts w:ascii="Calibri" w:eastAsia="Times New Roman" w:hAnsi="Calibri" w:cs="Calibri"/>
                <w:color w:val="000000" w:themeColor="text1"/>
                <w:lang w:eastAsia="tr-TR"/>
              </w:rPr>
            </w:pPr>
            <w:r>
              <w:rPr>
                <w:rFonts w:ascii="Calibri" w:eastAsia="Times New Roman" w:hAnsi="Calibri" w:cs="Calibri"/>
                <w:color w:val="000000" w:themeColor="text1"/>
                <w:lang w:eastAsia="tr-TR"/>
              </w:rPr>
              <w:t>12708</w:t>
            </w:r>
          </w:p>
        </w:tc>
        <w:tc>
          <w:tcPr>
            <w:tcW w:w="3174" w:type="dxa"/>
            <w:tcBorders>
              <w:top w:val="nil"/>
              <w:left w:val="nil"/>
              <w:bottom w:val="single" w:sz="4" w:space="0" w:color="auto"/>
              <w:right w:val="single" w:sz="4" w:space="0" w:color="auto"/>
            </w:tcBorders>
            <w:shd w:val="clear" w:color="auto" w:fill="auto"/>
            <w:noWrap/>
            <w:vAlign w:val="center"/>
          </w:tcPr>
          <w:p w14:paraId="5B6C080C" w14:textId="77777777" w:rsidR="00CA62D9" w:rsidRPr="006E1144" w:rsidRDefault="00CA62D9" w:rsidP="00F45E83">
            <w:pPr>
              <w:spacing w:after="0" w:line="240" w:lineRule="auto"/>
              <w:rPr>
                <w:rFonts w:ascii="Calibri" w:eastAsia="Times New Roman" w:hAnsi="Calibri" w:cs="Calibri"/>
                <w:color w:val="000000" w:themeColor="text1"/>
                <w:lang w:eastAsia="tr-TR"/>
              </w:rPr>
            </w:pPr>
            <w:r w:rsidRPr="00943E04">
              <w:rPr>
                <w:rFonts w:ascii="Calibri" w:eastAsia="Times New Roman" w:hAnsi="Calibri" w:cs="Calibri"/>
                <w:color w:val="000000" w:themeColor="text1"/>
                <w:lang w:eastAsia="tr-TR"/>
              </w:rPr>
              <w:t>2022-2026 Tarife Uygulama Dönemi Perakende Satış Tarifelerinin Revize Edilmesi</w:t>
            </w:r>
          </w:p>
        </w:tc>
      </w:tr>
      <w:tr w:rsidR="00CA62D9" w:rsidRPr="002048A7" w14:paraId="1EF662A9" w14:textId="77777777" w:rsidTr="00F45E83">
        <w:trPr>
          <w:trHeight w:val="528"/>
        </w:trPr>
        <w:tc>
          <w:tcPr>
            <w:tcW w:w="385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DECAFE" w14:textId="77777777" w:rsidR="00CA62D9" w:rsidRDefault="00CA62D9" w:rsidP="00F45E83">
            <w:pPr>
              <w:spacing w:after="0" w:line="240" w:lineRule="auto"/>
              <w:jc w:val="left"/>
            </w:pPr>
            <w:r>
              <w:t xml:space="preserve">Enerya Denizli </w:t>
            </w:r>
            <w:r w:rsidRPr="00296484">
              <w:t>Gaz Dağıtım Anonim Şirketi</w:t>
            </w:r>
          </w:p>
        </w:tc>
        <w:tc>
          <w:tcPr>
            <w:tcW w:w="1463" w:type="dxa"/>
            <w:tcBorders>
              <w:top w:val="single" w:sz="4" w:space="0" w:color="auto"/>
              <w:left w:val="nil"/>
              <w:bottom w:val="single" w:sz="4" w:space="0" w:color="auto"/>
              <w:right w:val="single" w:sz="4" w:space="0" w:color="auto"/>
            </w:tcBorders>
            <w:shd w:val="clear" w:color="auto" w:fill="auto"/>
            <w:vAlign w:val="center"/>
          </w:tcPr>
          <w:p w14:paraId="641E2F6A" w14:textId="77777777" w:rsidR="00CA62D9" w:rsidRDefault="00CA62D9" w:rsidP="00F45E83">
            <w:pPr>
              <w:spacing w:after="0" w:line="240" w:lineRule="auto"/>
              <w:jc w:val="center"/>
              <w:rPr>
                <w:rFonts w:ascii="Calibri" w:eastAsia="Times New Roman" w:hAnsi="Calibri" w:cs="Calibri"/>
                <w:color w:val="000000" w:themeColor="text1"/>
                <w:lang w:eastAsia="tr-TR"/>
              </w:rPr>
            </w:pPr>
            <w:r>
              <w:rPr>
                <w:rFonts w:ascii="Calibri" w:eastAsia="Times New Roman" w:hAnsi="Calibri" w:cs="Calibri"/>
                <w:color w:val="000000" w:themeColor="text1"/>
                <w:lang w:eastAsia="tr-TR"/>
              </w:rPr>
              <w:t>27</w:t>
            </w:r>
            <w:r w:rsidRPr="00296484">
              <w:rPr>
                <w:rFonts w:ascii="Calibri" w:eastAsia="Times New Roman" w:hAnsi="Calibri" w:cs="Calibri"/>
                <w:color w:val="000000" w:themeColor="text1"/>
                <w:lang w:eastAsia="tr-TR"/>
              </w:rPr>
              <w:t>/0</w:t>
            </w:r>
            <w:r>
              <w:rPr>
                <w:rFonts w:ascii="Calibri" w:eastAsia="Times New Roman" w:hAnsi="Calibri" w:cs="Calibri"/>
                <w:color w:val="000000" w:themeColor="text1"/>
                <w:lang w:eastAsia="tr-TR"/>
              </w:rPr>
              <w:t>6</w:t>
            </w:r>
            <w:r w:rsidRPr="00296484">
              <w:rPr>
                <w:rFonts w:ascii="Calibri" w:eastAsia="Times New Roman" w:hAnsi="Calibri" w:cs="Calibri"/>
                <w:color w:val="000000" w:themeColor="text1"/>
                <w:lang w:eastAsia="tr-TR"/>
              </w:rPr>
              <w:t>/2024</w:t>
            </w:r>
          </w:p>
        </w:tc>
        <w:tc>
          <w:tcPr>
            <w:tcW w:w="1275" w:type="dxa"/>
            <w:tcBorders>
              <w:top w:val="single" w:sz="4" w:space="0" w:color="auto"/>
              <w:left w:val="nil"/>
              <w:bottom w:val="single" w:sz="4" w:space="0" w:color="auto"/>
              <w:right w:val="single" w:sz="4" w:space="0" w:color="auto"/>
            </w:tcBorders>
            <w:shd w:val="clear" w:color="auto" w:fill="auto"/>
            <w:vAlign w:val="center"/>
          </w:tcPr>
          <w:p w14:paraId="750DD7BC" w14:textId="77777777" w:rsidR="00CA62D9" w:rsidRDefault="00CA62D9" w:rsidP="00F45E83">
            <w:pPr>
              <w:spacing w:after="0" w:line="240" w:lineRule="auto"/>
              <w:jc w:val="center"/>
              <w:rPr>
                <w:rFonts w:ascii="Calibri" w:eastAsia="Times New Roman" w:hAnsi="Calibri" w:cs="Calibri"/>
                <w:color w:val="000000" w:themeColor="text1"/>
                <w:lang w:eastAsia="tr-TR"/>
              </w:rPr>
            </w:pPr>
            <w:r>
              <w:rPr>
                <w:rFonts w:ascii="Calibri" w:eastAsia="Times New Roman" w:hAnsi="Calibri" w:cs="Calibri"/>
                <w:color w:val="000000" w:themeColor="text1"/>
                <w:lang w:eastAsia="tr-TR"/>
              </w:rPr>
              <w:t>12706</w:t>
            </w:r>
          </w:p>
        </w:tc>
        <w:tc>
          <w:tcPr>
            <w:tcW w:w="3174" w:type="dxa"/>
            <w:tcBorders>
              <w:top w:val="single" w:sz="4" w:space="0" w:color="auto"/>
              <w:left w:val="nil"/>
              <w:bottom w:val="single" w:sz="4" w:space="0" w:color="auto"/>
              <w:right w:val="single" w:sz="4" w:space="0" w:color="auto"/>
            </w:tcBorders>
            <w:shd w:val="clear" w:color="auto" w:fill="auto"/>
            <w:noWrap/>
            <w:vAlign w:val="center"/>
          </w:tcPr>
          <w:p w14:paraId="2F1A4C85" w14:textId="77777777" w:rsidR="00CA62D9" w:rsidRPr="00943E04" w:rsidRDefault="00CA62D9" w:rsidP="00F45E83">
            <w:pPr>
              <w:spacing w:after="0" w:line="240" w:lineRule="auto"/>
              <w:rPr>
                <w:rFonts w:ascii="Calibri" w:eastAsia="Times New Roman" w:hAnsi="Calibri" w:cs="Calibri"/>
                <w:color w:val="000000" w:themeColor="text1"/>
                <w:lang w:eastAsia="tr-TR"/>
              </w:rPr>
            </w:pPr>
            <w:r w:rsidRPr="00943E04">
              <w:rPr>
                <w:rFonts w:ascii="Calibri" w:eastAsia="Times New Roman" w:hAnsi="Calibri" w:cs="Calibri"/>
                <w:color w:val="000000" w:themeColor="text1"/>
                <w:lang w:eastAsia="tr-TR"/>
              </w:rPr>
              <w:t>2022-2026 Tarife Uygulama Dönemi Perakende Satış Tarifelerinin Revize Edilmesi</w:t>
            </w:r>
          </w:p>
        </w:tc>
      </w:tr>
      <w:tr w:rsidR="00CA62D9" w:rsidRPr="002048A7" w14:paraId="7A801DAA" w14:textId="77777777" w:rsidTr="00F45E83">
        <w:trPr>
          <w:trHeight w:val="528"/>
        </w:trPr>
        <w:tc>
          <w:tcPr>
            <w:tcW w:w="3855" w:type="dxa"/>
            <w:tcBorders>
              <w:top w:val="nil"/>
              <w:left w:val="single" w:sz="4" w:space="0" w:color="auto"/>
              <w:bottom w:val="single" w:sz="4" w:space="0" w:color="auto"/>
              <w:right w:val="single" w:sz="4" w:space="0" w:color="auto"/>
            </w:tcBorders>
            <w:shd w:val="clear" w:color="auto" w:fill="auto"/>
            <w:noWrap/>
            <w:vAlign w:val="center"/>
          </w:tcPr>
          <w:p w14:paraId="6D33A6CA" w14:textId="77777777" w:rsidR="00CA62D9" w:rsidRDefault="00CA62D9" w:rsidP="00F45E83">
            <w:pPr>
              <w:spacing w:after="0" w:line="240" w:lineRule="auto"/>
              <w:jc w:val="left"/>
            </w:pPr>
            <w:r>
              <w:t xml:space="preserve">Enerya Kapadokya </w:t>
            </w:r>
            <w:r w:rsidRPr="00296484">
              <w:t>Gaz Dağıtım Anonim Şirketi</w:t>
            </w:r>
          </w:p>
        </w:tc>
        <w:tc>
          <w:tcPr>
            <w:tcW w:w="1463" w:type="dxa"/>
            <w:tcBorders>
              <w:top w:val="nil"/>
              <w:left w:val="nil"/>
              <w:bottom w:val="single" w:sz="4" w:space="0" w:color="auto"/>
              <w:right w:val="single" w:sz="4" w:space="0" w:color="auto"/>
            </w:tcBorders>
            <w:shd w:val="clear" w:color="auto" w:fill="auto"/>
            <w:vAlign w:val="center"/>
          </w:tcPr>
          <w:p w14:paraId="71927277" w14:textId="77777777" w:rsidR="00CA62D9" w:rsidRDefault="00CA62D9" w:rsidP="00F45E83">
            <w:pPr>
              <w:spacing w:after="0" w:line="240" w:lineRule="auto"/>
              <w:jc w:val="center"/>
              <w:rPr>
                <w:rFonts w:ascii="Calibri" w:eastAsia="Times New Roman" w:hAnsi="Calibri" w:cs="Calibri"/>
                <w:color w:val="000000" w:themeColor="text1"/>
                <w:lang w:eastAsia="tr-TR"/>
              </w:rPr>
            </w:pPr>
            <w:r>
              <w:rPr>
                <w:rFonts w:ascii="Calibri" w:eastAsia="Times New Roman" w:hAnsi="Calibri" w:cs="Calibri"/>
                <w:color w:val="000000" w:themeColor="text1"/>
                <w:lang w:eastAsia="tr-TR"/>
              </w:rPr>
              <w:t>27</w:t>
            </w:r>
            <w:r w:rsidRPr="00296484">
              <w:rPr>
                <w:rFonts w:ascii="Calibri" w:eastAsia="Times New Roman" w:hAnsi="Calibri" w:cs="Calibri"/>
                <w:color w:val="000000" w:themeColor="text1"/>
                <w:lang w:eastAsia="tr-TR"/>
              </w:rPr>
              <w:t>/0</w:t>
            </w:r>
            <w:r>
              <w:rPr>
                <w:rFonts w:ascii="Calibri" w:eastAsia="Times New Roman" w:hAnsi="Calibri" w:cs="Calibri"/>
                <w:color w:val="000000" w:themeColor="text1"/>
                <w:lang w:eastAsia="tr-TR"/>
              </w:rPr>
              <w:t>6</w:t>
            </w:r>
            <w:r w:rsidRPr="00296484">
              <w:rPr>
                <w:rFonts w:ascii="Calibri" w:eastAsia="Times New Roman" w:hAnsi="Calibri" w:cs="Calibri"/>
                <w:color w:val="000000" w:themeColor="text1"/>
                <w:lang w:eastAsia="tr-TR"/>
              </w:rPr>
              <w:t>/2024</w:t>
            </w:r>
          </w:p>
        </w:tc>
        <w:tc>
          <w:tcPr>
            <w:tcW w:w="1275" w:type="dxa"/>
            <w:tcBorders>
              <w:top w:val="nil"/>
              <w:left w:val="nil"/>
              <w:bottom w:val="single" w:sz="4" w:space="0" w:color="auto"/>
              <w:right w:val="single" w:sz="4" w:space="0" w:color="auto"/>
            </w:tcBorders>
            <w:shd w:val="clear" w:color="auto" w:fill="auto"/>
            <w:vAlign w:val="center"/>
          </w:tcPr>
          <w:p w14:paraId="1A3E2C67" w14:textId="77777777" w:rsidR="00CA62D9" w:rsidRDefault="00CA62D9" w:rsidP="00F45E83">
            <w:pPr>
              <w:spacing w:after="0" w:line="240" w:lineRule="auto"/>
              <w:jc w:val="center"/>
              <w:rPr>
                <w:rFonts w:ascii="Calibri" w:eastAsia="Times New Roman" w:hAnsi="Calibri" w:cs="Calibri"/>
                <w:color w:val="000000" w:themeColor="text1"/>
                <w:lang w:eastAsia="tr-TR"/>
              </w:rPr>
            </w:pPr>
            <w:r>
              <w:rPr>
                <w:rFonts w:ascii="Calibri" w:eastAsia="Times New Roman" w:hAnsi="Calibri" w:cs="Calibri"/>
                <w:color w:val="000000" w:themeColor="text1"/>
                <w:lang w:eastAsia="tr-TR"/>
              </w:rPr>
              <w:t>12707</w:t>
            </w:r>
          </w:p>
        </w:tc>
        <w:tc>
          <w:tcPr>
            <w:tcW w:w="3174" w:type="dxa"/>
            <w:tcBorders>
              <w:top w:val="nil"/>
              <w:left w:val="nil"/>
              <w:bottom w:val="single" w:sz="4" w:space="0" w:color="auto"/>
              <w:right w:val="single" w:sz="4" w:space="0" w:color="auto"/>
            </w:tcBorders>
            <w:shd w:val="clear" w:color="auto" w:fill="auto"/>
            <w:noWrap/>
            <w:vAlign w:val="center"/>
          </w:tcPr>
          <w:p w14:paraId="5E3A37EB" w14:textId="77777777" w:rsidR="00CA62D9" w:rsidRPr="00943E04" w:rsidRDefault="00CA62D9" w:rsidP="00F45E83">
            <w:pPr>
              <w:spacing w:after="0" w:line="240" w:lineRule="auto"/>
              <w:rPr>
                <w:rFonts w:ascii="Calibri" w:eastAsia="Times New Roman" w:hAnsi="Calibri" w:cs="Calibri"/>
                <w:color w:val="000000" w:themeColor="text1"/>
                <w:lang w:eastAsia="tr-TR"/>
              </w:rPr>
            </w:pPr>
            <w:r w:rsidRPr="00943E04">
              <w:rPr>
                <w:rFonts w:ascii="Calibri" w:eastAsia="Times New Roman" w:hAnsi="Calibri" w:cs="Calibri"/>
                <w:color w:val="000000" w:themeColor="text1"/>
                <w:lang w:eastAsia="tr-TR"/>
              </w:rPr>
              <w:t>2022-2026 Tarife Uygulama Dönemi Perakende Satış Tarifelerinin Revize Edilmesi</w:t>
            </w:r>
          </w:p>
        </w:tc>
      </w:tr>
      <w:tr w:rsidR="00CA62D9" w:rsidRPr="002048A7" w14:paraId="39F22067" w14:textId="77777777" w:rsidTr="00F45E83">
        <w:trPr>
          <w:trHeight w:val="528"/>
        </w:trPr>
        <w:tc>
          <w:tcPr>
            <w:tcW w:w="3855" w:type="dxa"/>
            <w:tcBorders>
              <w:top w:val="nil"/>
              <w:left w:val="single" w:sz="4" w:space="0" w:color="auto"/>
              <w:bottom w:val="single" w:sz="4" w:space="0" w:color="auto"/>
              <w:right w:val="single" w:sz="4" w:space="0" w:color="auto"/>
            </w:tcBorders>
            <w:shd w:val="clear" w:color="auto" w:fill="auto"/>
            <w:noWrap/>
            <w:vAlign w:val="center"/>
          </w:tcPr>
          <w:p w14:paraId="1FFF0729" w14:textId="77777777" w:rsidR="00CA62D9" w:rsidRDefault="00CA62D9" w:rsidP="00F45E83">
            <w:pPr>
              <w:spacing w:after="0" w:line="240" w:lineRule="auto"/>
              <w:jc w:val="left"/>
            </w:pPr>
            <w:r>
              <w:t xml:space="preserve">Enerya Karaman </w:t>
            </w:r>
            <w:r w:rsidRPr="00296484">
              <w:t>Gaz Dağıtım Anonim Şirketi</w:t>
            </w:r>
          </w:p>
        </w:tc>
        <w:tc>
          <w:tcPr>
            <w:tcW w:w="1463" w:type="dxa"/>
            <w:tcBorders>
              <w:top w:val="nil"/>
              <w:left w:val="nil"/>
              <w:bottom w:val="single" w:sz="4" w:space="0" w:color="auto"/>
              <w:right w:val="single" w:sz="4" w:space="0" w:color="auto"/>
            </w:tcBorders>
            <w:shd w:val="clear" w:color="auto" w:fill="auto"/>
            <w:vAlign w:val="center"/>
          </w:tcPr>
          <w:p w14:paraId="15C261E0" w14:textId="77777777" w:rsidR="00CA62D9" w:rsidRDefault="00CA62D9" w:rsidP="00F45E83">
            <w:pPr>
              <w:spacing w:after="0" w:line="240" w:lineRule="auto"/>
              <w:jc w:val="center"/>
              <w:rPr>
                <w:rFonts w:ascii="Calibri" w:eastAsia="Times New Roman" w:hAnsi="Calibri" w:cs="Calibri"/>
                <w:color w:val="000000" w:themeColor="text1"/>
                <w:lang w:eastAsia="tr-TR"/>
              </w:rPr>
            </w:pPr>
            <w:r>
              <w:rPr>
                <w:rFonts w:ascii="Calibri" w:eastAsia="Times New Roman" w:hAnsi="Calibri" w:cs="Calibri"/>
                <w:color w:val="000000" w:themeColor="text1"/>
                <w:lang w:eastAsia="tr-TR"/>
              </w:rPr>
              <w:t>27</w:t>
            </w:r>
            <w:r w:rsidRPr="00296484">
              <w:rPr>
                <w:rFonts w:ascii="Calibri" w:eastAsia="Times New Roman" w:hAnsi="Calibri" w:cs="Calibri"/>
                <w:color w:val="000000" w:themeColor="text1"/>
                <w:lang w:eastAsia="tr-TR"/>
              </w:rPr>
              <w:t>/0</w:t>
            </w:r>
            <w:r>
              <w:rPr>
                <w:rFonts w:ascii="Calibri" w:eastAsia="Times New Roman" w:hAnsi="Calibri" w:cs="Calibri"/>
                <w:color w:val="000000" w:themeColor="text1"/>
                <w:lang w:eastAsia="tr-TR"/>
              </w:rPr>
              <w:t>6</w:t>
            </w:r>
            <w:r w:rsidRPr="00296484">
              <w:rPr>
                <w:rFonts w:ascii="Calibri" w:eastAsia="Times New Roman" w:hAnsi="Calibri" w:cs="Calibri"/>
                <w:color w:val="000000" w:themeColor="text1"/>
                <w:lang w:eastAsia="tr-TR"/>
              </w:rPr>
              <w:t>/2024</w:t>
            </w:r>
          </w:p>
        </w:tc>
        <w:tc>
          <w:tcPr>
            <w:tcW w:w="1275" w:type="dxa"/>
            <w:tcBorders>
              <w:top w:val="nil"/>
              <w:left w:val="nil"/>
              <w:bottom w:val="single" w:sz="4" w:space="0" w:color="auto"/>
              <w:right w:val="single" w:sz="4" w:space="0" w:color="auto"/>
            </w:tcBorders>
            <w:shd w:val="clear" w:color="auto" w:fill="auto"/>
            <w:vAlign w:val="center"/>
          </w:tcPr>
          <w:p w14:paraId="5D3187C5" w14:textId="77777777" w:rsidR="00CA62D9" w:rsidRDefault="00CA62D9" w:rsidP="00F45E83">
            <w:pPr>
              <w:spacing w:after="0" w:line="240" w:lineRule="auto"/>
              <w:jc w:val="center"/>
              <w:rPr>
                <w:rFonts w:ascii="Calibri" w:eastAsia="Times New Roman" w:hAnsi="Calibri" w:cs="Calibri"/>
                <w:color w:val="000000" w:themeColor="text1"/>
                <w:lang w:eastAsia="tr-TR"/>
              </w:rPr>
            </w:pPr>
            <w:r>
              <w:rPr>
                <w:rFonts w:ascii="Calibri" w:eastAsia="Times New Roman" w:hAnsi="Calibri" w:cs="Calibri"/>
                <w:color w:val="000000" w:themeColor="text1"/>
                <w:lang w:eastAsia="tr-TR"/>
              </w:rPr>
              <w:t>12704</w:t>
            </w:r>
          </w:p>
        </w:tc>
        <w:tc>
          <w:tcPr>
            <w:tcW w:w="3174" w:type="dxa"/>
            <w:tcBorders>
              <w:top w:val="nil"/>
              <w:left w:val="nil"/>
              <w:bottom w:val="single" w:sz="4" w:space="0" w:color="auto"/>
              <w:right w:val="single" w:sz="4" w:space="0" w:color="auto"/>
            </w:tcBorders>
            <w:shd w:val="clear" w:color="auto" w:fill="auto"/>
            <w:noWrap/>
            <w:vAlign w:val="center"/>
          </w:tcPr>
          <w:p w14:paraId="50326FA6" w14:textId="77777777" w:rsidR="00CA62D9" w:rsidRPr="00943E04" w:rsidRDefault="00CA62D9" w:rsidP="00F45E83">
            <w:pPr>
              <w:spacing w:after="0" w:line="240" w:lineRule="auto"/>
              <w:rPr>
                <w:rFonts w:ascii="Calibri" w:eastAsia="Times New Roman" w:hAnsi="Calibri" w:cs="Calibri"/>
                <w:color w:val="000000" w:themeColor="text1"/>
                <w:lang w:eastAsia="tr-TR"/>
              </w:rPr>
            </w:pPr>
            <w:r w:rsidRPr="00943E04">
              <w:rPr>
                <w:rFonts w:ascii="Calibri" w:eastAsia="Times New Roman" w:hAnsi="Calibri" w:cs="Calibri"/>
                <w:color w:val="000000" w:themeColor="text1"/>
                <w:lang w:eastAsia="tr-TR"/>
              </w:rPr>
              <w:t>2022-2026 Tarife Uygulama Dönemi Perakende Satış Tarifelerinin Revize Edilmesi</w:t>
            </w:r>
          </w:p>
        </w:tc>
      </w:tr>
      <w:tr w:rsidR="00CA62D9" w:rsidRPr="002048A7" w14:paraId="46E87737" w14:textId="77777777" w:rsidTr="00CA62D9">
        <w:trPr>
          <w:trHeight w:val="528"/>
        </w:trPr>
        <w:tc>
          <w:tcPr>
            <w:tcW w:w="3855" w:type="dxa"/>
            <w:tcBorders>
              <w:top w:val="nil"/>
              <w:left w:val="single" w:sz="4" w:space="0" w:color="auto"/>
              <w:bottom w:val="single" w:sz="4" w:space="0" w:color="auto"/>
              <w:right w:val="single" w:sz="4" w:space="0" w:color="auto"/>
            </w:tcBorders>
            <w:shd w:val="clear" w:color="auto" w:fill="auto"/>
            <w:noWrap/>
            <w:vAlign w:val="center"/>
          </w:tcPr>
          <w:p w14:paraId="18D1D4E1" w14:textId="77777777" w:rsidR="00CA62D9" w:rsidRDefault="00CA62D9" w:rsidP="00F45E83">
            <w:pPr>
              <w:spacing w:after="0" w:line="240" w:lineRule="auto"/>
              <w:jc w:val="left"/>
            </w:pPr>
            <w:r>
              <w:t xml:space="preserve">Enerya Konya </w:t>
            </w:r>
            <w:r w:rsidRPr="00296484">
              <w:t>Gaz Dağıtım Anonim Şirketi</w:t>
            </w:r>
          </w:p>
        </w:tc>
        <w:tc>
          <w:tcPr>
            <w:tcW w:w="1463" w:type="dxa"/>
            <w:tcBorders>
              <w:top w:val="nil"/>
              <w:left w:val="nil"/>
              <w:bottom w:val="single" w:sz="4" w:space="0" w:color="auto"/>
              <w:right w:val="single" w:sz="4" w:space="0" w:color="auto"/>
            </w:tcBorders>
            <w:shd w:val="clear" w:color="auto" w:fill="auto"/>
            <w:vAlign w:val="center"/>
          </w:tcPr>
          <w:p w14:paraId="44E07DD3" w14:textId="77777777" w:rsidR="00CA62D9" w:rsidRDefault="00CA62D9" w:rsidP="00F45E83">
            <w:pPr>
              <w:spacing w:after="0" w:line="240" w:lineRule="auto"/>
              <w:jc w:val="center"/>
              <w:rPr>
                <w:rFonts w:ascii="Calibri" w:eastAsia="Times New Roman" w:hAnsi="Calibri" w:cs="Calibri"/>
                <w:color w:val="000000" w:themeColor="text1"/>
                <w:lang w:eastAsia="tr-TR"/>
              </w:rPr>
            </w:pPr>
            <w:r>
              <w:rPr>
                <w:rFonts w:ascii="Calibri" w:eastAsia="Times New Roman" w:hAnsi="Calibri" w:cs="Calibri"/>
                <w:color w:val="000000" w:themeColor="text1"/>
                <w:lang w:eastAsia="tr-TR"/>
              </w:rPr>
              <w:t>27</w:t>
            </w:r>
            <w:r w:rsidRPr="00296484">
              <w:rPr>
                <w:rFonts w:ascii="Calibri" w:eastAsia="Times New Roman" w:hAnsi="Calibri" w:cs="Calibri"/>
                <w:color w:val="000000" w:themeColor="text1"/>
                <w:lang w:eastAsia="tr-TR"/>
              </w:rPr>
              <w:t>/0</w:t>
            </w:r>
            <w:r>
              <w:rPr>
                <w:rFonts w:ascii="Calibri" w:eastAsia="Times New Roman" w:hAnsi="Calibri" w:cs="Calibri"/>
                <w:color w:val="000000" w:themeColor="text1"/>
                <w:lang w:eastAsia="tr-TR"/>
              </w:rPr>
              <w:t>6</w:t>
            </w:r>
            <w:r w:rsidRPr="00296484">
              <w:rPr>
                <w:rFonts w:ascii="Calibri" w:eastAsia="Times New Roman" w:hAnsi="Calibri" w:cs="Calibri"/>
                <w:color w:val="000000" w:themeColor="text1"/>
                <w:lang w:eastAsia="tr-TR"/>
              </w:rPr>
              <w:t>/2024</w:t>
            </w:r>
          </w:p>
        </w:tc>
        <w:tc>
          <w:tcPr>
            <w:tcW w:w="1275" w:type="dxa"/>
            <w:tcBorders>
              <w:top w:val="nil"/>
              <w:left w:val="nil"/>
              <w:bottom w:val="single" w:sz="4" w:space="0" w:color="auto"/>
              <w:right w:val="single" w:sz="4" w:space="0" w:color="auto"/>
            </w:tcBorders>
            <w:shd w:val="clear" w:color="auto" w:fill="auto"/>
            <w:vAlign w:val="center"/>
          </w:tcPr>
          <w:p w14:paraId="7347E96E" w14:textId="77777777" w:rsidR="00CA62D9" w:rsidRDefault="00CA62D9" w:rsidP="00F45E83">
            <w:pPr>
              <w:spacing w:after="0" w:line="240" w:lineRule="auto"/>
              <w:jc w:val="center"/>
              <w:rPr>
                <w:rFonts w:ascii="Calibri" w:eastAsia="Times New Roman" w:hAnsi="Calibri" w:cs="Calibri"/>
                <w:color w:val="000000" w:themeColor="text1"/>
                <w:lang w:eastAsia="tr-TR"/>
              </w:rPr>
            </w:pPr>
            <w:r>
              <w:rPr>
                <w:rFonts w:ascii="Calibri" w:eastAsia="Times New Roman" w:hAnsi="Calibri" w:cs="Calibri"/>
                <w:color w:val="000000" w:themeColor="text1"/>
                <w:lang w:eastAsia="tr-TR"/>
              </w:rPr>
              <w:t>12705</w:t>
            </w:r>
          </w:p>
        </w:tc>
        <w:tc>
          <w:tcPr>
            <w:tcW w:w="3174" w:type="dxa"/>
            <w:tcBorders>
              <w:top w:val="nil"/>
              <w:left w:val="nil"/>
              <w:bottom w:val="single" w:sz="4" w:space="0" w:color="auto"/>
              <w:right w:val="single" w:sz="4" w:space="0" w:color="auto"/>
            </w:tcBorders>
            <w:shd w:val="clear" w:color="auto" w:fill="auto"/>
            <w:noWrap/>
            <w:vAlign w:val="center"/>
          </w:tcPr>
          <w:p w14:paraId="28D322BD" w14:textId="77777777" w:rsidR="00CA62D9" w:rsidRPr="00943E04" w:rsidRDefault="00CA62D9" w:rsidP="00F45E83">
            <w:pPr>
              <w:spacing w:after="0" w:line="240" w:lineRule="auto"/>
              <w:rPr>
                <w:rFonts w:ascii="Calibri" w:eastAsia="Times New Roman" w:hAnsi="Calibri" w:cs="Calibri"/>
                <w:color w:val="000000" w:themeColor="text1"/>
                <w:lang w:eastAsia="tr-TR"/>
              </w:rPr>
            </w:pPr>
            <w:r w:rsidRPr="00943E04">
              <w:rPr>
                <w:rFonts w:ascii="Calibri" w:eastAsia="Times New Roman" w:hAnsi="Calibri" w:cs="Calibri"/>
                <w:color w:val="000000" w:themeColor="text1"/>
                <w:lang w:eastAsia="tr-TR"/>
              </w:rPr>
              <w:t>2022-2026 Tarife Uygulama Dönemi Perakende Satış Tarifelerinin Revize Edilmesi</w:t>
            </w:r>
          </w:p>
        </w:tc>
      </w:tr>
      <w:tr w:rsidR="00CA62D9" w:rsidRPr="002048A7" w14:paraId="7EE92896" w14:textId="77777777" w:rsidTr="00CA62D9">
        <w:trPr>
          <w:trHeight w:val="528"/>
        </w:trPr>
        <w:tc>
          <w:tcPr>
            <w:tcW w:w="385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32488E" w14:textId="77777777" w:rsidR="00CA62D9" w:rsidRDefault="00CA62D9" w:rsidP="00F45E83">
            <w:pPr>
              <w:spacing w:after="0" w:line="240" w:lineRule="auto"/>
              <w:jc w:val="left"/>
            </w:pPr>
            <w:r w:rsidRPr="00444B8E">
              <w:t>E</w:t>
            </w:r>
            <w:r>
              <w:t>sgaz Eskişehir Şehiriçi Doğal</w:t>
            </w:r>
            <w:r w:rsidRPr="00444B8E">
              <w:t xml:space="preserve"> Gaz Dağıtım</w:t>
            </w:r>
            <w:r>
              <w:t xml:space="preserve"> Ticaret ve Taahhüt</w:t>
            </w:r>
            <w:r w:rsidRPr="00444B8E">
              <w:t xml:space="preserve"> Anonim Şirketi</w:t>
            </w:r>
          </w:p>
        </w:tc>
        <w:tc>
          <w:tcPr>
            <w:tcW w:w="1463" w:type="dxa"/>
            <w:tcBorders>
              <w:top w:val="single" w:sz="4" w:space="0" w:color="auto"/>
              <w:left w:val="nil"/>
              <w:bottom w:val="single" w:sz="4" w:space="0" w:color="auto"/>
              <w:right w:val="single" w:sz="4" w:space="0" w:color="auto"/>
            </w:tcBorders>
            <w:shd w:val="clear" w:color="auto" w:fill="auto"/>
            <w:vAlign w:val="center"/>
          </w:tcPr>
          <w:p w14:paraId="271645AE" w14:textId="77777777" w:rsidR="00CA62D9" w:rsidRDefault="00CA62D9" w:rsidP="00F45E83">
            <w:pPr>
              <w:spacing w:after="0" w:line="240" w:lineRule="auto"/>
              <w:jc w:val="center"/>
              <w:rPr>
                <w:rFonts w:ascii="Calibri" w:eastAsia="Times New Roman" w:hAnsi="Calibri" w:cs="Calibri"/>
                <w:color w:val="000000" w:themeColor="text1"/>
                <w:lang w:eastAsia="tr-TR"/>
              </w:rPr>
            </w:pPr>
            <w:r>
              <w:rPr>
                <w:rFonts w:ascii="Calibri" w:eastAsia="Times New Roman" w:hAnsi="Calibri" w:cs="Calibri"/>
                <w:color w:val="000000" w:themeColor="text1"/>
                <w:lang w:eastAsia="tr-TR"/>
              </w:rPr>
              <w:t>30</w:t>
            </w:r>
            <w:r w:rsidRPr="00444B8E">
              <w:rPr>
                <w:rFonts w:ascii="Calibri" w:eastAsia="Times New Roman" w:hAnsi="Calibri" w:cs="Calibri"/>
                <w:color w:val="000000" w:themeColor="text1"/>
                <w:lang w:eastAsia="tr-TR"/>
              </w:rPr>
              <w:t>/0</w:t>
            </w:r>
            <w:r>
              <w:rPr>
                <w:rFonts w:ascii="Calibri" w:eastAsia="Times New Roman" w:hAnsi="Calibri" w:cs="Calibri"/>
                <w:color w:val="000000" w:themeColor="text1"/>
                <w:lang w:eastAsia="tr-TR"/>
              </w:rPr>
              <w:t>5</w:t>
            </w:r>
            <w:r w:rsidRPr="00444B8E">
              <w:rPr>
                <w:rFonts w:ascii="Calibri" w:eastAsia="Times New Roman" w:hAnsi="Calibri" w:cs="Calibri"/>
                <w:color w:val="000000" w:themeColor="text1"/>
                <w:lang w:eastAsia="tr-TR"/>
              </w:rPr>
              <w:t>/2024</w:t>
            </w:r>
          </w:p>
        </w:tc>
        <w:tc>
          <w:tcPr>
            <w:tcW w:w="1275" w:type="dxa"/>
            <w:tcBorders>
              <w:top w:val="single" w:sz="4" w:space="0" w:color="auto"/>
              <w:left w:val="nil"/>
              <w:bottom w:val="single" w:sz="4" w:space="0" w:color="auto"/>
              <w:right w:val="single" w:sz="4" w:space="0" w:color="auto"/>
            </w:tcBorders>
            <w:shd w:val="clear" w:color="auto" w:fill="auto"/>
            <w:vAlign w:val="center"/>
          </w:tcPr>
          <w:p w14:paraId="1C7BF2BD" w14:textId="77777777" w:rsidR="00CA62D9" w:rsidRDefault="00CA62D9" w:rsidP="00F45E83">
            <w:pPr>
              <w:spacing w:after="0" w:line="240" w:lineRule="auto"/>
              <w:jc w:val="center"/>
              <w:rPr>
                <w:rFonts w:ascii="Calibri" w:eastAsia="Times New Roman" w:hAnsi="Calibri" w:cs="Calibri"/>
                <w:color w:val="000000" w:themeColor="text1"/>
                <w:lang w:eastAsia="tr-TR"/>
              </w:rPr>
            </w:pPr>
            <w:r w:rsidRPr="00444B8E">
              <w:rPr>
                <w:rFonts w:ascii="Calibri" w:eastAsia="Times New Roman" w:hAnsi="Calibri" w:cs="Calibri"/>
                <w:color w:val="000000" w:themeColor="text1"/>
                <w:lang w:eastAsia="tr-TR"/>
              </w:rPr>
              <w:t>12</w:t>
            </w:r>
            <w:r>
              <w:rPr>
                <w:rFonts w:ascii="Calibri" w:eastAsia="Times New Roman" w:hAnsi="Calibri" w:cs="Calibri"/>
                <w:color w:val="000000" w:themeColor="text1"/>
                <w:lang w:eastAsia="tr-TR"/>
              </w:rPr>
              <w:t>659</w:t>
            </w:r>
          </w:p>
        </w:tc>
        <w:tc>
          <w:tcPr>
            <w:tcW w:w="3174" w:type="dxa"/>
            <w:tcBorders>
              <w:top w:val="single" w:sz="4" w:space="0" w:color="auto"/>
              <w:left w:val="nil"/>
              <w:bottom w:val="single" w:sz="4" w:space="0" w:color="auto"/>
              <w:right w:val="single" w:sz="4" w:space="0" w:color="auto"/>
            </w:tcBorders>
            <w:shd w:val="clear" w:color="auto" w:fill="auto"/>
            <w:noWrap/>
            <w:vAlign w:val="center"/>
          </w:tcPr>
          <w:p w14:paraId="5A1BFDEC" w14:textId="77777777" w:rsidR="00CA62D9" w:rsidRPr="00943E04" w:rsidRDefault="00CA62D9" w:rsidP="00F45E83">
            <w:pPr>
              <w:spacing w:after="0" w:line="240" w:lineRule="auto"/>
              <w:rPr>
                <w:rFonts w:ascii="Calibri" w:eastAsia="Times New Roman" w:hAnsi="Calibri" w:cs="Calibri"/>
                <w:color w:val="000000" w:themeColor="text1"/>
                <w:lang w:eastAsia="tr-TR"/>
              </w:rPr>
            </w:pPr>
            <w:r w:rsidRPr="00444B8E">
              <w:rPr>
                <w:rFonts w:ascii="Calibri" w:eastAsia="Times New Roman" w:hAnsi="Calibri" w:cs="Calibri"/>
                <w:color w:val="000000" w:themeColor="text1"/>
                <w:lang w:eastAsia="tr-TR"/>
              </w:rPr>
              <w:t>2022-2026 Tarife Uygulama Dönemi Perakende Satış Tarifelerinin Revize Edilmesi</w:t>
            </w:r>
          </w:p>
        </w:tc>
      </w:tr>
      <w:tr w:rsidR="00CA62D9" w:rsidRPr="002048A7" w14:paraId="4C0F5849" w14:textId="77777777" w:rsidTr="00F45E83">
        <w:trPr>
          <w:trHeight w:val="528"/>
        </w:trPr>
        <w:tc>
          <w:tcPr>
            <w:tcW w:w="385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C70B3C" w14:textId="77777777" w:rsidR="00CA62D9" w:rsidRPr="00444B8E" w:rsidRDefault="00CA62D9" w:rsidP="00F45E83">
            <w:pPr>
              <w:spacing w:after="0" w:line="240" w:lineRule="auto"/>
              <w:jc w:val="left"/>
            </w:pPr>
            <w:r>
              <w:t>İgdaş İstanbul</w:t>
            </w:r>
            <w:r w:rsidRPr="00384725">
              <w:t xml:space="preserve"> Gaz Dağıtım </w:t>
            </w:r>
            <w:r>
              <w:t>Sanayi</w:t>
            </w:r>
            <w:r w:rsidRPr="00384725">
              <w:t xml:space="preserve"> ve T</w:t>
            </w:r>
            <w:r>
              <w:t>icaret</w:t>
            </w:r>
            <w:r w:rsidRPr="00384725">
              <w:t xml:space="preserve"> Anonim Şirketi</w:t>
            </w:r>
          </w:p>
        </w:tc>
        <w:tc>
          <w:tcPr>
            <w:tcW w:w="1463" w:type="dxa"/>
            <w:tcBorders>
              <w:top w:val="single" w:sz="4" w:space="0" w:color="auto"/>
              <w:left w:val="nil"/>
              <w:bottom w:val="single" w:sz="4" w:space="0" w:color="auto"/>
              <w:right w:val="single" w:sz="4" w:space="0" w:color="auto"/>
            </w:tcBorders>
            <w:shd w:val="clear" w:color="auto" w:fill="auto"/>
            <w:vAlign w:val="center"/>
          </w:tcPr>
          <w:p w14:paraId="5C06E9AB" w14:textId="77777777" w:rsidR="00CA62D9" w:rsidRDefault="00CA62D9" w:rsidP="00F45E83">
            <w:pPr>
              <w:spacing w:after="0" w:line="240" w:lineRule="auto"/>
              <w:jc w:val="center"/>
              <w:rPr>
                <w:rFonts w:ascii="Calibri" w:eastAsia="Times New Roman" w:hAnsi="Calibri" w:cs="Calibri"/>
                <w:color w:val="000000" w:themeColor="text1"/>
                <w:lang w:eastAsia="tr-TR"/>
              </w:rPr>
            </w:pPr>
            <w:r w:rsidRPr="00384725">
              <w:rPr>
                <w:rFonts w:ascii="Calibri" w:eastAsia="Times New Roman" w:hAnsi="Calibri" w:cs="Calibri"/>
                <w:color w:val="000000" w:themeColor="text1"/>
                <w:lang w:eastAsia="tr-TR"/>
              </w:rPr>
              <w:t>27/06/2024</w:t>
            </w:r>
          </w:p>
        </w:tc>
        <w:tc>
          <w:tcPr>
            <w:tcW w:w="1275" w:type="dxa"/>
            <w:tcBorders>
              <w:top w:val="single" w:sz="4" w:space="0" w:color="auto"/>
              <w:left w:val="nil"/>
              <w:bottom w:val="single" w:sz="4" w:space="0" w:color="auto"/>
              <w:right w:val="single" w:sz="4" w:space="0" w:color="auto"/>
            </w:tcBorders>
            <w:shd w:val="clear" w:color="auto" w:fill="auto"/>
            <w:vAlign w:val="center"/>
          </w:tcPr>
          <w:p w14:paraId="103F1C0B" w14:textId="77777777" w:rsidR="00CA62D9" w:rsidRPr="00444B8E" w:rsidRDefault="00CA62D9" w:rsidP="00F45E83">
            <w:pPr>
              <w:spacing w:after="0" w:line="240" w:lineRule="auto"/>
              <w:jc w:val="center"/>
              <w:rPr>
                <w:rFonts w:ascii="Calibri" w:eastAsia="Times New Roman" w:hAnsi="Calibri" w:cs="Calibri"/>
                <w:color w:val="000000" w:themeColor="text1"/>
                <w:lang w:eastAsia="tr-TR"/>
              </w:rPr>
            </w:pPr>
            <w:r>
              <w:rPr>
                <w:rFonts w:ascii="Calibri" w:eastAsia="Times New Roman" w:hAnsi="Calibri" w:cs="Calibri"/>
                <w:color w:val="000000" w:themeColor="text1"/>
                <w:lang w:eastAsia="tr-TR"/>
              </w:rPr>
              <w:t>12709</w:t>
            </w:r>
          </w:p>
        </w:tc>
        <w:tc>
          <w:tcPr>
            <w:tcW w:w="3174" w:type="dxa"/>
            <w:tcBorders>
              <w:top w:val="single" w:sz="4" w:space="0" w:color="auto"/>
              <w:left w:val="nil"/>
              <w:bottom w:val="single" w:sz="4" w:space="0" w:color="auto"/>
              <w:right w:val="single" w:sz="4" w:space="0" w:color="auto"/>
            </w:tcBorders>
            <w:shd w:val="clear" w:color="auto" w:fill="auto"/>
            <w:noWrap/>
            <w:vAlign w:val="center"/>
          </w:tcPr>
          <w:p w14:paraId="60237A15" w14:textId="77777777" w:rsidR="00CA62D9" w:rsidRPr="00444B8E" w:rsidRDefault="00CA62D9" w:rsidP="00F45E83">
            <w:pPr>
              <w:spacing w:after="0" w:line="240" w:lineRule="auto"/>
              <w:rPr>
                <w:rFonts w:ascii="Calibri" w:eastAsia="Times New Roman" w:hAnsi="Calibri" w:cs="Calibri"/>
                <w:color w:val="000000" w:themeColor="text1"/>
                <w:lang w:eastAsia="tr-TR"/>
              </w:rPr>
            </w:pPr>
            <w:r w:rsidRPr="00384725">
              <w:rPr>
                <w:rFonts w:ascii="Calibri" w:eastAsia="Times New Roman" w:hAnsi="Calibri" w:cs="Calibri"/>
                <w:color w:val="000000" w:themeColor="text1"/>
                <w:lang w:eastAsia="tr-TR"/>
              </w:rPr>
              <w:t>2022-2026 Tarife Uygulama Dönemi Perakende Satış Tarifelerinin Revize Edilmesi</w:t>
            </w:r>
          </w:p>
        </w:tc>
      </w:tr>
      <w:tr w:rsidR="00CA62D9" w:rsidRPr="002048A7" w14:paraId="1B484996" w14:textId="77777777" w:rsidTr="00F45E83">
        <w:trPr>
          <w:trHeight w:val="528"/>
        </w:trPr>
        <w:tc>
          <w:tcPr>
            <w:tcW w:w="385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BACE80" w14:textId="77777777" w:rsidR="00CA62D9" w:rsidRDefault="00CA62D9" w:rsidP="00F45E83">
            <w:pPr>
              <w:spacing w:after="0" w:line="240" w:lineRule="auto"/>
              <w:jc w:val="left"/>
            </w:pPr>
            <w:r w:rsidRPr="00F071C9">
              <w:t>İzmir Doğalgaz Dağıtım Ticaret ve Taahhüt Anonim Şirketi</w:t>
            </w:r>
          </w:p>
        </w:tc>
        <w:tc>
          <w:tcPr>
            <w:tcW w:w="1463" w:type="dxa"/>
            <w:tcBorders>
              <w:top w:val="single" w:sz="4" w:space="0" w:color="auto"/>
              <w:left w:val="nil"/>
              <w:bottom w:val="single" w:sz="4" w:space="0" w:color="auto"/>
              <w:right w:val="single" w:sz="4" w:space="0" w:color="auto"/>
            </w:tcBorders>
            <w:shd w:val="clear" w:color="auto" w:fill="auto"/>
            <w:vAlign w:val="center"/>
          </w:tcPr>
          <w:p w14:paraId="3090C025" w14:textId="77777777" w:rsidR="00CA62D9" w:rsidRPr="00384725" w:rsidRDefault="00CA62D9" w:rsidP="00F45E83">
            <w:pPr>
              <w:spacing w:after="0" w:line="240" w:lineRule="auto"/>
              <w:jc w:val="center"/>
              <w:rPr>
                <w:rFonts w:ascii="Calibri" w:eastAsia="Times New Roman" w:hAnsi="Calibri" w:cs="Calibri"/>
                <w:color w:val="000000" w:themeColor="text1"/>
                <w:lang w:eastAsia="tr-TR"/>
              </w:rPr>
            </w:pPr>
            <w:r w:rsidRPr="002A0502">
              <w:rPr>
                <w:rFonts w:ascii="Calibri" w:eastAsia="Times New Roman" w:hAnsi="Calibri" w:cs="Calibri"/>
                <w:color w:val="000000" w:themeColor="text1"/>
                <w:lang w:eastAsia="tr-TR"/>
              </w:rPr>
              <w:t>30/05/2024</w:t>
            </w:r>
          </w:p>
        </w:tc>
        <w:tc>
          <w:tcPr>
            <w:tcW w:w="1275" w:type="dxa"/>
            <w:tcBorders>
              <w:top w:val="single" w:sz="4" w:space="0" w:color="auto"/>
              <w:left w:val="nil"/>
              <w:bottom w:val="single" w:sz="4" w:space="0" w:color="auto"/>
              <w:right w:val="single" w:sz="4" w:space="0" w:color="auto"/>
            </w:tcBorders>
            <w:shd w:val="clear" w:color="auto" w:fill="auto"/>
            <w:vAlign w:val="center"/>
          </w:tcPr>
          <w:p w14:paraId="3C281565" w14:textId="77777777" w:rsidR="00CA62D9" w:rsidRDefault="00CA62D9" w:rsidP="00F45E83">
            <w:pPr>
              <w:spacing w:after="0" w:line="240" w:lineRule="auto"/>
              <w:jc w:val="center"/>
              <w:rPr>
                <w:rFonts w:ascii="Calibri" w:eastAsia="Times New Roman" w:hAnsi="Calibri" w:cs="Calibri"/>
                <w:color w:val="000000" w:themeColor="text1"/>
                <w:lang w:eastAsia="tr-TR"/>
              </w:rPr>
            </w:pPr>
            <w:r w:rsidRPr="002A0502">
              <w:rPr>
                <w:rFonts w:ascii="Calibri" w:eastAsia="Times New Roman" w:hAnsi="Calibri" w:cs="Calibri"/>
                <w:color w:val="000000" w:themeColor="text1"/>
                <w:lang w:eastAsia="tr-TR"/>
              </w:rPr>
              <w:t>12</w:t>
            </w:r>
            <w:r>
              <w:rPr>
                <w:rFonts w:ascii="Calibri" w:eastAsia="Times New Roman" w:hAnsi="Calibri" w:cs="Calibri"/>
                <w:color w:val="000000" w:themeColor="text1"/>
                <w:lang w:eastAsia="tr-TR"/>
              </w:rPr>
              <w:t>657</w:t>
            </w:r>
          </w:p>
        </w:tc>
        <w:tc>
          <w:tcPr>
            <w:tcW w:w="3174" w:type="dxa"/>
            <w:tcBorders>
              <w:top w:val="single" w:sz="4" w:space="0" w:color="auto"/>
              <w:left w:val="nil"/>
              <w:bottom w:val="single" w:sz="4" w:space="0" w:color="auto"/>
              <w:right w:val="single" w:sz="4" w:space="0" w:color="auto"/>
            </w:tcBorders>
            <w:shd w:val="clear" w:color="auto" w:fill="auto"/>
            <w:noWrap/>
            <w:vAlign w:val="center"/>
          </w:tcPr>
          <w:p w14:paraId="68C9A83E" w14:textId="77777777" w:rsidR="00CA62D9" w:rsidRPr="00384725" w:rsidRDefault="00CA62D9" w:rsidP="00F45E83">
            <w:pPr>
              <w:spacing w:after="0" w:line="240" w:lineRule="auto"/>
              <w:rPr>
                <w:rFonts w:ascii="Calibri" w:eastAsia="Times New Roman" w:hAnsi="Calibri" w:cs="Calibri"/>
                <w:color w:val="000000" w:themeColor="text1"/>
                <w:lang w:eastAsia="tr-TR"/>
              </w:rPr>
            </w:pPr>
            <w:r w:rsidRPr="00384725">
              <w:rPr>
                <w:rFonts w:ascii="Calibri" w:eastAsia="Times New Roman" w:hAnsi="Calibri" w:cs="Calibri"/>
                <w:color w:val="000000" w:themeColor="text1"/>
                <w:lang w:eastAsia="tr-TR"/>
              </w:rPr>
              <w:t>2022-2026 Tarife Uygulama Dönemi Perakende Satış Tarifelerinin Revize Edilmesi</w:t>
            </w:r>
          </w:p>
        </w:tc>
      </w:tr>
      <w:tr w:rsidR="00CA62D9" w:rsidRPr="002048A7" w14:paraId="2FC7005B" w14:textId="77777777" w:rsidTr="00F45E83">
        <w:trPr>
          <w:trHeight w:val="528"/>
        </w:trPr>
        <w:tc>
          <w:tcPr>
            <w:tcW w:w="385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3BCB05" w14:textId="77777777" w:rsidR="00CA62D9" w:rsidRDefault="00CA62D9" w:rsidP="00F45E83">
            <w:pPr>
              <w:spacing w:after="0" w:line="240" w:lineRule="auto"/>
              <w:jc w:val="left"/>
            </w:pPr>
            <w:r>
              <w:lastRenderedPageBreak/>
              <w:t>Samgaz</w:t>
            </w:r>
            <w:r w:rsidRPr="00F071C9">
              <w:t xml:space="preserve"> Doğal</w:t>
            </w:r>
            <w:r>
              <w:t xml:space="preserve"> G</w:t>
            </w:r>
            <w:r w:rsidRPr="00F071C9">
              <w:t>az Dağıtım Anonim Şirketi</w:t>
            </w:r>
          </w:p>
        </w:tc>
        <w:tc>
          <w:tcPr>
            <w:tcW w:w="1463" w:type="dxa"/>
            <w:tcBorders>
              <w:top w:val="single" w:sz="4" w:space="0" w:color="auto"/>
              <w:left w:val="nil"/>
              <w:bottom w:val="single" w:sz="4" w:space="0" w:color="auto"/>
              <w:right w:val="single" w:sz="4" w:space="0" w:color="auto"/>
            </w:tcBorders>
            <w:shd w:val="clear" w:color="auto" w:fill="auto"/>
            <w:vAlign w:val="center"/>
          </w:tcPr>
          <w:p w14:paraId="73E85C40" w14:textId="77777777" w:rsidR="00CA62D9" w:rsidRPr="00384725" w:rsidRDefault="00CA62D9" w:rsidP="00F45E83">
            <w:pPr>
              <w:spacing w:after="0" w:line="240" w:lineRule="auto"/>
              <w:jc w:val="center"/>
              <w:rPr>
                <w:rFonts w:ascii="Calibri" w:eastAsia="Times New Roman" w:hAnsi="Calibri" w:cs="Calibri"/>
                <w:color w:val="000000" w:themeColor="text1"/>
                <w:lang w:eastAsia="tr-TR"/>
              </w:rPr>
            </w:pPr>
            <w:r>
              <w:rPr>
                <w:rFonts w:ascii="Calibri" w:eastAsia="Times New Roman" w:hAnsi="Calibri" w:cs="Calibri"/>
                <w:color w:val="000000" w:themeColor="text1"/>
                <w:lang w:eastAsia="tr-TR"/>
              </w:rPr>
              <w:t>08/08</w:t>
            </w:r>
            <w:r w:rsidRPr="00384725">
              <w:rPr>
                <w:rFonts w:ascii="Calibri" w:eastAsia="Times New Roman" w:hAnsi="Calibri" w:cs="Calibri"/>
                <w:color w:val="000000" w:themeColor="text1"/>
                <w:lang w:eastAsia="tr-TR"/>
              </w:rPr>
              <w:t>/2024</w:t>
            </w:r>
          </w:p>
        </w:tc>
        <w:tc>
          <w:tcPr>
            <w:tcW w:w="1275" w:type="dxa"/>
            <w:tcBorders>
              <w:top w:val="single" w:sz="4" w:space="0" w:color="auto"/>
              <w:left w:val="nil"/>
              <w:bottom w:val="single" w:sz="4" w:space="0" w:color="auto"/>
              <w:right w:val="single" w:sz="4" w:space="0" w:color="auto"/>
            </w:tcBorders>
            <w:shd w:val="clear" w:color="auto" w:fill="auto"/>
            <w:vAlign w:val="center"/>
          </w:tcPr>
          <w:p w14:paraId="3427F07F" w14:textId="77777777" w:rsidR="00CA62D9" w:rsidRDefault="00CA62D9" w:rsidP="00F45E83">
            <w:pPr>
              <w:spacing w:after="0" w:line="240" w:lineRule="auto"/>
              <w:jc w:val="center"/>
              <w:rPr>
                <w:rFonts w:ascii="Calibri" w:eastAsia="Times New Roman" w:hAnsi="Calibri" w:cs="Calibri"/>
                <w:color w:val="000000" w:themeColor="text1"/>
                <w:lang w:eastAsia="tr-TR"/>
              </w:rPr>
            </w:pPr>
            <w:r>
              <w:rPr>
                <w:rFonts w:ascii="Calibri" w:eastAsia="Times New Roman" w:hAnsi="Calibri" w:cs="Calibri"/>
                <w:color w:val="000000" w:themeColor="text1"/>
                <w:lang w:eastAsia="tr-TR"/>
              </w:rPr>
              <w:t>12807</w:t>
            </w:r>
          </w:p>
        </w:tc>
        <w:tc>
          <w:tcPr>
            <w:tcW w:w="3174" w:type="dxa"/>
            <w:tcBorders>
              <w:top w:val="single" w:sz="4" w:space="0" w:color="auto"/>
              <w:left w:val="nil"/>
              <w:bottom w:val="single" w:sz="4" w:space="0" w:color="auto"/>
              <w:right w:val="single" w:sz="4" w:space="0" w:color="auto"/>
            </w:tcBorders>
            <w:shd w:val="clear" w:color="auto" w:fill="auto"/>
            <w:noWrap/>
            <w:vAlign w:val="center"/>
          </w:tcPr>
          <w:p w14:paraId="7B420BAE" w14:textId="77777777" w:rsidR="00CA62D9" w:rsidRPr="00384725" w:rsidRDefault="00CA62D9" w:rsidP="00F45E83">
            <w:pPr>
              <w:spacing w:after="0" w:line="240" w:lineRule="auto"/>
              <w:rPr>
                <w:rFonts w:ascii="Calibri" w:eastAsia="Times New Roman" w:hAnsi="Calibri" w:cs="Calibri"/>
                <w:color w:val="000000" w:themeColor="text1"/>
                <w:lang w:eastAsia="tr-TR"/>
              </w:rPr>
            </w:pPr>
            <w:r w:rsidRPr="00384725">
              <w:rPr>
                <w:rFonts w:ascii="Calibri" w:eastAsia="Times New Roman" w:hAnsi="Calibri" w:cs="Calibri"/>
                <w:color w:val="000000" w:themeColor="text1"/>
                <w:lang w:eastAsia="tr-TR"/>
              </w:rPr>
              <w:t>2022-2026 Tarife Uygulama Dönemi Perakende Satış Tarifelerinin Revize Edilmesi</w:t>
            </w:r>
          </w:p>
        </w:tc>
      </w:tr>
      <w:tr w:rsidR="00CA62D9" w:rsidRPr="002048A7" w14:paraId="1F5E7298" w14:textId="77777777" w:rsidTr="00F45E83">
        <w:trPr>
          <w:trHeight w:val="528"/>
        </w:trPr>
        <w:tc>
          <w:tcPr>
            <w:tcW w:w="385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657D80" w14:textId="77777777" w:rsidR="00CA62D9" w:rsidRDefault="00CA62D9" w:rsidP="00F45E83">
            <w:pPr>
              <w:spacing w:after="0" w:line="240" w:lineRule="auto"/>
              <w:jc w:val="left"/>
            </w:pPr>
            <w:r>
              <w:t>Selçuk</w:t>
            </w:r>
            <w:r w:rsidRPr="00F071C9">
              <w:t xml:space="preserve"> Doğal</w:t>
            </w:r>
            <w:r>
              <w:t xml:space="preserve"> G</w:t>
            </w:r>
            <w:r w:rsidRPr="00F071C9">
              <w:t>az Dağıtım Anonim Şirketi</w:t>
            </w:r>
          </w:p>
        </w:tc>
        <w:tc>
          <w:tcPr>
            <w:tcW w:w="1463" w:type="dxa"/>
            <w:tcBorders>
              <w:top w:val="single" w:sz="4" w:space="0" w:color="auto"/>
              <w:left w:val="nil"/>
              <w:bottom w:val="single" w:sz="4" w:space="0" w:color="auto"/>
              <w:right w:val="single" w:sz="4" w:space="0" w:color="auto"/>
            </w:tcBorders>
            <w:shd w:val="clear" w:color="auto" w:fill="auto"/>
            <w:vAlign w:val="center"/>
          </w:tcPr>
          <w:p w14:paraId="508C5431" w14:textId="77777777" w:rsidR="00CA62D9" w:rsidRDefault="00CA62D9" w:rsidP="00F45E83">
            <w:pPr>
              <w:spacing w:after="0" w:line="240" w:lineRule="auto"/>
              <w:jc w:val="center"/>
              <w:rPr>
                <w:rFonts w:ascii="Calibri" w:eastAsia="Times New Roman" w:hAnsi="Calibri" w:cs="Calibri"/>
                <w:color w:val="000000" w:themeColor="text1"/>
                <w:lang w:eastAsia="tr-TR"/>
              </w:rPr>
            </w:pPr>
            <w:r w:rsidRPr="002A0502">
              <w:rPr>
                <w:rFonts w:ascii="Calibri" w:eastAsia="Times New Roman" w:hAnsi="Calibri" w:cs="Calibri"/>
                <w:color w:val="000000" w:themeColor="text1"/>
                <w:lang w:eastAsia="tr-TR"/>
              </w:rPr>
              <w:t>30/05/2024</w:t>
            </w:r>
          </w:p>
        </w:tc>
        <w:tc>
          <w:tcPr>
            <w:tcW w:w="1275" w:type="dxa"/>
            <w:tcBorders>
              <w:top w:val="single" w:sz="4" w:space="0" w:color="auto"/>
              <w:left w:val="nil"/>
              <w:bottom w:val="single" w:sz="4" w:space="0" w:color="auto"/>
              <w:right w:val="single" w:sz="4" w:space="0" w:color="auto"/>
            </w:tcBorders>
            <w:shd w:val="clear" w:color="auto" w:fill="auto"/>
            <w:vAlign w:val="center"/>
          </w:tcPr>
          <w:p w14:paraId="3286BA96" w14:textId="77777777" w:rsidR="00CA62D9" w:rsidRDefault="00CA62D9" w:rsidP="00F45E83">
            <w:pPr>
              <w:spacing w:after="0" w:line="240" w:lineRule="auto"/>
              <w:jc w:val="center"/>
              <w:rPr>
                <w:rFonts w:ascii="Calibri" w:eastAsia="Times New Roman" w:hAnsi="Calibri" w:cs="Calibri"/>
                <w:color w:val="000000" w:themeColor="text1"/>
                <w:lang w:eastAsia="tr-TR"/>
              </w:rPr>
            </w:pPr>
            <w:r w:rsidRPr="002A0502">
              <w:rPr>
                <w:rFonts w:ascii="Calibri" w:eastAsia="Times New Roman" w:hAnsi="Calibri" w:cs="Calibri"/>
                <w:color w:val="000000" w:themeColor="text1"/>
                <w:lang w:eastAsia="tr-TR"/>
              </w:rPr>
              <w:t>12</w:t>
            </w:r>
            <w:r>
              <w:rPr>
                <w:rFonts w:ascii="Calibri" w:eastAsia="Times New Roman" w:hAnsi="Calibri" w:cs="Calibri"/>
                <w:color w:val="000000" w:themeColor="text1"/>
                <w:lang w:eastAsia="tr-TR"/>
              </w:rPr>
              <w:t>661</w:t>
            </w:r>
          </w:p>
        </w:tc>
        <w:tc>
          <w:tcPr>
            <w:tcW w:w="3174" w:type="dxa"/>
            <w:tcBorders>
              <w:top w:val="single" w:sz="4" w:space="0" w:color="auto"/>
              <w:left w:val="nil"/>
              <w:bottom w:val="single" w:sz="4" w:space="0" w:color="auto"/>
              <w:right w:val="single" w:sz="4" w:space="0" w:color="auto"/>
            </w:tcBorders>
            <w:shd w:val="clear" w:color="auto" w:fill="auto"/>
            <w:noWrap/>
            <w:vAlign w:val="center"/>
          </w:tcPr>
          <w:p w14:paraId="75B0EC19" w14:textId="77777777" w:rsidR="00CA62D9" w:rsidRPr="00384725" w:rsidRDefault="00CA62D9" w:rsidP="00F45E83">
            <w:pPr>
              <w:spacing w:after="0" w:line="240" w:lineRule="auto"/>
              <w:rPr>
                <w:rFonts w:ascii="Calibri" w:eastAsia="Times New Roman" w:hAnsi="Calibri" w:cs="Calibri"/>
                <w:color w:val="000000" w:themeColor="text1"/>
                <w:lang w:eastAsia="tr-TR"/>
              </w:rPr>
            </w:pPr>
            <w:r w:rsidRPr="002A0502">
              <w:rPr>
                <w:rFonts w:ascii="Calibri" w:eastAsia="Times New Roman" w:hAnsi="Calibri" w:cs="Calibri"/>
                <w:color w:val="000000" w:themeColor="text1"/>
                <w:lang w:eastAsia="tr-TR"/>
              </w:rPr>
              <w:t>2022-2026 Tarife Uygulama Dönemi Perakende Satış Tarifelerinin Revize Edilmesi</w:t>
            </w:r>
          </w:p>
        </w:tc>
      </w:tr>
    </w:tbl>
    <w:p w14:paraId="055F0046" w14:textId="77777777" w:rsidR="00CA62D9" w:rsidRDefault="00CA62D9" w:rsidP="00CA62D9">
      <w:pPr>
        <w:pStyle w:val="Balk3"/>
        <w:numPr>
          <w:ilvl w:val="2"/>
          <w:numId w:val="11"/>
        </w:numPr>
        <w:spacing w:after="240"/>
        <w:rPr>
          <w:rFonts w:asciiTheme="minorHAnsi" w:eastAsia="Times New Roman" w:hAnsiTheme="minorHAnsi" w:cs="Times New Roman"/>
          <w:color w:val="000000" w:themeColor="text1"/>
        </w:rPr>
      </w:pPr>
      <w:bookmarkStart w:id="257" w:name="_Toc66267390"/>
      <w:bookmarkStart w:id="258" w:name="_Toc195868732"/>
      <w:r w:rsidRPr="002048A7">
        <w:rPr>
          <w:rFonts w:asciiTheme="minorHAnsi" w:eastAsia="Times New Roman" w:hAnsiTheme="minorHAnsi" w:cs="Times New Roman"/>
          <w:color w:val="000000" w:themeColor="text1"/>
        </w:rPr>
        <w:t>Doğal Gaz Piyasası ile İlgili Alınan Diğer Tarife Kurul Kararları</w:t>
      </w:r>
      <w:bookmarkEnd w:id="257"/>
      <w:bookmarkEnd w:id="258"/>
    </w:p>
    <w:p w14:paraId="289A22BF" w14:textId="77777777" w:rsidR="00CA62D9" w:rsidRDefault="00CA62D9" w:rsidP="00CA62D9">
      <w:r>
        <w:t xml:space="preserve">27.07.2024 </w:t>
      </w:r>
      <w:r w:rsidRPr="00B622E1">
        <w:t>tarihli ve 32</w:t>
      </w:r>
      <w:r>
        <w:t>614</w:t>
      </w:r>
      <w:r w:rsidRPr="00B622E1">
        <w:t xml:space="preserve"> sayılı Resmî Gazetede yayımlanan </w:t>
      </w:r>
      <w:r>
        <w:t>25</w:t>
      </w:r>
      <w:r w:rsidRPr="00B622E1">
        <w:t>.</w:t>
      </w:r>
      <w:r>
        <w:t>07</w:t>
      </w:r>
      <w:r w:rsidRPr="00B622E1">
        <w:t>.202</w:t>
      </w:r>
      <w:r>
        <w:t>4</w:t>
      </w:r>
      <w:r w:rsidRPr="00B622E1">
        <w:t xml:space="preserve"> tarihli ve 1</w:t>
      </w:r>
      <w:r>
        <w:t>2773</w:t>
      </w:r>
      <w:r w:rsidRPr="00B622E1">
        <w:t xml:space="preserve"> sayılı Kurul Kararı ile</w:t>
      </w:r>
      <w:r>
        <w:t xml:space="preserve"> Aksa Mustafakemalpaşa Susurluk Karacabey Doğal Gaz Dağıtım Anonim Şirketi’nin üçüncü tarife uygulama dönemine ilişkin yatırım tavanı tutarı ilave yatırım tavanı verilerek revize edilmiştir.</w:t>
      </w:r>
    </w:p>
    <w:p w14:paraId="3C33BE65" w14:textId="77777777" w:rsidR="00CA62D9" w:rsidRDefault="00CA62D9" w:rsidP="00CA62D9">
      <w:r>
        <w:t xml:space="preserve">27.07.2024 </w:t>
      </w:r>
      <w:r w:rsidRPr="00B622E1">
        <w:t>tarihli ve 32</w:t>
      </w:r>
      <w:r>
        <w:t>614</w:t>
      </w:r>
      <w:r w:rsidRPr="00B622E1">
        <w:t xml:space="preserve"> sayılı Resmî Gazetede yayımlanan </w:t>
      </w:r>
      <w:r>
        <w:t>25</w:t>
      </w:r>
      <w:r w:rsidRPr="00B622E1">
        <w:t>.</w:t>
      </w:r>
      <w:r>
        <w:t>07</w:t>
      </w:r>
      <w:r w:rsidRPr="00B622E1">
        <w:t>.202</w:t>
      </w:r>
      <w:r>
        <w:t>4</w:t>
      </w:r>
      <w:r w:rsidRPr="00B622E1">
        <w:t xml:space="preserve"> tarihli ve 1</w:t>
      </w:r>
      <w:r>
        <w:t>2774</w:t>
      </w:r>
      <w:r w:rsidRPr="00B622E1">
        <w:t xml:space="preserve"> sayılı Kurul Kararı ile</w:t>
      </w:r>
      <w:r>
        <w:t xml:space="preserve"> Aksa </w:t>
      </w:r>
      <w:proofErr w:type="gramStart"/>
      <w:r>
        <w:t>Elazığ</w:t>
      </w:r>
      <w:proofErr w:type="gramEnd"/>
      <w:r>
        <w:t xml:space="preserve"> Doğalgaz Dağıtım Anonim Şirketi’nin </w:t>
      </w:r>
      <w:r w:rsidRPr="00F0308A">
        <w:t>üçüncü tarife uygulama dönemine ilişkin yatırım tavanı tutarı ilave yatırım tavanı verilerek revize edilmiştir.</w:t>
      </w:r>
    </w:p>
    <w:p w14:paraId="281C0DB2" w14:textId="77777777" w:rsidR="00CA62D9" w:rsidRDefault="00CA62D9" w:rsidP="00CA62D9">
      <w:r>
        <w:t xml:space="preserve">27.07.2024 </w:t>
      </w:r>
      <w:r w:rsidRPr="00B622E1">
        <w:t>tarihli ve 32</w:t>
      </w:r>
      <w:r>
        <w:t>614</w:t>
      </w:r>
      <w:r w:rsidRPr="00B622E1">
        <w:t xml:space="preserve"> sayılı Resmî Gazetede yayımlanan </w:t>
      </w:r>
      <w:r>
        <w:t>25</w:t>
      </w:r>
      <w:r w:rsidRPr="00B622E1">
        <w:t>.</w:t>
      </w:r>
      <w:r>
        <w:t>07</w:t>
      </w:r>
      <w:r w:rsidRPr="00B622E1">
        <w:t>.202</w:t>
      </w:r>
      <w:r>
        <w:t>4</w:t>
      </w:r>
      <w:r w:rsidRPr="00B622E1">
        <w:t xml:space="preserve"> tarihli ve 1</w:t>
      </w:r>
      <w:r>
        <w:t>2772</w:t>
      </w:r>
      <w:r w:rsidRPr="00B622E1">
        <w:t xml:space="preserve"> sayılı Kurul Kararı ile</w:t>
      </w:r>
      <w:r>
        <w:t xml:space="preserve"> Aksa Düzce Ereğli Doğal Gaz Dağıtım Anonim Şirketi’nin </w:t>
      </w:r>
      <w:r w:rsidRPr="00F0308A">
        <w:t>üçüncü tarife uygulama dönemine ilişkin yatırım tavanı tutarı ilave yatırım tavanı verilerek revize edilmiştir.</w:t>
      </w:r>
    </w:p>
    <w:p w14:paraId="574639CF" w14:textId="77777777" w:rsidR="00CA62D9" w:rsidRDefault="00CA62D9" w:rsidP="00CA62D9">
      <w:r>
        <w:t xml:space="preserve">29.06.2024 </w:t>
      </w:r>
      <w:r w:rsidRPr="00B622E1">
        <w:t>tarihli ve 32</w:t>
      </w:r>
      <w:r>
        <w:t xml:space="preserve">587 </w:t>
      </w:r>
      <w:r w:rsidRPr="00B622E1">
        <w:t xml:space="preserve">sayılı Resmî Gazetede yayımlanan </w:t>
      </w:r>
      <w:r>
        <w:t>27</w:t>
      </w:r>
      <w:r w:rsidRPr="00B622E1">
        <w:t>.</w:t>
      </w:r>
      <w:r>
        <w:t>06</w:t>
      </w:r>
      <w:r w:rsidRPr="00B622E1">
        <w:t>.202</w:t>
      </w:r>
      <w:r>
        <w:t>4</w:t>
      </w:r>
      <w:r w:rsidRPr="00B622E1">
        <w:t xml:space="preserve"> tarihli ve 1</w:t>
      </w:r>
      <w:r>
        <w:t>2712</w:t>
      </w:r>
      <w:r w:rsidRPr="00B622E1">
        <w:t xml:space="preserve"> sayılı Kurul Kararı ile</w:t>
      </w:r>
      <w:r>
        <w:t xml:space="preserve"> Gazdaş Gaziantep Doğal Gaz Dağıtım Anonim Şirketi’nin </w:t>
      </w:r>
      <w:r w:rsidRPr="00F0308A">
        <w:t>üçüncü tarife uygulama dönemine ilişkin yatırım tavanı tutarı ilave yatırım tavanı verilerek revize edilmiştir.</w:t>
      </w:r>
    </w:p>
    <w:p w14:paraId="3C24935D" w14:textId="77777777" w:rsidR="00CA62D9" w:rsidRDefault="00CA62D9" w:rsidP="00CA62D9">
      <w:r>
        <w:t xml:space="preserve">29.06.2024 </w:t>
      </w:r>
      <w:r w:rsidRPr="00B622E1">
        <w:t>tarihli ve 32</w:t>
      </w:r>
      <w:r>
        <w:t xml:space="preserve">587 </w:t>
      </w:r>
      <w:r w:rsidRPr="00B622E1">
        <w:t xml:space="preserve">sayılı Resmî Gazetede yayımlanan </w:t>
      </w:r>
      <w:r>
        <w:t>27</w:t>
      </w:r>
      <w:r w:rsidRPr="00B622E1">
        <w:t>.</w:t>
      </w:r>
      <w:r>
        <w:t>06</w:t>
      </w:r>
      <w:r w:rsidRPr="00B622E1">
        <w:t>.202</w:t>
      </w:r>
      <w:r>
        <w:t>4</w:t>
      </w:r>
      <w:r w:rsidRPr="00B622E1">
        <w:t xml:space="preserve"> tarihli ve 1</w:t>
      </w:r>
      <w:r>
        <w:t>2713</w:t>
      </w:r>
      <w:r w:rsidRPr="00B622E1">
        <w:t xml:space="preserve"> sayılı Kurul Kararı ile</w:t>
      </w:r>
      <w:r>
        <w:t xml:space="preserve"> Trakya Bölgesi Doğal Gaz Dağıtım Anonim Şirketi’nin </w:t>
      </w:r>
      <w:r w:rsidRPr="00F0308A">
        <w:t>üçüncü tarife uygulama dönemine ilişkin yatırım tavanı tutarı ilave yatırım tavanı verilerek revize edilmiştir.</w:t>
      </w:r>
    </w:p>
    <w:p w14:paraId="62363678" w14:textId="77777777" w:rsidR="00CA62D9" w:rsidRDefault="00CA62D9" w:rsidP="00CA62D9">
      <w:r>
        <w:t xml:space="preserve">14.12.2024 </w:t>
      </w:r>
      <w:r w:rsidRPr="00B622E1">
        <w:t>tarihli ve 32</w:t>
      </w:r>
      <w:r>
        <w:t xml:space="preserve">752 </w:t>
      </w:r>
      <w:r w:rsidRPr="00B622E1">
        <w:t xml:space="preserve">sayılı Resmî Gazetede yayımlanan </w:t>
      </w:r>
      <w:r>
        <w:t>12</w:t>
      </w:r>
      <w:r w:rsidRPr="00B622E1">
        <w:t>.</w:t>
      </w:r>
      <w:r>
        <w:t>12</w:t>
      </w:r>
      <w:r w:rsidRPr="00B622E1">
        <w:t>.202</w:t>
      </w:r>
      <w:r>
        <w:t>4</w:t>
      </w:r>
      <w:r w:rsidRPr="00B622E1">
        <w:t xml:space="preserve"> tarihli ve 1</w:t>
      </w:r>
      <w:r>
        <w:t>3074</w:t>
      </w:r>
      <w:r w:rsidRPr="00B622E1">
        <w:t xml:space="preserve"> sayılı Kurul Kararı ile</w:t>
      </w:r>
      <w:r>
        <w:t xml:space="preserve"> Udaş Uşak Doğal Gaz Dağıtım Sanayi ve Ticaret Anonim Şirketi’nin </w:t>
      </w:r>
      <w:r w:rsidRPr="00F0308A">
        <w:t>üçüncü tarife uygulama dönemine ilişkin yatırım tavanı tutarı ilave yatırım tavanı verilerek revize edilmiştir.</w:t>
      </w:r>
    </w:p>
    <w:p w14:paraId="54D471B5" w14:textId="77777777" w:rsidR="00CA62D9" w:rsidRDefault="00CA62D9" w:rsidP="00CA62D9">
      <w:r>
        <w:t>24.1</w:t>
      </w:r>
      <w:r w:rsidRPr="00B622E1">
        <w:t>2.</w:t>
      </w:r>
      <w:r>
        <w:t>2024</w:t>
      </w:r>
      <w:r w:rsidRPr="00B622E1">
        <w:t xml:space="preserve"> tarihli ve 32</w:t>
      </w:r>
      <w:r>
        <w:t>762</w:t>
      </w:r>
      <w:r w:rsidRPr="00B622E1">
        <w:t xml:space="preserve"> sayılı Resmî Gazetede yayımlanan </w:t>
      </w:r>
      <w:r>
        <w:t>1</w:t>
      </w:r>
      <w:r w:rsidRPr="00B622E1">
        <w:t>9.</w:t>
      </w:r>
      <w:r>
        <w:t>1</w:t>
      </w:r>
      <w:r w:rsidRPr="00B622E1">
        <w:t>2.202</w:t>
      </w:r>
      <w:r>
        <w:t>4</w:t>
      </w:r>
      <w:r w:rsidRPr="00B622E1">
        <w:t xml:space="preserve"> tarihli ve 1</w:t>
      </w:r>
      <w:r>
        <w:t>3101-2</w:t>
      </w:r>
      <w:r w:rsidRPr="00B622E1">
        <w:t xml:space="preserve"> sayılı Kurul Kararı ile </w:t>
      </w:r>
      <w:r>
        <w:t>Enerji Piyasaları İşletme Anonim Şirketi’nin Spot Doğal Gaz Piyasası İşletim Gelir Tavanının Karşılanması için Uygulanacak Bedel ve Komisyonlar ile Uygulamaya İlişkin Yöntem Bildirimi</w:t>
      </w:r>
      <w:r w:rsidRPr="00B622E1">
        <w:t xml:space="preserve"> kabul edilmiştir.</w:t>
      </w:r>
    </w:p>
    <w:p w14:paraId="751B1DF8" w14:textId="77777777" w:rsidR="00CA62D9" w:rsidRDefault="00CA62D9" w:rsidP="00CA62D9">
      <w:r>
        <w:t>23.03</w:t>
      </w:r>
      <w:r w:rsidRPr="00B622E1">
        <w:t>.</w:t>
      </w:r>
      <w:r>
        <w:t>2024</w:t>
      </w:r>
      <w:r w:rsidRPr="00B622E1">
        <w:t xml:space="preserve"> tarihli ve 32</w:t>
      </w:r>
      <w:r>
        <w:t>498</w:t>
      </w:r>
      <w:r w:rsidRPr="00B622E1">
        <w:t xml:space="preserve"> sayılı Resmî Gazetede yayımlanan </w:t>
      </w:r>
      <w:r>
        <w:t>21</w:t>
      </w:r>
      <w:r w:rsidRPr="00B622E1">
        <w:t>.</w:t>
      </w:r>
      <w:r>
        <w:t>03</w:t>
      </w:r>
      <w:r w:rsidRPr="00B622E1">
        <w:t>.202</w:t>
      </w:r>
      <w:r>
        <w:t>4</w:t>
      </w:r>
      <w:r w:rsidRPr="00B622E1">
        <w:t xml:space="preserve"> tarihli ve </w:t>
      </w:r>
      <w:r>
        <w:t xml:space="preserve">12519 </w:t>
      </w:r>
      <w:r w:rsidRPr="00B622E1">
        <w:t xml:space="preserve">sayılı Kurul Kararı ile </w:t>
      </w:r>
      <w:r>
        <w:t>Boru Hatları ile Petrol Taşıma Anonim Şirketi’ne ait Silivri Yer Altı Doğal Gaz Depolama Tesisi’nin (BOTAŞ Silivri Depolama Tesisi) 2024-2025 tarife uygulama dönemine ilişkin depolama tarifesine esas yıllık gelir gereksinimleri belirlenmiştir.</w:t>
      </w:r>
    </w:p>
    <w:p w14:paraId="2C599E8B" w14:textId="77777777" w:rsidR="00CA62D9" w:rsidRDefault="00CA62D9" w:rsidP="00CA62D9">
      <w:r>
        <w:t>23.03</w:t>
      </w:r>
      <w:r w:rsidRPr="00B622E1">
        <w:t>.</w:t>
      </w:r>
      <w:r>
        <w:t>2024</w:t>
      </w:r>
      <w:r w:rsidRPr="00B622E1">
        <w:t xml:space="preserve"> tarihli ve 32</w:t>
      </w:r>
      <w:r>
        <w:t>498</w:t>
      </w:r>
      <w:r w:rsidRPr="00B622E1">
        <w:t xml:space="preserve"> sayılı Resmî Gazetede yayımlanan </w:t>
      </w:r>
      <w:r>
        <w:t>21</w:t>
      </w:r>
      <w:r w:rsidRPr="00B622E1">
        <w:t>.</w:t>
      </w:r>
      <w:r>
        <w:t>03</w:t>
      </w:r>
      <w:r w:rsidRPr="00B622E1">
        <w:t>.202</w:t>
      </w:r>
      <w:r>
        <w:t>4</w:t>
      </w:r>
      <w:r w:rsidRPr="00B622E1">
        <w:t xml:space="preserve"> tarihli ve </w:t>
      </w:r>
      <w:r>
        <w:t xml:space="preserve">12520 </w:t>
      </w:r>
      <w:r w:rsidRPr="00B622E1">
        <w:t xml:space="preserve">sayılı Kurul Kararı ile </w:t>
      </w:r>
      <w:r>
        <w:t>Boru Hatları ile Petrol Taşıma Anonim Şirketi’ne ait Tuz Gölü Yer Altı Doğal Gaz Depolama Tesisi’nin (BOTAŞ tuz Gölü Depolama Tesisi) 2024-2025 tarife uygulama dönemine ilişkin depolama tarifesine esas yıllık gelir gereksinimleri belirlenmiştir.</w:t>
      </w:r>
    </w:p>
    <w:p w14:paraId="05240042" w14:textId="77777777" w:rsidR="00CA62D9" w:rsidRDefault="00CA62D9" w:rsidP="00CA62D9">
      <w:r>
        <w:lastRenderedPageBreak/>
        <w:t>23.03</w:t>
      </w:r>
      <w:r w:rsidRPr="00B622E1">
        <w:t>.</w:t>
      </w:r>
      <w:r>
        <w:t>2024</w:t>
      </w:r>
      <w:r w:rsidRPr="00B622E1">
        <w:t xml:space="preserve"> tarihli ve 32</w:t>
      </w:r>
      <w:r>
        <w:t>498</w:t>
      </w:r>
      <w:r w:rsidRPr="00B622E1">
        <w:t xml:space="preserve"> sayılı Resmî Gazetede yayımlanan </w:t>
      </w:r>
      <w:r>
        <w:t>21</w:t>
      </w:r>
      <w:r w:rsidRPr="00B622E1">
        <w:t>.</w:t>
      </w:r>
      <w:r>
        <w:t>03</w:t>
      </w:r>
      <w:r w:rsidRPr="00B622E1">
        <w:t>.202</w:t>
      </w:r>
      <w:r>
        <w:t>4</w:t>
      </w:r>
      <w:r w:rsidRPr="00B622E1">
        <w:t xml:space="preserve"> tarihli ve </w:t>
      </w:r>
      <w:r>
        <w:t xml:space="preserve">12521 </w:t>
      </w:r>
      <w:r w:rsidRPr="00B622E1">
        <w:t xml:space="preserve">sayılı Kurul Kararı ile </w:t>
      </w:r>
      <w:r>
        <w:t>Boru Hatları ile Petrol Taşıma Anonim Şirketi’ne ait Tuz Gölü Yer Altı Doğal Gaz Depolama Tesisi’nin (BOTAŞ tuz Gölü Depolama Tesisi) ve Tuz Gölü Yer Altı Doğal Gaz Depolama Tesisi’nin (BOTAŞ tuz Gölü Depolama Tesisi) 2024-2025 tarife uygulama dönemine ilişkin Yöntem Bildirimi</w:t>
      </w:r>
      <w:r w:rsidRPr="00B622E1">
        <w:t xml:space="preserve"> kabul edilmiştir.</w:t>
      </w:r>
    </w:p>
    <w:p w14:paraId="512A9B93" w14:textId="77777777" w:rsidR="00CA62D9" w:rsidRDefault="00CA62D9" w:rsidP="00CA62D9">
      <w:r>
        <w:t>23.03</w:t>
      </w:r>
      <w:r w:rsidRPr="00B622E1">
        <w:t>.</w:t>
      </w:r>
      <w:r>
        <w:t>2024</w:t>
      </w:r>
      <w:r w:rsidRPr="00B622E1">
        <w:t xml:space="preserve"> tarihli ve 32</w:t>
      </w:r>
      <w:r>
        <w:t>498</w:t>
      </w:r>
      <w:r w:rsidRPr="00B622E1">
        <w:t xml:space="preserve"> sayılı Resmî Gazetede yayımlanan </w:t>
      </w:r>
      <w:r>
        <w:t>21</w:t>
      </w:r>
      <w:r w:rsidRPr="00B622E1">
        <w:t>.</w:t>
      </w:r>
      <w:r>
        <w:t>03</w:t>
      </w:r>
      <w:r w:rsidRPr="00B622E1">
        <w:t>.202</w:t>
      </w:r>
      <w:r>
        <w:t>4</w:t>
      </w:r>
      <w:r w:rsidRPr="00B622E1">
        <w:t xml:space="preserve"> tarihli ve </w:t>
      </w:r>
      <w:r>
        <w:t xml:space="preserve">12522 </w:t>
      </w:r>
      <w:r w:rsidRPr="00B622E1">
        <w:t xml:space="preserve">sayılı Kurul Kararı ile </w:t>
      </w:r>
      <w:r>
        <w:t>Boru Hatları ile Petrol Taşıma Anonim Şirketi’ne ait Tuz Gölü Yer Altı Doğal Gaz Depolama Tesisi’nin (BOTAŞ tuz Gölü Depolama Tesisi) ve Tuz Gölü Yer Altı Doğal Gaz Depolama Tesisi’nin (BOTAŞ tuz Gölü Depolama Tesisi) 2024-2025 tarife uygulama dönemine ilişkin depolama tarifeleri belirlenmiştir. 2024 yılında geçerli olacak depolama bedelleri üst sınırları Tablo 4.26’da verilmiştir.</w:t>
      </w:r>
    </w:p>
    <w:p w14:paraId="6A9F27B3" w14:textId="77777777" w:rsidR="00CA62D9" w:rsidRPr="002048A7" w:rsidRDefault="00CA62D9" w:rsidP="00CA62D9">
      <w:pPr>
        <w:spacing w:after="0" w:line="240" w:lineRule="auto"/>
        <w:ind w:left="709"/>
        <w:rPr>
          <w:rFonts w:eastAsia="Times New Roman" w:cstheme="minorHAnsi"/>
          <w:bCs/>
          <w:i/>
          <w:color w:val="000000"/>
          <w:sz w:val="24"/>
          <w:szCs w:val="24"/>
          <w:lang w:eastAsia="tr-TR"/>
        </w:rPr>
      </w:pPr>
    </w:p>
    <w:p w14:paraId="76C2DAEF" w14:textId="77777777" w:rsidR="00CA62D9" w:rsidRPr="002048A7" w:rsidRDefault="00CA62D9" w:rsidP="00CA62D9">
      <w:pPr>
        <w:pStyle w:val="Balk5"/>
        <w:spacing w:before="0" w:line="269" w:lineRule="auto"/>
        <w:ind w:left="708" w:firstLine="62"/>
        <w:rPr>
          <w:b/>
          <w:bCs/>
          <w:color w:val="000000" w:themeColor="text1"/>
        </w:rPr>
      </w:pPr>
      <w:bookmarkStart w:id="259" w:name="_Toc195868834"/>
      <w:r w:rsidRPr="002048A7">
        <w:rPr>
          <w:rStyle w:val="Gl"/>
          <w:color w:val="000000" w:themeColor="text1"/>
        </w:rPr>
        <w:t>Tablo 4.26: 202</w:t>
      </w:r>
      <w:r>
        <w:rPr>
          <w:rStyle w:val="Gl"/>
          <w:color w:val="000000" w:themeColor="text1"/>
        </w:rPr>
        <w:t>4</w:t>
      </w:r>
      <w:r w:rsidRPr="002048A7">
        <w:rPr>
          <w:rStyle w:val="Gl"/>
          <w:color w:val="000000" w:themeColor="text1"/>
        </w:rPr>
        <w:t xml:space="preserve"> Depolama Bedelleri Üst Sınırları </w:t>
      </w:r>
      <w:r>
        <w:rPr>
          <w:rStyle w:val="Gl"/>
          <w:color w:val="000000" w:themeColor="text1"/>
        </w:rPr>
        <w:t>(Yi-ÜFE=2659,60)</w:t>
      </w:r>
      <w:bookmarkEnd w:id="259"/>
    </w:p>
    <w:tbl>
      <w:tblPr>
        <w:tblW w:w="7012" w:type="dxa"/>
        <w:tblInd w:w="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45"/>
        <w:gridCol w:w="1767"/>
      </w:tblGrid>
      <w:tr w:rsidR="00CA62D9" w:rsidRPr="002048A7" w14:paraId="3BD69B1F" w14:textId="77777777" w:rsidTr="00F45E83">
        <w:trPr>
          <w:trHeight w:val="20"/>
        </w:trPr>
        <w:tc>
          <w:tcPr>
            <w:tcW w:w="5245" w:type="dxa"/>
            <w:shd w:val="clear" w:color="auto" w:fill="auto"/>
            <w:noWrap/>
            <w:vAlign w:val="bottom"/>
            <w:hideMark/>
          </w:tcPr>
          <w:p w14:paraId="2C560C05" w14:textId="77777777" w:rsidR="00CA62D9" w:rsidRPr="002048A7" w:rsidRDefault="00CA62D9" w:rsidP="00F45E83">
            <w:pPr>
              <w:spacing w:after="0" w:line="240" w:lineRule="auto"/>
              <w:ind w:left="851"/>
              <w:rPr>
                <w:b/>
              </w:rPr>
            </w:pPr>
            <w:r w:rsidRPr="002048A7">
              <w:rPr>
                <w:b/>
              </w:rPr>
              <w:t>DEPOLAMA TARİFELERİ</w:t>
            </w:r>
          </w:p>
        </w:tc>
        <w:tc>
          <w:tcPr>
            <w:tcW w:w="1767" w:type="dxa"/>
            <w:shd w:val="clear" w:color="auto" w:fill="auto"/>
            <w:noWrap/>
            <w:vAlign w:val="center"/>
            <w:hideMark/>
          </w:tcPr>
          <w:p w14:paraId="7C17E5C4" w14:textId="77777777" w:rsidR="00CA62D9" w:rsidRPr="002048A7" w:rsidRDefault="00CA62D9" w:rsidP="0089088E">
            <w:pPr>
              <w:spacing w:after="0" w:line="240" w:lineRule="auto"/>
              <w:jc w:val="center"/>
              <w:rPr>
                <w:b/>
              </w:rPr>
            </w:pPr>
            <w:r w:rsidRPr="002048A7">
              <w:rPr>
                <w:b/>
              </w:rPr>
              <w:t>(TL/Sm</w:t>
            </w:r>
            <w:r w:rsidRPr="002048A7">
              <w:rPr>
                <w:b/>
                <w:vertAlign w:val="superscript"/>
              </w:rPr>
              <w:t>3</w:t>
            </w:r>
            <w:r w:rsidRPr="002048A7">
              <w:rPr>
                <w:b/>
              </w:rPr>
              <w:t>)</w:t>
            </w:r>
          </w:p>
        </w:tc>
      </w:tr>
      <w:tr w:rsidR="00CA62D9" w:rsidRPr="002048A7" w14:paraId="3C14EE69" w14:textId="77777777" w:rsidTr="00F45E83">
        <w:trPr>
          <w:trHeight w:val="20"/>
        </w:trPr>
        <w:tc>
          <w:tcPr>
            <w:tcW w:w="5245" w:type="dxa"/>
            <w:shd w:val="clear" w:color="auto" w:fill="auto"/>
            <w:noWrap/>
            <w:vAlign w:val="bottom"/>
            <w:hideMark/>
          </w:tcPr>
          <w:p w14:paraId="3309C51C" w14:textId="77777777" w:rsidR="00CA62D9" w:rsidRPr="002048A7" w:rsidRDefault="00CA62D9" w:rsidP="00F45E83">
            <w:pPr>
              <w:spacing w:after="0" w:line="240" w:lineRule="auto"/>
              <w:ind w:left="851"/>
            </w:pPr>
            <w:r w:rsidRPr="002048A7">
              <w:t>Kapasite Bedeli</w:t>
            </w:r>
          </w:p>
        </w:tc>
        <w:tc>
          <w:tcPr>
            <w:tcW w:w="1767" w:type="dxa"/>
            <w:shd w:val="clear" w:color="auto" w:fill="auto"/>
            <w:noWrap/>
            <w:vAlign w:val="bottom"/>
          </w:tcPr>
          <w:p w14:paraId="18DB9CA4" w14:textId="77777777" w:rsidR="00CA62D9" w:rsidRPr="002048A7" w:rsidRDefault="00CA62D9" w:rsidP="0089088E">
            <w:pPr>
              <w:spacing w:after="0" w:line="240" w:lineRule="auto"/>
              <w:jc w:val="center"/>
            </w:pPr>
            <w:r>
              <w:t>2</w:t>
            </w:r>
            <w:r w:rsidRPr="002048A7">
              <w:t>,</w:t>
            </w:r>
            <w:r>
              <w:t>092334</w:t>
            </w:r>
          </w:p>
        </w:tc>
      </w:tr>
      <w:tr w:rsidR="00CA62D9" w:rsidRPr="002048A7" w14:paraId="10877E4E" w14:textId="77777777" w:rsidTr="00F45E83">
        <w:trPr>
          <w:trHeight w:val="20"/>
        </w:trPr>
        <w:tc>
          <w:tcPr>
            <w:tcW w:w="5245" w:type="dxa"/>
            <w:shd w:val="clear" w:color="auto" w:fill="auto"/>
            <w:noWrap/>
            <w:vAlign w:val="bottom"/>
            <w:hideMark/>
          </w:tcPr>
          <w:p w14:paraId="0A0AF9C8" w14:textId="77777777" w:rsidR="00CA62D9" w:rsidRPr="002048A7" w:rsidRDefault="00CA62D9" w:rsidP="00F45E83">
            <w:pPr>
              <w:spacing w:after="0" w:line="240" w:lineRule="auto"/>
              <w:ind w:left="851"/>
            </w:pPr>
            <w:r w:rsidRPr="002048A7">
              <w:t>Enjeksiyon Bedeli</w:t>
            </w:r>
          </w:p>
        </w:tc>
        <w:tc>
          <w:tcPr>
            <w:tcW w:w="1767" w:type="dxa"/>
            <w:shd w:val="clear" w:color="auto" w:fill="auto"/>
            <w:noWrap/>
            <w:vAlign w:val="bottom"/>
          </w:tcPr>
          <w:p w14:paraId="621D13A5" w14:textId="77777777" w:rsidR="00CA62D9" w:rsidRPr="002048A7" w:rsidRDefault="00CA62D9" w:rsidP="0089088E">
            <w:pPr>
              <w:spacing w:after="0" w:line="240" w:lineRule="auto"/>
              <w:jc w:val="center"/>
            </w:pPr>
            <w:r w:rsidRPr="002048A7">
              <w:t>0,</w:t>
            </w:r>
            <w:r>
              <w:t>075920</w:t>
            </w:r>
          </w:p>
        </w:tc>
      </w:tr>
      <w:tr w:rsidR="00CA62D9" w:rsidRPr="002048A7" w14:paraId="2E999B0A" w14:textId="77777777" w:rsidTr="00F45E83">
        <w:trPr>
          <w:trHeight w:val="20"/>
        </w:trPr>
        <w:tc>
          <w:tcPr>
            <w:tcW w:w="5245" w:type="dxa"/>
            <w:shd w:val="clear" w:color="auto" w:fill="auto"/>
            <w:noWrap/>
            <w:vAlign w:val="bottom"/>
            <w:hideMark/>
          </w:tcPr>
          <w:p w14:paraId="39053640" w14:textId="77777777" w:rsidR="00CA62D9" w:rsidRPr="002048A7" w:rsidRDefault="00CA62D9" w:rsidP="00F45E83">
            <w:pPr>
              <w:spacing w:after="0" w:line="240" w:lineRule="auto"/>
              <w:ind w:left="851"/>
            </w:pPr>
            <w:r w:rsidRPr="002048A7">
              <w:t>Geri Üretim Bedeli</w:t>
            </w:r>
          </w:p>
        </w:tc>
        <w:tc>
          <w:tcPr>
            <w:tcW w:w="1767" w:type="dxa"/>
            <w:shd w:val="clear" w:color="auto" w:fill="auto"/>
            <w:noWrap/>
            <w:vAlign w:val="bottom"/>
          </w:tcPr>
          <w:p w14:paraId="17FF0CC5" w14:textId="77777777" w:rsidR="00CA62D9" w:rsidRPr="002048A7" w:rsidRDefault="00CA62D9" w:rsidP="0089088E">
            <w:pPr>
              <w:spacing w:after="0" w:line="240" w:lineRule="auto"/>
              <w:jc w:val="center"/>
            </w:pPr>
            <w:r w:rsidRPr="002048A7">
              <w:t>0,00</w:t>
            </w:r>
            <w:r>
              <w:t>7269</w:t>
            </w:r>
          </w:p>
        </w:tc>
      </w:tr>
      <w:tr w:rsidR="00CA62D9" w:rsidRPr="002048A7" w14:paraId="1F87CD0A" w14:textId="77777777" w:rsidTr="00F45E83">
        <w:trPr>
          <w:trHeight w:val="20"/>
        </w:trPr>
        <w:tc>
          <w:tcPr>
            <w:tcW w:w="5245" w:type="dxa"/>
            <w:shd w:val="clear" w:color="auto" w:fill="auto"/>
            <w:noWrap/>
            <w:vAlign w:val="bottom"/>
            <w:hideMark/>
          </w:tcPr>
          <w:p w14:paraId="55DD8E52" w14:textId="77777777" w:rsidR="00CA62D9" w:rsidRPr="002048A7" w:rsidRDefault="00CA62D9" w:rsidP="00F45E83">
            <w:pPr>
              <w:spacing w:after="0" w:line="240" w:lineRule="auto"/>
              <w:ind w:left="851"/>
              <w:jc w:val="center"/>
            </w:pPr>
          </w:p>
        </w:tc>
        <w:tc>
          <w:tcPr>
            <w:tcW w:w="1767" w:type="dxa"/>
            <w:shd w:val="clear" w:color="auto" w:fill="auto"/>
            <w:noWrap/>
            <w:vAlign w:val="bottom"/>
          </w:tcPr>
          <w:p w14:paraId="2FA9C8C4" w14:textId="77777777" w:rsidR="00CA62D9" w:rsidRPr="002048A7" w:rsidRDefault="00CA62D9" w:rsidP="0089088E">
            <w:pPr>
              <w:spacing w:after="0" w:line="240" w:lineRule="auto"/>
              <w:ind w:left="851"/>
              <w:jc w:val="center"/>
            </w:pPr>
          </w:p>
        </w:tc>
      </w:tr>
      <w:tr w:rsidR="00CA62D9" w:rsidRPr="002048A7" w14:paraId="2B1E92AE" w14:textId="77777777" w:rsidTr="00F45E83">
        <w:trPr>
          <w:trHeight w:val="20"/>
        </w:trPr>
        <w:tc>
          <w:tcPr>
            <w:tcW w:w="5245" w:type="dxa"/>
            <w:shd w:val="clear" w:color="auto" w:fill="auto"/>
            <w:noWrap/>
            <w:vAlign w:val="center"/>
            <w:hideMark/>
          </w:tcPr>
          <w:p w14:paraId="37D1B733" w14:textId="77777777" w:rsidR="00CA62D9" w:rsidRPr="002048A7" w:rsidRDefault="00CA62D9" w:rsidP="00F45E83">
            <w:pPr>
              <w:spacing w:after="0" w:line="240" w:lineRule="auto"/>
              <w:ind w:left="851"/>
            </w:pPr>
            <w:r w:rsidRPr="002048A7">
              <w:t>Enjeksiyon Gaz Takas Bedeli</w:t>
            </w:r>
          </w:p>
        </w:tc>
        <w:tc>
          <w:tcPr>
            <w:tcW w:w="1767" w:type="dxa"/>
            <w:shd w:val="clear" w:color="auto" w:fill="auto"/>
            <w:noWrap/>
            <w:vAlign w:val="center"/>
          </w:tcPr>
          <w:p w14:paraId="036DECB5" w14:textId="77777777" w:rsidR="00CA62D9" w:rsidRPr="002048A7" w:rsidRDefault="00CA62D9" w:rsidP="0089088E">
            <w:pPr>
              <w:spacing w:after="0" w:line="240" w:lineRule="auto"/>
              <w:jc w:val="center"/>
            </w:pPr>
            <w:r w:rsidRPr="002048A7">
              <w:t>0,00</w:t>
            </w:r>
            <w:r>
              <w:t>3796</w:t>
            </w:r>
          </w:p>
        </w:tc>
      </w:tr>
      <w:tr w:rsidR="00CA62D9" w:rsidRPr="002048A7" w14:paraId="77038914" w14:textId="77777777" w:rsidTr="00F45E83">
        <w:trPr>
          <w:trHeight w:val="20"/>
        </w:trPr>
        <w:tc>
          <w:tcPr>
            <w:tcW w:w="5245" w:type="dxa"/>
            <w:shd w:val="clear" w:color="auto" w:fill="auto"/>
            <w:noWrap/>
            <w:vAlign w:val="center"/>
            <w:hideMark/>
          </w:tcPr>
          <w:p w14:paraId="4EEDD628" w14:textId="77777777" w:rsidR="00CA62D9" w:rsidRPr="002048A7" w:rsidRDefault="00CA62D9" w:rsidP="00F45E83">
            <w:pPr>
              <w:spacing w:after="0" w:line="240" w:lineRule="auto"/>
              <w:ind w:left="851"/>
            </w:pPr>
            <w:r w:rsidRPr="002048A7">
              <w:t xml:space="preserve">Geri Üretim Gaz Takas Bedeli </w:t>
            </w:r>
          </w:p>
        </w:tc>
        <w:tc>
          <w:tcPr>
            <w:tcW w:w="1767" w:type="dxa"/>
            <w:shd w:val="clear" w:color="auto" w:fill="auto"/>
            <w:noWrap/>
            <w:vAlign w:val="center"/>
          </w:tcPr>
          <w:p w14:paraId="153D982C" w14:textId="77777777" w:rsidR="00CA62D9" w:rsidRPr="002048A7" w:rsidRDefault="00CA62D9" w:rsidP="0089088E">
            <w:pPr>
              <w:spacing w:after="0" w:line="240" w:lineRule="auto"/>
              <w:jc w:val="center"/>
            </w:pPr>
            <w:r w:rsidRPr="002048A7">
              <w:t>0,000</w:t>
            </w:r>
            <w:r>
              <w:t>363</w:t>
            </w:r>
          </w:p>
        </w:tc>
      </w:tr>
      <w:tr w:rsidR="00CA62D9" w:rsidRPr="002048A7" w14:paraId="41935BFC" w14:textId="77777777" w:rsidTr="00F45E83">
        <w:trPr>
          <w:trHeight w:val="20"/>
        </w:trPr>
        <w:tc>
          <w:tcPr>
            <w:tcW w:w="5245" w:type="dxa"/>
            <w:shd w:val="clear" w:color="auto" w:fill="auto"/>
            <w:noWrap/>
            <w:vAlign w:val="bottom"/>
            <w:hideMark/>
          </w:tcPr>
          <w:p w14:paraId="5DAEADD7" w14:textId="77777777" w:rsidR="00CA62D9" w:rsidRPr="002048A7" w:rsidRDefault="00CA62D9" w:rsidP="00F45E83">
            <w:pPr>
              <w:spacing w:after="0" w:line="240" w:lineRule="auto"/>
              <w:ind w:left="851"/>
              <w:jc w:val="center"/>
            </w:pPr>
          </w:p>
        </w:tc>
        <w:tc>
          <w:tcPr>
            <w:tcW w:w="1767" w:type="dxa"/>
            <w:shd w:val="clear" w:color="auto" w:fill="auto"/>
            <w:noWrap/>
            <w:vAlign w:val="bottom"/>
          </w:tcPr>
          <w:p w14:paraId="114FE866" w14:textId="77777777" w:rsidR="00CA62D9" w:rsidRPr="002048A7" w:rsidRDefault="00CA62D9" w:rsidP="0089088E">
            <w:pPr>
              <w:spacing w:after="0" w:line="240" w:lineRule="auto"/>
              <w:ind w:left="851"/>
              <w:jc w:val="center"/>
            </w:pPr>
          </w:p>
        </w:tc>
      </w:tr>
      <w:tr w:rsidR="00CA62D9" w:rsidRPr="002048A7" w14:paraId="0FFDE1BA" w14:textId="77777777" w:rsidTr="00F45E83">
        <w:trPr>
          <w:trHeight w:val="20"/>
        </w:trPr>
        <w:tc>
          <w:tcPr>
            <w:tcW w:w="5245" w:type="dxa"/>
            <w:shd w:val="clear" w:color="auto" w:fill="auto"/>
            <w:noWrap/>
            <w:vAlign w:val="center"/>
            <w:hideMark/>
          </w:tcPr>
          <w:p w14:paraId="4D3C9E99" w14:textId="77777777" w:rsidR="00CA62D9" w:rsidRPr="002048A7" w:rsidRDefault="00CA62D9" w:rsidP="00F45E83">
            <w:pPr>
              <w:spacing w:after="0" w:line="240" w:lineRule="auto"/>
              <w:ind w:left="851"/>
            </w:pPr>
            <w:r w:rsidRPr="002048A7">
              <w:t xml:space="preserve">Enjeksiyon Hizmet Kesinti Bedeli </w:t>
            </w:r>
          </w:p>
        </w:tc>
        <w:tc>
          <w:tcPr>
            <w:tcW w:w="1767" w:type="dxa"/>
            <w:shd w:val="clear" w:color="auto" w:fill="auto"/>
            <w:noWrap/>
            <w:vAlign w:val="center"/>
          </w:tcPr>
          <w:p w14:paraId="299D3B6F" w14:textId="77777777" w:rsidR="00CA62D9" w:rsidRPr="002048A7" w:rsidRDefault="00CA62D9" w:rsidP="0089088E">
            <w:pPr>
              <w:spacing w:after="0" w:line="240" w:lineRule="auto"/>
              <w:jc w:val="center"/>
            </w:pPr>
            <w:r w:rsidRPr="002048A7">
              <w:t>0,0</w:t>
            </w:r>
            <w:r>
              <w:t>37960</w:t>
            </w:r>
          </w:p>
        </w:tc>
      </w:tr>
      <w:tr w:rsidR="00CA62D9" w:rsidRPr="002048A7" w14:paraId="31EA29E0" w14:textId="77777777" w:rsidTr="00F45E83">
        <w:trPr>
          <w:trHeight w:val="20"/>
        </w:trPr>
        <w:tc>
          <w:tcPr>
            <w:tcW w:w="5245" w:type="dxa"/>
            <w:shd w:val="clear" w:color="auto" w:fill="auto"/>
            <w:noWrap/>
            <w:vAlign w:val="center"/>
            <w:hideMark/>
          </w:tcPr>
          <w:p w14:paraId="19C94C3A" w14:textId="77777777" w:rsidR="00CA62D9" w:rsidRPr="002048A7" w:rsidRDefault="00CA62D9" w:rsidP="00F45E83">
            <w:pPr>
              <w:spacing w:after="0" w:line="240" w:lineRule="auto"/>
              <w:ind w:left="851"/>
            </w:pPr>
            <w:r w:rsidRPr="002048A7">
              <w:t xml:space="preserve">Geri Üretim Hizmet Kesinti Bedeli </w:t>
            </w:r>
          </w:p>
        </w:tc>
        <w:tc>
          <w:tcPr>
            <w:tcW w:w="1767" w:type="dxa"/>
            <w:shd w:val="clear" w:color="auto" w:fill="auto"/>
            <w:noWrap/>
            <w:vAlign w:val="center"/>
          </w:tcPr>
          <w:p w14:paraId="5A7E14A0" w14:textId="77777777" w:rsidR="00CA62D9" w:rsidRPr="002048A7" w:rsidRDefault="00CA62D9" w:rsidP="0089088E">
            <w:pPr>
              <w:spacing w:after="0" w:line="240" w:lineRule="auto"/>
              <w:jc w:val="center"/>
            </w:pPr>
            <w:r w:rsidRPr="002048A7">
              <w:t>0,00</w:t>
            </w:r>
            <w:r>
              <w:t>3635</w:t>
            </w:r>
          </w:p>
        </w:tc>
      </w:tr>
      <w:tr w:rsidR="00CA62D9" w:rsidRPr="002048A7" w14:paraId="1B4C8BE3" w14:textId="77777777" w:rsidTr="00F45E83">
        <w:trPr>
          <w:trHeight w:val="20"/>
        </w:trPr>
        <w:tc>
          <w:tcPr>
            <w:tcW w:w="5245" w:type="dxa"/>
            <w:shd w:val="clear" w:color="auto" w:fill="auto"/>
            <w:noWrap/>
            <w:vAlign w:val="bottom"/>
            <w:hideMark/>
          </w:tcPr>
          <w:p w14:paraId="7F55317D" w14:textId="77777777" w:rsidR="00CA62D9" w:rsidRPr="002048A7" w:rsidRDefault="00CA62D9" w:rsidP="00F45E83">
            <w:pPr>
              <w:spacing w:after="0" w:line="240" w:lineRule="auto"/>
              <w:ind w:left="851"/>
              <w:jc w:val="center"/>
              <w:rPr>
                <w:rFonts w:eastAsia="Times New Roman" w:cstheme="minorHAnsi"/>
                <w:i/>
                <w:color w:val="000000"/>
                <w:sz w:val="24"/>
                <w:szCs w:val="24"/>
                <w:lang w:eastAsia="tr-TR"/>
              </w:rPr>
            </w:pPr>
          </w:p>
        </w:tc>
        <w:tc>
          <w:tcPr>
            <w:tcW w:w="1767" w:type="dxa"/>
            <w:shd w:val="clear" w:color="auto" w:fill="auto"/>
            <w:noWrap/>
            <w:vAlign w:val="bottom"/>
            <w:hideMark/>
          </w:tcPr>
          <w:p w14:paraId="025894AE" w14:textId="77777777" w:rsidR="00CA62D9" w:rsidRPr="002048A7" w:rsidRDefault="00CA62D9" w:rsidP="0089088E">
            <w:pPr>
              <w:spacing w:after="0" w:line="240" w:lineRule="auto"/>
              <w:ind w:left="851"/>
              <w:jc w:val="center"/>
              <w:rPr>
                <w:rFonts w:eastAsia="Times New Roman" w:cstheme="minorHAnsi"/>
                <w:i/>
                <w:color w:val="000000"/>
                <w:sz w:val="24"/>
                <w:szCs w:val="24"/>
                <w:lang w:eastAsia="tr-TR"/>
              </w:rPr>
            </w:pPr>
          </w:p>
        </w:tc>
      </w:tr>
      <w:tr w:rsidR="00CA62D9" w:rsidRPr="002048A7" w14:paraId="724CEC93" w14:textId="77777777" w:rsidTr="00F45E83">
        <w:trPr>
          <w:trHeight w:val="20"/>
        </w:trPr>
        <w:tc>
          <w:tcPr>
            <w:tcW w:w="5245" w:type="dxa"/>
            <w:shd w:val="clear" w:color="auto" w:fill="auto"/>
            <w:vAlign w:val="center"/>
          </w:tcPr>
          <w:p w14:paraId="629F518A" w14:textId="77777777" w:rsidR="00CA62D9" w:rsidRPr="002048A7" w:rsidRDefault="00CA62D9" w:rsidP="00F45E83">
            <w:pPr>
              <w:spacing w:after="0" w:line="240" w:lineRule="auto"/>
              <w:ind w:left="851"/>
              <w:rPr>
                <w:b/>
              </w:rPr>
            </w:pPr>
            <w:r w:rsidRPr="002048A7">
              <w:rPr>
                <w:b/>
              </w:rPr>
              <w:t>KUE 5.2.3. Uyarınca Ödenecek Bedeller</w:t>
            </w:r>
          </w:p>
        </w:tc>
        <w:tc>
          <w:tcPr>
            <w:tcW w:w="1767" w:type="dxa"/>
            <w:shd w:val="clear" w:color="auto" w:fill="auto"/>
            <w:noWrap/>
            <w:vAlign w:val="center"/>
          </w:tcPr>
          <w:p w14:paraId="15081651" w14:textId="77777777" w:rsidR="00CA62D9" w:rsidRPr="002048A7" w:rsidRDefault="00CA62D9" w:rsidP="0089088E">
            <w:pPr>
              <w:spacing w:after="0" w:line="240" w:lineRule="auto"/>
              <w:jc w:val="center"/>
              <w:rPr>
                <w:b/>
              </w:rPr>
            </w:pPr>
            <w:r w:rsidRPr="002048A7">
              <w:rPr>
                <w:b/>
              </w:rPr>
              <w:t>(TL/Sm</w:t>
            </w:r>
            <w:r w:rsidRPr="002048A7">
              <w:rPr>
                <w:b/>
                <w:vertAlign w:val="superscript"/>
              </w:rPr>
              <w:t>3</w:t>
            </w:r>
            <w:r w:rsidRPr="002048A7">
              <w:rPr>
                <w:b/>
              </w:rPr>
              <w:t>)</w:t>
            </w:r>
          </w:p>
        </w:tc>
      </w:tr>
      <w:tr w:rsidR="00CA62D9" w:rsidRPr="002048A7" w14:paraId="789F9BED" w14:textId="77777777" w:rsidTr="00F45E83">
        <w:trPr>
          <w:trHeight w:val="20"/>
        </w:trPr>
        <w:tc>
          <w:tcPr>
            <w:tcW w:w="5245" w:type="dxa"/>
            <w:shd w:val="clear" w:color="auto" w:fill="auto"/>
            <w:vAlign w:val="center"/>
            <w:hideMark/>
          </w:tcPr>
          <w:p w14:paraId="0C1CCABA" w14:textId="77777777" w:rsidR="00CA62D9" w:rsidRPr="002048A7" w:rsidRDefault="00CA62D9" w:rsidP="00F45E83">
            <w:pPr>
              <w:spacing w:after="0" w:line="240" w:lineRule="auto"/>
              <w:ind w:left="851"/>
            </w:pPr>
            <w:r w:rsidRPr="002048A7">
              <w:t>Günlük Kapasite Bedeli</w:t>
            </w:r>
          </w:p>
        </w:tc>
        <w:tc>
          <w:tcPr>
            <w:tcW w:w="1767" w:type="dxa"/>
            <w:shd w:val="clear" w:color="auto" w:fill="auto"/>
            <w:noWrap/>
            <w:vAlign w:val="center"/>
          </w:tcPr>
          <w:p w14:paraId="4799F6D8" w14:textId="77777777" w:rsidR="00CA62D9" w:rsidRPr="002048A7" w:rsidRDefault="00CA62D9" w:rsidP="0089088E">
            <w:pPr>
              <w:spacing w:after="0" w:line="240" w:lineRule="auto"/>
              <w:jc w:val="center"/>
            </w:pPr>
            <w:r w:rsidRPr="002048A7">
              <w:t>0,0</w:t>
            </w:r>
            <w:r>
              <w:t>11465</w:t>
            </w:r>
          </w:p>
        </w:tc>
      </w:tr>
      <w:tr w:rsidR="00CA62D9" w:rsidRPr="002048A7" w14:paraId="6D344238" w14:textId="77777777" w:rsidTr="00F45E83">
        <w:trPr>
          <w:trHeight w:val="20"/>
        </w:trPr>
        <w:tc>
          <w:tcPr>
            <w:tcW w:w="5245" w:type="dxa"/>
            <w:shd w:val="clear" w:color="auto" w:fill="auto"/>
            <w:noWrap/>
            <w:vAlign w:val="center"/>
            <w:hideMark/>
          </w:tcPr>
          <w:p w14:paraId="1E2DBCAD" w14:textId="77777777" w:rsidR="00CA62D9" w:rsidRPr="002048A7" w:rsidRDefault="00CA62D9" w:rsidP="00F45E83">
            <w:pPr>
              <w:spacing w:after="0" w:line="240" w:lineRule="auto"/>
              <w:ind w:left="851"/>
            </w:pPr>
            <w:r w:rsidRPr="002048A7">
              <w:t>Günlük Geri Üretim Bedeli</w:t>
            </w:r>
          </w:p>
        </w:tc>
        <w:tc>
          <w:tcPr>
            <w:tcW w:w="1767" w:type="dxa"/>
            <w:shd w:val="clear" w:color="auto" w:fill="auto"/>
            <w:noWrap/>
            <w:vAlign w:val="center"/>
          </w:tcPr>
          <w:p w14:paraId="5BABE9C6" w14:textId="77777777" w:rsidR="00CA62D9" w:rsidRPr="002048A7" w:rsidRDefault="00CA62D9" w:rsidP="0089088E">
            <w:pPr>
              <w:spacing w:after="0" w:line="240" w:lineRule="auto"/>
              <w:jc w:val="center"/>
            </w:pPr>
            <w:r w:rsidRPr="002048A7">
              <w:t>0,01</w:t>
            </w:r>
            <w:r>
              <w:t>4538</w:t>
            </w:r>
          </w:p>
        </w:tc>
      </w:tr>
    </w:tbl>
    <w:p w14:paraId="08DD50C3" w14:textId="77777777" w:rsidR="00CA62D9" w:rsidRDefault="00CA62D9" w:rsidP="00CA62D9"/>
    <w:p w14:paraId="2D700A67" w14:textId="77777777" w:rsidR="00880ED3" w:rsidRPr="002048A7" w:rsidRDefault="002C3099" w:rsidP="00577AAF">
      <w:pPr>
        <w:pStyle w:val="Balk3"/>
        <w:numPr>
          <w:ilvl w:val="2"/>
          <w:numId w:val="11"/>
        </w:numPr>
        <w:spacing w:after="240"/>
        <w:rPr>
          <w:rFonts w:asciiTheme="minorHAnsi" w:hAnsiTheme="minorHAnsi"/>
          <w:color w:val="000000" w:themeColor="text1"/>
        </w:rPr>
      </w:pPr>
      <w:bookmarkStart w:id="260" w:name="_Toc195868733"/>
      <w:r w:rsidRPr="002048A7">
        <w:rPr>
          <w:rFonts w:asciiTheme="minorHAnsi" w:hAnsiTheme="minorHAnsi"/>
          <w:color w:val="000000" w:themeColor="text1"/>
        </w:rPr>
        <w:t>Lisans Bedelleri</w:t>
      </w:r>
      <w:bookmarkEnd w:id="226"/>
      <w:bookmarkEnd w:id="260"/>
    </w:p>
    <w:p w14:paraId="3E4BE8C9" w14:textId="351429C5" w:rsidR="002C3099" w:rsidRPr="002048A7" w:rsidRDefault="0068033C" w:rsidP="002C3099">
      <w:pPr>
        <w:tabs>
          <w:tab w:val="left" w:pos="284"/>
          <w:tab w:val="left" w:pos="567"/>
          <w:tab w:val="left" w:pos="709"/>
          <w:tab w:val="left" w:pos="851"/>
        </w:tabs>
        <w:spacing w:after="0"/>
        <w:rPr>
          <w:color w:val="000000" w:themeColor="text1"/>
        </w:rPr>
      </w:pPr>
      <w:r>
        <w:t>29</w:t>
      </w:r>
      <w:r w:rsidRPr="002048A7">
        <w:t>.12.202</w:t>
      </w:r>
      <w:r>
        <w:t>4</w:t>
      </w:r>
      <w:r w:rsidRPr="002048A7">
        <w:t xml:space="preserve"> tarihli ve 32</w:t>
      </w:r>
      <w:r>
        <w:t>767</w:t>
      </w:r>
      <w:r w:rsidRPr="002048A7">
        <w:t xml:space="preserve"> sayılı Resmî Gazetede yayımlanan </w:t>
      </w:r>
      <w:r>
        <w:t>26</w:t>
      </w:r>
      <w:r w:rsidRPr="002048A7">
        <w:t>.12.202</w:t>
      </w:r>
      <w:r>
        <w:t>4</w:t>
      </w:r>
      <w:r w:rsidRPr="002048A7">
        <w:t xml:space="preserve"> tarihli ve 1</w:t>
      </w:r>
      <w:r>
        <w:t>3110</w:t>
      </w:r>
      <w:r w:rsidRPr="002048A7">
        <w:t xml:space="preserve"> sayılı Kurul Kararı ile </w:t>
      </w:r>
      <w:r w:rsidR="002C3099" w:rsidRPr="002048A7">
        <w:rPr>
          <w:color w:val="000000" w:themeColor="text1"/>
        </w:rPr>
        <w:t>4628 sayılı Kanunun 10</w:t>
      </w:r>
      <w:r w:rsidR="00847DDF" w:rsidRPr="002048A7">
        <w:rPr>
          <w:color w:val="000000" w:themeColor="text1"/>
        </w:rPr>
        <w:t>’</w:t>
      </w:r>
      <w:r w:rsidR="002C3099" w:rsidRPr="002048A7">
        <w:rPr>
          <w:color w:val="000000" w:themeColor="text1"/>
        </w:rPr>
        <w:t>uncu maddesinin 4646 sayılı Kanun ile değişik (B) fıkrasının (a) bendi uyarınca doğal gaz piyasasında 202</w:t>
      </w:r>
      <w:r>
        <w:rPr>
          <w:color w:val="000000" w:themeColor="text1"/>
        </w:rPr>
        <w:t>5</w:t>
      </w:r>
      <w:r w:rsidR="002C3099" w:rsidRPr="002048A7">
        <w:rPr>
          <w:color w:val="000000" w:themeColor="text1"/>
        </w:rPr>
        <w:t xml:space="preserve"> yılında uygulanacak katılma payı belirlenmiştir.</w:t>
      </w:r>
    </w:p>
    <w:p w14:paraId="012E38EC" w14:textId="77777777" w:rsidR="002C3099" w:rsidRPr="002048A7" w:rsidRDefault="002C3099" w:rsidP="002C3099">
      <w:pPr>
        <w:tabs>
          <w:tab w:val="left" w:pos="284"/>
          <w:tab w:val="left" w:pos="567"/>
          <w:tab w:val="left" w:pos="709"/>
          <w:tab w:val="left" w:pos="851"/>
        </w:tabs>
        <w:spacing w:after="0"/>
        <w:rPr>
          <w:color w:val="000000" w:themeColor="text1"/>
        </w:rPr>
      </w:pPr>
    </w:p>
    <w:p w14:paraId="654A574D" w14:textId="66B1BE1C" w:rsidR="002C3099" w:rsidRDefault="0068033C" w:rsidP="002C3099">
      <w:pPr>
        <w:tabs>
          <w:tab w:val="left" w:pos="284"/>
          <w:tab w:val="left" w:pos="567"/>
          <w:tab w:val="left" w:pos="709"/>
          <w:tab w:val="left" w:pos="851"/>
        </w:tabs>
        <w:spacing w:after="0"/>
        <w:rPr>
          <w:color w:val="000000" w:themeColor="text1"/>
        </w:rPr>
      </w:pPr>
      <w:r>
        <w:t>29</w:t>
      </w:r>
      <w:r w:rsidRPr="002048A7">
        <w:t>.12.202</w:t>
      </w:r>
      <w:r>
        <w:t>4</w:t>
      </w:r>
      <w:r w:rsidRPr="002048A7">
        <w:t xml:space="preserve"> tarihli ve 32</w:t>
      </w:r>
      <w:r>
        <w:t>767</w:t>
      </w:r>
      <w:r w:rsidRPr="002048A7">
        <w:t xml:space="preserve"> sayılı Resmî Gazetede yayımlanan </w:t>
      </w:r>
      <w:r>
        <w:t>26</w:t>
      </w:r>
      <w:r w:rsidRPr="002048A7">
        <w:t>.12.202</w:t>
      </w:r>
      <w:r>
        <w:t>4</w:t>
      </w:r>
      <w:r w:rsidRPr="002048A7">
        <w:t xml:space="preserve"> tarihli ve 1</w:t>
      </w:r>
      <w:r>
        <w:t>3109</w:t>
      </w:r>
      <w:r w:rsidRPr="002048A7">
        <w:t xml:space="preserve"> sayılı Kurul Kararı ile </w:t>
      </w:r>
      <w:r w:rsidR="0035605D" w:rsidRPr="002048A7">
        <w:rPr>
          <w:color w:val="000000" w:themeColor="text1"/>
        </w:rPr>
        <w:t>Doğal Gaz Piyasası Lisans Yönetmeliği uyarınca 202</w:t>
      </w:r>
      <w:r>
        <w:rPr>
          <w:color w:val="000000" w:themeColor="text1"/>
        </w:rPr>
        <w:t>5</w:t>
      </w:r>
      <w:r w:rsidR="0035605D" w:rsidRPr="002048A7">
        <w:rPr>
          <w:color w:val="000000" w:themeColor="text1"/>
        </w:rPr>
        <w:t xml:space="preserve"> yılında uygulanacak olan lisans alma, yıllık lisans, lisans yenileme, lisans tadili ve lisans sureti çıkartma bedelleri ile sertifika alma, sertifika yenileme, sertifika tadili, sertifika sureti çıkartma ve sertifika vize bedelleri belirlenmiştir.</w:t>
      </w:r>
    </w:p>
    <w:p w14:paraId="70040D32" w14:textId="77777777" w:rsidR="002048A7" w:rsidRPr="002048A7" w:rsidRDefault="002048A7" w:rsidP="002C3099">
      <w:pPr>
        <w:tabs>
          <w:tab w:val="left" w:pos="284"/>
          <w:tab w:val="left" w:pos="567"/>
          <w:tab w:val="left" w:pos="709"/>
          <w:tab w:val="left" w:pos="851"/>
        </w:tabs>
        <w:spacing w:after="0"/>
        <w:rPr>
          <w:color w:val="000000" w:themeColor="text1"/>
        </w:rPr>
      </w:pPr>
    </w:p>
    <w:p w14:paraId="667B35DE" w14:textId="77777777" w:rsidR="002C3099" w:rsidRPr="002048A7" w:rsidRDefault="002C3099" w:rsidP="00577AAF">
      <w:pPr>
        <w:pStyle w:val="Balk2"/>
        <w:numPr>
          <w:ilvl w:val="1"/>
          <w:numId w:val="11"/>
        </w:numPr>
        <w:spacing w:before="0" w:after="240"/>
        <w:rPr>
          <w:rFonts w:asciiTheme="minorHAnsi" w:hAnsiTheme="minorHAnsi"/>
          <w:color w:val="auto"/>
          <w:sz w:val="22"/>
        </w:rPr>
      </w:pPr>
      <w:bookmarkStart w:id="261" w:name="_Toc66267392"/>
      <w:bookmarkStart w:id="262" w:name="_Toc195868734"/>
      <w:r w:rsidRPr="002048A7">
        <w:rPr>
          <w:rFonts w:asciiTheme="minorHAnsi" w:hAnsiTheme="minorHAnsi"/>
          <w:color w:val="auto"/>
          <w:sz w:val="22"/>
        </w:rPr>
        <w:t>Petrol Piyasası Tarifeleri</w:t>
      </w:r>
      <w:bookmarkEnd w:id="261"/>
      <w:bookmarkEnd w:id="262"/>
    </w:p>
    <w:p w14:paraId="1FCE657C" w14:textId="77777777" w:rsidR="002C3099" w:rsidRPr="002048A7" w:rsidRDefault="002C3099" w:rsidP="002C3099">
      <w:pPr>
        <w:spacing w:after="0"/>
      </w:pPr>
      <w:r w:rsidRPr="002048A7">
        <w:t xml:space="preserve">5015 sayılı Petrol Piyasası Kanununun yürürlüğe girmesini müteakiben 01.01.2005 tarihinden itibaren serbest fiyat uygulamasına geçilmiştir. Petrol alım satımında fiyatların en yakın erişilebilir dünya serbest piyasa koşulları dikkate alınarak oluşturulacağı kabul edilmiştir. Yerli ham petrol için, teslim yeri olan en yakın liman veya rafineride teşekkül eden </w:t>
      </w:r>
      <w:r w:rsidRPr="002048A7">
        <w:rPr>
          <w:i/>
        </w:rPr>
        <w:t>"Piyasa Fiyatı"</w:t>
      </w:r>
      <w:r w:rsidRPr="002048A7">
        <w:t xml:space="preserve"> fiyat olarak kabul edilmiştir. </w:t>
      </w:r>
    </w:p>
    <w:p w14:paraId="4C1805BC" w14:textId="77777777" w:rsidR="002C3099" w:rsidRPr="002048A7" w:rsidRDefault="002C3099" w:rsidP="002C3099">
      <w:pPr>
        <w:spacing w:after="0"/>
      </w:pPr>
    </w:p>
    <w:p w14:paraId="50A0E645" w14:textId="77777777" w:rsidR="002C3099" w:rsidRPr="002048A7" w:rsidRDefault="002C3099" w:rsidP="002C3099">
      <w:pPr>
        <w:spacing w:after="0"/>
      </w:pPr>
      <w:r w:rsidRPr="002048A7">
        <w:t>Petrol piyasasında tarifeler tabi olduğu işlem açısından dört kategoride ele alınabilir. Bunlar;</w:t>
      </w:r>
    </w:p>
    <w:p w14:paraId="47AED143" w14:textId="77777777" w:rsidR="00801036" w:rsidRPr="002048A7" w:rsidRDefault="00801036" w:rsidP="002C3099">
      <w:pPr>
        <w:spacing w:after="0"/>
      </w:pPr>
    </w:p>
    <w:p w14:paraId="189EDC45" w14:textId="77777777" w:rsidR="002C3099" w:rsidRPr="002048A7" w:rsidRDefault="002C3099" w:rsidP="000A5A56">
      <w:pPr>
        <w:pStyle w:val="ListeParagraf"/>
        <w:numPr>
          <w:ilvl w:val="0"/>
          <w:numId w:val="10"/>
        </w:numPr>
        <w:tabs>
          <w:tab w:val="left" w:pos="284"/>
          <w:tab w:val="left" w:pos="567"/>
          <w:tab w:val="left" w:pos="709"/>
          <w:tab w:val="left" w:pos="851"/>
        </w:tabs>
        <w:spacing w:after="0"/>
      </w:pPr>
      <w:r w:rsidRPr="002048A7">
        <w:lastRenderedPageBreak/>
        <w:t>Onaya Tabi Tarifeler: İletim lisansı kapsamında yürütülen taşıma faaliyetine ilişkin iletim tarifesi ile iletim hatlarıyla bağlantılı depolama tesislerindeki lisanslı depolama faaliyetlerine ilişkin tarifeleri ifade eder.</w:t>
      </w:r>
    </w:p>
    <w:p w14:paraId="2175103F" w14:textId="77777777" w:rsidR="002C3099" w:rsidRPr="002048A7" w:rsidRDefault="002C3099" w:rsidP="002C3099">
      <w:pPr>
        <w:pStyle w:val="ListeParagraf"/>
        <w:tabs>
          <w:tab w:val="left" w:pos="284"/>
          <w:tab w:val="left" w:pos="567"/>
          <w:tab w:val="left" w:pos="709"/>
          <w:tab w:val="left" w:pos="851"/>
        </w:tabs>
        <w:spacing w:after="0"/>
        <w:ind w:left="284"/>
      </w:pPr>
    </w:p>
    <w:p w14:paraId="22FCF7D0" w14:textId="77777777" w:rsidR="002C3099" w:rsidRPr="002048A7" w:rsidRDefault="002C3099" w:rsidP="000A5A56">
      <w:pPr>
        <w:pStyle w:val="ListeParagraf"/>
        <w:numPr>
          <w:ilvl w:val="0"/>
          <w:numId w:val="10"/>
        </w:numPr>
        <w:tabs>
          <w:tab w:val="left" w:pos="284"/>
          <w:tab w:val="left" w:pos="567"/>
          <w:tab w:val="left" w:pos="709"/>
          <w:tab w:val="left" w:pos="851"/>
        </w:tabs>
        <w:spacing w:after="0"/>
      </w:pPr>
      <w:r w:rsidRPr="002048A7">
        <w:t>Bildirime Tabi Tarifeler: Kuruma bildirildikten sonra uygulanmaya başlanan, işleme ve iletim hatları ile bağlantılı olmayan lisanslı depolama faaliyetlerine ilişkin tarifeler ile rafinerici ve dağıtıcı lisans sahiplerinin tavan fiyat tarifelerindeki değişiklikleri ifade eder.</w:t>
      </w:r>
    </w:p>
    <w:p w14:paraId="5DBB9F82" w14:textId="77777777" w:rsidR="002C3099" w:rsidRPr="002048A7" w:rsidRDefault="002C3099" w:rsidP="002C3099">
      <w:pPr>
        <w:pStyle w:val="ListeParagraf"/>
        <w:spacing w:after="0"/>
      </w:pPr>
    </w:p>
    <w:p w14:paraId="01E319DE" w14:textId="77777777" w:rsidR="002C3099" w:rsidRPr="002048A7" w:rsidRDefault="002C3099" w:rsidP="000A5A56">
      <w:pPr>
        <w:pStyle w:val="ListeParagraf"/>
        <w:numPr>
          <w:ilvl w:val="0"/>
          <w:numId w:val="10"/>
        </w:numPr>
        <w:tabs>
          <w:tab w:val="left" w:pos="284"/>
          <w:tab w:val="left" w:pos="567"/>
          <w:tab w:val="left" w:pos="709"/>
          <w:tab w:val="left" w:pos="851"/>
        </w:tabs>
        <w:spacing w:after="0"/>
      </w:pPr>
      <w:r w:rsidRPr="002048A7">
        <w:t>Fiyat İlanı: Onay ve bildirim gerektirmeyen, bayilik lisansı sahipleri tarafından akaryakıt istasyonlarında görünür şekilde yerleştirilmiş panolarda, akaryakıt tavan fiyatları olarak ilan edilen fiyatları ifade eder.</w:t>
      </w:r>
    </w:p>
    <w:p w14:paraId="006412BF" w14:textId="77777777" w:rsidR="002C3099" w:rsidRPr="002048A7" w:rsidRDefault="002C3099" w:rsidP="002C3099">
      <w:pPr>
        <w:tabs>
          <w:tab w:val="left" w:pos="284"/>
          <w:tab w:val="left" w:pos="567"/>
          <w:tab w:val="left" w:pos="709"/>
          <w:tab w:val="left" w:pos="851"/>
        </w:tabs>
        <w:spacing w:after="0"/>
      </w:pPr>
    </w:p>
    <w:p w14:paraId="1A2FEC9A" w14:textId="77777777" w:rsidR="002C3099" w:rsidRPr="002048A7" w:rsidRDefault="002C3099" w:rsidP="000A5A56">
      <w:pPr>
        <w:pStyle w:val="ListeParagraf"/>
        <w:numPr>
          <w:ilvl w:val="0"/>
          <w:numId w:val="10"/>
        </w:numPr>
        <w:tabs>
          <w:tab w:val="left" w:pos="284"/>
          <w:tab w:val="left" w:pos="567"/>
          <w:tab w:val="left" w:pos="709"/>
          <w:tab w:val="left" w:pos="851"/>
        </w:tabs>
        <w:spacing w:after="0"/>
      </w:pPr>
      <w:r w:rsidRPr="002048A7">
        <w:t>Fiyat Listesi: İşleme lisansı sahipleri tarafından lisansları kapsamındaki ürünlere ilişkin Kuruma bildirimi yapılan ve uygulamaya girmesi sağlanan fiyat listelerindeki değişiklikleri ifade eder.</w:t>
      </w:r>
    </w:p>
    <w:p w14:paraId="3B9497CC" w14:textId="77777777" w:rsidR="002C3099" w:rsidRPr="002048A7" w:rsidRDefault="002C3099" w:rsidP="002C3099">
      <w:pPr>
        <w:spacing w:after="0"/>
      </w:pPr>
    </w:p>
    <w:p w14:paraId="4E903E1B" w14:textId="77777777" w:rsidR="002C3099" w:rsidRPr="002048A7" w:rsidRDefault="002C3099" w:rsidP="002C3099">
      <w:pPr>
        <w:spacing w:after="0"/>
      </w:pPr>
      <w:r w:rsidRPr="002048A7">
        <w:t xml:space="preserve">Dağıtıcıların akaryakıt </w:t>
      </w:r>
      <w:r w:rsidRPr="002048A7">
        <w:rPr>
          <w:i/>
        </w:rPr>
        <w:t>“depo fiyatları”</w:t>
      </w:r>
      <w:r w:rsidRPr="002048A7">
        <w:t xml:space="preserve"> ile bayilere </w:t>
      </w:r>
      <w:r w:rsidRPr="002048A7">
        <w:rPr>
          <w:i/>
        </w:rPr>
        <w:t>“tavsiye ettikleri”</w:t>
      </w:r>
      <w:r w:rsidRPr="002048A7">
        <w:t xml:space="preserve"> veya bayiler adına belirledikleri </w:t>
      </w:r>
      <w:r w:rsidRPr="002048A7">
        <w:rPr>
          <w:i/>
        </w:rPr>
        <w:t>“tavan fiyat”</w:t>
      </w:r>
      <w:r w:rsidRPr="002048A7">
        <w:t>ların elektronik ortamda bildirimi ve izlenmesine ilişkin veri tabanı oluşturulmuştur. Veri tabanı, dağıtım şirketlerinin elektronik bildirimleri ile güncellenmektedir. Veri tabanındaki verilerin derlenmesi neticesinde kamuoyuna illere göre bayi tavan fiyatları ve Kamu İhale Mevzuatı kapsamında, akaryakıt fiyat farkı hesaplamalarında kullanılmak üzere, en yüksek işlem hacimli sekiz şirketin İstanbul Avrupa Yakası ortalama akaryakıt fiyatları ilan edilmektedir.</w:t>
      </w:r>
    </w:p>
    <w:p w14:paraId="0EAB7937" w14:textId="77777777" w:rsidR="002C3099" w:rsidRPr="002048A7" w:rsidRDefault="002C3099" w:rsidP="002C3099">
      <w:pPr>
        <w:spacing w:after="0"/>
      </w:pPr>
    </w:p>
    <w:p w14:paraId="6355D991" w14:textId="77777777" w:rsidR="002C3099" w:rsidRPr="002048A7" w:rsidRDefault="002C3099" w:rsidP="002C3099">
      <w:pPr>
        <w:spacing w:after="0"/>
      </w:pPr>
      <w:r w:rsidRPr="002048A7">
        <w:t xml:space="preserve">5015 sayılı Kanunun fiyat oluşumuna ilişkin 10 uncu maddesinde rafineri ve dağıtıcı lisansı sahibi şirketler ile ilgili olarak, </w:t>
      </w:r>
      <w:r w:rsidRPr="002048A7">
        <w:rPr>
          <w:i/>
        </w:rPr>
        <w:t>“Rafinerici ve dağıtıcı lisansı kapsamında yapılan piyasa faaliyetlerine ilişkin fiyatlar, en yakın erişilebilir dünya serbest piyasa oluşumu dikkate alınarak, lisans sahipleri tarafından hazırlanan tavan fiyatlar olarak Kuruma bildirilir.”</w:t>
      </w:r>
      <w:r w:rsidRPr="002048A7">
        <w:t xml:space="preserve"> hükmü yer almaktadır. Bu hüküm çerçevesinde; piyasa payları piyasanın yaklaşık %90’nına sahip olan piyasa aktörlerinden rafinerici ve dağıtıcı lisansı sahiplerinin piyasa payları itibar</w:t>
      </w:r>
      <w:r w:rsidR="00A54CE2" w:rsidRPr="002048A7">
        <w:t>ı</w:t>
      </w:r>
      <w:r w:rsidRPr="002048A7">
        <w:t>yl</w:t>
      </w:r>
      <w:r w:rsidR="00A54CE2" w:rsidRPr="002048A7">
        <w:t>a</w:t>
      </w:r>
      <w:r w:rsidRPr="002048A7">
        <w:t xml:space="preserve"> fiyatlandırma uygulamaları;</w:t>
      </w:r>
    </w:p>
    <w:p w14:paraId="6F887E6B" w14:textId="77777777" w:rsidR="00F17ADC" w:rsidRPr="002048A7" w:rsidRDefault="00F17ADC" w:rsidP="002C3099">
      <w:pPr>
        <w:spacing w:after="0"/>
      </w:pPr>
    </w:p>
    <w:p w14:paraId="6266BA8B" w14:textId="77777777" w:rsidR="002C3099" w:rsidRPr="002048A7" w:rsidRDefault="002C3099" w:rsidP="002C3099">
      <w:pPr>
        <w:pStyle w:val="ListeParagraf"/>
        <w:numPr>
          <w:ilvl w:val="0"/>
          <w:numId w:val="2"/>
        </w:numPr>
        <w:tabs>
          <w:tab w:val="left" w:pos="284"/>
          <w:tab w:val="left" w:pos="567"/>
          <w:tab w:val="left" w:pos="709"/>
          <w:tab w:val="left" w:pos="851"/>
        </w:tabs>
        <w:spacing w:after="0"/>
        <w:ind w:left="284" w:firstLine="0"/>
      </w:pPr>
      <w:r w:rsidRPr="002048A7">
        <w:t>Fiyat oluşumu,</w:t>
      </w:r>
    </w:p>
    <w:p w14:paraId="1A0F4116" w14:textId="77777777" w:rsidR="002C3099" w:rsidRPr="002048A7" w:rsidRDefault="002C3099" w:rsidP="002C3099">
      <w:pPr>
        <w:pStyle w:val="ListeParagraf"/>
        <w:numPr>
          <w:ilvl w:val="0"/>
          <w:numId w:val="2"/>
        </w:numPr>
        <w:tabs>
          <w:tab w:val="left" w:pos="284"/>
          <w:tab w:val="left" w:pos="567"/>
          <w:tab w:val="left" w:pos="709"/>
          <w:tab w:val="left" w:pos="851"/>
        </w:tabs>
        <w:spacing w:after="0"/>
        <w:ind w:left="284" w:firstLine="0"/>
      </w:pPr>
      <w:r w:rsidRPr="002048A7">
        <w:t>Ülkemizdeki akaryakıt fiyatları,</w:t>
      </w:r>
    </w:p>
    <w:p w14:paraId="5640B39F" w14:textId="77777777" w:rsidR="002C3099" w:rsidRPr="002048A7" w:rsidRDefault="002C3099" w:rsidP="002C3099">
      <w:pPr>
        <w:pStyle w:val="ListeParagraf"/>
        <w:numPr>
          <w:ilvl w:val="0"/>
          <w:numId w:val="2"/>
        </w:numPr>
        <w:tabs>
          <w:tab w:val="left" w:pos="284"/>
          <w:tab w:val="left" w:pos="567"/>
          <w:tab w:val="left" w:pos="709"/>
          <w:tab w:val="left" w:pos="851"/>
        </w:tabs>
        <w:spacing w:after="0"/>
        <w:ind w:left="284" w:firstLine="0"/>
      </w:pPr>
      <w:r w:rsidRPr="002048A7">
        <w:t>Bu fiyatların yıllar itibar</w:t>
      </w:r>
      <w:r w:rsidR="00A54CE2" w:rsidRPr="002048A7">
        <w:t>ı</w:t>
      </w:r>
      <w:r w:rsidRPr="002048A7">
        <w:t>yl</w:t>
      </w:r>
      <w:r w:rsidR="00A54CE2" w:rsidRPr="002048A7">
        <w:t>a</w:t>
      </w:r>
      <w:r w:rsidRPr="002048A7">
        <w:t xml:space="preserve"> değişimi,</w:t>
      </w:r>
    </w:p>
    <w:p w14:paraId="0B37B14F" w14:textId="77777777" w:rsidR="002C3099" w:rsidRPr="002048A7" w:rsidRDefault="002C3099" w:rsidP="002C3099">
      <w:pPr>
        <w:pStyle w:val="ListeParagraf"/>
        <w:numPr>
          <w:ilvl w:val="0"/>
          <w:numId w:val="2"/>
        </w:numPr>
        <w:tabs>
          <w:tab w:val="left" w:pos="284"/>
          <w:tab w:val="left" w:pos="567"/>
          <w:tab w:val="left" w:pos="709"/>
          <w:tab w:val="left" w:pos="851"/>
        </w:tabs>
        <w:spacing w:after="0"/>
        <w:ind w:left="284" w:firstLine="0"/>
      </w:pPr>
      <w:r w:rsidRPr="002048A7">
        <w:t xml:space="preserve">Türkiye dağıtım ve bayi paylarının değişimi, </w:t>
      </w:r>
    </w:p>
    <w:p w14:paraId="7299CF4E" w14:textId="77777777" w:rsidR="002C3099" w:rsidRPr="002048A7" w:rsidRDefault="002C3099" w:rsidP="002C3099">
      <w:pPr>
        <w:pStyle w:val="ListeParagraf"/>
        <w:numPr>
          <w:ilvl w:val="0"/>
          <w:numId w:val="2"/>
        </w:numPr>
        <w:tabs>
          <w:tab w:val="left" w:pos="284"/>
          <w:tab w:val="left" w:pos="567"/>
          <w:tab w:val="left" w:pos="709"/>
          <w:tab w:val="left" w:pos="851"/>
        </w:tabs>
        <w:spacing w:after="0"/>
        <w:ind w:left="284" w:firstLine="0"/>
      </w:pPr>
      <w:r w:rsidRPr="002048A7">
        <w:t>Fiyat hareketlerinin tüketicilere yansıtılması,</w:t>
      </w:r>
    </w:p>
    <w:p w14:paraId="11B2D89A" w14:textId="77777777" w:rsidR="002C3099" w:rsidRPr="002048A7" w:rsidRDefault="002C3099" w:rsidP="002C3099">
      <w:pPr>
        <w:pStyle w:val="ListeParagraf"/>
        <w:numPr>
          <w:ilvl w:val="0"/>
          <w:numId w:val="2"/>
        </w:numPr>
        <w:tabs>
          <w:tab w:val="left" w:pos="284"/>
          <w:tab w:val="left" w:pos="567"/>
          <w:tab w:val="left" w:pos="709"/>
          <w:tab w:val="left" w:pos="851"/>
        </w:tabs>
        <w:spacing w:after="0"/>
        <w:ind w:left="284" w:firstLine="0"/>
      </w:pPr>
      <w:r w:rsidRPr="002048A7">
        <w:t>En yakın erişilebilir dünya serbest piyasasında oluşan fiyatlar ile Türkiye-AB karşılaştırmaları</w:t>
      </w:r>
    </w:p>
    <w:p w14:paraId="152C49C4" w14:textId="346D77AD" w:rsidR="00664B37" w:rsidRPr="002048A7" w:rsidRDefault="00664B37" w:rsidP="00664B37">
      <w:pPr>
        <w:pStyle w:val="ListeParagraf"/>
        <w:numPr>
          <w:ilvl w:val="0"/>
          <w:numId w:val="2"/>
        </w:numPr>
        <w:tabs>
          <w:tab w:val="left" w:pos="284"/>
          <w:tab w:val="left" w:pos="567"/>
          <w:tab w:val="left" w:pos="709"/>
          <w:tab w:val="left" w:pos="851"/>
        </w:tabs>
        <w:spacing w:after="0"/>
        <w:ind w:left="284" w:firstLine="0"/>
      </w:pPr>
      <w:r w:rsidRPr="002048A7">
        <w:t>Yurt içi piyasa koşulları ve makroekonomik göstergeler</w:t>
      </w:r>
    </w:p>
    <w:p w14:paraId="5F16920F" w14:textId="77777777" w:rsidR="00664B37" w:rsidRPr="002048A7" w:rsidRDefault="00664B37" w:rsidP="00664B37">
      <w:pPr>
        <w:pStyle w:val="ListeParagraf"/>
        <w:tabs>
          <w:tab w:val="left" w:pos="284"/>
          <w:tab w:val="left" w:pos="567"/>
          <w:tab w:val="left" w:pos="709"/>
          <w:tab w:val="left" w:pos="851"/>
        </w:tabs>
        <w:spacing w:after="0"/>
        <w:ind w:left="284"/>
      </w:pPr>
    </w:p>
    <w:p w14:paraId="7FEE2994" w14:textId="77777777" w:rsidR="00801036" w:rsidRPr="002048A7" w:rsidRDefault="00801036" w:rsidP="00801036">
      <w:pPr>
        <w:pStyle w:val="ListeParagraf"/>
        <w:tabs>
          <w:tab w:val="left" w:pos="284"/>
          <w:tab w:val="left" w:pos="567"/>
          <w:tab w:val="left" w:pos="709"/>
          <w:tab w:val="left" w:pos="851"/>
        </w:tabs>
        <w:spacing w:after="0"/>
        <w:ind w:left="284"/>
      </w:pPr>
    </w:p>
    <w:p w14:paraId="6EBE14B0" w14:textId="77777777" w:rsidR="002C3099" w:rsidRPr="002048A7" w:rsidRDefault="002C3099" w:rsidP="002C3099">
      <w:pPr>
        <w:tabs>
          <w:tab w:val="left" w:pos="284"/>
          <w:tab w:val="left" w:pos="567"/>
          <w:tab w:val="left" w:pos="709"/>
          <w:tab w:val="left" w:pos="851"/>
        </w:tabs>
        <w:spacing w:after="0"/>
      </w:pPr>
      <w:proofErr w:type="gramStart"/>
      <w:r w:rsidRPr="002048A7">
        <w:t>çerçevesinde</w:t>
      </w:r>
      <w:proofErr w:type="gramEnd"/>
      <w:r w:rsidRPr="002048A7">
        <w:t xml:space="preserve"> incelenmektedir. Bu incelemeler neticesinde elde edilen bulgular muhtelif zamanlarda piyasa katılımcıları ve ilgili Bakanlıklarla bir araya gelinerek değerlendirilmektedir. </w:t>
      </w:r>
    </w:p>
    <w:p w14:paraId="0D2CA2F2" w14:textId="77777777" w:rsidR="002C3099" w:rsidRPr="002048A7" w:rsidRDefault="002C3099" w:rsidP="002C3099">
      <w:pPr>
        <w:spacing w:after="0"/>
      </w:pPr>
      <w:r w:rsidRPr="002048A7">
        <w:t>Dağıtıcı, iletim ve depolama lisansı almak üzere Kuruma başvuruda bulunan şirketlerin tarife dosyalarına ilişkin görüş verilmiştir. Ayrıca depolama ve iletim tarifelerinin tadil edilmesine ilişkin işlemler sonuçlandırılmıştır.</w:t>
      </w:r>
    </w:p>
    <w:p w14:paraId="0473CCE6" w14:textId="77777777" w:rsidR="00D76625" w:rsidRPr="002048A7" w:rsidRDefault="00D76625" w:rsidP="002C3099">
      <w:pPr>
        <w:spacing w:after="0"/>
      </w:pPr>
    </w:p>
    <w:p w14:paraId="698842C2" w14:textId="77777777" w:rsidR="002C3099" w:rsidRPr="002048A7" w:rsidRDefault="002C3099" w:rsidP="002C3099">
      <w:pPr>
        <w:autoSpaceDE w:val="0"/>
        <w:autoSpaceDN w:val="0"/>
        <w:adjustRightInd w:val="0"/>
        <w:spacing w:after="0"/>
        <w:rPr>
          <w:rFonts w:eastAsiaTheme="minorHAnsi"/>
        </w:rPr>
      </w:pPr>
      <w:r w:rsidRPr="002048A7">
        <w:rPr>
          <w:rFonts w:eastAsiaTheme="minorHAnsi"/>
        </w:rPr>
        <w:t xml:space="preserve">Petrol Piyasası Fiyatlandırma Sistemi Yönetmeliğinin 8 inci maddesinin üçüncü fıkrasında </w:t>
      </w:r>
      <w:r w:rsidRPr="002048A7">
        <w:rPr>
          <w:rFonts w:eastAsiaTheme="minorHAnsi"/>
          <w:i/>
          <w:iCs/>
        </w:rPr>
        <w:t xml:space="preserve">“Tarife dosyası uygun bulunmayan lisans başvurularının” </w:t>
      </w:r>
      <w:r w:rsidRPr="002048A7">
        <w:rPr>
          <w:rFonts w:eastAsiaTheme="minorHAnsi"/>
        </w:rPr>
        <w:t>reddedileceği belirtilmektedir. Bu kapsamda, Petrol Piyasası Dairesi Başkanlığına yapılan lisans başvuruları ekindeki tarife dosyaları incelenerek ilgili daireye görüş bildirilmiştir.</w:t>
      </w:r>
    </w:p>
    <w:p w14:paraId="2B75F6F4" w14:textId="77777777" w:rsidR="002C3099" w:rsidRPr="002048A7" w:rsidRDefault="002C3099" w:rsidP="002C3099">
      <w:pPr>
        <w:autoSpaceDE w:val="0"/>
        <w:autoSpaceDN w:val="0"/>
        <w:adjustRightInd w:val="0"/>
        <w:spacing w:after="0"/>
      </w:pPr>
    </w:p>
    <w:p w14:paraId="678FA663" w14:textId="77777777" w:rsidR="002C3099" w:rsidRPr="002048A7" w:rsidRDefault="002C3099" w:rsidP="002C3099">
      <w:pPr>
        <w:spacing w:after="0"/>
      </w:pPr>
      <w:r w:rsidRPr="002048A7">
        <w:lastRenderedPageBreak/>
        <w:t xml:space="preserve">Enerji Piyasası Bildirim Yönetmeliği kapsamında bildirim sisteminin fiyatlara ilişkin bölümünün yönetilmesi işlemleri yapılmakta, fiyat bildirimleri takip edilmekte, gerekli düzeltmelerin yapılması sağlanmaktadır. </w:t>
      </w:r>
    </w:p>
    <w:p w14:paraId="0CEF0334" w14:textId="77777777" w:rsidR="002C3099" w:rsidRPr="002048A7" w:rsidRDefault="002C3099" w:rsidP="002C3099">
      <w:pPr>
        <w:spacing w:after="0"/>
      </w:pPr>
    </w:p>
    <w:p w14:paraId="485A9032" w14:textId="77777777" w:rsidR="002C3099" w:rsidRPr="002048A7" w:rsidRDefault="00664B37" w:rsidP="000A5A56">
      <w:pPr>
        <w:pStyle w:val="ListeParagraf"/>
        <w:numPr>
          <w:ilvl w:val="0"/>
          <w:numId w:val="4"/>
        </w:numPr>
        <w:autoSpaceDE w:val="0"/>
        <w:autoSpaceDN w:val="0"/>
        <w:adjustRightInd w:val="0"/>
        <w:spacing w:after="0"/>
      </w:pPr>
      <w:r w:rsidRPr="002048A7">
        <w:t xml:space="preserve">Bildirim sistemi üzerinden yurtiçi fiyatların takibinin yapılmasının yanı-sıra, Platts aboneliği kapsamında Akdeniz piyasası başta olmak üzere ham petrol (Brent-dated) ve benzin, motorin, fueloil türleri, gazyağı, jet yakıtı gibi ürün fiyatlarının FOB ve CIF fiyatları, AB ülkelerinin vergili ve vergisiz akaryakıt bayi satış fiyatları gibi yurt dışı fiyat hareketleri ve satın alma gücü paritesi, TCMB faiz oranları, enflasyon, döviz kuru, asgari ücret değişim oranları gibi yurt içi piyasa koşulları da takip edilmektedir. Elde edilen verilerden raporlar üretilmekte, tavan fiyat belirlenmesi sürecinde olduğu gibi dağıtıcı ve rafinerici lisansı sahiplerinin en yakın erişilebilir dünya serbest piyasa fiyat oluşumu kapsamında fiyat hareketlerini izlemek üzere analizlerde kullanılmaktadır. Bu çerçevede, 2014 yılında aylık olarak yayımlanmasına başlanan </w:t>
      </w:r>
      <w:r w:rsidRPr="002048A7">
        <w:rPr>
          <w:i/>
        </w:rPr>
        <w:t>Petrol Piyasası Fiyatlandırma Rapor</w:t>
      </w:r>
      <w:r w:rsidRPr="002048A7">
        <w:t>larının Kurumun internet sitesinde yayımlanmasına devam edilmiştir.</w:t>
      </w:r>
    </w:p>
    <w:p w14:paraId="555AB1BE" w14:textId="77777777" w:rsidR="00846A82" w:rsidRPr="002048A7" w:rsidRDefault="00846A82" w:rsidP="00846A82">
      <w:pPr>
        <w:pStyle w:val="ListeParagraf"/>
        <w:autoSpaceDE w:val="0"/>
        <w:autoSpaceDN w:val="0"/>
        <w:adjustRightInd w:val="0"/>
        <w:spacing w:after="0"/>
      </w:pPr>
    </w:p>
    <w:p w14:paraId="1361AF3A" w14:textId="77777777" w:rsidR="00A024D9" w:rsidRPr="002048A7" w:rsidRDefault="002C3099" w:rsidP="00577AAF">
      <w:pPr>
        <w:pStyle w:val="Balk3"/>
        <w:numPr>
          <w:ilvl w:val="2"/>
          <w:numId w:val="11"/>
        </w:numPr>
        <w:spacing w:before="0" w:after="240"/>
        <w:rPr>
          <w:rFonts w:asciiTheme="minorHAnsi" w:hAnsiTheme="minorHAnsi"/>
          <w:color w:val="000000" w:themeColor="text1"/>
        </w:rPr>
      </w:pPr>
      <w:bookmarkStart w:id="263" w:name="_Toc66267393"/>
      <w:bookmarkStart w:id="264" w:name="_Toc195868735"/>
      <w:r w:rsidRPr="002048A7">
        <w:rPr>
          <w:rFonts w:asciiTheme="minorHAnsi" w:hAnsiTheme="minorHAnsi"/>
          <w:color w:val="000000" w:themeColor="text1"/>
        </w:rPr>
        <w:t>Lisans Bedelleri</w:t>
      </w:r>
      <w:bookmarkEnd w:id="263"/>
      <w:bookmarkEnd w:id="264"/>
    </w:p>
    <w:p w14:paraId="258BF872" w14:textId="5804D30C" w:rsidR="0035605D" w:rsidRPr="002048A7" w:rsidRDefault="0068033C" w:rsidP="0035605D">
      <w:pPr>
        <w:rPr>
          <w:rFonts w:cs="Arial"/>
          <w:color w:val="000000" w:themeColor="text1"/>
        </w:rPr>
      </w:pPr>
      <w:r>
        <w:t>29</w:t>
      </w:r>
      <w:r w:rsidRPr="002048A7">
        <w:t>.12.202</w:t>
      </w:r>
      <w:r>
        <w:t>4</w:t>
      </w:r>
      <w:r w:rsidRPr="002048A7">
        <w:t xml:space="preserve"> tarihli ve 32</w:t>
      </w:r>
      <w:r>
        <w:t>767</w:t>
      </w:r>
      <w:r w:rsidRPr="002048A7">
        <w:t xml:space="preserve"> sayılı Resmî Gazetede yayımlanan </w:t>
      </w:r>
      <w:r>
        <w:t>26</w:t>
      </w:r>
      <w:r w:rsidRPr="002048A7">
        <w:t>.12.202</w:t>
      </w:r>
      <w:r>
        <w:t>4</w:t>
      </w:r>
      <w:r w:rsidRPr="002048A7">
        <w:t xml:space="preserve"> tarihli ve 1</w:t>
      </w:r>
      <w:r>
        <w:t>3111</w:t>
      </w:r>
      <w:r w:rsidRPr="002048A7">
        <w:t xml:space="preserve"> sayılı Kurul Kararı ile</w:t>
      </w:r>
      <w:r w:rsidR="00E639F7" w:rsidRPr="002048A7">
        <w:rPr>
          <w:color w:val="000000" w:themeColor="text1"/>
        </w:rPr>
        <w:t xml:space="preserve"> </w:t>
      </w:r>
      <w:r w:rsidR="0035605D" w:rsidRPr="002048A7">
        <w:rPr>
          <w:rFonts w:cs="Arial"/>
          <w:color w:val="000000" w:themeColor="text1"/>
        </w:rPr>
        <w:t>4628 sayılı Enerji Piyasası Düzenleme Kurumunun Teşkilat ve Görevleri Hakkında Kanununun 5’inci maddesinin yedinci fıkrasının (i) bendi ve 10’uncu maddesinin 5015 sayılı Petrol Piyasası Kanununun 27’inci maddesi ile değişik (C) fıkrasının (b) bendi ile Petrol Piyasası Lisans Yönetmeliğinin 13 üncü maddesi uyarınca 202</w:t>
      </w:r>
      <w:r>
        <w:rPr>
          <w:rFonts w:cs="Arial"/>
          <w:color w:val="000000" w:themeColor="text1"/>
        </w:rPr>
        <w:t>5</w:t>
      </w:r>
      <w:r w:rsidR="0035605D" w:rsidRPr="002048A7">
        <w:rPr>
          <w:rFonts w:cs="Arial"/>
          <w:color w:val="000000" w:themeColor="text1"/>
        </w:rPr>
        <w:t xml:space="preserve"> yılında uygulanacak olan lisans alma, lisans tadili, süre uzatımı (vize), lisans sureti çıkartma, tarife onayı, akaryakıt ticaret izni ve kupon hizmeti izin bedelleri belirlenmiştir.</w:t>
      </w:r>
    </w:p>
    <w:p w14:paraId="05C705FC" w14:textId="791F401B" w:rsidR="002C3099" w:rsidRDefault="0068033C" w:rsidP="0035605D">
      <w:pPr>
        <w:spacing w:after="0"/>
      </w:pPr>
      <w:r>
        <w:t>29</w:t>
      </w:r>
      <w:r w:rsidRPr="002048A7">
        <w:t>.12.202</w:t>
      </w:r>
      <w:r>
        <w:t>4</w:t>
      </w:r>
      <w:r w:rsidRPr="002048A7">
        <w:t xml:space="preserve"> tarihli ve 32</w:t>
      </w:r>
      <w:r>
        <w:t>767</w:t>
      </w:r>
      <w:r w:rsidRPr="002048A7">
        <w:t xml:space="preserve"> sayılı Resmî Gazetede yayımlanan </w:t>
      </w:r>
      <w:r>
        <w:t>26</w:t>
      </w:r>
      <w:r w:rsidRPr="002048A7">
        <w:t>.12.202</w:t>
      </w:r>
      <w:r>
        <w:t>4</w:t>
      </w:r>
      <w:r w:rsidRPr="002048A7">
        <w:t xml:space="preserve"> tarihli ve 1</w:t>
      </w:r>
      <w:r>
        <w:t>3112</w:t>
      </w:r>
      <w:r w:rsidRPr="002048A7">
        <w:t xml:space="preserve"> sayılı Kurul Kararı ile </w:t>
      </w:r>
      <w:r w:rsidR="0035605D" w:rsidRPr="002048A7">
        <w:rPr>
          <w:color w:val="000000" w:themeColor="text1"/>
        </w:rPr>
        <w:t xml:space="preserve">4628 sayılı Kanunun 10 uncu maddesinin </w:t>
      </w:r>
      <w:r w:rsidR="0035605D" w:rsidRPr="002048A7">
        <w:t xml:space="preserve">5015 sayılı Kanunun 27’nci maddesi ile değişik (C) bendinin (a) alt bendi uyarınca petrol piyasasında faaliyet gösterecek lisans sahibi gerçek ve tüzel kişilerin </w:t>
      </w:r>
      <w:r w:rsidR="00E639F7" w:rsidRPr="002048A7">
        <w:t>202</w:t>
      </w:r>
      <w:r w:rsidR="00807055">
        <w:t>4</w:t>
      </w:r>
      <w:r w:rsidR="00E639F7" w:rsidRPr="002048A7">
        <w:t xml:space="preserve"> yılı faaliyetleri için </w:t>
      </w:r>
      <w:r w:rsidR="0035605D" w:rsidRPr="002048A7">
        <w:t xml:space="preserve">ödemekle yükümlü oldukları </w:t>
      </w:r>
      <w:r w:rsidR="00E639F7" w:rsidRPr="002048A7">
        <w:t>202</w:t>
      </w:r>
      <w:r>
        <w:t>5</w:t>
      </w:r>
      <w:r w:rsidR="00E639F7" w:rsidRPr="002048A7">
        <w:t xml:space="preserve"> yılında uygulanacak katılma payı </w:t>
      </w:r>
      <w:r w:rsidR="0035605D" w:rsidRPr="002048A7">
        <w:t>oranları belirlenmiştir.</w:t>
      </w:r>
    </w:p>
    <w:p w14:paraId="3F3D3C7C" w14:textId="77777777" w:rsidR="002048A7" w:rsidRPr="002048A7" w:rsidRDefault="002048A7" w:rsidP="0035605D">
      <w:pPr>
        <w:spacing w:after="0"/>
      </w:pPr>
    </w:p>
    <w:p w14:paraId="2B4633C5" w14:textId="77777777" w:rsidR="00F17ADC" w:rsidRPr="002048A7" w:rsidRDefault="002C3099" w:rsidP="00577AAF">
      <w:pPr>
        <w:pStyle w:val="Balk2"/>
        <w:numPr>
          <w:ilvl w:val="1"/>
          <w:numId w:val="11"/>
        </w:numPr>
        <w:spacing w:before="0" w:after="240"/>
        <w:rPr>
          <w:rFonts w:asciiTheme="minorHAnsi" w:hAnsiTheme="minorHAnsi"/>
          <w:color w:val="auto"/>
          <w:sz w:val="22"/>
          <w:szCs w:val="22"/>
        </w:rPr>
      </w:pPr>
      <w:bookmarkStart w:id="265" w:name="_Toc66267394"/>
      <w:bookmarkStart w:id="266" w:name="_Toc195868736"/>
      <w:r w:rsidRPr="002048A7">
        <w:rPr>
          <w:rFonts w:asciiTheme="minorHAnsi" w:hAnsiTheme="minorHAnsi"/>
          <w:color w:val="auto"/>
          <w:sz w:val="22"/>
          <w:szCs w:val="22"/>
        </w:rPr>
        <w:t>Sıvılaştırılmış Petrol Gazları (LPG) Piyasasında Fiyatlar</w:t>
      </w:r>
      <w:bookmarkEnd w:id="265"/>
      <w:bookmarkEnd w:id="266"/>
    </w:p>
    <w:p w14:paraId="3F3CD46C" w14:textId="77777777" w:rsidR="002C3099" w:rsidRPr="002048A7" w:rsidRDefault="002C3099" w:rsidP="002C3099">
      <w:pPr>
        <w:spacing w:after="0"/>
      </w:pPr>
      <w:r w:rsidRPr="002048A7">
        <w:rPr>
          <w:rFonts w:ascii="Calibri" w:eastAsiaTheme="minorHAnsi" w:hAnsi="Calibri" w:cs="Calibri"/>
        </w:rPr>
        <w:t>5307 sayılı Sıvılaştırılmış Petrol Gazları (LPG) Piyasası Kanunu ve Elektrik</w:t>
      </w:r>
      <w:r w:rsidR="00A60F1C" w:rsidRPr="002048A7">
        <w:rPr>
          <w:rFonts w:ascii="Calibri" w:eastAsiaTheme="minorHAnsi" w:hAnsi="Calibri" w:cs="Calibri"/>
        </w:rPr>
        <w:t xml:space="preserve"> </w:t>
      </w:r>
      <w:r w:rsidRPr="002048A7">
        <w:rPr>
          <w:rFonts w:ascii="Calibri" w:eastAsiaTheme="minorHAnsi" w:hAnsi="Calibri" w:cs="Calibri"/>
        </w:rPr>
        <w:t>Piyasası Kanunu</w:t>
      </w:r>
      <w:r w:rsidR="001A5127" w:rsidRPr="002048A7">
        <w:rPr>
          <w:rFonts w:ascii="Calibri" w:eastAsiaTheme="minorHAnsi" w:hAnsi="Calibri" w:cs="Calibri"/>
        </w:rPr>
        <w:t>’</w:t>
      </w:r>
      <w:r w:rsidRPr="002048A7">
        <w:rPr>
          <w:rFonts w:ascii="Calibri" w:eastAsiaTheme="minorHAnsi" w:hAnsi="Calibri" w:cs="Calibri"/>
        </w:rPr>
        <w:t>nda Değişiklik Yapılmasına Dair Kanun</w:t>
      </w:r>
      <w:r w:rsidRPr="002048A7">
        <w:t xml:space="preserve">, LPG alım satımında fiyatların, erişilebilir dünya serbest piyasa koşullarına göre oluşmasını öngörmektedir. Kanuna göre, rafinericiler ve dağıtıcılar, lisansları kapsamında yaptıkları piyasa faaliyetlerine ilişkin fiyatları, erişilebilir dünya serbest piyasalarındaki fiyat oluşumunu dikkate alarak, tavan fiyatlar olarak Kuruma bildirmektedirler. </w:t>
      </w:r>
    </w:p>
    <w:p w14:paraId="1BAE147E" w14:textId="77777777" w:rsidR="002C3099" w:rsidRPr="002048A7" w:rsidRDefault="002C3099" w:rsidP="002C3099">
      <w:pPr>
        <w:spacing w:after="0"/>
      </w:pPr>
    </w:p>
    <w:p w14:paraId="0054F6C6" w14:textId="77777777" w:rsidR="002C3099" w:rsidRPr="002048A7" w:rsidRDefault="002C3099" w:rsidP="002C3099">
      <w:pPr>
        <w:spacing w:after="0"/>
      </w:pPr>
      <w:r w:rsidRPr="002048A7">
        <w:t xml:space="preserve">Bu kapsamda rafinericiler ve dağıtıcıların, lisansları kapsamında yaptıkları piyasa faaliyetlerine ilişkin vermiş oldukları tavan fiyat bildirimleri dikkate alınarak yurtiçi LPG fiyatlarındaki gelişmeler düzenli olarak izlenmiştir. Düzenli olarak Kuruma verilen bildirimlerin yanı sıra otogaz fiyatları üzerine kapsamlı çalışmalar gerçekleştirilmiştir. Ülkemiz LPG piyasasındaki fiyatlardaki gelişmeler AB ülkelerindeki fiyat hareketleri ile karşılaştırılmıştır. </w:t>
      </w:r>
    </w:p>
    <w:p w14:paraId="568BCAF7" w14:textId="77777777" w:rsidR="00F17ADC" w:rsidRPr="002048A7" w:rsidRDefault="002C3099" w:rsidP="00577AAF">
      <w:pPr>
        <w:pStyle w:val="Balk3"/>
        <w:numPr>
          <w:ilvl w:val="2"/>
          <w:numId w:val="11"/>
        </w:numPr>
        <w:spacing w:after="240"/>
        <w:rPr>
          <w:rFonts w:asciiTheme="minorHAnsi" w:hAnsiTheme="minorHAnsi"/>
          <w:color w:val="000000" w:themeColor="text1"/>
        </w:rPr>
      </w:pPr>
      <w:bookmarkStart w:id="267" w:name="_Toc66267395"/>
      <w:bookmarkStart w:id="268" w:name="_Toc195868737"/>
      <w:r w:rsidRPr="002048A7">
        <w:rPr>
          <w:rFonts w:asciiTheme="minorHAnsi" w:hAnsiTheme="minorHAnsi"/>
          <w:color w:val="000000" w:themeColor="text1"/>
        </w:rPr>
        <w:t>Lisans Bedelleri</w:t>
      </w:r>
      <w:bookmarkEnd w:id="267"/>
      <w:bookmarkEnd w:id="268"/>
    </w:p>
    <w:p w14:paraId="4BF6590C" w14:textId="0643E913" w:rsidR="002C3099" w:rsidRPr="002048A7" w:rsidRDefault="0068033C" w:rsidP="002C3099">
      <w:pPr>
        <w:spacing w:after="0"/>
        <w:rPr>
          <w:color w:val="000000" w:themeColor="text1"/>
        </w:rPr>
      </w:pPr>
      <w:r>
        <w:t>29</w:t>
      </w:r>
      <w:r w:rsidRPr="002048A7">
        <w:t>.12.202</w:t>
      </w:r>
      <w:r>
        <w:t>4</w:t>
      </w:r>
      <w:r w:rsidRPr="002048A7">
        <w:t xml:space="preserve"> tarihli ve 32</w:t>
      </w:r>
      <w:r>
        <w:t>767</w:t>
      </w:r>
      <w:r w:rsidRPr="002048A7">
        <w:t xml:space="preserve"> sayılı Resmî Gazetede yayımlanan </w:t>
      </w:r>
      <w:r>
        <w:t>26</w:t>
      </w:r>
      <w:r w:rsidRPr="002048A7">
        <w:t>.12.202</w:t>
      </w:r>
      <w:r>
        <w:t>4</w:t>
      </w:r>
      <w:r w:rsidRPr="002048A7">
        <w:t xml:space="preserve"> tarihli ve 1</w:t>
      </w:r>
      <w:r>
        <w:t>3113</w:t>
      </w:r>
      <w:r w:rsidRPr="002048A7">
        <w:t xml:space="preserve"> sayılı Kurul Kararı ile </w:t>
      </w:r>
      <w:r w:rsidR="009833F3" w:rsidRPr="002048A7">
        <w:rPr>
          <w:rFonts w:ascii="Calibri" w:eastAsiaTheme="minorHAnsi" w:hAnsi="Calibri" w:cs="Calibri"/>
        </w:rPr>
        <w:t>5307 sayılı Sıvılaştırılmış Petrol Gazları (LPG) Piyasası Kanunu ve Elektrik Piyasası Kanunu</w:t>
      </w:r>
      <w:r w:rsidR="001A5127" w:rsidRPr="002048A7">
        <w:rPr>
          <w:rFonts w:ascii="Calibri" w:eastAsiaTheme="minorHAnsi" w:hAnsi="Calibri" w:cs="Calibri"/>
        </w:rPr>
        <w:t>’</w:t>
      </w:r>
      <w:r w:rsidR="009833F3" w:rsidRPr="002048A7">
        <w:rPr>
          <w:rFonts w:ascii="Calibri" w:eastAsiaTheme="minorHAnsi" w:hAnsi="Calibri" w:cs="Calibri"/>
        </w:rPr>
        <w:t xml:space="preserve">nda Değişiklik </w:t>
      </w:r>
      <w:r w:rsidR="009833F3" w:rsidRPr="002048A7">
        <w:rPr>
          <w:rFonts w:ascii="Calibri" w:eastAsiaTheme="minorHAnsi" w:hAnsi="Calibri" w:cs="Calibri"/>
        </w:rPr>
        <w:lastRenderedPageBreak/>
        <w:t>Yapılmasına Dair Kanun</w:t>
      </w:r>
      <w:r w:rsidR="009833F3" w:rsidRPr="002048A7">
        <w:t xml:space="preserve"> ve </w:t>
      </w:r>
      <w:r w:rsidR="009833F3" w:rsidRPr="002048A7">
        <w:rPr>
          <w:color w:val="000000"/>
        </w:rPr>
        <w:t xml:space="preserve">Sıvılaştırılmış Petrol Gazları (LPG) Piyasası Lisans </w:t>
      </w:r>
      <w:r w:rsidR="009833F3" w:rsidRPr="002048A7">
        <w:t>Yönetmeliği uyarınca sıvılaştırılmış LPG piyasasında 202</w:t>
      </w:r>
      <w:r>
        <w:t>5</w:t>
      </w:r>
      <w:r w:rsidR="009833F3" w:rsidRPr="002048A7">
        <w:t xml:space="preserve"> yılı</w:t>
      </w:r>
      <w:r w:rsidR="00E639F7" w:rsidRPr="002048A7">
        <w:t>nda</w:t>
      </w:r>
      <w:r w:rsidR="009833F3" w:rsidRPr="002048A7">
        <w:t xml:space="preserve"> uygulanacak olan lisans alma, lisans tadili, süre uzatımı (vize) ve lisans sureti çıkartma bedelleri</w:t>
      </w:r>
      <w:r w:rsidR="009833F3" w:rsidRPr="002048A7">
        <w:rPr>
          <w:color w:val="000000" w:themeColor="text1"/>
        </w:rPr>
        <w:t xml:space="preserve"> belirlenmiştir.</w:t>
      </w:r>
    </w:p>
    <w:p w14:paraId="44C2F820" w14:textId="77777777" w:rsidR="002C3099" w:rsidRPr="002048A7" w:rsidRDefault="002C3099" w:rsidP="002C3099">
      <w:pPr>
        <w:spacing w:after="0"/>
        <w:rPr>
          <w:color w:val="000000" w:themeColor="text1"/>
        </w:rPr>
      </w:pPr>
    </w:p>
    <w:p w14:paraId="06B5CA81" w14:textId="7518D52C" w:rsidR="002C3099" w:rsidRPr="002048A7" w:rsidRDefault="0068033C" w:rsidP="002048A7">
      <w:r>
        <w:t>29</w:t>
      </w:r>
      <w:r w:rsidRPr="002048A7">
        <w:t>.12.202</w:t>
      </w:r>
      <w:r>
        <w:t>4</w:t>
      </w:r>
      <w:r w:rsidRPr="002048A7">
        <w:t xml:space="preserve"> tarihli ve 32</w:t>
      </w:r>
      <w:r>
        <w:t>767</w:t>
      </w:r>
      <w:r w:rsidRPr="002048A7">
        <w:t xml:space="preserve"> sayılı Resmî Gazetede yayımlanan </w:t>
      </w:r>
      <w:r>
        <w:t>26</w:t>
      </w:r>
      <w:r w:rsidRPr="002048A7">
        <w:t>.12.202</w:t>
      </w:r>
      <w:r>
        <w:t>4</w:t>
      </w:r>
      <w:r w:rsidRPr="002048A7">
        <w:t xml:space="preserve"> tarihli ve 1</w:t>
      </w:r>
      <w:r>
        <w:t>3114</w:t>
      </w:r>
      <w:r w:rsidRPr="002048A7">
        <w:t xml:space="preserve"> sayılı Kurul Kararı ile </w:t>
      </w:r>
      <w:r w:rsidR="002C3099" w:rsidRPr="002048A7">
        <w:rPr>
          <w:color w:val="000000" w:themeColor="text1"/>
        </w:rPr>
        <w:t>4628 sayılı Kanunun 10 uncu maddesinin 5015 sayılı Kanunun 27</w:t>
      </w:r>
      <w:r w:rsidR="001A5127" w:rsidRPr="002048A7">
        <w:rPr>
          <w:color w:val="000000" w:themeColor="text1"/>
        </w:rPr>
        <w:t>’</w:t>
      </w:r>
      <w:r w:rsidR="002C3099" w:rsidRPr="002048A7">
        <w:rPr>
          <w:color w:val="000000" w:themeColor="text1"/>
        </w:rPr>
        <w:t xml:space="preserve">nci maddesi ile değişik </w:t>
      </w:r>
      <w:r w:rsidR="002C3099" w:rsidRPr="002048A7">
        <w:t>(D) bendinin (a) alt bendi ve LPG Piyasası Lisans Yönetmeliğinin 41</w:t>
      </w:r>
      <w:r w:rsidR="001A5127" w:rsidRPr="002048A7">
        <w:t>’</w:t>
      </w:r>
      <w:r w:rsidR="002C3099" w:rsidRPr="002048A7">
        <w:t>inci maddesi uyarınca LPG piyasasında 202</w:t>
      </w:r>
      <w:r>
        <w:t>5</w:t>
      </w:r>
      <w:r w:rsidR="002C3099" w:rsidRPr="002048A7">
        <w:t xml:space="preserve"> yılı</w:t>
      </w:r>
      <w:r w:rsidR="00E639F7" w:rsidRPr="002048A7">
        <w:t>nda</w:t>
      </w:r>
      <w:r w:rsidR="002C3099" w:rsidRPr="002048A7">
        <w:t xml:space="preserve"> </w:t>
      </w:r>
      <w:r w:rsidR="002C3099" w:rsidRPr="002048A7">
        <w:rPr>
          <w:color w:val="000000" w:themeColor="text1"/>
        </w:rPr>
        <w:t>uygulanacak katılma payı oranları belirlenmiştir.</w:t>
      </w:r>
    </w:p>
    <w:p w14:paraId="07267967" w14:textId="77777777" w:rsidR="002C3099" w:rsidRPr="002048A7" w:rsidRDefault="002C3099" w:rsidP="007E5AE9">
      <w:pPr>
        <w:spacing w:after="240"/>
      </w:pPr>
    </w:p>
    <w:p w14:paraId="6A0C2348" w14:textId="77777777" w:rsidR="002C3099" w:rsidRPr="002048A7" w:rsidRDefault="002C3099" w:rsidP="007E5AE9">
      <w:pPr>
        <w:spacing w:after="240"/>
      </w:pPr>
    </w:p>
    <w:p w14:paraId="6EB26A34" w14:textId="77777777" w:rsidR="00870442" w:rsidRPr="002048A7" w:rsidRDefault="00870442" w:rsidP="00A02EDE">
      <w:pPr>
        <w:rPr>
          <w:color w:val="000000" w:themeColor="text1"/>
        </w:rPr>
        <w:sectPr w:rsidR="00870442" w:rsidRPr="002048A7" w:rsidSect="007650B8">
          <w:footerReference w:type="first" r:id="rId30"/>
          <w:pgSz w:w="11906" w:h="16838"/>
          <w:pgMar w:top="1418" w:right="566" w:bottom="1418" w:left="1418" w:header="709" w:footer="709" w:gutter="0"/>
          <w:cols w:space="708"/>
          <w:docGrid w:linePitch="360"/>
        </w:sectPr>
      </w:pPr>
    </w:p>
    <w:p w14:paraId="4DA1400E" w14:textId="77777777" w:rsidR="00C16EC8" w:rsidRPr="002048A7" w:rsidRDefault="00C16EC8" w:rsidP="00577AAF">
      <w:pPr>
        <w:pStyle w:val="Balk1"/>
        <w:numPr>
          <w:ilvl w:val="0"/>
          <w:numId w:val="11"/>
        </w:numPr>
        <w:spacing w:before="0"/>
        <w:rPr>
          <w:rFonts w:asciiTheme="minorHAnsi" w:hAnsiTheme="minorHAnsi"/>
          <w:color w:val="auto"/>
          <w:sz w:val="22"/>
          <w:szCs w:val="22"/>
        </w:rPr>
      </w:pPr>
      <w:bookmarkStart w:id="269" w:name="_Toc195868738"/>
      <w:r w:rsidRPr="002048A7">
        <w:rPr>
          <w:rFonts w:asciiTheme="minorHAnsi" w:hAnsiTheme="minorHAnsi"/>
          <w:color w:val="auto"/>
          <w:sz w:val="22"/>
          <w:szCs w:val="22"/>
        </w:rPr>
        <w:lastRenderedPageBreak/>
        <w:t>BİLİŞİM SİSTEMLERİ FAALİYETLERİ</w:t>
      </w:r>
      <w:bookmarkEnd w:id="269"/>
    </w:p>
    <w:p w14:paraId="3E2339F8" w14:textId="77777777" w:rsidR="00997D3F" w:rsidRPr="002048A7" w:rsidRDefault="008B5848" w:rsidP="00997D3F">
      <w:pPr>
        <w:rPr>
          <w:rFonts w:cstheme="minorHAnsi"/>
          <w:color w:val="000000" w:themeColor="text1"/>
        </w:rPr>
      </w:pPr>
      <w:r w:rsidRPr="002048A7">
        <w:rPr>
          <w:rFonts w:cstheme="minorHAnsi"/>
          <w:color w:val="000000" w:themeColor="text1"/>
        </w:rPr>
        <w:t>Bu bölümde Kurum bünyesinde bilişim hizmetleri kapsamında 202</w:t>
      </w:r>
      <w:r>
        <w:rPr>
          <w:rFonts w:cstheme="minorHAnsi"/>
          <w:color w:val="000000" w:themeColor="text1"/>
        </w:rPr>
        <w:t>4</w:t>
      </w:r>
      <w:r w:rsidRPr="002048A7">
        <w:rPr>
          <w:rFonts w:cstheme="minorHAnsi"/>
          <w:color w:val="000000" w:themeColor="text1"/>
        </w:rPr>
        <w:t xml:space="preserve"> yılında yürütülen faaliyetler anlatılmaktadır. Bilişim sistemleri kapsamında EPVYS, EBİS, EPARS, EBYS, VEPS ve KKP’nın Kurum bünyesinde kurulumu yapılmış olup, söz konusu sistemlerin geliştirilmesine yönelik çalışmalar devam etmektedir. </w:t>
      </w:r>
      <w:r>
        <w:rPr>
          <w:color w:val="000000"/>
        </w:rPr>
        <w:t>Ulusal Siber Güvenlik Stratejisi ve Eylem Planları kapsamında gerçekleştirilen çalışmalar, 2024-2028 dönemi için yayımlanan eylem planını da kapsayacak şekilde tamamlanmıştır.</w:t>
      </w:r>
    </w:p>
    <w:p w14:paraId="6873B39C" w14:textId="77777777" w:rsidR="002C1A5A" w:rsidRPr="002048A7" w:rsidRDefault="004945F0" w:rsidP="00577AAF">
      <w:pPr>
        <w:pStyle w:val="Balk2"/>
        <w:numPr>
          <w:ilvl w:val="1"/>
          <w:numId w:val="11"/>
        </w:numPr>
        <w:spacing w:before="0" w:after="160"/>
        <w:rPr>
          <w:rFonts w:asciiTheme="minorHAnsi" w:hAnsiTheme="minorHAnsi" w:cstheme="minorHAnsi"/>
          <w:color w:val="auto"/>
          <w:sz w:val="22"/>
          <w:szCs w:val="22"/>
        </w:rPr>
      </w:pPr>
      <w:bookmarkStart w:id="270" w:name="_Toc36205075"/>
      <w:bookmarkStart w:id="271" w:name="_Toc195868739"/>
      <w:r w:rsidRPr="002048A7">
        <w:rPr>
          <w:rFonts w:asciiTheme="minorHAnsi" w:hAnsiTheme="minorHAnsi" w:cstheme="minorHAnsi"/>
          <w:color w:val="auto"/>
          <w:sz w:val="22"/>
          <w:szCs w:val="22"/>
        </w:rPr>
        <w:t>Bilgi Güvenliği Yönetim Sistemi (BGYS)</w:t>
      </w:r>
      <w:bookmarkEnd w:id="270"/>
      <w:bookmarkEnd w:id="271"/>
    </w:p>
    <w:p w14:paraId="39BE63AE" w14:textId="77777777" w:rsidR="00127EAE" w:rsidRPr="002048A7" w:rsidRDefault="00127EAE" w:rsidP="00127EAE">
      <w:pPr>
        <w:rPr>
          <w:rFonts w:cstheme="minorHAnsi"/>
          <w:color w:val="000000" w:themeColor="text1"/>
        </w:rPr>
      </w:pPr>
      <w:r w:rsidRPr="002048A7">
        <w:rPr>
          <w:rFonts w:cstheme="minorHAnsi"/>
          <w:color w:val="000000" w:themeColor="text1"/>
        </w:rPr>
        <w:t>Kurumda işletilen BGYS ile alınmış olan TS ISO/IEC 27001 sertifikası kapsamında belge sürekliliği çalışmaları başarıyla tamamlanmıştır.</w:t>
      </w:r>
    </w:p>
    <w:p w14:paraId="5802D54A" w14:textId="77777777" w:rsidR="008B5848" w:rsidRPr="002048A7" w:rsidRDefault="008B5848" w:rsidP="008B5848">
      <w:pPr>
        <w:rPr>
          <w:rFonts w:cstheme="minorHAnsi"/>
          <w:color w:val="000000" w:themeColor="text1"/>
        </w:rPr>
      </w:pPr>
      <w:r w:rsidRPr="002048A7">
        <w:rPr>
          <w:rFonts w:cstheme="minorHAnsi"/>
          <w:color w:val="000000" w:themeColor="text1"/>
        </w:rPr>
        <w:t xml:space="preserve">Enerji Sektöründe Siber Güvenlik Yetkinlik Modeli Yönetmeliği </w:t>
      </w:r>
      <w:r>
        <w:rPr>
          <w:rFonts w:cstheme="minorHAnsi"/>
          <w:color w:val="000000" w:themeColor="text1"/>
        </w:rPr>
        <w:t xml:space="preserve">’nde 2024 yılı içerisinde iki revizyon yapılmış olup ilk revizyon 28.1.2024 tarihli ve 32443 sayılı </w:t>
      </w:r>
      <w:proofErr w:type="gramStart"/>
      <w:r>
        <w:rPr>
          <w:rFonts w:cstheme="minorHAnsi"/>
          <w:color w:val="000000" w:themeColor="text1"/>
        </w:rPr>
        <w:t>Resmi</w:t>
      </w:r>
      <w:proofErr w:type="gramEnd"/>
      <w:r>
        <w:rPr>
          <w:rFonts w:cstheme="minorHAnsi"/>
          <w:color w:val="000000" w:themeColor="text1"/>
        </w:rPr>
        <w:t xml:space="preserve"> Gazete’de yayımlanmıştır. Bu revizyon ile elektrik üretim ve rafineri sektörleri için teknik kontrol madde setleri yayımlanarak söz konusu sektörlerin mevzuata uyum süreçleri başlatılmıştır. İkinci revizyon 8.9.2024 tarihli ve 32656 sayılı </w:t>
      </w:r>
      <w:proofErr w:type="gramStart"/>
      <w:r>
        <w:rPr>
          <w:rFonts w:cstheme="minorHAnsi"/>
          <w:color w:val="000000" w:themeColor="text1"/>
        </w:rPr>
        <w:t>Resmi</w:t>
      </w:r>
      <w:proofErr w:type="gramEnd"/>
      <w:r>
        <w:rPr>
          <w:rFonts w:cstheme="minorHAnsi"/>
          <w:color w:val="000000" w:themeColor="text1"/>
        </w:rPr>
        <w:t xml:space="preserve"> Gazete’de yayımlanarak elektrik iletim, doğal gaz ve ham petrol iletim ile doğal gaz depolama sektörleri için mevzuata uyum süreçleri başlatılmıştır.</w:t>
      </w:r>
    </w:p>
    <w:p w14:paraId="7FBD51DE" w14:textId="77777777" w:rsidR="008B5848" w:rsidRDefault="008B5848" w:rsidP="008B5848">
      <w:pPr>
        <w:rPr>
          <w:rFonts w:cstheme="minorHAnsi"/>
          <w:color w:val="000000" w:themeColor="text1"/>
        </w:rPr>
      </w:pPr>
      <w:r w:rsidRPr="002048A7">
        <w:rPr>
          <w:rFonts w:cstheme="minorHAnsi"/>
          <w:color w:val="000000" w:themeColor="text1"/>
        </w:rPr>
        <w:t>Enerji Sektöründe Siber Güvenlik Yetkinlik Modeli Yönetmeliği</w:t>
      </w:r>
      <w:r>
        <w:rPr>
          <w:rFonts w:cstheme="minorHAnsi"/>
          <w:color w:val="000000" w:themeColor="text1"/>
        </w:rPr>
        <w:t xml:space="preserve"> çerçevesinde gerçekleştirilecek bağımsız denetim ekiplerinin yetiştirilmesi için yetkilendirilen Sakarya Üniversitesi Kritik Altyapılar Ulusal Test Yatağı Merkezi ekibiyle 2 enerji sektörü kuruluşunda yerinde inceleme ziyaretleri gerçekleştirilmiştir.</w:t>
      </w:r>
    </w:p>
    <w:p w14:paraId="1CFAB79F" w14:textId="77777777" w:rsidR="008B5848" w:rsidRDefault="008B5848" w:rsidP="008B5848">
      <w:pPr>
        <w:rPr>
          <w:rFonts w:cstheme="minorHAnsi"/>
          <w:color w:val="000000" w:themeColor="text1"/>
        </w:rPr>
      </w:pPr>
      <w:r>
        <w:rPr>
          <w:rFonts w:cstheme="minorHAnsi"/>
          <w:color w:val="000000" w:themeColor="text1"/>
        </w:rPr>
        <w:t>Türkiye 3. Bilişim Şurası hazırlıkları kapsamında gerçekleştirilen iki çalıştaya katılım sağlanarak ülkemiz bilişim odaklı ihtiyaçları ile hedeflerinin belirlenmesine katkıda bulunulmuştur.</w:t>
      </w:r>
    </w:p>
    <w:p w14:paraId="59631FE8" w14:textId="77777777" w:rsidR="008B5848" w:rsidRPr="002048A7" w:rsidRDefault="008B5848" w:rsidP="008B5848">
      <w:pPr>
        <w:rPr>
          <w:rFonts w:cstheme="minorHAnsi"/>
          <w:color w:val="000000" w:themeColor="text1"/>
        </w:rPr>
      </w:pPr>
      <w:r>
        <w:rPr>
          <w:rFonts w:cstheme="minorHAnsi"/>
          <w:color w:val="000000" w:themeColor="text1"/>
        </w:rPr>
        <w:t xml:space="preserve">22-26.4.2024 tarihlerinde </w:t>
      </w:r>
      <w:r w:rsidRPr="002A2D8F">
        <w:rPr>
          <w:rFonts w:cstheme="minorHAnsi"/>
          <w:color w:val="000000" w:themeColor="text1"/>
        </w:rPr>
        <w:t>siber varlık ve kritik altyapılara karşı gerçekleştirilebilecek farklı siber saldırı senaryolarının test edildiği</w:t>
      </w:r>
      <w:r>
        <w:rPr>
          <w:rFonts w:cstheme="minorHAnsi"/>
          <w:color w:val="000000" w:themeColor="text1"/>
        </w:rPr>
        <w:t xml:space="preserve">, NATO Siber Savunma Mükemmeliyet </w:t>
      </w:r>
      <w:proofErr w:type="gramStart"/>
      <w:r>
        <w:rPr>
          <w:rFonts w:cstheme="minorHAnsi"/>
          <w:color w:val="000000" w:themeColor="text1"/>
        </w:rPr>
        <w:t>Merkezi(</w:t>
      </w:r>
      <w:proofErr w:type="gramEnd"/>
      <w:r>
        <w:rPr>
          <w:rFonts w:cstheme="minorHAnsi"/>
          <w:color w:val="000000" w:themeColor="text1"/>
        </w:rPr>
        <w:t>Estonya/Talin) koordinatörlüğünde gerçekleştirilen Kilitli Kalkan-2024 Tatbikatı’na gözlemci statüsünde katılım sağlanmıştır.</w:t>
      </w:r>
    </w:p>
    <w:p w14:paraId="4ACBFC9E" w14:textId="77777777" w:rsidR="008B5848" w:rsidRDefault="008B5848" w:rsidP="008B5848">
      <w:pPr>
        <w:rPr>
          <w:rFonts w:cstheme="minorHAnsi"/>
          <w:color w:val="000000" w:themeColor="text1"/>
        </w:rPr>
      </w:pPr>
      <w:r>
        <w:rPr>
          <w:rFonts w:cstheme="minorHAnsi"/>
          <w:color w:val="000000" w:themeColor="text1"/>
        </w:rPr>
        <w:t xml:space="preserve">Enerji Sektöründe Siber Savunma </w:t>
      </w:r>
      <w:proofErr w:type="gramStart"/>
      <w:r>
        <w:rPr>
          <w:rFonts w:cstheme="minorHAnsi"/>
          <w:color w:val="000000" w:themeColor="text1"/>
        </w:rPr>
        <w:t>Simülasyonu(</w:t>
      </w:r>
      <w:proofErr w:type="gramEnd"/>
      <w:r>
        <w:rPr>
          <w:rFonts w:cstheme="minorHAnsi"/>
          <w:color w:val="000000" w:themeColor="text1"/>
        </w:rPr>
        <w:t>Ex4S) etkinliği 7-8.10.2024 tarihlerinde enerji sektörü kuruluşları temsilcileri ve kamu kurum/kuruluşlarının temsilcilerinden oluşan yaklaşık 1000 kişinin katılımı ile Kurumumuz ev sahipliğinde gerçekleştirilmiştir. Etkinlikte enerji kuruluşlarının siber farkındalık ve dayanıklılıklarını artırmak üzere simülasyonlar yapılmış, ayrıca sektörün önde gelen uzman ve yöneticilerinin katılımıyla konferans programı ile aktif bilgi paylaşım ortamı oluşturulmuştur.</w:t>
      </w:r>
    </w:p>
    <w:p w14:paraId="0EA72479" w14:textId="77777777" w:rsidR="00127EAE" w:rsidRPr="002048A7" w:rsidRDefault="008B5848" w:rsidP="008B5848">
      <w:pPr>
        <w:rPr>
          <w:rFonts w:ascii="Times New Roman" w:hAnsi="Times New Roman"/>
          <w:color w:val="000000" w:themeColor="text1"/>
        </w:rPr>
      </w:pPr>
      <w:r w:rsidRPr="002048A7">
        <w:rPr>
          <w:rFonts w:cstheme="minorHAnsi"/>
          <w:color w:val="000000" w:themeColor="text1"/>
        </w:rPr>
        <w:t>Cumhurbaşkanlığı Dijital Dönüşüm Ofisi tarafından hazırlanarak 27.07.2020 tarihinde erişime açılan Bilgi ve İletişim Güvenliği Rehberi’ne uyum çerçevesinde Kurumda ilgili çalışmalar için denetim süreçleri başarı ile tamamlanmıştır.</w:t>
      </w:r>
    </w:p>
    <w:p w14:paraId="3D2EFF16" w14:textId="77777777" w:rsidR="00127EAE" w:rsidRPr="002048A7" w:rsidRDefault="004945F0" w:rsidP="00577AAF">
      <w:pPr>
        <w:pStyle w:val="Balk2"/>
        <w:numPr>
          <w:ilvl w:val="1"/>
          <w:numId w:val="11"/>
        </w:numPr>
        <w:spacing w:before="0" w:after="160"/>
        <w:rPr>
          <w:rFonts w:asciiTheme="minorHAnsi" w:hAnsiTheme="minorHAnsi" w:cstheme="minorHAnsi"/>
          <w:color w:val="auto"/>
          <w:sz w:val="22"/>
          <w:szCs w:val="22"/>
        </w:rPr>
      </w:pPr>
      <w:bookmarkStart w:id="272" w:name="_Toc36205076"/>
      <w:r w:rsidRPr="002048A7">
        <w:rPr>
          <w:rFonts w:asciiTheme="minorHAnsi" w:hAnsiTheme="minorHAnsi" w:cstheme="minorHAnsi"/>
          <w:color w:val="auto"/>
          <w:sz w:val="22"/>
          <w:szCs w:val="22"/>
        </w:rPr>
        <w:t xml:space="preserve"> </w:t>
      </w:r>
      <w:bookmarkStart w:id="273" w:name="_Toc195868740"/>
      <w:r w:rsidRPr="002048A7">
        <w:rPr>
          <w:rFonts w:asciiTheme="minorHAnsi" w:hAnsiTheme="minorHAnsi" w:cstheme="minorHAnsi"/>
          <w:color w:val="auto"/>
          <w:sz w:val="22"/>
          <w:szCs w:val="22"/>
        </w:rPr>
        <w:t>Bilişim Altyapı Sistemleri ve Destek Hizmetleri</w:t>
      </w:r>
      <w:bookmarkEnd w:id="272"/>
      <w:bookmarkEnd w:id="273"/>
    </w:p>
    <w:p w14:paraId="4EFCD39F" w14:textId="77777777" w:rsidR="008B5848" w:rsidRDefault="008B5848" w:rsidP="008B5848">
      <w:r w:rsidRPr="00BD531E">
        <w:t xml:space="preserve">Kurum bilişim sistemleri, ağları ve siber güvenlik altyapısı ile ilgili olarak rutin çalışmalar devam ettirilmiş, </w:t>
      </w:r>
      <w:r>
        <w:t xml:space="preserve">yapılan düzenli </w:t>
      </w:r>
      <w:r w:rsidRPr="00BD531E">
        <w:t>incelemeler ve ilgili birimlerin talepleri doğrultusunda geliştirme ve iyileştirme faaliyetleri gerçekleştirilmiştir.</w:t>
      </w:r>
    </w:p>
    <w:p w14:paraId="544F526D" w14:textId="66950761" w:rsidR="008B5848" w:rsidRPr="002048A7" w:rsidRDefault="008B5848" w:rsidP="008B5848">
      <w:pPr>
        <w:rPr>
          <w:rFonts w:cstheme="minorHAnsi"/>
          <w:color w:val="000000" w:themeColor="text1"/>
        </w:rPr>
      </w:pPr>
      <w:r w:rsidRPr="002048A7">
        <w:rPr>
          <w:rFonts w:cstheme="minorHAnsi"/>
          <w:color w:val="000000" w:themeColor="text1"/>
        </w:rPr>
        <w:t xml:space="preserve">Kurum CBS sistem altyapısı </w:t>
      </w:r>
      <w:r>
        <w:t>üzerinden</w:t>
      </w:r>
      <w:r w:rsidRPr="002048A7">
        <w:rPr>
          <w:rFonts w:cstheme="minorHAnsi"/>
          <w:color w:val="000000" w:themeColor="text1"/>
        </w:rPr>
        <w:t xml:space="preserve"> ve diğer kurum ve firmalarının CBS verilerine güvenli erişimin sağlanabilmesini teminen gerekli altyapı oluşturulması işlemlerine devam edilmiştir.</w:t>
      </w:r>
    </w:p>
    <w:p w14:paraId="021A0D5F" w14:textId="77777777" w:rsidR="008B5848" w:rsidRPr="002048A7" w:rsidRDefault="008B5848" w:rsidP="008B5848">
      <w:pPr>
        <w:rPr>
          <w:rFonts w:cstheme="minorHAnsi"/>
          <w:color w:val="000000" w:themeColor="text1"/>
        </w:rPr>
      </w:pPr>
      <w:r w:rsidRPr="002048A7">
        <w:rPr>
          <w:rFonts w:cstheme="minorHAnsi"/>
          <w:color w:val="000000" w:themeColor="text1"/>
        </w:rPr>
        <w:lastRenderedPageBreak/>
        <w:t>Yetkili hesap yönetiminin sağlıklı sürdürülebilmesi amacı ile Kurum’un halihazırda sahip olduğu teknolojiler kullanılarak iyileştirmeler gerçekleştirilmiştir.</w:t>
      </w:r>
    </w:p>
    <w:p w14:paraId="3C7FACF6" w14:textId="77777777" w:rsidR="008B5848" w:rsidRPr="002048A7" w:rsidRDefault="008B5848" w:rsidP="008B5848">
      <w:pPr>
        <w:rPr>
          <w:rFonts w:cstheme="minorHAnsi"/>
          <w:color w:val="000000" w:themeColor="text1"/>
        </w:rPr>
      </w:pPr>
      <w:r>
        <w:t>Zafiyet ve varlık yönetim yazılımı kullanılarak periyodik olarak yapılmakta olan zafiyet taramaları ve yıllık sızma testi bulgularının ilgili sorumlularına atanması ve takibi işlemlerine devam edilmiştir.</w:t>
      </w:r>
    </w:p>
    <w:p w14:paraId="091B1CBC" w14:textId="77777777" w:rsidR="00127EAE" w:rsidRPr="002048A7" w:rsidRDefault="004945F0" w:rsidP="00577AAF">
      <w:pPr>
        <w:pStyle w:val="Balk2"/>
        <w:numPr>
          <w:ilvl w:val="1"/>
          <w:numId w:val="11"/>
        </w:numPr>
        <w:spacing w:before="0" w:after="160"/>
        <w:rPr>
          <w:rFonts w:asciiTheme="minorHAnsi" w:hAnsiTheme="minorHAnsi" w:cstheme="minorHAnsi"/>
          <w:color w:val="auto"/>
          <w:sz w:val="22"/>
          <w:szCs w:val="22"/>
        </w:rPr>
      </w:pPr>
      <w:bookmarkStart w:id="274" w:name="_Toc36205077"/>
      <w:bookmarkStart w:id="275" w:name="_Toc195868741"/>
      <w:r w:rsidRPr="002048A7">
        <w:rPr>
          <w:rFonts w:asciiTheme="minorHAnsi" w:hAnsiTheme="minorHAnsi" w:cstheme="minorHAnsi"/>
          <w:color w:val="auto"/>
          <w:sz w:val="22"/>
          <w:szCs w:val="22"/>
        </w:rPr>
        <w:t>Elektronik Belge Yönetim Sistemi (EBYS)</w:t>
      </w:r>
      <w:bookmarkEnd w:id="274"/>
      <w:bookmarkEnd w:id="275"/>
    </w:p>
    <w:p w14:paraId="702A07B9" w14:textId="77777777" w:rsidR="008B5848" w:rsidRPr="008B5848" w:rsidRDefault="008B5848" w:rsidP="0025080A">
      <w:pPr>
        <w:pStyle w:val="NormalWeb"/>
        <w:numPr>
          <w:ilvl w:val="0"/>
          <w:numId w:val="27"/>
        </w:numPr>
        <w:shd w:val="clear" w:color="auto" w:fill="FFFFFF"/>
        <w:spacing w:before="60" w:beforeAutospacing="0" w:after="60" w:afterAutospacing="0"/>
        <w:ind w:left="714" w:hanging="357"/>
        <w:rPr>
          <w:rFonts w:asciiTheme="minorHAnsi" w:eastAsia="Calibri" w:hAnsiTheme="minorHAnsi" w:cstheme="minorHAnsi"/>
          <w:color w:val="000000" w:themeColor="text1"/>
          <w:sz w:val="22"/>
          <w:lang w:eastAsia="en-US"/>
        </w:rPr>
      </w:pPr>
      <w:r w:rsidRPr="008B5848">
        <w:rPr>
          <w:rFonts w:asciiTheme="minorHAnsi" w:eastAsia="Calibri" w:hAnsiTheme="minorHAnsi" w:cstheme="minorHAnsi"/>
          <w:color w:val="000000" w:themeColor="text1"/>
          <w:sz w:val="22"/>
          <w:lang w:eastAsia="en-US"/>
        </w:rPr>
        <w:t>Sistemde sorun yaşayan personele uzaktan teknik destek sağlanmıştır.</w:t>
      </w:r>
    </w:p>
    <w:p w14:paraId="17774397" w14:textId="77777777" w:rsidR="008B5848" w:rsidRPr="008B5848" w:rsidRDefault="008B5848" w:rsidP="0025080A">
      <w:pPr>
        <w:pStyle w:val="NormalWeb"/>
        <w:numPr>
          <w:ilvl w:val="0"/>
          <w:numId w:val="27"/>
        </w:numPr>
        <w:shd w:val="clear" w:color="auto" w:fill="FFFFFF"/>
        <w:spacing w:before="60" w:beforeAutospacing="0" w:after="60" w:afterAutospacing="0"/>
        <w:ind w:left="714" w:hanging="357"/>
        <w:rPr>
          <w:rFonts w:asciiTheme="minorHAnsi" w:eastAsia="Calibri" w:hAnsiTheme="minorHAnsi" w:cstheme="minorHAnsi"/>
          <w:color w:val="000000" w:themeColor="text1"/>
          <w:sz w:val="22"/>
          <w:lang w:eastAsia="en-US"/>
        </w:rPr>
      </w:pPr>
      <w:r w:rsidRPr="008B5848">
        <w:rPr>
          <w:rFonts w:asciiTheme="minorHAnsi" w:eastAsia="Calibri" w:hAnsiTheme="minorHAnsi" w:cstheme="minorHAnsi"/>
          <w:color w:val="000000" w:themeColor="text1"/>
          <w:sz w:val="22"/>
          <w:lang w:eastAsia="en-US"/>
        </w:rPr>
        <w:t>Sistemin yıllık bakım sözleşmesi yapılmıştır.</w:t>
      </w:r>
    </w:p>
    <w:p w14:paraId="5568A33D" w14:textId="77777777" w:rsidR="008B5848" w:rsidRPr="008B5848" w:rsidRDefault="008B5848" w:rsidP="0025080A">
      <w:pPr>
        <w:pStyle w:val="NormalWeb"/>
        <w:numPr>
          <w:ilvl w:val="0"/>
          <w:numId w:val="27"/>
        </w:numPr>
        <w:shd w:val="clear" w:color="auto" w:fill="FFFFFF"/>
        <w:spacing w:before="60" w:beforeAutospacing="0" w:after="60" w:afterAutospacing="0"/>
        <w:ind w:left="714" w:hanging="357"/>
        <w:rPr>
          <w:rFonts w:asciiTheme="minorHAnsi" w:eastAsia="Calibri" w:hAnsiTheme="minorHAnsi" w:cstheme="minorHAnsi"/>
          <w:color w:val="000000" w:themeColor="text1"/>
          <w:sz w:val="22"/>
          <w:lang w:eastAsia="en-US"/>
        </w:rPr>
      </w:pPr>
      <w:r w:rsidRPr="008B5848">
        <w:rPr>
          <w:rFonts w:asciiTheme="minorHAnsi" w:eastAsia="Calibri" w:hAnsiTheme="minorHAnsi" w:cstheme="minorHAnsi"/>
          <w:color w:val="000000" w:themeColor="text1"/>
          <w:sz w:val="22"/>
          <w:lang w:eastAsia="en-US"/>
        </w:rPr>
        <w:t>Belirli periyotlarda sürüm güncellemeleri gerçekleştirilmiştir.</w:t>
      </w:r>
    </w:p>
    <w:p w14:paraId="2A4B3B85" w14:textId="77777777" w:rsidR="008B5848" w:rsidRPr="008B5848" w:rsidRDefault="008B5848" w:rsidP="0025080A">
      <w:pPr>
        <w:pStyle w:val="NormalWeb"/>
        <w:numPr>
          <w:ilvl w:val="0"/>
          <w:numId w:val="27"/>
        </w:numPr>
        <w:shd w:val="clear" w:color="auto" w:fill="FFFFFF"/>
        <w:spacing w:before="60" w:beforeAutospacing="0" w:after="60" w:afterAutospacing="0"/>
        <w:ind w:left="714" w:hanging="357"/>
        <w:rPr>
          <w:rFonts w:asciiTheme="minorHAnsi" w:eastAsia="Calibri" w:hAnsiTheme="minorHAnsi" w:cstheme="minorHAnsi"/>
          <w:color w:val="000000" w:themeColor="text1"/>
          <w:sz w:val="22"/>
          <w:lang w:eastAsia="en-US"/>
        </w:rPr>
      </w:pPr>
      <w:r w:rsidRPr="008B5848">
        <w:rPr>
          <w:rFonts w:asciiTheme="minorHAnsi" w:eastAsia="Calibri" w:hAnsiTheme="minorHAnsi" w:cstheme="minorHAnsi"/>
          <w:color w:val="000000" w:themeColor="text1"/>
          <w:sz w:val="22"/>
          <w:lang w:eastAsia="en-US"/>
        </w:rPr>
        <w:t>Sistem üzerinde çalışan evrak türlerinde güncellemeler yapılmıştır.</w:t>
      </w:r>
    </w:p>
    <w:p w14:paraId="2337276C" w14:textId="77777777" w:rsidR="008B5848" w:rsidRPr="008B5848" w:rsidRDefault="008B5848" w:rsidP="0025080A">
      <w:pPr>
        <w:pStyle w:val="NormalWeb"/>
        <w:numPr>
          <w:ilvl w:val="0"/>
          <w:numId w:val="27"/>
        </w:numPr>
        <w:shd w:val="clear" w:color="auto" w:fill="FFFFFF"/>
        <w:spacing w:before="60" w:beforeAutospacing="0" w:after="60" w:afterAutospacing="0"/>
        <w:ind w:left="714" w:hanging="357"/>
        <w:rPr>
          <w:rFonts w:asciiTheme="minorHAnsi" w:eastAsia="Calibri" w:hAnsiTheme="minorHAnsi" w:cstheme="minorHAnsi"/>
          <w:color w:val="000000" w:themeColor="text1"/>
          <w:sz w:val="22"/>
          <w:lang w:eastAsia="en-US"/>
        </w:rPr>
      </w:pPr>
      <w:r w:rsidRPr="008B5848">
        <w:rPr>
          <w:rFonts w:asciiTheme="minorHAnsi" w:eastAsia="Calibri" w:hAnsiTheme="minorHAnsi" w:cstheme="minorHAnsi"/>
          <w:color w:val="000000" w:themeColor="text1"/>
          <w:sz w:val="22"/>
          <w:lang w:eastAsia="en-US"/>
        </w:rPr>
        <w:t>Sistem ayarlarında güncellemeler yapılmıştır.</w:t>
      </w:r>
    </w:p>
    <w:p w14:paraId="15F0265D" w14:textId="77777777" w:rsidR="008B5848" w:rsidRPr="008B5848" w:rsidRDefault="008B5848" w:rsidP="0025080A">
      <w:pPr>
        <w:pStyle w:val="NormalWeb"/>
        <w:numPr>
          <w:ilvl w:val="0"/>
          <w:numId w:val="27"/>
        </w:numPr>
        <w:shd w:val="clear" w:color="auto" w:fill="FFFFFF"/>
        <w:spacing w:before="60" w:beforeAutospacing="0" w:after="60" w:afterAutospacing="0"/>
        <w:ind w:left="714" w:hanging="357"/>
        <w:rPr>
          <w:rFonts w:asciiTheme="minorHAnsi" w:eastAsia="Calibri" w:hAnsiTheme="minorHAnsi" w:cstheme="minorHAnsi"/>
          <w:color w:val="000000" w:themeColor="text1"/>
          <w:sz w:val="22"/>
          <w:lang w:eastAsia="en-US"/>
        </w:rPr>
      </w:pPr>
      <w:r w:rsidRPr="008B5848">
        <w:rPr>
          <w:rFonts w:asciiTheme="minorHAnsi" w:eastAsia="Calibri" w:hAnsiTheme="minorHAnsi" w:cstheme="minorHAnsi"/>
          <w:color w:val="000000" w:themeColor="text1"/>
          <w:sz w:val="22"/>
          <w:lang w:eastAsia="en-US"/>
        </w:rPr>
        <w:t>Sistem entegrasyon ayarlarında güncellemeler yapılmıştır.</w:t>
      </w:r>
    </w:p>
    <w:p w14:paraId="38FC863E" w14:textId="77777777" w:rsidR="008B5848" w:rsidRPr="008B5848" w:rsidRDefault="008B5848" w:rsidP="0025080A">
      <w:pPr>
        <w:pStyle w:val="NormalWeb"/>
        <w:numPr>
          <w:ilvl w:val="0"/>
          <w:numId w:val="27"/>
        </w:numPr>
        <w:shd w:val="clear" w:color="auto" w:fill="FFFFFF"/>
        <w:spacing w:before="60" w:beforeAutospacing="0" w:after="60" w:afterAutospacing="0"/>
        <w:ind w:left="714" w:hanging="357"/>
        <w:rPr>
          <w:rFonts w:asciiTheme="minorHAnsi" w:eastAsia="Calibri" w:hAnsiTheme="minorHAnsi" w:cstheme="minorHAnsi"/>
          <w:color w:val="000000" w:themeColor="text1"/>
          <w:sz w:val="22"/>
          <w:lang w:eastAsia="en-US"/>
        </w:rPr>
      </w:pPr>
      <w:r w:rsidRPr="008B5848">
        <w:rPr>
          <w:rFonts w:asciiTheme="minorHAnsi" w:eastAsia="Calibri" w:hAnsiTheme="minorHAnsi" w:cstheme="minorHAnsi"/>
          <w:color w:val="000000" w:themeColor="text1"/>
          <w:sz w:val="22"/>
          <w:lang w:eastAsia="en-US"/>
        </w:rPr>
        <w:t>Kurum internet sitesinde yayınlanan Tüketici Şikâyetleri Modülü güncellenmiştir.</w:t>
      </w:r>
    </w:p>
    <w:p w14:paraId="4AB6C4CD" w14:textId="77777777" w:rsidR="008B5848" w:rsidRPr="008B5848" w:rsidRDefault="008B5848" w:rsidP="0025080A">
      <w:pPr>
        <w:pStyle w:val="NormalWeb"/>
        <w:numPr>
          <w:ilvl w:val="0"/>
          <w:numId w:val="27"/>
        </w:numPr>
        <w:shd w:val="clear" w:color="auto" w:fill="FFFFFF"/>
        <w:spacing w:before="60" w:beforeAutospacing="0" w:after="60" w:afterAutospacing="0"/>
        <w:ind w:left="714" w:hanging="357"/>
        <w:rPr>
          <w:rFonts w:asciiTheme="minorHAnsi" w:eastAsia="Calibri" w:hAnsiTheme="minorHAnsi" w:cstheme="minorHAnsi"/>
          <w:color w:val="000000" w:themeColor="text1"/>
          <w:sz w:val="22"/>
          <w:lang w:eastAsia="en-US"/>
        </w:rPr>
      </w:pPr>
      <w:r w:rsidRPr="008B5848">
        <w:rPr>
          <w:rFonts w:asciiTheme="minorHAnsi" w:eastAsia="Calibri" w:hAnsiTheme="minorHAnsi" w:cstheme="minorHAnsi"/>
          <w:color w:val="000000" w:themeColor="text1"/>
          <w:sz w:val="22"/>
          <w:lang w:eastAsia="en-US"/>
        </w:rPr>
        <w:t>Kuruma yeni başlayan personellere e-imza alımları yapılmıştır.</w:t>
      </w:r>
    </w:p>
    <w:p w14:paraId="60A8C2DD" w14:textId="77777777" w:rsidR="008B5848" w:rsidRPr="008B5848" w:rsidRDefault="008B5848" w:rsidP="0025080A">
      <w:pPr>
        <w:pStyle w:val="NormalWeb"/>
        <w:numPr>
          <w:ilvl w:val="0"/>
          <w:numId w:val="27"/>
        </w:numPr>
        <w:shd w:val="clear" w:color="auto" w:fill="FFFFFF"/>
        <w:spacing w:before="60" w:beforeAutospacing="0" w:after="60" w:afterAutospacing="0"/>
        <w:ind w:left="714" w:hanging="357"/>
        <w:rPr>
          <w:rFonts w:asciiTheme="minorHAnsi" w:eastAsia="Calibri" w:hAnsiTheme="minorHAnsi" w:cstheme="minorHAnsi"/>
          <w:color w:val="000000" w:themeColor="text1"/>
          <w:sz w:val="22"/>
          <w:lang w:eastAsia="en-US"/>
        </w:rPr>
      </w:pPr>
      <w:r w:rsidRPr="008B5848">
        <w:rPr>
          <w:rFonts w:asciiTheme="minorHAnsi" w:eastAsia="Calibri" w:hAnsiTheme="minorHAnsi" w:cstheme="minorHAnsi"/>
          <w:color w:val="000000" w:themeColor="text1"/>
          <w:sz w:val="22"/>
          <w:lang w:eastAsia="en-US"/>
        </w:rPr>
        <w:t>E-imza süreleri dolan personelin e-imzaları yenilenmiştir.</w:t>
      </w:r>
    </w:p>
    <w:p w14:paraId="454882AF" w14:textId="77777777" w:rsidR="004945F0" w:rsidRPr="002048A7" w:rsidRDefault="004945F0" w:rsidP="008B5848">
      <w:pPr>
        <w:pStyle w:val="Balk2"/>
        <w:numPr>
          <w:ilvl w:val="1"/>
          <w:numId w:val="11"/>
        </w:numPr>
        <w:spacing w:before="120" w:after="120"/>
        <w:rPr>
          <w:rFonts w:asciiTheme="minorHAnsi" w:hAnsiTheme="minorHAnsi" w:cstheme="minorHAnsi"/>
          <w:color w:val="auto"/>
          <w:sz w:val="22"/>
          <w:szCs w:val="22"/>
        </w:rPr>
      </w:pPr>
      <w:bookmarkStart w:id="276" w:name="_Toc514251674"/>
      <w:bookmarkStart w:id="277" w:name="_Toc36205080"/>
      <w:bookmarkStart w:id="278" w:name="_Toc195868742"/>
      <w:r w:rsidRPr="002048A7">
        <w:rPr>
          <w:rFonts w:asciiTheme="minorHAnsi" w:hAnsiTheme="minorHAnsi" w:cstheme="minorHAnsi"/>
          <w:color w:val="auto"/>
          <w:sz w:val="22"/>
          <w:szCs w:val="22"/>
        </w:rPr>
        <w:t xml:space="preserve">Kurum </w:t>
      </w:r>
      <w:bookmarkEnd w:id="276"/>
      <w:r w:rsidRPr="002048A7">
        <w:rPr>
          <w:rFonts w:asciiTheme="minorHAnsi" w:hAnsiTheme="minorHAnsi" w:cstheme="minorHAnsi"/>
          <w:color w:val="auto"/>
          <w:sz w:val="22"/>
          <w:szCs w:val="22"/>
        </w:rPr>
        <w:t>İnternet Sitesi</w:t>
      </w:r>
      <w:bookmarkEnd w:id="277"/>
      <w:bookmarkEnd w:id="278"/>
    </w:p>
    <w:p w14:paraId="09CA4AB8" w14:textId="77777777" w:rsidR="008B5848" w:rsidRPr="008B5848" w:rsidRDefault="008B5848" w:rsidP="008B5848">
      <w:pPr>
        <w:rPr>
          <w:rFonts w:cstheme="minorHAnsi"/>
          <w:color w:val="000000" w:themeColor="text1"/>
        </w:rPr>
      </w:pPr>
      <w:bookmarkStart w:id="279" w:name="_Toc442262794"/>
      <w:bookmarkStart w:id="280" w:name="_Toc514251678"/>
      <w:bookmarkStart w:id="281" w:name="_Toc36205081"/>
      <w:r w:rsidRPr="008B5848">
        <w:rPr>
          <w:rFonts w:cstheme="minorHAnsi"/>
          <w:color w:val="000000" w:themeColor="text1"/>
        </w:rPr>
        <w:t>Kurum internet sitesi, birimlerden ve kullanıcılardan gelen talepler doğrultusunda sürekli olarak geliştirilmektedir. Sitemizde, kamuoyunu ve kurumumuzu ilgilendiren duyurular, mevzuat taslakları, basın açıklamaları ve etkinlikler gibi konularda detaylı, güvenilir ve güncel bilgiler kamuya açık bir şekilde sunulmaktadır.</w:t>
      </w:r>
    </w:p>
    <w:p w14:paraId="30A131D6" w14:textId="77777777" w:rsidR="00BB4F05" w:rsidRPr="002048A7" w:rsidRDefault="008B5848" w:rsidP="008B5848">
      <w:pPr>
        <w:rPr>
          <w:rFonts w:cstheme="minorHAnsi"/>
          <w:color w:val="000000" w:themeColor="text1"/>
        </w:rPr>
      </w:pPr>
      <w:r w:rsidRPr="008B5848">
        <w:rPr>
          <w:rFonts w:cstheme="minorHAnsi"/>
          <w:color w:val="000000" w:themeColor="text1"/>
        </w:rPr>
        <w:t>Ayrıca, internet sitemizin kullanıcı ve tüketici dostu olması amacıyla, engellilere yönelik yeniden tasarım ve geliştirme çalışmaları başlatılmıştır. Bu çalışmalar, herkesin siteye kolayca erişebilmesini ve siteden en iyi şekilde faydalanabilmesini sağlamayı hedeflemektedir.</w:t>
      </w:r>
    </w:p>
    <w:p w14:paraId="3301B30A" w14:textId="77777777" w:rsidR="007A6D01" w:rsidRPr="002048A7" w:rsidRDefault="004945F0" w:rsidP="00577AAF">
      <w:pPr>
        <w:pStyle w:val="Balk2"/>
        <w:numPr>
          <w:ilvl w:val="1"/>
          <w:numId w:val="11"/>
        </w:numPr>
        <w:spacing w:before="0" w:after="160"/>
        <w:rPr>
          <w:rFonts w:asciiTheme="minorHAnsi" w:hAnsiTheme="minorHAnsi" w:cstheme="minorHAnsi"/>
          <w:color w:val="auto"/>
          <w:sz w:val="22"/>
          <w:szCs w:val="22"/>
        </w:rPr>
      </w:pPr>
      <w:bookmarkStart w:id="282" w:name="_Toc195868743"/>
      <w:r w:rsidRPr="002048A7">
        <w:rPr>
          <w:rFonts w:asciiTheme="minorHAnsi" w:hAnsiTheme="minorHAnsi" w:cstheme="minorHAnsi"/>
          <w:color w:val="auto"/>
          <w:sz w:val="22"/>
          <w:szCs w:val="22"/>
        </w:rPr>
        <w:t>Kurumsal Kaynak Planlama (KKP)</w:t>
      </w:r>
      <w:bookmarkEnd w:id="279"/>
      <w:bookmarkEnd w:id="280"/>
      <w:bookmarkEnd w:id="281"/>
      <w:bookmarkEnd w:id="282"/>
      <w:r w:rsidRPr="002048A7">
        <w:rPr>
          <w:rFonts w:asciiTheme="minorHAnsi" w:hAnsiTheme="minorHAnsi" w:cstheme="minorHAnsi"/>
          <w:color w:val="auto"/>
          <w:sz w:val="22"/>
          <w:szCs w:val="22"/>
        </w:rPr>
        <w:t xml:space="preserve"> </w:t>
      </w:r>
    </w:p>
    <w:p w14:paraId="633E475E" w14:textId="77777777" w:rsidR="007A6D01" w:rsidRPr="002048A7" w:rsidRDefault="008B5848" w:rsidP="007A6D01">
      <w:pPr>
        <w:rPr>
          <w:rFonts w:cstheme="minorHAnsi"/>
          <w:color w:val="000000" w:themeColor="text1"/>
        </w:rPr>
      </w:pPr>
      <w:r w:rsidRPr="008B5848">
        <w:rPr>
          <w:rFonts w:cstheme="minorHAnsi"/>
          <w:color w:val="000000" w:themeColor="text1"/>
        </w:rPr>
        <w:t>Kurum İntranet Portalı üzerindeki geliştirme ve güncelleme çalışmaları, 2022 yılından bu yana kesintisiz olarak devam etmektedir. KKP modülleri, sürekli olarak geliştirilmekte ve güncellenmektedir. Bu çalışmalar, kurumun verimliliğini artırmak ve kullanıcı deneyimini iyileştirmek amacıyla titizlikle yürütülmektedir.</w:t>
      </w:r>
    </w:p>
    <w:p w14:paraId="6744DEF3" w14:textId="77777777" w:rsidR="007A6D01" w:rsidRPr="002048A7" w:rsidRDefault="0080153B" w:rsidP="00577AAF">
      <w:pPr>
        <w:pStyle w:val="Balk2"/>
        <w:numPr>
          <w:ilvl w:val="1"/>
          <w:numId w:val="11"/>
        </w:numPr>
        <w:spacing w:before="0" w:after="160"/>
        <w:rPr>
          <w:rFonts w:asciiTheme="minorHAnsi" w:hAnsiTheme="minorHAnsi" w:cstheme="minorHAnsi"/>
          <w:color w:val="auto"/>
          <w:sz w:val="22"/>
          <w:szCs w:val="22"/>
        </w:rPr>
      </w:pPr>
      <w:bookmarkStart w:id="283" w:name="_Toc195868744"/>
      <w:r w:rsidRPr="002048A7">
        <w:rPr>
          <w:rFonts w:asciiTheme="minorHAnsi" w:hAnsiTheme="minorHAnsi" w:cstheme="minorHAnsi"/>
          <w:color w:val="auto"/>
          <w:sz w:val="22"/>
          <w:szCs w:val="22"/>
        </w:rPr>
        <w:t>Enerji Piyasası Analiz ve Raporlama Sistemi (EPARS)</w:t>
      </w:r>
      <w:bookmarkEnd w:id="283"/>
    </w:p>
    <w:p w14:paraId="582A0F81" w14:textId="77777777" w:rsidR="007A6D01" w:rsidRPr="002048A7" w:rsidRDefault="007A6D01" w:rsidP="007A6D01">
      <w:pPr>
        <w:rPr>
          <w:rFonts w:cstheme="minorHAnsi"/>
          <w:color w:val="000000" w:themeColor="text1"/>
        </w:rPr>
      </w:pPr>
      <w:r w:rsidRPr="002048A7">
        <w:rPr>
          <w:rFonts w:cstheme="minorHAnsi"/>
          <w:color w:val="000000" w:themeColor="text1"/>
        </w:rPr>
        <w:t>Kurum personeline hizmet vermekte olan EPARS, Kurumda ihtiyaç duyulan enerji piyasası bilgilerinin analizi ve raporlanması için kurulmuş olan bir sistemdir. Kurumda kullanılan tüm sistemler üzerinde yer alan, analiz ve raporlama için anlamlı olabilecek veriler EPARS veri ambarlarına aktarılmış olup, gelen talepler doğrultusunda diğer anlamlı olan veriler de bu veri ambarlarına aktarılmaya devam edilmektedir. EPARS ile bu veri ambarlarındaki veriler sorgulanabilmekte, üzerinde analizler yapılarak raporlar oluşturulabilmektedir.</w:t>
      </w:r>
    </w:p>
    <w:p w14:paraId="60A1B209" w14:textId="77777777" w:rsidR="007A6D01" w:rsidRPr="002048A7" w:rsidRDefault="007A6D01" w:rsidP="007A6D01">
      <w:pPr>
        <w:rPr>
          <w:rFonts w:cstheme="minorHAnsi"/>
          <w:color w:val="000000" w:themeColor="text1"/>
        </w:rPr>
      </w:pPr>
      <w:r w:rsidRPr="002048A7">
        <w:rPr>
          <w:rFonts w:cstheme="minorHAnsi"/>
          <w:color w:val="000000" w:themeColor="text1"/>
        </w:rPr>
        <w:t>EPARS kapsamında yetkili Kurum personeli dinamik olarak kendi raporlarını üretebildikleri gibi, birden fazla parametreye bağlı olarak hızlıca sorgulanabilen veriler ve bu verilerle hazırlanmış sabit raporları da kullanabilmektedirler. Raporlarda; petrol, LPG, elektrik, doğal gaz piyasalarına ait lisans verileri ve bahse konu sektörlerde faaliyet gösteren şirketler tarafından Kurum</w:t>
      </w:r>
      <w:r w:rsidR="00DA6562" w:rsidRPr="002048A7">
        <w:rPr>
          <w:rFonts w:cstheme="minorHAnsi"/>
          <w:color w:val="000000" w:themeColor="text1"/>
        </w:rPr>
        <w:t>a</w:t>
      </w:r>
      <w:r w:rsidRPr="002048A7">
        <w:rPr>
          <w:rFonts w:cstheme="minorHAnsi"/>
          <w:color w:val="000000" w:themeColor="text1"/>
        </w:rPr>
        <w:t xml:space="preserve"> gönderilen bildirimlerden elde edilen veriler yer almaktadır. Şirketlerin gönderdiği verilerin, şirketler arası doğruluk kontrolleri de EPARS çapraz kontrol raporları ile yapılmaktadır.</w:t>
      </w:r>
    </w:p>
    <w:p w14:paraId="3637EBDF" w14:textId="77777777" w:rsidR="007A6D01" w:rsidRPr="002048A7" w:rsidRDefault="00637F26" w:rsidP="007A6D01">
      <w:pPr>
        <w:rPr>
          <w:rFonts w:cstheme="minorHAnsi"/>
          <w:color w:val="000000" w:themeColor="text1"/>
        </w:rPr>
      </w:pPr>
      <w:r w:rsidRPr="002048A7">
        <w:rPr>
          <w:rFonts w:cstheme="minorHAnsi"/>
          <w:color w:val="000000" w:themeColor="text1"/>
        </w:rPr>
        <w:lastRenderedPageBreak/>
        <w:t>202</w:t>
      </w:r>
      <w:r w:rsidR="008B5848">
        <w:rPr>
          <w:rFonts w:cstheme="minorHAnsi"/>
          <w:color w:val="000000" w:themeColor="text1"/>
        </w:rPr>
        <w:t>4</w:t>
      </w:r>
      <w:r w:rsidR="007A6D01" w:rsidRPr="002048A7">
        <w:rPr>
          <w:rFonts w:cstheme="minorHAnsi"/>
          <w:color w:val="000000" w:themeColor="text1"/>
        </w:rPr>
        <w:t xml:space="preserve"> yılında, Daire Başkanlıklarından gelen rapor talepleri doğrultusunda </w:t>
      </w:r>
      <w:r w:rsidR="008B5848">
        <w:rPr>
          <w:rFonts w:cstheme="minorHAnsi"/>
          <w:color w:val="000000" w:themeColor="text1"/>
        </w:rPr>
        <w:t>2</w:t>
      </w:r>
      <w:r w:rsidR="00CF226A" w:rsidRPr="002048A7">
        <w:rPr>
          <w:rFonts w:cstheme="minorHAnsi"/>
          <w:color w:val="000000" w:themeColor="text1"/>
        </w:rPr>
        <w:t>7</w:t>
      </w:r>
      <w:r w:rsidR="007A6D01" w:rsidRPr="002048A7">
        <w:rPr>
          <w:rFonts w:cstheme="minorHAnsi"/>
          <w:color w:val="000000" w:themeColor="text1"/>
        </w:rPr>
        <w:t xml:space="preserve"> adet yeni rapor oluşturularak ve </w:t>
      </w:r>
      <w:r w:rsidR="008B5848">
        <w:rPr>
          <w:rFonts w:cstheme="minorHAnsi"/>
          <w:color w:val="000000" w:themeColor="text1"/>
        </w:rPr>
        <w:t>56</w:t>
      </w:r>
      <w:r w:rsidR="007A6D01" w:rsidRPr="002048A7">
        <w:rPr>
          <w:rFonts w:cstheme="minorHAnsi"/>
          <w:color w:val="000000" w:themeColor="text1"/>
        </w:rPr>
        <w:t xml:space="preserve"> adet mevcut raporda ise güncelleme yapılarak yetkili Kurum personelinin kullanımına sunulmuştur. Diğer kamu kurumlarından gelen veri taleplerinin karşılanmasına yönelik ise, gerekli web servis sorguları hazırlanmıştır.</w:t>
      </w:r>
    </w:p>
    <w:p w14:paraId="1A60935E" w14:textId="77777777" w:rsidR="007A6D01" w:rsidRPr="002048A7" w:rsidRDefault="007A6D01" w:rsidP="007A6D01">
      <w:pPr>
        <w:rPr>
          <w:rFonts w:cstheme="minorHAnsi"/>
          <w:color w:val="000000" w:themeColor="text1"/>
        </w:rPr>
      </w:pPr>
      <w:r w:rsidRPr="002048A7">
        <w:rPr>
          <w:rFonts w:cstheme="minorHAnsi"/>
          <w:color w:val="000000" w:themeColor="text1"/>
        </w:rPr>
        <w:t>Yıl içerisinde veri yönetimi ve iş zekâsı sunucularında bakım, güvenlik, test, performans ve kapasite artırım çalışmaları rutin olarak sürdürülmüştür.</w:t>
      </w:r>
    </w:p>
    <w:p w14:paraId="06025053" w14:textId="77777777" w:rsidR="00120502" w:rsidRPr="002048A7" w:rsidRDefault="004945F0" w:rsidP="00577AAF">
      <w:pPr>
        <w:pStyle w:val="Balk2"/>
        <w:numPr>
          <w:ilvl w:val="1"/>
          <w:numId w:val="11"/>
        </w:numPr>
        <w:spacing w:before="0" w:after="160"/>
        <w:rPr>
          <w:rFonts w:asciiTheme="minorHAnsi" w:hAnsiTheme="minorHAnsi" w:cstheme="minorHAnsi"/>
          <w:color w:val="auto"/>
          <w:sz w:val="22"/>
          <w:szCs w:val="22"/>
        </w:rPr>
      </w:pPr>
      <w:bookmarkStart w:id="284" w:name="_Toc36205083"/>
      <w:bookmarkStart w:id="285" w:name="_Toc195868745"/>
      <w:r w:rsidRPr="002048A7">
        <w:rPr>
          <w:rFonts w:asciiTheme="minorHAnsi" w:hAnsiTheme="minorHAnsi" w:cstheme="minorHAnsi"/>
          <w:color w:val="auto"/>
          <w:sz w:val="22"/>
          <w:szCs w:val="22"/>
        </w:rPr>
        <w:t xml:space="preserve">Enerji Piyasası </w:t>
      </w:r>
      <w:bookmarkEnd w:id="284"/>
      <w:r w:rsidR="00120502" w:rsidRPr="002048A7">
        <w:rPr>
          <w:rFonts w:asciiTheme="minorHAnsi" w:hAnsiTheme="minorHAnsi" w:cstheme="minorHAnsi"/>
          <w:color w:val="auto"/>
          <w:sz w:val="22"/>
          <w:szCs w:val="22"/>
        </w:rPr>
        <w:t>Veri Tabanı Yönetim Sistemi (EPVYS)</w:t>
      </w:r>
      <w:bookmarkEnd w:id="285"/>
    </w:p>
    <w:p w14:paraId="21D02518" w14:textId="31731B38" w:rsidR="007A6D01" w:rsidRPr="002048A7" w:rsidRDefault="007A6D01" w:rsidP="007A6D01">
      <w:pPr>
        <w:rPr>
          <w:rFonts w:cstheme="minorHAnsi"/>
          <w:color w:val="000000" w:themeColor="text1"/>
        </w:rPr>
      </w:pPr>
      <w:r w:rsidRPr="002048A7">
        <w:rPr>
          <w:rFonts w:cstheme="minorHAnsi"/>
          <w:color w:val="000000" w:themeColor="text1"/>
        </w:rPr>
        <w:t xml:space="preserve">Kuruma mevzuatla verilen görevlerin; verimlilik ve performans artışı sağlayarak, hızlı ve güvenli bir biçimde elektronik ortamda gerçekleştirilmesi ve gerek Kurum içinde gerekse diğer kurum ve kuruluşlarla birlikte çalışılabilirliğinin de sağlandığı bir bilişim sistemi kurulmuş ve devreye alınmıştır. Bu kapsamda, elektrik, doğal gaz, petrol ve LPG piyasalarında faaliyet gösteren şirketlere ilişkin Lisans, Muhatap, Tarife, Dava, Denetim, İdari Para Cezaları ile Lisans Bedeli ve Katılma Payı bilgilerine ilişkin ihtiyaçlar doğrultusunda geliştirmeler ve güncellemeler yapılmaktadır.  </w:t>
      </w:r>
      <w:r w:rsidR="0059674B" w:rsidRPr="002048A7">
        <w:rPr>
          <w:rFonts w:cstheme="minorHAnsi"/>
          <w:color w:val="000000" w:themeColor="text1"/>
        </w:rPr>
        <w:t>202</w:t>
      </w:r>
      <w:r w:rsidR="008B5848">
        <w:rPr>
          <w:rFonts w:cstheme="minorHAnsi"/>
          <w:color w:val="000000" w:themeColor="text1"/>
        </w:rPr>
        <w:t>4</w:t>
      </w:r>
      <w:r w:rsidRPr="002048A7">
        <w:rPr>
          <w:rFonts w:cstheme="minorHAnsi"/>
          <w:color w:val="000000" w:themeColor="text1"/>
        </w:rPr>
        <w:t xml:space="preserve"> yılında yapılan çalışmalar şunlardır:</w:t>
      </w:r>
    </w:p>
    <w:p w14:paraId="492BD240" w14:textId="77777777" w:rsidR="008B5848" w:rsidRDefault="008B5848" w:rsidP="0025080A">
      <w:pPr>
        <w:pStyle w:val="ListeParagraf"/>
        <w:numPr>
          <w:ilvl w:val="0"/>
          <w:numId w:val="27"/>
        </w:numPr>
        <w:spacing w:after="160" w:line="259" w:lineRule="auto"/>
      </w:pPr>
      <w:r>
        <w:t>EPVYS yazılım geliştirmesi birimlerden gelen talepler doğrultusunda Kurum personeli tarafından yapılmıştır.</w:t>
      </w:r>
    </w:p>
    <w:p w14:paraId="312DB47F" w14:textId="77777777" w:rsidR="008B5848" w:rsidRDefault="008B5848" w:rsidP="0025080A">
      <w:pPr>
        <w:pStyle w:val="ListeParagraf"/>
        <w:numPr>
          <w:ilvl w:val="0"/>
          <w:numId w:val="27"/>
        </w:numPr>
        <w:spacing w:after="160" w:line="259" w:lineRule="auto"/>
      </w:pPr>
      <w:r>
        <w:t>Petrol Piyasası Stok İzleme Sistemi güncel teknolojiler kullanılarak yenilenmiş ve test aşamasına gelinmiştir. 2025 yılı Nisan ayında yeni sistemin devreye alınması planlanmaktadır.</w:t>
      </w:r>
    </w:p>
    <w:p w14:paraId="41723E69" w14:textId="77777777" w:rsidR="00C8151C" w:rsidRPr="008B5848" w:rsidRDefault="008B5848" w:rsidP="0025080A">
      <w:pPr>
        <w:pStyle w:val="ListeParagraf"/>
        <w:numPr>
          <w:ilvl w:val="0"/>
          <w:numId w:val="27"/>
        </w:numPr>
        <w:spacing w:after="160" w:line="259" w:lineRule="auto"/>
      </w:pPr>
      <w:r>
        <w:t>ŞARJ@TR mobil uygulamasında kullanıcı ve kurum personelinden gelen istekler doğrultusunda güncellemeler yapılmıştır.</w:t>
      </w:r>
    </w:p>
    <w:p w14:paraId="56D1068E" w14:textId="77777777" w:rsidR="008A4529" w:rsidRPr="002048A7" w:rsidRDefault="00120502" w:rsidP="00577AAF">
      <w:pPr>
        <w:pStyle w:val="Balk2"/>
        <w:numPr>
          <w:ilvl w:val="1"/>
          <w:numId w:val="11"/>
        </w:numPr>
        <w:spacing w:before="0" w:after="160"/>
        <w:rPr>
          <w:rFonts w:asciiTheme="minorHAnsi" w:hAnsiTheme="minorHAnsi" w:cstheme="minorHAnsi"/>
          <w:color w:val="auto"/>
          <w:sz w:val="22"/>
          <w:szCs w:val="22"/>
        </w:rPr>
      </w:pPr>
      <w:bookmarkStart w:id="286" w:name="_Toc195868746"/>
      <w:r w:rsidRPr="002048A7">
        <w:rPr>
          <w:rFonts w:asciiTheme="minorHAnsi" w:hAnsiTheme="minorHAnsi" w:cstheme="minorHAnsi"/>
          <w:color w:val="auto"/>
          <w:sz w:val="22"/>
          <w:szCs w:val="22"/>
        </w:rPr>
        <w:t xml:space="preserve">Diğer Kurum ve Kuruluşlar </w:t>
      </w:r>
      <w:r w:rsidR="00E464D3" w:rsidRPr="002048A7">
        <w:rPr>
          <w:rFonts w:asciiTheme="minorHAnsi" w:hAnsiTheme="minorHAnsi" w:cstheme="minorHAnsi"/>
          <w:color w:val="auto"/>
          <w:sz w:val="22"/>
          <w:szCs w:val="22"/>
        </w:rPr>
        <w:t>i</w:t>
      </w:r>
      <w:r w:rsidRPr="002048A7">
        <w:rPr>
          <w:rFonts w:asciiTheme="minorHAnsi" w:hAnsiTheme="minorHAnsi" w:cstheme="minorHAnsi"/>
          <w:color w:val="auto"/>
          <w:sz w:val="22"/>
          <w:szCs w:val="22"/>
        </w:rPr>
        <w:t>le Veri Paylaşımı (Veri Erişim ve Paylaşım Sistemi (VEPS))</w:t>
      </w:r>
      <w:bookmarkStart w:id="287" w:name="_Toc36205086"/>
      <w:bookmarkEnd w:id="286"/>
    </w:p>
    <w:p w14:paraId="2BF54935" w14:textId="77777777" w:rsidR="007A6D01" w:rsidRPr="002048A7" w:rsidRDefault="007A6D01" w:rsidP="007A6D01">
      <w:r w:rsidRPr="002048A7">
        <w:t>Bu başlık altında 202</w:t>
      </w:r>
      <w:r w:rsidR="008B5848">
        <w:t>4</w:t>
      </w:r>
      <w:r w:rsidRPr="002048A7">
        <w:t xml:space="preserve"> yılında gerçekleştirilen faaliyetler aşağıda özetlenmektedir:</w:t>
      </w:r>
    </w:p>
    <w:p w14:paraId="7C064500" w14:textId="77777777" w:rsidR="00CF226A" w:rsidRPr="002048A7" w:rsidRDefault="00CF226A" w:rsidP="0025080A">
      <w:pPr>
        <w:pStyle w:val="ListeParagraf"/>
        <w:numPr>
          <w:ilvl w:val="0"/>
          <w:numId w:val="19"/>
        </w:numPr>
        <w:spacing w:after="160" w:line="256" w:lineRule="auto"/>
      </w:pPr>
      <w:r w:rsidRPr="002048A7">
        <w:t xml:space="preserve">4/1/1961 tarihli ve 213 sayılı Vergi Usul Kanununun 359 uncu maddesinin (a) ve (b) fıkraları kapsamında; muhteviyatı itibarıyla yanıltıcı belge düzenleme veya bu belgeleri kullanma, belgelerin asıl veya suretlerini tamamen veya kısmen sahte olarak düzenleme veya bu belgeleri kullanma suçları ile aynı maddenin (ç) fıkrasında yazılı suçlara ilişkin açılan soruşturma ve davalara ilişkin bilgilerin UYAP üzerinden sorgulanabilmesi için entegrasyon </w:t>
      </w:r>
      <w:r w:rsidR="008B5848">
        <w:t>sağlanmıştır.</w:t>
      </w:r>
    </w:p>
    <w:p w14:paraId="17920D89" w14:textId="77777777" w:rsidR="00CF226A" w:rsidRPr="002048A7" w:rsidRDefault="00CF226A" w:rsidP="00CF226A">
      <w:pPr>
        <w:pStyle w:val="ListeParagraf"/>
      </w:pPr>
    </w:p>
    <w:p w14:paraId="591DF00C" w14:textId="77777777" w:rsidR="00CF226A" w:rsidRDefault="00CF226A" w:rsidP="0025080A">
      <w:pPr>
        <w:pStyle w:val="ListeParagraf"/>
        <w:numPr>
          <w:ilvl w:val="0"/>
          <w:numId w:val="19"/>
        </w:numPr>
        <w:spacing w:after="160" w:line="256" w:lineRule="auto"/>
      </w:pPr>
      <w:r w:rsidRPr="002048A7">
        <w:t>Veri Erişim ve Paylaşım Sisteminin güncel teknolojiler kullanılarak yenilenmesi çalışmalarına başlanmıştır.</w:t>
      </w:r>
    </w:p>
    <w:p w14:paraId="6C8EEDCC" w14:textId="77777777" w:rsidR="008B5848" w:rsidRDefault="008B5848" w:rsidP="008B5848">
      <w:pPr>
        <w:pStyle w:val="ListeParagraf"/>
      </w:pPr>
    </w:p>
    <w:p w14:paraId="4245AB76" w14:textId="77777777" w:rsidR="008B5848" w:rsidRDefault="008B5848" w:rsidP="0025080A">
      <w:pPr>
        <w:pStyle w:val="ListeParagraf"/>
        <w:numPr>
          <w:ilvl w:val="0"/>
          <w:numId w:val="19"/>
        </w:numPr>
        <w:spacing w:after="160" w:line="256" w:lineRule="auto"/>
      </w:pPr>
      <w:r>
        <w:t>Şarj Otomasyon sisteminde Şarj Ağı İşletmeci Lisansı Sahipleri ve kurum personelinden gelen istekler doğrultusunda güncellemeler yapılmıştır.</w:t>
      </w:r>
    </w:p>
    <w:p w14:paraId="05CFAD8E" w14:textId="77777777" w:rsidR="008B5848" w:rsidRDefault="008B5848" w:rsidP="008B5848">
      <w:pPr>
        <w:pStyle w:val="ListeParagraf"/>
      </w:pPr>
    </w:p>
    <w:p w14:paraId="0B41D258" w14:textId="77777777" w:rsidR="007A6D01" w:rsidRPr="008B5848" w:rsidRDefault="008B5848" w:rsidP="0025080A">
      <w:pPr>
        <w:pStyle w:val="ListeParagraf"/>
        <w:numPr>
          <w:ilvl w:val="0"/>
          <w:numId w:val="19"/>
        </w:numPr>
        <w:spacing w:after="160" w:line="256" w:lineRule="auto"/>
      </w:pPr>
      <w:r>
        <w:t>Bayi Otomasyon Sisteminden İlgili mevzuat değişiklikleri doğrultusunda güncellemeler yapılmıştır.</w:t>
      </w:r>
    </w:p>
    <w:p w14:paraId="772F1E75" w14:textId="77777777" w:rsidR="009C74CA" w:rsidRPr="002048A7" w:rsidRDefault="00C348D5" w:rsidP="00577AAF">
      <w:pPr>
        <w:pStyle w:val="Balk2"/>
        <w:numPr>
          <w:ilvl w:val="1"/>
          <w:numId w:val="11"/>
        </w:numPr>
        <w:tabs>
          <w:tab w:val="left" w:pos="567"/>
        </w:tabs>
        <w:spacing w:before="0" w:after="160"/>
        <w:rPr>
          <w:rFonts w:asciiTheme="minorHAnsi" w:hAnsiTheme="minorHAnsi" w:cstheme="minorHAnsi"/>
          <w:color w:val="auto"/>
          <w:sz w:val="22"/>
          <w:szCs w:val="22"/>
        </w:rPr>
      </w:pPr>
      <w:bookmarkStart w:id="288" w:name="_Toc195868747"/>
      <w:r w:rsidRPr="002048A7">
        <w:rPr>
          <w:rFonts w:asciiTheme="minorHAnsi" w:hAnsiTheme="minorHAnsi" w:cstheme="minorHAnsi"/>
          <w:color w:val="auto"/>
          <w:sz w:val="22"/>
          <w:szCs w:val="22"/>
        </w:rPr>
        <w:t xml:space="preserve">Enerji Piyasası </w:t>
      </w:r>
      <w:r w:rsidR="004945F0" w:rsidRPr="002048A7">
        <w:rPr>
          <w:rFonts w:asciiTheme="minorHAnsi" w:hAnsiTheme="minorHAnsi" w:cstheme="minorHAnsi"/>
          <w:color w:val="auto"/>
          <w:sz w:val="22"/>
          <w:szCs w:val="22"/>
        </w:rPr>
        <w:t>Bildirim Sistemi (EBİS)</w:t>
      </w:r>
      <w:bookmarkEnd w:id="287"/>
      <w:bookmarkEnd w:id="288"/>
    </w:p>
    <w:p w14:paraId="3977AB66" w14:textId="53013A1F" w:rsidR="00324B1E" w:rsidRDefault="007A6D01" w:rsidP="00D56350">
      <w:pPr>
        <w:rPr>
          <w:rFonts w:cstheme="minorHAnsi"/>
          <w:color w:val="000000" w:themeColor="text1"/>
        </w:rPr>
      </w:pPr>
      <w:r w:rsidRPr="002048A7">
        <w:rPr>
          <w:rFonts w:cstheme="minorHAnsi"/>
          <w:color w:val="000000" w:themeColor="text1"/>
        </w:rPr>
        <w:t xml:space="preserve">EBİS yazılım geliştirmesi birimlerden gelen talepler doğrultusunda Kurum personeli tarafından yapılmıştır. Bildirim sistemi üzerinden alınan veriler Kurum tarafından yayımlanan yıllık ve aylık sektör raporlarının hazırlanmasında kullanılmakta ve söz konusu raporlar, Kurum internet sitesinde yayımlanmaktadır. Bürokrasinin azaltılması ve Dijital Türkiye çalışmaları kapsamında Elektrik ve Doğal Gaz abonelerinin Abonelik Başvuru, Fesih Başvuru ve Borç Sorgulama işlemlerinin izlenmesi için gerekli veriler bildirim sistemleri aracılığıyla alınmaya başlanmış olup bu veriler düzenli olarak Cumhurbaşkanlığına iletilmektedir. </w:t>
      </w:r>
      <w:r w:rsidR="00324B1E">
        <w:rPr>
          <w:rFonts w:cstheme="minorHAnsi"/>
          <w:color w:val="000000" w:themeColor="text1"/>
        </w:rPr>
        <w:br w:type="page"/>
      </w:r>
    </w:p>
    <w:p w14:paraId="3EF74604" w14:textId="77777777" w:rsidR="00E12CFF" w:rsidRPr="002048A7" w:rsidRDefault="00E12CFF" w:rsidP="00577AAF">
      <w:pPr>
        <w:pStyle w:val="Balk1"/>
        <w:numPr>
          <w:ilvl w:val="0"/>
          <w:numId w:val="11"/>
        </w:numPr>
        <w:spacing w:before="0"/>
        <w:rPr>
          <w:rFonts w:asciiTheme="minorHAnsi" w:hAnsiTheme="minorHAnsi"/>
          <w:color w:val="auto"/>
          <w:sz w:val="22"/>
          <w:szCs w:val="22"/>
        </w:rPr>
      </w:pPr>
      <w:bookmarkStart w:id="289" w:name="_Toc195868748"/>
      <w:r w:rsidRPr="002048A7">
        <w:rPr>
          <w:rFonts w:asciiTheme="minorHAnsi" w:hAnsiTheme="minorHAnsi"/>
          <w:color w:val="auto"/>
          <w:sz w:val="22"/>
          <w:szCs w:val="22"/>
        </w:rPr>
        <w:lastRenderedPageBreak/>
        <w:t>DENETİM</w:t>
      </w:r>
      <w:bookmarkEnd w:id="289"/>
      <w:r w:rsidRPr="002048A7">
        <w:rPr>
          <w:rFonts w:asciiTheme="minorHAnsi" w:hAnsiTheme="minorHAnsi"/>
          <w:color w:val="auto"/>
          <w:sz w:val="22"/>
          <w:szCs w:val="22"/>
        </w:rPr>
        <w:tab/>
      </w:r>
    </w:p>
    <w:p w14:paraId="2F45D8C0" w14:textId="77777777" w:rsidR="00F5580D" w:rsidRPr="002048A7" w:rsidRDefault="00F5580D" w:rsidP="00F5580D">
      <w:pPr>
        <w:spacing w:after="0"/>
      </w:pPr>
      <w:bookmarkStart w:id="290" w:name="_Toc442431308"/>
      <w:r w:rsidRPr="002048A7">
        <w:t xml:space="preserve">Kurum, 4628, 4646, 5015, 5307 ve 6446 sayılı Kanunlar kapsamında enerji piyasalarında denetim yapmaya yetkilidir. Bu çerçevede elektrik, doğal gaz, petrol ve LPG piyasalarında yapılacak denetimler ile ön araştırma ve soruşturmalarda izlenecek usul ve esaslar hakkında çıkarılan dört ayrı yönetmelikle denetim ve soruşturmaların nasıl yapılacağı belirlenmiştir.  </w:t>
      </w:r>
    </w:p>
    <w:p w14:paraId="25991AAA" w14:textId="77777777" w:rsidR="00F5580D" w:rsidRPr="002048A7" w:rsidRDefault="00F5580D" w:rsidP="00F5580D">
      <w:pPr>
        <w:spacing w:after="0"/>
      </w:pPr>
    </w:p>
    <w:p w14:paraId="7DA0A839" w14:textId="77777777" w:rsidR="00F5580D" w:rsidRPr="002048A7" w:rsidRDefault="00F5580D" w:rsidP="00F5580D">
      <w:r w:rsidRPr="002048A7">
        <w:t xml:space="preserve">Kurul, re’sen veya kendisine intikal eden ihbar veya şikâyetler üzerine, piyasada faaliyette bulunan gerçek veya tüzel kişilerin ilgili mevzuat hükümlerine aykırı faaliyet ve işlemleri nedeniyle, doğrudan soruşturma açılmasına ya da soruşturma açılmasına gerek olup olmadığının tespiti için ön araştırma yapılmasına karar verebilmektedir. Bu doğrultuda elektrik, doğal gaz, petrol ve LPG piyasalarında yürütülecek denetim, ön araştırma ve soruşturma faaliyetlerinin icrasına ilişkin yönetmeliklerde 6719 sayılı Elektrik Piyasası Kanunu İle Bazı Kanunlarda Değişiklik Yapılmasına Dair Kanun sonrasında gerekli değişiklikler yapılmış ve bahse konu yönetmelikler 04.01.2017 tarihli ve 29938 sayılı </w:t>
      </w:r>
      <w:r w:rsidR="00DA6562" w:rsidRPr="002048A7">
        <w:t>Resmî</w:t>
      </w:r>
      <w:r w:rsidRPr="002048A7">
        <w:t xml:space="preserve"> </w:t>
      </w:r>
      <w:r w:rsidR="00274939" w:rsidRPr="002048A7">
        <w:t>Gazetede</w:t>
      </w:r>
      <w:r w:rsidRPr="002048A7">
        <w:t xml:space="preserve"> yayımlanarak yürürlüğe girmiştir. Yapılan değişikliklerle, Kurul ön araştırma ve soruşturma açma yetkisini Başkanlık Makamına devretmiştir.</w:t>
      </w:r>
    </w:p>
    <w:p w14:paraId="176282F4" w14:textId="77777777" w:rsidR="00F5580D" w:rsidRPr="002048A7" w:rsidRDefault="00F5580D" w:rsidP="00F5580D">
      <w:pPr>
        <w:spacing w:after="0"/>
      </w:pPr>
      <w:r w:rsidRPr="002048A7">
        <w:t>Kurum, piyasa faaliyetlerini kendi personeli veya kamu kurum ve kuruluşları ile özel denetim kuruluşlarından hizmet alımı yoluyla denetime tâbi tutmaktadır.</w:t>
      </w:r>
    </w:p>
    <w:p w14:paraId="39468203" w14:textId="77777777" w:rsidR="00F5580D" w:rsidRPr="002048A7" w:rsidRDefault="00F5580D" w:rsidP="00F5580D">
      <w:pPr>
        <w:spacing w:after="0"/>
      </w:pPr>
    </w:p>
    <w:p w14:paraId="60F68FD8" w14:textId="77777777" w:rsidR="00F5580D" w:rsidRPr="002048A7" w:rsidRDefault="00F5580D" w:rsidP="00F5580D">
      <w:pPr>
        <w:spacing w:after="0"/>
      </w:pPr>
      <w:r w:rsidRPr="002048A7">
        <w:t xml:space="preserve">Petrol Piyasası ve LPG Piyasasında Yapılacak Denetimlere İlişkin </w:t>
      </w:r>
      <w:r w:rsidR="00DA6562" w:rsidRPr="002048A7">
        <w:t>İş Birliği</w:t>
      </w:r>
      <w:r w:rsidRPr="002048A7">
        <w:t xml:space="preserve"> Protokolleri kapsamında ilgili kuruluşlar tarafından Kurum adına yürütülen denetim çalışmaları 202</w:t>
      </w:r>
      <w:r w:rsidR="00D16262">
        <w:t>4</w:t>
      </w:r>
      <w:r w:rsidRPr="002048A7">
        <w:t xml:space="preserve"> yılında da yoğun bir şekilde devam etmiştir.</w:t>
      </w:r>
    </w:p>
    <w:p w14:paraId="6DF93ABE" w14:textId="77777777" w:rsidR="00F5580D" w:rsidRPr="002048A7" w:rsidRDefault="003D0DD5" w:rsidP="00577AAF">
      <w:pPr>
        <w:pStyle w:val="Balk2"/>
        <w:numPr>
          <w:ilvl w:val="1"/>
          <w:numId w:val="11"/>
        </w:numPr>
        <w:spacing w:before="240" w:after="240"/>
        <w:rPr>
          <w:rFonts w:asciiTheme="minorHAnsi" w:hAnsiTheme="minorHAnsi"/>
          <w:color w:val="000000" w:themeColor="text1"/>
          <w:sz w:val="22"/>
          <w:szCs w:val="22"/>
        </w:rPr>
      </w:pPr>
      <w:bookmarkStart w:id="291" w:name="_Toc442431302"/>
      <w:bookmarkStart w:id="292" w:name="_Toc505346108"/>
      <w:bookmarkStart w:id="293" w:name="_Toc195868749"/>
      <w:r w:rsidRPr="002048A7">
        <w:rPr>
          <w:rFonts w:asciiTheme="minorHAnsi" w:hAnsiTheme="minorHAnsi"/>
          <w:color w:val="000000" w:themeColor="text1"/>
          <w:sz w:val="22"/>
          <w:szCs w:val="22"/>
        </w:rPr>
        <w:t>Elektrik Piyasası Denetim Faaliyetleri</w:t>
      </w:r>
      <w:bookmarkEnd w:id="291"/>
      <w:bookmarkEnd w:id="292"/>
      <w:bookmarkEnd w:id="293"/>
    </w:p>
    <w:p w14:paraId="0D4F6CBC" w14:textId="77777777" w:rsidR="00236E43" w:rsidRPr="002048A7" w:rsidRDefault="00236E43" w:rsidP="00236E43">
      <w:pPr>
        <w:rPr>
          <w:rFonts w:cstheme="minorHAnsi"/>
        </w:rPr>
      </w:pPr>
      <w:r w:rsidRPr="002048A7">
        <w:rPr>
          <w:rFonts w:cstheme="minorHAnsi"/>
        </w:rPr>
        <w:t xml:space="preserve">02.12.2020 tarihli ve 31322 sayılı </w:t>
      </w:r>
      <w:r w:rsidR="00DC783D" w:rsidRPr="002048A7">
        <w:rPr>
          <w:rFonts w:cstheme="minorHAnsi"/>
        </w:rPr>
        <w:t>Resmî</w:t>
      </w:r>
      <w:r w:rsidRPr="002048A7">
        <w:rPr>
          <w:rFonts w:cstheme="minorHAnsi"/>
        </w:rPr>
        <w:t xml:space="preserve"> </w:t>
      </w:r>
      <w:r w:rsidR="00274939" w:rsidRPr="002048A7">
        <w:rPr>
          <w:rFonts w:cstheme="minorHAnsi"/>
        </w:rPr>
        <w:t>Gazetede</w:t>
      </w:r>
      <w:r w:rsidRPr="002048A7">
        <w:rPr>
          <w:rFonts w:cstheme="minorHAnsi"/>
        </w:rPr>
        <w:t xml:space="preserve"> yayımlanarak yürürlüğe giren 7257 sayılı “Elektrik Piyasası Kanunu İle Bazı Kanunlarda Değişiklik Yapılmasına Dair Kanun” ile 6446 sayılı Elektrik Piyasası Kanunu’nun 15</w:t>
      </w:r>
      <w:r w:rsidR="001A5127" w:rsidRPr="002048A7">
        <w:rPr>
          <w:rFonts w:cstheme="minorHAnsi"/>
        </w:rPr>
        <w:t>’</w:t>
      </w:r>
      <w:r w:rsidRPr="002048A7">
        <w:rPr>
          <w:rFonts w:cstheme="minorHAnsi"/>
        </w:rPr>
        <w:t>inci maddesinde değişiklik yapılarak, elektrik dağıtım şirketlerinin denetiminin Enerji ve Tabii Kaynaklar Bakanlığı (Bakanlık) tarafından yapılacağı ve Bakanlık’ın denetim faaliyetini Kurumumuz da dahil olmak üzere bu konuda ihtisas sahibi olan kamu kurum ve kuruluşları ile birlikte yapabileceği gibi bu kurum ve kuruluşlara kısmen veya tamamen yetki devretmek suretiyle de yaptırmaya yetkili olduğu hüküm altına alınmıştır.</w:t>
      </w:r>
    </w:p>
    <w:p w14:paraId="3B0B1661" w14:textId="77777777" w:rsidR="00236E43" w:rsidRPr="002048A7" w:rsidRDefault="00236E43" w:rsidP="00236E43">
      <w:pPr>
        <w:rPr>
          <w:rFonts w:cstheme="minorHAnsi"/>
        </w:rPr>
      </w:pPr>
      <w:r w:rsidRPr="002048A7">
        <w:rPr>
          <w:rFonts w:cstheme="minorHAnsi"/>
        </w:rPr>
        <w:t>09.03.2021 tarih ve 51663 sayılı Bakanlık Makam Oluru ile elektrik dağıtım şirketlerinin denetimine yönelik iş ve işlemlerin Kurum ve Türkiye Elektrik Dağıtım Anonim Şirketi (TEDAŞ) tarafından yürütülmesi ve bu bağlamda;</w:t>
      </w:r>
    </w:p>
    <w:p w14:paraId="336655EA" w14:textId="77777777" w:rsidR="00236E43" w:rsidRPr="002048A7" w:rsidRDefault="00236E43" w:rsidP="0025080A">
      <w:pPr>
        <w:pStyle w:val="ListeParagraf"/>
        <w:numPr>
          <w:ilvl w:val="0"/>
          <w:numId w:val="33"/>
        </w:numPr>
        <w:spacing w:after="160" w:line="259" w:lineRule="auto"/>
        <w:rPr>
          <w:rFonts w:cstheme="minorHAnsi"/>
        </w:rPr>
      </w:pPr>
      <w:r w:rsidRPr="002048A7">
        <w:rPr>
          <w:rFonts w:cstheme="minorHAnsi"/>
        </w:rPr>
        <w:t>Kullanıcılar ile ilgili faaliyetler, tüketici hizmetlerine ilişkin uygulamalar ve tüketici şikâyetlerine ilişkin iş ve işlemler,</w:t>
      </w:r>
    </w:p>
    <w:p w14:paraId="77FAC134" w14:textId="77777777" w:rsidR="00236E43" w:rsidRPr="002048A7" w:rsidRDefault="00236E43" w:rsidP="0025080A">
      <w:pPr>
        <w:pStyle w:val="ListeParagraf"/>
        <w:numPr>
          <w:ilvl w:val="0"/>
          <w:numId w:val="33"/>
        </w:numPr>
        <w:spacing w:after="160" w:line="259" w:lineRule="auto"/>
        <w:rPr>
          <w:rFonts w:cstheme="minorHAnsi"/>
        </w:rPr>
      </w:pPr>
      <w:r w:rsidRPr="002048A7">
        <w:rPr>
          <w:rFonts w:cstheme="minorHAnsi"/>
        </w:rPr>
        <w:t>Mali konular, kullanıcılardan tahsil edilen her türlü bedel ve tarife kapsamında yapılan uygulamalar ile gelir, gider hesapları, yatırım hesapları, yükümlü olunan fon, pay ve benzeri kesintilerle ilgili hesaplar ve sigorta uygulamalarına ilişkin iş ve işlemler,</w:t>
      </w:r>
    </w:p>
    <w:p w14:paraId="69D2E7DE" w14:textId="77777777" w:rsidR="00236E43" w:rsidRPr="002048A7" w:rsidRDefault="00236E43" w:rsidP="0025080A">
      <w:pPr>
        <w:pStyle w:val="ListeParagraf"/>
        <w:numPr>
          <w:ilvl w:val="0"/>
          <w:numId w:val="33"/>
        </w:numPr>
        <w:spacing w:after="160" w:line="259" w:lineRule="auto"/>
        <w:rPr>
          <w:rFonts w:cstheme="minorHAnsi"/>
        </w:rPr>
      </w:pPr>
      <w:r w:rsidRPr="002048A7">
        <w:rPr>
          <w:rFonts w:cstheme="minorHAnsi"/>
        </w:rPr>
        <w:t xml:space="preserve">Satın alma ve satış işlemleri ile ilgili faaliyetler, yapılan her türlü mal ve hizmet alımlarının veya satışlarının ve yatırım ihalelerine ilişkin iş ve işlemler, </w:t>
      </w:r>
    </w:p>
    <w:p w14:paraId="5B1612C7" w14:textId="77777777" w:rsidR="00236E43" w:rsidRPr="002048A7" w:rsidRDefault="00236E43" w:rsidP="0025080A">
      <w:pPr>
        <w:pStyle w:val="ListeParagraf"/>
        <w:numPr>
          <w:ilvl w:val="0"/>
          <w:numId w:val="33"/>
        </w:numPr>
        <w:spacing w:after="160" w:line="259" w:lineRule="auto"/>
        <w:rPr>
          <w:rFonts w:cstheme="minorHAnsi"/>
        </w:rPr>
      </w:pPr>
      <w:r w:rsidRPr="002048A7">
        <w:rPr>
          <w:rFonts w:cstheme="minorHAnsi"/>
        </w:rPr>
        <w:t>Hukuki süreçler, şirketlerin uygulamalarından dolayı lisans sahibi tüzel kişiler, müşteriler, kamu kurumları ve diğer kuruluşlar ile oluşan hukuki süreçlerin durumları ve konuların tespiti,</w:t>
      </w:r>
    </w:p>
    <w:p w14:paraId="78DB420B" w14:textId="77777777" w:rsidR="00236E43" w:rsidRPr="002048A7" w:rsidRDefault="00236E43" w:rsidP="0025080A">
      <w:pPr>
        <w:pStyle w:val="ListeParagraf"/>
        <w:numPr>
          <w:ilvl w:val="0"/>
          <w:numId w:val="33"/>
        </w:numPr>
        <w:spacing w:after="160" w:line="259" w:lineRule="auto"/>
        <w:rPr>
          <w:rFonts w:cstheme="minorHAnsi"/>
        </w:rPr>
      </w:pPr>
      <w:r w:rsidRPr="002048A7">
        <w:rPr>
          <w:rFonts w:cstheme="minorHAnsi"/>
        </w:rPr>
        <w:t>Gerekli görülmesi halinde ilgili mevzuat kapsamında incelenmesi gereken diğer hususlar,</w:t>
      </w:r>
    </w:p>
    <w:p w14:paraId="0E819377" w14:textId="77777777" w:rsidR="00236E43" w:rsidRPr="002048A7" w:rsidRDefault="00236E43" w:rsidP="00236E43">
      <w:pPr>
        <w:rPr>
          <w:rFonts w:cstheme="minorHAnsi"/>
        </w:rPr>
      </w:pPr>
      <w:proofErr w:type="gramStart"/>
      <w:r w:rsidRPr="002048A7">
        <w:rPr>
          <w:rFonts w:cstheme="minorHAnsi"/>
        </w:rPr>
        <w:t>konularında</w:t>
      </w:r>
      <w:proofErr w:type="gramEnd"/>
      <w:r w:rsidRPr="002048A7">
        <w:rPr>
          <w:rFonts w:cstheme="minorHAnsi"/>
        </w:rPr>
        <w:t xml:space="preserve"> tüm elektrik dağıtım şirketleri nezdinde yapılacak olan periyodik denetimlerin Kurumumuz tarafından gerçekleştirilmesi karara bağlanmıştır. </w:t>
      </w:r>
    </w:p>
    <w:p w14:paraId="1C02EC43" w14:textId="77777777" w:rsidR="00D16262" w:rsidRDefault="00D16262" w:rsidP="00D16262">
      <w:pPr>
        <w:spacing w:after="0"/>
        <w:rPr>
          <w:rFonts w:cstheme="minorHAnsi"/>
        </w:rPr>
      </w:pPr>
      <w:r w:rsidRPr="00756A45">
        <w:rPr>
          <w:rFonts w:cstheme="minorHAnsi"/>
        </w:rPr>
        <w:lastRenderedPageBreak/>
        <w:t xml:space="preserve">Bu minvalde, 21 elektrik dağıtım şirketinde yukarıda sayılan konu başlıklarında denetim yapmak üzere, </w:t>
      </w:r>
      <w:r>
        <w:rPr>
          <w:rFonts w:cstheme="minorHAnsi"/>
        </w:rPr>
        <w:t>05.09.2024 tarihli ve 962908</w:t>
      </w:r>
      <w:r w:rsidRPr="00756A45">
        <w:rPr>
          <w:rFonts w:cstheme="minorHAnsi"/>
        </w:rPr>
        <w:t xml:space="preserve"> sayılı Başkanlık Ol</w:t>
      </w:r>
      <w:r>
        <w:rPr>
          <w:rFonts w:cstheme="minorHAnsi"/>
        </w:rPr>
        <w:t xml:space="preserve">uru uyarınca 30.09.2024 </w:t>
      </w:r>
      <w:r w:rsidRPr="00756A45">
        <w:rPr>
          <w:rFonts w:cstheme="minorHAnsi"/>
        </w:rPr>
        <w:t>tarihinde başlay</w:t>
      </w:r>
      <w:r>
        <w:rPr>
          <w:rFonts w:cstheme="minorHAnsi"/>
        </w:rPr>
        <w:t>an denetimlerimiz 06.12.2024</w:t>
      </w:r>
      <w:r w:rsidRPr="00756A45">
        <w:rPr>
          <w:rFonts w:cstheme="minorHAnsi"/>
        </w:rPr>
        <w:t xml:space="preserve"> tarihinde tamamlanmıştır. Tamamlanan denetimler akabinde, denetim raporlarının yazım aşamasına geçilmiş olup elde edilen bulgular ve y</w:t>
      </w:r>
      <w:r>
        <w:rPr>
          <w:rFonts w:cstheme="minorHAnsi"/>
        </w:rPr>
        <w:t>apılan tespitler bağlamında 2025</w:t>
      </w:r>
      <w:r w:rsidRPr="00756A45">
        <w:rPr>
          <w:rFonts w:cstheme="minorHAnsi"/>
        </w:rPr>
        <w:t xml:space="preserve"> yılı içerisinde soruşturma süreçlerinin başlatılması planlanmaktadır.</w:t>
      </w:r>
    </w:p>
    <w:p w14:paraId="372E8A60" w14:textId="77777777" w:rsidR="00D16262" w:rsidRPr="002048A7" w:rsidRDefault="00D16262" w:rsidP="00D16262">
      <w:pPr>
        <w:spacing w:after="0"/>
        <w:rPr>
          <w:rFonts w:cstheme="minorHAnsi"/>
          <w:color w:val="000000" w:themeColor="text1"/>
        </w:rPr>
      </w:pPr>
    </w:p>
    <w:p w14:paraId="0F7F5C05" w14:textId="77777777" w:rsidR="00D16262" w:rsidRPr="002048A7" w:rsidRDefault="00D16262" w:rsidP="00D16262">
      <w:pPr>
        <w:spacing w:after="0"/>
        <w:rPr>
          <w:color w:val="000000" w:themeColor="text1"/>
        </w:rPr>
      </w:pPr>
      <w:r w:rsidRPr="002048A7">
        <w:rPr>
          <w:color w:val="000000" w:themeColor="text1"/>
        </w:rPr>
        <w:t xml:space="preserve">Elektrik piyasasında gerçekleştirilen denetimler ve soruşturmalar neticesinde 6446 sayılı Elektrik Piyasası Kanunu’nun 16’ncı maddesi kapsamındaki yaptırım ve cezalar uygulanmaktadır. </w:t>
      </w:r>
    </w:p>
    <w:p w14:paraId="23F9E8CF" w14:textId="77777777" w:rsidR="00D16262" w:rsidRPr="002048A7" w:rsidRDefault="00D16262" w:rsidP="00D16262">
      <w:pPr>
        <w:spacing w:after="0"/>
        <w:rPr>
          <w:color w:val="000000" w:themeColor="text1"/>
        </w:rPr>
      </w:pPr>
    </w:p>
    <w:p w14:paraId="4565217E" w14:textId="77777777" w:rsidR="003D0DD5" w:rsidRPr="002048A7" w:rsidRDefault="00D16262" w:rsidP="00D16262">
      <w:r w:rsidRPr="002048A7">
        <w:t>202</w:t>
      </w:r>
      <w:r>
        <w:t>4</w:t>
      </w:r>
      <w:r w:rsidRPr="002048A7">
        <w:t xml:space="preserve"> yılı içerisinde 6446 sayılı Elektrik Piyasası Kanunu ve bu Kanun uyarınca hazırlanmış ikincil mevzuata aykırılık teşkil ettiği değerlendirilen iş ve işlemler gerçekleştiren </w:t>
      </w:r>
      <w:r>
        <w:t>159</w:t>
      </w:r>
      <w:r w:rsidRPr="002048A7">
        <w:t xml:space="preserve"> adet lisans sahibi hakkında soruşturma süreci başlatılmıştır. Yıl içerisinde yürütülen ve bir önceki yılda başlatılmış olup yıl içerisinde neticelendirilen soruşturmalar kapsamında 202</w:t>
      </w:r>
      <w:r>
        <w:t>4</w:t>
      </w:r>
      <w:r w:rsidRPr="002048A7">
        <w:t xml:space="preserve"> yılında </w:t>
      </w:r>
      <w:r>
        <w:t>125</w:t>
      </w:r>
      <w:r w:rsidRPr="002048A7">
        <w:t xml:space="preserve"> adet ihtar yaptırımı; </w:t>
      </w:r>
      <w:r>
        <w:t>112</w:t>
      </w:r>
      <w:r w:rsidRPr="002048A7">
        <w:t xml:space="preserve"> farklı lisans sahibi hakkında toplam </w:t>
      </w:r>
      <w:r>
        <w:t>398.144.564,</w:t>
      </w:r>
      <w:r w:rsidRPr="002048A7">
        <w:t xml:space="preserve">-TL tutarında </w:t>
      </w:r>
      <w:r>
        <w:t>157</w:t>
      </w:r>
      <w:r w:rsidRPr="002048A7">
        <w:t xml:space="preserve"> adet idari para cezası yaptırımı uygulanmıştır. </w:t>
      </w:r>
      <w:r>
        <w:t>Ayrıca yıl içerisinde 2</w:t>
      </w:r>
      <w:r w:rsidRPr="00886EE8">
        <w:t xml:space="preserve"> adet lisans sahibi firmanın lisansı iptali edilmiştir</w:t>
      </w:r>
      <w:r>
        <w:t>.</w:t>
      </w:r>
      <w:r w:rsidR="00F5580D" w:rsidRPr="002048A7">
        <w:t xml:space="preserve"> </w:t>
      </w:r>
    </w:p>
    <w:p w14:paraId="53C2C5E0" w14:textId="77777777" w:rsidR="003D0DD5" w:rsidRPr="002048A7" w:rsidRDefault="003D0DD5" w:rsidP="00577AAF">
      <w:pPr>
        <w:pStyle w:val="Balk2"/>
        <w:numPr>
          <w:ilvl w:val="1"/>
          <w:numId w:val="11"/>
        </w:numPr>
        <w:spacing w:before="0" w:after="240"/>
        <w:rPr>
          <w:rFonts w:asciiTheme="minorHAnsi" w:hAnsiTheme="minorHAnsi"/>
          <w:color w:val="000000" w:themeColor="text1"/>
          <w:sz w:val="22"/>
          <w:szCs w:val="22"/>
        </w:rPr>
      </w:pPr>
      <w:bookmarkStart w:id="294" w:name="_Toc442431303"/>
      <w:bookmarkStart w:id="295" w:name="_Toc505346109"/>
      <w:bookmarkStart w:id="296" w:name="_Toc195868750"/>
      <w:r w:rsidRPr="002048A7">
        <w:rPr>
          <w:rFonts w:asciiTheme="minorHAnsi" w:hAnsiTheme="minorHAnsi"/>
          <w:color w:val="000000" w:themeColor="text1"/>
          <w:sz w:val="22"/>
          <w:szCs w:val="22"/>
        </w:rPr>
        <w:t>Doğal Gaz Piyasası İnceleme ve Denetim Faaliyetleri</w:t>
      </w:r>
      <w:bookmarkEnd w:id="294"/>
      <w:bookmarkEnd w:id="295"/>
      <w:bookmarkEnd w:id="296"/>
    </w:p>
    <w:p w14:paraId="722DF9D0" w14:textId="77777777" w:rsidR="00801036" w:rsidRPr="002048A7" w:rsidRDefault="003D0DD5" w:rsidP="00577AAF">
      <w:pPr>
        <w:pStyle w:val="Balk3"/>
        <w:numPr>
          <w:ilvl w:val="2"/>
          <w:numId w:val="11"/>
        </w:numPr>
        <w:spacing w:after="240"/>
        <w:rPr>
          <w:rFonts w:asciiTheme="minorHAnsi" w:hAnsiTheme="minorHAnsi"/>
          <w:color w:val="000000" w:themeColor="text1"/>
        </w:rPr>
      </w:pPr>
      <w:bookmarkStart w:id="297" w:name="_Toc442431304"/>
      <w:bookmarkStart w:id="298" w:name="_Toc505346110"/>
      <w:bookmarkStart w:id="299" w:name="_Toc195868751"/>
      <w:r w:rsidRPr="002048A7">
        <w:rPr>
          <w:rFonts w:asciiTheme="minorHAnsi" w:hAnsiTheme="minorHAnsi"/>
          <w:color w:val="000000" w:themeColor="text1"/>
        </w:rPr>
        <w:t>Doğal Gaz Dağıtım Şirketlerinin 5 Yıllık Yatırım Yükümlülükleri İncelemeleri</w:t>
      </w:r>
      <w:bookmarkEnd w:id="297"/>
      <w:bookmarkEnd w:id="298"/>
      <w:bookmarkEnd w:id="299"/>
    </w:p>
    <w:p w14:paraId="68D59FCA" w14:textId="77777777" w:rsidR="00467DA8" w:rsidRPr="002048A7" w:rsidRDefault="00467DA8" w:rsidP="00467DA8">
      <w:pPr>
        <w:spacing w:after="0"/>
        <w:rPr>
          <w:color w:val="000000" w:themeColor="text1"/>
        </w:rPr>
      </w:pPr>
      <w:r w:rsidRPr="002048A7">
        <w:rPr>
          <w:color w:val="000000" w:themeColor="text1"/>
        </w:rPr>
        <w:t>Kurum tarafından her bir dağıtım bölgesi için ayrı ayrı yapılan “Doğal Gaz Dağıtım Lisansı İhalesi” neticesinde lisans almaya hak kazanan tüm dağıtım şirketlerinin, dağıtım lisansı, lisansın mütemmim cüzü olan ihale şartnamesi ve ilgili mevzuat kapsamında 5 (beş) yıllık yatırım yükümlülükleri bulunmaktadır.</w:t>
      </w:r>
    </w:p>
    <w:p w14:paraId="665FF2B4" w14:textId="77777777" w:rsidR="00467DA8" w:rsidRPr="002048A7" w:rsidRDefault="00467DA8" w:rsidP="00467DA8">
      <w:pPr>
        <w:spacing w:after="0"/>
        <w:rPr>
          <w:color w:val="000000" w:themeColor="text1"/>
        </w:rPr>
      </w:pPr>
    </w:p>
    <w:p w14:paraId="09EED9EE" w14:textId="77777777" w:rsidR="00467DA8" w:rsidRPr="002048A7" w:rsidRDefault="00467DA8" w:rsidP="00467DA8">
      <w:pPr>
        <w:spacing w:after="0"/>
        <w:rPr>
          <w:color w:val="000000" w:themeColor="text1"/>
        </w:rPr>
      </w:pPr>
      <w:r w:rsidRPr="002048A7">
        <w:rPr>
          <w:color w:val="000000" w:themeColor="text1"/>
        </w:rPr>
        <w:t xml:space="preserve">4646 sayılı Doğal Gaz Piyasası Kanununun </w:t>
      </w:r>
      <w:proofErr w:type="gramStart"/>
      <w:r w:rsidRPr="002048A7">
        <w:rPr>
          <w:color w:val="000000" w:themeColor="text1"/>
        </w:rPr>
        <w:t>4 üncü</w:t>
      </w:r>
      <w:proofErr w:type="gramEnd"/>
      <w:r w:rsidRPr="002048A7">
        <w:rPr>
          <w:color w:val="000000" w:themeColor="text1"/>
        </w:rPr>
        <w:t xml:space="preserve"> maddesinin dördüncü fıkrasının (g) bendinin beşinci paragrafı, Doğal Gaz Piyasası Dağıtım ve Müşteri Hizmetleri Yönetmeliğinin 30 uncu maddesi ve lisans sahibi dağıtım şirketlerinin lisanslarının “Genel Hükümler” bölümünün ilgili maddesi çerçevesinde, 5 (beş) yıllık yatırım yükümlülüklerinin yerine getirilip getirilmediğinin tespiti için 29.01.2009 tarihli ve 1955 sayılı Kurul Kararı alınmıştır. İlgili Kurul Kararları çerçevesinde, doğal gaz dağıtım şirketlerinin 5 yıllık yatırım yükümlülüklerinin Kurum adına izlenmesi ve incelenmesine yönelik olarak, İstanbul Uygulamalı Gaz ve Enerji Teknolojileri Araştırma Mühendislik Sanayi Ticaret A.Ş. (UGETAM) ve S&amp;Q Mart Kalite Güvenlik Sanayi ve Ticaret A.Ş. (S&amp;Q MART) ile Elektrik Tesisleri Mühendislik Müteahhitlik Danışmanlık ve Ticaret A.Ş. (ELTEM-</w:t>
      </w:r>
      <w:r w:rsidR="00D1660C" w:rsidRPr="002048A7">
        <w:rPr>
          <w:color w:val="000000" w:themeColor="text1"/>
        </w:rPr>
        <w:t>TEK) yetkilendirilmiştir</w:t>
      </w:r>
      <w:r w:rsidRPr="002048A7">
        <w:rPr>
          <w:color w:val="000000" w:themeColor="text1"/>
        </w:rPr>
        <w:t xml:space="preserve">. </w:t>
      </w:r>
    </w:p>
    <w:p w14:paraId="2B2B4093" w14:textId="77777777" w:rsidR="00467DA8" w:rsidRPr="002048A7" w:rsidRDefault="00467DA8" w:rsidP="00467DA8">
      <w:pPr>
        <w:spacing w:after="0"/>
        <w:rPr>
          <w:color w:val="000000" w:themeColor="text1"/>
        </w:rPr>
      </w:pPr>
    </w:p>
    <w:p w14:paraId="35591B53" w14:textId="77777777" w:rsidR="00467DA8" w:rsidRPr="002048A7" w:rsidRDefault="00467DA8" w:rsidP="00467DA8">
      <w:pPr>
        <w:spacing w:after="0"/>
        <w:rPr>
          <w:color w:val="000000" w:themeColor="text1"/>
        </w:rPr>
      </w:pPr>
      <w:r w:rsidRPr="002048A7">
        <w:rPr>
          <w:color w:val="000000" w:themeColor="text1"/>
        </w:rPr>
        <w:t xml:space="preserve">05.07.2011 tarih ve 3303-4 sayılı ve 18.04.2012 tarih ve 3783-2 sayılı Kurul Kararları ile doğal gaz dağıtım şirketlerinin 5 yıllık yatırım yükümlülükleri kapsamında kendilerinden kaynaklanmayan mücbir sebeplerle yapılamayan yatırımların incelenmesine ilişkin düzenleme, ayrıca 08.01.2015 tarihli ve 5409-5 sayılı Kurul Kararı çerçevesinde de 5 yıllık yatırım yükümlülüğü raporlarında mücbir sebep olarak görünen yatırımların mevcut durumlarının tespiti amacıyla düzenleme yapılmıştır. </w:t>
      </w:r>
    </w:p>
    <w:p w14:paraId="367A036A" w14:textId="77777777" w:rsidR="00467DA8" w:rsidRPr="002048A7" w:rsidRDefault="00467DA8" w:rsidP="00467DA8">
      <w:pPr>
        <w:spacing w:after="0"/>
        <w:rPr>
          <w:color w:val="000000" w:themeColor="text1"/>
        </w:rPr>
      </w:pPr>
    </w:p>
    <w:p w14:paraId="01E1BF32" w14:textId="77777777" w:rsidR="00467DA8" w:rsidRPr="002048A7" w:rsidRDefault="00467DA8" w:rsidP="00467DA8">
      <w:pPr>
        <w:spacing w:after="0"/>
        <w:rPr>
          <w:color w:val="000000" w:themeColor="text1"/>
        </w:rPr>
      </w:pPr>
      <w:r w:rsidRPr="002048A7">
        <w:rPr>
          <w:color w:val="000000" w:themeColor="text1"/>
        </w:rPr>
        <w:t xml:space="preserve">Söz konusu çalışmalara yönelik olarak belirlenen kapsam ve raporlama konusunda yapılan yetkilendirme çerçevesinde; bahse konu raporlar Kurum bünyesinde kurulan Komisyon tarafından incelenmekte ve Komisyon incelemeleri neticesinde mevzuata aykırılık olarak değerlendirilen hususlar Denetim Dairesi Başkanlığına intikal ettirilmektedir. </w:t>
      </w:r>
    </w:p>
    <w:p w14:paraId="4C7091CB" w14:textId="77777777" w:rsidR="00B47751" w:rsidRPr="002048A7" w:rsidRDefault="00B47751" w:rsidP="00467DA8">
      <w:pPr>
        <w:spacing w:after="0"/>
        <w:rPr>
          <w:color w:val="000000" w:themeColor="text1"/>
        </w:rPr>
      </w:pPr>
    </w:p>
    <w:p w14:paraId="1595EE2B" w14:textId="77777777" w:rsidR="00467DA8" w:rsidRPr="002048A7" w:rsidRDefault="00467DA8" w:rsidP="00467DA8">
      <w:pPr>
        <w:spacing w:after="0"/>
        <w:rPr>
          <w:color w:val="000000" w:themeColor="text1"/>
        </w:rPr>
      </w:pPr>
      <w:r w:rsidRPr="002048A7">
        <w:rPr>
          <w:color w:val="000000" w:themeColor="text1"/>
        </w:rPr>
        <w:t>Diğer taraftan Doğal Gaz Piyasası Dağıtım ve Müşteri Hizmetleri Yönetmeliğinin 70</w:t>
      </w:r>
      <w:r w:rsidR="001A5127" w:rsidRPr="002048A7">
        <w:rPr>
          <w:color w:val="000000" w:themeColor="text1"/>
        </w:rPr>
        <w:t>’</w:t>
      </w:r>
      <w:r w:rsidRPr="002048A7">
        <w:rPr>
          <w:color w:val="000000" w:themeColor="text1"/>
        </w:rPr>
        <w:t xml:space="preserve">inci maddesi kapsamında, doğal gaz dağıtım şirketlerinin dağıtım bölgesine genişleme yoluyla dâhil edilen şehirlerin süreli </w:t>
      </w:r>
      <w:r w:rsidRPr="002048A7">
        <w:rPr>
          <w:color w:val="000000" w:themeColor="text1"/>
        </w:rPr>
        <w:lastRenderedPageBreak/>
        <w:t>yükümlülüklerinin incelenmesini teminen, 29/01/2009 tarihli ve 1955-1 sayılı Kurul Kararıyla yetkilendirilmiş/yetkilendirilecek şirketler tarafından aynı Kurul Kararı kapsamındaki hususlarda inceleme yapılması ve hazırlanacak denetim raporlarının Doğal Gaz Piyasası Dairesi Başkanlığı tarafından değerlendirilmesine ilişkin 24/10/2019 tarihli ve 8900 sayılı Kurul Kararı alınmıştır.</w:t>
      </w:r>
    </w:p>
    <w:p w14:paraId="33DEB4CC" w14:textId="77777777" w:rsidR="00B47751" w:rsidRPr="002048A7" w:rsidRDefault="00B47751" w:rsidP="00467DA8">
      <w:pPr>
        <w:spacing w:after="0"/>
        <w:rPr>
          <w:color w:val="000000" w:themeColor="text1"/>
        </w:rPr>
      </w:pPr>
    </w:p>
    <w:p w14:paraId="01CAD366" w14:textId="77777777" w:rsidR="00467DA8" w:rsidRPr="002048A7" w:rsidRDefault="00467DA8" w:rsidP="00467DA8">
      <w:pPr>
        <w:spacing w:after="0"/>
        <w:rPr>
          <w:color w:val="000000" w:themeColor="text1"/>
        </w:rPr>
      </w:pPr>
      <w:r w:rsidRPr="002048A7">
        <w:rPr>
          <w:color w:val="000000" w:themeColor="text1"/>
        </w:rPr>
        <w:t>Anılan Kurul Kararı gereğince, yetkili firmalar UGETAM, S&amp;Q MART ve ELTEM-TEK tarafından genişleme bölgelerindeki incelemeler devam etmekte ve tamamlanan inceleme raporları Kuruma sunulmaktadır.</w:t>
      </w:r>
    </w:p>
    <w:p w14:paraId="5D1CA900" w14:textId="77777777" w:rsidR="00467DA8" w:rsidRPr="002048A7" w:rsidRDefault="00467DA8" w:rsidP="003D0DD5">
      <w:pPr>
        <w:spacing w:after="120"/>
        <w:rPr>
          <w:color w:val="000000" w:themeColor="text1"/>
        </w:rPr>
      </w:pPr>
    </w:p>
    <w:p w14:paraId="2F8C40A4" w14:textId="77777777" w:rsidR="00F43485" w:rsidRPr="002048A7" w:rsidRDefault="003D0DD5" w:rsidP="00577AAF">
      <w:pPr>
        <w:pStyle w:val="Balk3"/>
        <w:numPr>
          <w:ilvl w:val="2"/>
          <w:numId w:val="11"/>
        </w:numPr>
        <w:spacing w:before="0" w:after="240"/>
        <w:rPr>
          <w:rFonts w:asciiTheme="minorHAnsi" w:hAnsiTheme="minorHAnsi"/>
          <w:color w:val="000000" w:themeColor="text1"/>
        </w:rPr>
      </w:pPr>
      <w:bookmarkStart w:id="300" w:name="_Toc442431305"/>
      <w:bookmarkStart w:id="301" w:name="_Toc505346111"/>
      <w:bookmarkStart w:id="302" w:name="_Toc195868752"/>
      <w:r w:rsidRPr="002048A7">
        <w:rPr>
          <w:rFonts w:asciiTheme="minorHAnsi" w:hAnsiTheme="minorHAnsi"/>
          <w:color w:val="000000" w:themeColor="text1"/>
        </w:rPr>
        <w:t>Doğal Gaz Piyasası Denetim Faaliyetleri</w:t>
      </w:r>
      <w:bookmarkStart w:id="303" w:name="_Toc416447612"/>
      <w:bookmarkStart w:id="304" w:name="_Toc442441762"/>
      <w:bookmarkStart w:id="305" w:name="_Toc505346203"/>
      <w:bookmarkEnd w:id="300"/>
      <w:bookmarkEnd w:id="301"/>
      <w:bookmarkEnd w:id="302"/>
    </w:p>
    <w:p w14:paraId="3298A3AD" w14:textId="77777777" w:rsidR="00D16262" w:rsidRPr="002048A7" w:rsidRDefault="00D16262" w:rsidP="00D16262">
      <w:r w:rsidRPr="002048A7">
        <w:t>Doğal gaz piyasasına yönelik gerçekleştirilen denetim faaliyetleri kapsamında lisans ve sertifika sahipleri hakkında 202</w:t>
      </w:r>
      <w:r>
        <w:t>4</w:t>
      </w:r>
      <w:r w:rsidRPr="002048A7">
        <w:t xml:space="preserve"> yılı içerisinde;</w:t>
      </w:r>
    </w:p>
    <w:p w14:paraId="24CC045B" w14:textId="77777777" w:rsidR="00D16262" w:rsidRPr="002048A7" w:rsidRDefault="00D16262" w:rsidP="00D16262">
      <w:pPr>
        <w:pStyle w:val="ListeParagraf"/>
        <w:numPr>
          <w:ilvl w:val="0"/>
          <w:numId w:val="35"/>
        </w:numPr>
      </w:pPr>
      <w:r>
        <w:t xml:space="preserve">134 </w:t>
      </w:r>
      <w:r w:rsidRPr="002048A7">
        <w:t xml:space="preserve">adet yeni soruşturmaya başlanılmış, önceki senelerde başlanılmış olmakla birlikte sonlandırılmamış olan </w:t>
      </w:r>
      <w:r>
        <w:t>25</w:t>
      </w:r>
      <w:r w:rsidRPr="002048A7">
        <w:t xml:space="preserve"> adet soruşturma ile beraber toplam </w:t>
      </w:r>
      <w:r>
        <w:t>159</w:t>
      </w:r>
      <w:r w:rsidRPr="002048A7">
        <w:t xml:space="preserve"> adet soruşturma yürütülmüş,</w:t>
      </w:r>
    </w:p>
    <w:p w14:paraId="41CFEF19" w14:textId="77777777" w:rsidR="00D16262" w:rsidRPr="002048A7" w:rsidRDefault="00D16262" w:rsidP="00D16262">
      <w:pPr>
        <w:pStyle w:val="ListeParagraf"/>
      </w:pPr>
    </w:p>
    <w:p w14:paraId="61147C54" w14:textId="77777777" w:rsidR="00D16262" w:rsidRPr="002048A7" w:rsidRDefault="00D16262" w:rsidP="00D16262">
      <w:pPr>
        <w:pStyle w:val="ListeParagraf"/>
        <w:numPr>
          <w:ilvl w:val="0"/>
          <w:numId w:val="35"/>
        </w:numPr>
      </w:pPr>
      <w:r w:rsidRPr="002048A7">
        <w:t xml:space="preserve">Yürütülen </w:t>
      </w:r>
      <w:r>
        <w:t>159</w:t>
      </w:r>
      <w:r w:rsidRPr="002048A7">
        <w:t xml:space="preserve"> adet soruşturmanın </w:t>
      </w:r>
      <w:r>
        <w:t>130</w:t>
      </w:r>
      <w:r w:rsidRPr="002048A7">
        <w:t xml:space="preserve"> adedi sonlandırılmış, </w:t>
      </w:r>
      <w:r>
        <w:t>29</w:t>
      </w:r>
      <w:r w:rsidRPr="002048A7">
        <w:t xml:space="preserve"> adedi ise </w:t>
      </w:r>
      <w:r>
        <w:t>2025</w:t>
      </w:r>
      <w:r w:rsidRPr="002048A7">
        <w:t xml:space="preserve"> yılına devretmiş,</w:t>
      </w:r>
    </w:p>
    <w:p w14:paraId="69F29215" w14:textId="77777777" w:rsidR="00D16262" w:rsidRPr="002048A7" w:rsidRDefault="00D16262" w:rsidP="00D16262">
      <w:pPr>
        <w:pStyle w:val="ListeParagraf"/>
      </w:pPr>
    </w:p>
    <w:p w14:paraId="19DB1B3B" w14:textId="77777777" w:rsidR="00D16262" w:rsidRPr="002048A7" w:rsidRDefault="00D16262" w:rsidP="00D16262">
      <w:pPr>
        <w:pStyle w:val="ListeParagraf"/>
        <w:numPr>
          <w:ilvl w:val="0"/>
          <w:numId w:val="35"/>
        </w:numPr>
      </w:pPr>
      <w:r>
        <w:t>105</w:t>
      </w:r>
      <w:r w:rsidRPr="002048A7">
        <w:t xml:space="preserve"> adet soruşturma, </w:t>
      </w:r>
      <w:r>
        <w:t>L</w:t>
      </w:r>
      <w:r w:rsidRPr="002048A7">
        <w:t xml:space="preserve">isans ve İç Tesisat </w:t>
      </w:r>
      <w:r>
        <w:t>v</w:t>
      </w:r>
      <w:r w:rsidRPr="002048A7">
        <w:t>e Servis Hatları Sertifikası sahi</w:t>
      </w:r>
      <w:r>
        <w:t>pleri</w:t>
      </w:r>
      <w:r w:rsidRPr="002048A7">
        <w:t>n</w:t>
      </w:r>
      <w:r>
        <w:t>in</w:t>
      </w:r>
      <w:r w:rsidRPr="002048A7">
        <w:t xml:space="preserve"> bundan böyle ilgili mevzuat hükümlerine uygun hareket etmesi hususunda ihtar edilmesi ile sonlandırılmış,</w:t>
      </w:r>
    </w:p>
    <w:p w14:paraId="05B0539F" w14:textId="77777777" w:rsidR="00D16262" w:rsidRPr="002048A7" w:rsidRDefault="00D16262" w:rsidP="00D16262">
      <w:pPr>
        <w:pStyle w:val="ListeParagraf"/>
      </w:pPr>
    </w:p>
    <w:p w14:paraId="58849C2E" w14:textId="77777777" w:rsidR="00D16262" w:rsidRPr="002048A7" w:rsidRDefault="00D16262" w:rsidP="00D16262">
      <w:pPr>
        <w:pStyle w:val="ListeParagraf"/>
        <w:numPr>
          <w:ilvl w:val="0"/>
          <w:numId w:val="35"/>
        </w:numPr>
      </w:pPr>
      <w:r>
        <w:t>20</w:t>
      </w:r>
      <w:r w:rsidRPr="002048A7">
        <w:t xml:space="preserve"> adet soruşturmada İç Tesisat </w:t>
      </w:r>
      <w:r>
        <w:t>v</w:t>
      </w:r>
      <w:r w:rsidRPr="002048A7">
        <w:t>e Servis Hatları Sertifikası sahiplerinin can güvenliğini tehlikeye atacak şekilde fiillerde bulunulmasına bağlı olarak, bundan böyle ilgili mevzuat hükümlerine uygun hareket etmesi hususunda sertifika sahi</w:t>
      </w:r>
      <w:r>
        <w:t>pler</w:t>
      </w:r>
      <w:r w:rsidRPr="002048A7">
        <w:t>i kişiler ihtar edilmiş ve sertifikalar</w:t>
      </w:r>
      <w:r>
        <w:t>ı</w:t>
      </w:r>
      <w:r w:rsidRPr="002048A7">
        <w:t xml:space="preserve"> iptal edilmiş,</w:t>
      </w:r>
    </w:p>
    <w:p w14:paraId="2ADDB41F" w14:textId="77777777" w:rsidR="00D16262" w:rsidRPr="002048A7" w:rsidRDefault="00D16262" w:rsidP="00D16262">
      <w:pPr>
        <w:pStyle w:val="ListeParagraf"/>
      </w:pPr>
    </w:p>
    <w:p w14:paraId="1653C9ED" w14:textId="77777777" w:rsidR="00D16262" w:rsidRPr="002048A7" w:rsidRDefault="00D16262" w:rsidP="00D16262">
      <w:pPr>
        <w:pStyle w:val="ListeParagraf"/>
        <w:numPr>
          <w:ilvl w:val="0"/>
          <w:numId w:val="35"/>
        </w:numPr>
      </w:pPr>
      <w:r>
        <w:t>2</w:t>
      </w:r>
      <w:r w:rsidRPr="002048A7">
        <w:t xml:space="preserve"> adet soruşturmada, sertifika</w:t>
      </w:r>
      <w:r>
        <w:t>lı bir firmanın İç Tesisat v</w:t>
      </w:r>
      <w:r w:rsidRPr="002048A7">
        <w:t xml:space="preserve">e Servis Hatları Sertifikası </w:t>
      </w:r>
      <w:r>
        <w:t>sertifikasının</w:t>
      </w:r>
      <w:r w:rsidRPr="002048A7">
        <w:t xml:space="preserve"> iptal edilmesine ve sertifika sahibi hakkında </w:t>
      </w:r>
      <w:r>
        <w:t>6.343.602-TL</w:t>
      </w:r>
      <w:r w:rsidRPr="009155CF">
        <w:t xml:space="preserve"> </w:t>
      </w:r>
      <w:r w:rsidRPr="002048A7">
        <w:t>idari para cezası uygulanmasına karar verilmiş,</w:t>
      </w:r>
    </w:p>
    <w:p w14:paraId="27765993" w14:textId="77777777" w:rsidR="00D16262" w:rsidRPr="002048A7" w:rsidRDefault="00D16262" w:rsidP="00D16262">
      <w:pPr>
        <w:pStyle w:val="ListeParagraf"/>
      </w:pPr>
    </w:p>
    <w:p w14:paraId="02571307" w14:textId="77777777" w:rsidR="00D16262" w:rsidRPr="002048A7" w:rsidRDefault="00D16262" w:rsidP="00D16262">
      <w:pPr>
        <w:pStyle w:val="ListeParagraf"/>
        <w:numPr>
          <w:ilvl w:val="0"/>
          <w:numId w:val="35"/>
        </w:numPr>
      </w:pPr>
      <w:r>
        <w:t>2</w:t>
      </w:r>
      <w:r w:rsidRPr="002048A7">
        <w:t xml:space="preserve"> adet soruşturmada </w:t>
      </w:r>
      <w:r>
        <w:t xml:space="preserve">Doğal Gaz İthalat Lisansı sahipleri </w:t>
      </w:r>
      <w:r w:rsidRPr="002048A7">
        <w:t>hakkında</w:t>
      </w:r>
      <w:r>
        <w:t xml:space="preserve"> </w:t>
      </w:r>
      <w:bookmarkStart w:id="306" w:name="_Hlk164682223"/>
      <w:r>
        <w:t>6.343.602</w:t>
      </w:r>
      <w:bookmarkEnd w:id="306"/>
      <w:r>
        <w:t>-TL</w:t>
      </w:r>
      <w:r w:rsidRPr="002048A7">
        <w:t xml:space="preserve"> idari para cezası uygulanmasına karar verilmiş,</w:t>
      </w:r>
    </w:p>
    <w:p w14:paraId="6181B6FA" w14:textId="77777777" w:rsidR="00D16262" w:rsidRPr="002048A7" w:rsidRDefault="00D16262" w:rsidP="00D16262">
      <w:pPr>
        <w:pStyle w:val="ListeParagraf"/>
      </w:pPr>
    </w:p>
    <w:p w14:paraId="485580F2" w14:textId="77777777" w:rsidR="00F43485" w:rsidRPr="002048A7" w:rsidRDefault="00D16262" w:rsidP="00D16262">
      <w:pPr>
        <w:pStyle w:val="ListeParagraf"/>
        <w:numPr>
          <w:ilvl w:val="0"/>
          <w:numId w:val="35"/>
        </w:numPr>
        <w:rPr>
          <w:szCs w:val="24"/>
        </w:rPr>
      </w:pPr>
      <w:r>
        <w:t>2</w:t>
      </w:r>
      <w:r w:rsidRPr="002048A7">
        <w:t xml:space="preserve"> adet soruşturma ise, idari yaptırım uygulanmaksızın yürütülen soruşturmanın sonlandırılmasıyla tamamlanmıştır.</w:t>
      </w:r>
    </w:p>
    <w:p w14:paraId="13409284" w14:textId="77777777" w:rsidR="00F43485" w:rsidRPr="002048A7" w:rsidRDefault="003D0DD5" w:rsidP="00577AAF">
      <w:pPr>
        <w:pStyle w:val="Balk2"/>
        <w:numPr>
          <w:ilvl w:val="1"/>
          <w:numId w:val="11"/>
        </w:numPr>
        <w:spacing w:before="0" w:after="240"/>
        <w:rPr>
          <w:rFonts w:asciiTheme="minorHAnsi" w:hAnsiTheme="minorHAnsi"/>
          <w:color w:val="000000" w:themeColor="text1"/>
          <w:sz w:val="22"/>
          <w:szCs w:val="22"/>
        </w:rPr>
      </w:pPr>
      <w:bookmarkStart w:id="307" w:name="_Toc442431306"/>
      <w:bookmarkStart w:id="308" w:name="_Toc505346112"/>
      <w:bookmarkStart w:id="309" w:name="_Toc195868753"/>
      <w:r w:rsidRPr="002048A7">
        <w:rPr>
          <w:rFonts w:asciiTheme="minorHAnsi" w:hAnsiTheme="minorHAnsi"/>
          <w:color w:val="000000" w:themeColor="text1"/>
          <w:sz w:val="22"/>
          <w:szCs w:val="22"/>
        </w:rPr>
        <w:t>Petrol Piyasası Denetim Faaliyetleri</w:t>
      </w:r>
      <w:bookmarkEnd w:id="307"/>
      <w:bookmarkEnd w:id="308"/>
      <w:bookmarkEnd w:id="309"/>
    </w:p>
    <w:p w14:paraId="2F419A2F" w14:textId="77777777" w:rsidR="00F43485" w:rsidRPr="002048A7" w:rsidRDefault="00F43485" w:rsidP="00F43485">
      <w:pPr>
        <w:spacing w:after="0"/>
        <w:rPr>
          <w:color w:val="000000" w:themeColor="text1"/>
        </w:rPr>
      </w:pPr>
      <w:r w:rsidRPr="002048A7">
        <w:rPr>
          <w:color w:val="000000" w:themeColor="text1"/>
        </w:rPr>
        <w:t xml:space="preserve">Petrol piyasası denetimleri, piyasada faaliyette bulunan gerçek veya tüzel kişilerin piyasaya ilişkin faaliyetlerinin ve hesaplarının ilgili mevzuat hükümlerine uygunluğunun incelenmesi ve bu kişilerce piyasaya arz edilen petrol ve madeni yağın teknik düzenlemelere uygunluğunun araştırılması, hata, aykırılık, usulsüzlük ve suiistimallerin tespit edilmesi halinde ilgili kanunlarda öngörülen gerekli yaptırımların uygulanması suretiyle yapılan çalışmalardır. Petrol piyasası faaliyetlerine yönelik olarak gerçekleştirilen inceleme ve denetim faaliyetleri neticesinde, idari para cezaları ve idari yaptırımlar uygulanmaktadır. </w:t>
      </w:r>
    </w:p>
    <w:p w14:paraId="02C4DAD0" w14:textId="77777777" w:rsidR="00F43485" w:rsidRPr="002048A7" w:rsidRDefault="00F43485" w:rsidP="00F43485">
      <w:pPr>
        <w:spacing w:after="0"/>
        <w:rPr>
          <w:color w:val="000000" w:themeColor="text1"/>
        </w:rPr>
      </w:pPr>
    </w:p>
    <w:p w14:paraId="550B19F4" w14:textId="77777777" w:rsidR="00F43485" w:rsidRPr="002048A7" w:rsidRDefault="00F43485" w:rsidP="00F43485">
      <w:pPr>
        <w:spacing w:after="0"/>
        <w:rPr>
          <w:color w:val="000000" w:themeColor="text1"/>
        </w:rPr>
      </w:pPr>
      <w:r w:rsidRPr="002048A7">
        <w:rPr>
          <w:color w:val="000000" w:themeColor="text1"/>
        </w:rPr>
        <w:t xml:space="preserve">Petrol Piyasası ve LPG Piyasasında Yapılacak Denetimlere İlişkin </w:t>
      </w:r>
      <w:r w:rsidR="00997E58" w:rsidRPr="002048A7">
        <w:rPr>
          <w:color w:val="000000" w:themeColor="text1"/>
        </w:rPr>
        <w:t>İş Birliği</w:t>
      </w:r>
      <w:r w:rsidRPr="002048A7">
        <w:rPr>
          <w:color w:val="000000" w:themeColor="text1"/>
        </w:rPr>
        <w:t xml:space="preserve"> Protokolleri kapsamındaki denetimler Kurumun koordinasyonunda yürütülmektedir. Bu kapsamda, denetim yapılacak piyasa faaliyetleri, denetim tarihi ve denetimin gerçekleştirileceği bölgeler Kurum tarafından belirlenmekte, bu konuda alınan Kurul </w:t>
      </w:r>
      <w:r w:rsidRPr="002048A7">
        <w:rPr>
          <w:color w:val="000000" w:themeColor="text1"/>
        </w:rPr>
        <w:lastRenderedPageBreak/>
        <w:t xml:space="preserve">Kararından itibaren 1 (bir) yıl içerisinde denetim ilgili paydaşlarla müştereken planlanmakta veya denetimle yetkilendirilen kamu kurum ve kuruluşlarının kendi sorumluluk bölgelerinde bu kuruluşlarca planlanarak, lisans sahiplerinin yılda en az bir kez olmak üzere ulusal marker da dâhil olmak üzere denetimleri gerçekleştirilmektedir. </w:t>
      </w:r>
    </w:p>
    <w:p w14:paraId="25EF8EEB" w14:textId="77777777" w:rsidR="00F43485" w:rsidRPr="002048A7" w:rsidRDefault="00F43485" w:rsidP="00F43485">
      <w:pPr>
        <w:spacing w:after="0"/>
        <w:rPr>
          <w:color w:val="000000" w:themeColor="text1"/>
        </w:rPr>
      </w:pPr>
    </w:p>
    <w:p w14:paraId="724A9FB7" w14:textId="77777777" w:rsidR="00F43485" w:rsidRPr="002048A7" w:rsidRDefault="00F43485" w:rsidP="00F43485">
      <w:pPr>
        <w:spacing w:after="0"/>
        <w:rPr>
          <w:color w:val="000000" w:themeColor="text1"/>
        </w:rPr>
      </w:pPr>
      <w:r w:rsidRPr="002048A7">
        <w:rPr>
          <w:color w:val="000000" w:themeColor="text1"/>
        </w:rPr>
        <w:t>Gerek tespitler neticesinde gerekse yapılan şikâyet ve ihbarlar çerçevesinde Kurum adına denetim yapmakla yetkilendirilen kurum ve kuruluşlar tarafından denetimlerin yapılmasına devam edilmiştir. Özellikle yerleşim planı dışında gizli tank ve düzeneklerle kaçak akaryakıt satışının yapıldığı tesislere yönelik olarak Ticaret Bakanlığı ve Savcılık nezaretinde İl Jandarma Komutanlıkları ve İl Emniyet Müdürlüklerince denetimler yapılarak kaçak akaryakıt satışına yönelik tespitler yapılmıştır.</w:t>
      </w:r>
    </w:p>
    <w:p w14:paraId="33DE2139" w14:textId="77777777" w:rsidR="00236E43" w:rsidRPr="002048A7" w:rsidRDefault="00236E43" w:rsidP="00236E43">
      <w:pPr>
        <w:spacing w:after="0"/>
        <w:rPr>
          <w:color w:val="000000" w:themeColor="text1"/>
        </w:rPr>
      </w:pPr>
      <w:r w:rsidRPr="002048A7">
        <w:rPr>
          <w:color w:val="000000" w:themeColor="text1"/>
        </w:rPr>
        <w:t>Protokol yapılan kuruluşlara dair detaylı veriler aşağıdaki tablolarda gösterilmektedir.</w:t>
      </w:r>
    </w:p>
    <w:p w14:paraId="6BAD575A" w14:textId="77777777" w:rsidR="00236E43" w:rsidRPr="002048A7" w:rsidRDefault="00236E43" w:rsidP="00236E43">
      <w:pPr>
        <w:pStyle w:val="Balk5"/>
        <w:spacing w:line="360" w:lineRule="auto"/>
        <w:jc w:val="center"/>
        <w:rPr>
          <w:b/>
          <w:bCs/>
          <w:color w:val="000000" w:themeColor="text1"/>
        </w:rPr>
      </w:pPr>
      <w:bookmarkStart w:id="310" w:name="_Toc195868835"/>
      <w:r w:rsidRPr="002048A7">
        <w:rPr>
          <w:rFonts w:asciiTheme="minorHAnsi" w:hAnsiTheme="minorHAnsi"/>
          <w:b/>
          <w:bCs/>
          <w:color w:val="000000" w:themeColor="text1"/>
        </w:rPr>
        <w:t>Tablo 6.</w:t>
      </w:r>
      <w:r w:rsidR="00D16262">
        <w:rPr>
          <w:rFonts w:asciiTheme="minorHAnsi" w:hAnsiTheme="minorHAnsi"/>
          <w:b/>
          <w:bCs/>
          <w:color w:val="000000" w:themeColor="text1"/>
        </w:rPr>
        <w:t>1</w:t>
      </w:r>
      <w:r w:rsidR="0016318B" w:rsidRPr="002048A7">
        <w:rPr>
          <w:rFonts w:asciiTheme="minorHAnsi" w:hAnsiTheme="minorHAnsi"/>
          <w:b/>
          <w:bCs/>
          <w:color w:val="000000" w:themeColor="text1"/>
        </w:rPr>
        <w:t xml:space="preserve">: </w:t>
      </w:r>
      <w:r w:rsidRPr="002048A7">
        <w:rPr>
          <w:rFonts w:asciiTheme="minorHAnsi" w:hAnsiTheme="minorHAnsi"/>
          <w:b/>
          <w:bCs/>
          <w:color w:val="000000" w:themeColor="text1"/>
        </w:rPr>
        <w:t>202</w:t>
      </w:r>
      <w:r w:rsidR="00D16262">
        <w:rPr>
          <w:rFonts w:asciiTheme="minorHAnsi" w:hAnsiTheme="minorHAnsi"/>
          <w:b/>
          <w:bCs/>
          <w:color w:val="000000" w:themeColor="text1"/>
        </w:rPr>
        <w:t>4</w:t>
      </w:r>
      <w:r w:rsidRPr="002048A7">
        <w:rPr>
          <w:rFonts w:asciiTheme="minorHAnsi" w:hAnsiTheme="minorHAnsi"/>
          <w:b/>
          <w:bCs/>
          <w:color w:val="000000" w:themeColor="text1"/>
        </w:rPr>
        <w:t xml:space="preserve"> Yılı Denetim Kapsamında Protokolcü Kuruluşlar Denetçi Sayıları</w:t>
      </w:r>
      <w:bookmarkEnd w:id="310"/>
    </w:p>
    <w:tbl>
      <w:tblPr>
        <w:tblW w:w="2715"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3259"/>
        <w:gridCol w:w="2123"/>
      </w:tblGrid>
      <w:tr w:rsidR="00236E43" w:rsidRPr="002048A7" w14:paraId="1AA4A794" w14:textId="77777777" w:rsidTr="00206F52">
        <w:trPr>
          <w:trHeight w:val="693"/>
          <w:jc w:val="center"/>
        </w:trPr>
        <w:tc>
          <w:tcPr>
            <w:tcW w:w="3028" w:type="pct"/>
            <w:shd w:val="clear" w:color="000000" w:fill="6E9ECA"/>
            <w:vAlign w:val="center"/>
            <w:hideMark/>
          </w:tcPr>
          <w:p w14:paraId="73FD1B1E" w14:textId="77777777" w:rsidR="00236E43" w:rsidRPr="002048A7" w:rsidRDefault="00236E43" w:rsidP="00206F52">
            <w:pPr>
              <w:spacing w:after="0" w:line="240" w:lineRule="auto"/>
              <w:rPr>
                <w:rFonts w:ascii="Calibri" w:eastAsia="Times New Roman" w:hAnsi="Calibri"/>
                <w:b/>
                <w:bCs/>
                <w:color w:val="FFFFFF"/>
                <w:lang w:eastAsia="tr-TR"/>
              </w:rPr>
            </w:pPr>
            <w:r w:rsidRPr="002048A7">
              <w:rPr>
                <w:rFonts w:ascii="Calibri" w:eastAsia="Times New Roman" w:hAnsi="Calibri"/>
                <w:b/>
                <w:bCs/>
                <w:color w:val="FFFFFF"/>
                <w:lang w:eastAsia="tr-TR"/>
              </w:rPr>
              <w:t>İlgili Kurum</w:t>
            </w:r>
          </w:p>
        </w:tc>
        <w:tc>
          <w:tcPr>
            <w:tcW w:w="1972" w:type="pct"/>
            <w:shd w:val="clear" w:color="000000" w:fill="6E9ECA"/>
            <w:vAlign w:val="center"/>
            <w:hideMark/>
          </w:tcPr>
          <w:p w14:paraId="50063ED1" w14:textId="77777777" w:rsidR="00236E43" w:rsidRPr="002048A7" w:rsidRDefault="00236E43" w:rsidP="00206F52">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Denetçi Sayısı</w:t>
            </w:r>
          </w:p>
        </w:tc>
      </w:tr>
      <w:tr w:rsidR="00D16262" w:rsidRPr="002048A7" w14:paraId="7A4738D9" w14:textId="77777777" w:rsidTr="00206F52">
        <w:trPr>
          <w:trHeight w:val="330"/>
          <w:jc w:val="center"/>
        </w:trPr>
        <w:tc>
          <w:tcPr>
            <w:tcW w:w="3028" w:type="pct"/>
            <w:shd w:val="clear" w:color="auto" w:fill="auto"/>
            <w:vAlign w:val="bottom"/>
          </w:tcPr>
          <w:p w14:paraId="39BD8F77" w14:textId="77777777" w:rsidR="00D16262" w:rsidRPr="002048A7" w:rsidRDefault="00D16262" w:rsidP="00D16262">
            <w:pPr>
              <w:spacing w:after="0" w:line="240" w:lineRule="auto"/>
              <w:jc w:val="left"/>
              <w:rPr>
                <w:rFonts w:ascii="Calibri" w:eastAsia="Times New Roman" w:hAnsi="Calibri"/>
                <w:b/>
                <w:bCs/>
                <w:color w:val="000000"/>
                <w:lang w:eastAsia="tr-TR"/>
              </w:rPr>
            </w:pPr>
            <w:r w:rsidRPr="002048A7">
              <w:rPr>
                <w:rFonts w:ascii="Calibri" w:eastAsia="Times New Roman" w:hAnsi="Calibri"/>
                <w:b/>
                <w:bCs/>
                <w:color w:val="000000"/>
                <w:lang w:eastAsia="tr-TR"/>
              </w:rPr>
              <w:t>Ticaret Bakanlığı</w:t>
            </w:r>
          </w:p>
        </w:tc>
        <w:tc>
          <w:tcPr>
            <w:tcW w:w="1972" w:type="pct"/>
            <w:shd w:val="clear" w:color="auto" w:fill="auto"/>
            <w:vAlign w:val="center"/>
          </w:tcPr>
          <w:p w14:paraId="383592A3" w14:textId="77777777" w:rsidR="00D16262" w:rsidRPr="002048A7" w:rsidRDefault="00D16262" w:rsidP="00D16262">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657</w:t>
            </w:r>
          </w:p>
        </w:tc>
      </w:tr>
      <w:tr w:rsidR="00D16262" w:rsidRPr="002048A7" w14:paraId="3E286F40" w14:textId="77777777" w:rsidTr="00206F52">
        <w:trPr>
          <w:trHeight w:val="330"/>
          <w:jc w:val="center"/>
        </w:trPr>
        <w:tc>
          <w:tcPr>
            <w:tcW w:w="3028" w:type="pct"/>
            <w:shd w:val="clear" w:color="auto" w:fill="auto"/>
            <w:vAlign w:val="bottom"/>
          </w:tcPr>
          <w:p w14:paraId="195CE188" w14:textId="77777777" w:rsidR="00D16262" w:rsidRPr="002048A7" w:rsidRDefault="00D16262" w:rsidP="00D16262">
            <w:pPr>
              <w:spacing w:after="0" w:line="240" w:lineRule="auto"/>
              <w:jc w:val="left"/>
              <w:rPr>
                <w:rFonts w:ascii="Calibri" w:eastAsia="Times New Roman" w:hAnsi="Calibri"/>
                <w:b/>
                <w:bCs/>
                <w:color w:val="000000"/>
                <w:lang w:eastAsia="tr-TR"/>
              </w:rPr>
            </w:pPr>
            <w:r w:rsidRPr="002048A7">
              <w:rPr>
                <w:rFonts w:ascii="Calibri" w:eastAsia="Times New Roman" w:hAnsi="Calibri"/>
                <w:b/>
                <w:bCs/>
                <w:color w:val="000000"/>
                <w:lang w:eastAsia="tr-TR"/>
              </w:rPr>
              <w:t>İçişleri Bakanlığı</w:t>
            </w:r>
          </w:p>
        </w:tc>
        <w:tc>
          <w:tcPr>
            <w:tcW w:w="1972" w:type="pct"/>
            <w:shd w:val="clear" w:color="auto" w:fill="auto"/>
            <w:vAlign w:val="center"/>
          </w:tcPr>
          <w:p w14:paraId="1B44EC42" w14:textId="77777777" w:rsidR="00D16262" w:rsidRPr="002048A7" w:rsidRDefault="00D16262" w:rsidP="00D16262">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3.117</w:t>
            </w:r>
          </w:p>
        </w:tc>
      </w:tr>
      <w:tr w:rsidR="00D16262" w:rsidRPr="002048A7" w14:paraId="0E5DB818" w14:textId="77777777" w:rsidTr="00206F52">
        <w:trPr>
          <w:trHeight w:val="330"/>
          <w:jc w:val="center"/>
        </w:trPr>
        <w:tc>
          <w:tcPr>
            <w:tcW w:w="3028" w:type="pct"/>
            <w:shd w:val="clear" w:color="auto" w:fill="auto"/>
            <w:vAlign w:val="bottom"/>
          </w:tcPr>
          <w:p w14:paraId="3040CAD5" w14:textId="77777777" w:rsidR="00D16262" w:rsidRPr="002048A7" w:rsidRDefault="00D16262" w:rsidP="00D16262">
            <w:pPr>
              <w:spacing w:after="0" w:line="240" w:lineRule="auto"/>
              <w:jc w:val="right"/>
              <w:rPr>
                <w:rFonts w:ascii="Calibri" w:eastAsia="Times New Roman" w:hAnsi="Calibri"/>
                <w:bCs/>
                <w:color w:val="000000"/>
                <w:lang w:eastAsia="tr-TR"/>
              </w:rPr>
            </w:pPr>
            <w:r w:rsidRPr="002048A7">
              <w:rPr>
                <w:rFonts w:ascii="Calibri" w:eastAsia="Times New Roman" w:hAnsi="Calibri"/>
                <w:bCs/>
                <w:color w:val="000000"/>
                <w:lang w:eastAsia="tr-TR"/>
              </w:rPr>
              <w:t>Jandarma Genel Komutanlığı</w:t>
            </w:r>
          </w:p>
        </w:tc>
        <w:tc>
          <w:tcPr>
            <w:tcW w:w="1972" w:type="pct"/>
            <w:shd w:val="clear" w:color="auto" w:fill="auto"/>
            <w:vAlign w:val="center"/>
          </w:tcPr>
          <w:p w14:paraId="40B22C63" w14:textId="77777777" w:rsidR="00D16262" w:rsidRPr="002048A7" w:rsidRDefault="00D16262" w:rsidP="00D16262">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997</w:t>
            </w:r>
          </w:p>
        </w:tc>
      </w:tr>
      <w:tr w:rsidR="00D16262" w:rsidRPr="002048A7" w14:paraId="2BE7E7E1" w14:textId="77777777" w:rsidTr="00206F52">
        <w:trPr>
          <w:trHeight w:val="330"/>
          <w:jc w:val="center"/>
        </w:trPr>
        <w:tc>
          <w:tcPr>
            <w:tcW w:w="3028" w:type="pct"/>
            <w:shd w:val="clear" w:color="auto" w:fill="auto"/>
            <w:vAlign w:val="bottom"/>
          </w:tcPr>
          <w:p w14:paraId="3C6C3A4D" w14:textId="77777777" w:rsidR="00D16262" w:rsidRPr="002048A7" w:rsidRDefault="00D16262" w:rsidP="00D16262">
            <w:pPr>
              <w:spacing w:after="0" w:line="240" w:lineRule="auto"/>
              <w:jc w:val="right"/>
              <w:rPr>
                <w:rFonts w:ascii="Calibri" w:eastAsia="Times New Roman" w:hAnsi="Calibri"/>
                <w:bCs/>
                <w:color w:val="000000"/>
                <w:lang w:eastAsia="tr-TR"/>
              </w:rPr>
            </w:pPr>
            <w:r w:rsidRPr="002048A7">
              <w:rPr>
                <w:rFonts w:ascii="Calibri" w:eastAsia="Times New Roman" w:hAnsi="Calibri"/>
                <w:bCs/>
                <w:color w:val="000000"/>
                <w:lang w:eastAsia="tr-TR"/>
              </w:rPr>
              <w:t>Emniyet Genel Müdürlüğü</w:t>
            </w:r>
          </w:p>
        </w:tc>
        <w:tc>
          <w:tcPr>
            <w:tcW w:w="1972" w:type="pct"/>
            <w:shd w:val="clear" w:color="auto" w:fill="auto"/>
            <w:vAlign w:val="center"/>
          </w:tcPr>
          <w:p w14:paraId="1F055DB0" w14:textId="77777777" w:rsidR="00D16262" w:rsidRPr="002048A7" w:rsidRDefault="00D16262" w:rsidP="00D16262">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1.073</w:t>
            </w:r>
          </w:p>
        </w:tc>
      </w:tr>
      <w:tr w:rsidR="00D16262" w:rsidRPr="002048A7" w14:paraId="71E148D7" w14:textId="77777777" w:rsidTr="00206F52">
        <w:trPr>
          <w:trHeight w:val="330"/>
          <w:jc w:val="center"/>
        </w:trPr>
        <w:tc>
          <w:tcPr>
            <w:tcW w:w="3028" w:type="pct"/>
            <w:shd w:val="clear" w:color="auto" w:fill="auto"/>
            <w:vAlign w:val="bottom"/>
          </w:tcPr>
          <w:p w14:paraId="7AB76C64" w14:textId="77777777" w:rsidR="00D16262" w:rsidRPr="002048A7" w:rsidRDefault="00D16262" w:rsidP="00D16262">
            <w:pPr>
              <w:spacing w:after="0" w:line="240" w:lineRule="auto"/>
              <w:jc w:val="right"/>
              <w:rPr>
                <w:rFonts w:ascii="Calibri" w:eastAsia="Times New Roman" w:hAnsi="Calibri"/>
                <w:bCs/>
                <w:color w:val="000000"/>
                <w:lang w:eastAsia="tr-TR"/>
              </w:rPr>
            </w:pPr>
            <w:r w:rsidRPr="002048A7">
              <w:rPr>
                <w:rFonts w:ascii="Calibri" w:eastAsia="Times New Roman" w:hAnsi="Calibri"/>
                <w:bCs/>
                <w:color w:val="000000"/>
                <w:lang w:eastAsia="tr-TR"/>
              </w:rPr>
              <w:t>Sahil Güvenlik Komutanlığı</w:t>
            </w:r>
          </w:p>
        </w:tc>
        <w:tc>
          <w:tcPr>
            <w:tcW w:w="1972" w:type="pct"/>
            <w:shd w:val="clear" w:color="auto" w:fill="auto"/>
            <w:vAlign w:val="center"/>
          </w:tcPr>
          <w:p w14:paraId="69C6275F" w14:textId="77777777" w:rsidR="00D16262" w:rsidRPr="002048A7" w:rsidRDefault="00D16262" w:rsidP="00D16262">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1.047</w:t>
            </w:r>
          </w:p>
        </w:tc>
      </w:tr>
      <w:tr w:rsidR="00D16262" w:rsidRPr="002048A7" w14:paraId="69A4E660" w14:textId="77777777" w:rsidTr="00206F52">
        <w:trPr>
          <w:trHeight w:val="361"/>
          <w:jc w:val="center"/>
        </w:trPr>
        <w:tc>
          <w:tcPr>
            <w:tcW w:w="3028" w:type="pct"/>
            <w:shd w:val="clear" w:color="auto" w:fill="auto"/>
            <w:vAlign w:val="bottom"/>
          </w:tcPr>
          <w:p w14:paraId="6AB45E6F" w14:textId="77777777" w:rsidR="00D16262" w:rsidRPr="002048A7" w:rsidRDefault="00D16262" w:rsidP="00D16262">
            <w:pPr>
              <w:spacing w:after="0" w:line="240" w:lineRule="auto"/>
              <w:jc w:val="left"/>
              <w:rPr>
                <w:rFonts w:ascii="Calibri" w:eastAsia="Times New Roman" w:hAnsi="Calibri"/>
                <w:b/>
                <w:bCs/>
                <w:color w:val="000000"/>
                <w:lang w:eastAsia="tr-TR"/>
              </w:rPr>
            </w:pPr>
            <w:r w:rsidRPr="002048A7">
              <w:rPr>
                <w:rFonts w:ascii="Calibri" w:eastAsia="Times New Roman" w:hAnsi="Calibri"/>
                <w:b/>
                <w:bCs/>
                <w:color w:val="000000"/>
                <w:lang w:eastAsia="tr-TR"/>
              </w:rPr>
              <w:t>TOPLAM</w:t>
            </w:r>
          </w:p>
        </w:tc>
        <w:tc>
          <w:tcPr>
            <w:tcW w:w="1972" w:type="pct"/>
            <w:shd w:val="clear" w:color="auto" w:fill="auto"/>
            <w:vAlign w:val="center"/>
          </w:tcPr>
          <w:p w14:paraId="2497ABC2" w14:textId="77777777" w:rsidR="00D16262" w:rsidRPr="002048A7" w:rsidRDefault="00D16262" w:rsidP="00D16262">
            <w:pPr>
              <w:spacing w:after="0" w:line="240" w:lineRule="auto"/>
              <w:jc w:val="center"/>
              <w:rPr>
                <w:rFonts w:ascii="Calibri" w:eastAsia="Times New Roman" w:hAnsi="Calibri"/>
                <w:b/>
                <w:color w:val="000000"/>
                <w:lang w:eastAsia="tr-TR"/>
              </w:rPr>
            </w:pPr>
            <w:r>
              <w:rPr>
                <w:rFonts w:ascii="Calibri" w:eastAsia="Times New Roman" w:hAnsi="Calibri"/>
                <w:b/>
                <w:color w:val="000000"/>
                <w:lang w:eastAsia="tr-TR"/>
              </w:rPr>
              <w:t>3.774</w:t>
            </w:r>
          </w:p>
        </w:tc>
      </w:tr>
    </w:tbl>
    <w:p w14:paraId="7626D3DA" w14:textId="77777777" w:rsidR="00236E43" w:rsidRPr="002048A7" w:rsidRDefault="00236E43" w:rsidP="00F43485">
      <w:pPr>
        <w:spacing w:after="0"/>
        <w:rPr>
          <w:color w:val="000000" w:themeColor="text1"/>
        </w:rPr>
      </w:pPr>
    </w:p>
    <w:p w14:paraId="4A9A5060" w14:textId="7E9259E2" w:rsidR="00F43485" w:rsidRPr="002048A7" w:rsidRDefault="00D16262" w:rsidP="00F43485">
      <w:pPr>
        <w:spacing w:after="0"/>
        <w:rPr>
          <w:color w:val="000000" w:themeColor="text1"/>
        </w:rPr>
      </w:pPr>
      <w:r w:rsidRPr="002048A7">
        <w:rPr>
          <w:color w:val="000000" w:themeColor="text1"/>
        </w:rPr>
        <w:t xml:space="preserve">Protokol yapılan kuruluşlara </w:t>
      </w:r>
      <w:r w:rsidRPr="00163151">
        <w:rPr>
          <w:color w:val="000000" w:themeColor="text1"/>
        </w:rPr>
        <w:t>2024</w:t>
      </w:r>
      <w:r w:rsidR="00163151">
        <w:rPr>
          <w:color w:val="000000" w:themeColor="text1"/>
        </w:rPr>
        <w:t xml:space="preserve"> ve </w:t>
      </w:r>
      <w:r w:rsidRPr="00163151">
        <w:rPr>
          <w:color w:val="000000" w:themeColor="text1"/>
        </w:rPr>
        <w:t>2025 yılları</w:t>
      </w:r>
      <w:r w:rsidR="00163151">
        <w:rPr>
          <w:color w:val="000000" w:themeColor="text1"/>
        </w:rPr>
        <w:t xml:space="preserve">nda </w:t>
      </w:r>
      <w:r>
        <w:rPr>
          <w:color w:val="000000" w:themeColor="text1"/>
        </w:rPr>
        <w:t>tahsis edilen</w:t>
      </w:r>
      <w:r w:rsidRPr="002048A7">
        <w:rPr>
          <w:color w:val="000000" w:themeColor="text1"/>
        </w:rPr>
        <w:t xml:space="preserve"> ödenek </w:t>
      </w:r>
      <w:r>
        <w:rPr>
          <w:color w:val="000000" w:themeColor="text1"/>
        </w:rPr>
        <w:t>miktarları</w:t>
      </w:r>
      <w:r w:rsidRPr="002048A7">
        <w:rPr>
          <w:color w:val="000000" w:themeColor="text1"/>
        </w:rPr>
        <w:t xml:space="preserve"> Tablo 6.</w:t>
      </w:r>
      <w:r>
        <w:rPr>
          <w:color w:val="000000" w:themeColor="text1"/>
        </w:rPr>
        <w:t>2</w:t>
      </w:r>
      <w:r w:rsidRPr="002048A7">
        <w:rPr>
          <w:color w:val="000000" w:themeColor="text1"/>
        </w:rPr>
        <w:t>’de gösterilmektedir.</w:t>
      </w:r>
    </w:p>
    <w:p w14:paraId="1D0A4839" w14:textId="0569B720" w:rsidR="003D0DD5" w:rsidRPr="002048A7" w:rsidRDefault="008C0C45" w:rsidP="008C0C45">
      <w:pPr>
        <w:pStyle w:val="Balk5"/>
        <w:jc w:val="center"/>
        <w:rPr>
          <w:rFonts w:asciiTheme="minorHAnsi" w:hAnsiTheme="minorHAnsi"/>
          <w:b/>
          <w:bCs/>
          <w:color w:val="000000" w:themeColor="text1"/>
        </w:rPr>
      </w:pPr>
      <w:bookmarkStart w:id="311" w:name="_Toc195868836"/>
      <w:r w:rsidRPr="002048A7">
        <w:rPr>
          <w:rStyle w:val="Gl"/>
          <w:color w:val="000000" w:themeColor="text1"/>
        </w:rPr>
        <w:t>Tablo 6.</w:t>
      </w:r>
      <w:r w:rsidR="00A448CA">
        <w:rPr>
          <w:rStyle w:val="Gl"/>
          <w:color w:val="000000" w:themeColor="text1"/>
        </w:rPr>
        <w:t>2</w:t>
      </w:r>
      <w:r w:rsidRPr="002048A7">
        <w:rPr>
          <w:rStyle w:val="Gl"/>
          <w:color w:val="000000" w:themeColor="text1"/>
        </w:rPr>
        <w:t xml:space="preserve">: </w:t>
      </w:r>
      <w:r w:rsidR="002B6174" w:rsidRPr="002048A7">
        <w:rPr>
          <w:rFonts w:asciiTheme="minorHAnsi" w:hAnsiTheme="minorHAnsi"/>
          <w:b/>
          <w:bCs/>
          <w:color w:val="000000" w:themeColor="text1"/>
        </w:rPr>
        <w:t>202</w:t>
      </w:r>
      <w:r w:rsidR="00C359D6">
        <w:rPr>
          <w:rFonts w:asciiTheme="minorHAnsi" w:hAnsiTheme="minorHAnsi"/>
          <w:b/>
          <w:bCs/>
          <w:color w:val="000000" w:themeColor="text1"/>
        </w:rPr>
        <w:t>4</w:t>
      </w:r>
      <w:r w:rsidR="002B6174" w:rsidRPr="002048A7">
        <w:rPr>
          <w:rFonts w:asciiTheme="minorHAnsi" w:hAnsiTheme="minorHAnsi"/>
          <w:b/>
          <w:bCs/>
          <w:color w:val="000000" w:themeColor="text1"/>
        </w:rPr>
        <w:t xml:space="preserve"> </w:t>
      </w:r>
      <w:r w:rsidR="00051D88" w:rsidRPr="002048A7">
        <w:rPr>
          <w:rFonts w:asciiTheme="minorHAnsi" w:hAnsiTheme="minorHAnsi"/>
          <w:b/>
          <w:bCs/>
          <w:color w:val="000000" w:themeColor="text1"/>
        </w:rPr>
        <w:t xml:space="preserve">ve </w:t>
      </w:r>
      <w:r w:rsidR="002B6174" w:rsidRPr="002048A7">
        <w:rPr>
          <w:rFonts w:asciiTheme="minorHAnsi" w:hAnsiTheme="minorHAnsi"/>
          <w:b/>
          <w:bCs/>
          <w:color w:val="000000" w:themeColor="text1"/>
        </w:rPr>
        <w:t>202</w:t>
      </w:r>
      <w:r w:rsidR="00C359D6">
        <w:rPr>
          <w:rFonts w:asciiTheme="minorHAnsi" w:hAnsiTheme="minorHAnsi"/>
          <w:b/>
          <w:bCs/>
          <w:color w:val="000000" w:themeColor="text1"/>
        </w:rPr>
        <w:t>5</w:t>
      </w:r>
      <w:r w:rsidR="002B6174" w:rsidRPr="002048A7">
        <w:rPr>
          <w:rFonts w:asciiTheme="minorHAnsi" w:hAnsiTheme="minorHAnsi"/>
          <w:b/>
          <w:bCs/>
          <w:color w:val="000000" w:themeColor="text1"/>
        </w:rPr>
        <w:t xml:space="preserve"> </w:t>
      </w:r>
      <w:r w:rsidRPr="002048A7">
        <w:rPr>
          <w:rFonts w:asciiTheme="minorHAnsi" w:hAnsiTheme="minorHAnsi"/>
          <w:b/>
          <w:bCs/>
          <w:color w:val="000000" w:themeColor="text1"/>
        </w:rPr>
        <w:t>Yılları</w:t>
      </w:r>
      <w:r w:rsidR="00051D88" w:rsidRPr="002048A7">
        <w:rPr>
          <w:rFonts w:asciiTheme="minorHAnsi" w:hAnsiTheme="minorHAnsi"/>
          <w:b/>
          <w:bCs/>
          <w:color w:val="000000" w:themeColor="text1"/>
        </w:rPr>
        <w:t>nda</w:t>
      </w:r>
      <w:r w:rsidRPr="002048A7">
        <w:rPr>
          <w:rFonts w:asciiTheme="minorHAnsi" w:hAnsiTheme="minorHAnsi"/>
          <w:b/>
          <w:bCs/>
          <w:color w:val="000000" w:themeColor="text1"/>
        </w:rPr>
        <w:t xml:space="preserve"> Denetim Kapsamında Protokolcü Kuruluşlara </w:t>
      </w:r>
      <w:r w:rsidR="00D16262">
        <w:rPr>
          <w:rFonts w:asciiTheme="minorHAnsi" w:hAnsiTheme="minorHAnsi"/>
          <w:b/>
          <w:bCs/>
          <w:color w:val="000000" w:themeColor="text1"/>
        </w:rPr>
        <w:t xml:space="preserve">Tahsis Edilen </w:t>
      </w:r>
      <w:r w:rsidRPr="002048A7">
        <w:rPr>
          <w:rFonts w:asciiTheme="minorHAnsi" w:hAnsiTheme="minorHAnsi"/>
          <w:b/>
          <w:bCs/>
          <w:color w:val="000000" w:themeColor="text1"/>
        </w:rPr>
        <w:t xml:space="preserve">Ödenek </w:t>
      </w:r>
      <w:bookmarkEnd w:id="303"/>
      <w:bookmarkEnd w:id="304"/>
      <w:bookmarkEnd w:id="305"/>
      <w:r w:rsidR="00D56350">
        <w:rPr>
          <w:rFonts w:asciiTheme="minorHAnsi" w:hAnsiTheme="minorHAnsi"/>
          <w:b/>
          <w:bCs/>
          <w:color w:val="000000" w:themeColor="text1"/>
        </w:rPr>
        <w:t>Tutarı</w:t>
      </w:r>
      <w:bookmarkEnd w:id="311"/>
    </w:p>
    <w:tbl>
      <w:tblPr>
        <w:tblW w:w="376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3259"/>
        <w:gridCol w:w="1985"/>
        <w:gridCol w:w="2209"/>
      </w:tblGrid>
      <w:tr w:rsidR="00D16262" w:rsidRPr="002048A7" w14:paraId="7C41E701" w14:textId="77777777" w:rsidTr="00D16262">
        <w:trPr>
          <w:trHeight w:val="353"/>
          <w:jc w:val="center"/>
        </w:trPr>
        <w:tc>
          <w:tcPr>
            <w:tcW w:w="2186" w:type="pct"/>
            <w:vMerge w:val="restart"/>
            <w:shd w:val="clear" w:color="000000" w:fill="6E9ECA"/>
            <w:vAlign w:val="center"/>
            <w:hideMark/>
          </w:tcPr>
          <w:p w14:paraId="2E8161EA" w14:textId="77777777" w:rsidR="00D16262" w:rsidRPr="002048A7" w:rsidRDefault="00D16262" w:rsidP="00772A4E">
            <w:pPr>
              <w:spacing w:after="0" w:line="240" w:lineRule="auto"/>
              <w:rPr>
                <w:rFonts w:ascii="Calibri" w:eastAsia="Times New Roman" w:hAnsi="Calibri"/>
                <w:b/>
                <w:bCs/>
                <w:color w:val="FFFFFF"/>
                <w:lang w:eastAsia="tr-TR"/>
              </w:rPr>
            </w:pPr>
            <w:r w:rsidRPr="002048A7">
              <w:rPr>
                <w:rFonts w:ascii="Calibri" w:eastAsia="Times New Roman" w:hAnsi="Calibri"/>
                <w:b/>
                <w:bCs/>
                <w:color w:val="FFFFFF"/>
                <w:lang w:eastAsia="tr-TR"/>
              </w:rPr>
              <w:t>Protokol Kapsamındaki Kuruluşlar</w:t>
            </w:r>
          </w:p>
        </w:tc>
        <w:tc>
          <w:tcPr>
            <w:tcW w:w="2814" w:type="pct"/>
            <w:gridSpan w:val="2"/>
            <w:shd w:val="clear" w:color="000000" w:fill="6E9ECA"/>
            <w:vAlign w:val="center"/>
            <w:hideMark/>
          </w:tcPr>
          <w:p w14:paraId="3496121E" w14:textId="77777777" w:rsidR="00D16262" w:rsidRPr="002048A7" w:rsidRDefault="00A448CA" w:rsidP="00772A4E">
            <w:pPr>
              <w:spacing w:after="0" w:line="240" w:lineRule="auto"/>
              <w:jc w:val="center"/>
              <w:rPr>
                <w:rFonts w:ascii="Calibri" w:eastAsia="Times New Roman" w:hAnsi="Calibri"/>
                <w:b/>
                <w:bCs/>
                <w:color w:val="FFFFFF"/>
                <w:lang w:eastAsia="tr-TR"/>
              </w:rPr>
            </w:pPr>
            <w:r>
              <w:rPr>
                <w:rFonts w:ascii="Calibri" w:eastAsia="Times New Roman" w:hAnsi="Calibri"/>
                <w:b/>
                <w:bCs/>
                <w:color w:val="FFFFFF"/>
                <w:lang w:eastAsia="tr-TR"/>
              </w:rPr>
              <w:t>Tahsis Edilen</w:t>
            </w:r>
            <w:r w:rsidR="00D16262" w:rsidRPr="002048A7">
              <w:rPr>
                <w:rFonts w:ascii="Calibri" w:eastAsia="Times New Roman" w:hAnsi="Calibri"/>
                <w:b/>
                <w:bCs/>
                <w:color w:val="FFFFFF"/>
                <w:lang w:eastAsia="tr-TR"/>
              </w:rPr>
              <w:t xml:space="preserve"> Ödenek Tutarı (TL)</w:t>
            </w:r>
          </w:p>
        </w:tc>
      </w:tr>
      <w:tr w:rsidR="00D16262" w:rsidRPr="002048A7" w14:paraId="6A8ED412" w14:textId="77777777" w:rsidTr="00D16262">
        <w:trPr>
          <w:trHeight w:val="330"/>
          <w:jc w:val="center"/>
        </w:trPr>
        <w:tc>
          <w:tcPr>
            <w:tcW w:w="2186" w:type="pct"/>
            <w:vMerge/>
            <w:vAlign w:val="center"/>
            <w:hideMark/>
          </w:tcPr>
          <w:p w14:paraId="074816F7" w14:textId="77777777" w:rsidR="00D16262" w:rsidRPr="002048A7" w:rsidRDefault="00D16262" w:rsidP="00D47E28">
            <w:pPr>
              <w:spacing w:after="0" w:line="240" w:lineRule="auto"/>
              <w:rPr>
                <w:rFonts w:ascii="Calibri" w:eastAsia="Times New Roman" w:hAnsi="Calibri"/>
                <w:b/>
                <w:bCs/>
                <w:color w:val="FFFFFF"/>
                <w:lang w:eastAsia="tr-TR"/>
              </w:rPr>
            </w:pPr>
          </w:p>
        </w:tc>
        <w:tc>
          <w:tcPr>
            <w:tcW w:w="1332" w:type="pct"/>
            <w:shd w:val="clear" w:color="000000" w:fill="6E9ECA"/>
            <w:hideMark/>
          </w:tcPr>
          <w:p w14:paraId="73A5B01C" w14:textId="77777777" w:rsidR="00D16262" w:rsidRPr="002048A7" w:rsidRDefault="00D16262" w:rsidP="00D47E28">
            <w:pPr>
              <w:spacing w:after="0" w:line="240" w:lineRule="auto"/>
              <w:jc w:val="center"/>
              <w:rPr>
                <w:rFonts w:ascii="Calibri" w:eastAsia="Times New Roman" w:hAnsi="Calibri"/>
                <w:b/>
                <w:bCs/>
                <w:color w:val="FFFFFF"/>
                <w:lang w:eastAsia="tr-TR"/>
              </w:rPr>
            </w:pPr>
            <w:r w:rsidRPr="00D56350">
              <w:rPr>
                <w:rFonts w:ascii="Calibri" w:eastAsia="Times New Roman" w:hAnsi="Calibri"/>
                <w:b/>
                <w:bCs/>
                <w:color w:val="FFFFFF"/>
                <w:lang w:eastAsia="tr-TR"/>
              </w:rPr>
              <w:t>2024 Yılı</w:t>
            </w:r>
          </w:p>
        </w:tc>
        <w:tc>
          <w:tcPr>
            <w:tcW w:w="1481" w:type="pct"/>
            <w:shd w:val="clear" w:color="000000" w:fill="6E9ECA"/>
            <w:hideMark/>
          </w:tcPr>
          <w:p w14:paraId="36620CB9" w14:textId="77777777" w:rsidR="00D16262" w:rsidRPr="002048A7" w:rsidRDefault="00D16262" w:rsidP="00D47E28">
            <w:pPr>
              <w:spacing w:after="0" w:line="240" w:lineRule="auto"/>
              <w:jc w:val="center"/>
              <w:rPr>
                <w:rFonts w:ascii="Calibri" w:eastAsia="Times New Roman" w:hAnsi="Calibri"/>
                <w:b/>
                <w:bCs/>
                <w:color w:val="FFFFFF"/>
                <w:lang w:eastAsia="tr-TR"/>
              </w:rPr>
            </w:pPr>
            <w:r w:rsidRPr="00D56350">
              <w:rPr>
                <w:rFonts w:ascii="Calibri" w:eastAsia="Times New Roman" w:hAnsi="Calibri"/>
                <w:b/>
                <w:bCs/>
                <w:color w:val="FFFFFF"/>
                <w:lang w:eastAsia="tr-TR"/>
              </w:rPr>
              <w:t>2025 Yılı</w:t>
            </w:r>
          </w:p>
        </w:tc>
      </w:tr>
      <w:tr w:rsidR="00D16262" w:rsidRPr="002048A7" w14:paraId="56846EA8" w14:textId="77777777" w:rsidTr="00D16262">
        <w:trPr>
          <w:trHeight w:val="330"/>
          <w:jc w:val="center"/>
        </w:trPr>
        <w:tc>
          <w:tcPr>
            <w:tcW w:w="2186" w:type="pct"/>
            <w:shd w:val="clear" w:color="auto" w:fill="auto"/>
            <w:vAlign w:val="center"/>
            <w:hideMark/>
          </w:tcPr>
          <w:p w14:paraId="046A9F98" w14:textId="77777777" w:rsidR="00D16262" w:rsidRPr="00370F02" w:rsidRDefault="00D16262" w:rsidP="00D47E28">
            <w:pPr>
              <w:spacing w:after="0" w:line="240" w:lineRule="auto"/>
              <w:jc w:val="left"/>
              <w:rPr>
                <w:rFonts w:ascii="Calibri" w:eastAsia="Times New Roman" w:hAnsi="Calibri"/>
                <w:b/>
                <w:bCs/>
                <w:lang w:eastAsia="tr-TR"/>
              </w:rPr>
            </w:pPr>
            <w:r w:rsidRPr="00370F02">
              <w:rPr>
                <w:rFonts w:ascii="Calibri" w:eastAsia="Times New Roman" w:hAnsi="Calibri"/>
                <w:b/>
                <w:bCs/>
                <w:lang w:eastAsia="tr-TR"/>
              </w:rPr>
              <w:t xml:space="preserve">Jandarma Genel Komutanlığı </w:t>
            </w:r>
          </w:p>
        </w:tc>
        <w:tc>
          <w:tcPr>
            <w:tcW w:w="1332" w:type="pct"/>
            <w:shd w:val="clear" w:color="auto" w:fill="auto"/>
            <w:hideMark/>
          </w:tcPr>
          <w:p w14:paraId="097930A9" w14:textId="77777777" w:rsidR="00D16262" w:rsidRPr="00370F02" w:rsidRDefault="00D16262" w:rsidP="00D47E28">
            <w:pPr>
              <w:spacing w:after="0" w:line="240" w:lineRule="auto"/>
              <w:jc w:val="right"/>
              <w:rPr>
                <w:rFonts w:ascii="Calibri" w:eastAsia="Times New Roman" w:hAnsi="Calibri"/>
                <w:lang w:eastAsia="tr-TR"/>
              </w:rPr>
            </w:pPr>
            <w:r w:rsidRPr="00370F02">
              <w:t>205.000.000</w:t>
            </w:r>
          </w:p>
        </w:tc>
        <w:tc>
          <w:tcPr>
            <w:tcW w:w="1481" w:type="pct"/>
            <w:shd w:val="clear" w:color="auto" w:fill="auto"/>
          </w:tcPr>
          <w:p w14:paraId="094C7DD8" w14:textId="77777777" w:rsidR="00D16262" w:rsidRPr="00370F02" w:rsidRDefault="00D16262" w:rsidP="00D47E28">
            <w:pPr>
              <w:spacing w:after="0" w:line="240" w:lineRule="auto"/>
              <w:jc w:val="right"/>
              <w:rPr>
                <w:rFonts w:ascii="Calibri" w:eastAsia="Times New Roman" w:hAnsi="Calibri"/>
                <w:lang w:eastAsia="tr-TR"/>
              </w:rPr>
            </w:pPr>
            <w:r w:rsidRPr="00370F02">
              <w:t>52.500.000</w:t>
            </w:r>
          </w:p>
        </w:tc>
      </w:tr>
      <w:tr w:rsidR="00D16262" w:rsidRPr="002048A7" w14:paraId="582A13C0" w14:textId="77777777" w:rsidTr="00D16262">
        <w:trPr>
          <w:trHeight w:val="330"/>
          <w:jc w:val="center"/>
        </w:trPr>
        <w:tc>
          <w:tcPr>
            <w:tcW w:w="2186" w:type="pct"/>
            <w:shd w:val="clear" w:color="auto" w:fill="auto"/>
            <w:vAlign w:val="center"/>
            <w:hideMark/>
          </w:tcPr>
          <w:p w14:paraId="3195FCCC" w14:textId="77777777" w:rsidR="00D16262" w:rsidRPr="00370F02" w:rsidRDefault="00D16262" w:rsidP="00D47E28">
            <w:pPr>
              <w:spacing w:after="0" w:line="240" w:lineRule="auto"/>
              <w:jc w:val="left"/>
              <w:rPr>
                <w:rFonts w:ascii="Calibri" w:eastAsia="Times New Roman" w:hAnsi="Calibri"/>
                <w:b/>
                <w:bCs/>
                <w:lang w:eastAsia="tr-TR"/>
              </w:rPr>
            </w:pPr>
            <w:r w:rsidRPr="00370F02">
              <w:rPr>
                <w:rFonts w:ascii="Calibri" w:eastAsia="Times New Roman" w:hAnsi="Calibri"/>
                <w:b/>
                <w:bCs/>
                <w:lang w:eastAsia="tr-TR"/>
              </w:rPr>
              <w:t xml:space="preserve">Emniyet Genel Müdürlüğü </w:t>
            </w:r>
          </w:p>
        </w:tc>
        <w:tc>
          <w:tcPr>
            <w:tcW w:w="1332" w:type="pct"/>
            <w:shd w:val="clear" w:color="auto" w:fill="auto"/>
            <w:hideMark/>
          </w:tcPr>
          <w:p w14:paraId="620FE8D0" w14:textId="77777777" w:rsidR="00D16262" w:rsidRPr="00370F02" w:rsidRDefault="00D16262" w:rsidP="00D47E28">
            <w:pPr>
              <w:spacing w:after="0" w:line="240" w:lineRule="auto"/>
              <w:jc w:val="right"/>
              <w:rPr>
                <w:rFonts w:ascii="Calibri" w:eastAsia="Times New Roman" w:hAnsi="Calibri"/>
                <w:lang w:eastAsia="tr-TR"/>
              </w:rPr>
            </w:pPr>
            <w:r w:rsidRPr="00370F02">
              <w:t>205.000.000</w:t>
            </w:r>
          </w:p>
        </w:tc>
        <w:tc>
          <w:tcPr>
            <w:tcW w:w="1481" w:type="pct"/>
            <w:shd w:val="clear" w:color="auto" w:fill="auto"/>
          </w:tcPr>
          <w:p w14:paraId="17635113" w14:textId="77777777" w:rsidR="00D16262" w:rsidRPr="00370F02" w:rsidRDefault="00D16262" w:rsidP="00D47E28">
            <w:pPr>
              <w:spacing w:after="0" w:line="240" w:lineRule="auto"/>
              <w:jc w:val="right"/>
              <w:rPr>
                <w:rFonts w:ascii="Calibri" w:eastAsia="Times New Roman" w:hAnsi="Calibri"/>
                <w:lang w:eastAsia="tr-TR"/>
              </w:rPr>
            </w:pPr>
            <w:r w:rsidRPr="00370F02">
              <w:t>52.500.000</w:t>
            </w:r>
          </w:p>
        </w:tc>
      </w:tr>
      <w:tr w:rsidR="00D16262" w:rsidRPr="002048A7" w14:paraId="0FB70FC7" w14:textId="77777777" w:rsidTr="00D16262">
        <w:trPr>
          <w:trHeight w:val="330"/>
          <w:jc w:val="center"/>
        </w:trPr>
        <w:tc>
          <w:tcPr>
            <w:tcW w:w="2186" w:type="pct"/>
            <w:shd w:val="clear" w:color="auto" w:fill="auto"/>
            <w:vAlign w:val="center"/>
            <w:hideMark/>
          </w:tcPr>
          <w:p w14:paraId="6144A263" w14:textId="77777777" w:rsidR="00D16262" w:rsidRPr="00370F02" w:rsidRDefault="00D16262" w:rsidP="00D47E28">
            <w:pPr>
              <w:spacing w:after="0" w:line="240" w:lineRule="auto"/>
              <w:jc w:val="left"/>
              <w:rPr>
                <w:rFonts w:ascii="Calibri" w:eastAsia="Times New Roman" w:hAnsi="Calibri"/>
                <w:b/>
                <w:bCs/>
                <w:lang w:eastAsia="tr-TR"/>
              </w:rPr>
            </w:pPr>
            <w:r w:rsidRPr="00370F02">
              <w:rPr>
                <w:rFonts w:ascii="Calibri" w:eastAsia="Times New Roman" w:hAnsi="Calibri"/>
                <w:b/>
                <w:bCs/>
                <w:lang w:eastAsia="tr-TR"/>
              </w:rPr>
              <w:t xml:space="preserve">Sahil Güvenlik Komutanlığı  </w:t>
            </w:r>
          </w:p>
        </w:tc>
        <w:tc>
          <w:tcPr>
            <w:tcW w:w="1332" w:type="pct"/>
            <w:shd w:val="clear" w:color="auto" w:fill="auto"/>
            <w:hideMark/>
          </w:tcPr>
          <w:p w14:paraId="2116908D" w14:textId="77777777" w:rsidR="00D16262" w:rsidRPr="00370F02" w:rsidRDefault="00D16262" w:rsidP="00D47E28">
            <w:pPr>
              <w:spacing w:after="0" w:line="240" w:lineRule="auto"/>
              <w:jc w:val="right"/>
              <w:rPr>
                <w:rFonts w:ascii="Calibri" w:eastAsia="Times New Roman" w:hAnsi="Calibri"/>
                <w:lang w:eastAsia="tr-TR"/>
              </w:rPr>
            </w:pPr>
            <w:r w:rsidRPr="00370F02">
              <w:t>40.500.000</w:t>
            </w:r>
          </w:p>
        </w:tc>
        <w:tc>
          <w:tcPr>
            <w:tcW w:w="1481" w:type="pct"/>
            <w:shd w:val="clear" w:color="auto" w:fill="auto"/>
          </w:tcPr>
          <w:p w14:paraId="79B429DE" w14:textId="77777777" w:rsidR="00D16262" w:rsidRPr="00370F02" w:rsidRDefault="00D16262" w:rsidP="00D47E28">
            <w:pPr>
              <w:spacing w:after="0" w:line="240" w:lineRule="auto"/>
              <w:jc w:val="right"/>
              <w:rPr>
                <w:rFonts w:ascii="Calibri" w:eastAsia="Times New Roman" w:hAnsi="Calibri"/>
                <w:lang w:eastAsia="tr-TR"/>
              </w:rPr>
            </w:pPr>
            <w:r w:rsidRPr="00370F02">
              <w:t>12.500.000</w:t>
            </w:r>
          </w:p>
        </w:tc>
      </w:tr>
      <w:tr w:rsidR="00D16262" w:rsidRPr="002048A7" w14:paraId="3FA17B49" w14:textId="77777777" w:rsidTr="00D16262">
        <w:trPr>
          <w:trHeight w:val="330"/>
          <w:jc w:val="center"/>
        </w:trPr>
        <w:tc>
          <w:tcPr>
            <w:tcW w:w="2186" w:type="pct"/>
            <w:shd w:val="clear" w:color="auto" w:fill="auto"/>
            <w:vAlign w:val="center"/>
            <w:hideMark/>
          </w:tcPr>
          <w:p w14:paraId="7CE50EF2" w14:textId="77777777" w:rsidR="00D16262" w:rsidRPr="00370F02" w:rsidRDefault="00D16262" w:rsidP="00D47E28">
            <w:pPr>
              <w:spacing w:after="0" w:line="240" w:lineRule="auto"/>
              <w:rPr>
                <w:rFonts w:ascii="Calibri" w:eastAsia="Times New Roman" w:hAnsi="Calibri"/>
                <w:b/>
                <w:bCs/>
                <w:lang w:eastAsia="tr-TR"/>
              </w:rPr>
            </w:pPr>
            <w:r w:rsidRPr="00370F02">
              <w:rPr>
                <w:rFonts w:ascii="Calibri" w:eastAsia="Times New Roman" w:hAnsi="Calibri"/>
                <w:b/>
                <w:bCs/>
                <w:lang w:eastAsia="tr-TR"/>
              </w:rPr>
              <w:t>Ticaret Bakanlığı</w:t>
            </w:r>
          </w:p>
        </w:tc>
        <w:tc>
          <w:tcPr>
            <w:tcW w:w="1332" w:type="pct"/>
            <w:shd w:val="clear" w:color="auto" w:fill="auto"/>
            <w:hideMark/>
          </w:tcPr>
          <w:p w14:paraId="7A7B48F4" w14:textId="77777777" w:rsidR="00D16262" w:rsidRPr="00370F02" w:rsidRDefault="00D16262" w:rsidP="00D47E28">
            <w:pPr>
              <w:spacing w:after="0" w:line="240" w:lineRule="auto"/>
              <w:jc w:val="right"/>
              <w:rPr>
                <w:rFonts w:ascii="Calibri" w:eastAsia="Times New Roman" w:hAnsi="Calibri"/>
                <w:lang w:eastAsia="tr-TR"/>
              </w:rPr>
            </w:pPr>
            <w:r w:rsidRPr="00370F02">
              <w:t>80.000.000</w:t>
            </w:r>
          </w:p>
        </w:tc>
        <w:tc>
          <w:tcPr>
            <w:tcW w:w="1481" w:type="pct"/>
            <w:shd w:val="clear" w:color="auto" w:fill="auto"/>
          </w:tcPr>
          <w:p w14:paraId="66AAC055" w14:textId="77777777" w:rsidR="00D16262" w:rsidRPr="00370F02" w:rsidRDefault="00D16262" w:rsidP="00D47E28">
            <w:pPr>
              <w:spacing w:after="0" w:line="240" w:lineRule="auto"/>
              <w:jc w:val="right"/>
              <w:rPr>
                <w:rFonts w:ascii="Calibri" w:eastAsia="Times New Roman" w:hAnsi="Calibri"/>
                <w:lang w:eastAsia="tr-TR"/>
              </w:rPr>
            </w:pPr>
            <w:r w:rsidRPr="00370F02">
              <w:t>15.000.000</w:t>
            </w:r>
          </w:p>
        </w:tc>
      </w:tr>
      <w:tr w:rsidR="00D16262" w:rsidRPr="002048A7" w14:paraId="128AAEFD" w14:textId="77777777" w:rsidTr="00D16262">
        <w:trPr>
          <w:trHeight w:val="330"/>
          <w:jc w:val="center"/>
        </w:trPr>
        <w:tc>
          <w:tcPr>
            <w:tcW w:w="2186" w:type="pct"/>
            <w:shd w:val="clear" w:color="auto" w:fill="auto"/>
            <w:vAlign w:val="center"/>
          </w:tcPr>
          <w:p w14:paraId="31036368" w14:textId="77777777" w:rsidR="00D16262" w:rsidRPr="00370F02" w:rsidRDefault="00D16262" w:rsidP="00D47E28">
            <w:pPr>
              <w:spacing w:after="0" w:line="240" w:lineRule="auto"/>
              <w:rPr>
                <w:rFonts w:ascii="Calibri" w:eastAsia="Times New Roman" w:hAnsi="Calibri"/>
                <w:b/>
                <w:bCs/>
                <w:lang w:eastAsia="tr-TR"/>
              </w:rPr>
            </w:pPr>
            <w:r w:rsidRPr="00370F02">
              <w:rPr>
                <w:rFonts w:ascii="Calibri" w:eastAsia="Times New Roman" w:hAnsi="Calibri"/>
                <w:b/>
                <w:bCs/>
                <w:lang w:eastAsia="tr-TR"/>
              </w:rPr>
              <w:t>ODTÜ-PAL</w:t>
            </w:r>
          </w:p>
        </w:tc>
        <w:tc>
          <w:tcPr>
            <w:tcW w:w="1332" w:type="pct"/>
            <w:shd w:val="clear" w:color="auto" w:fill="auto"/>
          </w:tcPr>
          <w:p w14:paraId="6A0955FC" w14:textId="77777777" w:rsidR="00D16262" w:rsidRPr="00370F02" w:rsidRDefault="00D16262" w:rsidP="00D47E28">
            <w:pPr>
              <w:spacing w:after="0" w:line="240" w:lineRule="auto"/>
              <w:jc w:val="right"/>
              <w:rPr>
                <w:rFonts w:ascii="Calibri" w:eastAsia="Times New Roman" w:hAnsi="Calibri"/>
                <w:lang w:eastAsia="tr-TR"/>
              </w:rPr>
            </w:pPr>
            <w:r w:rsidRPr="00370F02">
              <w:t>1.500.000</w:t>
            </w:r>
          </w:p>
        </w:tc>
        <w:tc>
          <w:tcPr>
            <w:tcW w:w="1481" w:type="pct"/>
            <w:shd w:val="clear" w:color="auto" w:fill="auto"/>
          </w:tcPr>
          <w:p w14:paraId="03349026" w14:textId="77777777" w:rsidR="00D16262" w:rsidRPr="00370F02" w:rsidRDefault="00D16262" w:rsidP="00D47E28">
            <w:pPr>
              <w:spacing w:after="0" w:line="240" w:lineRule="auto"/>
              <w:jc w:val="right"/>
              <w:rPr>
                <w:rFonts w:ascii="Calibri" w:eastAsia="Times New Roman" w:hAnsi="Calibri"/>
                <w:lang w:eastAsia="tr-TR"/>
              </w:rPr>
            </w:pPr>
            <w:r w:rsidRPr="00370F02">
              <w:t>2.250.000</w:t>
            </w:r>
          </w:p>
        </w:tc>
      </w:tr>
      <w:tr w:rsidR="00D16262" w:rsidRPr="002048A7" w14:paraId="312C97EB" w14:textId="77777777" w:rsidTr="00D16262">
        <w:trPr>
          <w:trHeight w:val="330"/>
          <w:jc w:val="center"/>
        </w:trPr>
        <w:tc>
          <w:tcPr>
            <w:tcW w:w="2186" w:type="pct"/>
            <w:shd w:val="clear" w:color="auto" w:fill="auto"/>
            <w:vAlign w:val="center"/>
            <w:hideMark/>
          </w:tcPr>
          <w:p w14:paraId="6D67E7B1" w14:textId="77777777" w:rsidR="00D16262" w:rsidRPr="00370F02" w:rsidRDefault="00D16262" w:rsidP="00D47E28">
            <w:pPr>
              <w:spacing w:after="0" w:line="240" w:lineRule="auto"/>
              <w:rPr>
                <w:rFonts w:ascii="Calibri" w:eastAsia="Times New Roman" w:hAnsi="Calibri"/>
                <w:b/>
                <w:bCs/>
                <w:lang w:eastAsia="tr-TR"/>
              </w:rPr>
            </w:pPr>
            <w:r w:rsidRPr="00370F02">
              <w:rPr>
                <w:rFonts w:ascii="Calibri" w:eastAsia="Times New Roman" w:hAnsi="Calibri"/>
                <w:b/>
                <w:bCs/>
                <w:lang w:eastAsia="tr-TR"/>
              </w:rPr>
              <w:t xml:space="preserve">TÜBİTAK </w:t>
            </w:r>
          </w:p>
        </w:tc>
        <w:tc>
          <w:tcPr>
            <w:tcW w:w="1332" w:type="pct"/>
            <w:shd w:val="clear" w:color="auto" w:fill="auto"/>
            <w:hideMark/>
          </w:tcPr>
          <w:p w14:paraId="46306298" w14:textId="77777777" w:rsidR="00D16262" w:rsidRPr="00370F02" w:rsidRDefault="00D16262" w:rsidP="00D47E28">
            <w:pPr>
              <w:spacing w:after="0" w:line="240" w:lineRule="auto"/>
              <w:jc w:val="right"/>
              <w:rPr>
                <w:rFonts w:ascii="Calibri" w:eastAsia="Times New Roman" w:hAnsi="Calibri"/>
                <w:lang w:eastAsia="tr-TR"/>
              </w:rPr>
            </w:pPr>
            <w:r w:rsidRPr="00370F02">
              <w:t>233.000.000</w:t>
            </w:r>
          </w:p>
        </w:tc>
        <w:tc>
          <w:tcPr>
            <w:tcW w:w="1481" w:type="pct"/>
            <w:shd w:val="clear" w:color="auto" w:fill="auto"/>
          </w:tcPr>
          <w:p w14:paraId="49432D45" w14:textId="77777777" w:rsidR="00D16262" w:rsidRPr="00370F02" w:rsidRDefault="00D16262" w:rsidP="00D47E28">
            <w:pPr>
              <w:spacing w:after="0" w:line="240" w:lineRule="auto"/>
              <w:jc w:val="right"/>
              <w:rPr>
                <w:rFonts w:ascii="Calibri" w:eastAsia="Times New Roman" w:hAnsi="Calibri"/>
                <w:lang w:eastAsia="tr-TR"/>
              </w:rPr>
            </w:pPr>
            <w:r w:rsidRPr="00370F02">
              <w:t>400.000.000</w:t>
            </w:r>
          </w:p>
        </w:tc>
      </w:tr>
      <w:tr w:rsidR="00D16262" w:rsidRPr="002048A7" w14:paraId="79AA8F1A" w14:textId="77777777" w:rsidTr="00D16262">
        <w:trPr>
          <w:trHeight w:val="330"/>
          <w:jc w:val="center"/>
        </w:trPr>
        <w:tc>
          <w:tcPr>
            <w:tcW w:w="2186" w:type="pct"/>
            <w:shd w:val="clear" w:color="auto" w:fill="auto"/>
            <w:vAlign w:val="center"/>
            <w:hideMark/>
          </w:tcPr>
          <w:p w14:paraId="16CCE2C6" w14:textId="77777777" w:rsidR="00D16262" w:rsidRPr="00370F02" w:rsidRDefault="00D16262" w:rsidP="00D47E28">
            <w:pPr>
              <w:spacing w:after="0" w:line="240" w:lineRule="auto"/>
              <w:rPr>
                <w:rFonts w:ascii="Calibri" w:eastAsia="Times New Roman" w:hAnsi="Calibri"/>
                <w:b/>
                <w:bCs/>
                <w:lang w:eastAsia="tr-TR"/>
              </w:rPr>
            </w:pPr>
            <w:r w:rsidRPr="00370F02">
              <w:rPr>
                <w:rFonts w:ascii="Calibri" w:eastAsia="Times New Roman" w:hAnsi="Calibri"/>
                <w:b/>
                <w:bCs/>
                <w:lang w:eastAsia="tr-TR"/>
              </w:rPr>
              <w:t xml:space="preserve">TOPLAM </w:t>
            </w:r>
          </w:p>
        </w:tc>
        <w:tc>
          <w:tcPr>
            <w:tcW w:w="1332" w:type="pct"/>
            <w:shd w:val="clear" w:color="auto" w:fill="auto"/>
            <w:hideMark/>
          </w:tcPr>
          <w:p w14:paraId="4D247595" w14:textId="77777777" w:rsidR="00D16262" w:rsidRPr="00370F02" w:rsidRDefault="00D16262" w:rsidP="00D47E28">
            <w:pPr>
              <w:spacing w:after="0" w:line="240" w:lineRule="auto"/>
              <w:jc w:val="right"/>
              <w:rPr>
                <w:rFonts w:ascii="Calibri" w:eastAsia="Times New Roman" w:hAnsi="Calibri"/>
                <w:b/>
                <w:lang w:eastAsia="tr-TR"/>
              </w:rPr>
            </w:pPr>
            <w:r w:rsidRPr="00370F02">
              <w:rPr>
                <w:b/>
              </w:rPr>
              <w:t>765.000.000</w:t>
            </w:r>
          </w:p>
        </w:tc>
        <w:tc>
          <w:tcPr>
            <w:tcW w:w="1481" w:type="pct"/>
            <w:shd w:val="clear" w:color="auto" w:fill="auto"/>
          </w:tcPr>
          <w:p w14:paraId="0ABFC30D" w14:textId="77777777" w:rsidR="00D16262" w:rsidRPr="00370F02" w:rsidRDefault="00D16262" w:rsidP="00D47E28">
            <w:pPr>
              <w:spacing w:after="0" w:line="240" w:lineRule="auto"/>
              <w:jc w:val="right"/>
              <w:rPr>
                <w:rFonts w:ascii="Calibri" w:eastAsia="Times New Roman" w:hAnsi="Calibri"/>
                <w:b/>
                <w:lang w:eastAsia="tr-TR"/>
              </w:rPr>
            </w:pPr>
            <w:r w:rsidRPr="00370F02">
              <w:rPr>
                <w:b/>
              </w:rPr>
              <w:t>534.750.000</w:t>
            </w:r>
          </w:p>
        </w:tc>
      </w:tr>
    </w:tbl>
    <w:p w14:paraId="1F40E04B" w14:textId="77777777" w:rsidR="00474AD0" w:rsidRPr="002048A7" w:rsidRDefault="00474AD0" w:rsidP="003D0DD5">
      <w:pPr>
        <w:spacing w:after="0"/>
      </w:pPr>
    </w:p>
    <w:p w14:paraId="16E95CDD" w14:textId="77777777" w:rsidR="00E476DD" w:rsidRPr="002048A7" w:rsidRDefault="00E476DD" w:rsidP="00E476DD">
      <w:pPr>
        <w:spacing w:after="0"/>
      </w:pPr>
      <w:r w:rsidRPr="002048A7">
        <w:t>Ayrıca lisans sahiplerinin 5015 sayılı Kanun ve ilgili mevzuata uygun faaliyet gösterip göstermedikleri de incelenmiştir.</w:t>
      </w:r>
    </w:p>
    <w:p w14:paraId="119C45EE" w14:textId="77777777" w:rsidR="00E476DD" w:rsidRPr="002048A7" w:rsidRDefault="00E476DD" w:rsidP="00E476DD">
      <w:pPr>
        <w:spacing w:after="0"/>
      </w:pPr>
    </w:p>
    <w:p w14:paraId="3333856B" w14:textId="51B24E2A" w:rsidR="00E476DD" w:rsidRPr="002048A7" w:rsidRDefault="00E476DD" w:rsidP="009D79C2">
      <w:r w:rsidRPr="002048A7">
        <w:t xml:space="preserve">Petrol piyasası denetimleri kapsamında ilgili lisans sahipleri tarafından piyasa faaliyetine konu edilen akaryakıtın yeterli şart ve seviyede ulusal marker içerip içermediğinin tespit edilmesi amacıyla Emniyet Genel Müdürlüğü, Ticaret Bakanlığı, Jandarma Genel Komutanlığı ve Sahil Güvenlik Komutanlığı personelinin katılımıyla yapılan denetimler kapsamında ulusal marker ölçüm sonucu geçersiz çıkan numuneler, TÜBİTAK, </w:t>
      </w:r>
      <w:r w:rsidR="00E42987" w:rsidRPr="002048A7">
        <w:t xml:space="preserve">EGE-PAL ve ODTÜ </w:t>
      </w:r>
      <w:r w:rsidR="00E42987" w:rsidRPr="002048A7">
        <w:lastRenderedPageBreak/>
        <w:t>PA</w:t>
      </w:r>
      <w:r w:rsidR="0089088E">
        <w:t>L</w:t>
      </w:r>
      <w:r w:rsidR="00E42987" w:rsidRPr="002048A7">
        <w:t>’a</w:t>
      </w:r>
      <w:r w:rsidRPr="002048A7">
        <w:t xml:space="preserve"> intikal ettirilmiştir. Söz konusu denetimler sonucunda standart dışı veya kaçak akaryakıt şüphesi ile alınan ve yapılan analizler neticesinde teknik düzenlemelere aykırı olduğu tespit edilen ve/veya UM ölçüm sonucu geçersiz çıkan tesislere ilişkin yasal işlemler gerçekleştirilmiştir.</w:t>
      </w:r>
    </w:p>
    <w:p w14:paraId="5A92180F" w14:textId="77777777" w:rsidR="00A448CA" w:rsidRPr="002048A7" w:rsidRDefault="00A448CA" w:rsidP="00A448CA">
      <w:pPr>
        <w:pStyle w:val="Balk5"/>
        <w:spacing w:after="240"/>
        <w:jc w:val="center"/>
        <w:rPr>
          <w:rStyle w:val="Gl"/>
          <w:color w:val="000000" w:themeColor="text1"/>
        </w:rPr>
      </w:pPr>
      <w:bookmarkStart w:id="312" w:name="_Toc195868837"/>
      <w:r w:rsidRPr="002048A7">
        <w:rPr>
          <w:rStyle w:val="Gl"/>
          <w:color w:val="000000" w:themeColor="text1"/>
        </w:rPr>
        <w:t>Tablo 6.</w:t>
      </w:r>
      <w:r>
        <w:rPr>
          <w:rStyle w:val="Gl"/>
          <w:color w:val="000000" w:themeColor="text1"/>
        </w:rPr>
        <w:t>3</w:t>
      </w:r>
      <w:r w:rsidRPr="002048A7">
        <w:rPr>
          <w:rStyle w:val="Gl"/>
          <w:color w:val="000000" w:themeColor="text1"/>
        </w:rPr>
        <w:t>: 202</w:t>
      </w:r>
      <w:r>
        <w:rPr>
          <w:rStyle w:val="Gl"/>
          <w:color w:val="000000" w:themeColor="text1"/>
        </w:rPr>
        <w:t>2</w:t>
      </w:r>
      <w:r w:rsidRPr="002048A7">
        <w:rPr>
          <w:rStyle w:val="Gl"/>
          <w:color w:val="000000" w:themeColor="text1"/>
        </w:rPr>
        <w:t>-202</w:t>
      </w:r>
      <w:r>
        <w:rPr>
          <w:rStyle w:val="Gl"/>
          <w:color w:val="000000" w:themeColor="text1"/>
        </w:rPr>
        <w:t>4</w:t>
      </w:r>
      <w:r w:rsidRPr="002048A7">
        <w:rPr>
          <w:rStyle w:val="Gl"/>
          <w:color w:val="000000" w:themeColor="text1"/>
        </w:rPr>
        <w:t xml:space="preserve"> Yılları Ulusal Marker Saha Cihazı (XP) Analiz Sonuçları Karşılaştırması</w:t>
      </w:r>
      <w:bookmarkEnd w:id="312"/>
    </w:p>
    <w:tbl>
      <w:tblPr>
        <w:tblW w:w="0" w:type="auto"/>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2106"/>
        <w:gridCol w:w="1139"/>
        <w:gridCol w:w="941"/>
        <w:gridCol w:w="757"/>
        <w:gridCol w:w="941"/>
        <w:gridCol w:w="1232"/>
        <w:gridCol w:w="757"/>
        <w:gridCol w:w="761"/>
        <w:gridCol w:w="1269"/>
      </w:tblGrid>
      <w:tr w:rsidR="00A448CA" w:rsidRPr="002048A7" w14:paraId="354B54B6" w14:textId="77777777" w:rsidTr="001173BD">
        <w:trPr>
          <w:trHeight w:val="340"/>
          <w:tblHeader/>
          <w:jc w:val="center"/>
        </w:trPr>
        <w:tc>
          <w:tcPr>
            <w:tcW w:w="0" w:type="auto"/>
            <w:vMerge w:val="restart"/>
            <w:shd w:val="clear" w:color="000000" w:fill="6E9ECA"/>
            <w:vAlign w:val="center"/>
            <w:hideMark/>
          </w:tcPr>
          <w:p w14:paraId="31B1EE83" w14:textId="77777777" w:rsidR="00A448CA" w:rsidRPr="002048A7" w:rsidRDefault="00A448CA" w:rsidP="001173BD">
            <w:pPr>
              <w:spacing w:after="0" w:line="240" w:lineRule="auto"/>
              <w:jc w:val="center"/>
              <w:rPr>
                <w:rFonts w:ascii="Calibri" w:eastAsia="Times New Roman" w:hAnsi="Calibri"/>
                <w:b/>
                <w:bCs/>
                <w:color w:val="FFFFFF"/>
                <w:szCs w:val="20"/>
                <w:lang w:eastAsia="tr-TR"/>
              </w:rPr>
            </w:pPr>
            <w:r w:rsidRPr="002048A7">
              <w:rPr>
                <w:rFonts w:ascii="Calibri" w:eastAsia="Times New Roman" w:hAnsi="Calibri"/>
                <w:b/>
                <w:bCs/>
                <w:color w:val="FFFFFF"/>
                <w:szCs w:val="20"/>
                <w:lang w:eastAsia="tr-TR"/>
              </w:rPr>
              <w:t>Ölçüm Sayıları</w:t>
            </w:r>
          </w:p>
        </w:tc>
        <w:tc>
          <w:tcPr>
            <w:tcW w:w="0" w:type="auto"/>
            <w:gridSpan w:val="2"/>
            <w:shd w:val="clear" w:color="000000" w:fill="6E9ECA"/>
            <w:noWrap/>
            <w:vAlign w:val="center"/>
            <w:hideMark/>
          </w:tcPr>
          <w:p w14:paraId="1217E31F" w14:textId="77777777" w:rsidR="00A448CA" w:rsidRPr="002048A7" w:rsidRDefault="00A448CA" w:rsidP="001173BD">
            <w:pPr>
              <w:spacing w:after="0" w:line="240" w:lineRule="auto"/>
              <w:jc w:val="center"/>
              <w:rPr>
                <w:rFonts w:ascii="Calibri" w:eastAsia="Times New Roman" w:hAnsi="Calibri"/>
                <w:b/>
                <w:bCs/>
                <w:color w:val="FFFFFF"/>
                <w:szCs w:val="20"/>
                <w:lang w:eastAsia="tr-TR"/>
              </w:rPr>
            </w:pPr>
            <w:r w:rsidRPr="002048A7">
              <w:rPr>
                <w:rFonts w:ascii="Calibri" w:eastAsia="Times New Roman" w:hAnsi="Calibri"/>
                <w:b/>
                <w:bCs/>
                <w:color w:val="FFFFFF"/>
                <w:szCs w:val="20"/>
                <w:lang w:eastAsia="tr-TR"/>
              </w:rPr>
              <w:t>202</w:t>
            </w:r>
            <w:r>
              <w:rPr>
                <w:rFonts w:ascii="Calibri" w:eastAsia="Times New Roman" w:hAnsi="Calibri"/>
                <w:b/>
                <w:bCs/>
                <w:color w:val="FFFFFF"/>
                <w:szCs w:val="20"/>
                <w:lang w:eastAsia="tr-TR"/>
              </w:rPr>
              <w:t>2</w:t>
            </w:r>
            <w:r w:rsidRPr="002048A7">
              <w:rPr>
                <w:rFonts w:ascii="Calibri" w:eastAsia="Times New Roman" w:hAnsi="Calibri"/>
                <w:b/>
                <w:bCs/>
                <w:color w:val="FFFFFF"/>
                <w:szCs w:val="20"/>
                <w:lang w:eastAsia="tr-TR"/>
              </w:rPr>
              <w:t xml:space="preserve"> Yılı</w:t>
            </w:r>
          </w:p>
        </w:tc>
        <w:tc>
          <w:tcPr>
            <w:tcW w:w="0" w:type="auto"/>
            <w:gridSpan w:val="2"/>
            <w:shd w:val="clear" w:color="000000" w:fill="6E9ECA"/>
            <w:noWrap/>
            <w:vAlign w:val="center"/>
            <w:hideMark/>
          </w:tcPr>
          <w:p w14:paraId="3970D356" w14:textId="77777777" w:rsidR="00A448CA" w:rsidRPr="002048A7" w:rsidRDefault="00A448CA" w:rsidP="001173BD">
            <w:pPr>
              <w:spacing w:after="0" w:line="240" w:lineRule="auto"/>
              <w:jc w:val="center"/>
              <w:rPr>
                <w:rFonts w:ascii="Calibri" w:eastAsia="Times New Roman" w:hAnsi="Calibri"/>
                <w:b/>
                <w:bCs/>
                <w:color w:val="FFFFFF"/>
                <w:szCs w:val="20"/>
                <w:lang w:eastAsia="tr-TR"/>
              </w:rPr>
            </w:pPr>
            <w:r w:rsidRPr="002048A7">
              <w:rPr>
                <w:rFonts w:ascii="Calibri" w:eastAsia="Times New Roman" w:hAnsi="Calibri"/>
                <w:b/>
                <w:bCs/>
                <w:color w:val="FFFFFF"/>
                <w:szCs w:val="20"/>
                <w:lang w:eastAsia="tr-TR"/>
              </w:rPr>
              <w:t>202</w:t>
            </w:r>
            <w:r>
              <w:rPr>
                <w:rFonts w:ascii="Calibri" w:eastAsia="Times New Roman" w:hAnsi="Calibri"/>
                <w:b/>
                <w:bCs/>
                <w:color w:val="FFFFFF"/>
                <w:szCs w:val="20"/>
                <w:lang w:eastAsia="tr-TR"/>
              </w:rPr>
              <w:t>3</w:t>
            </w:r>
            <w:r w:rsidRPr="002048A7">
              <w:rPr>
                <w:rFonts w:ascii="Calibri" w:eastAsia="Times New Roman" w:hAnsi="Calibri"/>
                <w:b/>
                <w:bCs/>
                <w:color w:val="FFFFFF"/>
                <w:szCs w:val="20"/>
                <w:lang w:eastAsia="tr-TR"/>
              </w:rPr>
              <w:t xml:space="preserve"> Yılı</w:t>
            </w:r>
          </w:p>
        </w:tc>
        <w:tc>
          <w:tcPr>
            <w:tcW w:w="0" w:type="auto"/>
            <w:shd w:val="clear" w:color="000000" w:fill="6E9ECA"/>
            <w:vAlign w:val="center"/>
            <w:hideMark/>
          </w:tcPr>
          <w:p w14:paraId="38685120" w14:textId="77777777" w:rsidR="00A448CA" w:rsidRPr="002048A7" w:rsidRDefault="00A448CA" w:rsidP="001173BD">
            <w:pPr>
              <w:spacing w:after="0" w:line="240" w:lineRule="auto"/>
              <w:jc w:val="center"/>
              <w:rPr>
                <w:rFonts w:ascii="Calibri" w:eastAsia="Times New Roman" w:hAnsi="Calibri"/>
                <w:b/>
                <w:bCs/>
                <w:color w:val="FFFFFF"/>
                <w:szCs w:val="20"/>
                <w:lang w:eastAsia="tr-TR"/>
              </w:rPr>
            </w:pPr>
            <w:r w:rsidRPr="002048A7">
              <w:rPr>
                <w:rFonts w:ascii="Calibri" w:eastAsia="Times New Roman" w:hAnsi="Calibri"/>
                <w:b/>
                <w:bCs/>
                <w:color w:val="FFFFFF"/>
                <w:szCs w:val="20"/>
                <w:lang w:eastAsia="tr-TR"/>
              </w:rPr>
              <w:t>Değişim (%)</w:t>
            </w:r>
          </w:p>
        </w:tc>
        <w:tc>
          <w:tcPr>
            <w:tcW w:w="1495" w:type="dxa"/>
            <w:gridSpan w:val="2"/>
            <w:shd w:val="clear" w:color="000000" w:fill="6E9ECA"/>
            <w:vAlign w:val="center"/>
            <w:hideMark/>
          </w:tcPr>
          <w:p w14:paraId="14FD0C06" w14:textId="77777777" w:rsidR="00A448CA" w:rsidRPr="002048A7" w:rsidRDefault="00A448CA" w:rsidP="001173BD">
            <w:pPr>
              <w:spacing w:after="0" w:line="240" w:lineRule="auto"/>
              <w:jc w:val="center"/>
              <w:rPr>
                <w:rFonts w:ascii="Calibri" w:eastAsia="Times New Roman" w:hAnsi="Calibri"/>
                <w:b/>
                <w:bCs/>
                <w:color w:val="FFFFFF"/>
                <w:szCs w:val="20"/>
                <w:lang w:eastAsia="tr-TR"/>
              </w:rPr>
            </w:pPr>
            <w:r w:rsidRPr="002048A7">
              <w:rPr>
                <w:rFonts w:ascii="Calibri" w:eastAsia="Times New Roman" w:hAnsi="Calibri"/>
                <w:b/>
                <w:bCs/>
                <w:color w:val="FFFFFF"/>
                <w:szCs w:val="20"/>
                <w:lang w:eastAsia="tr-TR"/>
              </w:rPr>
              <w:t>202</w:t>
            </w:r>
            <w:r>
              <w:rPr>
                <w:rFonts w:ascii="Calibri" w:eastAsia="Times New Roman" w:hAnsi="Calibri"/>
                <w:b/>
                <w:bCs/>
                <w:color w:val="FFFFFF"/>
                <w:szCs w:val="20"/>
                <w:lang w:eastAsia="tr-TR"/>
              </w:rPr>
              <w:t>4</w:t>
            </w:r>
            <w:r w:rsidRPr="002048A7">
              <w:rPr>
                <w:rFonts w:ascii="Calibri" w:eastAsia="Times New Roman" w:hAnsi="Calibri"/>
                <w:b/>
                <w:bCs/>
                <w:color w:val="FFFFFF"/>
                <w:szCs w:val="20"/>
                <w:lang w:eastAsia="tr-TR"/>
              </w:rPr>
              <w:t xml:space="preserve"> Yılı</w:t>
            </w:r>
          </w:p>
        </w:tc>
        <w:tc>
          <w:tcPr>
            <w:tcW w:w="1269" w:type="dxa"/>
            <w:shd w:val="clear" w:color="000000" w:fill="6E9ECA"/>
            <w:vAlign w:val="center"/>
            <w:hideMark/>
          </w:tcPr>
          <w:p w14:paraId="4AC2FC06" w14:textId="77777777" w:rsidR="00A448CA" w:rsidRPr="002048A7" w:rsidRDefault="00A448CA" w:rsidP="001173BD">
            <w:pPr>
              <w:spacing w:after="0" w:line="240" w:lineRule="auto"/>
              <w:jc w:val="center"/>
              <w:rPr>
                <w:rFonts w:ascii="Calibri" w:eastAsia="Times New Roman" w:hAnsi="Calibri"/>
                <w:b/>
                <w:bCs/>
                <w:color w:val="FFFFFF"/>
                <w:szCs w:val="20"/>
                <w:lang w:eastAsia="tr-TR"/>
              </w:rPr>
            </w:pPr>
            <w:r w:rsidRPr="002048A7">
              <w:rPr>
                <w:rFonts w:ascii="Calibri" w:eastAsia="Times New Roman" w:hAnsi="Calibri"/>
                <w:b/>
                <w:bCs/>
                <w:color w:val="FFFFFF"/>
                <w:szCs w:val="20"/>
                <w:lang w:eastAsia="tr-TR"/>
              </w:rPr>
              <w:t>Değişim (%)</w:t>
            </w:r>
          </w:p>
        </w:tc>
      </w:tr>
      <w:tr w:rsidR="00A448CA" w:rsidRPr="002048A7" w14:paraId="2AEA8C9A" w14:textId="77777777" w:rsidTr="001173BD">
        <w:trPr>
          <w:trHeight w:val="340"/>
          <w:tblHeader/>
          <w:jc w:val="center"/>
        </w:trPr>
        <w:tc>
          <w:tcPr>
            <w:tcW w:w="0" w:type="auto"/>
            <w:vMerge/>
            <w:vAlign w:val="center"/>
            <w:hideMark/>
          </w:tcPr>
          <w:p w14:paraId="25FD9E7D" w14:textId="77777777" w:rsidR="00A448CA" w:rsidRPr="002048A7" w:rsidRDefault="00A448CA" w:rsidP="001173BD">
            <w:pPr>
              <w:spacing w:after="0" w:line="240" w:lineRule="auto"/>
              <w:rPr>
                <w:rFonts w:ascii="Calibri" w:eastAsia="Times New Roman" w:hAnsi="Calibri"/>
                <w:b/>
                <w:bCs/>
                <w:color w:val="FFFFFF"/>
                <w:szCs w:val="20"/>
                <w:lang w:eastAsia="tr-TR"/>
              </w:rPr>
            </w:pPr>
          </w:p>
        </w:tc>
        <w:tc>
          <w:tcPr>
            <w:tcW w:w="0" w:type="auto"/>
            <w:shd w:val="clear" w:color="000000" w:fill="6E9ECA"/>
            <w:vAlign w:val="center"/>
            <w:hideMark/>
          </w:tcPr>
          <w:p w14:paraId="0DB5E91F" w14:textId="77777777" w:rsidR="00A448CA" w:rsidRPr="002048A7" w:rsidRDefault="00A448CA" w:rsidP="001173BD">
            <w:pPr>
              <w:spacing w:after="0" w:line="240" w:lineRule="auto"/>
              <w:jc w:val="center"/>
              <w:rPr>
                <w:rFonts w:ascii="Calibri" w:eastAsia="Times New Roman" w:hAnsi="Calibri"/>
                <w:b/>
                <w:bCs/>
                <w:color w:val="FFFFFF"/>
                <w:szCs w:val="20"/>
                <w:lang w:eastAsia="tr-TR"/>
              </w:rPr>
            </w:pPr>
            <w:r w:rsidRPr="002048A7">
              <w:rPr>
                <w:rFonts w:ascii="Calibri" w:eastAsia="Times New Roman" w:hAnsi="Calibri"/>
                <w:b/>
                <w:bCs/>
                <w:color w:val="FFFFFF"/>
                <w:szCs w:val="20"/>
                <w:lang w:eastAsia="tr-TR"/>
              </w:rPr>
              <w:t>Adet</w:t>
            </w:r>
          </w:p>
        </w:tc>
        <w:tc>
          <w:tcPr>
            <w:tcW w:w="0" w:type="auto"/>
            <w:shd w:val="clear" w:color="000000" w:fill="6E9ECA"/>
            <w:vAlign w:val="center"/>
            <w:hideMark/>
          </w:tcPr>
          <w:p w14:paraId="16BCF739" w14:textId="77777777" w:rsidR="00A448CA" w:rsidRPr="002048A7" w:rsidRDefault="00A448CA" w:rsidP="001173BD">
            <w:pPr>
              <w:spacing w:after="0" w:line="240" w:lineRule="auto"/>
              <w:jc w:val="center"/>
              <w:rPr>
                <w:rFonts w:ascii="Calibri" w:eastAsia="Times New Roman" w:hAnsi="Calibri"/>
                <w:b/>
                <w:bCs/>
                <w:color w:val="FFFFFF"/>
                <w:szCs w:val="20"/>
                <w:lang w:eastAsia="tr-TR"/>
              </w:rPr>
            </w:pPr>
            <w:r w:rsidRPr="002048A7">
              <w:rPr>
                <w:rFonts w:ascii="Calibri" w:eastAsia="Times New Roman" w:hAnsi="Calibri"/>
                <w:b/>
                <w:bCs/>
                <w:color w:val="FFFFFF"/>
                <w:szCs w:val="20"/>
                <w:lang w:eastAsia="tr-TR"/>
              </w:rPr>
              <w:t>Oran (%)</w:t>
            </w:r>
          </w:p>
        </w:tc>
        <w:tc>
          <w:tcPr>
            <w:tcW w:w="0" w:type="auto"/>
            <w:shd w:val="clear" w:color="000000" w:fill="6E9ECA"/>
            <w:vAlign w:val="center"/>
            <w:hideMark/>
          </w:tcPr>
          <w:p w14:paraId="6A64F895" w14:textId="77777777" w:rsidR="00A448CA" w:rsidRPr="002048A7" w:rsidRDefault="00A448CA" w:rsidP="001173BD">
            <w:pPr>
              <w:spacing w:after="0" w:line="240" w:lineRule="auto"/>
              <w:jc w:val="center"/>
              <w:rPr>
                <w:rFonts w:ascii="Calibri" w:eastAsia="Times New Roman" w:hAnsi="Calibri"/>
                <w:b/>
                <w:bCs/>
                <w:color w:val="FFFFFF"/>
                <w:szCs w:val="20"/>
                <w:lang w:eastAsia="tr-TR"/>
              </w:rPr>
            </w:pPr>
            <w:r w:rsidRPr="002048A7">
              <w:rPr>
                <w:rFonts w:ascii="Calibri" w:eastAsia="Times New Roman" w:hAnsi="Calibri"/>
                <w:b/>
                <w:bCs/>
                <w:color w:val="FFFFFF"/>
                <w:szCs w:val="20"/>
                <w:lang w:eastAsia="tr-TR"/>
              </w:rPr>
              <w:t>Adet</w:t>
            </w:r>
          </w:p>
        </w:tc>
        <w:tc>
          <w:tcPr>
            <w:tcW w:w="0" w:type="auto"/>
            <w:shd w:val="clear" w:color="000000" w:fill="6E9ECA"/>
            <w:vAlign w:val="center"/>
            <w:hideMark/>
          </w:tcPr>
          <w:p w14:paraId="3EA152C8" w14:textId="77777777" w:rsidR="00A448CA" w:rsidRPr="002048A7" w:rsidRDefault="00A448CA" w:rsidP="001173BD">
            <w:pPr>
              <w:spacing w:after="0" w:line="240" w:lineRule="auto"/>
              <w:jc w:val="center"/>
              <w:rPr>
                <w:rFonts w:ascii="Calibri" w:eastAsia="Times New Roman" w:hAnsi="Calibri"/>
                <w:b/>
                <w:bCs/>
                <w:color w:val="FFFFFF"/>
                <w:szCs w:val="20"/>
                <w:lang w:eastAsia="tr-TR"/>
              </w:rPr>
            </w:pPr>
            <w:r w:rsidRPr="002048A7">
              <w:rPr>
                <w:rFonts w:ascii="Calibri" w:eastAsia="Times New Roman" w:hAnsi="Calibri"/>
                <w:b/>
                <w:bCs/>
                <w:color w:val="FFFFFF"/>
                <w:szCs w:val="20"/>
                <w:lang w:eastAsia="tr-TR"/>
              </w:rPr>
              <w:t>Oran (%)</w:t>
            </w:r>
          </w:p>
        </w:tc>
        <w:tc>
          <w:tcPr>
            <w:tcW w:w="0" w:type="auto"/>
            <w:shd w:val="clear" w:color="000000" w:fill="6E9ECA"/>
            <w:vAlign w:val="center"/>
            <w:hideMark/>
          </w:tcPr>
          <w:p w14:paraId="4DF196A6" w14:textId="77777777" w:rsidR="00A448CA" w:rsidRPr="002048A7" w:rsidRDefault="00A448CA" w:rsidP="001173BD">
            <w:pPr>
              <w:spacing w:after="0" w:line="240" w:lineRule="auto"/>
              <w:jc w:val="center"/>
              <w:rPr>
                <w:rFonts w:ascii="Calibri" w:eastAsia="Times New Roman" w:hAnsi="Calibri"/>
                <w:b/>
                <w:bCs/>
                <w:color w:val="FFFFFF"/>
                <w:szCs w:val="20"/>
                <w:lang w:eastAsia="tr-TR"/>
              </w:rPr>
            </w:pPr>
            <w:r w:rsidRPr="002048A7">
              <w:rPr>
                <w:rFonts w:ascii="Calibri" w:eastAsia="Times New Roman" w:hAnsi="Calibri"/>
                <w:b/>
                <w:bCs/>
                <w:color w:val="FFFFFF"/>
                <w:szCs w:val="20"/>
                <w:lang w:eastAsia="tr-TR"/>
              </w:rPr>
              <w:t>202</w:t>
            </w:r>
            <w:r>
              <w:rPr>
                <w:rFonts w:ascii="Calibri" w:eastAsia="Times New Roman" w:hAnsi="Calibri"/>
                <w:b/>
                <w:bCs/>
                <w:color w:val="FFFFFF"/>
                <w:szCs w:val="20"/>
                <w:lang w:eastAsia="tr-TR"/>
              </w:rPr>
              <w:t>2</w:t>
            </w:r>
            <w:r w:rsidRPr="002048A7">
              <w:rPr>
                <w:rFonts w:ascii="Calibri" w:eastAsia="Times New Roman" w:hAnsi="Calibri"/>
                <w:b/>
                <w:bCs/>
                <w:color w:val="FFFFFF"/>
                <w:szCs w:val="20"/>
                <w:lang w:eastAsia="tr-TR"/>
              </w:rPr>
              <w:t>→202</w:t>
            </w:r>
            <w:r>
              <w:rPr>
                <w:rFonts w:ascii="Calibri" w:eastAsia="Times New Roman" w:hAnsi="Calibri"/>
                <w:b/>
                <w:bCs/>
                <w:color w:val="FFFFFF"/>
                <w:szCs w:val="20"/>
                <w:lang w:eastAsia="tr-TR"/>
              </w:rPr>
              <w:t>3</w:t>
            </w:r>
          </w:p>
        </w:tc>
        <w:tc>
          <w:tcPr>
            <w:tcW w:w="0" w:type="auto"/>
            <w:shd w:val="clear" w:color="000000" w:fill="6E9ECA"/>
            <w:vAlign w:val="center"/>
            <w:hideMark/>
          </w:tcPr>
          <w:p w14:paraId="482D4FE5" w14:textId="77777777" w:rsidR="00A448CA" w:rsidRPr="002048A7" w:rsidRDefault="00A448CA" w:rsidP="001173BD">
            <w:pPr>
              <w:spacing w:after="0" w:line="240" w:lineRule="auto"/>
              <w:jc w:val="center"/>
              <w:rPr>
                <w:rFonts w:ascii="Calibri" w:eastAsia="Times New Roman" w:hAnsi="Calibri"/>
                <w:b/>
                <w:bCs/>
                <w:color w:val="FFFFFF"/>
                <w:szCs w:val="20"/>
                <w:lang w:eastAsia="tr-TR"/>
              </w:rPr>
            </w:pPr>
            <w:r w:rsidRPr="002048A7">
              <w:rPr>
                <w:rFonts w:ascii="Calibri" w:eastAsia="Times New Roman" w:hAnsi="Calibri"/>
                <w:b/>
                <w:bCs/>
                <w:color w:val="FFFFFF"/>
                <w:szCs w:val="20"/>
                <w:lang w:eastAsia="tr-TR"/>
              </w:rPr>
              <w:t>Adet</w:t>
            </w:r>
          </w:p>
        </w:tc>
        <w:tc>
          <w:tcPr>
            <w:tcW w:w="761" w:type="dxa"/>
            <w:shd w:val="clear" w:color="000000" w:fill="6E9ECA"/>
            <w:vAlign w:val="center"/>
            <w:hideMark/>
          </w:tcPr>
          <w:p w14:paraId="0D5EEC1F" w14:textId="77777777" w:rsidR="00A448CA" w:rsidRPr="002048A7" w:rsidRDefault="00A448CA" w:rsidP="001173BD">
            <w:pPr>
              <w:spacing w:after="0" w:line="240" w:lineRule="auto"/>
              <w:jc w:val="center"/>
              <w:rPr>
                <w:rFonts w:ascii="Calibri" w:eastAsia="Times New Roman" w:hAnsi="Calibri"/>
                <w:b/>
                <w:bCs/>
                <w:color w:val="FFFFFF"/>
                <w:szCs w:val="20"/>
                <w:lang w:eastAsia="tr-TR"/>
              </w:rPr>
            </w:pPr>
            <w:r w:rsidRPr="002048A7">
              <w:rPr>
                <w:rFonts w:ascii="Calibri" w:eastAsia="Times New Roman" w:hAnsi="Calibri"/>
                <w:b/>
                <w:bCs/>
                <w:color w:val="FFFFFF"/>
                <w:szCs w:val="20"/>
                <w:lang w:eastAsia="tr-TR"/>
              </w:rPr>
              <w:t>Oran (%)</w:t>
            </w:r>
          </w:p>
        </w:tc>
        <w:tc>
          <w:tcPr>
            <w:tcW w:w="1269" w:type="dxa"/>
            <w:shd w:val="clear" w:color="000000" w:fill="6E9ECA"/>
            <w:vAlign w:val="center"/>
            <w:hideMark/>
          </w:tcPr>
          <w:p w14:paraId="0D951245" w14:textId="77777777" w:rsidR="00A448CA" w:rsidRPr="002048A7" w:rsidRDefault="00A448CA" w:rsidP="001173BD">
            <w:pPr>
              <w:spacing w:after="0" w:line="240" w:lineRule="auto"/>
              <w:jc w:val="center"/>
              <w:rPr>
                <w:rFonts w:ascii="Calibri" w:eastAsia="Times New Roman" w:hAnsi="Calibri"/>
                <w:b/>
                <w:bCs/>
                <w:color w:val="FFFFFF"/>
                <w:szCs w:val="20"/>
                <w:lang w:eastAsia="tr-TR"/>
              </w:rPr>
            </w:pPr>
            <w:r w:rsidRPr="002048A7">
              <w:rPr>
                <w:rFonts w:ascii="Calibri" w:eastAsia="Times New Roman" w:hAnsi="Calibri"/>
                <w:b/>
                <w:bCs/>
                <w:color w:val="FFFFFF"/>
                <w:szCs w:val="20"/>
                <w:lang w:eastAsia="tr-TR"/>
              </w:rPr>
              <w:t>202</w:t>
            </w:r>
            <w:r>
              <w:rPr>
                <w:rFonts w:ascii="Calibri" w:eastAsia="Times New Roman" w:hAnsi="Calibri"/>
                <w:b/>
                <w:bCs/>
                <w:color w:val="FFFFFF"/>
                <w:szCs w:val="20"/>
                <w:lang w:eastAsia="tr-TR"/>
              </w:rPr>
              <w:t>3</w:t>
            </w:r>
            <w:r w:rsidRPr="002048A7">
              <w:rPr>
                <w:rFonts w:ascii="Calibri" w:eastAsia="Times New Roman" w:hAnsi="Calibri"/>
                <w:b/>
                <w:bCs/>
                <w:color w:val="FFFFFF"/>
                <w:szCs w:val="20"/>
                <w:lang w:eastAsia="tr-TR"/>
              </w:rPr>
              <w:t>→202</w:t>
            </w:r>
            <w:r>
              <w:rPr>
                <w:rFonts w:ascii="Calibri" w:eastAsia="Times New Roman" w:hAnsi="Calibri"/>
                <w:b/>
                <w:bCs/>
                <w:color w:val="FFFFFF"/>
                <w:szCs w:val="20"/>
                <w:lang w:eastAsia="tr-TR"/>
              </w:rPr>
              <w:t>4</w:t>
            </w:r>
          </w:p>
        </w:tc>
      </w:tr>
      <w:tr w:rsidR="00A448CA" w:rsidRPr="002048A7" w14:paraId="1001BD9E" w14:textId="77777777" w:rsidTr="001173BD">
        <w:trPr>
          <w:trHeight w:val="340"/>
          <w:jc w:val="center"/>
        </w:trPr>
        <w:tc>
          <w:tcPr>
            <w:tcW w:w="0" w:type="auto"/>
            <w:shd w:val="clear" w:color="auto" w:fill="auto"/>
            <w:vAlign w:val="center"/>
            <w:hideMark/>
          </w:tcPr>
          <w:p w14:paraId="0320B7E1" w14:textId="77777777" w:rsidR="00A448CA" w:rsidRPr="002048A7" w:rsidRDefault="00A448CA" w:rsidP="001173BD">
            <w:pPr>
              <w:spacing w:after="0" w:line="240" w:lineRule="auto"/>
              <w:jc w:val="left"/>
              <w:rPr>
                <w:rFonts w:ascii="Calibri" w:eastAsia="Times New Roman" w:hAnsi="Calibri"/>
                <w:b/>
                <w:bCs/>
                <w:color w:val="000000"/>
                <w:szCs w:val="20"/>
                <w:lang w:eastAsia="tr-TR"/>
              </w:rPr>
            </w:pPr>
            <w:r w:rsidRPr="002048A7">
              <w:rPr>
                <w:rFonts w:ascii="Calibri" w:eastAsia="Times New Roman" w:hAnsi="Calibri"/>
                <w:b/>
                <w:bCs/>
                <w:color w:val="000000"/>
                <w:szCs w:val="20"/>
                <w:lang w:eastAsia="tr-TR"/>
              </w:rPr>
              <w:t>Geçerli Ölçüm Sayısı</w:t>
            </w:r>
          </w:p>
        </w:tc>
        <w:tc>
          <w:tcPr>
            <w:tcW w:w="0" w:type="auto"/>
            <w:shd w:val="clear" w:color="auto" w:fill="auto"/>
            <w:vAlign w:val="center"/>
            <w:hideMark/>
          </w:tcPr>
          <w:p w14:paraId="193AF49A" w14:textId="77777777" w:rsidR="00A448CA" w:rsidRPr="002048A7" w:rsidRDefault="00A448CA" w:rsidP="001173BD">
            <w:pPr>
              <w:spacing w:after="0" w:line="240" w:lineRule="auto"/>
              <w:jc w:val="right"/>
              <w:rPr>
                <w:rFonts w:ascii="Calibri" w:eastAsia="Times New Roman" w:hAnsi="Calibri"/>
                <w:color w:val="000000"/>
                <w:szCs w:val="20"/>
                <w:lang w:eastAsia="tr-TR"/>
              </w:rPr>
            </w:pPr>
            <w:r>
              <w:rPr>
                <w:rFonts w:ascii="Calibri" w:eastAsia="Times New Roman" w:hAnsi="Calibri"/>
                <w:color w:val="000000"/>
                <w:szCs w:val="20"/>
                <w:lang w:eastAsia="tr-TR"/>
              </w:rPr>
              <w:t>93.551</w:t>
            </w:r>
          </w:p>
        </w:tc>
        <w:tc>
          <w:tcPr>
            <w:tcW w:w="0" w:type="auto"/>
            <w:shd w:val="clear" w:color="auto" w:fill="auto"/>
            <w:vAlign w:val="center"/>
            <w:hideMark/>
          </w:tcPr>
          <w:p w14:paraId="05C684D4" w14:textId="77777777" w:rsidR="00A448CA" w:rsidRPr="002048A7" w:rsidRDefault="00A448CA" w:rsidP="001173BD">
            <w:pPr>
              <w:spacing w:after="0" w:line="240" w:lineRule="auto"/>
              <w:jc w:val="center"/>
              <w:rPr>
                <w:rFonts w:ascii="Calibri" w:eastAsia="Times New Roman" w:hAnsi="Calibri"/>
                <w:color w:val="000000"/>
                <w:szCs w:val="20"/>
                <w:lang w:eastAsia="tr-TR"/>
              </w:rPr>
            </w:pPr>
            <w:r>
              <w:rPr>
                <w:rFonts w:ascii="Calibri" w:eastAsia="Times New Roman" w:hAnsi="Calibri"/>
                <w:color w:val="000000"/>
                <w:szCs w:val="20"/>
                <w:lang w:eastAsia="tr-TR"/>
              </w:rPr>
              <w:t>98,74</w:t>
            </w:r>
          </w:p>
        </w:tc>
        <w:tc>
          <w:tcPr>
            <w:tcW w:w="0" w:type="auto"/>
            <w:shd w:val="clear" w:color="auto" w:fill="auto"/>
            <w:vAlign w:val="center"/>
          </w:tcPr>
          <w:p w14:paraId="2BE26B12" w14:textId="77777777" w:rsidR="00A448CA" w:rsidRPr="002048A7" w:rsidRDefault="00A448CA" w:rsidP="001173BD">
            <w:pPr>
              <w:spacing w:after="0" w:line="240" w:lineRule="auto"/>
              <w:jc w:val="right"/>
              <w:rPr>
                <w:rFonts w:ascii="Calibri" w:eastAsia="Times New Roman" w:hAnsi="Calibri"/>
                <w:color w:val="000000"/>
                <w:szCs w:val="20"/>
                <w:lang w:eastAsia="tr-TR"/>
              </w:rPr>
            </w:pPr>
            <w:r>
              <w:rPr>
                <w:rFonts w:ascii="Calibri" w:eastAsia="Times New Roman" w:hAnsi="Calibri"/>
                <w:color w:val="000000"/>
                <w:szCs w:val="20"/>
                <w:lang w:eastAsia="tr-TR"/>
              </w:rPr>
              <w:t>83.144</w:t>
            </w:r>
          </w:p>
        </w:tc>
        <w:tc>
          <w:tcPr>
            <w:tcW w:w="0" w:type="auto"/>
            <w:shd w:val="clear" w:color="auto" w:fill="auto"/>
            <w:noWrap/>
            <w:vAlign w:val="center"/>
          </w:tcPr>
          <w:p w14:paraId="283251E7" w14:textId="77777777" w:rsidR="00A448CA" w:rsidRPr="002048A7" w:rsidRDefault="00A448CA" w:rsidP="001173BD">
            <w:pPr>
              <w:spacing w:after="0" w:line="240" w:lineRule="auto"/>
              <w:jc w:val="center"/>
              <w:rPr>
                <w:rFonts w:ascii="Calibri" w:eastAsia="Times New Roman" w:hAnsi="Calibri"/>
                <w:color w:val="000000"/>
                <w:szCs w:val="20"/>
                <w:lang w:eastAsia="tr-TR"/>
              </w:rPr>
            </w:pPr>
            <w:r>
              <w:rPr>
                <w:rFonts w:ascii="Calibri" w:eastAsia="Times New Roman" w:hAnsi="Calibri"/>
                <w:color w:val="000000"/>
                <w:szCs w:val="20"/>
                <w:lang w:eastAsia="tr-TR"/>
              </w:rPr>
              <w:t>97,13</w:t>
            </w:r>
            <w:r w:rsidRPr="002048A7">
              <w:rPr>
                <w:rFonts w:ascii="Calibri" w:eastAsia="Times New Roman" w:hAnsi="Calibri"/>
                <w:color w:val="000000"/>
                <w:szCs w:val="20"/>
                <w:lang w:eastAsia="tr-TR"/>
              </w:rPr>
              <w:t xml:space="preserve"> </w:t>
            </w:r>
          </w:p>
        </w:tc>
        <w:tc>
          <w:tcPr>
            <w:tcW w:w="0" w:type="auto"/>
            <w:shd w:val="clear" w:color="auto" w:fill="auto"/>
            <w:noWrap/>
            <w:vAlign w:val="center"/>
            <w:hideMark/>
          </w:tcPr>
          <w:p w14:paraId="2D7CE5E2" w14:textId="77777777" w:rsidR="00A448CA" w:rsidRPr="002048A7" w:rsidRDefault="00A448CA" w:rsidP="001173BD">
            <w:pPr>
              <w:spacing w:after="0" w:line="240" w:lineRule="auto"/>
              <w:jc w:val="center"/>
              <w:rPr>
                <w:rFonts w:ascii="Calibri" w:eastAsia="Times New Roman" w:hAnsi="Calibri"/>
                <w:color w:val="000000"/>
                <w:szCs w:val="20"/>
                <w:lang w:eastAsia="tr-TR"/>
              </w:rPr>
            </w:pPr>
            <w:r>
              <w:rPr>
                <w:rFonts w:ascii="Calibri" w:eastAsia="Times New Roman" w:hAnsi="Calibri"/>
                <w:color w:val="000000"/>
                <w:szCs w:val="20"/>
                <w:lang w:eastAsia="tr-TR"/>
              </w:rPr>
              <w:t>-11,12</w:t>
            </w:r>
          </w:p>
        </w:tc>
        <w:tc>
          <w:tcPr>
            <w:tcW w:w="0" w:type="auto"/>
            <w:shd w:val="clear" w:color="auto" w:fill="auto"/>
            <w:vAlign w:val="center"/>
          </w:tcPr>
          <w:p w14:paraId="2B8BD636" w14:textId="77777777" w:rsidR="00A448CA" w:rsidRPr="002048A7" w:rsidRDefault="00A448CA" w:rsidP="001173BD">
            <w:pPr>
              <w:spacing w:after="0" w:line="240" w:lineRule="auto"/>
              <w:jc w:val="right"/>
              <w:rPr>
                <w:rFonts w:ascii="Calibri" w:eastAsia="Times New Roman" w:hAnsi="Calibri"/>
                <w:color w:val="000000"/>
                <w:szCs w:val="20"/>
                <w:lang w:eastAsia="tr-TR"/>
              </w:rPr>
            </w:pPr>
            <w:r>
              <w:rPr>
                <w:rFonts w:ascii="Calibri" w:eastAsia="Times New Roman" w:hAnsi="Calibri"/>
                <w:color w:val="000000"/>
                <w:szCs w:val="20"/>
                <w:lang w:eastAsia="tr-TR"/>
              </w:rPr>
              <w:t>83.160</w:t>
            </w:r>
          </w:p>
        </w:tc>
        <w:tc>
          <w:tcPr>
            <w:tcW w:w="761" w:type="dxa"/>
            <w:shd w:val="clear" w:color="auto" w:fill="auto"/>
            <w:vAlign w:val="center"/>
          </w:tcPr>
          <w:p w14:paraId="2EA5978E" w14:textId="77777777" w:rsidR="00A448CA" w:rsidRPr="002048A7" w:rsidRDefault="00A448CA" w:rsidP="001173BD">
            <w:pPr>
              <w:spacing w:after="0" w:line="240" w:lineRule="auto"/>
              <w:jc w:val="center"/>
              <w:rPr>
                <w:rFonts w:ascii="Calibri" w:eastAsia="Times New Roman" w:hAnsi="Calibri"/>
                <w:color w:val="000000"/>
                <w:szCs w:val="20"/>
                <w:lang w:eastAsia="tr-TR"/>
              </w:rPr>
            </w:pPr>
            <w:r>
              <w:rPr>
                <w:rFonts w:ascii="Calibri" w:eastAsia="Times New Roman" w:hAnsi="Calibri"/>
                <w:color w:val="000000"/>
                <w:szCs w:val="20"/>
                <w:lang w:eastAsia="tr-TR"/>
              </w:rPr>
              <w:t>98,17</w:t>
            </w:r>
          </w:p>
        </w:tc>
        <w:tc>
          <w:tcPr>
            <w:tcW w:w="1269" w:type="dxa"/>
            <w:shd w:val="clear" w:color="auto" w:fill="auto"/>
            <w:vAlign w:val="center"/>
          </w:tcPr>
          <w:p w14:paraId="21B3F66F" w14:textId="77777777" w:rsidR="00A448CA" w:rsidRPr="002048A7" w:rsidRDefault="00A448CA" w:rsidP="001173BD">
            <w:pPr>
              <w:spacing w:after="0" w:line="240" w:lineRule="auto"/>
              <w:jc w:val="center"/>
              <w:rPr>
                <w:rFonts w:ascii="Calibri" w:eastAsia="Times New Roman" w:hAnsi="Calibri"/>
                <w:color w:val="000000"/>
                <w:szCs w:val="20"/>
                <w:lang w:eastAsia="tr-TR"/>
              </w:rPr>
            </w:pPr>
            <w:r>
              <w:rPr>
                <w:rFonts w:ascii="Calibri" w:eastAsia="Times New Roman" w:hAnsi="Calibri"/>
                <w:color w:val="000000"/>
                <w:szCs w:val="20"/>
                <w:lang w:eastAsia="tr-TR"/>
              </w:rPr>
              <w:t>0,01</w:t>
            </w:r>
            <w:r w:rsidRPr="002048A7">
              <w:rPr>
                <w:rFonts w:ascii="Calibri" w:eastAsia="Times New Roman" w:hAnsi="Calibri"/>
                <w:color w:val="000000"/>
                <w:szCs w:val="20"/>
                <w:lang w:eastAsia="tr-TR"/>
              </w:rPr>
              <w:t xml:space="preserve"> </w:t>
            </w:r>
          </w:p>
        </w:tc>
      </w:tr>
      <w:tr w:rsidR="00A448CA" w:rsidRPr="002048A7" w14:paraId="77CCB288" w14:textId="77777777" w:rsidTr="001173BD">
        <w:trPr>
          <w:trHeight w:val="340"/>
          <w:jc w:val="center"/>
        </w:trPr>
        <w:tc>
          <w:tcPr>
            <w:tcW w:w="0" w:type="auto"/>
            <w:shd w:val="clear" w:color="auto" w:fill="auto"/>
            <w:vAlign w:val="center"/>
            <w:hideMark/>
          </w:tcPr>
          <w:p w14:paraId="2DD42034" w14:textId="77777777" w:rsidR="00A448CA" w:rsidRPr="002048A7" w:rsidRDefault="00A448CA" w:rsidP="001173BD">
            <w:pPr>
              <w:spacing w:after="0" w:line="240" w:lineRule="auto"/>
              <w:jc w:val="left"/>
              <w:rPr>
                <w:rFonts w:ascii="Calibri" w:eastAsia="Times New Roman" w:hAnsi="Calibri"/>
                <w:b/>
                <w:bCs/>
                <w:color w:val="000000"/>
                <w:szCs w:val="20"/>
                <w:lang w:eastAsia="tr-TR"/>
              </w:rPr>
            </w:pPr>
            <w:r w:rsidRPr="002048A7">
              <w:rPr>
                <w:rFonts w:ascii="Calibri" w:eastAsia="Times New Roman" w:hAnsi="Calibri"/>
                <w:b/>
                <w:bCs/>
                <w:color w:val="000000"/>
                <w:szCs w:val="20"/>
                <w:lang w:eastAsia="tr-TR"/>
              </w:rPr>
              <w:t>Geçersiz Ölçüm Sayısı</w:t>
            </w:r>
          </w:p>
        </w:tc>
        <w:tc>
          <w:tcPr>
            <w:tcW w:w="0" w:type="auto"/>
            <w:shd w:val="clear" w:color="auto" w:fill="auto"/>
            <w:vAlign w:val="center"/>
            <w:hideMark/>
          </w:tcPr>
          <w:p w14:paraId="3DE44182" w14:textId="08A52A6D" w:rsidR="00A448CA" w:rsidRPr="002048A7" w:rsidRDefault="00A448CA" w:rsidP="001173BD">
            <w:pPr>
              <w:spacing w:after="0" w:line="240" w:lineRule="auto"/>
              <w:jc w:val="center"/>
              <w:rPr>
                <w:rFonts w:ascii="Calibri" w:eastAsia="Times New Roman" w:hAnsi="Calibri"/>
                <w:color w:val="000000"/>
                <w:szCs w:val="20"/>
                <w:lang w:eastAsia="tr-TR"/>
              </w:rPr>
            </w:pPr>
            <w:r>
              <w:rPr>
                <w:rFonts w:ascii="Calibri" w:eastAsia="Times New Roman" w:hAnsi="Calibri"/>
                <w:color w:val="000000"/>
                <w:szCs w:val="20"/>
                <w:lang w:eastAsia="tr-TR"/>
              </w:rPr>
              <w:t xml:space="preserve">          1.191</w:t>
            </w:r>
          </w:p>
        </w:tc>
        <w:tc>
          <w:tcPr>
            <w:tcW w:w="0" w:type="auto"/>
            <w:shd w:val="clear" w:color="auto" w:fill="auto"/>
            <w:vAlign w:val="center"/>
            <w:hideMark/>
          </w:tcPr>
          <w:p w14:paraId="78B1F12A" w14:textId="77777777" w:rsidR="00A448CA" w:rsidRPr="002048A7" w:rsidRDefault="00A448CA" w:rsidP="001173BD">
            <w:pPr>
              <w:spacing w:after="0" w:line="240" w:lineRule="auto"/>
              <w:jc w:val="center"/>
              <w:rPr>
                <w:rFonts w:ascii="Calibri" w:eastAsia="Times New Roman" w:hAnsi="Calibri"/>
                <w:color w:val="000000"/>
                <w:szCs w:val="20"/>
                <w:lang w:eastAsia="tr-TR"/>
              </w:rPr>
            </w:pPr>
            <w:r>
              <w:rPr>
                <w:rFonts w:ascii="Calibri" w:eastAsia="Times New Roman" w:hAnsi="Calibri"/>
                <w:color w:val="000000"/>
                <w:szCs w:val="20"/>
                <w:lang w:eastAsia="tr-TR"/>
              </w:rPr>
              <w:t>1,26</w:t>
            </w:r>
          </w:p>
        </w:tc>
        <w:tc>
          <w:tcPr>
            <w:tcW w:w="0" w:type="auto"/>
            <w:shd w:val="clear" w:color="auto" w:fill="auto"/>
            <w:vAlign w:val="center"/>
          </w:tcPr>
          <w:p w14:paraId="5D7DC966" w14:textId="77777777" w:rsidR="00A448CA" w:rsidRPr="002048A7" w:rsidRDefault="00A448CA" w:rsidP="001173BD">
            <w:pPr>
              <w:spacing w:after="0" w:line="240" w:lineRule="auto"/>
              <w:jc w:val="right"/>
              <w:rPr>
                <w:rFonts w:ascii="Calibri" w:eastAsia="Times New Roman" w:hAnsi="Calibri"/>
                <w:color w:val="000000"/>
                <w:szCs w:val="20"/>
                <w:lang w:eastAsia="tr-TR"/>
              </w:rPr>
            </w:pPr>
            <w:r>
              <w:rPr>
                <w:rFonts w:ascii="Calibri" w:eastAsia="Times New Roman" w:hAnsi="Calibri"/>
                <w:color w:val="000000"/>
                <w:szCs w:val="20"/>
                <w:lang w:eastAsia="tr-TR"/>
              </w:rPr>
              <w:t>2.455</w:t>
            </w:r>
          </w:p>
        </w:tc>
        <w:tc>
          <w:tcPr>
            <w:tcW w:w="0" w:type="auto"/>
            <w:shd w:val="clear" w:color="auto" w:fill="auto"/>
            <w:noWrap/>
            <w:vAlign w:val="center"/>
          </w:tcPr>
          <w:p w14:paraId="3DA432AF" w14:textId="77777777" w:rsidR="00A448CA" w:rsidRPr="002048A7" w:rsidRDefault="00A448CA" w:rsidP="001173BD">
            <w:pPr>
              <w:spacing w:after="0" w:line="240" w:lineRule="auto"/>
              <w:jc w:val="center"/>
              <w:rPr>
                <w:rFonts w:ascii="Calibri" w:eastAsia="Times New Roman" w:hAnsi="Calibri"/>
                <w:color w:val="000000"/>
                <w:szCs w:val="20"/>
                <w:lang w:eastAsia="tr-TR"/>
              </w:rPr>
            </w:pPr>
            <w:r>
              <w:rPr>
                <w:rFonts w:ascii="Calibri" w:eastAsia="Times New Roman" w:hAnsi="Calibri"/>
                <w:color w:val="000000"/>
                <w:szCs w:val="20"/>
                <w:lang w:eastAsia="tr-TR"/>
              </w:rPr>
              <w:t>2,87</w:t>
            </w:r>
            <w:r w:rsidRPr="002048A7">
              <w:rPr>
                <w:rFonts w:ascii="Calibri" w:eastAsia="Times New Roman" w:hAnsi="Calibri"/>
                <w:color w:val="000000"/>
                <w:szCs w:val="20"/>
                <w:lang w:eastAsia="tr-TR"/>
              </w:rPr>
              <w:t xml:space="preserve"> </w:t>
            </w:r>
          </w:p>
        </w:tc>
        <w:tc>
          <w:tcPr>
            <w:tcW w:w="0" w:type="auto"/>
            <w:shd w:val="clear" w:color="auto" w:fill="auto"/>
            <w:noWrap/>
            <w:vAlign w:val="center"/>
            <w:hideMark/>
          </w:tcPr>
          <w:p w14:paraId="5F393B3D" w14:textId="77777777" w:rsidR="00A448CA" w:rsidRPr="002048A7" w:rsidRDefault="00A448CA" w:rsidP="001173BD">
            <w:pPr>
              <w:spacing w:after="0" w:line="240" w:lineRule="auto"/>
              <w:jc w:val="center"/>
              <w:rPr>
                <w:rFonts w:ascii="Calibri" w:eastAsia="Times New Roman" w:hAnsi="Calibri"/>
                <w:color w:val="000000"/>
                <w:szCs w:val="20"/>
                <w:lang w:eastAsia="tr-TR"/>
              </w:rPr>
            </w:pPr>
            <w:r>
              <w:rPr>
                <w:rFonts w:ascii="Calibri" w:eastAsia="Times New Roman" w:hAnsi="Calibri"/>
                <w:color w:val="000000"/>
                <w:szCs w:val="20"/>
                <w:lang w:eastAsia="tr-TR"/>
              </w:rPr>
              <w:t>106,13</w:t>
            </w:r>
          </w:p>
        </w:tc>
        <w:tc>
          <w:tcPr>
            <w:tcW w:w="0" w:type="auto"/>
            <w:shd w:val="clear" w:color="auto" w:fill="auto"/>
            <w:vAlign w:val="center"/>
          </w:tcPr>
          <w:p w14:paraId="31A280EE" w14:textId="77777777" w:rsidR="00A448CA" w:rsidRPr="002048A7" w:rsidRDefault="00A448CA" w:rsidP="001173BD">
            <w:pPr>
              <w:spacing w:after="0" w:line="240" w:lineRule="auto"/>
              <w:jc w:val="right"/>
              <w:rPr>
                <w:rFonts w:ascii="Calibri" w:eastAsia="Times New Roman" w:hAnsi="Calibri"/>
                <w:color w:val="000000"/>
                <w:szCs w:val="20"/>
                <w:lang w:eastAsia="tr-TR"/>
              </w:rPr>
            </w:pPr>
            <w:r>
              <w:rPr>
                <w:rFonts w:ascii="Calibri" w:eastAsia="Times New Roman" w:hAnsi="Calibri"/>
                <w:color w:val="000000"/>
                <w:szCs w:val="20"/>
                <w:lang w:eastAsia="tr-TR"/>
              </w:rPr>
              <w:t>1.554</w:t>
            </w:r>
            <w:r w:rsidRPr="002048A7">
              <w:rPr>
                <w:rFonts w:ascii="Calibri" w:eastAsia="Times New Roman" w:hAnsi="Calibri"/>
                <w:color w:val="000000"/>
                <w:szCs w:val="20"/>
                <w:lang w:eastAsia="tr-TR"/>
              </w:rPr>
              <w:t xml:space="preserve"> </w:t>
            </w:r>
          </w:p>
        </w:tc>
        <w:tc>
          <w:tcPr>
            <w:tcW w:w="761" w:type="dxa"/>
            <w:shd w:val="clear" w:color="auto" w:fill="auto"/>
            <w:vAlign w:val="center"/>
          </w:tcPr>
          <w:p w14:paraId="42390845" w14:textId="77777777" w:rsidR="00A448CA" w:rsidRPr="002048A7" w:rsidRDefault="00A448CA" w:rsidP="001173BD">
            <w:pPr>
              <w:spacing w:after="0" w:line="240" w:lineRule="auto"/>
              <w:jc w:val="center"/>
              <w:rPr>
                <w:rFonts w:ascii="Calibri" w:eastAsia="Times New Roman" w:hAnsi="Calibri"/>
                <w:color w:val="000000"/>
                <w:szCs w:val="20"/>
                <w:lang w:eastAsia="tr-TR"/>
              </w:rPr>
            </w:pPr>
            <w:r>
              <w:rPr>
                <w:rFonts w:ascii="Calibri" w:eastAsia="Times New Roman" w:hAnsi="Calibri"/>
                <w:color w:val="000000"/>
                <w:szCs w:val="20"/>
                <w:lang w:eastAsia="tr-TR"/>
              </w:rPr>
              <w:t>1,83</w:t>
            </w:r>
            <w:r w:rsidRPr="002048A7">
              <w:rPr>
                <w:rFonts w:ascii="Calibri" w:eastAsia="Times New Roman" w:hAnsi="Calibri"/>
                <w:color w:val="000000"/>
                <w:szCs w:val="20"/>
                <w:lang w:eastAsia="tr-TR"/>
              </w:rPr>
              <w:t xml:space="preserve"> </w:t>
            </w:r>
          </w:p>
        </w:tc>
        <w:tc>
          <w:tcPr>
            <w:tcW w:w="1269" w:type="dxa"/>
            <w:shd w:val="clear" w:color="auto" w:fill="auto"/>
            <w:vAlign w:val="center"/>
          </w:tcPr>
          <w:p w14:paraId="20FF28CB" w14:textId="77777777" w:rsidR="00A448CA" w:rsidRPr="002048A7" w:rsidRDefault="00A448CA" w:rsidP="001173BD">
            <w:pPr>
              <w:spacing w:after="0" w:line="240" w:lineRule="auto"/>
              <w:jc w:val="center"/>
              <w:rPr>
                <w:rFonts w:ascii="Calibri" w:eastAsia="Times New Roman" w:hAnsi="Calibri"/>
                <w:color w:val="000000"/>
                <w:szCs w:val="20"/>
                <w:lang w:eastAsia="tr-TR"/>
              </w:rPr>
            </w:pPr>
            <w:r>
              <w:rPr>
                <w:rFonts w:ascii="Calibri" w:eastAsia="Times New Roman" w:hAnsi="Calibri"/>
                <w:color w:val="000000"/>
                <w:szCs w:val="20"/>
                <w:lang w:eastAsia="tr-TR"/>
              </w:rPr>
              <w:t>-36,70</w:t>
            </w:r>
          </w:p>
        </w:tc>
      </w:tr>
      <w:tr w:rsidR="00A448CA" w:rsidRPr="002048A7" w14:paraId="12DE67D9" w14:textId="77777777" w:rsidTr="001173BD">
        <w:trPr>
          <w:trHeight w:val="340"/>
          <w:jc w:val="center"/>
        </w:trPr>
        <w:tc>
          <w:tcPr>
            <w:tcW w:w="0" w:type="auto"/>
            <w:shd w:val="clear" w:color="auto" w:fill="auto"/>
            <w:vAlign w:val="center"/>
            <w:hideMark/>
          </w:tcPr>
          <w:p w14:paraId="02EA13DB" w14:textId="77777777" w:rsidR="00A448CA" w:rsidRPr="002048A7" w:rsidRDefault="00A448CA" w:rsidP="001173BD">
            <w:pPr>
              <w:spacing w:after="0" w:line="240" w:lineRule="auto"/>
              <w:jc w:val="left"/>
              <w:rPr>
                <w:rFonts w:ascii="Calibri" w:eastAsia="Times New Roman" w:hAnsi="Calibri"/>
                <w:b/>
                <w:bCs/>
                <w:color w:val="000000"/>
                <w:szCs w:val="20"/>
                <w:lang w:eastAsia="tr-TR"/>
              </w:rPr>
            </w:pPr>
            <w:r w:rsidRPr="002048A7">
              <w:rPr>
                <w:rFonts w:ascii="Calibri" w:eastAsia="Times New Roman" w:hAnsi="Calibri"/>
                <w:b/>
                <w:bCs/>
                <w:color w:val="000000"/>
                <w:szCs w:val="20"/>
                <w:lang w:eastAsia="tr-TR"/>
              </w:rPr>
              <w:t>Toplam Ölçüm Sayısı</w:t>
            </w:r>
          </w:p>
        </w:tc>
        <w:tc>
          <w:tcPr>
            <w:tcW w:w="0" w:type="auto"/>
            <w:shd w:val="clear" w:color="auto" w:fill="auto"/>
            <w:vAlign w:val="center"/>
            <w:hideMark/>
          </w:tcPr>
          <w:p w14:paraId="69086331" w14:textId="77777777" w:rsidR="00A448CA" w:rsidRPr="002048A7" w:rsidRDefault="00A448CA" w:rsidP="001173BD">
            <w:pPr>
              <w:spacing w:after="0" w:line="240" w:lineRule="auto"/>
              <w:jc w:val="right"/>
              <w:rPr>
                <w:rFonts w:ascii="Calibri" w:eastAsia="Times New Roman" w:hAnsi="Calibri"/>
                <w:b/>
                <w:bCs/>
                <w:color w:val="000000"/>
                <w:szCs w:val="20"/>
                <w:lang w:eastAsia="tr-TR"/>
              </w:rPr>
            </w:pPr>
            <w:r>
              <w:rPr>
                <w:rFonts w:ascii="Calibri" w:eastAsia="Times New Roman" w:hAnsi="Calibri"/>
                <w:b/>
                <w:bCs/>
                <w:color w:val="000000"/>
                <w:szCs w:val="20"/>
                <w:lang w:eastAsia="tr-TR"/>
              </w:rPr>
              <w:t>94.742</w:t>
            </w:r>
          </w:p>
        </w:tc>
        <w:tc>
          <w:tcPr>
            <w:tcW w:w="0" w:type="auto"/>
            <w:shd w:val="clear" w:color="auto" w:fill="auto"/>
            <w:vAlign w:val="center"/>
            <w:hideMark/>
          </w:tcPr>
          <w:p w14:paraId="01D23635" w14:textId="77777777" w:rsidR="00A448CA" w:rsidRPr="002048A7" w:rsidRDefault="00A448CA" w:rsidP="001173BD">
            <w:pPr>
              <w:spacing w:after="0" w:line="240" w:lineRule="auto"/>
              <w:jc w:val="center"/>
              <w:rPr>
                <w:rFonts w:ascii="Calibri" w:eastAsia="Times New Roman" w:hAnsi="Calibri"/>
                <w:b/>
                <w:bCs/>
                <w:color w:val="000000"/>
                <w:szCs w:val="20"/>
                <w:lang w:eastAsia="tr-TR"/>
              </w:rPr>
            </w:pPr>
            <w:r w:rsidRPr="002048A7">
              <w:rPr>
                <w:rFonts w:ascii="Calibri" w:eastAsia="Times New Roman" w:hAnsi="Calibri"/>
                <w:b/>
                <w:bCs/>
                <w:color w:val="000000"/>
                <w:szCs w:val="20"/>
                <w:lang w:eastAsia="tr-TR"/>
              </w:rPr>
              <w:t>100</w:t>
            </w:r>
          </w:p>
        </w:tc>
        <w:tc>
          <w:tcPr>
            <w:tcW w:w="0" w:type="auto"/>
            <w:shd w:val="clear" w:color="auto" w:fill="auto"/>
            <w:vAlign w:val="center"/>
          </w:tcPr>
          <w:p w14:paraId="78764CD8" w14:textId="77777777" w:rsidR="00A448CA" w:rsidRPr="002048A7" w:rsidRDefault="00A448CA" w:rsidP="001173BD">
            <w:pPr>
              <w:spacing w:after="0" w:line="240" w:lineRule="auto"/>
              <w:jc w:val="right"/>
              <w:rPr>
                <w:rFonts w:ascii="Calibri" w:eastAsia="Times New Roman" w:hAnsi="Calibri"/>
                <w:b/>
                <w:bCs/>
                <w:color w:val="000000"/>
                <w:szCs w:val="20"/>
                <w:lang w:eastAsia="tr-TR"/>
              </w:rPr>
            </w:pPr>
            <w:r>
              <w:rPr>
                <w:rFonts w:ascii="Calibri" w:eastAsia="Times New Roman" w:hAnsi="Calibri"/>
                <w:b/>
                <w:bCs/>
                <w:color w:val="000000"/>
                <w:szCs w:val="20"/>
                <w:lang w:eastAsia="tr-TR"/>
              </w:rPr>
              <w:t>85.599</w:t>
            </w:r>
          </w:p>
        </w:tc>
        <w:tc>
          <w:tcPr>
            <w:tcW w:w="0" w:type="auto"/>
            <w:shd w:val="clear" w:color="auto" w:fill="auto"/>
            <w:noWrap/>
            <w:vAlign w:val="center"/>
          </w:tcPr>
          <w:p w14:paraId="6D6EE025" w14:textId="77777777" w:rsidR="00A448CA" w:rsidRPr="002048A7" w:rsidRDefault="00A448CA" w:rsidP="001173BD">
            <w:pPr>
              <w:spacing w:after="0" w:line="240" w:lineRule="auto"/>
              <w:jc w:val="center"/>
              <w:rPr>
                <w:rFonts w:ascii="Calibri" w:eastAsia="Times New Roman" w:hAnsi="Calibri"/>
                <w:b/>
                <w:bCs/>
                <w:color w:val="000000"/>
                <w:szCs w:val="20"/>
                <w:lang w:eastAsia="tr-TR"/>
              </w:rPr>
            </w:pPr>
            <w:r w:rsidRPr="002048A7">
              <w:rPr>
                <w:rFonts w:ascii="Calibri" w:eastAsia="Times New Roman" w:hAnsi="Calibri"/>
                <w:b/>
                <w:bCs/>
                <w:color w:val="000000"/>
                <w:szCs w:val="20"/>
                <w:lang w:eastAsia="tr-TR"/>
              </w:rPr>
              <w:t>100</w:t>
            </w:r>
          </w:p>
        </w:tc>
        <w:tc>
          <w:tcPr>
            <w:tcW w:w="0" w:type="auto"/>
            <w:shd w:val="clear" w:color="auto" w:fill="auto"/>
            <w:noWrap/>
            <w:vAlign w:val="center"/>
            <w:hideMark/>
          </w:tcPr>
          <w:p w14:paraId="5199EEF1" w14:textId="77777777" w:rsidR="00A448CA" w:rsidRPr="002048A7" w:rsidRDefault="00A448CA" w:rsidP="001173BD">
            <w:pPr>
              <w:spacing w:after="0" w:line="240" w:lineRule="auto"/>
              <w:jc w:val="center"/>
              <w:rPr>
                <w:rFonts w:ascii="Calibri" w:eastAsia="Times New Roman" w:hAnsi="Calibri"/>
                <w:b/>
                <w:bCs/>
                <w:color w:val="000000"/>
                <w:szCs w:val="20"/>
                <w:lang w:eastAsia="tr-TR"/>
              </w:rPr>
            </w:pPr>
            <w:r>
              <w:rPr>
                <w:rFonts w:ascii="Calibri" w:eastAsia="Times New Roman" w:hAnsi="Calibri"/>
                <w:b/>
                <w:bCs/>
                <w:color w:val="000000"/>
                <w:szCs w:val="20"/>
                <w:lang w:eastAsia="tr-TR"/>
              </w:rPr>
              <w:t>-9,65</w:t>
            </w:r>
          </w:p>
        </w:tc>
        <w:tc>
          <w:tcPr>
            <w:tcW w:w="0" w:type="auto"/>
            <w:shd w:val="clear" w:color="auto" w:fill="auto"/>
            <w:vAlign w:val="center"/>
          </w:tcPr>
          <w:p w14:paraId="19706500" w14:textId="77777777" w:rsidR="00A448CA" w:rsidRPr="002048A7" w:rsidRDefault="00A448CA" w:rsidP="001173BD">
            <w:pPr>
              <w:spacing w:after="0" w:line="240" w:lineRule="auto"/>
              <w:jc w:val="right"/>
              <w:rPr>
                <w:rFonts w:ascii="Calibri" w:eastAsia="Times New Roman" w:hAnsi="Calibri"/>
                <w:b/>
                <w:bCs/>
                <w:color w:val="000000"/>
                <w:szCs w:val="20"/>
                <w:lang w:eastAsia="tr-TR"/>
              </w:rPr>
            </w:pPr>
            <w:r>
              <w:rPr>
                <w:rFonts w:ascii="Calibri" w:eastAsia="Times New Roman" w:hAnsi="Calibri"/>
                <w:b/>
                <w:bCs/>
                <w:color w:val="000000"/>
                <w:szCs w:val="20"/>
                <w:lang w:eastAsia="tr-TR"/>
              </w:rPr>
              <w:t>84.714</w:t>
            </w:r>
          </w:p>
        </w:tc>
        <w:tc>
          <w:tcPr>
            <w:tcW w:w="761" w:type="dxa"/>
            <w:shd w:val="clear" w:color="auto" w:fill="auto"/>
            <w:vAlign w:val="center"/>
          </w:tcPr>
          <w:p w14:paraId="07DF757D" w14:textId="77777777" w:rsidR="00A448CA" w:rsidRPr="002048A7" w:rsidRDefault="00A448CA" w:rsidP="001173BD">
            <w:pPr>
              <w:spacing w:after="0" w:line="240" w:lineRule="auto"/>
              <w:jc w:val="center"/>
              <w:rPr>
                <w:rFonts w:ascii="Calibri" w:eastAsia="Times New Roman" w:hAnsi="Calibri"/>
                <w:b/>
                <w:bCs/>
                <w:color w:val="000000"/>
                <w:szCs w:val="20"/>
                <w:lang w:eastAsia="tr-TR"/>
              </w:rPr>
            </w:pPr>
            <w:r w:rsidRPr="002048A7">
              <w:rPr>
                <w:rFonts w:ascii="Calibri" w:eastAsia="Times New Roman" w:hAnsi="Calibri"/>
                <w:b/>
                <w:bCs/>
                <w:color w:val="000000"/>
                <w:szCs w:val="20"/>
                <w:lang w:eastAsia="tr-TR"/>
              </w:rPr>
              <w:t>100</w:t>
            </w:r>
          </w:p>
        </w:tc>
        <w:tc>
          <w:tcPr>
            <w:tcW w:w="1269" w:type="dxa"/>
            <w:shd w:val="clear" w:color="auto" w:fill="auto"/>
            <w:vAlign w:val="center"/>
          </w:tcPr>
          <w:p w14:paraId="22AAF0A3" w14:textId="77777777" w:rsidR="00A448CA" w:rsidRPr="002048A7" w:rsidRDefault="00A448CA" w:rsidP="001173BD">
            <w:pPr>
              <w:spacing w:after="0" w:line="240" w:lineRule="auto"/>
              <w:jc w:val="center"/>
              <w:rPr>
                <w:rFonts w:ascii="Calibri" w:eastAsia="Times New Roman" w:hAnsi="Calibri"/>
                <w:b/>
                <w:bCs/>
                <w:color w:val="000000"/>
                <w:szCs w:val="20"/>
                <w:lang w:eastAsia="tr-TR"/>
              </w:rPr>
            </w:pPr>
            <w:r w:rsidRPr="002048A7">
              <w:rPr>
                <w:rFonts w:ascii="Calibri" w:eastAsia="Times New Roman" w:hAnsi="Calibri"/>
                <w:b/>
                <w:bCs/>
                <w:color w:val="000000"/>
                <w:szCs w:val="20"/>
                <w:lang w:eastAsia="tr-TR"/>
              </w:rPr>
              <w:t>-</w:t>
            </w:r>
            <w:r>
              <w:rPr>
                <w:rFonts w:ascii="Calibri" w:eastAsia="Times New Roman" w:hAnsi="Calibri"/>
                <w:b/>
                <w:bCs/>
                <w:color w:val="000000"/>
                <w:szCs w:val="20"/>
                <w:lang w:eastAsia="tr-TR"/>
              </w:rPr>
              <w:t>1,03</w:t>
            </w:r>
          </w:p>
        </w:tc>
      </w:tr>
    </w:tbl>
    <w:p w14:paraId="7942A002" w14:textId="77777777" w:rsidR="00A448CA" w:rsidRPr="002048A7" w:rsidRDefault="00A448CA" w:rsidP="00A448CA">
      <w:pPr>
        <w:spacing w:after="0"/>
      </w:pPr>
    </w:p>
    <w:p w14:paraId="0C016511" w14:textId="27E80611" w:rsidR="003D0DD5" w:rsidRPr="002048A7" w:rsidRDefault="00A448CA" w:rsidP="00A448CA">
      <w:pPr>
        <w:spacing w:after="0"/>
      </w:pPr>
      <w:r w:rsidRPr="002048A7">
        <w:t>Petrol piyasasında 202</w:t>
      </w:r>
      <w:r>
        <w:t>4</w:t>
      </w:r>
      <w:r w:rsidRPr="002048A7">
        <w:t xml:space="preserve"> yılında yapılan denetim ve soruşturmalar sonucunda; niteliği itibarıyla düzeltme imkânı olan fiiller kapsamında yapılan denetimlerde </w:t>
      </w:r>
      <w:r>
        <w:rPr>
          <w:b/>
        </w:rPr>
        <w:t xml:space="preserve">410 </w:t>
      </w:r>
      <w:r w:rsidRPr="002048A7">
        <w:t>adet ihtar işlemi tesis edilmiş olup, Kurumca uygulanan idari para cezaları ise Tablo 6.</w:t>
      </w:r>
      <w:r>
        <w:t>4</w:t>
      </w:r>
      <w:r w:rsidRPr="002048A7">
        <w:t xml:space="preserve"> ve Tablo 6.</w:t>
      </w:r>
      <w:r>
        <w:t>5</w:t>
      </w:r>
      <w:r w:rsidRPr="002048A7">
        <w:t>’te gösterilmektedir.</w:t>
      </w:r>
    </w:p>
    <w:p w14:paraId="2C8EE5DD" w14:textId="77777777" w:rsidR="00A448CA" w:rsidRPr="002048A7" w:rsidRDefault="00A448CA" w:rsidP="00A448CA">
      <w:pPr>
        <w:pStyle w:val="Balk5"/>
        <w:spacing w:after="240"/>
        <w:jc w:val="center"/>
        <w:rPr>
          <w:rStyle w:val="Gl"/>
          <w:color w:val="000000" w:themeColor="text1"/>
        </w:rPr>
      </w:pPr>
      <w:bookmarkStart w:id="313" w:name="_Toc195868838"/>
      <w:bookmarkStart w:id="314" w:name="_Toc442431307"/>
      <w:bookmarkStart w:id="315" w:name="_Toc505346113"/>
      <w:r w:rsidRPr="002048A7">
        <w:rPr>
          <w:rStyle w:val="Gl"/>
          <w:color w:val="000000" w:themeColor="text1"/>
        </w:rPr>
        <w:t>Tablo 6.</w:t>
      </w:r>
      <w:r>
        <w:rPr>
          <w:rStyle w:val="Gl"/>
          <w:color w:val="000000" w:themeColor="text1"/>
        </w:rPr>
        <w:t>4</w:t>
      </w:r>
      <w:r w:rsidRPr="002048A7">
        <w:rPr>
          <w:rStyle w:val="Gl"/>
          <w:color w:val="000000" w:themeColor="text1"/>
        </w:rPr>
        <w:t>: Petrol Piyasasında 202</w:t>
      </w:r>
      <w:r>
        <w:rPr>
          <w:rStyle w:val="Gl"/>
          <w:color w:val="000000" w:themeColor="text1"/>
        </w:rPr>
        <w:t>4</w:t>
      </w:r>
      <w:r w:rsidRPr="002048A7">
        <w:rPr>
          <w:rStyle w:val="Gl"/>
          <w:color w:val="000000" w:themeColor="text1"/>
        </w:rPr>
        <w:t xml:space="preserve"> Yılında Uygulanan İdari Para Cezalarının Lisans Tipine Göre Dağılımı</w:t>
      </w:r>
      <w:bookmarkEnd w:id="313"/>
    </w:p>
    <w:tbl>
      <w:tblPr>
        <w:tblW w:w="4678" w:type="pct"/>
        <w:jc w:val="center"/>
        <w:tblCellMar>
          <w:left w:w="70" w:type="dxa"/>
          <w:right w:w="70" w:type="dxa"/>
        </w:tblCellMar>
        <w:tblLook w:val="04A0" w:firstRow="1" w:lastRow="0" w:firstColumn="1" w:lastColumn="0" w:noHBand="0" w:noVBand="1"/>
      </w:tblPr>
      <w:tblGrid>
        <w:gridCol w:w="4043"/>
        <w:gridCol w:w="1619"/>
        <w:gridCol w:w="991"/>
        <w:gridCol w:w="1560"/>
        <w:gridCol w:w="1050"/>
      </w:tblGrid>
      <w:tr w:rsidR="00A448CA" w:rsidRPr="002048A7" w14:paraId="279FA07E" w14:textId="77777777" w:rsidTr="001173BD">
        <w:trPr>
          <w:trHeight w:val="397"/>
          <w:jc w:val="center"/>
        </w:trPr>
        <w:tc>
          <w:tcPr>
            <w:tcW w:w="2182" w:type="pct"/>
            <w:tcBorders>
              <w:top w:val="single" w:sz="8" w:space="0" w:color="BFBFBF"/>
              <w:left w:val="single" w:sz="8" w:space="0" w:color="BFBFBF"/>
              <w:bottom w:val="single" w:sz="8" w:space="0" w:color="BFBFBF"/>
              <w:right w:val="single" w:sz="8" w:space="0" w:color="BFBFBF"/>
            </w:tcBorders>
            <w:shd w:val="clear" w:color="auto" w:fill="6E9ECA"/>
            <w:vAlign w:val="center"/>
            <w:hideMark/>
          </w:tcPr>
          <w:p w14:paraId="01151AF8" w14:textId="77777777" w:rsidR="00A448CA" w:rsidRPr="002048A7" w:rsidRDefault="00A448CA" w:rsidP="001173BD">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Lisans Tipi</w:t>
            </w:r>
          </w:p>
        </w:tc>
        <w:tc>
          <w:tcPr>
            <w:tcW w:w="874" w:type="pct"/>
            <w:tcBorders>
              <w:top w:val="single" w:sz="8" w:space="0" w:color="BFBFBF"/>
              <w:left w:val="nil"/>
              <w:bottom w:val="single" w:sz="8" w:space="0" w:color="BFBFBF"/>
              <w:right w:val="single" w:sz="8" w:space="0" w:color="BFBFBF"/>
            </w:tcBorders>
            <w:shd w:val="clear" w:color="auto" w:fill="6E9ECA"/>
            <w:vAlign w:val="center"/>
            <w:hideMark/>
          </w:tcPr>
          <w:p w14:paraId="21B83ABE" w14:textId="77777777" w:rsidR="00A448CA" w:rsidRPr="002048A7" w:rsidRDefault="00A448CA" w:rsidP="001173BD">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Uygulanan İdari Para Cezası Adedi</w:t>
            </w:r>
          </w:p>
        </w:tc>
        <w:tc>
          <w:tcPr>
            <w:tcW w:w="535" w:type="pct"/>
            <w:tcBorders>
              <w:top w:val="single" w:sz="8" w:space="0" w:color="BFBFBF"/>
              <w:left w:val="nil"/>
              <w:bottom w:val="single" w:sz="8" w:space="0" w:color="BFBFBF"/>
              <w:right w:val="single" w:sz="8" w:space="0" w:color="BFBFBF"/>
            </w:tcBorders>
            <w:shd w:val="clear" w:color="auto" w:fill="6E9ECA"/>
            <w:vAlign w:val="center"/>
            <w:hideMark/>
          </w:tcPr>
          <w:p w14:paraId="33B249AA" w14:textId="77777777" w:rsidR="00A448CA" w:rsidRPr="002048A7" w:rsidRDefault="00A448CA" w:rsidP="001173BD">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Oran (%)</w:t>
            </w:r>
          </w:p>
        </w:tc>
        <w:tc>
          <w:tcPr>
            <w:tcW w:w="842" w:type="pct"/>
            <w:tcBorders>
              <w:top w:val="single" w:sz="8" w:space="0" w:color="BFBFBF"/>
              <w:left w:val="nil"/>
              <w:bottom w:val="single" w:sz="8" w:space="0" w:color="BFBFBF"/>
              <w:right w:val="single" w:sz="8" w:space="0" w:color="BFBFBF"/>
            </w:tcBorders>
            <w:shd w:val="clear" w:color="auto" w:fill="6E9ECA"/>
            <w:vAlign w:val="center"/>
            <w:hideMark/>
          </w:tcPr>
          <w:p w14:paraId="59C0DE67" w14:textId="77777777" w:rsidR="00A448CA" w:rsidRPr="002048A7" w:rsidRDefault="00A448CA" w:rsidP="001173BD">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İdari Para Cezası Tutarı (TL)</w:t>
            </w:r>
          </w:p>
        </w:tc>
        <w:tc>
          <w:tcPr>
            <w:tcW w:w="567" w:type="pct"/>
            <w:tcBorders>
              <w:top w:val="single" w:sz="8" w:space="0" w:color="BFBFBF"/>
              <w:left w:val="nil"/>
              <w:bottom w:val="single" w:sz="8" w:space="0" w:color="BFBFBF"/>
              <w:right w:val="single" w:sz="8" w:space="0" w:color="BFBFBF"/>
            </w:tcBorders>
            <w:shd w:val="clear" w:color="auto" w:fill="6E9ECA"/>
            <w:vAlign w:val="center"/>
            <w:hideMark/>
          </w:tcPr>
          <w:p w14:paraId="5720FD3B" w14:textId="77777777" w:rsidR="00A448CA" w:rsidRPr="002048A7" w:rsidRDefault="00A448CA" w:rsidP="001173BD">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Oran</w:t>
            </w:r>
            <w:r w:rsidRPr="002048A7">
              <w:rPr>
                <w:rFonts w:ascii="Calibri" w:eastAsia="Times New Roman" w:hAnsi="Calibri"/>
                <w:color w:val="FFFFFF"/>
                <w:sz w:val="16"/>
                <w:szCs w:val="16"/>
                <w:lang w:eastAsia="tr-TR"/>
              </w:rPr>
              <w:t xml:space="preserve"> (</w:t>
            </w:r>
            <w:r w:rsidRPr="002048A7">
              <w:rPr>
                <w:rFonts w:ascii="Calibri" w:eastAsia="Times New Roman" w:hAnsi="Calibri"/>
                <w:b/>
                <w:bCs/>
                <w:color w:val="FFFFFF"/>
                <w:lang w:eastAsia="tr-TR"/>
              </w:rPr>
              <w:t>%)</w:t>
            </w:r>
          </w:p>
        </w:tc>
      </w:tr>
      <w:tr w:rsidR="00A448CA" w:rsidRPr="002048A7" w14:paraId="0FE56E5E" w14:textId="77777777" w:rsidTr="001173BD">
        <w:trPr>
          <w:trHeight w:val="397"/>
          <w:jc w:val="center"/>
        </w:trPr>
        <w:tc>
          <w:tcPr>
            <w:tcW w:w="2182" w:type="pct"/>
            <w:tcBorders>
              <w:top w:val="nil"/>
              <w:left w:val="single" w:sz="8" w:space="0" w:color="BFBFBF"/>
              <w:bottom w:val="single" w:sz="8" w:space="0" w:color="BFBFBF"/>
              <w:right w:val="single" w:sz="8" w:space="0" w:color="BFBFBF"/>
            </w:tcBorders>
            <w:noWrap/>
            <w:vAlign w:val="center"/>
            <w:hideMark/>
          </w:tcPr>
          <w:p w14:paraId="31DCD65E" w14:textId="77777777" w:rsidR="00A448CA" w:rsidRPr="002048A7" w:rsidRDefault="00A448CA" w:rsidP="001173BD">
            <w:pPr>
              <w:spacing w:after="0" w:line="240" w:lineRule="auto"/>
              <w:rPr>
                <w:rFonts w:ascii="Calibri" w:eastAsia="Times New Roman" w:hAnsi="Calibri"/>
                <w:color w:val="000000"/>
                <w:lang w:eastAsia="tr-TR"/>
              </w:rPr>
            </w:pPr>
            <w:r w:rsidRPr="002048A7">
              <w:rPr>
                <w:rFonts w:ascii="Calibri" w:eastAsia="Times New Roman" w:hAnsi="Calibri"/>
                <w:color w:val="000000"/>
                <w:lang w:eastAsia="tr-TR"/>
              </w:rPr>
              <w:t>Dağıtıcı</w:t>
            </w:r>
          </w:p>
        </w:tc>
        <w:tc>
          <w:tcPr>
            <w:tcW w:w="874" w:type="pct"/>
            <w:tcBorders>
              <w:top w:val="nil"/>
              <w:left w:val="nil"/>
              <w:bottom w:val="single" w:sz="8" w:space="0" w:color="BFBFBF"/>
              <w:right w:val="single" w:sz="8" w:space="0" w:color="BFBFBF"/>
            </w:tcBorders>
            <w:noWrap/>
            <w:vAlign w:val="center"/>
            <w:hideMark/>
          </w:tcPr>
          <w:p w14:paraId="0018B0C4" w14:textId="77777777" w:rsidR="00A448CA" w:rsidRPr="002048A7" w:rsidRDefault="00A448CA" w:rsidP="001173B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40</w:t>
            </w:r>
          </w:p>
        </w:tc>
        <w:tc>
          <w:tcPr>
            <w:tcW w:w="535" w:type="pct"/>
            <w:tcBorders>
              <w:top w:val="nil"/>
              <w:left w:val="nil"/>
              <w:bottom w:val="single" w:sz="8" w:space="0" w:color="BFBFBF"/>
              <w:right w:val="single" w:sz="8" w:space="0" w:color="BFBFBF"/>
            </w:tcBorders>
            <w:noWrap/>
            <w:vAlign w:val="center"/>
            <w:hideMark/>
          </w:tcPr>
          <w:p w14:paraId="4E41EFCC" w14:textId="77777777" w:rsidR="00A448CA" w:rsidRPr="002048A7" w:rsidRDefault="00A448CA" w:rsidP="001173B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11,49</w:t>
            </w:r>
          </w:p>
        </w:tc>
        <w:tc>
          <w:tcPr>
            <w:tcW w:w="842" w:type="pct"/>
            <w:tcBorders>
              <w:top w:val="nil"/>
              <w:left w:val="nil"/>
              <w:bottom w:val="single" w:sz="8" w:space="0" w:color="BFBFBF"/>
              <w:right w:val="single" w:sz="8" w:space="0" w:color="BFBFBF"/>
            </w:tcBorders>
            <w:noWrap/>
            <w:vAlign w:val="center"/>
            <w:hideMark/>
          </w:tcPr>
          <w:p w14:paraId="52993F79" w14:textId="77777777" w:rsidR="00A448CA" w:rsidRPr="002048A7" w:rsidRDefault="00A448CA" w:rsidP="001173BD">
            <w:pPr>
              <w:spacing w:after="0" w:line="240" w:lineRule="auto"/>
              <w:jc w:val="center"/>
              <w:rPr>
                <w:rFonts w:ascii="Calibri" w:eastAsia="Times New Roman" w:hAnsi="Calibri"/>
                <w:color w:val="000000"/>
                <w:lang w:eastAsia="tr-TR"/>
              </w:rPr>
            </w:pPr>
            <w:r>
              <w:rPr>
                <w:rFonts w:ascii="Calibri" w:hAnsi="Calibri" w:cs="Calibri"/>
                <w:iCs/>
                <w:color w:val="000000"/>
              </w:rPr>
              <w:t>123.007.881</w:t>
            </w:r>
          </w:p>
        </w:tc>
        <w:tc>
          <w:tcPr>
            <w:tcW w:w="567" w:type="pct"/>
            <w:tcBorders>
              <w:top w:val="nil"/>
              <w:left w:val="nil"/>
              <w:bottom w:val="single" w:sz="8" w:space="0" w:color="BFBFBF"/>
              <w:right w:val="single" w:sz="8" w:space="0" w:color="BFBFBF"/>
            </w:tcBorders>
            <w:noWrap/>
            <w:vAlign w:val="center"/>
            <w:hideMark/>
          </w:tcPr>
          <w:p w14:paraId="5C24EEAE" w14:textId="77777777" w:rsidR="00A448CA" w:rsidRPr="002048A7" w:rsidRDefault="00A448CA" w:rsidP="001173B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55,59</w:t>
            </w:r>
          </w:p>
        </w:tc>
      </w:tr>
      <w:tr w:rsidR="00A448CA" w:rsidRPr="002048A7" w14:paraId="04B29BEB" w14:textId="77777777" w:rsidTr="001173BD">
        <w:trPr>
          <w:trHeight w:val="397"/>
          <w:jc w:val="center"/>
        </w:trPr>
        <w:tc>
          <w:tcPr>
            <w:tcW w:w="2182" w:type="pct"/>
            <w:tcBorders>
              <w:top w:val="nil"/>
              <w:left w:val="single" w:sz="8" w:space="0" w:color="BFBFBF"/>
              <w:bottom w:val="single" w:sz="8" w:space="0" w:color="BFBFBF"/>
              <w:right w:val="single" w:sz="8" w:space="0" w:color="BFBFBF"/>
            </w:tcBorders>
            <w:noWrap/>
            <w:vAlign w:val="center"/>
            <w:hideMark/>
          </w:tcPr>
          <w:p w14:paraId="6FC7C7DD" w14:textId="77777777" w:rsidR="00A448CA" w:rsidRPr="002048A7" w:rsidRDefault="00A448CA" w:rsidP="001173BD">
            <w:pPr>
              <w:spacing w:after="0" w:line="240" w:lineRule="auto"/>
              <w:rPr>
                <w:rFonts w:ascii="Calibri" w:eastAsia="Times New Roman" w:hAnsi="Calibri"/>
                <w:color w:val="000000"/>
                <w:lang w:eastAsia="tr-TR"/>
              </w:rPr>
            </w:pPr>
            <w:r w:rsidRPr="002048A7">
              <w:rPr>
                <w:rFonts w:ascii="Calibri" w:eastAsia="Times New Roman" w:hAnsi="Calibri"/>
                <w:color w:val="000000"/>
                <w:lang w:eastAsia="tr-TR"/>
              </w:rPr>
              <w:t>Bayilik</w:t>
            </w:r>
          </w:p>
        </w:tc>
        <w:tc>
          <w:tcPr>
            <w:tcW w:w="874" w:type="pct"/>
            <w:tcBorders>
              <w:top w:val="nil"/>
              <w:left w:val="nil"/>
              <w:bottom w:val="single" w:sz="8" w:space="0" w:color="BFBFBF"/>
              <w:right w:val="single" w:sz="8" w:space="0" w:color="BFBFBF"/>
            </w:tcBorders>
            <w:noWrap/>
            <w:vAlign w:val="center"/>
            <w:hideMark/>
          </w:tcPr>
          <w:p w14:paraId="5E4B6092" w14:textId="77777777" w:rsidR="00A448CA" w:rsidRPr="002048A7" w:rsidRDefault="00A448CA" w:rsidP="001173B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296</w:t>
            </w:r>
          </w:p>
        </w:tc>
        <w:tc>
          <w:tcPr>
            <w:tcW w:w="535" w:type="pct"/>
            <w:tcBorders>
              <w:top w:val="nil"/>
              <w:left w:val="nil"/>
              <w:bottom w:val="single" w:sz="8" w:space="0" w:color="BFBFBF"/>
              <w:right w:val="single" w:sz="8" w:space="0" w:color="BFBFBF"/>
            </w:tcBorders>
            <w:noWrap/>
            <w:vAlign w:val="center"/>
            <w:hideMark/>
          </w:tcPr>
          <w:p w14:paraId="0CC4A17A" w14:textId="77777777" w:rsidR="00A448CA" w:rsidRPr="002048A7" w:rsidRDefault="00A448CA" w:rsidP="001173B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85,06</w:t>
            </w:r>
          </w:p>
        </w:tc>
        <w:tc>
          <w:tcPr>
            <w:tcW w:w="842" w:type="pct"/>
            <w:tcBorders>
              <w:top w:val="nil"/>
              <w:left w:val="nil"/>
              <w:bottom w:val="single" w:sz="8" w:space="0" w:color="BFBFBF"/>
              <w:right w:val="single" w:sz="8" w:space="0" w:color="BFBFBF"/>
            </w:tcBorders>
            <w:noWrap/>
            <w:vAlign w:val="center"/>
            <w:hideMark/>
          </w:tcPr>
          <w:p w14:paraId="6E737007" w14:textId="77777777" w:rsidR="00A448CA" w:rsidRPr="002048A7" w:rsidRDefault="00A448CA" w:rsidP="001173BD">
            <w:pPr>
              <w:spacing w:after="0" w:line="240" w:lineRule="auto"/>
              <w:jc w:val="center"/>
              <w:rPr>
                <w:rFonts w:ascii="Calibri" w:hAnsi="Calibri" w:cs="Calibri"/>
                <w:iCs/>
                <w:color w:val="000000"/>
              </w:rPr>
            </w:pPr>
            <w:r>
              <w:rPr>
                <w:rFonts w:ascii="Calibri" w:hAnsi="Calibri" w:cs="Calibri"/>
                <w:iCs/>
                <w:color w:val="000000"/>
              </w:rPr>
              <w:t>96.438.872</w:t>
            </w:r>
          </w:p>
        </w:tc>
        <w:tc>
          <w:tcPr>
            <w:tcW w:w="567" w:type="pct"/>
            <w:tcBorders>
              <w:top w:val="nil"/>
              <w:left w:val="nil"/>
              <w:bottom w:val="single" w:sz="8" w:space="0" w:color="BFBFBF"/>
              <w:right w:val="single" w:sz="8" w:space="0" w:color="BFBFBF"/>
            </w:tcBorders>
            <w:noWrap/>
            <w:vAlign w:val="center"/>
            <w:hideMark/>
          </w:tcPr>
          <w:p w14:paraId="5D9DAAE9" w14:textId="77777777" w:rsidR="00A448CA" w:rsidRPr="002048A7" w:rsidRDefault="00A448CA" w:rsidP="001173B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43,57</w:t>
            </w:r>
          </w:p>
        </w:tc>
      </w:tr>
      <w:tr w:rsidR="00A448CA" w:rsidRPr="002048A7" w14:paraId="5E219687" w14:textId="77777777" w:rsidTr="001173BD">
        <w:trPr>
          <w:trHeight w:val="397"/>
          <w:jc w:val="center"/>
        </w:trPr>
        <w:tc>
          <w:tcPr>
            <w:tcW w:w="2182" w:type="pct"/>
            <w:tcBorders>
              <w:top w:val="nil"/>
              <w:left w:val="single" w:sz="8" w:space="0" w:color="BFBFBF"/>
              <w:bottom w:val="single" w:sz="8" w:space="0" w:color="BFBFBF"/>
              <w:right w:val="single" w:sz="8" w:space="0" w:color="BFBFBF"/>
            </w:tcBorders>
            <w:noWrap/>
            <w:vAlign w:val="center"/>
            <w:hideMark/>
          </w:tcPr>
          <w:p w14:paraId="53142FBB" w14:textId="77777777" w:rsidR="00A448CA" w:rsidRPr="002048A7" w:rsidRDefault="00A448CA" w:rsidP="001173BD">
            <w:pPr>
              <w:spacing w:after="0" w:line="240" w:lineRule="auto"/>
              <w:rPr>
                <w:rFonts w:ascii="Calibri" w:eastAsia="Times New Roman" w:hAnsi="Calibri"/>
                <w:color w:val="000000"/>
                <w:lang w:eastAsia="tr-TR"/>
              </w:rPr>
            </w:pPr>
            <w:r w:rsidRPr="002048A7">
              <w:rPr>
                <w:rFonts w:ascii="Calibri" w:eastAsia="Times New Roman" w:hAnsi="Calibri"/>
                <w:color w:val="000000"/>
                <w:lang w:eastAsia="tr-TR"/>
              </w:rPr>
              <w:t>Madeni Yağ</w:t>
            </w:r>
          </w:p>
        </w:tc>
        <w:tc>
          <w:tcPr>
            <w:tcW w:w="874" w:type="pct"/>
            <w:tcBorders>
              <w:top w:val="nil"/>
              <w:left w:val="nil"/>
              <w:bottom w:val="single" w:sz="8" w:space="0" w:color="BFBFBF"/>
              <w:right w:val="single" w:sz="8" w:space="0" w:color="BFBFBF"/>
            </w:tcBorders>
            <w:noWrap/>
            <w:vAlign w:val="center"/>
            <w:hideMark/>
          </w:tcPr>
          <w:p w14:paraId="4877FCF6" w14:textId="77777777" w:rsidR="00A448CA" w:rsidRPr="002048A7" w:rsidRDefault="00A448CA" w:rsidP="001173B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12</w:t>
            </w:r>
          </w:p>
        </w:tc>
        <w:tc>
          <w:tcPr>
            <w:tcW w:w="535" w:type="pct"/>
            <w:tcBorders>
              <w:top w:val="nil"/>
              <w:left w:val="nil"/>
              <w:bottom w:val="single" w:sz="8" w:space="0" w:color="BFBFBF"/>
              <w:right w:val="single" w:sz="8" w:space="0" w:color="BFBFBF"/>
            </w:tcBorders>
            <w:noWrap/>
            <w:vAlign w:val="center"/>
            <w:hideMark/>
          </w:tcPr>
          <w:p w14:paraId="3E305603" w14:textId="77777777" w:rsidR="00A448CA" w:rsidRPr="002048A7" w:rsidRDefault="00A448CA" w:rsidP="001173B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3,45</w:t>
            </w:r>
          </w:p>
        </w:tc>
        <w:tc>
          <w:tcPr>
            <w:tcW w:w="842" w:type="pct"/>
            <w:tcBorders>
              <w:top w:val="nil"/>
              <w:left w:val="nil"/>
              <w:bottom w:val="single" w:sz="8" w:space="0" w:color="BFBFBF"/>
              <w:right w:val="single" w:sz="8" w:space="0" w:color="BFBFBF"/>
            </w:tcBorders>
            <w:noWrap/>
            <w:vAlign w:val="center"/>
            <w:hideMark/>
          </w:tcPr>
          <w:p w14:paraId="5F609977" w14:textId="77777777" w:rsidR="00A448CA" w:rsidRPr="002048A7" w:rsidRDefault="00A448CA" w:rsidP="001173BD">
            <w:pPr>
              <w:spacing w:after="0" w:line="240" w:lineRule="auto"/>
              <w:jc w:val="center"/>
              <w:rPr>
                <w:rFonts w:ascii="Calibri" w:eastAsia="Times New Roman" w:hAnsi="Calibri"/>
                <w:color w:val="000000"/>
                <w:lang w:eastAsia="tr-TR"/>
              </w:rPr>
            </w:pPr>
            <w:r>
              <w:rPr>
                <w:rFonts w:ascii="Calibri" w:hAnsi="Calibri" w:cs="Calibri"/>
                <w:iCs/>
                <w:color w:val="000000"/>
              </w:rPr>
              <w:t>1.855.679</w:t>
            </w:r>
          </w:p>
        </w:tc>
        <w:tc>
          <w:tcPr>
            <w:tcW w:w="567" w:type="pct"/>
            <w:tcBorders>
              <w:top w:val="nil"/>
              <w:left w:val="nil"/>
              <w:bottom w:val="single" w:sz="8" w:space="0" w:color="BFBFBF"/>
              <w:right w:val="single" w:sz="8" w:space="0" w:color="BFBFBF"/>
            </w:tcBorders>
            <w:noWrap/>
            <w:vAlign w:val="center"/>
            <w:hideMark/>
          </w:tcPr>
          <w:p w14:paraId="17EC450C" w14:textId="77777777" w:rsidR="00A448CA" w:rsidRPr="002048A7" w:rsidRDefault="00A448CA" w:rsidP="001173B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0,84</w:t>
            </w:r>
          </w:p>
        </w:tc>
      </w:tr>
      <w:tr w:rsidR="00A448CA" w:rsidRPr="002048A7" w14:paraId="75D6E518" w14:textId="77777777" w:rsidTr="001173BD">
        <w:trPr>
          <w:trHeight w:val="397"/>
          <w:jc w:val="center"/>
        </w:trPr>
        <w:tc>
          <w:tcPr>
            <w:tcW w:w="2182" w:type="pct"/>
            <w:tcBorders>
              <w:top w:val="nil"/>
              <w:left w:val="single" w:sz="8" w:space="0" w:color="BFBFBF"/>
              <w:bottom w:val="single" w:sz="8" w:space="0" w:color="BFBFBF"/>
              <w:right w:val="single" w:sz="8" w:space="0" w:color="BFBFBF"/>
            </w:tcBorders>
            <w:noWrap/>
            <w:vAlign w:val="center"/>
            <w:hideMark/>
          </w:tcPr>
          <w:p w14:paraId="4998A996" w14:textId="77777777" w:rsidR="00A448CA" w:rsidRPr="002048A7" w:rsidRDefault="00A448CA" w:rsidP="001173BD">
            <w:pPr>
              <w:spacing w:after="0" w:line="240" w:lineRule="auto"/>
              <w:rPr>
                <w:rFonts w:ascii="Calibri" w:eastAsia="Times New Roman" w:hAnsi="Calibri"/>
                <w:color w:val="000000"/>
                <w:lang w:eastAsia="tr-TR"/>
              </w:rPr>
            </w:pPr>
            <w:r w:rsidRPr="002048A7">
              <w:rPr>
                <w:rFonts w:ascii="Calibri" w:eastAsia="Times New Roman" w:hAnsi="Calibri"/>
                <w:color w:val="000000"/>
                <w:lang w:eastAsia="tr-TR"/>
              </w:rPr>
              <w:t>Depolama</w:t>
            </w:r>
          </w:p>
        </w:tc>
        <w:tc>
          <w:tcPr>
            <w:tcW w:w="874" w:type="pct"/>
            <w:tcBorders>
              <w:top w:val="nil"/>
              <w:left w:val="nil"/>
              <w:bottom w:val="single" w:sz="8" w:space="0" w:color="BFBFBF"/>
              <w:right w:val="single" w:sz="8" w:space="0" w:color="BFBFBF"/>
            </w:tcBorders>
            <w:noWrap/>
            <w:vAlign w:val="center"/>
            <w:hideMark/>
          </w:tcPr>
          <w:p w14:paraId="00AEB298" w14:textId="77777777" w:rsidR="00A448CA" w:rsidRPr="002048A7" w:rsidRDefault="00A448CA" w:rsidP="001173B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w:t>
            </w:r>
          </w:p>
        </w:tc>
        <w:tc>
          <w:tcPr>
            <w:tcW w:w="535" w:type="pct"/>
            <w:tcBorders>
              <w:top w:val="nil"/>
              <w:left w:val="nil"/>
              <w:bottom w:val="single" w:sz="8" w:space="0" w:color="BFBFBF"/>
              <w:right w:val="single" w:sz="8" w:space="0" w:color="BFBFBF"/>
            </w:tcBorders>
            <w:noWrap/>
            <w:vAlign w:val="center"/>
            <w:hideMark/>
          </w:tcPr>
          <w:p w14:paraId="49060F31" w14:textId="77777777" w:rsidR="00A448CA" w:rsidRPr="002048A7" w:rsidRDefault="00A448CA" w:rsidP="001173B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w:t>
            </w:r>
          </w:p>
        </w:tc>
        <w:tc>
          <w:tcPr>
            <w:tcW w:w="842" w:type="pct"/>
            <w:tcBorders>
              <w:top w:val="nil"/>
              <w:left w:val="nil"/>
              <w:bottom w:val="single" w:sz="8" w:space="0" w:color="BFBFBF"/>
              <w:right w:val="single" w:sz="8" w:space="0" w:color="BFBFBF"/>
            </w:tcBorders>
            <w:noWrap/>
            <w:vAlign w:val="center"/>
            <w:hideMark/>
          </w:tcPr>
          <w:p w14:paraId="08819775" w14:textId="77777777" w:rsidR="00A448CA" w:rsidRPr="002048A7" w:rsidRDefault="00A448CA" w:rsidP="001173BD">
            <w:pPr>
              <w:spacing w:after="0" w:line="240" w:lineRule="auto"/>
              <w:jc w:val="center"/>
              <w:rPr>
                <w:rFonts w:ascii="Calibri" w:hAnsi="Calibri" w:cs="Calibri"/>
                <w:color w:val="000000"/>
              </w:rPr>
            </w:pPr>
            <w:r>
              <w:rPr>
                <w:rFonts w:ascii="Calibri" w:hAnsi="Calibri" w:cs="Calibri"/>
                <w:color w:val="000000"/>
              </w:rPr>
              <w:t>0</w:t>
            </w:r>
          </w:p>
        </w:tc>
        <w:tc>
          <w:tcPr>
            <w:tcW w:w="567" w:type="pct"/>
            <w:tcBorders>
              <w:top w:val="nil"/>
              <w:left w:val="nil"/>
              <w:bottom w:val="single" w:sz="8" w:space="0" w:color="BFBFBF"/>
              <w:right w:val="single" w:sz="8" w:space="0" w:color="BFBFBF"/>
            </w:tcBorders>
            <w:noWrap/>
            <w:vAlign w:val="center"/>
            <w:hideMark/>
          </w:tcPr>
          <w:p w14:paraId="6E9C1B79" w14:textId="77777777" w:rsidR="00A448CA" w:rsidRPr="002048A7" w:rsidRDefault="00A448CA" w:rsidP="001173B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w:t>
            </w:r>
          </w:p>
        </w:tc>
      </w:tr>
      <w:tr w:rsidR="00A448CA" w:rsidRPr="002048A7" w14:paraId="53FC3D58" w14:textId="77777777" w:rsidTr="001173BD">
        <w:trPr>
          <w:trHeight w:val="397"/>
          <w:jc w:val="center"/>
        </w:trPr>
        <w:tc>
          <w:tcPr>
            <w:tcW w:w="2182" w:type="pct"/>
            <w:tcBorders>
              <w:top w:val="nil"/>
              <w:left w:val="single" w:sz="8" w:space="0" w:color="BFBFBF"/>
              <w:bottom w:val="single" w:sz="8" w:space="0" w:color="BFBFBF"/>
              <w:right w:val="single" w:sz="8" w:space="0" w:color="BFBFBF"/>
            </w:tcBorders>
            <w:noWrap/>
            <w:vAlign w:val="center"/>
            <w:hideMark/>
          </w:tcPr>
          <w:p w14:paraId="501FB889" w14:textId="77777777" w:rsidR="00A448CA" w:rsidRPr="002048A7" w:rsidRDefault="00A448CA" w:rsidP="001173BD">
            <w:pPr>
              <w:spacing w:after="0" w:line="240" w:lineRule="auto"/>
              <w:rPr>
                <w:rFonts w:ascii="Calibri" w:eastAsia="Times New Roman" w:hAnsi="Calibri"/>
                <w:color w:val="000000"/>
                <w:lang w:eastAsia="tr-TR"/>
              </w:rPr>
            </w:pPr>
            <w:r w:rsidRPr="002048A7">
              <w:rPr>
                <w:rFonts w:ascii="Calibri" w:eastAsia="Times New Roman" w:hAnsi="Calibri"/>
                <w:color w:val="000000"/>
                <w:lang w:eastAsia="tr-TR"/>
              </w:rPr>
              <w:t>Kurumca Yetki Verilen Otomasyon Firmaları</w:t>
            </w:r>
          </w:p>
        </w:tc>
        <w:tc>
          <w:tcPr>
            <w:tcW w:w="874" w:type="pct"/>
            <w:tcBorders>
              <w:top w:val="nil"/>
              <w:left w:val="nil"/>
              <w:bottom w:val="single" w:sz="8" w:space="0" w:color="BFBFBF"/>
              <w:right w:val="single" w:sz="8" w:space="0" w:color="BFBFBF"/>
            </w:tcBorders>
            <w:noWrap/>
            <w:vAlign w:val="center"/>
            <w:hideMark/>
          </w:tcPr>
          <w:p w14:paraId="6BF7527B" w14:textId="77777777" w:rsidR="00A448CA" w:rsidRPr="002048A7" w:rsidRDefault="00A448CA" w:rsidP="001173B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w:t>
            </w:r>
          </w:p>
        </w:tc>
        <w:tc>
          <w:tcPr>
            <w:tcW w:w="535" w:type="pct"/>
            <w:tcBorders>
              <w:top w:val="nil"/>
              <w:left w:val="nil"/>
              <w:bottom w:val="single" w:sz="8" w:space="0" w:color="BFBFBF"/>
              <w:right w:val="single" w:sz="8" w:space="0" w:color="BFBFBF"/>
            </w:tcBorders>
            <w:noWrap/>
            <w:vAlign w:val="center"/>
            <w:hideMark/>
          </w:tcPr>
          <w:p w14:paraId="0A243C69" w14:textId="77777777" w:rsidR="00A448CA" w:rsidRPr="002048A7" w:rsidRDefault="00A448CA" w:rsidP="001173B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w:t>
            </w:r>
          </w:p>
        </w:tc>
        <w:tc>
          <w:tcPr>
            <w:tcW w:w="842" w:type="pct"/>
            <w:tcBorders>
              <w:top w:val="nil"/>
              <w:left w:val="nil"/>
              <w:bottom w:val="single" w:sz="8" w:space="0" w:color="BFBFBF"/>
              <w:right w:val="single" w:sz="8" w:space="0" w:color="BFBFBF"/>
            </w:tcBorders>
            <w:noWrap/>
            <w:vAlign w:val="center"/>
            <w:hideMark/>
          </w:tcPr>
          <w:p w14:paraId="2B2E4836" w14:textId="77777777" w:rsidR="00A448CA" w:rsidRPr="002048A7" w:rsidRDefault="00A448CA" w:rsidP="001173BD">
            <w:pPr>
              <w:spacing w:after="0" w:line="240" w:lineRule="auto"/>
              <w:jc w:val="center"/>
              <w:rPr>
                <w:rFonts w:ascii="Calibri" w:eastAsia="Times New Roman" w:hAnsi="Calibri"/>
                <w:color w:val="000000"/>
                <w:lang w:eastAsia="tr-TR"/>
              </w:rPr>
            </w:pPr>
            <w:r>
              <w:rPr>
                <w:rFonts w:ascii="Calibri" w:hAnsi="Calibri" w:cs="Calibri"/>
                <w:color w:val="000000"/>
              </w:rPr>
              <w:t>0</w:t>
            </w:r>
          </w:p>
        </w:tc>
        <w:tc>
          <w:tcPr>
            <w:tcW w:w="567" w:type="pct"/>
            <w:tcBorders>
              <w:top w:val="nil"/>
              <w:left w:val="nil"/>
              <w:bottom w:val="single" w:sz="8" w:space="0" w:color="BFBFBF"/>
              <w:right w:val="single" w:sz="8" w:space="0" w:color="BFBFBF"/>
            </w:tcBorders>
            <w:noWrap/>
            <w:vAlign w:val="center"/>
            <w:hideMark/>
          </w:tcPr>
          <w:p w14:paraId="2994FEB5" w14:textId="77777777" w:rsidR="00A448CA" w:rsidRPr="002048A7" w:rsidRDefault="00A448CA" w:rsidP="001173B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w:t>
            </w:r>
          </w:p>
        </w:tc>
      </w:tr>
      <w:tr w:rsidR="00A448CA" w:rsidRPr="002048A7" w14:paraId="6D370D3C" w14:textId="77777777" w:rsidTr="001173BD">
        <w:trPr>
          <w:trHeight w:val="397"/>
          <w:jc w:val="center"/>
        </w:trPr>
        <w:tc>
          <w:tcPr>
            <w:tcW w:w="2182" w:type="pct"/>
            <w:tcBorders>
              <w:top w:val="nil"/>
              <w:left w:val="single" w:sz="8" w:space="0" w:color="BFBFBF"/>
              <w:bottom w:val="single" w:sz="8" w:space="0" w:color="BFBFBF"/>
              <w:right w:val="single" w:sz="8" w:space="0" w:color="BFBFBF"/>
            </w:tcBorders>
            <w:noWrap/>
            <w:vAlign w:val="center"/>
            <w:hideMark/>
          </w:tcPr>
          <w:p w14:paraId="0ECA3FC6" w14:textId="77777777" w:rsidR="00A448CA" w:rsidRPr="002048A7" w:rsidRDefault="00A448CA" w:rsidP="001173BD">
            <w:pPr>
              <w:spacing w:after="0" w:line="240" w:lineRule="auto"/>
              <w:rPr>
                <w:rFonts w:ascii="Calibri" w:eastAsia="Times New Roman" w:hAnsi="Calibri"/>
                <w:b/>
                <w:bCs/>
                <w:color w:val="000000"/>
                <w:lang w:eastAsia="tr-TR"/>
              </w:rPr>
            </w:pPr>
            <w:r w:rsidRPr="002048A7">
              <w:rPr>
                <w:rFonts w:ascii="Calibri" w:eastAsia="Times New Roman" w:hAnsi="Calibri"/>
                <w:b/>
                <w:bCs/>
                <w:color w:val="000000"/>
                <w:lang w:eastAsia="tr-TR"/>
              </w:rPr>
              <w:t>Toplam</w:t>
            </w:r>
          </w:p>
        </w:tc>
        <w:tc>
          <w:tcPr>
            <w:tcW w:w="874" w:type="pct"/>
            <w:tcBorders>
              <w:top w:val="nil"/>
              <w:left w:val="nil"/>
              <w:bottom w:val="single" w:sz="8" w:space="0" w:color="BFBFBF"/>
              <w:right w:val="single" w:sz="8" w:space="0" w:color="BFBFBF"/>
            </w:tcBorders>
            <w:noWrap/>
            <w:vAlign w:val="center"/>
            <w:hideMark/>
          </w:tcPr>
          <w:p w14:paraId="7FFD4A7E" w14:textId="77777777" w:rsidR="00A448CA" w:rsidRPr="002048A7" w:rsidRDefault="00A448CA" w:rsidP="001173BD">
            <w:pPr>
              <w:spacing w:after="0" w:line="240" w:lineRule="auto"/>
              <w:jc w:val="center"/>
              <w:rPr>
                <w:rFonts w:ascii="Calibri" w:eastAsia="Times New Roman" w:hAnsi="Calibri"/>
                <w:b/>
                <w:bCs/>
                <w:color w:val="000000"/>
                <w:lang w:eastAsia="tr-TR"/>
              </w:rPr>
            </w:pPr>
            <w:r>
              <w:rPr>
                <w:rFonts w:ascii="Calibri" w:eastAsia="Times New Roman" w:hAnsi="Calibri"/>
                <w:b/>
                <w:bCs/>
                <w:color w:val="000000"/>
                <w:lang w:eastAsia="tr-TR"/>
              </w:rPr>
              <w:t>348</w:t>
            </w:r>
          </w:p>
        </w:tc>
        <w:tc>
          <w:tcPr>
            <w:tcW w:w="535" w:type="pct"/>
            <w:tcBorders>
              <w:top w:val="nil"/>
              <w:left w:val="nil"/>
              <w:bottom w:val="single" w:sz="8" w:space="0" w:color="BFBFBF"/>
              <w:right w:val="single" w:sz="8" w:space="0" w:color="BFBFBF"/>
            </w:tcBorders>
            <w:noWrap/>
            <w:vAlign w:val="center"/>
            <w:hideMark/>
          </w:tcPr>
          <w:p w14:paraId="331FD37D" w14:textId="77777777" w:rsidR="00A448CA" w:rsidRPr="002048A7" w:rsidRDefault="00A448CA" w:rsidP="001173BD">
            <w:pPr>
              <w:spacing w:after="0" w:line="240" w:lineRule="auto"/>
              <w:jc w:val="center"/>
              <w:rPr>
                <w:rFonts w:ascii="Calibri" w:eastAsia="Times New Roman" w:hAnsi="Calibri"/>
                <w:b/>
                <w:bCs/>
                <w:color w:val="000000"/>
                <w:lang w:eastAsia="tr-TR"/>
              </w:rPr>
            </w:pPr>
            <w:r w:rsidRPr="002048A7">
              <w:rPr>
                <w:rFonts w:ascii="Calibri" w:eastAsia="Times New Roman" w:hAnsi="Calibri"/>
                <w:b/>
                <w:bCs/>
                <w:color w:val="000000"/>
                <w:lang w:eastAsia="tr-TR"/>
              </w:rPr>
              <w:t>100</w:t>
            </w:r>
          </w:p>
        </w:tc>
        <w:tc>
          <w:tcPr>
            <w:tcW w:w="842" w:type="pct"/>
            <w:tcBorders>
              <w:top w:val="nil"/>
              <w:left w:val="nil"/>
              <w:bottom w:val="single" w:sz="8" w:space="0" w:color="BFBFBF"/>
              <w:right w:val="single" w:sz="8" w:space="0" w:color="BFBFBF"/>
            </w:tcBorders>
            <w:noWrap/>
            <w:vAlign w:val="center"/>
            <w:hideMark/>
          </w:tcPr>
          <w:p w14:paraId="670124DF" w14:textId="77777777" w:rsidR="00A448CA" w:rsidRPr="002048A7" w:rsidRDefault="00A448CA" w:rsidP="001173BD">
            <w:pPr>
              <w:spacing w:after="0" w:line="240" w:lineRule="auto"/>
              <w:jc w:val="center"/>
              <w:rPr>
                <w:rFonts w:ascii="Calibri" w:eastAsia="Times New Roman" w:hAnsi="Calibri"/>
                <w:b/>
                <w:bCs/>
                <w:color w:val="000000"/>
                <w:lang w:eastAsia="tr-TR"/>
              </w:rPr>
            </w:pPr>
            <w:r>
              <w:rPr>
                <w:rFonts w:ascii="Calibri" w:eastAsia="Times New Roman" w:hAnsi="Calibri"/>
                <w:b/>
                <w:bCs/>
                <w:color w:val="000000"/>
                <w:lang w:eastAsia="tr-TR"/>
              </w:rPr>
              <w:t>221.302.432</w:t>
            </w:r>
          </w:p>
        </w:tc>
        <w:tc>
          <w:tcPr>
            <w:tcW w:w="567" w:type="pct"/>
            <w:tcBorders>
              <w:top w:val="nil"/>
              <w:left w:val="nil"/>
              <w:bottom w:val="single" w:sz="8" w:space="0" w:color="BFBFBF"/>
              <w:right w:val="single" w:sz="8" w:space="0" w:color="BFBFBF"/>
            </w:tcBorders>
            <w:noWrap/>
            <w:vAlign w:val="center"/>
            <w:hideMark/>
          </w:tcPr>
          <w:p w14:paraId="31F05D46" w14:textId="77777777" w:rsidR="00A448CA" w:rsidRPr="002048A7" w:rsidRDefault="00A448CA" w:rsidP="001173BD">
            <w:pPr>
              <w:spacing w:after="0" w:line="240" w:lineRule="auto"/>
              <w:jc w:val="center"/>
              <w:rPr>
                <w:rFonts w:ascii="Calibri" w:eastAsia="Times New Roman" w:hAnsi="Calibri"/>
                <w:b/>
                <w:bCs/>
                <w:color w:val="000000"/>
                <w:lang w:eastAsia="tr-TR"/>
              </w:rPr>
            </w:pPr>
            <w:r w:rsidRPr="002048A7">
              <w:rPr>
                <w:rFonts w:ascii="Calibri" w:eastAsia="Times New Roman" w:hAnsi="Calibri"/>
                <w:b/>
                <w:bCs/>
                <w:color w:val="000000"/>
                <w:lang w:eastAsia="tr-TR"/>
              </w:rPr>
              <w:t>100</w:t>
            </w:r>
          </w:p>
        </w:tc>
      </w:tr>
    </w:tbl>
    <w:p w14:paraId="7403A996" w14:textId="77777777" w:rsidR="00A448CA" w:rsidRPr="002048A7" w:rsidRDefault="00A448CA" w:rsidP="00A448CA">
      <w:pPr>
        <w:spacing w:after="0"/>
      </w:pPr>
    </w:p>
    <w:p w14:paraId="4B8DC3D2" w14:textId="77777777" w:rsidR="00A448CA" w:rsidRPr="002048A7" w:rsidRDefault="00A448CA" w:rsidP="00A448CA">
      <w:pPr>
        <w:pStyle w:val="Balk5"/>
        <w:spacing w:after="240"/>
        <w:jc w:val="center"/>
        <w:rPr>
          <w:rStyle w:val="Gl"/>
          <w:color w:val="000000" w:themeColor="text1"/>
        </w:rPr>
      </w:pPr>
      <w:bookmarkStart w:id="316" w:name="_Toc195868839"/>
      <w:r w:rsidRPr="002048A7">
        <w:rPr>
          <w:rStyle w:val="Gl"/>
          <w:color w:val="000000" w:themeColor="text1"/>
        </w:rPr>
        <w:t>Tablo 6.</w:t>
      </w:r>
      <w:r>
        <w:rPr>
          <w:rStyle w:val="Gl"/>
          <w:color w:val="000000" w:themeColor="text1"/>
        </w:rPr>
        <w:t>5</w:t>
      </w:r>
      <w:r w:rsidRPr="002048A7">
        <w:rPr>
          <w:rStyle w:val="Gl"/>
          <w:color w:val="000000" w:themeColor="text1"/>
        </w:rPr>
        <w:t>: Petrol Piyasasında 202</w:t>
      </w:r>
      <w:r>
        <w:rPr>
          <w:rStyle w:val="Gl"/>
          <w:color w:val="000000" w:themeColor="text1"/>
        </w:rPr>
        <w:t>3</w:t>
      </w:r>
      <w:r w:rsidRPr="002048A7">
        <w:rPr>
          <w:rStyle w:val="Gl"/>
          <w:color w:val="000000" w:themeColor="text1"/>
        </w:rPr>
        <w:t>-202</w:t>
      </w:r>
      <w:r>
        <w:rPr>
          <w:rStyle w:val="Gl"/>
          <w:color w:val="000000" w:themeColor="text1"/>
        </w:rPr>
        <w:t>4</w:t>
      </w:r>
      <w:r w:rsidRPr="002048A7">
        <w:rPr>
          <w:rStyle w:val="Gl"/>
          <w:color w:val="000000" w:themeColor="text1"/>
        </w:rPr>
        <w:t xml:space="preserve"> Yıllarında Uygulanan İdari Para Cezalarının Lisans Tipine Göre Dağılımı</w:t>
      </w:r>
      <w:bookmarkEnd w:id="316"/>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4042"/>
        <w:gridCol w:w="2299"/>
        <w:gridCol w:w="684"/>
        <w:gridCol w:w="2204"/>
        <w:gridCol w:w="682"/>
      </w:tblGrid>
      <w:tr w:rsidR="00A448CA" w:rsidRPr="002048A7" w14:paraId="44FBE7F4" w14:textId="77777777" w:rsidTr="001173BD">
        <w:trPr>
          <w:trHeight w:val="397"/>
          <w:jc w:val="center"/>
        </w:trPr>
        <w:tc>
          <w:tcPr>
            <w:tcW w:w="2039" w:type="pct"/>
            <w:vMerge w:val="restart"/>
            <w:shd w:val="clear" w:color="000000" w:fill="6E9ECA"/>
            <w:vAlign w:val="center"/>
            <w:hideMark/>
          </w:tcPr>
          <w:p w14:paraId="189E3186" w14:textId="77777777" w:rsidR="00A448CA" w:rsidRPr="002048A7" w:rsidRDefault="00A448CA" w:rsidP="001173BD">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 Lisans Tipi</w:t>
            </w:r>
          </w:p>
        </w:tc>
        <w:tc>
          <w:tcPr>
            <w:tcW w:w="1505" w:type="pct"/>
            <w:gridSpan w:val="2"/>
            <w:shd w:val="clear" w:color="000000" w:fill="6E9ECA"/>
            <w:vAlign w:val="center"/>
            <w:hideMark/>
          </w:tcPr>
          <w:p w14:paraId="07DE9A2E" w14:textId="77777777" w:rsidR="00A448CA" w:rsidRPr="002048A7" w:rsidRDefault="00A448CA" w:rsidP="001173BD">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202</w:t>
            </w:r>
            <w:r>
              <w:rPr>
                <w:rFonts w:ascii="Calibri" w:eastAsia="Times New Roman" w:hAnsi="Calibri"/>
                <w:b/>
                <w:bCs/>
                <w:color w:val="FFFFFF"/>
                <w:lang w:eastAsia="tr-TR"/>
              </w:rPr>
              <w:t>3</w:t>
            </w:r>
            <w:r w:rsidRPr="002048A7">
              <w:rPr>
                <w:rFonts w:ascii="Calibri" w:eastAsia="Times New Roman" w:hAnsi="Calibri"/>
                <w:b/>
                <w:bCs/>
                <w:color w:val="FFFFFF"/>
                <w:lang w:eastAsia="tr-TR"/>
              </w:rPr>
              <w:t xml:space="preserve"> Yılı</w:t>
            </w:r>
          </w:p>
        </w:tc>
        <w:tc>
          <w:tcPr>
            <w:tcW w:w="1456" w:type="pct"/>
            <w:gridSpan w:val="2"/>
            <w:shd w:val="clear" w:color="000000" w:fill="6E9ECA"/>
            <w:vAlign w:val="center"/>
            <w:hideMark/>
          </w:tcPr>
          <w:p w14:paraId="01CD888B" w14:textId="77777777" w:rsidR="00A448CA" w:rsidRPr="002048A7" w:rsidRDefault="00A448CA" w:rsidP="001173BD">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202</w:t>
            </w:r>
            <w:r>
              <w:rPr>
                <w:rFonts w:ascii="Calibri" w:eastAsia="Times New Roman" w:hAnsi="Calibri"/>
                <w:b/>
                <w:bCs/>
                <w:color w:val="FFFFFF"/>
                <w:lang w:eastAsia="tr-TR"/>
              </w:rPr>
              <w:t>4</w:t>
            </w:r>
            <w:r w:rsidRPr="002048A7">
              <w:rPr>
                <w:rFonts w:ascii="Calibri" w:eastAsia="Times New Roman" w:hAnsi="Calibri"/>
                <w:b/>
                <w:bCs/>
                <w:color w:val="FFFFFF"/>
                <w:lang w:eastAsia="tr-TR"/>
              </w:rPr>
              <w:t xml:space="preserve"> Yılı</w:t>
            </w:r>
          </w:p>
        </w:tc>
      </w:tr>
      <w:tr w:rsidR="00A448CA" w:rsidRPr="002048A7" w14:paraId="34FABD51" w14:textId="77777777" w:rsidTr="001173BD">
        <w:trPr>
          <w:trHeight w:val="397"/>
          <w:jc w:val="center"/>
        </w:trPr>
        <w:tc>
          <w:tcPr>
            <w:tcW w:w="2039" w:type="pct"/>
            <w:vMerge/>
            <w:vAlign w:val="center"/>
            <w:hideMark/>
          </w:tcPr>
          <w:p w14:paraId="0EFE62F9" w14:textId="77777777" w:rsidR="00A448CA" w:rsidRPr="002048A7" w:rsidRDefault="00A448CA" w:rsidP="001173BD">
            <w:pPr>
              <w:spacing w:after="0" w:line="240" w:lineRule="auto"/>
              <w:rPr>
                <w:rFonts w:ascii="Calibri" w:eastAsia="Times New Roman" w:hAnsi="Calibri"/>
                <w:b/>
                <w:bCs/>
                <w:color w:val="FFFFFF"/>
                <w:lang w:eastAsia="tr-TR"/>
              </w:rPr>
            </w:pPr>
          </w:p>
        </w:tc>
        <w:tc>
          <w:tcPr>
            <w:tcW w:w="1160" w:type="pct"/>
            <w:shd w:val="clear" w:color="000000" w:fill="6E9ECA"/>
            <w:vAlign w:val="center"/>
            <w:hideMark/>
          </w:tcPr>
          <w:p w14:paraId="5027A114" w14:textId="77777777" w:rsidR="00A448CA" w:rsidRPr="002048A7" w:rsidRDefault="00A448CA" w:rsidP="001173BD">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İdari Para Cezası Tutarı (TL)</w:t>
            </w:r>
          </w:p>
        </w:tc>
        <w:tc>
          <w:tcPr>
            <w:tcW w:w="345" w:type="pct"/>
            <w:shd w:val="clear" w:color="000000" w:fill="6E9ECA"/>
            <w:vAlign w:val="center"/>
            <w:hideMark/>
          </w:tcPr>
          <w:p w14:paraId="1B5B6611" w14:textId="77777777" w:rsidR="00A448CA" w:rsidRPr="002048A7" w:rsidRDefault="00A448CA" w:rsidP="001173BD">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Oran (%)</w:t>
            </w:r>
          </w:p>
        </w:tc>
        <w:tc>
          <w:tcPr>
            <w:tcW w:w="1112" w:type="pct"/>
            <w:shd w:val="clear" w:color="000000" w:fill="6E9ECA"/>
            <w:vAlign w:val="center"/>
            <w:hideMark/>
          </w:tcPr>
          <w:p w14:paraId="1C675FF0" w14:textId="77777777" w:rsidR="00A448CA" w:rsidRPr="002048A7" w:rsidRDefault="00A448CA" w:rsidP="001173BD">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İdari Para Cezası Tutarı (TL)</w:t>
            </w:r>
          </w:p>
        </w:tc>
        <w:tc>
          <w:tcPr>
            <w:tcW w:w="344" w:type="pct"/>
            <w:shd w:val="clear" w:color="000000" w:fill="6E9ECA"/>
            <w:vAlign w:val="center"/>
            <w:hideMark/>
          </w:tcPr>
          <w:p w14:paraId="44D831C9" w14:textId="77777777" w:rsidR="00A448CA" w:rsidRPr="002048A7" w:rsidRDefault="00A448CA" w:rsidP="001173BD">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Oran (%)</w:t>
            </w:r>
          </w:p>
        </w:tc>
      </w:tr>
      <w:tr w:rsidR="00A448CA" w:rsidRPr="002048A7" w14:paraId="6521891F" w14:textId="77777777" w:rsidTr="001173BD">
        <w:trPr>
          <w:trHeight w:val="397"/>
          <w:jc w:val="center"/>
        </w:trPr>
        <w:tc>
          <w:tcPr>
            <w:tcW w:w="2039" w:type="pct"/>
            <w:shd w:val="clear" w:color="auto" w:fill="auto"/>
            <w:noWrap/>
            <w:vAlign w:val="center"/>
            <w:hideMark/>
          </w:tcPr>
          <w:p w14:paraId="123DA957" w14:textId="77777777" w:rsidR="00A448CA" w:rsidRPr="002048A7" w:rsidRDefault="00A448CA" w:rsidP="001173BD">
            <w:pPr>
              <w:spacing w:after="0" w:line="240" w:lineRule="auto"/>
              <w:rPr>
                <w:rFonts w:ascii="Calibri" w:eastAsia="Times New Roman" w:hAnsi="Calibri"/>
                <w:color w:val="000000"/>
                <w:lang w:eastAsia="tr-TR"/>
              </w:rPr>
            </w:pPr>
            <w:r w:rsidRPr="002048A7">
              <w:rPr>
                <w:rFonts w:ascii="Calibri" w:eastAsia="Times New Roman" w:hAnsi="Calibri"/>
                <w:color w:val="000000"/>
                <w:lang w:eastAsia="tr-TR"/>
              </w:rPr>
              <w:t>Dağıtıcı</w:t>
            </w:r>
          </w:p>
        </w:tc>
        <w:tc>
          <w:tcPr>
            <w:tcW w:w="1160" w:type="pct"/>
            <w:shd w:val="clear" w:color="auto" w:fill="auto"/>
            <w:noWrap/>
            <w:vAlign w:val="center"/>
            <w:hideMark/>
          </w:tcPr>
          <w:p w14:paraId="62962B12" w14:textId="77777777" w:rsidR="00A448CA" w:rsidRPr="002048A7" w:rsidRDefault="00A448CA" w:rsidP="001173BD">
            <w:pPr>
              <w:spacing w:after="0" w:line="240" w:lineRule="auto"/>
              <w:jc w:val="right"/>
              <w:rPr>
                <w:rFonts w:ascii="Calibri" w:eastAsia="Times New Roman" w:hAnsi="Calibri"/>
                <w:color w:val="000000"/>
                <w:lang w:eastAsia="tr-TR"/>
              </w:rPr>
            </w:pPr>
            <w:r w:rsidRPr="002048A7">
              <w:rPr>
                <w:rFonts w:ascii="Calibri" w:hAnsi="Calibri" w:cs="Calibri"/>
                <w:iCs/>
                <w:color w:val="000000"/>
              </w:rPr>
              <w:t>449.020.580</w:t>
            </w:r>
          </w:p>
        </w:tc>
        <w:tc>
          <w:tcPr>
            <w:tcW w:w="345" w:type="pct"/>
            <w:shd w:val="clear" w:color="auto" w:fill="auto"/>
            <w:noWrap/>
            <w:vAlign w:val="center"/>
            <w:hideMark/>
          </w:tcPr>
          <w:p w14:paraId="35FF41C8" w14:textId="77777777" w:rsidR="00A448CA" w:rsidRPr="002048A7" w:rsidRDefault="00A448CA" w:rsidP="001173BD">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86,65</w:t>
            </w:r>
          </w:p>
        </w:tc>
        <w:tc>
          <w:tcPr>
            <w:tcW w:w="1112" w:type="pct"/>
            <w:shd w:val="clear" w:color="auto" w:fill="auto"/>
            <w:vAlign w:val="center"/>
          </w:tcPr>
          <w:p w14:paraId="1C8B733F" w14:textId="77777777" w:rsidR="00A448CA" w:rsidRPr="002048A7" w:rsidRDefault="00A448CA" w:rsidP="001173BD">
            <w:pPr>
              <w:spacing w:after="0" w:line="240" w:lineRule="auto"/>
              <w:jc w:val="right"/>
              <w:rPr>
                <w:rFonts w:ascii="Calibri" w:eastAsia="Times New Roman" w:hAnsi="Calibri"/>
                <w:color w:val="000000"/>
                <w:lang w:eastAsia="tr-TR"/>
              </w:rPr>
            </w:pPr>
            <w:r>
              <w:rPr>
                <w:rFonts w:ascii="Calibri" w:hAnsi="Calibri" w:cs="Calibri"/>
                <w:iCs/>
                <w:color w:val="000000"/>
              </w:rPr>
              <w:t>123.007.881</w:t>
            </w:r>
          </w:p>
        </w:tc>
        <w:tc>
          <w:tcPr>
            <w:tcW w:w="344" w:type="pct"/>
            <w:shd w:val="clear" w:color="auto" w:fill="auto"/>
            <w:vAlign w:val="center"/>
          </w:tcPr>
          <w:p w14:paraId="2CD0E658" w14:textId="77777777" w:rsidR="00A448CA" w:rsidRPr="002048A7" w:rsidRDefault="00A448CA" w:rsidP="001173B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55,59</w:t>
            </w:r>
          </w:p>
        </w:tc>
      </w:tr>
      <w:tr w:rsidR="00A448CA" w:rsidRPr="002048A7" w14:paraId="6E1AED56" w14:textId="77777777" w:rsidTr="001173BD">
        <w:trPr>
          <w:trHeight w:val="397"/>
          <w:jc w:val="center"/>
        </w:trPr>
        <w:tc>
          <w:tcPr>
            <w:tcW w:w="2039" w:type="pct"/>
            <w:shd w:val="clear" w:color="auto" w:fill="auto"/>
            <w:noWrap/>
            <w:vAlign w:val="center"/>
          </w:tcPr>
          <w:p w14:paraId="52964B38" w14:textId="77777777" w:rsidR="00A448CA" w:rsidRPr="002048A7" w:rsidRDefault="00A448CA" w:rsidP="001173BD">
            <w:pPr>
              <w:spacing w:after="0" w:line="240" w:lineRule="auto"/>
              <w:rPr>
                <w:rFonts w:ascii="Calibri" w:eastAsia="Times New Roman" w:hAnsi="Calibri"/>
                <w:color w:val="000000"/>
                <w:lang w:eastAsia="tr-TR"/>
              </w:rPr>
            </w:pPr>
            <w:r w:rsidRPr="002048A7">
              <w:rPr>
                <w:rFonts w:ascii="Calibri" w:eastAsia="Times New Roman" w:hAnsi="Calibri"/>
                <w:color w:val="000000"/>
                <w:lang w:eastAsia="tr-TR"/>
              </w:rPr>
              <w:t>Bayilik</w:t>
            </w:r>
          </w:p>
        </w:tc>
        <w:tc>
          <w:tcPr>
            <w:tcW w:w="1160" w:type="pct"/>
            <w:shd w:val="clear" w:color="auto" w:fill="auto"/>
            <w:noWrap/>
            <w:vAlign w:val="center"/>
          </w:tcPr>
          <w:p w14:paraId="6AD07ED4" w14:textId="77777777" w:rsidR="00A448CA" w:rsidRPr="002048A7" w:rsidRDefault="00A448CA" w:rsidP="001173BD">
            <w:pPr>
              <w:spacing w:after="0" w:line="240" w:lineRule="auto"/>
              <w:jc w:val="right"/>
              <w:rPr>
                <w:rFonts w:ascii="Calibri" w:eastAsia="Times New Roman" w:hAnsi="Calibri"/>
                <w:color w:val="000000"/>
                <w:lang w:eastAsia="tr-TR"/>
              </w:rPr>
            </w:pPr>
            <w:r w:rsidRPr="002048A7">
              <w:rPr>
                <w:rFonts w:ascii="Calibri" w:hAnsi="Calibri" w:cs="Calibri"/>
                <w:iCs/>
                <w:color w:val="000000"/>
              </w:rPr>
              <w:t>59.499.849</w:t>
            </w:r>
          </w:p>
        </w:tc>
        <w:tc>
          <w:tcPr>
            <w:tcW w:w="345" w:type="pct"/>
            <w:shd w:val="clear" w:color="auto" w:fill="auto"/>
            <w:noWrap/>
            <w:vAlign w:val="center"/>
          </w:tcPr>
          <w:p w14:paraId="5B9E82E6" w14:textId="77777777" w:rsidR="00A448CA" w:rsidRPr="002048A7" w:rsidRDefault="00A448CA" w:rsidP="001173BD">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11,48</w:t>
            </w:r>
          </w:p>
        </w:tc>
        <w:tc>
          <w:tcPr>
            <w:tcW w:w="1112" w:type="pct"/>
            <w:shd w:val="clear" w:color="auto" w:fill="auto"/>
            <w:vAlign w:val="center"/>
          </w:tcPr>
          <w:p w14:paraId="6B10A35E" w14:textId="77777777" w:rsidR="00A448CA" w:rsidRPr="002048A7" w:rsidRDefault="00A448CA" w:rsidP="001173BD">
            <w:pPr>
              <w:spacing w:after="0" w:line="240" w:lineRule="auto"/>
              <w:jc w:val="right"/>
              <w:rPr>
                <w:rFonts w:ascii="Calibri" w:eastAsia="Times New Roman" w:hAnsi="Calibri"/>
                <w:color w:val="000000"/>
                <w:lang w:eastAsia="tr-TR"/>
              </w:rPr>
            </w:pPr>
            <w:r w:rsidRPr="00F2611A">
              <w:rPr>
                <w:rFonts w:ascii="Calibri" w:hAnsi="Calibri" w:cs="Calibri"/>
                <w:iCs/>
                <w:color w:val="000000"/>
              </w:rPr>
              <w:t>96.438.872</w:t>
            </w:r>
          </w:p>
        </w:tc>
        <w:tc>
          <w:tcPr>
            <w:tcW w:w="344" w:type="pct"/>
            <w:shd w:val="clear" w:color="auto" w:fill="auto"/>
            <w:vAlign w:val="center"/>
          </w:tcPr>
          <w:p w14:paraId="785849FA" w14:textId="77777777" w:rsidR="00A448CA" w:rsidRPr="002048A7" w:rsidRDefault="00A448CA" w:rsidP="001173B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43,57</w:t>
            </w:r>
          </w:p>
        </w:tc>
      </w:tr>
      <w:tr w:rsidR="00A448CA" w:rsidRPr="002048A7" w14:paraId="000C347D" w14:textId="77777777" w:rsidTr="001173BD">
        <w:trPr>
          <w:trHeight w:val="397"/>
          <w:jc w:val="center"/>
        </w:trPr>
        <w:tc>
          <w:tcPr>
            <w:tcW w:w="2039" w:type="pct"/>
            <w:shd w:val="clear" w:color="auto" w:fill="auto"/>
            <w:noWrap/>
            <w:vAlign w:val="center"/>
          </w:tcPr>
          <w:p w14:paraId="1A0FDD47" w14:textId="77777777" w:rsidR="00A448CA" w:rsidRPr="002048A7" w:rsidRDefault="00A448CA" w:rsidP="001173BD">
            <w:pPr>
              <w:spacing w:after="0" w:line="240" w:lineRule="auto"/>
              <w:rPr>
                <w:rFonts w:ascii="Calibri" w:eastAsia="Times New Roman" w:hAnsi="Calibri"/>
                <w:color w:val="000000"/>
                <w:lang w:eastAsia="tr-TR"/>
              </w:rPr>
            </w:pPr>
            <w:r w:rsidRPr="002048A7">
              <w:rPr>
                <w:rFonts w:ascii="Calibri" w:eastAsia="Times New Roman" w:hAnsi="Calibri"/>
                <w:color w:val="000000"/>
                <w:lang w:eastAsia="tr-TR"/>
              </w:rPr>
              <w:t>İşleme</w:t>
            </w:r>
          </w:p>
        </w:tc>
        <w:tc>
          <w:tcPr>
            <w:tcW w:w="1160" w:type="pct"/>
            <w:shd w:val="clear" w:color="auto" w:fill="auto"/>
            <w:noWrap/>
            <w:vAlign w:val="center"/>
          </w:tcPr>
          <w:p w14:paraId="6DA8A8F5" w14:textId="77777777" w:rsidR="00A448CA" w:rsidRPr="002048A7" w:rsidRDefault="00A448CA" w:rsidP="0089088E">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w:t>
            </w:r>
          </w:p>
        </w:tc>
        <w:tc>
          <w:tcPr>
            <w:tcW w:w="345" w:type="pct"/>
            <w:shd w:val="clear" w:color="auto" w:fill="auto"/>
            <w:noWrap/>
            <w:vAlign w:val="center"/>
          </w:tcPr>
          <w:p w14:paraId="7A66B9BC" w14:textId="77777777" w:rsidR="00A448CA" w:rsidRPr="002048A7" w:rsidRDefault="00A448CA" w:rsidP="001173B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w:t>
            </w:r>
          </w:p>
        </w:tc>
        <w:tc>
          <w:tcPr>
            <w:tcW w:w="1112" w:type="pct"/>
            <w:shd w:val="clear" w:color="auto" w:fill="auto"/>
            <w:vAlign w:val="center"/>
          </w:tcPr>
          <w:p w14:paraId="51F04F84" w14:textId="77777777" w:rsidR="00A448CA" w:rsidRPr="002048A7" w:rsidRDefault="00A448CA" w:rsidP="001173BD">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w:t>
            </w:r>
          </w:p>
        </w:tc>
        <w:tc>
          <w:tcPr>
            <w:tcW w:w="344" w:type="pct"/>
            <w:shd w:val="clear" w:color="auto" w:fill="auto"/>
            <w:vAlign w:val="center"/>
          </w:tcPr>
          <w:p w14:paraId="0B275C4A" w14:textId="77777777" w:rsidR="00A448CA" w:rsidRPr="002048A7" w:rsidRDefault="00A448CA" w:rsidP="001173BD">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w:t>
            </w:r>
          </w:p>
        </w:tc>
      </w:tr>
      <w:tr w:rsidR="00A448CA" w:rsidRPr="002048A7" w14:paraId="6F146291" w14:textId="77777777" w:rsidTr="001173BD">
        <w:trPr>
          <w:trHeight w:val="397"/>
          <w:jc w:val="center"/>
        </w:trPr>
        <w:tc>
          <w:tcPr>
            <w:tcW w:w="2039" w:type="pct"/>
            <w:shd w:val="clear" w:color="auto" w:fill="auto"/>
            <w:noWrap/>
            <w:vAlign w:val="center"/>
          </w:tcPr>
          <w:p w14:paraId="6F465C53" w14:textId="77777777" w:rsidR="00A448CA" w:rsidRPr="002048A7" w:rsidRDefault="00A448CA" w:rsidP="001173BD">
            <w:pPr>
              <w:spacing w:after="0" w:line="240" w:lineRule="auto"/>
              <w:rPr>
                <w:rFonts w:ascii="Calibri" w:eastAsia="Times New Roman" w:hAnsi="Calibri"/>
                <w:color w:val="000000"/>
                <w:lang w:eastAsia="tr-TR"/>
              </w:rPr>
            </w:pPr>
            <w:r w:rsidRPr="002048A7">
              <w:rPr>
                <w:rFonts w:ascii="Calibri" w:eastAsia="Times New Roman" w:hAnsi="Calibri"/>
                <w:color w:val="000000"/>
                <w:lang w:eastAsia="tr-TR"/>
              </w:rPr>
              <w:t>Depolama</w:t>
            </w:r>
          </w:p>
        </w:tc>
        <w:tc>
          <w:tcPr>
            <w:tcW w:w="1160" w:type="pct"/>
            <w:shd w:val="clear" w:color="auto" w:fill="auto"/>
            <w:noWrap/>
            <w:vAlign w:val="center"/>
          </w:tcPr>
          <w:p w14:paraId="7950CFD7" w14:textId="77777777" w:rsidR="00A448CA" w:rsidRPr="002048A7" w:rsidRDefault="00A448CA" w:rsidP="001173BD">
            <w:pPr>
              <w:spacing w:after="0" w:line="240" w:lineRule="auto"/>
              <w:jc w:val="right"/>
              <w:rPr>
                <w:rFonts w:ascii="Calibri" w:eastAsia="Times New Roman" w:hAnsi="Calibri"/>
                <w:color w:val="000000"/>
                <w:lang w:eastAsia="tr-TR"/>
              </w:rPr>
            </w:pPr>
            <w:r w:rsidRPr="002048A7">
              <w:rPr>
                <w:rFonts w:ascii="Calibri" w:hAnsi="Calibri" w:cs="Calibri"/>
                <w:color w:val="000000"/>
              </w:rPr>
              <w:t>1.737.506</w:t>
            </w:r>
          </w:p>
        </w:tc>
        <w:tc>
          <w:tcPr>
            <w:tcW w:w="345" w:type="pct"/>
            <w:shd w:val="clear" w:color="auto" w:fill="auto"/>
            <w:noWrap/>
            <w:vAlign w:val="center"/>
          </w:tcPr>
          <w:p w14:paraId="2C42641E" w14:textId="77777777" w:rsidR="00A448CA" w:rsidRPr="002048A7" w:rsidRDefault="00A448CA" w:rsidP="001173BD">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0,34</w:t>
            </w:r>
          </w:p>
        </w:tc>
        <w:tc>
          <w:tcPr>
            <w:tcW w:w="1112" w:type="pct"/>
            <w:shd w:val="clear" w:color="auto" w:fill="auto"/>
            <w:vAlign w:val="center"/>
          </w:tcPr>
          <w:p w14:paraId="0A0793DD" w14:textId="77777777" w:rsidR="00A448CA" w:rsidRPr="002048A7" w:rsidRDefault="00A448CA" w:rsidP="001173BD">
            <w:pPr>
              <w:spacing w:after="0" w:line="240" w:lineRule="auto"/>
              <w:jc w:val="right"/>
              <w:rPr>
                <w:rFonts w:ascii="Calibri" w:eastAsia="Times New Roman" w:hAnsi="Calibri"/>
                <w:color w:val="000000"/>
                <w:lang w:eastAsia="tr-TR"/>
              </w:rPr>
            </w:pPr>
            <w:r>
              <w:rPr>
                <w:rFonts w:ascii="Calibri" w:hAnsi="Calibri" w:cs="Calibri"/>
                <w:color w:val="000000"/>
              </w:rPr>
              <w:t>0</w:t>
            </w:r>
          </w:p>
        </w:tc>
        <w:tc>
          <w:tcPr>
            <w:tcW w:w="344" w:type="pct"/>
            <w:shd w:val="clear" w:color="auto" w:fill="auto"/>
            <w:vAlign w:val="center"/>
          </w:tcPr>
          <w:p w14:paraId="5FC04B44" w14:textId="77777777" w:rsidR="00A448CA" w:rsidRPr="002048A7" w:rsidRDefault="00A448CA" w:rsidP="001173B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w:t>
            </w:r>
          </w:p>
        </w:tc>
      </w:tr>
      <w:tr w:rsidR="00A448CA" w:rsidRPr="002048A7" w14:paraId="006B9482" w14:textId="77777777" w:rsidTr="001173BD">
        <w:trPr>
          <w:trHeight w:val="397"/>
          <w:jc w:val="center"/>
        </w:trPr>
        <w:tc>
          <w:tcPr>
            <w:tcW w:w="2039" w:type="pct"/>
            <w:shd w:val="clear" w:color="auto" w:fill="auto"/>
            <w:noWrap/>
            <w:vAlign w:val="center"/>
          </w:tcPr>
          <w:p w14:paraId="7C163FF8" w14:textId="77777777" w:rsidR="00A448CA" w:rsidRPr="002048A7" w:rsidRDefault="00A448CA" w:rsidP="001173BD">
            <w:pPr>
              <w:spacing w:after="0" w:line="240" w:lineRule="auto"/>
              <w:rPr>
                <w:rFonts w:ascii="Calibri" w:eastAsia="Times New Roman" w:hAnsi="Calibri"/>
                <w:color w:val="000000"/>
                <w:lang w:eastAsia="tr-TR"/>
              </w:rPr>
            </w:pPr>
            <w:r w:rsidRPr="002048A7">
              <w:rPr>
                <w:rFonts w:ascii="Calibri" w:eastAsia="Times New Roman" w:hAnsi="Calibri"/>
                <w:color w:val="000000"/>
                <w:lang w:eastAsia="tr-TR"/>
              </w:rPr>
              <w:t>Madeni Yağ</w:t>
            </w:r>
          </w:p>
        </w:tc>
        <w:tc>
          <w:tcPr>
            <w:tcW w:w="1160" w:type="pct"/>
            <w:shd w:val="clear" w:color="auto" w:fill="auto"/>
            <w:noWrap/>
            <w:vAlign w:val="center"/>
          </w:tcPr>
          <w:p w14:paraId="7CA1117D" w14:textId="77777777" w:rsidR="00A448CA" w:rsidRPr="002048A7" w:rsidRDefault="00A448CA" w:rsidP="001173BD">
            <w:pPr>
              <w:spacing w:after="0" w:line="240" w:lineRule="auto"/>
              <w:jc w:val="right"/>
              <w:rPr>
                <w:rFonts w:ascii="Calibri" w:eastAsia="Times New Roman" w:hAnsi="Calibri"/>
                <w:color w:val="000000"/>
                <w:lang w:eastAsia="tr-TR"/>
              </w:rPr>
            </w:pPr>
            <w:r w:rsidRPr="002048A7">
              <w:rPr>
                <w:rFonts w:ascii="Calibri" w:hAnsi="Calibri" w:cs="Calibri"/>
                <w:iCs/>
                <w:color w:val="000000"/>
              </w:rPr>
              <w:t>5.035.017</w:t>
            </w:r>
          </w:p>
        </w:tc>
        <w:tc>
          <w:tcPr>
            <w:tcW w:w="345" w:type="pct"/>
            <w:shd w:val="clear" w:color="auto" w:fill="auto"/>
            <w:noWrap/>
            <w:vAlign w:val="center"/>
          </w:tcPr>
          <w:p w14:paraId="4A28E71D" w14:textId="77777777" w:rsidR="00A448CA" w:rsidRPr="002048A7" w:rsidRDefault="00A448CA" w:rsidP="001173B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0,97</w:t>
            </w:r>
          </w:p>
        </w:tc>
        <w:tc>
          <w:tcPr>
            <w:tcW w:w="1112" w:type="pct"/>
            <w:shd w:val="clear" w:color="auto" w:fill="auto"/>
            <w:vAlign w:val="center"/>
          </w:tcPr>
          <w:p w14:paraId="1E37235F" w14:textId="77777777" w:rsidR="00A448CA" w:rsidRPr="002048A7" w:rsidRDefault="00A448CA" w:rsidP="001173BD">
            <w:pPr>
              <w:spacing w:after="0" w:line="240" w:lineRule="auto"/>
              <w:jc w:val="right"/>
              <w:rPr>
                <w:rFonts w:ascii="Calibri" w:eastAsia="Times New Roman" w:hAnsi="Calibri"/>
                <w:color w:val="000000"/>
                <w:lang w:eastAsia="tr-TR"/>
              </w:rPr>
            </w:pPr>
            <w:r w:rsidRPr="00F2611A">
              <w:rPr>
                <w:rFonts w:ascii="Calibri" w:hAnsi="Calibri" w:cs="Calibri"/>
                <w:iCs/>
                <w:color w:val="000000"/>
              </w:rPr>
              <w:t>1.855.679</w:t>
            </w:r>
          </w:p>
        </w:tc>
        <w:tc>
          <w:tcPr>
            <w:tcW w:w="344" w:type="pct"/>
            <w:shd w:val="clear" w:color="auto" w:fill="auto"/>
            <w:vAlign w:val="center"/>
          </w:tcPr>
          <w:p w14:paraId="4454B333" w14:textId="77777777" w:rsidR="00A448CA" w:rsidRPr="002048A7" w:rsidRDefault="00A448CA" w:rsidP="001173B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0,84</w:t>
            </w:r>
          </w:p>
        </w:tc>
      </w:tr>
      <w:tr w:rsidR="00A448CA" w:rsidRPr="002048A7" w14:paraId="5B80FCA6" w14:textId="77777777" w:rsidTr="001173BD">
        <w:trPr>
          <w:trHeight w:val="397"/>
          <w:jc w:val="center"/>
        </w:trPr>
        <w:tc>
          <w:tcPr>
            <w:tcW w:w="2039" w:type="pct"/>
            <w:shd w:val="clear" w:color="auto" w:fill="auto"/>
            <w:noWrap/>
            <w:vAlign w:val="center"/>
            <w:hideMark/>
          </w:tcPr>
          <w:p w14:paraId="3A2CDEB2" w14:textId="77777777" w:rsidR="00A448CA" w:rsidRPr="002048A7" w:rsidRDefault="00A448CA" w:rsidP="001173BD">
            <w:pPr>
              <w:spacing w:after="0" w:line="240" w:lineRule="auto"/>
              <w:rPr>
                <w:rFonts w:ascii="Calibri" w:eastAsia="Times New Roman" w:hAnsi="Calibri"/>
                <w:color w:val="000000"/>
                <w:lang w:eastAsia="tr-TR"/>
              </w:rPr>
            </w:pPr>
            <w:r w:rsidRPr="002048A7">
              <w:rPr>
                <w:rFonts w:ascii="Calibri" w:eastAsia="Times New Roman" w:hAnsi="Calibri"/>
                <w:color w:val="000000"/>
                <w:lang w:eastAsia="tr-TR"/>
              </w:rPr>
              <w:t>Kurumca Yetki Verilen Otomasyon Firmaları</w:t>
            </w:r>
          </w:p>
        </w:tc>
        <w:tc>
          <w:tcPr>
            <w:tcW w:w="1160" w:type="pct"/>
            <w:shd w:val="clear" w:color="auto" w:fill="auto"/>
            <w:noWrap/>
            <w:vAlign w:val="center"/>
            <w:hideMark/>
          </w:tcPr>
          <w:p w14:paraId="66683797" w14:textId="77777777" w:rsidR="00A448CA" w:rsidRPr="002048A7" w:rsidRDefault="00A448CA" w:rsidP="001173BD">
            <w:pPr>
              <w:spacing w:after="0" w:line="240" w:lineRule="auto"/>
              <w:jc w:val="right"/>
              <w:rPr>
                <w:rFonts w:ascii="Calibri" w:eastAsia="Times New Roman" w:hAnsi="Calibri"/>
                <w:color w:val="000000"/>
                <w:lang w:eastAsia="tr-TR"/>
              </w:rPr>
            </w:pPr>
            <w:r w:rsidRPr="002048A7">
              <w:rPr>
                <w:rFonts w:ascii="Calibri" w:hAnsi="Calibri" w:cs="Calibri"/>
                <w:color w:val="000000"/>
              </w:rPr>
              <w:t>2.894.320</w:t>
            </w:r>
          </w:p>
        </w:tc>
        <w:tc>
          <w:tcPr>
            <w:tcW w:w="345" w:type="pct"/>
            <w:shd w:val="clear" w:color="auto" w:fill="auto"/>
            <w:noWrap/>
            <w:vAlign w:val="center"/>
            <w:hideMark/>
          </w:tcPr>
          <w:p w14:paraId="47299ADC" w14:textId="77777777" w:rsidR="00A448CA" w:rsidRPr="002048A7" w:rsidRDefault="00A448CA" w:rsidP="001173BD">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0,56</w:t>
            </w:r>
          </w:p>
        </w:tc>
        <w:tc>
          <w:tcPr>
            <w:tcW w:w="1112" w:type="pct"/>
            <w:shd w:val="clear" w:color="auto" w:fill="auto"/>
            <w:vAlign w:val="center"/>
          </w:tcPr>
          <w:p w14:paraId="2226BF31" w14:textId="77777777" w:rsidR="00A448CA" w:rsidRPr="002048A7" w:rsidRDefault="00A448CA" w:rsidP="001173BD">
            <w:pPr>
              <w:spacing w:after="0" w:line="240" w:lineRule="auto"/>
              <w:jc w:val="right"/>
              <w:rPr>
                <w:rFonts w:ascii="Calibri" w:eastAsia="Times New Roman" w:hAnsi="Calibri"/>
                <w:color w:val="000000"/>
                <w:lang w:eastAsia="tr-TR"/>
              </w:rPr>
            </w:pPr>
            <w:r>
              <w:rPr>
                <w:rFonts w:ascii="Calibri" w:hAnsi="Calibri" w:cs="Calibri"/>
                <w:color w:val="000000"/>
              </w:rPr>
              <w:t>0</w:t>
            </w:r>
          </w:p>
        </w:tc>
        <w:tc>
          <w:tcPr>
            <w:tcW w:w="344" w:type="pct"/>
            <w:shd w:val="clear" w:color="auto" w:fill="auto"/>
            <w:vAlign w:val="center"/>
          </w:tcPr>
          <w:p w14:paraId="43818967" w14:textId="77777777" w:rsidR="00A448CA" w:rsidRPr="002048A7" w:rsidRDefault="00A448CA" w:rsidP="001173B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w:t>
            </w:r>
          </w:p>
        </w:tc>
      </w:tr>
      <w:tr w:rsidR="00A448CA" w:rsidRPr="002048A7" w14:paraId="01D948CE" w14:textId="77777777" w:rsidTr="001173BD">
        <w:trPr>
          <w:trHeight w:val="397"/>
          <w:jc w:val="center"/>
        </w:trPr>
        <w:tc>
          <w:tcPr>
            <w:tcW w:w="2039" w:type="pct"/>
            <w:shd w:val="clear" w:color="auto" w:fill="auto"/>
            <w:noWrap/>
            <w:vAlign w:val="center"/>
            <w:hideMark/>
          </w:tcPr>
          <w:p w14:paraId="7E694A09" w14:textId="77777777" w:rsidR="00A448CA" w:rsidRPr="002048A7" w:rsidRDefault="00A448CA" w:rsidP="001173BD">
            <w:pPr>
              <w:spacing w:after="0" w:line="240" w:lineRule="auto"/>
              <w:rPr>
                <w:rFonts w:ascii="Calibri" w:eastAsia="Times New Roman" w:hAnsi="Calibri"/>
                <w:color w:val="000000"/>
                <w:lang w:eastAsia="tr-TR"/>
              </w:rPr>
            </w:pPr>
            <w:r w:rsidRPr="002048A7">
              <w:rPr>
                <w:rFonts w:ascii="Calibri" w:eastAsia="Times New Roman" w:hAnsi="Calibri"/>
                <w:b/>
                <w:bCs/>
                <w:color w:val="000000"/>
                <w:lang w:eastAsia="tr-TR"/>
              </w:rPr>
              <w:lastRenderedPageBreak/>
              <w:t>Toplam</w:t>
            </w:r>
          </w:p>
        </w:tc>
        <w:tc>
          <w:tcPr>
            <w:tcW w:w="1160" w:type="pct"/>
            <w:shd w:val="clear" w:color="auto" w:fill="auto"/>
            <w:noWrap/>
            <w:vAlign w:val="center"/>
            <w:hideMark/>
          </w:tcPr>
          <w:p w14:paraId="284A4464" w14:textId="77777777" w:rsidR="00A448CA" w:rsidRPr="002048A7" w:rsidRDefault="00A448CA" w:rsidP="001173BD">
            <w:pPr>
              <w:spacing w:after="0" w:line="240" w:lineRule="auto"/>
              <w:jc w:val="right"/>
              <w:rPr>
                <w:rFonts w:ascii="Calibri" w:eastAsia="Times New Roman" w:hAnsi="Calibri"/>
                <w:color w:val="000000"/>
                <w:lang w:eastAsia="tr-TR"/>
              </w:rPr>
            </w:pPr>
            <w:r w:rsidRPr="002048A7">
              <w:rPr>
                <w:rFonts w:ascii="Calibri" w:eastAsia="Times New Roman" w:hAnsi="Calibri"/>
                <w:b/>
                <w:bCs/>
                <w:color w:val="000000"/>
                <w:lang w:eastAsia="tr-TR"/>
              </w:rPr>
              <w:t>518.187.272</w:t>
            </w:r>
          </w:p>
        </w:tc>
        <w:tc>
          <w:tcPr>
            <w:tcW w:w="345" w:type="pct"/>
            <w:shd w:val="clear" w:color="auto" w:fill="auto"/>
            <w:noWrap/>
            <w:vAlign w:val="center"/>
            <w:hideMark/>
          </w:tcPr>
          <w:p w14:paraId="442E7364" w14:textId="77777777" w:rsidR="00A448CA" w:rsidRPr="002048A7" w:rsidRDefault="00A448CA" w:rsidP="001173BD">
            <w:pPr>
              <w:spacing w:after="0" w:line="240" w:lineRule="auto"/>
              <w:jc w:val="center"/>
              <w:rPr>
                <w:rFonts w:ascii="Calibri" w:eastAsia="Times New Roman" w:hAnsi="Calibri"/>
                <w:color w:val="000000"/>
                <w:lang w:eastAsia="tr-TR"/>
              </w:rPr>
            </w:pPr>
            <w:r w:rsidRPr="002048A7">
              <w:rPr>
                <w:rFonts w:ascii="Calibri" w:eastAsia="Times New Roman" w:hAnsi="Calibri"/>
                <w:b/>
                <w:color w:val="000000"/>
                <w:lang w:eastAsia="tr-TR"/>
              </w:rPr>
              <w:t>100</w:t>
            </w:r>
          </w:p>
        </w:tc>
        <w:tc>
          <w:tcPr>
            <w:tcW w:w="1112" w:type="pct"/>
            <w:shd w:val="clear" w:color="auto" w:fill="auto"/>
            <w:vAlign w:val="center"/>
          </w:tcPr>
          <w:p w14:paraId="450D8C9C" w14:textId="77777777" w:rsidR="00A448CA" w:rsidRPr="002048A7" w:rsidRDefault="00A448CA" w:rsidP="001173BD">
            <w:pPr>
              <w:spacing w:after="0" w:line="240" w:lineRule="auto"/>
              <w:jc w:val="right"/>
              <w:rPr>
                <w:rFonts w:ascii="Calibri" w:eastAsia="Times New Roman" w:hAnsi="Calibri"/>
                <w:color w:val="000000"/>
                <w:lang w:eastAsia="tr-TR"/>
              </w:rPr>
            </w:pPr>
            <w:r>
              <w:rPr>
                <w:rFonts w:ascii="Calibri" w:eastAsia="Times New Roman" w:hAnsi="Calibri"/>
                <w:b/>
                <w:bCs/>
                <w:color w:val="000000"/>
                <w:lang w:eastAsia="tr-TR"/>
              </w:rPr>
              <w:t>221.302.432</w:t>
            </w:r>
          </w:p>
        </w:tc>
        <w:tc>
          <w:tcPr>
            <w:tcW w:w="344" w:type="pct"/>
            <w:shd w:val="clear" w:color="auto" w:fill="auto"/>
            <w:vAlign w:val="center"/>
          </w:tcPr>
          <w:p w14:paraId="33D808E0" w14:textId="77777777" w:rsidR="00A448CA" w:rsidRPr="002048A7" w:rsidRDefault="00A448CA" w:rsidP="001173BD">
            <w:pPr>
              <w:spacing w:after="0" w:line="240" w:lineRule="auto"/>
              <w:jc w:val="center"/>
              <w:rPr>
                <w:rFonts w:ascii="Calibri" w:eastAsia="Times New Roman" w:hAnsi="Calibri"/>
                <w:color w:val="000000"/>
                <w:lang w:eastAsia="tr-TR"/>
              </w:rPr>
            </w:pPr>
            <w:r w:rsidRPr="002048A7">
              <w:rPr>
                <w:rFonts w:ascii="Calibri" w:eastAsia="Times New Roman" w:hAnsi="Calibri"/>
                <w:b/>
                <w:color w:val="000000"/>
                <w:lang w:eastAsia="tr-TR"/>
              </w:rPr>
              <w:t>100</w:t>
            </w:r>
          </w:p>
        </w:tc>
      </w:tr>
    </w:tbl>
    <w:p w14:paraId="07CAA8A2" w14:textId="77777777" w:rsidR="00A448CA" w:rsidRPr="002048A7" w:rsidRDefault="00A448CA" w:rsidP="00A448CA">
      <w:pPr>
        <w:spacing w:after="0"/>
      </w:pPr>
    </w:p>
    <w:p w14:paraId="04B3FF43" w14:textId="77777777" w:rsidR="00A448CA" w:rsidRPr="002048A7" w:rsidRDefault="00A448CA" w:rsidP="00A448CA">
      <w:r w:rsidRPr="002048A7">
        <w:t>Petrol piyasasında 202</w:t>
      </w:r>
      <w:r>
        <w:t>4</w:t>
      </w:r>
      <w:r w:rsidRPr="002048A7">
        <w:t xml:space="preserve"> yılında uygulanan idari para cezalarının fiillerine göre dağılımı Tablo 6.</w:t>
      </w:r>
      <w:r>
        <w:t>6</w:t>
      </w:r>
      <w:r w:rsidRPr="002048A7">
        <w:t>’d</w:t>
      </w:r>
      <w:r>
        <w:t>a</w:t>
      </w:r>
      <w:r w:rsidRPr="002048A7">
        <w:t xml:space="preserve"> gösterilmektedir.</w:t>
      </w:r>
    </w:p>
    <w:p w14:paraId="08545E7D" w14:textId="68EAC2AF" w:rsidR="00A448CA" w:rsidRPr="002048A7" w:rsidRDefault="00A448CA" w:rsidP="00A448CA">
      <w:pPr>
        <w:pStyle w:val="Balk5"/>
        <w:spacing w:after="240"/>
        <w:jc w:val="center"/>
        <w:rPr>
          <w:rStyle w:val="Gl"/>
          <w:color w:val="000000" w:themeColor="text1"/>
        </w:rPr>
      </w:pPr>
      <w:bookmarkStart w:id="317" w:name="_Toc195868840"/>
      <w:r w:rsidRPr="002048A7">
        <w:rPr>
          <w:rStyle w:val="Gl"/>
          <w:color w:val="000000" w:themeColor="text1"/>
        </w:rPr>
        <w:t>Tablo 6.</w:t>
      </w:r>
      <w:r>
        <w:rPr>
          <w:rStyle w:val="Gl"/>
          <w:color w:val="000000" w:themeColor="text1"/>
        </w:rPr>
        <w:t>6</w:t>
      </w:r>
      <w:r w:rsidRPr="002048A7">
        <w:rPr>
          <w:rStyle w:val="Gl"/>
          <w:color w:val="000000" w:themeColor="text1"/>
        </w:rPr>
        <w:t>: Petrol Piyasasında 202</w:t>
      </w:r>
      <w:r>
        <w:rPr>
          <w:rStyle w:val="Gl"/>
          <w:color w:val="000000" w:themeColor="text1"/>
        </w:rPr>
        <w:t>4</w:t>
      </w:r>
      <w:r w:rsidRPr="002048A7">
        <w:rPr>
          <w:rStyle w:val="Gl"/>
          <w:color w:val="000000" w:themeColor="text1"/>
        </w:rPr>
        <w:t xml:space="preserve"> Yılında</w:t>
      </w:r>
      <w:r w:rsidR="00D56350">
        <w:rPr>
          <w:rStyle w:val="Gl"/>
          <w:color w:val="000000" w:themeColor="text1"/>
        </w:rPr>
        <w:t xml:space="preserve"> Bayilere</w:t>
      </w:r>
      <w:r w:rsidRPr="002048A7">
        <w:rPr>
          <w:rStyle w:val="Gl"/>
          <w:color w:val="000000" w:themeColor="text1"/>
        </w:rPr>
        <w:t xml:space="preserve"> Uygulanan İdari Para Cezalarının İdari Para Cezasına Konu Fiillere Göre Dağılımı</w:t>
      </w:r>
      <w:bookmarkEnd w:id="317"/>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3115"/>
        <w:gridCol w:w="1983"/>
        <w:gridCol w:w="1251"/>
        <w:gridCol w:w="2295"/>
        <w:gridCol w:w="1267"/>
      </w:tblGrid>
      <w:tr w:rsidR="00A448CA" w:rsidRPr="002048A7" w14:paraId="7CD189EF" w14:textId="77777777" w:rsidTr="001173BD">
        <w:trPr>
          <w:trHeight w:val="397"/>
          <w:tblHeader/>
          <w:jc w:val="center"/>
        </w:trPr>
        <w:tc>
          <w:tcPr>
            <w:tcW w:w="1571" w:type="pct"/>
            <w:shd w:val="clear" w:color="auto" w:fill="6E9ECA"/>
            <w:vAlign w:val="center"/>
            <w:hideMark/>
          </w:tcPr>
          <w:p w14:paraId="27B98BA0" w14:textId="77777777" w:rsidR="00A448CA" w:rsidRPr="002048A7" w:rsidRDefault="00A448CA" w:rsidP="001173BD">
            <w:pPr>
              <w:spacing w:after="0" w:line="240" w:lineRule="auto"/>
              <w:jc w:val="center"/>
              <w:rPr>
                <w:rFonts w:eastAsia="Times New Roman"/>
                <w:b/>
                <w:bCs/>
                <w:color w:val="FFFFFF" w:themeColor="background1"/>
                <w:lang w:eastAsia="tr-TR"/>
              </w:rPr>
            </w:pPr>
            <w:r w:rsidRPr="002048A7">
              <w:rPr>
                <w:rFonts w:eastAsia="Times New Roman"/>
                <w:b/>
                <w:bCs/>
                <w:color w:val="FFFFFF" w:themeColor="background1"/>
                <w:lang w:eastAsia="tr-TR"/>
              </w:rPr>
              <w:t>İdari Para Cezasına Konu Fiil</w:t>
            </w:r>
          </w:p>
        </w:tc>
        <w:tc>
          <w:tcPr>
            <w:tcW w:w="1000" w:type="pct"/>
            <w:shd w:val="clear" w:color="auto" w:fill="6E9ECA"/>
            <w:vAlign w:val="center"/>
            <w:hideMark/>
          </w:tcPr>
          <w:p w14:paraId="142E3E21" w14:textId="77777777" w:rsidR="00A448CA" w:rsidRPr="002048A7" w:rsidRDefault="00A448CA" w:rsidP="001173BD">
            <w:pPr>
              <w:spacing w:after="0" w:line="240" w:lineRule="auto"/>
              <w:jc w:val="center"/>
              <w:rPr>
                <w:rFonts w:eastAsia="Times New Roman"/>
                <w:b/>
                <w:bCs/>
                <w:color w:val="FFFFFF" w:themeColor="background1"/>
                <w:lang w:eastAsia="tr-TR"/>
              </w:rPr>
            </w:pPr>
            <w:r w:rsidRPr="002048A7">
              <w:rPr>
                <w:rFonts w:eastAsia="Times New Roman"/>
                <w:b/>
                <w:bCs/>
                <w:color w:val="FFFFFF" w:themeColor="background1"/>
                <w:lang w:eastAsia="tr-TR"/>
              </w:rPr>
              <w:t>Uygulanan İdari Para Cezası Adedi</w:t>
            </w:r>
          </w:p>
        </w:tc>
        <w:tc>
          <w:tcPr>
            <w:tcW w:w="631" w:type="pct"/>
            <w:shd w:val="clear" w:color="auto" w:fill="6E9ECA"/>
            <w:vAlign w:val="center"/>
            <w:hideMark/>
          </w:tcPr>
          <w:p w14:paraId="4D122761" w14:textId="77777777" w:rsidR="00A448CA" w:rsidRPr="002048A7" w:rsidRDefault="00A448CA" w:rsidP="001173BD">
            <w:pPr>
              <w:spacing w:after="0" w:line="240" w:lineRule="auto"/>
              <w:jc w:val="center"/>
              <w:rPr>
                <w:rFonts w:eastAsia="Times New Roman"/>
                <w:b/>
                <w:bCs/>
                <w:color w:val="FFFFFF" w:themeColor="background1"/>
                <w:lang w:eastAsia="tr-TR"/>
              </w:rPr>
            </w:pPr>
            <w:r w:rsidRPr="002048A7">
              <w:rPr>
                <w:rFonts w:eastAsia="Times New Roman"/>
                <w:b/>
                <w:bCs/>
                <w:color w:val="FFFFFF" w:themeColor="background1"/>
                <w:lang w:eastAsia="tr-TR"/>
              </w:rPr>
              <w:t>Oran (%)</w:t>
            </w:r>
          </w:p>
        </w:tc>
        <w:tc>
          <w:tcPr>
            <w:tcW w:w="1158" w:type="pct"/>
            <w:shd w:val="clear" w:color="auto" w:fill="6E9ECA"/>
            <w:vAlign w:val="center"/>
            <w:hideMark/>
          </w:tcPr>
          <w:p w14:paraId="4C7D9CF3" w14:textId="77777777" w:rsidR="00A448CA" w:rsidRPr="002048A7" w:rsidRDefault="00A448CA" w:rsidP="001173BD">
            <w:pPr>
              <w:spacing w:after="0" w:line="240" w:lineRule="auto"/>
              <w:jc w:val="center"/>
              <w:rPr>
                <w:rFonts w:eastAsia="Times New Roman"/>
                <w:b/>
                <w:bCs/>
                <w:color w:val="FFFFFF" w:themeColor="background1"/>
                <w:lang w:eastAsia="tr-TR"/>
              </w:rPr>
            </w:pPr>
            <w:r w:rsidRPr="002048A7">
              <w:rPr>
                <w:rFonts w:eastAsia="Times New Roman"/>
                <w:b/>
                <w:bCs/>
                <w:color w:val="FFFFFF" w:themeColor="background1"/>
                <w:lang w:eastAsia="tr-TR"/>
              </w:rPr>
              <w:t>İdari Para Cezası Tutarı (TL)</w:t>
            </w:r>
          </w:p>
        </w:tc>
        <w:tc>
          <w:tcPr>
            <w:tcW w:w="639" w:type="pct"/>
            <w:shd w:val="clear" w:color="auto" w:fill="6E9ECA"/>
            <w:vAlign w:val="center"/>
            <w:hideMark/>
          </w:tcPr>
          <w:p w14:paraId="09FAFD3C" w14:textId="77777777" w:rsidR="00A448CA" w:rsidRPr="002048A7" w:rsidRDefault="00A448CA" w:rsidP="001173BD">
            <w:pPr>
              <w:spacing w:after="0" w:line="240" w:lineRule="auto"/>
              <w:jc w:val="center"/>
              <w:rPr>
                <w:rFonts w:eastAsia="Times New Roman"/>
                <w:b/>
                <w:bCs/>
                <w:color w:val="FFFFFF" w:themeColor="background1"/>
                <w:lang w:eastAsia="tr-TR"/>
              </w:rPr>
            </w:pPr>
            <w:r w:rsidRPr="002048A7">
              <w:rPr>
                <w:rFonts w:eastAsia="Times New Roman"/>
                <w:b/>
                <w:bCs/>
                <w:color w:val="FFFFFF" w:themeColor="background1"/>
                <w:lang w:eastAsia="tr-TR"/>
              </w:rPr>
              <w:t>Oran (%)</w:t>
            </w:r>
          </w:p>
        </w:tc>
      </w:tr>
      <w:tr w:rsidR="00A448CA" w:rsidRPr="002048A7" w14:paraId="48565769" w14:textId="77777777" w:rsidTr="001173BD">
        <w:trPr>
          <w:trHeight w:val="397"/>
          <w:jc w:val="center"/>
        </w:trPr>
        <w:tc>
          <w:tcPr>
            <w:tcW w:w="1571" w:type="pct"/>
            <w:shd w:val="clear" w:color="auto" w:fill="auto"/>
            <w:vAlign w:val="center"/>
            <w:hideMark/>
          </w:tcPr>
          <w:p w14:paraId="0DA59D4C" w14:textId="77777777" w:rsidR="00A448CA" w:rsidRPr="002048A7" w:rsidRDefault="00A448CA" w:rsidP="001173BD">
            <w:pPr>
              <w:spacing w:after="0" w:line="240" w:lineRule="auto"/>
              <w:jc w:val="left"/>
              <w:rPr>
                <w:rFonts w:eastAsia="Times New Roman"/>
                <w:color w:val="000000"/>
                <w:lang w:eastAsia="tr-TR"/>
              </w:rPr>
            </w:pPr>
            <w:r w:rsidRPr="002048A7">
              <w:rPr>
                <w:rFonts w:eastAsia="Times New Roman"/>
                <w:color w:val="000000"/>
                <w:lang w:eastAsia="tr-TR"/>
              </w:rPr>
              <w:t>Otomasyon Yükümlülüğü ve Lisans Kapsamı Dışında Faaliyet</w:t>
            </w:r>
          </w:p>
        </w:tc>
        <w:tc>
          <w:tcPr>
            <w:tcW w:w="1000" w:type="pct"/>
            <w:shd w:val="clear" w:color="auto" w:fill="auto"/>
            <w:noWrap/>
            <w:vAlign w:val="center"/>
          </w:tcPr>
          <w:p w14:paraId="25902FAC" w14:textId="77777777" w:rsidR="00A448CA" w:rsidRPr="002048A7" w:rsidRDefault="00A448CA" w:rsidP="001173BD">
            <w:pPr>
              <w:spacing w:after="0" w:line="240" w:lineRule="auto"/>
              <w:jc w:val="center"/>
              <w:rPr>
                <w:rFonts w:eastAsia="Times New Roman"/>
                <w:color w:val="000000"/>
                <w:lang w:eastAsia="tr-TR"/>
              </w:rPr>
            </w:pPr>
            <w:r>
              <w:rPr>
                <w:rFonts w:eastAsia="Times New Roman"/>
                <w:color w:val="000000"/>
                <w:lang w:eastAsia="tr-TR"/>
              </w:rPr>
              <w:t>105</w:t>
            </w:r>
          </w:p>
        </w:tc>
        <w:tc>
          <w:tcPr>
            <w:tcW w:w="631" w:type="pct"/>
            <w:shd w:val="clear" w:color="auto" w:fill="auto"/>
            <w:noWrap/>
            <w:vAlign w:val="center"/>
          </w:tcPr>
          <w:p w14:paraId="2781A2C4" w14:textId="77777777" w:rsidR="00A448CA" w:rsidRPr="002048A7" w:rsidRDefault="00A448CA" w:rsidP="001173BD">
            <w:pPr>
              <w:spacing w:after="0" w:line="240" w:lineRule="auto"/>
              <w:jc w:val="center"/>
              <w:rPr>
                <w:rFonts w:eastAsia="Times New Roman"/>
                <w:color w:val="000000"/>
                <w:lang w:eastAsia="tr-TR"/>
              </w:rPr>
            </w:pPr>
            <w:r>
              <w:rPr>
                <w:rFonts w:eastAsia="Times New Roman"/>
                <w:color w:val="000000"/>
                <w:lang w:eastAsia="tr-TR"/>
              </w:rPr>
              <w:t>35,47</w:t>
            </w:r>
          </w:p>
        </w:tc>
        <w:tc>
          <w:tcPr>
            <w:tcW w:w="1158" w:type="pct"/>
            <w:shd w:val="clear" w:color="auto" w:fill="auto"/>
            <w:noWrap/>
            <w:vAlign w:val="center"/>
          </w:tcPr>
          <w:p w14:paraId="334E0568" w14:textId="77777777" w:rsidR="00A448CA" w:rsidRPr="002048A7" w:rsidRDefault="00A448CA" w:rsidP="001173BD">
            <w:pPr>
              <w:spacing w:after="0" w:line="240" w:lineRule="auto"/>
              <w:jc w:val="right"/>
              <w:rPr>
                <w:rFonts w:eastAsia="Times New Roman"/>
                <w:color w:val="000000"/>
                <w:lang w:eastAsia="tr-TR"/>
              </w:rPr>
            </w:pPr>
            <w:r>
              <w:rPr>
                <w:rFonts w:eastAsia="Times New Roman"/>
                <w:color w:val="000000"/>
                <w:lang w:eastAsia="tr-TR"/>
              </w:rPr>
              <w:t>12.155.367</w:t>
            </w:r>
          </w:p>
        </w:tc>
        <w:tc>
          <w:tcPr>
            <w:tcW w:w="639" w:type="pct"/>
            <w:shd w:val="clear" w:color="auto" w:fill="auto"/>
            <w:noWrap/>
            <w:vAlign w:val="center"/>
          </w:tcPr>
          <w:p w14:paraId="53323634" w14:textId="77777777" w:rsidR="00A448CA" w:rsidRPr="002048A7" w:rsidRDefault="00A448CA" w:rsidP="001173BD">
            <w:pPr>
              <w:spacing w:after="0" w:line="240" w:lineRule="auto"/>
              <w:jc w:val="center"/>
              <w:rPr>
                <w:rFonts w:eastAsia="Times New Roman"/>
                <w:color w:val="000000"/>
                <w:lang w:eastAsia="tr-TR"/>
              </w:rPr>
            </w:pPr>
            <w:r w:rsidRPr="002048A7">
              <w:rPr>
                <w:rFonts w:eastAsia="Times New Roman"/>
                <w:color w:val="000000"/>
                <w:lang w:eastAsia="tr-TR"/>
              </w:rPr>
              <w:t xml:space="preserve"> </w:t>
            </w:r>
            <w:r>
              <w:rPr>
                <w:rFonts w:eastAsia="Times New Roman"/>
                <w:color w:val="000000"/>
                <w:lang w:eastAsia="tr-TR"/>
              </w:rPr>
              <w:t>12,60</w:t>
            </w:r>
          </w:p>
        </w:tc>
      </w:tr>
      <w:tr w:rsidR="00A448CA" w:rsidRPr="002048A7" w14:paraId="34008702" w14:textId="77777777" w:rsidTr="001173BD">
        <w:trPr>
          <w:trHeight w:val="397"/>
          <w:jc w:val="center"/>
        </w:trPr>
        <w:tc>
          <w:tcPr>
            <w:tcW w:w="1571" w:type="pct"/>
            <w:shd w:val="clear" w:color="auto" w:fill="auto"/>
            <w:vAlign w:val="center"/>
          </w:tcPr>
          <w:p w14:paraId="33642DEA" w14:textId="77777777" w:rsidR="00A448CA" w:rsidRPr="002048A7" w:rsidRDefault="00A448CA" w:rsidP="001173BD">
            <w:pPr>
              <w:spacing w:after="0" w:line="240" w:lineRule="auto"/>
              <w:jc w:val="left"/>
              <w:rPr>
                <w:rFonts w:eastAsia="Times New Roman"/>
                <w:color w:val="000000"/>
                <w:lang w:eastAsia="tr-TR"/>
              </w:rPr>
            </w:pPr>
            <w:r w:rsidRPr="002048A7">
              <w:rPr>
                <w:rFonts w:eastAsia="Times New Roman"/>
                <w:color w:val="000000"/>
                <w:lang w:eastAsia="tr-TR"/>
              </w:rPr>
              <w:t>Ulusal Markerin Yeterli Şart ve Seviyede Olmaması</w:t>
            </w:r>
          </w:p>
        </w:tc>
        <w:tc>
          <w:tcPr>
            <w:tcW w:w="1000" w:type="pct"/>
            <w:shd w:val="clear" w:color="auto" w:fill="auto"/>
            <w:noWrap/>
            <w:vAlign w:val="center"/>
          </w:tcPr>
          <w:p w14:paraId="25422A86" w14:textId="77777777" w:rsidR="00A448CA" w:rsidRPr="002048A7" w:rsidRDefault="00A448CA" w:rsidP="001173BD">
            <w:pPr>
              <w:spacing w:after="0" w:line="240" w:lineRule="auto"/>
              <w:jc w:val="center"/>
              <w:rPr>
                <w:rFonts w:eastAsia="Times New Roman"/>
                <w:color w:val="000000"/>
                <w:lang w:eastAsia="tr-TR"/>
              </w:rPr>
            </w:pPr>
            <w:r>
              <w:rPr>
                <w:rFonts w:eastAsia="Times New Roman"/>
                <w:color w:val="000000"/>
                <w:lang w:eastAsia="tr-TR"/>
              </w:rPr>
              <w:t>4</w:t>
            </w:r>
          </w:p>
        </w:tc>
        <w:tc>
          <w:tcPr>
            <w:tcW w:w="631" w:type="pct"/>
            <w:shd w:val="clear" w:color="auto" w:fill="auto"/>
            <w:noWrap/>
            <w:vAlign w:val="center"/>
          </w:tcPr>
          <w:p w14:paraId="76661937" w14:textId="77777777" w:rsidR="00A448CA" w:rsidRPr="002048A7" w:rsidRDefault="00A448CA" w:rsidP="001173BD">
            <w:pPr>
              <w:spacing w:after="0" w:line="240" w:lineRule="auto"/>
              <w:jc w:val="center"/>
              <w:rPr>
                <w:rFonts w:eastAsia="Times New Roman"/>
                <w:color w:val="000000"/>
                <w:lang w:eastAsia="tr-TR"/>
              </w:rPr>
            </w:pPr>
            <w:r w:rsidRPr="002048A7">
              <w:rPr>
                <w:rFonts w:eastAsia="Times New Roman"/>
                <w:color w:val="000000"/>
                <w:lang w:eastAsia="tr-TR"/>
              </w:rPr>
              <w:t>1</w:t>
            </w:r>
            <w:r>
              <w:rPr>
                <w:rFonts w:eastAsia="Times New Roman"/>
                <w:color w:val="000000"/>
                <w:lang w:eastAsia="tr-TR"/>
              </w:rPr>
              <w:t>,36</w:t>
            </w:r>
          </w:p>
        </w:tc>
        <w:tc>
          <w:tcPr>
            <w:tcW w:w="1158" w:type="pct"/>
            <w:shd w:val="clear" w:color="auto" w:fill="auto"/>
            <w:noWrap/>
            <w:vAlign w:val="center"/>
          </w:tcPr>
          <w:p w14:paraId="45E23835" w14:textId="77777777" w:rsidR="00A448CA" w:rsidRPr="002048A7" w:rsidRDefault="00A448CA" w:rsidP="001173BD">
            <w:pPr>
              <w:spacing w:after="0" w:line="240" w:lineRule="auto"/>
              <w:jc w:val="right"/>
              <w:rPr>
                <w:rFonts w:eastAsia="Times New Roman"/>
                <w:color w:val="000000"/>
                <w:lang w:eastAsia="tr-TR"/>
              </w:rPr>
            </w:pPr>
            <w:r>
              <w:rPr>
                <w:rFonts w:eastAsia="Times New Roman"/>
                <w:color w:val="000000"/>
                <w:lang w:eastAsia="tr-TR"/>
              </w:rPr>
              <w:t>17.930.989</w:t>
            </w:r>
            <w:r w:rsidRPr="002048A7">
              <w:rPr>
                <w:rFonts w:eastAsia="Times New Roman"/>
                <w:color w:val="000000"/>
                <w:lang w:eastAsia="tr-TR"/>
              </w:rPr>
              <w:t xml:space="preserve"> </w:t>
            </w:r>
          </w:p>
        </w:tc>
        <w:tc>
          <w:tcPr>
            <w:tcW w:w="639" w:type="pct"/>
            <w:shd w:val="clear" w:color="auto" w:fill="auto"/>
            <w:noWrap/>
            <w:vAlign w:val="center"/>
          </w:tcPr>
          <w:p w14:paraId="12933262" w14:textId="77777777" w:rsidR="00A448CA" w:rsidRPr="002048A7" w:rsidRDefault="00A448CA" w:rsidP="001173BD">
            <w:pPr>
              <w:spacing w:after="0" w:line="240" w:lineRule="auto"/>
              <w:jc w:val="center"/>
              <w:rPr>
                <w:rFonts w:eastAsia="Times New Roman"/>
                <w:color w:val="000000"/>
                <w:lang w:eastAsia="tr-TR"/>
              </w:rPr>
            </w:pPr>
            <w:r w:rsidRPr="002048A7">
              <w:rPr>
                <w:rFonts w:eastAsia="Times New Roman"/>
                <w:color w:val="000000"/>
                <w:lang w:eastAsia="tr-TR"/>
              </w:rPr>
              <w:t>1</w:t>
            </w:r>
            <w:r>
              <w:rPr>
                <w:rFonts w:eastAsia="Times New Roman"/>
                <w:color w:val="000000"/>
                <w:lang w:eastAsia="tr-TR"/>
              </w:rPr>
              <w:t>8,59</w:t>
            </w:r>
          </w:p>
        </w:tc>
      </w:tr>
      <w:tr w:rsidR="00A448CA" w:rsidRPr="002048A7" w14:paraId="7C5A026D" w14:textId="77777777" w:rsidTr="001173BD">
        <w:trPr>
          <w:trHeight w:val="397"/>
          <w:jc w:val="center"/>
        </w:trPr>
        <w:tc>
          <w:tcPr>
            <w:tcW w:w="1571" w:type="pct"/>
            <w:shd w:val="clear" w:color="auto" w:fill="auto"/>
            <w:vAlign w:val="center"/>
          </w:tcPr>
          <w:p w14:paraId="1348346A" w14:textId="77777777" w:rsidR="00A448CA" w:rsidRPr="002048A7" w:rsidRDefault="00A448CA" w:rsidP="001173BD">
            <w:pPr>
              <w:spacing w:after="0" w:line="240" w:lineRule="auto"/>
              <w:jc w:val="left"/>
              <w:rPr>
                <w:rFonts w:eastAsia="Times New Roman"/>
                <w:color w:val="000000"/>
                <w:lang w:eastAsia="tr-TR"/>
              </w:rPr>
            </w:pPr>
            <w:r w:rsidRPr="002048A7">
              <w:rPr>
                <w:rFonts w:eastAsia="Times New Roman"/>
                <w:color w:val="000000"/>
                <w:lang w:eastAsia="tr-TR"/>
              </w:rPr>
              <w:t>Dağıtıcı Dışında Akaryakıt İkmali</w:t>
            </w:r>
          </w:p>
        </w:tc>
        <w:tc>
          <w:tcPr>
            <w:tcW w:w="1000" w:type="pct"/>
            <w:shd w:val="clear" w:color="auto" w:fill="auto"/>
            <w:noWrap/>
            <w:vAlign w:val="center"/>
          </w:tcPr>
          <w:p w14:paraId="540F946F" w14:textId="77777777" w:rsidR="00A448CA" w:rsidRPr="002048A7" w:rsidRDefault="00A448CA" w:rsidP="001173BD">
            <w:pPr>
              <w:spacing w:after="0" w:line="240" w:lineRule="auto"/>
              <w:jc w:val="center"/>
              <w:rPr>
                <w:rFonts w:eastAsia="Times New Roman"/>
                <w:color w:val="000000"/>
                <w:lang w:eastAsia="tr-TR"/>
              </w:rPr>
            </w:pPr>
            <w:r>
              <w:rPr>
                <w:rFonts w:eastAsia="Times New Roman"/>
                <w:color w:val="000000"/>
                <w:lang w:eastAsia="tr-TR"/>
              </w:rPr>
              <w:t>68</w:t>
            </w:r>
          </w:p>
        </w:tc>
        <w:tc>
          <w:tcPr>
            <w:tcW w:w="631" w:type="pct"/>
            <w:shd w:val="clear" w:color="auto" w:fill="auto"/>
            <w:noWrap/>
            <w:vAlign w:val="center"/>
          </w:tcPr>
          <w:p w14:paraId="74BE3C90" w14:textId="77777777" w:rsidR="00A448CA" w:rsidRPr="002048A7" w:rsidRDefault="00A448CA" w:rsidP="001173BD">
            <w:pPr>
              <w:spacing w:after="0" w:line="240" w:lineRule="auto"/>
              <w:jc w:val="center"/>
              <w:rPr>
                <w:rFonts w:eastAsia="Times New Roman"/>
                <w:color w:val="000000"/>
                <w:lang w:eastAsia="tr-TR"/>
              </w:rPr>
            </w:pPr>
            <w:r>
              <w:rPr>
                <w:rFonts w:eastAsia="Times New Roman"/>
                <w:color w:val="000000"/>
                <w:lang w:eastAsia="tr-TR"/>
              </w:rPr>
              <w:t>22,97</w:t>
            </w:r>
            <w:r w:rsidRPr="002048A7">
              <w:rPr>
                <w:rFonts w:eastAsia="Times New Roman"/>
                <w:color w:val="000000"/>
                <w:lang w:eastAsia="tr-TR"/>
              </w:rPr>
              <w:t xml:space="preserve"> </w:t>
            </w:r>
          </w:p>
        </w:tc>
        <w:tc>
          <w:tcPr>
            <w:tcW w:w="1158" w:type="pct"/>
            <w:shd w:val="clear" w:color="auto" w:fill="auto"/>
            <w:noWrap/>
            <w:vAlign w:val="center"/>
          </w:tcPr>
          <w:p w14:paraId="41266323" w14:textId="77777777" w:rsidR="00A448CA" w:rsidRPr="002048A7" w:rsidRDefault="00A448CA" w:rsidP="001173BD">
            <w:pPr>
              <w:spacing w:after="0" w:line="240" w:lineRule="auto"/>
              <w:jc w:val="right"/>
              <w:rPr>
                <w:rFonts w:eastAsia="Times New Roman"/>
                <w:color w:val="000000"/>
                <w:lang w:eastAsia="tr-TR"/>
              </w:rPr>
            </w:pPr>
            <w:r>
              <w:rPr>
                <w:rFonts w:ascii="Calibri" w:hAnsi="Calibri" w:cs="Calibri"/>
                <w:color w:val="000000"/>
              </w:rPr>
              <w:t>8.634.981</w:t>
            </w:r>
            <w:r w:rsidRPr="002048A7">
              <w:rPr>
                <w:rFonts w:ascii="Calibri" w:hAnsi="Calibri" w:cs="Calibri"/>
                <w:color w:val="000000"/>
              </w:rPr>
              <w:t xml:space="preserve"> </w:t>
            </w:r>
          </w:p>
        </w:tc>
        <w:tc>
          <w:tcPr>
            <w:tcW w:w="639" w:type="pct"/>
            <w:shd w:val="clear" w:color="auto" w:fill="auto"/>
            <w:noWrap/>
            <w:vAlign w:val="center"/>
          </w:tcPr>
          <w:p w14:paraId="78B6153F" w14:textId="77777777" w:rsidR="00A448CA" w:rsidRPr="002048A7" w:rsidRDefault="00A448CA" w:rsidP="001173BD">
            <w:pPr>
              <w:spacing w:after="0" w:line="240" w:lineRule="auto"/>
              <w:jc w:val="center"/>
              <w:rPr>
                <w:rFonts w:eastAsia="Times New Roman"/>
                <w:color w:val="000000"/>
                <w:lang w:eastAsia="tr-TR"/>
              </w:rPr>
            </w:pPr>
            <w:r>
              <w:rPr>
                <w:rFonts w:eastAsia="Times New Roman"/>
                <w:color w:val="000000"/>
                <w:lang w:eastAsia="tr-TR"/>
              </w:rPr>
              <w:t>8,95</w:t>
            </w:r>
            <w:r w:rsidRPr="002048A7">
              <w:rPr>
                <w:rFonts w:eastAsia="Times New Roman"/>
                <w:color w:val="000000"/>
                <w:lang w:eastAsia="tr-TR"/>
              </w:rPr>
              <w:t xml:space="preserve">  </w:t>
            </w:r>
          </w:p>
        </w:tc>
      </w:tr>
      <w:tr w:rsidR="00A448CA" w:rsidRPr="002048A7" w14:paraId="54C0F964" w14:textId="77777777" w:rsidTr="001173BD">
        <w:trPr>
          <w:trHeight w:val="397"/>
          <w:jc w:val="center"/>
        </w:trPr>
        <w:tc>
          <w:tcPr>
            <w:tcW w:w="1571" w:type="pct"/>
            <w:shd w:val="clear" w:color="auto" w:fill="auto"/>
            <w:vAlign w:val="center"/>
          </w:tcPr>
          <w:p w14:paraId="241C0935" w14:textId="77777777" w:rsidR="00A448CA" w:rsidRPr="002048A7" w:rsidRDefault="00A448CA" w:rsidP="001173BD">
            <w:pPr>
              <w:spacing w:after="0" w:line="240" w:lineRule="auto"/>
              <w:jc w:val="left"/>
              <w:rPr>
                <w:rFonts w:eastAsia="Times New Roman"/>
                <w:color w:val="000000"/>
                <w:lang w:eastAsia="tr-TR"/>
              </w:rPr>
            </w:pPr>
            <w:r w:rsidRPr="002048A7">
              <w:rPr>
                <w:rFonts w:eastAsia="Times New Roman"/>
                <w:color w:val="000000"/>
                <w:lang w:eastAsia="tr-TR"/>
              </w:rPr>
              <w:t>Diğer*</w:t>
            </w:r>
          </w:p>
        </w:tc>
        <w:tc>
          <w:tcPr>
            <w:tcW w:w="1000" w:type="pct"/>
            <w:shd w:val="clear" w:color="auto" w:fill="auto"/>
            <w:noWrap/>
            <w:vAlign w:val="center"/>
          </w:tcPr>
          <w:p w14:paraId="629A0899" w14:textId="77777777" w:rsidR="00A448CA" w:rsidRPr="002048A7" w:rsidRDefault="00A448CA" w:rsidP="001173BD">
            <w:pPr>
              <w:spacing w:after="0" w:line="240" w:lineRule="auto"/>
              <w:jc w:val="center"/>
              <w:rPr>
                <w:rFonts w:eastAsia="Times New Roman"/>
                <w:color w:val="000000"/>
                <w:lang w:eastAsia="tr-TR"/>
              </w:rPr>
            </w:pPr>
            <w:r>
              <w:rPr>
                <w:rFonts w:eastAsia="Times New Roman"/>
                <w:color w:val="000000"/>
                <w:lang w:eastAsia="tr-TR"/>
              </w:rPr>
              <w:t>119</w:t>
            </w:r>
          </w:p>
        </w:tc>
        <w:tc>
          <w:tcPr>
            <w:tcW w:w="631" w:type="pct"/>
            <w:shd w:val="clear" w:color="auto" w:fill="auto"/>
            <w:noWrap/>
            <w:vAlign w:val="center"/>
          </w:tcPr>
          <w:p w14:paraId="4A48C753" w14:textId="77777777" w:rsidR="00A448CA" w:rsidRPr="002048A7" w:rsidRDefault="00A448CA" w:rsidP="001173BD">
            <w:pPr>
              <w:spacing w:after="0" w:line="240" w:lineRule="auto"/>
              <w:jc w:val="center"/>
              <w:rPr>
                <w:rFonts w:eastAsia="Times New Roman"/>
                <w:color w:val="000000"/>
                <w:lang w:eastAsia="tr-TR"/>
              </w:rPr>
            </w:pPr>
            <w:r>
              <w:rPr>
                <w:rFonts w:eastAsia="Times New Roman"/>
                <w:color w:val="000000"/>
                <w:lang w:eastAsia="tr-TR"/>
              </w:rPr>
              <w:t>40,20</w:t>
            </w:r>
            <w:r w:rsidRPr="002048A7">
              <w:rPr>
                <w:rFonts w:eastAsia="Times New Roman"/>
                <w:color w:val="000000"/>
                <w:lang w:eastAsia="tr-TR"/>
              </w:rPr>
              <w:t xml:space="preserve"> </w:t>
            </w:r>
          </w:p>
        </w:tc>
        <w:tc>
          <w:tcPr>
            <w:tcW w:w="1158" w:type="pct"/>
            <w:shd w:val="clear" w:color="auto" w:fill="auto"/>
            <w:noWrap/>
            <w:vAlign w:val="center"/>
          </w:tcPr>
          <w:p w14:paraId="65138AA6" w14:textId="77777777" w:rsidR="00A448CA" w:rsidRPr="002048A7" w:rsidRDefault="00A448CA" w:rsidP="001173BD">
            <w:pPr>
              <w:spacing w:after="0" w:line="240" w:lineRule="auto"/>
              <w:jc w:val="right"/>
              <w:rPr>
                <w:rFonts w:eastAsia="Times New Roman"/>
                <w:color w:val="000000"/>
                <w:lang w:eastAsia="tr-TR"/>
              </w:rPr>
            </w:pPr>
            <w:r>
              <w:rPr>
                <w:rFonts w:eastAsia="Times New Roman"/>
                <w:color w:val="000000"/>
                <w:lang w:eastAsia="tr-TR"/>
              </w:rPr>
              <w:t>57.717.535</w:t>
            </w:r>
          </w:p>
        </w:tc>
        <w:tc>
          <w:tcPr>
            <w:tcW w:w="639" w:type="pct"/>
            <w:shd w:val="clear" w:color="auto" w:fill="auto"/>
            <w:noWrap/>
            <w:vAlign w:val="center"/>
          </w:tcPr>
          <w:p w14:paraId="39BAF7CB" w14:textId="77777777" w:rsidR="00A448CA" w:rsidRPr="002048A7" w:rsidRDefault="00A448CA" w:rsidP="001173BD">
            <w:pPr>
              <w:spacing w:after="0" w:line="240" w:lineRule="auto"/>
              <w:jc w:val="center"/>
              <w:rPr>
                <w:rFonts w:eastAsia="Times New Roman"/>
                <w:color w:val="000000"/>
                <w:lang w:eastAsia="tr-TR"/>
              </w:rPr>
            </w:pPr>
            <w:r>
              <w:rPr>
                <w:rFonts w:eastAsia="Times New Roman"/>
                <w:color w:val="000000"/>
                <w:lang w:eastAsia="tr-TR"/>
              </w:rPr>
              <w:t>59,86</w:t>
            </w:r>
          </w:p>
        </w:tc>
      </w:tr>
      <w:tr w:rsidR="00A448CA" w:rsidRPr="002048A7" w14:paraId="714BE810" w14:textId="77777777" w:rsidTr="001173BD">
        <w:trPr>
          <w:trHeight w:val="397"/>
          <w:jc w:val="center"/>
        </w:trPr>
        <w:tc>
          <w:tcPr>
            <w:tcW w:w="1571" w:type="pct"/>
            <w:shd w:val="clear" w:color="auto" w:fill="auto"/>
            <w:vAlign w:val="center"/>
          </w:tcPr>
          <w:p w14:paraId="0A2C5895" w14:textId="77777777" w:rsidR="00A448CA" w:rsidRPr="002048A7" w:rsidRDefault="00A448CA" w:rsidP="001173BD">
            <w:pPr>
              <w:spacing w:after="0" w:line="240" w:lineRule="auto"/>
              <w:jc w:val="left"/>
              <w:rPr>
                <w:rFonts w:eastAsia="Times New Roman"/>
                <w:color w:val="000000"/>
                <w:lang w:eastAsia="tr-TR"/>
              </w:rPr>
            </w:pPr>
            <w:r w:rsidRPr="002048A7">
              <w:rPr>
                <w:rFonts w:eastAsia="Times New Roman"/>
                <w:b/>
                <w:bCs/>
                <w:color w:val="000000"/>
                <w:lang w:eastAsia="tr-TR"/>
              </w:rPr>
              <w:t>Toplam</w:t>
            </w:r>
          </w:p>
        </w:tc>
        <w:tc>
          <w:tcPr>
            <w:tcW w:w="1000" w:type="pct"/>
            <w:shd w:val="clear" w:color="auto" w:fill="auto"/>
            <w:noWrap/>
            <w:vAlign w:val="center"/>
          </w:tcPr>
          <w:p w14:paraId="624F0B24" w14:textId="77777777" w:rsidR="00A448CA" w:rsidRPr="002048A7" w:rsidRDefault="00A448CA" w:rsidP="001173BD">
            <w:pPr>
              <w:spacing w:after="0" w:line="240" w:lineRule="auto"/>
              <w:jc w:val="center"/>
              <w:rPr>
                <w:rFonts w:eastAsia="Times New Roman"/>
                <w:color w:val="000000"/>
                <w:lang w:eastAsia="tr-TR"/>
              </w:rPr>
            </w:pPr>
            <w:r>
              <w:rPr>
                <w:rFonts w:eastAsia="Times New Roman"/>
                <w:b/>
                <w:bCs/>
                <w:color w:val="000000"/>
                <w:lang w:eastAsia="tr-TR"/>
              </w:rPr>
              <w:t>296</w:t>
            </w:r>
          </w:p>
        </w:tc>
        <w:tc>
          <w:tcPr>
            <w:tcW w:w="631" w:type="pct"/>
            <w:shd w:val="clear" w:color="auto" w:fill="auto"/>
            <w:noWrap/>
            <w:vAlign w:val="center"/>
          </w:tcPr>
          <w:p w14:paraId="0D6B5B11" w14:textId="77777777" w:rsidR="00A448CA" w:rsidRPr="002048A7" w:rsidRDefault="00A448CA" w:rsidP="001173BD">
            <w:pPr>
              <w:spacing w:after="0" w:line="240" w:lineRule="auto"/>
              <w:jc w:val="center"/>
              <w:rPr>
                <w:rFonts w:eastAsia="Times New Roman"/>
                <w:color w:val="000000"/>
                <w:lang w:eastAsia="tr-TR"/>
              </w:rPr>
            </w:pPr>
            <w:r w:rsidRPr="002048A7">
              <w:rPr>
                <w:rFonts w:eastAsia="Times New Roman"/>
                <w:b/>
                <w:bCs/>
                <w:color w:val="000000"/>
                <w:lang w:eastAsia="tr-TR"/>
              </w:rPr>
              <w:t>100</w:t>
            </w:r>
          </w:p>
        </w:tc>
        <w:tc>
          <w:tcPr>
            <w:tcW w:w="1158" w:type="pct"/>
            <w:shd w:val="clear" w:color="auto" w:fill="auto"/>
            <w:noWrap/>
            <w:vAlign w:val="center"/>
          </w:tcPr>
          <w:p w14:paraId="6A915FBC" w14:textId="77777777" w:rsidR="00A448CA" w:rsidRPr="002048A7" w:rsidRDefault="00A448CA" w:rsidP="001173BD">
            <w:pPr>
              <w:spacing w:after="0" w:line="240" w:lineRule="auto"/>
              <w:jc w:val="right"/>
              <w:rPr>
                <w:rFonts w:eastAsia="Times New Roman"/>
                <w:color w:val="000000"/>
                <w:lang w:eastAsia="tr-TR"/>
              </w:rPr>
            </w:pPr>
            <w:r>
              <w:rPr>
                <w:rFonts w:ascii="Calibri" w:eastAsia="Times New Roman" w:hAnsi="Calibri"/>
                <w:b/>
                <w:bCs/>
                <w:color w:val="000000"/>
                <w:lang w:eastAsia="tr-TR"/>
              </w:rPr>
              <w:t>96.438.872</w:t>
            </w:r>
          </w:p>
        </w:tc>
        <w:tc>
          <w:tcPr>
            <w:tcW w:w="639" w:type="pct"/>
            <w:shd w:val="clear" w:color="auto" w:fill="auto"/>
            <w:noWrap/>
            <w:vAlign w:val="center"/>
          </w:tcPr>
          <w:p w14:paraId="661290DA" w14:textId="77777777" w:rsidR="00A448CA" w:rsidRPr="002048A7" w:rsidRDefault="00A448CA" w:rsidP="001173BD">
            <w:pPr>
              <w:spacing w:after="0" w:line="240" w:lineRule="auto"/>
              <w:jc w:val="center"/>
              <w:rPr>
                <w:rFonts w:eastAsia="Times New Roman"/>
                <w:color w:val="000000"/>
                <w:lang w:eastAsia="tr-TR"/>
              </w:rPr>
            </w:pPr>
            <w:r w:rsidRPr="002048A7">
              <w:rPr>
                <w:rFonts w:eastAsia="Times New Roman"/>
                <w:b/>
                <w:bCs/>
                <w:color w:val="000000"/>
                <w:lang w:eastAsia="tr-TR"/>
              </w:rPr>
              <w:t>100</w:t>
            </w:r>
          </w:p>
        </w:tc>
      </w:tr>
    </w:tbl>
    <w:p w14:paraId="0812AB19" w14:textId="77777777" w:rsidR="003D0DD5" w:rsidRPr="002048A7" w:rsidRDefault="00A448CA" w:rsidP="003D0DD5">
      <w:pPr>
        <w:pStyle w:val="AralkYok"/>
        <w:jc w:val="both"/>
        <w:rPr>
          <w:rFonts w:eastAsia="Times New Roman"/>
          <w:bCs/>
          <w:color w:val="000000"/>
          <w:sz w:val="20"/>
          <w:szCs w:val="20"/>
        </w:rPr>
      </w:pPr>
      <w:r w:rsidRPr="002048A7">
        <w:rPr>
          <w:rFonts w:eastAsia="Times New Roman"/>
          <w:bCs/>
          <w:color w:val="000000"/>
        </w:rPr>
        <w:t>*</w:t>
      </w:r>
      <w:r w:rsidRPr="002048A7">
        <w:rPr>
          <w:rFonts w:eastAsia="Times New Roman"/>
          <w:bCs/>
          <w:color w:val="000000"/>
          <w:sz w:val="20"/>
          <w:szCs w:val="20"/>
        </w:rPr>
        <w:t xml:space="preserve"> </w:t>
      </w:r>
      <w:r w:rsidRPr="002048A7">
        <w:rPr>
          <w:rFonts w:eastAsia="Times New Roman"/>
          <w:bCs/>
          <w:i/>
          <w:color w:val="000000"/>
          <w:sz w:val="20"/>
          <w:szCs w:val="20"/>
        </w:rPr>
        <w:t>Petrol piyasası mevzuatının kötü niyet ve tehlikeli eylem sonucunu doğuracak işlemlerden özenle kaçınma yükümlülüğünü ihlal, ulusal marker ekleme işleminde meydana gelen usulsüzlük gibi muhtelif maddelerine muhalefetten kesilen cezaları kapsamaktadır</w:t>
      </w:r>
      <w:r w:rsidRPr="002048A7">
        <w:rPr>
          <w:rFonts w:eastAsia="Times New Roman"/>
          <w:bCs/>
          <w:color w:val="000000"/>
          <w:sz w:val="20"/>
          <w:szCs w:val="20"/>
        </w:rPr>
        <w:t>.</w:t>
      </w:r>
    </w:p>
    <w:p w14:paraId="4F3A862B" w14:textId="77777777" w:rsidR="006A2E5D" w:rsidRPr="002048A7" w:rsidRDefault="006A2E5D" w:rsidP="003D0DD5">
      <w:pPr>
        <w:pStyle w:val="AralkYok"/>
        <w:jc w:val="both"/>
      </w:pPr>
    </w:p>
    <w:p w14:paraId="133A0048" w14:textId="77777777" w:rsidR="00206F52" w:rsidRPr="002048A7" w:rsidRDefault="009D79C2" w:rsidP="00577AAF">
      <w:pPr>
        <w:pStyle w:val="Balk3"/>
        <w:numPr>
          <w:ilvl w:val="2"/>
          <w:numId w:val="11"/>
        </w:numPr>
        <w:spacing w:before="0" w:after="240"/>
        <w:rPr>
          <w:rFonts w:asciiTheme="minorHAnsi" w:hAnsiTheme="minorHAnsi"/>
          <w:color w:val="000000" w:themeColor="text1"/>
        </w:rPr>
      </w:pPr>
      <w:bookmarkStart w:id="318" w:name="_Toc195868754"/>
      <w:r w:rsidRPr="002048A7">
        <w:rPr>
          <w:rFonts w:asciiTheme="minorHAnsi" w:hAnsiTheme="minorHAnsi"/>
          <w:color w:val="000000" w:themeColor="text1"/>
        </w:rPr>
        <w:t xml:space="preserve">5015 Sayılı </w:t>
      </w:r>
      <w:r w:rsidR="00206F52" w:rsidRPr="002048A7">
        <w:rPr>
          <w:rFonts w:asciiTheme="minorHAnsi" w:hAnsiTheme="minorHAnsi"/>
          <w:color w:val="000000" w:themeColor="text1"/>
        </w:rPr>
        <w:t xml:space="preserve">Petrol Piyasası Kanununun </w:t>
      </w:r>
      <w:r w:rsidRPr="002048A7">
        <w:rPr>
          <w:rFonts w:asciiTheme="minorHAnsi" w:hAnsiTheme="minorHAnsi"/>
          <w:color w:val="000000" w:themeColor="text1"/>
        </w:rPr>
        <w:t>20</w:t>
      </w:r>
      <w:r w:rsidR="001A5127" w:rsidRPr="002048A7">
        <w:rPr>
          <w:rFonts w:asciiTheme="minorHAnsi" w:hAnsiTheme="minorHAnsi"/>
          <w:color w:val="000000" w:themeColor="text1"/>
        </w:rPr>
        <w:t>’</w:t>
      </w:r>
      <w:r w:rsidR="00710355" w:rsidRPr="002048A7">
        <w:rPr>
          <w:rFonts w:asciiTheme="minorHAnsi" w:hAnsiTheme="minorHAnsi"/>
          <w:color w:val="000000" w:themeColor="text1"/>
        </w:rPr>
        <w:t>n</w:t>
      </w:r>
      <w:r w:rsidRPr="002048A7">
        <w:rPr>
          <w:rFonts w:asciiTheme="minorHAnsi" w:hAnsiTheme="minorHAnsi"/>
          <w:color w:val="000000" w:themeColor="text1"/>
        </w:rPr>
        <w:t>ci Maddesinin İkinci Fıkrasının (</w:t>
      </w:r>
      <w:r w:rsidR="00710355" w:rsidRPr="002048A7">
        <w:rPr>
          <w:rFonts w:asciiTheme="minorHAnsi" w:hAnsiTheme="minorHAnsi"/>
          <w:color w:val="000000" w:themeColor="text1"/>
        </w:rPr>
        <w:t>g</w:t>
      </w:r>
      <w:r w:rsidRPr="002048A7">
        <w:rPr>
          <w:rFonts w:asciiTheme="minorHAnsi" w:hAnsiTheme="minorHAnsi"/>
          <w:color w:val="000000" w:themeColor="text1"/>
        </w:rPr>
        <w:t>) ve (</w:t>
      </w:r>
      <w:r w:rsidR="00710355" w:rsidRPr="002048A7">
        <w:rPr>
          <w:rFonts w:asciiTheme="minorHAnsi" w:hAnsiTheme="minorHAnsi"/>
          <w:color w:val="000000" w:themeColor="text1"/>
        </w:rPr>
        <w:t>h</w:t>
      </w:r>
      <w:r w:rsidRPr="002048A7">
        <w:rPr>
          <w:rFonts w:asciiTheme="minorHAnsi" w:hAnsiTheme="minorHAnsi"/>
          <w:color w:val="000000" w:themeColor="text1"/>
        </w:rPr>
        <w:t>) Bentleri Çerçevesinde Gerçekleştirilen İşlemler</w:t>
      </w:r>
      <w:bookmarkEnd w:id="318"/>
    </w:p>
    <w:p w14:paraId="332989C5" w14:textId="77777777" w:rsidR="00206F52" w:rsidRPr="002048A7" w:rsidRDefault="00206F52" w:rsidP="00206F52">
      <w:pPr>
        <w:rPr>
          <w:rFonts w:cstheme="minorHAnsi"/>
          <w:bCs/>
        </w:rPr>
      </w:pPr>
      <w:r w:rsidRPr="002048A7">
        <w:rPr>
          <w:rFonts w:eastAsia="Times New Roman" w:cstheme="minorHAnsi"/>
          <w:color w:val="000000"/>
        </w:rPr>
        <w:t>29/4/2021 tarih ve 7318 sayılı Kanunun 10 uncu maddesi ile 5015 sayılı Petrol Piyasası Kanununun 20 nci maddesinin ikinci fıkrasının (g) bendine “</w:t>
      </w:r>
      <w:r w:rsidR="00710355" w:rsidRPr="002048A7">
        <w:rPr>
          <w:rFonts w:eastAsia="Times New Roman" w:cstheme="minorHAnsi"/>
          <w:i/>
          <w:color w:val="000000"/>
        </w:rPr>
        <w:t>Bu Kanuna göre lisansa tabi faaliyetler ile ilgili olarak, 4/1/1961 tarihli ve 213 sayılı Vergi Usul Kanununun 359 uncu maddesinin (a) ve (b) fıkraları kapsamında; muhteviyatı itibarıyla yanıltıcı belge düzenleme veya bu belgeleri kullanma, belgelerin asıl veya suretlerini tamamen veya kısmen sahte olarak düzenleme veya bu belgeleri kullanma suçları ile aynı maddenin (ç) fıkrasında yazılı suçların işlendiğinin anılan Kanunun 367 nci maddesi uyarınca Cumhuriyet başsavcılığına bildirilmesi ile birlikte durum, Kuruma da iletilir ve Kurum tarafından her türlü tesiste (rafineri hariç) lisansa tabi tüm faaliyetler geçici olarak durdurulur ve bu süre içerisinde söz konusu tesis için bir başka gerçek veya tüzel kişiye de lisans verilmez. (1) Kurum tarafından geçici durdurma işleminin kaldırılıp kaldırılmayacağı bu fıkrada yer verilen suçlarla sınırlı olmak üzere Cumhuriyet başsavcılığı veya mahkemelerden temin edilecek bilgilere göre altı ayda bir değerlendirilir. Ancak kovuşturmaya yer olmadığına dair kararın kesinleşmesi üzerine ya da mahkûmiyet dışında bir hüküm veya hükmün açıklanmasının geri bırakılmasına karar verilmesi halinde kesinleşmesi beklenmeksizin Kuruma yargı merciince bildirilmesiyle veya sair suretlerle Kurumca ıttıla edilmesi durumunda geçici durdurma işlemi Kurum tarafından kaldırılır. (2) Kesinleşmiş mahkeme kararına göre lisans sahiplerinin lisansı iptal edilir. Bu bent kapsamında kalan fiillere ilişkin olarak verilen idari para cezaları ödenmediği müddetçe lisansa konu tesis için lisans verilmez. Bu bent kapsamındaki suçlara ilişkin vergi incelemesi sonuçlanıncaya kadar söz konusu tesis için başka bir gerçek veya tüzel kişiye de lisans verilmez.</w:t>
      </w:r>
      <w:r w:rsidRPr="002048A7">
        <w:rPr>
          <w:rFonts w:eastAsia="Times New Roman" w:cstheme="minorHAnsi"/>
          <w:color w:val="000000"/>
        </w:rPr>
        <w:t>” hükmü eklenmiştir.</w:t>
      </w:r>
    </w:p>
    <w:p w14:paraId="5B972C92" w14:textId="77777777" w:rsidR="00206F52" w:rsidRPr="002048A7" w:rsidRDefault="00206F52" w:rsidP="00206F52">
      <w:pPr>
        <w:rPr>
          <w:rFonts w:cstheme="minorHAnsi"/>
          <w:bCs/>
        </w:rPr>
      </w:pPr>
      <w:r w:rsidRPr="002048A7">
        <w:rPr>
          <w:rFonts w:cstheme="minorHAnsi"/>
          <w:bCs/>
        </w:rPr>
        <w:t>Kurumumuza Hazine ve Maliye Bakanlığı Vergi Denetim Kurulu Başkanlığı tarafından söz konusu hükümler çerçevesinde işlem yapılması amacıyla gönderilen tespitler kapsamında aşağıdaki işlemler gerçekleştirilmiştir.</w:t>
      </w:r>
    </w:p>
    <w:p w14:paraId="5195CD5B" w14:textId="77777777" w:rsidR="00A448CA" w:rsidRPr="002048A7" w:rsidRDefault="00A448CA" w:rsidP="00A448CA">
      <w:pPr>
        <w:pStyle w:val="Balk5"/>
        <w:spacing w:after="240" w:line="360" w:lineRule="auto"/>
        <w:jc w:val="center"/>
        <w:rPr>
          <w:rStyle w:val="Gl"/>
          <w:rFonts w:eastAsia="Calibri" w:cs="Times New Roman"/>
          <w:color w:val="000000" w:themeColor="text1"/>
        </w:rPr>
      </w:pPr>
      <w:bookmarkStart w:id="319" w:name="_Toc195868841"/>
      <w:bookmarkStart w:id="320" w:name="_Hlk130305203"/>
      <w:r w:rsidRPr="002048A7">
        <w:rPr>
          <w:rStyle w:val="Gl"/>
          <w:color w:val="000000" w:themeColor="text1"/>
        </w:rPr>
        <w:lastRenderedPageBreak/>
        <w:t>Tablo 6.</w:t>
      </w:r>
      <w:r>
        <w:rPr>
          <w:rStyle w:val="Gl"/>
          <w:color w:val="000000" w:themeColor="text1"/>
        </w:rPr>
        <w:t>7</w:t>
      </w:r>
      <w:r w:rsidRPr="002048A7">
        <w:rPr>
          <w:rStyle w:val="Gl"/>
          <w:color w:val="000000" w:themeColor="text1"/>
        </w:rPr>
        <w:t>: 5015 sayılı Kanunun 20’nci maddesinin ikinci fıkrasının (g) bendi çerçevesinde</w:t>
      </w:r>
      <w:r>
        <w:rPr>
          <w:rStyle w:val="Gl"/>
          <w:color w:val="000000" w:themeColor="text1"/>
        </w:rPr>
        <w:t xml:space="preserve"> 2024 yılına ilişkin</w:t>
      </w:r>
      <w:r w:rsidRPr="002048A7">
        <w:rPr>
          <w:rStyle w:val="Gl"/>
          <w:color w:val="000000" w:themeColor="text1"/>
        </w:rPr>
        <w:t xml:space="preserve"> yapılan işlemler</w:t>
      </w:r>
      <w:bookmarkEnd w:id="319"/>
    </w:p>
    <w:tbl>
      <w:tblPr>
        <w:tblW w:w="3287"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5671"/>
        <w:gridCol w:w="844"/>
      </w:tblGrid>
      <w:tr w:rsidR="00A448CA" w:rsidRPr="002048A7" w14:paraId="09DA92E7" w14:textId="77777777" w:rsidTr="001173BD">
        <w:trPr>
          <w:trHeight w:val="397"/>
          <w:tblHeader/>
          <w:jc w:val="center"/>
        </w:trPr>
        <w:tc>
          <w:tcPr>
            <w:tcW w:w="4352" w:type="pct"/>
            <w:shd w:val="clear" w:color="auto" w:fill="6E9ECA"/>
            <w:vAlign w:val="center"/>
            <w:hideMark/>
          </w:tcPr>
          <w:bookmarkEnd w:id="320"/>
          <w:p w14:paraId="7AF4009C" w14:textId="77777777" w:rsidR="00A448CA" w:rsidRPr="002048A7" w:rsidRDefault="00A448CA" w:rsidP="001173BD">
            <w:pPr>
              <w:spacing w:after="0" w:line="240" w:lineRule="auto"/>
              <w:jc w:val="center"/>
              <w:rPr>
                <w:rFonts w:eastAsia="Times New Roman"/>
                <w:b/>
                <w:bCs/>
                <w:color w:val="FFFFFF" w:themeColor="background1"/>
                <w:lang w:eastAsia="tr-TR"/>
              </w:rPr>
            </w:pPr>
            <w:r w:rsidRPr="002048A7">
              <w:rPr>
                <w:rFonts w:eastAsia="Times New Roman"/>
                <w:b/>
                <w:bCs/>
                <w:color w:val="FFFFFF" w:themeColor="background1"/>
                <w:lang w:eastAsia="tr-TR"/>
              </w:rPr>
              <w:t>T</w:t>
            </w:r>
            <w:r w:rsidRPr="002048A7">
              <w:rPr>
                <w:rFonts w:eastAsia="Times New Roman"/>
                <w:b/>
                <w:color w:val="FFFFFF" w:themeColor="background1"/>
                <w:lang w:eastAsia="tr-TR"/>
              </w:rPr>
              <w:t>espit Türü</w:t>
            </w:r>
          </w:p>
        </w:tc>
        <w:tc>
          <w:tcPr>
            <w:tcW w:w="648" w:type="pct"/>
            <w:shd w:val="clear" w:color="auto" w:fill="6E9ECA"/>
            <w:vAlign w:val="center"/>
            <w:hideMark/>
          </w:tcPr>
          <w:p w14:paraId="7DC857BB" w14:textId="77777777" w:rsidR="00A448CA" w:rsidRPr="002048A7" w:rsidRDefault="00A448CA" w:rsidP="001173BD">
            <w:pPr>
              <w:spacing w:after="0" w:line="240" w:lineRule="auto"/>
              <w:jc w:val="center"/>
              <w:rPr>
                <w:rFonts w:eastAsia="Times New Roman"/>
                <w:b/>
                <w:bCs/>
                <w:color w:val="FFFFFF" w:themeColor="background1"/>
                <w:lang w:eastAsia="tr-TR"/>
              </w:rPr>
            </w:pPr>
            <w:r w:rsidRPr="002048A7">
              <w:rPr>
                <w:rFonts w:eastAsia="Times New Roman"/>
                <w:b/>
                <w:bCs/>
                <w:color w:val="FFFFFF" w:themeColor="background1"/>
                <w:lang w:eastAsia="tr-TR"/>
              </w:rPr>
              <w:t>Adet</w:t>
            </w:r>
          </w:p>
        </w:tc>
      </w:tr>
      <w:tr w:rsidR="00A448CA" w:rsidRPr="002048A7" w14:paraId="44D19CA6" w14:textId="77777777" w:rsidTr="001173BD">
        <w:trPr>
          <w:trHeight w:val="397"/>
          <w:jc w:val="center"/>
        </w:trPr>
        <w:tc>
          <w:tcPr>
            <w:tcW w:w="4352" w:type="pct"/>
            <w:shd w:val="clear" w:color="auto" w:fill="auto"/>
            <w:vAlign w:val="center"/>
            <w:hideMark/>
          </w:tcPr>
          <w:p w14:paraId="21426609" w14:textId="77777777" w:rsidR="00A448CA" w:rsidRPr="002048A7" w:rsidRDefault="00A448CA" w:rsidP="001173BD">
            <w:pPr>
              <w:spacing w:after="0" w:line="240" w:lineRule="auto"/>
              <w:jc w:val="left"/>
              <w:rPr>
                <w:rFonts w:eastAsia="Times New Roman"/>
                <w:color w:val="000000"/>
                <w:lang w:eastAsia="tr-TR"/>
              </w:rPr>
            </w:pPr>
            <w:r w:rsidRPr="002048A7">
              <w:rPr>
                <w:rFonts w:eastAsia="Times New Roman"/>
                <w:color w:val="000000"/>
                <w:lang w:eastAsia="tr-TR"/>
              </w:rPr>
              <w:t>Faaliyetinin durdurulması için kolluğa yazı yazılan lisans sahipleri</w:t>
            </w:r>
          </w:p>
        </w:tc>
        <w:tc>
          <w:tcPr>
            <w:tcW w:w="648" w:type="pct"/>
            <w:shd w:val="clear" w:color="auto" w:fill="auto"/>
            <w:noWrap/>
            <w:vAlign w:val="center"/>
          </w:tcPr>
          <w:p w14:paraId="0B513101" w14:textId="77777777" w:rsidR="00A448CA" w:rsidRPr="002048A7" w:rsidRDefault="00A448CA" w:rsidP="001173BD">
            <w:pPr>
              <w:spacing w:after="0" w:line="240" w:lineRule="auto"/>
              <w:jc w:val="center"/>
              <w:rPr>
                <w:rFonts w:eastAsia="Times New Roman"/>
                <w:color w:val="000000"/>
                <w:lang w:eastAsia="tr-TR"/>
              </w:rPr>
            </w:pPr>
            <w:r>
              <w:rPr>
                <w:rFonts w:eastAsia="Times New Roman"/>
                <w:color w:val="000000"/>
                <w:lang w:eastAsia="tr-TR"/>
              </w:rPr>
              <w:t>79</w:t>
            </w:r>
          </w:p>
        </w:tc>
      </w:tr>
      <w:tr w:rsidR="00A448CA" w:rsidRPr="002048A7" w14:paraId="4F47DA39" w14:textId="77777777" w:rsidTr="001173BD">
        <w:trPr>
          <w:trHeight w:val="397"/>
          <w:jc w:val="center"/>
        </w:trPr>
        <w:tc>
          <w:tcPr>
            <w:tcW w:w="4352" w:type="pct"/>
            <w:shd w:val="clear" w:color="auto" w:fill="auto"/>
            <w:vAlign w:val="center"/>
            <w:hideMark/>
          </w:tcPr>
          <w:p w14:paraId="3873695E" w14:textId="77777777" w:rsidR="00A448CA" w:rsidRPr="002048A7" w:rsidRDefault="00A448CA" w:rsidP="001173BD">
            <w:pPr>
              <w:spacing w:after="0" w:line="240" w:lineRule="auto"/>
              <w:jc w:val="left"/>
              <w:rPr>
                <w:rFonts w:eastAsia="Times New Roman"/>
                <w:color w:val="000000"/>
                <w:lang w:eastAsia="tr-TR"/>
              </w:rPr>
            </w:pPr>
            <w:r w:rsidRPr="002048A7">
              <w:rPr>
                <w:rFonts w:eastAsia="Times New Roman"/>
                <w:color w:val="000000"/>
                <w:lang w:eastAsia="tr-TR"/>
              </w:rPr>
              <w:t xml:space="preserve">Lisansı yürürlükte bulunmadığı için faaliyet gösterme </w:t>
            </w:r>
            <w:proofErr w:type="gramStart"/>
            <w:r w:rsidRPr="002048A7">
              <w:rPr>
                <w:rFonts w:eastAsia="Times New Roman"/>
                <w:color w:val="000000"/>
                <w:lang w:eastAsia="tr-TR"/>
              </w:rPr>
              <w:t>imkanı</w:t>
            </w:r>
            <w:proofErr w:type="gramEnd"/>
            <w:r w:rsidRPr="002048A7">
              <w:rPr>
                <w:rFonts w:eastAsia="Times New Roman"/>
                <w:color w:val="000000"/>
                <w:lang w:eastAsia="tr-TR"/>
              </w:rPr>
              <w:t xml:space="preserve"> olmayan kişiler</w:t>
            </w:r>
          </w:p>
        </w:tc>
        <w:tc>
          <w:tcPr>
            <w:tcW w:w="648" w:type="pct"/>
            <w:shd w:val="clear" w:color="auto" w:fill="auto"/>
            <w:noWrap/>
            <w:vAlign w:val="center"/>
          </w:tcPr>
          <w:p w14:paraId="3E9E058D" w14:textId="77777777" w:rsidR="00A448CA" w:rsidRPr="002048A7" w:rsidRDefault="00A448CA" w:rsidP="001173BD">
            <w:pPr>
              <w:spacing w:after="0" w:line="240" w:lineRule="auto"/>
              <w:jc w:val="center"/>
              <w:rPr>
                <w:rFonts w:eastAsia="Times New Roman"/>
                <w:color w:val="000000"/>
                <w:lang w:eastAsia="tr-TR"/>
              </w:rPr>
            </w:pPr>
            <w:r>
              <w:rPr>
                <w:rFonts w:eastAsia="Times New Roman"/>
                <w:color w:val="000000"/>
                <w:lang w:eastAsia="tr-TR"/>
              </w:rPr>
              <w:t>62</w:t>
            </w:r>
          </w:p>
        </w:tc>
      </w:tr>
      <w:tr w:rsidR="00A448CA" w:rsidRPr="002048A7" w14:paraId="5A87EE3C" w14:textId="77777777" w:rsidTr="001173BD">
        <w:trPr>
          <w:trHeight w:val="397"/>
          <w:jc w:val="center"/>
        </w:trPr>
        <w:tc>
          <w:tcPr>
            <w:tcW w:w="4352" w:type="pct"/>
            <w:shd w:val="clear" w:color="auto" w:fill="auto"/>
            <w:vAlign w:val="center"/>
            <w:hideMark/>
          </w:tcPr>
          <w:p w14:paraId="128B9B0B" w14:textId="77777777" w:rsidR="00A448CA" w:rsidRPr="002048A7" w:rsidRDefault="00A448CA" w:rsidP="001173BD">
            <w:pPr>
              <w:spacing w:after="0" w:line="240" w:lineRule="auto"/>
              <w:jc w:val="left"/>
              <w:rPr>
                <w:rFonts w:eastAsia="Times New Roman"/>
                <w:color w:val="000000"/>
                <w:lang w:eastAsia="tr-TR"/>
              </w:rPr>
            </w:pPr>
            <w:r w:rsidRPr="002048A7">
              <w:rPr>
                <w:rFonts w:eastAsia="Times New Roman"/>
                <w:color w:val="000000"/>
                <w:lang w:eastAsia="tr-TR"/>
              </w:rPr>
              <w:t>7318 S.K. (RG: 30.04.2021) Öncesi Döneme İlişkin Tespitler</w:t>
            </w:r>
          </w:p>
        </w:tc>
        <w:tc>
          <w:tcPr>
            <w:tcW w:w="648" w:type="pct"/>
            <w:shd w:val="clear" w:color="auto" w:fill="auto"/>
            <w:noWrap/>
            <w:vAlign w:val="center"/>
          </w:tcPr>
          <w:p w14:paraId="10C7C2C6" w14:textId="77777777" w:rsidR="00A448CA" w:rsidRPr="002048A7" w:rsidRDefault="00A448CA" w:rsidP="001173BD">
            <w:pPr>
              <w:spacing w:after="0" w:line="240" w:lineRule="auto"/>
              <w:jc w:val="center"/>
              <w:rPr>
                <w:rFonts w:eastAsia="Times New Roman"/>
                <w:color w:val="000000"/>
                <w:lang w:eastAsia="tr-TR"/>
              </w:rPr>
            </w:pPr>
            <w:r>
              <w:rPr>
                <w:rFonts w:eastAsia="Times New Roman"/>
                <w:color w:val="000000"/>
                <w:lang w:eastAsia="tr-TR"/>
              </w:rPr>
              <w:t>359</w:t>
            </w:r>
          </w:p>
        </w:tc>
      </w:tr>
      <w:tr w:rsidR="00A448CA" w:rsidRPr="002048A7" w14:paraId="6244D300" w14:textId="77777777" w:rsidTr="001173BD">
        <w:trPr>
          <w:trHeight w:val="397"/>
          <w:jc w:val="center"/>
        </w:trPr>
        <w:tc>
          <w:tcPr>
            <w:tcW w:w="4352" w:type="pct"/>
            <w:shd w:val="clear" w:color="auto" w:fill="auto"/>
            <w:vAlign w:val="center"/>
          </w:tcPr>
          <w:p w14:paraId="2BCB5881" w14:textId="77777777" w:rsidR="00A448CA" w:rsidRPr="002048A7" w:rsidRDefault="00A448CA" w:rsidP="001173BD">
            <w:pPr>
              <w:spacing w:after="0" w:line="240" w:lineRule="auto"/>
              <w:rPr>
                <w:rFonts w:eastAsia="Times New Roman"/>
                <w:color w:val="000000"/>
                <w:lang w:eastAsia="tr-TR"/>
              </w:rPr>
            </w:pPr>
            <w:r w:rsidRPr="002048A7">
              <w:rPr>
                <w:rFonts w:eastAsia="Times New Roman"/>
                <w:b/>
                <w:bCs/>
                <w:color w:val="000000"/>
                <w:lang w:eastAsia="tr-TR"/>
              </w:rPr>
              <w:t>Toplam</w:t>
            </w:r>
          </w:p>
        </w:tc>
        <w:tc>
          <w:tcPr>
            <w:tcW w:w="648" w:type="pct"/>
            <w:shd w:val="clear" w:color="auto" w:fill="auto"/>
            <w:noWrap/>
            <w:vAlign w:val="center"/>
          </w:tcPr>
          <w:p w14:paraId="330F0523" w14:textId="77777777" w:rsidR="00A448CA" w:rsidRPr="002048A7" w:rsidRDefault="00A448CA" w:rsidP="001173BD">
            <w:pPr>
              <w:spacing w:after="0" w:line="240" w:lineRule="auto"/>
              <w:jc w:val="center"/>
              <w:rPr>
                <w:rFonts w:eastAsia="Times New Roman"/>
                <w:b/>
                <w:color w:val="000000"/>
                <w:lang w:eastAsia="tr-TR"/>
              </w:rPr>
            </w:pPr>
            <w:r>
              <w:rPr>
                <w:rFonts w:eastAsia="Times New Roman"/>
                <w:b/>
                <w:color w:val="000000"/>
                <w:lang w:eastAsia="tr-TR"/>
              </w:rPr>
              <w:t>500</w:t>
            </w:r>
            <w:r w:rsidRPr="002048A7" w:rsidDel="00583E9C">
              <w:rPr>
                <w:rFonts w:eastAsia="Times New Roman"/>
                <w:b/>
                <w:color w:val="000000"/>
                <w:lang w:eastAsia="tr-TR"/>
              </w:rPr>
              <w:t xml:space="preserve"> </w:t>
            </w:r>
          </w:p>
        </w:tc>
      </w:tr>
    </w:tbl>
    <w:p w14:paraId="055F8530" w14:textId="77777777" w:rsidR="00A448CA" w:rsidRPr="002048A7" w:rsidRDefault="00A448CA" w:rsidP="00A448CA"/>
    <w:p w14:paraId="3C854247" w14:textId="77777777" w:rsidR="00206F52" w:rsidRPr="002048A7" w:rsidRDefault="00206F52" w:rsidP="00206F52">
      <w:pPr>
        <w:rPr>
          <w:rFonts w:eastAsia="Times New Roman" w:cstheme="minorHAnsi"/>
          <w:color w:val="000000"/>
        </w:rPr>
      </w:pPr>
      <w:r w:rsidRPr="002048A7">
        <w:t xml:space="preserve">Aynı tarih ve sayılı Kanun değişikliği ile </w:t>
      </w:r>
      <w:r w:rsidRPr="002048A7">
        <w:rPr>
          <w:rFonts w:eastAsia="Times New Roman" w:cstheme="minorHAnsi"/>
          <w:color w:val="000000"/>
        </w:rPr>
        <w:t xml:space="preserve">5015 sayılı Petrol Piyasası Kanununun 20 nci maddesinin ikinci fıkrasının (h) bendine </w:t>
      </w:r>
      <w:r w:rsidRPr="002048A7">
        <w:rPr>
          <w:rFonts w:eastAsia="Times New Roman" w:cstheme="minorHAnsi"/>
          <w:i/>
          <w:color w:val="000000"/>
        </w:rPr>
        <w:t xml:space="preserve">“Bu Kanun kapsamında lisansa tabi faaliyetlerde bulunanlardan, 213 sayılı Kanunun mükerrer 257 nci maddesinin birinci fıkrasının (8) numaralı bendine göre istenilen teminatı vermeyenlerin ilgili piyasa faaliyeti teminat verilinceye kadar durdurulur ve bu süre içinde söz konusu tesis veya faaliyet için başka bir gerçek veya tüzel kişiye de lisans verilmez.” </w:t>
      </w:r>
      <w:r w:rsidRPr="002048A7">
        <w:rPr>
          <w:rFonts w:eastAsia="Times New Roman" w:cstheme="minorHAnsi"/>
          <w:color w:val="000000"/>
        </w:rPr>
        <w:t>hükmü eklenmiştir. Söz konusu hükümler çerçevesinde Kurumumuz nezdinde gerçekleştirilen işlemlere dair detaylı bilgiler aşağıdaki tablolarda yer almaktadır.</w:t>
      </w:r>
    </w:p>
    <w:p w14:paraId="5F4C6E57" w14:textId="77777777" w:rsidR="00A448CA" w:rsidRPr="002048A7" w:rsidRDefault="00A448CA" w:rsidP="00A448CA">
      <w:pPr>
        <w:pStyle w:val="Balk5"/>
        <w:spacing w:after="240" w:line="360" w:lineRule="auto"/>
        <w:jc w:val="center"/>
        <w:rPr>
          <w:b/>
          <w:bCs/>
          <w:color w:val="000000" w:themeColor="text1"/>
        </w:rPr>
      </w:pPr>
      <w:bookmarkStart w:id="321" w:name="_Toc195868842"/>
      <w:r w:rsidRPr="002048A7">
        <w:rPr>
          <w:rStyle w:val="Gl"/>
          <w:color w:val="000000" w:themeColor="text1"/>
        </w:rPr>
        <w:t>Tablo 6.</w:t>
      </w:r>
      <w:r>
        <w:rPr>
          <w:rStyle w:val="Gl"/>
          <w:color w:val="000000" w:themeColor="text1"/>
        </w:rPr>
        <w:t>8</w:t>
      </w:r>
      <w:r w:rsidRPr="002048A7">
        <w:rPr>
          <w:rStyle w:val="Gl"/>
          <w:color w:val="000000" w:themeColor="text1"/>
        </w:rPr>
        <w:t xml:space="preserve">: 5015 sayılı Kanunun 20’nci maddesinin ikinci fıkrası (h) bendi kapsamında </w:t>
      </w:r>
      <w:r>
        <w:rPr>
          <w:rStyle w:val="Gl"/>
          <w:color w:val="000000" w:themeColor="text1"/>
        </w:rPr>
        <w:t xml:space="preserve">2024 yılına ilişkin </w:t>
      </w:r>
      <w:r w:rsidRPr="002048A7">
        <w:rPr>
          <w:rStyle w:val="Gl"/>
          <w:color w:val="000000" w:themeColor="text1"/>
        </w:rPr>
        <w:t>yapılan işlemler</w:t>
      </w:r>
      <w:bookmarkEnd w:id="321"/>
      <w:r w:rsidRPr="002048A7">
        <w:rPr>
          <w:rStyle w:val="Gl"/>
          <w:color w:val="000000" w:themeColor="text1"/>
        </w:rPr>
        <w:t xml:space="preserve"> </w:t>
      </w:r>
    </w:p>
    <w:tbl>
      <w:tblPr>
        <w:tblW w:w="3862"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4956"/>
        <w:gridCol w:w="2699"/>
      </w:tblGrid>
      <w:tr w:rsidR="00A448CA" w:rsidRPr="002048A7" w14:paraId="09B148A0" w14:textId="77777777" w:rsidTr="001173BD">
        <w:trPr>
          <w:trHeight w:val="397"/>
          <w:tblHeader/>
          <w:jc w:val="center"/>
        </w:trPr>
        <w:tc>
          <w:tcPr>
            <w:tcW w:w="3237" w:type="pct"/>
            <w:shd w:val="clear" w:color="auto" w:fill="6E9ECA"/>
            <w:vAlign w:val="center"/>
            <w:hideMark/>
          </w:tcPr>
          <w:p w14:paraId="1231E390" w14:textId="77777777" w:rsidR="00A448CA" w:rsidRPr="002048A7" w:rsidRDefault="00A448CA" w:rsidP="001173BD">
            <w:pPr>
              <w:spacing w:after="0" w:line="240" w:lineRule="auto"/>
              <w:jc w:val="center"/>
              <w:rPr>
                <w:rFonts w:eastAsia="Times New Roman"/>
                <w:b/>
                <w:bCs/>
                <w:color w:val="FFFFFF" w:themeColor="background1"/>
                <w:lang w:eastAsia="tr-TR"/>
              </w:rPr>
            </w:pPr>
            <w:r w:rsidRPr="002048A7">
              <w:rPr>
                <w:rFonts w:eastAsia="Times New Roman"/>
                <w:b/>
                <w:bCs/>
                <w:color w:val="FFFFFF" w:themeColor="background1"/>
                <w:lang w:eastAsia="tr-TR"/>
              </w:rPr>
              <w:t>Tespit Türü</w:t>
            </w:r>
          </w:p>
        </w:tc>
        <w:tc>
          <w:tcPr>
            <w:tcW w:w="1763" w:type="pct"/>
            <w:shd w:val="clear" w:color="auto" w:fill="6E9ECA"/>
            <w:vAlign w:val="center"/>
            <w:hideMark/>
          </w:tcPr>
          <w:p w14:paraId="1EF3CAA1" w14:textId="77777777" w:rsidR="00A448CA" w:rsidRPr="002048A7" w:rsidRDefault="00A448CA" w:rsidP="001173BD">
            <w:pPr>
              <w:spacing w:after="0" w:line="240" w:lineRule="auto"/>
              <w:jc w:val="center"/>
              <w:rPr>
                <w:rFonts w:eastAsia="Times New Roman"/>
                <w:b/>
                <w:bCs/>
                <w:color w:val="FFFFFF" w:themeColor="background1"/>
                <w:lang w:eastAsia="tr-TR"/>
              </w:rPr>
            </w:pPr>
            <w:r w:rsidRPr="002048A7">
              <w:rPr>
                <w:rFonts w:eastAsia="Times New Roman"/>
                <w:b/>
                <w:bCs/>
                <w:color w:val="FFFFFF" w:themeColor="background1"/>
                <w:lang w:eastAsia="tr-TR"/>
              </w:rPr>
              <w:t>Adet</w:t>
            </w:r>
          </w:p>
        </w:tc>
      </w:tr>
      <w:tr w:rsidR="00A448CA" w:rsidRPr="002048A7" w14:paraId="3C9B4410" w14:textId="77777777" w:rsidTr="001173BD">
        <w:trPr>
          <w:trHeight w:val="397"/>
          <w:jc w:val="center"/>
        </w:trPr>
        <w:tc>
          <w:tcPr>
            <w:tcW w:w="3237" w:type="pct"/>
            <w:shd w:val="clear" w:color="auto" w:fill="auto"/>
          </w:tcPr>
          <w:p w14:paraId="713BD633" w14:textId="77777777" w:rsidR="00A448CA" w:rsidRPr="002048A7" w:rsidRDefault="00A448CA" w:rsidP="001173BD">
            <w:pPr>
              <w:spacing w:after="0" w:line="240" w:lineRule="auto"/>
              <w:jc w:val="left"/>
              <w:rPr>
                <w:rFonts w:eastAsia="Times New Roman"/>
                <w:color w:val="000000"/>
                <w:lang w:eastAsia="tr-TR"/>
              </w:rPr>
            </w:pPr>
            <w:r w:rsidRPr="002048A7">
              <w:rPr>
                <w:rFonts w:eastAsia="Times New Roman"/>
                <w:color w:val="000000"/>
                <w:lang w:eastAsia="tr-TR"/>
              </w:rPr>
              <w:t>Gelir İdaresi Başkanlığından teminat yatırılmadığına ilişkin gönderilen lisans sahibi sayısı</w:t>
            </w:r>
          </w:p>
        </w:tc>
        <w:tc>
          <w:tcPr>
            <w:tcW w:w="1763" w:type="pct"/>
            <w:shd w:val="clear" w:color="auto" w:fill="auto"/>
            <w:noWrap/>
          </w:tcPr>
          <w:p w14:paraId="1F954596" w14:textId="77777777" w:rsidR="00A448CA" w:rsidRPr="002048A7" w:rsidRDefault="00A448CA" w:rsidP="001173BD">
            <w:pPr>
              <w:spacing w:after="0" w:line="240" w:lineRule="auto"/>
              <w:jc w:val="center"/>
              <w:rPr>
                <w:rFonts w:eastAsia="Times New Roman"/>
                <w:color w:val="000000"/>
                <w:lang w:eastAsia="tr-TR"/>
              </w:rPr>
            </w:pPr>
            <w:r>
              <w:rPr>
                <w:rFonts w:eastAsia="Times New Roman"/>
                <w:color w:val="000000"/>
                <w:lang w:eastAsia="tr-TR"/>
              </w:rPr>
              <w:t>177</w:t>
            </w:r>
          </w:p>
        </w:tc>
      </w:tr>
      <w:tr w:rsidR="00A448CA" w:rsidRPr="002048A7" w14:paraId="3514843C" w14:textId="77777777" w:rsidTr="001173BD">
        <w:trPr>
          <w:trHeight w:val="397"/>
          <w:jc w:val="center"/>
        </w:trPr>
        <w:tc>
          <w:tcPr>
            <w:tcW w:w="3237" w:type="pct"/>
            <w:shd w:val="clear" w:color="auto" w:fill="auto"/>
          </w:tcPr>
          <w:p w14:paraId="2B8EF8F9" w14:textId="77777777" w:rsidR="00A448CA" w:rsidRPr="002048A7" w:rsidRDefault="00A448CA" w:rsidP="001173BD">
            <w:pPr>
              <w:spacing w:after="0" w:line="240" w:lineRule="auto"/>
              <w:jc w:val="left"/>
              <w:rPr>
                <w:rFonts w:eastAsia="Times New Roman"/>
                <w:color w:val="000000"/>
                <w:lang w:eastAsia="tr-TR"/>
              </w:rPr>
            </w:pPr>
            <w:r w:rsidRPr="002048A7">
              <w:rPr>
                <w:rFonts w:eastAsia="Times New Roman"/>
                <w:color w:val="000000"/>
                <w:lang w:eastAsia="tr-TR"/>
              </w:rPr>
              <w:t xml:space="preserve">Geçici faaliyet durdurma işlemi amacıyla protokolcü kuruluşlara bildirilen lisans sahibi sayısı </w:t>
            </w:r>
          </w:p>
        </w:tc>
        <w:tc>
          <w:tcPr>
            <w:tcW w:w="1763" w:type="pct"/>
            <w:shd w:val="clear" w:color="auto" w:fill="auto"/>
            <w:noWrap/>
          </w:tcPr>
          <w:p w14:paraId="26F23629" w14:textId="77777777" w:rsidR="00A448CA" w:rsidRPr="002048A7" w:rsidRDefault="00A448CA" w:rsidP="001173BD">
            <w:pPr>
              <w:spacing w:after="0" w:line="240" w:lineRule="auto"/>
              <w:jc w:val="center"/>
              <w:rPr>
                <w:rFonts w:eastAsia="Times New Roman"/>
                <w:color w:val="000000"/>
                <w:lang w:eastAsia="tr-TR"/>
              </w:rPr>
            </w:pPr>
            <w:r>
              <w:rPr>
                <w:rFonts w:eastAsia="Times New Roman"/>
                <w:color w:val="000000"/>
                <w:lang w:eastAsia="tr-TR"/>
              </w:rPr>
              <w:t>177</w:t>
            </w:r>
          </w:p>
        </w:tc>
      </w:tr>
      <w:tr w:rsidR="00A448CA" w:rsidRPr="002048A7" w14:paraId="4280B91E" w14:textId="77777777" w:rsidTr="001173BD">
        <w:trPr>
          <w:trHeight w:val="397"/>
          <w:jc w:val="center"/>
        </w:trPr>
        <w:tc>
          <w:tcPr>
            <w:tcW w:w="3237" w:type="pct"/>
            <w:shd w:val="clear" w:color="auto" w:fill="auto"/>
          </w:tcPr>
          <w:p w14:paraId="6F21B441" w14:textId="77777777" w:rsidR="00A448CA" w:rsidRPr="002048A7" w:rsidRDefault="00A448CA" w:rsidP="001173BD">
            <w:pPr>
              <w:spacing w:after="0" w:line="240" w:lineRule="auto"/>
              <w:jc w:val="left"/>
              <w:rPr>
                <w:rFonts w:eastAsia="Times New Roman"/>
                <w:color w:val="000000"/>
                <w:lang w:eastAsia="tr-TR"/>
              </w:rPr>
            </w:pPr>
            <w:r w:rsidRPr="002048A7">
              <w:rPr>
                <w:rFonts w:eastAsia="Times New Roman"/>
                <w:color w:val="000000"/>
                <w:lang w:eastAsia="tr-TR"/>
              </w:rPr>
              <w:t>Lisansı sonradan sonlandırılan/iptal edilen lisans sahibi sayısı</w:t>
            </w:r>
          </w:p>
        </w:tc>
        <w:tc>
          <w:tcPr>
            <w:tcW w:w="1763" w:type="pct"/>
            <w:shd w:val="clear" w:color="auto" w:fill="auto"/>
            <w:noWrap/>
          </w:tcPr>
          <w:p w14:paraId="7B0D263C" w14:textId="77777777" w:rsidR="00A448CA" w:rsidRPr="002048A7" w:rsidRDefault="00A448CA" w:rsidP="001173BD">
            <w:pPr>
              <w:spacing w:after="0" w:line="240" w:lineRule="auto"/>
              <w:jc w:val="center"/>
              <w:rPr>
                <w:rFonts w:eastAsia="Times New Roman"/>
                <w:color w:val="000000"/>
                <w:lang w:eastAsia="tr-TR"/>
              </w:rPr>
            </w:pPr>
            <w:r>
              <w:rPr>
                <w:rFonts w:eastAsia="Times New Roman"/>
                <w:color w:val="000000"/>
                <w:lang w:eastAsia="tr-TR"/>
              </w:rPr>
              <w:t>39</w:t>
            </w:r>
          </w:p>
        </w:tc>
      </w:tr>
      <w:tr w:rsidR="00A448CA" w:rsidRPr="002048A7" w14:paraId="1538AE66" w14:textId="77777777" w:rsidTr="001173BD">
        <w:trPr>
          <w:trHeight w:val="397"/>
          <w:jc w:val="center"/>
        </w:trPr>
        <w:tc>
          <w:tcPr>
            <w:tcW w:w="3237" w:type="pct"/>
            <w:shd w:val="clear" w:color="auto" w:fill="auto"/>
          </w:tcPr>
          <w:p w14:paraId="5F4A8E56" w14:textId="77777777" w:rsidR="00A448CA" w:rsidRPr="002048A7" w:rsidRDefault="00A448CA" w:rsidP="001173BD">
            <w:pPr>
              <w:spacing w:after="0" w:line="240" w:lineRule="auto"/>
              <w:jc w:val="left"/>
              <w:rPr>
                <w:rFonts w:eastAsia="Times New Roman"/>
                <w:color w:val="000000"/>
                <w:lang w:eastAsia="tr-TR"/>
              </w:rPr>
            </w:pPr>
            <w:r w:rsidRPr="002048A7">
              <w:rPr>
                <w:rFonts w:eastAsia="Times New Roman"/>
                <w:color w:val="000000"/>
                <w:lang w:eastAsia="tr-TR"/>
              </w:rPr>
              <w:t>Teminat yatırıldığı bildirilen lisans sahibi sayısı</w:t>
            </w:r>
          </w:p>
        </w:tc>
        <w:tc>
          <w:tcPr>
            <w:tcW w:w="1763" w:type="pct"/>
            <w:shd w:val="clear" w:color="auto" w:fill="auto"/>
            <w:noWrap/>
          </w:tcPr>
          <w:p w14:paraId="4A435C4C" w14:textId="77777777" w:rsidR="00A448CA" w:rsidRPr="002048A7" w:rsidRDefault="00A448CA" w:rsidP="001173BD">
            <w:pPr>
              <w:spacing w:after="0" w:line="240" w:lineRule="auto"/>
              <w:jc w:val="center"/>
              <w:rPr>
                <w:rFonts w:eastAsia="Times New Roman"/>
                <w:color w:val="000000"/>
                <w:lang w:eastAsia="tr-TR"/>
              </w:rPr>
            </w:pPr>
            <w:r>
              <w:rPr>
                <w:rFonts w:eastAsia="Times New Roman"/>
                <w:color w:val="000000"/>
                <w:lang w:eastAsia="tr-TR"/>
              </w:rPr>
              <w:t>125</w:t>
            </w:r>
          </w:p>
        </w:tc>
      </w:tr>
      <w:tr w:rsidR="00A448CA" w:rsidRPr="002048A7" w14:paraId="6C20103A" w14:textId="77777777" w:rsidTr="001173BD">
        <w:trPr>
          <w:trHeight w:val="397"/>
          <w:jc w:val="center"/>
        </w:trPr>
        <w:tc>
          <w:tcPr>
            <w:tcW w:w="3237" w:type="pct"/>
            <w:shd w:val="clear" w:color="auto" w:fill="auto"/>
          </w:tcPr>
          <w:p w14:paraId="3A8729EA" w14:textId="77777777" w:rsidR="00A448CA" w:rsidRPr="002048A7" w:rsidRDefault="00A448CA" w:rsidP="001173BD">
            <w:pPr>
              <w:spacing w:after="0" w:line="240" w:lineRule="auto"/>
              <w:jc w:val="left"/>
              <w:rPr>
                <w:rFonts w:eastAsia="Times New Roman"/>
                <w:color w:val="000000"/>
                <w:lang w:eastAsia="tr-TR"/>
              </w:rPr>
            </w:pPr>
            <w:r w:rsidRPr="002048A7">
              <w:rPr>
                <w:rFonts w:eastAsia="Times New Roman"/>
                <w:color w:val="000000"/>
                <w:lang w:eastAsia="tr-TR"/>
              </w:rPr>
              <w:t>Mevcut durumda teminat yükümlülüğüne ilişkin olarak faaliyeti geçici olarak durdurulan lisans sahibi sayısı</w:t>
            </w:r>
          </w:p>
        </w:tc>
        <w:tc>
          <w:tcPr>
            <w:tcW w:w="1763" w:type="pct"/>
            <w:shd w:val="clear" w:color="auto" w:fill="auto"/>
            <w:noWrap/>
          </w:tcPr>
          <w:p w14:paraId="6E5FCBF3" w14:textId="77777777" w:rsidR="00A448CA" w:rsidRPr="002048A7" w:rsidRDefault="00A448CA" w:rsidP="001173BD">
            <w:pPr>
              <w:spacing w:after="0" w:line="240" w:lineRule="auto"/>
              <w:jc w:val="center"/>
              <w:rPr>
                <w:rFonts w:eastAsia="Times New Roman"/>
                <w:color w:val="000000"/>
                <w:lang w:eastAsia="tr-TR"/>
              </w:rPr>
            </w:pPr>
            <w:r>
              <w:rPr>
                <w:rFonts w:eastAsia="Times New Roman"/>
                <w:color w:val="000000"/>
                <w:lang w:eastAsia="tr-TR"/>
              </w:rPr>
              <w:t>13</w:t>
            </w:r>
          </w:p>
        </w:tc>
      </w:tr>
    </w:tbl>
    <w:p w14:paraId="251B7117" w14:textId="77777777" w:rsidR="00A448CA" w:rsidRPr="00391C5C" w:rsidRDefault="00A448CA" w:rsidP="00A448CA">
      <w:pPr>
        <w:pStyle w:val="Balk5"/>
        <w:jc w:val="left"/>
      </w:pPr>
      <w:bookmarkStart w:id="322" w:name="_Toc195868843"/>
      <w:r w:rsidRPr="002048A7">
        <w:rPr>
          <w:rStyle w:val="Gl"/>
          <w:color w:val="000000" w:themeColor="text1"/>
        </w:rPr>
        <w:t>Tablo 6.</w:t>
      </w:r>
      <w:r>
        <w:rPr>
          <w:rStyle w:val="Gl"/>
          <w:color w:val="000000" w:themeColor="text1"/>
        </w:rPr>
        <w:t>9</w:t>
      </w:r>
      <w:r w:rsidRPr="002048A7">
        <w:rPr>
          <w:rStyle w:val="Gl"/>
          <w:color w:val="000000" w:themeColor="text1"/>
        </w:rPr>
        <w:t>: 531 Sıra Nolu V.U.K Genel Tebliği Uygulaması Kapsamında uygulanan Teminat Yükümlülüğüne Dair İl Bazında Veriler</w:t>
      </w:r>
      <w:bookmarkEnd w:id="322"/>
    </w:p>
    <w:tbl>
      <w:tblPr>
        <w:tblW w:w="9230" w:type="dxa"/>
        <w:tblInd w:w="-10" w:type="dxa"/>
        <w:tblCellMar>
          <w:left w:w="70" w:type="dxa"/>
          <w:right w:w="70" w:type="dxa"/>
        </w:tblCellMar>
        <w:tblLook w:val="04A0" w:firstRow="1" w:lastRow="0" w:firstColumn="1" w:lastColumn="0" w:noHBand="0" w:noVBand="1"/>
      </w:tblPr>
      <w:tblGrid>
        <w:gridCol w:w="404"/>
        <w:gridCol w:w="1887"/>
        <w:gridCol w:w="3037"/>
        <w:gridCol w:w="3204"/>
        <w:gridCol w:w="698"/>
      </w:tblGrid>
      <w:tr w:rsidR="00A448CA" w:rsidRPr="002048A7" w14:paraId="04CDA9A1" w14:textId="77777777" w:rsidTr="001173BD">
        <w:trPr>
          <w:trHeight w:val="588"/>
          <w:tblHeader/>
        </w:trPr>
        <w:tc>
          <w:tcPr>
            <w:tcW w:w="404" w:type="dxa"/>
            <w:tcBorders>
              <w:top w:val="single" w:sz="8" w:space="0" w:color="auto"/>
              <w:left w:val="single" w:sz="8" w:space="0" w:color="auto"/>
              <w:bottom w:val="single" w:sz="8" w:space="0" w:color="auto"/>
              <w:right w:val="single" w:sz="8" w:space="0" w:color="auto"/>
            </w:tcBorders>
            <w:shd w:val="clear" w:color="000000" w:fill="4682B4"/>
            <w:vAlign w:val="center"/>
            <w:hideMark/>
          </w:tcPr>
          <w:p w14:paraId="28CE481D" w14:textId="77777777" w:rsidR="00A448CA" w:rsidRPr="002048A7" w:rsidRDefault="00A448CA" w:rsidP="001173BD">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No</w:t>
            </w:r>
          </w:p>
        </w:tc>
        <w:tc>
          <w:tcPr>
            <w:tcW w:w="1887" w:type="dxa"/>
            <w:tcBorders>
              <w:top w:val="single" w:sz="8" w:space="0" w:color="auto"/>
              <w:left w:val="nil"/>
              <w:bottom w:val="single" w:sz="8" w:space="0" w:color="auto"/>
              <w:right w:val="single" w:sz="8" w:space="0" w:color="auto"/>
            </w:tcBorders>
            <w:shd w:val="clear" w:color="000000" w:fill="4682B4"/>
            <w:vAlign w:val="center"/>
            <w:hideMark/>
          </w:tcPr>
          <w:p w14:paraId="0CB14253" w14:textId="77777777" w:rsidR="00A448CA" w:rsidRPr="002048A7" w:rsidRDefault="00A448CA" w:rsidP="001173BD">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İl</w:t>
            </w:r>
          </w:p>
        </w:tc>
        <w:tc>
          <w:tcPr>
            <w:tcW w:w="3037" w:type="dxa"/>
            <w:tcBorders>
              <w:top w:val="single" w:sz="8" w:space="0" w:color="auto"/>
              <w:left w:val="nil"/>
              <w:bottom w:val="single" w:sz="8" w:space="0" w:color="auto"/>
              <w:right w:val="single" w:sz="8" w:space="0" w:color="auto"/>
            </w:tcBorders>
            <w:shd w:val="clear" w:color="000000" w:fill="4682B4"/>
            <w:vAlign w:val="center"/>
            <w:hideMark/>
          </w:tcPr>
          <w:p w14:paraId="074A3010" w14:textId="77777777" w:rsidR="00A448CA" w:rsidRPr="002048A7" w:rsidRDefault="00A448CA" w:rsidP="001173BD">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Verilmesi Gereken Teminat Tutarı</w:t>
            </w:r>
          </w:p>
        </w:tc>
        <w:tc>
          <w:tcPr>
            <w:tcW w:w="3204" w:type="dxa"/>
            <w:tcBorders>
              <w:top w:val="single" w:sz="8" w:space="0" w:color="auto"/>
              <w:left w:val="nil"/>
              <w:bottom w:val="single" w:sz="8" w:space="0" w:color="auto"/>
              <w:right w:val="single" w:sz="8" w:space="0" w:color="auto"/>
            </w:tcBorders>
            <w:shd w:val="clear" w:color="000000" w:fill="4682B4"/>
            <w:vAlign w:val="center"/>
            <w:hideMark/>
          </w:tcPr>
          <w:p w14:paraId="44229B59" w14:textId="77777777" w:rsidR="00A448CA" w:rsidRPr="002048A7" w:rsidRDefault="00A448CA" w:rsidP="001173BD">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Verilen Teminat Tutarı</w:t>
            </w:r>
          </w:p>
        </w:tc>
        <w:tc>
          <w:tcPr>
            <w:tcW w:w="698" w:type="dxa"/>
            <w:tcBorders>
              <w:top w:val="single" w:sz="8" w:space="0" w:color="auto"/>
              <w:left w:val="nil"/>
              <w:bottom w:val="single" w:sz="8" w:space="0" w:color="auto"/>
              <w:right w:val="single" w:sz="8" w:space="0" w:color="auto"/>
            </w:tcBorders>
            <w:shd w:val="clear" w:color="000000" w:fill="4682B4"/>
            <w:vAlign w:val="center"/>
            <w:hideMark/>
          </w:tcPr>
          <w:p w14:paraId="7EAE6E62" w14:textId="77777777" w:rsidR="00A448CA" w:rsidRPr="002048A7" w:rsidRDefault="00A448CA" w:rsidP="001173BD">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Tespit Sayısı</w:t>
            </w:r>
          </w:p>
        </w:tc>
      </w:tr>
      <w:tr w:rsidR="00A448CA" w:rsidRPr="002048A7" w14:paraId="1C94670E" w14:textId="77777777" w:rsidTr="001173BD">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60F13B0F"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1</w:t>
            </w:r>
          </w:p>
        </w:tc>
        <w:tc>
          <w:tcPr>
            <w:tcW w:w="1887" w:type="dxa"/>
            <w:tcBorders>
              <w:top w:val="nil"/>
              <w:left w:val="nil"/>
              <w:bottom w:val="single" w:sz="8" w:space="0" w:color="auto"/>
              <w:right w:val="single" w:sz="8" w:space="0" w:color="auto"/>
            </w:tcBorders>
            <w:shd w:val="clear" w:color="auto" w:fill="auto"/>
            <w:vAlign w:val="center"/>
            <w:hideMark/>
          </w:tcPr>
          <w:p w14:paraId="2173A9C9" w14:textId="77777777" w:rsidR="00A448CA" w:rsidRPr="002048A7" w:rsidRDefault="00A448CA" w:rsidP="001173BD">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ADANA</w:t>
            </w:r>
          </w:p>
        </w:tc>
        <w:tc>
          <w:tcPr>
            <w:tcW w:w="3037" w:type="dxa"/>
            <w:tcBorders>
              <w:top w:val="nil"/>
              <w:left w:val="nil"/>
              <w:bottom w:val="single" w:sz="8" w:space="0" w:color="auto"/>
              <w:right w:val="single" w:sz="8" w:space="0" w:color="auto"/>
            </w:tcBorders>
            <w:shd w:val="clear" w:color="auto" w:fill="auto"/>
            <w:vAlign w:val="center"/>
            <w:hideMark/>
          </w:tcPr>
          <w:p w14:paraId="6D4536BE"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DE5C45">
              <w:rPr>
                <w:rFonts w:ascii="Calibri" w:eastAsia="Times New Roman" w:hAnsi="Calibri" w:cs="Calibri"/>
                <w:color w:val="000000"/>
                <w:lang w:eastAsia="tr-TR"/>
              </w:rPr>
              <w:t>8.415.461,53₺</w:t>
            </w:r>
          </w:p>
        </w:tc>
        <w:tc>
          <w:tcPr>
            <w:tcW w:w="3204" w:type="dxa"/>
            <w:tcBorders>
              <w:top w:val="nil"/>
              <w:left w:val="nil"/>
              <w:bottom w:val="single" w:sz="8" w:space="0" w:color="auto"/>
              <w:right w:val="single" w:sz="8" w:space="0" w:color="auto"/>
            </w:tcBorders>
            <w:shd w:val="clear" w:color="auto" w:fill="auto"/>
            <w:vAlign w:val="center"/>
            <w:hideMark/>
          </w:tcPr>
          <w:p w14:paraId="1352161B"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DE5C45">
              <w:rPr>
                <w:rFonts w:ascii="Calibri" w:eastAsia="Times New Roman" w:hAnsi="Calibri" w:cs="Calibri"/>
                <w:color w:val="000000"/>
                <w:lang w:eastAsia="tr-TR"/>
              </w:rPr>
              <w:t>8.778.079,31₺</w:t>
            </w:r>
          </w:p>
        </w:tc>
        <w:tc>
          <w:tcPr>
            <w:tcW w:w="698" w:type="dxa"/>
            <w:tcBorders>
              <w:top w:val="nil"/>
              <w:left w:val="nil"/>
              <w:bottom w:val="single" w:sz="8" w:space="0" w:color="auto"/>
              <w:right w:val="single" w:sz="8" w:space="0" w:color="auto"/>
            </w:tcBorders>
            <w:shd w:val="clear" w:color="auto" w:fill="auto"/>
            <w:vAlign w:val="center"/>
            <w:hideMark/>
          </w:tcPr>
          <w:p w14:paraId="4F26BFAE"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DE5C45">
              <w:rPr>
                <w:rFonts w:ascii="Calibri" w:eastAsia="Times New Roman" w:hAnsi="Calibri" w:cs="Calibri"/>
                <w:color w:val="000000"/>
                <w:lang w:eastAsia="tr-TR"/>
              </w:rPr>
              <w:t>6</w:t>
            </w:r>
          </w:p>
        </w:tc>
      </w:tr>
      <w:tr w:rsidR="00A448CA" w:rsidRPr="002048A7" w14:paraId="724342D2" w14:textId="77777777" w:rsidTr="001173BD">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04424CB2"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2</w:t>
            </w:r>
          </w:p>
        </w:tc>
        <w:tc>
          <w:tcPr>
            <w:tcW w:w="1887" w:type="dxa"/>
            <w:tcBorders>
              <w:top w:val="nil"/>
              <w:left w:val="nil"/>
              <w:bottom w:val="single" w:sz="8" w:space="0" w:color="auto"/>
              <w:right w:val="single" w:sz="8" w:space="0" w:color="auto"/>
            </w:tcBorders>
            <w:shd w:val="clear" w:color="auto" w:fill="auto"/>
            <w:vAlign w:val="center"/>
            <w:hideMark/>
          </w:tcPr>
          <w:p w14:paraId="7E84FC83" w14:textId="77777777" w:rsidR="00A448CA" w:rsidRPr="002048A7" w:rsidRDefault="00A448CA" w:rsidP="001173BD">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ADIYAMAN</w:t>
            </w:r>
          </w:p>
        </w:tc>
        <w:tc>
          <w:tcPr>
            <w:tcW w:w="3037" w:type="dxa"/>
            <w:tcBorders>
              <w:top w:val="nil"/>
              <w:left w:val="nil"/>
              <w:bottom w:val="single" w:sz="8" w:space="0" w:color="auto"/>
              <w:right w:val="single" w:sz="8" w:space="0" w:color="auto"/>
            </w:tcBorders>
            <w:shd w:val="clear" w:color="auto" w:fill="auto"/>
            <w:vAlign w:val="center"/>
            <w:hideMark/>
          </w:tcPr>
          <w:p w14:paraId="4ED8221A" w14:textId="77777777" w:rsidR="00A448CA" w:rsidRPr="002048A7" w:rsidRDefault="00A448CA" w:rsidP="001173BD">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3204" w:type="dxa"/>
            <w:tcBorders>
              <w:top w:val="nil"/>
              <w:left w:val="nil"/>
              <w:bottom w:val="single" w:sz="8" w:space="0" w:color="auto"/>
              <w:right w:val="single" w:sz="8" w:space="0" w:color="auto"/>
            </w:tcBorders>
            <w:shd w:val="clear" w:color="auto" w:fill="auto"/>
            <w:vAlign w:val="center"/>
            <w:hideMark/>
          </w:tcPr>
          <w:p w14:paraId="54A12AAB" w14:textId="77777777" w:rsidR="00A448CA" w:rsidRPr="002048A7" w:rsidRDefault="00A448CA" w:rsidP="001173BD">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698" w:type="dxa"/>
            <w:tcBorders>
              <w:top w:val="nil"/>
              <w:left w:val="nil"/>
              <w:bottom w:val="single" w:sz="8" w:space="0" w:color="auto"/>
              <w:right w:val="single" w:sz="8" w:space="0" w:color="auto"/>
            </w:tcBorders>
            <w:shd w:val="clear" w:color="auto" w:fill="auto"/>
            <w:vAlign w:val="center"/>
            <w:hideMark/>
          </w:tcPr>
          <w:p w14:paraId="45EEB930" w14:textId="77777777" w:rsidR="00A448CA" w:rsidRPr="002048A7" w:rsidRDefault="00A448CA" w:rsidP="001173BD">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0</w:t>
            </w:r>
          </w:p>
        </w:tc>
      </w:tr>
      <w:tr w:rsidR="00A448CA" w:rsidRPr="002048A7" w14:paraId="4A42846E" w14:textId="77777777" w:rsidTr="001173BD">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19677112"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3</w:t>
            </w:r>
          </w:p>
        </w:tc>
        <w:tc>
          <w:tcPr>
            <w:tcW w:w="1887" w:type="dxa"/>
            <w:tcBorders>
              <w:top w:val="nil"/>
              <w:left w:val="nil"/>
              <w:bottom w:val="single" w:sz="8" w:space="0" w:color="auto"/>
              <w:right w:val="single" w:sz="8" w:space="0" w:color="auto"/>
            </w:tcBorders>
            <w:shd w:val="clear" w:color="auto" w:fill="auto"/>
            <w:vAlign w:val="center"/>
            <w:hideMark/>
          </w:tcPr>
          <w:p w14:paraId="30697FE7" w14:textId="77777777" w:rsidR="00A448CA" w:rsidRPr="002048A7" w:rsidRDefault="00A448CA" w:rsidP="001173BD">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AFYONKARAHİSAR</w:t>
            </w:r>
          </w:p>
        </w:tc>
        <w:tc>
          <w:tcPr>
            <w:tcW w:w="3037" w:type="dxa"/>
            <w:tcBorders>
              <w:top w:val="nil"/>
              <w:left w:val="nil"/>
              <w:bottom w:val="single" w:sz="8" w:space="0" w:color="auto"/>
              <w:right w:val="single" w:sz="8" w:space="0" w:color="auto"/>
            </w:tcBorders>
            <w:shd w:val="clear" w:color="auto" w:fill="auto"/>
            <w:vAlign w:val="center"/>
            <w:hideMark/>
          </w:tcPr>
          <w:p w14:paraId="5A5C9BE1"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DE5C45">
              <w:rPr>
                <w:rFonts w:ascii="Calibri" w:eastAsia="Times New Roman" w:hAnsi="Calibri" w:cs="Calibri"/>
                <w:color w:val="000000"/>
                <w:lang w:eastAsia="tr-TR"/>
              </w:rPr>
              <w:t>24.817.951,54₺</w:t>
            </w:r>
          </w:p>
        </w:tc>
        <w:tc>
          <w:tcPr>
            <w:tcW w:w="3204" w:type="dxa"/>
            <w:tcBorders>
              <w:top w:val="nil"/>
              <w:left w:val="nil"/>
              <w:bottom w:val="single" w:sz="8" w:space="0" w:color="auto"/>
              <w:right w:val="single" w:sz="8" w:space="0" w:color="auto"/>
            </w:tcBorders>
            <w:shd w:val="clear" w:color="auto" w:fill="auto"/>
            <w:vAlign w:val="center"/>
            <w:hideMark/>
          </w:tcPr>
          <w:p w14:paraId="2DD4F436"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DE5C45">
              <w:rPr>
                <w:rFonts w:ascii="Calibri" w:eastAsia="Times New Roman" w:hAnsi="Calibri" w:cs="Calibri"/>
                <w:color w:val="000000"/>
                <w:lang w:eastAsia="tr-TR"/>
              </w:rPr>
              <w:t>12.219.100,00₺</w:t>
            </w:r>
          </w:p>
        </w:tc>
        <w:tc>
          <w:tcPr>
            <w:tcW w:w="698" w:type="dxa"/>
            <w:tcBorders>
              <w:top w:val="nil"/>
              <w:left w:val="nil"/>
              <w:bottom w:val="single" w:sz="8" w:space="0" w:color="auto"/>
              <w:right w:val="single" w:sz="8" w:space="0" w:color="auto"/>
            </w:tcBorders>
            <w:shd w:val="clear" w:color="auto" w:fill="auto"/>
            <w:vAlign w:val="center"/>
            <w:hideMark/>
          </w:tcPr>
          <w:p w14:paraId="5DA97D8D"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DE5C45">
              <w:rPr>
                <w:rFonts w:ascii="Calibri" w:eastAsia="Times New Roman" w:hAnsi="Calibri" w:cs="Calibri"/>
                <w:color w:val="000000"/>
                <w:lang w:eastAsia="tr-TR"/>
              </w:rPr>
              <w:t>10</w:t>
            </w:r>
          </w:p>
        </w:tc>
      </w:tr>
      <w:tr w:rsidR="00A448CA" w:rsidRPr="002048A7" w14:paraId="503C60BC" w14:textId="77777777" w:rsidTr="001173BD">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74DF539D"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4</w:t>
            </w:r>
          </w:p>
        </w:tc>
        <w:tc>
          <w:tcPr>
            <w:tcW w:w="1887" w:type="dxa"/>
            <w:tcBorders>
              <w:top w:val="nil"/>
              <w:left w:val="nil"/>
              <w:bottom w:val="single" w:sz="8" w:space="0" w:color="auto"/>
              <w:right w:val="single" w:sz="8" w:space="0" w:color="auto"/>
            </w:tcBorders>
            <w:shd w:val="clear" w:color="auto" w:fill="auto"/>
            <w:vAlign w:val="center"/>
            <w:hideMark/>
          </w:tcPr>
          <w:p w14:paraId="36979E34" w14:textId="77777777" w:rsidR="00A448CA" w:rsidRPr="002048A7" w:rsidRDefault="00A448CA" w:rsidP="001173BD">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AĞRI</w:t>
            </w:r>
          </w:p>
        </w:tc>
        <w:tc>
          <w:tcPr>
            <w:tcW w:w="3037" w:type="dxa"/>
            <w:tcBorders>
              <w:top w:val="nil"/>
              <w:left w:val="nil"/>
              <w:bottom w:val="single" w:sz="8" w:space="0" w:color="auto"/>
              <w:right w:val="single" w:sz="8" w:space="0" w:color="auto"/>
            </w:tcBorders>
            <w:shd w:val="clear" w:color="auto" w:fill="auto"/>
            <w:vAlign w:val="center"/>
            <w:hideMark/>
          </w:tcPr>
          <w:p w14:paraId="719D0794" w14:textId="77777777" w:rsidR="00A448CA" w:rsidRPr="002048A7" w:rsidRDefault="00A448CA" w:rsidP="001173BD">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3204" w:type="dxa"/>
            <w:tcBorders>
              <w:top w:val="nil"/>
              <w:left w:val="nil"/>
              <w:bottom w:val="single" w:sz="8" w:space="0" w:color="auto"/>
              <w:right w:val="single" w:sz="8" w:space="0" w:color="auto"/>
            </w:tcBorders>
            <w:shd w:val="clear" w:color="auto" w:fill="auto"/>
            <w:vAlign w:val="center"/>
            <w:hideMark/>
          </w:tcPr>
          <w:p w14:paraId="3038BF0A" w14:textId="77777777" w:rsidR="00A448CA" w:rsidRPr="002048A7" w:rsidRDefault="00A448CA" w:rsidP="001173BD">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698" w:type="dxa"/>
            <w:tcBorders>
              <w:top w:val="nil"/>
              <w:left w:val="nil"/>
              <w:bottom w:val="single" w:sz="8" w:space="0" w:color="auto"/>
              <w:right w:val="single" w:sz="8" w:space="0" w:color="auto"/>
            </w:tcBorders>
            <w:shd w:val="clear" w:color="auto" w:fill="auto"/>
            <w:vAlign w:val="center"/>
            <w:hideMark/>
          </w:tcPr>
          <w:p w14:paraId="0C05A94B" w14:textId="77777777" w:rsidR="00A448CA" w:rsidRPr="002048A7" w:rsidRDefault="00A448CA" w:rsidP="001173BD">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0</w:t>
            </w:r>
          </w:p>
        </w:tc>
      </w:tr>
      <w:tr w:rsidR="00A448CA" w:rsidRPr="002048A7" w14:paraId="29650E05" w14:textId="77777777" w:rsidTr="001173BD">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3757F8DE"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5</w:t>
            </w:r>
          </w:p>
        </w:tc>
        <w:tc>
          <w:tcPr>
            <w:tcW w:w="1887" w:type="dxa"/>
            <w:tcBorders>
              <w:top w:val="nil"/>
              <w:left w:val="nil"/>
              <w:bottom w:val="single" w:sz="8" w:space="0" w:color="auto"/>
              <w:right w:val="single" w:sz="8" w:space="0" w:color="auto"/>
            </w:tcBorders>
            <w:shd w:val="clear" w:color="auto" w:fill="auto"/>
            <w:vAlign w:val="center"/>
            <w:hideMark/>
          </w:tcPr>
          <w:p w14:paraId="44F33E0E" w14:textId="77777777" w:rsidR="00A448CA" w:rsidRPr="002048A7" w:rsidRDefault="00A448CA" w:rsidP="001173BD">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AKSARAY</w:t>
            </w:r>
          </w:p>
        </w:tc>
        <w:tc>
          <w:tcPr>
            <w:tcW w:w="3037" w:type="dxa"/>
            <w:tcBorders>
              <w:top w:val="nil"/>
              <w:left w:val="nil"/>
              <w:bottom w:val="single" w:sz="8" w:space="0" w:color="auto"/>
              <w:right w:val="single" w:sz="8" w:space="0" w:color="auto"/>
            </w:tcBorders>
            <w:shd w:val="clear" w:color="auto" w:fill="auto"/>
            <w:vAlign w:val="center"/>
            <w:hideMark/>
          </w:tcPr>
          <w:p w14:paraId="42A07E05"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DE5C45">
              <w:rPr>
                <w:rFonts w:ascii="Calibri" w:eastAsia="Times New Roman" w:hAnsi="Calibri" w:cs="Calibri"/>
                <w:color w:val="000000"/>
                <w:lang w:eastAsia="tr-TR"/>
              </w:rPr>
              <w:t>15.080.560,16₺</w:t>
            </w:r>
          </w:p>
        </w:tc>
        <w:tc>
          <w:tcPr>
            <w:tcW w:w="3204" w:type="dxa"/>
            <w:tcBorders>
              <w:top w:val="nil"/>
              <w:left w:val="nil"/>
              <w:bottom w:val="single" w:sz="8" w:space="0" w:color="auto"/>
              <w:right w:val="single" w:sz="8" w:space="0" w:color="auto"/>
            </w:tcBorders>
            <w:shd w:val="clear" w:color="auto" w:fill="auto"/>
            <w:vAlign w:val="center"/>
            <w:hideMark/>
          </w:tcPr>
          <w:p w14:paraId="220F64FA"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DE5C45">
              <w:rPr>
                <w:rFonts w:ascii="Calibri" w:eastAsia="Times New Roman" w:hAnsi="Calibri" w:cs="Calibri"/>
                <w:color w:val="000000"/>
                <w:lang w:eastAsia="tr-TR"/>
              </w:rPr>
              <w:t>1.213.000,00₺</w:t>
            </w:r>
          </w:p>
        </w:tc>
        <w:tc>
          <w:tcPr>
            <w:tcW w:w="698" w:type="dxa"/>
            <w:tcBorders>
              <w:top w:val="nil"/>
              <w:left w:val="nil"/>
              <w:bottom w:val="single" w:sz="8" w:space="0" w:color="auto"/>
              <w:right w:val="single" w:sz="8" w:space="0" w:color="auto"/>
            </w:tcBorders>
            <w:shd w:val="clear" w:color="auto" w:fill="auto"/>
            <w:vAlign w:val="center"/>
            <w:hideMark/>
          </w:tcPr>
          <w:p w14:paraId="43A19885"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DE5C45">
              <w:rPr>
                <w:rFonts w:ascii="Calibri" w:eastAsia="Times New Roman" w:hAnsi="Calibri" w:cs="Calibri"/>
                <w:color w:val="000000"/>
                <w:lang w:eastAsia="tr-TR"/>
              </w:rPr>
              <w:t>3</w:t>
            </w:r>
          </w:p>
        </w:tc>
      </w:tr>
      <w:tr w:rsidR="00A448CA" w:rsidRPr="002048A7" w14:paraId="1BE0B27E" w14:textId="77777777" w:rsidTr="001173BD">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24D79848"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6</w:t>
            </w:r>
          </w:p>
        </w:tc>
        <w:tc>
          <w:tcPr>
            <w:tcW w:w="1887" w:type="dxa"/>
            <w:tcBorders>
              <w:top w:val="nil"/>
              <w:left w:val="nil"/>
              <w:bottom w:val="single" w:sz="8" w:space="0" w:color="auto"/>
              <w:right w:val="single" w:sz="8" w:space="0" w:color="auto"/>
            </w:tcBorders>
            <w:shd w:val="clear" w:color="auto" w:fill="auto"/>
            <w:vAlign w:val="center"/>
            <w:hideMark/>
          </w:tcPr>
          <w:p w14:paraId="7DF9BA0D" w14:textId="77777777" w:rsidR="00A448CA" w:rsidRPr="002048A7" w:rsidRDefault="00A448CA" w:rsidP="001173BD">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AMASYA</w:t>
            </w:r>
          </w:p>
        </w:tc>
        <w:tc>
          <w:tcPr>
            <w:tcW w:w="3037" w:type="dxa"/>
            <w:tcBorders>
              <w:top w:val="nil"/>
              <w:left w:val="nil"/>
              <w:bottom w:val="single" w:sz="8" w:space="0" w:color="auto"/>
              <w:right w:val="single" w:sz="8" w:space="0" w:color="auto"/>
            </w:tcBorders>
            <w:shd w:val="clear" w:color="auto" w:fill="auto"/>
            <w:vAlign w:val="center"/>
            <w:hideMark/>
          </w:tcPr>
          <w:p w14:paraId="706371E4"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DE5C45">
              <w:rPr>
                <w:rFonts w:ascii="Calibri" w:eastAsia="Times New Roman" w:hAnsi="Calibri" w:cs="Calibri"/>
                <w:color w:val="000000"/>
                <w:lang w:eastAsia="tr-TR"/>
              </w:rPr>
              <w:t>10.221.702,14₺</w:t>
            </w:r>
          </w:p>
        </w:tc>
        <w:tc>
          <w:tcPr>
            <w:tcW w:w="3204" w:type="dxa"/>
            <w:tcBorders>
              <w:top w:val="nil"/>
              <w:left w:val="nil"/>
              <w:bottom w:val="single" w:sz="8" w:space="0" w:color="auto"/>
              <w:right w:val="single" w:sz="8" w:space="0" w:color="auto"/>
            </w:tcBorders>
            <w:shd w:val="clear" w:color="auto" w:fill="auto"/>
            <w:vAlign w:val="center"/>
            <w:hideMark/>
          </w:tcPr>
          <w:p w14:paraId="32152AB2"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DE5C45">
              <w:rPr>
                <w:rFonts w:ascii="Calibri" w:eastAsia="Times New Roman" w:hAnsi="Calibri" w:cs="Calibri"/>
                <w:color w:val="000000"/>
                <w:lang w:eastAsia="tr-TR"/>
              </w:rPr>
              <w:t>2.688.056,82₺</w:t>
            </w:r>
          </w:p>
        </w:tc>
        <w:tc>
          <w:tcPr>
            <w:tcW w:w="698" w:type="dxa"/>
            <w:tcBorders>
              <w:top w:val="nil"/>
              <w:left w:val="nil"/>
              <w:bottom w:val="single" w:sz="8" w:space="0" w:color="auto"/>
              <w:right w:val="single" w:sz="8" w:space="0" w:color="auto"/>
            </w:tcBorders>
            <w:shd w:val="clear" w:color="auto" w:fill="auto"/>
            <w:vAlign w:val="center"/>
            <w:hideMark/>
          </w:tcPr>
          <w:p w14:paraId="7113B3AC"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DE5C45">
              <w:rPr>
                <w:rFonts w:ascii="Calibri" w:eastAsia="Times New Roman" w:hAnsi="Calibri" w:cs="Calibri"/>
                <w:color w:val="000000"/>
                <w:lang w:eastAsia="tr-TR"/>
              </w:rPr>
              <w:t>9</w:t>
            </w:r>
          </w:p>
        </w:tc>
      </w:tr>
      <w:tr w:rsidR="00A448CA" w:rsidRPr="002048A7" w14:paraId="21E9A671" w14:textId="77777777" w:rsidTr="001173BD">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162C398F"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7</w:t>
            </w:r>
          </w:p>
        </w:tc>
        <w:tc>
          <w:tcPr>
            <w:tcW w:w="1887" w:type="dxa"/>
            <w:tcBorders>
              <w:top w:val="nil"/>
              <w:left w:val="nil"/>
              <w:bottom w:val="single" w:sz="8" w:space="0" w:color="auto"/>
              <w:right w:val="single" w:sz="8" w:space="0" w:color="auto"/>
            </w:tcBorders>
            <w:shd w:val="clear" w:color="auto" w:fill="auto"/>
            <w:vAlign w:val="center"/>
            <w:hideMark/>
          </w:tcPr>
          <w:p w14:paraId="39A8D5C0" w14:textId="77777777" w:rsidR="00A448CA" w:rsidRPr="002048A7" w:rsidRDefault="00A448CA" w:rsidP="001173BD">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ANKARA</w:t>
            </w:r>
          </w:p>
        </w:tc>
        <w:tc>
          <w:tcPr>
            <w:tcW w:w="3037" w:type="dxa"/>
            <w:tcBorders>
              <w:top w:val="nil"/>
              <w:left w:val="nil"/>
              <w:bottom w:val="single" w:sz="8" w:space="0" w:color="auto"/>
              <w:right w:val="single" w:sz="8" w:space="0" w:color="auto"/>
            </w:tcBorders>
            <w:shd w:val="clear" w:color="auto" w:fill="auto"/>
            <w:vAlign w:val="center"/>
            <w:hideMark/>
          </w:tcPr>
          <w:p w14:paraId="1D1D0670"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DE5C45">
              <w:rPr>
                <w:rFonts w:ascii="Calibri" w:eastAsia="Times New Roman" w:hAnsi="Calibri" w:cs="Calibri"/>
                <w:color w:val="000000"/>
                <w:lang w:eastAsia="tr-TR"/>
              </w:rPr>
              <w:t>21.366.826,26₺</w:t>
            </w:r>
          </w:p>
        </w:tc>
        <w:tc>
          <w:tcPr>
            <w:tcW w:w="3204" w:type="dxa"/>
            <w:tcBorders>
              <w:top w:val="nil"/>
              <w:left w:val="nil"/>
              <w:bottom w:val="single" w:sz="8" w:space="0" w:color="auto"/>
              <w:right w:val="single" w:sz="8" w:space="0" w:color="auto"/>
            </w:tcBorders>
            <w:shd w:val="clear" w:color="auto" w:fill="auto"/>
            <w:vAlign w:val="center"/>
            <w:hideMark/>
          </w:tcPr>
          <w:p w14:paraId="7D8CA870"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DE5C45">
              <w:rPr>
                <w:rFonts w:ascii="Calibri" w:eastAsia="Times New Roman" w:hAnsi="Calibri" w:cs="Calibri"/>
                <w:color w:val="000000"/>
                <w:lang w:eastAsia="tr-TR"/>
              </w:rPr>
              <w:t>18.781.709,78₺</w:t>
            </w:r>
          </w:p>
        </w:tc>
        <w:tc>
          <w:tcPr>
            <w:tcW w:w="698" w:type="dxa"/>
            <w:tcBorders>
              <w:top w:val="nil"/>
              <w:left w:val="nil"/>
              <w:bottom w:val="single" w:sz="8" w:space="0" w:color="auto"/>
              <w:right w:val="single" w:sz="8" w:space="0" w:color="auto"/>
            </w:tcBorders>
            <w:shd w:val="clear" w:color="auto" w:fill="auto"/>
            <w:vAlign w:val="center"/>
            <w:hideMark/>
          </w:tcPr>
          <w:p w14:paraId="1826C1E8"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DE5C45">
              <w:rPr>
                <w:rFonts w:ascii="Calibri" w:eastAsia="Times New Roman" w:hAnsi="Calibri" w:cs="Calibri"/>
                <w:color w:val="000000"/>
                <w:lang w:eastAsia="tr-TR"/>
              </w:rPr>
              <w:t>12</w:t>
            </w:r>
          </w:p>
        </w:tc>
      </w:tr>
      <w:tr w:rsidR="00A448CA" w:rsidRPr="002048A7" w14:paraId="1C6B53A5" w14:textId="77777777" w:rsidTr="001173BD">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1BA309A1"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lastRenderedPageBreak/>
              <w:t>8</w:t>
            </w:r>
          </w:p>
        </w:tc>
        <w:tc>
          <w:tcPr>
            <w:tcW w:w="1887" w:type="dxa"/>
            <w:tcBorders>
              <w:top w:val="nil"/>
              <w:left w:val="nil"/>
              <w:bottom w:val="single" w:sz="8" w:space="0" w:color="auto"/>
              <w:right w:val="single" w:sz="8" w:space="0" w:color="auto"/>
            </w:tcBorders>
            <w:shd w:val="clear" w:color="auto" w:fill="auto"/>
            <w:vAlign w:val="center"/>
            <w:hideMark/>
          </w:tcPr>
          <w:p w14:paraId="58B53164" w14:textId="77777777" w:rsidR="00A448CA" w:rsidRPr="002048A7" w:rsidRDefault="00A448CA" w:rsidP="001173BD">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ANTALYA</w:t>
            </w:r>
          </w:p>
        </w:tc>
        <w:tc>
          <w:tcPr>
            <w:tcW w:w="3037" w:type="dxa"/>
            <w:tcBorders>
              <w:top w:val="nil"/>
              <w:left w:val="nil"/>
              <w:bottom w:val="single" w:sz="8" w:space="0" w:color="auto"/>
              <w:right w:val="single" w:sz="8" w:space="0" w:color="auto"/>
            </w:tcBorders>
            <w:shd w:val="clear" w:color="auto" w:fill="auto"/>
            <w:vAlign w:val="center"/>
            <w:hideMark/>
          </w:tcPr>
          <w:p w14:paraId="3A34A33E"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DE5C45">
              <w:rPr>
                <w:rFonts w:ascii="Calibri" w:eastAsia="Times New Roman" w:hAnsi="Calibri" w:cs="Calibri"/>
                <w:color w:val="000000"/>
                <w:lang w:eastAsia="tr-TR"/>
              </w:rPr>
              <w:t>8.255.418,92₺</w:t>
            </w:r>
          </w:p>
        </w:tc>
        <w:tc>
          <w:tcPr>
            <w:tcW w:w="3204" w:type="dxa"/>
            <w:tcBorders>
              <w:top w:val="nil"/>
              <w:left w:val="nil"/>
              <w:bottom w:val="single" w:sz="8" w:space="0" w:color="auto"/>
              <w:right w:val="single" w:sz="8" w:space="0" w:color="auto"/>
            </w:tcBorders>
            <w:shd w:val="clear" w:color="auto" w:fill="auto"/>
            <w:vAlign w:val="center"/>
            <w:hideMark/>
          </w:tcPr>
          <w:p w14:paraId="10675A2B"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DE5C45">
              <w:rPr>
                <w:rFonts w:ascii="Calibri" w:eastAsia="Times New Roman" w:hAnsi="Calibri" w:cs="Calibri"/>
                <w:color w:val="000000"/>
                <w:lang w:eastAsia="tr-TR"/>
              </w:rPr>
              <w:t>3.971.584,06₺</w:t>
            </w:r>
          </w:p>
        </w:tc>
        <w:tc>
          <w:tcPr>
            <w:tcW w:w="698" w:type="dxa"/>
            <w:tcBorders>
              <w:top w:val="nil"/>
              <w:left w:val="nil"/>
              <w:bottom w:val="single" w:sz="8" w:space="0" w:color="auto"/>
              <w:right w:val="single" w:sz="8" w:space="0" w:color="auto"/>
            </w:tcBorders>
            <w:shd w:val="clear" w:color="auto" w:fill="auto"/>
            <w:vAlign w:val="center"/>
            <w:hideMark/>
          </w:tcPr>
          <w:p w14:paraId="67FAD286"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DE5C45">
              <w:rPr>
                <w:rFonts w:ascii="Calibri" w:eastAsia="Times New Roman" w:hAnsi="Calibri" w:cs="Calibri"/>
                <w:color w:val="000000"/>
                <w:lang w:eastAsia="tr-TR"/>
              </w:rPr>
              <w:t>8</w:t>
            </w:r>
          </w:p>
        </w:tc>
      </w:tr>
      <w:tr w:rsidR="00A448CA" w:rsidRPr="002048A7" w14:paraId="781ACD71" w14:textId="77777777" w:rsidTr="001173BD">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5C74A92C"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9</w:t>
            </w:r>
          </w:p>
        </w:tc>
        <w:tc>
          <w:tcPr>
            <w:tcW w:w="1887" w:type="dxa"/>
            <w:tcBorders>
              <w:top w:val="nil"/>
              <w:left w:val="nil"/>
              <w:bottom w:val="single" w:sz="8" w:space="0" w:color="auto"/>
              <w:right w:val="single" w:sz="8" w:space="0" w:color="auto"/>
            </w:tcBorders>
            <w:shd w:val="clear" w:color="auto" w:fill="auto"/>
            <w:vAlign w:val="center"/>
            <w:hideMark/>
          </w:tcPr>
          <w:p w14:paraId="028ADAB9" w14:textId="77777777" w:rsidR="00A448CA" w:rsidRPr="002048A7" w:rsidRDefault="00A448CA" w:rsidP="001173BD">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ARDAHAN</w:t>
            </w:r>
          </w:p>
        </w:tc>
        <w:tc>
          <w:tcPr>
            <w:tcW w:w="3037" w:type="dxa"/>
            <w:tcBorders>
              <w:top w:val="nil"/>
              <w:left w:val="nil"/>
              <w:bottom w:val="single" w:sz="8" w:space="0" w:color="auto"/>
              <w:right w:val="single" w:sz="8" w:space="0" w:color="auto"/>
            </w:tcBorders>
            <w:shd w:val="clear" w:color="auto" w:fill="auto"/>
            <w:vAlign w:val="center"/>
            <w:hideMark/>
          </w:tcPr>
          <w:p w14:paraId="23F5A79A" w14:textId="77777777" w:rsidR="00A448CA" w:rsidRPr="002048A7" w:rsidRDefault="00A448CA" w:rsidP="00D56350">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3204" w:type="dxa"/>
            <w:tcBorders>
              <w:top w:val="nil"/>
              <w:left w:val="nil"/>
              <w:bottom w:val="single" w:sz="8" w:space="0" w:color="auto"/>
              <w:right w:val="single" w:sz="8" w:space="0" w:color="auto"/>
            </w:tcBorders>
            <w:shd w:val="clear" w:color="auto" w:fill="auto"/>
            <w:vAlign w:val="center"/>
            <w:hideMark/>
          </w:tcPr>
          <w:p w14:paraId="222B81DC" w14:textId="77777777" w:rsidR="00A448CA" w:rsidRPr="002048A7" w:rsidRDefault="00A448CA" w:rsidP="00D56350">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698" w:type="dxa"/>
            <w:tcBorders>
              <w:top w:val="nil"/>
              <w:left w:val="nil"/>
              <w:bottom w:val="single" w:sz="8" w:space="0" w:color="auto"/>
              <w:right w:val="single" w:sz="8" w:space="0" w:color="auto"/>
            </w:tcBorders>
            <w:shd w:val="clear" w:color="auto" w:fill="auto"/>
            <w:vAlign w:val="center"/>
            <w:hideMark/>
          </w:tcPr>
          <w:p w14:paraId="7A21A744" w14:textId="77777777" w:rsidR="00A448CA" w:rsidRPr="002048A7" w:rsidRDefault="00A448CA" w:rsidP="001173BD">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0</w:t>
            </w:r>
          </w:p>
        </w:tc>
      </w:tr>
      <w:tr w:rsidR="00A448CA" w:rsidRPr="002048A7" w14:paraId="01FC550F" w14:textId="77777777" w:rsidTr="001173BD">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37485E10"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10</w:t>
            </w:r>
          </w:p>
        </w:tc>
        <w:tc>
          <w:tcPr>
            <w:tcW w:w="1887" w:type="dxa"/>
            <w:tcBorders>
              <w:top w:val="nil"/>
              <w:left w:val="nil"/>
              <w:bottom w:val="single" w:sz="8" w:space="0" w:color="auto"/>
              <w:right w:val="single" w:sz="8" w:space="0" w:color="auto"/>
            </w:tcBorders>
            <w:shd w:val="clear" w:color="auto" w:fill="auto"/>
            <w:vAlign w:val="center"/>
            <w:hideMark/>
          </w:tcPr>
          <w:p w14:paraId="6E4D68F2" w14:textId="77777777" w:rsidR="00A448CA" w:rsidRPr="002048A7" w:rsidRDefault="00A448CA" w:rsidP="001173BD">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ARTVİN</w:t>
            </w:r>
          </w:p>
        </w:tc>
        <w:tc>
          <w:tcPr>
            <w:tcW w:w="3037" w:type="dxa"/>
            <w:tcBorders>
              <w:top w:val="nil"/>
              <w:left w:val="nil"/>
              <w:bottom w:val="single" w:sz="8" w:space="0" w:color="auto"/>
              <w:right w:val="single" w:sz="8" w:space="0" w:color="auto"/>
            </w:tcBorders>
            <w:shd w:val="clear" w:color="auto" w:fill="auto"/>
            <w:vAlign w:val="center"/>
            <w:hideMark/>
          </w:tcPr>
          <w:p w14:paraId="2AC003A7" w14:textId="77777777" w:rsidR="00A448CA" w:rsidRPr="002048A7" w:rsidRDefault="00A448CA" w:rsidP="00D56350">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3204" w:type="dxa"/>
            <w:tcBorders>
              <w:top w:val="nil"/>
              <w:left w:val="nil"/>
              <w:bottom w:val="single" w:sz="8" w:space="0" w:color="auto"/>
              <w:right w:val="single" w:sz="8" w:space="0" w:color="auto"/>
            </w:tcBorders>
            <w:shd w:val="clear" w:color="auto" w:fill="auto"/>
            <w:vAlign w:val="center"/>
            <w:hideMark/>
          </w:tcPr>
          <w:p w14:paraId="2358DB56" w14:textId="77777777" w:rsidR="00A448CA" w:rsidRPr="002048A7" w:rsidRDefault="00A448CA" w:rsidP="00D56350">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698" w:type="dxa"/>
            <w:tcBorders>
              <w:top w:val="nil"/>
              <w:left w:val="nil"/>
              <w:bottom w:val="single" w:sz="8" w:space="0" w:color="auto"/>
              <w:right w:val="single" w:sz="8" w:space="0" w:color="auto"/>
            </w:tcBorders>
            <w:shd w:val="clear" w:color="auto" w:fill="auto"/>
            <w:vAlign w:val="center"/>
            <w:hideMark/>
          </w:tcPr>
          <w:p w14:paraId="22E33887" w14:textId="77777777" w:rsidR="00A448CA" w:rsidRPr="002048A7" w:rsidRDefault="00A448CA" w:rsidP="001173BD">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0</w:t>
            </w:r>
          </w:p>
        </w:tc>
      </w:tr>
      <w:tr w:rsidR="00A448CA" w:rsidRPr="002048A7" w14:paraId="1E5F3157" w14:textId="77777777" w:rsidTr="001173BD">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4857D4E6"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11</w:t>
            </w:r>
          </w:p>
        </w:tc>
        <w:tc>
          <w:tcPr>
            <w:tcW w:w="1887" w:type="dxa"/>
            <w:tcBorders>
              <w:top w:val="nil"/>
              <w:left w:val="nil"/>
              <w:bottom w:val="single" w:sz="8" w:space="0" w:color="auto"/>
              <w:right w:val="single" w:sz="8" w:space="0" w:color="auto"/>
            </w:tcBorders>
            <w:shd w:val="clear" w:color="auto" w:fill="auto"/>
            <w:vAlign w:val="center"/>
            <w:hideMark/>
          </w:tcPr>
          <w:p w14:paraId="6C8F5B17" w14:textId="77777777" w:rsidR="00A448CA" w:rsidRPr="002048A7" w:rsidRDefault="00A448CA" w:rsidP="001173BD">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AYDIN</w:t>
            </w:r>
          </w:p>
        </w:tc>
        <w:tc>
          <w:tcPr>
            <w:tcW w:w="3037" w:type="dxa"/>
            <w:tcBorders>
              <w:top w:val="nil"/>
              <w:left w:val="nil"/>
              <w:bottom w:val="single" w:sz="8" w:space="0" w:color="auto"/>
              <w:right w:val="single" w:sz="8" w:space="0" w:color="auto"/>
            </w:tcBorders>
            <w:shd w:val="clear" w:color="auto" w:fill="auto"/>
            <w:vAlign w:val="center"/>
            <w:hideMark/>
          </w:tcPr>
          <w:p w14:paraId="52A66289"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DE5C45">
              <w:rPr>
                <w:rFonts w:ascii="Calibri" w:eastAsia="Times New Roman" w:hAnsi="Calibri" w:cs="Calibri"/>
                <w:color w:val="000000"/>
                <w:lang w:eastAsia="tr-TR"/>
              </w:rPr>
              <w:t>19.620.891,13₺</w:t>
            </w:r>
          </w:p>
        </w:tc>
        <w:tc>
          <w:tcPr>
            <w:tcW w:w="3204" w:type="dxa"/>
            <w:tcBorders>
              <w:top w:val="nil"/>
              <w:left w:val="nil"/>
              <w:bottom w:val="single" w:sz="8" w:space="0" w:color="auto"/>
              <w:right w:val="single" w:sz="8" w:space="0" w:color="auto"/>
            </w:tcBorders>
            <w:shd w:val="clear" w:color="auto" w:fill="auto"/>
            <w:vAlign w:val="center"/>
            <w:hideMark/>
          </w:tcPr>
          <w:p w14:paraId="541F123C"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DE5C45">
              <w:rPr>
                <w:rFonts w:ascii="Calibri" w:eastAsia="Times New Roman" w:hAnsi="Calibri" w:cs="Calibri"/>
                <w:color w:val="000000"/>
                <w:lang w:eastAsia="tr-TR"/>
              </w:rPr>
              <w:t>8.591.526,53₺</w:t>
            </w:r>
          </w:p>
        </w:tc>
        <w:tc>
          <w:tcPr>
            <w:tcW w:w="698" w:type="dxa"/>
            <w:tcBorders>
              <w:top w:val="nil"/>
              <w:left w:val="nil"/>
              <w:bottom w:val="single" w:sz="8" w:space="0" w:color="auto"/>
              <w:right w:val="single" w:sz="8" w:space="0" w:color="auto"/>
            </w:tcBorders>
            <w:shd w:val="clear" w:color="auto" w:fill="auto"/>
            <w:vAlign w:val="center"/>
            <w:hideMark/>
          </w:tcPr>
          <w:p w14:paraId="470B7A4A"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DE5C45">
              <w:rPr>
                <w:rFonts w:ascii="Calibri" w:eastAsia="Times New Roman" w:hAnsi="Calibri" w:cs="Calibri"/>
                <w:color w:val="000000"/>
                <w:lang w:eastAsia="tr-TR"/>
              </w:rPr>
              <w:t>5</w:t>
            </w:r>
          </w:p>
        </w:tc>
      </w:tr>
      <w:tr w:rsidR="00A448CA" w:rsidRPr="002048A7" w14:paraId="14A5B87B" w14:textId="77777777" w:rsidTr="001173BD">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44F4A2E2"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12</w:t>
            </w:r>
          </w:p>
        </w:tc>
        <w:tc>
          <w:tcPr>
            <w:tcW w:w="1887" w:type="dxa"/>
            <w:tcBorders>
              <w:top w:val="nil"/>
              <w:left w:val="nil"/>
              <w:bottom w:val="single" w:sz="8" w:space="0" w:color="auto"/>
              <w:right w:val="single" w:sz="8" w:space="0" w:color="auto"/>
            </w:tcBorders>
            <w:shd w:val="clear" w:color="auto" w:fill="auto"/>
            <w:vAlign w:val="center"/>
            <w:hideMark/>
          </w:tcPr>
          <w:p w14:paraId="78198E7E" w14:textId="77777777" w:rsidR="00A448CA" w:rsidRPr="002048A7" w:rsidRDefault="00A448CA" w:rsidP="001173BD">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BALIKESİR</w:t>
            </w:r>
          </w:p>
        </w:tc>
        <w:tc>
          <w:tcPr>
            <w:tcW w:w="3037" w:type="dxa"/>
            <w:tcBorders>
              <w:top w:val="nil"/>
              <w:left w:val="nil"/>
              <w:bottom w:val="single" w:sz="8" w:space="0" w:color="auto"/>
              <w:right w:val="single" w:sz="8" w:space="0" w:color="auto"/>
            </w:tcBorders>
            <w:shd w:val="clear" w:color="auto" w:fill="auto"/>
            <w:vAlign w:val="center"/>
            <w:hideMark/>
          </w:tcPr>
          <w:p w14:paraId="077C622D"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DE5C45">
              <w:rPr>
                <w:rFonts w:ascii="Calibri" w:eastAsia="Times New Roman" w:hAnsi="Calibri" w:cs="Calibri"/>
                <w:color w:val="000000"/>
                <w:lang w:eastAsia="tr-TR"/>
              </w:rPr>
              <w:t>22.053.404,80₺</w:t>
            </w:r>
          </w:p>
        </w:tc>
        <w:tc>
          <w:tcPr>
            <w:tcW w:w="3204" w:type="dxa"/>
            <w:tcBorders>
              <w:top w:val="nil"/>
              <w:left w:val="nil"/>
              <w:bottom w:val="single" w:sz="8" w:space="0" w:color="auto"/>
              <w:right w:val="single" w:sz="8" w:space="0" w:color="auto"/>
            </w:tcBorders>
            <w:shd w:val="clear" w:color="auto" w:fill="auto"/>
            <w:vAlign w:val="center"/>
            <w:hideMark/>
          </w:tcPr>
          <w:p w14:paraId="49CF0920"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DE5C45">
              <w:rPr>
                <w:rFonts w:ascii="Calibri" w:eastAsia="Times New Roman" w:hAnsi="Calibri" w:cs="Calibri"/>
                <w:color w:val="000000"/>
                <w:lang w:eastAsia="tr-TR"/>
              </w:rPr>
              <w:t>36.854.792,45₺</w:t>
            </w:r>
          </w:p>
        </w:tc>
        <w:tc>
          <w:tcPr>
            <w:tcW w:w="698" w:type="dxa"/>
            <w:tcBorders>
              <w:top w:val="nil"/>
              <w:left w:val="nil"/>
              <w:bottom w:val="single" w:sz="8" w:space="0" w:color="auto"/>
              <w:right w:val="single" w:sz="8" w:space="0" w:color="auto"/>
            </w:tcBorders>
            <w:shd w:val="clear" w:color="auto" w:fill="auto"/>
            <w:vAlign w:val="center"/>
            <w:hideMark/>
          </w:tcPr>
          <w:p w14:paraId="269DF3FB"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DE5C45">
              <w:rPr>
                <w:rFonts w:ascii="Calibri" w:eastAsia="Times New Roman" w:hAnsi="Calibri" w:cs="Calibri"/>
                <w:color w:val="000000"/>
                <w:lang w:eastAsia="tr-TR"/>
              </w:rPr>
              <w:t>15</w:t>
            </w:r>
          </w:p>
        </w:tc>
      </w:tr>
      <w:tr w:rsidR="00A448CA" w:rsidRPr="002048A7" w14:paraId="2412BF2F" w14:textId="77777777" w:rsidTr="001173BD">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34A3076C"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13</w:t>
            </w:r>
          </w:p>
        </w:tc>
        <w:tc>
          <w:tcPr>
            <w:tcW w:w="1887" w:type="dxa"/>
            <w:tcBorders>
              <w:top w:val="nil"/>
              <w:left w:val="nil"/>
              <w:bottom w:val="single" w:sz="8" w:space="0" w:color="auto"/>
              <w:right w:val="single" w:sz="8" w:space="0" w:color="auto"/>
            </w:tcBorders>
            <w:shd w:val="clear" w:color="auto" w:fill="auto"/>
            <w:vAlign w:val="center"/>
            <w:hideMark/>
          </w:tcPr>
          <w:p w14:paraId="6D6091AC" w14:textId="77777777" w:rsidR="00A448CA" w:rsidRPr="002048A7" w:rsidRDefault="00A448CA" w:rsidP="001173BD">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BARTIN</w:t>
            </w:r>
          </w:p>
        </w:tc>
        <w:tc>
          <w:tcPr>
            <w:tcW w:w="3037" w:type="dxa"/>
            <w:tcBorders>
              <w:top w:val="nil"/>
              <w:left w:val="nil"/>
              <w:bottom w:val="single" w:sz="8" w:space="0" w:color="auto"/>
              <w:right w:val="single" w:sz="8" w:space="0" w:color="auto"/>
            </w:tcBorders>
            <w:shd w:val="clear" w:color="auto" w:fill="auto"/>
            <w:vAlign w:val="center"/>
            <w:hideMark/>
          </w:tcPr>
          <w:p w14:paraId="2CC172B7" w14:textId="77777777" w:rsidR="00A448CA" w:rsidRPr="002048A7" w:rsidRDefault="00A448CA" w:rsidP="00D56350">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3204" w:type="dxa"/>
            <w:tcBorders>
              <w:top w:val="nil"/>
              <w:left w:val="nil"/>
              <w:bottom w:val="single" w:sz="8" w:space="0" w:color="auto"/>
              <w:right w:val="single" w:sz="8" w:space="0" w:color="auto"/>
            </w:tcBorders>
            <w:shd w:val="clear" w:color="auto" w:fill="auto"/>
            <w:vAlign w:val="center"/>
            <w:hideMark/>
          </w:tcPr>
          <w:p w14:paraId="145A9A72" w14:textId="77777777" w:rsidR="00A448CA" w:rsidRPr="002048A7" w:rsidRDefault="00A448CA" w:rsidP="00D56350">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698" w:type="dxa"/>
            <w:tcBorders>
              <w:top w:val="nil"/>
              <w:left w:val="nil"/>
              <w:bottom w:val="single" w:sz="8" w:space="0" w:color="auto"/>
              <w:right w:val="single" w:sz="8" w:space="0" w:color="auto"/>
            </w:tcBorders>
            <w:shd w:val="clear" w:color="auto" w:fill="auto"/>
            <w:vAlign w:val="center"/>
            <w:hideMark/>
          </w:tcPr>
          <w:p w14:paraId="72E3B139" w14:textId="77777777" w:rsidR="00A448CA" w:rsidRPr="002048A7" w:rsidRDefault="00A448CA" w:rsidP="001173BD">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0</w:t>
            </w:r>
          </w:p>
        </w:tc>
      </w:tr>
      <w:tr w:rsidR="00A448CA" w:rsidRPr="002048A7" w14:paraId="78CAFDEF" w14:textId="77777777" w:rsidTr="001173BD">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7E3D4211"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14</w:t>
            </w:r>
          </w:p>
        </w:tc>
        <w:tc>
          <w:tcPr>
            <w:tcW w:w="1887" w:type="dxa"/>
            <w:tcBorders>
              <w:top w:val="nil"/>
              <w:left w:val="nil"/>
              <w:bottom w:val="single" w:sz="8" w:space="0" w:color="auto"/>
              <w:right w:val="single" w:sz="8" w:space="0" w:color="auto"/>
            </w:tcBorders>
            <w:shd w:val="clear" w:color="auto" w:fill="auto"/>
            <w:vAlign w:val="center"/>
            <w:hideMark/>
          </w:tcPr>
          <w:p w14:paraId="0F1C77C5" w14:textId="77777777" w:rsidR="00A448CA" w:rsidRPr="002048A7" w:rsidRDefault="00A448CA" w:rsidP="001173BD">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BATMAN</w:t>
            </w:r>
          </w:p>
        </w:tc>
        <w:tc>
          <w:tcPr>
            <w:tcW w:w="3037" w:type="dxa"/>
            <w:tcBorders>
              <w:top w:val="nil"/>
              <w:left w:val="nil"/>
              <w:bottom w:val="single" w:sz="8" w:space="0" w:color="auto"/>
              <w:right w:val="single" w:sz="8" w:space="0" w:color="auto"/>
            </w:tcBorders>
            <w:shd w:val="clear" w:color="auto" w:fill="auto"/>
            <w:vAlign w:val="center"/>
            <w:hideMark/>
          </w:tcPr>
          <w:p w14:paraId="522B8221" w14:textId="77777777" w:rsidR="00A448CA" w:rsidRPr="002048A7" w:rsidRDefault="00A448CA" w:rsidP="00D56350">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3204" w:type="dxa"/>
            <w:tcBorders>
              <w:top w:val="nil"/>
              <w:left w:val="nil"/>
              <w:bottom w:val="single" w:sz="8" w:space="0" w:color="auto"/>
              <w:right w:val="single" w:sz="8" w:space="0" w:color="auto"/>
            </w:tcBorders>
            <w:shd w:val="clear" w:color="auto" w:fill="auto"/>
            <w:vAlign w:val="center"/>
            <w:hideMark/>
          </w:tcPr>
          <w:p w14:paraId="6A2C035A" w14:textId="77777777" w:rsidR="00A448CA" w:rsidRPr="002048A7" w:rsidRDefault="00A448CA" w:rsidP="00D56350">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698" w:type="dxa"/>
            <w:tcBorders>
              <w:top w:val="nil"/>
              <w:left w:val="nil"/>
              <w:bottom w:val="single" w:sz="8" w:space="0" w:color="auto"/>
              <w:right w:val="single" w:sz="8" w:space="0" w:color="auto"/>
            </w:tcBorders>
            <w:shd w:val="clear" w:color="auto" w:fill="auto"/>
            <w:vAlign w:val="center"/>
            <w:hideMark/>
          </w:tcPr>
          <w:p w14:paraId="35898BF5" w14:textId="77777777" w:rsidR="00A448CA" w:rsidRPr="002048A7" w:rsidRDefault="00A448CA" w:rsidP="001173BD">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0</w:t>
            </w:r>
          </w:p>
        </w:tc>
      </w:tr>
      <w:tr w:rsidR="00A448CA" w:rsidRPr="002048A7" w14:paraId="6E0366A9" w14:textId="77777777" w:rsidTr="001173BD">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1E7CA20D"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15</w:t>
            </w:r>
          </w:p>
        </w:tc>
        <w:tc>
          <w:tcPr>
            <w:tcW w:w="1887" w:type="dxa"/>
            <w:tcBorders>
              <w:top w:val="nil"/>
              <w:left w:val="nil"/>
              <w:bottom w:val="single" w:sz="8" w:space="0" w:color="auto"/>
              <w:right w:val="single" w:sz="8" w:space="0" w:color="auto"/>
            </w:tcBorders>
            <w:shd w:val="clear" w:color="auto" w:fill="auto"/>
            <w:vAlign w:val="center"/>
            <w:hideMark/>
          </w:tcPr>
          <w:p w14:paraId="2E6199AD" w14:textId="77777777" w:rsidR="00A448CA" w:rsidRPr="002048A7" w:rsidRDefault="00A448CA" w:rsidP="001173BD">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BİLECİK</w:t>
            </w:r>
          </w:p>
        </w:tc>
        <w:tc>
          <w:tcPr>
            <w:tcW w:w="3037" w:type="dxa"/>
            <w:tcBorders>
              <w:top w:val="nil"/>
              <w:left w:val="nil"/>
              <w:bottom w:val="single" w:sz="8" w:space="0" w:color="auto"/>
              <w:right w:val="single" w:sz="8" w:space="0" w:color="auto"/>
            </w:tcBorders>
            <w:shd w:val="clear" w:color="auto" w:fill="auto"/>
            <w:vAlign w:val="center"/>
            <w:hideMark/>
          </w:tcPr>
          <w:p w14:paraId="71514A3A"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DE5C45">
              <w:rPr>
                <w:rFonts w:ascii="Calibri" w:eastAsia="Times New Roman" w:hAnsi="Calibri" w:cs="Calibri"/>
                <w:color w:val="000000"/>
                <w:lang w:eastAsia="tr-TR"/>
              </w:rPr>
              <w:t>2.009.031,42₺</w:t>
            </w:r>
          </w:p>
        </w:tc>
        <w:tc>
          <w:tcPr>
            <w:tcW w:w="3204" w:type="dxa"/>
            <w:tcBorders>
              <w:top w:val="nil"/>
              <w:left w:val="nil"/>
              <w:bottom w:val="single" w:sz="8" w:space="0" w:color="auto"/>
              <w:right w:val="single" w:sz="8" w:space="0" w:color="auto"/>
            </w:tcBorders>
            <w:shd w:val="clear" w:color="auto" w:fill="auto"/>
            <w:vAlign w:val="center"/>
            <w:hideMark/>
          </w:tcPr>
          <w:p w14:paraId="56997EBE"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DE5C45">
              <w:rPr>
                <w:rFonts w:ascii="Calibri" w:eastAsia="Times New Roman" w:hAnsi="Calibri" w:cs="Calibri"/>
                <w:color w:val="000000"/>
                <w:lang w:eastAsia="tr-TR"/>
              </w:rPr>
              <w:t>2.009.031,42₺</w:t>
            </w:r>
          </w:p>
        </w:tc>
        <w:tc>
          <w:tcPr>
            <w:tcW w:w="698" w:type="dxa"/>
            <w:tcBorders>
              <w:top w:val="nil"/>
              <w:left w:val="nil"/>
              <w:bottom w:val="single" w:sz="8" w:space="0" w:color="auto"/>
              <w:right w:val="single" w:sz="8" w:space="0" w:color="auto"/>
            </w:tcBorders>
            <w:shd w:val="clear" w:color="auto" w:fill="auto"/>
            <w:vAlign w:val="center"/>
            <w:hideMark/>
          </w:tcPr>
          <w:p w14:paraId="59A0199C"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DE5C45">
              <w:rPr>
                <w:rFonts w:ascii="Calibri" w:eastAsia="Times New Roman" w:hAnsi="Calibri" w:cs="Calibri"/>
                <w:color w:val="000000"/>
                <w:lang w:eastAsia="tr-TR"/>
              </w:rPr>
              <w:t>3</w:t>
            </w:r>
          </w:p>
        </w:tc>
      </w:tr>
      <w:tr w:rsidR="00A448CA" w:rsidRPr="002048A7" w14:paraId="647C0322" w14:textId="77777777" w:rsidTr="001173BD">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13865E4E"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16</w:t>
            </w:r>
          </w:p>
        </w:tc>
        <w:tc>
          <w:tcPr>
            <w:tcW w:w="1887" w:type="dxa"/>
            <w:tcBorders>
              <w:top w:val="nil"/>
              <w:left w:val="nil"/>
              <w:bottom w:val="single" w:sz="8" w:space="0" w:color="auto"/>
              <w:right w:val="single" w:sz="8" w:space="0" w:color="auto"/>
            </w:tcBorders>
            <w:shd w:val="clear" w:color="auto" w:fill="auto"/>
            <w:vAlign w:val="center"/>
            <w:hideMark/>
          </w:tcPr>
          <w:p w14:paraId="24DC8205" w14:textId="77777777" w:rsidR="00A448CA" w:rsidRPr="002048A7" w:rsidRDefault="00A448CA" w:rsidP="001173BD">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BİNGÖL</w:t>
            </w:r>
          </w:p>
        </w:tc>
        <w:tc>
          <w:tcPr>
            <w:tcW w:w="3037" w:type="dxa"/>
            <w:tcBorders>
              <w:top w:val="nil"/>
              <w:left w:val="nil"/>
              <w:bottom w:val="single" w:sz="8" w:space="0" w:color="auto"/>
              <w:right w:val="single" w:sz="8" w:space="0" w:color="auto"/>
            </w:tcBorders>
            <w:shd w:val="clear" w:color="auto" w:fill="auto"/>
            <w:vAlign w:val="center"/>
            <w:hideMark/>
          </w:tcPr>
          <w:p w14:paraId="3A74CFAF" w14:textId="77777777" w:rsidR="00A448CA" w:rsidRPr="002048A7" w:rsidRDefault="00A448CA" w:rsidP="00D56350">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3204" w:type="dxa"/>
            <w:tcBorders>
              <w:top w:val="nil"/>
              <w:left w:val="nil"/>
              <w:bottom w:val="single" w:sz="8" w:space="0" w:color="auto"/>
              <w:right w:val="single" w:sz="8" w:space="0" w:color="auto"/>
            </w:tcBorders>
            <w:shd w:val="clear" w:color="auto" w:fill="auto"/>
            <w:vAlign w:val="center"/>
            <w:hideMark/>
          </w:tcPr>
          <w:p w14:paraId="2E504C8F" w14:textId="77777777" w:rsidR="00A448CA" w:rsidRPr="002048A7" w:rsidRDefault="00A448CA" w:rsidP="00D56350">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698" w:type="dxa"/>
            <w:tcBorders>
              <w:top w:val="nil"/>
              <w:left w:val="nil"/>
              <w:bottom w:val="single" w:sz="8" w:space="0" w:color="auto"/>
              <w:right w:val="single" w:sz="8" w:space="0" w:color="auto"/>
            </w:tcBorders>
            <w:shd w:val="clear" w:color="auto" w:fill="auto"/>
            <w:vAlign w:val="center"/>
            <w:hideMark/>
          </w:tcPr>
          <w:p w14:paraId="5995D793" w14:textId="77777777" w:rsidR="00A448CA" w:rsidRPr="002048A7" w:rsidRDefault="00A448CA" w:rsidP="001173BD">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0</w:t>
            </w:r>
          </w:p>
        </w:tc>
      </w:tr>
      <w:tr w:rsidR="00A448CA" w:rsidRPr="002048A7" w14:paraId="688C1882" w14:textId="77777777" w:rsidTr="001173BD">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04911C4D"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17</w:t>
            </w:r>
          </w:p>
        </w:tc>
        <w:tc>
          <w:tcPr>
            <w:tcW w:w="1887" w:type="dxa"/>
            <w:tcBorders>
              <w:top w:val="nil"/>
              <w:left w:val="nil"/>
              <w:bottom w:val="single" w:sz="8" w:space="0" w:color="auto"/>
              <w:right w:val="single" w:sz="8" w:space="0" w:color="auto"/>
            </w:tcBorders>
            <w:shd w:val="clear" w:color="auto" w:fill="auto"/>
            <w:vAlign w:val="center"/>
            <w:hideMark/>
          </w:tcPr>
          <w:p w14:paraId="4DF76D7E" w14:textId="77777777" w:rsidR="00A448CA" w:rsidRPr="002048A7" w:rsidRDefault="00A448CA" w:rsidP="001173BD">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BİTLİS</w:t>
            </w:r>
          </w:p>
        </w:tc>
        <w:tc>
          <w:tcPr>
            <w:tcW w:w="3037" w:type="dxa"/>
            <w:tcBorders>
              <w:top w:val="nil"/>
              <w:left w:val="nil"/>
              <w:bottom w:val="single" w:sz="8" w:space="0" w:color="auto"/>
              <w:right w:val="single" w:sz="8" w:space="0" w:color="auto"/>
            </w:tcBorders>
            <w:shd w:val="clear" w:color="auto" w:fill="auto"/>
            <w:vAlign w:val="center"/>
            <w:hideMark/>
          </w:tcPr>
          <w:p w14:paraId="28306B78"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DE5C45">
              <w:rPr>
                <w:rFonts w:ascii="Calibri" w:eastAsia="Times New Roman" w:hAnsi="Calibri" w:cs="Calibri"/>
                <w:color w:val="000000"/>
                <w:lang w:eastAsia="tr-TR"/>
              </w:rPr>
              <w:t>2.563.211,56₺</w:t>
            </w:r>
          </w:p>
        </w:tc>
        <w:tc>
          <w:tcPr>
            <w:tcW w:w="3204" w:type="dxa"/>
            <w:tcBorders>
              <w:top w:val="nil"/>
              <w:left w:val="nil"/>
              <w:bottom w:val="single" w:sz="8" w:space="0" w:color="auto"/>
              <w:right w:val="single" w:sz="8" w:space="0" w:color="auto"/>
            </w:tcBorders>
            <w:shd w:val="clear" w:color="auto" w:fill="auto"/>
            <w:vAlign w:val="center"/>
            <w:hideMark/>
          </w:tcPr>
          <w:p w14:paraId="64979543"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DE5C45">
              <w:rPr>
                <w:rFonts w:ascii="Calibri" w:eastAsia="Times New Roman" w:hAnsi="Calibri" w:cs="Calibri"/>
                <w:color w:val="000000"/>
                <w:lang w:eastAsia="tr-TR"/>
              </w:rPr>
              <w:t>704.000,00₺</w:t>
            </w:r>
          </w:p>
        </w:tc>
        <w:tc>
          <w:tcPr>
            <w:tcW w:w="698" w:type="dxa"/>
            <w:tcBorders>
              <w:top w:val="nil"/>
              <w:left w:val="nil"/>
              <w:bottom w:val="single" w:sz="8" w:space="0" w:color="auto"/>
              <w:right w:val="single" w:sz="8" w:space="0" w:color="auto"/>
            </w:tcBorders>
            <w:shd w:val="clear" w:color="auto" w:fill="auto"/>
            <w:vAlign w:val="center"/>
            <w:hideMark/>
          </w:tcPr>
          <w:p w14:paraId="26460DCC"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DE5C45">
              <w:rPr>
                <w:rFonts w:ascii="Calibri" w:eastAsia="Times New Roman" w:hAnsi="Calibri" w:cs="Calibri"/>
                <w:color w:val="000000"/>
                <w:lang w:eastAsia="tr-TR"/>
              </w:rPr>
              <w:t>2</w:t>
            </w:r>
          </w:p>
        </w:tc>
      </w:tr>
      <w:tr w:rsidR="00A448CA" w:rsidRPr="002048A7" w14:paraId="46527A56" w14:textId="77777777" w:rsidTr="001173BD">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6195256A"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18</w:t>
            </w:r>
          </w:p>
        </w:tc>
        <w:tc>
          <w:tcPr>
            <w:tcW w:w="1887" w:type="dxa"/>
            <w:tcBorders>
              <w:top w:val="nil"/>
              <w:left w:val="nil"/>
              <w:bottom w:val="single" w:sz="8" w:space="0" w:color="auto"/>
              <w:right w:val="single" w:sz="8" w:space="0" w:color="auto"/>
            </w:tcBorders>
            <w:shd w:val="clear" w:color="auto" w:fill="auto"/>
            <w:vAlign w:val="center"/>
            <w:hideMark/>
          </w:tcPr>
          <w:p w14:paraId="31C94CD1" w14:textId="77777777" w:rsidR="00A448CA" w:rsidRPr="002048A7" w:rsidRDefault="00A448CA" w:rsidP="001173BD">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BOLU</w:t>
            </w:r>
          </w:p>
        </w:tc>
        <w:tc>
          <w:tcPr>
            <w:tcW w:w="3037" w:type="dxa"/>
            <w:tcBorders>
              <w:top w:val="nil"/>
              <w:left w:val="nil"/>
              <w:bottom w:val="single" w:sz="8" w:space="0" w:color="auto"/>
              <w:right w:val="single" w:sz="8" w:space="0" w:color="auto"/>
            </w:tcBorders>
            <w:shd w:val="clear" w:color="auto" w:fill="auto"/>
            <w:vAlign w:val="center"/>
            <w:hideMark/>
          </w:tcPr>
          <w:p w14:paraId="1294CAB1"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DE5C45">
              <w:rPr>
                <w:rFonts w:ascii="Calibri" w:eastAsia="Times New Roman" w:hAnsi="Calibri" w:cs="Calibri"/>
                <w:color w:val="000000"/>
                <w:lang w:eastAsia="tr-TR"/>
              </w:rPr>
              <w:t>20.605.257,86₺</w:t>
            </w:r>
          </w:p>
        </w:tc>
        <w:tc>
          <w:tcPr>
            <w:tcW w:w="3204" w:type="dxa"/>
            <w:tcBorders>
              <w:top w:val="nil"/>
              <w:left w:val="nil"/>
              <w:bottom w:val="single" w:sz="8" w:space="0" w:color="auto"/>
              <w:right w:val="single" w:sz="8" w:space="0" w:color="auto"/>
            </w:tcBorders>
            <w:shd w:val="clear" w:color="auto" w:fill="auto"/>
            <w:vAlign w:val="center"/>
            <w:hideMark/>
          </w:tcPr>
          <w:p w14:paraId="713096D4"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DE5C45">
              <w:rPr>
                <w:rFonts w:ascii="Calibri" w:eastAsia="Times New Roman" w:hAnsi="Calibri" w:cs="Calibri"/>
                <w:color w:val="000000"/>
                <w:lang w:eastAsia="tr-TR"/>
              </w:rPr>
              <w:t>1.470.123,82₺</w:t>
            </w:r>
          </w:p>
        </w:tc>
        <w:tc>
          <w:tcPr>
            <w:tcW w:w="698" w:type="dxa"/>
            <w:tcBorders>
              <w:top w:val="nil"/>
              <w:left w:val="nil"/>
              <w:bottom w:val="single" w:sz="8" w:space="0" w:color="auto"/>
              <w:right w:val="single" w:sz="8" w:space="0" w:color="auto"/>
            </w:tcBorders>
            <w:shd w:val="clear" w:color="auto" w:fill="auto"/>
            <w:vAlign w:val="center"/>
            <w:hideMark/>
          </w:tcPr>
          <w:p w14:paraId="70173B7F"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DE5C45">
              <w:rPr>
                <w:rFonts w:ascii="Calibri" w:eastAsia="Times New Roman" w:hAnsi="Calibri" w:cs="Calibri"/>
                <w:color w:val="000000"/>
                <w:lang w:eastAsia="tr-TR"/>
              </w:rPr>
              <w:t>8</w:t>
            </w:r>
          </w:p>
        </w:tc>
      </w:tr>
      <w:tr w:rsidR="00A448CA" w:rsidRPr="002048A7" w14:paraId="62AEA8D4" w14:textId="77777777" w:rsidTr="001173BD">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652C112D"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19</w:t>
            </w:r>
          </w:p>
        </w:tc>
        <w:tc>
          <w:tcPr>
            <w:tcW w:w="1887" w:type="dxa"/>
            <w:tcBorders>
              <w:top w:val="nil"/>
              <w:left w:val="nil"/>
              <w:bottom w:val="single" w:sz="8" w:space="0" w:color="auto"/>
              <w:right w:val="single" w:sz="8" w:space="0" w:color="auto"/>
            </w:tcBorders>
            <w:shd w:val="clear" w:color="auto" w:fill="auto"/>
            <w:vAlign w:val="center"/>
            <w:hideMark/>
          </w:tcPr>
          <w:p w14:paraId="669BE6AD" w14:textId="77777777" w:rsidR="00A448CA" w:rsidRPr="002048A7" w:rsidRDefault="00A448CA" w:rsidP="001173BD">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BURDUR</w:t>
            </w:r>
          </w:p>
        </w:tc>
        <w:tc>
          <w:tcPr>
            <w:tcW w:w="3037" w:type="dxa"/>
            <w:tcBorders>
              <w:top w:val="nil"/>
              <w:left w:val="nil"/>
              <w:bottom w:val="single" w:sz="8" w:space="0" w:color="auto"/>
              <w:right w:val="single" w:sz="8" w:space="0" w:color="auto"/>
            </w:tcBorders>
            <w:shd w:val="clear" w:color="auto" w:fill="auto"/>
            <w:hideMark/>
          </w:tcPr>
          <w:p w14:paraId="05ED7A4E"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DE5C45">
              <w:rPr>
                <w:rFonts w:ascii="Calibri" w:eastAsia="Times New Roman" w:hAnsi="Calibri" w:cs="Calibri"/>
                <w:color w:val="000000"/>
                <w:lang w:eastAsia="tr-TR"/>
              </w:rPr>
              <w:t>8.800.000,00₺</w:t>
            </w:r>
          </w:p>
        </w:tc>
        <w:tc>
          <w:tcPr>
            <w:tcW w:w="3204" w:type="dxa"/>
            <w:tcBorders>
              <w:top w:val="nil"/>
              <w:left w:val="nil"/>
              <w:bottom w:val="single" w:sz="8" w:space="0" w:color="auto"/>
              <w:right w:val="single" w:sz="8" w:space="0" w:color="auto"/>
            </w:tcBorders>
            <w:shd w:val="clear" w:color="auto" w:fill="auto"/>
            <w:hideMark/>
          </w:tcPr>
          <w:p w14:paraId="0279B4B1"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DE5C45">
              <w:rPr>
                <w:rFonts w:ascii="Calibri" w:eastAsia="Times New Roman" w:hAnsi="Calibri" w:cs="Calibri"/>
                <w:color w:val="000000"/>
                <w:lang w:eastAsia="tr-TR"/>
              </w:rPr>
              <w:t>10.500.000,00₺</w:t>
            </w:r>
          </w:p>
        </w:tc>
        <w:tc>
          <w:tcPr>
            <w:tcW w:w="698" w:type="dxa"/>
            <w:tcBorders>
              <w:top w:val="nil"/>
              <w:left w:val="nil"/>
              <w:bottom w:val="single" w:sz="8" w:space="0" w:color="auto"/>
              <w:right w:val="single" w:sz="8" w:space="0" w:color="auto"/>
            </w:tcBorders>
            <w:shd w:val="clear" w:color="auto" w:fill="auto"/>
            <w:hideMark/>
          </w:tcPr>
          <w:p w14:paraId="1215A02D"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DE5C45">
              <w:rPr>
                <w:rFonts w:ascii="Calibri" w:eastAsia="Times New Roman" w:hAnsi="Calibri" w:cs="Calibri"/>
                <w:color w:val="000000"/>
                <w:lang w:eastAsia="tr-TR"/>
              </w:rPr>
              <w:t>2</w:t>
            </w:r>
          </w:p>
        </w:tc>
      </w:tr>
      <w:tr w:rsidR="00A448CA" w:rsidRPr="002048A7" w14:paraId="7881416A" w14:textId="77777777" w:rsidTr="001173BD">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618FAC9F"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20</w:t>
            </w:r>
          </w:p>
        </w:tc>
        <w:tc>
          <w:tcPr>
            <w:tcW w:w="1887" w:type="dxa"/>
            <w:tcBorders>
              <w:top w:val="nil"/>
              <w:left w:val="nil"/>
              <w:bottom w:val="single" w:sz="8" w:space="0" w:color="auto"/>
              <w:right w:val="single" w:sz="8" w:space="0" w:color="auto"/>
            </w:tcBorders>
            <w:shd w:val="clear" w:color="auto" w:fill="auto"/>
            <w:vAlign w:val="center"/>
            <w:hideMark/>
          </w:tcPr>
          <w:p w14:paraId="5FDE4745" w14:textId="77777777" w:rsidR="00A448CA" w:rsidRPr="002048A7" w:rsidRDefault="00A448CA" w:rsidP="001173BD">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BURSA</w:t>
            </w:r>
          </w:p>
        </w:tc>
        <w:tc>
          <w:tcPr>
            <w:tcW w:w="3037" w:type="dxa"/>
            <w:tcBorders>
              <w:top w:val="nil"/>
              <w:left w:val="nil"/>
              <w:bottom w:val="single" w:sz="8" w:space="0" w:color="auto"/>
              <w:right w:val="single" w:sz="8" w:space="0" w:color="auto"/>
            </w:tcBorders>
            <w:shd w:val="clear" w:color="auto" w:fill="auto"/>
            <w:hideMark/>
          </w:tcPr>
          <w:p w14:paraId="6D611767"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DE5C45">
              <w:rPr>
                <w:rFonts w:ascii="Calibri" w:eastAsia="Times New Roman" w:hAnsi="Calibri" w:cs="Calibri"/>
                <w:color w:val="000000"/>
                <w:lang w:eastAsia="tr-TR"/>
              </w:rPr>
              <w:t>15.027.651,94₺</w:t>
            </w:r>
          </w:p>
        </w:tc>
        <w:tc>
          <w:tcPr>
            <w:tcW w:w="3204" w:type="dxa"/>
            <w:tcBorders>
              <w:top w:val="nil"/>
              <w:left w:val="nil"/>
              <w:bottom w:val="single" w:sz="8" w:space="0" w:color="auto"/>
              <w:right w:val="single" w:sz="8" w:space="0" w:color="auto"/>
            </w:tcBorders>
            <w:shd w:val="clear" w:color="auto" w:fill="auto"/>
            <w:hideMark/>
          </w:tcPr>
          <w:p w14:paraId="40CBB57E"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DE5C45">
              <w:rPr>
                <w:rFonts w:ascii="Calibri" w:eastAsia="Times New Roman" w:hAnsi="Calibri" w:cs="Calibri"/>
                <w:color w:val="000000"/>
                <w:lang w:eastAsia="tr-TR"/>
              </w:rPr>
              <w:t>24.772.059,81₺</w:t>
            </w:r>
          </w:p>
        </w:tc>
        <w:tc>
          <w:tcPr>
            <w:tcW w:w="698" w:type="dxa"/>
            <w:tcBorders>
              <w:top w:val="nil"/>
              <w:left w:val="nil"/>
              <w:bottom w:val="single" w:sz="8" w:space="0" w:color="auto"/>
              <w:right w:val="single" w:sz="8" w:space="0" w:color="auto"/>
            </w:tcBorders>
            <w:shd w:val="clear" w:color="auto" w:fill="auto"/>
            <w:hideMark/>
          </w:tcPr>
          <w:p w14:paraId="61FE6BFA"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DE5C45">
              <w:rPr>
                <w:rFonts w:ascii="Calibri" w:eastAsia="Times New Roman" w:hAnsi="Calibri" w:cs="Calibri"/>
                <w:color w:val="000000"/>
                <w:lang w:eastAsia="tr-TR"/>
              </w:rPr>
              <w:t>16</w:t>
            </w:r>
          </w:p>
        </w:tc>
      </w:tr>
      <w:tr w:rsidR="00A448CA" w:rsidRPr="002048A7" w14:paraId="4ECDBBB9" w14:textId="77777777" w:rsidTr="001173BD">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11B7796B"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21</w:t>
            </w:r>
          </w:p>
        </w:tc>
        <w:tc>
          <w:tcPr>
            <w:tcW w:w="1887" w:type="dxa"/>
            <w:tcBorders>
              <w:top w:val="nil"/>
              <w:left w:val="nil"/>
              <w:bottom w:val="single" w:sz="8" w:space="0" w:color="auto"/>
              <w:right w:val="single" w:sz="8" w:space="0" w:color="auto"/>
            </w:tcBorders>
            <w:shd w:val="clear" w:color="auto" w:fill="auto"/>
            <w:vAlign w:val="center"/>
            <w:hideMark/>
          </w:tcPr>
          <w:p w14:paraId="46B9C5BA" w14:textId="77777777" w:rsidR="00A448CA" w:rsidRPr="002048A7" w:rsidRDefault="00A448CA" w:rsidP="001173BD">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ÇANAKKALE</w:t>
            </w:r>
          </w:p>
        </w:tc>
        <w:tc>
          <w:tcPr>
            <w:tcW w:w="3037" w:type="dxa"/>
            <w:tcBorders>
              <w:top w:val="nil"/>
              <w:left w:val="nil"/>
              <w:bottom w:val="single" w:sz="8" w:space="0" w:color="auto"/>
              <w:right w:val="single" w:sz="8" w:space="0" w:color="auto"/>
            </w:tcBorders>
            <w:shd w:val="clear" w:color="auto" w:fill="auto"/>
            <w:hideMark/>
          </w:tcPr>
          <w:p w14:paraId="5FE351D3"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DE5C45">
              <w:rPr>
                <w:rFonts w:ascii="Calibri" w:eastAsia="Times New Roman" w:hAnsi="Calibri" w:cs="Calibri"/>
                <w:color w:val="000000"/>
                <w:lang w:eastAsia="tr-TR"/>
              </w:rPr>
              <w:t>29.643.572,66₺</w:t>
            </w:r>
          </w:p>
        </w:tc>
        <w:tc>
          <w:tcPr>
            <w:tcW w:w="3204" w:type="dxa"/>
            <w:tcBorders>
              <w:top w:val="nil"/>
              <w:left w:val="nil"/>
              <w:bottom w:val="single" w:sz="8" w:space="0" w:color="auto"/>
              <w:right w:val="single" w:sz="8" w:space="0" w:color="auto"/>
            </w:tcBorders>
            <w:shd w:val="clear" w:color="auto" w:fill="auto"/>
            <w:hideMark/>
          </w:tcPr>
          <w:p w14:paraId="2EC70304"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DE5C45">
              <w:rPr>
                <w:rFonts w:ascii="Calibri" w:eastAsia="Times New Roman" w:hAnsi="Calibri" w:cs="Calibri"/>
                <w:color w:val="000000"/>
                <w:lang w:eastAsia="tr-TR"/>
              </w:rPr>
              <w:t>2.121.540,45₺</w:t>
            </w:r>
          </w:p>
        </w:tc>
        <w:tc>
          <w:tcPr>
            <w:tcW w:w="698" w:type="dxa"/>
            <w:tcBorders>
              <w:top w:val="nil"/>
              <w:left w:val="nil"/>
              <w:bottom w:val="single" w:sz="8" w:space="0" w:color="auto"/>
              <w:right w:val="single" w:sz="8" w:space="0" w:color="auto"/>
            </w:tcBorders>
            <w:shd w:val="clear" w:color="auto" w:fill="auto"/>
            <w:hideMark/>
          </w:tcPr>
          <w:p w14:paraId="23CB717E"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DE5C45">
              <w:rPr>
                <w:rFonts w:ascii="Calibri" w:eastAsia="Times New Roman" w:hAnsi="Calibri" w:cs="Calibri"/>
                <w:color w:val="000000"/>
                <w:lang w:eastAsia="tr-TR"/>
              </w:rPr>
              <w:t>8</w:t>
            </w:r>
          </w:p>
        </w:tc>
      </w:tr>
      <w:tr w:rsidR="00A448CA" w:rsidRPr="002048A7" w14:paraId="348B1503" w14:textId="77777777" w:rsidTr="001173BD">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45A796F3"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22</w:t>
            </w:r>
          </w:p>
        </w:tc>
        <w:tc>
          <w:tcPr>
            <w:tcW w:w="1887" w:type="dxa"/>
            <w:tcBorders>
              <w:top w:val="nil"/>
              <w:left w:val="nil"/>
              <w:bottom w:val="single" w:sz="8" w:space="0" w:color="auto"/>
              <w:right w:val="single" w:sz="8" w:space="0" w:color="auto"/>
            </w:tcBorders>
            <w:shd w:val="clear" w:color="auto" w:fill="auto"/>
            <w:vAlign w:val="center"/>
            <w:hideMark/>
          </w:tcPr>
          <w:p w14:paraId="4956D3F3" w14:textId="77777777" w:rsidR="00A448CA" w:rsidRPr="002048A7" w:rsidRDefault="00A448CA" w:rsidP="001173BD">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ÇANKIRI</w:t>
            </w:r>
          </w:p>
        </w:tc>
        <w:tc>
          <w:tcPr>
            <w:tcW w:w="3037" w:type="dxa"/>
            <w:tcBorders>
              <w:top w:val="nil"/>
              <w:left w:val="nil"/>
              <w:bottom w:val="single" w:sz="8" w:space="0" w:color="auto"/>
              <w:right w:val="single" w:sz="8" w:space="0" w:color="auto"/>
            </w:tcBorders>
            <w:shd w:val="clear" w:color="auto" w:fill="auto"/>
            <w:vAlign w:val="center"/>
            <w:hideMark/>
          </w:tcPr>
          <w:p w14:paraId="230DEBCB" w14:textId="77777777" w:rsidR="00A448CA" w:rsidRPr="002048A7" w:rsidRDefault="00A448CA" w:rsidP="00D56350">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3204" w:type="dxa"/>
            <w:tcBorders>
              <w:top w:val="nil"/>
              <w:left w:val="nil"/>
              <w:bottom w:val="single" w:sz="8" w:space="0" w:color="auto"/>
              <w:right w:val="single" w:sz="8" w:space="0" w:color="auto"/>
            </w:tcBorders>
            <w:shd w:val="clear" w:color="auto" w:fill="auto"/>
            <w:vAlign w:val="center"/>
            <w:hideMark/>
          </w:tcPr>
          <w:p w14:paraId="681B8E67" w14:textId="77777777" w:rsidR="00A448CA" w:rsidRPr="002048A7" w:rsidRDefault="00A448CA" w:rsidP="00D56350">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698" w:type="dxa"/>
            <w:tcBorders>
              <w:top w:val="nil"/>
              <w:left w:val="nil"/>
              <w:bottom w:val="single" w:sz="8" w:space="0" w:color="auto"/>
              <w:right w:val="single" w:sz="8" w:space="0" w:color="auto"/>
            </w:tcBorders>
            <w:shd w:val="clear" w:color="auto" w:fill="auto"/>
            <w:vAlign w:val="center"/>
            <w:hideMark/>
          </w:tcPr>
          <w:p w14:paraId="04330673" w14:textId="77777777" w:rsidR="00A448CA" w:rsidRPr="002048A7" w:rsidRDefault="00A448CA" w:rsidP="001173BD">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0</w:t>
            </w:r>
          </w:p>
        </w:tc>
      </w:tr>
      <w:tr w:rsidR="00A448CA" w:rsidRPr="002048A7" w14:paraId="747A9AE6" w14:textId="77777777" w:rsidTr="001173BD">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56B1E683"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23</w:t>
            </w:r>
          </w:p>
        </w:tc>
        <w:tc>
          <w:tcPr>
            <w:tcW w:w="1887" w:type="dxa"/>
            <w:tcBorders>
              <w:top w:val="nil"/>
              <w:left w:val="nil"/>
              <w:bottom w:val="single" w:sz="8" w:space="0" w:color="auto"/>
              <w:right w:val="single" w:sz="8" w:space="0" w:color="auto"/>
            </w:tcBorders>
            <w:shd w:val="clear" w:color="auto" w:fill="auto"/>
            <w:vAlign w:val="center"/>
            <w:hideMark/>
          </w:tcPr>
          <w:p w14:paraId="01E501F1" w14:textId="77777777" w:rsidR="00A448CA" w:rsidRPr="002048A7" w:rsidRDefault="00A448CA" w:rsidP="001173BD">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ÇORUM</w:t>
            </w:r>
          </w:p>
        </w:tc>
        <w:tc>
          <w:tcPr>
            <w:tcW w:w="3037" w:type="dxa"/>
            <w:tcBorders>
              <w:top w:val="nil"/>
              <w:left w:val="nil"/>
              <w:bottom w:val="single" w:sz="8" w:space="0" w:color="auto"/>
              <w:right w:val="single" w:sz="8" w:space="0" w:color="auto"/>
            </w:tcBorders>
            <w:shd w:val="clear" w:color="auto" w:fill="auto"/>
            <w:hideMark/>
          </w:tcPr>
          <w:p w14:paraId="49881F91"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5D6AC0">
              <w:rPr>
                <w:rFonts w:ascii="Calibri" w:eastAsia="Times New Roman" w:hAnsi="Calibri" w:cs="Calibri"/>
                <w:color w:val="000000"/>
                <w:lang w:eastAsia="tr-TR"/>
              </w:rPr>
              <w:t>24.850.000,00₺</w:t>
            </w:r>
          </w:p>
        </w:tc>
        <w:tc>
          <w:tcPr>
            <w:tcW w:w="3204" w:type="dxa"/>
            <w:tcBorders>
              <w:top w:val="nil"/>
              <w:left w:val="nil"/>
              <w:bottom w:val="single" w:sz="8" w:space="0" w:color="auto"/>
              <w:right w:val="single" w:sz="8" w:space="0" w:color="auto"/>
            </w:tcBorders>
            <w:shd w:val="clear" w:color="auto" w:fill="auto"/>
            <w:hideMark/>
          </w:tcPr>
          <w:p w14:paraId="062FCD2E"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5D6AC0">
              <w:rPr>
                <w:rFonts w:ascii="Calibri" w:eastAsia="Times New Roman" w:hAnsi="Calibri" w:cs="Calibri"/>
                <w:color w:val="000000"/>
                <w:lang w:eastAsia="tr-TR"/>
              </w:rPr>
              <w:t>36.512.500,00₺</w:t>
            </w:r>
          </w:p>
        </w:tc>
        <w:tc>
          <w:tcPr>
            <w:tcW w:w="698" w:type="dxa"/>
            <w:tcBorders>
              <w:top w:val="nil"/>
              <w:left w:val="nil"/>
              <w:bottom w:val="single" w:sz="8" w:space="0" w:color="auto"/>
              <w:right w:val="single" w:sz="8" w:space="0" w:color="auto"/>
            </w:tcBorders>
            <w:shd w:val="clear" w:color="auto" w:fill="auto"/>
            <w:hideMark/>
          </w:tcPr>
          <w:p w14:paraId="72DF1D79"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5D6AC0">
              <w:rPr>
                <w:rFonts w:ascii="Calibri" w:eastAsia="Times New Roman" w:hAnsi="Calibri" w:cs="Calibri"/>
                <w:color w:val="000000"/>
                <w:lang w:eastAsia="tr-TR"/>
              </w:rPr>
              <w:t>8</w:t>
            </w:r>
          </w:p>
        </w:tc>
      </w:tr>
      <w:tr w:rsidR="00A448CA" w:rsidRPr="002048A7" w14:paraId="1202A1EC" w14:textId="77777777" w:rsidTr="001173BD">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1E9551C8"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24</w:t>
            </w:r>
          </w:p>
        </w:tc>
        <w:tc>
          <w:tcPr>
            <w:tcW w:w="1887" w:type="dxa"/>
            <w:tcBorders>
              <w:top w:val="nil"/>
              <w:left w:val="nil"/>
              <w:bottom w:val="single" w:sz="8" w:space="0" w:color="auto"/>
              <w:right w:val="single" w:sz="8" w:space="0" w:color="auto"/>
            </w:tcBorders>
            <w:shd w:val="clear" w:color="auto" w:fill="auto"/>
            <w:vAlign w:val="center"/>
            <w:hideMark/>
          </w:tcPr>
          <w:p w14:paraId="616F329B" w14:textId="77777777" w:rsidR="00A448CA" w:rsidRPr="002048A7" w:rsidRDefault="00A448CA" w:rsidP="001173BD">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DENİZLİ</w:t>
            </w:r>
          </w:p>
        </w:tc>
        <w:tc>
          <w:tcPr>
            <w:tcW w:w="3037" w:type="dxa"/>
            <w:tcBorders>
              <w:top w:val="nil"/>
              <w:left w:val="nil"/>
              <w:bottom w:val="single" w:sz="8" w:space="0" w:color="auto"/>
              <w:right w:val="single" w:sz="8" w:space="0" w:color="auto"/>
            </w:tcBorders>
            <w:shd w:val="clear" w:color="auto" w:fill="auto"/>
            <w:vAlign w:val="center"/>
            <w:hideMark/>
          </w:tcPr>
          <w:p w14:paraId="01F5530F" w14:textId="77777777" w:rsidR="00A448CA" w:rsidRPr="002048A7" w:rsidRDefault="00A448CA" w:rsidP="00D56350">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3204" w:type="dxa"/>
            <w:tcBorders>
              <w:top w:val="nil"/>
              <w:left w:val="nil"/>
              <w:bottom w:val="single" w:sz="8" w:space="0" w:color="auto"/>
              <w:right w:val="single" w:sz="8" w:space="0" w:color="auto"/>
            </w:tcBorders>
            <w:shd w:val="clear" w:color="auto" w:fill="auto"/>
            <w:vAlign w:val="center"/>
            <w:hideMark/>
          </w:tcPr>
          <w:p w14:paraId="3B800565" w14:textId="77777777" w:rsidR="00A448CA" w:rsidRPr="002048A7" w:rsidRDefault="00A448CA" w:rsidP="00D56350">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698" w:type="dxa"/>
            <w:tcBorders>
              <w:top w:val="nil"/>
              <w:left w:val="nil"/>
              <w:bottom w:val="single" w:sz="8" w:space="0" w:color="auto"/>
              <w:right w:val="single" w:sz="8" w:space="0" w:color="auto"/>
            </w:tcBorders>
            <w:shd w:val="clear" w:color="auto" w:fill="auto"/>
            <w:vAlign w:val="center"/>
            <w:hideMark/>
          </w:tcPr>
          <w:p w14:paraId="395BCE35" w14:textId="77777777" w:rsidR="00A448CA" w:rsidRPr="002048A7" w:rsidRDefault="00A448CA" w:rsidP="001173BD">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0</w:t>
            </w:r>
          </w:p>
        </w:tc>
      </w:tr>
      <w:tr w:rsidR="00A448CA" w:rsidRPr="002048A7" w14:paraId="2C54854A" w14:textId="77777777" w:rsidTr="001173BD">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0A0A85F9"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25</w:t>
            </w:r>
          </w:p>
        </w:tc>
        <w:tc>
          <w:tcPr>
            <w:tcW w:w="1887" w:type="dxa"/>
            <w:tcBorders>
              <w:top w:val="nil"/>
              <w:left w:val="nil"/>
              <w:bottom w:val="single" w:sz="8" w:space="0" w:color="auto"/>
              <w:right w:val="single" w:sz="8" w:space="0" w:color="auto"/>
            </w:tcBorders>
            <w:shd w:val="clear" w:color="auto" w:fill="auto"/>
            <w:vAlign w:val="center"/>
            <w:hideMark/>
          </w:tcPr>
          <w:p w14:paraId="50C24D84" w14:textId="77777777" w:rsidR="00A448CA" w:rsidRPr="002048A7" w:rsidRDefault="00A448CA" w:rsidP="001173BD">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DİYARBAKIR</w:t>
            </w:r>
          </w:p>
        </w:tc>
        <w:tc>
          <w:tcPr>
            <w:tcW w:w="3037" w:type="dxa"/>
            <w:tcBorders>
              <w:top w:val="nil"/>
              <w:left w:val="nil"/>
              <w:bottom w:val="single" w:sz="8" w:space="0" w:color="auto"/>
              <w:right w:val="single" w:sz="8" w:space="0" w:color="auto"/>
            </w:tcBorders>
            <w:shd w:val="clear" w:color="auto" w:fill="auto"/>
            <w:hideMark/>
          </w:tcPr>
          <w:p w14:paraId="4924934D"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5D6AC0">
              <w:rPr>
                <w:rFonts w:ascii="Calibri" w:eastAsia="Times New Roman" w:hAnsi="Calibri" w:cs="Calibri"/>
                <w:color w:val="000000"/>
                <w:lang w:eastAsia="tr-TR"/>
              </w:rPr>
              <w:t>12.051.903,08₺</w:t>
            </w:r>
          </w:p>
        </w:tc>
        <w:tc>
          <w:tcPr>
            <w:tcW w:w="3204" w:type="dxa"/>
            <w:tcBorders>
              <w:top w:val="nil"/>
              <w:left w:val="nil"/>
              <w:bottom w:val="single" w:sz="8" w:space="0" w:color="auto"/>
              <w:right w:val="single" w:sz="8" w:space="0" w:color="auto"/>
            </w:tcBorders>
            <w:shd w:val="clear" w:color="auto" w:fill="auto"/>
            <w:hideMark/>
          </w:tcPr>
          <w:p w14:paraId="1B33BC5A"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5D6AC0">
              <w:rPr>
                <w:rFonts w:ascii="Calibri" w:eastAsia="Times New Roman" w:hAnsi="Calibri" w:cs="Calibri"/>
                <w:color w:val="000000"/>
                <w:lang w:eastAsia="tr-TR"/>
              </w:rPr>
              <w:t>28.122.203,96₺</w:t>
            </w:r>
          </w:p>
        </w:tc>
        <w:tc>
          <w:tcPr>
            <w:tcW w:w="698" w:type="dxa"/>
            <w:tcBorders>
              <w:top w:val="nil"/>
              <w:left w:val="nil"/>
              <w:bottom w:val="single" w:sz="8" w:space="0" w:color="auto"/>
              <w:right w:val="single" w:sz="8" w:space="0" w:color="auto"/>
            </w:tcBorders>
            <w:shd w:val="clear" w:color="auto" w:fill="auto"/>
            <w:hideMark/>
          </w:tcPr>
          <w:p w14:paraId="2ACD9832"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5D6AC0">
              <w:rPr>
                <w:rFonts w:ascii="Calibri" w:eastAsia="Times New Roman" w:hAnsi="Calibri" w:cs="Calibri"/>
                <w:color w:val="000000"/>
                <w:lang w:eastAsia="tr-TR"/>
              </w:rPr>
              <w:t>10</w:t>
            </w:r>
          </w:p>
        </w:tc>
      </w:tr>
      <w:tr w:rsidR="00A448CA" w:rsidRPr="002048A7" w14:paraId="7F49FC25" w14:textId="77777777" w:rsidTr="001173BD">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418A3A87"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26</w:t>
            </w:r>
          </w:p>
        </w:tc>
        <w:tc>
          <w:tcPr>
            <w:tcW w:w="1887" w:type="dxa"/>
            <w:tcBorders>
              <w:top w:val="nil"/>
              <w:left w:val="nil"/>
              <w:bottom w:val="single" w:sz="8" w:space="0" w:color="auto"/>
              <w:right w:val="single" w:sz="8" w:space="0" w:color="auto"/>
            </w:tcBorders>
            <w:shd w:val="clear" w:color="auto" w:fill="auto"/>
            <w:vAlign w:val="center"/>
            <w:hideMark/>
          </w:tcPr>
          <w:p w14:paraId="6EF4344B" w14:textId="77777777" w:rsidR="00A448CA" w:rsidRPr="002048A7" w:rsidRDefault="00A448CA" w:rsidP="001173BD">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DÜZCE</w:t>
            </w:r>
          </w:p>
        </w:tc>
        <w:tc>
          <w:tcPr>
            <w:tcW w:w="3037" w:type="dxa"/>
            <w:tcBorders>
              <w:top w:val="nil"/>
              <w:left w:val="nil"/>
              <w:bottom w:val="single" w:sz="8" w:space="0" w:color="auto"/>
              <w:right w:val="single" w:sz="8" w:space="0" w:color="auto"/>
            </w:tcBorders>
            <w:shd w:val="clear" w:color="auto" w:fill="auto"/>
            <w:hideMark/>
          </w:tcPr>
          <w:p w14:paraId="298706A0"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5D6AC0">
              <w:rPr>
                <w:rFonts w:ascii="Calibri" w:eastAsia="Times New Roman" w:hAnsi="Calibri" w:cs="Calibri"/>
                <w:color w:val="000000"/>
                <w:lang w:eastAsia="tr-TR"/>
              </w:rPr>
              <w:t>5.420.318,84₺</w:t>
            </w:r>
          </w:p>
        </w:tc>
        <w:tc>
          <w:tcPr>
            <w:tcW w:w="3204" w:type="dxa"/>
            <w:tcBorders>
              <w:top w:val="nil"/>
              <w:left w:val="nil"/>
              <w:bottom w:val="single" w:sz="8" w:space="0" w:color="auto"/>
              <w:right w:val="single" w:sz="8" w:space="0" w:color="auto"/>
            </w:tcBorders>
            <w:shd w:val="clear" w:color="auto" w:fill="auto"/>
            <w:hideMark/>
          </w:tcPr>
          <w:p w14:paraId="3C15F8D3"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5D6AC0">
              <w:rPr>
                <w:rFonts w:ascii="Calibri" w:eastAsia="Times New Roman" w:hAnsi="Calibri" w:cs="Calibri"/>
                <w:color w:val="000000"/>
                <w:lang w:eastAsia="tr-TR"/>
              </w:rPr>
              <w:t>1.028.600,00₺</w:t>
            </w:r>
          </w:p>
        </w:tc>
        <w:tc>
          <w:tcPr>
            <w:tcW w:w="698" w:type="dxa"/>
            <w:tcBorders>
              <w:top w:val="nil"/>
              <w:left w:val="nil"/>
              <w:bottom w:val="single" w:sz="8" w:space="0" w:color="auto"/>
              <w:right w:val="single" w:sz="8" w:space="0" w:color="auto"/>
            </w:tcBorders>
            <w:shd w:val="clear" w:color="auto" w:fill="auto"/>
            <w:hideMark/>
          </w:tcPr>
          <w:p w14:paraId="31F7822E"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5D6AC0">
              <w:rPr>
                <w:rFonts w:ascii="Calibri" w:eastAsia="Times New Roman" w:hAnsi="Calibri" w:cs="Calibri"/>
                <w:color w:val="000000"/>
                <w:lang w:eastAsia="tr-TR"/>
              </w:rPr>
              <w:t>2</w:t>
            </w:r>
          </w:p>
        </w:tc>
      </w:tr>
      <w:tr w:rsidR="00A448CA" w:rsidRPr="002048A7" w14:paraId="5265942B" w14:textId="77777777" w:rsidTr="001173BD">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545B04B0"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27</w:t>
            </w:r>
          </w:p>
        </w:tc>
        <w:tc>
          <w:tcPr>
            <w:tcW w:w="1887" w:type="dxa"/>
            <w:tcBorders>
              <w:top w:val="nil"/>
              <w:left w:val="nil"/>
              <w:bottom w:val="single" w:sz="8" w:space="0" w:color="auto"/>
              <w:right w:val="single" w:sz="8" w:space="0" w:color="auto"/>
            </w:tcBorders>
            <w:shd w:val="clear" w:color="auto" w:fill="auto"/>
            <w:vAlign w:val="center"/>
            <w:hideMark/>
          </w:tcPr>
          <w:p w14:paraId="42CFA77C" w14:textId="77777777" w:rsidR="00A448CA" w:rsidRPr="002048A7" w:rsidRDefault="00A448CA" w:rsidP="001173BD">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EDİRNE</w:t>
            </w:r>
          </w:p>
        </w:tc>
        <w:tc>
          <w:tcPr>
            <w:tcW w:w="3037" w:type="dxa"/>
            <w:tcBorders>
              <w:top w:val="nil"/>
              <w:left w:val="nil"/>
              <w:bottom w:val="single" w:sz="8" w:space="0" w:color="auto"/>
              <w:right w:val="single" w:sz="8" w:space="0" w:color="auto"/>
            </w:tcBorders>
            <w:shd w:val="clear" w:color="auto" w:fill="auto"/>
            <w:hideMark/>
          </w:tcPr>
          <w:p w14:paraId="335907D4"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5D6AC0">
              <w:rPr>
                <w:rFonts w:ascii="Calibri" w:eastAsia="Times New Roman" w:hAnsi="Calibri" w:cs="Calibri"/>
                <w:color w:val="000000"/>
                <w:lang w:eastAsia="tr-TR"/>
              </w:rPr>
              <w:t>20.722.292,85₺</w:t>
            </w:r>
          </w:p>
        </w:tc>
        <w:tc>
          <w:tcPr>
            <w:tcW w:w="3204" w:type="dxa"/>
            <w:tcBorders>
              <w:top w:val="nil"/>
              <w:left w:val="nil"/>
              <w:bottom w:val="single" w:sz="8" w:space="0" w:color="auto"/>
              <w:right w:val="single" w:sz="8" w:space="0" w:color="auto"/>
            </w:tcBorders>
            <w:shd w:val="clear" w:color="auto" w:fill="auto"/>
            <w:hideMark/>
          </w:tcPr>
          <w:p w14:paraId="798E2A4D"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5D6AC0">
              <w:rPr>
                <w:rFonts w:ascii="Calibri" w:eastAsia="Times New Roman" w:hAnsi="Calibri" w:cs="Calibri"/>
                <w:color w:val="000000"/>
                <w:lang w:eastAsia="tr-TR"/>
              </w:rPr>
              <w:t>20.722.292,85₺</w:t>
            </w:r>
          </w:p>
        </w:tc>
        <w:tc>
          <w:tcPr>
            <w:tcW w:w="698" w:type="dxa"/>
            <w:tcBorders>
              <w:top w:val="nil"/>
              <w:left w:val="nil"/>
              <w:bottom w:val="single" w:sz="8" w:space="0" w:color="auto"/>
              <w:right w:val="single" w:sz="8" w:space="0" w:color="auto"/>
            </w:tcBorders>
            <w:shd w:val="clear" w:color="auto" w:fill="auto"/>
            <w:hideMark/>
          </w:tcPr>
          <w:p w14:paraId="5DF9C774"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5D6AC0">
              <w:rPr>
                <w:rFonts w:ascii="Calibri" w:eastAsia="Times New Roman" w:hAnsi="Calibri" w:cs="Calibri"/>
                <w:color w:val="000000"/>
                <w:lang w:eastAsia="tr-TR"/>
              </w:rPr>
              <w:t>5</w:t>
            </w:r>
          </w:p>
        </w:tc>
      </w:tr>
      <w:tr w:rsidR="00A448CA" w:rsidRPr="002048A7" w14:paraId="781441F0" w14:textId="77777777" w:rsidTr="001173BD">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1DF20619"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28</w:t>
            </w:r>
          </w:p>
        </w:tc>
        <w:tc>
          <w:tcPr>
            <w:tcW w:w="1887" w:type="dxa"/>
            <w:tcBorders>
              <w:top w:val="nil"/>
              <w:left w:val="nil"/>
              <w:bottom w:val="single" w:sz="8" w:space="0" w:color="auto"/>
              <w:right w:val="single" w:sz="8" w:space="0" w:color="auto"/>
            </w:tcBorders>
            <w:shd w:val="clear" w:color="auto" w:fill="auto"/>
            <w:vAlign w:val="center"/>
            <w:hideMark/>
          </w:tcPr>
          <w:p w14:paraId="68E0A3B4" w14:textId="77777777" w:rsidR="00A448CA" w:rsidRPr="002048A7" w:rsidRDefault="00A448CA" w:rsidP="001173BD">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ELAZIĞ</w:t>
            </w:r>
          </w:p>
        </w:tc>
        <w:tc>
          <w:tcPr>
            <w:tcW w:w="3037" w:type="dxa"/>
            <w:tcBorders>
              <w:top w:val="nil"/>
              <w:left w:val="nil"/>
              <w:bottom w:val="single" w:sz="8" w:space="0" w:color="auto"/>
              <w:right w:val="single" w:sz="8" w:space="0" w:color="auto"/>
            </w:tcBorders>
            <w:shd w:val="clear" w:color="auto" w:fill="auto"/>
            <w:hideMark/>
          </w:tcPr>
          <w:p w14:paraId="0CF51A31"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5D6AC0">
              <w:rPr>
                <w:rFonts w:ascii="Calibri" w:eastAsia="Times New Roman" w:hAnsi="Calibri" w:cs="Calibri"/>
                <w:color w:val="000000"/>
                <w:lang w:eastAsia="tr-TR"/>
              </w:rPr>
              <w:t>31.400.000,00₺</w:t>
            </w:r>
          </w:p>
        </w:tc>
        <w:tc>
          <w:tcPr>
            <w:tcW w:w="3204" w:type="dxa"/>
            <w:tcBorders>
              <w:top w:val="nil"/>
              <w:left w:val="nil"/>
              <w:bottom w:val="single" w:sz="8" w:space="0" w:color="auto"/>
              <w:right w:val="single" w:sz="8" w:space="0" w:color="auto"/>
            </w:tcBorders>
            <w:shd w:val="clear" w:color="auto" w:fill="auto"/>
            <w:hideMark/>
          </w:tcPr>
          <w:p w14:paraId="31FA8F8F"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5D6AC0">
              <w:rPr>
                <w:rFonts w:ascii="Calibri" w:eastAsia="Times New Roman" w:hAnsi="Calibri" w:cs="Calibri"/>
                <w:color w:val="000000"/>
                <w:lang w:eastAsia="tr-TR"/>
              </w:rPr>
              <w:t>31.777.280,00₺</w:t>
            </w:r>
          </w:p>
        </w:tc>
        <w:tc>
          <w:tcPr>
            <w:tcW w:w="698" w:type="dxa"/>
            <w:tcBorders>
              <w:top w:val="nil"/>
              <w:left w:val="nil"/>
              <w:bottom w:val="single" w:sz="8" w:space="0" w:color="auto"/>
              <w:right w:val="single" w:sz="8" w:space="0" w:color="auto"/>
            </w:tcBorders>
            <w:shd w:val="clear" w:color="auto" w:fill="auto"/>
            <w:hideMark/>
          </w:tcPr>
          <w:p w14:paraId="74623EE8"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5D6AC0">
              <w:rPr>
                <w:rFonts w:ascii="Calibri" w:eastAsia="Times New Roman" w:hAnsi="Calibri" w:cs="Calibri"/>
                <w:color w:val="000000"/>
                <w:lang w:eastAsia="tr-TR"/>
              </w:rPr>
              <w:t>5</w:t>
            </w:r>
          </w:p>
        </w:tc>
      </w:tr>
      <w:tr w:rsidR="00A448CA" w:rsidRPr="002048A7" w14:paraId="6488972C" w14:textId="77777777" w:rsidTr="001173BD">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3C32978A"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29</w:t>
            </w:r>
          </w:p>
        </w:tc>
        <w:tc>
          <w:tcPr>
            <w:tcW w:w="1887" w:type="dxa"/>
            <w:tcBorders>
              <w:top w:val="nil"/>
              <w:left w:val="nil"/>
              <w:bottom w:val="single" w:sz="8" w:space="0" w:color="auto"/>
              <w:right w:val="single" w:sz="8" w:space="0" w:color="auto"/>
            </w:tcBorders>
            <w:shd w:val="clear" w:color="auto" w:fill="auto"/>
            <w:vAlign w:val="center"/>
            <w:hideMark/>
          </w:tcPr>
          <w:p w14:paraId="7BEC4CA4" w14:textId="77777777" w:rsidR="00A448CA" w:rsidRPr="002048A7" w:rsidRDefault="00A448CA" w:rsidP="001173BD">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ERZİNCAN</w:t>
            </w:r>
          </w:p>
        </w:tc>
        <w:tc>
          <w:tcPr>
            <w:tcW w:w="3037" w:type="dxa"/>
            <w:tcBorders>
              <w:top w:val="nil"/>
              <w:left w:val="nil"/>
              <w:bottom w:val="single" w:sz="8" w:space="0" w:color="auto"/>
              <w:right w:val="single" w:sz="8" w:space="0" w:color="auto"/>
            </w:tcBorders>
            <w:shd w:val="clear" w:color="auto" w:fill="auto"/>
            <w:hideMark/>
          </w:tcPr>
          <w:p w14:paraId="334522AB"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5D6AC0">
              <w:rPr>
                <w:rFonts w:ascii="Calibri" w:eastAsia="Times New Roman" w:hAnsi="Calibri" w:cs="Calibri"/>
                <w:color w:val="000000"/>
                <w:lang w:eastAsia="tr-TR"/>
              </w:rPr>
              <w:t>3.222.711,50₺</w:t>
            </w:r>
          </w:p>
        </w:tc>
        <w:tc>
          <w:tcPr>
            <w:tcW w:w="3204" w:type="dxa"/>
            <w:tcBorders>
              <w:top w:val="nil"/>
              <w:left w:val="nil"/>
              <w:bottom w:val="single" w:sz="8" w:space="0" w:color="auto"/>
              <w:right w:val="single" w:sz="8" w:space="0" w:color="auto"/>
            </w:tcBorders>
            <w:shd w:val="clear" w:color="auto" w:fill="auto"/>
            <w:hideMark/>
          </w:tcPr>
          <w:p w14:paraId="7E4FD3F5"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5D6AC0">
              <w:rPr>
                <w:rFonts w:ascii="Calibri" w:eastAsia="Times New Roman" w:hAnsi="Calibri" w:cs="Calibri"/>
                <w:color w:val="000000"/>
                <w:lang w:eastAsia="tr-TR"/>
              </w:rPr>
              <w:t>2.365.942,02₺</w:t>
            </w:r>
          </w:p>
        </w:tc>
        <w:tc>
          <w:tcPr>
            <w:tcW w:w="698" w:type="dxa"/>
            <w:tcBorders>
              <w:top w:val="nil"/>
              <w:left w:val="nil"/>
              <w:bottom w:val="single" w:sz="8" w:space="0" w:color="auto"/>
              <w:right w:val="single" w:sz="8" w:space="0" w:color="auto"/>
            </w:tcBorders>
            <w:shd w:val="clear" w:color="auto" w:fill="auto"/>
            <w:hideMark/>
          </w:tcPr>
          <w:p w14:paraId="5783560A"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5D6AC0">
              <w:rPr>
                <w:rFonts w:ascii="Calibri" w:eastAsia="Times New Roman" w:hAnsi="Calibri" w:cs="Calibri"/>
                <w:color w:val="000000"/>
                <w:lang w:eastAsia="tr-TR"/>
              </w:rPr>
              <w:t>2</w:t>
            </w:r>
          </w:p>
        </w:tc>
      </w:tr>
      <w:tr w:rsidR="00A448CA" w:rsidRPr="002048A7" w14:paraId="29C90251" w14:textId="77777777" w:rsidTr="001173BD">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671C4F25"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30</w:t>
            </w:r>
          </w:p>
        </w:tc>
        <w:tc>
          <w:tcPr>
            <w:tcW w:w="1887" w:type="dxa"/>
            <w:tcBorders>
              <w:top w:val="nil"/>
              <w:left w:val="nil"/>
              <w:bottom w:val="single" w:sz="8" w:space="0" w:color="auto"/>
              <w:right w:val="single" w:sz="8" w:space="0" w:color="auto"/>
            </w:tcBorders>
            <w:shd w:val="clear" w:color="auto" w:fill="auto"/>
            <w:vAlign w:val="center"/>
            <w:hideMark/>
          </w:tcPr>
          <w:p w14:paraId="44152851" w14:textId="77777777" w:rsidR="00A448CA" w:rsidRPr="002048A7" w:rsidRDefault="00A448CA" w:rsidP="001173BD">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ERZURUM</w:t>
            </w:r>
          </w:p>
        </w:tc>
        <w:tc>
          <w:tcPr>
            <w:tcW w:w="3037" w:type="dxa"/>
            <w:tcBorders>
              <w:top w:val="nil"/>
              <w:left w:val="nil"/>
              <w:bottom w:val="single" w:sz="8" w:space="0" w:color="auto"/>
              <w:right w:val="single" w:sz="8" w:space="0" w:color="auto"/>
            </w:tcBorders>
            <w:shd w:val="clear" w:color="auto" w:fill="auto"/>
            <w:vAlign w:val="center"/>
            <w:hideMark/>
          </w:tcPr>
          <w:p w14:paraId="7AB87826" w14:textId="77777777" w:rsidR="00A448CA" w:rsidRPr="002048A7" w:rsidRDefault="00A448CA" w:rsidP="00D56350">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3204" w:type="dxa"/>
            <w:tcBorders>
              <w:top w:val="nil"/>
              <w:left w:val="nil"/>
              <w:bottom w:val="single" w:sz="8" w:space="0" w:color="auto"/>
              <w:right w:val="single" w:sz="8" w:space="0" w:color="auto"/>
            </w:tcBorders>
            <w:shd w:val="clear" w:color="auto" w:fill="auto"/>
            <w:vAlign w:val="center"/>
            <w:hideMark/>
          </w:tcPr>
          <w:p w14:paraId="11E64A03" w14:textId="77777777" w:rsidR="00A448CA" w:rsidRPr="002048A7" w:rsidRDefault="00A448CA" w:rsidP="00D56350">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698" w:type="dxa"/>
            <w:tcBorders>
              <w:top w:val="nil"/>
              <w:left w:val="nil"/>
              <w:bottom w:val="single" w:sz="8" w:space="0" w:color="auto"/>
              <w:right w:val="single" w:sz="8" w:space="0" w:color="auto"/>
            </w:tcBorders>
            <w:shd w:val="clear" w:color="auto" w:fill="auto"/>
            <w:vAlign w:val="center"/>
            <w:hideMark/>
          </w:tcPr>
          <w:p w14:paraId="4AB20079" w14:textId="77777777" w:rsidR="00A448CA" w:rsidRPr="002048A7" w:rsidRDefault="00A448CA" w:rsidP="001173BD">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0</w:t>
            </w:r>
          </w:p>
        </w:tc>
      </w:tr>
      <w:tr w:rsidR="00A448CA" w:rsidRPr="002048A7" w14:paraId="4212AC9B" w14:textId="77777777" w:rsidTr="001173BD">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1F6AA788"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31</w:t>
            </w:r>
          </w:p>
        </w:tc>
        <w:tc>
          <w:tcPr>
            <w:tcW w:w="1887" w:type="dxa"/>
            <w:tcBorders>
              <w:top w:val="nil"/>
              <w:left w:val="nil"/>
              <w:bottom w:val="single" w:sz="8" w:space="0" w:color="auto"/>
              <w:right w:val="single" w:sz="8" w:space="0" w:color="auto"/>
            </w:tcBorders>
            <w:shd w:val="clear" w:color="auto" w:fill="auto"/>
            <w:vAlign w:val="center"/>
            <w:hideMark/>
          </w:tcPr>
          <w:p w14:paraId="59A9D888" w14:textId="77777777" w:rsidR="00A448CA" w:rsidRPr="002048A7" w:rsidRDefault="00A448CA" w:rsidP="001173BD">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ESKİŞEHİR</w:t>
            </w:r>
          </w:p>
        </w:tc>
        <w:tc>
          <w:tcPr>
            <w:tcW w:w="3037" w:type="dxa"/>
            <w:tcBorders>
              <w:top w:val="nil"/>
              <w:left w:val="nil"/>
              <w:bottom w:val="single" w:sz="8" w:space="0" w:color="auto"/>
              <w:right w:val="single" w:sz="8" w:space="0" w:color="auto"/>
            </w:tcBorders>
            <w:shd w:val="clear" w:color="auto" w:fill="auto"/>
            <w:hideMark/>
          </w:tcPr>
          <w:p w14:paraId="63E4C839"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5D6AC0">
              <w:rPr>
                <w:rFonts w:ascii="Calibri" w:eastAsia="Times New Roman" w:hAnsi="Calibri" w:cs="Calibri"/>
                <w:color w:val="000000"/>
                <w:lang w:eastAsia="tr-TR"/>
              </w:rPr>
              <w:t>10.207.157,52₺</w:t>
            </w:r>
          </w:p>
        </w:tc>
        <w:tc>
          <w:tcPr>
            <w:tcW w:w="3204" w:type="dxa"/>
            <w:tcBorders>
              <w:top w:val="nil"/>
              <w:left w:val="nil"/>
              <w:bottom w:val="single" w:sz="8" w:space="0" w:color="auto"/>
              <w:right w:val="single" w:sz="8" w:space="0" w:color="auto"/>
            </w:tcBorders>
            <w:shd w:val="clear" w:color="auto" w:fill="auto"/>
            <w:hideMark/>
          </w:tcPr>
          <w:p w14:paraId="5AE22559"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5D6AC0">
              <w:rPr>
                <w:rFonts w:ascii="Calibri" w:eastAsia="Times New Roman" w:hAnsi="Calibri" w:cs="Calibri"/>
                <w:color w:val="000000"/>
                <w:lang w:eastAsia="tr-TR"/>
              </w:rPr>
              <w:t>10.224.783,30₺</w:t>
            </w:r>
          </w:p>
        </w:tc>
        <w:tc>
          <w:tcPr>
            <w:tcW w:w="698" w:type="dxa"/>
            <w:tcBorders>
              <w:top w:val="nil"/>
              <w:left w:val="nil"/>
              <w:bottom w:val="single" w:sz="8" w:space="0" w:color="auto"/>
              <w:right w:val="single" w:sz="8" w:space="0" w:color="auto"/>
            </w:tcBorders>
            <w:shd w:val="clear" w:color="auto" w:fill="auto"/>
            <w:hideMark/>
          </w:tcPr>
          <w:p w14:paraId="30BF9DBA"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5D6AC0">
              <w:rPr>
                <w:rFonts w:ascii="Calibri" w:eastAsia="Times New Roman" w:hAnsi="Calibri" w:cs="Calibri"/>
                <w:color w:val="000000"/>
                <w:lang w:eastAsia="tr-TR"/>
              </w:rPr>
              <w:t>3</w:t>
            </w:r>
          </w:p>
        </w:tc>
      </w:tr>
      <w:tr w:rsidR="00A448CA" w:rsidRPr="002048A7" w14:paraId="2193E7A1" w14:textId="77777777" w:rsidTr="001173BD">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61748D73"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32</w:t>
            </w:r>
          </w:p>
        </w:tc>
        <w:tc>
          <w:tcPr>
            <w:tcW w:w="1887" w:type="dxa"/>
            <w:tcBorders>
              <w:top w:val="nil"/>
              <w:left w:val="nil"/>
              <w:bottom w:val="single" w:sz="8" w:space="0" w:color="auto"/>
              <w:right w:val="single" w:sz="8" w:space="0" w:color="auto"/>
            </w:tcBorders>
            <w:shd w:val="clear" w:color="auto" w:fill="auto"/>
            <w:vAlign w:val="center"/>
            <w:hideMark/>
          </w:tcPr>
          <w:p w14:paraId="4F635822" w14:textId="77777777" w:rsidR="00A448CA" w:rsidRPr="002048A7" w:rsidRDefault="00A448CA" w:rsidP="001173BD">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GAZİANTEP</w:t>
            </w:r>
          </w:p>
        </w:tc>
        <w:tc>
          <w:tcPr>
            <w:tcW w:w="3037" w:type="dxa"/>
            <w:tcBorders>
              <w:top w:val="nil"/>
              <w:left w:val="nil"/>
              <w:bottom w:val="single" w:sz="8" w:space="0" w:color="auto"/>
              <w:right w:val="single" w:sz="8" w:space="0" w:color="auto"/>
            </w:tcBorders>
            <w:shd w:val="clear" w:color="auto" w:fill="auto"/>
            <w:hideMark/>
          </w:tcPr>
          <w:p w14:paraId="3138E4A6"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5D6AC0">
              <w:rPr>
                <w:rFonts w:ascii="Calibri" w:eastAsia="Times New Roman" w:hAnsi="Calibri" w:cs="Calibri"/>
                <w:color w:val="000000"/>
                <w:lang w:eastAsia="tr-TR"/>
              </w:rPr>
              <w:t>4.936.233,90₺</w:t>
            </w:r>
          </w:p>
        </w:tc>
        <w:tc>
          <w:tcPr>
            <w:tcW w:w="3204" w:type="dxa"/>
            <w:tcBorders>
              <w:top w:val="nil"/>
              <w:left w:val="nil"/>
              <w:bottom w:val="single" w:sz="8" w:space="0" w:color="auto"/>
              <w:right w:val="single" w:sz="8" w:space="0" w:color="auto"/>
            </w:tcBorders>
            <w:shd w:val="clear" w:color="auto" w:fill="auto"/>
            <w:hideMark/>
          </w:tcPr>
          <w:p w14:paraId="6EA8750A"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5D6AC0">
              <w:rPr>
                <w:rFonts w:ascii="Calibri" w:eastAsia="Times New Roman" w:hAnsi="Calibri" w:cs="Calibri"/>
                <w:color w:val="000000"/>
                <w:lang w:eastAsia="tr-TR"/>
              </w:rPr>
              <w:t>5.025.749,66₺</w:t>
            </w:r>
          </w:p>
        </w:tc>
        <w:tc>
          <w:tcPr>
            <w:tcW w:w="698" w:type="dxa"/>
            <w:tcBorders>
              <w:top w:val="nil"/>
              <w:left w:val="nil"/>
              <w:bottom w:val="single" w:sz="8" w:space="0" w:color="auto"/>
              <w:right w:val="single" w:sz="8" w:space="0" w:color="auto"/>
            </w:tcBorders>
            <w:shd w:val="clear" w:color="auto" w:fill="auto"/>
            <w:hideMark/>
          </w:tcPr>
          <w:p w14:paraId="4F9EFE70"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5D6AC0">
              <w:rPr>
                <w:rFonts w:ascii="Calibri" w:eastAsia="Times New Roman" w:hAnsi="Calibri" w:cs="Calibri"/>
                <w:color w:val="000000"/>
                <w:lang w:eastAsia="tr-TR"/>
              </w:rPr>
              <w:t>5</w:t>
            </w:r>
          </w:p>
        </w:tc>
      </w:tr>
      <w:tr w:rsidR="00A448CA" w:rsidRPr="002048A7" w14:paraId="3D5C6B93" w14:textId="77777777" w:rsidTr="001173BD">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4229D644"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33</w:t>
            </w:r>
          </w:p>
        </w:tc>
        <w:tc>
          <w:tcPr>
            <w:tcW w:w="1887" w:type="dxa"/>
            <w:tcBorders>
              <w:top w:val="nil"/>
              <w:left w:val="nil"/>
              <w:bottom w:val="single" w:sz="8" w:space="0" w:color="auto"/>
              <w:right w:val="single" w:sz="8" w:space="0" w:color="auto"/>
            </w:tcBorders>
            <w:shd w:val="clear" w:color="auto" w:fill="auto"/>
            <w:vAlign w:val="center"/>
            <w:hideMark/>
          </w:tcPr>
          <w:p w14:paraId="5A0DD32E" w14:textId="77777777" w:rsidR="00A448CA" w:rsidRPr="002048A7" w:rsidRDefault="00A448CA" w:rsidP="001173BD">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GİRESUN</w:t>
            </w:r>
          </w:p>
        </w:tc>
        <w:tc>
          <w:tcPr>
            <w:tcW w:w="3037" w:type="dxa"/>
            <w:tcBorders>
              <w:top w:val="nil"/>
              <w:left w:val="nil"/>
              <w:bottom w:val="single" w:sz="8" w:space="0" w:color="auto"/>
              <w:right w:val="single" w:sz="8" w:space="0" w:color="auto"/>
            </w:tcBorders>
            <w:shd w:val="clear" w:color="auto" w:fill="auto"/>
            <w:hideMark/>
          </w:tcPr>
          <w:p w14:paraId="5F6B7BCD"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5D6AC0">
              <w:rPr>
                <w:rFonts w:ascii="Calibri" w:eastAsia="Times New Roman" w:hAnsi="Calibri" w:cs="Calibri"/>
                <w:color w:val="000000"/>
                <w:lang w:eastAsia="tr-TR"/>
              </w:rPr>
              <w:t>182.882,80₺</w:t>
            </w:r>
          </w:p>
        </w:tc>
        <w:tc>
          <w:tcPr>
            <w:tcW w:w="3204" w:type="dxa"/>
            <w:tcBorders>
              <w:top w:val="nil"/>
              <w:left w:val="nil"/>
              <w:bottom w:val="single" w:sz="8" w:space="0" w:color="auto"/>
              <w:right w:val="single" w:sz="8" w:space="0" w:color="auto"/>
            </w:tcBorders>
            <w:shd w:val="clear" w:color="auto" w:fill="auto"/>
            <w:hideMark/>
          </w:tcPr>
          <w:p w14:paraId="39795D7C"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5D6AC0">
              <w:rPr>
                <w:rFonts w:ascii="Calibri" w:eastAsia="Times New Roman" w:hAnsi="Calibri" w:cs="Calibri"/>
                <w:color w:val="000000"/>
                <w:lang w:eastAsia="tr-TR"/>
              </w:rPr>
              <w:t>182.882,80₺</w:t>
            </w:r>
          </w:p>
        </w:tc>
        <w:tc>
          <w:tcPr>
            <w:tcW w:w="698" w:type="dxa"/>
            <w:tcBorders>
              <w:top w:val="nil"/>
              <w:left w:val="nil"/>
              <w:bottom w:val="single" w:sz="8" w:space="0" w:color="auto"/>
              <w:right w:val="single" w:sz="8" w:space="0" w:color="auto"/>
            </w:tcBorders>
            <w:shd w:val="clear" w:color="auto" w:fill="auto"/>
            <w:hideMark/>
          </w:tcPr>
          <w:p w14:paraId="00043B1D"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5D6AC0">
              <w:rPr>
                <w:rFonts w:ascii="Calibri" w:eastAsia="Times New Roman" w:hAnsi="Calibri" w:cs="Calibri"/>
                <w:color w:val="000000"/>
                <w:lang w:eastAsia="tr-TR"/>
              </w:rPr>
              <w:t>2</w:t>
            </w:r>
          </w:p>
        </w:tc>
      </w:tr>
      <w:tr w:rsidR="00A448CA" w:rsidRPr="002048A7" w14:paraId="59E57F0F" w14:textId="77777777" w:rsidTr="001173BD">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1D97CE68"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34</w:t>
            </w:r>
          </w:p>
        </w:tc>
        <w:tc>
          <w:tcPr>
            <w:tcW w:w="1887" w:type="dxa"/>
            <w:tcBorders>
              <w:top w:val="nil"/>
              <w:left w:val="nil"/>
              <w:bottom w:val="single" w:sz="8" w:space="0" w:color="auto"/>
              <w:right w:val="single" w:sz="8" w:space="0" w:color="auto"/>
            </w:tcBorders>
            <w:shd w:val="clear" w:color="auto" w:fill="auto"/>
            <w:vAlign w:val="center"/>
            <w:hideMark/>
          </w:tcPr>
          <w:p w14:paraId="63D6319D" w14:textId="77777777" w:rsidR="00A448CA" w:rsidRPr="002048A7" w:rsidRDefault="00A448CA" w:rsidP="001173BD">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GÜMÜŞHANE</w:t>
            </w:r>
          </w:p>
        </w:tc>
        <w:tc>
          <w:tcPr>
            <w:tcW w:w="3037" w:type="dxa"/>
            <w:tcBorders>
              <w:top w:val="nil"/>
              <w:left w:val="nil"/>
              <w:bottom w:val="single" w:sz="8" w:space="0" w:color="auto"/>
              <w:right w:val="single" w:sz="8" w:space="0" w:color="auto"/>
            </w:tcBorders>
            <w:shd w:val="clear" w:color="auto" w:fill="auto"/>
            <w:hideMark/>
          </w:tcPr>
          <w:p w14:paraId="2B3A38F7"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5D6AC0">
              <w:rPr>
                <w:rFonts w:ascii="Calibri" w:eastAsia="Times New Roman" w:hAnsi="Calibri" w:cs="Calibri"/>
                <w:color w:val="000000"/>
                <w:lang w:eastAsia="tr-TR"/>
              </w:rPr>
              <w:t>130.157,32₺</w:t>
            </w:r>
          </w:p>
        </w:tc>
        <w:tc>
          <w:tcPr>
            <w:tcW w:w="3204" w:type="dxa"/>
            <w:tcBorders>
              <w:top w:val="nil"/>
              <w:left w:val="nil"/>
              <w:bottom w:val="single" w:sz="8" w:space="0" w:color="auto"/>
              <w:right w:val="single" w:sz="8" w:space="0" w:color="auto"/>
            </w:tcBorders>
            <w:shd w:val="clear" w:color="auto" w:fill="auto"/>
            <w:hideMark/>
          </w:tcPr>
          <w:p w14:paraId="73A828E7"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5D6AC0">
              <w:rPr>
                <w:rFonts w:ascii="Calibri" w:eastAsia="Times New Roman" w:hAnsi="Calibri" w:cs="Calibri"/>
                <w:color w:val="000000"/>
                <w:lang w:eastAsia="tr-TR"/>
              </w:rPr>
              <w:t>0,00₺</w:t>
            </w:r>
          </w:p>
        </w:tc>
        <w:tc>
          <w:tcPr>
            <w:tcW w:w="698" w:type="dxa"/>
            <w:tcBorders>
              <w:top w:val="nil"/>
              <w:left w:val="nil"/>
              <w:bottom w:val="single" w:sz="8" w:space="0" w:color="auto"/>
              <w:right w:val="single" w:sz="8" w:space="0" w:color="auto"/>
            </w:tcBorders>
            <w:shd w:val="clear" w:color="auto" w:fill="auto"/>
            <w:hideMark/>
          </w:tcPr>
          <w:p w14:paraId="15362992"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5D6AC0">
              <w:rPr>
                <w:rFonts w:ascii="Calibri" w:eastAsia="Times New Roman" w:hAnsi="Calibri" w:cs="Calibri"/>
                <w:color w:val="000000"/>
                <w:lang w:eastAsia="tr-TR"/>
              </w:rPr>
              <w:t>2</w:t>
            </w:r>
          </w:p>
        </w:tc>
      </w:tr>
      <w:tr w:rsidR="00A448CA" w:rsidRPr="002048A7" w14:paraId="28178559" w14:textId="77777777" w:rsidTr="001173BD">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5448450E"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35</w:t>
            </w:r>
          </w:p>
        </w:tc>
        <w:tc>
          <w:tcPr>
            <w:tcW w:w="1887" w:type="dxa"/>
            <w:tcBorders>
              <w:top w:val="nil"/>
              <w:left w:val="nil"/>
              <w:bottom w:val="single" w:sz="8" w:space="0" w:color="auto"/>
              <w:right w:val="single" w:sz="8" w:space="0" w:color="auto"/>
            </w:tcBorders>
            <w:shd w:val="clear" w:color="auto" w:fill="auto"/>
            <w:vAlign w:val="center"/>
            <w:hideMark/>
          </w:tcPr>
          <w:p w14:paraId="738E056C" w14:textId="77777777" w:rsidR="00A448CA" w:rsidRPr="002048A7" w:rsidRDefault="00A448CA" w:rsidP="001173BD">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HAKKARİ</w:t>
            </w:r>
          </w:p>
        </w:tc>
        <w:tc>
          <w:tcPr>
            <w:tcW w:w="3037" w:type="dxa"/>
            <w:tcBorders>
              <w:top w:val="nil"/>
              <w:left w:val="nil"/>
              <w:bottom w:val="single" w:sz="8" w:space="0" w:color="auto"/>
              <w:right w:val="single" w:sz="8" w:space="0" w:color="auto"/>
            </w:tcBorders>
            <w:shd w:val="clear" w:color="auto" w:fill="auto"/>
            <w:hideMark/>
          </w:tcPr>
          <w:p w14:paraId="2A72EA2F"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5D6AC0">
              <w:rPr>
                <w:rFonts w:ascii="Calibri" w:eastAsia="Times New Roman" w:hAnsi="Calibri" w:cs="Calibri"/>
                <w:color w:val="000000"/>
                <w:lang w:eastAsia="tr-TR"/>
              </w:rPr>
              <w:t>54.670,42₺</w:t>
            </w:r>
          </w:p>
        </w:tc>
        <w:tc>
          <w:tcPr>
            <w:tcW w:w="3204" w:type="dxa"/>
            <w:tcBorders>
              <w:top w:val="nil"/>
              <w:left w:val="nil"/>
              <w:bottom w:val="single" w:sz="8" w:space="0" w:color="auto"/>
              <w:right w:val="single" w:sz="8" w:space="0" w:color="auto"/>
            </w:tcBorders>
            <w:shd w:val="clear" w:color="auto" w:fill="auto"/>
            <w:hideMark/>
          </w:tcPr>
          <w:p w14:paraId="158EE0EC"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5D6AC0">
              <w:rPr>
                <w:rFonts w:ascii="Calibri" w:eastAsia="Times New Roman" w:hAnsi="Calibri" w:cs="Calibri"/>
                <w:color w:val="000000"/>
                <w:lang w:eastAsia="tr-TR"/>
              </w:rPr>
              <w:t>273.352,12₺</w:t>
            </w:r>
          </w:p>
        </w:tc>
        <w:tc>
          <w:tcPr>
            <w:tcW w:w="698" w:type="dxa"/>
            <w:tcBorders>
              <w:top w:val="nil"/>
              <w:left w:val="nil"/>
              <w:bottom w:val="single" w:sz="8" w:space="0" w:color="auto"/>
              <w:right w:val="single" w:sz="8" w:space="0" w:color="auto"/>
            </w:tcBorders>
            <w:shd w:val="clear" w:color="auto" w:fill="auto"/>
            <w:hideMark/>
          </w:tcPr>
          <w:p w14:paraId="25577B07"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5D6AC0">
              <w:rPr>
                <w:rFonts w:ascii="Calibri" w:eastAsia="Times New Roman" w:hAnsi="Calibri" w:cs="Calibri"/>
                <w:color w:val="000000"/>
                <w:lang w:eastAsia="tr-TR"/>
              </w:rPr>
              <w:t>1</w:t>
            </w:r>
          </w:p>
        </w:tc>
      </w:tr>
      <w:tr w:rsidR="00A448CA" w:rsidRPr="002048A7" w14:paraId="1011A93B" w14:textId="77777777" w:rsidTr="001173BD">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29637DF3"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36</w:t>
            </w:r>
          </w:p>
        </w:tc>
        <w:tc>
          <w:tcPr>
            <w:tcW w:w="1887" w:type="dxa"/>
            <w:tcBorders>
              <w:top w:val="nil"/>
              <w:left w:val="nil"/>
              <w:bottom w:val="single" w:sz="8" w:space="0" w:color="auto"/>
              <w:right w:val="single" w:sz="8" w:space="0" w:color="auto"/>
            </w:tcBorders>
            <w:shd w:val="clear" w:color="auto" w:fill="auto"/>
            <w:vAlign w:val="center"/>
            <w:hideMark/>
          </w:tcPr>
          <w:p w14:paraId="68E3AC37" w14:textId="77777777" w:rsidR="00A448CA" w:rsidRPr="002048A7" w:rsidRDefault="00A448CA" w:rsidP="001173BD">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HATAY</w:t>
            </w:r>
          </w:p>
        </w:tc>
        <w:tc>
          <w:tcPr>
            <w:tcW w:w="3037" w:type="dxa"/>
            <w:tcBorders>
              <w:top w:val="nil"/>
              <w:left w:val="nil"/>
              <w:bottom w:val="single" w:sz="8" w:space="0" w:color="auto"/>
              <w:right w:val="single" w:sz="8" w:space="0" w:color="auto"/>
            </w:tcBorders>
            <w:shd w:val="clear" w:color="auto" w:fill="auto"/>
            <w:vAlign w:val="center"/>
            <w:hideMark/>
          </w:tcPr>
          <w:p w14:paraId="0152AB20" w14:textId="77777777" w:rsidR="00A448CA" w:rsidRPr="002048A7" w:rsidRDefault="00A448CA" w:rsidP="00D56350">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3204" w:type="dxa"/>
            <w:tcBorders>
              <w:top w:val="nil"/>
              <w:left w:val="nil"/>
              <w:bottom w:val="single" w:sz="8" w:space="0" w:color="auto"/>
              <w:right w:val="single" w:sz="8" w:space="0" w:color="auto"/>
            </w:tcBorders>
            <w:shd w:val="clear" w:color="auto" w:fill="auto"/>
            <w:vAlign w:val="center"/>
            <w:hideMark/>
          </w:tcPr>
          <w:p w14:paraId="5B7BA8BD" w14:textId="77777777" w:rsidR="00A448CA" w:rsidRPr="002048A7" w:rsidRDefault="00A448CA" w:rsidP="00D56350">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698" w:type="dxa"/>
            <w:tcBorders>
              <w:top w:val="nil"/>
              <w:left w:val="nil"/>
              <w:bottom w:val="single" w:sz="8" w:space="0" w:color="auto"/>
              <w:right w:val="single" w:sz="8" w:space="0" w:color="auto"/>
            </w:tcBorders>
            <w:shd w:val="clear" w:color="auto" w:fill="auto"/>
            <w:vAlign w:val="center"/>
            <w:hideMark/>
          </w:tcPr>
          <w:p w14:paraId="32054AC1" w14:textId="77777777" w:rsidR="00A448CA" w:rsidRPr="002048A7" w:rsidRDefault="00A448CA" w:rsidP="001173BD">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0</w:t>
            </w:r>
          </w:p>
        </w:tc>
      </w:tr>
      <w:tr w:rsidR="00A448CA" w:rsidRPr="002048A7" w14:paraId="742771B2" w14:textId="77777777" w:rsidTr="001173BD">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1095EB1E"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37</w:t>
            </w:r>
          </w:p>
        </w:tc>
        <w:tc>
          <w:tcPr>
            <w:tcW w:w="1887" w:type="dxa"/>
            <w:tcBorders>
              <w:top w:val="nil"/>
              <w:left w:val="nil"/>
              <w:bottom w:val="single" w:sz="8" w:space="0" w:color="auto"/>
              <w:right w:val="single" w:sz="8" w:space="0" w:color="auto"/>
            </w:tcBorders>
            <w:shd w:val="clear" w:color="auto" w:fill="auto"/>
            <w:vAlign w:val="center"/>
            <w:hideMark/>
          </w:tcPr>
          <w:p w14:paraId="62699797" w14:textId="77777777" w:rsidR="00A448CA" w:rsidRPr="002048A7" w:rsidRDefault="00A448CA" w:rsidP="001173BD">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IĞDIR</w:t>
            </w:r>
          </w:p>
        </w:tc>
        <w:tc>
          <w:tcPr>
            <w:tcW w:w="3037" w:type="dxa"/>
            <w:tcBorders>
              <w:top w:val="nil"/>
              <w:left w:val="nil"/>
              <w:bottom w:val="single" w:sz="8" w:space="0" w:color="auto"/>
              <w:right w:val="single" w:sz="8" w:space="0" w:color="auto"/>
            </w:tcBorders>
            <w:shd w:val="clear" w:color="auto" w:fill="auto"/>
            <w:vAlign w:val="center"/>
            <w:hideMark/>
          </w:tcPr>
          <w:p w14:paraId="07E976D1" w14:textId="77777777" w:rsidR="00A448CA" w:rsidRPr="002048A7" w:rsidRDefault="00A448CA" w:rsidP="00D56350">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3204" w:type="dxa"/>
            <w:tcBorders>
              <w:top w:val="nil"/>
              <w:left w:val="nil"/>
              <w:bottom w:val="single" w:sz="8" w:space="0" w:color="auto"/>
              <w:right w:val="single" w:sz="8" w:space="0" w:color="auto"/>
            </w:tcBorders>
            <w:shd w:val="clear" w:color="auto" w:fill="auto"/>
            <w:vAlign w:val="center"/>
            <w:hideMark/>
          </w:tcPr>
          <w:p w14:paraId="227FE62D" w14:textId="77777777" w:rsidR="00A448CA" w:rsidRPr="002048A7" w:rsidRDefault="00A448CA" w:rsidP="00D56350">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698" w:type="dxa"/>
            <w:tcBorders>
              <w:top w:val="nil"/>
              <w:left w:val="nil"/>
              <w:bottom w:val="single" w:sz="8" w:space="0" w:color="auto"/>
              <w:right w:val="single" w:sz="8" w:space="0" w:color="auto"/>
            </w:tcBorders>
            <w:shd w:val="clear" w:color="auto" w:fill="auto"/>
            <w:vAlign w:val="center"/>
            <w:hideMark/>
          </w:tcPr>
          <w:p w14:paraId="1FAE134F" w14:textId="77777777" w:rsidR="00A448CA" w:rsidRPr="002048A7" w:rsidRDefault="00A448CA" w:rsidP="001173BD">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0</w:t>
            </w:r>
          </w:p>
        </w:tc>
      </w:tr>
      <w:tr w:rsidR="00A448CA" w:rsidRPr="002048A7" w14:paraId="1C34BE18" w14:textId="77777777" w:rsidTr="001173BD">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2841BC1E"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38</w:t>
            </w:r>
          </w:p>
        </w:tc>
        <w:tc>
          <w:tcPr>
            <w:tcW w:w="1887" w:type="dxa"/>
            <w:tcBorders>
              <w:top w:val="nil"/>
              <w:left w:val="nil"/>
              <w:bottom w:val="single" w:sz="8" w:space="0" w:color="auto"/>
              <w:right w:val="single" w:sz="8" w:space="0" w:color="auto"/>
            </w:tcBorders>
            <w:shd w:val="clear" w:color="auto" w:fill="auto"/>
            <w:vAlign w:val="center"/>
            <w:hideMark/>
          </w:tcPr>
          <w:p w14:paraId="7CDA8783" w14:textId="77777777" w:rsidR="00A448CA" w:rsidRPr="002048A7" w:rsidRDefault="00A448CA" w:rsidP="001173BD">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ISPARTA</w:t>
            </w:r>
          </w:p>
        </w:tc>
        <w:tc>
          <w:tcPr>
            <w:tcW w:w="3037" w:type="dxa"/>
            <w:tcBorders>
              <w:top w:val="nil"/>
              <w:left w:val="nil"/>
              <w:bottom w:val="single" w:sz="8" w:space="0" w:color="auto"/>
              <w:right w:val="single" w:sz="8" w:space="0" w:color="auto"/>
            </w:tcBorders>
            <w:shd w:val="clear" w:color="auto" w:fill="auto"/>
            <w:vAlign w:val="center"/>
            <w:hideMark/>
          </w:tcPr>
          <w:p w14:paraId="668DAAC4" w14:textId="77777777" w:rsidR="00A448CA" w:rsidRPr="002048A7" w:rsidRDefault="00A448CA" w:rsidP="00D56350">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3204" w:type="dxa"/>
            <w:tcBorders>
              <w:top w:val="nil"/>
              <w:left w:val="nil"/>
              <w:bottom w:val="single" w:sz="8" w:space="0" w:color="auto"/>
              <w:right w:val="single" w:sz="8" w:space="0" w:color="auto"/>
            </w:tcBorders>
            <w:shd w:val="clear" w:color="auto" w:fill="auto"/>
            <w:vAlign w:val="center"/>
            <w:hideMark/>
          </w:tcPr>
          <w:p w14:paraId="63DD1CE8" w14:textId="77777777" w:rsidR="00A448CA" w:rsidRPr="002048A7" w:rsidRDefault="00A448CA" w:rsidP="00D56350">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698" w:type="dxa"/>
            <w:tcBorders>
              <w:top w:val="nil"/>
              <w:left w:val="nil"/>
              <w:bottom w:val="single" w:sz="8" w:space="0" w:color="auto"/>
              <w:right w:val="single" w:sz="8" w:space="0" w:color="auto"/>
            </w:tcBorders>
            <w:shd w:val="clear" w:color="auto" w:fill="auto"/>
            <w:vAlign w:val="center"/>
            <w:hideMark/>
          </w:tcPr>
          <w:p w14:paraId="34AAEC37" w14:textId="77777777" w:rsidR="00A448CA" w:rsidRPr="002048A7" w:rsidRDefault="00A448CA" w:rsidP="001173BD">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0</w:t>
            </w:r>
          </w:p>
        </w:tc>
      </w:tr>
      <w:tr w:rsidR="00A448CA" w:rsidRPr="002048A7" w14:paraId="4FAEAAF6" w14:textId="77777777" w:rsidTr="001173BD">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2E6D5678"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39</w:t>
            </w:r>
          </w:p>
        </w:tc>
        <w:tc>
          <w:tcPr>
            <w:tcW w:w="1887" w:type="dxa"/>
            <w:tcBorders>
              <w:top w:val="nil"/>
              <w:left w:val="nil"/>
              <w:bottom w:val="single" w:sz="8" w:space="0" w:color="auto"/>
              <w:right w:val="single" w:sz="8" w:space="0" w:color="auto"/>
            </w:tcBorders>
            <w:shd w:val="clear" w:color="auto" w:fill="auto"/>
            <w:vAlign w:val="center"/>
            <w:hideMark/>
          </w:tcPr>
          <w:p w14:paraId="339AF277" w14:textId="77777777" w:rsidR="00A448CA" w:rsidRPr="002048A7" w:rsidRDefault="00A448CA" w:rsidP="001173BD">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İSTANBUL</w:t>
            </w:r>
          </w:p>
        </w:tc>
        <w:tc>
          <w:tcPr>
            <w:tcW w:w="3037" w:type="dxa"/>
            <w:tcBorders>
              <w:top w:val="nil"/>
              <w:left w:val="nil"/>
              <w:bottom w:val="single" w:sz="8" w:space="0" w:color="auto"/>
              <w:right w:val="single" w:sz="8" w:space="0" w:color="auto"/>
            </w:tcBorders>
            <w:shd w:val="clear" w:color="auto" w:fill="auto"/>
            <w:hideMark/>
          </w:tcPr>
          <w:p w14:paraId="5A5493E6"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5D6AC0">
              <w:rPr>
                <w:rFonts w:ascii="Calibri" w:eastAsia="Times New Roman" w:hAnsi="Calibri" w:cs="Calibri"/>
                <w:color w:val="000000"/>
                <w:lang w:eastAsia="tr-TR"/>
              </w:rPr>
              <w:t>41.014.945,29₺</w:t>
            </w:r>
          </w:p>
        </w:tc>
        <w:tc>
          <w:tcPr>
            <w:tcW w:w="3204" w:type="dxa"/>
            <w:tcBorders>
              <w:top w:val="nil"/>
              <w:left w:val="nil"/>
              <w:bottom w:val="single" w:sz="8" w:space="0" w:color="auto"/>
              <w:right w:val="single" w:sz="8" w:space="0" w:color="auto"/>
            </w:tcBorders>
            <w:shd w:val="clear" w:color="auto" w:fill="auto"/>
            <w:hideMark/>
          </w:tcPr>
          <w:p w14:paraId="79BAC222"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5D6AC0">
              <w:rPr>
                <w:rFonts w:ascii="Calibri" w:eastAsia="Times New Roman" w:hAnsi="Calibri" w:cs="Calibri"/>
                <w:color w:val="000000"/>
                <w:lang w:eastAsia="tr-TR"/>
              </w:rPr>
              <w:t>42.807.964,00₺</w:t>
            </w:r>
          </w:p>
        </w:tc>
        <w:tc>
          <w:tcPr>
            <w:tcW w:w="698" w:type="dxa"/>
            <w:tcBorders>
              <w:top w:val="nil"/>
              <w:left w:val="nil"/>
              <w:bottom w:val="single" w:sz="8" w:space="0" w:color="auto"/>
              <w:right w:val="single" w:sz="8" w:space="0" w:color="auto"/>
            </w:tcBorders>
            <w:shd w:val="clear" w:color="auto" w:fill="auto"/>
            <w:hideMark/>
          </w:tcPr>
          <w:p w14:paraId="0CB67B8E"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5D6AC0">
              <w:rPr>
                <w:rFonts w:ascii="Calibri" w:eastAsia="Times New Roman" w:hAnsi="Calibri" w:cs="Calibri"/>
                <w:color w:val="000000"/>
                <w:lang w:eastAsia="tr-TR"/>
              </w:rPr>
              <w:t>17</w:t>
            </w:r>
          </w:p>
        </w:tc>
      </w:tr>
      <w:tr w:rsidR="00A448CA" w:rsidRPr="002048A7" w14:paraId="40A3F5DD" w14:textId="77777777" w:rsidTr="001173BD">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7AE177EE"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40</w:t>
            </w:r>
          </w:p>
        </w:tc>
        <w:tc>
          <w:tcPr>
            <w:tcW w:w="1887" w:type="dxa"/>
            <w:tcBorders>
              <w:top w:val="nil"/>
              <w:left w:val="nil"/>
              <w:bottom w:val="single" w:sz="8" w:space="0" w:color="auto"/>
              <w:right w:val="single" w:sz="8" w:space="0" w:color="auto"/>
            </w:tcBorders>
            <w:shd w:val="clear" w:color="auto" w:fill="auto"/>
            <w:vAlign w:val="center"/>
            <w:hideMark/>
          </w:tcPr>
          <w:p w14:paraId="36C2DA20" w14:textId="77777777" w:rsidR="00A448CA" w:rsidRPr="002048A7" w:rsidRDefault="00A448CA" w:rsidP="001173BD">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İZMİR</w:t>
            </w:r>
          </w:p>
        </w:tc>
        <w:tc>
          <w:tcPr>
            <w:tcW w:w="3037" w:type="dxa"/>
            <w:tcBorders>
              <w:top w:val="nil"/>
              <w:left w:val="nil"/>
              <w:bottom w:val="single" w:sz="8" w:space="0" w:color="auto"/>
              <w:right w:val="single" w:sz="8" w:space="0" w:color="auto"/>
            </w:tcBorders>
            <w:shd w:val="clear" w:color="auto" w:fill="auto"/>
            <w:hideMark/>
          </w:tcPr>
          <w:p w14:paraId="6C36D06B"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5D6AC0">
              <w:rPr>
                <w:rFonts w:ascii="Calibri" w:eastAsia="Times New Roman" w:hAnsi="Calibri" w:cs="Calibri"/>
                <w:color w:val="000000"/>
                <w:lang w:eastAsia="tr-TR"/>
              </w:rPr>
              <w:t>49.160.240,73₺</w:t>
            </w:r>
          </w:p>
        </w:tc>
        <w:tc>
          <w:tcPr>
            <w:tcW w:w="3204" w:type="dxa"/>
            <w:tcBorders>
              <w:top w:val="nil"/>
              <w:left w:val="nil"/>
              <w:bottom w:val="single" w:sz="8" w:space="0" w:color="auto"/>
              <w:right w:val="single" w:sz="8" w:space="0" w:color="auto"/>
            </w:tcBorders>
            <w:shd w:val="clear" w:color="auto" w:fill="auto"/>
            <w:hideMark/>
          </w:tcPr>
          <w:p w14:paraId="0DE68E10"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5D6AC0">
              <w:rPr>
                <w:rFonts w:ascii="Calibri" w:eastAsia="Times New Roman" w:hAnsi="Calibri" w:cs="Calibri"/>
                <w:color w:val="000000"/>
                <w:lang w:eastAsia="tr-TR"/>
              </w:rPr>
              <w:t>34.816.696,03₺</w:t>
            </w:r>
          </w:p>
        </w:tc>
        <w:tc>
          <w:tcPr>
            <w:tcW w:w="698" w:type="dxa"/>
            <w:tcBorders>
              <w:top w:val="nil"/>
              <w:left w:val="nil"/>
              <w:bottom w:val="single" w:sz="8" w:space="0" w:color="auto"/>
              <w:right w:val="single" w:sz="8" w:space="0" w:color="auto"/>
            </w:tcBorders>
            <w:shd w:val="clear" w:color="auto" w:fill="auto"/>
            <w:hideMark/>
          </w:tcPr>
          <w:p w14:paraId="60E4B295"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5D6AC0">
              <w:rPr>
                <w:rFonts w:ascii="Calibri" w:eastAsia="Times New Roman" w:hAnsi="Calibri" w:cs="Calibri"/>
                <w:color w:val="000000"/>
                <w:lang w:eastAsia="tr-TR"/>
              </w:rPr>
              <w:t>17</w:t>
            </w:r>
          </w:p>
        </w:tc>
      </w:tr>
      <w:tr w:rsidR="00A448CA" w:rsidRPr="002048A7" w14:paraId="447C1D18" w14:textId="77777777" w:rsidTr="001173BD">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6D1C032A"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41</w:t>
            </w:r>
          </w:p>
        </w:tc>
        <w:tc>
          <w:tcPr>
            <w:tcW w:w="1887" w:type="dxa"/>
            <w:tcBorders>
              <w:top w:val="nil"/>
              <w:left w:val="nil"/>
              <w:bottom w:val="single" w:sz="8" w:space="0" w:color="auto"/>
              <w:right w:val="single" w:sz="8" w:space="0" w:color="auto"/>
            </w:tcBorders>
            <w:shd w:val="clear" w:color="auto" w:fill="auto"/>
            <w:vAlign w:val="center"/>
            <w:hideMark/>
          </w:tcPr>
          <w:p w14:paraId="66B240F7" w14:textId="77777777" w:rsidR="00A448CA" w:rsidRPr="002048A7" w:rsidRDefault="00A448CA" w:rsidP="001173BD">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KAHRAMANMARAŞ</w:t>
            </w:r>
          </w:p>
        </w:tc>
        <w:tc>
          <w:tcPr>
            <w:tcW w:w="3037" w:type="dxa"/>
            <w:tcBorders>
              <w:top w:val="nil"/>
              <w:left w:val="nil"/>
              <w:bottom w:val="single" w:sz="8" w:space="0" w:color="auto"/>
              <w:right w:val="single" w:sz="8" w:space="0" w:color="auto"/>
            </w:tcBorders>
            <w:shd w:val="clear" w:color="auto" w:fill="auto"/>
            <w:hideMark/>
          </w:tcPr>
          <w:p w14:paraId="5F733459"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5D6AC0">
              <w:rPr>
                <w:rFonts w:ascii="Calibri" w:eastAsia="Times New Roman" w:hAnsi="Calibri" w:cs="Calibri"/>
                <w:color w:val="000000"/>
                <w:lang w:eastAsia="tr-TR"/>
              </w:rPr>
              <w:t>40.240.871,76₺</w:t>
            </w:r>
          </w:p>
        </w:tc>
        <w:tc>
          <w:tcPr>
            <w:tcW w:w="3204" w:type="dxa"/>
            <w:tcBorders>
              <w:top w:val="nil"/>
              <w:left w:val="nil"/>
              <w:bottom w:val="single" w:sz="8" w:space="0" w:color="auto"/>
              <w:right w:val="single" w:sz="8" w:space="0" w:color="auto"/>
            </w:tcBorders>
            <w:shd w:val="clear" w:color="auto" w:fill="auto"/>
            <w:hideMark/>
          </w:tcPr>
          <w:p w14:paraId="61AC1465"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5D6AC0">
              <w:rPr>
                <w:rFonts w:ascii="Calibri" w:eastAsia="Times New Roman" w:hAnsi="Calibri" w:cs="Calibri"/>
                <w:color w:val="000000"/>
                <w:lang w:eastAsia="tr-TR"/>
              </w:rPr>
              <w:t>41.885.839,14₺</w:t>
            </w:r>
          </w:p>
        </w:tc>
        <w:tc>
          <w:tcPr>
            <w:tcW w:w="698" w:type="dxa"/>
            <w:tcBorders>
              <w:top w:val="nil"/>
              <w:left w:val="nil"/>
              <w:bottom w:val="single" w:sz="8" w:space="0" w:color="auto"/>
              <w:right w:val="single" w:sz="8" w:space="0" w:color="auto"/>
            </w:tcBorders>
            <w:shd w:val="clear" w:color="auto" w:fill="auto"/>
            <w:hideMark/>
          </w:tcPr>
          <w:p w14:paraId="21974D45"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5D6AC0">
              <w:rPr>
                <w:rFonts w:ascii="Calibri" w:eastAsia="Times New Roman" w:hAnsi="Calibri" w:cs="Calibri"/>
                <w:color w:val="000000"/>
                <w:lang w:eastAsia="tr-TR"/>
              </w:rPr>
              <w:t>9</w:t>
            </w:r>
          </w:p>
        </w:tc>
      </w:tr>
      <w:tr w:rsidR="00A448CA" w:rsidRPr="002048A7" w14:paraId="2CAB457E" w14:textId="77777777" w:rsidTr="001173BD">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6874F111"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42</w:t>
            </w:r>
          </w:p>
        </w:tc>
        <w:tc>
          <w:tcPr>
            <w:tcW w:w="1887" w:type="dxa"/>
            <w:tcBorders>
              <w:top w:val="nil"/>
              <w:left w:val="nil"/>
              <w:bottom w:val="single" w:sz="8" w:space="0" w:color="auto"/>
              <w:right w:val="single" w:sz="8" w:space="0" w:color="auto"/>
            </w:tcBorders>
            <w:shd w:val="clear" w:color="auto" w:fill="auto"/>
            <w:vAlign w:val="center"/>
            <w:hideMark/>
          </w:tcPr>
          <w:p w14:paraId="695100B9" w14:textId="77777777" w:rsidR="00A448CA" w:rsidRPr="002048A7" w:rsidRDefault="00A448CA" w:rsidP="001173BD">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KARABÜK</w:t>
            </w:r>
          </w:p>
        </w:tc>
        <w:tc>
          <w:tcPr>
            <w:tcW w:w="3037" w:type="dxa"/>
            <w:tcBorders>
              <w:top w:val="nil"/>
              <w:left w:val="nil"/>
              <w:bottom w:val="single" w:sz="8" w:space="0" w:color="auto"/>
              <w:right w:val="single" w:sz="8" w:space="0" w:color="auto"/>
            </w:tcBorders>
            <w:shd w:val="clear" w:color="auto" w:fill="auto"/>
            <w:vAlign w:val="center"/>
            <w:hideMark/>
          </w:tcPr>
          <w:p w14:paraId="6395BA75" w14:textId="77777777" w:rsidR="00A448CA" w:rsidRPr="002048A7" w:rsidRDefault="00A448CA" w:rsidP="00D56350">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3204" w:type="dxa"/>
            <w:tcBorders>
              <w:top w:val="nil"/>
              <w:left w:val="nil"/>
              <w:bottom w:val="single" w:sz="8" w:space="0" w:color="auto"/>
              <w:right w:val="single" w:sz="8" w:space="0" w:color="auto"/>
            </w:tcBorders>
            <w:shd w:val="clear" w:color="auto" w:fill="auto"/>
            <w:vAlign w:val="center"/>
            <w:hideMark/>
          </w:tcPr>
          <w:p w14:paraId="021F0103" w14:textId="77777777" w:rsidR="00A448CA" w:rsidRPr="002048A7" w:rsidRDefault="00A448CA" w:rsidP="00D56350">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698" w:type="dxa"/>
            <w:tcBorders>
              <w:top w:val="nil"/>
              <w:left w:val="nil"/>
              <w:bottom w:val="single" w:sz="8" w:space="0" w:color="auto"/>
              <w:right w:val="single" w:sz="8" w:space="0" w:color="auto"/>
            </w:tcBorders>
            <w:shd w:val="clear" w:color="auto" w:fill="auto"/>
            <w:vAlign w:val="center"/>
            <w:hideMark/>
          </w:tcPr>
          <w:p w14:paraId="7A766FC8" w14:textId="77777777" w:rsidR="00A448CA" w:rsidRPr="002048A7" w:rsidRDefault="00A448CA" w:rsidP="001173BD">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0</w:t>
            </w:r>
          </w:p>
        </w:tc>
      </w:tr>
      <w:tr w:rsidR="00A448CA" w:rsidRPr="002048A7" w14:paraId="2CA6A287" w14:textId="77777777" w:rsidTr="001173BD">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4195CAAA"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43</w:t>
            </w:r>
          </w:p>
        </w:tc>
        <w:tc>
          <w:tcPr>
            <w:tcW w:w="1887" w:type="dxa"/>
            <w:tcBorders>
              <w:top w:val="nil"/>
              <w:left w:val="nil"/>
              <w:bottom w:val="single" w:sz="8" w:space="0" w:color="auto"/>
              <w:right w:val="single" w:sz="8" w:space="0" w:color="auto"/>
            </w:tcBorders>
            <w:shd w:val="clear" w:color="auto" w:fill="auto"/>
            <w:vAlign w:val="center"/>
            <w:hideMark/>
          </w:tcPr>
          <w:p w14:paraId="2A8CB812" w14:textId="77777777" w:rsidR="00A448CA" w:rsidRPr="002048A7" w:rsidRDefault="00A448CA" w:rsidP="001173BD">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KARAMAN</w:t>
            </w:r>
          </w:p>
        </w:tc>
        <w:tc>
          <w:tcPr>
            <w:tcW w:w="3037" w:type="dxa"/>
            <w:tcBorders>
              <w:top w:val="nil"/>
              <w:left w:val="nil"/>
              <w:bottom w:val="single" w:sz="8" w:space="0" w:color="auto"/>
              <w:right w:val="single" w:sz="8" w:space="0" w:color="auto"/>
            </w:tcBorders>
            <w:shd w:val="clear" w:color="auto" w:fill="auto"/>
            <w:hideMark/>
          </w:tcPr>
          <w:p w14:paraId="737E5BFC"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5D6AC0">
              <w:rPr>
                <w:rFonts w:ascii="Calibri" w:eastAsia="Times New Roman" w:hAnsi="Calibri" w:cs="Calibri"/>
                <w:color w:val="000000"/>
                <w:lang w:eastAsia="tr-TR"/>
              </w:rPr>
              <w:t>959.025,86₺</w:t>
            </w:r>
          </w:p>
        </w:tc>
        <w:tc>
          <w:tcPr>
            <w:tcW w:w="3204" w:type="dxa"/>
            <w:tcBorders>
              <w:top w:val="nil"/>
              <w:left w:val="nil"/>
              <w:bottom w:val="single" w:sz="8" w:space="0" w:color="auto"/>
              <w:right w:val="single" w:sz="8" w:space="0" w:color="auto"/>
            </w:tcBorders>
            <w:shd w:val="clear" w:color="auto" w:fill="auto"/>
            <w:hideMark/>
          </w:tcPr>
          <w:p w14:paraId="519BBD65"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5D6AC0">
              <w:rPr>
                <w:rFonts w:ascii="Calibri" w:eastAsia="Times New Roman" w:hAnsi="Calibri" w:cs="Calibri"/>
                <w:color w:val="000000"/>
                <w:lang w:eastAsia="tr-TR"/>
              </w:rPr>
              <w:t>959.129,46₺</w:t>
            </w:r>
          </w:p>
        </w:tc>
        <w:tc>
          <w:tcPr>
            <w:tcW w:w="698" w:type="dxa"/>
            <w:tcBorders>
              <w:top w:val="nil"/>
              <w:left w:val="nil"/>
              <w:bottom w:val="single" w:sz="8" w:space="0" w:color="auto"/>
              <w:right w:val="single" w:sz="8" w:space="0" w:color="auto"/>
            </w:tcBorders>
            <w:shd w:val="clear" w:color="auto" w:fill="auto"/>
            <w:hideMark/>
          </w:tcPr>
          <w:p w14:paraId="5EBDA66E"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5D6AC0">
              <w:rPr>
                <w:rFonts w:ascii="Calibri" w:eastAsia="Times New Roman" w:hAnsi="Calibri" w:cs="Calibri"/>
                <w:color w:val="000000"/>
                <w:lang w:eastAsia="tr-TR"/>
              </w:rPr>
              <w:t>2</w:t>
            </w:r>
          </w:p>
        </w:tc>
      </w:tr>
      <w:tr w:rsidR="00A448CA" w:rsidRPr="002048A7" w14:paraId="364FD4A4" w14:textId="77777777" w:rsidTr="001173BD">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0FB5E359"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44</w:t>
            </w:r>
          </w:p>
        </w:tc>
        <w:tc>
          <w:tcPr>
            <w:tcW w:w="1887" w:type="dxa"/>
            <w:tcBorders>
              <w:top w:val="nil"/>
              <w:left w:val="nil"/>
              <w:bottom w:val="single" w:sz="8" w:space="0" w:color="auto"/>
              <w:right w:val="single" w:sz="8" w:space="0" w:color="auto"/>
            </w:tcBorders>
            <w:shd w:val="clear" w:color="auto" w:fill="auto"/>
            <w:vAlign w:val="center"/>
            <w:hideMark/>
          </w:tcPr>
          <w:p w14:paraId="4FDF79B0" w14:textId="77777777" w:rsidR="00A448CA" w:rsidRPr="002048A7" w:rsidRDefault="00A448CA" w:rsidP="001173BD">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KARS</w:t>
            </w:r>
          </w:p>
        </w:tc>
        <w:tc>
          <w:tcPr>
            <w:tcW w:w="3037" w:type="dxa"/>
            <w:tcBorders>
              <w:top w:val="nil"/>
              <w:left w:val="nil"/>
              <w:bottom w:val="single" w:sz="8" w:space="0" w:color="auto"/>
              <w:right w:val="single" w:sz="8" w:space="0" w:color="auto"/>
            </w:tcBorders>
            <w:shd w:val="clear" w:color="auto" w:fill="auto"/>
            <w:vAlign w:val="center"/>
            <w:hideMark/>
          </w:tcPr>
          <w:p w14:paraId="4B4C4328" w14:textId="77777777" w:rsidR="00A448CA" w:rsidRPr="002048A7" w:rsidRDefault="00A448CA" w:rsidP="00D56350">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3204" w:type="dxa"/>
            <w:tcBorders>
              <w:top w:val="nil"/>
              <w:left w:val="nil"/>
              <w:bottom w:val="single" w:sz="8" w:space="0" w:color="auto"/>
              <w:right w:val="single" w:sz="8" w:space="0" w:color="auto"/>
            </w:tcBorders>
            <w:shd w:val="clear" w:color="auto" w:fill="auto"/>
            <w:vAlign w:val="center"/>
            <w:hideMark/>
          </w:tcPr>
          <w:p w14:paraId="47B936CA" w14:textId="77777777" w:rsidR="00A448CA" w:rsidRPr="002048A7" w:rsidRDefault="00A448CA" w:rsidP="00D56350">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698" w:type="dxa"/>
            <w:tcBorders>
              <w:top w:val="nil"/>
              <w:left w:val="nil"/>
              <w:bottom w:val="single" w:sz="8" w:space="0" w:color="auto"/>
              <w:right w:val="single" w:sz="8" w:space="0" w:color="auto"/>
            </w:tcBorders>
            <w:shd w:val="clear" w:color="auto" w:fill="auto"/>
            <w:vAlign w:val="center"/>
            <w:hideMark/>
          </w:tcPr>
          <w:p w14:paraId="2777B462" w14:textId="77777777" w:rsidR="00A448CA" w:rsidRPr="002048A7" w:rsidRDefault="00A448CA" w:rsidP="001173BD">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0</w:t>
            </w:r>
          </w:p>
        </w:tc>
      </w:tr>
      <w:tr w:rsidR="00A448CA" w:rsidRPr="002048A7" w14:paraId="2E6D9528" w14:textId="77777777" w:rsidTr="001173BD">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2F9D6488"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45</w:t>
            </w:r>
          </w:p>
        </w:tc>
        <w:tc>
          <w:tcPr>
            <w:tcW w:w="1887" w:type="dxa"/>
            <w:tcBorders>
              <w:top w:val="nil"/>
              <w:left w:val="nil"/>
              <w:bottom w:val="single" w:sz="8" w:space="0" w:color="auto"/>
              <w:right w:val="single" w:sz="8" w:space="0" w:color="auto"/>
            </w:tcBorders>
            <w:shd w:val="clear" w:color="auto" w:fill="auto"/>
            <w:vAlign w:val="center"/>
            <w:hideMark/>
          </w:tcPr>
          <w:p w14:paraId="44267DC9" w14:textId="77777777" w:rsidR="00A448CA" w:rsidRPr="002048A7" w:rsidRDefault="00A448CA" w:rsidP="001173BD">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KASTAMONU</w:t>
            </w:r>
          </w:p>
        </w:tc>
        <w:tc>
          <w:tcPr>
            <w:tcW w:w="3037" w:type="dxa"/>
            <w:tcBorders>
              <w:top w:val="nil"/>
              <w:left w:val="nil"/>
              <w:bottom w:val="single" w:sz="8" w:space="0" w:color="auto"/>
              <w:right w:val="single" w:sz="8" w:space="0" w:color="auto"/>
            </w:tcBorders>
            <w:shd w:val="clear" w:color="auto" w:fill="auto"/>
            <w:vAlign w:val="center"/>
            <w:hideMark/>
          </w:tcPr>
          <w:p w14:paraId="13B473B2" w14:textId="77777777" w:rsidR="00A448CA" w:rsidRPr="002048A7" w:rsidRDefault="00A448CA" w:rsidP="00D56350">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3204" w:type="dxa"/>
            <w:tcBorders>
              <w:top w:val="nil"/>
              <w:left w:val="nil"/>
              <w:bottom w:val="single" w:sz="8" w:space="0" w:color="auto"/>
              <w:right w:val="single" w:sz="8" w:space="0" w:color="auto"/>
            </w:tcBorders>
            <w:shd w:val="clear" w:color="auto" w:fill="auto"/>
            <w:vAlign w:val="center"/>
            <w:hideMark/>
          </w:tcPr>
          <w:p w14:paraId="0CC727D1" w14:textId="77777777" w:rsidR="00A448CA" w:rsidRPr="002048A7" w:rsidRDefault="00A448CA" w:rsidP="00D56350">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698" w:type="dxa"/>
            <w:tcBorders>
              <w:top w:val="nil"/>
              <w:left w:val="nil"/>
              <w:bottom w:val="single" w:sz="8" w:space="0" w:color="auto"/>
              <w:right w:val="single" w:sz="8" w:space="0" w:color="auto"/>
            </w:tcBorders>
            <w:shd w:val="clear" w:color="auto" w:fill="auto"/>
            <w:vAlign w:val="center"/>
            <w:hideMark/>
          </w:tcPr>
          <w:p w14:paraId="4F4F4096" w14:textId="77777777" w:rsidR="00A448CA" w:rsidRPr="002048A7" w:rsidRDefault="00A448CA" w:rsidP="001173BD">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0</w:t>
            </w:r>
          </w:p>
        </w:tc>
      </w:tr>
      <w:tr w:rsidR="00A448CA" w:rsidRPr="002048A7" w14:paraId="5318D63F" w14:textId="77777777" w:rsidTr="001173BD">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3CFFF121"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46</w:t>
            </w:r>
          </w:p>
        </w:tc>
        <w:tc>
          <w:tcPr>
            <w:tcW w:w="1887" w:type="dxa"/>
            <w:tcBorders>
              <w:top w:val="nil"/>
              <w:left w:val="nil"/>
              <w:bottom w:val="single" w:sz="8" w:space="0" w:color="auto"/>
              <w:right w:val="single" w:sz="8" w:space="0" w:color="auto"/>
            </w:tcBorders>
            <w:shd w:val="clear" w:color="auto" w:fill="auto"/>
            <w:vAlign w:val="center"/>
            <w:hideMark/>
          </w:tcPr>
          <w:p w14:paraId="41D25169" w14:textId="77777777" w:rsidR="00A448CA" w:rsidRPr="002048A7" w:rsidRDefault="00A448CA" w:rsidP="001173BD">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KAYSERİ</w:t>
            </w:r>
          </w:p>
        </w:tc>
        <w:tc>
          <w:tcPr>
            <w:tcW w:w="3037" w:type="dxa"/>
            <w:tcBorders>
              <w:top w:val="nil"/>
              <w:left w:val="nil"/>
              <w:bottom w:val="single" w:sz="8" w:space="0" w:color="auto"/>
              <w:right w:val="single" w:sz="8" w:space="0" w:color="auto"/>
            </w:tcBorders>
            <w:shd w:val="clear" w:color="auto" w:fill="auto"/>
            <w:hideMark/>
          </w:tcPr>
          <w:p w14:paraId="3C89FB7E"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5D6AC0">
              <w:rPr>
                <w:rFonts w:ascii="Calibri" w:eastAsia="Times New Roman" w:hAnsi="Calibri" w:cs="Calibri"/>
                <w:color w:val="000000"/>
                <w:lang w:eastAsia="tr-TR"/>
              </w:rPr>
              <w:t>914.928,64₺</w:t>
            </w:r>
          </w:p>
        </w:tc>
        <w:tc>
          <w:tcPr>
            <w:tcW w:w="3204" w:type="dxa"/>
            <w:tcBorders>
              <w:top w:val="nil"/>
              <w:left w:val="nil"/>
              <w:bottom w:val="single" w:sz="8" w:space="0" w:color="auto"/>
              <w:right w:val="single" w:sz="8" w:space="0" w:color="auto"/>
            </w:tcBorders>
            <w:shd w:val="clear" w:color="auto" w:fill="auto"/>
            <w:hideMark/>
          </w:tcPr>
          <w:p w14:paraId="1481DC27"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5D6AC0">
              <w:rPr>
                <w:rFonts w:ascii="Calibri" w:eastAsia="Times New Roman" w:hAnsi="Calibri" w:cs="Calibri"/>
                <w:color w:val="000000"/>
                <w:lang w:eastAsia="tr-TR"/>
              </w:rPr>
              <w:t>1.688.077,62₺</w:t>
            </w:r>
          </w:p>
        </w:tc>
        <w:tc>
          <w:tcPr>
            <w:tcW w:w="698" w:type="dxa"/>
            <w:tcBorders>
              <w:top w:val="nil"/>
              <w:left w:val="nil"/>
              <w:bottom w:val="single" w:sz="8" w:space="0" w:color="auto"/>
              <w:right w:val="single" w:sz="8" w:space="0" w:color="auto"/>
            </w:tcBorders>
            <w:shd w:val="clear" w:color="auto" w:fill="auto"/>
            <w:hideMark/>
          </w:tcPr>
          <w:p w14:paraId="54E793AA"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5D6AC0">
              <w:rPr>
                <w:rFonts w:ascii="Calibri" w:eastAsia="Times New Roman" w:hAnsi="Calibri" w:cs="Calibri"/>
                <w:color w:val="000000"/>
                <w:lang w:eastAsia="tr-TR"/>
              </w:rPr>
              <w:t>5</w:t>
            </w:r>
          </w:p>
        </w:tc>
      </w:tr>
      <w:tr w:rsidR="00A448CA" w:rsidRPr="002048A7" w14:paraId="1C1EA005" w14:textId="77777777" w:rsidTr="001173BD">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7AE00188"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47</w:t>
            </w:r>
          </w:p>
        </w:tc>
        <w:tc>
          <w:tcPr>
            <w:tcW w:w="1887" w:type="dxa"/>
            <w:tcBorders>
              <w:top w:val="nil"/>
              <w:left w:val="nil"/>
              <w:bottom w:val="single" w:sz="8" w:space="0" w:color="auto"/>
              <w:right w:val="single" w:sz="8" w:space="0" w:color="auto"/>
            </w:tcBorders>
            <w:shd w:val="clear" w:color="auto" w:fill="auto"/>
            <w:vAlign w:val="center"/>
            <w:hideMark/>
          </w:tcPr>
          <w:p w14:paraId="7EA7A5A7" w14:textId="77777777" w:rsidR="00A448CA" w:rsidRPr="002048A7" w:rsidRDefault="00A448CA" w:rsidP="001173BD">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KIRIKKALE</w:t>
            </w:r>
          </w:p>
        </w:tc>
        <w:tc>
          <w:tcPr>
            <w:tcW w:w="3037" w:type="dxa"/>
            <w:tcBorders>
              <w:top w:val="nil"/>
              <w:left w:val="nil"/>
              <w:bottom w:val="single" w:sz="8" w:space="0" w:color="auto"/>
              <w:right w:val="single" w:sz="8" w:space="0" w:color="auto"/>
            </w:tcBorders>
            <w:shd w:val="clear" w:color="auto" w:fill="auto"/>
            <w:hideMark/>
          </w:tcPr>
          <w:p w14:paraId="008B0390"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5D6AC0">
              <w:rPr>
                <w:rFonts w:ascii="Calibri" w:eastAsia="Times New Roman" w:hAnsi="Calibri" w:cs="Calibri"/>
                <w:color w:val="000000"/>
                <w:lang w:eastAsia="tr-TR"/>
              </w:rPr>
              <w:t>18.679.446,36₺</w:t>
            </w:r>
          </w:p>
        </w:tc>
        <w:tc>
          <w:tcPr>
            <w:tcW w:w="3204" w:type="dxa"/>
            <w:tcBorders>
              <w:top w:val="nil"/>
              <w:left w:val="nil"/>
              <w:bottom w:val="single" w:sz="8" w:space="0" w:color="auto"/>
              <w:right w:val="single" w:sz="8" w:space="0" w:color="auto"/>
            </w:tcBorders>
            <w:shd w:val="clear" w:color="auto" w:fill="auto"/>
            <w:hideMark/>
          </w:tcPr>
          <w:p w14:paraId="70146395"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5D6AC0">
              <w:rPr>
                <w:rFonts w:ascii="Calibri" w:eastAsia="Times New Roman" w:hAnsi="Calibri" w:cs="Calibri"/>
                <w:color w:val="000000"/>
                <w:lang w:eastAsia="tr-TR"/>
              </w:rPr>
              <w:t>4.909.000,00₺</w:t>
            </w:r>
          </w:p>
        </w:tc>
        <w:tc>
          <w:tcPr>
            <w:tcW w:w="698" w:type="dxa"/>
            <w:tcBorders>
              <w:top w:val="nil"/>
              <w:left w:val="nil"/>
              <w:bottom w:val="single" w:sz="8" w:space="0" w:color="auto"/>
              <w:right w:val="single" w:sz="8" w:space="0" w:color="auto"/>
            </w:tcBorders>
            <w:shd w:val="clear" w:color="auto" w:fill="auto"/>
            <w:hideMark/>
          </w:tcPr>
          <w:p w14:paraId="593D34C7"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5D6AC0">
              <w:rPr>
                <w:rFonts w:ascii="Calibri" w:eastAsia="Times New Roman" w:hAnsi="Calibri" w:cs="Calibri"/>
                <w:color w:val="000000"/>
                <w:lang w:eastAsia="tr-TR"/>
              </w:rPr>
              <w:t>5</w:t>
            </w:r>
          </w:p>
        </w:tc>
      </w:tr>
      <w:tr w:rsidR="00A448CA" w:rsidRPr="002048A7" w14:paraId="26C3DC50" w14:textId="77777777" w:rsidTr="001173BD">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5DED9E9B"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48</w:t>
            </w:r>
          </w:p>
        </w:tc>
        <w:tc>
          <w:tcPr>
            <w:tcW w:w="1887" w:type="dxa"/>
            <w:tcBorders>
              <w:top w:val="nil"/>
              <w:left w:val="nil"/>
              <w:bottom w:val="single" w:sz="8" w:space="0" w:color="auto"/>
              <w:right w:val="single" w:sz="8" w:space="0" w:color="auto"/>
            </w:tcBorders>
            <w:shd w:val="clear" w:color="auto" w:fill="auto"/>
            <w:vAlign w:val="center"/>
            <w:hideMark/>
          </w:tcPr>
          <w:p w14:paraId="7FEA8263" w14:textId="77777777" w:rsidR="00A448CA" w:rsidRPr="002048A7" w:rsidRDefault="00A448CA" w:rsidP="001173BD">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KIRKLARELİ</w:t>
            </w:r>
          </w:p>
        </w:tc>
        <w:tc>
          <w:tcPr>
            <w:tcW w:w="3037" w:type="dxa"/>
            <w:tcBorders>
              <w:top w:val="nil"/>
              <w:left w:val="nil"/>
              <w:bottom w:val="single" w:sz="8" w:space="0" w:color="auto"/>
              <w:right w:val="single" w:sz="8" w:space="0" w:color="auto"/>
            </w:tcBorders>
            <w:shd w:val="clear" w:color="auto" w:fill="auto"/>
            <w:hideMark/>
          </w:tcPr>
          <w:p w14:paraId="62990740"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5D6AC0">
              <w:rPr>
                <w:rFonts w:ascii="Calibri" w:eastAsia="Times New Roman" w:hAnsi="Calibri" w:cs="Calibri"/>
                <w:color w:val="000000"/>
                <w:lang w:eastAsia="tr-TR"/>
              </w:rPr>
              <w:t>2.838.312,41₺</w:t>
            </w:r>
          </w:p>
        </w:tc>
        <w:tc>
          <w:tcPr>
            <w:tcW w:w="3204" w:type="dxa"/>
            <w:tcBorders>
              <w:top w:val="nil"/>
              <w:left w:val="nil"/>
              <w:bottom w:val="single" w:sz="8" w:space="0" w:color="auto"/>
              <w:right w:val="single" w:sz="8" w:space="0" w:color="auto"/>
            </w:tcBorders>
            <w:shd w:val="clear" w:color="auto" w:fill="auto"/>
            <w:hideMark/>
          </w:tcPr>
          <w:p w14:paraId="23B802AF"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5D6AC0">
              <w:rPr>
                <w:rFonts w:ascii="Calibri" w:eastAsia="Times New Roman" w:hAnsi="Calibri" w:cs="Calibri"/>
                <w:color w:val="000000"/>
                <w:lang w:eastAsia="tr-TR"/>
              </w:rPr>
              <w:t>501.000,00₺</w:t>
            </w:r>
          </w:p>
        </w:tc>
        <w:tc>
          <w:tcPr>
            <w:tcW w:w="698" w:type="dxa"/>
            <w:tcBorders>
              <w:top w:val="nil"/>
              <w:left w:val="nil"/>
              <w:bottom w:val="single" w:sz="8" w:space="0" w:color="auto"/>
              <w:right w:val="single" w:sz="8" w:space="0" w:color="auto"/>
            </w:tcBorders>
            <w:shd w:val="clear" w:color="auto" w:fill="auto"/>
            <w:hideMark/>
          </w:tcPr>
          <w:p w14:paraId="654BC4A5"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5D6AC0">
              <w:rPr>
                <w:rFonts w:ascii="Calibri" w:eastAsia="Times New Roman" w:hAnsi="Calibri" w:cs="Calibri"/>
                <w:color w:val="000000"/>
                <w:lang w:eastAsia="tr-TR"/>
              </w:rPr>
              <w:t>4</w:t>
            </w:r>
          </w:p>
        </w:tc>
      </w:tr>
      <w:tr w:rsidR="00A448CA" w:rsidRPr="002048A7" w14:paraId="6E61B518" w14:textId="77777777" w:rsidTr="001173BD">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42E7B1E5"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lastRenderedPageBreak/>
              <w:t>49</w:t>
            </w:r>
          </w:p>
        </w:tc>
        <w:tc>
          <w:tcPr>
            <w:tcW w:w="1887" w:type="dxa"/>
            <w:tcBorders>
              <w:top w:val="nil"/>
              <w:left w:val="nil"/>
              <w:bottom w:val="single" w:sz="8" w:space="0" w:color="auto"/>
              <w:right w:val="single" w:sz="8" w:space="0" w:color="auto"/>
            </w:tcBorders>
            <w:shd w:val="clear" w:color="auto" w:fill="auto"/>
            <w:vAlign w:val="center"/>
            <w:hideMark/>
          </w:tcPr>
          <w:p w14:paraId="4DA066F2" w14:textId="77777777" w:rsidR="00A448CA" w:rsidRPr="002048A7" w:rsidRDefault="00A448CA" w:rsidP="001173BD">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KIRŞEHİR</w:t>
            </w:r>
          </w:p>
        </w:tc>
        <w:tc>
          <w:tcPr>
            <w:tcW w:w="3037" w:type="dxa"/>
            <w:tcBorders>
              <w:top w:val="nil"/>
              <w:left w:val="nil"/>
              <w:bottom w:val="single" w:sz="8" w:space="0" w:color="auto"/>
              <w:right w:val="single" w:sz="8" w:space="0" w:color="auto"/>
            </w:tcBorders>
            <w:shd w:val="clear" w:color="auto" w:fill="auto"/>
            <w:hideMark/>
          </w:tcPr>
          <w:p w14:paraId="1D9A3A11"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5D6AC0">
              <w:rPr>
                <w:rFonts w:ascii="Calibri" w:eastAsia="Times New Roman" w:hAnsi="Calibri" w:cs="Calibri"/>
                <w:color w:val="000000"/>
                <w:lang w:eastAsia="tr-TR"/>
              </w:rPr>
              <w:t>3.426.432,54₺</w:t>
            </w:r>
          </w:p>
        </w:tc>
        <w:tc>
          <w:tcPr>
            <w:tcW w:w="3204" w:type="dxa"/>
            <w:tcBorders>
              <w:top w:val="nil"/>
              <w:left w:val="nil"/>
              <w:bottom w:val="single" w:sz="8" w:space="0" w:color="auto"/>
              <w:right w:val="single" w:sz="8" w:space="0" w:color="auto"/>
            </w:tcBorders>
            <w:shd w:val="clear" w:color="auto" w:fill="auto"/>
            <w:hideMark/>
          </w:tcPr>
          <w:p w14:paraId="40B26416"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5D6AC0">
              <w:rPr>
                <w:rFonts w:ascii="Calibri" w:eastAsia="Times New Roman" w:hAnsi="Calibri" w:cs="Calibri"/>
                <w:color w:val="000000"/>
                <w:lang w:eastAsia="tr-TR"/>
              </w:rPr>
              <w:t>764.000,00₺</w:t>
            </w:r>
          </w:p>
        </w:tc>
        <w:tc>
          <w:tcPr>
            <w:tcW w:w="698" w:type="dxa"/>
            <w:tcBorders>
              <w:top w:val="nil"/>
              <w:left w:val="nil"/>
              <w:bottom w:val="single" w:sz="8" w:space="0" w:color="auto"/>
              <w:right w:val="single" w:sz="8" w:space="0" w:color="auto"/>
            </w:tcBorders>
            <w:shd w:val="clear" w:color="auto" w:fill="auto"/>
            <w:hideMark/>
          </w:tcPr>
          <w:p w14:paraId="16B66587"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5D6AC0">
              <w:rPr>
                <w:rFonts w:ascii="Calibri" w:eastAsia="Times New Roman" w:hAnsi="Calibri" w:cs="Calibri"/>
                <w:color w:val="000000"/>
                <w:lang w:eastAsia="tr-TR"/>
              </w:rPr>
              <w:t>3</w:t>
            </w:r>
          </w:p>
        </w:tc>
      </w:tr>
      <w:tr w:rsidR="00A448CA" w:rsidRPr="002048A7" w14:paraId="25AA8776" w14:textId="77777777" w:rsidTr="001173BD">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356D5DBE"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50</w:t>
            </w:r>
          </w:p>
        </w:tc>
        <w:tc>
          <w:tcPr>
            <w:tcW w:w="1887" w:type="dxa"/>
            <w:tcBorders>
              <w:top w:val="nil"/>
              <w:left w:val="nil"/>
              <w:bottom w:val="single" w:sz="8" w:space="0" w:color="auto"/>
              <w:right w:val="single" w:sz="8" w:space="0" w:color="auto"/>
            </w:tcBorders>
            <w:shd w:val="clear" w:color="auto" w:fill="auto"/>
            <w:vAlign w:val="center"/>
            <w:hideMark/>
          </w:tcPr>
          <w:p w14:paraId="3FB21DF6" w14:textId="77777777" w:rsidR="00A448CA" w:rsidRPr="002048A7" w:rsidRDefault="00A448CA" w:rsidP="001173BD">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KOCAELİ</w:t>
            </w:r>
          </w:p>
        </w:tc>
        <w:tc>
          <w:tcPr>
            <w:tcW w:w="3037" w:type="dxa"/>
            <w:tcBorders>
              <w:top w:val="nil"/>
              <w:left w:val="nil"/>
              <w:bottom w:val="single" w:sz="8" w:space="0" w:color="auto"/>
              <w:right w:val="single" w:sz="8" w:space="0" w:color="auto"/>
            </w:tcBorders>
            <w:shd w:val="clear" w:color="auto" w:fill="auto"/>
            <w:hideMark/>
          </w:tcPr>
          <w:p w14:paraId="2F343B56"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5D6AC0">
              <w:rPr>
                <w:rFonts w:ascii="Calibri" w:eastAsia="Times New Roman" w:hAnsi="Calibri" w:cs="Calibri"/>
                <w:color w:val="000000"/>
                <w:lang w:eastAsia="tr-TR"/>
              </w:rPr>
              <w:t>39.606.273,21₺</w:t>
            </w:r>
          </w:p>
        </w:tc>
        <w:tc>
          <w:tcPr>
            <w:tcW w:w="3204" w:type="dxa"/>
            <w:tcBorders>
              <w:top w:val="nil"/>
              <w:left w:val="nil"/>
              <w:bottom w:val="single" w:sz="8" w:space="0" w:color="auto"/>
              <w:right w:val="single" w:sz="8" w:space="0" w:color="auto"/>
            </w:tcBorders>
            <w:shd w:val="clear" w:color="auto" w:fill="auto"/>
            <w:hideMark/>
          </w:tcPr>
          <w:p w14:paraId="01D52B56"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5D6AC0">
              <w:rPr>
                <w:rFonts w:ascii="Calibri" w:eastAsia="Times New Roman" w:hAnsi="Calibri" w:cs="Calibri"/>
                <w:color w:val="000000"/>
                <w:lang w:eastAsia="tr-TR"/>
              </w:rPr>
              <w:t>18.758.780,79₺</w:t>
            </w:r>
          </w:p>
        </w:tc>
        <w:tc>
          <w:tcPr>
            <w:tcW w:w="698" w:type="dxa"/>
            <w:tcBorders>
              <w:top w:val="nil"/>
              <w:left w:val="nil"/>
              <w:bottom w:val="single" w:sz="8" w:space="0" w:color="auto"/>
              <w:right w:val="single" w:sz="8" w:space="0" w:color="auto"/>
            </w:tcBorders>
            <w:shd w:val="clear" w:color="auto" w:fill="auto"/>
            <w:hideMark/>
          </w:tcPr>
          <w:p w14:paraId="69EC3497"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5D6AC0">
              <w:rPr>
                <w:rFonts w:ascii="Calibri" w:eastAsia="Times New Roman" w:hAnsi="Calibri" w:cs="Calibri"/>
                <w:color w:val="000000"/>
                <w:lang w:eastAsia="tr-TR"/>
              </w:rPr>
              <w:t>15</w:t>
            </w:r>
          </w:p>
        </w:tc>
      </w:tr>
      <w:tr w:rsidR="00A448CA" w:rsidRPr="002048A7" w14:paraId="2F9B77EF" w14:textId="77777777" w:rsidTr="001173BD">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1A1B74FD"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51</w:t>
            </w:r>
          </w:p>
        </w:tc>
        <w:tc>
          <w:tcPr>
            <w:tcW w:w="1887" w:type="dxa"/>
            <w:tcBorders>
              <w:top w:val="nil"/>
              <w:left w:val="nil"/>
              <w:bottom w:val="single" w:sz="8" w:space="0" w:color="auto"/>
              <w:right w:val="single" w:sz="8" w:space="0" w:color="auto"/>
            </w:tcBorders>
            <w:shd w:val="clear" w:color="auto" w:fill="auto"/>
            <w:vAlign w:val="center"/>
            <w:hideMark/>
          </w:tcPr>
          <w:p w14:paraId="2A63CD73" w14:textId="77777777" w:rsidR="00A448CA" w:rsidRPr="002048A7" w:rsidRDefault="00A448CA" w:rsidP="001173BD">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KONYA</w:t>
            </w:r>
          </w:p>
        </w:tc>
        <w:tc>
          <w:tcPr>
            <w:tcW w:w="3037" w:type="dxa"/>
            <w:tcBorders>
              <w:top w:val="nil"/>
              <w:left w:val="nil"/>
              <w:bottom w:val="single" w:sz="8" w:space="0" w:color="auto"/>
              <w:right w:val="single" w:sz="8" w:space="0" w:color="auto"/>
            </w:tcBorders>
            <w:shd w:val="clear" w:color="auto" w:fill="auto"/>
            <w:hideMark/>
          </w:tcPr>
          <w:p w14:paraId="51CD8FD1"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5D6AC0">
              <w:rPr>
                <w:rFonts w:ascii="Calibri" w:eastAsia="Times New Roman" w:hAnsi="Calibri" w:cs="Calibri"/>
                <w:color w:val="000000"/>
                <w:lang w:eastAsia="tr-TR"/>
              </w:rPr>
              <w:t>63.011.796,36₺</w:t>
            </w:r>
          </w:p>
        </w:tc>
        <w:tc>
          <w:tcPr>
            <w:tcW w:w="3204" w:type="dxa"/>
            <w:tcBorders>
              <w:top w:val="nil"/>
              <w:left w:val="nil"/>
              <w:bottom w:val="single" w:sz="8" w:space="0" w:color="auto"/>
              <w:right w:val="single" w:sz="8" w:space="0" w:color="auto"/>
            </w:tcBorders>
            <w:shd w:val="clear" w:color="auto" w:fill="auto"/>
            <w:hideMark/>
          </w:tcPr>
          <w:p w14:paraId="56131300"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5D6AC0">
              <w:rPr>
                <w:rFonts w:ascii="Calibri" w:eastAsia="Times New Roman" w:hAnsi="Calibri" w:cs="Calibri"/>
                <w:color w:val="000000"/>
                <w:lang w:eastAsia="tr-TR"/>
              </w:rPr>
              <w:t>63.487.924,22₺</w:t>
            </w:r>
          </w:p>
        </w:tc>
        <w:tc>
          <w:tcPr>
            <w:tcW w:w="698" w:type="dxa"/>
            <w:tcBorders>
              <w:top w:val="nil"/>
              <w:left w:val="nil"/>
              <w:bottom w:val="single" w:sz="8" w:space="0" w:color="auto"/>
              <w:right w:val="single" w:sz="8" w:space="0" w:color="auto"/>
            </w:tcBorders>
            <w:shd w:val="clear" w:color="auto" w:fill="auto"/>
            <w:hideMark/>
          </w:tcPr>
          <w:p w14:paraId="34CCCB2E"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5D6AC0">
              <w:rPr>
                <w:rFonts w:ascii="Calibri" w:eastAsia="Times New Roman" w:hAnsi="Calibri" w:cs="Calibri"/>
                <w:color w:val="000000"/>
                <w:lang w:eastAsia="tr-TR"/>
              </w:rPr>
              <w:t>5</w:t>
            </w:r>
          </w:p>
        </w:tc>
      </w:tr>
      <w:tr w:rsidR="00A448CA" w:rsidRPr="002048A7" w14:paraId="35CA2FD6" w14:textId="77777777" w:rsidTr="001173BD">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7A54C597"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52</w:t>
            </w:r>
          </w:p>
        </w:tc>
        <w:tc>
          <w:tcPr>
            <w:tcW w:w="1887" w:type="dxa"/>
            <w:tcBorders>
              <w:top w:val="nil"/>
              <w:left w:val="nil"/>
              <w:bottom w:val="single" w:sz="8" w:space="0" w:color="auto"/>
              <w:right w:val="single" w:sz="8" w:space="0" w:color="auto"/>
            </w:tcBorders>
            <w:shd w:val="clear" w:color="auto" w:fill="auto"/>
            <w:vAlign w:val="center"/>
            <w:hideMark/>
          </w:tcPr>
          <w:p w14:paraId="212D33C9" w14:textId="77777777" w:rsidR="00A448CA" w:rsidRPr="002048A7" w:rsidRDefault="00A448CA" w:rsidP="001173BD">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KÜTAHYA</w:t>
            </w:r>
          </w:p>
        </w:tc>
        <w:tc>
          <w:tcPr>
            <w:tcW w:w="3037" w:type="dxa"/>
            <w:tcBorders>
              <w:top w:val="nil"/>
              <w:left w:val="nil"/>
              <w:bottom w:val="single" w:sz="8" w:space="0" w:color="auto"/>
              <w:right w:val="single" w:sz="8" w:space="0" w:color="auto"/>
            </w:tcBorders>
            <w:shd w:val="clear" w:color="auto" w:fill="auto"/>
            <w:hideMark/>
          </w:tcPr>
          <w:p w14:paraId="5E28584B"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5D6AC0">
              <w:rPr>
                <w:rFonts w:ascii="Calibri" w:eastAsia="Times New Roman" w:hAnsi="Calibri" w:cs="Calibri"/>
                <w:color w:val="000000"/>
                <w:lang w:eastAsia="tr-TR"/>
              </w:rPr>
              <w:t>3.130,63₺</w:t>
            </w:r>
          </w:p>
        </w:tc>
        <w:tc>
          <w:tcPr>
            <w:tcW w:w="3204" w:type="dxa"/>
            <w:tcBorders>
              <w:top w:val="nil"/>
              <w:left w:val="nil"/>
              <w:bottom w:val="single" w:sz="8" w:space="0" w:color="auto"/>
              <w:right w:val="single" w:sz="8" w:space="0" w:color="auto"/>
            </w:tcBorders>
            <w:shd w:val="clear" w:color="auto" w:fill="auto"/>
            <w:hideMark/>
          </w:tcPr>
          <w:p w14:paraId="4CD030E1"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5D6AC0">
              <w:rPr>
                <w:rFonts w:ascii="Calibri" w:eastAsia="Times New Roman" w:hAnsi="Calibri" w:cs="Calibri"/>
                <w:color w:val="000000"/>
                <w:lang w:eastAsia="tr-TR"/>
              </w:rPr>
              <w:t>0,00₺</w:t>
            </w:r>
          </w:p>
        </w:tc>
        <w:tc>
          <w:tcPr>
            <w:tcW w:w="698" w:type="dxa"/>
            <w:tcBorders>
              <w:top w:val="nil"/>
              <w:left w:val="nil"/>
              <w:bottom w:val="single" w:sz="8" w:space="0" w:color="auto"/>
              <w:right w:val="single" w:sz="8" w:space="0" w:color="auto"/>
            </w:tcBorders>
            <w:shd w:val="clear" w:color="auto" w:fill="auto"/>
            <w:hideMark/>
          </w:tcPr>
          <w:p w14:paraId="69EFF656"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5D6AC0">
              <w:rPr>
                <w:rFonts w:ascii="Calibri" w:eastAsia="Times New Roman" w:hAnsi="Calibri" w:cs="Calibri"/>
                <w:color w:val="000000"/>
                <w:lang w:eastAsia="tr-TR"/>
              </w:rPr>
              <w:t>3</w:t>
            </w:r>
          </w:p>
        </w:tc>
      </w:tr>
      <w:tr w:rsidR="00A448CA" w:rsidRPr="002048A7" w14:paraId="1DEDA829" w14:textId="77777777" w:rsidTr="001173BD">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289A027B"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53</w:t>
            </w:r>
          </w:p>
        </w:tc>
        <w:tc>
          <w:tcPr>
            <w:tcW w:w="1887" w:type="dxa"/>
            <w:tcBorders>
              <w:top w:val="nil"/>
              <w:left w:val="nil"/>
              <w:bottom w:val="single" w:sz="8" w:space="0" w:color="auto"/>
              <w:right w:val="single" w:sz="8" w:space="0" w:color="auto"/>
            </w:tcBorders>
            <w:shd w:val="clear" w:color="auto" w:fill="auto"/>
            <w:vAlign w:val="center"/>
            <w:hideMark/>
          </w:tcPr>
          <w:p w14:paraId="375DE514" w14:textId="77777777" w:rsidR="00A448CA" w:rsidRPr="002048A7" w:rsidRDefault="00A448CA" w:rsidP="001173BD">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MALATYA</w:t>
            </w:r>
          </w:p>
        </w:tc>
        <w:tc>
          <w:tcPr>
            <w:tcW w:w="3037" w:type="dxa"/>
            <w:tcBorders>
              <w:top w:val="nil"/>
              <w:left w:val="nil"/>
              <w:bottom w:val="single" w:sz="8" w:space="0" w:color="auto"/>
              <w:right w:val="single" w:sz="8" w:space="0" w:color="auto"/>
            </w:tcBorders>
            <w:shd w:val="clear" w:color="auto" w:fill="auto"/>
            <w:vAlign w:val="center"/>
            <w:hideMark/>
          </w:tcPr>
          <w:p w14:paraId="2829F32E" w14:textId="77777777" w:rsidR="00A448CA" w:rsidRPr="002048A7" w:rsidRDefault="00A448CA" w:rsidP="00D56350">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3204" w:type="dxa"/>
            <w:tcBorders>
              <w:top w:val="nil"/>
              <w:left w:val="nil"/>
              <w:bottom w:val="single" w:sz="8" w:space="0" w:color="auto"/>
              <w:right w:val="single" w:sz="8" w:space="0" w:color="auto"/>
            </w:tcBorders>
            <w:shd w:val="clear" w:color="auto" w:fill="auto"/>
            <w:vAlign w:val="center"/>
            <w:hideMark/>
          </w:tcPr>
          <w:p w14:paraId="6C62E70D" w14:textId="77777777" w:rsidR="00A448CA" w:rsidRPr="002048A7" w:rsidRDefault="00A448CA" w:rsidP="00D56350">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698" w:type="dxa"/>
            <w:tcBorders>
              <w:top w:val="nil"/>
              <w:left w:val="nil"/>
              <w:bottom w:val="single" w:sz="8" w:space="0" w:color="auto"/>
              <w:right w:val="single" w:sz="8" w:space="0" w:color="auto"/>
            </w:tcBorders>
            <w:shd w:val="clear" w:color="auto" w:fill="auto"/>
            <w:vAlign w:val="center"/>
            <w:hideMark/>
          </w:tcPr>
          <w:p w14:paraId="2946D888" w14:textId="77777777" w:rsidR="00A448CA" w:rsidRPr="002048A7" w:rsidRDefault="00A448CA" w:rsidP="001173BD">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0</w:t>
            </w:r>
          </w:p>
        </w:tc>
      </w:tr>
      <w:tr w:rsidR="00A448CA" w:rsidRPr="002048A7" w14:paraId="6568A289" w14:textId="77777777" w:rsidTr="001173BD">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4158DCB3"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54</w:t>
            </w:r>
          </w:p>
        </w:tc>
        <w:tc>
          <w:tcPr>
            <w:tcW w:w="1887" w:type="dxa"/>
            <w:tcBorders>
              <w:top w:val="nil"/>
              <w:left w:val="nil"/>
              <w:bottom w:val="single" w:sz="8" w:space="0" w:color="auto"/>
              <w:right w:val="single" w:sz="8" w:space="0" w:color="auto"/>
            </w:tcBorders>
            <w:shd w:val="clear" w:color="auto" w:fill="auto"/>
            <w:vAlign w:val="center"/>
            <w:hideMark/>
          </w:tcPr>
          <w:p w14:paraId="09179486" w14:textId="77777777" w:rsidR="00A448CA" w:rsidRPr="002048A7" w:rsidRDefault="00A448CA" w:rsidP="001173BD">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MANİSA</w:t>
            </w:r>
          </w:p>
        </w:tc>
        <w:tc>
          <w:tcPr>
            <w:tcW w:w="3037" w:type="dxa"/>
            <w:tcBorders>
              <w:top w:val="nil"/>
              <w:left w:val="nil"/>
              <w:bottom w:val="single" w:sz="8" w:space="0" w:color="auto"/>
              <w:right w:val="single" w:sz="8" w:space="0" w:color="auto"/>
            </w:tcBorders>
            <w:shd w:val="clear" w:color="auto" w:fill="auto"/>
            <w:hideMark/>
          </w:tcPr>
          <w:p w14:paraId="68A995D2"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5D6AC0">
              <w:rPr>
                <w:rFonts w:ascii="Calibri" w:eastAsia="Times New Roman" w:hAnsi="Calibri" w:cs="Calibri"/>
                <w:color w:val="000000"/>
                <w:lang w:eastAsia="tr-TR"/>
              </w:rPr>
              <w:t>59.938.250,35₺</w:t>
            </w:r>
          </w:p>
        </w:tc>
        <w:tc>
          <w:tcPr>
            <w:tcW w:w="3204" w:type="dxa"/>
            <w:tcBorders>
              <w:top w:val="nil"/>
              <w:left w:val="nil"/>
              <w:bottom w:val="single" w:sz="8" w:space="0" w:color="auto"/>
              <w:right w:val="single" w:sz="8" w:space="0" w:color="auto"/>
            </w:tcBorders>
            <w:shd w:val="clear" w:color="auto" w:fill="auto"/>
            <w:hideMark/>
          </w:tcPr>
          <w:p w14:paraId="4CE57B85"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5D6AC0">
              <w:rPr>
                <w:rFonts w:ascii="Calibri" w:eastAsia="Times New Roman" w:hAnsi="Calibri" w:cs="Calibri"/>
                <w:color w:val="000000"/>
                <w:lang w:eastAsia="tr-TR"/>
              </w:rPr>
              <w:t>58.937.095,50₺</w:t>
            </w:r>
          </w:p>
        </w:tc>
        <w:tc>
          <w:tcPr>
            <w:tcW w:w="698" w:type="dxa"/>
            <w:tcBorders>
              <w:top w:val="nil"/>
              <w:left w:val="nil"/>
              <w:bottom w:val="single" w:sz="8" w:space="0" w:color="auto"/>
              <w:right w:val="single" w:sz="8" w:space="0" w:color="auto"/>
            </w:tcBorders>
            <w:shd w:val="clear" w:color="auto" w:fill="auto"/>
            <w:hideMark/>
          </w:tcPr>
          <w:p w14:paraId="1AC07C2E"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5D6AC0">
              <w:rPr>
                <w:rFonts w:ascii="Calibri" w:eastAsia="Times New Roman" w:hAnsi="Calibri" w:cs="Calibri"/>
                <w:color w:val="000000"/>
                <w:lang w:eastAsia="tr-TR"/>
              </w:rPr>
              <w:t>11</w:t>
            </w:r>
          </w:p>
        </w:tc>
      </w:tr>
      <w:tr w:rsidR="00A448CA" w:rsidRPr="002048A7" w14:paraId="14E5DDBE" w14:textId="77777777" w:rsidTr="001173BD">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7A3059F4"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55</w:t>
            </w:r>
          </w:p>
        </w:tc>
        <w:tc>
          <w:tcPr>
            <w:tcW w:w="1887" w:type="dxa"/>
            <w:tcBorders>
              <w:top w:val="nil"/>
              <w:left w:val="nil"/>
              <w:bottom w:val="single" w:sz="8" w:space="0" w:color="auto"/>
              <w:right w:val="single" w:sz="8" w:space="0" w:color="auto"/>
            </w:tcBorders>
            <w:shd w:val="clear" w:color="auto" w:fill="auto"/>
            <w:vAlign w:val="center"/>
            <w:hideMark/>
          </w:tcPr>
          <w:p w14:paraId="2BF7CCF8" w14:textId="77777777" w:rsidR="00A448CA" w:rsidRPr="002048A7" w:rsidRDefault="00A448CA" w:rsidP="001173BD">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MARDİN</w:t>
            </w:r>
          </w:p>
        </w:tc>
        <w:tc>
          <w:tcPr>
            <w:tcW w:w="3037" w:type="dxa"/>
            <w:tcBorders>
              <w:top w:val="nil"/>
              <w:left w:val="nil"/>
              <w:bottom w:val="single" w:sz="8" w:space="0" w:color="auto"/>
              <w:right w:val="single" w:sz="8" w:space="0" w:color="auto"/>
            </w:tcBorders>
            <w:shd w:val="clear" w:color="auto" w:fill="auto"/>
            <w:hideMark/>
          </w:tcPr>
          <w:p w14:paraId="5C7F0C26"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5D6AC0">
              <w:rPr>
                <w:rFonts w:ascii="Calibri" w:eastAsia="Times New Roman" w:hAnsi="Calibri" w:cs="Calibri"/>
                <w:color w:val="000000"/>
                <w:lang w:eastAsia="tr-TR"/>
              </w:rPr>
              <w:t>13.670.661,28₺</w:t>
            </w:r>
          </w:p>
        </w:tc>
        <w:tc>
          <w:tcPr>
            <w:tcW w:w="3204" w:type="dxa"/>
            <w:tcBorders>
              <w:top w:val="nil"/>
              <w:left w:val="nil"/>
              <w:bottom w:val="single" w:sz="8" w:space="0" w:color="auto"/>
              <w:right w:val="single" w:sz="8" w:space="0" w:color="auto"/>
            </w:tcBorders>
            <w:shd w:val="clear" w:color="auto" w:fill="auto"/>
            <w:hideMark/>
          </w:tcPr>
          <w:p w14:paraId="110207A4"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5D6AC0">
              <w:rPr>
                <w:rFonts w:ascii="Calibri" w:eastAsia="Times New Roman" w:hAnsi="Calibri" w:cs="Calibri"/>
                <w:color w:val="000000"/>
                <w:lang w:eastAsia="tr-TR"/>
              </w:rPr>
              <w:t>15.029.838,02₺</w:t>
            </w:r>
          </w:p>
        </w:tc>
        <w:tc>
          <w:tcPr>
            <w:tcW w:w="698" w:type="dxa"/>
            <w:tcBorders>
              <w:top w:val="nil"/>
              <w:left w:val="nil"/>
              <w:bottom w:val="single" w:sz="8" w:space="0" w:color="auto"/>
              <w:right w:val="single" w:sz="8" w:space="0" w:color="auto"/>
            </w:tcBorders>
            <w:shd w:val="clear" w:color="auto" w:fill="auto"/>
            <w:hideMark/>
          </w:tcPr>
          <w:p w14:paraId="15EBDF65"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5D6AC0">
              <w:rPr>
                <w:rFonts w:ascii="Calibri" w:eastAsia="Times New Roman" w:hAnsi="Calibri" w:cs="Calibri"/>
                <w:color w:val="000000"/>
                <w:lang w:eastAsia="tr-TR"/>
              </w:rPr>
              <w:t>9</w:t>
            </w:r>
          </w:p>
        </w:tc>
      </w:tr>
      <w:tr w:rsidR="00A448CA" w:rsidRPr="002048A7" w14:paraId="6200F6DE" w14:textId="77777777" w:rsidTr="001173BD">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51787067"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56</w:t>
            </w:r>
          </w:p>
        </w:tc>
        <w:tc>
          <w:tcPr>
            <w:tcW w:w="1887" w:type="dxa"/>
            <w:tcBorders>
              <w:top w:val="nil"/>
              <w:left w:val="nil"/>
              <w:bottom w:val="single" w:sz="8" w:space="0" w:color="auto"/>
              <w:right w:val="single" w:sz="8" w:space="0" w:color="auto"/>
            </w:tcBorders>
            <w:shd w:val="clear" w:color="auto" w:fill="auto"/>
            <w:vAlign w:val="center"/>
            <w:hideMark/>
          </w:tcPr>
          <w:p w14:paraId="147D09F8" w14:textId="77777777" w:rsidR="00A448CA" w:rsidRPr="002048A7" w:rsidRDefault="00A448CA" w:rsidP="001173BD">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MERSİN</w:t>
            </w:r>
          </w:p>
        </w:tc>
        <w:tc>
          <w:tcPr>
            <w:tcW w:w="3037" w:type="dxa"/>
            <w:tcBorders>
              <w:top w:val="nil"/>
              <w:left w:val="nil"/>
              <w:bottom w:val="single" w:sz="8" w:space="0" w:color="auto"/>
              <w:right w:val="single" w:sz="8" w:space="0" w:color="auto"/>
            </w:tcBorders>
            <w:shd w:val="clear" w:color="auto" w:fill="auto"/>
            <w:hideMark/>
          </w:tcPr>
          <w:p w14:paraId="1BF42DD0"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5D6AC0">
              <w:rPr>
                <w:rFonts w:ascii="Calibri" w:eastAsia="Times New Roman" w:hAnsi="Calibri" w:cs="Calibri"/>
                <w:color w:val="000000"/>
                <w:lang w:eastAsia="tr-TR"/>
              </w:rPr>
              <w:t>17.934.390,56₺</w:t>
            </w:r>
          </w:p>
        </w:tc>
        <w:tc>
          <w:tcPr>
            <w:tcW w:w="3204" w:type="dxa"/>
            <w:tcBorders>
              <w:top w:val="nil"/>
              <w:left w:val="nil"/>
              <w:bottom w:val="single" w:sz="8" w:space="0" w:color="auto"/>
              <w:right w:val="single" w:sz="8" w:space="0" w:color="auto"/>
            </w:tcBorders>
            <w:shd w:val="clear" w:color="auto" w:fill="auto"/>
            <w:hideMark/>
          </w:tcPr>
          <w:p w14:paraId="018E3951"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5D6AC0">
              <w:rPr>
                <w:rFonts w:ascii="Calibri" w:eastAsia="Times New Roman" w:hAnsi="Calibri" w:cs="Calibri"/>
                <w:color w:val="000000"/>
                <w:lang w:eastAsia="tr-TR"/>
              </w:rPr>
              <w:t>33.517.958,07₺</w:t>
            </w:r>
          </w:p>
        </w:tc>
        <w:tc>
          <w:tcPr>
            <w:tcW w:w="698" w:type="dxa"/>
            <w:tcBorders>
              <w:top w:val="nil"/>
              <w:left w:val="nil"/>
              <w:bottom w:val="single" w:sz="8" w:space="0" w:color="auto"/>
              <w:right w:val="single" w:sz="8" w:space="0" w:color="auto"/>
            </w:tcBorders>
            <w:shd w:val="clear" w:color="auto" w:fill="auto"/>
            <w:hideMark/>
          </w:tcPr>
          <w:p w14:paraId="4839871B"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5D6AC0">
              <w:rPr>
                <w:rFonts w:ascii="Calibri" w:eastAsia="Times New Roman" w:hAnsi="Calibri" w:cs="Calibri"/>
                <w:color w:val="000000"/>
                <w:lang w:eastAsia="tr-TR"/>
              </w:rPr>
              <w:t>8</w:t>
            </w:r>
          </w:p>
        </w:tc>
      </w:tr>
      <w:tr w:rsidR="00A448CA" w:rsidRPr="002048A7" w14:paraId="7C87B1F5" w14:textId="77777777" w:rsidTr="001173BD">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5A0B82B5"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57</w:t>
            </w:r>
          </w:p>
        </w:tc>
        <w:tc>
          <w:tcPr>
            <w:tcW w:w="1887" w:type="dxa"/>
            <w:tcBorders>
              <w:top w:val="nil"/>
              <w:left w:val="nil"/>
              <w:bottom w:val="single" w:sz="8" w:space="0" w:color="auto"/>
              <w:right w:val="single" w:sz="8" w:space="0" w:color="auto"/>
            </w:tcBorders>
            <w:shd w:val="clear" w:color="auto" w:fill="auto"/>
            <w:vAlign w:val="center"/>
            <w:hideMark/>
          </w:tcPr>
          <w:p w14:paraId="06A22E5A" w14:textId="77777777" w:rsidR="00A448CA" w:rsidRPr="002048A7" w:rsidRDefault="00A448CA" w:rsidP="001173BD">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MUĞLA</w:t>
            </w:r>
          </w:p>
        </w:tc>
        <w:tc>
          <w:tcPr>
            <w:tcW w:w="3037" w:type="dxa"/>
            <w:tcBorders>
              <w:top w:val="nil"/>
              <w:left w:val="nil"/>
              <w:bottom w:val="single" w:sz="8" w:space="0" w:color="auto"/>
              <w:right w:val="single" w:sz="8" w:space="0" w:color="auto"/>
            </w:tcBorders>
            <w:shd w:val="clear" w:color="auto" w:fill="auto"/>
            <w:hideMark/>
          </w:tcPr>
          <w:p w14:paraId="16D8E8F2"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5D6AC0">
              <w:rPr>
                <w:rFonts w:ascii="Calibri" w:eastAsia="Times New Roman" w:hAnsi="Calibri" w:cs="Calibri"/>
                <w:color w:val="000000"/>
                <w:lang w:eastAsia="tr-TR"/>
              </w:rPr>
              <w:t>31.738.324,78₺</w:t>
            </w:r>
          </w:p>
        </w:tc>
        <w:tc>
          <w:tcPr>
            <w:tcW w:w="3204" w:type="dxa"/>
            <w:tcBorders>
              <w:top w:val="nil"/>
              <w:left w:val="nil"/>
              <w:bottom w:val="single" w:sz="8" w:space="0" w:color="auto"/>
              <w:right w:val="single" w:sz="8" w:space="0" w:color="auto"/>
            </w:tcBorders>
            <w:shd w:val="clear" w:color="auto" w:fill="auto"/>
            <w:hideMark/>
          </w:tcPr>
          <w:p w14:paraId="1A6D52E0"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5D6AC0">
              <w:rPr>
                <w:rFonts w:ascii="Calibri" w:eastAsia="Times New Roman" w:hAnsi="Calibri" w:cs="Calibri"/>
                <w:color w:val="000000"/>
                <w:lang w:eastAsia="tr-TR"/>
              </w:rPr>
              <w:t>5.878.155,04₺</w:t>
            </w:r>
          </w:p>
        </w:tc>
        <w:tc>
          <w:tcPr>
            <w:tcW w:w="698" w:type="dxa"/>
            <w:tcBorders>
              <w:top w:val="nil"/>
              <w:left w:val="nil"/>
              <w:bottom w:val="single" w:sz="8" w:space="0" w:color="auto"/>
              <w:right w:val="single" w:sz="8" w:space="0" w:color="auto"/>
            </w:tcBorders>
            <w:shd w:val="clear" w:color="auto" w:fill="auto"/>
            <w:hideMark/>
          </w:tcPr>
          <w:p w14:paraId="6F110F5F"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5D6AC0">
              <w:rPr>
                <w:rFonts w:ascii="Calibri" w:eastAsia="Times New Roman" w:hAnsi="Calibri" w:cs="Calibri"/>
                <w:color w:val="000000"/>
                <w:lang w:eastAsia="tr-TR"/>
              </w:rPr>
              <w:t>7</w:t>
            </w:r>
          </w:p>
        </w:tc>
      </w:tr>
      <w:tr w:rsidR="00A448CA" w:rsidRPr="002048A7" w14:paraId="70ACD03A" w14:textId="77777777" w:rsidTr="001173BD">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7CC30D58"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58</w:t>
            </w:r>
          </w:p>
        </w:tc>
        <w:tc>
          <w:tcPr>
            <w:tcW w:w="1887" w:type="dxa"/>
            <w:tcBorders>
              <w:top w:val="nil"/>
              <w:left w:val="nil"/>
              <w:bottom w:val="single" w:sz="8" w:space="0" w:color="auto"/>
              <w:right w:val="single" w:sz="8" w:space="0" w:color="auto"/>
            </w:tcBorders>
            <w:shd w:val="clear" w:color="auto" w:fill="auto"/>
            <w:vAlign w:val="center"/>
            <w:hideMark/>
          </w:tcPr>
          <w:p w14:paraId="61E3E739" w14:textId="77777777" w:rsidR="00A448CA" w:rsidRPr="002048A7" w:rsidRDefault="00A448CA" w:rsidP="001173BD">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MUŞ</w:t>
            </w:r>
          </w:p>
        </w:tc>
        <w:tc>
          <w:tcPr>
            <w:tcW w:w="3037" w:type="dxa"/>
            <w:tcBorders>
              <w:top w:val="nil"/>
              <w:left w:val="nil"/>
              <w:bottom w:val="single" w:sz="8" w:space="0" w:color="auto"/>
              <w:right w:val="single" w:sz="8" w:space="0" w:color="auto"/>
            </w:tcBorders>
            <w:shd w:val="clear" w:color="auto" w:fill="auto"/>
            <w:hideMark/>
          </w:tcPr>
          <w:p w14:paraId="7F2A5217"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5D6AC0">
              <w:rPr>
                <w:rFonts w:ascii="Calibri" w:eastAsia="Times New Roman" w:hAnsi="Calibri" w:cs="Calibri"/>
                <w:color w:val="000000"/>
                <w:lang w:eastAsia="tr-TR"/>
              </w:rPr>
              <w:t>13.200.000,00₺</w:t>
            </w:r>
          </w:p>
        </w:tc>
        <w:tc>
          <w:tcPr>
            <w:tcW w:w="3204" w:type="dxa"/>
            <w:tcBorders>
              <w:top w:val="nil"/>
              <w:left w:val="nil"/>
              <w:bottom w:val="single" w:sz="8" w:space="0" w:color="auto"/>
              <w:right w:val="single" w:sz="8" w:space="0" w:color="auto"/>
            </w:tcBorders>
            <w:shd w:val="clear" w:color="auto" w:fill="auto"/>
            <w:hideMark/>
          </w:tcPr>
          <w:p w14:paraId="159C3B23"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5D6AC0">
              <w:rPr>
                <w:rFonts w:ascii="Calibri" w:eastAsia="Times New Roman" w:hAnsi="Calibri" w:cs="Calibri"/>
                <w:color w:val="000000"/>
                <w:lang w:eastAsia="tr-TR"/>
              </w:rPr>
              <w:t>26.400.000,00₺</w:t>
            </w:r>
          </w:p>
        </w:tc>
        <w:tc>
          <w:tcPr>
            <w:tcW w:w="698" w:type="dxa"/>
            <w:tcBorders>
              <w:top w:val="nil"/>
              <w:left w:val="nil"/>
              <w:bottom w:val="single" w:sz="8" w:space="0" w:color="auto"/>
              <w:right w:val="single" w:sz="8" w:space="0" w:color="auto"/>
            </w:tcBorders>
            <w:shd w:val="clear" w:color="auto" w:fill="auto"/>
            <w:hideMark/>
          </w:tcPr>
          <w:p w14:paraId="25956E15"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5D6AC0">
              <w:rPr>
                <w:rFonts w:ascii="Calibri" w:eastAsia="Times New Roman" w:hAnsi="Calibri" w:cs="Calibri"/>
                <w:color w:val="000000"/>
                <w:lang w:eastAsia="tr-TR"/>
              </w:rPr>
              <w:t>2</w:t>
            </w:r>
          </w:p>
        </w:tc>
      </w:tr>
      <w:tr w:rsidR="00A448CA" w:rsidRPr="002048A7" w14:paraId="6ED84BB7" w14:textId="77777777" w:rsidTr="001173BD">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30BD2E8B"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59</w:t>
            </w:r>
          </w:p>
        </w:tc>
        <w:tc>
          <w:tcPr>
            <w:tcW w:w="1887" w:type="dxa"/>
            <w:tcBorders>
              <w:top w:val="nil"/>
              <w:left w:val="nil"/>
              <w:bottom w:val="single" w:sz="8" w:space="0" w:color="auto"/>
              <w:right w:val="single" w:sz="8" w:space="0" w:color="auto"/>
            </w:tcBorders>
            <w:shd w:val="clear" w:color="auto" w:fill="auto"/>
            <w:vAlign w:val="center"/>
            <w:hideMark/>
          </w:tcPr>
          <w:p w14:paraId="64AF4C82" w14:textId="77777777" w:rsidR="00A448CA" w:rsidRPr="002048A7" w:rsidRDefault="00A448CA" w:rsidP="001173BD">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NEVŞEHİR</w:t>
            </w:r>
          </w:p>
        </w:tc>
        <w:tc>
          <w:tcPr>
            <w:tcW w:w="3037" w:type="dxa"/>
            <w:tcBorders>
              <w:top w:val="nil"/>
              <w:left w:val="nil"/>
              <w:bottom w:val="single" w:sz="8" w:space="0" w:color="auto"/>
              <w:right w:val="single" w:sz="8" w:space="0" w:color="auto"/>
            </w:tcBorders>
            <w:shd w:val="clear" w:color="auto" w:fill="auto"/>
            <w:hideMark/>
          </w:tcPr>
          <w:p w14:paraId="3416F20A"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5D6AC0">
              <w:rPr>
                <w:rFonts w:ascii="Calibri" w:eastAsia="Times New Roman" w:hAnsi="Calibri" w:cs="Calibri"/>
                <w:color w:val="000000"/>
                <w:lang w:eastAsia="tr-TR"/>
              </w:rPr>
              <w:t>9.269.070,22₺</w:t>
            </w:r>
          </w:p>
        </w:tc>
        <w:tc>
          <w:tcPr>
            <w:tcW w:w="3204" w:type="dxa"/>
            <w:tcBorders>
              <w:top w:val="nil"/>
              <w:left w:val="nil"/>
              <w:bottom w:val="single" w:sz="8" w:space="0" w:color="auto"/>
              <w:right w:val="single" w:sz="8" w:space="0" w:color="auto"/>
            </w:tcBorders>
            <w:shd w:val="clear" w:color="auto" w:fill="auto"/>
            <w:hideMark/>
          </w:tcPr>
          <w:p w14:paraId="6F50492A"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5D6AC0">
              <w:rPr>
                <w:rFonts w:ascii="Calibri" w:eastAsia="Times New Roman" w:hAnsi="Calibri" w:cs="Calibri"/>
                <w:color w:val="000000"/>
                <w:lang w:eastAsia="tr-TR"/>
              </w:rPr>
              <w:t>469.070,22₺</w:t>
            </w:r>
          </w:p>
        </w:tc>
        <w:tc>
          <w:tcPr>
            <w:tcW w:w="698" w:type="dxa"/>
            <w:tcBorders>
              <w:top w:val="nil"/>
              <w:left w:val="nil"/>
              <w:bottom w:val="single" w:sz="8" w:space="0" w:color="auto"/>
              <w:right w:val="single" w:sz="8" w:space="0" w:color="auto"/>
            </w:tcBorders>
            <w:shd w:val="clear" w:color="auto" w:fill="auto"/>
            <w:hideMark/>
          </w:tcPr>
          <w:p w14:paraId="7613C0CC"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5D6AC0">
              <w:rPr>
                <w:rFonts w:ascii="Calibri" w:eastAsia="Times New Roman" w:hAnsi="Calibri" w:cs="Calibri"/>
                <w:color w:val="000000"/>
                <w:lang w:eastAsia="tr-TR"/>
              </w:rPr>
              <w:t>6</w:t>
            </w:r>
          </w:p>
        </w:tc>
      </w:tr>
      <w:tr w:rsidR="00A448CA" w:rsidRPr="002048A7" w14:paraId="48956EF2" w14:textId="77777777" w:rsidTr="001173BD">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7ADDA430"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60</w:t>
            </w:r>
          </w:p>
        </w:tc>
        <w:tc>
          <w:tcPr>
            <w:tcW w:w="1887" w:type="dxa"/>
            <w:tcBorders>
              <w:top w:val="nil"/>
              <w:left w:val="nil"/>
              <w:bottom w:val="single" w:sz="8" w:space="0" w:color="auto"/>
              <w:right w:val="single" w:sz="8" w:space="0" w:color="auto"/>
            </w:tcBorders>
            <w:shd w:val="clear" w:color="auto" w:fill="auto"/>
            <w:vAlign w:val="center"/>
            <w:hideMark/>
          </w:tcPr>
          <w:p w14:paraId="23F0B741" w14:textId="77777777" w:rsidR="00A448CA" w:rsidRPr="002048A7" w:rsidRDefault="00A448CA" w:rsidP="001173BD">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NİĞDE</w:t>
            </w:r>
          </w:p>
        </w:tc>
        <w:tc>
          <w:tcPr>
            <w:tcW w:w="3037" w:type="dxa"/>
            <w:tcBorders>
              <w:top w:val="nil"/>
              <w:left w:val="nil"/>
              <w:bottom w:val="single" w:sz="8" w:space="0" w:color="auto"/>
              <w:right w:val="single" w:sz="8" w:space="0" w:color="auto"/>
            </w:tcBorders>
            <w:shd w:val="clear" w:color="auto" w:fill="auto"/>
            <w:hideMark/>
          </w:tcPr>
          <w:p w14:paraId="64B30F27"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5D6AC0">
              <w:rPr>
                <w:rFonts w:ascii="Calibri" w:eastAsia="Times New Roman" w:hAnsi="Calibri" w:cs="Calibri"/>
                <w:color w:val="000000"/>
                <w:lang w:eastAsia="tr-TR"/>
              </w:rPr>
              <w:t>2.136.936,40₺</w:t>
            </w:r>
          </w:p>
        </w:tc>
        <w:tc>
          <w:tcPr>
            <w:tcW w:w="3204" w:type="dxa"/>
            <w:tcBorders>
              <w:top w:val="nil"/>
              <w:left w:val="nil"/>
              <w:bottom w:val="single" w:sz="8" w:space="0" w:color="auto"/>
              <w:right w:val="single" w:sz="8" w:space="0" w:color="auto"/>
            </w:tcBorders>
            <w:shd w:val="clear" w:color="auto" w:fill="auto"/>
            <w:hideMark/>
          </w:tcPr>
          <w:p w14:paraId="44594381"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5D6AC0">
              <w:rPr>
                <w:rFonts w:ascii="Calibri" w:eastAsia="Times New Roman" w:hAnsi="Calibri" w:cs="Calibri"/>
                <w:color w:val="000000"/>
                <w:lang w:eastAsia="tr-TR"/>
              </w:rPr>
              <w:t>349.100,00₺</w:t>
            </w:r>
          </w:p>
        </w:tc>
        <w:tc>
          <w:tcPr>
            <w:tcW w:w="698" w:type="dxa"/>
            <w:tcBorders>
              <w:top w:val="nil"/>
              <w:left w:val="nil"/>
              <w:bottom w:val="single" w:sz="8" w:space="0" w:color="auto"/>
              <w:right w:val="single" w:sz="8" w:space="0" w:color="auto"/>
            </w:tcBorders>
            <w:shd w:val="clear" w:color="auto" w:fill="auto"/>
            <w:hideMark/>
          </w:tcPr>
          <w:p w14:paraId="2F7F7AC4"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5D6AC0">
              <w:rPr>
                <w:rFonts w:ascii="Calibri" w:eastAsia="Times New Roman" w:hAnsi="Calibri" w:cs="Calibri"/>
                <w:color w:val="000000"/>
                <w:lang w:eastAsia="tr-TR"/>
              </w:rPr>
              <w:t>2</w:t>
            </w:r>
          </w:p>
        </w:tc>
      </w:tr>
      <w:tr w:rsidR="00A448CA" w:rsidRPr="002048A7" w14:paraId="78B81265" w14:textId="77777777" w:rsidTr="001173BD">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27CE072B"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61</w:t>
            </w:r>
          </w:p>
        </w:tc>
        <w:tc>
          <w:tcPr>
            <w:tcW w:w="1887" w:type="dxa"/>
            <w:tcBorders>
              <w:top w:val="nil"/>
              <w:left w:val="nil"/>
              <w:bottom w:val="single" w:sz="8" w:space="0" w:color="auto"/>
              <w:right w:val="single" w:sz="8" w:space="0" w:color="auto"/>
            </w:tcBorders>
            <w:shd w:val="clear" w:color="auto" w:fill="auto"/>
            <w:vAlign w:val="center"/>
            <w:hideMark/>
          </w:tcPr>
          <w:p w14:paraId="25F5BA84" w14:textId="77777777" w:rsidR="00A448CA" w:rsidRPr="002048A7" w:rsidRDefault="00A448CA" w:rsidP="001173BD">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ORDU</w:t>
            </w:r>
          </w:p>
        </w:tc>
        <w:tc>
          <w:tcPr>
            <w:tcW w:w="3037" w:type="dxa"/>
            <w:tcBorders>
              <w:top w:val="nil"/>
              <w:left w:val="nil"/>
              <w:bottom w:val="single" w:sz="8" w:space="0" w:color="auto"/>
              <w:right w:val="single" w:sz="8" w:space="0" w:color="auto"/>
            </w:tcBorders>
            <w:shd w:val="clear" w:color="auto" w:fill="auto"/>
            <w:vAlign w:val="center"/>
            <w:hideMark/>
          </w:tcPr>
          <w:p w14:paraId="5F010EC7" w14:textId="77777777" w:rsidR="00A448CA" w:rsidRPr="002048A7" w:rsidRDefault="00A448CA" w:rsidP="00D56350">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3204" w:type="dxa"/>
            <w:tcBorders>
              <w:top w:val="nil"/>
              <w:left w:val="nil"/>
              <w:bottom w:val="single" w:sz="8" w:space="0" w:color="auto"/>
              <w:right w:val="single" w:sz="8" w:space="0" w:color="auto"/>
            </w:tcBorders>
            <w:shd w:val="clear" w:color="auto" w:fill="auto"/>
            <w:vAlign w:val="center"/>
            <w:hideMark/>
          </w:tcPr>
          <w:p w14:paraId="46A0C44E" w14:textId="77777777" w:rsidR="00A448CA" w:rsidRPr="002048A7" w:rsidRDefault="00A448CA" w:rsidP="00D56350">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698" w:type="dxa"/>
            <w:tcBorders>
              <w:top w:val="nil"/>
              <w:left w:val="nil"/>
              <w:bottom w:val="single" w:sz="8" w:space="0" w:color="auto"/>
              <w:right w:val="single" w:sz="8" w:space="0" w:color="auto"/>
            </w:tcBorders>
            <w:shd w:val="clear" w:color="auto" w:fill="auto"/>
            <w:vAlign w:val="center"/>
            <w:hideMark/>
          </w:tcPr>
          <w:p w14:paraId="2097C046" w14:textId="77777777" w:rsidR="00A448CA" w:rsidRPr="002048A7" w:rsidRDefault="00A448CA" w:rsidP="001173BD">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0</w:t>
            </w:r>
          </w:p>
        </w:tc>
      </w:tr>
      <w:tr w:rsidR="00A448CA" w:rsidRPr="002048A7" w14:paraId="61EA6B50" w14:textId="77777777" w:rsidTr="001173BD">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48A6AC25"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62</w:t>
            </w:r>
          </w:p>
        </w:tc>
        <w:tc>
          <w:tcPr>
            <w:tcW w:w="1887" w:type="dxa"/>
            <w:tcBorders>
              <w:top w:val="nil"/>
              <w:left w:val="nil"/>
              <w:bottom w:val="single" w:sz="8" w:space="0" w:color="auto"/>
              <w:right w:val="single" w:sz="8" w:space="0" w:color="auto"/>
            </w:tcBorders>
            <w:shd w:val="clear" w:color="auto" w:fill="auto"/>
            <w:vAlign w:val="center"/>
            <w:hideMark/>
          </w:tcPr>
          <w:p w14:paraId="3D26E03B" w14:textId="77777777" w:rsidR="00A448CA" w:rsidRPr="002048A7" w:rsidRDefault="00A448CA" w:rsidP="001173BD">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OSMANİYE</w:t>
            </w:r>
          </w:p>
        </w:tc>
        <w:tc>
          <w:tcPr>
            <w:tcW w:w="3037" w:type="dxa"/>
            <w:tcBorders>
              <w:top w:val="nil"/>
              <w:left w:val="nil"/>
              <w:bottom w:val="single" w:sz="8" w:space="0" w:color="auto"/>
              <w:right w:val="single" w:sz="8" w:space="0" w:color="auto"/>
            </w:tcBorders>
            <w:shd w:val="clear" w:color="auto" w:fill="auto"/>
            <w:hideMark/>
          </w:tcPr>
          <w:p w14:paraId="17751AA4"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5D6AC0">
              <w:rPr>
                <w:rFonts w:ascii="Calibri" w:eastAsia="Times New Roman" w:hAnsi="Calibri" w:cs="Calibri"/>
                <w:color w:val="000000"/>
                <w:lang w:eastAsia="tr-TR"/>
              </w:rPr>
              <w:t>4.400.000,00₺</w:t>
            </w:r>
          </w:p>
        </w:tc>
        <w:tc>
          <w:tcPr>
            <w:tcW w:w="3204" w:type="dxa"/>
            <w:tcBorders>
              <w:top w:val="nil"/>
              <w:left w:val="nil"/>
              <w:bottom w:val="single" w:sz="8" w:space="0" w:color="auto"/>
              <w:right w:val="single" w:sz="8" w:space="0" w:color="auto"/>
            </w:tcBorders>
            <w:shd w:val="clear" w:color="auto" w:fill="auto"/>
            <w:hideMark/>
          </w:tcPr>
          <w:p w14:paraId="028BCBF1"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5D6AC0">
              <w:rPr>
                <w:rFonts w:ascii="Calibri" w:eastAsia="Times New Roman" w:hAnsi="Calibri" w:cs="Calibri"/>
                <w:color w:val="000000"/>
                <w:lang w:eastAsia="tr-TR"/>
              </w:rPr>
              <w:t>4.400.000,00₺</w:t>
            </w:r>
          </w:p>
        </w:tc>
        <w:tc>
          <w:tcPr>
            <w:tcW w:w="698" w:type="dxa"/>
            <w:tcBorders>
              <w:top w:val="nil"/>
              <w:left w:val="nil"/>
              <w:bottom w:val="single" w:sz="8" w:space="0" w:color="auto"/>
              <w:right w:val="single" w:sz="8" w:space="0" w:color="auto"/>
            </w:tcBorders>
            <w:shd w:val="clear" w:color="auto" w:fill="auto"/>
            <w:hideMark/>
          </w:tcPr>
          <w:p w14:paraId="481B7F2B"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5D6AC0">
              <w:rPr>
                <w:rFonts w:ascii="Calibri" w:eastAsia="Times New Roman" w:hAnsi="Calibri" w:cs="Calibri"/>
                <w:color w:val="000000"/>
                <w:lang w:eastAsia="tr-TR"/>
              </w:rPr>
              <w:t>1</w:t>
            </w:r>
          </w:p>
        </w:tc>
      </w:tr>
      <w:tr w:rsidR="00A448CA" w:rsidRPr="002048A7" w14:paraId="36DF71DB" w14:textId="77777777" w:rsidTr="001173BD">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7923D2F8"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63</w:t>
            </w:r>
          </w:p>
        </w:tc>
        <w:tc>
          <w:tcPr>
            <w:tcW w:w="1887" w:type="dxa"/>
            <w:tcBorders>
              <w:top w:val="nil"/>
              <w:left w:val="nil"/>
              <w:bottom w:val="single" w:sz="8" w:space="0" w:color="auto"/>
              <w:right w:val="single" w:sz="8" w:space="0" w:color="auto"/>
            </w:tcBorders>
            <w:shd w:val="clear" w:color="auto" w:fill="auto"/>
            <w:vAlign w:val="center"/>
            <w:hideMark/>
          </w:tcPr>
          <w:p w14:paraId="6E617E69" w14:textId="77777777" w:rsidR="00A448CA" w:rsidRPr="002048A7" w:rsidRDefault="00A448CA" w:rsidP="001173BD">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RİZE</w:t>
            </w:r>
          </w:p>
        </w:tc>
        <w:tc>
          <w:tcPr>
            <w:tcW w:w="3037" w:type="dxa"/>
            <w:tcBorders>
              <w:top w:val="nil"/>
              <w:left w:val="nil"/>
              <w:bottom w:val="single" w:sz="8" w:space="0" w:color="auto"/>
              <w:right w:val="single" w:sz="8" w:space="0" w:color="auto"/>
            </w:tcBorders>
            <w:shd w:val="clear" w:color="auto" w:fill="auto"/>
            <w:vAlign w:val="center"/>
            <w:hideMark/>
          </w:tcPr>
          <w:p w14:paraId="2D3B67F9" w14:textId="77777777" w:rsidR="00A448CA" w:rsidRPr="002048A7" w:rsidRDefault="00A448CA" w:rsidP="00D56350">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3204" w:type="dxa"/>
            <w:tcBorders>
              <w:top w:val="nil"/>
              <w:left w:val="nil"/>
              <w:bottom w:val="single" w:sz="8" w:space="0" w:color="auto"/>
              <w:right w:val="single" w:sz="8" w:space="0" w:color="auto"/>
            </w:tcBorders>
            <w:shd w:val="clear" w:color="auto" w:fill="auto"/>
            <w:vAlign w:val="center"/>
            <w:hideMark/>
          </w:tcPr>
          <w:p w14:paraId="5B108F9A" w14:textId="77777777" w:rsidR="00A448CA" w:rsidRPr="002048A7" w:rsidRDefault="00A448CA" w:rsidP="00D56350">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698" w:type="dxa"/>
            <w:tcBorders>
              <w:top w:val="nil"/>
              <w:left w:val="nil"/>
              <w:bottom w:val="single" w:sz="8" w:space="0" w:color="auto"/>
              <w:right w:val="single" w:sz="8" w:space="0" w:color="auto"/>
            </w:tcBorders>
            <w:shd w:val="clear" w:color="auto" w:fill="auto"/>
            <w:vAlign w:val="center"/>
            <w:hideMark/>
          </w:tcPr>
          <w:p w14:paraId="2561E01D" w14:textId="77777777" w:rsidR="00A448CA" w:rsidRPr="002048A7" w:rsidRDefault="00A448CA" w:rsidP="001173BD">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0</w:t>
            </w:r>
          </w:p>
        </w:tc>
      </w:tr>
      <w:tr w:rsidR="00A448CA" w:rsidRPr="002048A7" w14:paraId="11489097" w14:textId="77777777" w:rsidTr="001173BD">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351FB6AD"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64</w:t>
            </w:r>
          </w:p>
        </w:tc>
        <w:tc>
          <w:tcPr>
            <w:tcW w:w="1887" w:type="dxa"/>
            <w:tcBorders>
              <w:top w:val="nil"/>
              <w:left w:val="nil"/>
              <w:bottom w:val="single" w:sz="8" w:space="0" w:color="auto"/>
              <w:right w:val="single" w:sz="8" w:space="0" w:color="auto"/>
            </w:tcBorders>
            <w:shd w:val="clear" w:color="auto" w:fill="auto"/>
            <w:vAlign w:val="center"/>
            <w:hideMark/>
          </w:tcPr>
          <w:p w14:paraId="1CAFD5B4" w14:textId="77777777" w:rsidR="00A448CA" w:rsidRPr="002048A7" w:rsidRDefault="00A448CA" w:rsidP="001173BD">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SAKARYA</w:t>
            </w:r>
          </w:p>
        </w:tc>
        <w:tc>
          <w:tcPr>
            <w:tcW w:w="3037" w:type="dxa"/>
            <w:tcBorders>
              <w:top w:val="nil"/>
              <w:left w:val="nil"/>
              <w:bottom w:val="single" w:sz="8" w:space="0" w:color="auto"/>
              <w:right w:val="single" w:sz="8" w:space="0" w:color="auto"/>
            </w:tcBorders>
            <w:shd w:val="clear" w:color="auto" w:fill="auto"/>
            <w:hideMark/>
          </w:tcPr>
          <w:p w14:paraId="20A61F7A"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5D6AC0">
              <w:rPr>
                <w:rFonts w:ascii="Calibri" w:eastAsia="Times New Roman" w:hAnsi="Calibri" w:cs="Calibri"/>
                <w:color w:val="000000"/>
                <w:lang w:eastAsia="tr-TR"/>
              </w:rPr>
              <w:t>24.104.468,79₺</w:t>
            </w:r>
          </w:p>
        </w:tc>
        <w:tc>
          <w:tcPr>
            <w:tcW w:w="3204" w:type="dxa"/>
            <w:tcBorders>
              <w:top w:val="nil"/>
              <w:left w:val="nil"/>
              <w:bottom w:val="single" w:sz="8" w:space="0" w:color="auto"/>
              <w:right w:val="single" w:sz="8" w:space="0" w:color="auto"/>
            </w:tcBorders>
            <w:shd w:val="clear" w:color="auto" w:fill="auto"/>
            <w:hideMark/>
          </w:tcPr>
          <w:p w14:paraId="201250EE"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5D6AC0">
              <w:rPr>
                <w:rFonts w:ascii="Calibri" w:eastAsia="Times New Roman" w:hAnsi="Calibri" w:cs="Calibri"/>
                <w:color w:val="000000"/>
                <w:lang w:eastAsia="tr-TR"/>
              </w:rPr>
              <w:t>17.956.574,38₺</w:t>
            </w:r>
          </w:p>
        </w:tc>
        <w:tc>
          <w:tcPr>
            <w:tcW w:w="698" w:type="dxa"/>
            <w:tcBorders>
              <w:top w:val="nil"/>
              <w:left w:val="nil"/>
              <w:bottom w:val="single" w:sz="8" w:space="0" w:color="auto"/>
              <w:right w:val="single" w:sz="8" w:space="0" w:color="auto"/>
            </w:tcBorders>
            <w:shd w:val="clear" w:color="auto" w:fill="auto"/>
            <w:hideMark/>
          </w:tcPr>
          <w:p w14:paraId="79B78A7B"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5D6AC0">
              <w:rPr>
                <w:rFonts w:ascii="Calibri" w:eastAsia="Times New Roman" w:hAnsi="Calibri" w:cs="Calibri"/>
                <w:color w:val="000000"/>
                <w:lang w:eastAsia="tr-TR"/>
              </w:rPr>
              <w:t>7</w:t>
            </w:r>
          </w:p>
        </w:tc>
      </w:tr>
      <w:tr w:rsidR="00A448CA" w:rsidRPr="002048A7" w14:paraId="57A3E0B3" w14:textId="77777777" w:rsidTr="001173BD">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27DFA6BB"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65</w:t>
            </w:r>
          </w:p>
        </w:tc>
        <w:tc>
          <w:tcPr>
            <w:tcW w:w="1887" w:type="dxa"/>
            <w:tcBorders>
              <w:top w:val="nil"/>
              <w:left w:val="nil"/>
              <w:bottom w:val="single" w:sz="8" w:space="0" w:color="auto"/>
              <w:right w:val="single" w:sz="8" w:space="0" w:color="auto"/>
            </w:tcBorders>
            <w:shd w:val="clear" w:color="auto" w:fill="auto"/>
            <w:vAlign w:val="center"/>
            <w:hideMark/>
          </w:tcPr>
          <w:p w14:paraId="4A0C1E69" w14:textId="77777777" w:rsidR="00A448CA" w:rsidRPr="002048A7" w:rsidRDefault="00A448CA" w:rsidP="001173BD">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SAMSUN</w:t>
            </w:r>
          </w:p>
        </w:tc>
        <w:tc>
          <w:tcPr>
            <w:tcW w:w="3037" w:type="dxa"/>
            <w:tcBorders>
              <w:top w:val="nil"/>
              <w:left w:val="nil"/>
              <w:bottom w:val="single" w:sz="8" w:space="0" w:color="auto"/>
              <w:right w:val="single" w:sz="8" w:space="0" w:color="auto"/>
            </w:tcBorders>
            <w:shd w:val="clear" w:color="auto" w:fill="auto"/>
            <w:hideMark/>
          </w:tcPr>
          <w:p w14:paraId="4DF7911D"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5D6AC0">
              <w:rPr>
                <w:rFonts w:ascii="Calibri" w:eastAsia="Times New Roman" w:hAnsi="Calibri" w:cs="Calibri"/>
                <w:color w:val="000000"/>
                <w:lang w:eastAsia="tr-TR"/>
              </w:rPr>
              <w:t>5.750.841,16₺</w:t>
            </w:r>
          </w:p>
        </w:tc>
        <w:tc>
          <w:tcPr>
            <w:tcW w:w="3204" w:type="dxa"/>
            <w:tcBorders>
              <w:top w:val="nil"/>
              <w:left w:val="nil"/>
              <w:bottom w:val="single" w:sz="8" w:space="0" w:color="auto"/>
              <w:right w:val="single" w:sz="8" w:space="0" w:color="auto"/>
            </w:tcBorders>
            <w:shd w:val="clear" w:color="auto" w:fill="auto"/>
            <w:hideMark/>
          </w:tcPr>
          <w:p w14:paraId="2D86DFC0"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5D6AC0">
              <w:rPr>
                <w:rFonts w:ascii="Calibri" w:eastAsia="Times New Roman" w:hAnsi="Calibri" w:cs="Calibri"/>
                <w:color w:val="000000"/>
                <w:lang w:eastAsia="tr-TR"/>
              </w:rPr>
              <w:t>5.780.441,72₺</w:t>
            </w:r>
          </w:p>
        </w:tc>
        <w:tc>
          <w:tcPr>
            <w:tcW w:w="698" w:type="dxa"/>
            <w:tcBorders>
              <w:top w:val="nil"/>
              <w:left w:val="nil"/>
              <w:bottom w:val="single" w:sz="8" w:space="0" w:color="auto"/>
              <w:right w:val="single" w:sz="8" w:space="0" w:color="auto"/>
            </w:tcBorders>
            <w:shd w:val="clear" w:color="auto" w:fill="auto"/>
            <w:hideMark/>
          </w:tcPr>
          <w:p w14:paraId="2A4296E7"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5D6AC0">
              <w:rPr>
                <w:rFonts w:ascii="Calibri" w:eastAsia="Times New Roman" w:hAnsi="Calibri" w:cs="Calibri"/>
                <w:color w:val="000000"/>
                <w:lang w:eastAsia="tr-TR"/>
              </w:rPr>
              <w:t>8</w:t>
            </w:r>
          </w:p>
        </w:tc>
      </w:tr>
      <w:tr w:rsidR="00A448CA" w:rsidRPr="002048A7" w14:paraId="1E86BCCA" w14:textId="77777777" w:rsidTr="001173BD">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44F0297D"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66</w:t>
            </w:r>
          </w:p>
        </w:tc>
        <w:tc>
          <w:tcPr>
            <w:tcW w:w="1887" w:type="dxa"/>
            <w:tcBorders>
              <w:top w:val="nil"/>
              <w:left w:val="nil"/>
              <w:bottom w:val="single" w:sz="8" w:space="0" w:color="auto"/>
              <w:right w:val="single" w:sz="8" w:space="0" w:color="auto"/>
            </w:tcBorders>
            <w:shd w:val="clear" w:color="auto" w:fill="auto"/>
            <w:vAlign w:val="center"/>
            <w:hideMark/>
          </w:tcPr>
          <w:p w14:paraId="4C7480EB" w14:textId="77777777" w:rsidR="00A448CA" w:rsidRPr="002048A7" w:rsidRDefault="00A448CA" w:rsidP="001173BD">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SİİRT</w:t>
            </w:r>
          </w:p>
        </w:tc>
        <w:tc>
          <w:tcPr>
            <w:tcW w:w="3037" w:type="dxa"/>
            <w:tcBorders>
              <w:top w:val="nil"/>
              <w:left w:val="nil"/>
              <w:bottom w:val="single" w:sz="8" w:space="0" w:color="auto"/>
              <w:right w:val="single" w:sz="8" w:space="0" w:color="auto"/>
            </w:tcBorders>
            <w:shd w:val="clear" w:color="auto" w:fill="auto"/>
            <w:vAlign w:val="center"/>
            <w:hideMark/>
          </w:tcPr>
          <w:p w14:paraId="2C828F6A" w14:textId="77777777" w:rsidR="00A448CA" w:rsidRPr="002048A7" w:rsidRDefault="00A448CA" w:rsidP="00D56350">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3204" w:type="dxa"/>
            <w:tcBorders>
              <w:top w:val="nil"/>
              <w:left w:val="nil"/>
              <w:bottom w:val="single" w:sz="8" w:space="0" w:color="auto"/>
              <w:right w:val="single" w:sz="8" w:space="0" w:color="auto"/>
            </w:tcBorders>
            <w:shd w:val="clear" w:color="auto" w:fill="auto"/>
            <w:vAlign w:val="center"/>
            <w:hideMark/>
          </w:tcPr>
          <w:p w14:paraId="27C49965" w14:textId="77777777" w:rsidR="00A448CA" w:rsidRPr="002048A7" w:rsidRDefault="00A448CA" w:rsidP="00D56350">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698" w:type="dxa"/>
            <w:tcBorders>
              <w:top w:val="nil"/>
              <w:left w:val="nil"/>
              <w:bottom w:val="single" w:sz="8" w:space="0" w:color="auto"/>
              <w:right w:val="single" w:sz="8" w:space="0" w:color="auto"/>
            </w:tcBorders>
            <w:shd w:val="clear" w:color="auto" w:fill="auto"/>
            <w:vAlign w:val="center"/>
            <w:hideMark/>
          </w:tcPr>
          <w:p w14:paraId="3C3D80E6" w14:textId="77777777" w:rsidR="00A448CA" w:rsidRPr="002048A7" w:rsidRDefault="00A448CA" w:rsidP="001173BD">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0</w:t>
            </w:r>
          </w:p>
        </w:tc>
      </w:tr>
      <w:tr w:rsidR="00A448CA" w:rsidRPr="002048A7" w14:paraId="3F4E20A3" w14:textId="77777777" w:rsidTr="001173BD">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320564EE"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67</w:t>
            </w:r>
          </w:p>
        </w:tc>
        <w:tc>
          <w:tcPr>
            <w:tcW w:w="1887" w:type="dxa"/>
            <w:tcBorders>
              <w:top w:val="nil"/>
              <w:left w:val="nil"/>
              <w:bottom w:val="single" w:sz="8" w:space="0" w:color="auto"/>
              <w:right w:val="single" w:sz="8" w:space="0" w:color="auto"/>
            </w:tcBorders>
            <w:shd w:val="clear" w:color="auto" w:fill="auto"/>
            <w:vAlign w:val="center"/>
            <w:hideMark/>
          </w:tcPr>
          <w:p w14:paraId="13FDC63F" w14:textId="77777777" w:rsidR="00A448CA" w:rsidRPr="002048A7" w:rsidRDefault="00A448CA" w:rsidP="001173BD">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SİNOP</w:t>
            </w:r>
          </w:p>
        </w:tc>
        <w:tc>
          <w:tcPr>
            <w:tcW w:w="3037" w:type="dxa"/>
            <w:tcBorders>
              <w:top w:val="nil"/>
              <w:left w:val="nil"/>
              <w:bottom w:val="single" w:sz="8" w:space="0" w:color="auto"/>
              <w:right w:val="single" w:sz="8" w:space="0" w:color="auto"/>
            </w:tcBorders>
            <w:shd w:val="clear" w:color="auto" w:fill="auto"/>
            <w:hideMark/>
          </w:tcPr>
          <w:p w14:paraId="09AB12D1"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5D6AC0">
              <w:rPr>
                <w:rFonts w:ascii="Calibri" w:eastAsia="Times New Roman" w:hAnsi="Calibri" w:cs="Calibri"/>
                <w:color w:val="000000"/>
                <w:lang w:eastAsia="tr-TR"/>
              </w:rPr>
              <w:t>4.885.508,62₺</w:t>
            </w:r>
          </w:p>
        </w:tc>
        <w:tc>
          <w:tcPr>
            <w:tcW w:w="3204" w:type="dxa"/>
            <w:tcBorders>
              <w:top w:val="nil"/>
              <w:left w:val="nil"/>
              <w:bottom w:val="single" w:sz="8" w:space="0" w:color="auto"/>
              <w:right w:val="single" w:sz="8" w:space="0" w:color="auto"/>
            </w:tcBorders>
            <w:shd w:val="clear" w:color="auto" w:fill="auto"/>
            <w:hideMark/>
          </w:tcPr>
          <w:p w14:paraId="02FD8AAF"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5D6AC0">
              <w:rPr>
                <w:rFonts w:ascii="Calibri" w:eastAsia="Times New Roman" w:hAnsi="Calibri" w:cs="Calibri"/>
                <w:color w:val="000000"/>
                <w:lang w:eastAsia="tr-TR"/>
              </w:rPr>
              <w:t>5.056.155,90₺</w:t>
            </w:r>
          </w:p>
        </w:tc>
        <w:tc>
          <w:tcPr>
            <w:tcW w:w="698" w:type="dxa"/>
            <w:tcBorders>
              <w:top w:val="nil"/>
              <w:left w:val="nil"/>
              <w:bottom w:val="single" w:sz="8" w:space="0" w:color="auto"/>
              <w:right w:val="single" w:sz="8" w:space="0" w:color="auto"/>
            </w:tcBorders>
            <w:shd w:val="clear" w:color="auto" w:fill="auto"/>
            <w:hideMark/>
          </w:tcPr>
          <w:p w14:paraId="53BE1C3D"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5D6AC0">
              <w:rPr>
                <w:rFonts w:ascii="Calibri" w:eastAsia="Times New Roman" w:hAnsi="Calibri" w:cs="Calibri"/>
                <w:color w:val="000000"/>
                <w:lang w:eastAsia="tr-TR"/>
              </w:rPr>
              <w:t>2</w:t>
            </w:r>
          </w:p>
        </w:tc>
      </w:tr>
      <w:tr w:rsidR="00A448CA" w:rsidRPr="002048A7" w14:paraId="68158B37" w14:textId="77777777" w:rsidTr="001173BD">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3346DAD7"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68</w:t>
            </w:r>
          </w:p>
        </w:tc>
        <w:tc>
          <w:tcPr>
            <w:tcW w:w="1887" w:type="dxa"/>
            <w:tcBorders>
              <w:top w:val="nil"/>
              <w:left w:val="nil"/>
              <w:bottom w:val="single" w:sz="8" w:space="0" w:color="auto"/>
              <w:right w:val="single" w:sz="8" w:space="0" w:color="auto"/>
            </w:tcBorders>
            <w:shd w:val="clear" w:color="auto" w:fill="auto"/>
            <w:vAlign w:val="center"/>
            <w:hideMark/>
          </w:tcPr>
          <w:p w14:paraId="40464AD7" w14:textId="77777777" w:rsidR="00A448CA" w:rsidRPr="002048A7" w:rsidRDefault="00A448CA" w:rsidP="001173BD">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SİVAS</w:t>
            </w:r>
          </w:p>
        </w:tc>
        <w:tc>
          <w:tcPr>
            <w:tcW w:w="3037" w:type="dxa"/>
            <w:tcBorders>
              <w:top w:val="nil"/>
              <w:left w:val="nil"/>
              <w:bottom w:val="single" w:sz="8" w:space="0" w:color="auto"/>
              <w:right w:val="single" w:sz="8" w:space="0" w:color="auto"/>
            </w:tcBorders>
            <w:shd w:val="clear" w:color="auto" w:fill="auto"/>
            <w:hideMark/>
          </w:tcPr>
          <w:p w14:paraId="63B1E0B0"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5D6AC0">
              <w:rPr>
                <w:rFonts w:ascii="Calibri" w:eastAsia="Times New Roman" w:hAnsi="Calibri" w:cs="Calibri"/>
                <w:color w:val="000000"/>
                <w:lang w:eastAsia="tr-TR"/>
              </w:rPr>
              <w:t>5.650.102,91₺</w:t>
            </w:r>
          </w:p>
        </w:tc>
        <w:tc>
          <w:tcPr>
            <w:tcW w:w="3204" w:type="dxa"/>
            <w:tcBorders>
              <w:top w:val="nil"/>
              <w:left w:val="nil"/>
              <w:bottom w:val="single" w:sz="8" w:space="0" w:color="auto"/>
              <w:right w:val="single" w:sz="8" w:space="0" w:color="auto"/>
            </w:tcBorders>
            <w:shd w:val="clear" w:color="auto" w:fill="auto"/>
            <w:hideMark/>
          </w:tcPr>
          <w:p w14:paraId="3A059DD3"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5D6AC0">
              <w:rPr>
                <w:rFonts w:ascii="Calibri" w:eastAsia="Times New Roman" w:hAnsi="Calibri" w:cs="Calibri"/>
                <w:color w:val="000000"/>
                <w:lang w:eastAsia="tr-TR"/>
              </w:rPr>
              <w:t>4.051.923,92₺</w:t>
            </w:r>
          </w:p>
        </w:tc>
        <w:tc>
          <w:tcPr>
            <w:tcW w:w="698" w:type="dxa"/>
            <w:tcBorders>
              <w:top w:val="nil"/>
              <w:left w:val="nil"/>
              <w:bottom w:val="single" w:sz="8" w:space="0" w:color="auto"/>
              <w:right w:val="single" w:sz="8" w:space="0" w:color="auto"/>
            </w:tcBorders>
            <w:shd w:val="clear" w:color="auto" w:fill="auto"/>
            <w:hideMark/>
          </w:tcPr>
          <w:p w14:paraId="048471FC"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5D6AC0">
              <w:rPr>
                <w:rFonts w:ascii="Calibri" w:eastAsia="Times New Roman" w:hAnsi="Calibri" w:cs="Calibri"/>
                <w:color w:val="000000"/>
                <w:lang w:eastAsia="tr-TR"/>
              </w:rPr>
              <w:t>8</w:t>
            </w:r>
          </w:p>
        </w:tc>
      </w:tr>
      <w:tr w:rsidR="00A448CA" w:rsidRPr="002048A7" w14:paraId="5817F2A9" w14:textId="77777777" w:rsidTr="001173BD">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1D8A9F70"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69</w:t>
            </w:r>
          </w:p>
        </w:tc>
        <w:tc>
          <w:tcPr>
            <w:tcW w:w="1887" w:type="dxa"/>
            <w:tcBorders>
              <w:top w:val="nil"/>
              <w:left w:val="nil"/>
              <w:bottom w:val="single" w:sz="8" w:space="0" w:color="auto"/>
              <w:right w:val="single" w:sz="8" w:space="0" w:color="auto"/>
            </w:tcBorders>
            <w:shd w:val="clear" w:color="auto" w:fill="auto"/>
            <w:vAlign w:val="center"/>
            <w:hideMark/>
          </w:tcPr>
          <w:p w14:paraId="6A135916" w14:textId="77777777" w:rsidR="00A448CA" w:rsidRPr="002048A7" w:rsidRDefault="00A448CA" w:rsidP="001173BD">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ŞANLIURFA</w:t>
            </w:r>
          </w:p>
        </w:tc>
        <w:tc>
          <w:tcPr>
            <w:tcW w:w="3037" w:type="dxa"/>
            <w:tcBorders>
              <w:top w:val="nil"/>
              <w:left w:val="nil"/>
              <w:bottom w:val="single" w:sz="8" w:space="0" w:color="auto"/>
              <w:right w:val="single" w:sz="8" w:space="0" w:color="auto"/>
            </w:tcBorders>
            <w:shd w:val="clear" w:color="auto" w:fill="auto"/>
            <w:hideMark/>
          </w:tcPr>
          <w:p w14:paraId="034D9330"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5D6AC0">
              <w:rPr>
                <w:rFonts w:ascii="Calibri" w:eastAsia="Times New Roman" w:hAnsi="Calibri" w:cs="Calibri"/>
                <w:color w:val="000000"/>
                <w:lang w:eastAsia="tr-TR"/>
              </w:rPr>
              <w:t>50.748.709,34₺</w:t>
            </w:r>
          </w:p>
        </w:tc>
        <w:tc>
          <w:tcPr>
            <w:tcW w:w="3204" w:type="dxa"/>
            <w:tcBorders>
              <w:top w:val="nil"/>
              <w:left w:val="nil"/>
              <w:bottom w:val="single" w:sz="8" w:space="0" w:color="auto"/>
              <w:right w:val="single" w:sz="8" w:space="0" w:color="auto"/>
            </w:tcBorders>
            <w:shd w:val="clear" w:color="auto" w:fill="auto"/>
            <w:hideMark/>
          </w:tcPr>
          <w:p w14:paraId="52144505"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5D6AC0">
              <w:rPr>
                <w:rFonts w:ascii="Calibri" w:eastAsia="Times New Roman" w:hAnsi="Calibri" w:cs="Calibri"/>
                <w:color w:val="000000"/>
                <w:lang w:eastAsia="tr-TR"/>
              </w:rPr>
              <w:t>39.862.187,75₺</w:t>
            </w:r>
          </w:p>
        </w:tc>
        <w:tc>
          <w:tcPr>
            <w:tcW w:w="698" w:type="dxa"/>
            <w:tcBorders>
              <w:top w:val="nil"/>
              <w:left w:val="nil"/>
              <w:bottom w:val="single" w:sz="8" w:space="0" w:color="auto"/>
              <w:right w:val="single" w:sz="8" w:space="0" w:color="auto"/>
            </w:tcBorders>
            <w:shd w:val="clear" w:color="auto" w:fill="auto"/>
            <w:hideMark/>
          </w:tcPr>
          <w:p w14:paraId="6EA8AD94"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5D6AC0">
              <w:rPr>
                <w:rFonts w:ascii="Calibri" w:eastAsia="Times New Roman" w:hAnsi="Calibri" w:cs="Calibri"/>
                <w:color w:val="000000"/>
                <w:lang w:eastAsia="tr-TR"/>
              </w:rPr>
              <w:t>12</w:t>
            </w:r>
          </w:p>
        </w:tc>
      </w:tr>
      <w:tr w:rsidR="00A448CA" w:rsidRPr="002048A7" w14:paraId="3FB5CC9B" w14:textId="77777777" w:rsidTr="001173BD">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29C52CD1"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70</w:t>
            </w:r>
          </w:p>
        </w:tc>
        <w:tc>
          <w:tcPr>
            <w:tcW w:w="1887" w:type="dxa"/>
            <w:tcBorders>
              <w:top w:val="nil"/>
              <w:left w:val="nil"/>
              <w:bottom w:val="single" w:sz="8" w:space="0" w:color="auto"/>
              <w:right w:val="single" w:sz="8" w:space="0" w:color="auto"/>
            </w:tcBorders>
            <w:shd w:val="clear" w:color="auto" w:fill="auto"/>
            <w:vAlign w:val="center"/>
            <w:hideMark/>
          </w:tcPr>
          <w:p w14:paraId="0C55053A" w14:textId="77777777" w:rsidR="00A448CA" w:rsidRPr="002048A7" w:rsidRDefault="00A448CA" w:rsidP="001173BD">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ŞIRNAK</w:t>
            </w:r>
          </w:p>
        </w:tc>
        <w:tc>
          <w:tcPr>
            <w:tcW w:w="3037" w:type="dxa"/>
            <w:tcBorders>
              <w:top w:val="nil"/>
              <w:left w:val="nil"/>
              <w:bottom w:val="single" w:sz="8" w:space="0" w:color="auto"/>
              <w:right w:val="single" w:sz="8" w:space="0" w:color="auto"/>
            </w:tcBorders>
            <w:shd w:val="clear" w:color="auto" w:fill="auto"/>
            <w:vAlign w:val="center"/>
            <w:hideMark/>
          </w:tcPr>
          <w:p w14:paraId="34B6377F" w14:textId="77777777" w:rsidR="00A448CA" w:rsidRPr="002048A7" w:rsidRDefault="00A448CA" w:rsidP="00D56350">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3204" w:type="dxa"/>
            <w:tcBorders>
              <w:top w:val="nil"/>
              <w:left w:val="nil"/>
              <w:bottom w:val="single" w:sz="8" w:space="0" w:color="auto"/>
              <w:right w:val="single" w:sz="8" w:space="0" w:color="auto"/>
            </w:tcBorders>
            <w:shd w:val="clear" w:color="auto" w:fill="auto"/>
            <w:vAlign w:val="center"/>
            <w:hideMark/>
          </w:tcPr>
          <w:p w14:paraId="4D7BCA2B" w14:textId="77777777" w:rsidR="00A448CA" w:rsidRPr="002048A7" w:rsidRDefault="00A448CA" w:rsidP="00D56350">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698" w:type="dxa"/>
            <w:tcBorders>
              <w:top w:val="nil"/>
              <w:left w:val="nil"/>
              <w:bottom w:val="single" w:sz="8" w:space="0" w:color="auto"/>
              <w:right w:val="single" w:sz="8" w:space="0" w:color="auto"/>
            </w:tcBorders>
            <w:shd w:val="clear" w:color="auto" w:fill="auto"/>
            <w:vAlign w:val="center"/>
            <w:hideMark/>
          </w:tcPr>
          <w:p w14:paraId="2107B4F5" w14:textId="77777777" w:rsidR="00A448CA" w:rsidRPr="002048A7" w:rsidRDefault="00A448CA" w:rsidP="001173BD">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0</w:t>
            </w:r>
          </w:p>
        </w:tc>
      </w:tr>
      <w:tr w:rsidR="00A448CA" w:rsidRPr="002048A7" w14:paraId="61385E65" w14:textId="77777777" w:rsidTr="001173BD">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3C773997"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71</w:t>
            </w:r>
          </w:p>
        </w:tc>
        <w:tc>
          <w:tcPr>
            <w:tcW w:w="1887" w:type="dxa"/>
            <w:tcBorders>
              <w:top w:val="nil"/>
              <w:left w:val="nil"/>
              <w:bottom w:val="single" w:sz="8" w:space="0" w:color="auto"/>
              <w:right w:val="single" w:sz="8" w:space="0" w:color="auto"/>
            </w:tcBorders>
            <w:shd w:val="clear" w:color="auto" w:fill="auto"/>
            <w:vAlign w:val="center"/>
            <w:hideMark/>
          </w:tcPr>
          <w:p w14:paraId="44E9232E" w14:textId="77777777" w:rsidR="00A448CA" w:rsidRPr="002048A7" w:rsidRDefault="00A448CA" w:rsidP="001173BD">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TEKİRDAĞ</w:t>
            </w:r>
          </w:p>
        </w:tc>
        <w:tc>
          <w:tcPr>
            <w:tcW w:w="3037" w:type="dxa"/>
            <w:tcBorders>
              <w:top w:val="nil"/>
              <w:left w:val="nil"/>
              <w:bottom w:val="single" w:sz="8" w:space="0" w:color="auto"/>
              <w:right w:val="single" w:sz="8" w:space="0" w:color="auto"/>
            </w:tcBorders>
            <w:shd w:val="clear" w:color="auto" w:fill="auto"/>
            <w:hideMark/>
          </w:tcPr>
          <w:p w14:paraId="3EF786EF"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5D6AC0">
              <w:rPr>
                <w:rFonts w:ascii="Calibri" w:eastAsia="Times New Roman" w:hAnsi="Calibri" w:cs="Calibri"/>
                <w:color w:val="000000"/>
                <w:lang w:eastAsia="tr-TR"/>
              </w:rPr>
              <w:t>10.978.991,59₺</w:t>
            </w:r>
          </w:p>
        </w:tc>
        <w:tc>
          <w:tcPr>
            <w:tcW w:w="3204" w:type="dxa"/>
            <w:tcBorders>
              <w:top w:val="nil"/>
              <w:left w:val="nil"/>
              <w:bottom w:val="single" w:sz="8" w:space="0" w:color="auto"/>
              <w:right w:val="single" w:sz="8" w:space="0" w:color="auto"/>
            </w:tcBorders>
            <w:shd w:val="clear" w:color="auto" w:fill="auto"/>
            <w:hideMark/>
          </w:tcPr>
          <w:p w14:paraId="390055E4"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5D6AC0">
              <w:rPr>
                <w:rFonts w:ascii="Calibri" w:eastAsia="Times New Roman" w:hAnsi="Calibri" w:cs="Calibri"/>
                <w:color w:val="000000"/>
                <w:lang w:eastAsia="tr-TR"/>
              </w:rPr>
              <w:t>8.655.485,29₺</w:t>
            </w:r>
          </w:p>
        </w:tc>
        <w:tc>
          <w:tcPr>
            <w:tcW w:w="698" w:type="dxa"/>
            <w:tcBorders>
              <w:top w:val="nil"/>
              <w:left w:val="nil"/>
              <w:bottom w:val="single" w:sz="8" w:space="0" w:color="auto"/>
              <w:right w:val="single" w:sz="8" w:space="0" w:color="auto"/>
            </w:tcBorders>
            <w:shd w:val="clear" w:color="auto" w:fill="auto"/>
            <w:hideMark/>
          </w:tcPr>
          <w:p w14:paraId="5CEBE837"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5D6AC0">
              <w:rPr>
                <w:rFonts w:ascii="Calibri" w:eastAsia="Times New Roman" w:hAnsi="Calibri" w:cs="Calibri"/>
                <w:color w:val="000000"/>
                <w:lang w:eastAsia="tr-TR"/>
              </w:rPr>
              <w:t>7</w:t>
            </w:r>
          </w:p>
        </w:tc>
      </w:tr>
      <w:tr w:rsidR="00A448CA" w:rsidRPr="002048A7" w14:paraId="75BEC0D1" w14:textId="77777777" w:rsidTr="001173BD">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4A8A2F6B"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72</w:t>
            </w:r>
          </w:p>
        </w:tc>
        <w:tc>
          <w:tcPr>
            <w:tcW w:w="1887" w:type="dxa"/>
            <w:tcBorders>
              <w:top w:val="nil"/>
              <w:left w:val="nil"/>
              <w:bottom w:val="single" w:sz="8" w:space="0" w:color="auto"/>
              <w:right w:val="single" w:sz="8" w:space="0" w:color="auto"/>
            </w:tcBorders>
            <w:shd w:val="clear" w:color="auto" w:fill="auto"/>
            <w:vAlign w:val="center"/>
            <w:hideMark/>
          </w:tcPr>
          <w:p w14:paraId="3249F6D6" w14:textId="77777777" w:rsidR="00A448CA" w:rsidRPr="002048A7" w:rsidRDefault="00A448CA" w:rsidP="001173BD">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TOKAT</w:t>
            </w:r>
          </w:p>
        </w:tc>
        <w:tc>
          <w:tcPr>
            <w:tcW w:w="3037" w:type="dxa"/>
            <w:tcBorders>
              <w:top w:val="nil"/>
              <w:left w:val="nil"/>
              <w:bottom w:val="single" w:sz="8" w:space="0" w:color="auto"/>
              <w:right w:val="single" w:sz="8" w:space="0" w:color="auto"/>
            </w:tcBorders>
            <w:shd w:val="clear" w:color="auto" w:fill="auto"/>
            <w:hideMark/>
          </w:tcPr>
          <w:p w14:paraId="5A8F36D9"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5D6AC0">
              <w:rPr>
                <w:rFonts w:ascii="Calibri" w:eastAsia="Times New Roman" w:hAnsi="Calibri" w:cs="Calibri"/>
                <w:color w:val="000000"/>
                <w:lang w:eastAsia="tr-TR"/>
              </w:rPr>
              <w:t>2.631.212,92₺</w:t>
            </w:r>
          </w:p>
        </w:tc>
        <w:tc>
          <w:tcPr>
            <w:tcW w:w="3204" w:type="dxa"/>
            <w:tcBorders>
              <w:top w:val="nil"/>
              <w:left w:val="nil"/>
              <w:bottom w:val="single" w:sz="8" w:space="0" w:color="auto"/>
              <w:right w:val="single" w:sz="8" w:space="0" w:color="auto"/>
            </w:tcBorders>
            <w:shd w:val="clear" w:color="auto" w:fill="auto"/>
            <w:hideMark/>
          </w:tcPr>
          <w:p w14:paraId="43380B22"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5D6AC0">
              <w:rPr>
                <w:rFonts w:ascii="Calibri" w:eastAsia="Times New Roman" w:hAnsi="Calibri" w:cs="Calibri"/>
                <w:color w:val="000000"/>
                <w:lang w:eastAsia="tr-TR"/>
              </w:rPr>
              <w:t>2.031.210,18₺</w:t>
            </w:r>
          </w:p>
        </w:tc>
        <w:tc>
          <w:tcPr>
            <w:tcW w:w="698" w:type="dxa"/>
            <w:tcBorders>
              <w:top w:val="nil"/>
              <w:left w:val="nil"/>
              <w:bottom w:val="single" w:sz="8" w:space="0" w:color="auto"/>
              <w:right w:val="single" w:sz="8" w:space="0" w:color="auto"/>
            </w:tcBorders>
            <w:shd w:val="clear" w:color="auto" w:fill="auto"/>
            <w:hideMark/>
          </w:tcPr>
          <w:p w14:paraId="580FEB32"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5D6AC0">
              <w:rPr>
                <w:rFonts w:ascii="Calibri" w:eastAsia="Times New Roman" w:hAnsi="Calibri" w:cs="Calibri"/>
                <w:color w:val="000000"/>
                <w:lang w:eastAsia="tr-TR"/>
              </w:rPr>
              <w:t>6</w:t>
            </w:r>
          </w:p>
        </w:tc>
      </w:tr>
      <w:tr w:rsidR="00A448CA" w:rsidRPr="002048A7" w14:paraId="01E7E2F3" w14:textId="77777777" w:rsidTr="001173BD">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31F80218"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73</w:t>
            </w:r>
          </w:p>
        </w:tc>
        <w:tc>
          <w:tcPr>
            <w:tcW w:w="1887" w:type="dxa"/>
            <w:tcBorders>
              <w:top w:val="nil"/>
              <w:left w:val="nil"/>
              <w:bottom w:val="single" w:sz="8" w:space="0" w:color="auto"/>
              <w:right w:val="single" w:sz="8" w:space="0" w:color="auto"/>
            </w:tcBorders>
            <w:shd w:val="clear" w:color="auto" w:fill="auto"/>
            <w:vAlign w:val="center"/>
            <w:hideMark/>
          </w:tcPr>
          <w:p w14:paraId="1275296A" w14:textId="77777777" w:rsidR="00A448CA" w:rsidRPr="002048A7" w:rsidRDefault="00A448CA" w:rsidP="001173BD">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TRABZON</w:t>
            </w:r>
          </w:p>
        </w:tc>
        <w:tc>
          <w:tcPr>
            <w:tcW w:w="3037" w:type="dxa"/>
            <w:tcBorders>
              <w:top w:val="nil"/>
              <w:left w:val="nil"/>
              <w:bottom w:val="single" w:sz="8" w:space="0" w:color="auto"/>
              <w:right w:val="single" w:sz="8" w:space="0" w:color="auto"/>
            </w:tcBorders>
            <w:shd w:val="clear" w:color="auto" w:fill="auto"/>
            <w:vAlign w:val="center"/>
            <w:hideMark/>
          </w:tcPr>
          <w:p w14:paraId="33C2810E" w14:textId="77777777" w:rsidR="00A448CA" w:rsidRPr="002048A7" w:rsidRDefault="00A448CA" w:rsidP="00D56350">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3204" w:type="dxa"/>
            <w:tcBorders>
              <w:top w:val="nil"/>
              <w:left w:val="nil"/>
              <w:bottom w:val="single" w:sz="8" w:space="0" w:color="auto"/>
              <w:right w:val="single" w:sz="8" w:space="0" w:color="auto"/>
            </w:tcBorders>
            <w:shd w:val="clear" w:color="auto" w:fill="auto"/>
            <w:vAlign w:val="center"/>
            <w:hideMark/>
          </w:tcPr>
          <w:p w14:paraId="47DDBCBE" w14:textId="77777777" w:rsidR="00A448CA" w:rsidRPr="002048A7" w:rsidRDefault="00A448CA" w:rsidP="00D56350">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698" w:type="dxa"/>
            <w:tcBorders>
              <w:top w:val="nil"/>
              <w:left w:val="nil"/>
              <w:bottom w:val="single" w:sz="8" w:space="0" w:color="auto"/>
              <w:right w:val="single" w:sz="8" w:space="0" w:color="auto"/>
            </w:tcBorders>
            <w:shd w:val="clear" w:color="auto" w:fill="auto"/>
            <w:vAlign w:val="center"/>
            <w:hideMark/>
          </w:tcPr>
          <w:p w14:paraId="209EA9E1" w14:textId="77777777" w:rsidR="00A448CA" w:rsidRPr="002048A7" w:rsidRDefault="00A448CA" w:rsidP="001173BD">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0</w:t>
            </w:r>
          </w:p>
        </w:tc>
      </w:tr>
      <w:tr w:rsidR="00A448CA" w:rsidRPr="002048A7" w14:paraId="5BFDE27B" w14:textId="77777777" w:rsidTr="001173BD">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37FA3F52"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74</w:t>
            </w:r>
          </w:p>
        </w:tc>
        <w:tc>
          <w:tcPr>
            <w:tcW w:w="1887" w:type="dxa"/>
            <w:tcBorders>
              <w:top w:val="nil"/>
              <w:left w:val="nil"/>
              <w:bottom w:val="single" w:sz="8" w:space="0" w:color="auto"/>
              <w:right w:val="single" w:sz="8" w:space="0" w:color="auto"/>
            </w:tcBorders>
            <w:shd w:val="clear" w:color="auto" w:fill="auto"/>
            <w:vAlign w:val="center"/>
            <w:hideMark/>
          </w:tcPr>
          <w:p w14:paraId="165C0BBA" w14:textId="77777777" w:rsidR="00A448CA" w:rsidRPr="002048A7" w:rsidRDefault="00A448CA" w:rsidP="001173BD">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UŞAK</w:t>
            </w:r>
          </w:p>
        </w:tc>
        <w:tc>
          <w:tcPr>
            <w:tcW w:w="3037" w:type="dxa"/>
            <w:tcBorders>
              <w:top w:val="nil"/>
              <w:left w:val="nil"/>
              <w:bottom w:val="single" w:sz="8" w:space="0" w:color="auto"/>
              <w:right w:val="single" w:sz="8" w:space="0" w:color="auto"/>
            </w:tcBorders>
            <w:shd w:val="clear" w:color="auto" w:fill="auto"/>
            <w:hideMark/>
          </w:tcPr>
          <w:p w14:paraId="643AAE5E"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5D6AC0">
              <w:rPr>
                <w:rFonts w:ascii="Calibri" w:eastAsia="Times New Roman" w:hAnsi="Calibri" w:cs="Calibri"/>
                <w:color w:val="000000"/>
                <w:lang w:eastAsia="tr-TR"/>
              </w:rPr>
              <w:t>8.800.000,00₺</w:t>
            </w:r>
          </w:p>
        </w:tc>
        <w:tc>
          <w:tcPr>
            <w:tcW w:w="3204" w:type="dxa"/>
            <w:tcBorders>
              <w:top w:val="nil"/>
              <w:left w:val="nil"/>
              <w:bottom w:val="single" w:sz="8" w:space="0" w:color="auto"/>
              <w:right w:val="single" w:sz="8" w:space="0" w:color="auto"/>
            </w:tcBorders>
            <w:shd w:val="clear" w:color="auto" w:fill="auto"/>
            <w:hideMark/>
          </w:tcPr>
          <w:p w14:paraId="3A403726"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5D6AC0">
              <w:rPr>
                <w:rFonts w:ascii="Calibri" w:eastAsia="Times New Roman" w:hAnsi="Calibri" w:cs="Calibri"/>
                <w:color w:val="000000"/>
                <w:lang w:eastAsia="tr-TR"/>
              </w:rPr>
              <w:t>1.416.591,74₺</w:t>
            </w:r>
          </w:p>
        </w:tc>
        <w:tc>
          <w:tcPr>
            <w:tcW w:w="698" w:type="dxa"/>
            <w:tcBorders>
              <w:top w:val="nil"/>
              <w:left w:val="nil"/>
              <w:bottom w:val="single" w:sz="8" w:space="0" w:color="auto"/>
              <w:right w:val="single" w:sz="8" w:space="0" w:color="auto"/>
            </w:tcBorders>
            <w:shd w:val="clear" w:color="auto" w:fill="auto"/>
            <w:hideMark/>
          </w:tcPr>
          <w:p w14:paraId="4C906EF7"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5D6AC0">
              <w:rPr>
                <w:rFonts w:ascii="Calibri" w:eastAsia="Times New Roman" w:hAnsi="Calibri" w:cs="Calibri"/>
                <w:color w:val="000000"/>
                <w:lang w:eastAsia="tr-TR"/>
              </w:rPr>
              <w:t>2</w:t>
            </w:r>
          </w:p>
        </w:tc>
      </w:tr>
      <w:tr w:rsidR="00A448CA" w:rsidRPr="002048A7" w14:paraId="537EB050" w14:textId="77777777" w:rsidTr="001173BD">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35E65FFA"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75</w:t>
            </w:r>
          </w:p>
        </w:tc>
        <w:tc>
          <w:tcPr>
            <w:tcW w:w="1887" w:type="dxa"/>
            <w:tcBorders>
              <w:top w:val="nil"/>
              <w:left w:val="nil"/>
              <w:bottom w:val="single" w:sz="8" w:space="0" w:color="auto"/>
              <w:right w:val="single" w:sz="8" w:space="0" w:color="auto"/>
            </w:tcBorders>
            <w:shd w:val="clear" w:color="auto" w:fill="auto"/>
            <w:vAlign w:val="center"/>
            <w:hideMark/>
          </w:tcPr>
          <w:p w14:paraId="61FCC4BF" w14:textId="77777777" w:rsidR="00A448CA" w:rsidRPr="002048A7" w:rsidRDefault="00A448CA" w:rsidP="001173BD">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VAN</w:t>
            </w:r>
          </w:p>
        </w:tc>
        <w:tc>
          <w:tcPr>
            <w:tcW w:w="3037" w:type="dxa"/>
            <w:tcBorders>
              <w:top w:val="nil"/>
              <w:left w:val="nil"/>
              <w:bottom w:val="single" w:sz="8" w:space="0" w:color="auto"/>
              <w:right w:val="single" w:sz="8" w:space="0" w:color="auto"/>
            </w:tcBorders>
            <w:shd w:val="clear" w:color="auto" w:fill="auto"/>
            <w:vAlign w:val="center"/>
            <w:hideMark/>
          </w:tcPr>
          <w:p w14:paraId="3914C5CE" w14:textId="77777777" w:rsidR="00A448CA" w:rsidRPr="002048A7" w:rsidRDefault="00A448CA" w:rsidP="00D56350">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3204" w:type="dxa"/>
            <w:tcBorders>
              <w:top w:val="nil"/>
              <w:left w:val="nil"/>
              <w:bottom w:val="single" w:sz="8" w:space="0" w:color="auto"/>
              <w:right w:val="single" w:sz="8" w:space="0" w:color="auto"/>
            </w:tcBorders>
            <w:shd w:val="clear" w:color="auto" w:fill="auto"/>
            <w:vAlign w:val="center"/>
            <w:hideMark/>
          </w:tcPr>
          <w:p w14:paraId="6CF53152" w14:textId="77777777" w:rsidR="00A448CA" w:rsidRPr="002048A7" w:rsidRDefault="00A448CA" w:rsidP="00D56350">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698" w:type="dxa"/>
            <w:tcBorders>
              <w:top w:val="nil"/>
              <w:left w:val="nil"/>
              <w:bottom w:val="single" w:sz="8" w:space="0" w:color="auto"/>
              <w:right w:val="single" w:sz="8" w:space="0" w:color="auto"/>
            </w:tcBorders>
            <w:shd w:val="clear" w:color="auto" w:fill="auto"/>
            <w:vAlign w:val="center"/>
            <w:hideMark/>
          </w:tcPr>
          <w:p w14:paraId="15720D8E" w14:textId="77777777" w:rsidR="00A448CA" w:rsidRPr="002048A7" w:rsidRDefault="00A448CA" w:rsidP="001173BD">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0</w:t>
            </w:r>
          </w:p>
        </w:tc>
      </w:tr>
      <w:tr w:rsidR="00A448CA" w:rsidRPr="002048A7" w14:paraId="07C4F5F6" w14:textId="77777777" w:rsidTr="001173BD">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3E3EE1F3"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76</w:t>
            </w:r>
          </w:p>
        </w:tc>
        <w:tc>
          <w:tcPr>
            <w:tcW w:w="1887" w:type="dxa"/>
            <w:tcBorders>
              <w:top w:val="nil"/>
              <w:left w:val="nil"/>
              <w:bottom w:val="single" w:sz="8" w:space="0" w:color="auto"/>
              <w:right w:val="single" w:sz="8" w:space="0" w:color="auto"/>
            </w:tcBorders>
            <w:shd w:val="clear" w:color="auto" w:fill="auto"/>
            <w:vAlign w:val="center"/>
            <w:hideMark/>
          </w:tcPr>
          <w:p w14:paraId="0D6F0EE8" w14:textId="77777777" w:rsidR="00A448CA" w:rsidRPr="002048A7" w:rsidRDefault="00A448CA" w:rsidP="001173BD">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YALOVA</w:t>
            </w:r>
          </w:p>
        </w:tc>
        <w:tc>
          <w:tcPr>
            <w:tcW w:w="3037" w:type="dxa"/>
            <w:tcBorders>
              <w:top w:val="nil"/>
              <w:left w:val="nil"/>
              <w:bottom w:val="single" w:sz="8" w:space="0" w:color="auto"/>
              <w:right w:val="single" w:sz="8" w:space="0" w:color="auto"/>
            </w:tcBorders>
            <w:shd w:val="clear" w:color="auto" w:fill="auto"/>
            <w:vAlign w:val="center"/>
            <w:hideMark/>
          </w:tcPr>
          <w:p w14:paraId="789B95C5" w14:textId="77777777" w:rsidR="00A448CA" w:rsidRPr="002048A7" w:rsidRDefault="00A448CA" w:rsidP="00D56350">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3204" w:type="dxa"/>
            <w:tcBorders>
              <w:top w:val="nil"/>
              <w:left w:val="nil"/>
              <w:bottom w:val="single" w:sz="8" w:space="0" w:color="auto"/>
              <w:right w:val="single" w:sz="8" w:space="0" w:color="auto"/>
            </w:tcBorders>
            <w:shd w:val="clear" w:color="auto" w:fill="auto"/>
            <w:vAlign w:val="center"/>
            <w:hideMark/>
          </w:tcPr>
          <w:p w14:paraId="03CDAF51" w14:textId="77777777" w:rsidR="00A448CA" w:rsidRPr="002048A7" w:rsidRDefault="00A448CA" w:rsidP="00D56350">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0</w:t>
            </w:r>
          </w:p>
        </w:tc>
        <w:tc>
          <w:tcPr>
            <w:tcW w:w="698" w:type="dxa"/>
            <w:tcBorders>
              <w:top w:val="nil"/>
              <w:left w:val="nil"/>
              <w:bottom w:val="single" w:sz="8" w:space="0" w:color="auto"/>
              <w:right w:val="single" w:sz="8" w:space="0" w:color="auto"/>
            </w:tcBorders>
            <w:shd w:val="clear" w:color="auto" w:fill="auto"/>
            <w:vAlign w:val="center"/>
            <w:hideMark/>
          </w:tcPr>
          <w:p w14:paraId="04CB5693" w14:textId="77777777" w:rsidR="00A448CA" w:rsidRPr="002048A7" w:rsidRDefault="00A448CA" w:rsidP="001173BD">
            <w:pPr>
              <w:spacing w:after="0" w:line="240" w:lineRule="auto"/>
              <w:jc w:val="center"/>
              <w:rPr>
                <w:rFonts w:ascii="Calibri" w:eastAsia="Times New Roman" w:hAnsi="Calibri" w:cs="Calibri"/>
                <w:color w:val="000000"/>
                <w:lang w:eastAsia="tr-TR"/>
              </w:rPr>
            </w:pPr>
            <w:r>
              <w:rPr>
                <w:rFonts w:ascii="Calibri" w:eastAsia="Times New Roman" w:hAnsi="Calibri" w:cs="Calibri"/>
                <w:color w:val="000000"/>
                <w:lang w:eastAsia="tr-TR"/>
              </w:rPr>
              <w:t>0</w:t>
            </w:r>
          </w:p>
        </w:tc>
      </w:tr>
      <w:tr w:rsidR="00A448CA" w:rsidRPr="002048A7" w14:paraId="5101E032" w14:textId="77777777" w:rsidTr="001173BD">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2A1C8675"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77</w:t>
            </w:r>
          </w:p>
        </w:tc>
        <w:tc>
          <w:tcPr>
            <w:tcW w:w="1887" w:type="dxa"/>
            <w:tcBorders>
              <w:top w:val="nil"/>
              <w:left w:val="nil"/>
              <w:bottom w:val="single" w:sz="8" w:space="0" w:color="auto"/>
              <w:right w:val="single" w:sz="8" w:space="0" w:color="auto"/>
            </w:tcBorders>
            <w:shd w:val="clear" w:color="auto" w:fill="auto"/>
            <w:vAlign w:val="center"/>
            <w:hideMark/>
          </w:tcPr>
          <w:p w14:paraId="235EF0CD" w14:textId="77777777" w:rsidR="00A448CA" w:rsidRPr="002048A7" w:rsidRDefault="00A448CA" w:rsidP="001173BD">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YOZGAT</w:t>
            </w:r>
          </w:p>
        </w:tc>
        <w:tc>
          <w:tcPr>
            <w:tcW w:w="3037" w:type="dxa"/>
            <w:tcBorders>
              <w:top w:val="nil"/>
              <w:left w:val="nil"/>
              <w:bottom w:val="single" w:sz="8" w:space="0" w:color="auto"/>
              <w:right w:val="single" w:sz="8" w:space="0" w:color="auto"/>
            </w:tcBorders>
            <w:shd w:val="clear" w:color="auto" w:fill="auto"/>
            <w:hideMark/>
          </w:tcPr>
          <w:p w14:paraId="0C48A817"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5D6AC0">
              <w:rPr>
                <w:rFonts w:ascii="Calibri" w:eastAsia="Times New Roman" w:hAnsi="Calibri" w:cs="Calibri"/>
                <w:color w:val="000000"/>
                <w:lang w:eastAsia="tr-TR"/>
              </w:rPr>
              <w:t>10.113.027,06₺</w:t>
            </w:r>
          </w:p>
        </w:tc>
        <w:tc>
          <w:tcPr>
            <w:tcW w:w="3204" w:type="dxa"/>
            <w:tcBorders>
              <w:top w:val="nil"/>
              <w:left w:val="nil"/>
              <w:bottom w:val="single" w:sz="8" w:space="0" w:color="auto"/>
              <w:right w:val="single" w:sz="8" w:space="0" w:color="auto"/>
            </w:tcBorders>
            <w:shd w:val="clear" w:color="auto" w:fill="auto"/>
            <w:hideMark/>
          </w:tcPr>
          <w:p w14:paraId="5A6535FF"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5D6AC0">
              <w:rPr>
                <w:rFonts w:ascii="Calibri" w:eastAsia="Times New Roman" w:hAnsi="Calibri" w:cs="Calibri"/>
                <w:color w:val="000000"/>
                <w:lang w:eastAsia="tr-TR"/>
              </w:rPr>
              <w:t>20.313.027,06₺</w:t>
            </w:r>
          </w:p>
        </w:tc>
        <w:tc>
          <w:tcPr>
            <w:tcW w:w="698" w:type="dxa"/>
            <w:tcBorders>
              <w:top w:val="nil"/>
              <w:left w:val="nil"/>
              <w:bottom w:val="single" w:sz="8" w:space="0" w:color="auto"/>
              <w:right w:val="single" w:sz="8" w:space="0" w:color="auto"/>
            </w:tcBorders>
            <w:shd w:val="clear" w:color="auto" w:fill="auto"/>
            <w:hideMark/>
          </w:tcPr>
          <w:p w14:paraId="77D567F3"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5D6AC0">
              <w:rPr>
                <w:rFonts w:ascii="Calibri" w:eastAsia="Times New Roman" w:hAnsi="Calibri" w:cs="Calibri"/>
                <w:color w:val="000000"/>
                <w:lang w:eastAsia="tr-TR"/>
              </w:rPr>
              <w:t>4</w:t>
            </w:r>
          </w:p>
        </w:tc>
      </w:tr>
      <w:tr w:rsidR="00A448CA" w:rsidRPr="002048A7" w14:paraId="50BFAD28" w14:textId="77777777" w:rsidTr="001173BD">
        <w:trPr>
          <w:trHeight w:val="300"/>
        </w:trPr>
        <w:tc>
          <w:tcPr>
            <w:tcW w:w="404" w:type="dxa"/>
            <w:tcBorders>
              <w:top w:val="nil"/>
              <w:left w:val="single" w:sz="8" w:space="0" w:color="auto"/>
              <w:bottom w:val="single" w:sz="8" w:space="0" w:color="auto"/>
              <w:right w:val="single" w:sz="8" w:space="0" w:color="auto"/>
            </w:tcBorders>
            <w:shd w:val="clear" w:color="auto" w:fill="auto"/>
            <w:vAlign w:val="center"/>
            <w:hideMark/>
          </w:tcPr>
          <w:p w14:paraId="5002AF03"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78</w:t>
            </w:r>
          </w:p>
        </w:tc>
        <w:tc>
          <w:tcPr>
            <w:tcW w:w="1887" w:type="dxa"/>
            <w:tcBorders>
              <w:top w:val="nil"/>
              <w:left w:val="nil"/>
              <w:bottom w:val="single" w:sz="8" w:space="0" w:color="auto"/>
              <w:right w:val="single" w:sz="8" w:space="0" w:color="auto"/>
            </w:tcBorders>
            <w:shd w:val="clear" w:color="auto" w:fill="auto"/>
            <w:vAlign w:val="center"/>
            <w:hideMark/>
          </w:tcPr>
          <w:p w14:paraId="1200DF8F" w14:textId="77777777" w:rsidR="00A448CA" w:rsidRPr="002048A7" w:rsidRDefault="00A448CA" w:rsidP="001173BD">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ZONGULDAK</w:t>
            </w:r>
          </w:p>
        </w:tc>
        <w:tc>
          <w:tcPr>
            <w:tcW w:w="3037" w:type="dxa"/>
            <w:tcBorders>
              <w:top w:val="nil"/>
              <w:left w:val="nil"/>
              <w:bottom w:val="single" w:sz="8" w:space="0" w:color="auto"/>
              <w:right w:val="single" w:sz="8" w:space="0" w:color="auto"/>
            </w:tcBorders>
            <w:shd w:val="clear" w:color="auto" w:fill="auto"/>
            <w:hideMark/>
          </w:tcPr>
          <w:p w14:paraId="468D1FC8"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5D6AC0">
              <w:rPr>
                <w:rFonts w:ascii="Calibri" w:eastAsia="Times New Roman" w:hAnsi="Calibri" w:cs="Calibri"/>
                <w:color w:val="000000"/>
                <w:lang w:eastAsia="tr-TR"/>
              </w:rPr>
              <w:t>17.600.000,00₺</w:t>
            </w:r>
          </w:p>
        </w:tc>
        <w:tc>
          <w:tcPr>
            <w:tcW w:w="3204" w:type="dxa"/>
            <w:tcBorders>
              <w:top w:val="nil"/>
              <w:left w:val="nil"/>
              <w:bottom w:val="single" w:sz="8" w:space="0" w:color="auto"/>
              <w:right w:val="single" w:sz="8" w:space="0" w:color="auto"/>
            </w:tcBorders>
            <w:shd w:val="clear" w:color="auto" w:fill="auto"/>
            <w:hideMark/>
          </w:tcPr>
          <w:p w14:paraId="2F09034A" w14:textId="77777777" w:rsidR="00A448CA" w:rsidRPr="002048A7" w:rsidRDefault="00A448CA" w:rsidP="00D56350">
            <w:pPr>
              <w:spacing w:after="0" w:line="240" w:lineRule="auto"/>
              <w:jc w:val="right"/>
              <w:rPr>
                <w:rFonts w:ascii="Calibri" w:eastAsia="Times New Roman" w:hAnsi="Calibri" w:cs="Calibri"/>
                <w:color w:val="000000"/>
                <w:lang w:eastAsia="tr-TR"/>
              </w:rPr>
            </w:pPr>
            <w:r w:rsidRPr="005D6AC0">
              <w:rPr>
                <w:rFonts w:ascii="Calibri" w:eastAsia="Times New Roman" w:hAnsi="Calibri" w:cs="Calibri"/>
                <w:color w:val="000000"/>
                <w:lang w:eastAsia="tr-TR"/>
              </w:rPr>
              <w:t>17.600.000,00₺</w:t>
            </w:r>
          </w:p>
        </w:tc>
        <w:tc>
          <w:tcPr>
            <w:tcW w:w="698" w:type="dxa"/>
            <w:tcBorders>
              <w:top w:val="nil"/>
              <w:left w:val="nil"/>
              <w:bottom w:val="single" w:sz="8" w:space="0" w:color="auto"/>
              <w:right w:val="single" w:sz="8" w:space="0" w:color="auto"/>
            </w:tcBorders>
            <w:shd w:val="clear" w:color="auto" w:fill="auto"/>
            <w:hideMark/>
          </w:tcPr>
          <w:p w14:paraId="07CFFA3D" w14:textId="77777777" w:rsidR="00A448CA" w:rsidRPr="002048A7" w:rsidRDefault="00A448CA" w:rsidP="001173BD">
            <w:pPr>
              <w:spacing w:after="0" w:line="240" w:lineRule="auto"/>
              <w:jc w:val="center"/>
              <w:rPr>
                <w:rFonts w:ascii="Calibri" w:eastAsia="Times New Roman" w:hAnsi="Calibri" w:cs="Calibri"/>
                <w:color w:val="000000"/>
                <w:lang w:eastAsia="tr-TR"/>
              </w:rPr>
            </w:pPr>
            <w:r w:rsidRPr="005D6AC0">
              <w:rPr>
                <w:rFonts w:ascii="Calibri" w:eastAsia="Times New Roman" w:hAnsi="Calibri" w:cs="Calibri"/>
                <w:color w:val="000000"/>
                <w:lang w:eastAsia="tr-TR"/>
              </w:rPr>
              <w:t>4</w:t>
            </w:r>
          </w:p>
        </w:tc>
      </w:tr>
      <w:tr w:rsidR="00A448CA" w:rsidRPr="002048A7" w14:paraId="66DD506C" w14:textId="77777777" w:rsidTr="001173BD">
        <w:trPr>
          <w:trHeight w:val="300"/>
        </w:trPr>
        <w:tc>
          <w:tcPr>
            <w:tcW w:w="404" w:type="dxa"/>
            <w:tcBorders>
              <w:top w:val="nil"/>
              <w:left w:val="single" w:sz="8" w:space="0" w:color="auto"/>
              <w:bottom w:val="single" w:sz="8" w:space="0" w:color="auto"/>
              <w:right w:val="single" w:sz="8" w:space="0" w:color="auto"/>
            </w:tcBorders>
            <w:shd w:val="clear" w:color="auto" w:fill="auto"/>
            <w:hideMark/>
          </w:tcPr>
          <w:p w14:paraId="6462BDCE" w14:textId="77777777" w:rsidR="00A448CA" w:rsidRPr="002048A7" w:rsidRDefault="00A448CA" w:rsidP="001173BD">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 </w:t>
            </w:r>
          </w:p>
        </w:tc>
        <w:tc>
          <w:tcPr>
            <w:tcW w:w="1887" w:type="dxa"/>
            <w:tcBorders>
              <w:top w:val="nil"/>
              <w:left w:val="nil"/>
              <w:bottom w:val="single" w:sz="8" w:space="0" w:color="auto"/>
              <w:right w:val="single" w:sz="8" w:space="0" w:color="auto"/>
            </w:tcBorders>
            <w:shd w:val="clear" w:color="auto" w:fill="auto"/>
            <w:vAlign w:val="center"/>
            <w:hideMark/>
          </w:tcPr>
          <w:p w14:paraId="3B1885B7" w14:textId="77777777" w:rsidR="00A448CA" w:rsidRPr="002048A7" w:rsidRDefault="00A448CA" w:rsidP="001173BD">
            <w:pPr>
              <w:spacing w:after="0" w:line="240" w:lineRule="auto"/>
              <w:jc w:val="left"/>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TOPLAM</w:t>
            </w:r>
          </w:p>
        </w:tc>
        <w:tc>
          <w:tcPr>
            <w:tcW w:w="3037" w:type="dxa"/>
            <w:tcBorders>
              <w:top w:val="nil"/>
              <w:left w:val="nil"/>
              <w:bottom w:val="single" w:sz="8" w:space="0" w:color="auto"/>
              <w:right w:val="single" w:sz="8" w:space="0" w:color="auto"/>
            </w:tcBorders>
            <w:shd w:val="clear" w:color="auto" w:fill="auto"/>
            <w:hideMark/>
          </w:tcPr>
          <w:p w14:paraId="36CE9D51" w14:textId="77777777" w:rsidR="00A448CA" w:rsidRPr="002048A7" w:rsidRDefault="00A448CA" w:rsidP="00D56350">
            <w:pPr>
              <w:spacing w:after="0" w:line="240" w:lineRule="auto"/>
              <w:jc w:val="right"/>
              <w:rPr>
                <w:rFonts w:ascii="Calibri" w:eastAsia="Times New Roman" w:hAnsi="Calibri" w:cs="Calibri"/>
                <w:b/>
                <w:bCs/>
                <w:color w:val="000000"/>
                <w:lang w:eastAsia="tr-TR"/>
              </w:rPr>
            </w:pPr>
            <w:r w:rsidRPr="005D6AC0">
              <w:rPr>
                <w:rFonts w:ascii="Calibri" w:eastAsia="Times New Roman" w:hAnsi="Calibri" w:cs="Calibri"/>
                <w:color w:val="000000"/>
                <w:lang w:eastAsia="tr-TR"/>
              </w:rPr>
              <w:t>875.065.169,92₺</w:t>
            </w:r>
          </w:p>
        </w:tc>
        <w:tc>
          <w:tcPr>
            <w:tcW w:w="3204" w:type="dxa"/>
            <w:tcBorders>
              <w:top w:val="nil"/>
              <w:left w:val="nil"/>
              <w:bottom w:val="single" w:sz="8" w:space="0" w:color="auto"/>
              <w:right w:val="single" w:sz="8" w:space="0" w:color="auto"/>
            </w:tcBorders>
            <w:shd w:val="clear" w:color="auto" w:fill="auto"/>
            <w:hideMark/>
          </w:tcPr>
          <w:p w14:paraId="2F75EC1E" w14:textId="77777777" w:rsidR="00A448CA" w:rsidRPr="002048A7" w:rsidRDefault="00A448CA" w:rsidP="00D56350">
            <w:pPr>
              <w:spacing w:after="0" w:line="240" w:lineRule="auto"/>
              <w:jc w:val="right"/>
              <w:rPr>
                <w:rFonts w:ascii="Calibri" w:eastAsia="Times New Roman" w:hAnsi="Calibri" w:cs="Calibri"/>
                <w:b/>
                <w:bCs/>
                <w:color w:val="000000"/>
                <w:lang w:eastAsia="tr-TR"/>
              </w:rPr>
            </w:pPr>
            <w:r w:rsidRPr="005D6AC0">
              <w:rPr>
                <w:rFonts w:ascii="Calibri" w:eastAsia="Times New Roman" w:hAnsi="Calibri" w:cs="Calibri"/>
                <w:color w:val="000000"/>
                <w:lang w:eastAsia="tr-TR"/>
              </w:rPr>
              <w:t>749.193.417,21₺</w:t>
            </w:r>
          </w:p>
        </w:tc>
        <w:tc>
          <w:tcPr>
            <w:tcW w:w="698" w:type="dxa"/>
            <w:tcBorders>
              <w:top w:val="nil"/>
              <w:left w:val="nil"/>
              <w:bottom w:val="single" w:sz="8" w:space="0" w:color="auto"/>
              <w:right w:val="single" w:sz="8" w:space="0" w:color="auto"/>
            </w:tcBorders>
            <w:shd w:val="clear" w:color="auto" w:fill="auto"/>
            <w:hideMark/>
          </w:tcPr>
          <w:p w14:paraId="59EFFD82" w14:textId="77777777" w:rsidR="00A448CA" w:rsidRPr="002048A7" w:rsidRDefault="00A448CA" w:rsidP="001173BD">
            <w:pPr>
              <w:spacing w:after="0" w:line="240" w:lineRule="auto"/>
              <w:jc w:val="center"/>
              <w:rPr>
                <w:rFonts w:ascii="Calibri" w:eastAsia="Times New Roman" w:hAnsi="Calibri" w:cs="Calibri"/>
                <w:b/>
                <w:bCs/>
                <w:color w:val="000000"/>
                <w:lang w:eastAsia="tr-TR"/>
              </w:rPr>
            </w:pPr>
            <w:r w:rsidRPr="005D6AC0">
              <w:rPr>
                <w:rFonts w:ascii="Calibri" w:eastAsia="Times New Roman" w:hAnsi="Calibri" w:cs="Calibri"/>
                <w:color w:val="000000"/>
                <w:lang w:eastAsia="tr-TR"/>
              </w:rPr>
              <w:t>343</w:t>
            </w:r>
          </w:p>
        </w:tc>
      </w:tr>
    </w:tbl>
    <w:p w14:paraId="53632429" w14:textId="77777777" w:rsidR="00A448CA" w:rsidRPr="002048A7" w:rsidRDefault="00A448CA" w:rsidP="00A448CA"/>
    <w:p w14:paraId="1D6F2C70" w14:textId="77777777" w:rsidR="003D0DD5" w:rsidRPr="002048A7" w:rsidRDefault="003D0DD5" w:rsidP="00577AAF">
      <w:pPr>
        <w:pStyle w:val="Balk2"/>
        <w:numPr>
          <w:ilvl w:val="1"/>
          <w:numId w:val="11"/>
        </w:numPr>
        <w:spacing w:after="120"/>
        <w:ind w:left="357" w:hanging="357"/>
        <w:rPr>
          <w:rFonts w:asciiTheme="minorHAnsi" w:hAnsiTheme="minorHAnsi"/>
          <w:color w:val="auto"/>
          <w:sz w:val="22"/>
          <w:szCs w:val="22"/>
        </w:rPr>
      </w:pPr>
      <w:bookmarkStart w:id="323" w:name="_Toc195868755"/>
      <w:r w:rsidRPr="002048A7">
        <w:rPr>
          <w:rFonts w:asciiTheme="minorHAnsi" w:hAnsiTheme="minorHAnsi"/>
          <w:color w:val="auto"/>
          <w:sz w:val="22"/>
          <w:szCs w:val="22"/>
        </w:rPr>
        <w:t>Sıvılaştırılmış Petrol Gazları Piyasası Denetim Faaliyetleri</w:t>
      </w:r>
      <w:bookmarkEnd w:id="314"/>
      <w:bookmarkEnd w:id="315"/>
      <w:bookmarkEnd w:id="323"/>
    </w:p>
    <w:p w14:paraId="4D087B9C" w14:textId="77777777" w:rsidR="003210D5" w:rsidRPr="002048A7" w:rsidRDefault="003210D5" w:rsidP="003210D5">
      <w:r w:rsidRPr="002048A7">
        <w:t>LPG piyasası denetimleri, piyasada faaliyette bulunan gerçek veya tüzel kişilerin piyasaya ilişkin faaliyetlerinin ve hesaplarının ilgili mevzuata uygunluğunun incelenmesi ve değerlendirilmesi şeklinde gerçekleştirilmektedir. LPG piyasasında yapılan faaliyetlere yönelik inceleme – denetim faaliyetleri ve neticesinde uygulanacak yaptırımlar ve cezalar, 5307 sayılı Kanunun 16</w:t>
      </w:r>
      <w:r w:rsidR="001A5127" w:rsidRPr="002048A7">
        <w:t>’</w:t>
      </w:r>
      <w:r w:rsidRPr="002048A7">
        <w:t xml:space="preserve">ncı maddesi çerçevesinde uygulanmaktadır. Bu Kanun hükümlerine dayanılarak çıkartılan ikincil mevzuat kapsamında da işlemler yürütülmektedir. Petrol Piyasası ve LPG Piyasasında Yapılacak Denetimlere İlişkin </w:t>
      </w:r>
      <w:r w:rsidR="00DA6562" w:rsidRPr="002048A7">
        <w:t>İş Birliği</w:t>
      </w:r>
      <w:r w:rsidRPr="002048A7">
        <w:t xml:space="preserve"> Protokolleri kapsamında piyasanın tamamı denetlenmiş olup lisanssız olarak faaliyet gösteren gerçek veya tüzel kişilerin faaliyetleri mühürleme suretiyle durdurulmuştur. </w:t>
      </w:r>
    </w:p>
    <w:p w14:paraId="597AEEFB" w14:textId="41C50F04" w:rsidR="0078671F" w:rsidRDefault="00A448CA" w:rsidP="003210D5">
      <w:r w:rsidRPr="002048A7">
        <w:lastRenderedPageBreak/>
        <w:t xml:space="preserve">5307 sayılı Sıvılaştırılmış Petrol Gazları (LPG) Piyasası Kanunu ve Elektrik Piyasası Kanununda Değişiklik Yapılmasına Dair Kanunu, Sıvılaştırılmış Petrol Gazları (LPG)  Piyasasında Yapılacak Denetimler ile Ön Araştıra ve Soruşturmalarda Takip Edilecek Usul ve Esaslar Hakkında Yönetmelik, Petrol Piyasası ve LPG Piyasasında Yapılacak Denetimlere İlişin İşbirliği Protokolleri kapsamında denetimler yapılmış olup; 5307 Sayılı Sıvılaştırılmış Petrol Gazları (LPG) Piyasası Kanunu’nun (Kanun) 17’nci maddesinin değiştirilmesine ilişkin 14/02/2019 tarihli ve 7164 sayılı Maden Kanunu İle Bazı Kanunlarda ve Kanun Hükmünde Kararnamede Değişiklik Yapılmasına Dair Kanunun 36’ncı maddesi uyarınca Kurul tarafından belirlenen niteliği itibarıyla düzeltme imkânı olan fiiller kapsamında </w:t>
      </w:r>
      <w:r>
        <w:t xml:space="preserve">2024 yılında </w:t>
      </w:r>
      <w:r w:rsidRPr="002048A7">
        <w:t xml:space="preserve">yapılan denetimlerde </w:t>
      </w:r>
      <w:r>
        <w:rPr>
          <w:b/>
        </w:rPr>
        <w:t>286</w:t>
      </w:r>
      <w:r w:rsidRPr="002048A7">
        <w:t xml:space="preserve"> otogaz istasyonuna ihtar işlemi tesis edilmiştir.</w:t>
      </w:r>
    </w:p>
    <w:p w14:paraId="5C2EEED2" w14:textId="77777777" w:rsidR="00A448CA" w:rsidRPr="002048A7" w:rsidRDefault="00A448CA" w:rsidP="00A448CA">
      <w:pPr>
        <w:pStyle w:val="Balk5"/>
        <w:jc w:val="center"/>
        <w:rPr>
          <w:rStyle w:val="Gl"/>
          <w:color w:val="000000" w:themeColor="text1"/>
        </w:rPr>
      </w:pPr>
      <w:bookmarkStart w:id="324" w:name="_Toc195868844"/>
      <w:bookmarkStart w:id="325" w:name="_Toc442441768"/>
      <w:bookmarkStart w:id="326" w:name="_Toc505346209"/>
      <w:bookmarkEnd w:id="290"/>
      <w:r w:rsidRPr="002048A7">
        <w:rPr>
          <w:rStyle w:val="Gl"/>
          <w:color w:val="000000" w:themeColor="text1"/>
        </w:rPr>
        <w:t>Tablo 6.</w:t>
      </w:r>
      <w:r>
        <w:rPr>
          <w:rStyle w:val="Gl"/>
          <w:color w:val="000000" w:themeColor="text1"/>
        </w:rPr>
        <w:t>10</w:t>
      </w:r>
      <w:r w:rsidRPr="002048A7">
        <w:rPr>
          <w:rStyle w:val="Gl"/>
          <w:color w:val="000000" w:themeColor="text1"/>
        </w:rPr>
        <w:t>: LPG Piyasasında 202</w:t>
      </w:r>
      <w:r>
        <w:rPr>
          <w:rStyle w:val="Gl"/>
          <w:color w:val="000000" w:themeColor="text1"/>
        </w:rPr>
        <w:t>4</w:t>
      </w:r>
      <w:r w:rsidRPr="002048A7">
        <w:rPr>
          <w:rStyle w:val="Gl"/>
          <w:color w:val="000000" w:themeColor="text1"/>
        </w:rPr>
        <w:t xml:space="preserve"> Yılında Uygulanan İdari Para Cezalarının Lisans Tipine Göre Dağılımı</w:t>
      </w:r>
      <w:bookmarkEnd w:id="324"/>
    </w:p>
    <w:tbl>
      <w:tblPr>
        <w:tblW w:w="3931"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398"/>
        <w:gridCol w:w="1879"/>
        <w:gridCol w:w="1155"/>
        <w:gridCol w:w="2115"/>
        <w:gridCol w:w="1245"/>
      </w:tblGrid>
      <w:tr w:rsidR="00A448CA" w:rsidRPr="002048A7" w14:paraId="430D118A" w14:textId="77777777" w:rsidTr="001173BD">
        <w:trPr>
          <w:trHeight w:val="315"/>
          <w:jc w:val="center"/>
        </w:trPr>
        <w:tc>
          <w:tcPr>
            <w:tcW w:w="897" w:type="pct"/>
            <w:shd w:val="clear" w:color="auto" w:fill="6E9ECA"/>
            <w:vAlign w:val="center"/>
            <w:hideMark/>
          </w:tcPr>
          <w:p w14:paraId="0F8CCDC0" w14:textId="77777777" w:rsidR="00A448CA" w:rsidRPr="002048A7" w:rsidRDefault="00A448CA" w:rsidP="001173BD">
            <w:pPr>
              <w:spacing w:after="0" w:line="240" w:lineRule="auto"/>
              <w:jc w:val="center"/>
              <w:rPr>
                <w:rFonts w:eastAsia="Times New Roman"/>
                <w:b/>
                <w:bCs/>
                <w:color w:val="FFFFFF" w:themeColor="background1"/>
                <w:lang w:eastAsia="tr-TR"/>
              </w:rPr>
            </w:pPr>
            <w:r w:rsidRPr="002048A7">
              <w:rPr>
                <w:rFonts w:eastAsia="Times New Roman"/>
                <w:b/>
                <w:bCs/>
                <w:color w:val="FFFFFF" w:themeColor="background1"/>
                <w:lang w:eastAsia="tr-TR"/>
              </w:rPr>
              <w:t>Lisans Tipi</w:t>
            </w:r>
          </w:p>
        </w:tc>
        <w:tc>
          <w:tcPr>
            <w:tcW w:w="1206" w:type="pct"/>
            <w:shd w:val="clear" w:color="auto" w:fill="6E9ECA"/>
            <w:vAlign w:val="center"/>
            <w:hideMark/>
          </w:tcPr>
          <w:p w14:paraId="27BE01F6" w14:textId="77777777" w:rsidR="00A448CA" w:rsidRPr="002048A7" w:rsidRDefault="00A448CA" w:rsidP="001173BD">
            <w:pPr>
              <w:spacing w:after="0" w:line="240" w:lineRule="auto"/>
              <w:jc w:val="center"/>
              <w:rPr>
                <w:rFonts w:eastAsia="Times New Roman"/>
                <w:b/>
                <w:bCs/>
                <w:color w:val="FFFFFF" w:themeColor="background1"/>
                <w:lang w:eastAsia="tr-TR"/>
              </w:rPr>
            </w:pPr>
            <w:r w:rsidRPr="002048A7">
              <w:rPr>
                <w:rFonts w:eastAsia="Times New Roman"/>
                <w:b/>
                <w:bCs/>
                <w:color w:val="FFFFFF" w:themeColor="background1"/>
                <w:lang w:eastAsia="tr-TR"/>
              </w:rPr>
              <w:t>Uygulanan İdari Para Cezası Adedi</w:t>
            </w:r>
          </w:p>
        </w:tc>
        <w:tc>
          <w:tcPr>
            <w:tcW w:w="741" w:type="pct"/>
            <w:shd w:val="clear" w:color="auto" w:fill="6E9ECA"/>
            <w:vAlign w:val="center"/>
            <w:hideMark/>
          </w:tcPr>
          <w:p w14:paraId="3F5E1196" w14:textId="77777777" w:rsidR="00A448CA" w:rsidRPr="002048A7" w:rsidRDefault="00A448CA" w:rsidP="001173BD">
            <w:pPr>
              <w:spacing w:after="0" w:line="240" w:lineRule="auto"/>
              <w:jc w:val="center"/>
              <w:rPr>
                <w:rFonts w:eastAsia="Times New Roman"/>
                <w:b/>
                <w:bCs/>
                <w:color w:val="FFFFFF" w:themeColor="background1"/>
                <w:lang w:eastAsia="tr-TR"/>
              </w:rPr>
            </w:pPr>
            <w:r w:rsidRPr="002048A7">
              <w:rPr>
                <w:rFonts w:eastAsia="Times New Roman"/>
                <w:b/>
                <w:bCs/>
                <w:color w:val="FFFFFF" w:themeColor="background1"/>
                <w:lang w:eastAsia="tr-TR"/>
              </w:rPr>
              <w:t>Oran (%)</w:t>
            </w:r>
          </w:p>
        </w:tc>
        <w:tc>
          <w:tcPr>
            <w:tcW w:w="1357" w:type="pct"/>
            <w:shd w:val="clear" w:color="auto" w:fill="6E9ECA"/>
            <w:vAlign w:val="center"/>
            <w:hideMark/>
          </w:tcPr>
          <w:p w14:paraId="16D56B74" w14:textId="77777777" w:rsidR="00A448CA" w:rsidRPr="002048A7" w:rsidRDefault="00A448CA" w:rsidP="001173BD">
            <w:pPr>
              <w:spacing w:after="0" w:line="240" w:lineRule="auto"/>
              <w:jc w:val="center"/>
              <w:rPr>
                <w:rFonts w:eastAsia="Times New Roman"/>
                <w:b/>
                <w:bCs/>
                <w:color w:val="FFFFFF" w:themeColor="background1"/>
                <w:lang w:eastAsia="tr-TR"/>
              </w:rPr>
            </w:pPr>
            <w:r w:rsidRPr="002048A7">
              <w:rPr>
                <w:rFonts w:eastAsia="Times New Roman"/>
                <w:b/>
                <w:bCs/>
                <w:color w:val="FFFFFF" w:themeColor="background1"/>
                <w:lang w:eastAsia="tr-TR"/>
              </w:rPr>
              <w:t>İdari Para Cezası Tutarı (TL)</w:t>
            </w:r>
          </w:p>
        </w:tc>
        <w:tc>
          <w:tcPr>
            <w:tcW w:w="799" w:type="pct"/>
            <w:shd w:val="clear" w:color="auto" w:fill="6E9ECA"/>
            <w:vAlign w:val="center"/>
            <w:hideMark/>
          </w:tcPr>
          <w:p w14:paraId="14881151" w14:textId="77777777" w:rsidR="00A448CA" w:rsidRPr="002048A7" w:rsidRDefault="00A448CA" w:rsidP="001173BD">
            <w:pPr>
              <w:spacing w:after="0" w:line="240" w:lineRule="auto"/>
              <w:jc w:val="center"/>
              <w:rPr>
                <w:rFonts w:eastAsia="Times New Roman"/>
                <w:b/>
                <w:bCs/>
                <w:color w:val="FFFFFF" w:themeColor="background1"/>
                <w:lang w:eastAsia="tr-TR"/>
              </w:rPr>
            </w:pPr>
            <w:r w:rsidRPr="002048A7">
              <w:rPr>
                <w:rFonts w:eastAsia="Times New Roman"/>
                <w:b/>
                <w:bCs/>
                <w:color w:val="FFFFFF" w:themeColor="background1"/>
                <w:lang w:eastAsia="tr-TR"/>
              </w:rPr>
              <w:t>Oran (%)</w:t>
            </w:r>
          </w:p>
        </w:tc>
      </w:tr>
      <w:tr w:rsidR="00A448CA" w:rsidRPr="002048A7" w14:paraId="6707B5EA" w14:textId="77777777" w:rsidTr="001173BD">
        <w:trPr>
          <w:trHeight w:val="300"/>
          <w:jc w:val="center"/>
        </w:trPr>
        <w:tc>
          <w:tcPr>
            <w:tcW w:w="897" w:type="pct"/>
            <w:shd w:val="clear" w:color="auto" w:fill="auto"/>
            <w:noWrap/>
            <w:vAlign w:val="center"/>
          </w:tcPr>
          <w:p w14:paraId="6766AF0D" w14:textId="77777777" w:rsidR="00A448CA" w:rsidRPr="002048A7" w:rsidRDefault="00A448CA" w:rsidP="001173BD">
            <w:pPr>
              <w:spacing w:after="0" w:line="240" w:lineRule="auto"/>
              <w:rPr>
                <w:rFonts w:eastAsia="Times New Roman"/>
                <w:color w:val="000000"/>
                <w:lang w:eastAsia="tr-TR"/>
              </w:rPr>
            </w:pPr>
            <w:r w:rsidRPr="002048A7">
              <w:rPr>
                <w:rFonts w:eastAsia="Times New Roman"/>
                <w:color w:val="000000"/>
                <w:lang w:eastAsia="tr-TR"/>
              </w:rPr>
              <w:t>Otogaz Bayilik</w:t>
            </w:r>
          </w:p>
        </w:tc>
        <w:tc>
          <w:tcPr>
            <w:tcW w:w="1206" w:type="pct"/>
            <w:shd w:val="clear" w:color="auto" w:fill="auto"/>
            <w:noWrap/>
            <w:vAlign w:val="center"/>
          </w:tcPr>
          <w:p w14:paraId="69567058" w14:textId="77777777" w:rsidR="00A448CA" w:rsidRPr="002048A7" w:rsidRDefault="00A448CA" w:rsidP="001173BD">
            <w:pPr>
              <w:spacing w:after="0" w:line="240" w:lineRule="auto"/>
              <w:jc w:val="center"/>
              <w:rPr>
                <w:rFonts w:eastAsia="Times New Roman"/>
                <w:color w:val="000000"/>
                <w:lang w:eastAsia="tr-TR"/>
              </w:rPr>
            </w:pPr>
            <w:r>
              <w:rPr>
                <w:rFonts w:ascii="Calibri" w:hAnsi="Calibri"/>
                <w:color w:val="000000"/>
              </w:rPr>
              <w:t>29</w:t>
            </w:r>
            <w:r w:rsidRPr="002048A7">
              <w:rPr>
                <w:rFonts w:ascii="Calibri" w:hAnsi="Calibri"/>
                <w:color w:val="000000"/>
              </w:rPr>
              <w:t xml:space="preserve"> </w:t>
            </w:r>
          </w:p>
        </w:tc>
        <w:tc>
          <w:tcPr>
            <w:tcW w:w="741" w:type="pct"/>
            <w:shd w:val="clear" w:color="auto" w:fill="auto"/>
            <w:noWrap/>
            <w:vAlign w:val="center"/>
          </w:tcPr>
          <w:p w14:paraId="3420CC04" w14:textId="77777777" w:rsidR="00A448CA" w:rsidRPr="002048A7" w:rsidRDefault="00A448CA" w:rsidP="001173BD">
            <w:pPr>
              <w:spacing w:after="0" w:line="240" w:lineRule="auto"/>
              <w:jc w:val="center"/>
              <w:rPr>
                <w:rFonts w:eastAsia="Times New Roman"/>
                <w:color w:val="000000"/>
                <w:lang w:eastAsia="tr-TR"/>
              </w:rPr>
            </w:pPr>
            <w:r>
              <w:rPr>
                <w:rFonts w:ascii="Calibri" w:hAnsi="Calibri"/>
                <w:color w:val="000000"/>
              </w:rPr>
              <w:t>87,89</w:t>
            </w:r>
          </w:p>
        </w:tc>
        <w:tc>
          <w:tcPr>
            <w:tcW w:w="1357" w:type="pct"/>
            <w:shd w:val="clear" w:color="auto" w:fill="auto"/>
            <w:noWrap/>
            <w:vAlign w:val="center"/>
          </w:tcPr>
          <w:p w14:paraId="693F8C71" w14:textId="77777777" w:rsidR="00A448CA" w:rsidRPr="002048A7" w:rsidRDefault="00A448CA" w:rsidP="001173BD">
            <w:pPr>
              <w:spacing w:after="0" w:line="240" w:lineRule="auto"/>
              <w:jc w:val="right"/>
              <w:rPr>
                <w:rFonts w:eastAsia="Times New Roman"/>
                <w:color w:val="000000"/>
                <w:lang w:eastAsia="tr-TR"/>
              </w:rPr>
            </w:pPr>
            <w:r>
              <w:rPr>
                <w:rFonts w:ascii="Calibri" w:hAnsi="Calibri"/>
                <w:color w:val="000000"/>
              </w:rPr>
              <w:t>15.676.688</w:t>
            </w:r>
          </w:p>
        </w:tc>
        <w:tc>
          <w:tcPr>
            <w:tcW w:w="799" w:type="pct"/>
            <w:shd w:val="clear" w:color="auto" w:fill="auto"/>
            <w:noWrap/>
            <w:vAlign w:val="center"/>
          </w:tcPr>
          <w:p w14:paraId="45FBC6D5" w14:textId="77777777" w:rsidR="00A448CA" w:rsidRPr="002048A7" w:rsidRDefault="00A448CA" w:rsidP="001173BD">
            <w:pPr>
              <w:spacing w:after="0" w:line="240" w:lineRule="auto"/>
              <w:jc w:val="center"/>
              <w:rPr>
                <w:rFonts w:eastAsia="Times New Roman"/>
                <w:color w:val="000000"/>
                <w:lang w:eastAsia="tr-TR"/>
              </w:rPr>
            </w:pPr>
            <w:r w:rsidRPr="002048A7">
              <w:rPr>
                <w:rFonts w:ascii="Calibri" w:hAnsi="Calibri"/>
                <w:color w:val="000000"/>
              </w:rPr>
              <w:t>9</w:t>
            </w:r>
            <w:r>
              <w:rPr>
                <w:rFonts w:ascii="Calibri" w:hAnsi="Calibri"/>
                <w:color w:val="000000"/>
              </w:rPr>
              <w:t>7,73</w:t>
            </w:r>
            <w:r w:rsidRPr="002048A7">
              <w:rPr>
                <w:rFonts w:ascii="Calibri" w:hAnsi="Calibri"/>
                <w:color w:val="000000"/>
              </w:rPr>
              <w:t xml:space="preserve">  </w:t>
            </w:r>
          </w:p>
        </w:tc>
      </w:tr>
      <w:tr w:rsidR="00A448CA" w:rsidRPr="002048A7" w14:paraId="08340E47" w14:textId="77777777" w:rsidTr="001173BD">
        <w:trPr>
          <w:trHeight w:val="300"/>
          <w:jc w:val="center"/>
        </w:trPr>
        <w:tc>
          <w:tcPr>
            <w:tcW w:w="897" w:type="pct"/>
            <w:shd w:val="clear" w:color="auto" w:fill="auto"/>
            <w:noWrap/>
            <w:vAlign w:val="center"/>
          </w:tcPr>
          <w:p w14:paraId="2DDAB85C" w14:textId="77777777" w:rsidR="00A448CA" w:rsidRPr="002048A7" w:rsidRDefault="00A448CA" w:rsidP="001173BD">
            <w:pPr>
              <w:spacing w:after="0" w:line="240" w:lineRule="auto"/>
              <w:rPr>
                <w:rFonts w:eastAsia="Times New Roman"/>
                <w:color w:val="000000"/>
                <w:lang w:eastAsia="tr-TR"/>
              </w:rPr>
            </w:pPr>
            <w:r w:rsidRPr="002048A7">
              <w:rPr>
                <w:rFonts w:eastAsia="Times New Roman"/>
                <w:color w:val="000000"/>
                <w:lang w:eastAsia="tr-TR"/>
              </w:rPr>
              <w:t>Dağıtıcı</w:t>
            </w:r>
          </w:p>
        </w:tc>
        <w:tc>
          <w:tcPr>
            <w:tcW w:w="1206" w:type="pct"/>
            <w:shd w:val="clear" w:color="auto" w:fill="auto"/>
            <w:noWrap/>
            <w:vAlign w:val="center"/>
          </w:tcPr>
          <w:p w14:paraId="3ADF7FE8" w14:textId="77777777" w:rsidR="00A448CA" w:rsidRPr="002048A7" w:rsidRDefault="00A448CA" w:rsidP="001173BD">
            <w:pPr>
              <w:spacing w:after="0" w:line="240" w:lineRule="auto"/>
              <w:jc w:val="center"/>
              <w:rPr>
                <w:rFonts w:eastAsia="Times New Roman"/>
                <w:color w:val="000000"/>
                <w:lang w:eastAsia="tr-TR"/>
              </w:rPr>
            </w:pPr>
            <w:r>
              <w:rPr>
                <w:rFonts w:ascii="Calibri" w:hAnsi="Calibri"/>
                <w:color w:val="000000"/>
              </w:rPr>
              <w:t>4</w:t>
            </w:r>
          </w:p>
        </w:tc>
        <w:tc>
          <w:tcPr>
            <w:tcW w:w="741" w:type="pct"/>
            <w:shd w:val="clear" w:color="auto" w:fill="auto"/>
            <w:noWrap/>
            <w:vAlign w:val="center"/>
          </w:tcPr>
          <w:p w14:paraId="2B3AC2FF" w14:textId="77777777" w:rsidR="00A448CA" w:rsidRPr="002048A7" w:rsidRDefault="00A448CA" w:rsidP="001173BD">
            <w:pPr>
              <w:spacing w:after="0" w:line="240" w:lineRule="auto"/>
              <w:jc w:val="center"/>
              <w:rPr>
                <w:rFonts w:eastAsia="Times New Roman"/>
                <w:color w:val="000000"/>
                <w:lang w:eastAsia="tr-TR"/>
              </w:rPr>
            </w:pPr>
            <w:r>
              <w:rPr>
                <w:rFonts w:ascii="Calibri" w:hAnsi="Calibri"/>
                <w:color w:val="000000"/>
              </w:rPr>
              <w:t>12,11</w:t>
            </w:r>
          </w:p>
        </w:tc>
        <w:tc>
          <w:tcPr>
            <w:tcW w:w="1357" w:type="pct"/>
            <w:shd w:val="clear" w:color="auto" w:fill="auto"/>
            <w:noWrap/>
            <w:vAlign w:val="center"/>
          </w:tcPr>
          <w:p w14:paraId="085770B4" w14:textId="77777777" w:rsidR="00A448CA" w:rsidRPr="002048A7" w:rsidRDefault="00A448CA" w:rsidP="001173BD">
            <w:pPr>
              <w:spacing w:after="0" w:line="240" w:lineRule="auto"/>
              <w:jc w:val="right"/>
              <w:rPr>
                <w:rFonts w:eastAsia="Times New Roman"/>
                <w:color w:val="000000"/>
                <w:lang w:eastAsia="tr-TR"/>
              </w:rPr>
            </w:pPr>
            <w:r w:rsidRPr="000A463B">
              <w:rPr>
                <w:lang w:eastAsia="tr-TR"/>
              </w:rPr>
              <w:t>364.592</w:t>
            </w:r>
          </w:p>
        </w:tc>
        <w:tc>
          <w:tcPr>
            <w:tcW w:w="799" w:type="pct"/>
            <w:shd w:val="clear" w:color="auto" w:fill="auto"/>
            <w:noWrap/>
            <w:vAlign w:val="center"/>
          </w:tcPr>
          <w:p w14:paraId="1D8B687C" w14:textId="77777777" w:rsidR="00A448CA" w:rsidRPr="002048A7" w:rsidRDefault="00A448CA" w:rsidP="001173BD">
            <w:pPr>
              <w:spacing w:after="0" w:line="240" w:lineRule="auto"/>
              <w:jc w:val="center"/>
              <w:rPr>
                <w:rFonts w:eastAsia="Times New Roman"/>
                <w:color w:val="000000"/>
                <w:lang w:eastAsia="tr-TR"/>
              </w:rPr>
            </w:pPr>
            <w:r>
              <w:rPr>
                <w:rFonts w:ascii="Calibri" w:hAnsi="Calibri"/>
                <w:color w:val="000000"/>
              </w:rPr>
              <w:t>2,27</w:t>
            </w:r>
            <w:r w:rsidRPr="002048A7">
              <w:rPr>
                <w:rFonts w:ascii="Calibri" w:hAnsi="Calibri"/>
                <w:color w:val="000000"/>
              </w:rPr>
              <w:t xml:space="preserve"> </w:t>
            </w:r>
          </w:p>
        </w:tc>
      </w:tr>
      <w:tr w:rsidR="00A448CA" w:rsidRPr="002048A7" w14:paraId="378500B3" w14:textId="77777777" w:rsidTr="001173BD">
        <w:trPr>
          <w:trHeight w:val="300"/>
          <w:jc w:val="center"/>
        </w:trPr>
        <w:tc>
          <w:tcPr>
            <w:tcW w:w="897" w:type="pct"/>
            <w:shd w:val="clear" w:color="auto" w:fill="auto"/>
            <w:noWrap/>
            <w:vAlign w:val="center"/>
          </w:tcPr>
          <w:p w14:paraId="50147A3B" w14:textId="77777777" w:rsidR="00A448CA" w:rsidRPr="002048A7" w:rsidRDefault="00A448CA" w:rsidP="001173BD">
            <w:pPr>
              <w:spacing w:after="0" w:line="240" w:lineRule="auto"/>
              <w:rPr>
                <w:rFonts w:eastAsia="Times New Roman"/>
                <w:b/>
                <w:bCs/>
                <w:color w:val="000000"/>
                <w:lang w:eastAsia="tr-TR"/>
              </w:rPr>
            </w:pPr>
            <w:r w:rsidRPr="002048A7">
              <w:rPr>
                <w:rFonts w:eastAsia="Times New Roman"/>
                <w:b/>
                <w:bCs/>
                <w:color w:val="000000"/>
                <w:lang w:eastAsia="tr-TR"/>
              </w:rPr>
              <w:t>Toplam</w:t>
            </w:r>
          </w:p>
        </w:tc>
        <w:tc>
          <w:tcPr>
            <w:tcW w:w="1206" w:type="pct"/>
            <w:shd w:val="clear" w:color="auto" w:fill="auto"/>
            <w:noWrap/>
            <w:vAlign w:val="center"/>
          </w:tcPr>
          <w:p w14:paraId="3CA20B5E" w14:textId="77777777" w:rsidR="00A448CA" w:rsidRPr="002048A7" w:rsidRDefault="00A448CA" w:rsidP="001173BD">
            <w:pPr>
              <w:spacing w:after="0" w:line="240" w:lineRule="auto"/>
              <w:jc w:val="center"/>
              <w:rPr>
                <w:rFonts w:eastAsia="Times New Roman"/>
                <w:b/>
                <w:color w:val="000000"/>
                <w:lang w:eastAsia="tr-TR"/>
              </w:rPr>
            </w:pPr>
            <w:r>
              <w:rPr>
                <w:rFonts w:ascii="Calibri" w:hAnsi="Calibri"/>
                <w:b/>
                <w:bCs/>
                <w:color w:val="000000"/>
              </w:rPr>
              <w:t>33</w:t>
            </w:r>
          </w:p>
        </w:tc>
        <w:tc>
          <w:tcPr>
            <w:tcW w:w="741" w:type="pct"/>
            <w:shd w:val="clear" w:color="auto" w:fill="auto"/>
            <w:noWrap/>
            <w:vAlign w:val="center"/>
          </w:tcPr>
          <w:p w14:paraId="2F9AD823" w14:textId="77777777" w:rsidR="00A448CA" w:rsidRPr="002048A7" w:rsidRDefault="00A448CA" w:rsidP="001173BD">
            <w:pPr>
              <w:spacing w:after="0" w:line="240" w:lineRule="auto"/>
              <w:jc w:val="center"/>
              <w:rPr>
                <w:rFonts w:eastAsia="Times New Roman"/>
                <w:b/>
                <w:color w:val="000000"/>
                <w:lang w:eastAsia="tr-TR"/>
              </w:rPr>
            </w:pPr>
            <w:r w:rsidRPr="002048A7">
              <w:rPr>
                <w:rFonts w:ascii="Calibri" w:hAnsi="Calibri"/>
                <w:b/>
                <w:bCs/>
                <w:color w:val="000000"/>
              </w:rPr>
              <w:t>100</w:t>
            </w:r>
          </w:p>
        </w:tc>
        <w:tc>
          <w:tcPr>
            <w:tcW w:w="1357" w:type="pct"/>
            <w:shd w:val="clear" w:color="auto" w:fill="auto"/>
            <w:noWrap/>
            <w:vAlign w:val="center"/>
          </w:tcPr>
          <w:p w14:paraId="62627906" w14:textId="77777777" w:rsidR="00A448CA" w:rsidRPr="002048A7" w:rsidRDefault="00A448CA" w:rsidP="001173BD">
            <w:pPr>
              <w:spacing w:after="0" w:line="240" w:lineRule="auto"/>
              <w:jc w:val="right"/>
              <w:rPr>
                <w:rFonts w:eastAsia="Times New Roman"/>
                <w:b/>
                <w:color w:val="000000"/>
                <w:lang w:eastAsia="tr-TR"/>
              </w:rPr>
            </w:pPr>
            <w:r>
              <w:rPr>
                <w:b/>
                <w:bCs/>
                <w:color w:val="000000" w:themeColor="text1"/>
                <w:lang w:eastAsia="tr-TR"/>
              </w:rPr>
              <w:t>16.041.280</w:t>
            </w:r>
          </w:p>
        </w:tc>
        <w:tc>
          <w:tcPr>
            <w:tcW w:w="799" w:type="pct"/>
            <w:shd w:val="clear" w:color="auto" w:fill="auto"/>
            <w:noWrap/>
            <w:vAlign w:val="center"/>
          </w:tcPr>
          <w:p w14:paraId="76C9D1DD" w14:textId="77777777" w:rsidR="00A448CA" w:rsidRPr="002048A7" w:rsidRDefault="00A448CA" w:rsidP="001173BD">
            <w:pPr>
              <w:spacing w:after="0" w:line="240" w:lineRule="auto"/>
              <w:jc w:val="center"/>
              <w:rPr>
                <w:rFonts w:eastAsia="Times New Roman"/>
                <w:b/>
                <w:color w:val="000000"/>
                <w:lang w:eastAsia="tr-TR"/>
              </w:rPr>
            </w:pPr>
            <w:r w:rsidRPr="002048A7">
              <w:rPr>
                <w:rFonts w:ascii="Calibri" w:hAnsi="Calibri"/>
                <w:b/>
                <w:bCs/>
                <w:color w:val="000000"/>
              </w:rPr>
              <w:t>100</w:t>
            </w:r>
          </w:p>
        </w:tc>
      </w:tr>
    </w:tbl>
    <w:p w14:paraId="04789EC9" w14:textId="77777777" w:rsidR="00A448CA" w:rsidRPr="002048A7" w:rsidRDefault="00A448CA" w:rsidP="00A448CA">
      <w:pPr>
        <w:pStyle w:val="Balk5"/>
        <w:jc w:val="center"/>
        <w:rPr>
          <w:rFonts w:asciiTheme="minorHAnsi" w:hAnsiTheme="minorHAnsi"/>
          <w:b/>
          <w:bCs/>
          <w:color w:val="000000" w:themeColor="text1"/>
        </w:rPr>
      </w:pPr>
      <w:bookmarkStart w:id="327" w:name="_Toc195868845"/>
      <w:bookmarkEnd w:id="325"/>
      <w:bookmarkEnd w:id="326"/>
      <w:r w:rsidRPr="002048A7">
        <w:rPr>
          <w:rStyle w:val="Gl"/>
          <w:color w:val="000000" w:themeColor="text1"/>
        </w:rPr>
        <w:t>Tablo 6.</w:t>
      </w:r>
      <w:r>
        <w:rPr>
          <w:rStyle w:val="Gl"/>
          <w:color w:val="000000" w:themeColor="text1"/>
        </w:rPr>
        <w:t>11</w:t>
      </w:r>
      <w:r w:rsidRPr="002048A7">
        <w:rPr>
          <w:rStyle w:val="Gl"/>
          <w:color w:val="000000" w:themeColor="text1"/>
        </w:rPr>
        <w:t xml:space="preserve">: </w:t>
      </w:r>
      <w:r w:rsidRPr="002048A7">
        <w:rPr>
          <w:rFonts w:asciiTheme="minorHAnsi" w:hAnsiTheme="minorHAnsi"/>
          <w:b/>
          <w:bCs/>
          <w:color w:val="000000" w:themeColor="text1"/>
        </w:rPr>
        <w:t>LPG Piyasasında 202</w:t>
      </w:r>
      <w:r>
        <w:rPr>
          <w:rFonts w:asciiTheme="minorHAnsi" w:hAnsiTheme="minorHAnsi"/>
          <w:b/>
          <w:bCs/>
          <w:color w:val="000000" w:themeColor="text1"/>
        </w:rPr>
        <w:t>3</w:t>
      </w:r>
      <w:r w:rsidRPr="002048A7">
        <w:rPr>
          <w:rFonts w:asciiTheme="minorHAnsi" w:hAnsiTheme="minorHAnsi"/>
          <w:b/>
          <w:bCs/>
          <w:color w:val="000000" w:themeColor="text1"/>
        </w:rPr>
        <w:t>-202</w:t>
      </w:r>
      <w:r>
        <w:rPr>
          <w:rFonts w:asciiTheme="minorHAnsi" w:hAnsiTheme="minorHAnsi"/>
          <w:b/>
          <w:bCs/>
          <w:color w:val="000000" w:themeColor="text1"/>
        </w:rPr>
        <w:t>4</w:t>
      </w:r>
      <w:r w:rsidRPr="002048A7">
        <w:rPr>
          <w:rFonts w:asciiTheme="minorHAnsi" w:hAnsiTheme="minorHAnsi"/>
          <w:b/>
          <w:bCs/>
          <w:color w:val="000000" w:themeColor="text1"/>
        </w:rPr>
        <w:t xml:space="preserve"> Yıllarında Uygulanan İdari Para Cezalarının Lisans Tipine Göre Dağılımı</w:t>
      </w:r>
      <w:bookmarkEnd w:id="327"/>
    </w:p>
    <w:tbl>
      <w:tblPr>
        <w:tblW w:w="8530"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1400"/>
        <w:gridCol w:w="2622"/>
        <w:gridCol w:w="943"/>
        <w:gridCol w:w="2622"/>
        <w:gridCol w:w="943"/>
      </w:tblGrid>
      <w:tr w:rsidR="00A448CA" w:rsidRPr="002048A7" w14:paraId="51089891" w14:textId="77777777" w:rsidTr="001173BD">
        <w:trPr>
          <w:trHeight w:val="321"/>
          <w:jc w:val="center"/>
        </w:trPr>
        <w:tc>
          <w:tcPr>
            <w:tcW w:w="0" w:type="auto"/>
            <w:vMerge w:val="restart"/>
            <w:shd w:val="clear" w:color="auto" w:fill="6E9ECA"/>
            <w:vAlign w:val="center"/>
          </w:tcPr>
          <w:p w14:paraId="22702AA3" w14:textId="77777777" w:rsidR="00A448CA" w:rsidRPr="002048A7" w:rsidRDefault="00A448CA" w:rsidP="001173BD">
            <w:pPr>
              <w:spacing w:after="0" w:line="240" w:lineRule="auto"/>
              <w:rPr>
                <w:rFonts w:eastAsia="Times New Roman"/>
                <w:b/>
                <w:bCs/>
                <w:color w:val="FFFFFF" w:themeColor="background1"/>
                <w:lang w:eastAsia="tr-TR"/>
              </w:rPr>
            </w:pPr>
            <w:r w:rsidRPr="002048A7">
              <w:rPr>
                <w:rFonts w:eastAsia="Times New Roman"/>
                <w:b/>
                <w:bCs/>
                <w:color w:val="FFFFFF" w:themeColor="background1"/>
                <w:lang w:eastAsia="tr-TR"/>
              </w:rPr>
              <w:t>Lisans Tipi</w:t>
            </w:r>
          </w:p>
        </w:tc>
        <w:tc>
          <w:tcPr>
            <w:tcW w:w="0" w:type="auto"/>
            <w:gridSpan w:val="2"/>
            <w:shd w:val="clear" w:color="auto" w:fill="6E9ECA"/>
            <w:vAlign w:val="center"/>
          </w:tcPr>
          <w:p w14:paraId="442069BC" w14:textId="77777777" w:rsidR="00A448CA" w:rsidRPr="002048A7" w:rsidRDefault="00A448CA" w:rsidP="001173BD">
            <w:pPr>
              <w:spacing w:after="0" w:line="240" w:lineRule="auto"/>
              <w:jc w:val="center"/>
              <w:rPr>
                <w:rFonts w:eastAsia="Times New Roman"/>
                <w:b/>
                <w:bCs/>
                <w:color w:val="FFFFFF" w:themeColor="background1"/>
                <w:lang w:eastAsia="tr-TR"/>
              </w:rPr>
            </w:pPr>
            <w:r w:rsidRPr="002048A7">
              <w:rPr>
                <w:rFonts w:eastAsia="Times New Roman"/>
                <w:b/>
                <w:bCs/>
                <w:color w:val="FFFFFF" w:themeColor="background1"/>
                <w:lang w:eastAsia="tr-TR"/>
              </w:rPr>
              <w:t>202</w:t>
            </w:r>
            <w:r>
              <w:rPr>
                <w:rFonts w:eastAsia="Times New Roman"/>
                <w:b/>
                <w:bCs/>
                <w:color w:val="FFFFFF" w:themeColor="background1"/>
                <w:lang w:eastAsia="tr-TR"/>
              </w:rPr>
              <w:t>3</w:t>
            </w:r>
            <w:r w:rsidRPr="002048A7">
              <w:rPr>
                <w:rFonts w:eastAsia="Times New Roman"/>
                <w:b/>
                <w:bCs/>
                <w:color w:val="FFFFFF" w:themeColor="background1"/>
                <w:lang w:eastAsia="tr-TR"/>
              </w:rPr>
              <w:t xml:space="preserve"> Yılı</w:t>
            </w:r>
          </w:p>
        </w:tc>
        <w:tc>
          <w:tcPr>
            <w:tcW w:w="0" w:type="auto"/>
            <w:gridSpan w:val="2"/>
            <w:shd w:val="clear" w:color="auto" w:fill="6E9ECA"/>
            <w:vAlign w:val="center"/>
          </w:tcPr>
          <w:p w14:paraId="2A8525D1" w14:textId="77777777" w:rsidR="00A448CA" w:rsidRPr="002048A7" w:rsidRDefault="00A448CA" w:rsidP="001173BD">
            <w:pPr>
              <w:spacing w:after="0" w:line="240" w:lineRule="auto"/>
              <w:jc w:val="center"/>
              <w:rPr>
                <w:rFonts w:eastAsia="Times New Roman"/>
                <w:b/>
                <w:bCs/>
                <w:color w:val="FFFFFF" w:themeColor="background1"/>
                <w:lang w:eastAsia="tr-TR"/>
              </w:rPr>
            </w:pPr>
            <w:r w:rsidRPr="002048A7">
              <w:rPr>
                <w:rFonts w:eastAsia="Times New Roman"/>
                <w:b/>
                <w:bCs/>
                <w:color w:val="FFFFFF" w:themeColor="background1"/>
                <w:lang w:eastAsia="tr-TR"/>
              </w:rPr>
              <w:t>202</w:t>
            </w:r>
            <w:r>
              <w:rPr>
                <w:rFonts w:eastAsia="Times New Roman"/>
                <w:b/>
                <w:bCs/>
                <w:color w:val="FFFFFF" w:themeColor="background1"/>
                <w:lang w:eastAsia="tr-TR"/>
              </w:rPr>
              <w:t>4</w:t>
            </w:r>
            <w:r w:rsidRPr="002048A7">
              <w:rPr>
                <w:rFonts w:eastAsia="Times New Roman"/>
                <w:b/>
                <w:bCs/>
                <w:color w:val="FFFFFF" w:themeColor="background1"/>
                <w:lang w:eastAsia="tr-TR"/>
              </w:rPr>
              <w:t xml:space="preserve"> Yılı</w:t>
            </w:r>
          </w:p>
        </w:tc>
      </w:tr>
      <w:tr w:rsidR="00A448CA" w:rsidRPr="002048A7" w14:paraId="4A538EBC" w14:textId="77777777" w:rsidTr="001173BD">
        <w:trPr>
          <w:trHeight w:val="321"/>
          <w:jc w:val="center"/>
        </w:trPr>
        <w:tc>
          <w:tcPr>
            <w:tcW w:w="0" w:type="auto"/>
            <w:vMerge/>
            <w:shd w:val="clear" w:color="auto" w:fill="6E9ECA"/>
            <w:vAlign w:val="center"/>
            <w:hideMark/>
          </w:tcPr>
          <w:p w14:paraId="51D1E41E" w14:textId="77777777" w:rsidR="00A448CA" w:rsidRPr="002048A7" w:rsidRDefault="00A448CA" w:rsidP="001173BD">
            <w:pPr>
              <w:spacing w:after="0" w:line="240" w:lineRule="auto"/>
              <w:rPr>
                <w:rFonts w:eastAsia="Times New Roman"/>
                <w:b/>
                <w:bCs/>
                <w:color w:val="FFFFFF" w:themeColor="background1"/>
                <w:lang w:eastAsia="tr-TR"/>
              </w:rPr>
            </w:pPr>
          </w:p>
        </w:tc>
        <w:tc>
          <w:tcPr>
            <w:tcW w:w="0" w:type="auto"/>
            <w:shd w:val="clear" w:color="auto" w:fill="6E9ECA"/>
            <w:vAlign w:val="center"/>
            <w:hideMark/>
          </w:tcPr>
          <w:p w14:paraId="7C292CE2" w14:textId="77777777" w:rsidR="00A448CA" w:rsidRPr="002048A7" w:rsidRDefault="00A448CA" w:rsidP="001173BD">
            <w:pPr>
              <w:spacing w:after="0" w:line="240" w:lineRule="auto"/>
              <w:jc w:val="center"/>
              <w:rPr>
                <w:rFonts w:eastAsia="Times New Roman"/>
                <w:b/>
                <w:bCs/>
                <w:color w:val="FFFFFF" w:themeColor="background1"/>
                <w:lang w:eastAsia="tr-TR"/>
              </w:rPr>
            </w:pPr>
            <w:r w:rsidRPr="002048A7">
              <w:rPr>
                <w:rFonts w:eastAsia="Times New Roman"/>
                <w:b/>
                <w:bCs/>
                <w:color w:val="FFFFFF" w:themeColor="background1"/>
                <w:lang w:eastAsia="tr-TR"/>
              </w:rPr>
              <w:t>İdari Para Cezası Tutarı (TL)</w:t>
            </w:r>
          </w:p>
        </w:tc>
        <w:tc>
          <w:tcPr>
            <w:tcW w:w="0" w:type="auto"/>
            <w:shd w:val="clear" w:color="auto" w:fill="6E9ECA"/>
            <w:vAlign w:val="center"/>
            <w:hideMark/>
          </w:tcPr>
          <w:p w14:paraId="52ABE013" w14:textId="77777777" w:rsidR="00A448CA" w:rsidRPr="002048A7" w:rsidRDefault="00A448CA" w:rsidP="001173BD">
            <w:pPr>
              <w:spacing w:after="0" w:line="240" w:lineRule="auto"/>
              <w:jc w:val="center"/>
              <w:rPr>
                <w:rFonts w:eastAsia="Times New Roman"/>
                <w:b/>
                <w:bCs/>
                <w:color w:val="FFFFFF" w:themeColor="background1"/>
                <w:lang w:eastAsia="tr-TR"/>
              </w:rPr>
            </w:pPr>
            <w:r w:rsidRPr="002048A7">
              <w:rPr>
                <w:rFonts w:eastAsia="Times New Roman"/>
                <w:b/>
                <w:bCs/>
                <w:color w:val="FFFFFF" w:themeColor="background1"/>
                <w:lang w:eastAsia="tr-TR"/>
              </w:rPr>
              <w:t>Oran (%)</w:t>
            </w:r>
          </w:p>
        </w:tc>
        <w:tc>
          <w:tcPr>
            <w:tcW w:w="0" w:type="auto"/>
            <w:shd w:val="clear" w:color="auto" w:fill="6E9ECA"/>
            <w:vAlign w:val="center"/>
          </w:tcPr>
          <w:p w14:paraId="26C00A0D" w14:textId="77777777" w:rsidR="00A448CA" w:rsidRPr="002048A7" w:rsidRDefault="00A448CA" w:rsidP="001173BD">
            <w:pPr>
              <w:spacing w:after="0" w:line="240" w:lineRule="auto"/>
              <w:jc w:val="center"/>
              <w:rPr>
                <w:rFonts w:eastAsia="Times New Roman"/>
                <w:b/>
                <w:bCs/>
                <w:color w:val="FFFFFF" w:themeColor="background1"/>
                <w:lang w:eastAsia="tr-TR"/>
              </w:rPr>
            </w:pPr>
            <w:r w:rsidRPr="002048A7">
              <w:rPr>
                <w:rFonts w:eastAsia="Times New Roman"/>
                <w:b/>
                <w:bCs/>
                <w:color w:val="FFFFFF" w:themeColor="background1"/>
                <w:lang w:eastAsia="tr-TR"/>
              </w:rPr>
              <w:t>İdari Para Cezası Tutarı (TL)</w:t>
            </w:r>
          </w:p>
        </w:tc>
        <w:tc>
          <w:tcPr>
            <w:tcW w:w="0" w:type="auto"/>
            <w:shd w:val="clear" w:color="auto" w:fill="6E9ECA"/>
            <w:vAlign w:val="center"/>
          </w:tcPr>
          <w:p w14:paraId="304E63B3" w14:textId="77777777" w:rsidR="00A448CA" w:rsidRPr="002048A7" w:rsidRDefault="00A448CA" w:rsidP="001173BD">
            <w:pPr>
              <w:spacing w:after="0" w:line="240" w:lineRule="auto"/>
              <w:jc w:val="center"/>
              <w:rPr>
                <w:rFonts w:eastAsia="Times New Roman"/>
                <w:b/>
                <w:bCs/>
                <w:color w:val="FFFFFF" w:themeColor="background1"/>
                <w:lang w:eastAsia="tr-TR"/>
              </w:rPr>
            </w:pPr>
            <w:r w:rsidRPr="002048A7">
              <w:rPr>
                <w:rFonts w:eastAsia="Times New Roman"/>
                <w:b/>
                <w:bCs/>
                <w:color w:val="FFFFFF" w:themeColor="background1"/>
                <w:lang w:eastAsia="tr-TR"/>
              </w:rPr>
              <w:t>Oran (%)</w:t>
            </w:r>
          </w:p>
        </w:tc>
      </w:tr>
      <w:tr w:rsidR="00A448CA" w:rsidRPr="002048A7" w14:paraId="170DB9CE" w14:textId="77777777" w:rsidTr="001173BD">
        <w:trPr>
          <w:trHeight w:val="321"/>
          <w:jc w:val="center"/>
        </w:trPr>
        <w:tc>
          <w:tcPr>
            <w:tcW w:w="0" w:type="auto"/>
            <w:shd w:val="clear" w:color="auto" w:fill="auto"/>
            <w:noWrap/>
            <w:vAlign w:val="center"/>
          </w:tcPr>
          <w:p w14:paraId="0297B1CB" w14:textId="77777777" w:rsidR="00A448CA" w:rsidRPr="002048A7" w:rsidRDefault="00A448CA" w:rsidP="001173BD">
            <w:pPr>
              <w:spacing w:after="0" w:line="240" w:lineRule="auto"/>
              <w:rPr>
                <w:rFonts w:eastAsia="Times New Roman"/>
                <w:color w:val="000000"/>
                <w:lang w:eastAsia="tr-TR"/>
              </w:rPr>
            </w:pPr>
            <w:r w:rsidRPr="002048A7">
              <w:rPr>
                <w:rFonts w:eastAsia="Times New Roman"/>
                <w:color w:val="000000"/>
                <w:lang w:eastAsia="tr-TR"/>
              </w:rPr>
              <w:t>Otogaz Bayilik</w:t>
            </w:r>
          </w:p>
        </w:tc>
        <w:tc>
          <w:tcPr>
            <w:tcW w:w="0" w:type="auto"/>
            <w:shd w:val="clear" w:color="auto" w:fill="auto"/>
            <w:noWrap/>
            <w:vAlign w:val="center"/>
          </w:tcPr>
          <w:p w14:paraId="108C7704" w14:textId="77777777" w:rsidR="00A448CA" w:rsidRPr="002048A7" w:rsidRDefault="00A448CA" w:rsidP="001173BD">
            <w:pPr>
              <w:spacing w:after="0" w:line="240" w:lineRule="auto"/>
              <w:jc w:val="right"/>
              <w:rPr>
                <w:rFonts w:eastAsia="Times New Roman"/>
                <w:color w:val="000000"/>
                <w:lang w:eastAsia="tr-TR"/>
              </w:rPr>
            </w:pPr>
            <w:r w:rsidRPr="002048A7">
              <w:rPr>
                <w:lang w:eastAsia="tr-TR"/>
              </w:rPr>
              <w:t>11.172.123,11</w:t>
            </w:r>
          </w:p>
        </w:tc>
        <w:tc>
          <w:tcPr>
            <w:tcW w:w="0" w:type="auto"/>
            <w:shd w:val="clear" w:color="auto" w:fill="auto"/>
            <w:noWrap/>
            <w:vAlign w:val="center"/>
          </w:tcPr>
          <w:p w14:paraId="77BE85C1" w14:textId="77777777" w:rsidR="00A448CA" w:rsidRPr="002048A7" w:rsidRDefault="00A448CA" w:rsidP="001173BD">
            <w:pPr>
              <w:spacing w:after="0" w:line="240" w:lineRule="auto"/>
              <w:jc w:val="center"/>
              <w:rPr>
                <w:rFonts w:eastAsia="Times New Roman"/>
                <w:color w:val="000000"/>
                <w:lang w:eastAsia="tr-TR"/>
              </w:rPr>
            </w:pPr>
            <w:r w:rsidRPr="002048A7">
              <w:rPr>
                <w:rFonts w:eastAsia="Times New Roman"/>
                <w:lang w:eastAsia="tr-TR"/>
              </w:rPr>
              <w:t>90,23</w:t>
            </w:r>
          </w:p>
        </w:tc>
        <w:tc>
          <w:tcPr>
            <w:tcW w:w="0" w:type="auto"/>
            <w:shd w:val="clear" w:color="auto" w:fill="auto"/>
            <w:vAlign w:val="center"/>
          </w:tcPr>
          <w:p w14:paraId="631E41E2" w14:textId="77777777" w:rsidR="00A448CA" w:rsidRPr="002048A7" w:rsidRDefault="00A448CA" w:rsidP="001173BD">
            <w:pPr>
              <w:spacing w:after="0" w:line="240" w:lineRule="auto"/>
              <w:jc w:val="right"/>
              <w:rPr>
                <w:rFonts w:eastAsia="Times New Roman"/>
                <w:color w:val="000000"/>
                <w:lang w:eastAsia="tr-TR"/>
              </w:rPr>
            </w:pPr>
            <w:r>
              <w:rPr>
                <w:rFonts w:ascii="Calibri" w:hAnsi="Calibri"/>
                <w:color w:val="000000"/>
              </w:rPr>
              <w:t>15.676.688</w:t>
            </w:r>
          </w:p>
        </w:tc>
        <w:tc>
          <w:tcPr>
            <w:tcW w:w="0" w:type="auto"/>
            <w:shd w:val="clear" w:color="auto" w:fill="auto"/>
            <w:vAlign w:val="center"/>
          </w:tcPr>
          <w:p w14:paraId="1AD27636" w14:textId="77777777" w:rsidR="00A448CA" w:rsidRPr="002048A7" w:rsidRDefault="00A448CA" w:rsidP="001173BD">
            <w:pPr>
              <w:spacing w:after="0" w:line="240" w:lineRule="auto"/>
              <w:jc w:val="center"/>
              <w:rPr>
                <w:rFonts w:eastAsia="Times New Roman"/>
                <w:color w:val="000000"/>
                <w:lang w:eastAsia="tr-TR"/>
              </w:rPr>
            </w:pPr>
            <w:r w:rsidRPr="002048A7">
              <w:rPr>
                <w:rFonts w:ascii="Calibri" w:hAnsi="Calibri"/>
                <w:color w:val="000000"/>
              </w:rPr>
              <w:t>9</w:t>
            </w:r>
            <w:r>
              <w:rPr>
                <w:rFonts w:ascii="Calibri" w:hAnsi="Calibri"/>
                <w:color w:val="000000"/>
              </w:rPr>
              <w:t>7,73</w:t>
            </w:r>
            <w:r w:rsidRPr="002048A7">
              <w:rPr>
                <w:rFonts w:ascii="Calibri" w:hAnsi="Calibri"/>
                <w:color w:val="000000"/>
              </w:rPr>
              <w:t xml:space="preserve">  </w:t>
            </w:r>
          </w:p>
        </w:tc>
      </w:tr>
      <w:tr w:rsidR="00A448CA" w:rsidRPr="002048A7" w14:paraId="36176E09" w14:textId="77777777" w:rsidTr="001173BD">
        <w:trPr>
          <w:trHeight w:val="321"/>
          <w:jc w:val="center"/>
        </w:trPr>
        <w:tc>
          <w:tcPr>
            <w:tcW w:w="0" w:type="auto"/>
            <w:shd w:val="clear" w:color="auto" w:fill="auto"/>
            <w:noWrap/>
            <w:vAlign w:val="center"/>
          </w:tcPr>
          <w:p w14:paraId="049DD28E" w14:textId="77777777" w:rsidR="00A448CA" w:rsidRPr="002048A7" w:rsidRDefault="00A448CA" w:rsidP="001173BD">
            <w:pPr>
              <w:spacing w:after="0" w:line="240" w:lineRule="auto"/>
              <w:rPr>
                <w:rFonts w:eastAsia="Times New Roman"/>
                <w:color w:val="000000"/>
                <w:lang w:eastAsia="tr-TR"/>
              </w:rPr>
            </w:pPr>
            <w:r w:rsidRPr="002048A7">
              <w:rPr>
                <w:rFonts w:eastAsia="Times New Roman"/>
                <w:color w:val="000000"/>
                <w:lang w:eastAsia="tr-TR"/>
              </w:rPr>
              <w:t>Dağıtıcı</w:t>
            </w:r>
          </w:p>
        </w:tc>
        <w:tc>
          <w:tcPr>
            <w:tcW w:w="0" w:type="auto"/>
            <w:shd w:val="clear" w:color="auto" w:fill="auto"/>
            <w:noWrap/>
            <w:vAlign w:val="center"/>
          </w:tcPr>
          <w:p w14:paraId="35A34656" w14:textId="77777777" w:rsidR="00A448CA" w:rsidRPr="002048A7" w:rsidRDefault="00A448CA" w:rsidP="001173BD">
            <w:pPr>
              <w:spacing w:after="0" w:line="240" w:lineRule="auto"/>
              <w:jc w:val="right"/>
              <w:rPr>
                <w:rFonts w:eastAsia="Times New Roman"/>
                <w:color w:val="000000"/>
                <w:lang w:eastAsia="tr-TR"/>
              </w:rPr>
            </w:pPr>
            <w:r w:rsidRPr="002048A7">
              <w:rPr>
                <w:lang w:eastAsia="tr-TR"/>
              </w:rPr>
              <w:t>1.209.243,00</w:t>
            </w:r>
          </w:p>
        </w:tc>
        <w:tc>
          <w:tcPr>
            <w:tcW w:w="0" w:type="auto"/>
            <w:shd w:val="clear" w:color="auto" w:fill="auto"/>
            <w:noWrap/>
            <w:vAlign w:val="center"/>
          </w:tcPr>
          <w:p w14:paraId="53CE2649" w14:textId="77777777" w:rsidR="00A448CA" w:rsidRPr="002048A7" w:rsidRDefault="00A448CA" w:rsidP="001173BD">
            <w:pPr>
              <w:spacing w:after="0" w:line="240" w:lineRule="auto"/>
              <w:jc w:val="center"/>
              <w:rPr>
                <w:rFonts w:eastAsia="Times New Roman"/>
                <w:color w:val="000000"/>
                <w:lang w:eastAsia="tr-TR"/>
              </w:rPr>
            </w:pPr>
            <w:r w:rsidRPr="002048A7">
              <w:rPr>
                <w:rFonts w:eastAsia="Times New Roman"/>
                <w:lang w:eastAsia="tr-TR"/>
              </w:rPr>
              <w:t>9,77</w:t>
            </w:r>
          </w:p>
        </w:tc>
        <w:tc>
          <w:tcPr>
            <w:tcW w:w="0" w:type="auto"/>
            <w:shd w:val="clear" w:color="auto" w:fill="auto"/>
            <w:vAlign w:val="center"/>
          </w:tcPr>
          <w:p w14:paraId="269F9E94" w14:textId="77777777" w:rsidR="00A448CA" w:rsidRPr="002048A7" w:rsidRDefault="00A448CA" w:rsidP="001173BD">
            <w:pPr>
              <w:spacing w:after="0" w:line="240" w:lineRule="auto"/>
              <w:jc w:val="right"/>
              <w:rPr>
                <w:rFonts w:eastAsia="Times New Roman"/>
                <w:color w:val="000000"/>
                <w:lang w:eastAsia="tr-TR"/>
              </w:rPr>
            </w:pPr>
            <w:r w:rsidRPr="000A463B">
              <w:rPr>
                <w:lang w:eastAsia="tr-TR"/>
              </w:rPr>
              <w:t>364.592</w:t>
            </w:r>
          </w:p>
        </w:tc>
        <w:tc>
          <w:tcPr>
            <w:tcW w:w="0" w:type="auto"/>
            <w:shd w:val="clear" w:color="auto" w:fill="auto"/>
            <w:vAlign w:val="center"/>
          </w:tcPr>
          <w:p w14:paraId="5493685C" w14:textId="77777777" w:rsidR="00A448CA" w:rsidRPr="002048A7" w:rsidRDefault="00A448CA" w:rsidP="001173BD">
            <w:pPr>
              <w:spacing w:after="0" w:line="240" w:lineRule="auto"/>
              <w:jc w:val="center"/>
              <w:rPr>
                <w:rFonts w:eastAsia="Times New Roman"/>
                <w:color w:val="000000"/>
                <w:lang w:eastAsia="tr-TR"/>
              </w:rPr>
            </w:pPr>
            <w:r>
              <w:rPr>
                <w:rFonts w:ascii="Calibri" w:hAnsi="Calibri"/>
                <w:color w:val="000000"/>
              </w:rPr>
              <w:t>2,27</w:t>
            </w:r>
            <w:r w:rsidRPr="002048A7">
              <w:rPr>
                <w:rFonts w:ascii="Calibri" w:hAnsi="Calibri"/>
                <w:color w:val="000000"/>
              </w:rPr>
              <w:t xml:space="preserve"> </w:t>
            </w:r>
          </w:p>
        </w:tc>
      </w:tr>
      <w:tr w:rsidR="00A448CA" w:rsidRPr="002048A7" w14:paraId="6311B794" w14:textId="77777777" w:rsidTr="001173BD">
        <w:trPr>
          <w:trHeight w:val="321"/>
          <w:jc w:val="center"/>
        </w:trPr>
        <w:tc>
          <w:tcPr>
            <w:tcW w:w="0" w:type="auto"/>
            <w:shd w:val="clear" w:color="auto" w:fill="auto"/>
            <w:noWrap/>
            <w:vAlign w:val="center"/>
          </w:tcPr>
          <w:p w14:paraId="3BE5163A" w14:textId="77777777" w:rsidR="00A448CA" w:rsidRPr="002048A7" w:rsidRDefault="00A448CA" w:rsidP="001173BD">
            <w:pPr>
              <w:spacing w:after="0" w:line="240" w:lineRule="auto"/>
              <w:rPr>
                <w:rFonts w:eastAsia="Times New Roman"/>
                <w:b/>
                <w:bCs/>
                <w:color w:val="000000"/>
                <w:lang w:eastAsia="tr-TR"/>
              </w:rPr>
            </w:pPr>
            <w:r w:rsidRPr="002048A7">
              <w:rPr>
                <w:rFonts w:eastAsia="Times New Roman"/>
                <w:b/>
                <w:bCs/>
                <w:color w:val="000000"/>
                <w:lang w:eastAsia="tr-TR"/>
              </w:rPr>
              <w:t>Toplam</w:t>
            </w:r>
          </w:p>
        </w:tc>
        <w:tc>
          <w:tcPr>
            <w:tcW w:w="0" w:type="auto"/>
            <w:shd w:val="clear" w:color="auto" w:fill="auto"/>
            <w:noWrap/>
            <w:vAlign w:val="center"/>
          </w:tcPr>
          <w:p w14:paraId="5E92896F" w14:textId="77777777" w:rsidR="00A448CA" w:rsidRPr="002048A7" w:rsidRDefault="00A448CA" w:rsidP="001173BD">
            <w:pPr>
              <w:spacing w:after="0" w:line="240" w:lineRule="auto"/>
              <w:jc w:val="right"/>
              <w:rPr>
                <w:rFonts w:eastAsia="Times New Roman"/>
                <w:b/>
                <w:color w:val="000000"/>
                <w:lang w:eastAsia="tr-TR"/>
              </w:rPr>
            </w:pPr>
            <w:r w:rsidRPr="002048A7">
              <w:rPr>
                <w:b/>
                <w:bCs/>
                <w:color w:val="000000" w:themeColor="text1"/>
                <w:lang w:eastAsia="tr-TR"/>
              </w:rPr>
              <w:t>12.381.366,11</w:t>
            </w:r>
          </w:p>
        </w:tc>
        <w:tc>
          <w:tcPr>
            <w:tcW w:w="0" w:type="auto"/>
            <w:shd w:val="clear" w:color="auto" w:fill="auto"/>
            <w:noWrap/>
            <w:vAlign w:val="center"/>
          </w:tcPr>
          <w:p w14:paraId="36AF4369" w14:textId="77777777" w:rsidR="00A448CA" w:rsidRPr="002048A7" w:rsidRDefault="00A448CA" w:rsidP="001173BD">
            <w:pPr>
              <w:spacing w:after="0" w:line="240" w:lineRule="auto"/>
              <w:jc w:val="center"/>
              <w:rPr>
                <w:rFonts w:eastAsia="Times New Roman"/>
                <w:b/>
                <w:color w:val="000000"/>
                <w:lang w:eastAsia="tr-TR"/>
              </w:rPr>
            </w:pPr>
            <w:r w:rsidRPr="002048A7">
              <w:rPr>
                <w:rFonts w:eastAsia="Times New Roman"/>
                <w:b/>
                <w:color w:val="000000"/>
                <w:lang w:eastAsia="tr-TR"/>
              </w:rPr>
              <w:t>100</w:t>
            </w:r>
          </w:p>
        </w:tc>
        <w:tc>
          <w:tcPr>
            <w:tcW w:w="0" w:type="auto"/>
            <w:shd w:val="clear" w:color="auto" w:fill="auto"/>
            <w:vAlign w:val="center"/>
          </w:tcPr>
          <w:p w14:paraId="7CB9F60C" w14:textId="77777777" w:rsidR="00A448CA" w:rsidRPr="002048A7" w:rsidRDefault="00A448CA" w:rsidP="001173BD">
            <w:pPr>
              <w:spacing w:after="0" w:line="240" w:lineRule="auto"/>
              <w:jc w:val="right"/>
              <w:rPr>
                <w:rFonts w:eastAsia="Times New Roman"/>
                <w:b/>
                <w:color w:val="000000"/>
                <w:lang w:eastAsia="tr-TR"/>
              </w:rPr>
            </w:pPr>
            <w:r>
              <w:rPr>
                <w:b/>
                <w:bCs/>
                <w:color w:val="000000" w:themeColor="text1"/>
                <w:lang w:eastAsia="tr-TR"/>
              </w:rPr>
              <w:t>16.041.280</w:t>
            </w:r>
          </w:p>
        </w:tc>
        <w:tc>
          <w:tcPr>
            <w:tcW w:w="0" w:type="auto"/>
            <w:shd w:val="clear" w:color="auto" w:fill="auto"/>
            <w:vAlign w:val="center"/>
          </w:tcPr>
          <w:p w14:paraId="05212193" w14:textId="77777777" w:rsidR="00A448CA" w:rsidRPr="002048A7" w:rsidRDefault="00A448CA" w:rsidP="001173BD">
            <w:pPr>
              <w:spacing w:after="0" w:line="240" w:lineRule="auto"/>
              <w:jc w:val="center"/>
              <w:rPr>
                <w:rFonts w:eastAsia="Times New Roman"/>
                <w:b/>
                <w:color w:val="000000"/>
                <w:lang w:eastAsia="tr-TR"/>
              </w:rPr>
            </w:pPr>
            <w:r w:rsidRPr="002048A7">
              <w:rPr>
                <w:rFonts w:eastAsia="Times New Roman"/>
                <w:b/>
                <w:color w:val="000000"/>
                <w:lang w:eastAsia="tr-TR"/>
              </w:rPr>
              <w:t>100</w:t>
            </w:r>
          </w:p>
        </w:tc>
      </w:tr>
    </w:tbl>
    <w:p w14:paraId="39BC84EE" w14:textId="77777777" w:rsidR="00A448CA" w:rsidRPr="002048A7" w:rsidRDefault="00A448CA" w:rsidP="00A448CA">
      <w:pPr>
        <w:spacing w:after="0"/>
      </w:pPr>
    </w:p>
    <w:p w14:paraId="104461F9" w14:textId="77777777" w:rsidR="00A448CA" w:rsidRDefault="00A448CA" w:rsidP="00A448CA">
      <w:pPr>
        <w:spacing w:after="240"/>
      </w:pPr>
      <w:r w:rsidRPr="002048A7">
        <w:t>LPG piyasasında idari yaptırımlar ve idari para cezaları, lisanssız faaliyette bulunmak, teknik düzenlemelere aykırı ürün ikmal etmek, lisansın verdiği hak ve yükümlülüklere aykırı davranmak, tesiste sorumlu müdür ve yetkili personel istihdam etmemek, başka dağıtıcıya ait tüp bulundurmak, dağıtıcının bayisi olmayan istasyona LPG ikmal etmesi, oto gaz istasyonunda tüp dolumuna yarayan aparat bulundurmak ve/veya tüp dolumu yapmak fiillerinden dolayı uygulanmaktadır.</w:t>
      </w:r>
    </w:p>
    <w:p w14:paraId="2A6F5A2F" w14:textId="77777777" w:rsidR="00A448CA" w:rsidRPr="002048A7" w:rsidRDefault="00A448CA" w:rsidP="00A448CA">
      <w:pPr>
        <w:pStyle w:val="Balk5"/>
        <w:jc w:val="center"/>
        <w:rPr>
          <w:rStyle w:val="Gl"/>
          <w:color w:val="000000" w:themeColor="text1"/>
        </w:rPr>
      </w:pPr>
      <w:bookmarkStart w:id="328" w:name="_Toc195868846"/>
      <w:r w:rsidRPr="002048A7">
        <w:rPr>
          <w:rStyle w:val="Gl"/>
          <w:color w:val="000000" w:themeColor="text1"/>
        </w:rPr>
        <w:t>Tablo 6.1</w:t>
      </w:r>
      <w:r>
        <w:rPr>
          <w:rStyle w:val="Gl"/>
          <w:color w:val="000000" w:themeColor="text1"/>
        </w:rPr>
        <w:t>2</w:t>
      </w:r>
      <w:r w:rsidRPr="002048A7">
        <w:rPr>
          <w:rStyle w:val="Gl"/>
          <w:color w:val="000000" w:themeColor="text1"/>
        </w:rPr>
        <w:t>: LPG Piyasasında 202</w:t>
      </w:r>
      <w:r>
        <w:rPr>
          <w:rStyle w:val="Gl"/>
          <w:color w:val="000000" w:themeColor="text1"/>
        </w:rPr>
        <w:t>4</w:t>
      </w:r>
      <w:r w:rsidRPr="002048A7">
        <w:rPr>
          <w:rStyle w:val="Gl"/>
          <w:color w:val="000000" w:themeColor="text1"/>
        </w:rPr>
        <w:t xml:space="preserve"> Yılında Uygulanan İdari Para Cezalarının İdari Para Cezasına Konu Fiillere Göre Dağılımı</w:t>
      </w:r>
      <w:bookmarkEnd w:id="328"/>
    </w:p>
    <w:tbl>
      <w:tblPr>
        <w:tblW w:w="10048" w:type="dxa"/>
        <w:tblInd w:w="-43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4383"/>
        <w:gridCol w:w="1581"/>
        <w:gridCol w:w="989"/>
        <w:gridCol w:w="2106"/>
        <w:gridCol w:w="989"/>
      </w:tblGrid>
      <w:tr w:rsidR="00A448CA" w:rsidRPr="002048A7" w14:paraId="6BEE83A3" w14:textId="77777777" w:rsidTr="0089088E">
        <w:trPr>
          <w:trHeight w:val="19"/>
          <w:tblHeader/>
        </w:trPr>
        <w:tc>
          <w:tcPr>
            <w:tcW w:w="4383" w:type="dxa"/>
            <w:shd w:val="clear" w:color="000000" w:fill="6E9ECA"/>
            <w:vAlign w:val="center"/>
            <w:hideMark/>
          </w:tcPr>
          <w:p w14:paraId="0CE396EB" w14:textId="77777777" w:rsidR="00A448CA" w:rsidRPr="002048A7" w:rsidRDefault="00A448CA" w:rsidP="001173BD">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İdari Para Cezasına Konu Fiil</w:t>
            </w:r>
          </w:p>
        </w:tc>
        <w:tc>
          <w:tcPr>
            <w:tcW w:w="1581" w:type="dxa"/>
            <w:shd w:val="clear" w:color="000000" w:fill="6E9ECA"/>
            <w:vAlign w:val="center"/>
            <w:hideMark/>
          </w:tcPr>
          <w:p w14:paraId="122160AF" w14:textId="77777777" w:rsidR="00A448CA" w:rsidRPr="002048A7" w:rsidRDefault="00A448CA" w:rsidP="001173BD">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Uygulanan İdari Para Cezası Adedi</w:t>
            </w:r>
          </w:p>
        </w:tc>
        <w:tc>
          <w:tcPr>
            <w:tcW w:w="989" w:type="dxa"/>
            <w:shd w:val="clear" w:color="000000" w:fill="6E9ECA"/>
            <w:vAlign w:val="center"/>
            <w:hideMark/>
          </w:tcPr>
          <w:p w14:paraId="2586CC9A" w14:textId="77777777" w:rsidR="00A448CA" w:rsidRPr="002048A7" w:rsidRDefault="00A448CA" w:rsidP="001173BD">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Oran (%)</w:t>
            </w:r>
          </w:p>
        </w:tc>
        <w:tc>
          <w:tcPr>
            <w:tcW w:w="2106" w:type="dxa"/>
            <w:shd w:val="clear" w:color="000000" w:fill="6E9ECA"/>
            <w:vAlign w:val="center"/>
            <w:hideMark/>
          </w:tcPr>
          <w:p w14:paraId="3F63FE2C" w14:textId="77777777" w:rsidR="00A448CA" w:rsidRPr="002048A7" w:rsidRDefault="00A448CA" w:rsidP="001173BD">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İdari Para Cezası Tutarı (TL)</w:t>
            </w:r>
          </w:p>
        </w:tc>
        <w:tc>
          <w:tcPr>
            <w:tcW w:w="989" w:type="dxa"/>
            <w:shd w:val="clear" w:color="000000" w:fill="6E9ECA"/>
            <w:vAlign w:val="center"/>
            <w:hideMark/>
          </w:tcPr>
          <w:p w14:paraId="7A1AA9BC" w14:textId="77777777" w:rsidR="00A448CA" w:rsidRPr="002048A7" w:rsidRDefault="00A448CA" w:rsidP="001173BD">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Oran (%)</w:t>
            </w:r>
          </w:p>
        </w:tc>
      </w:tr>
      <w:tr w:rsidR="00A448CA" w:rsidRPr="002048A7" w14:paraId="4945BE5A" w14:textId="77777777" w:rsidTr="001173BD">
        <w:trPr>
          <w:trHeight w:val="393"/>
        </w:trPr>
        <w:tc>
          <w:tcPr>
            <w:tcW w:w="4383" w:type="dxa"/>
            <w:shd w:val="clear" w:color="auto" w:fill="auto"/>
            <w:noWrap/>
            <w:hideMark/>
          </w:tcPr>
          <w:p w14:paraId="383CE53F" w14:textId="77777777" w:rsidR="00A448CA" w:rsidRPr="002048A7" w:rsidRDefault="00A448CA" w:rsidP="001173BD">
            <w:pPr>
              <w:rPr>
                <w:rFonts w:cstheme="minorHAnsi"/>
              </w:rPr>
            </w:pPr>
            <w:r w:rsidRPr="002048A7">
              <w:rPr>
                <w:rFonts w:cstheme="minorHAnsi"/>
                <w:lang w:eastAsia="tr-TR"/>
              </w:rPr>
              <w:t>Dağıtıcı tarafından Kuruma bildirilen il tavan fiyatı üzerinde satış yapılması</w:t>
            </w:r>
          </w:p>
        </w:tc>
        <w:tc>
          <w:tcPr>
            <w:tcW w:w="1581" w:type="dxa"/>
            <w:shd w:val="clear" w:color="auto" w:fill="auto"/>
            <w:noWrap/>
            <w:hideMark/>
          </w:tcPr>
          <w:p w14:paraId="1333846C" w14:textId="77777777" w:rsidR="00A448CA" w:rsidRPr="002048A7" w:rsidRDefault="00A448CA" w:rsidP="001173BD">
            <w:pPr>
              <w:jc w:val="center"/>
              <w:rPr>
                <w:rFonts w:cstheme="minorHAnsi"/>
                <w:lang w:eastAsia="tr-TR"/>
              </w:rPr>
            </w:pPr>
            <w:r>
              <w:rPr>
                <w:rFonts w:cstheme="minorHAnsi"/>
                <w:lang w:eastAsia="tr-TR"/>
              </w:rPr>
              <w:t>5</w:t>
            </w:r>
          </w:p>
        </w:tc>
        <w:tc>
          <w:tcPr>
            <w:tcW w:w="989" w:type="dxa"/>
            <w:shd w:val="clear" w:color="auto" w:fill="auto"/>
            <w:noWrap/>
            <w:hideMark/>
          </w:tcPr>
          <w:p w14:paraId="3A6BD13E" w14:textId="77777777" w:rsidR="00A448CA" w:rsidRPr="002048A7" w:rsidRDefault="00A448CA" w:rsidP="001173BD">
            <w:pPr>
              <w:jc w:val="center"/>
              <w:rPr>
                <w:rFonts w:cstheme="minorHAnsi"/>
                <w:lang w:eastAsia="tr-TR"/>
              </w:rPr>
            </w:pPr>
            <w:r>
              <w:rPr>
                <w:rFonts w:cstheme="minorHAnsi"/>
                <w:lang w:eastAsia="tr-TR"/>
              </w:rPr>
              <w:t>15,16</w:t>
            </w:r>
          </w:p>
        </w:tc>
        <w:tc>
          <w:tcPr>
            <w:tcW w:w="2106" w:type="dxa"/>
            <w:shd w:val="clear" w:color="auto" w:fill="auto"/>
            <w:noWrap/>
            <w:hideMark/>
          </w:tcPr>
          <w:p w14:paraId="5546FF3B" w14:textId="77777777" w:rsidR="00A448CA" w:rsidRPr="002048A7" w:rsidRDefault="00A448CA" w:rsidP="001173BD">
            <w:pPr>
              <w:jc w:val="center"/>
              <w:rPr>
                <w:rFonts w:cstheme="minorHAnsi"/>
                <w:lang w:eastAsia="tr-TR"/>
              </w:rPr>
            </w:pPr>
            <w:r>
              <w:rPr>
                <w:rFonts w:cstheme="minorHAnsi"/>
                <w:lang w:eastAsia="tr-TR"/>
              </w:rPr>
              <w:t>187.995</w:t>
            </w:r>
          </w:p>
        </w:tc>
        <w:tc>
          <w:tcPr>
            <w:tcW w:w="989" w:type="dxa"/>
            <w:shd w:val="clear" w:color="auto" w:fill="auto"/>
            <w:noWrap/>
            <w:hideMark/>
          </w:tcPr>
          <w:p w14:paraId="1FBA4DC2" w14:textId="77777777" w:rsidR="00A448CA" w:rsidRPr="002048A7" w:rsidRDefault="00A448CA" w:rsidP="001173BD">
            <w:pPr>
              <w:jc w:val="center"/>
              <w:rPr>
                <w:rFonts w:cstheme="minorHAnsi"/>
                <w:lang w:eastAsia="tr-TR"/>
              </w:rPr>
            </w:pPr>
            <w:r>
              <w:rPr>
                <w:rFonts w:cstheme="minorHAnsi"/>
                <w:lang w:eastAsia="tr-TR"/>
              </w:rPr>
              <w:t>1,18</w:t>
            </w:r>
          </w:p>
        </w:tc>
      </w:tr>
      <w:tr w:rsidR="00A448CA" w:rsidRPr="002048A7" w14:paraId="4AE9CCB5" w14:textId="77777777" w:rsidTr="001173BD">
        <w:trPr>
          <w:trHeight w:val="393"/>
        </w:trPr>
        <w:tc>
          <w:tcPr>
            <w:tcW w:w="4383" w:type="dxa"/>
            <w:shd w:val="clear" w:color="auto" w:fill="auto"/>
            <w:noWrap/>
          </w:tcPr>
          <w:p w14:paraId="13A4695A" w14:textId="77777777" w:rsidR="00A448CA" w:rsidRPr="002048A7" w:rsidRDefault="00A448CA" w:rsidP="001173BD">
            <w:pPr>
              <w:kinsoku w:val="0"/>
              <w:overflowPunct w:val="0"/>
              <w:autoSpaceDE w:val="0"/>
              <w:autoSpaceDN w:val="0"/>
              <w:adjustRightInd w:val="0"/>
              <w:spacing w:before="64" w:after="0" w:line="240" w:lineRule="auto"/>
              <w:rPr>
                <w:rFonts w:cstheme="minorHAnsi"/>
              </w:rPr>
            </w:pPr>
            <w:r w:rsidRPr="002048A7">
              <w:rPr>
                <w:rFonts w:cstheme="minorHAnsi"/>
                <w:lang w:eastAsia="tr-TR"/>
              </w:rPr>
              <w:t>İstasyon sahası içerisinde araçtan araca LPG ikmali yapmak suretiyle kötüniyet ve tehlikeli eylem sonucunu doğuracak işlemde bulunulması</w:t>
            </w:r>
          </w:p>
        </w:tc>
        <w:tc>
          <w:tcPr>
            <w:tcW w:w="1581" w:type="dxa"/>
            <w:shd w:val="clear" w:color="auto" w:fill="auto"/>
            <w:noWrap/>
          </w:tcPr>
          <w:p w14:paraId="256A4F54" w14:textId="77777777" w:rsidR="00A448CA" w:rsidRPr="002048A7" w:rsidRDefault="00A448CA" w:rsidP="001173BD">
            <w:pPr>
              <w:jc w:val="center"/>
              <w:rPr>
                <w:rFonts w:cstheme="minorHAnsi"/>
                <w:lang w:eastAsia="tr-TR"/>
              </w:rPr>
            </w:pPr>
            <w:r w:rsidRPr="00D33DC3">
              <w:t>0</w:t>
            </w:r>
          </w:p>
        </w:tc>
        <w:tc>
          <w:tcPr>
            <w:tcW w:w="989" w:type="dxa"/>
            <w:shd w:val="clear" w:color="auto" w:fill="auto"/>
            <w:noWrap/>
          </w:tcPr>
          <w:p w14:paraId="7A7214BE" w14:textId="77777777" w:rsidR="00A448CA" w:rsidRPr="002048A7" w:rsidRDefault="00A448CA" w:rsidP="001173BD">
            <w:pPr>
              <w:jc w:val="center"/>
              <w:rPr>
                <w:rFonts w:cstheme="minorHAnsi"/>
                <w:lang w:eastAsia="tr-TR"/>
              </w:rPr>
            </w:pPr>
            <w:r>
              <w:rPr>
                <w:rFonts w:cstheme="minorHAnsi"/>
                <w:lang w:eastAsia="tr-TR"/>
              </w:rPr>
              <w:t>0</w:t>
            </w:r>
          </w:p>
        </w:tc>
        <w:tc>
          <w:tcPr>
            <w:tcW w:w="2106" w:type="dxa"/>
            <w:shd w:val="clear" w:color="auto" w:fill="auto"/>
            <w:noWrap/>
          </w:tcPr>
          <w:p w14:paraId="0592A4F4" w14:textId="77777777" w:rsidR="00A448CA" w:rsidRPr="002048A7" w:rsidRDefault="00A448CA" w:rsidP="001173BD">
            <w:pPr>
              <w:jc w:val="center"/>
              <w:rPr>
                <w:rFonts w:cstheme="minorHAnsi"/>
                <w:lang w:eastAsia="tr-TR"/>
              </w:rPr>
            </w:pPr>
            <w:r w:rsidRPr="00D33DC3">
              <w:t>0</w:t>
            </w:r>
          </w:p>
        </w:tc>
        <w:tc>
          <w:tcPr>
            <w:tcW w:w="989" w:type="dxa"/>
            <w:shd w:val="clear" w:color="auto" w:fill="auto"/>
            <w:noWrap/>
          </w:tcPr>
          <w:p w14:paraId="65CED5B7" w14:textId="77777777" w:rsidR="00A448CA" w:rsidRPr="002048A7" w:rsidRDefault="00A448CA" w:rsidP="001173BD">
            <w:pPr>
              <w:jc w:val="center"/>
              <w:rPr>
                <w:rFonts w:cstheme="minorHAnsi"/>
                <w:lang w:eastAsia="tr-TR"/>
              </w:rPr>
            </w:pPr>
            <w:r w:rsidRPr="00D33DC3">
              <w:t>0</w:t>
            </w:r>
          </w:p>
        </w:tc>
      </w:tr>
      <w:tr w:rsidR="00A448CA" w:rsidRPr="002048A7" w14:paraId="03A38C68" w14:textId="77777777" w:rsidTr="001173BD">
        <w:trPr>
          <w:trHeight w:val="393"/>
        </w:trPr>
        <w:tc>
          <w:tcPr>
            <w:tcW w:w="4383" w:type="dxa"/>
            <w:shd w:val="clear" w:color="auto" w:fill="auto"/>
            <w:noWrap/>
          </w:tcPr>
          <w:p w14:paraId="065F25EE" w14:textId="77777777" w:rsidR="00A448CA" w:rsidRPr="002048A7" w:rsidRDefault="00A448CA" w:rsidP="001173BD">
            <w:pPr>
              <w:kinsoku w:val="0"/>
              <w:overflowPunct w:val="0"/>
              <w:autoSpaceDE w:val="0"/>
              <w:autoSpaceDN w:val="0"/>
              <w:adjustRightInd w:val="0"/>
              <w:spacing w:after="0" w:line="240" w:lineRule="auto"/>
              <w:ind w:right="62"/>
              <w:rPr>
                <w:rFonts w:cstheme="minorHAnsi"/>
              </w:rPr>
            </w:pPr>
            <w:r w:rsidRPr="002048A7">
              <w:rPr>
                <w:rFonts w:cstheme="minorHAnsi"/>
                <w:lang w:eastAsia="tr-TR"/>
              </w:rPr>
              <w:t>LPG dolumu/ikmali yapılan bir tesiste çalışan ve ilgili SGK hizmet döküm listesinde yer alan kişilerin tamamının LPG Yetkili İşletme Personeli Sertifikası olmaması</w:t>
            </w:r>
          </w:p>
        </w:tc>
        <w:tc>
          <w:tcPr>
            <w:tcW w:w="1581" w:type="dxa"/>
            <w:shd w:val="clear" w:color="auto" w:fill="auto"/>
            <w:noWrap/>
          </w:tcPr>
          <w:p w14:paraId="0B3EDDB3" w14:textId="77777777" w:rsidR="00A448CA" w:rsidRPr="002048A7" w:rsidRDefault="00A448CA" w:rsidP="001173BD">
            <w:pPr>
              <w:jc w:val="center"/>
              <w:rPr>
                <w:rFonts w:cstheme="minorHAnsi"/>
                <w:lang w:eastAsia="tr-TR"/>
              </w:rPr>
            </w:pPr>
            <w:r>
              <w:t>5</w:t>
            </w:r>
          </w:p>
        </w:tc>
        <w:tc>
          <w:tcPr>
            <w:tcW w:w="989" w:type="dxa"/>
            <w:shd w:val="clear" w:color="auto" w:fill="auto"/>
            <w:noWrap/>
          </w:tcPr>
          <w:p w14:paraId="05CBE563" w14:textId="77777777" w:rsidR="00A448CA" w:rsidRPr="002048A7" w:rsidRDefault="00A448CA" w:rsidP="001173BD">
            <w:pPr>
              <w:jc w:val="center"/>
              <w:rPr>
                <w:rFonts w:cstheme="minorHAnsi"/>
                <w:lang w:eastAsia="tr-TR"/>
              </w:rPr>
            </w:pPr>
            <w:r>
              <w:t>15,16</w:t>
            </w:r>
          </w:p>
        </w:tc>
        <w:tc>
          <w:tcPr>
            <w:tcW w:w="2106" w:type="dxa"/>
            <w:shd w:val="clear" w:color="auto" w:fill="auto"/>
            <w:noWrap/>
          </w:tcPr>
          <w:p w14:paraId="7A2BB3C5" w14:textId="77777777" w:rsidR="00A448CA" w:rsidRPr="002048A7" w:rsidRDefault="00A448CA" w:rsidP="001173BD">
            <w:pPr>
              <w:jc w:val="center"/>
              <w:rPr>
                <w:rFonts w:cstheme="minorHAnsi"/>
                <w:lang w:eastAsia="tr-TR"/>
              </w:rPr>
            </w:pPr>
            <w:r>
              <w:t>2.756.155</w:t>
            </w:r>
          </w:p>
        </w:tc>
        <w:tc>
          <w:tcPr>
            <w:tcW w:w="989" w:type="dxa"/>
            <w:shd w:val="clear" w:color="auto" w:fill="auto"/>
            <w:noWrap/>
          </w:tcPr>
          <w:p w14:paraId="799C7E3B" w14:textId="77777777" w:rsidR="00A448CA" w:rsidRPr="002048A7" w:rsidRDefault="00A448CA" w:rsidP="001173BD">
            <w:pPr>
              <w:jc w:val="center"/>
              <w:rPr>
                <w:rFonts w:cstheme="minorHAnsi"/>
                <w:lang w:eastAsia="tr-TR"/>
              </w:rPr>
            </w:pPr>
            <w:r>
              <w:t>17,18</w:t>
            </w:r>
          </w:p>
        </w:tc>
      </w:tr>
      <w:tr w:rsidR="00A448CA" w:rsidRPr="002048A7" w14:paraId="74527C8B" w14:textId="77777777" w:rsidTr="001173BD">
        <w:trPr>
          <w:trHeight w:val="393"/>
        </w:trPr>
        <w:tc>
          <w:tcPr>
            <w:tcW w:w="4383" w:type="dxa"/>
            <w:shd w:val="clear" w:color="auto" w:fill="auto"/>
            <w:noWrap/>
          </w:tcPr>
          <w:p w14:paraId="344E25B5" w14:textId="0755FCEE" w:rsidR="00A448CA" w:rsidRPr="002048A7" w:rsidRDefault="00A448CA" w:rsidP="001173BD">
            <w:pPr>
              <w:rPr>
                <w:rFonts w:cstheme="minorHAnsi"/>
              </w:rPr>
            </w:pPr>
            <w:r w:rsidRPr="002048A7">
              <w:rPr>
                <w:rFonts w:cstheme="minorHAnsi"/>
                <w:lang w:eastAsia="tr-TR"/>
              </w:rPr>
              <w:lastRenderedPageBreak/>
              <w:t>LPG tüpü dolumuna yarayan teçhizatın istasyon dahilinde bulundurulması</w:t>
            </w:r>
            <w:r w:rsidR="0032505C">
              <w:rPr>
                <w:rFonts w:cstheme="minorHAnsi"/>
                <w:lang w:eastAsia="tr-TR"/>
              </w:rPr>
              <w:t xml:space="preserve"> / </w:t>
            </w:r>
            <w:r w:rsidR="0032505C" w:rsidRPr="002048A7">
              <w:rPr>
                <w:rFonts w:cstheme="minorHAnsi"/>
                <w:lang w:eastAsia="tr-TR"/>
              </w:rPr>
              <w:t>aparatla tüp dolumu</w:t>
            </w:r>
          </w:p>
        </w:tc>
        <w:tc>
          <w:tcPr>
            <w:tcW w:w="1581" w:type="dxa"/>
            <w:shd w:val="clear" w:color="auto" w:fill="auto"/>
            <w:noWrap/>
          </w:tcPr>
          <w:p w14:paraId="350965E0" w14:textId="77777777" w:rsidR="00A448CA" w:rsidRPr="002048A7" w:rsidRDefault="00A448CA" w:rsidP="001173BD">
            <w:pPr>
              <w:jc w:val="center"/>
              <w:rPr>
                <w:rFonts w:cstheme="minorHAnsi"/>
                <w:lang w:eastAsia="tr-TR"/>
              </w:rPr>
            </w:pPr>
            <w:r>
              <w:t>19</w:t>
            </w:r>
          </w:p>
        </w:tc>
        <w:tc>
          <w:tcPr>
            <w:tcW w:w="989" w:type="dxa"/>
            <w:shd w:val="clear" w:color="auto" w:fill="auto"/>
            <w:noWrap/>
          </w:tcPr>
          <w:p w14:paraId="4496030A" w14:textId="77777777" w:rsidR="00A448CA" w:rsidRPr="002048A7" w:rsidRDefault="00A448CA" w:rsidP="001173BD">
            <w:pPr>
              <w:jc w:val="center"/>
              <w:rPr>
                <w:rFonts w:cstheme="minorHAnsi"/>
                <w:lang w:eastAsia="tr-TR"/>
              </w:rPr>
            </w:pPr>
            <w:r>
              <w:t>57,57</w:t>
            </w:r>
          </w:p>
        </w:tc>
        <w:tc>
          <w:tcPr>
            <w:tcW w:w="2106" w:type="dxa"/>
            <w:shd w:val="clear" w:color="auto" w:fill="auto"/>
            <w:noWrap/>
          </w:tcPr>
          <w:p w14:paraId="49FF671B" w14:textId="77777777" w:rsidR="00A448CA" w:rsidRPr="002048A7" w:rsidRDefault="00A448CA" w:rsidP="001173BD">
            <w:pPr>
              <w:jc w:val="center"/>
              <w:rPr>
                <w:rFonts w:cstheme="minorHAnsi"/>
                <w:lang w:eastAsia="tr-TR"/>
              </w:rPr>
            </w:pPr>
            <w:r>
              <w:t>12.732.538</w:t>
            </w:r>
          </w:p>
        </w:tc>
        <w:tc>
          <w:tcPr>
            <w:tcW w:w="989" w:type="dxa"/>
            <w:shd w:val="clear" w:color="auto" w:fill="auto"/>
            <w:noWrap/>
          </w:tcPr>
          <w:p w14:paraId="662353CB" w14:textId="77777777" w:rsidR="00A448CA" w:rsidRPr="002048A7" w:rsidRDefault="00A448CA" w:rsidP="001173BD">
            <w:pPr>
              <w:jc w:val="center"/>
              <w:rPr>
                <w:rFonts w:cstheme="minorHAnsi"/>
                <w:lang w:eastAsia="tr-TR"/>
              </w:rPr>
            </w:pPr>
            <w:r>
              <w:t>79,37</w:t>
            </w:r>
          </w:p>
        </w:tc>
      </w:tr>
      <w:tr w:rsidR="00A448CA" w:rsidRPr="002048A7" w14:paraId="79729E32" w14:textId="77777777" w:rsidTr="001173BD">
        <w:trPr>
          <w:trHeight w:val="393"/>
        </w:trPr>
        <w:tc>
          <w:tcPr>
            <w:tcW w:w="4383" w:type="dxa"/>
            <w:shd w:val="clear" w:color="auto" w:fill="auto"/>
            <w:noWrap/>
          </w:tcPr>
          <w:p w14:paraId="61A6833C" w14:textId="77777777" w:rsidR="00A448CA" w:rsidRPr="002048A7" w:rsidRDefault="00A448CA" w:rsidP="001173BD">
            <w:pPr>
              <w:kinsoku w:val="0"/>
              <w:overflowPunct w:val="0"/>
              <w:autoSpaceDE w:val="0"/>
              <w:autoSpaceDN w:val="0"/>
              <w:adjustRightInd w:val="0"/>
              <w:spacing w:before="64" w:after="0" w:line="240" w:lineRule="auto"/>
              <w:rPr>
                <w:rFonts w:cstheme="minorHAnsi"/>
                <w:lang w:eastAsia="tr-TR"/>
              </w:rPr>
            </w:pPr>
            <w:r w:rsidRPr="002048A7">
              <w:rPr>
                <w:rFonts w:cstheme="minorHAnsi"/>
                <w:lang w:eastAsia="tr-TR"/>
              </w:rPr>
              <w:t>Ulusal stok tutma yükümlülüğünün yerine getirilmemesi</w:t>
            </w:r>
          </w:p>
        </w:tc>
        <w:tc>
          <w:tcPr>
            <w:tcW w:w="1581" w:type="dxa"/>
            <w:shd w:val="clear" w:color="auto" w:fill="auto"/>
            <w:noWrap/>
          </w:tcPr>
          <w:p w14:paraId="4C0591DA" w14:textId="77777777" w:rsidR="00A448CA" w:rsidRPr="002048A7" w:rsidRDefault="00A448CA" w:rsidP="001173BD">
            <w:pPr>
              <w:jc w:val="center"/>
              <w:rPr>
                <w:rFonts w:cstheme="minorHAnsi"/>
                <w:lang w:eastAsia="tr-TR"/>
              </w:rPr>
            </w:pPr>
            <w:r w:rsidRPr="00D33DC3">
              <w:t>4</w:t>
            </w:r>
          </w:p>
        </w:tc>
        <w:tc>
          <w:tcPr>
            <w:tcW w:w="989" w:type="dxa"/>
            <w:shd w:val="clear" w:color="auto" w:fill="auto"/>
            <w:noWrap/>
          </w:tcPr>
          <w:p w14:paraId="0CB9381B" w14:textId="77777777" w:rsidR="00A448CA" w:rsidRPr="002048A7" w:rsidRDefault="00A448CA" w:rsidP="001173BD">
            <w:pPr>
              <w:jc w:val="center"/>
              <w:rPr>
                <w:rFonts w:cstheme="minorHAnsi"/>
                <w:lang w:eastAsia="tr-TR"/>
              </w:rPr>
            </w:pPr>
            <w:r>
              <w:t>12,11</w:t>
            </w:r>
          </w:p>
        </w:tc>
        <w:tc>
          <w:tcPr>
            <w:tcW w:w="2106" w:type="dxa"/>
            <w:shd w:val="clear" w:color="auto" w:fill="auto"/>
            <w:noWrap/>
          </w:tcPr>
          <w:p w14:paraId="38AA2A77" w14:textId="77777777" w:rsidR="00A448CA" w:rsidRPr="002048A7" w:rsidRDefault="00A448CA" w:rsidP="001173BD">
            <w:pPr>
              <w:jc w:val="center"/>
              <w:rPr>
                <w:rFonts w:cstheme="minorHAnsi"/>
                <w:lang w:eastAsia="tr-TR"/>
              </w:rPr>
            </w:pPr>
            <w:r w:rsidRPr="00D33DC3">
              <w:t>364.592</w:t>
            </w:r>
          </w:p>
        </w:tc>
        <w:tc>
          <w:tcPr>
            <w:tcW w:w="989" w:type="dxa"/>
            <w:shd w:val="clear" w:color="auto" w:fill="auto"/>
            <w:noWrap/>
          </w:tcPr>
          <w:p w14:paraId="732BFC15" w14:textId="77777777" w:rsidR="00A448CA" w:rsidRPr="002048A7" w:rsidRDefault="00A448CA" w:rsidP="001173BD">
            <w:pPr>
              <w:jc w:val="center"/>
              <w:rPr>
                <w:rFonts w:cstheme="minorHAnsi"/>
                <w:lang w:eastAsia="tr-TR"/>
              </w:rPr>
            </w:pPr>
            <w:r>
              <w:t>2,27</w:t>
            </w:r>
          </w:p>
        </w:tc>
      </w:tr>
      <w:tr w:rsidR="00A448CA" w:rsidRPr="002048A7" w14:paraId="2FF9C7BA" w14:textId="77777777" w:rsidTr="001173BD">
        <w:trPr>
          <w:trHeight w:val="393"/>
        </w:trPr>
        <w:tc>
          <w:tcPr>
            <w:tcW w:w="4383" w:type="dxa"/>
            <w:shd w:val="clear" w:color="auto" w:fill="auto"/>
            <w:noWrap/>
            <w:vAlign w:val="center"/>
            <w:hideMark/>
          </w:tcPr>
          <w:p w14:paraId="3D2BEC02" w14:textId="77777777" w:rsidR="00A448CA" w:rsidRPr="002048A7" w:rsidRDefault="00A448CA" w:rsidP="001173BD">
            <w:pPr>
              <w:spacing w:after="0" w:line="240" w:lineRule="auto"/>
              <w:rPr>
                <w:rFonts w:ascii="Calibri" w:eastAsia="Times New Roman" w:hAnsi="Calibri"/>
                <w:color w:val="000000"/>
                <w:lang w:eastAsia="tr-TR"/>
              </w:rPr>
            </w:pPr>
            <w:r w:rsidRPr="002048A7">
              <w:rPr>
                <w:rFonts w:ascii="Calibri" w:eastAsia="Times New Roman" w:hAnsi="Calibri" w:cs="Calibri"/>
                <w:b/>
                <w:bCs/>
                <w:color w:val="000000"/>
                <w:lang w:eastAsia="tr-TR"/>
              </w:rPr>
              <w:t>Toplam</w:t>
            </w:r>
          </w:p>
        </w:tc>
        <w:tc>
          <w:tcPr>
            <w:tcW w:w="1581" w:type="dxa"/>
            <w:shd w:val="clear" w:color="auto" w:fill="auto"/>
            <w:noWrap/>
            <w:hideMark/>
          </w:tcPr>
          <w:p w14:paraId="5909EEB4" w14:textId="77777777" w:rsidR="00A448CA" w:rsidRPr="003B05A9" w:rsidRDefault="00A448CA" w:rsidP="001173BD">
            <w:pPr>
              <w:kinsoku w:val="0"/>
              <w:overflowPunct w:val="0"/>
              <w:autoSpaceDE w:val="0"/>
              <w:autoSpaceDN w:val="0"/>
              <w:adjustRightInd w:val="0"/>
              <w:spacing w:before="64" w:after="0" w:line="240" w:lineRule="auto"/>
              <w:jc w:val="center"/>
              <w:rPr>
                <w:rFonts w:cstheme="minorHAnsi"/>
                <w:b/>
              </w:rPr>
            </w:pPr>
            <w:r w:rsidRPr="00391C5C">
              <w:rPr>
                <w:b/>
              </w:rPr>
              <w:t>3</w:t>
            </w:r>
            <w:r>
              <w:rPr>
                <w:b/>
              </w:rPr>
              <w:t>3</w:t>
            </w:r>
          </w:p>
        </w:tc>
        <w:tc>
          <w:tcPr>
            <w:tcW w:w="989" w:type="dxa"/>
            <w:shd w:val="clear" w:color="auto" w:fill="auto"/>
            <w:noWrap/>
            <w:hideMark/>
          </w:tcPr>
          <w:p w14:paraId="6D175165" w14:textId="77777777" w:rsidR="00A448CA" w:rsidRPr="003B05A9" w:rsidRDefault="00A448CA" w:rsidP="001173BD">
            <w:pPr>
              <w:kinsoku w:val="0"/>
              <w:overflowPunct w:val="0"/>
              <w:autoSpaceDE w:val="0"/>
              <w:autoSpaceDN w:val="0"/>
              <w:adjustRightInd w:val="0"/>
              <w:spacing w:before="64" w:after="0" w:line="240" w:lineRule="auto"/>
              <w:jc w:val="center"/>
              <w:rPr>
                <w:rFonts w:cstheme="minorHAnsi"/>
                <w:b/>
              </w:rPr>
            </w:pPr>
            <w:r w:rsidRPr="00391C5C">
              <w:rPr>
                <w:b/>
              </w:rPr>
              <w:t>100</w:t>
            </w:r>
          </w:p>
        </w:tc>
        <w:tc>
          <w:tcPr>
            <w:tcW w:w="2106" w:type="dxa"/>
            <w:shd w:val="clear" w:color="auto" w:fill="auto"/>
            <w:noWrap/>
            <w:hideMark/>
          </w:tcPr>
          <w:p w14:paraId="329A8003" w14:textId="77777777" w:rsidR="00A448CA" w:rsidRPr="003B05A9" w:rsidRDefault="00A448CA" w:rsidP="001173BD">
            <w:pPr>
              <w:kinsoku w:val="0"/>
              <w:overflowPunct w:val="0"/>
              <w:autoSpaceDE w:val="0"/>
              <w:autoSpaceDN w:val="0"/>
              <w:adjustRightInd w:val="0"/>
              <w:spacing w:before="64" w:after="0" w:line="240" w:lineRule="auto"/>
              <w:jc w:val="center"/>
              <w:rPr>
                <w:rFonts w:cstheme="minorHAnsi"/>
                <w:b/>
              </w:rPr>
            </w:pPr>
            <w:r>
              <w:rPr>
                <w:b/>
              </w:rPr>
              <w:t>16.041.280</w:t>
            </w:r>
          </w:p>
        </w:tc>
        <w:tc>
          <w:tcPr>
            <w:tcW w:w="989" w:type="dxa"/>
            <w:shd w:val="clear" w:color="auto" w:fill="auto"/>
            <w:noWrap/>
            <w:hideMark/>
          </w:tcPr>
          <w:p w14:paraId="6C2DB15A" w14:textId="77777777" w:rsidR="00A448CA" w:rsidRPr="003B05A9" w:rsidRDefault="00A448CA" w:rsidP="001173BD">
            <w:pPr>
              <w:kinsoku w:val="0"/>
              <w:overflowPunct w:val="0"/>
              <w:autoSpaceDE w:val="0"/>
              <w:autoSpaceDN w:val="0"/>
              <w:adjustRightInd w:val="0"/>
              <w:spacing w:before="64" w:after="0" w:line="240" w:lineRule="auto"/>
              <w:jc w:val="center"/>
              <w:rPr>
                <w:rFonts w:cstheme="minorHAnsi"/>
                <w:b/>
              </w:rPr>
            </w:pPr>
            <w:r w:rsidRPr="00391C5C">
              <w:rPr>
                <w:b/>
              </w:rPr>
              <w:t>100</w:t>
            </w:r>
          </w:p>
        </w:tc>
      </w:tr>
    </w:tbl>
    <w:p w14:paraId="1C6FF221" w14:textId="77777777" w:rsidR="00A448CA" w:rsidRPr="002048A7" w:rsidRDefault="00A448CA" w:rsidP="00A448CA">
      <w:pPr>
        <w:pStyle w:val="Balk1"/>
        <w:spacing w:before="120" w:after="120"/>
        <w:ind w:left="357"/>
        <w:rPr>
          <w:rFonts w:asciiTheme="minorHAnsi" w:hAnsiTheme="minorHAnsi"/>
          <w:color w:val="auto"/>
          <w:sz w:val="22"/>
          <w:szCs w:val="22"/>
        </w:rPr>
      </w:pPr>
    </w:p>
    <w:p w14:paraId="0DA8A160" w14:textId="77777777" w:rsidR="0007594C" w:rsidRPr="002048A7" w:rsidRDefault="0007594C" w:rsidP="0007594C"/>
    <w:p w14:paraId="19439AFF" w14:textId="77777777" w:rsidR="0007594C" w:rsidRPr="002048A7" w:rsidRDefault="0007594C" w:rsidP="0007594C"/>
    <w:p w14:paraId="519DE82D" w14:textId="77777777" w:rsidR="0007594C" w:rsidRPr="002048A7" w:rsidRDefault="0007594C" w:rsidP="0007594C"/>
    <w:p w14:paraId="31E0E163" w14:textId="77777777" w:rsidR="0007594C" w:rsidRPr="002048A7" w:rsidRDefault="0007594C" w:rsidP="0007594C"/>
    <w:p w14:paraId="1B33610B" w14:textId="77777777" w:rsidR="00324B1E" w:rsidRDefault="00324B1E">
      <w:pPr>
        <w:jc w:val="left"/>
      </w:pPr>
      <w:r>
        <w:br w:type="page"/>
      </w:r>
    </w:p>
    <w:p w14:paraId="1D1EA0D0" w14:textId="77777777" w:rsidR="005747D2" w:rsidRPr="002048A7" w:rsidRDefault="00734202" w:rsidP="00577AAF">
      <w:pPr>
        <w:pStyle w:val="Balk1"/>
        <w:numPr>
          <w:ilvl w:val="0"/>
          <w:numId w:val="11"/>
        </w:numPr>
        <w:spacing w:before="120" w:after="120"/>
        <w:ind w:left="357"/>
        <w:rPr>
          <w:rFonts w:asciiTheme="minorHAnsi" w:hAnsiTheme="minorHAnsi"/>
          <w:color w:val="auto"/>
          <w:sz w:val="22"/>
          <w:szCs w:val="22"/>
        </w:rPr>
      </w:pPr>
      <w:bookmarkStart w:id="329" w:name="_Toc195868756"/>
      <w:r w:rsidRPr="002048A7">
        <w:rPr>
          <w:rFonts w:asciiTheme="minorHAnsi" w:hAnsiTheme="minorHAnsi"/>
          <w:color w:val="auto"/>
          <w:sz w:val="22"/>
          <w:szCs w:val="22"/>
        </w:rPr>
        <w:lastRenderedPageBreak/>
        <w:t>TAŞINMAZ TEMİNİ İŞLERİ</w:t>
      </w:r>
      <w:bookmarkEnd w:id="329"/>
    </w:p>
    <w:p w14:paraId="3B0C1FC8" w14:textId="77777777" w:rsidR="000E19E7" w:rsidRPr="002048A7" w:rsidRDefault="000E19E7" w:rsidP="000E19E7">
      <w:r w:rsidRPr="002048A7">
        <w:t>6446 sayılı Elektrik Piyasası Kanununun 19</w:t>
      </w:r>
      <w:r w:rsidR="001A5127" w:rsidRPr="002048A7">
        <w:t>’</w:t>
      </w:r>
      <w:r w:rsidRPr="002048A7">
        <w:t>uncu maddesine göre elektrik üretim tesisleri için, 4646 sayılı Doğal Gaz Piyasası Kanununun 12</w:t>
      </w:r>
      <w:r w:rsidR="001A5127" w:rsidRPr="002048A7">
        <w:t>’</w:t>
      </w:r>
      <w:r w:rsidRPr="002048A7">
        <w:t>nci maddesine göre doğal gaz iletim, dağıtım ve depolama tesisleri için ve 5015 sayılı Petrol Piyasası Kanununun 11</w:t>
      </w:r>
      <w:r w:rsidR="001A5127" w:rsidRPr="002048A7">
        <w:t>’</w:t>
      </w:r>
      <w:r w:rsidRPr="002048A7">
        <w:t xml:space="preserve">inci maddesi kapsamındaki petrol rafinerileri, lisanslı depolama tesisleri, iletim hatları ve işleme tesislerinin kurulabilmesi için gerekli olan taşınmazların temin edilmesi işlemleri Kurum (Kamulaştırma Dairesi Başkanlığı) tarafından yürütülmektedir. </w:t>
      </w:r>
    </w:p>
    <w:p w14:paraId="5B2C1BCA" w14:textId="77777777" w:rsidR="000E19E7" w:rsidRPr="002048A7" w:rsidRDefault="00F45E83" w:rsidP="000E19E7">
      <w:r w:rsidRPr="002048A7">
        <w:t xml:space="preserve">Bu çerçevede temel olarak yürütülen işlemler; özel mülkiyetteki taşınmazlar için </w:t>
      </w:r>
      <w:r w:rsidRPr="002048A7">
        <w:rPr>
          <w:i/>
          <w:iCs/>
        </w:rPr>
        <w:t xml:space="preserve">“kamulaştırma”, </w:t>
      </w:r>
      <w:r w:rsidRPr="002048A7">
        <w:t xml:space="preserve">Maliye Hazinesi (MH) mülkiyetindeki ya da Devletin hüküm ve tasarrufu altındaki (DHTA) taşınmazlar için </w:t>
      </w:r>
      <w:r w:rsidRPr="002048A7">
        <w:rPr>
          <w:i/>
          <w:iCs/>
        </w:rPr>
        <w:t>“irtifak hakkı tesisi veya kiralama”</w:t>
      </w:r>
      <w:r w:rsidRPr="002048A7">
        <w:t xml:space="preserve">, diğer kamu kurum ve kuruluşlarının mülkiyetindeki taşınmazlarda 2942 sayılı Kamulaştırma Kanununun 30’uncu maddesinin uygulanması yoluyla </w:t>
      </w:r>
      <w:r w:rsidRPr="002048A7">
        <w:rPr>
          <w:i/>
          <w:iCs/>
        </w:rPr>
        <w:t xml:space="preserve">“devir” </w:t>
      </w:r>
      <w:r w:rsidRPr="002048A7">
        <w:rPr>
          <w:iCs/>
        </w:rPr>
        <w:t>şeklinde sıralanmakta</w:t>
      </w:r>
      <w:r w:rsidRPr="002048A7">
        <w:rPr>
          <w:i/>
          <w:iCs/>
        </w:rPr>
        <w:t xml:space="preserve"> </w:t>
      </w:r>
      <w:r w:rsidRPr="002048A7">
        <w:rPr>
          <w:iCs/>
        </w:rPr>
        <w:t>olup</w:t>
      </w:r>
      <w:r w:rsidRPr="002048A7">
        <w:t xml:space="preserve"> </w:t>
      </w:r>
      <w:r>
        <w:t>2024</w:t>
      </w:r>
      <w:r w:rsidRPr="002048A7">
        <w:t xml:space="preserve"> yılında yürütülen faaliyetlerin sektörel ve işlem bazında dağılımları aşağıda belirtilmektedir.</w:t>
      </w:r>
    </w:p>
    <w:p w14:paraId="4632EFF2" w14:textId="3E6E47B8" w:rsidR="00F45E83" w:rsidRPr="002048A7" w:rsidRDefault="00F45E83" w:rsidP="00F45E83">
      <w:pPr>
        <w:autoSpaceDE w:val="0"/>
        <w:autoSpaceDN w:val="0"/>
        <w:adjustRightInd w:val="0"/>
        <w:spacing w:after="0" w:line="240" w:lineRule="auto"/>
      </w:pPr>
      <w:r>
        <w:t>2024</w:t>
      </w:r>
      <w:r w:rsidRPr="002048A7">
        <w:t xml:space="preserve"> yılı içerisinde, enerji tesislerinin kurulabilmesi için gerekli olan </w:t>
      </w:r>
      <w:r>
        <w:rPr>
          <w:rFonts w:ascii="Calibri" w:hAnsi="Calibri"/>
        </w:rPr>
        <w:t>7943</w:t>
      </w:r>
      <w:r w:rsidRPr="002048A7">
        <w:t xml:space="preserve"> adet taşınmazın teminine ilişkin olarak toplam</w:t>
      </w:r>
      <w:r>
        <w:t xml:space="preserve"> </w:t>
      </w:r>
      <w:r>
        <w:rPr>
          <w:rFonts w:ascii="Calibri" w:hAnsi="Calibri"/>
        </w:rPr>
        <w:t>685</w:t>
      </w:r>
      <w:r w:rsidRPr="002048A7">
        <w:t xml:space="preserve"> adet Kurul Kararı alınmıştır. Alınan Kurul Kararlarının yapılan işlemler bazında dağılımı aşağıdaki gibidir:</w:t>
      </w:r>
    </w:p>
    <w:p w14:paraId="2B2BEF68" w14:textId="77777777" w:rsidR="00F45E83" w:rsidRPr="002048A7" w:rsidRDefault="00F45E83" w:rsidP="00F45E83">
      <w:pPr>
        <w:autoSpaceDE w:val="0"/>
        <w:autoSpaceDN w:val="0"/>
        <w:adjustRightInd w:val="0"/>
        <w:spacing w:after="0" w:line="240" w:lineRule="auto"/>
      </w:pPr>
    </w:p>
    <w:p w14:paraId="4F8C301D" w14:textId="18563650" w:rsidR="00F45E83" w:rsidRPr="002048A7" w:rsidRDefault="00F45E83" w:rsidP="00F45E83">
      <w:pPr>
        <w:numPr>
          <w:ilvl w:val="0"/>
          <w:numId w:val="18"/>
        </w:numPr>
        <w:spacing w:after="160"/>
        <w:contextualSpacing/>
        <w:rPr>
          <w:rFonts w:cstheme="minorHAnsi"/>
          <w:color w:val="000000" w:themeColor="text1"/>
        </w:rPr>
      </w:pPr>
      <w:r w:rsidRPr="002048A7">
        <w:rPr>
          <w:rFonts w:cstheme="minorHAnsi"/>
          <w:color w:val="000000" w:themeColor="text1"/>
        </w:rPr>
        <w:t xml:space="preserve">Özel mülkiyete ait taşınmazların kamulaştırılması amacıyla, toplam </w:t>
      </w:r>
      <w:r>
        <w:rPr>
          <w:rFonts w:ascii="Calibri" w:hAnsi="Calibri" w:cs="Calibri"/>
          <w:color w:val="000000"/>
        </w:rPr>
        <w:t>2757</w:t>
      </w:r>
      <w:r w:rsidRPr="002048A7">
        <w:rPr>
          <w:rFonts w:cstheme="minorHAnsi"/>
          <w:color w:val="000000" w:themeColor="text1"/>
        </w:rPr>
        <w:t xml:space="preserve"> adet taşınmaz için </w:t>
      </w:r>
      <w:r>
        <w:rPr>
          <w:rFonts w:ascii="Calibri" w:hAnsi="Calibri" w:cs="Calibri"/>
          <w:color w:val="000000"/>
        </w:rPr>
        <w:t xml:space="preserve">131 </w:t>
      </w:r>
      <w:r w:rsidRPr="002048A7">
        <w:rPr>
          <w:rFonts w:cstheme="minorHAnsi"/>
          <w:color w:val="000000" w:themeColor="text1"/>
        </w:rPr>
        <w:t xml:space="preserve">adet kamulaştırma kararı alınmıştır. Acele kamulaştırma uygulamasına ilişkin ise toplam </w:t>
      </w:r>
      <w:r>
        <w:rPr>
          <w:rFonts w:ascii="Calibri" w:hAnsi="Calibri" w:cs="Calibri"/>
          <w:color w:val="000000"/>
        </w:rPr>
        <w:t>1970</w:t>
      </w:r>
      <w:r w:rsidRPr="002048A7">
        <w:rPr>
          <w:rFonts w:cstheme="minorHAnsi"/>
          <w:color w:val="000000" w:themeColor="text1"/>
        </w:rPr>
        <w:t xml:space="preserve"> adet taşınmaz için </w:t>
      </w:r>
      <w:r>
        <w:rPr>
          <w:rFonts w:cstheme="minorHAnsi"/>
          <w:color w:val="000000" w:themeColor="text1"/>
        </w:rPr>
        <w:t>66</w:t>
      </w:r>
      <w:r w:rsidRPr="002048A7">
        <w:rPr>
          <w:rFonts w:cstheme="minorHAnsi"/>
          <w:color w:val="000000" w:themeColor="text1"/>
        </w:rPr>
        <w:t xml:space="preserve"> adet Kurul Kararı alınmıştır.</w:t>
      </w:r>
    </w:p>
    <w:p w14:paraId="501E9F60" w14:textId="77777777" w:rsidR="00F45E83" w:rsidRPr="002048A7" w:rsidRDefault="00F45E83" w:rsidP="00F45E83">
      <w:pPr>
        <w:spacing w:after="160"/>
        <w:ind w:left="720"/>
        <w:contextualSpacing/>
        <w:rPr>
          <w:rFonts w:cstheme="minorHAnsi"/>
          <w:color w:val="000000" w:themeColor="text1"/>
        </w:rPr>
      </w:pPr>
    </w:p>
    <w:p w14:paraId="41D513B8" w14:textId="0D2F0897" w:rsidR="00F45E83" w:rsidRPr="002048A7" w:rsidRDefault="00F45E83" w:rsidP="00F45E83">
      <w:pPr>
        <w:numPr>
          <w:ilvl w:val="0"/>
          <w:numId w:val="18"/>
        </w:numPr>
        <w:spacing w:after="160"/>
        <w:contextualSpacing/>
        <w:rPr>
          <w:rFonts w:cstheme="minorHAnsi"/>
          <w:color w:val="000000" w:themeColor="text1"/>
        </w:rPr>
      </w:pPr>
      <w:r w:rsidRPr="002048A7">
        <w:rPr>
          <w:rFonts w:cstheme="minorHAnsi"/>
          <w:color w:val="000000" w:themeColor="text1"/>
        </w:rPr>
        <w:t xml:space="preserve">Maliye Hazinesinin mülkiyetindeki veya Devletin hüküm ve tasarrufu altındaki </w:t>
      </w:r>
      <w:r w:rsidRPr="00D2329F">
        <w:rPr>
          <w:rFonts w:ascii="Calibri" w:hAnsi="Calibri" w:cs="Calibri"/>
        </w:rPr>
        <w:t>756</w:t>
      </w:r>
      <w:r w:rsidRPr="002048A7">
        <w:rPr>
          <w:rFonts w:cstheme="minorHAnsi"/>
          <w:color w:val="000000" w:themeColor="text1"/>
        </w:rPr>
        <w:t xml:space="preserve"> adet taşınmazda irtifak hakkı tesis edilmesine ilişkin olarak </w:t>
      </w:r>
      <w:r>
        <w:rPr>
          <w:rFonts w:cstheme="minorHAnsi"/>
          <w:color w:val="000000" w:themeColor="text1"/>
        </w:rPr>
        <w:t>193</w:t>
      </w:r>
      <w:r w:rsidRPr="002048A7">
        <w:rPr>
          <w:rFonts w:cstheme="minorHAnsi"/>
          <w:color w:val="000000" w:themeColor="text1"/>
        </w:rPr>
        <w:t xml:space="preserve"> adet Kurul Kararı alınmıştır.</w:t>
      </w:r>
    </w:p>
    <w:p w14:paraId="26625EA0" w14:textId="77777777" w:rsidR="00F45E83" w:rsidRPr="002048A7" w:rsidRDefault="00F45E83" w:rsidP="00F45E83">
      <w:pPr>
        <w:spacing w:after="160"/>
        <w:ind w:left="720"/>
        <w:contextualSpacing/>
        <w:rPr>
          <w:rFonts w:cstheme="minorHAnsi"/>
          <w:color w:val="000000" w:themeColor="text1"/>
        </w:rPr>
      </w:pPr>
    </w:p>
    <w:p w14:paraId="26D4DF5E" w14:textId="2D8F3F44" w:rsidR="00F45E83" w:rsidRPr="002048A7" w:rsidRDefault="00F45E83" w:rsidP="00F45E83">
      <w:pPr>
        <w:numPr>
          <w:ilvl w:val="0"/>
          <w:numId w:val="18"/>
        </w:numPr>
        <w:spacing w:after="160"/>
        <w:contextualSpacing/>
        <w:rPr>
          <w:rFonts w:cstheme="minorHAnsi"/>
          <w:color w:val="000000" w:themeColor="text1"/>
        </w:rPr>
      </w:pPr>
      <w:r w:rsidRPr="002048A7">
        <w:rPr>
          <w:rFonts w:cstheme="minorHAnsi"/>
          <w:color w:val="000000" w:themeColor="text1"/>
        </w:rPr>
        <w:t xml:space="preserve">Maliye Hazinesinin mülkiyetindeki veya Devletin hüküm ve tasarrufu altındaki </w:t>
      </w:r>
      <w:r>
        <w:rPr>
          <w:rFonts w:cstheme="minorHAnsi"/>
          <w:color w:val="000000" w:themeColor="text1"/>
        </w:rPr>
        <w:t>523</w:t>
      </w:r>
      <w:r w:rsidRPr="002048A7">
        <w:rPr>
          <w:rFonts w:cstheme="minorHAnsi"/>
          <w:color w:val="000000" w:themeColor="text1"/>
        </w:rPr>
        <w:t xml:space="preserve"> adet taşınmazda kiralama işlemi tesis edilmesine ilişkin olarak </w:t>
      </w:r>
      <w:r>
        <w:rPr>
          <w:rFonts w:cstheme="minorHAnsi"/>
          <w:color w:val="000000" w:themeColor="text1"/>
        </w:rPr>
        <w:t>88</w:t>
      </w:r>
      <w:r w:rsidRPr="002048A7">
        <w:rPr>
          <w:rFonts w:cstheme="minorHAnsi"/>
          <w:color w:val="000000" w:themeColor="text1"/>
        </w:rPr>
        <w:t xml:space="preserve"> adet Kurul Kararı alınmıştır.</w:t>
      </w:r>
    </w:p>
    <w:p w14:paraId="4F89D850" w14:textId="77777777" w:rsidR="00F45E83" w:rsidRPr="002048A7" w:rsidRDefault="00F45E83" w:rsidP="00F45E83">
      <w:pPr>
        <w:spacing w:after="160"/>
        <w:ind w:left="720"/>
        <w:contextualSpacing/>
        <w:rPr>
          <w:rFonts w:cstheme="minorHAnsi"/>
          <w:color w:val="000000" w:themeColor="text1"/>
        </w:rPr>
      </w:pPr>
    </w:p>
    <w:p w14:paraId="763C539E" w14:textId="6B7AD616" w:rsidR="00F45E83" w:rsidRPr="002048A7" w:rsidRDefault="00F45E83" w:rsidP="00F45E83">
      <w:pPr>
        <w:numPr>
          <w:ilvl w:val="0"/>
          <w:numId w:val="18"/>
        </w:numPr>
        <w:spacing w:after="160"/>
        <w:contextualSpacing/>
        <w:rPr>
          <w:rFonts w:cstheme="minorHAnsi"/>
          <w:color w:val="000000" w:themeColor="text1"/>
        </w:rPr>
      </w:pPr>
      <w:r w:rsidRPr="002048A7">
        <w:rPr>
          <w:rFonts w:cstheme="minorHAnsi"/>
          <w:color w:val="000000" w:themeColor="text1"/>
        </w:rPr>
        <w:t xml:space="preserve">Diğer kamu kurum ve kuruluşlarının mülkiyetindeki </w:t>
      </w:r>
      <w:r>
        <w:rPr>
          <w:rFonts w:cstheme="minorHAnsi"/>
          <w:color w:val="000000" w:themeColor="text1"/>
        </w:rPr>
        <w:t>343</w:t>
      </w:r>
      <w:r w:rsidRPr="002048A7">
        <w:rPr>
          <w:rFonts w:cstheme="minorHAnsi"/>
          <w:color w:val="000000" w:themeColor="text1"/>
        </w:rPr>
        <w:t xml:space="preserve"> adet taşınmazda 2942 sayılı Kamulaştırma Kanunu’nun 30’uncu maddesinin uygulanmasına yönelik </w:t>
      </w:r>
      <w:r>
        <w:rPr>
          <w:rFonts w:cstheme="minorHAnsi"/>
          <w:color w:val="000000" w:themeColor="text1"/>
        </w:rPr>
        <w:t>55</w:t>
      </w:r>
      <w:r w:rsidRPr="002048A7">
        <w:rPr>
          <w:rFonts w:cstheme="minorHAnsi"/>
          <w:color w:val="000000" w:themeColor="text1"/>
        </w:rPr>
        <w:t xml:space="preserve"> adet Kurul Kararı alınmıştır.</w:t>
      </w:r>
    </w:p>
    <w:p w14:paraId="0360DD72" w14:textId="77777777" w:rsidR="00F45E83" w:rsidRPr="002048A7" w:rsidRDefault="00F45E83" w:rsidP="00F45E83">
      <w:pPr>
        <w:ind w:left="720"/>
        <w:contextualSpacing/>
        <w:rPr>
          <w:rFonts w:cstheme="minorHAnsi"/>
          <w:color w:val="000000" w:themeColor="text1"/>
        </w:rPr>
      </w:pPr>
    </w:p>
    <w:p w14:paraId="361C1A6F" w14:textId="627407A5" w:rsidR="00F45E83" w:rsidRDefault="00F45E83" w:rsidP="00F45E83">
      <w:pPr>
        <w:numPr>
          <w:ilvl w:val="0"/>
          <w:numId w:val="18"/>
        </w:numPr>
        <w:spacing w:after="160"/>
        <w:contextualSpacing/>
        <w:rPr>
          <w:rFonts w:cstheme="minorHAnsi"/>
          <w:color w:val="000000" w:themeColor="text1"/>
        </w:rPr>
      </w:pPr>
      <w:r w:rsidRPr="002048A7">
        <w:rPr>
          <w:rFonts w:cstheme="minorHAnsi"/>
          <w:color w:val="000000" w:themeColor="text1"/>
        </w:rPr>
        <w:t xml:space="preserve">4646 sayılı Doğal Gaz Piyasası Kanununun 12’nci maddesi kapsamında, kamu yararı kararı yerine geçmek üzere toplam </w:t>
      </w:r>
      <w:r>
        <w:rPr>
          <w:rFonts w:cstheme="minorHAnsi"/>
          <w:color w:val="000000" w:themeColor="text1"/>
        </w:rPr>
        <w:t>29</w:t>
      </w:r>
      <w:r w:rsidRPr="002048A7">
        <w:rPr>
          <w:rFonts w:cstheme="minorHAnsi"/>
          <w:color w:val="000000" w:themeColor="text1"/>
        </w:rPr>
        <w:t xml:space="preserve"> adet Kurul Kararı alınmıştır.</w:t>
      </w:r>
    </w:p>
    <w:p w14:paraId="6F2EDAC1" w14:textId="77777777" w:rsidR="00F45E83" w:rsidRDefault="00F45E83" w:rsidP="00F45E83">
      <w:pPr>
        <w:spacing w:after="160"/>
        <w:ind w:left="720"/>
        <w:contextualSpacing/>
        <w:rPr>
          <w:rFonts w:cstheme="minorHAnsi"/>
          <w:color w:val="000000" w:themeColor="text1"/>
        </w:rPr>
      </w:pPr>
    </w:p>
    <w:p w14:paraId="738B146C" w14:textId="77777777" w:rsidR="00F45E83" w:rsidRPr="00391C5C" w:rsidRDefault="00F45E83" w:rsidP="00F45E83">
      <w:pPr>
        <w:numPr>
          <w:ilvl w:val="0"/>
          <w:numId w:val="18"/>
        </w:numPr>
        <w:contextualSpacing/>
        <w:rPr>
          <w:rFonts w:ascii="Calibri" w:hAnsi="Calibri" w:cs="Calibri"/>
          <w:color w:val="000000"/>
        </w:rPr>
      </w:pPr>
      <w:r>
        <w:rPr>
          <w:rFonts w:ascii="Calibri" w:hAnsi="Calibri" w:cs="Calibri"/>
          <w:color w:val="000000"/>
        </w:rPr>
        <w:t>5015</w:t>
      </w:r>
      <w:r w:rsidRPr="00C51E3F">
        <w:rPr>
          <w:rFonts w:ascii="Calibri" w:hAnsi="Calibri" w:cs="Calibri"/>
          <w:color w:val="000000"/>
        </w:rPr>
        <w:t xml:space="preserve"> sayılı </w:t>
      </w:r>
      <w:r>
        <w:rPr>
          <w:rFonts w:ascii="Calibri" w:hAnsi="Calibri" w:cs="Calibri"/>
          <w:color w:val="000000"/>
        </w:rPr>
        <w:t>Petrol</w:t>
      </w:r>
      <w:r w:rsidRPr="00C51E3F">
        <w:rPr>
          <w:rFonts w:ascii="Calibri" w:hAnsi="Calibri" w:cs="Calibri"/>
          <w:color w:val="000000"/>
        </w:rPr>
        <w:t xml:space="preserve"> Piyasası Kanununun 1</w:t>
      </w:r>
      <w:r>
        <w:rPr>
          <w:rFonts w:ascii="Calibri" w:hAnsi="Calibri" w:cs="Calibri"/>
          <w:color w:val="000000"/>
        </w:rPr>
        <w:t>1</w:t>
      </w:r>
      <w:r w:rsidRPr="00C51E3F">
        <w:rPr>
          <w:rFonts w:ascii="Calibri" w:hAnsi="Calibri" w:cs="Calibri"/>
          <w:color w:val="000000"/>
        </w:rPr>
        <w:t>’nci maddesi kapsamında, kamu yararı kara</w:t>
      </w:r>
      <w:r>
        <w:rPr>
          <w:rFonts w:ascii="Calibri" w:hAnsi="Calibri" w:cs="Calibri"/>
          <w:color w:val="000000"/>
        </w:rPr>
        <w:t>rı yerine geçmek üzere toplam 1</w:t>
      </w:r>
      <w:r w:rsidRPr="00C51E3F">
        <w:rPr>
          <w:rFonts w:ascii="Calibri" w:hAnsi="Calibri" w:cs="Calibri"/>
          <w:color w:val="000000"/>
        </w:rPr>
        <w:t xml:space="preserve"> adet Kurul Kararı alınmıştır</w:t>
      </w:r>
      <w:r>
        <w:rPr>
          <w:rFonts w:ascii="Calibri" w:hAnsi="Calibri" w:cs="Calibri"/>
          <w:color w:val="000000"/>
        </w:rPr>
        <w:t>.</w:t>
      </w:r>
    </w:p>
    <w:p w14:paraId="399B6C3F" w14:textId="77777777" w:rsidR="00F45E83" w:rsidRPr="002048A7" w:rsidRDefault="00F45E83" w:rsidP="00F45E83">
      <w:pPr>
        <w:ind w:left="720"/>
        <w:contextualSpacing/>
        <w:rPr>
          <w:rFonts w:cstheme="minorHAnsi"/>
          <w:color w:val="000000" w:themeColor="text1"/>
        </w:rPr>
      </w:pPr>
    </w:p>
    <w:p w14:paraId="1A946DDA" w14:textId="250F64C9" w:rsidR="00F45E83" w:rsidRPr="002048A7" w:rsidRDefault="00F45E83" w:rsidP="00F45E83">
      <w:pPr>
        <w:numPr>
          <w:ilvl w:val="0"/>
          <w:numId w:val="18"/>
        </w:numPr>
        <w:contextualSpacing/>
        <w:rPr>
          <w:rFonts w:cstheme="minorHAnsi"/>
          <w:color w:val="000000" w:themeColor="text1"/>
        </w:rPr>
      </w:pPr>
      <w:r w:rsidRPr="002048A7">
        <w:rPr>
          <w:rFonts w:cstheme="minorHAnsi"/>
          <w:color w:val="000000" w:themeColor="text1"/>
        </w:rPr>
        <w:t xml:space="preserve">5346 sayılı Yenilenebilir Enerji Kaynaklarının Elektrik Enerjisi Üretimi Amaçlı Kullanılmasına İlişkin Kanun kapsamında yer alan hidroelektrik üretim tesislerinin rezervuar alanında bulunan Hazinenin özel mülkiyetinde ve/veya Devletin hüküm ve tasarrufu altında bulunan toplam </w:t>
      </w:r>
      <w:r>
        <w:rPr>
          <w:rFonts w:cstheme="minorHAnsi"/>
          <w:color w:val="000000" w:themeColor="text1"/>
        </w:rPr>
        <w:t>37</w:t>
      </w:r>
      <w:r w:rsidRPr="002048A7">
        <w:rPr>
          <w:rFonts w:cstheme="minorHAnsi"/>
          <w:color w:val="000000" w:themeColor="text1"/>
        </w:rPr>
        <w:t xml:space="preserve"> adet taşınmazın bedelsiz kullanımına ilişkin olarak </w:t>
      </w:r>
      <w:r>
        <w:rPr>
          <w:rFonts w:cstheme="minorHAnsi"/>
          <w:color w:val="000000" w:themeColor="text1"/>
        </w:rPr>
        <w:t>10</w:t>
      </w:r>
      <w:r w:rsidRPr="002048A7">
        <w:rPr>
          <w:rFonts w:cstheme="minorHAnsi"/>
          <w:color w:val="000000" w:themeColor="text1"/>
        </w:rPr>
        <w:t xml:space="preserve"> adet Kurul Kararı alınmıştır.</w:t>
      </w:r>
    </w:p>
    <w:p w14:paraId="4B470A2E" w14:textId="77777777" w:rsidR="00F45E83" w:rsidRPr="002048A7" w:rsidRDefault="00F45E83" w:rsidP="00F45E83">
      <w:pPr>
        <w:ind w:left="720"/>
        <w:contextualSpacing/>
        <w:rPr>
          <w:rFonts w:cstheme="minorHAnsi"/>
          <w:color w:val="000000" w:themeColor="text1"/>
        </w:rPr>
      </w:pPr>
    </w:p>
    <w:p w14:paraId="7F5E5336" w14:textId="434E11D8" w:rsidR="00F45E83" w:rsidRPr="002048A7" w:rsidRDefault="00F45E83" w:rsidP="00F45E83">
      <w:pPr>
        <w:numPr>
          <w:ilvl w:val="0"/>
          <w:numId w:val="18"/>
        </w:numPr>
        <w:contextualSpacing/>
        <w:rPr>
          <w:rFonts w:cstheme="minorHAnsi"/>
          <w:color w:val="000000" w:themeColor="text1"/>
        </w:rPr>
      </w:pPr>
      <w:r w:rsidRPr="002048A7">
        <w:rPr>
          <w:rFonts w:cstheme="minorHAnsi"/>
          <w:color w:val="000000" w:themeColor="text1"/>
        </w:rPr>
        <w:t xml:space="preserve">5403 sayılı Toprak Koruma ve Arazi Kullanımı Kanununun 14’üncü maddesi kapsamında büyük ovalarda bulunan tarım arazilerinin amacı dışında kullanım izni için toplam </w:t>
      </w:r>
      <w:r>
        <w:rPr>
          <w:rFonts w:cstheme="minorHAnsi"/>
          <w:color w:val="000000" w:themeColor="text1"/>
        </w:rPr>
        <w:t>38</w:t>
      </w:r>
      <w:r w:rsidRPr="002048A7">
        <w:rPr>
          <w:rFonts w:cstheme="minorHAnsi"/>
          <w:color w:val="000000" w:themeColor="text1"/>
        </w:rPr>
        <w:t xml:space="preserve"> adet taşınmaza ilişkin </w:t>
      </w:r>
      <w:r>
        <w:rPr>
          <w:rFonts w:cstheme="minorHAnsi"/>
          <w:color w:val="000000" w:themeColor="text1"/>
        </w:rPr>
        <w:t>10</w:t>
      </w:r>
      <w:r w:rsidRPr="002048A7">
        <w:rPr>
          <w:rFonts w:cstheme="minorHAnsi"/>
          <w:color w:val="000000" w:themeColor="text1"/>
        </w:rPr>
        <w:t xml:space="preserve"> adet Kurul Kararı alınmıştır.</w:t>
      </w:r>
    </w:p>
    <w:p w14:paraId="60AB29EA" w14:textId="77777777" w:rsidR="00F45E83" w:rsidRPr="002048A7" w:rsidRDefault="00F45E83" w:rsidP="00F45E83">
      <w:pPr>
        <w:ind w:left="720"/>
        <w:contextualSpacing/>
        <w:rPr>
          <w:rFonts w:cstheme="minorHAnsi"/>
          <w:color w:val="000000" w:themeColor="text1"/>
        </w:rPr>
      </w:pPr>
    </w:p>
    <w:p w14:paraId="2173D40C" w14:textId="65892393" w:rsidR="003F67DB" w:rsidRPr="002048A7" w:rsidRDefault="00F45E83" w:rsidP="00F45E83">
      <w:pPr>
        <w:numPr>
          <w:ilvl w:val="0"/>
          <w:numId w:val="18"/>
        </w:numPr>
        <w:contextualSpacing/>
        <w:rPr>
          <w:rFonts w:cstheme="minorHAnsi"/>
          <w:color w:val="000000" w:themeColor="text1"/>
        </w:rPr>
      </w:pPr>
      <w:r w:rsidRPr="002048A7">
        <w:rPr>
          <w:rFonts w:cstheme="minorHAnsi"/>
          <w:color w:val="000000" w:themeColor="text1"/>
        </w:rPr>
        <w:lastRenderedPageBreak/>
        <w:t>Ayrıca; mahkeme kararının uygulanması, vazgeçme, iptal veya tadil vb. konulara ilişkin olarak toplam</w:t>
      </w:r>
      <w:r>
        <w:rPr>
          <w:rFonts w:cstheme="minorHAnsi"/>
          <w:color w:val="000000" w:themeColor="text1"/>
        </w:rPr>
        <w:t xml:space="preserve"> 1517</w:t>
      </w:r>
      <w:r w:rsidRPr="002048A7">
        <w:rPr>
          <w:rFonts w:cstheme="minorHAnsi"/>
          <w:color w:val="000000" w:themeColor="text1"/>
        </w:rPr>
        <w:t xml:space="preserve"> adet taşınmaz için </w:t>
      </w:r>
      <w:r w:rsidRPr="00A61EA2">
        <w:rPr>
          <w:rFonts w:cstheme="minorHAnsi"/>
          <w:color w:val="000000" w:themeColor="text1"/>
        </w:rPr>
        <w:t>102 adet Kurul</w:t>
      </w:r>
      <w:r w:rsidRPr="002048A7">
        <w:rPr>
          <w:rFonts w:cstheme="minorHAnsi"/>
          <w:color w:val="000000" w:themeColor="text1"/>
        </w:rPr>
        <w:t xml:space="preserve"> Kararı alınmıştır.</w:t>
      </w:r>
    </w:p>
    <w:p w14:paraId="739A8242" w14:textId="2987E7D9" w:rsidR="00135CE5" w:rsidRPr="002048A7" w:rsidRDefault="00A3508B" w:rsidP="00135CE5">
      <w:pPr>
        <w:pStyle w:val="Balk5"/>
        <w:jc w:val="center"/>
        <w:rPr>
          <w:rStyle w:val="Gl"/>
          <w:bCs w:val="0"/>
          <w:color w:val="auto"/>
        </w:rPr>
      </w:pPr>
      <w:bookmarkStart w:id="330" w:name="_Toc195868847"/>
      <w:bookmarkStart w:id="331" w:name="_Toc442431312"/>
      <w:r w:rsidRPr="002048A7">
        <w:rPr>
          <w:rStyle w:val="Gl"/>
          <w:bCs w:val="0"/>
          <w:color w:val="auto"/>
        </w:rPr>
        <w:t xml:space="preserve">Şekil 7.1: </w:t>
      </w:r>
      <w:r w:rsidRPr="00894A3C">
        <w:rPr>
          <w:rStyle w:val="Gl"/>
          <w:bCs w:val="0"/>
          <w:color w:val="auto"/>
        </w:rPr>
        <w:t>202</w:t>
      </w:r>
      <w:r w:rsidR="00894A3C">
        <w:rPr>
          <w:rStyle w:val="Gl"/>
          <w:bCs w:val="0"/>
          <w:color w:val="auto"/>
        </w:rPr>
        <w:t>4</w:t>
      </w:r>
      <w:r w:rsidR="00135CE5" w:rsidRPr="00894A3C">
        <w:rPr>
          <w:rStyle w:val="Gl"/>
          <w:bCs w:val="0"/>
          <w:color w:val="auto"/>
        </w:rPr>
        <w:t xml:space="preserve"> Yılında Taşınmaz Teminine İlişkin Alınan Kurul Kararlarının </w:t>
      </w:r>
      <w:r w:rsidR="003F67DB" w:rsidRPr="00894A3C">
        <w:rPr>
          <w:rStyle w:val="Gl"/>
          <w:bCs w:val="0"/>
          <w:color w:val="auto"/>
        </w:rPr>
        <w:t xml:space="preserve">İşlem Bazında </w:t>
      </w:r>
      <w:r w:rsidR="00135CE5" w:rsidRPr="00894A3C">
        <w:rPr>
          <w:rStyle w:val="Gl"/>
          <w:bCs w:val="0"/>
          <w:color w:val="auto"/>
        </w:rPr>
        <w:t>Dağılımı</w:t>
      </w:r>
      <w:bookmarkEnd w:id="330"/>
    </w:p>
    <w:p w14:paraId="09841D22" w14:textId="77777777" w:rsidR="003F67DB" w:rsidRPr="002048A7" w:rsidRDefault="003F67DB" w:rsidP="003F67DB">
      <w:pPr>
        <w:autoSpaceDE w:val="0"/>
        <w:autoSpaceDN w:val="0"/>
        <w:adjustRightInd w:val="0"/>
        <w:spacing w:after="0" w:line="240" w:lineRule="auto"/>
        <w:ind w:left="567"/>
        <w:contextualSpacing/>
        <w:rPr>
          <w:rFonts w:ascii="Times New Roman" w:hAnsi="Times New Roman"/>
          <w:sz w:val="24"/>
          <w:szCs w:val="24"/>
        </w:rPr>
      </w:pPr>
    </w:p>
    <w:p w14:paraId="2C5E5E45" w14:textId="77777777" w:rsidR="003F67DB" w:rsidRPr="002048A7" w:rsidRDefault="00F45E83" w:rsidP="00604359">
      <w:pPr>
        <w:autoSpaceDE w:val="0"/>
        <w:autoSpaceDN w:val="0"/>
        <w:adjustRightInd w:val="0"/>
        <w:spacing w:after="0" w:line="240" w:lineRule="auto"/>
        <w:ind w:left="567" w:hanging="709"/>
        <w:contextualSpacing/>
        <w:jc w:val="center"/>
        <w:rPr>
          <w:rFonts w:ascii="Times New Roman" w:hAnsi="Times New Roman"/>
          <w:sz w:val="24"/>
          <w:szCs w:val="24"/>
        </w:rPr>
      </w:pPr>
      <w:r w:rsidRPr="002048A7">
        <w:rPr>
          <w:noProof/>
          <w:lang w:eastAsia="tr-TR"/>
        </w:rPr>
        <w:drawing>
          <wp:inline distT="0" distB="0" distL="0" distR="0" wp14:anchorId="1946FE72" wp14:editId="539C14A9">
            <wp:extent cx="5448300" cy="2800350"/>
            <wp:effectExtent l="0" t="0" r="0" b="0"/>
            <wp:docPr id="16" name="Grafik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3B534A65" w14:textId="77777777" w:rsidR="00A3508B" w:rsidRPr="002048A7" w:rsidRDefault="00A3508B" w:rsidP="009F0619">
      <w:pPr>
        <w:jc w:val="center"/>
      </w:pPr>
    </w:p>
    <w:p w14:paraId="0559C98E" w14:textId="77777777" w:rsidR="003F67DB" w:rsidRPr="002048A7" w:rsidRDefault="003F67DB" w:rsidP="003F67DB">
      <w:pPr>
        <w:autoSpaceDE w:val="0"/>
        <w:autoSpaceDN w:val="0"/>
        <w:adjustRightInd w:val="0"/>
        <w:spacing w:after="0" w:line="240" w:lineRule="auto"/>
        <w:ind w:left="567"/>
        <w:contextualSpacing/>
        <w:rPr>
          <w:rFonts w:cstheme="minorHAnsi"/>
          <w:szCs w:val="24"/>
        </w:rPr>
      </w:pPr>
      <w:r w:rsidRPr="002048A7">
        <w:rPr>
          <w:rFonts w:cstheme="minorHAnsi"/>
          <w:szCs w:val="24"/>
        </w:rPr>
        <w:t>Alınan Kurul Kararlarının sektörel bazda dağılımı ise aşağıdaki şekildedir:</w:t>
      </w:r>
    </w:p>
    <w:p w14:paraId="6095FD4A" w14:textId="77777777" w:rsidR="003F67DB" w:rsidRPr="002048A7" w:rsidRDefault="003F67DB" w:rsidP="003F67DB">
      <w:pPr>
        <w:autoSpaceDE w:val="0"/>
        <w:autoSpaceDN w:val="0"/>
        <w:adjustRightInd w:val="0"/>
        <w:spacing w:after="0" w:line="240" w:lineRule="auto"/>
        <w:ind w:left="567"/>
        <w:contextualSpacing/>
        <w:rPr>
          <w:rFonts w:ascii="Times New Roman" w:hAnsi="Times New Roman"/>
          <w:sz w:val="24"/>
          <w:szCs w:val="24"/>
        </w:rPr>
      </w:pPr>
    </w:p>
    <w:p w14:paraId="7522DC44" w14:textId="77777777" w:rsidR="00F45E83" w:rsidRPr="002048A7" w:rsidRDefault="00F45E83" w:rsidP="00F45E83">
      <w:pPr>
        <w:numPr>
          <w:ilvl w:val="0"/>
          <w:numId w:val="18"/>
        </w:numPr>
        <w:spacing w:after="160"/>
        <w:contextualSpacing/>
        <w:rPr>
          <w:rFonts w:cstheme="minorHAnsi"/>
          <w:color w:val="000000" w:themeColor="text1"/>
        </w:rPr>
      </w:pPr>
      <w:r w:rsidRPr="002048A7">
        <w:rPr>
          <w:rFonts w:cstheme="minorHAnsi"/>
          <w:color w:val="000000" w:themeColor="text1"/>
        </w:rPr>
        <w:t xml:space="preserve">6446 sayılı Elektrik Piyasası Kanunu’nun 19’uncu maddesi gereğince, elektrik üretim tesislerine ilişkin toplam </w:t>
      </w:r>
      <w:r>
        <w:rPr>
          <w:rFonts w:cstheme="minorHAnsi"/>
          <w:color w:val="000000" w:themeColor="text1"/>
        </w:rPr>
        <w:t>564</w:t>
      </w:r>
      <w:r w:rsidRPr="002048A7">
        <w:rPr>
          <w:rFonts w:cstheme="minorHAnsi"/>
          <w:color w:val="000000" w:themeColor="text1"/>
        </w:rPr>
        <w:t xml:space="preserve"> adet Kurul Kararı alınmıştır.</w:t>
      </w:r>
    </w:p>
    <w:p w14:paraId="55691B7B" w14:textId="77777777" w:rsidR="00F45E83" w:rsidRPr="002048A7" w:rsidRDefault="00F45E83" w:rsidP="00F45E83">
      <w:pPr>
        <w:spacing w:after="160"/>
        <w:ind w:left="720"/>
        <w:contextualSpacing/>
        <w:rPr>
          <w:rFonts w:cstheme="minorHAnsi"/>
          <w:color w:val="000000" w:themeColor="text1"/>
        </w:rPr>
      </w:pPr>
    </w:p>
    <w:p w14:paraId="3C502469" w14:textId="77777777" w:rsidR="00F45E83" w:rsidRPr="002048A7" w:rsidRDefault="00F45E83" w:rsidP="00F45E83">
      <w:pPr>
        <w:numPr>
          <w:ilvl w:val="0"/>
          <w:numId w:val="18"/>
        </w:numPr>
        <w:contextualSpacing/>
        <w:rPr>
          <w:rFonts w:cstheme="minorHAnsi"/>
          <w:color w:val="000000" w:themeColor="text1"/>
        </w:rPr>
      </w:pPr>
      <w:r w:rsidRPr="002048A7">
        <w:rPr>
          <w:rFonts w:cstheme="minorHAnsi"/>
          <w:color w:val="000000" w:themeColor="text1"/>
        </w:rPr>
        <w:t xml:space="preserve">4646 sayılı Doğal Gaz Piyasası Kanununun 12’nci maddesi gereğince, doğal gaz dağıtım, iletim ve depolama tesislerine ilişkin toplam </w:t>
      </w:r>
      <w:r>
        <w:rPr>
          <w:rFonts w:cstheme="minorHAnsi"/>
          <w:color w:val="000000" w:themeColor="text1"/>
        </w:rPr>
        <w:t>120</w:t>
      </w:r>
      <w:r w:rsidRPr="002048A7">
        <w:rPr>
          <w:rFonts w:cstheme="minorHAnsi"/>
          <w:color w:val="000000" w:themeColor="text1"/>
        </w:rPr>
        <w:t xml:space="preserve"> adet Kurul Kararı alınmıştır.</w:t>
      </w:r>
    </w:p>
    <w:p w14:paraId="6991AB1B" w14:textId="77777777" w:rsidR="00F45E83" w:rsidRPr="002048A7" w:rsidRDefault="00F45E83" w:rsidP="00F45E83">
      <w:pPr>
        <w:spacing w:after="160"/>
        <w:ind w:left="720"/>
        <w:contextualSpacing/>
        <w:rPr>
          <w:rFonts w:cstheme="minorHAnsi"/>
          <w:color w:val="000000" w:themeColor="text1"/>
        </w:rPr>
      </w:pPr>
      <w:r w:rsidRPr="002048A7">
        <w:rPr>
          <w:rFonts w:cstheme="minorHAnsi"/>
          <w:color w:val="000000" w:themeColor="text1"/>
        </w:rPr>
        <w:t xml:space="preserve"> </w:t>
      </w:r>
    </w:p>
    <w:p w14:paraId="145E1848" w14:textId="77777777" w:rsidR="003F67DB" w:rsidRPr="002048A7" w:rsidRDefault="00F45E83" w:rsidP="00F45E83">
      <w:pPr>
        <w:numPr>
          <w:ilvl w:val="0"/>
          <w:numId w:val="18"/>
        </w:numPr>
        <w:spacing w:after="160"/>
        <w:contextualSpacing/>
        <w:rPr>
          <w:rFonts w:cstheme="minorHAnsi"/>
          <w:color w:val="000000" w:themeColor="text1"/>
        </w:rPr>
      </w:pPr>
      <w:r w:rsidRPr="002048A7">
        <w:rPr>
          <w:rFonts w:cstheme="minorHAnsi"/>
          <w:color w:val="000000" w:themeColor="text1"/>
        </w:rPr>
        <w:t>5015 sayılı Petrol Piyasası Kanununun 11’inci maddesi gereğince, petrol tesislerine ilişkin toplam</w:t>
      </w:r>
      <w:r>
        <w:rPr>
          <w:rFonts w:cstheme="minorHAnsi"/>
          <w:color w:val="000000" w:themeColor="text1"/>
        </w:rPr>
        <w:t xml:space="preserve"> 1</w:t>
      </w:r>
      <w:r w:rsidRPr="002048A7">
        <w:rPr>
          <w:rFonts w:cstheme="minorHAnsi"/>
          <w:color w:val="000000" w:themeColor="text1"/>
        </w:rPr>
        <w:t xml:space="preserve"> adet Kurul Kararı alınmıştır.</w:t>
      </w:r>
    </w:p>
    <w:p w14:paraId="78D64417" w14:textId="6D859ACE" w:rsidR="00A448CA" w:rsidRPr="002048A7" w:rsidRDefault="00A448CA" w:rsidP="00A448CA">
      <w:pPr>
        <w:pStyle w:val="Balk5"/>
        <w:spacing w:after="240"/>
        <w:jc w:val="center"/>
        <w:rPr>
          <w:rFonts w:asciiTheme="minorHAnsi" w:hAnsiTheme="minorHAnsi"/>
          <w:b/>
          <w:bCs/>
          <w:color w:val="auto"/>
        </w:rPr>
      </w:pPr>
      <w:bookmarkStart w:id="332" w:name="_Toc195868848"/>
      <w:r w:rsidRPr="002048A7">
        <w:rPr>
          <w:rStyle w:val="Gl"/>
          <w:color w:val="auto"/>
        </w:rPr>
        <w:t>Şekil 7.2: 202</w:t>
      </w:r>
      <w:r w:rsidR="00A16307">
        <w:rPr>
          <w:rStyle w:val="Gl"/>
          <w:color w:val="auto"/>
        </w:rPr>
        <w:t>4</w:t>
      </w:r>
      <w:r w:rsidRPr="002048A7">
        <w:rPr>
          <w:rStyle w:val="Gl"/>
          <w:color w:val="auto"/>
        </w:rPr>
        <w:t xml:space="preserve"> Yılında Taşınmaz Teminine İlişkin Alınan Kurul Kararlarının Sektörel Dağılımı</w:t>
      </w:r>
      <w:bookmarkEnd w:id="332"/>
    </w:p>
    <w:p w14:paraId="4EFF2090" w14:textId="77777777" w:rsidR="00A448CA" w:rsidRPr="002048A7" w:rsidRDefault="00A448CA" w:rsidP="00A448CA">
      <w:pPr>
        <w:jc w:val="center"/>
      </w:pPr>
      <w:r w:rsidRPr="002048A7">
        <w:rPr>
          <w:noProof/>
          <w:lang w:eastAsia="tr-TR"/>
        </w:rPr>
        <w:drawing>
          <wp:inline distT="0" distB="0" distL="0" distR="0" wp14:anchorId="25D1688B" wp14:editId="6DA46B78">
            <wp:extent cx="5381625" cy="2438400"/>
            <wp:effectExtent l="0" t="0" r="9525" b="0"/>
            <wp:docPr id="18" name="Grafik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2C91180B" w14:textId="77777777" w:rsidR="00A448CA" w:rsidRPr="002048A7" w:rsidRDefault="00A448CA" w:rsidP="00A448CA">
      <w:r>
        <w:lastRenderedPageBreak/>
        <w:t>T</w:t>
      </w:r>
      <w:r w:rsidRPr="002048A7">
        <w:t xml:space="preserve">aşınmaz teminine ilişkin başvuruların elektronik ortamda alınması uygulamasının geliştirilmesine yönelik olarak Kamulaştırma Dairesi Başkanlığı ile Bilgi İşlem Dairesi Başkanlığı koordinesinde çalışmalara devam edilmiştir. </w:t>
      </w:r>
    </w:p>
    <w:p w14:paraId="55542EC5" w14:textId="77777777" w:rsidR="00A448CA" w:rsidRPr="002048A7" w:rsidRDefault="00A448CA" w:rsidP="00A448CA">
      <w:r w:rsidRPr="002048A7">
        <w:t>“Elektrik Piyasasında Önlisans veya Lisanslara Konu Üretim Tesislerinin Santral Sahalarının Belirlenmesine İlişkin Usul ve Esaslar” uyarınca, santral sahalarının tespitine yönelik olarak Kuruma sunulan koordinat verilerinin uygunluğunun değerlendirilebilmesini teminen veri raporlama, vektör veriye dönüştürme, haritaya aktarma ve harita görseli oluşturma çalışmalarına devam edilmiştir.</w:t>
      </w:r>
    </w:p>
    <w:p w14:paraId="19930E11" w14:textId="77777777" w:rsidR="00A448CA" w:rsidRPr="002048A7" w:rsidRDefault="00A448CA" w:rsidP="00A448CA">
      <w:r w:rsidRPr="002048A7">
        <w:t>Bunun yanı sıra, mevzuata yeni giren depolamalı elektrik üretim tesislerine ilişkin olarak Elektrik Piyasası Dairesi Başkanlığının santral sahası haritası, saha çakışması vb. hususlardaki görüş taleplerini karşılayabilmek amacıyla, yeni üretim tesisi önlisans başvuruları ile müstakil depolama tesisleri ve bunlara bağlı üretim tesisi önlisans başvuruları kapsamında sunulan ilgili koordinat verileri kullanılarak ihtiyaç duyulacak harita çalışmalarının yapılabilmesine yönelik gerekli teknik çalışmalar gerçekleştirilmiş, ayrıca ilgili bilişim sistemlerinde ihtiyaç duyulan geliştirmelerin yapılması temin edilmiş olup Elektrik Piyasası Dairesi Başkanlığının bu kapsamdaki görüş talepleri karşılanmaktadır.</w:t>
      </w:r>
    </w:p>
    <w:p w14:paraId="398F5521" w14:textId="77777777" w:rsidR="00A448CA" w:rsidRPr="002048A7" w:rsidRDefault="00A448CA" w:rsidP="00A448CA">
      <w:pPr>
        <w:rPr>
          <w:rFonts w:eastAsiaTheme="minorHAnsi"/>
        </w:rPr>
      </w:pPr>
      <w:r w:rsidRPr="002048A7">
        <w:t>Coğrafi Bilgi Sistemleri altyapısının geliştirilmesine yönelik teknik şartname hazırlama çalışmaları tamamlanarak “EPDK Entegre Coğrafi Bilgi Sistemi (ECBS) Geliştirilmesi ve Kurulması Projesi” başlatılmış olup proje kapsamında analiz ve tasarım çalışmaları tamamlanmış, geliştirme, kurulum ve kabul çalışmaları halen devam etmektedir.</w:t>
      </w:r>
    </w:p>
    <w:p w14:paraId="4AC19A3F" w14:textId="77777777" w:rsidR="00A448CA" w:rsidRPr="002048A7" w:rsidRDefault="00A448CA" w:rsidP="00A448CA">
      <w:pPr>
        <w:rPr>
          <w:rFonts w:eastAsiaTheme="minorHAnsi"/>
        </w:rPr>
      </w:pPr>
      <w:r w:rsidRPr="002048A7">
        <w:t>Elektrik dağıtım şirketleri ile doğal gaz dağıtım şirketlerine ait şebeke verilerine Kurum tarafından erişim sağlanması ve erişim sağlanmış olan servislerin canlı tutulmasına yönelik çalışmalar sürdürülmüştür. Bununla birlikte, elektrik ve doğal gaz dağıtım şebekelerine ait coğrafi veri katmanlarına ilişkin olarak veri paylaşım esasları belirlenmiş ve uygulamada dikkate alınmak üzere ilgili taraflara bildirilmiştir. Veri paylaşım esaslarının belirlenmesi sonrasında, bazı dağıtım şirketlerine ait dağıtım şebekesi coğrafi veri katmanları test amaçlı olarak Türkiye Ulusal Coğrafi Bilgi Sistemi (TUCBS) Platformuna sunulmuştur.</w:t>
      </w:r>
    </w:p>
    <w:p w14:paraId="004732C4" w14:textId="77777777" w:rsidR="00A448CA" w:rsidRPr="002048A7" w:rsidRDefault="00A448CA" w:rsidP="00A448CA">
      <w:pPr>
        <w:rPr>
          <w:rFonts w:eastAsiaTheme="minorHAnsi"/>
        </w:rPr>
      </w:pPr>
      <w:r w:rsidRPr="002048A7">
        <w:t>Kurum tarafından verilen önlisans/lisanslara ait koordinat verilerinin sayısal vektör veri haline getirilmesi suretiyle oluşturulan ve coğrafi web servisleriyle TUCBS platformuna sunulan coğrafi veri katmanlarındaki verilerin güncellenmesi sağlanmıştır. Ayrıca, bu katmanlara ait metaveri hazırlama çalışması başlatılarak tamamlanmış ve oluşturulan metaveri setlerinin TUCBS kapsamındaki metaveri portalına kaydına başlanmıştır.</w:t>
      </w:r>
    </w:p>
    <w:p w14:paraId="46732E71" w14:textId="77777777" w:rsidR="00A448CA" w:rsidRPr="002048A7" w:rsidRDefault="00A448CA" w:rsidP="00A448CA">
      <w:r w:rsidRPr="002048A7">
        <w:t>Çevre, Şehircilik ve İklim Değişikliği Bakanlığı Coğrafi Bilgi Sistemleri Genel Müdürlüğü tarafından yürütülen TUCBS Altyapısının Kurulumu Projesi (5. FAZ) kapsamında Altyapı Temasına ait standart dokümanın Elektrik Alt Teması ve Petrol/Gaz/Kimyasal Alt Temasına ilişkin bölümlerinin genişletilmesine yönelik çalışmalarda Kurum birimleri ve dağıtım şirketleriyle gerekli koordinasyon sağlanmış, çalışma heyetlerinin oluşturulması koordine edilmiş ve yaklaşık üç ay süren heyet çalışmalarına katılım sağlanarak tema standart dokümanının güncellenmesine katkı verilmiştir.</w:t>
      </w:r>
    </w:p>
    <w:p w14:paraId="4BC98975" w14:textId="77777777" w:rsidR="00A74317" w:rsidRPr="002048A7" w:rsidRDefault="00A448CA" w:rsidP="00A448CA">
      <w:r w:rsidRPr="002048A7">
        <w:t>Ayrıca Coğrafi Bilgi Sistemlerinin Kurumumuz bünyesinde kullanımının sağlanması amacıyla ''EPDK Entegre Coğrafi Bilgi Sistemi (ECBS) Geliştirilmesi ve Kurulması'' hizmet alımı yapılmış olup Kurumumuz ile yüklenici firma arasında sözleşme imzalanmıştır.</w:t>
      </w:r>
    </w:p>
    <w:p w14:paraId="0DAB1EA8" w14:textId="77777777" w:rsidR="005747D2" w:rsidRPr="002048A7" w:rsidRDefault="005747D2" w:rsidP="00577AAF">
      <w:pPr>
        <w:pStyle w:val="Balk1"/>
        <w:numPr>
          <w:ilvl w:val="0"/>
          <w:numId w:val="11"/>
        </w:numPr>
        <w:spacing w:before="0"/>
        <w:rPr>
          <w:rFonts w:asciiTheme="minorHAnsi" w:hAnsiTheme="minorHAnsi"/>
          <w:color w:val="auto"/>
          <w:sz w:val="22"/>
          <w:szCs w:val="22"/>
        </w:rPr>
      </w:pPr>
      <w:bookmarkStart w:id="333" w:name="_Toc195868757"/>
      <w:r w:rsidRPr="002048A7">
        <w:rPr>
          <w:rFonts w:asciiTheme="minorHAnsi" w:hAnsiTheme="minorHAnsi"/>
          <w:color w:val="auto"/>
          <w:sz w:val="22"/>
          <w:szCs w:val="22"/>
        </w:rPr>
        <w:lastRenderedPageBreak/>
        <w:t xml:space="preserve">HUKUK </w:t>
      </w:r>
      <w:r w:rsidR="00F24CFD" w:rsidRPr="002048A7">
        <w:rPr>
          <w:rFonts w:asciiTheme="minorHAnsi" w:hAnsiTheme="minorHAnsi"/>
          <w:color w:val="auto"/>
          <w:sz w:val="22"/>
          <w:szCs w:val="22"/>
        </w:rPr>
        <w:t>HİZMETLERİNE İLİŞKİN FAALİYETLER</w:t>
      </w:r>
      <w:bookmarkEnd w:id="331"/>
      <w:bookmarkEnd w:id="333"/>
    </w:p>
    <w:p w14:paraId="78C3BBA4" w14:textId="77777777" w:rsidR="00FB6EAC" w:rsidRPr="002048A7" w:rsidRDefault="00FB6EAC" w:rsidP="00D730CF">
      <w:pPr>
        <w:pStyle w:val="Balk2"/>
        <w:spacing w:after="240"/>
        <w:rPr>
          <w:rFonts w:asciiTheme="minorHAnsi" w:hAnsiTheme="minorHAnsi"/>
          <w:color w:val="auto"/>
          <w:sz w:val="22"/>
          <w:szCs w:val="22"/>
        </w:rPr>
      </w:pPr>
      <w:bookmarkStart w:id="334" w:name="_Toc442431313"/>
      <w:bookmarkStart w:id="335" w:name="_Toc475364869"/>
      <w:bookmarkStart w:id="336" w:name="_Toc195868758"/>
      <w:r w:rsidRPr="002048A7">
        <w:rPr>
          <w:rFonts w:asciiTheme="minorHAnsi" w:hAnsiTheme="minorHAnsi"/>
          <w:color w:val="auto"/>
          <w:sz w:val="22"/>
          <w:szCs w:val="22"/>
        </w:rPr>
        <w:t>8.1.Dava Takip İşlemleri</w:t>
      </w:r>
      <w:bookmarkEnd w:id="334"/>
      <w:bookmarkEnd w:id="335"/>
      <w:bookmarkEnd w:id="336"/>
    </w:p>
    <w:p w14:paraId="08026DA8" w14:textId="77777777" w:rsidR="00A448CA" w:rsidRDefault="00A448CA" w:rsidP="00A448CA">
      <w:bookmarkStart w:id="337" w:name="_Toc447286882"/>
      <w:r w:rsidRPr="00E9291A">
        <w:t>Kurum</w:t>
      </w:r>
      <w:r>
        <w:t>u</w:t>
      </w:r>
      <w:r w:rsidRPr="00E9291A">
        <w:t>n taraf olduğu dava ve takiplere ilişkin iş ve işlemler, 11.09.2003 tarihli ve 207-51 sayılı Kurul Kararı ile kabul edilerek yürürlüğe konulan Enerji Piyasası Düzenleme Kurumunun Taraf Olduğu Davaların Takibine İlişkin Usul ve Esaslar Hakkında Yönetmelik hükümleri çerçevesinde yürütülmektedir.</w:t>
      </w:r>
    </w:p>
    <w:p w14:paraId="603568DF" w14:textId="77777777" w:rsidR="00A448CA" w:rsidRPr="008102B6" w:rsidRDefault="00A448CA" w:rsidP="00A448CA">
      <w:pPr>
        <w:pStyle w:val="Balk5"/>
        <w:spacing w:after="240"/>
        <w:jc w:val="center"/>
        <w:rPr>
          <w:rStyle w:val="Gl"/>
          <w:bCs w:val="0"/>
          <w:color w:val="auto"/>
        </w:rPr>
      </w:pPr>
      <w:bookmarkStart w:id="338" w:name="_Toc94703938"/>
      <w:bookmarkStart w:id="339" w:name="_Toc158307047"/>
      <w:bookmarkStart w:id="340" w:name="_Toc195868849"/>
      <w:r w:rsidRPr="008102B6">
        <w:rPr>
          <w:rStyle w:val="Gl"/>
          <w:bCs w:val="0"/>
          <w:color w:val="auto"/>
        </w:rPr>
        <w:t>Tablo 8.1: 202</w:t>
      </w:r>
      <w:r>
        <w:rPr>
          <w:rStyle w:val="Gl"/>
          <w:bCs w:val="0"/>
          <w:color w:val="auto"/>
        </w:rPr>
        <w:t>4</w:t>
      </w:r>
      <w:r w:rsidRPr="008102B6">
        <w:rPr>
          <w:rStyle w:val="Gl"/>
          <w:bCs w:val="0"/>
          <w:color w:val="auto"/>
        </w:rPr>
        <w:t xml:space="preserve"> Yılı Sonu İtibariyle Kurumumuzun Taraf Olduğu Toplam Dava Sayısı</w:t>
      </w:r>
      <w:bookmarkEnd w:id="338"/>
      <w:bookmarkEnd w:id="339"/>
      <w:bookmarkEnd w:id="340"/>
    </w:p>
    <w:tbl>
      <w:tblPr>
        <w:tblW w:w="3073"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70" w:type="dxa"/>
          <w:right w:w="70" w:type="dxa"/>
        </w:tblCellMar>
        <w:tblLook w:val="04A0" w:firstRow="1" w:lastRow="0" w:firstColumn="1" w:lastColumn="0" w:noHBand="0" w:noVBand="1"/>
      </w:tblPr>
      <w:tblGrid>
        <w:gridCol w:w="2126"/>
        <w:gridCol w:w="1708"/>
        <w:gridCol w:w="2257"/>
      </w:tblGrid>
      <w:tr w:rsidR="00A448CA" w:rsidRPr="00994ED7" w14:paraId="11A7EBDD" w14:textId="77777777" w:rsidTr="001173BD">
        <w:trPr>
          <w:trHeight w:hRule="exact" w:val="315"/>
          <w:jc w:val="center"/>
        </w:trPr>
        <w:tc>
          <w:tcPr>
            <w:tcW w:w="1745" w:type="pct"/>
            <w:shd w:val="clear" w:color="000000" w:fill="6E9ECA"/>
            <w:vAlign w:val="center"/>
            <w:hideMark/>
          </w:tcPr>
          <w:p w14:paraId="7C051E9B" w14:textId="77777777" w:rsidR="00A448CA" w:rsidRPr="00994ED7" w:rsidRDefault="00A448CA" w:rsidP="001173BD">
            <w:pPr>
              <w:spacing w:after="0" w:line="240" w:lineRule="auto"/>
              <w:jc w:val="center"/>
              <w:rPr>
                <w:rFonts w:ascii="Calibri" w:eastAsia="Times New Roman" w:hAnsi="Calibri"/>
                <w:b/>
                <w:bCs/>
                <w:color w:val="FFFFFF"/>
                <w:lang w:eastAsia="tr-TR"/>
              </w:rPr>
            </w:pPr>
            <w:r w:rsidRPr="00994ED7">
              <w:rPr>
                <w:rFonts w:ascii="Calibri" w:eastAsia="Times New Roman" w:hAnsi="Calibri"/>
                <w:b/>
                <w:bCs/>
                <w:color w:val="FFFFFF"/>
                <w:lang w:eastAsia="tr-TR"/>
              </w:rPr>
              <w:t>Dava Türü</w:t>
            </w:r>
          </w:p>
        </w:tc>
        <w:tc>
          <w:tcPr>
            <w:tcW w:w="1402" w:type="pct"/>
            <w:shd w:val="clear" w:color="000000" w:fill="6E9ECA"/>
            <w:vAlign w:val="center"/>
            <w:hideMark/>
          </w:tcPr>
          <w:p w14:paraId="6B741A37" w14:textId="77777777" w:rsidR="00A448CA" w:rsidRPr="00994ED7" w:rsidRDefault="00A448CA" w:rsidP="001173BD">
            <w:pPr>
              <w:spacing w:after="0" w:line="240" w:lineRule="auto"/>
              <w:jc w:val="center"/>
              <w:rPr>
                <w:rFonts w:ascii="Calibri" w:eastAsia="Times New Roman" w:hAnsi="Calibri"/>
                <w:b/>
                <w:bCs/>
                <w:color w:val="FFFFFF"/>
                <w:lang w:eastAsia="tr-TR"/>
              </w:rPr>
            </w:pPr>
            <w:r w:rsidRPr="00994ED7">
              <w:rPr>
                <w:rFonts w:ascii="Calibri" w:eastAsia="Times New Roman" w:hAnsi="Calibri"/>
                <w:b/>
                <w:bCs/>
                <w:color w:val="FFFFFF"/>
                <w:lang w:eastAsia="tr-TR"/>
              </w:rPr>
              <w:t>Dava Sayısı</w:t>
            </w:r>
          </w:p>
        </w:tc>
        <w:tc>
          <w:tcPr>
            <w:tcW w:w="1853" w:type="pct"/>
            <w:shd w:val="clear" w:color="000000" w:fill="6E9ECA"/>
            <w:vAlign w:val="center"/>
            <w:hideMark/>
          </w:tcPr>
          <w:p w14:paraId="601E9E33" w14:textId="77777777" w:rsidR="00A448CA" w:rsidRPr="00994ED7" w:rsidRDefault="00A448CA" w:rsidP="001173BD">
            <w:pPr>
              <w:spacing w:after="0" w:line="240" w:lineRule="auto"/>
              <w:jc w:val="center"/>
              <w:rPr>
                <w:rFonts w:ascii="Calibri" w:eastAsia="Times New Roman" w:hAnsi="Calibri"/>
                <w:b/>
                <w:bCs/>
                <w:color w:val="FFFFFF"/>
                <w:lang w:eastAsia="tr-TR"/>
              </w:rPr>
            </w:pPr>
            <w:r w:rsidRPr="00994ED7">
              <w:rPr>
                <w:rFonts w:ascii="Calibri" w:eastAsia="Times New Roman" w:hAnsi="Calibri"/>
                <w:b/>
                <w:bCs/>
                <w:color w:val="FFFFFF"/>
                <w:lang w:eastAsia="tr-TR"/>
              </w:rPr>
              <w:t>Oran (%)</w:t>
            </w:r>
          </w:p>
        </w:tc>
      </w:tr>
      <w:tr w:rsidR="00A448CA" w:rsidRPr="00994ED7" w14:paraId="38DE9249" w14:textId="77777777" w:rsidTr="001173BD">
        <w:trPr>
          <w:trHeight w:hRule="exact" w:val="315"/>
          <w:jc w:val="center"/>
        </w:trPr>
        <w:tc>
          <w:tcPr>
            <w:tcW w:w="1745" w:type="pct"/>
            <w:shd w:val="clear" w:color="auto" w:fill="auto"/>
            <w:vAlign w:val="center"/>
            <w:hideMark/>
          </w:tcPr>
          <w:p w14:paraId="72102EE3" w14:textId="77777777" w:rsidR="00A448CA" w:rsidRPr="00994ED7" w:rsidRDefault="00A448CA" w:rsidP="001173BD">
            <w:pPr>
              <w:spacing w:after="0" w:line="240" w:lineRule="auto"/>
              <w:rPr>
                <w:rFonts w:ascii="Calibri" w:eastAsia="Times New Roman" w:hAnsi="Calibri"/>
                <w:color w:val="000000"/>
                <w:lang w:eastAsia="tr-TR"/>
              </w:rPr>
            </w:pPr>
            <w:r w:rsidRPr="00994ED7">
              <w:rPr>
                <w:rFonts w:ascii="Calibri" w:eastAsia="Times New Roman" w:hAnsi="Calibri"/>
                <w:color w:val="000000"/>
                <w:lang w:eastAsia="tr-TR"/>
              </w:rPr>
              <w:t>Ceza Davaları</w:t>
            </w:r>
          </w:p>
        </w:tc>
        <w:tc>
          <w:tcPr>
            <w:tcW w:w="1402" w:type="pct"/>
            <w:shd w:val="clear" w:color="auto" w:fill="auto"/>
            <w:noWrap/>
            <w:vAlign w:val="center"/>
            <w:hideMark/>
          </w:tcPr>
          <w:p w14:paraId="71E39DBE" w14:textId="77777777" w:rsidR="00A448CA" w:rsidRPr="00994ED7" w:rsidRDefault="00A448CA" w:rsidP="001173BD">
            <w:pPr>
              <w:spacing w:after="0" w:line="240" w:lineRule="auto"/>
              <w:jc w:val="right"/>
              <w:rPr>
                <w:rFonts w:ascii="Calibri" w:eastAsia="Times New Roman" w:hAnsi="Calibri"/>
                <w:color w:val="000000"/>
                <w:lang w:eastAsia="tr-TR"/>
              </w:rPr>
            </w:pPr>
            <w:r w:rsidRPr="00994ED7">
              <w:rPr>
                <w:rFonts w:ascii="Calibri" w:eastAsia="Times New Roman" w:hAnsi="Calibri"/>
                <w:color w:val="000000"/>
                <w:lang w:eastAsia="tr-TR"/>
              </w:rPr>
              <w:t xml:space="preserve"> </w:t>
            </w:r>
            <w:r>
              <w:rPr>
                <w:rFonts w:ascii="Calibri" w:eastAsia="Times New Roman" w:hAnsi="Calibri"/>
                <w:color w:val="000000"/>
                <w:lang w:eastAsia="tr-TR"/>
              </w:rPr>
              <w:t>36.640</w:t>
            </w:r>
            <w:r w:rsidRPr="00994ED7">
              <w:rPr>
                <w:rFonts w:ascii="Calibri" w:eastAsia="Times New Roman" w:hAnsi="Calibri"/>
                <w:color w:val="000000"/>
                <w:lang w:eastAsia="tr-TR"/>
              </w:rPr>
              <w:t xml:space="preserve"> </w:t>
            </w:r>
          </w:p>
        </w:tc>
        <w:tc>
          <w:tcPr>
            <w:tcW w:w="1853" w:type="pct"/>
            <w:shd w:val="clear" w:color="auto" w:fill="auto"/>
            <w:noWrap/>
            <w:vAlign w:val="center"/>
            <w:hideMark/>
          </w:tcPr>
          <w:p w14:paraId="442775CA" w14:textId="77777777" w:rsidR="00A448CA" w:rsidRPr="00994ED7" w:rsidRDefault="00A448CA" w:rsidP="001173B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52,02</w:t>
            </w:r>
          </w:p>
        </w:tc>
      </w:tr>
      <w:tr w:rsidR="00A448CA" w:rsidRPr="00994ED7" w14:paraId="4B4F9199" w14:textId="77777777" w:rsidTr="001173BD">
        <w:trPr>
          <w:trHeight w:hRule="exact" w:val="315"/>
          <w:jc w:val="center"/>
        </w:trPr>
        <w:tc>
          <w:tcPr>
            <w:tcW w:w="1745" w:type="pct"/>
            <w:shd w:val="clear" w:color="auto" w:fill="auto"/>
            <w:vAlign w:val="center"/>
            <w:hideMark/>
          </w:tcPr>
          <w:p w14:paraId="4D9ED46F" w14:textId="77777777" w:rsidR="00A448CA" w:rsidRPr="00994ED7" w:rsidRDefault="00A448CA" w:rsidP="001173BD">
            <w:pPr>
              <w:spacing w:after="0" w:line="240" w:lineRule="auto"/>
              <w:rPr>
                <w:rFonts w:ascii="Calibri" w:eastAsia="Times New Roman" w:hAnsi="Calibri"/>
                <w:color w:val="000000"/>
                <w:lang w:eastAsia="tr-TR"/>
              </w:rPr>
            </w:pPr>
            <w:r w:rsidRPr="00994ED7">
              <w:rPr>
                <w:rFonts w:ascii="Calibri" w:eastAsia="Times New Roman" w:hAnsi="Calibri"/>
                <w:color w:val="000000"/>
                <w:lang w:eastAsia="tr-TR"/>
              </w:rPr>
              <w:t>İdari Davalar</w:t>
            </w:r>
          </w:p>
        </w:tc>
        <w:tc>
          <w:tcPr>
            <w:tcW w:w="1402" w:type="pct"/>
            <w:shd w:val="clear" w:color="auto" w:fill="auto"/>
            <w:noWrap/>
            <w:vAlign w:val="center"/>
            <w:hideMark/>
          </w:tcPr>
          <w:p w14:paraId="61487EF6" w14:textId="77777777" w:rsidR="00A448CA" w:rsidRPr="00994ED7" w:rsidRDefault="00A448CA" w:rsidP="001173BD">
            <w:pPr>
              <w:spacing w:after="0" w:line="240" w:lineRule="auto"/>
              <w:jc w:val="right"/>
              <w:rPr>
                <w:rFonts w:ascii="Calibri" w:eastAsia="Times New Roman" w:hAnsi="Calibri"/>
                <w:color w:val="000000"/>
                <w:lang w:eastAsia="tr-TR"/>
              </w:rPr>
            </w:pPr>
            <w:r w:rsidRPr="00994ED7">
              <w:rPr>
                <w:rFonts w:ascii="Calibri" w:eastAsia="Times New Roman" w:hAnsi="Calibri"/>
                <w:color w:val="000000"/>
                <w:lang w:eastAsia="tr-TR"/>
              </w:rPr>
              <w:t xml:space="preserve"> </w:t>
            </w:r>
            <w:r>
              <w:rPr>
                <w:rFonts w:ascii="Calibri" w:eastAsia="Times New Roman" w:hAnsi="Calibri"/>
                <w:color w:val="000000"/>
                <w:lang w:eastAsia="tr-TR"/>
              </w:rPr>
              <w:t>26.124</w:t>
            </w:r>
            <w:r w:rsidRPr="00994ED7">
              <w:rPr>
                <w:rFonts w:ascii="Calibri" w:eastAsia="Times New Roman" w:hAnsi="Calibri"/>
                <w:color w:val="000000"/>
                <w:lang w:eastAsia="tr-TR"/>
              </w:rPr>
              <w:t xml:space="preserve"> </w:t>
            </w:r>
          </w:p>
        </w:tc>
        <w:tc>
          <w:tcPr>
            <w:tcW w:w="1853" w:type="pct"/>
            <w:shd w:val="clear" w:color="auto" w:fill="auto"/>
            <w:noWrap/>
            <w:vAlign w:val="center"/>
            <w:hideMark/>
          </w:tcPr>
          <w:p w14:paraId="353B9F00" w14:textId="77777777" w:rsidR="00A448CA" w:rsidRPr="00994ED7" w:rsidRDefault="00A448CA" w:rsidP="001173B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37,09</w:t>
            </w:r>
          </w:p>
        </w:tc>
      </w:tr>
      <w:tr w:rsidR="00A448CA" w:rsidRPr="00994ED7" w14:paraId="708FA9E0" w14:textId="77777777" w:rsidTr="001173BD">
        <w:trPr>
          <w:trHeight w:hRule="exact" w:val="315"/>
          <w:jc w:val="center"/>
        </w:trPr>
        <w:tc>
          <w:tcPr>
            <w:tcW w:w="1745" w:type="pct"/>
            <w:shd w:val="clear" w:color="auto" w:fill="auto"/>
            <w:vAlign w:val="center"/>
            <w:hideMark/>
          </w:tcPr>
          <w:p w14:paraId="4691892D" w14:textId="77777777" w:rsidR="00A448CA" w:rsidRPr="00994ED7" w:rsidRDefault="00A448CA" w:rsidP="001173BD">
            <w:pPr>
              <w:spacing w:after="0" w:line="240" w:lineRule="auto"/>
              <w:rPr>
                <w:rFonts w:ascii="Calibri" w:eastAsia="Times New Roman" w:hAnsi="Calibri"/>
                <w:color w:val="000000"/>
                <w:lang w:eastAsia="tr-TR"/>
              </w:rPr>
            </w:pPr>
            <w:r w:rsidRPr="00994ED7">
              <w:rPr>
                <w:rFonts w:ascii="Calibri" w:eastAsia="Times New Roman" w:hAnsi="Calibri"/>
                <w:color w:val="000000"/>
                <w:lang w:eastAsia="tr-TR"/>
              </w:rPr>
              <w:t>Hukuk Davaları</w:t>
            </w:r>
          </w:p>
        </w:tc>
        <w:tc>
          <w:tcPr>
            <w:tcW w:w="1402" w:type="pct"/>
            <w:shd w:val="clear" w:color="auto" w:fill="auto"/>
            <w:noWrap/>
            <w:vAlign w:val="center"/>
            <w:hideMark/>
          </w:tcPr>
          <w:p w14:paraId="58486115" w14:textId="77777777" w:rsidR="00A448CA" w:rsidRPr="00994ED7" w:rsidRDefault="00A448CA" w:rsidP="001173BD">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7.671</w:t>
            </w:r>
            <w:r w:rsidRPr="00994ED7">
              <w:rPr>
                <w:rFonts w:ascii="Calibri" w:eastAsia="Times New Roman" w:hAnsi="Calibri"/>
                <w:color w:val="000000"/>
                <w:lang w:eastAsia="tr-TR"/>
              </w:rPr>
              <w:t xml:space="preserve"> </w:t>
            </w:r>
          </w:p>
        </w:tc>
        <w:tc>
          <w:tcPr>
            <w:tcW w:w="1853" w:type="pct"/>
            <w:shd w:val="clear" w:color="auto" w:fill="auto"/>
            <w:noWrap/>
            <w:vAlign w:val="center"/>
            <w:hideMark/>
          </w:tcPr>
          <w:p w14:paraId="6BC14562" w14:textId="77777777" w:rsidR="00A448CA" w:rsidRPr="00994ED7" w:rsidRDefault="00A448CA" w:rsidP="001173B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10,89</w:t>
            </w:r>
          </w:p>
        </w:tc>
      </w:tr>
      <w:tr w:rsidR="00A448CA" w:rsidRPr="00994ED7" w14:paraId="3254E40F" w14:textId="77777777" w:rsidTr="001173BD">
        <w:trPr>
          <w:trHeight w:hRule="exact" w:val="315"/>
          <w:jc w:val="center"/>
        </w:trPr>
        <w:tc>
          <w:tcPr>
            <w:tcW w:w="1745" w:type="pct"/>
            <w:shd w:val="clear" w:color="auto" w:fill="auto"/>
            <w:vAlign w:val="center"/>
            <w:hideMark/>
          </w:tcPr>
          <w:p w14:paraId="5274D828" w14:textId="77777777" w:rsidR="00A448CA" w:rsidRPr="00994ED7" w:rsidRDefault="00A448CA" w:rsidP="001173BD">
            <w:pPr>
              <w:spacing w:after="0" w:line="240" w:lineRule="auto"/>
              <w:rPr>
                <w:rFonts w:ascii="Calibri" w:eastAsia="Times New Roman" w:hAnsi="Calibri"/>
                <w:b/>
                <w:bCs/>
                <w:color w:val="000000"/>
                <w:lang w:eastAsia="tr-TR"/>
              </w:rPr>
            </w:pPr>
            <w:r w:rsidRPr="00994ED7">
              <w:rPr>
                <w:rFonts w:ascii="Calibri" w:eastAsia="Times New Roman" w:hAnsi="Calibri"/>
                <w:b/>
                <w:bCs/>
                <w:color w:val="000000"/>
                <w:lang w:eastAsia="tr-TR"/>
              </w:rPr>
              <w:t>TOPLAM</w:t>
            </w:r>
          </w:p>
        </w:tc>
        <w:tc>
          <w:tcPr>
            <w:tcW w:w="1402" w:type="pct"/>
            <w:shd w:val="clear" w:color="auto" w:fill="auto"/>
            <w:noWrap/>
            <w:vAlign w:val="center"/>
            <w:hideMark/>
          </w:tcPr>
          <w:p w14:paraId="67955204" w14:textId="77777777" w:rsidR="00A448CA" w:rsidRPr="00994ED7" w:rsidRDefault="00A448CA" w:rsidP="001173BD">
            <w:pPr>
              <w:spacing w:after="0" w:line="240" w:lineRule="auto"/>
              <w:jc w:val="right"/>
              <w:rPr>
                <w:rFonts w:ascii="Calibri" w:eastAsia="Times New Roman" w:hAnsi="Calibri"/>
                <w:b/>
                <w:bCs/>
                <w:color w:val="000000"/>
                <w:lang w:eastAsia="tr-TR"/>
              </w:rPr>
            </w:pPr>
            <w:r>
              <w:rPr>
                <w:rFonts w:ascii="Calibri" w:eastAsia="Times New Roman" w:hAnsi="Calibri"/>
                <w:b/>
                <w:bCs/>
                <w:color w:val="000000"/>
                <w:lang w:eastAsia="tr-TR"/>
              </w:rPr>
              <w:t>70.435</w:t>
            </w:r>
          </w:p>
        </w:tc>
        <w:tc>
          <w:tcPr>
            <w:tcW w:w="1853" w:type="pct"/>
            <w:shd w:val="clear" w:color="auto" w:fill="auto"/>
            <w:vAlign w:val="center"/>
            <w:hideMark/>
          </w:tcPr>
          <w:p w14:paraId="66785B56" w14:textId="77777777" w:rsidR="00A448CA" w:rsidRPr="00994ED7" w:rsidRDefault="00A448CA" w:rsidP="001173BD">
            <w:pPr>
              <w:spacing w:after="0" w:line="240" w:lineRule="auto"/>
              <w:jc w:val="center"/>
              <w:rPr>
                <w:rFonts w:ascii="Calibri" w:eastAsia="Times New Roman" w:hAnsi="Calibri"/>
                <w:b/>
                <w:bCs/>
                <w:color w:val="000000"/>
                <w:lang w:eastAsia="tr-TR"/>
              </w:rPr>
            </w:pPr>
            <w:r w:rsidRPr="00994ED7">
              <w:rPr>
                <w:rFonts w:ascii="Calibri" w:eastAsia="Times New Roman" w:hAnsi="Calibri"/>
                <w:b/>
                <w:bCs/>
                <w:color w:val="000000"/>
                <w:lang w:eastAsia="tr-TR"/>
              </w:rPr>
              <w:t>100</w:t>
            </w:r>
          </w:p>
        </w:tc>
      </w:tr>
    </w:tbl>
    <w:p w14:paraId="7DBDE9EA" w14:textId="77777777" w:rsidR="00A448CA" w:rsidRPr="00994ED7" w:rsidRDefault="00A448CA" w:rsidP="00A448CA">
      <w:pPr>
        <w:spacing w:after="0" w:line="240" w:lineRule="auto"/>
        <w:rPr>
          <w:rFonts w:ascii="Calibri" w:eastAsia="Times New Roman" w:hAnsi="Calibri"/>
          <w:b/>
          <w:bCs/>
          <w:color w:val="000000"/>
          <w:lang w:eastAsia="tr-TR"/>
        </w:rPr>
      </w:pPr>
    </w:p>
    <w:p w14:paraId="79C3A75F" w14:textId="77777777" w:rsidR="00A448CA" w:rsidRPr="008102B6" w:rsidRDefault="00A448CA" w:rsidP="00A448CA">
      <w:pPr>
        <w:pStyle w:val="Balk5"/>
        <w:spacing w:after="240"/>
        <w:jc w:val="center"/>
        <w:rPr>
          <w:rStyle w:val="Gl"/>
          <w:color w:val="auto"/>
        </w:rPr>
      </w:pPr>
      <w:bookmarkStart w:id="341" w:name="_Toc94703939"/>
      <w:bookmarkStart w:id="342" w:name="_Toc158307048"/>
      <w:bookmarkStart w:id="343" w:name="_Toc195868850"/>
      <w:r w:rsidRPr="008102B6">
        <w:rPr>
          <w:rStyle w:val="Gl"/>
          <w:color w:val="auto"/>
        </w:rPr>
        <w:t>Tablo 8.2: 202</w:t>
      </w:r>
      <w:r>
        <w:rPr>
          <w:rStyle w:val="Gl"/>
          <w:color w:val="auto"/>
        </w:rPr>
        <w:t>4</w:t>
      </w:r>
      <w:r w:rsidRPr="008102B6">
        <w:rPr>
          <w:rStyle w:val="Gl"/>
          <w:color w:val="auto"/>
        </w:rPr>
        <w:t xml:space="preserve"> Yılı Sonu İtibariyle Kurumumuzun Taraf Olduğu Davaların Piyasalara Dağılımı</w:t>
      </w:r>
      <w:bookmarkEnd w:id="341"/>
      <w:bookmarkEnd w:id="342"/>
      <w:bookmarkEnd w:id="343"/>
    </w:p>
    <w:tbl>
      <w:tblPr>
        <w:tblW w:w="3091"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70" w:type="dxa"/>
          <w:right w:w="70" w:type="dxa"/>
        </w:tblCellMar>
        <w:tblLook w:val="04A0" w:firstRow="1" w:lastRow="0" w:firstColumn="1" w:lastColumn="0" w:noHBand="0" w:noVBand="1"/>
      </w:tblPr>
      <w:tblGrid>
        <w:gridCol w:w="2121"/>
        <w:gridCol w:w="1701"/>
        <w:gridCol w:w="2305"/>
      </w:tblGrid>
      <w:tr w:rsidR="00A448CA" w:rsidRPr="00AE0C4A" w14:paraId="0A57F1D2" w14:textId="77777777" w:rsidTr="001173BD">
        <w:trPr>
          <w:trHeight w:hRule="exact" w:val="315"/>
          <w:jc w:val="center"/>
        </w:trPr>
        <w:tc>
          <w:tcPr>
            <w:tcW w:w="1731" w:type="pct"/>
            <w:shd w:val="clear" w:color="000000" w:fill="6E9ECA"/>
            <w:vAlign w:val="center"/>
            <w:hideMark/>
          </w:tcPr>
          <w:p w14:paraId="61F8E0F8" w14:textId="77777777" w:rsidR="00A448CA" w:rsidRPr="00AE0C4A" w:rsidRDefault="00A448CA" w:rsidP="001173BD">
            <w:pPr>
              <w:spacing w:after="0" w:line="240" w:lineRule="auto"/>
              <w:jc w:val="center"/>
              <w:rPr>
                <w:rFonts w:ascii="Calibri" w:eastAsia="Times New Roman" w:hAnsi="Calibri"/>
                <w:b/>
                <w:bCs/>
                <w:color w:val="FFFFFF"/>
                <w:lang w:eastAsia="tr-TR"/>
              </w:rPr>
            </w:pPr>
            <w:r w:rsidRPr="00AE0C4A">
              <w:rPr>
                <w:rFonts w:ascii="Calibri" w:eastAsia="Times New Roman" w:hAnsi="Calibri"/>
                <w:b/>
                <w:bCs/>
                <w:color w:val="FFFFFF"/>
                <w:lang w:eastAsia="tr-TR"/>
              </w:rPr>
              <w:t>Piyasa</w:t>
            </w:r>
          </w:p>
        </w:tc>
        <w:tc>
          <w:tcPr>
            <w:tcW w:w="1388" w:type="pct"/>
            <w:shd w:val="clear" w:color="000000" w:fill="6E9ECA"/>
            <w:vAlign w:val="center"/>
            <w:hideMark/>
          </w:tcPr>
          <w:p w14:paraId="23DB74DE" w14:textId="77777777" w:rsidR="00A448CA" w:rsidRPr="00AE0C4A" w:rsidRDefault="00A448CA" w:rsidP="001173BD">
            <w:pPr>
              <w:spacing w:after="0" w:line="240" w:lineRule="auto"/>
              <w:jc w:val="center"/>
              <w:rPr>
                <w:rFonts w:ascii="Calibri" w:eastAsia="Times New Roman" w:hAnsi="Calibri"/>
                <w:b/>
                <w:bCs/>
                <w:color w:val="FFFFFF"/>
                <w:lang w:eastAsia="tr-TR"/>
              </w:rPr>
            </w:pPr>
            <w:r w:rsidRPr="00AE0C4A">
              <w:rPr>
                <w:rFonts w:ascii="Calibri" w:eastAsia="Times New Roman" w:hAnsi="Calibri"/>
                <w:b/>
                <w:bCs/>
                <w:color w:val="FFFFFF"/>
                <w:lang w:eastAsia="tr-TR"/>
              </w:rPr>
              <w:t>Dava Sayısı</w:t>
            </w:r>
          </w:p>
        </w:tc>
        <w:tc>
          <w:tcPr>
            <w:tcW w:w="1881" w:type="pct"/>
            <w:shd w:val="clear" w:color="000000" w:fill="6E9ECA"/>
            <w:vAlign w:val="center"/>
            <w:hideMark/>
          </w:tcPr>
          <w:p w14:paraId="351F3C45" w14:textId="77777777" w:rsidR="00A448CA" w:rsidRPr="00AE0C4A" w:rsidRDefault="00A448CA" w:rsidP="001173BD">
            <w:pPr>
              <w:spacing w:after="0" w:line="240" w:lineRule="auto"/>
              <w:jc w:val="center"/>
              <w:rPr>
                <w:rFonts w:ascii="Calibri" w:eastAsia="Times New Roman" w:hAnsi="Calibri"/>
                <w:b/>
                <w:bCs/>
                <w:color w:val="FFFFFF"/>
                <w:lang w:eastAsia="tr-TR"/>
              </w:rPr>
            </w:pPr>
            <w:r w:rsidRPr="00AE0C4A">
              <w:rPr>
                <w:rFonts w:ascii="Calibri" w:eastAsia="Times New Roman" w:hAnsi="Calibri"/>
                <w:b/>
                <w:bCs/>
                <w:color w:val="FFFFFF"/>
                <w:lang w:eastAsia="tr-TR"/>
              </w:rPr>
              <w:t>Oran (%)</w:t>
            </w:r>
          </w:p>
        </w:tc>
      </w:tr>
      <w:tr w:rsidR="00A448CA" w:rsidRPr="00AE0C4A" w14:paraId="74F17D5C" w14:textId="77777777" w:rsidTr="001173BD">
        <w:trPr>
          <w:trHeight w:hRule="exact" w:val="315"/>
          <w:jc w:val="center"/>
        </w:trPr>
        <w:tc>
          <w:tcPr>
            <w:tcW w:w="1731" w:type="pct"/>
            <w:shd w:val="clear" w:color="auto" w:fill="auto"/>
            <w:vAlign w:val="center"/>
            <w:hideMark/>
          </w:tcPr>
          <w:p w14:paraId="6AE4B517" w14:textId="77777777" w:rsidR="00A448CA" w:rsidRPr="00AE0C4A" w:rsidRDefault="00A448CA" w:rsidP="001173BD">
            <w:pPr>
              <w:spacing w:after="0" w:line="240" w:lineRule="auto"/>
              <w:rPr>
                <w:rFonts w:ascii="Calibri" w:eastAsia="Times New Roman" w:hAnsi="Calibri"/>
                <w:color w:val="000000"/>
                <w:lang w:eastAsia="tr-TR"/>
              </w:rPr>
            </w:pPr>
            <w:r w:rsidRPr="00AE0C4A">
              <w:rPr>
                <w:rFonts w:ascii="Calibri" w:eastAsia="Times New Roman" w:hAnsi="Calibri"/>
                <w:color w:val="000000"/>
                <w:lang w:eastAsia="tr-TR"/>
              </w:rPr>
              <w:t>Elektrik</w:t>
            </w:r>
          </w:p>
        </w:tc>
        <w:tc>
          <w:tcPr>
            <w:tcW w:w="1388" w:type="pct"/>
            <w:shd w:val="clear" w:color="auto" w:fill="auto"/>
            <w:noWrap/>
            <w:vAlign w:val="center"/>
            <w:hideMark/>
          </w:tcPr>
          <w:p w14:paraId="63042F36" w14:textId="77777777" w:rsidR="00A448CA" w:rsidRPr="00AE0C4A" w:rsidRDefault="00A448CA" w:rsidP="001173BD">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10.581</w:t>
            </w:r>
            <w:r w:rsidRPr="00AE0C4A">
              <w:rPr>
                <w:rFonts w:ascii="Calibri" w:eastAsia="Times New Roman" w:hAnsi="Calibri"/>
                <w:color w:val="000000"/>
                <w:lang w:eastAsia="tr-TR"/>
              </w:rPr>
              <w:t xml:space="preserve"> </w:t>
            </w:r>
          </w:p>
        </w:tc>
        <w:tc>
          <w:tcPr>
            <w:tcW w:w="1881" w:type="pct"/>
            <w:shd w:val="clear" w:color="auto" w:fill="auto"/>
            <w:noWrap/>
            <w:vAlign w:val="bottom"/>
            <w:hideMark/>
          </w:tcPr>
          <w:p w14:paraId="32940E33" w14:textId="77777777" w:rsidR="00A448CA" w:rsidRPr="00AE0C4A" w:rsidRDefault="00A448CA" w:rsidP="001173BD">
            <w:pPr>
              <w:spacing w:after="0" w:line="240" w:lineRule="auto"/>
              <w:jc w:val="center"/>
              <w:rPr>
                <w:rFonts w:ascii="Calibri" w:eastAsia="Times New Roman" w:hAnsi="Calibri"/>
                <w:color w:val="000000"/>
                <w:lang w:eastAsia="tr-TR"/>
              </w:rPr>
            </w:pPr>
            <w:r>
              <w:rPr>
                <w:rFonts w:ascii="Calibri" w:hAnsi="Calibri"/>
                <w:color w:val="000000"/>
              </w:rPr>
              <w:t>15,02</w:t>
            </w:r>
          </w:p>
        </w:tc>
      </w:tr>
      <w:tr w:rsidR="00A448CA" w:rsidRPr="00AE0C4A" w14:paraId="526744EB" w14:textId="77777777" w:rsidTr="001173BD">
        <w:trPr>
          <w:trHeight w:hRule="exact" w:val="315"/>
          <w:jc w:val="center"/>
        </w:trPr>
        <w:tc>
          <w:tcPr>
            <w:tcW w:w="1731" w:type="pct"/>
            <w:shd w:val="clear" w:color="auto" w:fill="auto"/>
            <w:vAlign w:val="center"/>
            <w:hideMark/>
          </w:tcPr>
          <w:p w14:paraId="6F633385" w14:textId="77777777" w:rsidR="00A448CA" w:rsidRPr="00AE0C4A" w:rsidRDefault="00A448CA" w:rsidP="001173BD">
            <w:pPr>
              <w:spacing w:after="0" w:line="240" w:lineRule="auto"/>
              <w:rPr>
                <w:rFonts w:ascii="Calibri" w:eastAsia="Times New Roman" w:hAnsi="Calibri"/>
                <w:color w:val="000000"/>
                <w:lang w:eastAsia="tr-TR"/>
              </w:rPr>
            </w:pPr>
            <w:r w:rsidRPr="00AE0C4A">
              <w:rPr>
                <w:rFonts w:ascii="Calibri" w:eastAsia="Times New Roman" w:hAnsi="Calibri"/>
                <w:color w:val="000000"/>
                <w:lang w:eastAsia="tr-TR"/>
              </w:rPr>
              <w:t>Doğal Gaz</w:t>
            </w:r>
          </w:p>
        </w:tc>
        <w:tc>
          <w:tcPr>
            <w:tcW w:w="1388" w:type="pct"/>
            <w:shd w:val="clear" w:color="auto" w:fill="auto"/>
            <w:noWrap/>
            <w:vAlign w:val="center"/>
            <w:hideMark/>
          </w:tcPr>
          <w:p w14:paraId="4BBC7452" w14:textId="77777777" w:rsidR="00A448CA" w:rsidRPr="00AE0C4A" w:rsidRDefault="00A448CA" w:rsidP="001173BD">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588</w:t>
            </w:r>
          </w:p>
        </w:tc>
        <w:tc>
          <w:tcPr>
            <w:tcW w:w="1881" w:type="pct"/>
            <w:shd w:val="clear" w:color="auto" w:fill="auto"/>
            <w:noWrap/>
            <w:vAlign w:val="bottom"/>
            <w:hideMark/>
          </w:tcPr>
          <w:p w14:paraId="17C74323" w14:textId="77777777" w:rsidR="00A448CA" w:rsidRPr="00AE0C4A" w:rsidRDefault="00A448CA" w:rsidP="001173BD">
            <w:pPr>
              <w:spacing w:after="0" w:line="240" w:lineRule="auto"/>
              <w:jc w:val="center"/>
              <w:rPr>
                <w:rFonts w:ascii="Calibri" w:eastAsia="Times New Roman" w:hAnsi="Calibri"/>
                <w:color w:val="000000"/>
                <w:lang w:eastAsia="tr-TR"/>
              </w:rPr>
            </w:pPr>
            <w:r>
              <w:rPr>
                <w:rFonts w:ascii="Calibri" w:hAnsi="Calibri"/>
                <w:color w:val="000000"/>
              </w:rPr>
              <w:t>0,83</w:t>
            </w:r>
          </w:p>
        </w:tc>
      </w:tr>
      <w:tr w:rsidR="00A448CA" w:rsidRPr="00AE0C4A" w14:paraId="51E9D2AB" w14:textId="77777777" w:rsidTr="001173BD">
        <w:trPr>
          <w:trHeight w:hRule="exact" w:val="315"/>
          <w:jc w:val="center"/>
        </w:trPr>
        <w:tc>
          <w:tcPr>
            <w:tcW w:w="1731" w:type="pct"/>
            <w:shd w:val="clear" w:color="auto" w:fill="auto"/>
            <w:vAlign w:val="center"/>
            <w:hideMark/>
          </w:tcPr>
          <w:p w14:paraId="5ECBD5D8" w14:textId="77777777" w:rsidR="00A448CA" w:rsidRPr="00AE0C4A" w:rsidRDefault="00A448CA" w:rsidP="001173BD">
            <w:pPr>
              <w:spacing w:after="0" w:line="240" w:lineRule="auto"/>
              <w:rPr>
                <w:rFonts w:ascii="Calibri" w:eastAsia="Times New Roman" w:hAnsi="Calibri"/>
                <w:color w:val="000000"/>
                <w:lang w:eastAsia="tr-TR"/>
              </w:rPr>
            </w:pPr>
            <w:r w:rsidRPr="00AE0C4A">
              <w:rPr>
                <w:rFonts w:ascii="Calibri" w:eastAsia="Times New Roman" w:hAnsi="Calibri"/>
                <w:color w:val="000000"/>
                <w:lang w:eastAsia="tr-TR"/>
              </w:rPr>
              <w:t>Petrol</w:t>
            </w:r>
          </w:p>
        </w:tc>
        <w:tc>
          <w:tcPr>
            <w:tcW w:w="1388" w:type="pct"/>
            <w:shd w:val="clear" w:color="auto" w:fill="auto"/>
            <w:noWrap/>
            <w:vAlign w:val="center"/>
            <w:hideMark/>
          </w:tcPr>
          <w:p w14:paraId="4CD79D94" w14:textId="77777777" w:rsidR="00A448CA" w:rsidRPr="00AE0C4A" w:rsidRDefault="00A448CA" w:rsidP="001173BD">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53.643</w:t>
            </w:r>
            <w:r w:rsidRPr="00AE0C4A">
              <w:rPr>
                <w:rFonts w:ascii="Calibri" w:eastAsia="Times New Roman" w:hAnsi="Calibri"/>
                <w:color w:val="000000"/>
                <w:lang w:eastAsia="tr-TR"/>
              </w:rPr>
              <w:t xml:space="preserve"> </w:t>
            </w:r>
          </w:p>
        </w:tc>
        <w:tc>
          <w:tcPr>
            <w:tcW w:w="1881" w:type="pct"/>
            <w:shd w:val="clear" w:color="auto" w:fill="auto"/>
            <w:noWrap/>
            <w:vAlign w:val="bottom"/>
            <w:hideMark/>
          </w:tcPr>
          <w:p w14:paraId="06C51601" w14:textId="77777777" w:rsidR="00A448CA" w:rsidRPr="00AE0C4A" w:rsidRDefault="00A448CA" w:rsidP="001173BD">
            <w:pPr>
              <w:spacing w:after="0" w:line="240" w:lineRule="auto"/>
              <w:jc w:val="center"/>
              <w:rPr>
                <w:rFonts w:ascii="Calibri" w:eastAsia="Times New Roman" w:hAnsi="Calibri"/>
                <w:color w:val="000000"/>
                <w:lang w:eastAsia="tr-TR"/>
              </w:rPr>
            </w:pPr>
            <w:r>
              <w:rPr>
                <w:rFonts w:ascii="Calibri" w:hAnsi="Calibri"/>
                <w:color w:val="000000"/>
              </w:rPr>
              <w:t>76,16</w:t>
            </w:r>
          </w:p>
        </w:tc>
      </w:tr>
      <w:tr w:rsidR="00A448CA" w:rsidRPr="00AE0C4A" w14:paraId="5B1AF9C3" w14:textId="77777777" w:rsidTr="001173BD">
        <w:trPr>
          <w:trHeight w:hRule="exact" w:val="315"/>
          <w:jc w:val="center"/>
        </w:trPr>
        <w:tc>
          <w:tcPr>
            <w:tcW w:w="1731" w:type="pct"/>
            <w:shd w:val="clear" w:color="auto" w:fill="auto"/>
            <w:vAlign w:val="center"/>
            <w:hideMark/>
          </w:tcPr>
          <w:p w14:paraId="1243CDB4" w14:textId="77777777" w:rsidR="00A448CA" w:rsidRPr="00AE0C4A" w:rsidRDefault="00A448CA" w:rsidP="001173BD">
            <w:pPr>
              <w:spacing w:after="0" w:line="240" w:lineRule="auto"/>
              <w:rPr>
                <w:rFonts w:ascii="Calibri" w:eastAsia="Times New Roman" w:hAnsi="Calibri"/>
                <w:color w:val="000000"/>
                <w:lang w:eastAsia="tr-TR"/>
              </w:rPr>
            </w:pPr>
            <w:r w:rsidRPr="00AE0C4A">
              <w:rPr>
                <w:rFonts w:ascii="Calibri" w:eastAsia="Times New Roman" w:hAnsi="Calibri"/>
                <w:bCs/>
                <w:color w:val="000000"/>
                <w:lang w:eastAsia="tr-TR"/>
              </w:rPr>
              <w:t>LPG</w:t>
            </w:r>
          </w:p>
        </w:tc>
        <w:tc>
          <w:tcPr>
            <w:tcW w:w="1388" w:type="pct"/>
            <w:shd w:val="clear" w:color="auto" w:fill="auto"/>
            <w:noWrap/>
            <w:vAlign w:val="center"/>
            <w:hideMark/>
          </w:tcPr>
          <w:p w14:paraId="4E37353A" w14:textId="77777777" w:rsidR="00A448CA" w:rsidRPr="00AE0C4A" w:rsidRDefault="00A448CA" w:rsidP="001173BD">
            <w:pPr>
              <w:spacing w:after="0" w:line="240" w:lineRule="auto"/>
              <w:jc w:val="right"/>
              <w:rPr>
                <w:rFonts w:ascii="Calibri" w:eastAsia="Times New Roman" w:hAnsi="Calibri"/>
                <w:color w:val="000000"/>
                <w:lang w:eastAsia="tr-TR"/>
              </w:rPr>
            </w:pPr>
            <w:r>
              <w:rPr>
                <w:rFonts w:ascii="Calibri" w:eastAsia="Times New Roman" w:hAnsi="Calibri"/>
                <w:bCs/>
                <w:color w:val="000000"/>
                <w:lang w:eastAsia="tr-TR"/>
              </w:rPr>
              <w:t>2.429</w:t>
            </w:r>
          </w:p>
        </w:tc>
        <w:tc>
          <w:tcPr>
            <w:tcW w:w="1881" w:type="pct"/>
            <w:shd w:val="clear" w:color="auto" w:fill="auto"/>
            <w:noWrap/>
            <w:vAlign w:val="bottom"/>
            <w:hideMark/>
          </w:tcPr>
          <w:p w14:paraId="3701CCCF" w14:textId="77777777" w:rsidR="00A448CA" w:rsidRPr="00AE0C4A" w:rsidRDefault="00A448CA" w:rsidP="001173BD">
            <w:pPr>
              <w:spacing w:after="0" w:line="240" w:lineRule="auto"/>
              <w:jc w:val="center"/>
              <w:rPr>
                <w:rFonts w:ascii="Calibri" w:eastAsia="Times New Roman" w:hAnsi="Calibri"/>
                <w:color w:val="000000"/>
                <w:lang w:eastAsia="tr-TR"/>
              </w:rPr>
            </w:pPr>
            <w:r>
              <w:rPr>
                <w:rFonts w:ascii="Calibri" w:hAnsi="Calibri"/>
                <w:color w:val="000000"/>
              </w:rPr>
              <w:t>3,45</w:t>
            </w:r>
          </w:p>
        </w:tc>
      </w:tr>
      <w:tr w:rsidR="00A448CA" w:rsidRPr="00AE0C4A" w14:paraId="41EDFAAA" w14:textId="77777777" w:rsidTr="001173BD">
        <w:trPr>
          <w:trHeight w:hRule="exact" w:val="315"/>
          <w:jc w:val="center"/>
        </w:trPr>
        <w:tc>
          <w:tcPr>
            <w:tcW w:w="1731" w:type="pct"/>
            <w:shd w:val="clear" w:color="auto" w:fill="auto"/>
            <w:vAlign w:val="center"/>
            <w:hideMark/>
          </w:tcPr>
          <w:p w14:paraId="34ECA281" w14:textId="77777777" w:rsidR="00A448CA" w:rsidRPr="00AE0C4A" w:rsidRDefault="00A448CA" w:rsidP="001173BD">
            <w:pPr>
              <w:spacing w:after="0" w:line="240" w:lineRule="auto"/>
              <w:rPr>
                <w:rFonts w:ascii="Calibri" w:eastAsia="Times New Roman" w:hAnsi="Calibri"/>
                <w:color w:val="000000"/>
                <w:lang w:eastAsia="tr-TR"/>
              </w:rPr>
            </w:pPr>
            <w:r w:rsidRPr="00AE0C4A">
              <w:rPr>
                <w:rFonts w:ascii="Calibri" w:eastAsia="Times New Roman" w:hAnsi="Calibri"/>
                <w:bCs/>
                <w:color w:val="000000"/>
                <w:lang w:eastAsia="tr-TR"/>
              </w:rPr>
              <w:t>Kamulaştırma</w:t>
            </w:r>
          </w:p>
        </w:tc>
        <w:tc>
          <w:tcPr>
            <w:tcW w:w="1388" w:type="pct"/>
            <w:shd w:val="clear" w:color="auto" w:fill="auto"/>
            <w:noWrap/>
            <w:vAlign w:val="center"/>
            <w:hideMark/>
          </w:tcPr>
          <w:p w14:paraId="75230195" w14:textId="77777777" w:rsidR="00A448CA" w:rsidRPr="00AE0C4A" w:rsidRDefault="00A448CA" w:rsidP="001173BD">
            <w:pPr>
              <w:spacing w:after="0" w:line="240" w:lineRule="auto"/>
              <w:jc w:val="right"/>
              <w:rPr>
                <w:rFonts w:ascii="Calibri" w:eastAsia="Times New Roman" w:hAnsi="Calibri"/>
                <w:color w:val="000000"/>
                <w:lang w:eastAsia="tr-TR"/>
              </w:rPr>
            </w:pPr>
            <w:r>
              <w:rPr>
                <w:rFonts w:ascii="Calibri" w:eastAsia="Times New Roman" w:hAnsi="Calibri"/>
                <w:bCs/>
                <w:color w:val="000000"/>
                <w:lang w:eastAsia="tr-TR"/>
              </w:rPr>
              <w:t>2.410</w:t>
            </w:r>
          </w:p>
        </w:tc>
        <w:tc>
          <w:tcPr>
            <w:tcW w:w="1881" w:type="pct"/>
            <w:shd w:val="clear" w:color="auto" w:fill="auto"/>
            <w:noWrap/>
            <w:vAlign w:val="bottom"/>
            <w:hideMark/>
          </w:tcPr>
          <w:p w14:paraId="5B009F59" w14:textId="77777777" w:rsidR="00A448CA" w:rsidRPr="00AE0C4A" w:rsidRDefault="00A448CA" w:rsidP="001173BD">
            <w:pPr>
              <w:spacing w:after="0" w:line="240" w:lineRule="auto"/>
              <w:jc w:val="center"/>
              <w:rPr>
                <w:rFonts w:ascii="Calibri" w:eastAsia="Times New Roman" w:hAnsi="Calibri"/>
                <w:color w:val="000000"/>
                <w:lang w:eastAsia="tr-TR"/>
              </w:rPr>
            </w:pPr>
            <w:r>
              <w:rPr>
                <w:rFonts w:ascii="Calibri" w:hAnsi="Calibri"/>
                <w:color w:val="000000"/>
              </w:rPr>
              <w:t>3,42</w:t>
            </w:r>
          </w:p>
        </w:tc>
      </w:tr>
      <w:tr w:rsidR="00A448CA" w:rsidRPr="00AE0C4A" w14:paraId="62C2AA84" w14:textId="77777777" w:rsidTr="001173BD">
        <w:trPr>
          <w:trHeight w:hRule="exact" w:val="315"/>
          <w:jc w:val="center"/>
        </w:trPr>
        <w:tc>
          <w:tcPr>
            <w:tcW w:w="1731" w:type="pct"/>
            <w:shd w:val="clear" w:color="auto" w:fill="auto"/>
            <w:vAlign w:val="center"/>
            <w:hideMark/>
          </w:tcPr>
          <w:p w14:paraId="61B623B9" w14:textId="77777777" w:rsidR="00A448CA" w:rsidRPr="00AE0C4A" w:rsidRDefault="00A448CA" w:rsidP="001173BD">
            <w:pPr>
              <w:spacing w:after="0" w:line="240" w:lineRule="auto"/>
              <w:rPr>
                <w:rFonts w:ascii="Calibri" w:eastAsia="Times New Roman" w:hAnsi="Calibri"/>
                <w:color w:val="000000"/>
                <w:lang w:eastAsia="tr-TR"/>
              </w:rPr>
            </w:pPr>
            <w:r w:rsidRPr="00AE0C4A">
              <w:rPr>
                <w:rFonts w:ascii="Calibri" w:eastAsia="Times New Roman" w:hAnsi="Calibri"/>
                <w:bCs/>
                <w:color w:val="000000"/>
                <w:lang w:eastAsia="tr-TR"/>
              </w:rPr>
              <w:t>Diğer</w:t>
            </w:r>
          </w:p>
        </w:tc>
        <w:tc>
          <w:tcPr>
            <w:tcW w:w="1388" w:type="pct"/>
            <w:shd w:val="clear" w:color="auto" w:fill="auto"/>
            <w:noWrap/>
            <w:vAlign w:val="center"/>
            <w:hideMark/>
          </w:tcPr>
          <w:p w14:paraId="2385537D" w14:textId="77777777" w:rsidR="00A448CA" w:rsidRPr="00AE0C4A" w:rsidRDefault="00A448CA" w:rsidP="001173BD">
            <w:pPr>
              <w:spacing w:after="0" w:line="240" w:lineRule="auto"/>
              <w:jc w:val="right"/>
              <w:rPr>
                <w:rFonts w:ascii="Calibri" w:eastAsia="Times New Roman" w:hAnsi="Calibri"/>
                <w:color w:val="000000"/>
                <w:lang w:eastAsia="tr-TR"/>
              </w:rPr>
            </w:pPr>
            <w:r>
              <w:rPr>
                <w:rFonts w:ascii="Calibri" w:eastAsia="Times New Roman" w:hAnsi="Calibri"/>
                <w:bCs/>
                <w:color w:val="000000"/>
                <w:lang w:eastAsia="tr-TR"/>
              </w:rPr>
              <w:t>784</w:t>
            </w:r>
          </w:p>
        </w:tc>
        <w:tc>
          <w:tcPr>
            <w:tcW w:w="1881" w:type="pct"/>
            <w:shd w:val="clear" w:color="auto" w:fill="auto"/>
            <w:noWrap/>
            <w:vAlign w:val="bottom"/>
            <w:hideMark/>
          </w:tcPr>
          <w:p w14:paraId="4CE0AFBC" w14:textId="77777777" w:rsidR="00A448CA" w:rsidRPr="00AE0C4A" w:rsidRDefault="00A448CA" w:rsidP="001173BD">
            <w:pPr>
              <w:spacing w:after="0" w:line="240" w:lineRule="auto"/>
              <w:jc w:val="center"/>
              <w:rPr>
                <w:rFonts w:ascii="Calibri" w:eastAsia="Times New Roman" w:hAnsi="Calibri"/>
                <w:color w:val="000000"/>
                <w:lang w:eastAsia="tr-TR"/>
              </w:rPr>
            </w:pPr>
            <w:r>
              <w:rPr>
                <w:rFonts w:ascii="Calibri" w:hAnsi="Calibri"/>
                <w:color w:val="000000"/>
              </w:rPr>
              <w:t>1,11</w:t>
            </w:r>
          </w:p>
        </w:tc>
      </w:tr>
      <w:tr w:rsidR="00A448CA" w:rsidRPr="00AE0C4A" w14:paraId="0C7396E2" w14:textId="77777777" w:rsidTr="001173BD">
        <w:trPr>
          <w:trHeight w:hRule="exact" w:val="315"/>
          <w:jc w:val="center"/>
        </w:trPr>
        <w:tc>
          <w:tcPr>
            <w:tcW w:w="1731" w:type="pct"/>
            <w:shd w:val="clear" w:color="auto" w:fill="auto"/>
            <w:vAlign w:val="center"/>
            <w:hideMark/>
          </w:tcPr>
          <w:p w14:paraId="61148762" w14:textId="77777777" w:rsidR="00A448CA" w:rsidRPr="00AE0C4A" w:rsidRDefault="00A448CA" w:rsidP="001173BD">
            <w:pPr>
              <w:spacing w:after="0" w:line="240" w:lineRule="auto"/>
              <w:rPr>
                <w:rFonts w:ascii="Calibri" w:eastAsia="Times New Roman" w:hAnsi="Calibri"/>
                <w:b/>
                <w:bCs/>
                <w:color w:val="000000"/>
                <w:lang w:eastAsia="tr-TR"/>
              </w:rPr>
            </w:pPr>
            <w:r w:rsidRPr="00AE0C4A">
              <w:rPr>
                <w:rFonts w:ascii="Calibri" w:eastAsia="Times New Roman" w:hAnsi="Calibri"/>
                <w:b/>
                <w:bCs/>
                <w:color w:val="000000"/>
                <w:lang w:eastAsia="tr-TR"/>
              </w:rPr>
              <w:t>TOPLAM</w:t>
            </w:r>
          </w:p>
        </w:tc>
        <w:tc>
          <w:tcPr>
            <w:tcW w:w="1388" w:type="pct"/>
            <w:shd w:val="clear" w:color="auto" w:fill="auto"/>
            <w:noWrap/>
            <w:vAlign w:val="center"/>
            <w:hideMark/>
          </w:tcPr>
          <w:p w14:paraId="6B9A96FC" w14:textId="77777777" w:rsidR="00A448CA" w:rsidRPr="00AE0C4A" w:rsidRDefault="00A448CA" w:rsidP="001173BD">
            <w:pPr>
              <w:spacing w:after="0" w:line="240" w:lineRule="auto"/>
              <w:jc w:val="right"/>
              <w:rPr>
                <w:rFonts w:ascii="Calibri" w:eastAsia="Times New Roman" w:hAnsi="Calibri"/>
                <w:b/>
                <w:bCs/>
                <w:color w:val="000000"/>
                <w:lang w:eastAsia="tr-TR"/>
              </w:rPr>
            </w:pPr>
            <w:r>
              <w:rPr>
                <w:rFonts w:ascii="Calibri" w:eastAsia="Times New Roman" w:hAnsi="Calibri"/>
                <w:b/>
                <w:bCs/>
                <w:color w:val="000000"/>
                <w:lang w:eastAsia="tr-TR"/>
              </w:rPr>
              <w:t>70.435</w:t>
            </w:r>
          </w:p>
        </w:tc>
        <w:tc>
          <w:tcPr>
            <w:tcW w:w="1881" w:type="pct"/>
            <w:shd w:val="clear" w:color="auto" w:fill="auto"/>
            <w:vAlign w:val="center"/>
            <w:hideMark/>
          </w:tcPr>
          <w:p w14:paraId="249F4054" w14:textId="77777777" w:rsidR="00A448CA" w:rsidRPr="00AE0C4A" w:rsidRDefault="00A448CA" w:rsidP="001173BD">
            <w:pPr>
              <w:spacing w:after="0" w:line="240" w:lineRule="auto"/>
              <w:jc w:val="center"/>
              <w:rPr>
                <w:rFonts w:ascii="Calibri" w:eastAsia="Times New Roman" w:hAnsi="Calibri"/>
                <w:b/>
                <w:bCs/>
                <w:color w:val="000000"/>
                <w:lang w:eastAsia="tr-TR"/>
              </w:rPr>
            </w:pPr>
            <w:r w:rsidRPr="00AE0C4A">
              <w:rPr>
                <w:rFonts w:ascii="Calibri" w:eastAsia="Times New Roman" w:hAnsi="Calibri"/>
                <w:b/>
                <w:bCs/>
                <w:color w:val="000000"/>
                <w:lang w:eastAsia="tr-TR"/>
              </w:rPr>
              <w:t>100</w:t>
            </w:r>
          </w:p>
        </w:tc>
      </w:tr>
    </w:tbl>
    <w:p w14:paraId="497010B3" w14:textId="77777777" w:rsidR="00A448CA" w:rsidRPr="00AE0C4A" w:rsidRDefault="00A448CA" w:rsidP="00A448CA">
      <w:pPr>
        <w:spacing w:after="0" w:line="240" w:lineRule="auto"/>
        <w:rPr>
          <w:rFonts w:ascii="Calibri" w:eastAsia="Times New Roman" w:hAnsi="Calibri"/>
          <w:b/>
          <w:bCs/>
          <w:color w:val="000000"/>
          <w:lang w:eastAsia="tr-TR"/>
        </w:rPr>
      </w:pPr>
    </w:p>
    <w:p w14:paraId="6B3D907F" w14:textId="77777777" w:rsidR="00A448CA" w:rsidRPr="008102B6" w:rsidRDefault="00A448CA" w:rsidP="00A448CA">
      <w:pPr>
        <w:pStyle w:val="Balk5"/>
        <w:spacing w:after="240"/>
        <w:jc w:val="center"/>
        <w:rPr>
          <w:rStyle w:val="Gl"/>
          <w:bCs w:val="0"/>
          <w:color w:val="auto"/>
        </w:rPr>
      </w:pPr>
      <w:bookmarkStart w:id="344" w:name="_Toc94703940"/>
      <w:bookmarkStart w:id="345" w:name="_Toc158307049"/>
      <w:bookmarkStart w:id="346" w:name="_Toc195868851"/>
      <w:r w:rsidRPr="008102B6">
        <w:rPr>
          <w:rStyle w:val="Gl"/>
          <w:bCs w:val="0"/>
          <w:color w:val="auto"/>
        </w:rPr>
        <w:t>Tablo 8.3: 202</w:t>
      </w:r>
      <w:r>
        <w:rPr>
          <w:rStyle w:val="Gl"/>
          <w:bCs w:val="0"/>
          <w:color w:val="auto"/>
        </w:rPr>
        <w:t>4</w:t>
      </w:r>
      <w:r w:rsidRPr="008102B6">
        <w:rPr>
          <w:rStyle w:val="Gl"/>
          <w:bCs w:val="0"/>
          <w:color w:val="auto"/>
        </w:rPr>
        <w:t xml:space="preserve"> Yılında Kurumumuzun Taraf Olduğu Davaların Dağılımı</w:t>
      </w:r>
      <w:bookmarkEnd w:id="344"/>
      <w:bookmarkEnd w:id="345"/>
      <w:bookmarkEnd w:id="346"/>
    </w:p>
    <w:tbl>
      <w:tblPr>
        <w:tblW w:w="3169"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70" w:type="dxa"/>
          <w:right w:w="70" w:type="dxa"/>
        </w:tblCellMar>
        <w:tblLook w:val="04A0" w:firstRow="1" w:lastRow="0" w:firstColumn="1" w:lastColumn="0" w:noHBand="0" w:noVBand="1"/>
      </w:tblPr>
      <w:tblGrid>
        <w:gridCol w:w="2263"/>
        <w:gridCol w:w="1701"/>
        <w:gridCol w:w="2318"/>
      </w:tblGrid>
      <w:tr w:rsidR="00A448CA" w:rsidRPr="00AE0C4A" w14:paraId="0E20FC9F" w14:textId="77777777" w:rsidTr="001173BD">
        <w:trPr>
          <w:trHeight w:hRule="exact" w:val="615"/>
          <w:jc w:val="center"/>
        </w:trPr>
        <w:tc>
          <w:tcPr>
            <w:tcW w:w="1801" w:type="pct"/>
            <w:shd w:val="clear" w:color="000000" w:fill="6E9ECA"/>
            <w:vAlign w:val="center"/>
            <w:hideMark/>
          </w:tcPr>
          <w:p w14:paraId="33DD4070" w14:textId="77777777" w:rsidR="00A448CA" w:rsidRPr="00AE0C4A" w:rsidRDefault="00A448CA" w:rsidP="001173BD">
            <w:pPr>
              <w:spacing w:after="0" w:line="240" w:lineRule="auto"/>
              <w:jc w:val="center"/>
              <w:rPr>
                <w:rFonts w:ascii="Calibri" w:eastAsia="Times New Roman" w:hAnsi="Calibri"/>
                <w:b/>
                <w:bCs/>
                <w:color w:val="FFFFFF"/>
                <w:lang w:eastAsia="tr-TR"/>
              </w:rPr>
            </w:pPr>
            <w:r w:rsidRPr="00AE0C4A">
              <w:rPr>
                <w:rFonts w:ascii="Calibri" w:eastAsia="Times New Roman" w:hAnsi="Calibri"/>
                <w:b/>
                <w:bCs/>
                <w:color w:val="FFFFFF"/>
                <w:lang w:eastAsia="tr-TR"/>
              </w:rPr>
              <w:t>Dava Türü</w:t>
            </w:r>
          </w:p>
        </w:tc>
        <w:tc>
          <w:tcPr>
            <w:tcW w:w="1354" w:type="pct"/>
            <w:shd w:val="clear" w:color="000000" w:fill="6E9ECA"/>
            <w:vAlign w:val="center"/>
            <w:hideMark/>
          </w:tcPr>
          <w:p w14:paraId="49FDDC88" w14:textId="77777777" w:rsidR="00A448CA" w:rsidRPr="00AE0C4A" w:rsidRDefault="00A448CA" w:rsidP="001173BD">
            <w:pPr>
              <w:spacing w:after="0" w:line="240" w:lineRule="auto"/>
              <w:jc w:val="center"/>
              <w:rPr>
                <w:rFonts w:ascii="Calibri" w:eastAsia="Times New Roman" w:hAnsi="Calibri"/>
                <w:b/>
                <w:bCs/>
                <w:color w:val="FFFFFF"/>
                <w:lang w:eastAsia="tr-TR"/>
              </w:rPr>
            </w:pPr>
            <w:r w:rsidRPr="00AE0C4A">
              <w:rPr>
                <w:rFonts w:ascii="Calibri" w:eastAsia="Times New Roman" w:hAnsi="Calibri"/>
                <w:b/>
                <w:bCs/>
                <w:color w:val="FFFFFF"/>
                <w:lang w:eastAsia="tr-TR"/>
              </w:rPr>
              <w:t>Dava Sayısı</w:t>
            </w:r>
          </w:p>
        </w:tc>
        <w:tc>
          <w:tcPr>
            <w:tcW w:w="1845" w:type="pct"/>
            <w:shd w:val="clear" w:color="000000" w:fill="6E9ECA"/>
            <w:vAlign w:val="center"/>
            <w:hideMark/>
          </w:tcPr>
          <w:p w14:paraId="2B023110" w14:textId="77777777" w:rsidR="00A448CA" w:rsidRPr="00AE0C4A" w:rsidRDefault="00A448CA" w:rsidP="001173BD">
            <w:pPr>
              <w:spacing w:after="0" w:line="240" w:lineRule="auto"/>
              <w:jc w:val="center"/>
              <w:rPr>
                <w:rFonts w:ascii="Calibri" w:eastAsia="Times New Roman" w:hAnsi="Calibri"/>
                <w:b/>
                <w:bCs/>
                <w:color w:val="FFFFFF"/>
                <w:lang w:eastAsia="tr-TR"/>
              </w:rPr>
            </w:pPr>
            <w:r w:rsidRPr="00AE0C4A">
              <w:rPr>
                <w:rFonts w:ascii="Calibri" w:eastAsia="Times New Roman" w:hAnsi="Calibri"/>
                <w:b/>
                <w:bCs/>
                <w:color w:val="FFFFFF"/>
                <w:lang w:eastAsia="tr-TR"/>
              </w:rPr>
              <w:t>Oran (%)</w:t>
            </w:r>
          </w:p>
        </w:tc>
      </w:tr>
      <w:tr w:rsidR="00A448CA" w:rsidRPr="00AE0C4A" w14:paraId="7B52CB12" w14:textId="77777777" w:rsidTr="001173BD">
        <w:trPr>
          <w:trHeight w:hRule="exact" w:val="315"/>
          <w:jc w:val="center"/>
        </w:trPr>
        <w:tc>
          <w:tcPr>
            <w:tcW w:w="1801" w:type="pct"/>
            <w:shd w:val="clear" w:color="auto" w:fill="auto"/>
            <w:vAlign w:val="center"/>
            <w:hideMark/>
          </w:tcPr>
          <w:p w14:paraId="22881005" w14:textId="77777777" w:rsidR="00A448CA" w:rsidRPr="00AE0C4A" w:rsidRDefault="00A448CA" w:rsidP="001173BD">
            <w:pPr>
              <w:spacing w:after="0" w:line="240" w:lineRule="auto"/>
              <w:rPr>
                <w:rFonts w:ascii="Calibri" w:eastAsia="Times New Roman" w:hAnsi="Calibri"/>
                <w:color w:val="000000"/>
                <w:lang w:eastAsia="tr-TR"/>
              </w:rPr>
            </w:pPr>
            <w:r w:rsidRPr="00AE0C4A">
              <w:rPr>
                <w:rFonts w:ascii="Calibri" w:eastAsia="Times New Roman" w:hAnsi="Calibri"/>
                <w:color w:val="000000"/>
                <w:lang w:eastAsia="tr-TR"/>
              </w:rPr>
              <w:t>Ceza Davaları</w:t>
            </w:r>
          </w:p>
        </w:tc>
        <w:tc>
          <w:tcPr>
            <w:tcW w:w="1354" w:type="pct"/>
            <w:shd w:val="clear" w:color="auto" w:fill="auto"/>
            <w:noWrap/>
            <w:vAlign w:val="center"/>
            <w:hideMark/>
          </w:tcPr>
          <w:p w14:paraId="58DB4264" w14:textId="77777777" w:rsidR="00A448CA" w:rsidRPr="00AE0C4A" w:rsidRDefault="00A448CA" w:rsidP="001173BD">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448</w:t>
            </w:r>
          </w:p>
        </w:tc>
        <w:tc>
          <w:tcPr>
            <w:tcW w:w="1845" w:type="pct"/>
            <w:shd w:val="clear" w:color="auto" w:fill="auto"/>
            <w:noWrap/>
            <w:vAlign w:val="bottom"/>
            <w:hideMark/>
          </w:tcPr>
          <w:p w14:paraId="6E8EE778" w14:textId="77777777" w:rsidR="00A448CA" w:rsidRPr="00AE0C4A" w:rsidRDefault="00A448CA" w:rsidP="001173BD">
            <w:pPr>
              <w:spacing w:after="0" w:line="240" w:lineRule="auto"/>
              <w:jc w:val="center"/>
              <w:rPr>
                <w:rFonts w:ascii="Calibri" w:eastAsia="Times New Roman" w:hAnsi="Calibri"/>
                <w:color w:val="000000"/>
                <w:lang w:eastAsia="tr-TR"/>
              </w:rPr>
            </w:pPr>
            <w:r>
              <w:rPr>
                <w:rFonts w:ascii="Calibri" w:hAnsi="Calibri"/>
                <w:color w:val="000000"/>
              </w:rPr>
              <w:t>32,37</w:t>
            </w:r>
          </w:p>
        </w:tc>
      </w:tr>
      <w:tr w:rsidR="00A448CA" w:rsidRPr="00AE0C4A" w14:paraId="667A42CF" w14:textId="77777777" w:rsidTr="001173BD">
        <w:trPr>
          <w:trHeight w:hRule="exact" w:val="315"/>
          <w:jc w:val="center"/>
        </w:trPr>
        <w:tc>
          <w:tcPr>
            <w:tcW w:w="1801" w:type="pct"/>
            <w:shd w:val="clear" w:color="auto" w:fill="auto"/>
            <w:vAlign w:val="center"/>
            <w:hideMark/>
          </w:tcPr>
          <w:p w14:paraId="324561B5" w14:textId="77777777" w:rsidR="00A448CA" w:rsidRPr="00AE0C4A" w:rsidRDefault="00A448CA" w:rsidP="001173BD">
            <w:pPr>
              <w:spacing w:after="0" w:line="240" w:lineRule="auto"/>
              <w:rPr>
                <w:rFonts w:ascii="Calibri" w:eastAsia="Times New Roman" w:hAnsi="Calibri"/>
                <w:color w:val="000000"/>
                <w:lang w:eastAsia="tr-TR"/>
              </w:rPr>
            </w:pPr>
            <w:r w:rsidRPr="00AE0C4A">
              <w:rPr>
                <w:rFonts w:ascii="Calibri" w:eastAsia="Times New Roman" w:hAnsi="Calibri"/>
                <w:color w:val="000000"/>
                <w:lang w:eastAsia="tr-TR"/>
              </w:rPr>
              <w:t>İdari Davalar</w:t>
            </w:r>
          </w:p>
        </w:tc>
        <w:tc>
          <w:tcPr>
            <w:tcW w:w="1354" w:type="pct"/>
            <w:shd w:val="clear" w:color="auto" w:fill="auto"/>
            <w:noWrap/>
            <w:vAlign w:val="center"/>
            <w:hideMark/>
          </w:tcPr>
          <w:p w14:paraId="2AC23373" w14:textId="77777777" w:rsidR="00A448CA" w:rsidRPr="00AE0C4A" w:rsidRDefault="00A448CA" w:rsidP="001173BD">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711</w:t>
            </w:r>
          </w:p>
        </w:tc>
        <w:tc>
          <w:tcPr>
            <w:tcW w:w="1845" w:type="pct"/>
            <w:shd w:val="clear" w:color="auto" w:fill="auto"/>
            <w:noWrap/>
            <w:vAlign w:val="bottom"/>
            <w:hideMark/>
          </w:tcPr>
          <w:p w14:paraId="773C7C52" w14:textId="77777777" w:rsidR="00A448CA" w:rsidRPr="00AE0C4A" w:rsidRDefault="00A448CA" w:rsidP="001173BD">
            <w:pPr>
              <w:spacing w:after="0" w:line="240" w:lineRule="auto"/>
              <w:jc w:val="center"/>
              <w:rPr>
                <w:rFonts w:ascii="Calibri" w:eastAsia="Times New Roman" w:hAnsi="Calibri"/>
                <w:color w:val="000000"/>
                <w:lang w:eastAsia="tr-TR"/>
              </w:rPr>
            </w:pPr>
            <w:r>
              <w:rPr>
                <w:rFonts w:ascii="Calibri" w:hAnsi="Calibri"/>
                <w:color w:val="000000"/>
              </w:rPr>
              <w:t>51,37</w:t>
            </w:r>
          </w:p>
        </w:tc>
      </w:tr>
      <w:tr w:rsidR="00A448CA" w:rsidRPr="00AE0C4A" w14:paraId="7408669E" w14:textId="77777777" w:rsidTr="001173BD">
        <w:trPr>
          <w:trHeight w:hRule="exact" w:val="315"/>
          <w:jc w:val="center"/>
        </w:trPr>
        <w:tc>
          <w:tcPr>
            <w:tcW w:w="1801" w:type="pct"/>
            <w:shd w:val="clear" w:color="auto" w:fill="auto"/>
            <w:vAlign w:val="center"/>
            <w:hideMark/>
          </w:tcPr>
          <w:p w14:paraId="7B61E420" w14:textId="77777777" w:rsidR="00A448CA" w:rsidRPr="00AE0C4A" w:rsidRDefault="00A448CA" w:rsidP="001173BD">
            <w:pPr>
              <w:spacing w:after="0" w:line="240" w:lineRule="auto"/>
              <w:rPr>
                <w:rFonts w:ascii="Calibri" w:eastAsia="Times New Roman" w:hAnsi="Calibri"/>
                <w:color w:val="000000"/>
                <w:lang w:eastAsia="tr-TR"/>
              </w:rPr>
            </w:pPr>
            <w:r w:rsidRPr="00AE0C4A">
              <w:rPr>
                <w:rFonts w:ascii="Calibri" w:eastAsia="Times New Roman" w:hAnsi="Calibri"/>
                <w:color w:val="000000"/>
                <w:lang w:eastAsia="tr-TR"/>
              </w:rPr>
              <w:t>Hukuk Davaları</w:t>
            </w:r>
          </w:p>
        </w:tc>
        <w:tc>
          <w:tcPr>
            <w:tcW w:w="1354" w:type="pct"/>
            <w:shd w:val="clear" w:color="auto" w:fill="auto"/>
            <w:noWrap/>
            <w:vAlign w:val="center"/>
            <w:hideMark/>
          </w:tcPr>
          <w:p w14:paraId="75799329" w14:textId="77777777" w:rsidR="00A448CA" w:rsidRPr="00AE0C4A" w:rsidRDefault="00A448CA" w:rsidP="001173BD">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225</w:t>
            </w:r>
          </w:p>
        </w:tc>
        <w:tc>
          <w:tcPr>
            <w:tcW w:w="1845" w:type="pct"/>
            <w:shd w:val="clear" w:color="auto" w:fill="auto"/>
            <w:noWrap/>
            <w:vAlign w:val="bottom"/>
            <w:hideMark/>
          </w:tcPr>
          <w:p w14:paraId="540F8FB1" w14:textId="77777777" w:rsidR="00A448CA" w:rsidRPr="00AE0C4A" w:rsidRDefault="00A448CA" w:rsidP="001173BD">
            <w:pPr>
              <w:spacing w:after="0" w:line="240" w:lineRule="auto"/>
              <w:jc w:val="center"/>
              <w:rPr>
                <w:rFonts w:ascii="Calibri" w:eastAsia="Times New Roman" w:hAnsi="Calibri"/>
                <w:color w:val="000000"/>
                <w:lang w:eastAsia="tr-TR"/>
              </w:rPr>
            </w:pPr>
            <w:r>
              <w:rPr>
                <w:rFonts w:ascii="Calibri" w:hAnsi="Calibri"/>
                <w:color w:val="000000"/>
              </w:rPr>
              <w:t>16,26</w:t>
            </w:r>
          </w:p>
        </w:tc>
      </w:tr>
      <w:tr w:rsidR="00A448CA" w:rsidRPr="00AE0C4A" w14:paraId="22FB4646" w14:textId="77777777" w:rsidTr="001173BD">
        <w:trPr>
          <w:trHeight w:hRule="exact" w:val="315"/>
          <w:jc w:val="center"/>
        </w:trPr>
        <w:tc>
          <w:tcPr>
            <w:tcW w:w="1801" w:type="pct"/>
            <w:shd w:val="clear" w:color="auto" w:fill="auto"/>
            <w:vAlign w:val="center"/>
            <w:hideMark/>
          </w:tcPr>
          <w:p w14:paraId="0155BC21" w14:textId="77777777" w:rsidR="00A448CA" w:rsidRPr="00AE0C4A" w:rsidRDefault="00A448CA" w:rsidP="001173BD">
            <w:pPr>
              <w:spacing w:after="0" w:line="240" w:lineRule="auto"/>
              <w:rPr>
                <w:rFonts w:ascii="Calibri" w:eastAsia="Times New Roman" w:hAnsi="Calibri"/>
                <w:b/>
                <w:bCs/>
                <w:color w:val="000000"/>
                <w:lang w:eastAsia="tr-TR"/>
              </w:rPr>
            </w:pPr>
            <w:r w:rsidRPr="00AE0C4A">
              <w:rPr>
                <w:rFonts w:ascii="Calibri" w:eastAsia="Times New Roman" w:hAnsi="Calibri"/>
                <w:b/>
                <w:bCs/>
                <w:color w:val="000000"/>
                <w:lang w:eastAsia="tr-TR"/>
              </w:rPr>
              <w:t>TOPLAM</w:t>
            </w:r>
          </w:p>
        </w:tc>
        <w:tc>
          <w:tcPr>
            <w:tcW w:w="1354" w:type="pct"/>
            <w:shd w:val="clear" w:color="auto" w:fill="auto"/>
            <w:noWrap/>
            <w:vAlign w:val="center"/>
            <w:hideMark/>
          </w:tcPr>
          <w:p w14:paraId="511EF3DC" w14:textId="77777777" w:rsidR="00A448CA" w:rsidRPr="00AE0C4A" w:rsidRDefault="00A448CA" w:rsidP="001173BD">
            <w:pPr>
              <w:spacing w:after="0" w:line="240" w:lineRule="auto"/>
              <w:jc w:val="right"/>
              <w:rPr>
                <w:rFonts w:ascii="Calibri" w:eastAsia="Times New Roman" w:hAnsi="Calibri"/>
                <w:b/>
                <w:bCs/>
                <w:color w:val="000000"/>
                <w:lang w:eastAsia="tr-TR"/>
              </w:rPr>
            </w:pPr>
            <w:r>
              <w:rPr>
                <w:rFonts w:ascii="Calibri" w:eastAsia="Times New Roman" w:hAnsi="Calibri"/>
                <w:b/>
                <w:bCs/>
                <w:color w:val="000000"/>
                <w:lang w:eastAsia="tr-TR"/>
              </w:rPr>
              <w:t>1.384</w:t>
            </w:r>
          </w:p>
        </w:tc>
        <w:tc>
          <w:tcPr>
            <w:tcW w:w="1845" w:type="pct"/>
            <w:shd w:val="clear" w:color="auto" w:fill="auto"/>
            <w:vAlign w:val="center"/>
            <w:hideMark/>
          </w:tcPr>
          <w:p w14:paraId="2B7E2FC4" w14:textId="77777777" w:rsidR="00A448CA" w:rsidRPr="00AE0C4A" w:rsidRDefault="00A448CA" w:rsidP="001173BD">
            <w:pPr>
              <w:spacing w:after="0" w:line="240" w:lineRule="auto"/>
              <w:jc w:val="center"/>
              <w:rPr>
                <w:rFonts w:ascii="Calibri" w:eastAsia="Times New Roman" w:hAnsi="Calibri"/>
                <w:b/>
                <w:bCs/>
                <w:color w:val="000000"/>
                <w:lang w:eastAsia="tr-TR"/>
              </w:rPr>
            </w:pPr>
            <w:r w:rsidRPr="00AE0C4A">
              <w:rPr>
                <w:rFonts w:ascii="Calibri" w:eastAsia="Times New Roman" w:hAnsi="Calibri"/>
                <w:b/>
                <w:bCs/>
                <w:color w:val="000000"/>
                <w:lang w:eastAsia="tr-TR"/>
              </w:rPr>
              <w:t>100</w:t>
            </w:r>
          </w:p>
        </w:tc>
      </w:tr>
    </w:tbl>
    <w:p w14:paraId="1CC3BDA1" w14:textId="77777777" w:rsidR="00A448CA" w:rsidRDefault="00A448CA" w:rsidP="00A448CA">
      <w:pPr>
        <w:autoSpaceDE w:val="0"/>
        <w:autoSpaceDN w:val="0"/>
        <w:adjustRightInd w:val="0"/>
        <w:spacing w:after="0"/>
        <w:rPr>
          <w:bCs/>
          <w:color w:val="000000" w:themeColor="text1"/>
        </w:rPr>
      </w:pPr>
    </w:p>
    <w:p w14:paraId="1C4E86EF" w14:textId="77777777" w:rsidR="00A448CA" w:rsidRDefault="00A448CA" w:rsidP="00A448CA">
      <w:pPr>
        <w:autoSpaceDE w:val="0"/>
        <w:autoSpaceDN w:val="0"/>
        <w:adjustRightInd w:val="0"/>
        <w:spacing w:after="0"/>
        <w:rPr>
          <w:bCs/>
          <w:color w:val="000000" w:themeColor="text1"/>
        </w:rPr>
      </w:pPr>
      <w:r w:rsidRPr="00E9291A">
        <w:rPr>
          <w:bCs/>
          <w:color w:val="000000" w:themeColor="text1"/>
        </w:rPr>
        <w:t>Tablolardan anlaşılacağı üzere Kurum</w:t>
      </w:r>
      <w:r>
        <w:rPr>
          <w:bCs/>
          <w:color w:val="000000" w:themeColor="text1"/>
        </w:rPr>
        <w:t>u</w:t>
      </w:r>
      <w:r w:rsidRPr="00E9291A">
        <w:rPr>
          <w:bCs/>
          <w:color w:val="000000" w:themeColor="text1"/>
        </w:rPr>
        <w:t xml:space="preserve">n taraf olduğu davaların büyük kısmı, petrol piyasası ile ilgilidir. </w:t>
      </w:r>
      <w:r>
        <w:rPr>
          <w:bCs/>
          <w:color w:val="000000" w:themeColor="text1"/>
        </w:rPr>
        <w:t>Bu durumun petrol piyasasında, lisanslı aktör sayısının fazla olmasından kaynaklandığı değerlendirilmektedir.</w:t>
      </w:r>
    </w:p>
    <w:p w14:paraId="0B9B3035" w14:textId="77777777" w:rsidR="00A448CA" w:rsidRDefault="00A448CA" w:rsidP="00A448CA">
      <w:pPr>
        <w:autoSpaceDE w:val="0"/>
        <w:autoSpaceDN w:val="0"/>
        <w:adjustRightInd w:val="0"/>
        <w:spacing w:after="0"/>
        <w:rPr>
          <w:bCs/>
          <w:color w:val="000000" w:themeColor="text1"/>
        </w:rPr>
      </w:pPr>
    </w:p>
    <w:p w14:paraId="5B950944" w14:textId="77777777" w:rsidR="00A448CA" w:rsidRDefault="00A448CA" w:rsidP="00A448CA">
      <w:pPr>
        <w:autoSpaceDE w:val="0"/>
        <w:autoSpaceDN w:val="0"/>
        <w:adjustRightInd w:val="0"/>
        <w:spacing w:after="0"/>
        <w:rPr>
          <w:bCs/>
          <w:color w:val="000000" w:themeColor="text1"/>
        </w:rPr>
      </w:pPr>
    </w:p>
    <w:p w14:paraId="7F914F64" w14:textId="77777777" w:rsidR="00A448CA" w:rsidRDefault="00A448CA" w:rsidP="00A448CA">
      <w:pPr>
        <w:autoSpaceDE w:val="0"/>
        <w:autoSpaceDN w:val="0"/>
        <w:adjustRightInd w:val="0"/>
        <w:spacing w:after="0"/>
        <w:rPr>
          <w:bCs/>
          <w:color w:val="000000" w:themeColor="text1"/>
        </w:rPr>
      </w:pPr>
    </w:p>
    <w:p w14:paraId="049F996E" w14:textId="77777777" w:rsidR="00A448CA" w:rsidRDefault="00A448CA" w:rsidP="00A448CA">
      <w:pPr>
        <w:autoSpaceDE w:val="0"/>
        <w:autoSpaceDN w:val="0"/>
        <w:adjustRightInd w:val="0"/>
        <w:spacing w:after="0"/>
        <w:rPr>
          <w:bCs/>
          <w:color w:val="000000" w:themeColor="text1"/>
        </w:rPr>
      </w:pPr>
    </w:p>
    <w:p w14:paraId="79CDCC3A" w14:textId="77777777" w:rsidR="00A448CA" w:rsidRDefault="00A448CA" w:rsidP="00A448CA">
      <w:pPr>
        <w:pStyle w:val="Balk5"/>
        <w:jc w:val="center"/>
        <w:rPr>
          <w:rStyle w:val="Gl"/>
          <w:color w:val="auto"/>
        </w:rPr>
      </w:pPr>
      <w:bookmarkStart w:id="347" w:name="_Toc158307050"/>
      <w:bookmarkStart w:id="348" w:name="_Toc195868852"/>
      <w:r w:rsidRPr="00691065">
        <w:rPr>
          <w:rStyle w:val="Gl"/>
          <w:color w:val="auto"/>
        </w:rPr>
        <w:lastRenderedPageBreak/>
        <w:t>Şekil 8.1</w:t>
      </w:r>
      <w:r w:rsidRPr="00633961">
        <w:rPr>
          <w:rStyle w:val="Gl"/>
          <w:color w:val="auto"/>
        </w:rPr>
        <w:t>: Yıllar İtibar</w:t>
      </w:r>
      <w:r>
        <w:rPr>
          <w:rStyle w:val="Gl"/>
          <w:color w:val="auto"/>
        </w:rPr>
        <w:t>ı</w:t>
      </w:r>
      <w:r w:rsidRPr="00633961">
        <w:rPr>
          <w:rStyle w:val="Gl"/>
          <w:color w:val="auto"/>
        </w:rPr>
        <w:t>yl</w:t>
      </w:r>
      <w:r>
        <w:rPr>
          <w:rStyle w:val="Gl"/>
          <w:color w:val="auto"/>
        </w:rPr>
        <w:t>a</w:t>
      </w:r>
      <w:r w:rsidRPr="00633961">
        <w:rPr>
          <w:rStyle w:val="Gl"/>
          <w:color w:val="auto"/>
        </w:rPr>
        <w:t xml:space="preserve"> Kurum</w:t>
      </w:r>
      <w:r>
        <w:rPr>
          <w:rStyle w:val="Gl"/>
          <w:color w:val="auto"/>
        </w:rPr>
        <w:t xml:space="preserve">a </w:t>
      </w:r>
      <w:r w:rsidRPr="00633961">
        <w:rPr>
          <w:rStyle w:val="Gl"/>
          <w:color w:val="auto"/>
        </w:rPr>
        <w:t>Açılan Davaların Piyasa Bazında Dağılımı</w:t>
      </w:r>
      <w:bookmarkEnd w:id="347"/>
      <w:bookmarkEnd w:id="348"/>
    </w:p>
    <w:p w14:paraId="6720C0E8" w14:textId="77777777" w:rsidR="00A448CA" w:rsidRPr="00A448CA" w:rsidRDefault="00A448CA" w:rsidP="00A448CA">
      <w:pPr>
        <w:spacing w:after="0" w:line="240" w:lineRule="auto"/>
        <w:rPr>
          <w:color w:val="000000" w:themeColor="text1"/>
        </w:rPr>
      </w:pPr>
      <w:r w:rsidRPr="00A448CA">
        <w:rPr>
          <w:rFonts w:ascii="Calibri" w:hAnsi="Calibri"/>
          <w:noProof/>
          <w:color w:val="000000"/>
          <w:lang w:eastAsia="tr-TR"/>
        </w:rPr>
        <w:drawing>
          <wp:inline distT="0" distB="0" distL="0" distR="0" wp14:anchorId="78CEB5E3" wp14:editId="2D24C0B9">
            <wp:extent cx="6158865" cy="3335731"/>
            <wp:effectExtent l="0" t="0" r="13335" b="17145"/>
            <wp:docPr id="6" name="Grafik 6"/>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6E957D96" w14:textId="77777777" w:rsidR="00A448CA" w:rsidRDefault="00A448CA" w:rsidP="00A448CA">
      <w:pPr>
        <w:spacing w:after="0" w:line="240" w:lineRule="auto"/>
        <w:rPr>
          <w:color w:val="000000" w:themeColor="text1"/>
        </w:rPr>
      </w:pPr>
    </w:p>
    <w:p w14:paraId="77FFE69D" w14:textId="77777777" w:rsidR="00A448CA" w:rsidRPr="00AE0C4A" w:rsidRDefault="00A448CA" w:rsidP="00A448CA">
      <w:pPr>
        <w:spacing w:after="0" w:line="240" w:lineRule="auto"/>
        <w:rPr>
          <w:rFonts w:ascii="Calibri" w:hAnsi="Calibri"/>
          <w:color w:val="000000"/>
        </w:rPr>
      </w:pPr>
      <w:r w:rsidRPr="00A20F85">
        <w:rPr>
          <w:rFonts w:ascii="Calibri" w:hAnsi="Calibri"/>
          <w:color w:val="000000"/>
        </w:rPr>
        <w:t>202</w:t>
      </w:r>
      <w:r>
        <w:rPr>
          <w:rFonts w:ascii="Calibri" w:hAnsi="Calibri"/>
          <w:color w:val="000000"/>
        </w:rPr>
        <w:t>4</w:t>
      </w:r>
      <w:r w:rsidRPr="00A20F85">
        <w:rPr>
          <w:rFonts w:ascii="Calibri" w:hAnsi="Calibri"/>
          <w:color w:val="000000"/>
        </w:rPr>
        <w:t xml:space="preserve"> yılında;</w:t>
      </w:r>
    </w:p>
    <w:p w14:paraId="2F3F1072" w14:textId="77777777" w:rsidR="00A448CA" w:rsidRPr="00AE0C4A" w:rsidRDefault="00A448CA" w:rsidP="00A448CA">
      <w:pPr>
        <w:spacing w:after="0" w:line="240" w:lineRule="auto"/>
        <w:rPr>
          <w:rFonts w:ascii="Calibri" w:hAnsi="Calibri"/>
          <w:color w:val="000000"/>
        </w:rPr>
      </w:pPr>
    </w:p>
    <w:p w14:paraId="21669F30" w14:textId="77777777" w:rsidR="00A448CA" w:rsidRPr="00AE0C4A" w:rsidRDefault="00A448CA" w:rsidP="00A448CA">
      <w:pPr>
        <w:numPr>
          <w:ilvl w:val="0"/>
          <w:numId w:val="3"/>
        </w:numPr>
        <w:spacing w:after="0" w:line="240" w:lineRule="auto"/>
        <w:contextualSpacing/>
        <w:rPr>
          <w:rFonts w:ascii="Calibri" w:hAnsi="Calibri"/>
          <w:color w:val="000000"/>
        </w:rPr>
      </w:pPr>
      <w:r w:rsidRPr="00AE0C4A">
        <w:rPr>
          <w:rFonts w:ascii="Calibri" w:hAnsi="Calibri"/>
          <w:color w:val="000000"/>
        </w:rPr>
        <w:t xml:space="preserve">Kurumumuz tarafından </w:t>
      </w:r>
      <w:r>
        <w:rPr>
          <w:rFonts w:ascii="Calibri" w:hAnsi="Calibri"/>
          <w:color w:val="000000"/>
        </w:rPr>
        <w:t>1.384</w:t>
      </w:r>
      <w:r w:rsidRPr="00AE0C4A">
        <w:rPr>
          <w:rFonts w:ascii="Calibri" w:hAnsi="Calibri"/>
          <w:color w:val="000000"/>
        </w:rPr>
        <w:t xml:space="preserve"> adet davaya taraf olunmuştur. </w:t>
      </w:r>
    </w:p>
    <w:p w14:paraId="78F5A9A2" w14:textId="77777777" w:rsidR="00A448CA" w:rsidRPr="00AE0C4A" w:rsidRDefault="00A448CA" w:rsidP="00A448CA">
      <w:pPr>
        <w:autoSpaceDE w:val="0"/>
        <w:autoSpaceDN w:val="0"/>
        <w:adjustRightInd w:val="0"/>
        <w:spacing w:after="0" w:line="240" w:lineRule="auto"/>
        <w:rPr>
          <w:rFonts w:ascii="Calibri" w:hAnsi="Calibri"/>
          <w:bCs/>
          <w:color w:val="000000"/>
          <w:highlight w:val="yellow"/>
        </w:rPr>
      </w:pPr>
    </w:p>
    <w:p w14:paraId="0379AAB6" w14:textId="77777777" w:rsidR="00A448CA" w:rsidRPr="00AE0C4A" w:rsidRDefault="00A448CA" w:rsidP="00A448CA">
      <w:pPr>
        <w:numPr>
          <w:ilvl w:val="0"/>
          <w:numId w:val="3"/>
        </w:numPr>
        <w:spacing w:after="0" w:line="240" w:lineRule="auto"/>
        <w:contextualSpacing/>
        <w:rPr>
          <w:rFonts w:ascii="Calibri" w:hAnsi="Calibri"/>
          <w:color w:val="000000"/>
        </w:rPr>
      </w:pPr>
      <w:r w:rsidRPr="00AE0C4A">
        <w:rPr>
          <w:rFonts w:ascii="Calibri" w:hAnsi="Calibri"/>
          <w:color w:val="000000"/>
        </w:rPr>
        <w:t xml:space="preserve">Kurumumuzun taraf olduğu </w:t>
      </w:r>
      <w:r>
        <w:rPr>
          <w:rFonts w:ascii="Calibri" w:hAnsi="Calibri"/>
          <w:color w:val="000000"/>
        </w:rPr>
        <w:t>1.384</w:t>
      </w:r>
      <w:r w:rsidRPr="00AE0C4A">
        <w:rPr>
          <w:rFonts w:ascii="Calibri" w:hAnsi="Calibri"/>
          <w:color w:val="000000"/>
        </w:rPr>
        <w:t xml:space="preserve"> adet davadan; </w:t>
      </w:r>
      <w:r>
        <w:rPr>
          <w:rFonts w:ascii="Calibri" w:hAnsi="Calibri"/>
          <w:color w:val="000000"/>
        </w:rPr>
        <w:t>448</w:t>
      </w:r>
      <w:r w:rsidRPr="00AE0C4A">
        <w:rPr>
          <w:rFonts w:ascii="Calibri" w:hAnsi="Calibri"/>
          <w:color w:val="000000"/>
        </w:rPr>
        <w:t xml:space="preserve"> adedi ceza davası, </w:t>
      </w:r>
      <w:r>
        <w:rPr>
          <w:rFonts w:ascii="Calibri" w:hAnsi="Calibri"/>
          <w:color w:val="000000"/>
        </w:rPr>
        <w:t>711</w:t>
      </w:r>
      <w:r w:rsidRPr="00AE0C4A">
        <w:rPr>
          <w:rFonts w:ascii="Calibri" w:hAnsi="Calibri"/>
          <w:color w:val="000000"/>
        </w:rPr>
        <w:t xml:space="preserve"> adedi idari dava, </w:t>
      </w:r>
      <w:r>
        <w:rPr>
          <w:rFonts w:ascii="Calibri" w:hAnsi="Calibri"/>
          <w:color w:val="000000"/>
        </w:rPr>
        <w:t>225</w:t>
      </w:r>
      <w:r w:rsidRPr="00AE0C4A">
        <w:rPr>
          <w:rFonts w:ascii="Calibri" w:hAnsi="Calibri"/>
          <w:color w:val="000000"/>
        </w:rPr>
        <w:t xml:space="preserve"> adedi hukuk davasıdır. </w:t>
      </w:r>
    </w:p>
    <w:p w14:paraId="6D96A928" w14:textId="77777777" w:rsidR="00A448CA" w:rsidRPr="00AE0C4A" w:rsidRDefault="00A448CA" w:rsidP="00A448CA">
      <w:pPr>
        <w:spacing w:after="0" w:line="240" w:lineRule="auto"/>
        <w:rPr>
          <w:rFonts w:ascii="Calibri" w:hAnsi="Calibri"/>
          <w:color w:val="000000"/>
          <w:highlight w:val="yellow"/>
        </w:rPr>
      </w:pPr>
    </w:p>
    <w:p w14:paraId="47E467B4" w14:textId="77777777" w:rsidR="00A448CA" w:rsidRDefault="00A448CA" w:rsidP="00A448CA">
      <w:pPr>
        <w:numPr>
          <w:ilvl w:val="0"/>
          <w:numId w:val="3"/>
        </w:numPr>
        <w:spacing w:after="0" w:line="240" w:lineRule="auto"/>
        <w:contextualSpacing/>
        <w:rPr>
          <w:rFonts w:ascii="Calibri" w:hAnsi="Calibri"/>
          <w:color w:val="000000"/>
        </w:rPr>
      </w:pPr>
      <w:r>
        <w:rPr>
          <w:rFonts w:ascii="Calibri" w:hAnsi="Calibri"/>
          <w:color w:val="000000"/>
        </w:rPr>
        <w:t>2.704</w:t>
      </w:r>
      <w:r w:rsidRPr="00AE0C4A">
        <w:rPr>
          <w:rFonts w:ascii="Calibri" w:hAnsi="Calibri"/>
          <w:color w:val="000000"/>
        </w:rPr>
        <w:t xml:space="preserve"> adet dava dışı dosyanın (takipsizlik, haciz ihbarnamesi, görevsizlik vs.) takibi yapılmıştır. </w:t>
      </w:r>
    </w:p>
    <w:p w14:paraId="206B4E1E" w14:textId="77777777" w:rsidR="00A448CA" w:rsidRDefault="00A448CA" w:rsidP="00A448CA">
      <w:pPr>
        <w:spacing w:after="0" w:line="240" w:lineRule="auto"/>
        <w:ind w:left="720"/>
        <w:contextualSpacing/>
        <w:rPr>
          <w:rFonts w:ascii="Calibri" w:hAnsi="Calibri"/>
          <w:color w:val="000000"/>
        </w:rPr>
      </w:pPr>
    </w:p>
    <w:p w14:paraId="4FA093B0" w14:textId="77777777" w:rsidR="00A448CA" w:rsidRPr="008102B6" w:rsidRDefault="00A448CA" w:rsidP="00A448CA">
      <w:pPr>
        <w:pStyle w:val="Balk5"/>
        <w:spacing w:after="240"/>
        <w:jc w:val="center"/>
        <w:rPr>
          <w:rStyle w:val="Gl"/>
          <w:color w:val="auto"/>
        </w:rPr>
      </w:pPr>
      <w:bookmarkStart w:id="349" w:name="_Toc158307051"/>
      <w:bookmarkStart w:id="350" w:name="_Toc195868853"/>
      <w:r w:rsidRPr="008102B6">
        <w:rPr>
          <w:rStyle w:val="Gl"/>
          <w:color w:val="auto"/>
        </w:rPr>
        <w:t>Tablo 8.4: 202</w:t>
      </w:r>
      <w:r>
        <w:rPr>
          <w:rStyle w:val="Gl"/>
          <w:color w:val="auto"/>
        </w:rPr>
        <w:t>4</w:t>
      </w:r>
      <w:r w:rsidRPr="008102B6">
        <w:rPr>
          <w:rStyle w:val="Gl"/>
          <w:color w:val="auto"/>
        </w:rPr>
        <w:t xml:space="preserve"> Yılında Takip Edilen Dava Dışı Dosyaların Dağılımı</w:t>
      </w:r>
      <w:bookmarkEnd w:id="349"/>
      <w:bookmarkEnd w:id="350"/>
    </w:p>
    <w:tbl>
      <w:tblPr>
        <w:tblW w:w="4480" w:type="dxa"/>
        <w:tblInd w:w="2761" w:type="dxa"/>
        <w:tblCellMar>
          <w:left w:w="70" w:type="dxa"/>
          <w:right w:w="70" w:type="dxa"/>
        </w:tblCellMar>
        <w:tblLook w:val="04A0" w:firstRow="1" w:lastRow="0" w:firstColumn="1" w:lastColumn="0" w:noHBand="0" w:noVBand="1"/>
      </w:tblPr>
      <w:tblGrid>
        <w:gridCol w:w="3520"/>
        <w:gridCol w:w="960"/>
      </w:tblGrid>
      <w:tr w:rsidR="00A448CA" w:rsidRPr="009A48BF" w14:paraId="27FE3418" w14:textId="77777777" w:rsidTr="001173BD">
        <w:trPr>
          <w:trHeight w:val="300"/>
        </w:trPr>
        <w:tc>
          <w:tcPr>
            <w:tcW w:w="3520" w:type="dxa"/>
            <w:tcBorders>
              <w:top w:val="single" w:sz="4" w:space="0" w:color="auto"/>
              <w:left w:val="single" w:sz="4" w:space="0" w:color="auto"/>
              <w:bottom w:val="single" w:sz="4" w:space="0" w:color="auto"/>
              <w:right w:val="single" w:sz="4" w:space="0" w:color="auto"/>
            </w:tcBorders>
            <w:shd w:val="clear" w:color="auto" w:fill="6E9ECA"/>
            <w:noWrap/>
            <w:vAlign w:val="center"/>
          </w:tcPr>
          <w:p w14:paraId="5E4EA904" w14:textId="77777777" w:rsidR="00A448CA" w:rsidRPr="009A48BF" w:rsidRDefault="00A448CA" w:rsidP="001173BD">
            <w:pPr>
              <w:spacing w:after="0" w:line="240" w:lineRule="auto"/>
              <w:rPr>
                <w:rFonts w:ascii="Calibri" w:eastAsia="Times New Roman" w:hAnsi="Calibri" w:cs="Calibri"/>
                <w:color w:val="FFFFFF" w:themeColor="background1"/>
                <w:lang w:eastAsia="tr-TR"/>
              </w:rPr>
            </w:pPr>
            <w:r w:rsidRPr="009A48BF">
              <w:rPr>
                <w:rFonts w:ascii="Calibri" w:eastAsia="Times New Roman" w:hAnsi="Calibri"/>
                <w:b/>
                <w:bCs/>
                <w:color w:val="FFFFFF" w:themeColor="background1"/>
                <w:lang w:eastAsia="tr-TR"/>
              </w:rPr>
              <w:t>Dosya Türü</w:t>
            </w:r>
          </w:p>
        </w:tc>
        <w:tc>
          <w:tcPr>
            <w:tcW w:w="960" w:type="dxa"/>
            <w:tcBorders>
              <w:top w:val="single" w:sz="4" w:space="0" w:color="auto"/>
              <w:left w:val="nil"/>
              <w:bottom w:val="single" w:sz="4" w:space="0" w:color="auto"/>
              <w:right w:val="single" w:sz="4" w:space="0" w:color="auto"/>
            </w:tcBorders>
            <w:shd w:val="clear" w:color="auto" w:fill="6E9ECA"/>
            <w:noWrap/>
            <w:vAlign w:val="center"/>
          </w:tcPr>
          <w:p w14:paraId="0AB6F5BE" w14:textId="77777777" w:rsidR="00A448CA" w:rsidRPr="009A48BF" w:rsidRDefault="00A448CA" w:rsidP="001173BD">
            <w:pPr>
              <w:spacing w:after="0" w:line="240" w:lineRule="auto"/>
              <w:rPr>
                <w:rFonts w:ascii="Calibri" w:eastAsia="Times New Roman" w:hAnsi="Calibri" w:cs="Calibri"/>
                <w:color w:val="FFFFFF" w:themeColor="background1"/>
                <w:lang w:eastAsia="tr-TR"/>
              </w:rPr>
            </w:pPr>
            <w:r w:rsidRPr="009A48BF">
              <w:rPr>
                <w:rFonts w:ascii="Calibri" w:eastAsia="Times New Roman" w:hAnsi="Calibri"/>
                <w:b/>
                <w:bCs/>
                <w:color w:val="FFFFFF" w:themeColor="background1"/>
                <w:lang w:eastAsia="tr-TR"/>
              </w:rPr>
              <w:t>Sayısı</w:t>
            </w:r>
          </w:p>
        </w:tc>
      </w:tr>
      <w:tr w:rsidR="00A448CA" w:rsidRPr="005A17C9" w14:paraId="546BB0F1" w14:textId="77777777" w:rsidTr="001173BD">
        <w:trPr>
          <w:trHeight w:val="300"/>
        </w:trPr>
        <w:tc>
          <w:tcPr>
            <w:tcW w:w="3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214DCA" w14:textId="77777777" w:rsidR="00A448CA" w:rsidRPr="005A17C9" w:rsidRDefault="00A448CA" w:rsidP="001173BD">
            <w:pPr>
              <w:spacing w:after="0" w:line="240" w:lineRule="auto"/>
              <w:rPr>
                <w:rFonts w:ascii="Calibri" w:eastAsia="Times New Roman" w:hAnsi="Calibri" w:cs="Calibri"/>
                <w:color w:val="000000"/>
                <w:lang w:eastAsia="tr-TR"/>
              </w:rPr>
            </w:pPr>
            <w:r w:rsidRPr="005A17C9">
              <w:rPr>
                <w:rFonts w:ascii="Calibri" w:eastAsia="Times New Roman" w:hAnsi="Calibri" w:cs="Calibri"/>
                <w:color w:val="000000"/>
                <w:lang w:eastAsia="tr-TR"/>
              </w:rPr>
              <w:t>Eğitim Dosya</w:t>
            </w:r>
            <w:r>
              <w:rPr>
                <w:rFonts w:ascii="Calibri" w:eastAsia="Times New Roman" w:hAnsi="Calibri" w:cs="Calibri"/>
                <w:color w:val="000000"/>
                <w:lang w:eastAsia="tr-TR"/>
              </w:rPr>
              <w:t>ları</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EB22CC1" w14:textId="77777777" w:rsidR="00A448CA" w:rsidRPr="005A17C9" w:rsidRDefault="00A448CA" w:rsidP="001173BD">
            <w:pPr>
              <w:spacing w:after="0" w:line="240" w:lineRule="auto"/>
              <w:jc w:val="right"/>
              <w:rPr>
                <w:rFonts w:ascii="Calibri" w:eastAsia="Times New Roman" w:hAnsi="Calibri" w:cs="Calibri"/>
                <w:color w:val="000000"/>
                <w:lang w:eastAsia="tr-TR"/>
              </w:rPr>
            </w:pPr>
            <w:r>
              <w:rPr>
                <w:rFonts w:ascii="Calibri" w:hAnsi="Calibri"/>
                <w:color w:val="000000"/>
              </w:rPr>
              <w:t>14</w:t>
            </w:r>
          </w:p>
        </w:tc>
      </w:tr>
      <w:tr w:rsidR="00A448CA" w:rsidRPr="005A17C9" w14:paraId="0B3F8757" w14:textId="77777777" w:rsidTr="001173BD">
        <w:trPr>
          <w:trHeight w:val="300"/>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14:paraId="426FFCAB" w14:textId="77777777" w:rsidR="00A448CA" w:rsidRPr="005A17C9" w:rsidRDefault="00A448CA" w:rsidP="001173BD">
            <w:pPr>
              <w:spacing w:after="0" w:line="240" w:lineRule="auto"/>
              <w:rPr>
                <w:rFonts w:ascii="Calibri" w:eastAsia="Times New Roman" w:hAnsi="Calibri" w:cs="Calibri"/>
                <w:color w:val="000000"/>
                <w:lang w:eastAsia="tr-TR"/>
              </w:rPr>
            </w:pPr>
            <w:r w:rsidRPr="005A17C9">
              <w:rPr>
                <w:rFonts w:ascii="Calibri" w:eastAsia="Times New Roman" w:hAnsi="Calibri" w:cs="Calibri"/>
                <w:color w:val="000000"/>
                <w:lang w:eastAsia="tr-TR"/>
              </w:rPr>
              <w:t>Görüş Dosya</w:t>
            </w:r>
            <w:r>
              <w:rPr>
                <w:rFonts w:ascii="Calibri" w:eastAsia="Times New Roman" w:hAnsi="Calibri" w:cs="Calibri"/>
                <w:color w:val="000000"/>
                <w:lang w:eastAsia="tr-TR"/>
              </w:rPr>
              <w:t>ları</w:t>
            </w:r>
          </w:p>
        </w:tc>
        <w:tc>
          <w:tcPr>
            <w:tcW w:w="960" w:type="dxa"/>
            <w:tcBorders>
              <w:top w:val="nil"/>
              <w:left w:val="nil"/>
              <w:bottom w:val="single" w:sz="4" w:space="0" w:color="auto"/>
              <w:right w:val="single" w:sz="4" w:space="0" w:color="auto"/>
            </w:tcBorders>
            <w:shd w:val="clear" w:color="auto" w:fill="auto"/>
            <w:noWrap/>
            <w:vAlign w:val="bottom"/>
            <w:hideMark/>
          </w:tcPr>
          <w:p w14:paraId="5D3D1445" w14:textId="77777777" w:rsidR="00A448CA" w:rsidRPr="005A17C9" w:rsidRDefault="00A448CA" w:rsidP="001173BD">
            <w:pPr>
              <w:spacing w:after="0" w:line="240" w:lineRule="auto"/>
              <w:jc w:val="right"/>
              <w:rPr>
                <w:rFonts w:ascii="Calibri" w:eastAsia="Times New Roman" w:hAnsi="Calibri" w:cs="Calibri"/>
                <w:color w:val="000000"/>
                <w:lang w:eastAsia="tr-TR"/>
              </w:rPr>
            </w:pPr>
            <w:r>
              <w:rPr>
                <w:rFonts w:ascii="Calibri" w:hAnsi="Calibri"/>
                <w:color w:val="000000"/>
              </w:rPr>
              <w:t>130</w:t>
            </w:r>
          </w:p>
        </w:tc>
      </w:tr>
      <w:tr w:rsidR="00A448CA" w:rsidRPr="005A17C9" w14:paraId="084CD604" w14:textId="77777777" w:rsidTr="001173BD">
        <w:trPr>
          <w:trHeight w:val="300"/>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14:paraId="1F37DA24" w14:textId="77777777" w:rsidR="00A448CA" w:rsidRPr="005A17C9" w:rsidRDefault="00A448CA" w:rsidP="001173BD">
            <w:pPr>
              <w:spacing w:after="0" w:line="240" w:lineRule="auto"/>
              <w:rPr>
                <w:rFonts w:ascii="Calibri" w:eastAsia="Times New Roman" w:hAnsi="Calibri" w:cs="Calibri"/>
                <w:color w:val="000000"/>
                <w:lang w:eastAsia="tr-TR"/>
              </w:rPr>
            </w:pPr>
            <w:r w:rsidRPr="005A17C9">
              <w:rPr>
                <w:rFonts w:ascii="Calibri" w:eastAsia="Times New Roman" w:hAnsi="Calibri" w:cs="Calibri"/>
                <w:color w:val="000000"/>
                <w:lang w:eastAsia="tr-TR"/>
              </w:rPr>
              <w:t>Değişik İş Dosya</w:t>
            </w:r>
            <w:r>
              <w:rPr>
                <w:rFonts w:ascii="Calibri" w:eastAsia="Times New Roman" w:hAnsi="Calibri" w:cs="Calibri"/>
                <w:color w:val="000000"/>
                <w:lang w:eastAsia="tr-TR"/>
              </w:rPr>
              <w:t>ları</w:t>
            </w:r>
          </w:p>
        </w:tc>
        <w:tc>
          <w:tcPr>
            <w:tcW w:w="960" w:type="dxa"/>
            <w:tcBorders>
              <w:top w:val="nil"/>
              <w:left w:val="nil"/>
              <w:bottom w:val="single" w:sz="4" w:space="0" w:color="auto"/>
              <w:right w:val="single" w:sz="4" w:space="0" w:color="auto"/>
            </w:tcBorders>
            <w:shd w:val="clear" w:color="auto" w:fill="auto"/>
            <w:noWrap/>
            <w:vAlign w:val="bottom"/>
            <w:hideMark/>
          </w:tcPr>
          <w:p w14:paraId="3CB86022" w14:textId="77777777" w:rsidR="00A448CA" w:rsidRPr="005A17C9" w:rsidRDefault="00A448CA" w:rsidP="001173BD">
            <w:pPr>
              <w:spacing w:after="0" w:line="240" w:lineRule="auto"/>
              <w:jc w:val="right"/>
              <w:rPr>
                <w:rFonts w:ascii="Calibri" w:eastAsia="Times New Roman" w:hAnsi="Calibri" w:cs="Calibri"/>
                <w:color w:val="000000"/>
                <w:lang w:eastAsia="tr-TR"/>
              </w:rPr>
            </w:pPr>
            <w:r>
              <w:rPr>
                <w:rFonts w:ascii="Calibri" w:hAnsi="Calibri"/>
                <w:color w:val="000000"/>
              </w:rPr>
              <w:t>447</w:t>
            </w:r>
          </w:p>
        </w:tc>
      </w:tr>
      <w:tr w:rsidR="00A448CA" w:rsidRPr="005A17C9" w14:paraId="367A98E6" w14:textId="77777777" w:rsidTr="001173BD">
        <w:trPr>
          <w:trHeight w:val="300"/>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14:paraId="06BB0CE1" w14:textId="77777777" w:rsidR="00A448CA" w:rsidRPr="005A17C9" w:rsidRDefault="00A448CA" w:rsidP="001173BD">
            <w:pPr>
              <w:spacing w:after="0" w:line="240" w:lineRule="auto"/>
              <w:rPr>
                <w:rFonts w:ascii="Calibri" w:eastAsia="Times New Roman" w:hAnsi="Calibri" w:cs="Calibri"/>
                <w:color w:val="000000"/>
                <w:lang w:eastAsia="tr-TR"/>
              </w:rPr>
            </w:pPr>
            <w:r w:rsidRPr="005A17C9">
              <w:rPr>
                <w:rFonts w:ascii="Calibri" w:eastAsia="Times New Roman" w:hAnsi="Calibri" w:cs="Calibri"/>
                <w:color w:val="000000"/>
                <w:lang w:eastAsia="tr-TR"/>
              </w:rPr>
              <w:t xml:space="preserve">Haciz </w:t>
            </w:r>
            <w:r>
              <w:rPr>
                <w:rFonts w:ascii="Calibri" w:eastAsia="Times New Roman" w:hAnsi="Calibri" w:cs="Calibri"/>
                <w:color w:val="000000"/>
                <w:lang w:eastAsia="tr-TR"/>
              </w:rPr>
              <w:t xml:space="preserve">İhbarnamesi / Müzekkeresi </w:t>
            </w:r>
            <w:r w:rsidRPr="005A17C9">
              <w:rPr>
                <w:rFonts w:ascii="Calibri" w:eastAsia="Times New Roman" w:hAnsi="Calibri" w:cs="Calibri"/>
                <w:color w:val="000000"/>
                <w:lang w:eastAsia="tr-TR"/>
              </w:rPr>
              <w:t>Dosya</w:t>
            </w:r>
            <w:r>
              <w:rPr>
                <w:rFonts w:ascii="Calibri" w:eastAsia="Times New Roman" w:hAnsi="Calibri" w:cs="Calibri"/>
                <w:color w:val="000000"/>
                <w:lang w:eastAsia="tr-TR"/>
              </w:rPr>
              <w:t>ları</w:t>
            </w:r>
          </w:p>
        </w:tc>
        <w:tc>
          <w:tcPr>
            <w:tcW w:w="960" w:type="dxa"/>
            <w:tcBorders>
              <w:top w:val="nil"/>
              <w:left w:val="nil"/>
              <w:bottom w:val="single" w:sz="4" w:space="0" w:color="auto"/>
              <w:right w:val="single" w:sz="4" w:space="0" w:color="auto"/>
            </w:tcBorders>
            <w:shd w:val="clear" w:color="auto" w:fill="auto"/>
            <w:noWrap/>
            <w:vAlign w:val="bottom"/>
            <w:hideMark/>
          </w:tcPr>
          <w:p w14:paraId="50E9DAC5" w14:textId="77777777" w:rsidR="00A448CA" w:rsidRPr="005A17C9" w:rsidRDefault="00A448CA" w:rsidP="001173BD">
            <w:pPr>
              <w:spacing w:after="0" w:line="240" w:lineRule="auto"/>
              <w:jc w:val="right"/>
              <w:rPr>
                <w:rFonts w:ascii="Calibri" w:eastAsia="Times New Roman" w:hAnsi="Calibri" w:cs="Calibri"/>
                <w:color w:val="000000"/>
                <w:lang w:eastAsia="tr-TR"/>
              </w:rPr>
            </w:pPr>
            <w:r>
              <w:rPr>
                <w:rFonts w:ascii="Calibri" w:hAnsi="Calibri"/>
                <w:color w:val="000000"/>
              </w:rPr>
              <w:t>188</w:t>
            </w:r>
          </w:p>
        </w:tc>
      </w:tr>
      <w:tr w:rsidR="00A448CA" w:rsidRPr="005A17C9" w14:paraId="2AB2A6E9" w14:textId="77777777" w:rsidTr="001173BD">
        <w:trPr>
          <w:trHeight w:val="300"/>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14:paraId="18488786" w14:textId="77777777" w:rsidR="00A448CA" w:rsidRPr="005A17C9" w:rsidRDefault="00A448CA" w:rsidP="001173BD">
            <w:pPr>
              <w:spacing w:after="0" w:line="240" w:lineRule="auto"/>
              <w:rPr>
                <w:rFonts w:ascii="Calibri" w:eastAsia="Times New Roman" w:hAnsi="Calibri" w:cs="Calibri"/>
                <w:color w:val="000000"/>
                <w:lang w:eastAsia="tr-TR"/>
              </w:rPr>
            </w:pPr>
            <w:r w:rsidRPr="005A17C9">
              <w:rPr>
                <w:rFonts w:ascii="Calibri" w:eastAsia="Times New Roman" w:hAnsi="Calibri" w:cs="Calibri"/>
                <w:color w:val="000000"/>
                <w:lang w:eastAsia="tr-TR"/>
              </w:rPr>
              <w:t>İcra Emri Dosya</w:t>
            </w:r>
            <w:r>
              <w:rPr>
                <w:rFonts w:ascii="Calibri" w:eastAsia="Times New Roman" w:hAnsi="Calibri" w:cs="Calibri"/>
                <w:color w:val="000000"/>
                <w:lang w:eastAsia="tr-TR"/>
              </w:rPr>
              <w:t>ları</w:t>
            </w:r>
          </w:p>
        </w:tc>
        <w:tc>
          <w:tcPr>
            <w:tcW w:w="960" w:type="dxa"/>
            <w:tcBorders>
              <w:top w:val="nil"/>
              <w:left w:val="nil"/>
              <w:bottom w:val="single" w:sz="4" w:space="0" w:color="auto"/>
              <w:right w:val="single" w:sz="4" w:space="0" w:color="auto"/>
            </w:tcBorders>
            <w:shd w:val="clear" w:color="auto" w:fill="auto"/>
            <w:noWrap/>
            <w:vAlign w:val="bottom"/>
            <w:hideMark/>
          </w:tcPr>
          <w:p w14:paraId="3183DC99" w14:textId="77777777" w:rsidR="00A448CA" w:rsidRPr="005A17C9" w:rsidRDefault="00A448CA" w:rsidP="001173BD">
            <w:pPr>
              <w:spacing w:after="0" w:line="240" w:lineRule="auto"/>
              <w:jc w:val="right"/>
              <w:rPr>
                <w:rFonts w:ascii="Calibri" w:eastAsia="Times New Roman" w:hAnsi="Calibri" w:cs="Calibri"/>
                <w:color w:val="000000"/>
                <w:lang w:eastAsia="tr-TR"/>
              </w:rPr>
            </w:pPr>
            <w:r>
              <w:rPr>
                <w:rFonts w:ascii="Calibri" w:hAnsi="Calibri"/>
                <w:color w:val="000000"/>
              </w:rPr>
              <w:t>49</w:t>
            </w:r>
          </w:p>
        </w:tc>
      </w:tr>
      <w:tr w:rsidR="00A448CA" w:rsidRPr="005A17C9" w14:paraId="1312CADA" w14:textId="77777777" w:rsidTr="001173BD">
        <w:trPr>
          <w:trHeight w:val="300"/>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14:paraId="22B9FD81" w14:textId="77777777" w:rsidR="00A448CA" w:rsidRPr="005A17C9" w:rsidRDefault="00A448CA" w:rsidP="001173BD">
            <w:pPr>
              <w:spacing w:after="0" w:line="240" w:lineRule="auto"/>
              <w:rPr>
                <w:rFonts w:ascii="Calibri" w:eastAsia="Times New Roman" w:hAnsi="Calibri" w:cs="Calibri"/>
                <w:color w:val="000000"/>
                <w:lang w:eastAsia="tr-TR"/>
              </w:rPr>
            </w:pPr>
            <w:r w:rsidRPr="005A17C9">
              <w:rPr>
                <w:rFonts w:ascii="Calibri" w:eastAsia="Times New Roman" w:hAnsi="Calibri" w:cs="Calibri"/>
                <w:color w:val="000000"/>
                <w:lang w:eastAsia="tr-TR"/>
              </w:rPr>
              <w:t>İcra Takibi Dosya</w:t>
            </w:r>
            <w:r>
              <w:rPr>
                <w:rFonts w:ascii="Calibri" w:eastAsia="Times New Roman" w:hAnsi="Calibri" w:cs="Calibri"/>
                <w:color w:val="000000"/>
                <w:lang w:eastAsia="tr-TR"/>
              </w:rPr>
              <w:t>ları</w:t>
            </w:r>
          </w:p>
        </w:tc>
        <w:tc>
          <w:tcPr>
            <w:tcW w:w="960" w:type="dxa"/>
            <w:tcBorders>
              <w:top w:val="nil"/>
              <w:left w:val="nil"/>
              <w:bottom w:val="single" w:sz="4" w:space="0" w:color="auto"/>
              <w:right w:val="single" w:sz="4" w:space="0" w:color="auto"/>
            </w:tcBorders>
            <w:shd w:val="clear" w:color="auto" w:fill="auto"/>
            <w:noWrap/>
            <w:vAlign w:val="bottom"/>
            <w:hideMark/>
          </w:tcPr>
          <w:p w14:paraId="543F14EE" w14:textId="77777777" w:rsidR="00A448CA" w:rsidRPr="005A17C9" w:rsidRDefault="00A448CA" w:rsidP="001173BD">
            <w:pPr>
              <w:spacing w:after="0" w:line="240" w:lineRule="auto"/>
              <w:jc w:val="right"/>
              <w:rPr>
                <w:rFonts w:ascii="Calibri" w:eastAsia="Times New Roman" w:hAnsi="Calibri" w:cs="Calibri"/>
                <w:color w:val="000000"/>
                <w:lang w:eastAsia="tr-TR"/>
              </w:rPr>
            </w:pPr>
            <w:r>
              <w:rPr>
                <w:rFonts w:ascii="Calibri" w:hAnsi="Calibri"/>
                <w:color w:val="000000"/>
              </w:rPr>
              <w:t>291</w:t>
            </w:r>
          </w:p>
        </w:tc>
      </w:tr>
      <w:tr w:rsidR="00A448CA" w:rsidRPr="005A17C9" w14:paraId="05A0F401" w14:textId="77777777" w:rsidTr="001173BD">
        <w:trPr>
          <w:trHeight w:val="300"/>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14:paraId="52FCBF3F" w14:textId="77777777" w:rsidR="00A448CA" w:rsidRPr="005A17C9" w:rsidRDefault="00A448CA" w:rsidP="001173BD">
            <w:pPr>
              <w:spacing w:after="0" w:line="240" w:lineRule="auto"/>
              <w:rPr>
                <w:rFonts w:ascii="Calibri" w:eastAsia="Times New Roman" w:hAnsi="Calibri" w:cs="Calibri"/>
                <w:color w:val="000000"/>
                <w:lang w:eastAsia="tr-TR"/>
              </w:rPr>
            </w:pPr>
            <w:r w:rsidRPr="005A17C9">
              <w:rPr>
                <w:rFonts w:ascii="Calibri" w:eastAsia="Times New Roman" w:hAnsi="Calibri" w:cs="Calibri"/>
                <w:color w:val="000000"/>
                <w:lang w:eastAsia="tr-TR"/>
              </w:rPr>
              <w:t>İhale Dosya</w:t>
            </w:r>
            <w:r>
              <w:rPr>
                <w:rFonts w:ascii="Calibri" w:eastAsia="Times New Roman" w:hAnsi="Calibri" w:cs="Calibri"/>
                <w:color w:val="000000"/>
                <w:lang w:eastAsia="tr-TR"/>
              </w:rPr>
              <w:t>ları</w:t>
            </w:r>
          </w:p>
        </w:tc>
        <w:tc>
          <w:tcPr>
            <w:tcW w:w="960" w:type="dxa"/>
            <w:tcBorders>
              <w:top w:val="nil"/>
              <w:left w:val="nil"/>
              <w:bottom w:val="single" w:sz="4" w:space="0" w:color="auto"/>
              <w:right w:val="single" w:sz="4" w:space="0" w:color="auto"/>
            </w:tcBorders>
            <w:shd w:val="clear" w:color="auto" w:fill="auto"/>
            <w:noWrap/>
            <w:vAlign w:val="bottom"/>
            <w:hideMark/>
          </w:tcPr>
          <w:p w14:paraId="4541BA9D" w14:textId="77777777" w:rsidR="00A448CA" w:rsidRPr="005A17C9" w:rsidRDefault="00A448CA" w:rsidP="001173BD">
            <w:pPr>
              <w:spacing w:after="0" w:line="240" w:lineRule="auto"/>
              <w:jc w:val="right"/>
              <w:rPr>
                <w:rFonts w:ascii="Calibri" w:eastAsia="Times New Roman" w:hAnsi="Calibri" w:cs="Calibri"/>
                <w:color w:val="000000"/>
                <w:lang w:eastAsia="tr-TR"/>
              </w:rPr>
            </w:pPr>
            <w:r>
              <w:rPr>
                <w:rFonts w:ascii="Calibri" w:hAnsi="Calibri"/>
                <w:color w:val="000000"/>
              </w:rPr>
              <w:t>6</w:t>
            </w:r>
          </w:p>
        </w:tc>
      </w:tr>
      <w:tr w:rsidR="00A448CA" w:rsidRPr="005A17C9" w14:paraId="1029AD05" w14:textId="77777777" w:rsidTr="001173BD">
        <w:trPr>
          <w:trHeight w:val="300"/>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14:paraId="0ABD6B1C" w14:textId="77777777" w:rsidR="00A448CA" w:rsidRPr="005A17C9" w:rsidRDefault="00A448CA" w:rsidP="001173BD">
            <w:pPr>
              <w:spacing w:after="0" w:line="240" w:lineRule="auto"/>
              <w:rPr>
                <w:rFonts w:ascii="Calibri" w:eastAsia="Times New Roman" w:hAnsi="Calibri" w:cs="Calibri"/>
                <w:color w:val="000000"/>
                <w:lang w:eastAsia="tr-TR"/>
              </w:rPr>
            </w:pPr>
            <w:r w:rsidRPr="005A17C9">
              <w:rPr>
                <w:rFonts w:ascii="Calibri" w:eastAsia="Times New Roman" w:hAnsi="Calibri" w:cs="Calibri"/>
                <w:color w:val="000000"/>
                <w:lang w:eastAsia="tr-TR"/>
              </w:rPr>
              <w:t>Müzekkere Dosy</w:t>
            </w:r>
            <w:r>
              <w:rPr>
                <w:rFonts w:ascii="Calibri" w:eastAsia="Times New Roman" w:hAnsi="Calibri" w:cs="Calibri"/>
                <w:color w:val="000000"/>
                <w:lang w:eastAsia="tr-TR"/>
              </w:rPr>
              <w:t>aları</w:t>
            </w:r>
          </w:p>
        </w:tc>
        <w:tc>
          <w:tcPr>
            <w:tcW w:w="960" w:type="dxa"/>
            <w:tcBorders>
              <w:top w:val="nil"/>
              <w:left w:val="nil"/>
              <w:bottom w:val="single" w:sz="4" w:space="0" w:color="auto"/>
              <w:right w:val="single" w:sz="4" w:space="0" w:color="auto"/>
            </w:tcBorders>
            <w:shd w:val="clear" w:color="auto" w:fill="auto"/>
            <w:noWrap/>
            <w:vAlign w:val="bottom"/>
            <w:hideMark/>
          </w:tcPr>
          <w:p w14:paraId="1FC2D31C" w14:textId="77777777" w:rsidR="00A448CA" w:rsidRPr="005A17C9" w:rsidRDefault="00A448CA" w:rsidP="001173BD">
            <w:pPr>
              <w:spacing w:after="0" w:line="240" w:lineRule="auto"/>
              <w:jc w:val="right"/>
              <w:rPr>
                <w:rFonts w:ascii="Calibri" w:eastAsia="Times New Roman" w:hAnsi="Calibri" w:cs="Calibri"/>
                <w:color w:val="000000"/>
                <w:lang w:eastAsia="tr-TR"/>
              </w:rPr>
            </w:pPr>
            <w:r>
              <w:rPr>
                <w:rFonts w:ascii="Calibri" w:hAnsi="Calibri"/>
                <w:color w:val="000000"/>
              </w:rPr>
              <w:t>1.129</w:t>
            </w:r>
          </w:p>
        </w:tc>
      </w:tr>
      <w:tr w:rsidR="00A448CA" w:rsidRPr="005A17C9" w14:paraId="62780270" w14:textId="77777777" w:rsidTr="001173BD">
        <w:trPr>
          <w:trHeight w:val="300"/>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14:paraId="29DF561C" w14:textId="77777777" w:rsidR="00A448CA" w:rsidRPr="005A17C9" w:rsidRDefault="00A448CA" w:rsidP="001173BD">
            <w:pPr>
              <w:spacing w:after="0" w:line="240" w:lineRule="auto"/>
              <w:rPr>
                <w:rFonts w:ascii="Calibri" w:eastAsia="Times New Roman" w:hAnsi="Calibri" w:cs="Calibri"/>
                <w:color w:val="000000"/>
                <w:lang w:eastAsia="tr-TR"/>
              </w:rPr>
            </w:pPr>
            <w:r w:rsidRPr="005A17C9">
              <w:rPr>
                <w:rFonts w:ascii="Calibri" w:eastAsia="Times New Roman" w:hAnsi="Calibri" w:cs="Calibri"/>
                <w:color w:val="000000"/>
                <w:lang w:eastAsia="tr-TR"/>
              </w:rPr>
              <w:t>Suç Duyurusu Dosya</w:t>
            </w:r>
            <w:r>
              <w:rPr>
                <w:rFonts w:ascii="Calibri" w:eastAsia="Times New Roman" w:hAnsi="Calibri" w:cs="Calibri"/>
                <w:color w:val="000000"/>
                <w:lang w:eastAsia="tr-TR"/>
              </w:rPr>
              <w:t>ları</w:t>
            </w:r>
          </w:p>
        </w:tc>
        <w:tc>
          <w:tcPr>
            <w:tcW w:w="960" w:type="dxa"/>
            <w:tcBorders>
              <w:top w:val="nil"/>
              <w:left w:val="nil"/>
              <w:bottom w:val="single" w:sz="4" w:space="0" w:color="auto"/>
              <w:right w:val="single" w:sz="4" w:space="0" w:color="auto"/>
            </w:tcBorders>
            <w:shd w:val="clear" w:color="auto" w:fill="auto"/>
            <w:noWrap/>
            <w:vAlign w:val="bottom"/>
            <w:hideMark/>
          </w:tcPr>
          <w:p w14:paraId="77F739F9" w14:textId="77777777" w:rsidR="00A448CA" w:rsidRPr="005A17C9" w:rsidRDefault="00A448CA" w:rsidP="001173BD">
            <w:pPr>
              <w:spacing w:after="0" w:line="240" w:lineRule="auto"/>
              <w:jc w:val="right"/>
              <w:rPr>
                <w:rFonts w:ascii="Calibri" w:eastAsia="Times New Roman" w:hAnsi="Calibri" w:cs="Calibri"/>
                <w:color w:val="000000"/>
                <w:lang w:eastAsia="tr-TR"/>
              </w:rPr>
            </w:pPr>
            <w:r>
              <w:rPr>
                <w:rFonts w:ascii="Calibri" w:hAnsi="Calibri"/>
                <w:color w:val="000000"/>
              </w:rPr>
              <w:t>2</w:t>
            </w:r>
          </w:p>
        </w:tc>
      </w:tr>
      <w:tr w:rsidR="00A448CA" w:rsidRPr="005A17C9" w14:paraId="0F6AE72F" w14:textId="77777777" w:rsidTr="001173BD">
        <w:trPr>
          <w:trHeight w:val="300"/>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14:paraId="31025BA1" w14:textId="77777777" w:rsidR="00A448CA" w:rsidRPr="005A17C9" w:rsidRDefault="00A448CA" w:rsidP="001173BD">
            <w:pPr>
              <w:spacing w:after="0" w:line="240" w:lineRule="auto"/>
              <w:rPr>
                <w:rFonts w:ascii="Calibri" w:eastAsia="Times New Roman" w:hAnsi="Calibri" w:cs="Calibri"/>
                <w:color w:val="000000"/>
                <w:lang w:eastAsia="tr-TR"/>
              </w:rPr>
            </w:pPr>
            <w:r w:rsidRPr="005A17C9">
              <w:rPr>
                <w:rFonts w:ascii="Calibri" w:eastAsia="Times New Roman" w:hAnsi="Calibri" w:cs="Calibri"/>
                <w:color w:val="000000"/>
                <w:lang w:eastAsia="tr-TR"/>
              </w:rPr>
              <w:t>Takipsizlik Kararı Dosya</w:t>
            </w:r>
            <w:r>
              <w:rPr>
                <w:rFonts w:ascii="Calibri" w:eastAsia="Times New Roman" w:hAnsi="Calibri" w:cs="Calibri"/>
                <w:color w:val="000000"/>
                <w:lang w:eastAsia="tr-TR"/>
              </w:rPr>
              <w:t>ları</w:t>
            </w:r>
          </w:p>
        </w:tc>
        <w:tc>
          <w:tcPr>
            <w:tcW w:w="960" w:type="dxa"/>
            <w:tcBorders>
              <w:top w:val="nil"/>
              <w:left w:val="nil"/>
              <w:bottom w:val="single" w:sz="4" w:space="0" w:color="auto"/>
              <w:right w:val="single" w:sz="4" w:space="0" w:color="auto"/>
            </w:tcBorders>
            <w:shd w:val="clear" w:color="auto" w:fill="auto"/>
            <w:noWrap/>
            <w:vAlign w:val="bottom"/>
            <w:hideMark/>
          </w:tcPr>
          <w:p w14:paraId="4281FA44" w14:textId="77777777" w:rsidR="00A448CA" w:rsidRPr="005A17C9" w:rsidRDefault="00A448CA" w:rsidP="001173BD">
            <w:pPr>
              <w:spacing w:after="0" w:line="240" w:lineRule="auto"/>
              <w:jc w:val="right"/>
              <w:rPr>
                <w:rFonts w:ascii="Calibri" w:eastAsia="Times New Roman" w:hAnsi="Calibri" w:cs="Calibri"/>
                <w:color w:val="000000"/>
                <w:lang w:eastAsia="tr-TR"/>
              </w:rPr>
            </w:pPr>
            <w:r>
              <w:rPr>
                <w:rFonts w:ascii="Calibri" w:hAnsi="Calibri"/>
                <w:color w:val="000000"/>
              </w:rPr>
              <w:t>17</w:t>
            </w:r>
          </w:p>
        </w:tc>
      </w:tr>
      <w:tr w:rsidR="00A448CA" w:rsidRPr="005A17C9" w14:paraId="3E759F1C" w14:textId="77777777" w:rsidTr="001173BD">
        <w:trPr>
          <w:trHeight w:val="300"/>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14:paraId="1333BFCF" w14:textId="77777777" w:rsidR="00A448CA" w:rsidRPr="005A17C9" w:rsidRDefault="00A448CA" w:rsidP="001173BD">
            <w:pPr>
              <w:spacing w:after="0" w:line="240" w:lineRule="auto"/>
              <w:rPr>
                <w:rFonts w:ascii="Calibri" w:eastAsia="Times New Roman" w:hAnsi="Calibri" w:cs="Calibri"/>
                <w:color w:val="000000"/>
                <w:lang w:eastAsia="tr-TR"/>
              </w:rPr>
            </w:pPr>
            <w:r w:rsidRPr="005A17C9">
              <w:rPr>
                <w:rFonts w:ascii="Calibri" w:eastAsia="Times New Roman" w:hAnsi="Calibri" w:cs="Calibri"/>
                <w:color w:val="000000"/>
                <w:lang w:eastAsia="tr-TR"/>
              </w:rPr>
              <w:t xml:space="preserve">Vekalet </w:t>
            </w:r>
            <w:r>
              <w:rPr>
                <w:rFonts w:ascii="Calibri" w:eastAsia="Times New Roman" w:hAnsi="Calibri" w:cs="Calibri"/>
                <w:color w:val="000000"/>
                <w:lang w:eastAsia="tr-TR"/>
              </w:rPr>
              <w:t xml:space="preserve">Ücreti </w:t>
            </w:r>
            <w:r w:rsidRPr="005A17C9">
              <w:rPr>
                <w:rFonts w:ascii="Calibri" w:eastAsia="Times New Roman" w:hAnsi="Calibri" w:cs="Calibri"/>
                <w:color w:val="000000"/>
                <w:lang w:eastAsia="tr-TR"/>
              </w:rPr>
              <w:t>ve Yarg</w:t>
            </w:r>
            <w:r>
              <w:rPr>
                <w:rFonts w:ascii="Calibri" w:eastAsia="Times New Roman" w:hAnsi="Calibri" w:cs="Calibri"/>
                <w:color w:val="000000"/>
                <w:lang w:eastAsia="tr-TR"/>
              </w:rPr>
              <w:t>ılama Gideri</w:t>
            </w:r>
            <w:r w:rsidRPr="005A17C9">
              <w:rPr>
                <w:rFonts w:ascii="Calibri" w:eastAsia="Times New Roman" w:hAnsi="Calibri" w:cs="Calibri"/>
                <w:color w:val="000000"/>
                <w:lang w:eastAsia="tr-TR"/>
              </w:rPr>
              <w:t xml:space="preserve"> Ödeme Dosya</w:t>
            </w:r>
            <w:r>
              <w:rPr>
                <w:rFonts w:ascii="Calibri" w:eastAsia="Times New Roman" w:hAnsi="Calibri" w:cs="Calibri"/>
                <w:color w:val="000000"/>
                <w:lang w:eastAsia="tr-TR"/>
              </w:rPr>
              <w:t>ları</w:t>
            </w:r>
          </w:p>
        </w:tc>
        <w:tc>
          <w:tcPr>
            <w:tcW w:w="960" w:type="dxa"/>
            <w:tcBorders>
              <w:top w:val="nil"/>
              <w:left w:val="nil"/>
              <w:bottom w:val="single" w:sz="4" w:space="0" w:color="auto"/>
              <w:right w:val="single" w:sz="4" w:space="0" w:color="auto"/>
            </w:tcBorders>
            <w:shd w:val="clear" w:color="auto" w:fill="auto"/>
            <w:noWrap/>
            <w:vAlign w:val="bottom"/>
            <w:hideMark/>
          </w:tcPr>
          <w:p w14:paraId="4352117C" w14:textId="77777777" w:rsidR="00A448CA" w:rsidRPr="005A17C9" w:rsidRDefault="00A448CA" w:rsidP="001173BD">
            <w:pPr>
              <w:spacing w:after="0" w:line="240" w:lineRule="auto"/>
              <w:jc w:val="right"/>
              <w:rPr>
                <w:rFonts w:ascii="Calibri" w:eastAsia="Times New Roman" w:hAnsi="Calibri" w:cs="Calibri"/>
                <w:color w:val="000000"/>
                <w:lang w:eastAsia="tr-TR"/>
              </w:rPr>
            </w:pPr>
            <w:r>
              <w:rPr>
                <w:rFonts w:ascii="Calibri" w:hAnsi="Calibri"/>
                <w:color w:val="000000"/>
              </w:rPr>
              <w:t>431</w:t>
            </w:r>
          </w:p>
        </w:tc>
      </w:tr>
      <w:tr w:rsidR="00A448CA" w:rsidRPr="005A17C9" w14:paraId="1E2D17C1" w14:textId="77777777" w:rsidTr="001173BD">
        <w:trPr>
          <w:trHeight w:val="300"/>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14:paraId="4165BF93" w14:textId="77777777" w:rsidR="00A448CA" w:rsidRPr="00D76E9A" w:rsidRDefault="00A448CA" w:rsidP="001173BD">
            <w:pPr>
              <w:spacing w:after="0" w:line="240" w:lineRule="auto"/>
              <w:rPr>
                <w:rFonts w:ascii="Calibri" w:eastAsia="Times New Roman" w:hAnsi="Calibri" w:cs="Calibri"/>
                <w:b/>
                <w:color w:val="000000"/>
                <w:lang w:eastAsia="tr-TR"/>
              </w:rPr>
            </w:pPr>
            <w:r w:rsidRPr="00D76E9A">
              <w:rPr>
                <w:rFonts w:ascii="Calibri" w:eastAsia="Times New Roman" w:hAnsi="Calibri" w:cs="Calibri"/>
                <w:b/>
                <w:color w:val="000000"/>
                <w:lang w:eastAsia="tr-TR"/>
              </w:rPr>
              <w:t>Toplam</w:t>
            </w:r>
          </w:p>
        </w:tc>
        <w:tc>
          <w:tcPr>
            <w:tcW w:w="960" w:type="dxa"/>
            <w:tcBorders>
              <w:top w:val="nil"/>
              <w:left w:val="nil"/>
              <w:bottom w:val="single" w:sz="4" w:space="0" w:color="auto"/>
              <w:right w:val="single" w:sz="4" w:space="0" w:color="auto"/>
            </w:tcBorders>
            <w:shd w:val="clear" w:color="auto" w:fill="auto"/>
            <w:noWrap/>
            <w:vAlign w:val="bottom"/>
            <w:hideMark/>
          </w:tcPr>
          <w:p w14:paraId="77735266" w14:textId="77777777" w:rsidR="00A448CA" w:rsidRPr="00A61EA2" w:rsidRDefault="00A448CA" w:rsidP="001173BD">
            <w:pPr>
              <w:spacing w:after="0" w:line="240" w:lineRule="auto"/>
              <w:jc w:val="right"/>
              <w:rPr>
                <w:rFonts w:ascii="Calibri" w:eastAsia="Times New Roman" w:hAnsi="Calibri" w:cs="Calibri"/>
                <w:b/>
                <w:color w:val="000000"/>
                <w:lang w:eastAsia="tr-TR"/>
              </w:rPr>
            </w:pPr>
            <w:r w:rsidRPr="00A61EA2">
              <w:rPr>
                <w:rFonts w:ascii="Calibri" w:hAnsi="Calibri"/>
                <w:b/>
              </w:rPr>
              <w:t>2.704</w:t>
            </w:r>
          </w:p>
        </w:tc>
      </w:tr>
    </w:tbl>
    <w:p w14:paraId="42F514F7" w14:textId="77777777" w:rsidR="00A448CA" w:rsidRPr="00AE0C4A" w:rsidRDefault="00A448CA" w:rsidP="00A448CA">
      <w:pPr>
        <w:spacing w:after="0" w:line="240" w:lineRule="auto"/>
        <w:rPr>
          <w:rFonts w:ascii="Calibri" w:hAnsi="Calibri"/>
          <w:color w:val="000000"/>
        </w:rPr>
      </w:pPr>
    </w:p>
    <w:p w14:paraId="4F321701" w14:textId="77777777" w:rsidR="00A448CA" w:rsidRPr="002048A7" w:rsidRDefault="00A448CA" w:rsidP="00A448CA">
      <w:pPr>
        <w:pStyle w:val="Balk5"/>
        <w:spacing w:after="240"/>
        <w:jc w:val="center"/>
        <w:rPr>
          <w:rStyle w:val="Gl"/>
          <w:bCs w:val="0"/>
          <w:color w:val="auto"/>
        </w:rPr>
      </w:pPr>
      <w:bookmarkStart w:id="351" w:name="_Toc94703942"/>
      <w:bookmarkStart w:id="352" w:name="_Toc195868854"/>
      <w:r w:rsidRPr="002048A7">
        <w:rPr>
          <w:rStyle w:val="Gl"/>
          <w:bCs w:val="0"/>
          <w:color w:val="auto"/>
        </w:rPr>
        <w:lastRenderedPageBreak/>
        <w:t>Tablo 8.5: 202</w:t>
      </w:r>
      <w:r>
        <w:rPr>
          <w:rStyle w:val="Gl"/>
          <w:bCs w:val="0"/>
          <w:color w:val="auto"/>
        </w:rPr>
        <w:t>4</w:t>
      </w:r>
      <w:r w:rsidRPr="002048A7">
        <w:rPr>
          <w:rStyle w:val="Gl"/>
          <w:bCs w:val="0"/>
          <w:color w:val="auto"/>
        </w:rPr>
        <w:t xml:space="preserve"> Yılı Sonu İtibariyle Kurumumuzun Takip Ettiği İdari Davaların Kesinleşme Durumu</w:t>
      </w:r>
      <w:bookmarkEnd w:id="351"/>
      <w:bookmarkEnd w:id="352"/>
    </w:p>
    <w:tbl>
      <w:tblPr>
        <w:tblW w:w="3165" w:type="pct"/>
        <w:jc w:val="center"/>
        <w:tblCellMar>
          <w:left w:w="70" w:type="dxa"/>
          <w:right w:w="70" w:type="dxa"/>
        </w:tblCellMar>
        <w:tblLook w:val="04A0" w:firstRow="1" w:lastRow="0" w:firstColumn="1" w:lastColumn="0" w:noHBand="0" w:noVBand="1"/>
      </w:tblPr>
      <w:tblGrid>
        <w:gridCol w:w="2092"/>
        <w:gridCol w:w="2090"/>
        <w:gridCol w:w="2088"/>
      </w:tblGrid>
      <w:tr w:rsidR="00A448CA" w:rsidRPr="002048A7" w14:paraId="786CD5DD" w14:textId="77777777" w:rsidTr="001173BD">
        <w:trPr>
          <w:trHeight w:val="227"/>
          <w:jc w:val="center"/>
        </w:trPr>
        <w:tc>
          <w:tcPr>
            <w:tcW w:w="1668" w:type="pct"/>
            <w:tcBorders>
              <w:top w:val="single" w:sz="8" w:space="0" w:color="BFBFBF"/>
              <w:left w:val="single" w:sz="4" w:space="0" w:color="9BBB59" w:themeColor="accent3"/>
              <w:bottom w:val="single" w:sz="8" w:space="0" w:color="BFBFBF"/>
              <w:right w:val="single" w:sz="8" w:space="0" w:color="BFBFBF"/>
            </w:tcBorders>
            <w:shd w:val="clear" w:color="000000" w:fill="6E9ECA"/>
            <w:vAlign w:val="center"/>
            <w:hideMark/>
          </w:tcPr>
          <w:p w14:paraId="4FA961F2" w14:textId="77777777" w:rsidR="00A448CA" w:rsidRPr="002048A7" w:rsidRDefault="00A448CA" w:rsidP="001173BD">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Dava Sayısı</w:t>
            </w:r>
          </w:p>
        </w:tc>
        <w:tc>
          <w:tcPr>
            <w:tcW w:w="1667" w:type="pct"/>
            <w:tcBorders>
              <w:top w:val="single" w:sz="8" w:space="0" w:color="BFBFBF"/>
              <w:left w:val="nil"/>
              <w:bottom w:val="single" w:sz="8" w:space="0" w:color="BFBFBF"/>
              <w:right w:val="single" w:sz="8" w:space="0" w:color="BFBFBF"/>
            </w:tcBorders>
            <w:shd w:val="clear" w:color="000000" w:fill="6E9ECA"/>
            <w:vAlign w:val="center"/>
            <w:hideMark/>
          </w:tcPr>
          <w:p w14:paraId="301F5FED" w14:textId="77777777" w:rsidR="00A448CA" w:rsidRPr="002048A7" w:rsidRDefault="00A448CA" w:rsidP="001173BD">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Kesinleşenler</w:t>
            </w:r>
          </w:p>
        </w:tc>
        <w:tc>
          <w:tcPr>
            <w:tcW w:w="1665" w:type="pct"/>
            <w:tcBorders>
              <w:top w:val="single" w:sz="8" w:space="0" w:color="BFBFBF"/>
              <w:left w:val="nil"/>
              <w:bottom w:val="single" w:sz="8" w:space="0" w:color="BFBFBF"/>
              <w:right w:val="single" w:sz="8" w:space="0" w:color="BFBFBF"/>
            </w:tcBorders>
            <w:shd w:val="clear" w:color="000000" w:fill="6E9ECA"/>
            <w:vAlign w:val="center"/>
            <w:hideMark/>
          </w:tcPr>
          <w:p w14:paraId="3EAFC6DD" w14:textId="77777777" w:rsidR="00A448CA" w:rsidRPr="002048A7" w:rsidRDefault="00A448CA" w:rsidP="001173BD">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Derdestler</w:t>
            </w:r>
          </w:p>
        </w:tc>
      </w:tr>
      <w:tr w:rsidR="00A448CA" w:rsidRPr="002048A7" w14:paraId="65C300A4" w14:textId="77777777" w:rsidTr="001173BD">
        <w:trPr>
          <w:trHeight w:val="227"/>
          <w:jc w:val="center"/>
        </w:trPr>
        <w:tc>
          <w:tcPr>
            <w:tcW w:w="1668" w:type="pct"/>
            <w:tcBorders>
              <w:top w:val="nil"/>
              <w:left w:val="single" w:sz="4" w:space="0" w:color="9BBB59" w:themeColor="accent3"/>
              <w:bottom w:val="single" w:sz="8" w:space="0" w:color="BFBFBF"/>
              <w:right w:val="single" w:sz="8" w:space="0" w:color="BFBFBF"/>
            </w:tcBorders>
            <w:shd w:val="clear" w:color="auto" w:fill="auto"/>
            <w:noWrap/>
            <w:vAlign w:val="center"/>
            <w:hideMark/>
          </w:tcPr>
          <w:p w14:paraId="0255675D" w14:textId="77777777" w:rsidR="00A448CA" w:rsidRPr="002048A7" w:rsidRDefault="00A448CA" w:rsidP="001173BD">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 xml:space="preserve"> </w:t>
            </w:r>
            <w:r>
              <w:rPr>
                <w:rFonts w:ascii="Calibri" w:eastAsia="Times New Roman" w:hAnsi="Calibri"/>
                <w:color w:val="000000"/>
                <w:lang w:eastAsia="tr-TR"/>
              </w:rPr>
              <w:t>26.124</w:t>
            </w:r>
          </w:p>
        </w:tc>
        <w:tc>
          <w:tcPr>
            <w:tcW w:w="1667" w:type="pct"/>
            <w:tcBorders>
              <w:top w:val="nil"/>
              <w:left w:val="nil"/>
              <w:bottom w:val="single" w:sz="8" w:space="0" w:color="BFBFBF"/>
              <w:right w:val="single" w:sz="8" w:space="0" w:color="BFBFBF"/>
            </w:tcBorders>
            <w:shd w:val="clear" w:color="auto" w:fill="auto"/>
            <w:noWrap/>
            <w:vAlign w:val="center"/>
            <w:hideMark/>
          </w:tcPr>
          <w:p w14:paraId="216B19CD" w14:textId="77777777" w:rsidR="00A448CA" w:rsidRPr="002048A7" w:rsidRDefault="00A448CA" w:rsidP="001173BD">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8.832</w:t>
            </w:r>
          </w:p>
        </w:tc>
        <w:tc>
          <w:tcPr>
            <w:tcW w:w="1665" w:type="pct"/>
            <w:tcBorders>
              <w:top w:val="nil"/>
              <w:left w:val="nil"/>
              <w:bottom w:val="single" w:sz="8" w:space="0" w:color="BFBFBF"/>
              <w:right w:val="single" w:sz="8" w:space="0" w:color="BFBFBF"/>
            </w:tcBorders>
            <w:shd w:val="clear" w:color="auto" w:fill="auto"/>
            <w:vAlign w:val="center"/>
            <w:hideMark/>
          </w:tcPr>
          <w:p w14:paraId="24C99E1A" w14:textId="77777777" w:rsidR="00A448CA" w:rsidRPr="002048A7" w:rsidRDefault="00A448CA" w:rsidP="001173BD">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17.292</w:t>
            </w:r>
          </w:p>
        </w:tc>
      </w:tr>
    </w:tbl>
    <w:p w14:paraId="04FC9270" w14:textId="77777777" w:rsidR="00A448CA" w:rsidRPr="002048A7" w:rsidRDefault="00A448CA" w:rsidP="00A448CA">
      <w:pPr>
        <w:spacing w:after="0" w:line="240" w:lineRule="auto"/>
        <w:rPr>
          <w:rFonts w:ascii="Calibri" w:hAnsi="Calibri"/>
          <w:color w:val="000000"/>
        </w:rPr>
      </w:pPr>
    </w:p>
    <w:p w14:paraId="688A73A7" w14:textId="77777777" w:rsidR="00A448CA" w:rsidRPr="002048A7" w:rsidRDefault="00A448CA" w:rsidP="00A448CA">
      <w:pPr>
        <w:numPr>
          <w:ilvl w:val="0"/>
          <w:numId w:val="3"/>
        </w:numPr>
        <w:spacing w:after="0" w:line="240" w:lineRule="auto"/>
        <w:contextualSpacing/>
        <w:rPr>
          <w:rFonts w:ascii="Calibri" w:hAnsi="Calibri"/>
          <w:color w:val="000000"/>
        </w:rPr>
      </w:pPr>
      <w:r w:rsidRPr="002048A7">
        <w:rPr>
          <w:rFonts w:ascii="Calibri" w:hAnsi="Calibri"/>
          <w:color w:val="000000"/>
        </w:rPr>
        <w:t>31.12.202</w:t>
      </w:r>
      <w:r>
        <w:rPr>
          <w:rFonts w:ascii="Calibri" w:hAnsi="Calibri"/>
          <w:color w:val="000000"/>
        </w:rPr>
        <w:t>4</w:t>
      </w:r>
      <w:r w:rsidRPr="002048A7">
        <w:rPr>
          <w:rFonts w:ascii="Calibri" w:hAnsi="Calibri"/>
          <w:color w:val="000000"/>
        </w:rPr>
        <w:t xml:space="preserve"> tarihi itibariyle; Kurumumuz tarafından </w:t>
      </w:r>
      <w:r>
        <w:rPr>
          <w:rFonts w:ascii="Calibri" w:hAnsi="Calibri"/>
          <w:color w:val="000000"/>
        </w:rPr>
        <w:t>70.435</w:t>
      </w:r>
      <w:r w:rsidRPr="002048A7">
        <w:rPr>
          <w:rFonts w:ascii="Calibri" w:hAnsi="Calibri"/>
          <w:color w:val="000000"/>
        </w:rPr>
        <w:t xml:space="preserve"> adet davaya taraf olunmuş olup bahse konu davaların </w:t>
      </w:r>
      <w:r>
        <w:rPr>
          <w:rFonts w:ascii="Calibri" w:hAnsi="Calibri"/>
          <w:color w:val="000000"/>
        </w:rPr>
        <w:t>61.603</w:t>
      </w:r>
      <w:r w:rsidRPr="002048A7">
        <w:rPr>
          <w:rFonts w:ascii="Calibri" w:hAnsi="Calibri"/>
          <w:color w:val="000000"/>
        </w:rPr>
        <w:t xml:space="preserve"> adedi halen derdesttir.</w:t>
      </w:r>
    </w:p>
    <w:p w14:paraId="2283CAE0" w14:textId="77777777" w:rsidR="00A448CA" w:rsidRPr="002048A7" w:rsidRDefault="00A448CA" w:rsidP="00A448CA">
      <w:pPr>
        <w:spacing w:after="0" w:line="240" w:lineRule="auto"/>
        <w:rPr>
          <w:rFonts w:ascii="Calibri" w:hAnsi="Calibri"/>
          <w:color w:val="000000"/>
        </w:rPr>
      </w:pPr>
    </w:p>
    <w:p w14:paraId="350ABADC" w14:textId="77777777" w:rsidR="00A448CA" w:rsidRPr="002048A7" w:rsidRDefault="00A448CA" w:rsidP="00A448CA">
      <w:pPr>
        <w:numPr>
          <w:ilvl w:val="0"/>
          <w:numId w:val="3"/>
        </w:numPr>
        <w:spacing w:after="0" w:line="240" w:lineRule="auto"/>
        <w:contextualSpacing/>
        <w:rPr>
          <w:rFonts w:ascii="Calibri" w:hAnsi="Calibri"/>
          <w:color w:val="000000"/>
        </w:rPr>
      </w:pPr>
      <w:r w:rsidRPr="002048A7">
        <w:rPr>
          <w:rFonts w:ascii="Calibri" w:hAnsi="Calibri"/>
          <w:color w:val="000000"/>
        </w:rPr>
        <w:t xml:space="preserve">Kurumumuzun taraf olduğu </w:t>
      </w:r>
      <w:r>
        <w:rPr>
          <w:rFonts w:ascii="Calibri" w:hAnsi="Calibri"/>
          <w:color w:val="000000"/>
        </w:rPr>
        <w:t>70.435</w:t>
      </w:r>
      <w:r w:rsidRPr="002048A7">
        <w:rPr>
          <w:rFonts w:ascii="Calibri" w:hAnsi="Calibri"/>
          <w:color w:val="000000"/>
        </w:rPr>
        <w:t xml:space="preserve"> adet davadan; </w:t>
      </w:r>
      <w:r>
        <w:rPr>
          <w:rFonts w:ascii="Calibri" w:hAnsi="Calibri"/>
          <w:color w:val="000000"/>
        </w:rPr>
        <w:t>36.640</w:t>
      </w:r>
      <w:r w:rsidRPr="002048A7">
        <w:rPr>
          <w:rFonts w:ascii="Calibri" w:hAnsi="Calibri"/>
          <w:color w:val="000000"/>
        </w:rPr>
        <w:t xml:space="preserve"> adedi ceza davası, </w:t>
      </w:r>
      <w:r>
        <w:rPr>
          <w:rFonts w:ascii="Calibri" w:hAnsi="Calibri"/>
          <w:color w:val="000000"/>
        </w:rPr>
        <w:t>26.124</w:t>
      </w:r>
      <w:r w:rsidRPr="002048A7">
        <w:rPr>
          <w:rFonts w:ascii="Calibri" w:hAnsi="Calibri"/>
          <w:color w:val="000000"/>
        </w:rPr>
        <w:t xml:space="preserve"> adedi idari dava, </w:t>
      </w:r>
      <w:r>
        <w:rPr>
          <w:rFonts w:ascii="Calibri" w:hAnsi="Calibri"/>
          <w:color w:val="000000"/>
        </w:rPr>
        <w:t>7.671</w:t>
      </w:r>
      <w:r w:rsidRPr="002048A7">
        <w:rPr>
          <w:rFonts w:ascii="Calibri" w:hAnsi="Calibri"/>
          <w:color w:val="000000"/>
        </w:rPr>
        <w:t xml:space="preserve"> adedi hukuk davasıdır. </w:t>
      </w:r>
    </w:p>
    <w:p w14:paraId="77AF4856" w14:textId="77777777" w:rsidR="00A448CA" w:rsidRPr="002048A7" w:rsidRDefault="00A448CA" w:rsidP="00A448CA">
      <w:pPr>
        <w:spacing w:after="0" w:line="240" w:lineRule="auto"/>
        <w:ind w:left="720"/>
        <w:contextualSpacing/>
        <w:rPr>
          <w:rFonts w:ascii="Calibri" w:hAnsi="Calibri"/>
          <w:color w:val="000000"/>
        </w:rPr>
      </w:pPr>
    </w:p>
    <w:p w14:paraId="1A76F0D9" w14:textId="77777777" w:rsidR="00A448CA" w:rsidRPr="002048A7" w:rsidRDefault="00A448CA" w:rsidP="00A448CA">
      <w:pPr>
        <w:numPr>
          <w:ilvl w:val="0"/>
          <w:numId w:val="3"/>
        </w:numPr>
        <w:spacing w:after="0" w:line="240" w:lineRule="auto"/>
        <w:contextualSpacing/>
        <w:rPr>
          <w:rFonts w:ascii="Calibri" w:hAnsi="Calibri"/>
          <w:color w:val="000000"/>
        </w:rPr>
      </w:pPr>
      <w:r w:rsidRPr="002048A7">
        <w:rPr>
          <w:rFonts w:ascii="Calibri" w:hAnsi="Calibri"/>
          <w:color w:val="000000"/>
        </w:rPr>
        <w:t xml:space="preserve">  </w:t>
      </w:r>
      <w:r>
        <w:rPr>
          <w:rFonts w:ascii="Calibri" w:hAnsi="Calibri"/>
          <w:color w:val="000000"/>
        </w:rPr>
        <w:t>28.206</w:t>
      </w:r>
      <w:r w:rsidRPr="002048A7">
        <w:rPr>
          <w:rFonts w:ascii="Calibri" w:hAnsi="Calibri"/>
          <w:color w:val="000000"/>
        </w:rPr>
        <w:t xml:space="preserve"> adet dava dışı dosyanın (takipsizlik, haciz ihbarnamesi, görevsizlik vs.) takibi yapılmıştır.  </w:t>
      </w:r>
    </w:p>
    <w:p w14:paraId="600273FF" w14:textId="77777777" w:rsidR="00A448CA" w:rsidRPr="002048A7" w:rsidRDefault="00A448CA" w:rsidP="00A448CA">
      <w:pPr>
        <w:spacing w:after="0" w:line="240" w:lineRule="auto"/>
        <w:rPr>
          <w:rFonts w:ascii="Calibri" w:hAnsi="Calibri"/>
          <w:color w:val="000000"/>
        </w:rPr>
      </w:pPr>
    </w:p>
    <w:p w14:paraId="5928DC32" w14:textId="77777777" w:rsidR="00A448CA" w:rsidRPr="002048A7" w:rsidRDefault="00A448CA" w:rsidP="00A448CA">
      <w:pPr>
        <w:pStyle w:val="Balk5"/>
        <w:spacing w:after="240"/>
        <w:jc w:val="center"/>
        <w:rPr>
          <w:rStyle w:val="Gl"/>
          <w:color w:val="auto"/>
        </w:rPr>
      </w:pPr>
      <w:bookmarkStart w:id="353" w:name="_Toc94703943"/>
      <w:bookmarkStart w:id="354" w:name="_Toc195868855"/>
      <w:r w:rsidRPr="002048A7">
        <w:rPr>
          <w:rStyle w:val="Gl"/>
          <w:color w:val="auto"/>
        </w:rPr>
        <w:t>Tablo 8.6: 202</w:t>
      </w:r>
      <w:r>
        <w:rPr>
          <w:rStyle w:val="Gl"/>
          <w:color w:val="auto"/>
        </w:rPr>
        <w:t>4</w:t>
      </w:r>
      <w:r w:rsidRPr="002048A7">
        <w:rPr>
          <w:rStyle w:val="Gl"/>
          <w:color w:val="auto"/>
        </w:rPr>
        <w:t xml:space="preserve"> Yılı Sonu İtibariyle Kurumumuzun Taraf Olduğu Davalardan Kesinleştiği Tespit Edilen Davaların Sonuçları Bakımından Dağılımı</w:t>
      </w:r>
      <w:bookmarkEnd w:id="353"/>
      <w:bookmarkEnd w:id="354"/>
    </w:p>
    <w:tbl>
      <w:tblPr>
        <w:tblW w:w="4508"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70" w:type="dxa"/>
          <w:right w:w="70" w:type="dxa"/>
        </w:tblCellMar>
        <w:tblLook w:val="04A0" w:firstRow="1" w:lastRow="0" w:firstColumn="1" w:lastColumn="0" w:noHBand="0" w:noVBand="1"/>
      </w:tblPr>
      <w:tblGrid>
        <w:gridCol w:w="2374"/>
        <w:gridCol w:w="1680"/>
        <w:gridCol w:w="1680"/>
        <w:gridCol w:w="1601"/>
        <w:gridCol w:w="1601"/>
      </w:tblGrid>
      <w:tr w:rsidR="00A448CA" w:rsidRPr="002048A7" w14:paraId="17334F8D" w14:textId="77777777" w:rsidTr="001173BD">
        <w:trPr>
          <w:trHeight w:val="20"/>
          <w:jc w:val="center"/>
        </w:trPr>
        <w:tc>
          <w:tcPr>
            <w:tcW w:w="1328" w:type="pct"/>
            <w:vMerge w:val="restart"/>
            <w:shd w:val="clear" w:color="000000" w:fill="6E9ECA"/>
            <w:vAlign w:val="center"/>
            <w:hideMark/>
          </w:tcPr>
          <w:p w14:paraId="0F944CD9" w14:textId="77777777" w:rsidR="00A448CA" w:rsidRPr="002048A7" w:rsidRDefault="00A448CA" w:rsidP="001173BD">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Dava Türü</w:t>
            </w:r>
          </w:p>
        </w:tc>
        <w:tc>
          <w:tcPr>
            <w:tcW w:w="1880" w:type="pct"/>
            <w:gridSpan w:val="2"/>
            <w:shd w:val="clear" w:color="000000" w:fill="6E9ECA"/>
            <w:vAlign w:val="center"/>
            <w:hideMark/>
          </w:tcPr>
          <w:p w14:paraId="4754DCC6" w14:textId="77777777" w:rsidR="00A448CA" w:rsidRPr="002048A7" w:rsidRDefault="00A448CA" w:rsidP="001173BD">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Lehe Olanlar</w:t>
            </w:r>
          </w:p>
        </w:tc>
        <w:tc>
          <w:tcPr>
            <w:tcW w:w="1792" w:type="pct"/>
            <w:gridSpan w:val="2"/>
            <w:shd w:val="clear" w:color="000000" w:fill="6E9ECA"/>
            <w:vAlign w:val="center"/>
            <w:hideMark/>
          </w:tcPr>
          <w:p w14:paraId="1DA67DC2" w14:textId="77777777" w:rsidR="00A448CA" w:rsidRPr="002048A7" w:rsidRDefault="00A448CA" w:rsidP="001173BD">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Aleyhe Olanlar</w:t>
            </w:r>
          </w:p>
        </w:tc>
      </w:tr>
      <w:tr w:rsidR="00A448CA" w:rsidRPr="002048A7" w14:paraId="7EFF6142" w14:textId="77777777" w:rsidTr="001173BD">
        <w:trPr>
          <w:trHeight w:val="20"/>
          <w:jc w:val="center"/>
        </w:trPr>
        <w:tc>
          <w:tcPr>
            <w:tcW w:w="1328" w:type="pct"/>
            <w:vMerge/>
            <w:vAlign w:val="center"/>
            <w:hideMark/>
          </w:tcPr>
          <w:p w14:paraId="267F800F" w14:textId="77777777" w:rsidR="00A448CA" w:rsidRPr="002048A7" w:rsidRDefault="00A448CA" w:rsidP="001173BD">
            <w:pPr>
              <w:spacing w:after="0" w:line="240" w:lineRule="auto"/>
              <w:rPr>
                <w:rFonts w:ascii="Calibri" w:eastAsia="Times New Roman" w:hAnsi="Calibri"/>
                <w:b/>
                <w:bCs/>
                <w:color w:val="FFFFFF"/>
                <w:lang w:eastAsia="tr-TR"/>
              </w:rPr>
            </w:pPr>
          </w:p>
        </w:tc>
        <w:tc>
          <w:tcPr>
            <w:tcW w:w="940" w:type="pct"/>
            <w:shd w:val="clear" w:color="000000" w:fill="6E9ECA"/>
            <w:vAlign w:val="center"/>
            <w:hideMark/>
          </w:tcPr>
          <w:p w14:paraId="04607CE5" w14:textId="77777777" w:rsidR="00A448CA" w:rsidRPr="002048A7" w:rsidRDefault="00A448CA" w:rsidP="001173BD">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Dava Sayısı</w:t>
            </w:r>
          </w:p>
        </w:tc>
        <w:tc>
          <w:tcPr>
            <w:tcW w:w="940" w:type="pct"/>
            <w:shd w:val="clear" w:color="000000" w:fill="6E9ECA"/>
            <w:vAlign w:val="center"/>
            <w:hideMark/>
          </w:tcPr>
          <w:p w14:paraId="04A40E93" w14:textId="77777777" w:rsidR="00A448CA" w:rsidRPr="002048A7" w:rsidRDefault="00A448CA" w:rsidP="001173BD">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Oran (%)</w:t>
            </w:r>
          </w:p>
        </w:tc>
        <w:tc>
          <w:tcPr>
            <w:tcW w:w="896" w:type="pct"/>
            <w:shd w:val="clear" w:color="000000" w:fill="6E9ECA"/>
            <w:vAlign w:val="center"/>
            <w:hideMark/>
          </w:tcPr>
          <w:p w14:paraId="24CFC56B" w14:textId="77777777" w:rsidR="00A448CA" w:rsidRPr="002048A7" w:rsidRDefault="00A448CA" w:rsidP="001173BD">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Dava Sayısı</w:t>
            </w:r>
          </w:p>
        </w:tc>
        <w:tc>
          <w:tcPr>
            <w:tcW w:w="896" w:type="pct"/>
            <w:shd w:val="clear" w:color="000000" w:fill="6E9ECA"/>
            <w:vAlign w:val="center"/>
            <w:hideMark/>
          </w:tcPr>
          <w:p w14:paraId="51D54D32" w14:textId="77777777" w:rsidR="00A448CA" w:rsidRPr="002048A7" w:rsidRDefault="00A448CA" w:rsidP="001173BD">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Oran (%)</w:t>
            </w:r>
          </w:p>
        </w:tc>
      </w:tr>
      <w:tr w:rsidR="00A448CA" w:rsidRPr="002048A7" w14:paraId="1DDC4E03" w14:textId="77777777" w:rsidTr="001173BD">
        <w:trPr>
          <w:trHeight w:val="20"/>
          <w:jc w:val="center"/>
        </w:trPr>
        <w:tc>
          <w:tcPr>
            <w:tcW w:w="1328" w:type="pct"/>
            <w:shd w:val="clear" w:color="auto" w:fill="auto"/>
            <w:vAlign w:val="center"/>
            <w:hideMark/>
          </w:tcPr>
          <w:p w14:paraId="264328F9" w14:textId="77777777" w:rsidR="00A448CA" w:rsidRPr="002048A7" w:rsidRDefault="00A448CA" w:rsidP="001173BD">
            <w:pPr>
              <w:spacing w:after="0" w:line="240" w:lineRule="auto"/>
              <w:rPr>
                <w:rFonts w:ascii="Calibri" w:eastAsia="Times New Roman" w:hAnsi="Calibri"/>
                <w:color w:val="000000"/>
                <w:lang w:eastAsia="tr-TR"/>
              </w:rPr>
            </w:pPr>
            <w:r w:rsidRPr="002048A7">
              <w:rPr>
                <w:rFonts w:ascii="Calibri" w:eastAsia="Times New Roman" w:hAnsi="Calibri"/>
                <w:color w:val="000000"/>
                <w:lang w:eastAsia="tr-TR"/>
              </w:rPr>
              <w:t>İdari Davalar</w:t>
            </w:r>
          </w:p>
        </w:tc>
        <w:tc>
          <w:tcPr>
            <w:tcW w:w="940" w:type="pct"/>
            <w:shd w:val="clear" w:color="auto" w:fill="auto"/>
            <w:noWrap/>
            <w:vAlign w:val="center"/>
            <w:hideMark/>
          </w:tcPr>
          <w:p w14:paraId="7987A601" w14:textId="77777777" w:rsidR="00A448CA" w:rsidRPr="002048A7" w:rsidRDefault="00A448CA" w:rsidP="001173BD">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6.535</w:t>
            </w:r>
          </w:p>
        </w:tc>
        <w:tc>
          <w:tcPr>
            <w:tcW w:w="940" w:type="pct"/>
            <w:shd w:val="clear" w:color="auto" w:fill="auto"/>
            <w:noWrap/>
            <w:vAlign w:val="center"/>
            <w:hideMark/>
          </w:tcPr>
          <w:p w14:paraId="63F8747D" w14:textId="77777777" w:rsidR="00A448CA" w:rsidRPr="002048A7" w:rsidRDefault="00A448CA" w:rsidP="001173BD">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 xml:space="preserve"> </w:t>
            </w:r>
            <w:r>
              <w:rPr>
                <w:rFonts w:ascii="Calibri" w:eastAsia="Times New Roman" w:hAnsi="Calibri"/>
                <w:color w:val="000000"/>
                <w:lang w:eastAsia="tr-TR"/>
              </w:rPr>
              <w:t>73,99</w:t>
            </w:r>
            <w:r w:rsidRPr="002048A7">
              <w:rPr>
                <w:rFonts w:ascii="Calibri" w:eastAsia="Times New Roman" w:hAnsi="Calibri"/>
                <w:color w:val="000000"/>
                <w:lang w:eastAsia="tr-TR"/>
              </w:rPr>
              <w:t xml:space="preserve"> </w:t>
            </w:r>
          </w:p>
        </w:tc>
        <w:tc>
          <w:tcPr>
            <w:tcW w:w="896" w:type="pct"/>
            <w:shd w:val="clear" w:color="auto" w:fill="auto"/>
            <w:vAlign w:val="center"/>
            <w:hideMark/>
          </w:tcPr>
          <w:p w14:paraId="4D99D0A0" w14:textId="77777777" w:rsidR="00A448CA" w:rsidRPr="002048A7" w:rsidRDefault="00A448CA" w:rsidP="001173BD">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2.297</w:t>
            </w:r>
          </w:p>
        </w:tc>
        <w:tc>
          <w:tcPr>
            <w:tcW w:w="896" w:type="pct"/>
            <w:shd w:val="clear" w:color="auto" w:fill="auto"/>
            <w:vAlign w:val="center"/>
            <w:hideMark/>
          </w:tcPr>
          <w:p w14:paraId="20E57593" w14:textId="77777777" w:rsidR="00A448CA" w:rsidRPr="002048A7" w:rsidRDefault="00A448CA" w:rsidP="001173B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26,01</w:t>
            </w:r>
          </w:p>
        </w:tc>
      </w:tr>
      <w:tr w:rsidR="00A448CA" w:rsidRPr="002048A7" w14:paraId="48813678" w14:textId="77777777" w:rsidTr="001173BD">
        <w:trPr>
          <w:trHeight w:val="20"/>
          <w:jc w:val="center"/>
        </w:trPr>
        <w:tc>
          <w:tcPr>
            <w:tcW w:w="1328" w:type="pct"/>
            <w:shd w:val="clear" w:color="auto" w:fill="auto"/>
            <w:vAlign w:val="center"/>
            <w:hideMark/>
          </w:tcPr>
          <w:p w14:paraId="27A9991D" w14:textId="77777777" w:rsidR="00A448CA" w:rsidRPr="002048A7" w:rsidRDefault="00A448CA" w:rsidP="001173BD">
            <w:pPr>
              <w:spacing w:after="0" w:line="240" w:lineRule="auto"/>
              <w:rPr>
                <w:rFonts w:ascii="Calibri" w:eastAsia="Times New Roman" w:hAnsi="Calibri"/>
                <w:color w:val="000000"/>
                <w:lang w:eastAsia="tr-TR"/>
              </w:rPr>
            </w:pPr>
            <w:r w:rsidRPr="002048A7">
              <w:rPr>
                <w:rFonts w:ascii="Calibri" w:eastAsia="Times New Roman" w:hAnsi="Calibri"/>
                <w:color w:val="000000"/>
                <w:lang w:eastAsia="tr-TR"/>
              </w:rPr>
              <w:t>Hukuk Davaları</w:t>
            </w:r>
          </w:p>
        </w:tc>
        <w:tc>
          <w:tcPr>
            <w:tcW w:w="940" w:type="pct"/>
            <w:shd w:val="clear" w:color="auto" w:fill="auto"/>
            <w:noWrap/>
            <w:vAlign w:val="center"/>
            <w:hideMark/>
          </w:tcPr>
          <w:p w14:paraId="3063C713" w14:textId="77777777" w:rsidR="00A448CA" w:rsidRPr="002048A7" w:rsidRDefault="00A448CA" w:rsidP="001173BD">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 xml:space="preserve">  20 </w:t>
            </w:r>
          </w:p>
        </w:tc>
        <w:tc>
          <w:tcPr>
            <w:tcW w:w="940" w:type="pct"/>
            <w:shd w:val="clear" w:color="auto" w:fill="auto"/>
            <w:noWrap/>
            <w:vAlign w:val="center"/>
            <w:hideMark/>
          </w:tcPr>
          <w:p w14:paraId="7ED90010" w14:textId="77777777" w:rsidR="00A448CA" w:rsidRPr="002048A7" w:rsidRDefault="00A448CA" w:rsidP="001173BD">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 xml:space="preserve"> 66,67 </w:t>
            </w:r>
          </w:p>
        </w:tc>
        <w:tc>
          <w:tcPr>
            <w:tcW w:w="896" w:type="pct"/>
            <w:shd w:val="clear" w:color="auto" w:fill="auto"/>
            <w:vAlign w:val="center"/>
            <w:hideMark/>
          </w:tcPr>
          <w:p w14:paraId="65E44FAF" w14:textId="77777777" w:rsidR="00A448CA" w:rsidRPr="002048A7" w:rsidRDefault="00A448CA" w:rsidP="001173BD">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 xml:space="preserve"> 10</w:t>
            </w:r>
          </w:p>
        </w:tc>
        <w:tc>
          <w:tcPr>
            <w:tcW w:w="896" w:type="pct"/>
            <w:shd w:val="clear" w:color="auto" w:fill="auto"/>
            <w:vAlign w:val="center"/>
            <w:hideMark/>
          </w:tcPr>
          <w:p w14:paraId="02D1DFBE" w14:textId="77777777" w:rsidR="00A448CA" w:rsidRPr="002048A7" w:rsidRDefault="00A448CA" w:rsidP="001173BD">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33,33</w:t>
            </w:r>
          </w:p>
        </w:tc>
      </w:tr>
      <w:tr w:rsidR="00A448CA" w:rsidRPr="002048A7" w14:paraId="0DF4C065" w14:textId="77777777" w:rsidTr="001173BD">
        <w:trPr>
          <w:trHeight w:val="20"/>
          <w:jc w:val="center"/>
        </w:trPr>
        <w:tc>
          <w:tcPr>
            <w:tcW w:w="1328" w:type="pct"/>
            <w:shd w:val="clear" w:color="auto" w:fill="auto"/>
            <w:vAlign w:val="center"/>
            <w:hideMark/>
          </w:tcPr>
          <w:p w14:paraId="20136726" w14:textId="77777777" w:rsidR="00A448CA" w:rsidRPr="002048A7" w:rsidRDefault="00A448CA" w:rsidP="001173BD">
            <w:pPr>
              <w:spacing w:after="0" w:line="240" w:lineRule="auto"/>
              <w:rPr>
                <w:rFonts w:ascii="Calibri" w:eastAsia="Times New Roman" w:hAnsi="Calibri"/>
                <w:b/>
                <w:bCs/>
                <w:color w:val="000000"/>
                <w:lang w:eastAsia="tr-TR"/>
              </w:rPr>
            </w:pPr>
            <w:r w:rsidRPr="002048A7">
              <w:rPr>
                <w:rFonts w:ascii="Calibri" w:eastAsia="Times New Roman" w:hAnsi="Calibri"/>
                <w:b/>
                <w:bCs/>
                <w:color w:val="000000"/>
                <w:lang w:eastAsia="tr-TR"/>
              </w:rPr>
              <w:t>Toplam</w:t>
            </w:r>
          </w:p>
        </w:tc>
        <w:tc>
          <w:tcPr>
            <w:tcW w:w="940" w:type="pct"/>
            <w:shd w:val="clear" w:color="auto" w:fill="auto"/>
            <w:noWrap/>
            <w:vAlign w:val="center"/>
            <w:hideMark/>
          </w:tcPr>
          <w:p w14:paraId="2368E736" w14:textId="77777777" w:rsidR="00A448CA" w:rsidRPr="002048A7" w:rsidRDefault="00A448CA" w:rsidP="001173BD">
            <w:pPr>
              <w:spacing w:after="0" w:line="240" w:lineRule="auto"/>
              <w:jc w:val="right"/>
              <w:rPr>
                <w:rFonts w:ascii="Calibri" w:eastAsia="Times New Roman" w:hAnsi="Calibri"/>
                <w:color w:val="000000"/>
                <w:lang w:eastAsia="tr-TR"/>
              </w:rPr>
            </w:pPr>
            <w:r>
              <w:rPr>
                <w:rFonts w:ascii="Calibri" w:eastAsia="Times New Roman" w:hAnsi="Calibri"/>
                <w:b/>
                <w:bCs/>
                <w:color w:val="000000"/>
                <w:lang w:eastAsia="tr-TR"/>
              </w:rPr>
              <w:t>6.555</w:t>
            </w:r>
            <w:r w:rsidRPr="002048A7">
              <w:rPr>
                <w:rFonts w:ascii="Calibri" w:eastAsia="Times New Roman" w:hAnsi="Calibri"/>
                <w:b/>
                <w:bCs/>
                <w:color w:val="000000"/>
                <w:lang w:eastAsia="tr-TR"/>
              </w:rPr>
              <w:t xml:space="preserve"> </w:t>
            </w:r>
          </w:p>
        </w:tc>
        <w:tc>
          <w:tcPr>
            <w:tcW w:w="940" w:type="pct"/>
            <w:shd w:val="clear" w:color="auto" w:fill="auto"/>
            <w:vAlign w:val="center"/>
            <w:hideMark/>
          </w:tcPr>
          <w:p w14:paraId="0A7AC442" w14:textId="77777777" w:rsidR="00A448CA" w:rsidRPr="00FD454C" w:rsidRDefault="00A448CA" w:rsidP="001173BD">
            <w:pPr>
              <w:spacing w:after="0" w:line="240" w:lineRule="auto"/>
              <w:jc w:val="center"/>
              <w:rPr>
                <w:rFonts w:ascii="Calibri" w:eastAsia="Times New Roman" w:hAnsi="Calibri"/>
                <w:color w:val="000000"/>
                <w:lang w:eastAsia="tr-TR"/>
              </w:rPr>
            </w:pPr>
            <w:r>
              <w:rPr>
                <w:rFonts w:ascii="Calibri" w:eastAsia="Times New Roman" w:hAnsi="Calibri"/>
                <w:b/>
                <w:bCs/>
                <w:color w:val="000000"/>
                <w:lang w:eastAsia="tr-TR"/>
              </w:rPr>
              <w:t>74,97</w:t>
            </w:r>
          </w:p>
        </w:tc>
        <w:tc>
          <w:tcPr>
            <w:tcW w:w="896" w:type="pct"/>
            <w:shd w:val="clear" w:color="auto" w:fill="auto"/>
            <w:vAlign w:val="center"/>
            <w:hideMark/>
          </w:tcPr>
          <w:p w14:paraId="22C7CFF3" w14:textId="77777777" w:rsidR="00A448CA" w:rsidRPr="00FD454C" w:rsidRDefault="00A448CA" w:rsidP="001173BD">
            <w:pPr>
              <w:spacing w:after="0" w:line="240" w:lineRule="auto"/>
              <w:jc w:val="right"/>
              <w:rPr>
                <w:rFonts w:ascii="Calibri" w:eastAsia="Times New Roman" w:hAnsi="Calibri"/>
                <w:color w:val="000000"/>
                <w:lang w:eastAsia="tr-TR"/>
              </w:rPr>
            </w:pPr>
            <w:r>
              <w:rPr>
                <w:rFonts w:ascii="Calibri" w:eastAsia="Times New Roman" w:hAnsi="Calibri"/>
                <w:b/>
                <w:bCs/>
                <w:color w:val="000000"/>
                <w:lang w:eastAsia="tr-TR"/>
              </w:rPr>
              <w:t>2.307</w:t>
            </w:r>
          </w:p>
        </w:tc>
        <w:tc>
          <w:tcPr>
            <w:tcW w:w="896" w:type="pct"/>
            <w:shd w:val="clear" w:color="auto" w:fill="auto"/>
            <w:vAlign w:val="center"/>
            <w:hideMark/>
          </w:tcPr>
          <w:p w14:paraId="66816B0D" w14:textId="77777777" w:rsidR="00A448CA" w:rsidRPr="00FD454C" w:rsidRDefault="00A448CA" w:rsidP="001173BD">
            <w:pPr>
              <w:spacing w:after="0" w:line="240" w:lineRule="auto"/>
              <w:jc w:val="center"/>
              <w:rPr>
                <w:rFonts w:ascii="Calibri" w:eastAsia="Times New Roman" w:hAnsi="Calibri"/>
                <w:color w:val="000000"/>
                <w:lang w:eastAsia="tr-TR"/>
              </w:rPr>
            </w:pPr>
            <w:r w:rsidRPr="00FD454C">
              <w:rPr>
                <w:rFonts w:ascii="Calibri" w:eastAsia="Times New Roman" w:hAnsi="Calibri"/>
                <w:b/>
                <w:bCs/>
                <w:color w:val="000000"/>
                <w:lang w:eastAsia="tr-TR"/>
              </w:rPr>
              <w:t xml:space="preserve"> </w:t>
            </w:r>
            <w:r>
              <w:rPr>
                <w:rFonts w:ascii="Calibri" w:eastAsia="Times New Roman" w:hAnsi="Calibri"/>
                <w:b/>
                <w:bCs/>
                <w:color w:val="000000"/>
                <w:lang w:eastAsia="tr-TR"/>
              </w:rPr>
              <w:t>26,03</w:t>
            </w:r>
            <w:r w:rsidRPr="00FD454C">
              <w:rPr>
                <w:rFonts w:ascii="Calibri" w:eastAsia="Times New Roman" w:hAnsi="Calibri"/>
                <w:b/>
                <w:bCs/>
                <w:color w:val="000000"/>
                <w:lang w:eastAsia="tr-TR"/>
              </w:rPr>
              <w:t xml:space="preserve"> </w:t>
            </w:r>
          </w:p>
        </w:tc>
      </w:tr>
    </w:tbl>
    <w:p w14:paraId="0185A109" w14:textId="77777777" w:rsidR="00A448CA" w:rsidRPr="002048A7" w:rsidRDefault="00A448CA" w:rsidP="00A448CA">
      <w:pPr>
        <w:pStyle w:val="Balk5"/>
        <w:spacing w:after="240"/>
        <w:jc w:val="center"/>
        <w:rPr>
          <w:rStyle w:val="Gl"/>
          <w:bCs w:val="0"/>
          <w:color w:val="auto"/>
        </w:rPr>
      </w:pPr>
      <w:bookmarkStart w:id="355" w:name="_Toc94703944"/>
      <w:bookmarkStart w:id="356" w:name="_Toc195868856"/>
      <w:r w:rsidRPr="002048A7">
        <w:rPr>
          <w:rStyle w:val="Gl"/>
          <w:bCs w:val="0"/>
          <w:color w:val="auto"/>
        </w:rPr>
        <w:t>Tablo 8.7: 202</w:t>
      </w:r>
      <w:r>
        <w:rPr>
          <w:rStyle w:val="Gl"/>
          <w:bCs w:val="0"/>
          <w:color w:val="auto"/>
        </w:rPr>
        <w:t>4</w:t>
      </w:r>
      <w:r w:rsidRPr="002048A7">
        <w:rPr>
          <w:rStyle w:val="Gl"/>
          <w:bCs w:val="0"/>
          <w:color w:val="auto"/>
        </w:rPr>
        <w:t xml:space="preserve"> Yılı Sonu İtibariyle Kurumumuzun Taraf Olduğu Davalardan Sona Eren Davaların Sonuçları Bakımından Dağılımı</w:t>
      </w:r>
      <w:bookmarkEnd w:id="355"/>
      <w:bookmarkEnd w:id="356"/>
    </w:p>
    <w:tbl>
      <w:tblPr>
        <w:tblW w:w="4931"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70" w:type="dxa"/>
          <w:right w:w="70" w:type="dxa"/>
        </w:tblCellMar>
        <w:tblLook w:val="04A0" w:firstRow="1" w:lastRow="0" w:firstColumn="1" w:lastColumn="0" w:noHBand="0" w:noVBand="1"/>
      </w:tblPr>
      <w:tblGrid>
        <w:gridCol w:w="2792"/>
        <w:gridCol w:w="1812"/>
        <w:gridCol w:w="1814"/>
        <w:gridCol w:w="1679"/>
        <w:gridCol w:w="1677"/>
      </w:tblGrid>
      <w:tr w:rsidR="00A448CA" w:rsidRPr="002048A7" w14:paraId="4383DD77" w14:textId="77777777" w:rsidTr="001173BD">
        <w:trPr>
          <w:trHeight w:val="20"/>
          <w:jc w:val="center"/>
        </w:trPr>
        <w:tc>
          <w:tcPr>
            <w:tcW w:w="1428" w:type="pct"/>
            <w:vMerge w:val="restart"/>
            <w:shd w:val="clear" w:color="000000" w:fill="6E9ECA"/>
            <w:vAlign w:val="center"/>
            <w:hideMark/>
          </w:tcPr>
          <w:p w14:paraId="7E7F8E8A" w14:textId="77777777" w:rsidR="00A448CA" w:rsidRPr="002048A7" w:rsidRDefault="00A448CA" w:rsidP="001173BD">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Dava Türü</w:t>
            </w:r>
          </w:p>
        </w:tc>
        <w:tc>
          <w:tcPr>
            <w:tcW w:w="1855" w:type="pct"/>
            <w:gridSpan w:val="2"/>
            <w:shd w:val="clear" w:color="000000" w:fill="6E9ECA"/>
            <w:vAlign w:val="center"/>
            <w:hideMark/>
          </w:tcPr>
          <w:p w14:paraId="7E8C2DC8" w14:textId="77777777" w:rsidR="00A448CA" w:rsidRPr="002048A7" w:rsidRDefault="00A448CA" w:rsidP="001173BD">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Lehe Olanlar</w:t>
            </w:r>
          </w:p>
        </w:tc>
        <w:tc>
          <w:tcPr>
            <w:tcW w:w="1717" w:type="pct"/>
            <w:gridSpan w:val="2"/>
            <w:shd w:val="clear" w:color="000000" w:fill="6E9ECA"/>
            <w:vAlign w:val="center"/>
            <w:hideMark/>
          </w:tcPr>
          <w:p w14:paraId="62C53B61" w14:textId="77777777" w:rsidR="00A448CA" w:rsidRPr="002048A7" w:rsidRDefault="00A448CA" w:rsidP="001173BD">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Aleyhe Olanlar</w:t>
            </w:r>
          </w:p>
        </w:tc>
      </w:tr>
      <w:tr w:rsidR="00A448CA" w:rsidRPr="002048A7" w14:paraId="0718E3AE" w14:textId="77777777" w:rsidTr="001173BD">
        <w:trPr>
          <w:trHeight w:val="20"/>
          <w:jc w:val="center"/>
        </w:trPr>
        <w:tc>
          <w:tcPr>
            <w:tcW w:w="1428" w:type="pct"/>
            <w:vMerge/>
            <w:vAlign w:val="center"/>
            <w:hideMark/>
          </w:tcPr>
          <w:p w14:paraId="34D40748" w14:textId="77777777" w:rsidR="00A448CA" w:rsidRPr="002048A7" w:rsidRDefault="00A448CA" w:rsidP="001173BD">
            <w:pPr>
              <w:spacing w:after="0" w:line="240" w:lineRule="auto"/>
              <w:rPr>
                <w:rFonts w:ascii="Calibri" w:eastAsia="Times New Roman" w:hAnsi="Calibri"/>
                <w:b/>
                <w:bCs/>
                <w:color w:val="FFFFFF"/>
                <w:lang w:eastAsia="tr-TR"/>
              </w:rPr>
            </w:pPr>
          </w:p>
        </w:tc>
        <w:tc>
          <w:tcPr>
            <w:tcW w:w="927" w:type="pct"/>
            <w:shd w:val="clear" w:color="000000" w:fill="6E9ECA"/>
            <w:vAlign w:val="center"/>
            <w:hideMark/>
          </w:tcPr>
          <w:p w14:paraId="452821F5" w14:textId="77777777" w:rsidR="00A448CA" w:rsidRPr="002048A7" w:rsidRDefault="00A448CA" w:rsidP="001173BD">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Dava Sayısı</w:t>
            </w:r>
          </w:p>
        </w:tc>
        <w:tc>
          <w:tcPr>
            <w:tcW w:w="928" w:type="pct"/>
            <w:shd w:val="clear" w:color="000000" w:fill="6E9ECA"/>
            <w:vAlign w:val="center"/>
            <w:hideMark/>
          </w:tcPr>
          <w:p w14:paraId="2FAB94D0" w14:textId="77777777" w:rsidR="00A448CA" w:rsidRPr="002048A7" w:rsidRDefault="00A448CA" w:rsidP="001173BD">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Oran (%)</w:t>
            </w:r>
          </w:p>
        </w:tc>
        <w:tc>
          <w:tcPr>
            <w:tcW w:w="859" w:type="pct"/>
            <w:shd w:val="clear" w:color="000000" w:fill="6E9ECA"/>
            <w:vAlign w:val="center"/>
            <w:hideMark/>
          </w:tcPr>
          <w:p w14:paraId="6478BD1D" w14:textId="77777777" w:rsidR="00A448CA" w:rsidRPr="002048A7" w:rsidRDefault="00A448CA" w:rsidP="001173BD">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Dava Sayısı</w:t>
            </w:r>
          </w:p>
        </w:tc>
        <w:tc>
          <w:tcPr>
            <w:tcW w:w="858" w:type="pct"/>
            <w:shd w:val="clear" w:color="000000" w:fill="6E9ECA"/>
            <w:vAlign w:val="center"/>
            <w:hideMark/>
          </w:tcPr>
          <w:p w14:paraId="06FBDB4E" w14:textId="77777777" w:rsidR="00A448CA" w:rsidRPr="002048A7" w:rsidRDefault="00A448CA" w:rsidP="001173BD">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Oran (%)</w:t>
            </w:r>
          </w:p>
        </w:tc>
      </w:tr>
      <w:tr w:rsidR="00A448CA" w:rsidRPr="002048A7" w14:paraId="6A3C1F5B" w14:textId="77777777" w:rsidTr="001173BD">
        <w:trPr>
          <w:trHeight w:val="20"/>
          <w:jc w:val="center"/>
        </w:trPr>
        <w:tc>
          <w:tcPr>
            <w:tcW w:w="1428" w:type="pct"/>
            <w:shd w:val="clear" w:color="auto" w:fill="auto"/>
            <w:vAlign w:val="center"/>
            <w:hideMark/>
          </w:tcPr>
          <w:p w14:paraId="60E3415B" w14:textId="77777777" w:rsidR="00A448CA" w:rsidRPr="002048A7" w:rsidRDefault="00A448CA" w:rsidP="001173BD">
            <w:pPr>
              <w:spacing w:after="0" w:line="240" w:lineRule="auto"/>
              <w:rPr>
                <w:rFonts w:ascii="Calibri" w:eastAsia="Times New Roman" w:hAnsi="Calibri"/>
                <w:color w:val="000000"/>
                <w:lang w:eastAsia="tr-TR"/>
              </w:rPr>
            </w:pPr>
            <w:r w:rsidRPr="002048A7">
              <w:rPr>
                <w:rFonts w:ascii="Calibri" w:eastAsia="Times New Roman" w:hAnsi="Calibri"/>
                <w:color w:val="000000"/>
                <w:lang w:eastAsia="tr-TR"/>
              </w:rPr>
              <w:t>Ceza Davaları</w:t>
            </w:r>
          </w:p>
        </w:tc>
        <w:tc>
          <w:tcPr>
            <w:tcW w:w="927" w:type="pct"/>
            <w:shd w:val="clear" w:color="auto" w:fill="auto"/>
            <w:noWrap/>
            <w:vAlign w:val="center"/>
            <w:hideMark/>
          </w:tcPr>
          <w:p w14:paraId="094F3447" w14:textId="77777777" w:rsidR="00A448CA" w:rsidRPr="002048A7" w:rsidRDefault="00A448CA" w:rsidP="001173BD">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9.481</w:t>
            </w:r>
          </w:p>
        </w:tc>
        <w:tc>
          <w:tcPr>
            <w:tcW w:w="928" w:type="pct"/>
            <w:shd w:val="clear" w:color="auto" w:fill="auto"/>
            <w:noWrap/>
            <w:vAlign w:val="center"/>
            <w:hideMark/>
          </w:tcPr>
          <w:p w14:paraId="3E9530B4" w14:textId="77777777" w:rsidR="00A448CA" w:rsidRPr="002048A7" w:rsidRDefault="00A448CA" w:rsidP="001173BD">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88,</w:t>
            </w:r>
            <w:r>
              <w:rPr>
                <w:rFonts w:ascii="Calibri" w:eastAsia="Times New Roman" w:hAnsi="Calibri"/>
                <w:color w:val="000000"/>
                <w:lang w:eastAsia="tr-TR"/>
              </w:rPr>
              <w:t>08</w:t>
            </w:r>
            <w:r w:rsidRPr="002048A7">
              <w:rPr>
                <w:rFonts w:ascii="Calibri" w:eastAsia="Times New Roman" w:hAnsi="Calibri"/>
                <w:color w:val="000000"/>
                <w:lang w:eastAsia="tr-TR"/>
              </w:rPr>
              <w:t xml:space="preserve"> </w:t>
            </w:r>
          </w:p>
        </w:tc>
        <w:tc>
          <w:tcPr>
            <w:tcW w:w="859" w:type="pct"/>
            <w:shd w:val="clear" w:color="auto" w:fill="auto"/>
            <w:vAlign w:val="center"/>
            <w:hideMark/>
          </w:tcPr>
          <w:p w14:paraId="7C7A49F8" w14:textId="77777777" w:rsidR="00A448CA" w:rsidRPr="002048A7" w:rsidRDefault="00A448CA" w:rsidP="001173BD">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 xml:space="preserve"> </w:t>
            </w:r>
            <w:r>
              <w:rPr>
                <w:rFonts w:ascii="Calibri" w:eastAsia="Times New Roman" w:hAnsi="Calibri"/>
                <w:color w:val="000000"/>
                <w:lang w:eastAsia="tr-TR"/>
              </w:rPr>
              <w:t>1.283</w:t>
            </w:r>
            <w:r w:rsidRPr="002048A7">
              <w:rPr>
                <w:rFonts w:ascii="Calibri" w:eastAsia="Times New Roman" w:hAnsi="Calibri"/>
                <w:color w:val="000000"/>
                <w:lang w:eastAsia="tr-TR"/>
              </w:rPr>
              <w:t xml:space="preserve"> </w:t>
            </w:r>
          </w:p>
        </w:tc>
        <w:tc>
          <w:tcPr>
            <w:tcW w:w="858" w:type="pct"/>
            <w:shd w:val="clear" w:color="auto" w:fill="auto"/>
            <w:vAlign w:val="center"/>
            <w:hideMark/>
          </w:tcPr>
          <w:p w14:paraId="7A74B476" w14:textId="77777777" w:rsidR="00A448CA" w:rsidRPr="002048A7" w:rsidRDefault="00A448CA" w:rsidP="001173BD">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 xml:space="preserve"> </w:t>
            </w:r>
            <w:r>
              <w:rPr>
                <w:rFonts w:ascii="Calibri" w:eastAsia="Times New Roman" w:hAnsi="Calibri"/>
                <w:color w:val="000000"/>
                <w:lang w:eastAsia="tr-TR"/>
              </w:rPr>
              <w:t>11,92</w:t>
            </w:r>
            <w:r w:rsidRPr="002048A7">
              <w:rPr>
                <w:rFonts w:ascii="Calibri" w:eastAsia="Times New Roman" w:hAnsi="Calibri"/>
                <w:color w:val="000000"/>
                <w:lang w:eastAsia="tr-TR"/>
              </w:rPr>
              <w:t xml:space="preserve"> </w:t>
            </w:r>
          </w:p>
        </w:tc>
      </w:tr>
      <w:tr w:rsidR="00A448CA" w:rsidRPr="002048A7" w14:paraId="3D3AE13E" w14:textId="77777777" w:rsidTr="001173BD">
        <w:trPr>
          <w:trHeight w:val="20"/>
          <w:jc w:val="center"/>
        </w:trPr>
        <w:tc>
          <w:tcPr>
            <w:tcW w:w="1428" w:type="pct"/>
            <w:shd w:val="clear" w:color="auto" w:fill="auto"/>
            <w:vAlign w:val="center"/>
            <w:hideMark/>
          </w:tcPr>
          <w:p w14:paraId="1F8BD614" w14:textId="77777777" w:rsidR="00A448CA" w:rsidRPr="002048A7" w:rsidRDefault="00A448CA" w:rsidP="001173BD">
            <w:pPr>
              <w:spacing w:after="0" w:line="240" w:lineRule="auto"/>
              <w:rPr>
                <w:rFonts w:ascii="Calibri" w:eastAsia="Times New Roman" w:hAnsi="Calibri"/>
                <w:color w:val="000000"/>
                <w:lang w:eastAsia="tr-TR"/>
              </w:rPr>
            </w:pPr>
            <w:r w:rsidRPr="002048A7">
              <w:rPr>
                <w:rFonts w:ascii="Calibri" w:eastAsia="Times New Roman" w:hAnsi="Calibri"/>
                <w:color w:val="000000"/>
                <w:lang w:eastAsia="tr-TR"/>
              </w:rPr>
              <w:t>İdari Davalar</w:t>
            </w:r>
          </w:p>
        </w:tc>
        <w:tc>
          <w:tcPr>
            <w:tcW w:w="927" w:type="pct"/>
            <w:shd w:val="clear" w:color="auto" w:fill="auto"/>
            <w:noWrap/>
            <w:vAlign w:val="center"/>
            <w:hideMark/>
          </w:tcPr>
          <w:p w14:paraId="52A085F2" w14:textId="77777777" w:rsidR="00A448CA" w:rsidRPr="002048A7" w:rsidRDefault="00A448CA" w:rsidP="001173BD">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 xml:space="preserve">  </w:t>
            </w:r>
            <w:r>
              <w:rPr>
                <w:rFonts w:ascii="Calibri" w:eastAsia="Times New Roman" w:hAnsi="Calibri"/>
                <w:color w:val="000000"/>
                <w:lang w:eastAsia="tr-TR"/>
              </w:rPr>
              <w:t>15.825</w:t>
            </w:r>
            <w:r w:rsidRPr="002048A7">
              <w:rPr>
                <w:rFonts w:ascii="Calibri" w:eastAsia="Times New Roman" w:hAnsi="Calibri"/>
                <w:color w:val="000000"/>
                <w:lang w:eastAsia="tr-TR"/>
              </w:rPr>
              <w:t xml:space="preserve"> </w:t>
            </w:r>
          </w:p>
        </w:tc>
        <w:tc>
          <w:tcPr>
            <w:tcW w:w="928" w:type="pct"/>
            <w:shd w:val="clear" w:color="auto" w:fill="auto"/>
            <w:noWrap/>
            <w:vAlign w:val="center"/>
            <w:hideMark/>
          </w:tcPr>
          <w:p w14:paraId="733F7618" w14:textId="77777777" w:rsidR="00A448CA" w:rsidRPr="002048A7" w:rsidRDefault="00A448CA" w:rsidP="001173B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73,95</w:t>
            </w:r>
          </w:p>
        </w:tc>
        <w:tc>
          <w:tcPr>
            <w:tcW w:w="859" w:type="pct"/>
            <w:shd w:val="clear" w:color="auto" w:fill="auto"/>
            <w:vAlign w:val="center"/>
            <w:hideMark/>
          </w:tcPr>
          <w:p w14:paraId="64A2671C" w14:textId="77777777" w:rsidR="00A448CA" w:rsidRPr="002048A7" w:rsidRDefault="00A448CA" w:rsidP="001173BD">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 xml:space="preserve">  </w:t>
            </w:r>
            <w:r>
              <w:rPr>
                <w:rFonts w:ascii="Calibri" w:eastAsia="Times New Roman" w:hAnsi="Calibri"/>
                <w:color w:val="000000"/>
                <w:lang w:eastAsia="tr-TR"/>
              </w:rPr>
              <w:t>5.574</w:t>
            </w:r>
            <w:r w:rsidRPr="002048A7">
              <w:rPr>
                <w:rFonts w:ascii="Calibri" w:eastAsia="Times New Roman" w:hAnsi="Calibri"/>
                <w:color w:val="000000"/>
                <w:lang w:eastAsia="tr-TR"/>
              </w:rPr>
              <w:t xml:space="preserve"> </w:t>
            </w:r>
          </w:p>
        </w:tc>
        <w:tc>
          <w:tcPr>
            <w:tcW w:w="858" w:type="pct"/>
            <w:shd w:val="clear" w:color="auto" w:fill="auto"/>
            <w:vAlign w:val="center"/>
            <w:hideMark/>
          </w:tcPr>
          <w:p w14:paraId="455A88B2" w14:textId="77777777" w:rsidR="00A448CA" w:rsidRPr="002048A7" w:rsidRDefault="00A448CA" w:rsidP="001173BD">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 xml:space="preserve"> </w:t>
            </w:r>
            <w:r>
              <w:rPr>
                <w:rFonts w:ascii="Calibri" w:eastAsia="Times New Roman" w:hAnsi="Calibri"/>
                <w:color w:val="000000"/>
                <w:lang w:eastAsia="tr-TR"/>
              </w:rPr>
              <w:t>26,05</w:t>
            </w:r>
            <w:r w:rsidRPr="002048A7">
              <w:rPr>
                <w:rFonts w:ascii="Calibri" w:eastAsia="Times New Roman" w:hAnsi="Calibri"/>
                <w:color w:val="000000"/>
                <w:lang w:eastAsia="tr-TR"/>
              </w:rPr>
              <w:t xml:space="preserve"> </w:t>
            </w:r>
          </w:p>
        </w:tc>
      </w:tr>
      <w:tr w:rsidR="00A448CA" w:rsidRPr="002048A7" w14:paraId="240F073F" w14:textId="77777777" w:rsidTr="001173BD">
        <w:trPr>
          <w:trHeight w:val="20"/>
          <w:jc w:val="center"/>
        </w:trPr>
        <w:tc>
          <w:tcPr>
            <w:tcW w:w="1428" w:type="pct"/>
            <w:shd w:val="clear" w:color="auto" w:fill="auto"/>
            <w:vAlign w:val="center"/>
            <w:hideMark/>
          </w:tcPr>
          <w:p w14:paraId="16DFD36E" w14:textId="77777777" w:rsidR="00A448CA" w:rsidRPr="002048A7" w:rsidRDefault="00A448CA" w:rsidP="001173BD">
            <w:pPr>
              <w:spacing w:after="0" w:line="240" w:lineRule="auto"/>
              <w:rPr>
                <w:rFonts w:ascii="Calibri" w:eastAsia="Times New Roman" w:hAnsi="Calibri"/>
                <w:color w:val="000000"/>
                <w:lang w:eastAsia="tr-TR"/>
              </w:rPr>
            </w:pPr>
            <w:r w:rsidRPr="002048A7">
              <w:rPr>
                <w:rFonts w:ascii="Calibri" w:eastAsia="Times New Roman" w:hAnsi="Calibri"/>
                <w:color w:val="000000"/>
                <w:lang w:eastAsia="tr-TR"/>
              </w:rPr>
              <w:t>Hukuk Davaları</w:t>
            </w:r>
          </w:p>
        </w:tc>
        <w:tc>
          <w:tcPr>
            <w:tcW w:w="927" w:type="pct"/>
            <w:shd w:val="clear" w:color="auto" w:fill="auto"/>
            <w:noWrap/>
            <w:vAlign w:val="center"/>
            <w:hideMark/>
          </w:tcPr>
          <w:p w14:paraId="23BED683" w14:textId="77777777" w:rsidR="00A448CA" w:rsidRPr="002048A7" w:rsidRDefault="00A448CA" w:rsidP="001173BD">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20</w:t>
            </w:r>
            <w:r>
              <w:rPr>
                <w:rFonts w:ascii="Calibri" w:eastAsia="Times New Roman" w:hAnsi="Calibri"/>
                <w:color w:val="000000"/>
                <w:lang w:eastAsia="tr-TR"/>
              </w:rPr>
              <w:t>7</w:t>
            </w:r>
          </w:p>
        </w:tc>
        <w:tc>
          <w:tcPr>
            <w:tcW w:w="928" w:type="pct"/>
            <w:shd w:val="clear" w:color="auto" w:fill="auto"/>
            <w:noWrap/>
            <w:vAlign w:val="center"/>
            <w:hideMark/>
          </w:tcPr>
          <w:p w14:paraId="6B38383A" w14:textId="77777777" w:rsidR="00A448CA" w:rsidRPr="002048A7" w:rsidRDefault="00A448CA" w:rsidP="001173B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81,50</w:t>
            </w:r>
          </w:p>
        </w:tc>
        <w:tc>
          <w:tcPr>
            <w:tcW w:w="859" w:type="pct"/>
            <w:shd w:val="clear" w:color="auto" w:fill="auto"/>
            <w:vAlign w:val="center"/>
            <w:hideMark/>
          </w:tcPr>
          <w:p w14:paraId="66D204B3" w14:textId="77777777" w:rsidR="00A448CA" w:rsidRPr="002048A7" w:rsidRDefault="00A448CA" w:rsidP="001173BD">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 xml:space="preserve">  47 </w:t>
            </w:r>
          </w:p>
        </w:tc>
        <w:tc>
          <w:tcPr>
            <w:tcW w:w="858" w:type="pct"/>
            <w:shd w:val="clear" w:color="auto" w:fill="auto"/>
            <w:vAlign w:val="center"/>
            <w:hideMark/>
          </w:tcPr>
          <w:p w14:paraId="220B3C24" w14:textId="77777777" w:rsidR="00A448CA" w:rsidRPr="002048A7" w:rsidRDefault="00A448CA" w:rsidP="001173BD">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 xml:space="preserve"> </w:t>
            </w:r>
            <w:r>
              <w:rPr>
                <w:rFonts w:ascii="Calibri" w:eastAsia="Times New Roman" w:hAnsi="Calibri"/>
                <w:color w:val="000000"/>
                <w:lang w:eastAsia="tr-TR"/>
              </w:rPr>
              <w:t>18,50</w:t>
            </w:r>
            <w:r w:rsidRPr="002048A7">
              <w:rPr>
                <w:rFonts w:ascii="Calibri" w:eastAsia="Times New Roman" w:hAnsi="Calibri"/>
                <w:color w:val="000000"/>
                <w:lang w:eastAsia="tr-TR"/>
              </w:rPr>
              <w:t xml:space="preserve"> </w:t>
            </w:r>
          </w:p>
        </w:tc>
      </w:tr>
      <w:tr w:rsidR="00A448CA" w:rsidRPr="002048A7" w14:paraId="4B4841A0" w14:textId="77777777" w:rsidTr="001173BD">
        <w:trPr>
          <w:trHeight w:val="20"/>
          <w:jc w:val="center"/>
        </w:trPr>
        <w:tc>
          <w:tcPr>
            <w:tcW w:w="1428" w:type="pct"/>
            <w:shd w:val="clear" w:color="auto" w:fill="auto"/>
            <w:vAlign w:val="center"/>
            <w:hideMark/>
          </w:tcPr>
          <w:p w14:paraId="6F95D161" w14:textId="77777777" w:rsidR="00A448CA" w:rsidRPr="002048A7" w:rsidRDefault="00A448CA" w:rsidP="001173BD">
            <w:pPr>
              <w:spacing w:after="0" w:line="240" w:lineRule="auto"/>
              <w:rPr>
                <w:rFonts w:ascii="Calibri" w:eastAsia="Times New Roman" w:hAnsi="Calibri"/>
                <w:b/>
                <w:bCs/>
                <w:color w:val="000000"/>
                <w:lang w:eastAsia="tr-TR"/>
              </w:rPr>
            </w:pPr>
            <w:r w:rsidRPr="002048A7">
              <w:rPr>
                <w:rFonts w:ascii="Calibri" w:eastAsia="Times New Roman" w:hAnsi="Calibri"/>
                <w:b/>
                <w:bCs/>
                <w:color w:val="000000"/>
                <w:lang w:eastAsia="tr-TR"/>
              </w:rPr>
              <w:t>Toplam</w:t>
            </w:r>
          </w:p>
        </w:tc>
        <w:tc>
          <w:tcPr>
            <w:tcW w:w="927" w:type="pct"/>
            <w:shd w:val="clear" w:color="auto" w:fill="auto"/>
            <w:noWrap/>
            <w:vAlign w:val="center"/>
            <w:hideMark/>
          </w:tcPr>
          <w:p w14:paraId="618E59BE" w14:textId="77777777" w:rsidR="00A448CA" w:rsidRPr="002048A7" w:rsidRDefault="00A448CA" w:rsidP="001173BD">
            <w:pPr>
              <w:spacing w:after="0" w:line="240" w:lineRule="auto"/>
              <w:jc w:val="right"/>
              <w:rPr>
                <w:rFonts w:ascii="Calibri" w:eastAsia="Times New Roman" w:hAnsi="Calibri"/>
                <w:b/>
                <w:bCs/>
                <w:color w:val="000000"/>
                <w:lang w:eastAsia="tr-TR"/>
              </w:rPr>
            </w:pPr>
            <w:r>
              <w:rPr>
                <w:rFonts w:ascii="Calibri" w:eastAsia="Times New Roman" w:hAnsi="Calibri"/>
                <w:b/>
                <w:bCs/>
                <w:color w:val="000000"/>
                <w:lang w:eastAsia="tr-TR"/>
              </w:rPr>
              <w:t>25.513</w:t>
            </w:r>
          </w:p>
        </w:tc>
        <w:tc>
          <w:tcPr>
            <w:tcW w:w="928" w:type="pct"/>
            <w:shd w:val="clear" w:color="auto" w:fill="auto"/>
            <w:vAlign w:val="center"/>
            <w:hideMark/>
          </w:tcPr>
          <w:p w14:paraId="2D15B042" w14:textId="77777777" w:rsidR="00A448CA" w:rsidRPr="00FD454C" w:rsidRDefault="00A448CA" w:rsidP="001173BD">
            <w:pPr>
              <w:spacing w:after="0" w:line="240" w:lineRule="auto"/>
              <w:jc w:val="center"/>
              <w:rPr>
                <w:rFonts w:ascii="Calibri" w:eastAsia="Times New Roman" w:hAnsi="Calibri"/>
                <w:b/>
                <w:bCs/>
                <w:color w:val="000000"/>
                <w:lang w:eastAsia="tr-TR"/>
              </w:rPr>
            </w:pPr>
            <w:r>
              <w:rPr>
                <w:rFonts w:ascii="Calibri" w:eastAsia="Times New Roman" w:hAnsi="Calibri"/>
                <w:b/>
                <w:bCs/>
                <w:color w:val="000000"/>
                <w:lang w:eastAsia="tr-TR"/>
              </w:rPr>
              <w:t>78,70</w:t>
            </w:r>
          </w:p>
        </w:tc>
        <w:tc>
          <w:tcPr>
            <w:tcW w:w="859" w:type="pct"/>
            <w:shd w:val="clear" w:color="auto" w:fill="auto"/>
            <w:vAlign w:val="center"/>
            <w:hideMark/>
          </w:tcPr>
          <w:p w14:paraId="34178C79" w14:textId="77777777" w:rsidR="00A448CA" w:rsidRPr="00FD454C" w:rsidRDefault="00A448CA" w:rsidP="001173BD">
            <w:pPr>
              <w:spacing w:after="0" w:line="240" w:lineRule="auto"/>
              <w:jc w:val="right"/>
              <w:rPr>
                <w:rFonts w:ascii="Calibri" w:eastAsia="Times New Roman" w:hAnsi="Calibri"/>
                <w:b/>
                <w:bCs/>
                <w:color w:val="000000"/>
                <w:lang w:eastAsia="tr-TR"/>
              </w:rPr>
            </w:pPr>
            <w:r>
              <w:rPr>
                <w:rFonts w:ascii="Calibri" w:eastAsia="Times New Roman" w:hAnsi="Calibri"/>
                <w:b/>
                <w:bCs/>
                <w:color w:val="000000"/>
                <w:lang w:eastAsia="tr-TR"/>
              </w:rPr>
              <w:t>6.904</w:t>
            </w:r>
          </w:p>
        </w:tc>
        <w:tc>
          <w:tcPr>
            <w:tcW w:w="858" w:type="pct"/>
            <w:shd w:val="clear" w:color="auto" w:fill="auto"/>
            <w:vAlign w:val="center"/>
            <w:hideMark/>
          </w:tcPr>
          <w:p w14:paraId="0674D627" w14:textId="77777777" w:rsidR="00A448CA" w:rsidRPr="00FD454C" w:rsidRDefault="00A448CA" w:rsidP="001173BD">
            <w:pPr>
              <w:spacing w:after="0" w:line="240" w:lineRule="auto"/>
              <w:jc w:val="center"/>
              <w:rPr>
                <w:rFonts w:ascii="Calibri" w:eastAsia="Times New Roman" w:hAnsi="Calibri"/>
                <w:b/>
                <w:bCs/>
                <w:color w:val="000000"/>
                <w:lang w:eastAsia="tr-TR"/>
              </w:rPr>
            </w:pPr>
            <w:r>
              <w:rPr>
                <w:rFonts w:ascii="Calibri" w:eastAsia="Times New Roman" w:hAnsi="Calibri"/>
                <w:b/>
                <w:bCs/>
                <w:color w:val="000000"/>
                <w:lang w:eastAsia="tr-TR"/>
              </w:rPr>
              <w:t>21,30</w:t>
            </w:r>
          </w:p>
        </w:tc>
      </w:tr>
    </w:tbl>
    <w:p w14:paraId="2E0A7E74" w14:textId="77777777" w:rsidR="00A448CA" w:rsidRPr="00AE0C4A" w:rsidRDefault="00A448CA" w:rsidP="00A448CA">
      <w:pPr>
        <w:spacing w:after="0" w:line="240" w:lineRule="auto"/>
        <w:rPr>
          <w:rFonts w:ascii="Calibri" w:eastAsia="Times New Roman" w:hAnsi="Calibri"/>
          <w:lang w:eastAsia="tr-TR"/>
        </w:rPr>
      </w:pPr>
    </w:p>
    <w:p w14:paraId="63A1EE1F" w14:textId="77777777" w:rsidR="00A448CA" w:rsidRPr="008102B6" w:rsidRDefault="00A448CA" w:rsidP="00A448CA">
      <w:pPr>
        <w:pStyle w:val="Balk5"/>
        <w:spacing w:after="240"/>
        <w:jc w:val="center"/>
        <w:rPr>
          <w:rStyle w:val="Gl"/>
          <w:color w:val="auto"/>
        </w:rPr>
      </w:pPr>
      <w:bookmarkStart w:id="357" w:name="_Toc94703945"/>
      <w:bookmarkStart w:id="358" w:name="_Toc158307055"/>
      <w:bookmarkStart w:id="359" w:name="_Toc195868857"/>
      <w:r w:rsidRPr="008102B6">
        <w:rPr>
          <w:rStyle w:val="Gl"/>
          <w:bCs w:val="0"/>
          <w:color w:val="auto"/>
        </w:rPr>
        <w:t>Şekil 8.2:</w:t>
      </w:r>
      <w:r>
        <w:rPr>
          <w:rStyle w:val="Gl"/>
          <w:color w:val="auto"/>
        </w:rPr>
        <w:t xml:space="preserve"> 2024</w:t>
      </w:r>
      <w:r w:rsidRPr="008102B6">
        <w:rPr>
          <w:rStyle w:val="Gl"/>
          <w:color w:val="auto"/>
        </w:rPr>
        <w:t xml:space="preserve"> Yılı Sonu İtibariyle Kurumumuzun Taraf Olduğu Davaların Sonuçları Bakımından Dağılımı</w:t>
      </w:r>
      <w:bookmarkEnd w:id="357"/>
      <w:bookmarkEnd w:id="358"/>
      <w:bookmarkEnd w:id="359"/>
    </w:p>
    <w:p w14:paraId="56390E20" w14:textId="77777777" w:rsidR="00A448CA" w:rsidRPr="00AE0C4A" w:rsidRDefault="00A448CA" w:rsidP="00A448CA">
      <w:r w:rsidRPr="00AE0C4A">
        <w:rPr>
          <w:noProof/>
          <w:lang w:eastAsia="tr-TR"/>
        </w:rPr>
        <w:drawing>
          <wp:inline distT="0" distB="0" distL="0" distR="0" wp14:anchorId="13E30518" wp14:editId="07472045">
            <wp:extent cx="5763895" cy="2605177"/>
            <wp:effectExtent l="0" t="0" r="8255" b="5080"/>
            <wp:docPr id="21" name="Grafik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65DFCCEC" w14:textId="77777777" w:rsidR="00A448CA" w:rsidRDefault="00A448CA" w:rsidP="00A448CA">
      <w:pPr>
        <w:spacing w:after="0" w:line="240" w:lineRule="auto"/>
        <w:rPr>
          <w:rFonts w:ascii="Calibri" w:eastAsia="Times New Roman" w:hAnsi="Calibri"/>
          <w:lang w:eastAsia="tr-TR"/>
        </w:rPr>
      </w:pPr>
    </w:p>
    <w:p w14:paraId="55C557C5" w14:textId="77777777" w:rsidR="00A448CA" w:rsidRDefault="00A448CA" w:rsidP="00A448CA">
      <w:pPr>
        <w:spacing w:after="0" w:line="240" w:lineRule="auto"/>
        <w:rPr>
          <w:rFonts w:ascii="Calibri" w:eastAsia="Times New Roman" w:hAnsi="Calibri"/>
          <w:lang w:eastAsia="tr-TR"/>
        </w:rPr>
      </w:pPr>
    </w:p>
    <w:p w14:paraId="0EC4F8D6" w14:textId="77777777" w:rsidR="00A448CA" w:rsidRPr="00D76E9A" w:rsidRDefault="00A448CA" w:rsidP="00A448CA">
      <w:pPr>
        <w:pStyle w:val="ListeParagraf"/>
        <w:numPr>
          <w:ilvl w:val="0"/>
          <w:numId w:val="34"/>
        </w:numPr>
        <w:spacing w:after="0" w:line="240" w:lineRule="auto"/>
        <w:rPr>
          <w:rFonts w:ascii="Calibri" w:eastAsia="Times New Roman" w:hAnsi="Calibri"/>
          <w:lang w:eastAsia="tr-TR"/>
        </w:rPr>
      </w:pPr>
      <w:r w:rsidRPr="00D76E9A">
        <w:rPr>
          <w:rFonts w:ascii="Calibri" w:eastAsia="Times New Roman" w:hAnsi="Calibri"/>
          <w:lang w:eastAsia="tr-TR"/>
        </w:rPr>
        <w:t>Kurumumuzun taraf olduğu davalar ile ilgili olarak, 202</w:t>
      </w:r>
      <w:r>
        <w:rPr>
          <w:rFonts w:ascii="Calibri" w:eastAsia="Times New Roman" w:hAnsi="Calibri"/>
          <w:lang w:eastAsia="tr-TR"/>
        </w:rPr>
        <w:t>4</w:t>
      </w:r>
      <w:r w:rsidRPr="00D76E9A">
        <w:rPr>
          <w:rFonts w:ascii="Calibri" w:eastAsia="Times New Roman" w:hAnsi="Calibri"/>
          <w:lang w:eastAsia="tr-TR"/>
        </w:rPr>
        <w:t xml:space="preserve"> yılında 6</w:t>
      </w:r>
      <w:r>
        <w:rPr>
          <w:rFonts w:ascii="Calibri" w:eastAsia="Times New Roman" w:hAnsi="Calibri"/>
          <w:lang w:eastAsia="tr-TR"/>
        </w:rPr>
        <w:t>61</w:t>
      </w:r>
      <w:r w:rsidRPr="00D76E9A">
        <w:rPr>
          <w:rFonts w:ascii="Calibri" w:eastAsia="Times New Roman" w:hAnsi="Calibri"/>
          <w:lang w:eastAsia="tr-TR"/>
        </w:rPr>
        <w:t xml:space="preserve"> duruşmaya</w:t>
      </w:r>
      <w:r>
        <w:rPr>
          <w:rFonts w:ascii="Calibri" w:eastAsia="Times New Roman" w:hAnsi="Calibri"/>
          <w:lang w:eastAsia="tr-TR"/>
        </w:rPr>
        <w:t xml:space="preserve"> </w:t>
      </w:r>
      <w:r w:rsidRPr="00D76E9A">
        <w:rPr>
          <w:rFonts w:ascii="Calibri" w:eastAsia="Times New Roman" w:hAnsi="Calibri"/>
          <w:lang w:eastAsia="tr-TR"/>
        </w:rPr>
        <w:t>katılım sağlanmıştır.</w:t>
      </w:r>
    </w:p>
    <w:p w14:paraId="358ADC2B" w14:textId="77777777" w:rsidR="00A448CA" w:rsidRPr="00604359" w:rsidRDefault="00A448CA" w:rsidP="00A448CA">
      <w:pPr>
        <w:pStyle w:val="Balk2"/>
        <w:spacing w:after="240"/>
        <w:rPr>
          <w:rFonts w:asciiTheme="minorHAnsi" w:hAnsiTheme="minorHAnsi"/>
          <w:color w:val="auto"/>
          <w:sz w:val="22"/>
          <w:szCs w:val="22"/>
        </w:rPr>
      </w:pPr>
      <w:bookmarkStart w:id="360" w:name="_Toc158306952"/>
      <w:bookmarkStart w:id="361" w:name="_Toc195868759"/>
      <w:bookmarkStart w:id="362" w:name="_Toc94703852"/>
      <w:r w:rsidRPr="00604359">
        <w:rPr>
          <w:rFonts w:asciiTheme="minorHAnsi" w:hAnsiTheme="minorHAnsi"/>
          <w:color w:val="auto"/>
          <w:sz w:val="22"/>
          <w:szCs w:val="22"/>
        </w:rPr>
        <w:t>8.2. Arabuluculuk Faaliyetleri</w:t>
      </w:r>
      <w:bookmarkEnd w:id="360"/>
      <w:bookmarkEnd w:id="361"/>
    </w:p>
    <w:p w14:paraId="2B2D40D4" w14:textId="77777777" w:rsidR="00A448CA" w:rsidRDefault="00A448CA" w:rsidP="00A448CA">
      <w:pPr>
        <w:spacing w:after="0" w:line="240" w:lineRule="auto"/>
        <w:rPr>
          <w:rFonts w:ascii="Calibri" w:eastAsia="Times New Roman" w:hAnsi="Calibri"/>
          <w:lang w:eastAsia="tr-TR"/>
        </w:rPr>
      </w:pPr>
      <w:r>
        <w:rPr>
          <w:rFonts w:ascii="Calibri" w:eastAsia="Times New Roman" w:hAnsi="Calibri"/>
          <w:lang w:eastAsia="tr-TR"/>
        </w:rPr>
        <w:t>Kurumumuzun taraf olduğu arabuluculuk müzakereleri kapsamında belirlenen komisyon üyeleri tarafından 4 adedi 2024 yılında olmak üzere toplam 33 adet dosyadan arabuluculuk müzakeresine katılım sağlanmış olup, bu müzakerelerin tamamında anlaşamama tutanağı düzenlenmiştir.</w:t>
      </w:r>
    </w:p>
    <w:p w14:paraId="021CCB61" w14:textId="77777777" w:rsidR="00A448CA" w:rsidRDefault="00A448CA" w:rsidP="00A448CA">
      <w:pPr>
        <w:spacing w:after="0" w:line="240" w:lineRule="auto"/>
        <w:rPr>
          <w:rFonts w:ascii="Calibri" w:eastAsia="Times New Roman" w:hAnsi="Calibri"/>
          <w:lang w:eastAsia="tr-TR"/>
        </w:rPr>
      </w:pPr>
    </w:p>
    <w:p w14:paraId="25B2EADB" w14:textId="77777777" w:rsidR="00A448CA" w:rsidRPr="008102B6" w:rsidRDefault="00A448CA" w:rsidP="00A448CA">
      <w:pPr>
        <w:pStyle w:val="Balk5"/>
        <w:spacing w:after="240"/>
        <w:jc w:val="center"/>
        <w:rPr>
          <w:rStyle w:val="Gl"/>
          <w:color w:val="auto"/>
        </w:rPr>
      </w:pPr>
      <w:bookmarkStart w:id="363" w:name="_Toc158307056"/>
      <w:bookmarkStart w:id="364" w:name="_Toc195868858"/>
      <w:r w:rsidRPr="008102B6">
        <w:rPr>
          <w:rStyle w:val="Gl"/>
          <w:color w:val="auto"/>
        </w:rPr>
        <w:t>Tablo 8.8: Yıllar İtibariyle Arabuluculuk Dosya Sayısı Dağılımı</w:t>
      </w:r>
      <w:bookmarkEnd w:id="363"/>
      <w:bookmarkEnd w:id="364"/>
    </w:p>
    <w:tbl>
      <w:tblPr>
        <w:tblW w:w="2970"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70" w:type="dxa"/>
          <w:right w:w="70" w:type="dxa"/>
        </w:tblCellMar>
        <w:tblLook w:val="04A0" w:firstRow="1" w:lastRow="0" w:firstColumn="1" w:lastColumn="0" w:noHBand="0" w:noVBand="1"/>
      </w:tblPr>
      <w:tblGrid>
        <w:gridCol w:w="2011"/>
        <w:gridCol w:w="1825"/>
        <w:gridCol w:w="2051"/>
      </w:tblGrid>
      <w:tr w:rsidR="00A448CA" w:rsidRPr="00994ED7" w14:paraId="502E2282" w14:textId="77777777" w:rsidTr="001173BD">
        <w:trPr>
          <w:trHeight w:val="305"/>
          <w:jc w:val="center"/>
        </w:trPr>
        <w:tc>
          <w:tcPr>
            <w:tcW w:w="1708" w:type="pct"/>
            <w:shd w:val="clear" w:color="000000" w:fill="6E9ECA"/>
            <w:vAlign w:val="center"/>
            <w:hideMark/>
          </w:tcPr>
          <w:p w14:paraId="5BE8AA40" w14:textId="77777777" w:rsidR="00A448CA" w:rsidRPr="00994ED7" w:rsidRDefault="00A448CA" w:rsidP="001173BD">
            <w:pPr>
              <w:spacing w:after="0" w:line="240" w:lineRule="auto"/>
              <w:jc w:val="center"/>
              <w:rPr>
                <w:rFonts w:ascii="Calibri" w:eastAsia="Times New Roman" w:hAnsi="Calibri"/>
                <w:b/>
                <w:bCs/>
                <w:color w:val="FFFFFF"/>
                <w:lang w:eastAsia="tr-TR"/>
              </w:rPr>
            </w:pPr>
            <w:r>
              <w:rPr>
                <w:rFonts w:ascii="Calibri" w:eastAsia="Times New Roman" w:hAnsi="Calibri"/>
                <w:b/>
                <w:bCs/>
                <w:color w:val="FFFFFF"/>
                <w:lang w:eastAsia="tr-TR"/>
              </w:rPr>
              <w:t>2022 Yılı</w:t>
            </w:r>
          </w:p>
        </w:tc>
        <w:tc>
          <w:tcPr>
            <w:tcW w:w="1550" w:type="pct"/>
            <w:shd w:val="clear" w:color="000000" w:fill="6E9ECA"/>
            <w:vAlign w:val="center"/>
            <w:hideMark/>
          </w:tcPr>
          <w:p w14:paraId="07D8502A" w14:textId="77777777" w:rsidR="00A448CA" w:rsidRPr="00994ED7" w:rsidRDefault="00A448CA" w:rsidP="001173BD">
            <w:pPr>
              <w:spacing w:after="0" w:line="240" w:lineRule="auto"/>
              <w:jc w:val="center"/>
              <w:rPr>
                <w:rFonts w:ascii="Calibri" w:eastAsia="Times New Roman" w:hAnsi="Calibri"/>
                <w:b/>
                <w:bCs/>
                <w:color w:val="FFFFFF"/>
                <w:lang w:eastAsia="tr-TR"/>
              </w:rPr>
            </w:pPr>
            <w:r>
              <w:rPr>
                <w:rFonts w:ascii="Calibri" w:eastAsia="Times New Roman" w:hAnsi="Calibri"/>
                <w:b/>
                <w:bCs/>
                <w:color w:val="FFFFFF"/>
                <w:lang w:eastAsia="tr-TR"/>
              </w:rPr>
              <w:t>2023 Yılı</w:t>
            </w:r>
          </w:p>
        </w:tc>
        <w:tc>
          <w:tcPr>
            <w:tcW w:w="1742" w:type="pct"/>
            <w:shd w:val="clear" w:color="000000" w:fill="6E9ECA"/>
            <w:vAlign w:val="center"/>
            <w:hideMark/>
          </w:tcPr>
          <w:p w14:paraId="108818DA" w14:textId="77777777" w:rsidR="00A448CA" w:rsidRPr="00994ED7" w:rsidRDefault="00A448CA" w:rsidP="001173BD">
            <w:pPr>
              <w:spacing w:after="0" w:line="240" w:lineRule="auto"/>
              <w:jc w:val="center"/>
              <w:rPr>
                <w:rFonts w:ascii="Calibri" w:eastAsia="Times New Roman" w:hAnsi="Calibri"/>
                <w:b/>
                <w:bCs/>
                <w:color w:val="FFFFFF"/>
                <w:lang w:eastAsia="tr-TR"/>
              </w:rPr>
            </w:pPr>
            <w:r>
              <w:rPr>
                <w:rFonts w:ascii="Calibri" w:eastAsia="Times New Roman" w:hAnsi="Calibri"/>
                <w:b/>
                <w:bCs/>
                <w:color w:val="FFFFFF"/>
                <w:lang w:eastAsia="tr-TR"/>
              </w:rPr>
              <w:t>2024 Yılı</w:t>
            </w:r>
          </w:p>
        </w:tc>
      </w:tr>
      <w:tr w:rsidR="00A448CA" w:rsidRPr="00994ED7" w14:paraId="03D8F16D" w14:textId="77777777" w:rsidTr="001173BD">
        <w:trPr>
          <w:trHeight w:val="305"/>
          <w:jc w:val="center"/>
        </w:trPr>
        <w:tc>
          <w:tcPr>
            <w:tcW w:w="1708" w:type="pct"/>
            <w:shd w:val="clear" w:color="auto" w:fill="auto"/>
            <w:vAlign w:val="center"/>
            <w:hideMark/>
          </w:tcPr>
          <w:p w14:paraId="14EEC1BA" w14:textId="77777777" w:rsidR="00A448CA" w:rsidRPr="00994ED7" w:rsidRDefault="00A448CA" w:rsidP="001173B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6</w:t>
            </w:r>
          </w:p>
        </w:tc>
        <w:tc>
          <w:tcPr>
            <w:tcW w:w="1550" w:type="pct"/>
            <w:shd w:val="clear" w:color="auto" w:fill="auto"/>
            <w:noWrap/>
            <w:vAlign w:val="center"/>
            <w:hideMark/>
          </w:tcPr>
          <w:p w14:paraId="268AB0A6" w14:textId="77777777" w:rsidR="00A448CA" w:rsidRPr="00994ED7" w:rsidRDefault="00A448CA" w:rsidP="001173B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5</w:t>
            </w:r>
          </w:p>
        </w:tc>
        <w:tc>
          <w:tcPr>
            <w:tcW w:w="1742" w:type="pct"/>
            <w:shd w:val="clear" w:color="auto" w:fill="auto"/>
            <w:noWrap/>
            <w:vAlign w:val="center"/>
            <w:hideMark/>
          </w:tcPr>
          <w:p w14:paraId="31A78CFF" w14:textId="77777777" w:rsidR="00A448CA" w:rsidRPr="00994ED7" w:rsidRDefault="00A448CA" w:rsidP="001173B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4</w:t>
            </w:r>
          </w:p>
        </w:tc>
      </w:tr>
    </w:tbl>
    <w:p w14:paraId="34B28D75" w14:textId="77777777" w:rsidR="00A448CA" w:rsidRDefault="00A448CA" w:rsidP="00A448CA">
      <w:pPr>
        <w:spacing w:after="0" w:line="240" w:lineRule="auto"/>
        <w:rPr>
          <w:rFonts w:ascii="Calibri" w:eastAsia="Times New Roman" w:hAnsi="Calibri"/>
          <w:lang w:eastAsia="tr-TR"/>
        </w:rPr>
      </w:pPr>
    </w:p>
    <w:p w14:paraId="40E99772" w14:textId="77777777" w:rsidR="00A448CA" w:rsidRPr="00604359" w:rsidRDefault="00A448CA" w:rsidP="00A448CA">
      <w:pPr>
        <w:pStyle w:val="Balk2"/>
        <w:spacing w:after="240"/>
        <w:rPr>
          <w:rFonts w:asciiTheme="minorHAnsi" w:hAnsiTheme="minorHAnsi"/>
          <w:color w:val="auto"/>
          <w:sz w:val="22"/>
          <w:szCs w:val="22"/>
        </w:rPr>
      </w:pPr>
      <w:bookmarkStart w:id="365" w:name="_Toc158306953"/>
      <w:bookmarkStart w:id="366" w:name="_Toc195868760"/>
      <w:r w:rsidRPr="00604359">
        <w:rPr>
          <w:rFonts w:asciiTheme="minorHAnsi" w:hAnsiTheme="minorHAnsi"/>
          <w:color w:val="auto"/>
          <w:sz w:val="22"/>
          <w:szCs w:val="22"/>
        </w:rPr>
        <w:t>8.3. Görüş Verme</w:t>
      </w:r>
      <w:bookmarkEnd w:id="362"/>
      <w:bookmarkEnd w:id="365"/>
      <w:bookmarkEnd w:id="366"/>
    </w:p>
    <w:p w14:paraId="5C63D75D" w14:textId="77777777" w:rsidR="00A448CA" w:rsidRPr="00AE0C4A" w:rsidRDefault="00A448CA" w:rsidP="00A448CA">
      <w:pPr>
        <w:rPr>
          <w:rFonts w:ascii="Calibri" w:hAnsi="Calibri"/>
        </w:rPr>
      </w:pPr>
      <w:r w:rsidRPr="00AE0C4A">
        <w:rPr>
          <w:rFonts w:ascii="Calibri" w:hAnsi="Calibri"/>
        </w:rPr>
        <w:t>Kurumumuzun hizmet birimlerine, çalışmalarını yürüttükleri mevzuat hazırlama gibi düzenleyici işlemler ile Kurumumuzu bağlayacak, Kurumumuza yükümlülük getirecek ya da Kurumumuzun veya mensuplarının taraf olabileceği ihtilaflara yol açabilecek nitelikteki işlemleri tesis etmeden önce veya hukuki bir konuyla ilgili görüş verilmektedir. Ayrıca Kurumumuz hizmet birimleri dışında, Cumhurbaşkanlığı, Bakanlıklar ve diğer Kamu Kurum ve Kuruluşlarına da görüş verilmektedir.</w:t>
      </w:r>
    </w:p>
    <w:p w14:paraId="7D49FAA6" w14:textId="77777777" w:rsidR="00A448CA" w:rsidRPr="00994ED7" w:rsidRDefault="00A448CA" w:rsidP="00A448CA">
      <w:pPr>
        <w:autoSpaceDE w:val="0"/>
        <w:autoSpaceDN w:val="0"/>
        <w:adjustRightInd w:val="0"/>
        <w:spacing w:after="0"/>
        <w:ind w:firstLine="360"/>
        <w:rPr>
          <w:rFonts w:ascii="Calibri" w:hAnsi="Calibri"/>
          <w:bCs/>
        </w:rPr>
      </w:pPr>
      <w:r w:rsidRPr="00AE0C4A">
        <w:rPr>
          <w:rFonts w:ascii="Calibri" w:hAnsi="Calibri"/>
          <w:bCs/>
        </w:rPr>
        <w:t xml:space="preserve">Bu </w:t>
      </w:r>
      <w:r w:rsidRPr="00994ED7">
        <w:rPr>
          <w:rFonts w:ascii="Calibri" w:hAnsi="Calibri"/>
          <w:bCs/>
        </w:rPr>
        <w:t>kapsamda;</w:t>
      </w:r>
    </w:p>
    <w:p w14:paraId="1A21B9C7" w14:textId="77777777" w:rsidR="00A448CA" w:rsidRPr="00994ED7" w:rsidRDefault="00A448CA" w:rsidP="00A448CA">
      <w:pPr>
        <w:numPr>
          <w:ilvl w:val="0"/>
          <w:numId w:val="16"/>
        </w:numPr>
        <w:autoSpaceDE w:val="0"/>
        <w:autoSpaceDN w:val="0"/>
        <w:adjustRightInd w:val="0"/>
        <w:spacing w:after="0"/>
        <w:contextualSpacing/>
        <w:rPr>
          <w:rFonts w:ascii="Calibri" w:hAnsi="Calibri"/>
          <w:bCs/>
        </w:rPr>
      </w:pPr>
      <w:r w:rsidRPr="00994ED7">
        <w:rPr>
          <w:rFonts w:ascii="Calibri" w:hAnsi="Calibri"/>
          <w:bCs/>
        </w:rPr>
        <w:t>202</w:t>
      </w:r>
      <w:r>
        <w:rPr>
          <w:rFonts w:ascii="Calibri" w:hAnsi="Calibri"/>
          <w:bCs/>
        </w:rPr>
        <w:t>4</w:t>
      </w:r>
      <w:r w:rsidRPr="00994ED7">
        <w:rPr>
          <w:rFonts w:ascii="Calibri" w:hAnsi="Calibri"/>
          <w:bCs/>
        </w:rPr>
        <w:t xml:space="preserve"> yılında </w:t>
      </w:r>
      <w:r>
        <w:rPr>
          <w:rFonts w:ascii="Calibri" w:hAnsi="Calibri"/>
          <w:bCs/>
        </w:rPr>
        <w:t>130</w:t>
      </w:r>
      <w:r w:rsidRPr="00A20F85">
        <w:rPr>
          <w:rFonts w:ascii="Calibri" w:hAnsi="Calibri"/>
          <w:bCs/>
        </w:rPr>
        <w:t xml:space="preserve"> adet hukuki görüş verilmiştir</w:t>
      </w:r>
      <w:r w:rsidRPr="00994ED7">
        <w:rPr>
          <w:rFonts w:ascii="Calibri" w:hAnsi="Calibri"/>
          <w:bCs/>
        </w:rPr>
        <w:t>.</w:t>
      </w:r>
    </w:p>
    <w:p w14:paraId="1AE0CA5B" w14:textId="59269A43" w:rsidR="00A448CA" w:rsidRPr="00994ED7" w:rsidRDefault="00A448CA" w:rsidP="00A448CA">
      <w:pPr>
        <w:numPr>
          <w:ilvl w:val="0"/>
          <w:numId w:val="16"/>
        </w:numPr>
        <w:autoSpaceDE w:val="0"/>
        <w:autoSpaceDN w:val="0"/>
        <w:adjustRightInd w:val="0"/>
        <w:spacing w:after="0"/>
        <w:contextualSpacing/>
        <w:rPr>
          <w:rFonts w:ascii="Calibri" w:hAnsi="Calibri"/>
          <w:bCs/>
        </w:rPr>
      </w:pPr>
      <w:r w:rsidRPr="00994ED7">
        <w:rPr>
          <w:rFonts w:ascii="Calibri" w:hAnsi="Calibri"/>
          <w:bCs/>
        </w:rPr>
        <w:t>31.12.202</w:t>
      </w:r>
      <w:r>
        <w:rPr>
          <w:rFonts w:ascii="Calibri" w:hAnsi="Calibri"/>
          <w:bCs/>
        </w:rPr>
        <w:t>4</w:t>
      </w:r>
      <w:r w:rsidRPr="00994ED7">
        <w:rPr>
          <w:rFonts w:ascii="Calibri" w:hAnsi="Calibri"/>
          <w:bCs/>
        </w:rPr>
        <w:t xml:space="preserve"> tarihi itibariyle toplam </w:t>
      </w:r>
      <w:r>
        <w:rPr>
          <w:rFonts w:ascii="Calibri" w:hAnsi="Calibri"/>
          <w:bCs/>
        </w:rPr>
        <w:t>3.465</w:t>
      </w:r>
      <w:r w:rsidRPr="00A20F85">
        <w:rPr>
          <w:rFonts w:ascii="Calibri" w:hAnsi="Calibri"/>
          <w:bCs/>
        </w:rPr>
        <w:t xml:space="preserve"> adet hukuki görüş verilmiştir</w:t>
      </w:r>
      <w:r w:rsidRPr="00994ED7">
        <w:rPr>
          <w:rFonts w:ascii="Calibri" w:hAnsi="Calibri"/>
          <w:bCs/>
        </w:rPr>
        <w:t>.</w:t>
      </w:r>
    </w:p>
    <w:p w14:paraId="3CBFCE57" w14:textId="77777777" w:rsidR="00A448CA" w:rsidRDefault="00A448CA" w:rsidP="00A448CA">
      <w:pPr>
        <w:spacing w:after="0" w:line="240" w:lineRule="auto"/>
        <w:rPr>
          <w:rFonts w:ascii="Calibri" w:eastAsia="Times New Roman" w:hAnsi="Calibri"/>
          <w:b/>
          <w:bCs/>
          <w:color w:val="000000"/>
          <w:lang w:eastAsia="tr-TR"/>
        </w:rPr>
      </w:pPr>
    </w:p>
    <w:p w14:paraId="255BABCF" w14:textId="77777777" w:rsidR="00A448CA" w:rsidRDefault="00A448CA" w:rsidP="00A448CA">
      <w:pPr>
        <w:spacing w:after="0" w:line="240" w:lineRule="auto"/>
        <w:rPr>
          <w:rFonts w:ascii="Calibri" w:eastAsia="Times New Roman" w:hAnsi="Calibri"/>
          <w:b/>
          <w:bCs/>
          <w:color w:val="000000"/>
          <w:lang w:eastAsia="tr-TR"/>
        </w:rPr>
      </w:pPr>
    </w:p>
    <w:p w14:paraId="48DAF39F" w14:textId="77777777" w:rsidR="00A448CA" w:rsidRPr="00994ED7" w:rsidRDefault="00A448CA" w:rsidP="00A448CA">
      <w:pPr>
        <w:spacing w:after="0" w:line="240" w:lineRule="auto"/>
        <w:rPr>
          <w:rFonts w:ascii="Calibri" w:eastAsia="Times New Roman" w:hAnsi="Calibri"/>
          <w:b/>
          <w:bCs/>
          <w:color w:val="000000"/>
          <w:lang w:eastAsia="tr-TR"/>
        </w:rPr>
      </w:pPr>
    </w:p>
    <w:p w14:paraId="12C10949" w14:textId="77777777" w:rsidR="00A448CA" w:rsidRPr="008102B6" w:rsidRDefault="00A448CA" w:rsidP="00A448CA">
      <w:pPr>
        <w:pStyle w:val="Balk5"/>
        <w:spacing w:before="0" w:after="240"/>
        <w:jc w:val="center"/>
        <w:rPr>
          <w:rStyle w:val="Gl"/>
          <w:color w:val="auto"/>
        </w:rPr>
      </w:pPr>
      <w:bookmarkStart w:id="367" w:name="_Toc94703946"/>
      <w:bookmarkStart w:id="368" w:name="_Toc158307057"/>
      <w:bookmarkStart w:id="369" w:name="_Toc195868859"/>
      <w:r w:rsidRPr="008102B6">
        <w:rPr>
          <w:rStyle w:val="Gl"/>
          <w:color w:val="auto"/>
        </w:rPr>
        <w:t>Tablo 8.9: 202</w:t>
      </w:r>
      <w:r>
        <w:rPr>
          <w:rStyle w:val="Gl"/>
          <w:color w:val="auto"/>
        </w:rPr>
        <w:t>4</w:t>
      </w:r>
      <w:r w:rsidRPr="008102B6">
        <w:rPr>
          <w:rStyle w:val="Gl"/>
          <w:color w:val="auto"/>
        </w:rPr>
        <w:t xml:space="preserve"> Yılı Sonu İtibariyle Hukuk Dairesi Başkanlığı Tarafından Verilen Görüşlerin Dağılımı</w:t>
      </w:r>
      <w:bookmarkEnd w:id="367"/>
      <w:bookmarkEnd w:id="368"/>
      <w:bookmarkEnd w:id="369"/>
    </w:p>
    <w:tbl>
      <w:tblPr>
        <w:tblpPr w:leftFromText="141" w:rightFromText="141" w:vertAnchor="text" w:horzAnchor="margin" w:tblpY="45"/>
        <w:tblW w:w="4808" w:type="pct"/>
        <w:tblCellMar>
          <w:left w:w="70" w:type="dxa"/>
          <w:right w:w="70" w:type="dxa"/>
        </w:tblCellMar>
        <w:tblLook w:val="04A0" w:firstRow="1" w:lastRow="0" w:firstColumn="1" w:lastColumn="0" w:noHBand="0" w:noVBand="1"/>
      </w:tblPr>
      <w:tblGrid>
        <w:gridCol w:w="6625"/>
        <w:gridCol w:w="1485"/>
        <w:gridCol w:w="1411"/>
      </w:tblGrid>
      <w:tr w:rsidR="00A448CA" w:rsidRPr="00AE0C4A" w14:paraId="07EE2845" w14:textId="77777777" w:rsidTr="001173BD">
        <w:trPr>
          <w:trHeight w:val="20"/>
        </w:trPr>
        <w:tc>
          <w:tcPr>
            <w:tcW w:w="3479" w:type="pct"/>
            <w:tcBorders>
              <w:top w:val="single" w:sz="8" w:space="0" w:color="BFBFBF"/>
              <w:left w:val="single" w:sz="8" w:space="0" w:color="BFBFBF"/>
              <w:bottom w:val="single" w:sz="8" w:space="0" w:color="BFBFBF"/>
              <w:right w:val="single" w:sz="8" w:space="0" w:color="BFBFBF"/>
            </w:tcBorders>
            <w:shd w:val="clear" w:color="000000" w:fill="6E9ECA"/>
            <w:vAlign w:val="center"/>
            <w:hideMark/>
          </w:tcPr>
          <w:p w14:paraId="128DE5ED" w14:textId="77777777" w:rsidR="00A448CA" w:rsidRPr="00AE0C4A" w:rsidRDefault="00A448CA" w:rsidP="001173BD">
            <w:pPr>
              <w:spacing w:after="0" w:line="240" w:lineRule="auto"/>
              <w:jc w:val="center"/>
              <w:rPr>
                <w:rFonts w:ascii="Calibri" w:eastAsia="Times New Roman" w:hAnsi="Calibri"/>
                <w:b/>
                <w:bCs/>
                <w:color w:val="FFFFFF"/>
                <w:lang w:eastAsia="tr-TR"/>
              </w:rPr>
            </w:pPr>
            <w:r w:rsidRPr="00AE0C4A">
              <w:rPr>
                <w:rFonts w:ascii="Calibri" w:eastAsia="Times New Roman" w:hAnsi="Calibri"/>
                <w:b/>
                <w:bCs/>
                <w:color w:val="FFFFFF"/>
                <w:lang w:eastAsia="tr-TR"/>
              </w:rPr>
              <w:t>Görüş Verilen Yerler</w:t>
            </w:r>
          </w:p>
        </w:tc>
        <w:tc>
          <w:tcPr>
            <w:tcW w:w="780" w:type="pct"/>
            <w:tcBorders>
              <w:top w:val="single" w:sz="8" w:space="0" w:color="BFBFBF"/>
              <w:left w:val="nil"/>
              <w:bottom w:val="single" w:sz="8" w:space="0" w:color="BFBFBF"/>
              <w:right w:val="single" w:sz="8" w:space="0" w:color="BFBFBF"/>
            </w:tcBorders>
            <w:shd w:val="clear" w:color="000000" w:fill="6E9ECA"/>
            <w:vAlign w:val="center"/>
            <w:hideMark/>
          </w:tcPr>
          <w:p w14:paraId="68BA759C" w14:textId="77777777" w:rsidR="00A448CA" w:rsidRPr="00AE0C4A" w:rsidRDefault="00A448CA" w:rsidP="001173BD">
            <w:pPr>
              <w:spacing w:after="0" w:line="240" w:lineRule="auto"/>
              <w:jc w:val="center"/>
              <w:rPr>
                <w:rFonts w:ascii="Calibri" w:eastAsia="Times New Roman" w:hAnsi="Calibri"/>
                <w:b/>
                <w:bCs/>
                <w:color w:val="FFFFFF"/>
                <w:lang w:eastAsia="tr-TR"/>
              </w:rPr>
            </w:pPr>
            <w:r w:rsidRPr="00AE0C4A">
              <w:rPr>
                <w:rFonts w:ascii="Calibri" w:eastAsia="Times New Roman" w:hAnsi="Calibri"/>
                <w:b/>
                <w:bCs/>
                <w:color w:val="FFFFFF"/>
                <w:lang w:eastAsia="tr-TR"/>
              </w:rPr>
              <w:t>Görüş Sayısı</w:t>
            </w:r>
          </w:p>
        </w:tc>
        <w:tc>
          <w:tcPr>
            <w:tcW w:w="741" w:type="pct"/>
            <w:tcBorders>
              <w:top w:val="single" w:sz="8" w:space="0" w:color="BFBFBF"/>
              <w:left w:val="nil"/>
              <w:bottom w:val="single" w:sz="8" w:space="0" w:color="BFBFBF"/>
              <w:right w:val="single" w:sz="8" w:space="0" w:color="BFBFBF"/>
            </w:tcBorders>
            <w:shd w:val="clear" w:color="000000" w:fill="6E9ECA"/>
            <w:vAlign w:val="center"/>
            <w:hideMark/>
          </w:tcPr>
          <w:p w14:paraId="543ECA92" w14:textId="77777777" w:rsidR="00A448CA" w:rsidRPr="00AE0C4A" w:rsidRDefault="00A448CA" w:rsidP="001173BD">
            <w:pPr>
              <w:spacing w:after="0" w:line="240" w:lineRule="auto"/>
              <w:jc w:val="center"/>
              <w:rPr>
                <w:rFonts w:ascii="Calibri" w:eastAsia="Times New Roman" w:hAnsi="Calibri"/>
                <w:b/>
                <w:bCs/>
                <w:color w:val="FFFFFF"/>
                <w:lang w:eastAsia="tr-TR"/>
              </w:rPr>
            </w:pPr>
            <w:r w:rsidRPr="00AE0C4A">
              <w:rPr>
                <w:rFonts w:ascii="Calibri" w:eastAsia="Times New Roman" w:hAnsi="Calibri"/>
                <w:b/>
                <w:bCs/>
                <w:color w:val="FFFFFF"/>
                <w:lang w:eastAsia="tr-TR"/>
              </w:rPr>
              <w:t>Oran (%)</w:t>
            </w:r>
          </w:p>
        </w:tc>
      </w:tr>
      <w:tr w:rsidR="00A448CA" w:rsidRPr="00AE0C4A" w14:paraId="7B784979" w14:textId="77777777" w:rsidTr="001173BD">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14:paraId="568BA1C0" w14:textId="77777777" w:rsidR="00A448CA" w:rsidRPr="00AE0C4A" w:rsidRDefault="00A448CA" w:rsidP="001173BD">
            <w:pPr>
              <w:spacing w:after="0" w:line="240" w:lineRule="auto"/>
              <w:rPr>
                <w:rFonts w:ascii="Calibri" w:eastAsia="Times New Roman" w:hAnsi="Calibri"/>
                <w:color w:val="000000"/>
                <w:lang w:eastAsia="tr-TR"/>
              </w:rPr>
            </w:pPr>
            <w:r w:rsidRPr="00AE0C4A">
              <w:rPr>
                <w:rFonts w:ascii="Calibri" w:eastAsia="Times New Roman" w:hAnsi="Calibri"/>
                <w:color w:val="000000"/>
                <w:lang w:eastAsia="tr-TR"/>
              </w:rPr>
              <w:t>Elektrik Piyasası Dairesi Başkanlığı</w:t>
            </w:r>
          </w:p>
        </w:tc>
        <w:tc>
          <w:tcPr>
            <w:tcW w:w="780" w:type="pct"/>
            <w:tcBorders>
              <w:top w:val="nil"/>
              <w:left w:val="nil"/>
              <w:bottom w:val="single" w:sz="8" w:space="0" w:color="BFBFBF"/>
              <w:right w:val="single" w:sz="8" w:space="0" w:color="BFBFBF"/>
            </w:tcBorders>
            <w:shd w:val="clear" w:color="auto" w:fill="auto"/>
            <w:noWrap/>
            <w:vAlign w:val="center"/>
            <w:hideMark/>
          </w:tcPr>
          <w:p w14:paraId="45C935EA" w14:textId="77777777" w:rsidR="00A448CA" w:rsidRPr="00AE0C4A" w:rsidRDefault="00A448CA" w:rsidP="001173BD">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875</w:t>
            </w:r>
            <w:r w:rsidRPr="00AE0C4A">
              <w:rPr>
                <w:rFonts w:ascii="Calibri" w:eastAsia="Times New Roman" w:hAnsi="Calibri"/>
                <w:color w:val="000000"/>
                <w:lang w:eastAsia="tr-TR"/>
              </w:rPr>
              <w:t xml:space="preserve">  </w:t>
            </w:r>
          </w:p>
        </w:tc>
        <w:tc>
          <w:tcPr>
            <w:tcW w:w="741" w:type="pct"/>
            <w:tcBorders>
              <w:top w:val="nil"/>
              <w:left w:val="nil"/>
              <w:bottom w:val="single" w:sz="8" w:space="0" w:color="BFBFBF"/>
              <w:right w:val="single" w:sz="8" w:space="0" w:color="BFBFBF"/>
            </w:tcBorders>
            <w:shd w:val="clear" w:color="auto" w:fill="auto"/>
            <w:noWrap/>
            <w:vAlign w:val="bottom"/>
            <w:hideMark/>
          </w:tcPr>
          <w:p w14:paraId="532632D0" w14:textId="77777777" w:rsidR="00A448CA" w:rsidRPr="00AE0C4A" w:rsidRDefault="00A448CA" w:rsidP="001173BD">
            <w:pPr>
              <w:spacing w:after="0" w:line="240" w:lineRule="auto"/>
              <w:jc w:val="center"/>
              <w:rPr>
                <w:rFonts w:ascii="Calibri" w:eastAsia="Times New Roman" w:hAnsi="Calibri"/>
                <w:color w:val="000000"/>
                <w:lang w:eastAsia="tr-TR"/>
              </w:rPr>
            </w:pPr>
            <w:r>
              <w:rPr>
                <w:rFonts w:ascii="Calibri" w:hAnsi="Calibri"/>
                <w:color w:val="000000"/>
              </w:rPr>
              <w:t>25,78</w:t>
            </w:r>
          </w:p>
        </w:tc>
      </w:tr>
      <w:tr w:rsidR="00A448CA" w:rsidRPr="00AE0C4A" w14:paraId="70170AFA" w14:textId="77777777" w:rsidTr="001173BD">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14:paraId="50A7A715" w14:textId="77777777" w:rsidR="00A448CA" w:rsidRPr="00AE0C4A" w:rsidRDefault="00A448CA" w:rsidP="001173BD">
            <w:pPr>
              <w:spacing w:after="0" w:line="240" w:lineRule="auto"/>
              <w:rPr>
                <w:rFonts w:ascii="Calibri" w:eastAsia="Times New Roman" w:hAnsi="Calibri"/>
                <w:color w:val="000000"/>
                <w:lang w:eastAsia="tr-TR"/>
              </w:rPr>
            </w:pPr>
            <w:r w:rsidRPr="00AE0C4A">
              <w:rPr>
                <w:rFonts w:ascii="Calibri" w:eastAsia="Times New Roman" w:hAnsi="Calibri"/>
                <w:color w:val="000000"/>
                <w:lang w:eastAsia="tr-TR"/>
              </w:rPr>
              <w:t>Doğal Gaz Piyasası Dairesi Başkanlığı</w:t>
            </w:r>
          </w:p>
        </w:tc>
        <w:tc>
          <w:tcPr>
            <w:tcW w:w="780" w:type="pct"/>
            <w:tcBorders>
              <w:top w:val="nil"/>
              <w:left w:val="nil"/>
              <w:bottom w:val="single" w:sz="8" w:space="0" w:color="BFBFBF"/>
              <w:right w:val="single" w:sz="8" w:space="0" w:color="BFBFBF"/>
            </w:tcBorders>
            <w:shd w:val="clear" w:color="auto" w:fill="auto"/>
            <w:noWrap/>
            <w:vAlign w:val="center"/>
            <w:hideMark/>
          </w:tcPr>
          <w:p w14:paraId="4AC1C1D8" w14:textId="77777777" w:rsidR="00A448CA" w:rsidRPr="00AE0C4A" w:rsidRDefault="00A448CA" w:rsidP="001173BD">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468</w:t>
            </w:r>
          </w:p>
        </w:tc>
        <w:tc>
          <w:tcPr>
            <w:tcW w:w="741" w:type="pct"/>
            <w:tcBorders>
              <w:top w:val="nil"/>
              <w:left w:val="nil"/>
              <w:bottom w:val="single" w:sz="8" w:space="0" w:color="BFBFBF"/>
              <w:right w:val="single" w:sz="8" w:space="0" w:color="BFBFBF"/>
            </w:tcBorders>
            <w:shd w:val="clear" w:color="auto" w:fill="auto"/>
            <w:noWrap/>
            <w:vAlign w:val="bottom"/>
            <w:hideMark/>
          </w:tcPr>
          <w:p w14:paraId="063666EB" w14:textId="77777777" w:rsidR="00A448CA" w:rsidRPr="00AE0C4A" w:rsidRDefault="00A448CA" w:rsidP="001173BD">
            <w:pPr>
              <w:spacing w:after="0" w:line="240" w:lineRule="auto"/>
              <w:jc w:val="center"/>
              <w:rPr>
                <w:rFonts w:ascii="Calibri" w:eastAsia="Times New Roman" w:hAnsi="Calibri"/>
                <w:color w:val="000000"/>
                <w:lang w:eastAsia="tr-TR"/>
              </w:rPr>
            </w:pPr>
            <w:r>
              <w:rPr>
                <w:rFonts w:ascii="Calibri" w:hAnsi="Calibri"/>
                <w:color w:val="000000"/>
              </w:rPr>
              <w:t>13,79</w:t>
            </w:r>
          </w:p>
        </w:tc>
      </w:tr>
      <w:tr w:rsidR="00A448CA" w:rsidRPr="00AE0C4A" w14:paraId="04E05E4F" w14:textId="77777777" w:rsidTr="001173BD">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14:paraId="3F0D0F35" w14:textId="77777777" w:rsidR="00A448CA" w:rsidRPr="00AE0C4A" w:rsidRDefault="00A448CA" w:rsidP="001173BD">
            <w:pPr>
              <w:spacing w:after="0" w:line="240" w:lineRule="auto"/>
              <w:rPr>
                <w:rFonts w:ascii="Calibri" w:eastAsia="Times New Roman" w:hAnsi="Calibri"/>
                <w:color w:val="000000"/>
                <w:lang w:eastAsia="tr-TR"/>
              </w:rPr>
            </w:pPr>
            <w:r w:rsidRPr="00AE0C4A">
              <w:rPr>
                <w:rFonts w:ascii="Calibri" w:eastAsia="Times New Roman" w:hAnsi="Calibri"/>
                <w:color w:val="000000"/>
                <w:lang w:eastAsia="tr-TR"/>
              </w:rPr>
              <w:t>Petrol Piyasası Dairesi Başkanlığı</w:t>
            </w:r>
          </w:p>
        </w:tc>
        <w:tc>
          <w:tcPr>
            <w:tcW w:w="780" w:type="pct"/>
            <w:tcBorders>
              <w:top w:val="nil"/>
              <w:left w:val="nil"/>
              <w:bottom w:val="single" w:sz="8" w:space="0" w:color="BFBFBF"/>
              <w:right w:val="single" w:sz="8" w:space="0" w:color="BFBFBF"/>
            </w:tcBorders>
            <w:shd w:val="clear" w:color="auto" w:fill="auto"/>
            <w:noWrap/>
            <w:vAlign w:val="center"/>
            <w:hideMark/>
          </w:tcPr>
          <w:p w14:paraId="730D3DCA" w14:textId="77777777" w:rsidR="00A448CA" w:rsidRPr="00AE0C4A" w:rsidRDefault="00A448CA" w:rsidP="001173BD">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673</w:t>
            </w:r>
          </w:p>
        </w:tc>
        <w:tc>
          <w:tcPr>
            <w:tcW w:w="741" w:type="pct"/>
            <w:tcBorders>
              <w:top w:val="nil"/>
              <w:left w:val="nil"/>
              <w:bottom w:val="single" w:sz="8" w:space="0" w:color="BFBFBF"/>
              <w:right w:val="single" w:sz="8" w:space="0" w:color="BFBFBF"/>
            </w:tcBorders>
            <w:shd w:val="clear" w:color="auto" w:fill="auto"/>
            <w:noWrap/>
            <w:vAlign w:val="bottom"/>
            <w:hideMark/>
          </w:tcPr>
          <w:p w14:paraId="5E0870E8" w14:textId="77777777" w:rsidR="00A448CA" w:rsidRPr="00AE0C4A" w:rsidRDefault="00A448CA" w:rsidP="001173BD">
            <w:pPr>
              <w:spacing w:after="0" w:line="240" w:lineRule="auto"/>
              <w:jc w:val="center"/>
              <w:rPr>
                <w:rFonts w:ascii="Calibri" w:eastAsia="Times New Roman" w:hAnsi="Calibri"/>
                <w:color w:val="000000"/>
                <w:lang w:eastAsia="tr-TR"/>
              </w:rPr>
            </w:pPr>
            <w:r>
              <w:rPr>
                <w:rFonts w:ascii="Calibri" w:hAnsi="Calibri"/>
                <w:color w:val="000000"/>
              </w:rPr>
              <w:t>19,83</w:t>
            </w:r>
          </w:p>
        </w:tc>
      </w:tr>
      <w:tr w:rsidR="00A448CA" w:rsidRPr="00AE0C4A" w14:paraId="2DF846B6" w14:textId="77777777" w:rsidTr="001173BD">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14:paraId="2E8EB100" w14:textId="77777777" w:rsidR="00A448CA" w:rsidRPr="00AE0C4A" w:rsidRDefault="00A448CA" w:rsidP="001173BD">
            <w:pPr>
              <w:spacing w:after="0" w:line="240" w:lineRule="auto"/>
              <w:rPr>
                <w:rFonts w:ascii="Calibri" w:eastAsia="Times New Roman" w:hAnsi="Calibri"/>
                <w:color w:val="000000"/>
                <w:lang w:eastAsia="tr-TR"/>
              </w:rPr>
            </w:pPr>
            <w:r w:rsidRPr="00AE0C4A">
              <w:rPr>
                <w:rFonts w:ascii="Calibri" w:eastAsia="Times New Roman" w:hAnsi="Calibri"/>
                <w:color w:val="000000"/>
                <w:lang w:eastAsia="tr-TR"/>
              </w:rPr>
              <w:t>Sıvılaştırılmış Petrol Gazları Piyasası Dairesi Başkanlığı</w:t>
            </w:r>
          </w:p>
        </w:tc>
        <w:tc>
          <w:tcPr>
            <w:tcW w:w="780" w:type="pct"/>
            <w:tcBorders>
              <w:top w:val="nil"/>
              <w:left w:val="nil"/>
              <w:bottom w:val="single" w:sz="8" w:space="0" w:color="BFBFBF"/>
              <w:right w:val="single" w:sz="8" w:space="0" w:color="BFBFBF"/>
            </w:tcBorders>
            <w:shd w:val="clear" w:color="auto" w:fill="auto"/>
            <w:noWrap/>
            <w:vAlign w:val="center"/>
            <w:hideMark/>
          </w:tcPr>
          <w:p w14:paraId="33291E99" w14:textId="77777777" w:rsidR="00A448CA" w:rsidRPr="00AE0C4A" w:rsidRDefault="00A448CA" w:rsidP="001173BD">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218</w:t>
            </w:r>
          </w:p>
        </w:tc>
        <w:tc>
          <w:tcPr>
            <w:tcW w:w="741" w:type="pct"/>
            <w:tcBorders>
              <w:top w:val="nil"/>
              <w:left w:val="nil"/>
              <w:bottom w:val="single" w:sz="8" w:space="0" w:color="BFBFBF"/>
              <w:right w:val="single" w:sz="8" w:space="0" w:color="BFBFBF"/>
            </w:tcBorders>
            <w:shd w:val="clear" w:color="auto" w:fill="auto"/>
            <w:noWrap/>
            <w:vAlign w:val="bottom"/>
            <w:hideMark/>
          </w:tcPr>
          <w:p w14:paraId="4B87A601" w14:textId="77777777" w:rsidR="00A448CA" w:rsidRPr="00AE0C4A" w:rsidRDefault="00A448CA" w:rsidP="001173BD">
            <w:pPr>
              <w:spacing w:after="0" w:line="240" w:lineRule="auto"/>
              <w:jc w:val="center"/>
              <w:rPr>
                <w:rFonts w:ascii="Calibri" w:eastAsia="Times New Roman" w:hAnsi="Calibri"/>
                <w:color w:val="000000"/>
                <w:lang w:eastAsia="tr-TR"/>
              </w:rPr>
            </w:pPr>
            <w:r>
              <w:rPr>
                <w:rFonts w:ascii="Calibri" w:hAnsi="Calibri"/>
                <w:color w:val="000000"/>
              </w:rPr>
              <w:t>6,42</w:t>
            </w:r>
          </w:p>
        </w:tc>
      </w:tr>
      <w:tr w:rsidR="00A448CA" w:rsidRPr="00AE0C4A" w14:paraId="392EF241" w14:textId="77777777" w:rsidTr="001173BD">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tcPr>
          <w:p w14:paraId="28BD7F7F" w14:textId="38F8F0B4" w:rsidR="00A448CA" w:rsidRPr="00AE0C4A" w:rsidRDefault="00A448CA" w:rsidP="001173BD">
            <w:pPr>
              <w:spacing w:after="0" w:line="240" w:lineRule="auto"/>
              <w:rPr>
                <w:rFonts w:ascii="Calibri" w:eastAsia="Times New Roman" w:hAnsi="Calibri"/>
                <w:color w:val="000000"/>
                <w:lang w:eastAsia="tr-TR"/>
              </w:rPr>
            </w:pPr>
            <w:r>
              <w:rPr>
                <w:rFonts w:ascii="Calibri" w:eastAsia="Times New Roman" w:hAnsi="Calibri"/>
                <w:color w:val="000000"/>
                <w:lang w:eastAsia="tr-TR"/>
              </w:rPr>
              <w:t>Enerji Dönüşüm Dairesi Başkanlığı</w:t>
            </w:r>
          </w:p>
        </w:tc>
        <w:tc>
          <w:tcPr>
            <w:tcW w:w="780" w:type="pct"/>
            <w:tcBorders>
              <w:top w:val="nil"/>
              <w:left w:val="nil"/>
              <w:bottom w:val="single" w:sz="8" w:space="0" w:color="BFBFBF"/>
              <w:right w:val="single" w:sz="8" w:space="0" w:color="BFBFBF"/>
            </w:tcBorders>
            <w:shd w:val="clear" w:color="auto" w:fill="auto"/>
            <w:noWrap/>
            <w:vAlign w:val="center"/>
          </w:tcPr>
          <w:p w14:paraId="08D0FAA4" w14:textId="77777777" w:rsidR="00A448CA" w:rsidRDefault="00A448CA" w:rsidP="001173BD">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2</w:t>
            </w:r>
          </w:p>
        </w:tc>
        <w:tc>
          <w:tcPr>
            <w:tcW w:w="741" w:type="pct"/>
            <w:tcBorders>
              <w:top w:val="nil"/>
              <w:left w:val="nil"/>
              <w:bottom w:val="single" w:sz="8" w:space="0" w:color="BFBFBF"/>
              <w:right w:val="single" w:sz="8" w:space="0" w:color="BFBFBF"/>
            </w:tcBorders>
            <w:shd w:val="clear" w:color="auto" w:fill="auto"/>
            <w:noWrap/>
            <w:vAlign w:val="bottom"/>
          </w:tcPr>
          <w:p w14:paraId="542C0E57" w14:textId="77777777" w:rsidR="00A448CA" w:rsidRDefault="00A448CA" w:rsidP="001173BD">
            <w:pPr>
              <w:spacing w:after="0" w:line="240" w:lineRule="auto"/>
              <w:jc w:val="center"/>
              <w:rPr>
                <w:rFonts w:ascii="Calibri" w:eastAsia="Times New Roman" w:hAnsi="Calibri"/>
                <w:color w:val="000000"/>
                <w:lang w:eastAsia="tr-TR"/>
              </w:rPr>
            </w:pPr>
            <w:r>
              <w:rPr>
                <w:rFonts w:ascii="Calibri" w:hAnsi="Calibri"/>
                <w:color w:val="000000"/>
              </w:rPr>
              <w:t>0,06</w:t>
            </w:r>
          </w:p>
        </w:tc>
      </w:tr>
      <w:tr w:rsidR="00A448CA" w:rsidRPr="00AE0C4A" w14:paraId="50FA0F58" w14:textId="77777777" w:rsidTr="001173BD">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14:paraId="59106880" w14:textId="77777777" w:rsidR="00A448CA" w:rsidRPr="00AE0C4A" w:rsidRDefault="00A448CA" w:rsidP="001173BD">
            <w:pPr>
              <w:spacing w:after="0" w:line="240" w:lineRule="auto"/>
              <w:rPr>
                <w:rFonts w:ascii="Calibri" w:eastAsia="Times New Roman" w:hAnsi="Calibri"/>
                <w:color w:val="000000"/>
                <w:lang w:eastAsia="tr-TR"/>
              </w:rPr>
            </w:pPr>
            <w:r w:rsidRPr="00AE0C4A">
              <w:rPr>
                <w:rFonts w:ascii="Calibri" w:eastAsia="Times New Roman" w:hAnsi="Calibri"/>
                <w:color w:val="000000"/>
                <w:lang w:eastAsia="tr-TR"/>
              </w:rPr>
              <w:t>Kamulaştırma Dairesi Başkanlığı</w:t>
            </w:r>
          </w:p>
        </w:tc>
        <w:tc>
          <w:tcPr>
            <w:tcW w:w="780" w:type="pct"/>
            <w:tcBorders>
              <w:top w:val="nil"/>
              <w:left w:val="nil"/>
              <w:bottom w:val="single" w:sz="8" w:space="0" w:color="BFBFBF"/>
              <w:right w:val="single" w:sz="8" w:space="0" w:color="BFBFBF"/>
            </w:tcBorders>
            <w:shd w:val="clear" w:color="auto" w:fill="auto"/>
            <w:noWrap/>
            <w:vAlign w:val="center"/>
            <w:hideMark/>
          </w:tcPr>
          <w:p w14:paraId="6585DBE0" w14:textId="77777777" w:rsidR="00A448CA" w:rsidRPr="00AE0C4A" w:rsidRDefault="00A448CA" w:rsidP="001173BD">
            <w:pPr>
              <w:spacing w:after="0" w:line="240" w:lineRule="auto"/>
              <w:jc w:val="right"/>
              <w:rPr>
                <w:rFonts w:ascii="Calibri" w:eastAsia="Times New Roman" w:hAnsi="Calibri"/>
                <w:color w:val="000000"/>
                <w:lang w:eastAsia="tr-TR"/>
              </w:rPr>
            </w:pPr>
            <w:r w:rsidRPr="00AE0C4A">
              <w:rPr>
                <w:rFonts w:ascii="Calibri" w:eastAsia="Times New Roman" w:hAnsi="Calibri"/>
                <w:color w:val="000000"/>
                <w:lang w:eastAsia="tr-TR"/>
              </w:rPr>
              <w:t xml:space="preserve">  </w:t>
            </w:r>
            <w:r>
              <w:rPr>
                <w:rFonts w:ascii="Calibri" w:eastAsia="Times New Roman" w:hAnsi="Calibri"/>
                <w:color w:val="000000"/>
                <w:lang w:eastAsia="tr-TR"/>
              </w:rPr>
              <w:t>42</w:t>
            </w:r>
            <w:r w:rsidRPr="00AE0C4A">
              <w:rPr>
                <w:rFonts w:ascii="Calibri" w:eastAsia="Times New Roman" w:hAnsi="Calibri"/>
                <w:color w:val="000000"/>
                <w:lang w:eastAsia="tr-TR"/>
              </w:rPr>
              <w:t xml:space="preserve"> </w:t>
            </w:r>
          </w:p>
        </w:tc>
        <w:tc>
          <w:tcPr>
            <w:tcW w:w="741" w:type="pct"/>
            <w:tcBorders>
              <w:top w:val="nil"/>
              <w:left w:val="nil"/>
              <w:bottom w:val="single" w:sz="8" w:space="0" w:color="BFBFBF"/>
              <w:right w:val="single" w:sz="8" w:space="0" w:color="BFBFBF"/>
            </w:tcBorders>
            <w:shd w:val="clear" w:color="auto" w:fill="auto"/>
            <w:noWrap/>
            <w:vAlign w:val="bottom"/>
            <w:hideMark/>
          </w:tcPr>
          <w:p w14:paraId="5B51175C" w14:textId="77777777" w:rsidR="00A448CA" w:rsidRPr="00AE0C4A" w:rsidRDefault="00A448CA" w:rsidP="001173BD">
            <w:pPr>
              <w:spacing w:after="0" w:line="240" w:lineRule="auto"/>
              <w:jc w:val="center"/>
              <w:rPr>
                <w:rFonts w:ascii="Calibri" w:eastAsia="Times New Roman" w:hAnsi="Calibri"/>
                <w:color w:val="000000"/>
                <w:lang w:eastAsia="tr-TR"/>
              </w:rPr>
            </w:pPr>
            <w:r>
              <w:rPr>
                <w:rFonts w:ascii="Calibri" w:hAnsi="Calibri"/>
                <w:color w:val="000000"/>
              </w:rPr>
              <w:t>1,24</w:t>
            </w:r>
          </w:p>
        </w:tc>
      </w:tr>
      <w:tr w:rsidR="00A448CA" w:rsidRPr="00AE0C4A" w14:paraId="6AD9A887" w14:textId="77777777" w:rsidTr="001173BD">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14:paraId="242B8487" w14:textId="77777777" w:rsidR="00A448CA" w:rsidRPr="00AE0C4A" w:rsidRDefault="00A448CA" w:rsidP="001173BD">
            <w:pPr>
              <w:spacing w:after="0" w:line="240" w:lineRule="auto"/>
              <w:rPr>
                <w:rFonts w:ascii="Calibri" w:eastAsia="Times New Roman" w:hAnsi="Calibri"/>
                <w:color w:val="000000"/>
                <w:lang w:eastAsia="tr-TR"/>
              </w:rPr>
            </w:pPr>
            <w:r w:rsidRPr="00AE0C4A">
              <w:rPr>
                <w:rFonts w:ascii="Calibri" w:eastAsia="Times New Roman" w:hAnsi="Calibri"/>
                <w:color w:val="000000"/>
                <w:lang w:eastAsia="tr-TR"/>
              </w:rPr>
              <w:t>Denetim Dairesi Başkanlığı</w:t>
            </w:r>
          </w:p>
        </w:tc>
        <w:tc>
          <w:tcPr>
            <w:tcW w:w="780" w:type="pct"/>
            <w:tcBorders>
              <w:top w:val="nil"/>
              <w:left w:val="nil"/>
              <w:bottom w:val="single" w:sz="8" w:space="0" w:color="BFBFBF"/>
              <w:right w:val="single" w:sz="8" w:space="0" w:color="BFBFBF"/>
            </w:tcBorders>
            <w:shd w:val="clear" w:color="auto" w:fill="auto"/>
            <w:noWrap/>
            <w:vAlign w:val="center"/>
            <w:hideMark/>
          </w:tcPr>
          <w:p w14:paraId="3487F58D" w14:textId="77777777" w:rsidR="00A448CA" w:rsidRPr="00AE0C4A" w:rsidRDefault="00A448CA" w:rsidP="001173BD">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250</w:t>
            </w:r>
          </w:p>
        </w:tc>
        <w:tc>
          <w:tcPr>
            <w:tcW w:w="741" w:type="pct"/>
            <w:tcBorders>
              <w:top w:val="nil"/>
              <w:left w:val="nil"/>
              <w:bottom w:val="single" w:sz="8" w:space="0" w:color="BFBFBF"/>
              <w:right w:val="single" w:sz="8" w:space="0" w:color="BFBFBF"/>
            </w:tcBorders>
            <w:shd w:val="clear" w:color="auto" w:fill="auto"/>
            <w:noWrap/>
            <w:vAlign w:val="bottom"/>
            <w:hideMark/>
          </w:tcPr>
          <w:p w14:paraId="5EE3F923" w14:textId="77777777" w:rsidR="00A448CA" w:rsidRPr="00AE0C4A" w:rsidRDefault="00A448CA" w:rsidP="001173BD">
            <w:pPr>
              <w:spacing w:after="0" w:line="240" w:lineRule="auto"/>
              <w:jc w:val="center"/>
              <w:rPr>
                <w:rFonts w:ascii="Calibri" w:eastAsia="Times New Roman" w:hAnsi="Calibri"/>
                <w:color w:val="000000"/>
                <w:lang w:eastAsia="tr-TR"/>
              </w:rPr>
            </w:pPr>
            <w:r>
              <w:rPr>
                <w:rFonts w:ascii="Calibri" w:hAnsi="Calibri"/>
                <w:color w:val="000000"/>
              </w:rPr>
              <w:t>7,37</w:t>
            </w:r>
          </w:p>
        </w:tc>
      </w:tr>
      <w:tr w:rsidR="00A448CA" w:rsidRPr="00AE0C4A" w14:paraId="5B60B23F" w14:textId="77777777" w:rsidTr="001173BD">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14:paraId="3B2323B3" w14:textId="77777777" w:rsidR="00A448CA" w:rsidRPr="00AE0C4A" w:rsidRDefault="00A448CA" w:rsidP="001173BD">
            <w:pPr>
              <w:spacing w:after="0" w:line="240" w:lineRule="auto"/>
              <w:rPr>
                <w:rFonts w:ascii="Calibri" w:eastAsia="Times New Roman" w:hAnsi="Calibri"/>
                <w:color w:val="000000"/>
                <w:lang w:eastAsia="tr-TR"/>
              </w:rPr>
            </w:pPr>
            <w:r w:rsidRPr="00AE0C4A">
              <w:rPr>
                <w:rFonts w:ascii="Calibri" w:eastAsia="Times New Roman" w:hAnsi="Calibri"/>
                <w:color w:val="000000"/>
                <w:lang w:eastAsia="tr-TR"/>
              </w:rPr>
              <w:t>Tarifeler Dairesi Başkanlığı</w:t>
            </w:r>
          </w:p>
        </w:tc>
        <w:tc>
          <w:tcPr>
            <w:tcW w:w="780" w:type="pct"/>
            <w:tcBorders>
              <w:top w:val="nil"/>
              <w:left w:val="nil"/>
              <w:bottom w:val="single" w:sz="8" w:space="0" w:color="BFBFBF"/>
              <w:right w:val="single" w:sz="8" w:space="0" w:color="BFBFBF"/>
            </w:tcBorders>
            <w:shd w:val="clear" w:color="auto" w:fill="auto"/>
            <w:noWrap/>
            <w:vAlign w:val="center"/>
            <w:hideMark/>
          </w:tcPr>
          <w:p w14:paraId="4E1D7027" w14:textId="77777777" w:rsidR="00A448CA" w:rsidRPr="00AE0C4A" w:rsidRDefault="00A448CA" w:rsidP="001173BD">
            <w:pPr>
              <w:spacing w:after="0" w:line="240" w:lineRule="auto"/>
              <w:jc w:val="right"/>
              <w:rPr>
                <w:rFonts w:ascii="Calibri" w:eastAsia="Times New Roman" w:hAnsi="Calibri"/>
                <w:color w:val="000000"/>
                <w:lang w:eastAsia="tr-TR"/>
              </w:rPr>
            </w:pPr>
            <w:r w:rsidRPr="00AE0C4A">
              <w:rPr>
                <w:rFonts w:ascii="Calibri" w:eastAsia="Times New Roman" w:hAnsi="Calibri"/>
                <w:color w:val="000000"/>
                <w:lang w:eastAsia="tr-TR"/>
              </w:rPr>
              <w:t xml:space="preserve"> </w:t>
            </w:r>
            <w:r>
              <w:rPr>
                <w:rFonts w:ascii="Calibri" w:eastAsia="Times New Roman" w:hAnsi="Calibri"/>
                <w:color w:val="000000"/>
                <w:lang w:eastAsia="tr-TR"/>
              </w:rPr>
              <w:t>107</w:t>
            </w:r>
            <w:r w:rsidRPr="00AE0C4A">
              <w:rPr>
                <w:rFonts w:ascii="Calibri" w:eastAsia="Times New Roman" w:hAnsi="Calibri"/>
                <w:color w:val="000000"/>
                <w:lang w:eastAsia="tr-TR"/>
              </w:rPr>
              <w:t xml:space="preserve"> </w:t>
            </w:r>
          </w:p>
        </w:tc>
        <w:tc>
          <w:tcPr>
            <w:tcW w:w="741" w:type="pct"/>
            <w:tcBorders>
              <w:top w:val="nil"/>
              <w:left w:val="nil"/>
              <w:bottom w:val="single" w:sz="8" w:space="0" w:color="BFBFBF"/>
              <w:right w:val="single" w:sz="8" w:space="0" w:color="BFBFBF"/>
            </w:tcBorders>
            <w:shd w:val="clear" w:color="auto" w:fill="auto"/>
            <w:noWrap/>
            <w:vAlign w:val="bottom"/>
            <w:hideMark/>
          </w:tcPr>
          <w:p w14:paraId="5A64781C" w14:textId="77777777" w:rsidR="00A448CA" w:rsidRPr="00AE0C4A" w:rsidRDefault="00A448CA" w:rsidP="001173BD">
            <w:pPr>
              <w:spacing w:after="0" w:line="240" w:lineRule="auto"/>
              <w:jc w:val="center"/>
              <w:rPr>
                <w:rFonts w:ascii="Calibri" w:eastAsia="Times New Roman" w:hAnsi="Calibri"/>
                <w:color w:val="000000"/>
                <w:lang w:eastAsia="tr-TR"/>
              </w:rPr>
            </w:pPr>
            <w:r>
              <w:rPr>
                <w:rFonts w:ascii="Calibri" w:hAnsi="Calibri"/>
                <w:color w:val="000000"/>
              </w:rPr>
              <w:t>3,15</w:t>
            </w:r>
          </w:p>
        </w:tc>
      </w:tr>
      <w:tr w:rsidR="00A448CA" w:rsidRPr="00AE0C4A" w14:paraId="51774241" w14:textId="77777777" w:rsidTr="001173BD">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14:paraId="27A30031" w14:textId="77777777" w:rsidR="00A448CA" w:rsidRPr="00AE0C4A" w:rsidRDefault="00A448CA" w:rsidP="001173BD">
            <w:pPr>
              <w:spacing w:after="0" w:line="240" w:lineRule="auto"/>
              <w:rPr>
                <w:rFonts w:ascii="Calibri" w:eastAsia="Times New Roman" w:hAnsi="Calibri"/>
                <w:color w:val="000000"/>
                <w:lang w:eastAsia="tr-TR"/>
              </w:rPr>
            </w:pPr>
            <w:r w:rsidRPr="00AE0C4A">
              <w:rPr>
                <w:rFonts w:ascii="Calibri" w:eastAsia="Times New Roman" w:hAnsi="Calibri"/>
                <w:color w:val="000000"/>
                <w:lang w:eastAsia="tr-TR"/>
              </w:rPr>
              <w:t>İnsan Kaynakları ve Destek Hizmetleri Dairesi Başkanlığı</w:t>
            </w:r>
          </w:p>
        </w:tc>
        <w:tc>
          <w:tcPr>
            <w:tcW w:w="780" w:type="pct"/>
            <w:tcBorders>
              <w:top w:val="nil"/>
              <w:left w:val="nil"/>
              <w:bottom w:val="single" w:sz="8" w:space="0" w:color="BFBFBF"/>
              <w:right w:val="single" w:sz="8" w:space="0" w:color="BFBFBF"/>
            </w:tcBorders>
            <w:shd w:val="clear" w:color="auto" w:fill="auto"/>
            <w:noWrap/>
            <w:vAlign w:val="center"/>
            <w:hideMark/>
          </w:tcPr>
          <w:p w14:paraId="334B2175" w14:textId="77777777" w:rsidR="00A448CA" w:rsidRPr="00AE0C4A" w:rsidRDefault="00A448CA" w:rsidP="001173BD">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121</w:t>
            </w:r>
          </w:p>
        </w:tc>
        <w:tc>
          <w:tcPr>
            <w:tcW w:w="741" w:type="pct"/>
            <w:tcBorders>
              <w:top w:val="nil"/>
              <w:left w:val="nil"/>
              <w:bottom w:val="single" w:sz="8" w:space="0" w:color="BFBFBF"/>
              <w:right w:val="single" w:sz="8" w:space="0" w:color="BFBFBF"/>
            </w:tcBorders>
            <w:shd w:val="clear" w:color="auto" w:fill="auto"/>
            <w:noWrap/>
            <w:vAlign w:val="bottom"/>
            <w:hideMark/>
          </w:tcPr>
          <w:p w14:paraId="644F4E2F" w14:textId="77777777" w:rsidR="00A448CA" w:rsidRPr="00AE0C4A" w:rsidRDefault="00A448CA" w:rsidP="001173BD">
            <w:pPr>
              <w:spacing w:after="0" w:line="240" w:lineRule="auto"/>
              <w:jc w:val="center"/>
              <w:rPr>
                <w:rFonts w:ascii="Calibri" w:eastAsia="Times New Roman" w:hAnsi="Calibri"/>
                <w:color w:val="000000"/>
                <w:lang w:eastAsia="tr-TR"/>
              </w:rPr>
            </w:pPr>
            <w:r>
              <w:rPr>
                <w:rFonts w:ascii="Calibri" w:hAnsi="Calibri"/>
                <w:color w:val="000000"/>
              </w:rPr>
              <w:t>3,57</w:t>
            </w:r>
          </w:p>
        </w:tc>
      </w:tr>
      <w:tr w:rsidR="00A448CA" w:rsidRPr="00AE0C4A" w14:paraId="6731FFE5" w14:textId="77777777" w:rsidTr="001173BD">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14:paraId="6735A801" w14:textId="77777777" w:rsidR="00A448CA" w:rsidRPr="00AE0C4A" w:rsidRDefault="00A448CA" w:rsidP="001173BD">
            <w:pPr>
              <w:spacing w:after="0" w:line="240" w:lineRule="auto"/>
              <w:rPr>
                <w:rFonts w:ascii="Calibri" w:eastAsia="Times New Roman" w:hAnsi="Calibri"/>
                <w:color w:val="000000"/>
                <w:lang w:eastAsia="tr-TR"/>
              </w:rPr>
            </w:pPr>
            <w:r w:rsidRPr="00AE0C4A">
              <w:rPr>
                <w:rFonts w:ascii="Calibri" w:eastAsia="Times New Roman" w:hAnsi="Calibri"/>
                <w:color w:val="000000"/>
                <w:lang w:eastAsia="tr-TR"/>
              </w:rPr>
              <w:t>Strateji Geliştirme Dairesi Başkanlığı</w:t>
            </w:r>
          </w:p>
        </w:tc>
        <w:tc>
          <w:tcPr>
            <w:tcW w:w="780" w:type="pct"/>
            <w:tcBorders>
              <w:top w:val="nil"/>
              <w:left w:val="nil"/>
              <w:bottom w:val="single" w:sz="8" w:space="0" w:color="BFBFBF"/>
              <w:right w:val="single" w:sz="8" w:space="0" w:color="BFBFBF"/>
            </w:tcBorders>
            <w:shd w:val="clear" w:color="auto" w:fill="auto"/>
            <w:noWrap/>
            <w:vAlign w:val="center"/>
            <w:hideMark/>
          </w:tcPr>
          <w:p w14:paraId="107B19E3" w14:textId="77777777" w:rsidR="00A448CA" w:rsidRPr="00AE0C4A" w:rsidRDefault="00A448CA" w:rsidP="001173BD">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140</w:t>
            </w:r>
          </w:p>
        </w:tc>
        <w:tc>
          <w:tcPr>
            <w:tcW w:w="741" w:type="pct"/>
            <w:tcBorders>
              <w:top w:val="nil"/>
              <w:left w:val="nil"/>
              <w:bottom w:val="single" w:sz="8" w:space="0" w:color="BFBFBF"/>
              <w:right w:val="single" w:sz="8" w:space="0" w:color="BFBFBF"/>
            </w:tcBorders>
            <w:shd w:val="clear" w:color="auto" w:fill="auto"/>
            <w:noWrap/>
            <w:vAlign w:val="bottom"/>
            <w:hideMark/>
          </w:tcPr>
          <w:p w14:paraId="5D9CE60A" w14:textId="77777777" w:rsidR="00A448CA" w:rsidRPr="00AE0C4A" w:rsidRDefault="00A448CA" w:rsidP="001173BD">
            <w:pPr>
              <w:spacing w:after="0" w:line="240" w:lineRule="auto"/>
              <w:jc w:val="center"/>
              <w:rPr>
                <w:rFonts w:ascii="Calibri" w:eastAsia="Times New Roman" w:hAnsi="Calibri"/>
                <w:color w:val="000000"/>
                <w:lang w:eastAsia="tr-TR"/>
              </w:rPr>
            </w:pPr>
            <w:r>
              <w:rPr>
                <w:rFonts w:ascii="Calibri" w:hAnsi="Calibri"/>
                <w:color w:val="000000"/>
              </w:rPr>
              <w:t>4,12</w:t>
            </w:r>
          </w:p>
        </w:tc>
      </w:tr>
      <w:tr w:rsidR="00A448CA" w:rsidRPr="00AE0C4A" w14:paraId="68A639C6" w14:textId="77777777" w:rsidTr="001173BD">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tcPr>
          <w:p w14:paraId="0432F479" w14:textId="77777777" w:rsidR="00A448CA" w:rsidRPr="00AE0C4A" w:rsidRDefault="00A448CA" w:rsidP="001173BD">
            <w:pPr>
              <w:spacing w:after="0" w:line="240" w:lineRule="auto"/>
              <w:rPr>
                <w:rFonts w:ascii="Calibri" w:eastAsia="Times New Roman" w:hAnsi="Calibri"/>
                <w:color w:val="000000"/>
                <w:lang w:eastAsia="tr-TR"/>
              </w:rPr>
            </w:pPr>
            <w:r w:rsidRPr="00AE0C4A">
              <w:rPr>
                <w:rFonts w:ascii="Calibri" w:eastAsia="Times New Roman" w:hAnsi="Calibri"/>
                <w:color w:val="000000"/>
                <w:lang w:eastAsia="tr-TR"/>
              </w:rPr>
              <w:t>Bilgi İşlem Dairesi Başkanlığı</w:t>
            </w:r>
          </w:p>
        </w:tc>
        <w:tc>
          <w:tcPr>
            <w:tcW w:w="780" w:type="pct"/>
            <w:tcBorders>
              <w:top w:val="nil"/>
              <w:left w:val="nil"/>
              <w:bottom w:val="single" w:sz="8" w:space="0" w:color="BFBFBF"/>
              <w:right w:val="single" w:sz="8" w:space="0" w:color="BFBFBF"/>
            </w:tcBorders>
            <w:shd w:val="clear" w:color="auto" w:fill="auto"/>
            <w:noWrap/>
            <w:vAlign w:val="center"/>
          </w:tcPr>
          <w:p w14:paraId="31D9783C" w14:textId="77777777" w:rsidR="00A448CA" w:rsidRPr="00AE0C4A" w:rsidRDefault="00A448CA" w:rsidP="001173BD">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10</w:t>
            </w:r>
          </w:p>
        </w:tc>
        <w:tc>
          <w:tcPr>
            <w:tcW w:w="741" w:type="pct"/>
            <w:tcBorders>
              <w:top w:val="nil"/>
              <w:left w:val="nil"/>
              <w:bottom w:val="single" w:sz="8" w:space="0" w:color="BFBFBF"/>
              <w:right w:val="single" w:sz="8" w:space="0" w:color="BFBFBF"/>
            </w:tcBorders>
            <w:shd w:val="clear" w:color="auto" w:fill="auto"/>
            <w:noWrap/>
            <w:vAlign w:val="bottom"/>
          </w:tcPr>
          <w:p w14:paraId="7EE66B10" w14:textId="77777777" w:rsidR="00A448CA" w:rsidRPr="00AE0C4A" w:rsidRDefault="00A448CA" w:rsidP="001173BD">
            <w:pPr>
              <w:spacing w:after="0" w:line="240" w:lineRule="auto"/>
              <w:jc w:val="center"/>
              <w:rPr>
                <w:rFonts w:ascii="Calibri" w:eastAsia="Times New Roman" w:hAnsi="Calibri"/>
                <w:color w:val="000000"/>
                <w:lang w:eastAsia="tr-TR"/>
              </w:rPr>
            </w:pPr>
            <w:r>
              <w:rPr>
                <w:rFonts w:ascii="Calibri" w:hAnsi="Calibri"/>
                <w:color w:val="000000"/>
              </w:rPr>
              <w:t>0,29</w:t>
            </w:r>
          </w:p>
        </w:tc>
      </w:tr>
      <w:tr w:rsidR="00A448CA" w:rsidRPr="00AE0C4A" w14:paraId="196561D2" w14:textId="77777777" w:rsidTr="001173BD">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14:paraId="4C034F99" w14:textId="77777777" w:rsidR="00A448CA" w:rsidRPr="00AE0C4A" w:rsidRDefault="00A448CA" w:rsidP="001173BD">
            <w:pPr>
              <w:spacing w:after="0" w:line="240" w:lineRule="auto"/>
              <w:rPr>
                <w:rFonts w:ascii="Calibri" w:eastAsia="Times New Roman" w:hAnsi="Calibri"/>
                <w:color w:val="000000"/>
                <w:lang w:eastAsia="tr-TR"/>
              </w:rPr>
            </w:pPr>
            <w:r w:rsidRPr="00AE0C4A">
              <w:rPr>
                <w:rFonts w:ascii="Calibri" w:eastAsia="Times New Roman" w:hAnsi="Calibri"/>
                <w:color w:val="000000"/>
                <w:lang w:eastAsia="tr-TR"/>
              </w:rPr>
              <w:t>Kurul Hizmetleri Müdürlüğü</w:t>
            </w:r>
          </w:p>
        </w:tc>
        <w:tc>
          <w:tcPr>
            <w:tcW w:w="780" w:type="pct"/>
            <w:tcBorders>
              <w:top w:val="nil"/>
              <w:left w:val="nil"/>
              <w:bottom w:val="single" w:sz="8" w:space="0" w:color="BFBFBF"/>
              <w:right w:val="single" w:sz="8" w:space="0" w:color="BFBFBF"/>
            </w:tcBorders>
            <w:shd w:val="clear" w:color="auto" w:fill="auto"/>
            <w:noWrap/>
            <w:vAlign w:val="center"/>
            <w:hideMark/>
          </w:tcPr>
          <w:p w14:paraId="36118549" w14:textId="77777777" w:rsidR="00A448CA" w:rsidRPr="00AE0C4A" w:rsidRDefault="00A448CA" w:rsidP="001173BD">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4</w:t>
            </w:r>
          </w:p>
        </w:tc>
        <w:tc>
          <w:tcPr>
            <w:tcW w:w="741" w:type="pct"/>
            <w:tcBorders>
              <w:top w:val="nil"/>
              <w:left w:val="nil"/>
              <w:bottom w:val="single" w:sz="8" w:space="0" w:color="BFBFBF"/>
              <w:right w:val="single" w:sz="8" w:space="0" w:color="BFBFBF"/>
            </w:tcBorders>
            <w:shd w:val="clear" w:color="auto" w:fill="auto"/>
            <w:noWrap/>
            <w:vAlign w:val="bottom"/>
            <w:hideMark/>
          </w:tcPr>
          <w:p w14:paraId="59332027" w14:textId="77777777" w:rsidR="00A448CA" w:rsidRPr="00AE0C4A" w:rsidRDefault="00A448CA" w:rsidP="001173BD">
            <w:pPr>
              <w:spacing w:after="0" w:line="240" w:lineRule="auto"/>
              <w:jc w:val="center"/>
              <w:rPr>
                <w:rFonts w:ascii="Calibri" w:eastAsia="Times New Roman" w:hAnsi="Calibri"/>
                <w:color w:val="000000"/>
                <w:lang w:eastAsia="tr-TR"/>
              </w:rPr>
            </w:pPr>
            <w:r>
              <w:rPr>
                <w:rFonts w:ascii="Calibri" w:hAnsi="Calibri"/>
                <w:color w:val="000000"/>
              </w:rPr>
              <w:t>0,12</w:t>
            </w:r>
          </w:p>
        </w:tc>
      </w:tr>
      <w:tr w:rsidR="00A448CA" w:rsidRPr="00AE0C4A" w14:paraId="07DC9331" w14:textId="77777777" w:rsidTr="001173BD">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14:paraId="61666D1C" w14:textId="77777777" w:rsidR="00A448CA" w:rsidRPr="00AE0C4A" w:rsidRDefault="00A448CA" w:rsidP="001173BD">
            <w:pPr>
              <w:spacing w:after="0" w:line="240" w:lineRule="auto"/>
              <w:rPr>
                <w:rFonts w:ascii="Calibri" w:eastAsia="Times New Roman" w:hAnsi="Calibri"/>
                <w:color w:val="000000"/>
                <w:lang w:eastAsia="tr-TR"/>
              </w:rPr>
            </w:pPr>
            <w:r w:rsidRPr="00AE0C4A">
              <w:rPr>
                <w:rFonts w:ascii="Calibri" w:eastAsia="Times New Roman" w:hAnsi="Calibri"/>
                <w:color w:val="000000"/>
                <w:lang w:eastAsia="tr-TR"/>
              </w:rPr>
              <w:t>Cumhurbaşkanlığı, Bakanlıklar ve Diğer Kamu Kurum ve Kuruluşları</w:t>
            </w:r>
          </w:p>
        </w:tc>
        <w:tc>
          <w:tcPr>
            <w:tcW w:w="780" w:type="pct"/>
            <w:tcBorders>
              <w:top w:val="nil"/>
              <w:left w:val="nil"/>
              <w:bottom w:val="single" w:sz="8" w:space="0" w:color="BFBFBF"/>
              <w:right w:val="single" w:sz="8" w:space="0" w:color="BFBFBF"/>
            </w:tcBorders>
            <w:shd w:val="clear" w:color="auto" w:fill="auto"/>
            <w:noWrap/>
            <w:vAlign w:val="center"/>
            <w:hideMark/>
          </w:tcPr>
          <w:p w14:paraId="3174B160" w14:textId="77777777" w:rsidR="00A448CA" w:rsidRPr="00AE0C4A" w:rsidRDefault="00A448CA" w:rsidP="001173BD">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484</w:t>
            </w:r>
          </w:p>
        </w:tc>
        <w:tc>
          <w:tcPr>
            <w:tcW w:w="741" w:type="pct"/>
            <w:tcBorders>
              <w:top w:val="nil"/>
              <w:left w:val="nil"/>
              <w:bottom w:val="single" w:sz="8" w:space="0" w:color="BFBFBF"/>
              <w:right w:val="single" w:sz="8" w:space="0" w:color="BFBFBF"/>
            </w:tcBorders>
            <w:shd w:val="clear" w:color="auto" w:fill="auto"/>
            <w:noWrap/>
            <w:vAlign w:val="bottom"/>
            <w:hideMark/>
          </w:tcPr>
          <w:p w14:paraId="64C5806C" w14:textId="77777777" w:rsidR="00A448CA" w:rsidRPr="00AE0C4A" w:rsidRDefault="00A448CA" w:rsidP="001173BD">
            <w:pPr>
              <w:spacing w:after="0" w:line="240" w:lineRule="auto"/>
              <w:jc w:val="center"/>
              <w:rPr>
                <w:rFonts w:ascii="Calibri" w:eastAsia="Times New Roman" w:hAnsi="Calibri"/>
                <w:color w:val="000000"/>
                <w:lang w:eastAsia="tr-TR"/>
              </w:rPr>
            </w:pPr>
            <w:r>
              <w:rPr>
                <w:rFonts w:ascii="Calibri" w:hAnsi="Calibri"/>
                <w:color w:val="000000"/>
              </w:rPr>
              <w:t>14,26</w:t>
            </w:r>
          </w:p>
        </w:tc>
      </w:tr>
      <w:tr w:rsidR="00A448CA" w:rsidRPr="00AE0C4A" w14:paraId="39386F06" w14:textId="77777777" w:rsidTr="001173BD">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14:paraId="34077E1E" w14:textId="77777777" w:rsidR="00A448CA" w:rsidRPr="00AE0C4A" w:rsidRDefault="00A448CA" w:rsidP="001173BD">
            <w:pPr>
              <w:spacing w:after="0" w:line="240" w:lineRule="auto"/>
              <w:rPr>
                <w:rFonts w:ascii="Calibri" w:eastAsia="Times New Roman" w:hAnsi="Calibri"/>
                <w:b/>
                <w:bCs/>
                <w:color w:val="000000"/>
                <w:lang w:eastAsia="tr-TR"/>
              </w:rPr>
            </w:pPr>
            <w:r w:rsidRPr="00AE0C4A">
              <w:rPr>
                <w:rFonts w:ascii="Calibri" w:eastAsia="Times New Roman" w:hAnsi="Calibri"/>
                <w:b/>
                <w:bCs/>
                <w:color w:val="000000"/>
                <w:lang w:eastAsia="tr-TR"/>
              </w:rPr>
              <w:t>TOPLAM</w:t>
            </w:r>
          </w:p>
        </w:tc>
        <w:tc>
          <w:tcPr>
            <w:tcW w:w="780" w:type="pct"/>
            <w:tcBorders>
              <w:top w:val="nil"/>
              <w:left w:val="nil"/>
              <w:bottom w:val="single" w:sz="8" w:space="0" w:color="BFBFBF"/>
              <w:right w:val="single" w:sz="8" w:space="0" w:color="BFBFBF"/>
            </w:tcBorders>
            <w:shd w:val="clear" w:color="auto" w:fill="auto"/>
            <w:noWrap/>
            <w:vAlign w:val="center"/>
            <w:hideMark/>
          </w:tcPr>
          <w:p w14:paraId="1E7E0B09" w14:textId="77777777" w:rsidR="00A448CA" w:rsidRPr="00AE0C4A" w:rsidRDefault="00A448CA" w:rsidP="001173BD">
            <w:pPr>
              <w:spacing w:after="0" w:line="240" w:lineRule="auto"/>
              <w:jc w:val="right"/>
              <w:rPr>
                <w:rFonts w:ascii="Calibri" w:eastAsia="Times New Roman" w:hAnsi="Calibri"/>
                <w:b/>
                <w:bCs/>
                <w:color w:val="000000"/>
                <w:lang w:eastAsia="tr-TR"/>
              </w:rPr>
            </w:pPr>
            <w:r>
              <w:rPr>
                <w:rFonts w:ascii="Calibri" w:eastAsia="Times New Roman" w:hAnsi="Calibri"/>
                <w:b/>
                <w:bCs/>
                <w:color w:val="000000"/>
                <w:lang w:eastAsia="tr-TR"/>
              </w:rPr>
              <w:t>3.394</w:t>
            </w:r>
          </w:p>
        </w:tc>
        <w:tc>
          <w:tcPr>
            <w:tcW w:w="741" w:type="pct"/>
            <w:tcBorders>
              <w:top w:val="nil"/>
              <w:left w:val="nil"/>
              <w:bottom w:val="single" w:sz="8" w:space="0" w:color="BFBFBF"/>
              <w:right w:val="single" w:sz="8" w:space="0" w:color="BFBFBF"/>
            </w:tcBorders>
            <w:shd w:val="clear" w:color="auto" w:fill="auto"/>
            <w:vAlign w:val="bottom"/>
            <w:hideMark/>
          </w:tcPr>
          <w:p w14:paraId="647A0C58" w14:textId="77777777" w:rsidR="00A448CA" w:rsidRPr="00AE0C4A" w:rsidRDefault="00A448CA" w:rsidP="001173BD">
            <w:pPr>
              <w:spacing w:after="0" w:line="240" w:lineRule="auto"/>
              <w:jc w:val="center"/>
              <w:rPr>
                <w:rFonts w:ascii="Calibri" w:eastAsia="Times New Roman" w:hAnsi="Calibri"/>
                <w:b/>
                <w:bCs/>
                <w:color w:val="000000"/>
                <w:lang w:eastAsia="tr-TR"/>
              </w:rPr>
            </w:pPr>
            <w:r>
              <w:rPr>
                <w:rFonts w:ascii="Calibri" w:hAnsi="Calibri"/>
                <w:color w:val="000000"/>
              </w:rPr>
              <w:t>100,00</w:t>
            </w:r>
          </w:p>
        </w:tc>
      </w:tr>
    </w:tbl>
    <w:p w14:paraId="628C2FF3" w14:textId="77777777" w:rsidR="00A448CA" w:rsidRPr="00551243" w:rsidRDefault="00A448CA" w:rsidP="00A448CA">
      <w:pPr>
        <w:rPr>
          <w:rFonts w:ascii="Calibri" w:hAnsi="Calibri"/>
          <w:sz w:val="18"/>
          <w:szCs w:val="18"/>
        </w:rPr>
      </w:pPr>
    </w:p>
    <w:p w14:paraId="37187996" w14:textId="77777777" w:rsidR="00A448CA" w:rsidRPr="008102B6" w:rsidRDefault="00A448CA" w:rsidP="00A448CA">
      <w:pPr>
        <w:pStyle w:val="Balk5"/>
        <w:spacing w:after="240"/>
        <w:jc w:val="center"/>
        <w:rPr>
          <w:rStyle w:val="Gl"/>
          <w:bCs w:val="0"/>
          <w:color w:val="auto"/>
        </w:rPr>
      </w:pPr>
      <w:bookmarkStart w:id="370" w:name="_Toc94703947"/>
      <w:bookmarkStart w:id="371" w:name="_Toc158307058"/>
      <w:bookmarkStart w:id="372" w:name="_Toc195868860"/>
      <w:r w:rsidRPr="008102B6">
        <w:rPr>
          <w:rStyle w:val="Gl"/>
          <w:bCs w:val="0"/>
          <w:color w:val="auto"/>
        </w:rPr>
        <w:lastRenderedPageBreak/>
        <w:t>Tablo 8.10: Yıllar İtibariyle Hukuk Dairesi Başkanlığı Tarafından Verilen Görüşlerin Dağılımı</w:t>
      </w:r>
      <w:bookmarkEnd w:id="370"/>
      <w:bookmarkEnd w:id="371"/>
      <w:bookmarkEnd w:id="372"/>
    </w:p>
    <w:tbl>
      <w:tblPr>
        <w:tblW w:w="5000" w:type="pct"/>
        <w:jc w:val="center"/>
        <w:tblCellMar>
          <w:left w:w="70" w:type="dxa"/>
          <w:right w:w="70" w:type="dxa"/>
        </w:tblCellMar>
        <w:tblLook w:val="04A0" w:firstRow="1" w:lastRow="0" w:firstColumn="1" w:lastColumn="0" w:noHBand="0" w:noVBand="1"/>
      </w:tblPr>
      <w:tblGrid>
        <w:gridCol w:w="3616"/>
        <w:gridCol w:w="1063"/>
        <w:gridCol w:w="1250"/>
        <w:gridCol w:w="996"/>
        <w:gridCol w:w="996"/>
        <w:gridCol w:w="996"/>
        <w:gridCol w:w="984"/>
      </w:tblGrid>
      <w:tr w:rsidR="00A448CA" w:rsidRPr="00AE0C4A" w14:paraId="2B02DCBE" w14:textId="77777777" w:rsidTr="001173BD">
        <w:trPr>
          <w:trHeight w:val="315"/>
          <w:jc w:val="center"/>
        </w:trPr>
        <w:tc>
          <w:tcPr>
            <w:tcW w:w="1826" w:type="pct"/>
            <w:vMerge w:val="restart"/>
            <w:tcBorders>
              <w:top w:val="single" w:sz="8" w:space="0" w:color="BFBFBF"/>
              <w:left w:val="single" w:sz="8" w:space="0" w:color="BFBFBF"/>
              <w:bottom w:val="single" w:sz="8" w:space="0" w:color="BFBFBF"/>
              <w:right w:val="single" w:sz="8" w:space="0" w:color="BFBFBF"/>
            </w:tcBorders>
            <w:shd w:val="clear" w:color="000000" w:fill="6E9ECA"/>
            <w:vAlign w:val="center"/>
            <w:hideMark/>
          </w:tcPr>
          <w:p w14:paraId="40FD3015" w14:textId="77777777" w:rsidR="00A448CA" w:rsidRPr="00AE0C4A" w:rsidRDefault="00A448CA" w:rsidP="001173BD">
            <w:pPr>
              <w:spacing w:after="0" w:line="240" w:lineRule="auto"/>
              <w:jc w:val="center"/>
              <w:rPr>
                <w:rFonts w:ascii="Calibri" w:eastAsia="Times New Roman" w:hAnsi="Calibri"/>
                <w:b/>
                <w:bCs/>
                <w:color w:val="FFFFFF"/>
                <w:lang w:eastAsia="tr-TR"/>
              </w:rPr>
            </w:pPr>
            <w:r w:rsidRPr="00AE0C4A">
              <w:rPr>
                <w:rFonts w:ascii="Calibri" w:eastAsia="Times New Roman" w:hAnsi="Calibri"/>
                <w:b/>
                <w:bCs/>
                <w:color w:val="FFFFFF"/>
                <w:lang w:eastAsia="tr-TR"/>
              </w:rPr>
              <w:t>Görüş Verilen Yerler</w:t>
            </w:r>
          </w:p>
        </w:tc>
        <w:tc>
          <w:tcPr>
            <w:tcW w:w="1168" w:type="pct"/>
            <w:gridSpan w:val="2"/>
            <w:tcBorders>
              <w:top w:val="single" w:sz="8" w:space="0" w:color="BFBFBF"/>
              <w:left w:val="nil"/>
              <w:bottom w:val="single" w:sz="8" w:space="0" w:color="BFBFBF"/>
              <w:right w:val="single" w:sz="8" w:space="0" w:color="BFBFBF"/>
            </w:tcBorders>
            <w:shd w:val="clear" w:color="000000" w:fill="6E9ECA"/>
            <w:vAlign w:val="center"/>
            <w:hideMark/>
          </w:tcPr>
          <w:p w14:paraId="4C2A5F22" w14:textId="77777777" w:rsidR="00A448CA" w:rsidRPr="00AE0C4A" w:rsidRDefault="00A448CA" w:rsidP="001173BD">
            <w:pPr>
              <w:spacing w:after="0" w:line="240" w:lineRule="auto"/>
              <w:jc w:val="center"/>
              <w:rPr>
                <w:rFonts w:ascii="Calibri" w:eastAsia="Times New Roman" w:hAnsi="Calibri"/>
                <w:b/>
                <w:bCs/>
                <w:color w:val="FFFFFF"/>
                <w:lang w:eastAsia="tr-TR"/>
              </w:rPr>
            </w:pPr>
            <w:r>
              <w:rPr>
                <w:rFonts w:ascii="Calibri" w:eastAsia="Times New Roman" w:hAnsi="Calibri"/>
                <w:b/>
                <w:bCs/>
                <w:color w:val="FFFFFF"/>
                <w:lang w:eastAsia="tr-TR"/>
              </w:rPr>
              <w:t>2022</w:t>
            </w:r>
            <w:r w:rsidRPr="00AE0C4A">
              <w:rPr>
                <w:rFonts w:ascii="Calibri" w:eastAsia="Times New Roman" w:hAnsi="Calibri"/>
                <w:b/>
                <w:bCs/>
                <w:color w:val="FFFFFF"/>
                <w:lang w:eastAsia="tr-TR"/>
              </w:rPr>
              <w:t xml:space="preserve"> Yılı</w:t>
            </w:r>
          </w:p>
        </w:tc>
        <w:tc>
          <w:tcPr>
            <w:tcW w:w="1006" w:type="pct"/>
            <w:gridSpan w:val="2"/>
            <w:tcBorders>
              <w:top w:val="single" w:sz="8" w:space="0" w:color="BFBFBF"/>
              <w:left w:val="nil"/>
              <w:bottom w:val="single" w:sz="8" w:space="0" w:color="BFBFBF"/>
              <w:right w:val="single" w:sz="8" w:space="0" w:color="BFBFBF"/>
            </w:tcBorders>
            <w:shd w:val="clear" w:color="000000" w:fill="6E9ECA"/>
            <w:vAlign w:val="center"/>
            <w:hideMark/>
          </w:tcPr>
          <w:p w14:paraId="10907C76" w14:textId="77777777" w:rsidR="00A448CA" w:rsidRPr="00AE0C4A" w:rsidRDefault="00A448CA" w:rsidP="001173BD">
            <w:pPr>
              <w:spacing w:after="0" w:line="240" w:lineRule="auto"/>
              <w:jc w:val="center"/>
              <w:rPr>
                <w:rFonts w:ascii="Calibri" w:eastAsia="Times New Roman" w:hAnsi="Calibri"/>
                <w:b/>
                <w:bCs/>
                <w:color w:val="FFFFFF"/>
                <w:lang w:eastAsia="tr-TR"/>
              </w:rPr>
            </w:pPr>
            <w:r>
              <w:rPr>
                <w:rFonts w:ascii="Calibri" w:eastAsia="Times New Roman" w:hAnsi="Calibri"/>
                <w:b/>
                <w:bCs/>
                <w:color w:val="FFFFFF"/>
                <w:lang w:eastAsia="tr-TR"/>
              </w:rPr>
              <w:t>2023</w:t>
            </w:r>
            <w:r w:rsidRPr="00AE0C4A">
              <w:rPr>
                <w:rFonts w:ascii="Calibri" w:eastAsia="Times New Roman" w:hAnsi="Calibri"/>
                <w:b/>
                <w:bCs/>
                <w:color w:val="FFFFFF"/>
                <w:lang w:eastAsia="tr-TR"/>
              </w:rPr>
              <w:t xml:space="preserve"> Yılı</w:t>
            </w:r>
          </w:p>
        </w:tc>
        <w:tc>
          <w:tcPr>
            <w:tcW w:w="1000" w:type="pct"/>
            <w:gridSpan w:val="2"/>
            <w:tcBorders>
              <w:top w:val="single" w:sz="8" w:space="0" w:color="BFBFBF"/>
              <w:left w:val="nil"/>
              <w:bottom w:val="single" w:sz="8" w:space="0" w:color="BFBFBF"/>
              <w:right w:val="single" w:sz="8" w:space="0" w:color="BFBFBF"/>
            </w:tcBorders>
            <w:shd w:val="clear" w:color="000000" w:fill="6E9ECA"/>
            <w:vAlign w:val="center"/>
            <w:hideMark/>
          </w:tcPr>
          <w:p w14:paraId="12037DEE" w14:textId="77777777" w:rsidR="00A448CA" w:rsidRPr="00AE0C4A" w:rsidRDefault="00A448CA" w:rsidP="001173BD">
            <w:pPr>
              <w:spacing w:after="0" w:line="240" w:lineRule="auto"/>
              <w:jc w:val="center"/>
              <w:rPr>
                <w:rFonts w:ascii="Calibri" w:eastAsia="Times New Roman" w:hAnsi="Calibri"/>
                <w:b/>
                <w:bCs/>
                <w:color w:val="FFFFFF"/>
                <w:lang w:eastAsia="tr-TR"/>
              </w:rPr>
            </w:pPr>
            <w:r>
              <w:rPr>
                <w:rFonts w:ascii="Calibri" w:eastAsia="Times New Roman" w:hAnsi="Calibri"/>
                <w:b/>
                <w:bCs/>
                <w:color w:val="FFFFFF"/>
                <w:lang w:eastAsia="tr-TR"/>
              </w:rPr>
              <w:t>2024</w:t>
            </w:r>
            <w:r w:rsidRPr="00AE0C4A">
              <w:rPr>
                <w:rFonts w:ascii="Calibri" w:eastAsia="Times New Roman" w:hAnsi="Calibri"/>
                <w:b/>
                <w:bCs/>
                <w:color w:val="FFFFFF"/>
                <w:lang w:eastAsia="tr-TR"/>
              </w:rPr>
              <w:t xml:space="preserve"> Yılı</w:t>
            </w:r>
          </w:p>
        </w:tc>
      </w:tr>
      <w:tr w:rsidR="00A448CA" w:rsidRPr="00AE0C4A" w14:paraId="3DAD9888" w14:textId="77777777" w:rsidTr="001173BD">
        <w:trPr>
          <w:trHeight w:val="615"/>
          <w:jc w:val="center"/>
        </w:trPr>
        <w:tc>
          <w:tcPr>
            <w:tcW w:w="1826" w:type="pct"/>
            <w:vMerge/>
            <w:tcBorders>
              <w:top w:val="single" w:sz="8" w:space="0" w:color="BFBFBF"/>
              <w:left w:val="single" w:sz="8" w:space="0" w:color="BFBFBF"/>
              <w:bottom w:val="single" w:sz="8" w:space="0" w:color="BFBFBF"/>
              <w:right w:val="single" w:sz="8" w:space="0" w:color="BFBFBF"/>
            </w:tcBorders>
            <w:vAlign w:val="center"/>
            <w:hideMark/>
          </w:tcPr>
          <w:p w14:paraId="27DB313A" w14:textId="77777777" w:rsidR="00A448CA" w:rsidRPr="00AE0C4A" w:rsidRDefault="00A448CA" w:rsidP="001173BD">
            <w:pPr>
              <w:spacing w:after="0" w:line="240" w:lineRule="auto"/>
              <w:rPr>
                <w:rFonts w:ascii="Calibri" w:eastAsia="Times New Roman" w:hAnsi="Calibri"/>
                <w:b/>
                <w:bCs/>
                <w:color w:val="FFFFFF"/>
                <w:lang w:eastAsia="tr-TR"/>
              </w:rPr>
            </w:pPr>
          </w:p>
        </w:tc>
        <w:tc>
          <w:tcPr>
            <w:tcW w:w="537" w:type="pct"/>
            <w:tcBorders>
              <w:top w:val="nil"/>
              <w:left w:val="nil"/>
              <w:bottom w:val="single" w:sz="8" w:space="0" w:color="BFBFBF"/>
              <w:right w:val="single" w:sz="8" w:space="0" w:color="BFBFBF"/>
            </w:tcBorders>
            <w:shd w:val="clear" w:color="000000" w:fill="6E9ECA"/>
            <w:vAlign w:val="center"/>
            <w:hideMark/>
          </w:tcPr>
          <w:p w14:paraId="1EFC4D7F" w14:textId="77777777" w:rsidR="00A448CA" w:rsidRPr="00AE0C4A" w:rsidRDefault="00A448CA" w:rsidP="001173BD">
            <w:pPr>
              <w:spacing w:after="0" w:line="240" w:lineRule="auto"/>
              <w:jc w:val="center"/>
              <w:rPr>
                <w:rFonts w:ascii="Calibri" w:eastAsia="Times New Roman" w:hAnsi="Calibri"/>
                <w:b/>
                <w:bCs/>
                <w:color w:val="FFFFFF"/>
                <w:lang w:eastAsia="tr-TR"/>
              </w:rPr>
            </w:pPr>
            <w:r w:rsidRPr="00AE0C4A">
              <w:rPr>
                <w:rFonts w:ascii="Calibri" w:eastAsia="Times New Roman" w:hAnsi="Calibri"/>
                <w:b/>
                <w:bCs/>
                <w:color w:val="FFFFFF"/>
                <w:lang w:eastAsia="tr-TR"/>
              </w:rPr>
              <w:t>Görüş Sayısı</w:t>
            </w:r>
          </w:p>
        </w:tc>
        <w:tc>
          <w:tcPr>
            <w:tcW w:w="631" w:type="pct"/>
            <w:tcBorders>
              <w:top w:val="nil"/>
              <w:left w:val="nil"/>
              <w:bottom w:val="single" w:sz="8" w:space="0" w:color="BFBFBF"/>
              <w:right w:val="single" w:sz="8" w:space="0" w:color="BFBFBF"/>
            </w:tcBorders>
            <w:shd w:val="clear" w:color="000000" w:fill="6E9ECA"/>
            <w:vAlign w:val="center"/>
            <w:hideMark/>
          </w:tcPr>
          <w:p w14:paraId="5035C94B" w14:textId="77777777" w:rsidR="00A448CA" w:rsidRPr="00AE0C4A" w:rsidRDefault="00A448CA" w:rsidP="001173BD">
            <w:pPr>
              <w:spacing w:after="0" w:line="240" w:lineRule="auto"/>
              <w:jc w:val="center"/>
              <w:rPr>
                <w:rFonts w:ascii="Calibri" w:eastAsia="Times New Roman" w:hAnsi="Calibri"/>
                <w:b/>
                <w:bCs/>
                <w:color w:val="FFFFFF"/>
                <w:lang w:eastAsia="tr-TR"/>
              </w:rPr>
            </w:pPr>
            <w:r w:rsidRPr="00AE0C4A">
              <w:rPr>
                <w:rFonts w:ascii="Calibri" w:eastAsia="Times New Roman" w:hAnsi="Calibri"/>
                <w:b/>
                <w:bCs/>
                <w:color w:val="FFFFFF"/>
                <w:lang w:eastAsia="tr-TR"/>
              </w:rPr>
              <w:t>Oran (%)</w:t>
            </w:r>
          </w:p>
        </w:tc>
        <w:tc>
          <w:tcPr>
            <w:tcW w:w="503" w:type="pct"/>
            <w:tcBorders>
              <w:top w:val="nil"/>
              <w:left w:val="nil"/>
              <w:bottom w:val="single" w:sz="8" w:space="0" w:color="BFBFBF"/>
              <w:right w:val="single" w:sz="8" w:space="0" w:color="BFBFBF"/>
            </w:tcBorders>
            <w:shd w:val="clear" w:color="000000" w:fill="6E9ECA"/>
            <w:vAlign w:val="center"/>
            <w:hideMark/>
          </w:tcPr>
          <w:p w14:paraId="3A781904" w14:textId="77777777" w:rsidR="00A448CA" w:rsidRPr="00AE0C4A" w:rsidRDefault="00A448CA" w:rsidP="001173BD">
            <w:pPr>
              <w:spacing w:after="0" w:line="240" w:lineRule="auto"/>
              <w:jc w:val="center"/>
              <w:rPr>
                <w:rFonts w:ascii="Calibri" w:eastAsia="Times New Roman" w:hAnsi="Calibri"/>
                <w:b/>
                <w:bCs/>
                <w:color w:val="FFFFFF"/>
                <w:lang w:eastAsia="tr-TR"/>
              </w:rPr>
            </w:pPr>
            <w:r w:rsidRPr="00AE0C4A">
              <w:rPr>
                <w:rFonts w:ascii="Calibri" w:eastAsia="Times New Roman" w:hAnsi="Calibri"/>
                <w:b/>
                <w:bCs/>
                <w:color w:val="FFFFFF"/>
                <w:lang w:eastAsia="tr-TR"/>
              </w:rPr>
              <w:t>Görüş Sayısı</w:t>
            </w:r>
          </w:p>
        </w:tc>
        <w:tc>
          <w:tcPr>
            <w:tcW w:w="503" w:type="pct"/>
            <w:tcBorders>
              <w:top w:val="nil"/>
              <w:left w:val="nil"/>
              <w:bottom w:val="single" w:sz="8" w:space="0" w:color="BFBFBF"/>
              <w:right w:val="single" w:sz="8" w:space="0" w:color="BFBFBF"/>
            </w:tcBorders>
            <w:shd w:val="clear" w:color="000000" w:fill="6E9ECA"/>
            <w:vAlign w:val="center"/>
            <w:hideMark/>
          </w:tcPr>
          <w:p w14:paraId="2C646EF8" w14:textId="77777777" w:rsidR="00A448CA" w:rsidRPr="00AE0C4A" w:rsidRDefault="00A448CA" w:rsidP="001173BD">
            <w:pPr>
              <w:spacing w:after="0" w:line="240" w:lineRule="auto"/>
              <w:jc w:val="center"/>
              <w:rPr>
                <w:rFonts w:ascii="Calibri" w:eastAsia="Times New Roman" w:hAnsi="Calibri"/>
                <w:b/>
                <w:bCs/>
                <w:color w:val="FFFFFF"/>
                <w:lang w:eastAsia="tr-TR"/>
              </w:rPr>
            </w:pPr>
            <w:r w:rsidRPr="00AE0C4A">
              <w:rPr>
                <w:rFonts w:ascii="Calibri" w:eastAsia="Times New Roman" w:hAnsi="Calibri"/>
                <w:b/>
                <w:bCs/>
                <w:color w:val="FFFFFF"/>
                <w:lang w:eastAsia="tr-TR"/>
              </w:rPr>
              <w:t>Oran (%)</w:t>
            </w:r>
          </w:p>
        </w:tc>
        <w:tc>
          <w:tcPr>
            <w:tcW w:w="503" w:type="pct"/>
            <w:tcBorders>
              <w:top w:val="nil"/>
              <w:left w:val="nil"/>
              <w:bottom w:val="single" w:sz="8" w:space="0" w:color="BFBFBF"/>
              <w:right w:val="single" w:sz="8" w:space="0" w:color="BFBFBF"/>
            </w:tcBorders>
            <w:shd w:val="clear" w:color="000000" w:fill="6E9ECA"/>
            <w:vAlign w:val="center"/>
            <w:hideMark/>
          </w:tcPr>
          <w:p w14:paraId="2401E2A2" w14:textId="77777777" w:rsidR="00A448CA" w:rsidRPr="00AE0C4A" w:rsidRDefault="00A448CA" w:rsidP="001173BD">
            <w:pPr>
              <w:spacing w:after="0" w:line="240" w:lineRule="auto"/>
              <w:jc w:val="center"/>
              <w:rPr>
                <w:rFonts w:ascii="Calibri" w:eastAsia="Times New Roman" w:hAnsi="Calibri"/>
                <w:b/>
                <w:bCs/>
                <w:color w:val="FFFFFF"/>
                <w:lang w:eastAsia="tr-TR"/>
              </w:rPr>
            </w:pPr>
            <w:r w:rsidRPr="00AE0C4A">
              <w:rPr>
                <w:rFonts w:ascii="Calibri" w:eastAsia="Times New Roman" w:hAnsi="Calibri"/>
                <w:b/>
                <w:bCs/>
                <w:color w:val="FFFFFF"/>
                <w:lang w:eastAsia="tr-TR"/>
              </w:rPr>
              <w:t>Görüş Sayısı</w:t>
            </w:r>
          </w:p>
        </w:tc>
        <w:tc>
          <w:tcPr>
            <w:tcW w:w="497" w:type="pct"/>
            <w:tcBorders>
              <w:top w:val="nil"/>
              <w:left w:val="nil"/>
              <w:bottom w:val="single" w:sz="8" w:space="0" w:color="BFBFBF"/>
              <w:right w:val="single" w:sz="8" w:space="0" w:color="BFBFBF"/>
            </w:tcBorders>
            <w:shd w:val="clear" w:color="000000" w:fill="6E9ECA"/>
            <w:vAlign w:val="center"/>
            <w:hideMark/>
          </w:tcPr>
          <w:p w14:paraId="77601FB7" w14:textId="77777777" w:rsidR="00A448CA" w:rsidRPr="00AE0C4A" w:rsidRDefault="00A448CA" w:rsidP="001173BD">
            <w:pPr>
              <w:spacing w:after="0" w:line="240" w:lineRule="auto"/>
              <w:jc w:val="center"/>
              <w:rPr>
                <w:rFonts w:ascii="Calibri" w:eastAsia="Times New Roman" w:hAnsi="Calibri"/>
                <w:b/>
                <w:bCs/>
                <w:color w:val="FFFFFF"/>
                <w:lang w:eastAsia="tr-TR"/>
              </w:rPr>
            </w:pPr>
            <w:r w:rsidRPr="00AE0C4A">
              <w:rPr>
                <w:rFonts w:ascii="Calibri" w:eastAsia="Times New Roman" w:hAnsi="Calibri"/>
                <w:b/>
                <w:bCs/>
                <w:color w:val="FFFFFF"/>
                <w:lang w:eastAsia="tr-TR"/>
              </w:rPr>
              <w:t>Oran (%)</w:t>
            </w:r>
          </w:p>
        </w:tc>
      </w:tr>
      <w:tr w:rsidR="00A448CA" w:rsidRPr="00AE0C4A" w14:paraId="3756E3CD" w14:textId="77777777" w:rsidTr="001173BD">
        <w:trPr>
          <w:trHeight w:val="315"/>
          <w:jc w:val="center"/>
        </w:trPr>
        <w:tc>
          <w:tcPr>
            <w:tcW w:w="1826" w:type="pct"/>
            <w:tcBorders>
              <w:top w:val="nil"/>
              <w:left w:val="single" w:sz="8" w:space="0" w:color="BFBFBF"/>
              <w:bottom w:val="single" w:sz="8" w:space="0" w:color="BFBFBF"/>
              <w:right w:val="single" w:sz="8" w:space="0" w:color="BFBFBF"/>
            </w:tcBorders>
            <w:shd w:val="clear" w:color="auto" w:fill="auto"/>
            <w:vAlign w:val="center"/>
            <w:hideMark/>
          </w:tcPr>
          <w:p w14:paraId="47C1665C" w14:textId="77777777" w:rsidR="00A448CA" w:rsidRPr="00AE0C4A" w:rsidRDefault="00A448CA" w:rsidP="001173BD">
            <w:pPr>
              <w:spacing w:after="0" w:line="240" w:lineRule="auto"/>
              <w:rPr>
                <w:rFonts w:ascii="Calibri" w:eastAsia="Times New Roman" w:hAnsi="Calibri"/>
                <w:color w:val="000000"/>
                <w:lang w:eastAsia="tr-TR"/>
              </w:rPr>
            </w:pPr>
            <w:r w:rsidRPr="00AE0C4A">
              <w:rPr>
                <w:rFonts w:ascii="Calibri" w:eastAsia="Times New Roman" w:hAnsi="Calibri"/>
                <w:color w:val="000000"/>
                <w:lang w:eastAsia="tr-TR"/>
              </w:rPr>
              <w:t>Elektrik Piyasası Dairesi Başkanlığı</w:t>
            </w:r>
          </w:p>
        </w:tc>
        <w:tc>
          <w:tcPr>
            <w:tcW w:w="537" w:type="pct"/>
            <w:tcBorders>
              <w:top w:val="nil"/>
              <w:left w:val="nil"/>
              <w:bottom w:val="single" w:sz="8" w:space="0" w:color="BFBFBF"/>
              <w:right w:val="single" w:sz="8" w:space="0" w:color="BFBFBF"/>
            </w:tcBorders>
            <w:shd w:val="clear" w:color="auto" w:fill="auto"/>
            <w:noWrap/>
            <w:vAlign w:val="center"/>
            <w:hideMark/>
          </w:tcPr>
          <w:p w14:paraId="61809FCD" w14:textId="77777777" w:rsidR="00A448CA" w:rsidRPr="00AE0C4A" w:rsidRDefault="00A448CA" w:rsidP="001173BD">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5</w:t>
            </w:r>
            <w:r w:rsidRPr="00AE0C4A">
              <w:rPr>
                <w:rFonts w:ascii="Calibri" w:eastAsia="Times New Roman" w:hAnsi="Calibri"/>
                <w:color w:val="000000"/>
                <w:lang w:eastAsia="tr-TR"/>
              </w:rPr>
              <w:t xml:space="preserve"> </w:t>
            </w:r>
          </w:p>
        </w:tc>
        <w:tc>
          <w:tcPr>
            <w:tcW w:w="631" w:type="pct"/>
            <w:tcBorders>
              <w:top w:val="nil"/>
              <w:left w:val="nil"/>
              <w:bottom w:val="single" w:sz="8" w:space="0" w:color="BFBFBF"/>
              <w:right w:val="single" w:sz="8" w:space="0" w:color="BFBFBF"/>
            </w:tcBorders>
            <w:shd w:val="clear" w:color="auto" w:fill="auto"/>
            <w:noWrap/>
            <w:vAlign w:val="center"/>
          </w:tcPr>
          <w:p w14:paraId="1E7F6726" w14:textId="77777777" w:rsidR="00A448CA" w:rsidRPr="00AE0C4A" w:rsidRDefault="00A448CA" w:rsidP="001173B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3,82</w:t>
            </w:r>
            <w:r w:rsidRPr="00AE0C4A">
              <w:rPr>
                <w:rFonts w:ascii="Calibri" w:eastAsia="Times New Roman" w:hAnsi="Calibri"/>
                <w:color w:val="000000"/>
                <w:lang w:eastAsia="tr-TR"/>
              </w:rPr>
              <w:t xml:space="preserve"> </w:t>
            </w:r>
          </w:p>
        </w:tc>
        <w:tc>
          <w:tcPr>
            <w:tcW w:w="503" w:type="pct"/>
            <w:tcBorders>
              <w:top w:val="nil"/>
              <w:left w:val="nil"/>
              <w:bottom w:val="single" w:sz="8" w:space="0" w:color="BFBFBF"/>
              <w:right w:val="single" w:sz="8" w:space="0" w:color="BFBFBF"/>
            </w:tcBorders>
            <w:shd w:val="clear" w:color="auto" w:fill="auto"/>
            <w:vAlign w:val="center"/>
            <w:hideMark/>
          </w:tcPr>
          <w:p w14:paraId="18A4D0F5" w14:textId="77777777" w:rsidR="00A448CA" w:rsidRPr="00AE0C4A" w:rsidRDefault="00A448CA" w:rsidP="001173BD">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5</w:t>
            </w:r>
          </w:p>
        </w:tc>
        <w:tc>
          <w:tcPr>
            <w:tcW w:w="503" w:type="pct"/>
            <w:tcBorders>
              <w:top w:val="nil"/>
              <w:left w:val="nil"/>
              <w:bottom w:val="single" w:sz="8" w:space="0" w:color="BFBFBF"/>
              <w:right w:val="single" w:sz="8" w:space="0" w:color="BFBFBF"/>
            </w:tcBorders>
            <w:shd w:val="clear" w:color="auto" w:fill="auto"/>
            <w:noWrap/>
            <w:vAlign w:val="center"/>
          </w:tcPr>
          <w:p w14:paraId="05F10AAB" w14:textId="77777777" w:rsidR="00A448CA" w:rsidRPr="00AE0C4A" w:rsidRDefault="00A448CA" w:rsidP="001173B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4,17</w:t>
            </w:r>
          </w:p>
        </w:tc>
        <w:tc>
          <w:tcPr>
            <w:tcW w:w="503" w:type="pct"/>
            <w:tcBorders>
              <w:top w:val="nil"/>
              <w:left w:val="nil"/>
              <w:bottom w:val="single" w:sz="8" w:space="0" w:color="BFBFBF"/>
              <w:right w:val="single" w:sz="8" w:space="0" w:color="BFBFBF"/>
            </w:tcBorders>
            <w:shd w:val="clear" w:color="auto" w:fill="auto"/>
            <w:noWrap/>
            <w:vAlign w:val="center"/>
          </w:tcPr>
          <w:p w14:paraId="0B32F66D" w14:textId="77777777" w:rsidR="00A448CA" w:rsidRPr="00AE0C4A" w:rsidRDefault="00A448CA" w:rsidP="001173BD">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9</w:t>
            </w:r>
          </w:p>
        </w:tc>
        <w:tc>
          <w:tcPr>
            <w:tcW w:w="497" w:type="pct"/>
            <w:tcBorders>
              <w:top w:val="nil"/>
              <w:left w:val="nil"/>
              <w:bottom w:val="single" w:sz="8" w:space="0" w:color="BFBFBF"/>
              <w:right w:val="single" w:sz="8" w:space="0" w:color="BFBFBF"/>
            </w:tcBorders>
            <w:shd w:val="clear" w:color="auto" w:fill="auto"/>
            <w:vAlign w:val="bottom"/>
          </w:tcPr>
          <w:p w14:paraId="3D245ED5" w14:textId="77777777" w:rsidR="00A448CA" w:rsidRPr="00AE0C4A" w:rsidRDefault="00A448CA" w:rsidP="001173BD">
            <w:pPr>
              <w:spacing w:after="0" w:line="240" w:lineRule="auto"/>
              <w:jc w:val="center"/>
              <w:rPr>
                <w:rFonts w:ascii="Calibri" w:eastAsia="Times New Roman" w:hAnsi="Calibri"/>
                <w:color w:val="000000"/>
                <w:lang w:eastAsia="tr-TR"/>
              </w:rPr>
            </w:pPr>
            <w:r>
              <w:rPr>
                <w:rFonts w:ascii="Calibri" w:hAnsi="Calibri"/>
                <w:color w:val="000000"/>
              </w:rPr>
              <w:t>6,92</w:t>
            </w:r>
          </w:p>
        </w:tc>
      </w:tr>
      <w:tr w:rsidR="00A448CA" w:rsidRPr="00AE0C4A" w14:paraId="22FD7EB3" w14:textId="77777777" w:rsidTr="001173BD">
        <w:trPr>
          <w:trHeight w:val="315"/>
          <w:jc w:val="center"/>
        </w:trPr>
        <w:tc>
          <w:tcPr>
            <w:tcW w:w="1826" w:type="pct"/>
            <w:tcBorders>
              <w:top w:val="nil"/>
              <w:left w:val="single" w:sz="8" w:space="0" w:color="BFBFBF"/>
              <w:bottom w:val="single" w:sz="8" w:space="0" w:color="BFBFBF"/>
              <w:right w:val="single" w:sz="8" w:space="0" w:color="BFBFBF"/>
            </w:tcBorders>
            <w:shd w:val="clear" w:color="auto" w:fill="auto"/>
            <w:vAlign w:val="center"/>
            <w:hideMark/>
          </w:tcPr>
          <w:p w14:paraId="1B6E01D2" w14:textId="77777777" w:rsidR="00A448CA" w:rsidRPr="00AE0C4A" w:rsidRDefault="00A448CA" w:rsidP="001173BD">
            <w:pPr>
              <w:spacing w:after="0" w:line="240" w:lineRule="auto"/>
              <w:rPr>
                <w:rFonts w:ascii="Calibri" w:eastAsia="Times New Roman" w:hAnsi="Calibri"/>
                <w:color w:val="000000"/>
                <w:lang w:eastAsia="tr-TR"/>
              </w:rPr>
            </w:pPr>
            <w:r w:rsidRPr="00AE0C4A">
              <w:rPr>
                <w:rFonts w:ascii="Calibri" w:eastAsia="Times New Roman" w:hAnsi="Calibri"/>
                <w:color w:val="000000"/>
                <w:lang w:eastAsia="tr-TR"/>
              </w:rPr>
              <w:t>Doğal Gaz Piyasası Dairesi Başkanlığı</w:t>
            </w:r>
          </w:p>
        </w:tc>
        <w:tc>
          <w:tcPr>
            <w:tcW w:w="537" w:type="pct"/>
            <w:tcBorders>
              <w:top w:val="nil"/>
              <w:left w:val="nil"/>
              <w:bottom w:val="single" w:sz="8" w:space="0" w:color="BFBFBF"/>
              <w:right w:val="single" w:sz="8" w:space="0" w:color="BFBFBF"/>
            </w:tcBorders>
            <w:shd w:val="clear" w:color="auto" w:fill="auto"/>
            <w:noWrap/>
            <w:vAlign w:val="center"/>
            <w:hideMark/>
          </w:tcPr>
          <w:p w14:paraId="6648A0AA" w14:textId="77777777" w:rsidR="00A448CA" w:rsidRPr="00AE0C4A" w:rsidRDefault="00A448CA" w:rsidP="001173BD">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7</w:t>
            </w:r>
            <w:r w:rsidRPr="00AE0C4A">
              <w:rPr>
                <w:rFonts w:ascii="Calibri" w:eastAsia="Times New Roman" w:hAnsi="Calibri"/>
                <w:color w:val="000000"/>
                <w:lang w:eastAsia="tr-TR"/>
              </w:rPr>
              <w:t xml:space="preserve"> </w:t>
            </w:r>
          </w:p>
        </w:tc>
        <w:tc>
          <w:tcPr>
            <w:tcW w:w="631" w:type="pct"/>
            <w:tcBorders>
              <w:top w:val="nil"/>
              <w:left w:val="nil"/>
              <w:bottom w:val="single" w:sz="8" w:space="0" w:color="BFBFBF"/>
              <w:right w:val="single" w:sz="8" w:space="0" w:color="BFBFBF"/>
            </w:tcBorders>
            <w:shd w:val="clear" w:color="auto" w:fill="auto"/>
            <w:noWrap/>
            <w:vAlign w:val="center"/>
          </w:tcPr>
          <w:p w14:paraId="0B488FA0" w14:textId="77777777" w:rsidR="00A448CA" w:rsidRPr="00AE0C4A" w:rsidRDefault="00A448CA" w:rsidP="001173B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5,34</w:t>
            </w:r>
            <w:r w:rsidRPr="00AE0C4A">
              <w:rPr>
                <w:rFonts w:ascii="Calibri" w:eastAsia="Times New Roman" w:hAnsi="Calibri"/>
                <w:color w:val="000000"/>
                <w:lang w:eastAsia="tr-TR"/>
              </w:rPr>
              <w:t xml:space="preserve"> </w:t>
            </w:r>
          </w:p>
        </w:tc>
        <w:tc>
          <w:tcPr>
            <w:tcW w:w="503" w:type="pct"/>
            <w:tcBorders>
              <w:top w:val="nil"/>
              <w:left w:val="nil"/>
              <w:bottom w:val="single" w:sz="8" w:space="0" w:color="BFBFBF"/>
              <w:right w:val="single" w:sz="8" w:space="0" w:color="BFBFBF"/>
            </w:tcBorders>
            <w:shd w:val="clear" w:color="auto" w:fill="auto"/>
            <w:vAlign w:val="center"/>
            <w:hideMark/>
          </w:tcPr>
          <w:p w14:paraId="79BA95E2" w14:textId="77777777" w:rsidR="00A448CA" w:rsidRPr="00AE0C4A" w:rsidRDefault="00A448CA" w:rsidP="001173BD">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w:t>
            </w:r>
          </w:p>
        </w:tc>
        <w:tc>
          <w:tcPr>
            <w:tcW w:w="503" w:type="pct"/>
            <w:tcBorders>
              <w:top w:val="nil"/>
              <w:left w:val="nil"/>
              <w:bottom w:val="single" w:sz="8" w:space="0" w:color="BFBFBF"/>
              <w:right w:val="single" w:sz="8" w:space="0" w:color="BFBFBF"/>
            </w:tcBorders>
            <w:shd w:val="clear" w:color="auto" w:fill="auto"/>
            <w:noWrap/>
            <w:vAlign w:val="center"/>
          </w:tcPr>
          <w:p w14:paraId="0614F81D" w14:textId="77777777" w:rsidR="00A448CA" w:rsidRPr="00AE0C4A" w:rsidRDefault="00A448CA" w:rsidP="001173B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0,83</w:t>
            </w:r>
          </w:p>
        </w:tc>
        <w:tc>
          <w:tcPr>
            <w:tcW w:w="503" w:type="pct"/>
            <w:tcBorders>
              <w:top w:val="nil"/>
              <w:left w:val="nil"/>
              <w:bottom w:val="single" w:sz="8" w:space="0" w:color="BFBFBF"/>
              <w:right w:val="single" w:sz="8" w:space="0" w:color="BFBFBF"/>
            </w:tcBorders>
            <w:shd w:val="clear" w:color="auto" w:fill="auto"/>
            <w:noWrap/>
            <w:vAlign w:val="center"/>
          </w:tcPr>
          <w:p w14:paraId="6D7F317F" w14:textId="77777777" w:rsidR="00A448CA" w:rsidRPr="00AE0C4A" w:rsidRDefault="00A448CA" w:rsidP="001173BD">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4</w:t>
            </w:r>
          </w:p>
        </w:tc>
        <w:tc>
          <w:tcPr>
            <w:tcW w:w="497" w:type="pct"/>
            <w:tcBorders>
              <w:top w:val="nil"/>
              <w:left w:val="nil"/>
              <w:bottom w:val="single" w:sz="8" w:space="0" w:color="BFBFBF"/>
              <w:right w:val="single" w:sz="8" w:space="0" w:color="BFBFBF"/>
            </w:tcBorders>
            <w:shd w:val="clear" w:color="auto" w:fill="auto"/>
            <w:vAlign w:val="bottom"/>
          </w:tcPr>
          <w:p w14:paraId="439AC17C" w14:textId="77777777" w:rsidR="00A448CA" w:rsidRPr="00AE0C4A" w:rsidRDefault="00A448CA" w:rsidP="001173BD">
            <w:pPr>
              <w:spacing w:after="0" w:line="240" w:lineRule="auto"/>
              <w:jc w:val="center"/>
              <w:rPr>
                <w:rFonts w:ascii="Calibri" w:eastAsia="Times New Roman" w:hAnsi="Calibri"/>
                <w:color w:val="000000"/>
                <w:lang w:eastAsia="tr-TR"/>
              </w:rPr>
            </w:pPr>
            <w:r>
              <w:rPr>
                <w:rFonts w:ascii="Calibri" w:hAnsi="Calibri"/>
                <w:color w:val="000000"/>
              </w:rPr>
              <w:t>3,08</w:t>
            </w:r>
          </w:p>
        </w:tc>
      </w:tr>
      <w:tr w:rsidR="00A448CA" w:rsidRPr="00AE0C4A" w14:paraId="0B9B6432" w14:textId="77777777" w:rsidTr="001173BD">
        <w:trPr>
          <w:trHeight w:val="315"/>
          <w:jc w:val="center"/>
        </w:trPr>
        <w:tc>
          <w:tcPr>
            <w:tcW w:w="1826" w:type="pct"/>
            <w:tcBorders>
              <w:top w:val="nil"/>
              <w:left w:val="single" w:sz="8" w:space="0" w:color="BFBFBF"/>
              <w:bottom w:val="single" w:sz="8" w:space="0" w:color="BFBFBF"/>
              <w:right w:val="single" w:sz="8" w:space="0" w:color="BFBFBF"/>
            </w:tcBorders>
            <w:shd w:val="clear" w:color="auto" w:fill="auto"/>
            <w:vAlign w:val="center"/>
            <w:hideMark/>
          </w:tcPr>
          <w:p w14:paraId="71F26BE5" w14:textId="77777777" w:rsidR="00A448CA" w:rsidRPr="00AE0C4A" w:rsidRDefault="00A448CA" w:rsidP="001173BD">
            <w:pPr>
              <w:spacing w:after="0" w:line="240" w:lineRule="auto"/>
              <w:rPr>
                <w:rFonts w:ascii="Calibri" w:eastAsia="Times New Roman" w:hAnsi="Calibri"/>
                <w:color w:val="000000"/>
                <w:lang w:eastAsia="tr-TR"/>
              </w:rPr>
            </w:pPr>
            <w:r w:rsidRPr="00AE0C4A">
              <w:rPr>
                <w:rFonts w:ascii="Calibri" w:eastAsia="Times New Roman" w:hAnsi="Calibri"/>
                <w:color w:val="000000"/>
                <w:lang w:eastAsia="tr-TR"/>
              </w:rPr>
              <w:t>Petrol Piyasası Dairesi Başkanlığı</w:t>
            </w:r>
          </w:p>
        </w:tc>
        <w:tc>
          <w:tcPr>
            <w:tcW w:w="537" w:type="pct"/>
            <w:tcBorders>
              <w:top w:val="nil"/>
              <w:left w:val="nil"/>
              <w:bottom w:val="single" w:sz="8" w:space="0" w:color="BFBFBF"/>
              <w:right w:val="single" w:sz="8" w:space="0" w:color="BFBFBF"/>
            </w:tcBorders>
            <w:shd w:val="clear" w:color="auto" w:fill="auto"/>
            <w:noWrap/>
            <w:vAlign w:val="center"/>
            <w:hideMark/>
          </w:tcPr>
          <w:p w14:paraId="7C222C58" w14:textId="77777777" w:rsidR="00A448CA" w:rsidRPr="00AE0C4A" w:rsidRDefault="00A448CA" w:rsidP="001173BD">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18</w:t>
            </w:r>
            <w:r w:rsidRPr="00AE0C4A">
              <w:rPr>
                <w:rFonts w:ascii="Calibri" w:eastAsia="Times New Roman" w:hAnsi="Calibri"/>
                <w:color w:val="000000"/>
                <w:lang w:eastAsia="tr-TR"/>
              </w:rPr>
              <w:t xml:space="preserve"> </w:t>
            </w:r>
          </w:p>
        </w:tc>
        <w:tc>
          <w:tcPr>
            <w:tcW w:w="631" w:type="pct"/>
            <w:tcBorders>
              <w:top w:val="nil"/>
              <w:left w:val="nil"/>
              <w:bottom w:val="single" w:sz="8" w:space="0" w:color="BFBFBF"/>
              <w:right w:val="single" w:sz="8" w:space="0" w:color="BFBFBF"/>
            </w:tcBorders>
            <w:shd w:val="clear" w:color="auto" w:fill="auto"/>
            <w:noWrap/>
            <w:vAlign w:val="center"/>
          </w:tcPr>
          <w:p w14:paraId="460C2B6C" w14:textId="77777777" w:rsidR="00A448CA" w:rsidRPr="00AE0C4A" w:rsidRDefault="00A448CA" w:rsidP="001173B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13,74</w:t>
            </w:r>
          </w:p>
        </w:tc>
        <w:tc>
          <w:tcPr>
            <w:tcW w:w="503" w:type="pct"/>
            <w:tcBorders>
              <w:top w:val="nil"/>
              <w:left w:val="nil"/>
              <w:bottom w:val="single" w:sz="8" w:space="0" w:color="BFBFBF"/>
              <w:right w:val="single" w:sz="8" w:space="0" w:color="BFBFBF"/>
            </w:tcBorders>
            <w:shd w:val="clear" w:color="auto" w:fill="auto"/>
            <w:vAlign w:val="center"/>
            <w:hideMark/>
          </w:tcPr>
          <w:p w14:paraId="5BEAA706" w14:textId="77777777" w:rsidR="00A448CA" w:rsidRPr="00AE0C4A" w:rsidRDefault="00A448CA" w:rsidP="001173BD">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15</w:t>
            </w:r>
          </w:p>
        </w:tc>
        <w:tc>
          <w:tcPr>
            <w:tcW w:w="503" w:type="pct"/>
            <w:tcBorders>
              <w:top w:val="nil"/>
              <w:left w:val="nil"/>
              <w:bottom w:val="single" w:sz="8" w:space="0" w:color="BFBFBF"/>
              <w:right w:val="single" w:sz="8" w:space="0" w:color="BFBFBF"/>
            </w:tcBorders>
            <w:shd w:val="clear" w:color="auto" w:fill="auto"/>
            <w:noWrap/>
            <w:vAlign w:val="center"/>
          </w:tcPr>
          <w:p w14:paraId="54167462" w14:textId="77777777" w:rsidR="00A448CA" w:rsidRPr="00AE0C4A" w:rsidRDefault="00A448CA" w:rsidP="001173B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12,5</w:t>
            </w:r>
          </w:p>
        </w:tc>
        <w:tc>
          <w:tcPr>
            <w:tcW w:w="503" w:type="pct"/>
            <w:tcBorders>
              <w:top w:val="nil"/>
              <w:left w:val="nil"/>
              <w:bottom w:val="single" w:sz="8" w:space="0" w:color="BFBFBF"/>
              <w:right w:val="single" w:sz="8" w:space="0" w:color="BFBFBF"/>
            </w:tcBorders>
            <w:shd w:val="clear" w:color="auto" w:fill="auto"/>
            <w:noWrap/>
            <w:vAlign w:val="center"/>
          </w:tcPr>
          <w:p w14:paraId="7C7BC052" w14:textId="77777777" w:rsidR="00A448CA" w:rsidRPr="00AE0C4A" w:rsidRDefault="00A448CA" w:rsidP="001173BD">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15</w:t>
            </w:r>
          </w:p>
        </w:tc>
        <w:tc>
          <w:tcPr>
            <w:tcW w:w="497" w:type="pct"/>
            <w:tcBorders>
              <w:top w:val="nil"/>
              <w:left w:val="nil"/>
              <w:bottom w:val="single" w:sz="8" w:space="0" w:color="BFBFBF"/>
              <w:right w:val="single" w:sz="8" w:space="0" w:color="BFBFBF"/>
            </w:tcBorders>
            <w:shd w:val="clear" w:color="auto" w:fill="auto"/>
            <w:vAlign w:val="bottom"/>
          </w:tcPr>
          <w:p w14:paraId="328DF922" w14:textId="77777777" w:rsidR="00A448CA" w:rsidRPr="00AE0C4A" w:rsidRDefault="00A448CA" w:rsidP="001173BD">
            <w:pPr>
              <w:spacing w:after="0" w:line="240" w:lineRule="auto"/>
              <w:jc w:val="center"/>
              <w:rPr>
                <w:rFonts w:ascii="Calibri" w:eastAsia="Times New Roman" w:hAnsi="Calibri"/>
                <w:color w:val="000000"/>
                <w:lang w:eastAsia="tr-TR"/>
              </w:rPr>
            </w:pPr>
            <w:r>
              <w:rPr>
                <w:rFonts w:ascii="Calibri" w:hAnsi="Calibri"/>
                <w:color w:val="000000"/>
              </w:rPr>
              <w:t>11,54</w:t>
            </w:r>
          </w:p>
        </w:tc>
      </w:tr>
      <w:tr w:rsidR="00A448CA" w:rsidRPr="00AE0C4A" w14:paraId="5A5D28B6" w14:textId="77777777" w:rsidTr="001173BD">
        <w:trPr>
          <w:trHeight w:val="315"/>
          <w:jc w:val="center"/>
        </w:trPr>
        <w:tc>
          <w:tcPr>
            <w:tcW w:w="1826" w:type="pct"/>
            <w:tcBorders>
              <w:top w:val="nil"/>
              <w:left w:val="single" w:sz="8" w:space="0" w:color="BFBFBF"/>
              <w:bottom w:val="single" w:sz="8" w:space="0" w:color="BFBFBF"/>
              <w:right w:val="single" w:sz="8" w:space="0" w:color="BFBFBF"/>
            </w:tcBorders>
            <w:shd w:val="clear" w:color="auto" w:fill="auto"/>
            <w:vAlign w:val="center"/>
            <w:hideMark/>
          </w:tcPr>
          <w:p w14:paraId="635F99A5" w14:textId="77777777" w:rsidR="00A448CA" w:rsidRPr="00AE0C4A" w:rsidRDefault="00A448CA" w:rsidP="001173BD">
            <w:pPr>
              <w:spacing w:after="0" w:line="240" w:lineRule="auto"/>
              <w:rPr>
                <w:rFonts w:ascii="Calibri" w:eastAsia="Times New Roman" w:hAnsi="Calibri"/>
                <w:color w:val="000000"/>
                <w:lang w:eastAsia="tr-TR"/>
              </w:rPr>
            </w:pPr>
            <w:r w:rsidRPr="00AE0C4A">
              <w:rPr>
                <w:rFonts w:ascii="Calibri" w:eastAsia="Times New Roman" w:hAnsi="Calibri"/>
                <w:color w:val="000000"/>
                <w:lang w:eastAsia="tr-TR"/>
              </w:rPr>
              <w:t>Sıvılaştırılmış Petrol Gazları Piyasası Dairesi Başkanlığı</w:t>
            </w:r>
          </w:p>
        </w:tc>
        <w:tc>
          <w:tcPr>
            <w:tcW w:w="537" w:type="pct"/>
            <w:tcBorders>
              <w:top w:val="nil"/>
              <w:left w:val="nil"/>
              <w:bottom w:val="single" w:sz="8" w:space="0" w:color="BFBFBF"/>
              <w:right w:val="single" w:sz="8" w:space="0" w:color="BFBFBF"/>
            </w:tcBorders>
            <w:shd w:val="clear" w:color="auto" w:fill="auto"/>
            <w:noWrap/>
            <w:vAlign w:val="center"/>
            <w:hideMark/>
          </w:tcPr>
          <w:p w14:paraId="659633B8" w14:textId="77777777" w:rsidR="00A448CA" w:rsidRPr="00AE0C4A" w:rsidRDefault="00A448CA" w:rsidP="001173BD">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4</w:t>
            </w:r>
            <w:r w:rsidRPr="00AE0C4A">
              <w:rPr>
                <w:rFonts w:ascii="Calibri" w:eastAsia="Times New Roman" w:hAnsi="Calibri"/>
                <w:color w:val="000000"/>
                <w:lang w:eastAsia="tr-TR"/>
              </w:rPr>
              <w:t xml:space="preserve"> </w:t>
            </w:r>
          </w:p>
        </w:tc>
        <w:tc>
          <w:tcPr>
            <w:tcW w:w="631" w:type="pct"/>
            <w:tcBorders>
              <w:top w:val="nil"/>
              <w:left w:val="nil"/>
              <w:bottom w:val="single" w:sz="8" w:space="0" w:color="BFBFBF"/>
              <w:right w:val="single" w:sz="8" w:space="0" w:color="BFBFBF"/>
            </w:tcBorders>
            <w:shd w:val="clear" w:color="auto" w:fill="auto"/>
            <w:noWrap/>
            <w:vAlign w:val="center"/>
          </w:tcPr>
          <w:p w14:paraId="4E4AFF72" w14:textId="77777777" w:rsidR="00A448CA" w:rsidRPr="00AE0C4A" w:rsidRDefault="00A448CA" w:rsidP="001173B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3,05</w:t>
            </w:r>
            <w:r w:rsidRPr="00AE0C4A">
              <w:rPr>
                <w:rFonts w:ascii="Calibri" w:eastAsia="Times New Roman" w:hAnsi="Calibri"/>
                <w:color w:val="000000"/>
                <w:lang w:eastAsia="tr-TR"/>
              </w:rPr>
              <w:t xml:space="preserve"> </w:t>
            </w:r>
          </w:p>
        </w:tc>
        <w:tc>
          <w:tcPr>
            <w:tcW w:w="503" w:type="pct"/>
            <w:tcBorders>
              <w:top w:val="nil"/>
              <w:left w:val="nil"/>
              <w:bottom w:val="single" w:sz="8" w:space="0" w:color="BFBFBF"/>
              <w:right w:val="single" w:sz="8" w:space="0" w:color="BFBFBF"/>
            </w:tcBorders>
            <w:shd w:val="clear" w:color="auto" w:fill="auto"/>
            <w:vAlign w:val="center"/>
            <w:hideMark/>
          </w:tcPr>
          <w:p w14:paraId="2E369DF1" w14:textId="77777777" w:rsidR="00A448CA" w:rsidRPr="00AE0C4A" w:rsidRDefault="00A448CA" w:rsidP="001173BD">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0</w:t>
            </w:r>
          </w:p>
        </w:tc>
        <w:tc>
          <w:tcPr>
            <w:tcW w:w="503" w:type="pct"/>
            <w:tcBorders>
              <w:top w:val="nil"/>
              <w:left w:val="nil"/>
              <w:bottom w:val="single" w:sz="8" w:space="0" w:color="BFBFBF"/>
              <w:right w:val="single" w:sz="8" w:space="0" w:color="BFBFBF"/>
            </w:tcBorders>
            <w:shd w:val="clear" w:color="auto" w:fill="auto"/>
            <w:noWrap/>
            <w:vAlign w:val="center"/>
          </w:tcPr>
          <w:p w14:paraId="0056051D" w14:textId="77777777" w:rsidR="00A448CA" w:rsidRPr="00AE0C4A" w:rsidRDefault="00A448CA" w:rsidP="001173B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w:t>
            </w:r>
          </w:p>
        </w:tc>
        <w:tc>
          <w:tcPr>
            <w:tcW w:w="503" w:type="pct"/>
            <w:tcBorders>
              <w:top w:val="nil"/>
              <w:left w:val="nil"/>
              <w:bottom w:val="single" w:sz="8" w:space="0" w:color="BFBFBF"/>
              <w:right w:val="single" w:sz="8" w:space="0" w:color="BFBFBF"/>
            </w:tcBorders>
            <w:shd w:val="clear" w:color="auto" w:fill="auto"/>
            <w:noWrap/>
            <w:vAlign w:val="center"/>
          </w:tcPr>
          <w:p w14:paraId="7F0EE5D9" w14:textId="77777777" w:rsidR="00A448CA" w:rsidRPr="00AE0C4A" w:rsidRDefault="00A448CA" w:rsidP="001173BD">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3</w:t>
            </w:r>
          </w:p>
        </w:tc>
        <w:tc>
          <w:tcPr>
            <w:tcW w:w="497" w:type="pct"/>
            <w:tcBorders>
              <w:top w:val="nil"/>
              <w:left w:val="nil"/>
              <w:bottom w:val="single" w:sz="8" w:space="0" w:color="BFBFBF"/>
              <w:right w:val="single" w:sz="8" w:space="0" w:color="BFBFBF"/>
            </w:tcBorders>
            <w:shd w:val="clear" w:color="auto" w:fill="auto"/>
            <w:vAlign w:val="bottom"/>
          </w:tcPr>
          <w:p w14:paraId="7994BE80" w14:textId="77777777" w:rsidR="00A448CA" w:rsidRPr="00AE0C4A" w:rsidRDefault="00A448CA" w:rsidP="001173BD">
            <w:pPr>
              <w:spacing w:after="0" w:line="240" w:lineRule="auto"/>
              <w:jc w:val="center"/>
              <w:rPr>
                <w:rFonts w:ascii="Calibri" w:eastAsia="Times New Roman" w:hAnsi="Calibri"/>
                <w:color w:val="000000"/>
                <w:lang w:eastAsia="tr-TR"/>
              </w:rPr>
            </w:pPr>
            <w:r>
              <w:rPr>
                <w:rFonts w:ascii="Calibri" w:hAnsi="Calibri"/>
                <w:color w:val="000000"/>
              </w:rPr>
              <w:t>2,31</w:t>
            </w:r>
          </w:p>
        </w:tc>
      </w:tr>
      <w:tr w:rsidR="00A448CA" w:rsidRPr="00AE0C4A" w14:paraId="0B390527" w14:textId="77777777" w:rsidTr="001173BD">
        <w:trPr>
          <w:trHeight w:val="315"/>
          <w:jc w:val="center"/>
        </w:trPr>
        <w:tc>
          <w:tcPr>
            <w:tcW w:w="1826" w:type="pct"/>
            <w:tcBorders>
              <w:top w:val="nil"/>
              <w:left w:val="single" w:sz="8" w:space="0" w:color="BFBFBF"/>
              <w:bottom w:val="single" w:sz="8" w:space="0" w:color="BFBFBF"/>
              <w:right w:val="single" w:sz="8" w:space="0" w:color="BFBFBF"/>
            </w:tcBorders>
            <w:shd w:val="clear" w:color="auto" w:fill="auto"/>
            <w:vAlign w:val="center"/>
          </w:tcPr>
          <w:p w14:paraId="42EFC3D4" w14:textId="77777777" w:rsidR="00A448CA" w:rsidRPr="00AE0C4A" w:rsidRDefault="00A448CA" w:rsidP="001173BD">
            <w:pPr>
              <w:spacing w:after="0" w:line="240" w:lineRule="auto"/>
              <w:rPr>
                <w:rFonts w:ascii="Calibri" w:eastAsia="Times New Roman" w:hAnsi="Calibri"/>
                <w:color w:val="000000"/>
                <w:lang w:eastAsia="tr-TR"/>
              </w:rPr>
            </w:pPr>
            <w:r>
              <w:rPr>
                <w:rFonts w:ascii="Calibri" w:eastAsia="Times New Roman" w:hAnsi="Calibri"/>
                <w:color w:val="000000"/>
                <w:lang w:eastAsia="tr-TR"/>
              </w:rPr>
              <w:t>Enerji Dönüşüm Dairesi Başkanlığı</w:t>
            </w:r>
          </w:p>
        </w:tc>
        <w:tc>
          <w:tcPr>
            <w:tcW w:w="537" w:type="pct"/>
            <w:tcBorders>
              <w:top w:val="nil"/>
              <w:left w:val="nil"/>
              <w:bottom w:val="single" w:sz="8" w:space="0" w:color="BFBFBF"/>
              <w:right w:val="single" w:sz="8" w:space="0" w:color="BFBFBF"/>
            </w:tcBorders>
            <w:shd w:val="clear" w:color="auto" w:fill="auto"/>
            <w:noWrap/>
            <w:vAlign w:val="center"/>
          </w:tcPr>
          <w:p w14:paraId="03388392" w14:textId="77777777" w:rsidR="00A448CA" w:rsidRDefault="00A448CA" w:rsidP="001173BD">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w:t>
            </w:r>
          </w:p>
        </w:tc>
        <w:tc>
          <w:tcPr>
            <w:tcW w:w="631" w:type="pct"/>
            <w:tcBorders>
              <w:top w:val="nil"/>
              <w:left w:val="nil"/>
              <w:bottom w:val="single" w:sz="8" w:space="0" w:color="BFBFBF"/>
              <w:right w:val="single" w:sz="8" w:space="0" w:color="BFBFBF"/>
            </w:tcBorders>
            <w:shd w:val="clear" w:color="auto" w:fill="auto"/>
            <w:noWrap/>
            <w:vAlign w:val="center"/>
          </w:tcPr>
          <w:p w14:paraId="2A1C2C91" w14:textId="77777777" w:rsidR="00A448CA" w:rsidRDefault="00A448CA" w:rsidP="001173B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0,76</w:t>
            </w:r>
          </w:p>
        </w:tc>
        <w:tc>
          <w:tcPr>
            <w:tcW w:w="503" w:type="pct"/>
            <w:tcBorders>
              <w:top w:val="nil"/>
              <w:left w:val="nil"/>
              <w:bottom w:val="single" w:sz="8" w:space="0" w:color="BFBFBF"/>
              <w:right w:val="single" w:sz="8" w:space="0" w:color="BFBFBF"/>
            </w:tcBorders>
            <w:shd w:val="clear" w:color="auto" w:fill="auto"/>
            <w:vAlign w:val="center"/>
          </w:tcPr>
          <w:p w14:paraId="15E676D2" w14:textId="77777777" w:rsidR="00A448CA" w:rsidRDefault="00A448CA" w:rsidP="001173BD">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w:t>
            </w:r>
          </w:p>
        </w:tc>
        <w:tc>
          <w:tcPr>
            <w:tcW w:w="503" w:type="pct"/>
            <w:tcBorders>
              <w:top w:val="nil"/>
              <w:left w:val="nil"/>
              <w:bottom w:val="single" w:sz="8" w:space="0" w:color="BFBFBF"/>
              <w:right w:val="single" w:sz="8" w:space="0" w:color="BFBFBF"/>
            </w:tcBorders>
            <w:shd w:val="clear" w:color="auto" w:fill="auto"/>
            <w:noWrap/>
            <w:vAlign w:val="center"/>
          </w:tcPr>
          <w:p w14:paraId="45690CFD" w14:textId="77777777" w:rsidR="00A448CA" w:rsidRDefault="00A448CA" w:rsidP="001173B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0,83</w:t>
            </w:r>
          </w:p>
        </w:tc>
        <w:tc>
          <w:tcPr>
            <w:tcW w:w="503" w:type="pct"/>
            <w:tcBorders>
              <w:top w:val="nil"/>
              <w:left w:val="nil"/>
              <w:bottom w:val="single" w:sz="8" w:space="0" w:color="BFBFBF"/>
              <w:right w:val="single" w:sz="8" w:space="0" w:color="BFBFBF"/>
            </w:tcBorders>
            <w:shd w:val="clear" w:color="auto" w:fill="auto"/>
            <w:noWrap/>
            <w:vAlign w:val="center"/>
          </w:tcPr>
          <w:p w14:paraId="6A241050" w14:textId="77777777" w:rsidR="00A448CA" w:rsidRDefault="00A448CA" w:rsidP="001173BD">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0</w:t>
            </w:r>
          </w:p>
        </w:tc>
        <w:tc>
          <w:tcPr>
            <w:tcW w:w="497" w:type="pct"/>
            <w:tcBorders>
              <w:top w:val="nil"/>
              <w:left w:val="nil"/>
              <w:bottom w:val="single" w:sz="8" w:space="0" w:color="BFBFBF"/>
              <w:right w:val="single" w:sz="8" w:space="0" w:color="BFBFBF"/>
            </w:tcBorders>
            <w:shd w:val="clear" w:color="auto" w:fill="auto"/>
            <w:vAlign w:val="bottom"/>
          </w:tcPr>
          <w:p w14:paraId="0492B511" w14:textId="77777777" w:rsidR="00A448CA" w:rsidRDefault="00A448CA" w:rsidP="001173BD">
            <w:pPr>
              <w:spacing w:after="0" w:line="240" w:lineRule="auto"/>
              <w:jc w:val="center"/>
              <w:rPr>
                <w:rFonts w:ascii="Calibri" w:eastAsia="Times New Roman" w:hAnsi="Calibri"/>
                <w:color w:val="000000"/>
                <w:lang w:eastAsia="tr-TR"/>
              </w:rPr>
            </w:pPr>
            <w:r>
              <w:rPr>
                <w:rFonts w:ascii="Calibri" w:hAnsi="Calibri"/>
                <w:color w:val="000000"/>
              </w:rPr>
              <w:t>0,00</w:t>
            </w:r>
          </w:p>
        </w:tc>
      </w:tr>
      <w:tr w:rsidR="00A448CA" w:rsidRPr="00AE0C4A" w14:paraId="3E48D131" w14:textId="77777777" w:rsidTr="001173BD">
        <w:trPr>
          <w:trHeight w:val="315"/>
          <w:jc w:val="center"/>
        </w:trPr>
        <w:tc>
          <w:tcPr>
            <w:tcW w:w="1826" w:type="pct"/>
            <w:tcBorders>
              <w:top w:val="nil"/>
              <w:left w:val="single" w:sz="8" w:space="0" w:color="BFBFBF"/>
              <w:bottom w:val="single" w:sz="8" w:space="0" w:color="BFBFBF"/>
              <w:right w:val="single" w:sz="8" w:space="0" w:color="BFBFBF"/>
            </w:tcBorders>
            <w:shd w:val="clear" w:color="auto" w:fill="auto"/>
            <w:vAlign w:val="center"/>
            <w:hideMark/>
          </w:tcPr>
          <w:p w14:paraId="25875095" w14:textId="77777777" w:rsidR="00A448CA" w:rsidRPr="00AE0C4A" w:rsidRDefault="00A448CA" w:rsidP="001173BD">
            <w:pPr>
              <w:spacing w:after="0" w:line="240" w:lineRule="auto"/>
              <w:rPr>
                <w:rFonts w:ascii="Calibri" w:eastAsia="Times New Roman" w:hAnsi="Calibri"/>
                <w:color w:val="000000"/>
                <w:lang w:eastAsia="tr-TR"/>
              </w:rPr>
            </w:pPr>
            <w:r w:rsidRPr="00AE0C4A">
              <w:rPr>
                <w:rFonts w:ascii="Calibri" w:eastAsia="Times New Roman" w:hAnsi="Calibri"/>
                <w:color w:val="000000"/>
                <w:lang w:eastAsia="tr-TR"/>
              </w:rPr>
              <w:t>Kamulaştırma Dairesi Başkanlığı</w:t>
            </w:r>
          </w:p>
        </w:tc>
        <w:tc>
          <w:tcPr>
            <w:tcW w:w="537" w:type="pct"/>
            <w:tcBorders>
              <w:top w:val="nil"/>
              <w:left w:val="nil"/>
              <w:bottom w:val="single" w:sz="8" w:space="0" w:color="BFBFBF"/>
              <w:right w:val="single" w:sz="8" w:space="0" w:color="BFBFBF"/>
            </w:tcBorders>
            <w:shd w:val="clear" w:color="auto" w:fill="auto"/>
            <w:noWrap/>
            <w:vAlign w:val="center"/>
            <w:hideMark/>
          </w:tcPr>
          <w:p w14:paraId="532B2C6F" w14:textId="77777777" w:rsidR="00A448CA" w:rsidRPr="00AE0C4A" w:rsidRDefault="00A448CA" w:rsidP="001173BD">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2</w:t>
            </w:r>
            <w:r w:rsidRPr="00AE0C4A">
              <w:rPr>
                <w:rFonts w:ascii="Calibri" w:eastAsia="Times New Roman" w:hAnsi="Calibri"/>
                <w:color w:val="000000"/>
                <w:lang w:eastAsia="tr-TR"/>
              </w:rPr>
              <w:t xml:space="preserve"> </w:t>
            </w:r>
          </w:p>
        </w:tc>
        <w:tc>
          <w:tcPr>
            <w:tcW w:w="631" w:type="pct"/>
            <w:tcBorders>
              <w:top w:val="nil"/>
              <w:left w:val="nil"/>
              <w:bottom w:val="single" w:sz="8" w:space="0" w:color="BFBFBF"/>
              <w:right w:val="single" w:sz="8" w:space="0" w:color="BFBFBF"/>
            </w:tcBorders>
            <w:shd w:val="clear" w:color="auto" w:fill="auto"/>
            <w:noWrap/>
            <w:vAlign w:val="center"/>
          </w:tcPr>
          <w:p w14:paraId="3A548307" w14:textId="77777777" w:rsidR="00A448CA" w:rsidRPr="00AE0C4A" w:rsidRDefault="00A448CA" w:rsidP="001173B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1,53</w:t>
            </w:r>
            <w:r w:rsidRPr="00AE0C4A">
              <w:rPr>
                <w:rFonts w:ascii="Calibri" w:eastAsia="Times New Roman" w:hAnsi="Calibri"/>
                <w:color w:val="000000"/>
                <w:lang w:eastAsia="tr-TR"/>
              </w:rPr>
              <w:t xml:space="preserve"> </w:t>
            </w:r>
          </w:p>
        </w:tc>
        <w:tc>
          <w:tcPr>
            <w:tcW w:w="503" w:type="pct"/>
            <w:tcBorders>
              <w:top w:val="nil"/>
              <w:left w:val="nil"/>
              <w:bottom w:val="single" w:sz="8" w:space="0" w:color="BFBFBF"/>
              <w:right w:val="single" w:sz="8" w:space="0" w:color="BFBFBF"/>
            </w:tcBorders>
            <w:shd w:val="clear" w:color="auto" w:fill="auto"/>
            <w:vAlign w:val="center"/>
            <w:hideMark/>
          </w:tcPr>
          <w:p w14:paraId="5733822D" w14:textId="77777777" w:rsidR="00A448CA" w:rsidRPr="00AE0C4A" w:rsidRDefault="00A448CA" w:rsidP="001173BD">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2</w:t>
            </w:r>
          </w:p>
        </w:tc>
        <w:tc>
          <w:tcPr>
            <w:tcW w:w="503" w:type="pct"/>
            <w:tcBorders>
              <w:top w:val="nil"/>
              <w:left w:val="nil"/>
              <w:bottom w:val="single" w:sz="8" w:space="0" w:color="BFBFBF"/>
              <w:right w:val="single" w:sz="8" w:space="0" w:color="BFBFBF"/>
            </w:tcBorders>
            <w:shd w:val="clear" w:color="auto" w:fill="auto"/>
            <w:noWrap/>
            <w:vAlign w:val="center"/>
          </w:tcPr>
          <w:p w14:paraId="6E15E1FE" w14:textId="77777777" w:rsidR="00A448CA" w:rsidRPr="00AE0C4A" w:rsidRDefault="00A448CA" w:rsidP="001173B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1,67</w:t>
            </w:r>
          </w:p>
        </w:tc>
        <w:tc>
          <w:tcPr>
            <w:tcW w:w="503" w:type="pct"/>
            <w:tcBorders>
              <w:top w:val="nil"/>
              <w:left w:val="nil"/>
              <w:bottom w:val="single" w:sz="8" w:space="0" w:color="BFBFBF"/>
              <w:right w:val="single" w:sz="8" w:space="0" w:color="BFBFBF"/>
            </w:tcBorders>
            <w:shd w:val="clear" w:color="auto" w:fill="auto"/>
            <w:noWrap/>
            <w:vAlign w:val="center"/>
          </w:tcPr>
          <w:p w14:paraId="588BD1D2" w14:textId="77777777" w:rsidR="00A448CA" w:rsidRPr="00AE0C4A" w:rsidRDefault="00A448CA" w:rsidP="001173BD">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w:t>
            </w:r>
          </w:p>
        </w:tc>
        <w:tc>
          <w:tcPr>
            <w:tcW w:w="497" w:type="pct"/>
            <w:tcBorders>
              <w:top w:val="nil"/>
              <w:left w:val="nil"/>
              <w:bottom w:val="single" w:sz="8" w:space="0" w:color="BFBFBF"/>
              <w:right w:val="single" w:sz="8" w:space="0" w:color="BFBFBF"/>
            </w:tcBorders>
            <w:shd w:val="clear" w:color="auto" w:fill="auto"/>
            <w:vAlign w:val="bottom"/>
          </w:tcPr>
          <w:p w14:paraId="06FD4B92" w14:textId="77777777" w:rsidR="00A448CA" w:rsidRPr="00AE0C4A" w:rsidRDefault="00A448CA" w:rsidP="001173BD">
            <w:pPr>
              <w:spacing w:after="0" w:line="240" w:lineRule="auto"/>
              <w:jc w:val="center"/>
              <w:rPr>
                <w:rFonts w:ascii="Calibri" w:eastAsia="Times New Roman" w:hAnsi="Calibri"/>
                <w:color w:val="000000"/>
                <w:lang w:eastAsia="tr-TR"/>
              </w:rPr>
            </w:pPr>
            <w:r>
              <w:rPr>
                <w:rFonts w:ascii="Calibri" w:hAnsi="Calibri"/>
                <w:color w:val="000000"/>
              </w:rPr>
              <w:t>0,77</w:t>
            </w:r>
          </w:p>
        </w:tc>
      </w:tr>
      <w:tr w:rsidR="00A448CA" w:rsidRPr="00AE0C4A" w14:paraId="1DF356B6" w14:textId="77777777" w:rsidTr="001173BD">
        <w:trPr>
          <w:trHeight w:val="315"/>
          <w:jc w:val="center"/>
        </w:trPr>
        <w:tc>
          <w:tcPr>
            <w:tcW w:w="1826" w:type="pct"/>
            <w:tcBorders>
              <w:top w:val="nil"/>
              <w:left w:val="single" w:sz="8" w:space="0" w:color="BFBFBF"/>
              <w:bottom w:val="single" w:sz="8" w:space="0" w:color="BFBFBF"/>
              <w:right w:val="single" w:sz="8" w:space="0" w:color="BFBFBF"/>
            </w:tcBorders>
            <w:shd w:val="clear" w:color="auto" w:fill="auto"/>
            <w:vAlign w:val="center"/>
            <w:hideMark/>
          </w:tcPr>
          <w:p w14:paraId="0A8E24A3" w14:textId="77777777" w:rsidR="00A448CA" w:rsidRPr="00AE0C4A" w:rsidRDefault="00A448CA" w:rsidP="001173BD">
            <w:pPr>
              <w:spacing w:after="0" w:line="240" w:lineRule="auto"/>
              <w:rPr>
                <w:rFonts w:ascii="Calibri" w:eastAsia="Times New Roman" w:hAnsi="Calibri"/>
                <w:color w:val="000000"/>
                <w:lang w:eastAsia="tr-TR"/>
              </w:rPr>
            </w:pPr>
            <w:r w:rsidRPr="00AE0C4A">
              <w:rPr>
                <w:rFonts w:ascii="Calibri" w:eastAsia="Times New Roman" w:hAnsi="Calibri"/>
                <w:color w:val="000000"/>
                <w:lang w:eastAsia="tr-TR"/>
              </w:rPr>
              <w:t>Denetim Dairesi Başkanlığı</w:t>
            </w:r>
          </w:p>
        </w:tc>
        <w:tc>
          <w:tcPr>
            <w:tcW w:w="537" w:type="pct"/>
            <w:tcBorders>
              <w:top w:val="nil"/>
              <w:left w:val="nil"/>
              <w:bottom w:val="single" w:sz="8" w:space="0" w:color="BFBFBF"/>
              <w:right w:val="single" w:sz="8" w:space="0" w:color="BFBFBF"/>
            </w:tcBorders>
            <w:shd w:val="clear" w:color="auto" w:fill="auto"/>
            <w:noWrap/>
            <w:vAlign w:val="center"/>
            <w:hideMark/>
          </w:tcPr>
          <w:p w14:paraId="0A2040E8" w14:textId="77777777" w:rsidR="00A448CA" w:rsidRPr="00AE0C4A" w:rsidRDefault="00A448CA" w:rsidP="001173BD">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3</w:t>
            </w:r>
            <w:r w:rsidRPr="00AE0C4A">
              <w:rPr>
                <w:rFonts w:ascii="Calibri" w:eastAsia="Times New Roman" w:hAnsi="Calibri"/>
                <w:color w:val="000000"/>
                <w:lang w:eastAsia="tr-TR"/>
              </w:rPr>
              <w:t xml:space="preserve"> </w:t>
            </w:r>
          </w:p>
        </w:tc>
        <w:tc>
          <w:tcPr>
            <w:tcW w:w="631" w:type="pct"/>
            <w:tcBorders>
              <w:top w:val="nil"/>
              <w:left w:val="nil"/>
              <w:bottom w:val="single" w:sz="8" w:space="0" w:color="BFBFBF"/>
              <w:right w:val="single" w:sz="8" w:space="0" w:color="BFBFBF"/>
            </w:tcBorders>
            <w:shd w:val="clear" w:color="auto" w:fill="auto"/>
            <w:noWrap/>
            <w:vAlign w:val="center"/>
          </w:tcPr>
          <w:p w14:paraId="1266C6E5" w14:textId="77777777" w:rsidR="00A448CA" w:rsidRPr="00AE0C4A" w:rsidRDefault="00A448CA" w:rsidP="001173B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2,29</w:t>
            </w:r>
            <w:r w:rsidRPr="00AE0C4A">
              <w:rPr>
                <w:rFonts w:ascii="Calibri" w:eastAsia="Times New Roman" w:hAnsi="Calibri"/>
                <w:color w:val="000000"/>
                <w:lang w:eastAsia="tr-TR"/>
              </w:rPr>
              <w:t xml:space="preserve"> </w:t>
            </w:r>
          </w:p>
        </w:tc>
        <w:tc>
          <w:tcPr>
            <w:tcW w:w="503" w:type="pct"/>
            <w:tcBorders>
              <w:top w:val="nil"/>
              <w:left w:val="nil"/>
              <w:bottom w:val="single" w:sz="8" w:space="0" w:color="BFBFBF"/>
              <w:right w:val="single" w:sz="8" w:space="0" w:color="BFBFBF"/>
            </w:tcBorders>
            <w:shd w:val="clear" w:color="auto" w:fill="auto"/>
            <w:vAlign w:val="center"/>
            <w:hideMark/>
          </w:tcPr>
          <w:p w14:paraId="0BE90507" w14:textId="77777777" w:rsidR="00A448CA" w:rsidRPr="00AE0C4A" w:rsidRDefault="00A448CA" w:rsidP="001173BD">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7</w:t>
            </w:r>
          </w:p>
        </w:tc>
        <w:tc>
          <w:tcPr>
            <w:tcW w:w="503" w:type="pct"/>
            <w:tcBorders>
              <w:top w:val="nil"/>
              <w:left w:val="nil"/>
              <w:bottom w:val="single" w:sz="8" w:space="0" w:color="BFBFBF"/>
              <w:right w:val="single" w:sz="8" w:space="0" w:color="BFBFBF"/>
            </w:tcBorders>
            <w:shd w:val="clear" w:color="auto" w:fill="auto"/>
            <w:noWrap/>
            <w:vAlign w:val="center"/>
          </w:tcPr>
          <w:p w14:paraId="05729C1D" w14:textId="77777777" w:rsidR="00A448CA" w:rsidRPr="00AE0C4A" w:rsidRDefault="00A448CA" w:rsidP="001173B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5,83</w:t>
            </w:r>
          </w:p>
        </w:tc>
        <w:tc>
          <w:tcPr>
            <w:tcW w:w="503" w:type="pct"/>
            <w:tcBorders>
              <w:top w:val="nil"/>
              <w:left w:val="nil"/>
              <w:bottom w:val="single" w:sz="8" w:space="0" w:color="BFBFBF"/>
              <w:right w:val="single" w:sz="8" w:space="0" w:color="BFBFBF"/>
            </w:tcBorders>
            <w:shd w:val="clear" w:color="auto" w:fill="auto"/>
            <w:noWrap/>
            <w:vAlign w:val="center"/>
          </w:tcPr>
          <w:p w14:paraId="18DBAB5A" w14:textId="77777777" w:rsidR="00A448CA" w:rsidRPr="00AE0C4A" w:rsidRDefault="00A448CA" w:rsidP="001173BD">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6</w:t>
            </w:r>
          </w:p>
        </w:tc>
        <w:tc>
          <w:tcPr>
            <w:tcW w:w="497" w:type="pct"/>
            <w:tcBorders>
              <w:top w:val="nil"/>
              <w:left w:val="nil"/>
              <w:bottom w:val="single" w:sz="8" w:space="0" w:color="BFBFBF"/>
              <w:right w:val="single" w:sz="8" w:space="0" w:color="BFBFBF"/>
            </w:tcBorders>
            <w:shd w:val="clear" w:color="auto" w:fill="auto"/>
            <w:vAlign w:val="bottom"/>
          </w:tcPr>
          <w:p w14:paraId="3E49529E" w14:textId="77777777" w:rsidR="00A448CA" w:rsidRPr="00AE0C4A" w:rsidRDefault="00A448CA" w:rsidP="001173BD">
            <w:pPr>
              <w:spacing w:after="0" w:line="240" w:lineRule="auto"/>
              <w:jc w:val="center"/>
              <w:rPr>
                <w:rFonts w:ascii="Calibri" w:eastAsia="Times New Roman" w:hAnsi="Calibri"/>
                <w:color w:val="000000"/>
                <w:lang w:eastAsia="tr-TR"/>
              </w:rPr>
            </w:pPr>
            <w:r>
              <w:rPr>
                <w:rFonts w:ascii="Calibri" w:hAnsi="Calibri"/>
                <w:color w:val="000000"/>
              </w:rPr>
              <w:t>4,62</w:t>
            </w:r>
          </w:p>
        </w:tc>
      </w:tr>
      <w:tr w:rsidR="00A448CA" w:rsidRPr="00AE0C4A" w14:paraId="244EDB08" w14:textId="77777777" w:rsidTr="001173BD">
        <w:trPr>
          <w:trHeight w:val="315"/>
          <w:jc w:val="center"/>
        </w:trPr>
        <w:tc>
          <w:tcPr>
            <w:tcW w:w="1826" w:type="pct"/>
            <w:tcBorders>
              <w:top w:val="nil"/>
              <w:left w:val="single" w:sz="8" w:space="0" w:color="BFBFBF"/>
              <w:bottom w:val="single" w:sz="8" w:space="0" w:color="BFBFBF"/>
              <w:right w:val="single" w:sz="8" w:space="0" w:color="BFBFBF"/>
            </w:tcBorders>
            <w:shd w:val="clear" w:color="auto" w:fill="auto"/>
            <w:vAlign w:val="center"/>
            <w:hideMark/>
          </w:tcPr>
          <w:p w14:paraId="1B523965" w14:textId="77777777" w:rsidR="00A448CA" w:rsidRPr="00AE0C4A" w:rsidRDefault="00A448CA" w:rsidP="001173BD">
            <w:pPr>
              <w:spacing w:after="0" w:line="240" w:lineRule="auto"/>
              <w:rPr>
                <w:rFonts w:ascii="Calibri" w:eastAsia="Times New Roman" w:hAnsi="Calibri"/>
                <w:color w:val="000000"/>
                <w:lang w:eastAsia="tr-TR"/>
              </w:rPr>
            </w:pPr>
            <w:r w:rsidRPr="00AE0C4A">
              <w:rPr>
                <w:rFonts w:ascii="Calibri" w:eastAsia="Times New Roman" w:hAnsi="Calibri"/>
                <w:color w:val="000000"/>
                <w:lang w:eastAsia="tr-TR"/>
              </w:rPr>
              <w:t>Tarifeler Dairesi Başkanlığı</w:t>
            </w:r>
          </w:p>
        </w:tc>
        <w:tc>
          <w:tcPr>
            <w:tcW w:w="537" w:type="pct"/>
            <w:tcBorders>
              <w:top w:val="nil"/>
              <w:left w:val="nil"/>
              <w:bottom w:val="single" w:sz="8" w:space="0" w:color="BFBFBF"/>
              <w:right w:val="single" w:sz="8" w:space="0" w:color="BFBFBF"/>
            </w:tcBorders>
            <w:shd w:val="clear" w:color="auto" w:fill="auto"/>
            <w:noWrap/>
            <w:vAlign w:val="center"/>
            <w:hideMark/>
          </w:tcPr>
          <w:p w14:paraId="3C7090CA" w14:textId="77777777" w:rsidR="00A448CA" w:rsidRPr="00AE0C4A" w:rsidRDefault="00A448CA" w:rsidP="001173BD">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2</w:t>
            </w:r>
            <w:r w:rsidRPr="00AE0C4A">
              <w:rPr>
                <w:rFonts w:ascii="Calibri" w:eastAsia="Times New Roman" w:hAnsi="Calibri"/>
                <w:color w:val="000000"/>
                <w:lang w:eastAsia="tr-TR"/>
              </w:rPr>
              <w:t xml:space="preserve"> </w:t>
            </w:r>
          </w:p>
        </w:tc>
        <w:tc>
          <w:tcPr>
            <w:tcW w:w="631" w:type="pct"/>
            <w:tcBorders>
              <w:top w:val="nil"/>
              <w:left w:val="nil"/>
              <w:bottom w:val="single" w:sz="8" w:space="0" w:color="BFBFBF"/>
              <w:right w:val="single" w:sz="8" w:space="0" w:color="BFBFBF"/>
            </w:tcBorders>
            <w:shd w:val="clear" w:color="auto" w:fill="auto"/>
            <w:noWrap/>
            <w:vAlign w:val="center"/>
          </w:tcPr>
          <w:p w14:paraId="456F5898" w14:textId="77777777" w:rsidR="00A448CA" w:rsidRPr="00AE0C4A" w:rsidRDefault="00A448CA" w:rsidP="001173B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1,53</w:t>
            </w:r>
            <w:r w:rsidRPr="00AE0C4A">
              <w:rPr>
                <w:rFonts w:ascii="Calibri" w:eastAsia="Times New Roman" w:hAnsi="Calibri"/>
                <w:color w:val="000000"/>
                <w:lang w:eastAsia="tr-TR"/>
              </w:rPr>
              <w:t xml:space="preserve"> </w:t>
            </w:r>
          </w:p>
        </w:tc>
        <w:tc>
          <w:tcPr>
            <w:tcW w:w="503" w:type="pct"/>
            <w:tcBorders>
              <w:top w:val="nil"/>
              <w:left w:val="nil"/>
              <w:bottom w:val="single" w:sz="8" w:space="0" w:color="BFBFBF"/>
              <w:right w:val="single" w:sz="8" w:space="0" w:color="BFBFBF"/>
            </w:tcBorders>
            <w:shd w:val="clear" w:color="auto" w:fill="auto"/>
            <w:vAlign w:val="center"/>
            <w:hideMark/>
          </w:tcPr>
          <w:p w14:paraId="5BA6966F" w14:textId="77777777" w:rsidR="00A448CA" w:rsidRPr="00AE0C4A" w:rsidRDefault="00A448CA" w:rsidP="001173BD">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4</w:t>
            </w:r>
          </w:p>
        </w:tc>
        <w:tc>
          <w:tcPr>
            <w:tcW w:w="503" w:type="pct"/>
            <w:tcBorders>
              <w:top w:val="nil"/>
              <w:left w:val="nil"/>
              <w:bottom w:val="single" w:sz="8" w:space="0" w:color="BFBFBF"/>
              <w:right w:val="single" w:sz="8" w:space="0" w:color="BFBFBF"/>
            </w:tcBorders>
            <w:shd w:val="clear" w:color="auto" w:fill="auto"/>
            <w:noWrap/>
            <w:vAlign w:val="center"/>
          </w:tcPr>
          <w:p w14:paraId="20E60AA6" w14:textId="77777777" w:rsidR="00A448CA" w:rsidRPr="00AE0C4A" w:rsidRDefault="00A448CA" w:rsidP="001173B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3,33</w:t>
            </w:r>
          </w:p>
        </w:tc>
        <w:tc>
          <w:tcPr>
            <w:tcW w:w="503" w:type="pct"/>
            <w:tcBorders>
              <w:top w:val="nil"/>
              <w:left w:val="nil"/>
              <w:bottom w:val="single" w:sz="8" w:space="0" w:color="BFBFBF"/>
              <w:right w:val="single" w:sz="8" w:space="0" w:color="BFBFBF"/>
            </w:tcBorders>
            <w:shd w:val="clear" w:color="auto" w:fill="auto"/>
            <w:noWrap/>
            <w:vAlign w:val="center"/>
          </w:tcPr>
          <w:p w14:paraId="3433527B" w14:textId="77777777" w:rsidR="00A448CA" w:rsidRPr="00AE0C4A" w:rsidRDefault="00A448CA" w:rsidP="001173BD">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w:t>
            </w:r>
          </w:p>
        </w:tc>
        <w:tc>
          <w:tcPr>
            <w:tcW w:w="497" w:type="pct"/>
            <w:tcBorders>
              <w:top w:val="nil"/>
              <w:left w:val="nil"/>
              <w:bottom w:val="single" w:sz="8" w:space="0" w:color="BFBFBF"/>
              <w:right w:val="single" w:sz="8" w:space="0" w:color="BFBFBF"/>
            </w:tcBorders>
            <w:shd w:val="clear" w:color="auto" w:fill="auto"/>
            <w:vAlign w:val="bottom"/>
          </w:tcPr>
          <w:p w14:paraId="2FEFF9CC" w14:textId="77777777" w:rsidR="00A448CA" w:rsidRPr="00AE0C4A" w:rsidRDefault="00A448CA" w:rsidP="001173BD">
            <w:pPr>
              <w:spacing w:after="0" w:line="240" w:lineRule="auto"/>
              <w:jc w:val="center"/>
              <w:rPr>
                <w:rFonts w:ascii="Calibri" w:eastAsia="Times New Roman" w:hAnsi="Calibri"/>
                <w:color w:val="000000"/>
                <w:lang w:eastAsia="tr-TR"/>
              </w:rPr>
            </w:pPr>
            <w:r>
              <w:rPr>
                <w:rFonts w:ascii="Calibri" w:hAnsi="Calibri"/>
                <w:color w:val="000000"/>
              </w:rPr>
              <w:t>0,77</w:t>
            </w:r>
          </w:p>
        </w:tc>
      </w:tr>
      <w:tr w:rsidR="00A448CA" w:rsidRPr="00AE0C4A" w14:paraId="66E4E211" w14:textId="77777777" w:rsidTr="001173BD">
        <w:trPr>
          <w:trHeight w:val="315"/>
          <w:jc w:val="center"/>
        </w:trPr>
        <w:tc>
          <w:tcPr>
            <w:tcW w:w="1826" w:type="pct"/>
            <w:tcBorders>
              <w:top w:val="nil"/>
              <w:left w:val="single" w:sz="8" w:space="0" w:color="BFBFBF"/>
              <w:bottom w:val="single" w:sz="8" w:space="0" w:color="BFBFBF"/>
              <w:right w:val="single" w:sz="8" w:space="0" w:color="BFBFBF"/>
            </w:tcBorders>
            <w:shd w:val="clear" w:color="auto" w:fill="auto"/>
            <w:vAlign w:val="center"/>
            <w:hideMark/>
          </w:tcPr>
          <w:p w14:paraId="0035862C" w14:textId="77777777" w:rsidR="00A448CA" w:rsidRPr="00AE0C4A" w:rsidRDefault="00A448CA" w:rsidP="001173BD">
            <w:pPr>
              <w:spacing w:after="0" w:line="240" w:lineRule="auto"/>
              <w:rPr>
                <w:rFonts w:ascii="Calibri" w:eastAsia="Times New Roman" w:hAnsi="Calibri"/>
                <w:color w:val="000000"/>
                <w:lang w:eastAsia="tr-TR"/>
              </w:rPr>
            </w:pPr>
            <w:r w:rsidRPr="00AE0C4A">
              <w:rPr>
                <w:rFonts w:ascii="Calibri" w:eastAsia="Times New Roman" w:hAnsi="Calibri"/>
                <w:color w:val="000000"/>
                <w:lang w:eastAsia="tr-TR"/>
              </w:rPr>
              <w:t>İnsan Kaynakları ve Destek Hizmetleri Dairesi Başkanlığı</w:t>
            </w:r>
          </w:p>
        </w:tc>
        <w:tc>
          <w:tcPr>
            <w:tcW w:w="537" w:type="pct"/>
            <w:tcBorders>
              <w:top w:val="nil"/>
              <w:left w:val="nil"/>
              <w:bottom w:val="single" w:sz="8" w:space="0" w:color="BFBFBF"/>
              <w:right w:val="single" w:sz="8" w:space="0" w:color="BFBFBF"/>
            </w:tcBorders>
            <w:shd w:val="clear" w:color="auto" w:fill="auto"/>
            <w:noWrap/>
            <w:vAlign w:val="center"/>
            <w:hideMark/>
          </w:tcPr>
          <w:p w14:paraId="2068E54F" w14:textId="77777777" w:rsidR="00A448CA" w:rsidRPr="00AE0C4A" w:rsidRDefault="00A448CA" w:rsidP="001173BD">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3</w:t>
            </w:r>
            <w:r w:rsidRPr="00AE0C4A">
              <w:rPr>
                <w:rFonts w:ascii="Calibri" w:eastAsia="Times New Roman" w:hAnsi="Calibri"/>
                <w:color w:val="000000"/>
                <w:lang w:eastAsia="tr-TR"/>
              </w:rPr>
              <w:t xml:space="preserve"> </w:t>
            </w:r>
          </w:p>
        </w:tc>
        <w:tc>
          <w:tcPr>
            <w:tcW w:w="631" w:type="pct"/>
            <w:tcBorders>
              <w:top w:val="nil"/>
              <w:left w:val="nil"/>
              <w:bottom w:val="single" w:sz="8" w:space="0" w:color="BFBFBF"/>
              <w:right w:val="single" w:sz="8" w:space="0" w:color="BFBFBF"/>
            </w:tcBorders>
            <w:shd w:val="clear" w:color="auto" w:fill="auto"/>
            <w:noWrap/>
            <w:vAlign w:val="center"/>
          </w:tcPr>
          <w:p w14:paraId="7331B854" w14:textId="77777777" w:rsidR="00A448CA" w:rsidRPr="00AE0C4A" w:rsidRDefault="00A448CA" w:rsidP="001173B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2,29</w:t>
            </w:r>
            <w:r w:rsidRPr="00AE0C4A">
              <w:rPr>
                <w:rFonts w:ascii="Calibri" w:eastAsia="Times New Roman" w:hAnsi="Calibri"/>
                <w:color w:val="000000"/>
                <w:lang w:eastAsia="tr-TR"/>
              </w:rPr>
              <w:t xml:space="preserve"> </w:t>
            </w:r>
          </w:p>
        </w:tc>
        <w:tc>
          <w:tcPr>
            <w:tcW w:w="503" w:type="pct"/>
            <w:tcBorders>
              <w:top w:val="nil"/>
              <w:left w:val="nil"/>
              <w:bottom w:val="single" w:sz="8" w:space="0" w:color="BFBFBF"/>
              <w:right w:val="single" w:sz="8" w:space="0" w:color="BFBFBF"/>
            </w:tcBorders>
            <w:shd w:val="clear" w:color="auto" w:fill="auto"/>
            <w:vAlign w:val="center"/>
            <w:hideMark/>
          </w:tcPr>
          <w:p w14:paraId="55795252" w14:textId="77777777" w:rsidR="00A448CA" w:rsidRPr="00AE0C4A" w:rsidRDefault="00A448CA" w:rsidP="001173BD">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3</w:t>
            </w:r>
          </w:p>
        </w:tc>
        <w:tc>
          <w:tcPr>
            <w:tcW w:w="503" w:type="pct"/>
            <w:tcBorders>
              <w:top w:val="nil"/>
              <w:left w:val="nil"/>
              <w:bottom w:val="single" w:sz="8" w:space="0" w:color="BFBFBF"/>
              <w:right w:val="single" w:sz="8" w:space="0" w:color="BFBFBF"/>
            </w:tcBorders>
            <w:shd w:val="clear" w:color="auto" w:fill="auto"/>
            <w:noWrap/>
            <w:vAlign w:val="center"/>
          </w:tcPr>
          <w:p w14:paraId="2A57EB88" w14:textId="77777777" w:rsidR="00A448CA" w:rsidRPr="00AE0C4A" w:rsidRDefault="00A448CA" w:rsidP="001173B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2,5</w:t>
            </w:r>
          </w:p>
        </w:tc>
        <w:tc>
          <w:tcPr>
            <w:tcW w:w="503" w:type="pct"/>
            <w:tcBorders>
              <w:top w:val="nil"/>
              <w:left w:val="nil"/>
              <w:bottom w:val="single" w:sz="8" w:space="0" w:color="BFBFBF"/>
              <w:right w:val="single" w:sz="8" w:space="0" w:color="BFBFBF"/>
            </w:tcBorders>
            <w:shd w:val="clear" w:color="auto" w:fill="auto"/>
            <w:noWrap/>
            <w:vAlign w:val="center"/>
          </w:tcPr>
          <w:p w14:paraId="09F38EC9" w14:textId="77777777" w:rsidR="00A448CA" w:rsidRPr="00AE0C4A" w:rsidRDefault="00A448CA" w:rsidP="001173BD">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5</w:t>
            </w:r>
          </w:p>
        </w:tc>
        <w:tc>
          <w:tcPr>
            <w:tcW w:w="497" w:type="pct"/>
            <w:tcBorders>
              <w:top w:val="nil"/>
              <w:left w:val="nil"/>
              <w:bottom w:val="single" w:sz="8" w:space="0" w:color="BFBFBF"/>
              <w:right w:val="single" w:sz="8" w:space="0" w:color="BFBFBF"/>
            </w:tcBorders>
            <w:shd w:val="clear" w:color="auto" w:fill="auto"/>
            <w:vAlign w:val="bottom"/>
          </w:tcPr>
          <w:p w14:paraId="5FB96858" w14:textId="77777777" w:rsidR="00A448CA" w:rsidRPr="00AE0C4A" w:rsidRDefault="00A448CA" w:rsidP="001173BD">
            <w:pPr>
              <w:spacing w:after="0" w:line="240" w:lineRule="auto"/>
              <w:jc w:val="center"/>
              <w:rPr>
                <w:rFonts w:ascii="Calibri" w:eastAsia="Times New Roman" w:hAnsi="Calibri"/>
                <w:color w:val="000000"/>
                <w:lang w:eastAsia="tr-TR"/>
              </w:rPr>
            </w:pPr>
            <w:r>
              <w:rPr>
                <w:rFonts w:ascii="Calibri" w:hAnsi="Calibri"/>
                <w:color w:val="000000"/>
              </w:rPr>
              <w:t>3,85</w:t>
            </w:r>
          </w:p>
        </w:tc>
      </w:tr>
      <w:tr w:rsidR="00A448CA" w:rsidRPr="00AE0C4A" w14:paraId="6E7BAF9F" w14:textId="77777777" w:rsidTr="001173BD">
        <w:trPr>
          <w:trHeight w:val="315"/>
          <w:jc w:val="center"/>
        </w:trPr>
        <w:tc>
          <w:tcPr>
            <w:tcW w:w="1826" w:type="pct"/>
            <w:tcBorders>
              <w:top w:val="nil"/>
              <w:left w:val="single" w:sz="8" w:space="0" w:color="BFBFBF"/>
              <w:bottom w:val="single" w:sz="8" w:space="0" w:color="BFBFBF"/>
              <w:right w:val="single" w:sz="8" w:space="0" w:color="BFBFBF"/>
            </w:tcBorders>
            <w:shd w:val="clear" w:color="auto" w:fill="auto"/>
            <w:vAlign w:val="center"/>
            <w:hideMark/>
          </w:tcPr>
          <w:p w14:paraId="75C187CE" w14:textId="77777777" w:rsidR="00A448CA" w:rsidRPr="00AE0C4A" w:rsidRDefault="00A448CA" w:rsidP="001173BD">
            <w:pPr>
              <w:spacing w:after="0" w:line="240" w:lineRule="auto"/>
              <w:rPr>
                <w:rFonts w:ascii="Calibri" w:eastAsia="Times New Roman" w:hAnsi="Calibri"/>
                <w:color w:val="000000"/>
                <w:lang w:eastAsia="tr-TR"/>
              </w:rPr>
            </w:pPr>
            <w:r w:rsidRPr="00AE0C4A">
              <w:rPr>
                <w:rFonts w:ascii="Calibri" w:eastAsia="Times New Roman" w:hAnsi="Calibri"/>
                <w:color w:val="000000"/>
                <w:lang w:eastAsia="tr-TR"/>
              </w:rPr>
              <w:t>Strateji Geliştirme Dairesi Başkanlığı</w:t>
            </w:r>
          </w:p>
        </w:tc>
        <w:tc>
          <w:tcPr>
            <w:tcW w:w="537" w:type="pct"/>
            <w:tcBorders>
              <w:top w:val="nil"/>
              <w:left w:val="nil"/>
              <w:bottom w:val="single" w:sz="8" w:space="0" w:color="BFBFBF"/>
              <w:right w:val="single" w:sz="8" w:space="0" w:color="BFBFBF"/>
            </w:tcBorders>
            <w:shd w:val="clear" w:color="auto" w:fill="auto"/>
            <w:noWrap/>
            <w:vAlign w:val="center"/>
            <w:hideMark/>
          </w:tcPr>
          <w:p w14:paraId="1C83DDAD" w14:textId="77777777" w:rsidR="00A448CA" w:rsidRPr="00AE0C4A" w:rsidRDefault="00A448CA" w:rsidP="001173BD">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6</w:t>
            </w:r>
            <w:r w:rsidRPr="00AE0C4A">
              <w:rPr>
                <w:rFonts w:ascii="Calibri" w:eastAsia="Times New Roman" w:hAnsi="Calibri"/>
                <w:color w:val="000000"/>
                <w:lang w:eastAsia="tr-TR"/>
              </w:rPr>
              <w:t xml:space="preserve"> </w:t>
            </w:r>
          </w:p>
        </w:tc>
        <w:tc>
          <w:tcPr>
            <w:tcW w:w="631" w:type="pct"/>
            <w:tcBorders>
              <w:top w:val="nil"/>
              <w:left w:val="nil"/>
              <w:bottom w:val="single" w:sz="8" w:space="0" w:color="BFBFBF"/>
              <w:right w:val="single" w:sz="8" w:space="0" w:color="BFBFBF"/>
            </w:tcBorders>
            <w:shd w:val="clear" w:color="auto" w:fill="auto"/>
            <w:noWrap/>
            <w:vAlign w:val="center"/>
          </w:tcPr>
          <w:p w14:paraId="09DC08CC" w14:textId="77777777" w:rsidR="00A448CA" w:rsidRPr="00AE0C4A" w:rsidRDefault="00A448CA" w:rsidP="001173B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4,58</w:t>
            </w:r>
            <w:r w:rsidRPr="00AE0C4A">
              <w:rPr>
                <w:rFonts w:ascii="Calibri" w:eastAsia="Times New Roman" w:hAnsi="Calibri"/>
                <w:color w:val="000000"/>
                <w:lang w:eastAsia="tr-TR"/>
              </w:rPr>
              <w:t xml:space="preserve"> </w:t>
            </w:r>
          </w:p>
        </w:tc>
        <w:tc>
          <w:tcPr>
            <w:tcW w:w="503" w:type="pct"/>
            <w:tcBorders>
              <w:top w:val="nil"/>
              <w:left w:val="nil"/>
              <w:bottom w:val="single" w:sz="8" w:space="0" w:color="BFBFBF"/>
              <w:right w:val="single" w:sz="8" w:space="0" w:color="BFBFBF"/>
            </w:tcBorders>
            <w:shd w:val="clear" w:color="auto" w:fill="auto"/>
            <w:vAlign w:val="center"/>
            <w:hideMark/>
          </w:tcPr>
          <w:p w14:paraId="594A3082" w14:textId="77777777" w:rsidR="00A448CA" w:rsidRPr="00AE0C4A" w:rsidRDefault="00A448CA" w:rsidP="001173BD">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10</w:t>
            </w:r>
          </w:p>
        </w:tc>
        <w:tc>
          <w:tcPr>
            <w:tcW w:w="503" w:type="pct"/>
            <w:tcBorders>
              <w:top w:val="nil"/>
              <w:left w:val="nil"/>
              <w:bottom w:val="single" w:sz="8" w:space="0" w:color="BFBFBF"/>
              <w:right w:val="single" w:sz="8" w:space="0" w:color="BFBFBF"/>
            </w:tcBorders>
            <w:shd w:val="clear" w:color="auto" w:fill="auto"/>
            <w:noWrap/>
            <w:vAlign w:val="center"/>
          </w:tcPr>
          <w:p w14:paraId="0E33C020" w14:textId="77777777" w:rsidR="00A448CA" w:rsidRPr="00AE0C4A" w:rsidRDefault="00A448CA" w:rsidP="001173B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8,3</w:t>
            </w:r>
          </w:p>
        </w:tc>
        <w:tc>
          <w:tcPr>
            <w:tcW w:w="503" w:type="pct"/>
            <w:tcBorders>
              <w:top w:val="nil"/>
              <w:left w:val="nil"/>
              <w:bottom w:val="single" w:sz="8" w:space="0" w:color="BFBFBF"/>
              <w:right w:val="single" w:sz="8" w:space="0" w:color="BFBFBF"/>
            </w:tcBorders>
            <w:shd w:val="clear" w:color="auto" w:fill="auto"/>
            <w:noWrap/>
            <w:vAlign w:val="center"/>
          </w:tcPr>
          <w:p w14:paraId="725E3761" w14:textId="77777777" w:rsidR="00A448CA" w:rsidRPr="00AE0C4A" w:rsidRDefault="00A448CA" w:rsidP="001173BD">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4</w:t>
            </w:r>
          </w:p>
        </w:tc>
        <w:tc>
          <w:tcPr>
            <w:tcW w:w="497" w:type="pct"/>
            <w:tcBorders>
              <w:top w:val="nil"/>
              <w:left w:val="nil"/>
              <w:bottom w:val="single" w:sz="8" w:space="0" w:color="BFBFBF"/>
              <w:right w:val="single" w:sz="8" w:space="0" w:color="BFBFBF"/>
            </w:tcBorders>
            <w:shd w:val="clear" w:color="auto" w:fill="auto"/>
            <w:vAlign w:val="bottom"/>
          </w:tcPr>
          <w:p w14:paraId="237F8771" w14:textId="77777777" w:rsidR="00A448CA" w:rsidRPr="00AE0C4A" w:rsidRDefault="00A448CA" w:rsidP="001173BD">
            <w:pPr>
              <w:spacing w:after="0" w:line="240" w:lineRule="auto"/>
              <w:jc w:val="center"/>
              <w:rPr>
                <w:rFonts w:ascii="Calibri" w:eastAsia="Times New Roman" w:hAnsi="Calibri"/>
                <w:color w:val="000000"/>
                <w:lang w:eastAsia="tr-TR"/>
              </w:rPr>
            </w:pPr>
            <w:r>
              <w:rPr>
                <w:rFonts w:ascii="Calibri" w:hAnsi="Calibri"/>
                <w:color w:val="000000"/>
              </w:rPr>
              <w:t>3,08</w:t>
            </w:r>
          </w:p>
        </w:tc>
      </w:tr>
      <w:tr w:rsidR="00A448CA" w:rsidRPr="00AE0C4A" w14:paraId="117E70FA" w14:textId="77777777" w:rsidTr="001173BD">
        <w:trPr>
          <w:trHeight w:val="474"/>
          <w:jc w:val="center"/>
        </w:trPr>
        <w:tc>
          <w:tcPr>
            <w:tcW w:w="1826" w:type="pct"/>
            <w:tcBorders>
              <w:top w:val="nil"/>
              <w:left w:val="single" w:sz="8" w:space="0" w:color="BFBFBF"/>
              <w:bottom w:val="single" w:sz="8" w:space="0" w:color="BFBFBF"/>
              <w:right w:val="single" w:sz="8" w:space="0" w:color="BFBFBF"/>
            </w:tcBorders>
            <w:shd w:val="clear" w:color="auto" w:fill="auto"/>
            <w:vAlign w:val="center"/>
          </w:tcPr>
          <w:p w14:paraId="1A0D6219" w14:textId="77777777" w:rsidR="00A448CA" w:rsidRPr="00AE0C4A" w:rsidRDefault="00A448CA" w:rsidP="001173BD">
            <w:pPr>
              <w:spacing w:after="0" w:line="240" w:lineRule="auto"/>
              <w:rPr>
                <w:rFonts w:ascii="Calibri" w:eastAsia="Times New Roman" w:hAnsi="Calibri"/>
                <w:color w:val="000000"/>
                <w:lang w:eastAsia="tr-TR"/>
              </w:rPr>
            </w:pPr>
            <w:r w:rsidRPr="00AE0C4A">
              <w:rPr>
                <w:rFonts w:ascii="Calibri" w:eastAsia="Times New Roman" w:hAnsi="Calibri"/>
                <w:color w:val="000000"/>
                <w:lang w:eastAsia="tr-TR"/>
              </w:rPr>
              <w:t>Bilgi İşlem Dairesi Başkanlığı</w:t>
            </w:r>
          </w:p>
        </w:tc>
        <w:tc>
          <w:tcPr>
            <w:tcW w:w="537" w:type="pct"/>
            <w:tcBorders>
              <w:top w:val="nil"/>
              <w:left w:val="nil"/>
              <w:bottom w:val="single" w:sz="8" w:space="0" w:color="BFBFBF"/>
              <w:right w:val="single" w:sz="8" w:space="0" w:color="BFBFBF"/>
            </w:tcBorders>
            <w:shd w:val="clear" w:color="auto" w:fill="auto"/>
            <w:noWrap/>
            <w:vAlign w:val="center"/>
          </w:tcPr>
          <w:p w14:paraId="0E790BF6" w14:textId="77777777" w:rsidR="00A448CA" w:rsidRPr="00AE0C4A" w:rsidDel="00D25A22" w:rsidRDefault="00A448CA" w:rsidP="001173BD">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w:t>
            </w:r>
            <w:r w:rsidRPr="00AE0C4A">
              <w:rPr>
                <w:rFonts w:ascii="Calibri" w:eastAsia="Times New Roman" w:hAnsi="Calibri"/>
                <w:color w:val="000000"/>
                <w:lang w:eastAsia="tr-TR"/>
              </w:rPr>
              <w:t xml:space="preserve"> </w:t>
            </w:r>
          </w:p>
        </w:tc>
        <w:tc>
          <w:tcPr>
            <w:tcW w:w="631" w:type="pct"/>
            <w:tcBorders>
              <w:top w:val="nil"/>
              <w:left w:val="nil"/>
              <w:bottom w:val="single" w:sz="8" w:space="0" w:color="BFBFBF"/>
              <w:right w:val="single" w:sz="8" w:space="0" w:color="BFBFBF"/>
            </w:tcBorders>
            <w:shd w:val="clear" w:color="auto" w:fill="auto"/>
            <w:noWrap/>
            <w:vAlign w:val="center"/>
          </w:tcPr>
          <w:p w14:paraId="54CC9CA8" w14:textId="77777777" w:rsidR="00A448CA" w:rsidRPr="00AE0C4A" w:rsidRDefault="00A448CA" w:rsidP="001173B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w:t>
            </w:r>
            <w:r w:rsidRPr="00AE0C4A">
              <w:rPr>
                <w:rFonts w:ascii="Calibri" w:eastAsia="Times New Roman" w:hAnsi="Calibri"/>
                <w:color w:val="000000"/>
                <w:lang w:eastAsia="tr-TR"/>
              </w:rPr>
              <w:t xml:space="preserve"> </w:t>
            </w:r>
          </w:p>
        </w:tc>
        <w:tc>
          <w:tcPr>
            <w:tcW w:w="503" w:type="pct"/>
            <w:tcBorders>
              <w:top w:val="nil"/>
              <w:left w:val="nil"/>
              <w:bottom w:val="single" w:sz="8" w:space="0" w:color="BFBFBF"/>
              <w:right w:val="single" w:sz="8" w:space="0" w:color="BFBFBF"/>
            </w:tcBorders>
            <w:shd w:val="clear" w:color="auto" w:fill="auto"/>
            <w:vAlign w:val="center"/>
          </w:tcPr>
          <w:p w14:paraId="48A2AD07" w14:textId="77777777" w:rsidR="00A448CA" w:rsidRPr="00AE0C4A" w:rsidDel="00D25A22" w:rsidRDefault="00A448CA" w:rsidP="001173BD">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3</w:t>
            </w:r>
          </w:p>
        </w:tc>
        <w:tc>
          <w:tcPr>
            <w:tcW w:w="503" w:type="pct"/>
            <w:tcBorders>
              <w:top w:val="nil"/>
              <w:left w:val="nil"/>
              <w:bottom w:val="single" w:sz="8" w:space="0" w:color="BFBFBF"/>
              <w:right w:val="single" w:sz="8" w:space="0" w:color="BFBFBF"/>
            </w:tcBorders>
            <w:shd w:val="clear" w:color="auto" w:fill="auto"/>
            <w:noWrap/>
            <w:vAlign w:val="center"/>
          </w:tcPr>
          <w:p w14:paraId="23D4B0C6" w14:textId="77777777" w:rsidR="00A448CA" w:rsidRPr="00AE0C4A" w:rsidRDefault="00A448CA" w:rsidP="001173B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2,5</w:t>
            </w:r>
          </w:p>
        </w:tc>
        <w:tc>
          <w:tcPr>
            <w:tcW w:w="503" w:type="pct"/>
            <w:tcBorders>
              <w:top w:val="nil"/>
              <w:left w:val="nil"/>
              <w:bottom w:val="single" w:sz="8" w:space="0" w:color="BFBFBF"/>
              <w:right w:val="single" w:sz="8" w:space="0" w:color="BFBFBF"/>
            </w:tcBorders>
            <w:shd w:val="clear" w:color="auto" w:fill="auto"/>
            <w:noWrap/>
            <w:vAlign w:val="center"/>
          </w:tcPr>
          <w:p w14:paraId="318E5D7E" w14:textId="77777777" w:rsidR="00A448CA" w:rsidRPr="00AE0C4A" w:rsidDel="00D25A22" w:rsidRDefault="00A448CA" w:rsidP="001173BD">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w:t>
            </w:r>
          </w:p>
        </w:tc>
        <w:tc>
          <w:tcPr>
            <w:tcW w:w="497" w:type="pct"/>
            <w:tcBorders>
              <w:top w:val="nil"/>
              <w:left w:val="nil"/>
              <w:bottom w:val="single" w:sz="8" w:space="0" w:color="BFBFBF"/>
              <w:right w:val="single" w:sz="8" w:space="0" w:color="BFBFBF"/>
            </w:tcBorders>
            <w:shd w:val="clear" w:color="auto" w:fill="auto"/>
            <w:vAlign w:val="bottom"/>
          </w:tcPr>
          <w:p w14:paraId="3DA58224" w14:textId="77777777" w:rsidR="00A448CA" w:rsidRPr="00AE0C4A" w:rsidRDefault="00A448CA" w:rsidP="001173BD">
            <w:pPr>
              <w:spacing w:after="0" w:line="240" w:lineRule="auto"/>
              <w:jc w:val="center"/>
              <w:rPr>
                <w:rFonts w:ascii="Calibri" w:eastAsia="Times New Roman" w:hAnsi="Calibri"/>
                <w:color w:val="000000"/>
                <w:lang w:eastAsia="tr-TR"/>
              </w:rPr>
            </w:pPr>
            <w:r>
              <w:rPr>
                <w:rFonts w:ascii="Calibri" w:hAnsi="Calibri"/>
                <w:color w:val="000000"/>
              </w:rPr>
              <w:t>0,77</w:t>
            </w:r>
          </w:p>
        </w:tc>
      </w:tr>
      <w:tr w:rsidR="00A448CA" w:rsidRPr="00AE0C4A" w14:paraId="0CD6F1A7" w14:textId="77777777" w:rsidTr="001173BD">
        <w:trPr>
          <w:trHeight w:val="615"/>
          <w:jc w:val="center"/>
        </w:trPr>
        <w:tc>
          <w:tcPr>
            <w:tcW w:w="1826" w:type="pct"/>
            <w:tcBorders>
              <w:top w:val="nil"/>
              <w:left w:val="single" w:sz="8" w:space="0" w:color="BFBFBF"/>
              <w:bottom w:val="single" w:sz="8" w:space="0" w:color="BFBFBF"/>
              <w:right w:val="single" w:sz="8" w:space="0" w:color="BFBFBF"/>
            </w:tcBorders>
            <w:shd w:val="clear" w:color="auto" w:fill="auto"/>
            <w:vAlign w:val="center"/>
            <w:hideMark/>
          </w:tcPr>
          <w:p w14:paraId="3AC0EEC1" w14:textId="77777777" w:rsidR="00A448CA" w:rsidRPr="00AE0C4A" w:rsidRDefault="00A448CA" w:rsidP="001173BD">
            <w:pPr>
              <w:spacing w:after="0" w:line="240" w:lineRule="auto"/>
              <w:rPr>
                <w:rFonts w:ascii="Calibri" w:eastAsia="Times New Roman" w:hAnsi="Calibri"/>
                <w:color w:val="000000"/>
                <w:lang w:eastAsia="tr-TR"/>
              </w:rPr>
            </w:pPr>
            <w:r w:rsidRPr="00AE0C4A">
              <w:rPr>
                <w:rFonts w:ascii="Calibri" w:eastAsia="Times New Roman" w:hAnsi="Calibri"/>
                <w:color w:val="000000"/>
                <w:lang w:eastAsia="tr-TR"/>
              </w:rPr>
              <w:t>Cumhurbaşkanlığı, Bakanlıklar ve Diğer Kamu Kurum ve Kuruluşları</w:t>
            </w:r>
          </w:p>
        </w:tc>
        <w:tc>
          <w:tcPr>
            <w:tcW w:w="537" w:type="pct"/>
            <w:tcBorders>
              <w:top w:val="nil"/>
              <w:left w:val="nil"/>
              <w:bottom w:val="single" w:sz="8" w:space="0" w:color="BFBFBF"/>
              <w:right w:val="single" w:sz="8" w:space="0" w:color="BFBFBF"/>
            </w:tcBorders>
            <w:shd w:val="clear" w:color="auto" w:fill="auto"/>
            <w:noWrap/>
            <w:vAlign w:val="center"/>
            <w:hideMark/>
          </w:tcPr>
          <w:p w14:paraId="169423FA" w14:textId="77777777" w:rsidR="00A448CA" w:rsidRPr="00AE0C4A" w:rsidRDefault="00A448CA" w:rsidP="001173BD">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80</w:t>
            </w:r>
          </w:p>
        </w:tc>
        <w:tc>
          <w:tcPr>
            <w:tcW w:w="631" w:type="pct"/>
            <w:tcBorders>
              <w:top w:val="nil"/>
              <w:left w:val="nil"/>
              <w:bottom w:val="single" w:sz="8" w:space="0" w:color="BFBFBF"/>
              <w:right w:val="single" w:sz="8" w:space="0" w:color="BFBFBF"/>
            </w:tcBorders>
            <w:shd w:val="clear" w:color="auto" w:fill="auto"/>
            <w:noWrap/>
            <w:vAlign w:val="center"/>
          </w:tcPr>
          <w:p w14:paraId="4C34FAB2" w14:textId="77777777" w:rsidR="00A448CA" w:rsidRPr="00AE0C4A" w:rsidRDefault="00A448CA" w:rsidP="001173B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61,07</w:t>
            </w:r>
          </w:p>
        </w:tc>
        <w:tc>
          <w:tcPr>
            <w:tcW w:w="503" w:type="pct"/>
            <w:tcBorders>
              <w:top w:val="nil"/>
              <w:left w:val="nil"/>
              <w:bottom w:val="single" w:sz="8" w:space="0" w:color="BFBFBF"/>
              <w:right w:val="single" w:sz="8" w:space="0" w:color="BFBFBF"/>
            </w:tcBorders>
            <w:shd w:val="clear" w:color="auto" w:fill="auto"/>
            <w:vAlign w:val="center"/>
            <w:hideMark/>
          </w:tcPr>
          <w:p w14:paraId="27826671" w14:textId="77777777" w:rsidR="00A448CA" w:rsidRPr="00AE0C4A" w:rsidRDefault="00A448CA" w:rsidP="001173BD">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69</w:t>
            </w:r>
          </w:p>
        </w:tc>
        <w:tc>
          <w:tcPr>
            <w:tcW w:w="503" w:type="pct"/>
            <w:tcBorders>
              <w:top w:val="nil"/>
              <w:left w:val="nil"/>
              <w:bottom w:val="single" w:sz="8" w:space="0" w:color="BFBFBF"/>
              <w:right w:val="single" w:sz="8" w:space="0" w:color="BFBFBF"/>
            </w:tcBorders>
            <w:shd w:val="clear" w:color="auto" w:fill="auto"/>
            <w:noWrap/>
            <w:vAlign w:val="center"/>
          </w:tcPr>
          <w:p w14:paraId="50A0C67B" w14:textId="77777777" w:rsidR="00A448CA" w:rsidRPr="00AE0C4A" w:rsidRDefault="00A448CA" w:rsidP="001173BD">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57,5</w:t>
            </w:r>
          </w:p>
        </w:tc>
        <w:tc>
          <w:tcPr>
            <w:tcW w:w="503" w:type="pct"/>
            <w:tcBorders>
              <w:top w:val="nil"/>
              <w:left w:val="nil"/>
              <w:bottom w:val="single" w:sz="8" w:space="0" w:color="BFBFBF"/>
              <w:right w:val="single" w:sz="8" w:space="0" w:color="BFBFBF"/>
            </w:tcBorders>
            <w:shd w:val="clear" w:color="auto" w:fill="auto"/>
            <w:noWrap/>
            <w:vAlign w:val="center"/>
          </w:tcPr>
          <w:p w14:paraId="42EB36D3" w14:textId="77777777" w:rsidR="00A448CA" w:rsidRPr="00AE0C4A" w:rsidRDefault="00A448CA" w:rsidP="001173BD">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81</w:t>
            </w:r>
          </w:p>
        </w:tc>
        <w:tc>
          <w:tcPr>
            <w:tcW w:w="497" w:type="pct"/>
            <w:tcBorders>
              <w:top w:val="nil"/>
              <w:left w:val="nil"/>
              <w:bottom w:val="single" w:sz="8" w:space="0" w:color="BFBFBF"/>
              <w:right w:val="single" w:sz="8" w:space="0" w:color="BFBFBF"/>
            </w:tcBorders>
            <w:shd w:val="clear" w:color="auto" w:fill="auto"/>
            <w:vAlign w:val="bottom"/>
          </w:tcPr>
          <w:p w14:paraId="54A303D5" w14:textId="77777777" w:rsidR="00A448CA" w:rsidRPr="00AE0C4A" w:rsidRDefault="00A448CA" w:rsidP="001173BD">
            <w:pPr>
              <w:spacing w:after="0" w:line="240" w:lineRule="auto"/>
              <w:jc w:val="center"/>
              <w:rPr>
                <w:rFonts w:ascii="Calibri" w:eastAsia="Times New Roman" w:hAnsi="Calibri"/>
                <w:color w:val="000000"/>
                <w:lang w:eastAsia="tr-TR"/>
              </w:rPr>
            </w:pPr>
            <w:r>
              <w:rPr>
                <w:rFonts w:ascii="Calibri" w:hAnsi="Calibri"/>
                <w:color w:val="000000"/>
              </w:rPr>
              <w:t>62,31</w:t>
            </w:r>
          </w:p>
        </w:tc>
      </w:tr>
      <w:tr w:rsidR="00A448CA" w:rsidRPr="00AE0C4A" w14:paraId="5A3B3DD2" w14:textId="77777777" w:rsidTr="001173BD">
        <w:trPr>
          <w:trHeight w:val="315"/>
          <w:jc w:val="center"/>
        </w:trPr>
        <w:tc>
          <w:tcPr>
            <w:tcW w:w="1826" w:type="pct"/>
            <w:tcBorders>
              <w:top w:val="nil"/>
              <w:left w:val="single" w:sz="8" w:space="0" w:color="BFBFBF"/>
              <w:bottom w:val="single" w:sz="8" w:space="0" w:color="BFBFBF"/>
              <w:right w:val="single" w:sz="8" w:space="0" w:color="BFBFBF"/>
            </w:tcBorders>
            <w:shd w:val="clear" w:color="auto" w:fill="auto"/>
            <w:vAlign w:val="center"/>
            <w:hideMark/>
          </w:tcPr>
          <w:p w14:paraId="2D013D08" w14:textId="77777777" w:rsidR="00A448CA" w:rsidRPr="00AE0C4A" w:rsidRDefault="00A448CA" w:rsidP="001173BD">
            <w:pPr>
              <w:spacing w:after="0" w:line="240" w:lineRule="auto"/>
              <w:rPr>
                <w:rFonts w:ascii="Calibri" w:eastAsia="Times New Roman" w:hAnsi="Calibri"/>
                <w:b/>
                <w:bCs/>
                <w:color w:val="000000"/>
                <w:lang w:eastAsia="tr-TR"/>
              </w:rPr>
            </w:pPr>
            <w:r w:rsidRPr="00AE0C4A">
              <w:rPr>
                <w:rFonts w:ascii="Calibri" w:eastAsia="Times New Roman" w:hAnsi="Calibri"/>
                <w:b/>
                <w:bCs/>
                <w:color w:val="000000"/>
                <w:lang w:eastAsia="tr-TR"/>
              </w:rPr>
              <w:t>TOPLAM</w:t>
            </w:r>
          </w:p>
        </w:tc>
        <w:tc>
          <w:tcPr>
            <w:tcW w:w="537" w:type="pct"/>
            <w:tcBorders>
              <w:top w:val="nil"/>
              <w:left w:val="nil"/>
              <w:bottom w:val="single" w:sz="8" w:space="0" w:color="BFBFBF"/>
              <w:right w:val="single" w:sz="8" w:space="0" w:color="BFBFBF"/>
            </w:tcBorders>
            <w:shd w:val="clear" w:color="auto" w:fill="auto"/>
            <w:noWrap/>
            <w:vAlign w:val="center"/>
            <w:hideMark/>
          </w:tcPr>
          <w:p w14:paraId="238F1993" w14:textId="77777777" w:rsidR="00A448CA" w:rsidRPr="00AE0C4A" w:rsidRDefault="00A448CA" w:rsidP="001173BD">
            <w:pPr>
              <w:spacing w:after="0" w:line="240" w:lineRule="auto"/>
              <w:jc w:val="right"/>
              <w:rPr>
                <w:rFonts w:ascii="Calibri" w:eastAsia="Times New Roman" w:hAnsi="Calibri"/>
                <w:b/>
                <w:bCs/>
                <w:color w:val="000000"/>
                <w:lang w:eastAsia="tr-TR"/>
              </w:rPr>
            </w:pPr>
            <w:r>
              <w:rPr>
                <w:rFonts w:ascii="Calibri" w:eastAsia="Times New Roman" w:hAnsi="Calibri"/>
                <w:b/>
                <w:bCs/>
                <w:color w:val="000000"/>
                <w:lang w:eastAsia="tr-TR"/>
              </w:rPr>
              <w:t>131</w:t>
            </w:r>
          </w:p>
        </w:tc>
        <w:tc>
          <w:tcPr>
            <w:tcW w:w="631" w:type="pct"/>
            <w:tcBorders>
              <w:top w:val="nil"/>
              <w:left w:val="nil"/>
              <w:bottom w:val="single" w:sz="8" w:space="0" w:color="BFBFBF"/>
              <w:right w:val="single" w:sz="8" w:space="0" w:color="BFBFBF"/>
            </w:tcBorders>
            <w:shd w:val="clear" w:color="auto" w:fill="auto"/>
            <w:vAlign w:val="center"/>
            <w:hideMark/>
          </w:tcPr>
          <w:p w14:paraId="43D4E2AF" w14:textId="77777777" w:rsidR="00A448CA" w:rsidRPr="00AE0C4A" w:rsidRDefault="00A448CA" w:rsidP="001173BD">
            <w:pPr>
              <w:spacing w:after="0" w:line="240" w:lineRule="auto"/>
              <w:jc w:val="center"/>
              <w:rPr>
                <w:rFonts w:ascii="Calibri" w:eastAsia="Times New Roman" w:hAnsi="Calibri"/>
                <w:b/>
                <w:bCs/>
                <w:color w:val="000000"/>
                <w:lang w:eastAsia="tr-TR"/>
              </w:rPr>
            </w:pPr>
            <w:r w:rsidRPr="00AE0C4A">
              <w:rPr>
                <w:rFonts w:ascii="Calibri" w:eastAsia="Times New Roman" w:hAnsi="Calibri"/>
                <w:b/>
                <w:bCs/>
                <w:color w:val="000000"/>
                <w:lang w:eastAsia="tr-TR"/>
              </w:rPr>
              <w:t>100</w:t>
            </w:r>
          </w:p>
        </w:tc>
        <w:tc>
          <w:tcPr>
            <w:tcW w:w="503" w:type="pct"/>
            <w:tcBorders>
              <w:top w:val="nil"/>
              <w:left w:val="nil"/>
              <w:bottom w:val="single" w:sz="8" w:space="0" w:color="BFBFBF"/>
              <w:right w:val="single" w:sz="8" w:space="0" w:color="BFBFBF"/>
            </w:tcBorders>
            <w:shd w:val="clear" w:color="auto" w:fill="auto"/>
            <w:vAlign w:val="center"/>
            <w:hideMark/>
          </w:tcPr>
          <w:p w14:paraId="59093BF3" w14:textId="77777777" w:rsidR="00A448CA" w:rsidRPr="00AE0C4A" w:rsidRDefault="00A448CA" w:rsidP="001173BD">
            <w:pPr>
              <w:spacing w:after="0" w:line="240" w:lineRule="auto"/>
              <w:jc w:val="right"/>
              <w:rPr>
                <w:rFonts w:ascii="Calibri" w:eastAsia="Times New Roman" w:hAnsi="Calibri"/>
                <w:b/>
                <w:bCs/>
                <w:color w:val="000000"/>
                <w:lang w:eastAsia="tr-TR"/>
              </w:rPr>
            </w:pPr>
            <w:r>
              <w:rPr>
                <w:rFonts w:ascii="Calibri" w:eastAsia="Times New Roman" w:hAnsi="Calibri"/>
                <w:b/>
                <w:bCs/>
                <w:color w:val="000000"/>
                <w:lang w:eastAsia="tr-TR"/>
              </w:rPr>
              <w:t>120</w:t>
            </w:r>
          </w:p>
        </w:tc>
        <w:tc>
          <w:tcPr>
            <w:tcW w:w="503" w:type="pct"/>
            <w:tcBorders>
              <w:top w:val="nil"/>
              <w:left w:val="nil"/>
              <w:bottom w:val="single" w:sz="8" w:space="0" w:color="BFBFBF"/>
              <w:right w:val="single" w:sz="8" w:space="0" w:color="BFBFBF"/>
            </w:tcBorders>
            <w:shd w:val="clear" w:color="auto" w:fill="auto"/>
            <w:noWrap/>
            <w:vAlign w:val="center"/>
            <w:hideMark/>
          </w:tcPr>
          <w:p w14:paraId="524DB417" w14:textId="77777777" w:rsidR="00A448CA" w:rsidRPr="00AE0C4A" w:rsidRDefault="00A448CA" w:rsidP="001173BD">
            <w:pPr>
              <w:spacing w:after="0" w:line="240" w:lineRule="auto"/>
              <w:jc w:val="center"/>
              <w:rPr>
                <w:rFonts w:ascii="Calibri" w:eastAsia="Times New Roman" w:hAnsi="Calibri"/>
                <w:b/>
                <w:bCs/>
                <w:color w:val="000000"/>
                <w:lang w:eastAsia="tr-TR"/>
              </w:rPr>
            </w:pPr>
            <w:r>
              <w:rPr>
                <w:rFonts w:ascii="Calibri" w:eastAsia="Times New Roman" w:hAnsi="Calibri"/>
                <w:b/>
                <w:bCs/>
                <w:color w:val="000000"/>
                <w:lang w:eastAsia="tr-TR"/>
              </w:rPr>
              <w:t>100</w:t>
            </w:r>
          </w:p>
        </w:tc>
        <w:tc>
          <w:tcPr>
            <w:tcW w:w="503" w:type="pct"/>
            <w:tcBorders>
              <w:top w:val="nil"/>
              <w:left w:val="nil"/>
              <w:bottom w:val="single" w:sz="8" w:space="0" w:color="BFBFBF"/>
              <w:right w:val="single" w:sz="8" w:space="0" w:color="BFBFBF"/>
            </w:tcBorders>
            <w:shd w:val="clear" w:color="auto" w:fill="auto"/>
            <w:vAlign w:val="center"/>
          </w:tcPr>
          <w:p w14:paraId="0A02B5E5" w14:textId="77777777" w:rsidR="00A448CA" w:rsidRPr="00AE0C4A" w:rsidRDefault="00A448CA" w:rsidP="001173BD">
            <w:pPr>
              <w:spacing w:after="0" w:line="240" w:lineRule="auto"/>
              <w:jc w:val="right"/>
              <w:rPr>
                <w:rFonts w:ascii="Calibri" w:eastAsia="Times New Roman" w:hAnsi="Calibri"/>
                <w:b/>
                <w:bCs/>
                <w:color w:val="000000"/>
                <w:lang w:eastAsia="tr-TR"/>
              </w:rPr>
            </w:pPr>
            <w:r>
              <w:rPr>
                <w:rFonts w:ascii="Calibri" w:eastAsia="Times New Roman" w:hAnsi="Calibri"/>
                <w:b/>
                <w:bCs/>
                <w:color w:val="000000"/>
                <w:lang w:eastAsia="tr-TR"/>
              </w:rPr>
              <w:t>130</w:t>
            </w:r>
          </w:p>
        </w:tc>
        <w:tc>
          <w:tcPr>
            <w:tcW w:w="497" w:type="pct"/>
            <w:tcBorders>
              <w:top w:val="nil"/>
              <w:left w:val="nil"/>
              <w:bottom w:val="single" w:sz="8" w:space="0" w:color="BFBFBF"/>
              <w:right w:val="single" w:sz="8" w:space="0" w:color="BFBFBF"/>
            </w:tcBorders>
            <w:shd w:val="clear" w:color="auto" w:fill="auto"/>
            <w:vAlign w:val="bottom"/>
          </w:tcPr>
          <w:p w14:paraId="2508B602" w14:textId="77777777" w:rsidR="00A448CA" w:rsidRPr="00AE0C4A" w:rsidRDefault="00A448CA" w:rsidP="001173BD">
            <w:pPr>
              <w:spacing w:after="0" w:line="240" w:lineRule="auto"/>
              <w:jc w:val="center"/>
              <w:rPr>
                <w:rFonts w:ascii="Calibri" w:eastAsia="Times New Roman" w:hAnsi="Calibri"/>
                <w:b/>
                <w:bCs/>
                <w:color w:val="000000"/>
                <w:lang w:eastAsia="tr-TR"/>
              </w:rPr>
            </w:pPr>
            <w:r>
              <w:rPr>
                <w:rFonts w:ascii="Calibri" w:hAnsi="Calibri"/>
                <w:color w:val="000000"/>
              </w:rPr>
              <w:t>100,00</w:t>
            </w:r>
          </w:p>
        </w:tc>
      </w:tr>
    </w:tbl>
    <w:p w14:paraId="2DBF8BFD" w14:textId="77777777" w:rsidR="00A448CA" w:rsidRDefault="00A448CA" w:rsidP="00A448CA">
      <w:pPr>
        <w:pStyle w:val="Balk5"/>
        <w:spacing w:after="240"/>
        <w:jc w:val="center"/>
        <w:rPr>
          <w:rStyle w:val="Gl"/>
          <w:bCs w:val="0"/>
          <w:color w:val="auto"/>
        </w:rPr>
      </w:pPr>
      <w:bookmarkStart w:id="373" w:name="_Toc94703948"/>
    </w:p>
    <w:p w14:paraId="286A3590" w14:textId="77777777" w:rsidR="00A448CA" w:rsidRDefault="00A448CA" w:rsidP="00A448CA">
      <w:pPr>
        <w:jc w:val="left"/>
        <w:rPr>
          <w:rStyle w:val="Gl"/>
          <w:rFonts w:eastAsiaTheme="majorEastAsia" w:cstheme="majorBidi"/>
          <w:bCs w:val="0"/>
        </w:rPr>
      </w:pPr>
      <w:r>
        <w:rPr>
          <w:rStyle w:val="Gl"/>
          <w:bCs w:val="0"/>
        </w:rPr>
        <w:br w:type="page"/>
      </w:r>
    </w:p>
    <w:p w14:paraId="0D95A830" w14:textId="77777777" w:rsidR="00A448CA" w:rsidRPr="000A7861" w:rsidRDefault="00A448CA" w:rsidP="00A448CA">
      <w:pPr>
        <w:pStyle w:val="Balk5"/>
        <w:spacing w:after="240"/>
        <w:jc w:val="center"/>
        <w:rPr>
          <w:rStyle w:val="Gl"/>
          <w:bCs w:val="0"/>
          <w:color w:val="auto"/>
        </w:rPr>
      </w:pPr>
      <w:bookmarkStart w:id="374" w:name="_Toc158307059"/>
      <w:bookmarkStart w:id="375" w:name="_Toc195868861"/>
      <w:r w:rsidRPr="008102B6">
        <w:rPr>
          <w:rStyle w:val="Gl"/>
          <w:bCs w:val="0"/>
          <w:color w:val="auto"/>
        </w:rPr>
        <w:lastRenderedPageBreak/>
        <w:t>Şekil 8.3</w:t>
      </w:r>
      <w:r w:rsidRPr="000A7861">
        <w:rPr>
          <w:rStyle w:val="Gl"/>
          <w:bCs w:val="0"/>
          <w:color w:val="auto"/>
        </w:rPr>
        <w:t>: Yıllar İtibariyle Hukuk Dairesi Başkanlığı Tarafından Verilen Görüşlerin Dağılımı</w:t>
      </w:r>
      <w:bookmarkEnd w:id="373"/>
      <w:bookmarkEnd w:id="374"/>
      <w:bookmarkEnd w:id="375"/>
    </w:p>
    <w:p w14:paraId="4161E8DE" w14:textId="77777777" w:rsidR="00A448CA" w:rsidRPr="00D24C14" w:rsidRDefault="00A448CA" w:rsidP="00A448CA">
      <w:pPr>
        <w:rPr>
          <w:b/>
          <w14:glow w14:rad="0">
            <w14:schemeClr w14:val="tx1"/>
          </w14:glow>
          <w14:textOutline w14:w="9525" w14:cap="rnd" w14:cmpd="sng" w14:algn="ctr">
            <w14:noFill/>
            <w14:prstDash w14:val="solid"/>
            <w14:bevel/>
          </w14:textOutline>
        </w:rPr>
      </w:pPr>
      <w:bookmarkStart w:id="376" w:name="_Hlk130545639"/>
    </w:p>
    <w:p w14:paraId="642F65A9" w14:textId="77777777" w:rsidR="00A448CA" w:rsidRDefault="00A448CA" w:rsidP="00A448CA">
      <w:pPr>
        <w:rPr>
          <w:b/>
        </w:rPr>
      </w:pPr>
      <w:bookmarkStart w:id="377" w:name="_GoBack"/>
      <w:r w:rsidRPr="004C5FD7">
        <w:rPr>
          <w:b/>
          <w:noProof/>
          <w:lang w:eastAsia="tr-TR"/>
        </w:rPr>
        <w:drawing>
          <wp:inline distT="0" distB="0" distL="0" distR="0" wp14:anchorId="4EADB388" wp14:editId="78CD58A5">
            <wp:extent cx="5857875" cy="3971925"/>
            <wp:effectExtent l="0" t="0" r="9525" b="9525"/>
            <wp:docPr id="3" name="Grafik 3"/>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bookmarkEnd w:id="377"/>
    </w:p>
    <w:p w14:paraId="095BFC82" w14:textId="77777777" w:rsidR="00A448CA" w:rsidRPr="00604359" w:rsidRDefault="00A448CA" w:rsidP="00A448CA">
      <w:pPr>
        <w:pStyle w:val="Balk2"/>
        <w:spacing w:after="240"/>
        <w:rPr>
          <w:rFonts w:asciiTheme="minorHAnsi" w:hAnsiTheme="minorHAnsi"/>
          <w:color w:val="auto"/>
          <w:sz w:val="22"/>
          <w:szCs w:val="22"/>
        </w:rPr>
      </w:pPr>
      <w:bookmarkStart w:id="378" w:name="_Toc158306954"/>
      <w:bookmarkStart w:id="379" w:name="_Toc195868761"/>
      <w:r w:rsidRPr="00604359">
        <w:rPr>
          <w:rFonts w:asciiTheme="minorHAnsi" w:hAnsiTheme="minorHAnsi"/>
          <w:color w:val="auto"/>
          <w:sz w:val="22"/>
          <w:szCs w:val="22"/>
        </w:rPr>
        <w:t>8.4. İhale İşlemleri</w:t>
      </w:r>
      <w:bookmarkEnd w:id="378"/>
      <w:bookmarkEnd w:id="379"/>
    </w:p>
    <w:p w14:paraId="28F2C139" w14:textId="77777777" w:rsidR="00A448CA" w:rsidRDefault="00A448CA" w:rsidP="00A448CA">
      <w:r>
        <w:t>4734 sayılı Kamu İhale Kanunu kapsamında 2024 yılında Kurumumuzca gerçekleştirilen 6 adet ihaleye, ihale komisyon üyesi olarak katılım sağlanmıştır.</w:t>
      </w:r>
    </w:p>
    <w:p w14:paraId="03EB71D1" w14:textId="77777777" w:rsidR="00A448CA" w:rsidRPr="00604359" w:rsidRDefault="00A448CA" w:rsidP="00A448CA">
      <w:pPr>
        <w:pStyle w:val="Balk2"/>
        <w:spacing w:after="240"/>
        <w:rPr>
          <w:rFonts w:asciiTheme="minorHAnsi" w:hAnsiTheme="minorHAnsi"/>
          <w:color w:val="auto"/>
          <w:sz w:val="22"/>
          <w:szCs w:val="22"/>
        </w:rPr>
      </w:pPr>
      <w:bookmarkStart w:id="380" w:name="_Toc158306955"/>
      <w:bookmarkStart w:id="381" w:name="_Toc195868762"/>
      <w:r w:rsidRPr="00604359">
        <w:rPr>
          <w:rFonts w:asciiTheme="minorHAnsi" w:hAnsiTheme="minorHAnsi"/>
          <w:color w:val="auto"/>
          <w:sz w:val="22"/>
          <w:szCs w:val="22"/>
        </w:rPr>
        <w:t>8.5. Ödeme Emirleri</w:t>
      </w:r>
      <w:bookmarkEnd w:id="380"/>
      <w:bookmarkEnd w:id="381"/>
    </w:p>
    <w:p w14:paraId="7A7A04B0" w14:textId="77777777" w:rsidR="00A448CA" w:rsidRDefault="00A448CA" w:rsidP="00A448CA">
      <w:r>
        <w:t>Kurumumuzun takip ettiği davalar ile ilgili olarak 2024 yılında dava/icra yargılama giderlerine ilişkin 16 adet avans ödeme işlemleri ile Mahkeme Kararları kapsamında talep edilen 431 adet yargılama gideri ve/veya vekalet ücreti ödeme işlemleri gerçekleştirilmiştir.</w:t>
      </w:r>
    </w:p>
    <w:p w14:paraId="3612C2C2" w14:textId="77777777" w:rsidR="00A448CA" w:rsidRPr="00604359" w:rsidRDefault="00A448CA" w:rsidP="00A448CA">
      <w:pPr>
        <w:pStyle w:val="Balk2"/>
        <w:spacing w:after="240"/>
        <w:rPr>
          <w:rFonts w:asciiTheme="minorHAnsi" w:hAnsiTheme="minorHAnsi"/>
          <w:color w:val="auto"/>
          <w:sz w:val="22"/>
          <w:szCs w:val="22"/>
        </w:rPr>
      </w:pPr>
      <w:bookmarkStart w:id="382" w:name="_Toc158306956"/>
      <w:bookmarkStart w:id="383" w:name="_Toc195868763"/>
      <w:r w:rsidRPr="00604359">
        <w:rPr>
          <w:rFonts w:asciiTheme="minorHAnsi" w:hAnsiTheme="minorHAnsi"/>
          <w:color w:val="auto"/>
          <w:sz w:val="22"/>
          <w:szCs w:val="22"/>
        </w:rPr>
        <w:t>8.6. Kamu Denetçiliği Kurumu Kararları</w:t>
      </w:r>
      <w:bookmarkEnd w:id="382"/>
      <w:bookmarkEnd w:id="383"/>
    </w:p>
    <w:p w14:paraId="08C658D5" w14:textId="77777777" w:rsidR="00A448CA" w:rsidRDefault="00A448CA" w:rsidP="00A448CA">
      <w:r>
        <w:t>2024 yılında Kamu Denetçiliği Kurumu (Ombudsmanlık) tarafından Kurumumuza gönderilen, gönderme kararı/bilgi-belge istemli yazılar ile ilgili olarak; ilgili Daire Başkanlıklarından temin edilen bilgi-belgeler kapsamında toplam 12 adet dosyadan süresi içinde ilgili Kuruma cevap verilmiştir.</w:t>
      </w:r>
    </w:p>
    <w:p w14:paraId="3C4A9A60" w14:textId="77777777" w:rsidR="00A448CA" w:rsidRPr="00604359" w:rsidRDefault="00A448CA" w:rsidP="00A448CA">
      <w:pPr>
        <w:pStyle w:val="Balk2"/>
        <w:spacing w:after="240"/>
        <w:rPr>
          <w:rFonts w:asciiTheme="minorHAnsi" w:hAnsiTheme="minorHAnsi"/>
          <w:color w:val="auto"/>
          <w:sz w:val="22"/>
          <w:szCs w:val="22"/>
        </w:rPr>
      </w:pPr>
      <w:bookmarkStart w:id="384" w:name="_Toc158306957"/>
      <w:bookmarkStart w:id="385" w:name="_Toc195868764"/>
      <w:r w:rsidRPr="00604359">
        <w:rPr>
          <w:rFonts w:asciiTheme="minorHAnsi" w:hAnsiTheme="minorHAnsi"/>
          <w:color w:val="auto"/>
          <w:sz w:val="22"/>
          <w:szCs w:val="22"/>
        </w:rPr>
        <w:t>8.7. Elektrik Dağıtım Şirketlerinin Denetimi</w:t>
      </w:r>
      <w:bookmarkEnd w:id="384"/>
      <w:bookmarkEnd w:id="385"/>
    </w:p>
    <w:bookmarkEnd w:id="376"/>
    <w:p w14:paraId="15113B28" w14:textId="77777777" w:rsidR="00F018C6" w:rsidRPr="002048A7" w:rsidRDefault="00A448CA" w:rsidP="00A448CA">
      <w:r>
        <w:t xml:space="preserve">Başkanlık Makamı Oluru ile; tüm elektrik dağıtım şirketlerinin </w:t>
      </w:r>
      <w:r w:rsidRPr="008C654E">
        <w:rPr>
          <w:i/>
        </w:rPr>
        <w:t>“Kullanıcılarla ilgili faaliyetler”</w:t>
      </w:r>
      <w:r>
        <w:t xml:space="preserve">, </w:t>
      </w:r>
      <w:r w:rsidRPr="008C654E">
        <w:rPr>
          <w:i/>
        </w:rPr>
        <w:t>“Mali konular”,</w:t>
      </w:r>
      <w:r>
        <w:t xml:space="preserve"> </w:t>
      </w:r>
      <w:r w:rsidRPr="008C654E">
        <w:rPr>
          <w:i/>
        </w:rPr>
        <w:t>“Satın alma ve satış işlemleri ile ilgili faaliyetler”, “Hukuki süreçler”</w:t>
      </w:r>
      <w:r>
        <w:t xml:space="preserve"> ve </w:t>
      </w:r>
      <w:r w:rsidRPr="008C654E">
        <w:rPr>
          <w:i/>
        </w:rPr>
        <w:t>“Gerekli görülmesi halinde ilgili mevzuat kapsamında incelenmesi gereken diğer hususlar”</w:t>
      </w:r>
      <w:r>
        <w:t xml:space="preserve"> konu başlıklarındaki 2024 yılı faaliyetlerine ilişkin periyodik </w:t>
      </w:r>
      <w:r>
        <w:lastRenderedPageBreak/>
        <w:t xml:space="preserve">denetimlerin Kurumumuzca yapılmasına karar verilmesi neticesinde </w:t>
      </w:r>
      <w:r w:rsidRPr="008C654E">
        <w:rPr>
          <w:i/>
        </w:rPr>
        <w:t>“Hukuki Süreçler”</w:t>
      </w:r>
      <w:r>
        <w:t xml:space="preserve">e ilişkin denetimi gerçekleştirmek üzere; Daire Başkanlığımızda görev yapan avukatlardan bir çoğu dağıtım şirketlerinin yerinde denetimi maksadı ile komisyon üyesi olarak ilgili bölgelere gitmiş, yapılan denetimler neticesinde </w:t>
      </w:r>
      <w:r w:rsidRPr="008C654E">
        <w:rPr>
          <w:i/>
        </w:rPr>
        <w:t>“Hukuki Süreçler”</w:t>
      </w:r>
      <w:r>
        <w:t>e ilişkin denetim inceleme formu ve raporları düzenlenmiştir.</w:t>
      </w:r>
    </w:p>
    <w:p w14:paraId="51171EAF" w14:textId="4137069A" w:rsidR="00A61EA2" w:rsidRDefault="00A61EA2">
      <w:pPr>
        <w:jc w:val="left"/>
      </w:pPr>
      <w:r>
        <w:br w:type="page"/>
      </w:r>
    </w:p>
    <w:p w14:paraId="31E89F2E" w14:textId="77777777" w:rsidR="00D730CF" w:rsidRPr="002048A7" w:rsidRDefault="00864F04" w:rsidP="00577AAF">
      <w:pPr>
        <w:pStyle w:val="Balk1"/>
        <w:numPr>
          <w:ilvl w:val="0"/>
          <w:numId w:val="11"/>
        </w:numPr>
        <w:spacing w:before="0"/>
        <w:ind w:left="357" w:hanging="357"/>
        <w:rPr>
          <w:rFonts w:ascii="Calibri" w:eastAsia="Times New Roman" w:hAnsi="Calibri"/>
          <w:color w:val="000000"/>
          <w:sz w:val="22"/>
          <w:szCs w:val="22"/>
        </w:rPr>
      </w:pPr>
      <w:bookmarkStart w:id="386" w:name="_Toc195868765"/>
      <w:r w:rsidRPr="002048A7">
        <w:rPr>
          <w:rFonts w:ascii="Calibri" w:eastAsia="Times New Roman" w:hAnsi="Calibri"/>
          <w:color w:val="000000"/>
          <w:sz w:val="22"/>
          <w:szCs w:val="22"/>
        </w:rPr>
        <w:lastRenderedPageBreak/>
        <w:t>TÜKETİCİ HAKLARININ KORUNMASI</w:t>
      </w:r>
      <w:bookmarkEnd w:id="337"/>
      <w:bookmarkEnd w:id="386"/>
    </w:p>
    <w:p w14:paraId="442F7D34" w14:textId="77777777" w:rsidR="00185636" w:rsidRPr="002048A7" w:rsidRDefault="00185636" w:rsidP="00185636">
      <w:pPr>
        <w:autoSpaceDE w:val="0"/>
        <w:autoSpaceDN w:val="0"/>
        <w:adjustRightInd w:val="0"/>
      </w:pPr>
      <w:r w:rsidRPr="002048A7">
        <w:t>Tüketici haklarının korunmasını teminen; şikâyet ve başvuruları inceleyerek sonuçlandırma, piyasada faaliyet gösteren tüzel kişilerin tüketicilerine sundukları hizmetlerde uygulayacakları standart, usul ve esasları belirleme, enerji piyasasına ilişkin düzenlemeler ve uygulamalar konusunda kamuoyunu bilgilendirme ve tüketici bilinci oluşturmaya yönelik çalışmalar yürütülmektedir.</w:t>
      </w:r>
    </w:p>
    <w:p w14:paraId="6CE31765" w14:textId="77777777" w:rsidR="00185636" w:rsidRPr="002048A7" w:rsidRDefault="00185636" w:rsidP="00185636">
      <w:pPr>
        <w:autoSpaceDE w:val="0"/>
        <w:autoSpaceDN w:val="0"/>
        <w:adjustRightInd w:val="0"/>
      </w:pPr>
      <w:r w:rsidRPr="002048A7">
        <w:t>Kuruma gelen şikâyetlerin istatistiklerinin daha sağlıklı bir şekilde yapılabilmesi için EBYS’de bazı iyileştirmeler yapılmıştır. Böylelikle, Kuruma gelen şikâyetlere ilişkin çeşitli istatistiki veriler anlık olarak raporlanabilmektedir.</w:t>
      </w:r>
    </w:p>
    <w:p w14:paraId="5F055FEC" w14:textId="77777777" w:rsidR="00185636" w:rsidRPr="002048A7" w:rsidRDefault="00185636" w:rsidP="00185636">
      <w:pPr>
        <w:autoSpaceDE w:val="0"/>
        <w:autoSpaceDN w:val="0"/>
        <w:adjustRightInd w:val="0"/>
      </w:pPr>
      <w:r w:rsidRPr="002048A7">
        <w:t>Kurum internet sayfasında sürekli güncellemeler yapılmakta olup, Tüketici Köşesine daha rahat erişim imkânı sağlanmıştır. Tüketici Köşesinde, elektrik dağıtım ve görevli tedarik şirketleri ile doğal</w:t>
      </w:r>
      <w:r w:rsidR="004A53A0" w:rsidRPr="002048A7">
        <w:t xml:space="preserve"> </w:t>
      </w:r>
      <w:r w:rsidRPr="002048A7">
        <w:t xml:space="preserve">gaz dağıtım şirketlerine ait olan internet adresleri, çağrı merkezi telefonları gibi bilgilere daha hızlı ulaşım sağlanmıştır. </w:t>
      </w:r>
    </w:p>
    <w:p w14:paraId="6C3DBFAB" w14:textId="77777777" w:rsidR="00185636" w:rsidRPr="002048A7" w:rsidRDefault="00185636" w:rsidP="00AC30FD">
      <w:pPr>
        <w:autoSpaceDE w:val="0"/>
        <w:autoSpaceDN w:val="0"/>
        <w:adjustRightInd w:val="0"/>
      </w:pPr>
      <w:r w:rsidRPr="002048A7">
        <w:t>Kuruma gelen şikayetlerin sayısının her geçen gün artması ve bu şikayetlerin muhatabı olan Elektrik Dağıtım ve Görevli Tedarik Şirketleri ve Doğal Gaz Dağıtım Şirketlerine şikayetlerin daha kolay ve hızlı iletilmesini sağlamak amacıyla muhatap şirketlere KEP adresi zorunluluğu getirilmiş, şikayetlerin bir Elektronik Yazışma Paketi (EYP) olarak lisans sahiplerine intikali sağlanmıştır. Böylelikle tüketici şikâyetlerinin daha hızlı bir şekilde çözüm adresine yönlendirilmesi ve müracaatçıya her aşamada SMS gönderilerek bilgilendirilmesi sağlanmış ve internet sayfası üzerinden T.C Kimlik numarası ile takip yapılabilmektedir. Dağıtım şirketlerinden gelen cevapların internet sayfasında müracaatçı tarafından görülmesi sağlanmıştır. Dağıtım şirketleri tarafından zamanında cevaplanmayan müracaatlar için şirketlere sistem üzerinden uyarı mesajı gönderilmektedir.</w:t>
      </w:r>
    </w:p>
    <w:p w14:paraId="17EEE248" w14:textId="77777777" w:rsidR="00AC30FD" w:rsidRPr="002048A7" w:rsidRDefault="003100A3" w:rsidP="00D730CF">
      <w:pPr>
        <w:pStyle w:val="Balk2"/>
        <w:spacing w:after="240"/>
        <w:rPr>
          <w:rFonts w:asciiTheme="minorHAnsi" w:hAnsiTheme="minorHAnsi"/>
          <w:color w:val="auto"/>
          <w:sz w:val="22"/>
          <w:szCs w:val="22"/>
        </w:rPr>
      </w:pPr>
      <w:bookmarkStart w:id="387" w:name="_Toc447286883"/>
      <w:bookmarkStart w:id="388" w:name="_Toc195868766"/>
      <w:r w:rsidRPr="002048A7">
        <w:rPr>
          <w:rFonts w:asciiTheme="minorHAnsi" w:hAnsiTheme="minorHAnsi"/>
          <w:color w:val="auto"/>
          <w:sz w:val="22"/>
          <w:szCs w:val="22"/>
        </w:rPr>
        <w:t>9.1.Tüketici Bilincinin Oluşturulması ve Geliştirilmesi</w:t>
      </w:r>
      <w:bookmarkEnd w:id="387"/>
      <w:bookmarkEnd w:id="388"/>
    </w:p>
    <w:p w14:paraId="426BB202" w14:textId="77777777" w:rsidR="00185636" w:rsidRPr="002048A7" w:rsidRDefault="00185636" w:rsidP="00185636">
      <w:pPr>
        <w:spacing w:after="0"/>
        <w:rPr>
          <w:rFonts w:ascii="Calibri" w:hAnsi="Calibri"/>
        </w:rPr>
      </w:pPr>
      <w:bookmarkStart w:id="389" w:name="_Toc447286884"/>
      <w:r w:rsidRPr="002048A7">
        <w:rPr>
          <w:rFonts w:ascii="Calibri" w:hAnsi="Calibri"/>
        </w:rPr>
        <w:t xml:space="preserve">Enerji piyasasına ilişkin düzenlemeler ve uygulamalar ile tüketicinin hak ve sorumlulukları konusunda tüketici bilinci oluşturmaya yönelik çalışmalar kapsamında; Kurumun internet sayfasında tüketici bölümüne yer verilmiştir. </w:t>
      </w:r>
    </w:p>
    <w:p w14:paraId="3898C600" w14:textId="77777777" w:rsidR="00185636" w:rsidRPr="002048A7" w:rsidRDefault="00185636" w:rsidP="00185636">
      <w:pPr>
        <w:spacing w:after="0"/>
        <w:rPr>
          <w:rFonts w:ascii="Calibri" w:hAnsi="Calibri"/>
        </w:rPr>
      </w:pPr>
    </w:p>
    <w:p w14:paraId="57F0CE95" w14:textId="77777777" w:rsidR="00185636" w:rsidRPr="002048A7" w:rsidRDefault="00185636" w:rsidP="00185636">
      <w:pPr>
        <w:spacing w:after="0"/>
        <w:rPr>
          <w:rFonts w:ascii="Calibri" w:hAnsi="Calibri"/>
        </w:rPr>
      </w:pPr>
      <w:r w:rsidRPr="002048A7">
        <w:rPr>
          <w:rFonts w:ascii="Calibri" w:hAnsi="Calibri"/>
        </w:rPr>
        <w:t>Tüketici Köşesi, sektör bazında aşağıda belirtilen başlıkların tamamını ya da bir kısmını içerecek şekilde oluşturulmuştur:</w:t>
      </w:r>
    </w:p>
    <w:p w14:paraId="4C320923" w14:textId="77777777" w:rsidR="00185636" w:rsidRPr="002048A7" w:rsidRDefault="00185636" w:rsidP="00185636">
      <w:pPr>
        <w:spacing w:after="0"/>
        <w:rPr>
          <w:rFonts w:ascii="Calibri" w:hAnsi="Calibri"/>
        </w:rPr>
      </w:pPr>
    </w:p>
    <w:p w14:paraId="369569D8" w14:textId="77777777" w:rsidR="00185636" w:rsidRPr="002048A7" w:rsidRDefault="00185636" w:rsidP="000A5A56">
      <w:pPr>
        <w:numPr>
          <w:ilvl w:val="0"/>
          <w:numId w:val="5"/>
        </w:numPr>
        <w:spacing w:after="0"/>
        <w:contextualSpacing/>
        <w:jc w:val="left"/>
        <w:rPr>
          <w:rFonts w:ascii="Calibri" w:hAnsi="Calibri"/>
        </w:rPr>
      </w:pPr>
      <w:r w:rsidRPr="002048A7">
        <w:rPr>
          <w:rFonts w:ascii="Calibri" w:hAnsi="Calibri"/>
        </w:rPr>
        <w:t>Mevzuat (İlgili piyasaya ilişkin tüketicileri doğrudan ilgilendiren mevzuata yer verilmiştir</w:t>
      </w:r>
      <w:r w:rsidR="009431EB" w:rsidRPr="002048A7">
        <w:rPr>
          <w:rFonts w:ascii="Calibri" w:hAnsi="Calibri"/>
        </w:rPr>
        <w:t>.</w:t>
      </w:r>
      <w:r w:rsidRPr="002048A7">
        <w:rPr>
          <w:rFonts w:ascii="Calibri" w:hAnsi="Calibri"/>
        </w:rPr>
        <w:t>)</w:t>
      </w:r>
    </w:p>
    <w:p w14:paraId="1D0A4D0D" w14:textId="77777777" w:rsidR="00185636" w:rsidRPr="002048A7" w:rsidRDefault="00185636" w:rsidP="000A5A56">
      <w:pPr>
        <w:numPr>
          <w:ilvl w:val="0"/>
          <w:numId w:val="5"/>
        </w:numPr>
        <w:spacing w:after="0"/>
        <w:contextualSpacing/>
        <w:jc w:val="left"/>
        <w:rPr>
          <w:rFonts w:ascii="Calibri" w:hAnsi="Calibri"/>
        </w:rPr>
      </w:pPr>
      <w:r w:rsidRPr="002048A7">
        <w:rPr>
          <w:rFonts w:ascii="Calibri" w:hAnsi="Calibri"/>
        </w:rPr>
        <w:t>Piyasa ve Tüketici Hakları (Piyasa yapısı ve bu piyasada temel tüketici haklarının ne olduğuna ilişkin tanıtıma sunu şeklinde yer verilmiştir</w:t>
      </w:r>
      <w:r w:rsidR="009431EB" w:rsidRPr="002048A7">
        <w:rPr>
          <w:rFonts w:ascii="Calibri" w:hAnsi="Calibri"/>
        </w:rPr>
        <w:t>.</w:t>
      </w:r>
      <w:r w:rsidRPr="002048A7">
        <w:rPr>
          <w:rFonts w:ascii="Calibri" w:hAnsi="Calibri"/>
        </w:rPr>
        <w:t>)</w:t>
      </w:r>
    </w:p>
    <w:p w14:paraId="2F3AAD70" w14:textId="77777777" w:rsidR="00185636" w:rsidRPr="002048A7" w:rsidRDefault="00185636" w:rsidP="000A5A56">
      <w:pPr>
        <w:numPr>
          <w:ilvl w:val="0"/>
          <w:numId w:val="5"/>
        </w:numPr>
        <w:spacing w:after="0"/>
        <w:contextualSpacing/>
        <w:jc w:val="left"/>
        <w:rPr>
          <w:rFonts w:ascii="Calibri" w:hAnsi="Calibri"/>
        </w:rPr>
      </w:pPr>
      <w:r w:rsidRPr="002048A7">
        <w:rPr>
          <w:rFonts w:ascii="Calibri" w:hAnsi="Calibri"/>
        </w:rPr>
        <w:t>Tüketici Kılavuzu ve Sıkça Sorulan Sorular (Tüketicilerin sıkça sordukları sorulara ilişkin verilen yanıtlar ve tüketici haklarının kullanımına ilişkin açıklamaları içermektedir</w:t>
      </w:r>
      <w:r w:rsidR="009431EB" w:rsidRPr="002048A7">
        <w:rPr>
          <w:rFonts w:ascii="Calibri" w:hAnsi="Calibri"/>
        </w:rPr>
        <w:t>.</w:t>
      </w:r>
      <w:r w:rsidRPr="002048A7">
        <w:rPr>
          <w:rFonts w:ascii="Calibri" w:hAnsi="Calibri"/>
        </w:rPr>
        <w:t>)</w:t>
      </w:r>
    </w:p>
    <w:p w14:paraId="791C60A0" w14:textId="77777777" w:rsidR="00185636" w:rsidRPr="002048A7" w:rsidRDefault="00185636" w:rsidP="000A5A56">
      <w:pPr>
        <w:numPr>
          <w:ilvl w:val="0"/>
          <w:numId w:val="5"/>
        </w:numPr>
        <w:spacing w:after="0"/>
        <w:contextualSpacing/>
        <w:jc w:val="left"/>
        <w:rPr>
          <w:rFonts w:ascii="Calibri" w:hAnsi="Calibri"/>
        </w:rPr>
      </w:pPr>
      <w:r w:rsidRPr="002048A7">
        <w:rPr>
          <w:rFonts w:ascii="Calibri" w:hAnsi="Calibri"/>
        </w:rPr>
        <w:t>Geçmiş Dönem Uygulanan Ulusal Tarifeler ve Diğer Ülke Uygulamaları (Elektrik piyasasında serbest olamayan tüketicilere uygulanan fiyatlar ile diğer ülkelerde uygulan fiyatlar verilmiştir, doğal gaz dağıtım şirketlerinin uyguladıkları fiyatlara doğrudan erişim sağlanmıştır</w:t>
      </w:r>
      <w:r w:rsidR="009431EB" w:rsidRPr="002048A7">
        <w:rPr>
          <w:rFonts w:ascii="Calibri" w:hAnsi="Calibri"/>
        </w:rPr>
        <w:t>.</w:t>
      </w:r>
      <w:r w:rsidRPr="002048A7">
        <w:rPr>
          <w:rFonts w:ascii="Calibri" w:hAnsi="Calibri"/>
        </w:rPr>
        <w:t>)</w:t>
      </w:r>
    </w:p>
    <w:p w14:paraId="50B3CA24" w14:textId="77777777" w:rsidR="00185636" w:rsidRPr="002048A7" w:rsidRDefault="00185636" w:rsidP="000A5A56">
      <w:pPr>
        <w:numPr>
          <w:ilvl w:val="0"/>
          <w:numId w:val="5"/>
        </w:numPr>
        <w:spacing w:after="0"/>
        <w:contextualSpacing/>
        <w:jc w:val="left"/>
        <w:rPr>
          <w:rFonts w:ascii="Calibri" w:hAnsi="Calibri"/>
        </w:rPr>
      </w:pPr>
      <w:r w:rsidRPr="002048A7">
        <w:rPr>
          <w:rFonts w:ascii="Calibri" w:hAnsi="Calibri"/>
        </w:rPr>
        <w:t>Fatura Hesaplama Modülü (Elektrik tüketicilerinin fatura kontrollerini yapmasına imkân tanıyan fiyat modülüne yer verilmiştir</w:t>
      </w:r>
      <w:r w:rsidR="009431EB" w:rsidRPr="002048A7">
        <w:rPr>
          <w:rFonts w:ascii="Calibri" w:hAnsi="Calibri"/>
        </w:rPr>
        <w:t>.</w:t>
      </w:r>
      <w:r w:rsidRPr="002048A7">
        <w:rPr>
          <w:rFonts w:ascii="Calibri" w:hAnsi="Calibri"/>
        </w:rPr>
        <w:t>)</w:t>
      </w:r>
    </w:p>
    <w:p w14:paraId="1C5EB633" w14:textId="77777777" w:rsidR="00185636" w:rsidRPr="002048A7" w:rsidRDefault="00185636" w:rsidP="000A5A56">
      <w:pPr>
        <w:numPr>
          <w:ilvl w:val="0"/>
          <w:numId w:val="5"/>
        </w:numPr>
        <w:spacing w:after="0"/>
        <w:contextualSpacing/>
        <w:jc w:val="left"/>
        <w:rPr>
          <w:rFonts w:ascii="Calibri" w:hAnsi="Calibri"/>
        </w:rPr>
      </w:pPr>
      <w:r w:rsidRPr="002048A7">
        <w:rPr>
          <w:rFonts w:ascii="Calibri" w:hAnsi="Calibri"/>
        </w:rPr>
        <w:t>Dağıtım Şirketlerinin İletişim Adresleri (Elektrik ve Doğal Gaz Dağıtım Şirketlerinin Web Adresi, Çağrı Merkezi, İstek/Şikâyet ve e-posta adreslerini içermektedir</w:t>
      </w:r>
      <w:r w:rsidR="009431EB" w:rsidRPr="002048A7">
        <w:rPr>
          <w:rFonts w:ascii="Calibri" w:hAnsi="Calibri"/>
        </w:rPr>
        <w:t>.</w:t>
      </w:r>
      <w:r w:rsidRPr="002048A7">
        <w:rPr>
          <w:rFonts w:ascii="Calibri" w:hAnsi="Calibri"/>
        </w:rPr>
        <w:t>)</w:t>
      </w:r>
    </w:p>
    <w:p w14:paraId="78808450" w14:textId="77777777" w:rsidR="00185636" w:rsidRPr="002048A7" w:rsidRDefault="00185636" w:rsidP="000A5A56">
      <w:pPr>
        <w:numPr>
          <w:ilvl w:val="0"/>
          <w:numId w:val="5"/>
        </w:numPr>
        <w:spacing w:after="0"/>
        <w:contextualSpacing/>
        <w:jc w:val="left"/>
        <w:rPr>
          <w:rFonts w:ascii="Calibri" w:hAnsi="Calibri"/>
        </w:rPr>
      </w:pPr>
      <w:r w:rsidRPr="002048A7">
        <w:rPr>
          <w:rFonts w:ascii="Calibri" w:hAnsi="Calibri"/>
        </w:rPr>
        <w:t>Görevli Tedarik Şirketlerinin İletişim Adresleri (Elektrik Görevli Tedarik Şirketlerinin Web Adresi, Çağrı Merkezi, İstek/Şikâyet ve e-posta adresleri içermektedir</w:t>
      </w:r>
      <w:r w:rsidR="009431EB" w:rsidRPr="002048A7">
        <w:rPr>
          <w:rFonts w:ascii="Calibri" w:hAnsi="Calibri"/>
        </w:rPr>
        <w:t>.</w:t>
      </w:r>
      <w:r w:rsidRPr="002048A7">
        <w:rPr>
          <w:rFonts w:ascii="Calibri" w:hAnsi="Calibri"/>
        </w:rPr>
        <w:t>)</w:t>
      </w:r>
    </w:p>
    <w:p w14:paraId="7560DD55" w14:textId="77777777" w:rsidR="00185636" w:rsidRPr="002048A7" w:rsidRDefault="00185636" w:rsidP="000A5A56">
      <w:pPr>
        <w:numPr>
          <w:ilvl w:val="0"/>
          <w:numId w:val="5"/>
        </w:numPr>
        <w:spacing w:after="240"/>
        <w:ind w:left="1423" w:hanging="357"/>
        <w:contextualSpacing/>
        <w:jc w:val="left"/>
        <w:rPr>
          <w:rFonts w:ascii="Calibri" w:hAnsi="Calibri"/>
        </w:rPr>
      </w:pPr>
      <w:r w:rsidRPr="002048A7">
        <w:rPr>
          <w:rFonts w:ascii="Calibri" w:hAnsi="Calibri"/>
        </w:rPr>
        <w:t>Şikâyet ve Bilgi Edinme (Tüketicilerin şikâyet ve bilgi edinme taleplerine yanıt verecek aktif bir modüle yer verilmiştir</w:t>
      </w:r>
      <w:r w:rsidR="009431EB" w:rsidRPr="002048A7">
        <w:rPr>
          <w:rFonts w:ascii="Calibri" w:hAnsi="Calibri"/>
        </w:rPr>
        <w:t>.</w:t>
      </w:r>
      <w:r w:rsidRPr="002048A7">
        <w:rPr>
          <w:rFonts w:ascii="Calibri" w:hAnsi="Calibri"/>
        </w:rPr>
        <w:t>)</w:t>
      </w:r>
    </w:p>
    <w:p w14:paraId="2017F1DA" w14:textId="77777777" w:rsidR="00185636" w:rsidRPr="002048A7" w:rsidRDefault="00185636" w:rsidP="00185636">
      <w:pPr>
        <w:spacing w:after="240"/>
        <w:ind w:left="1423"/>
        <w:contextualSpacing/>
        <w:jc w:val="left"/>
        <w:rPr>
          <w:rFonts w:ascii="Calibri" w:hAnsi="Calibri"/>
        </w:rPr>
      </w:pPr>
    </w:p>
    <w:p w14:paraId="51A6084B" w14:textId="77777777" w:rsidR="00185636" w:rsidRPr="002048A7" w:rsidRDefault="00185636" w:rsidP="00185636">
      <w:pPr>
        <w:spacing w:after="240"/>
        <w:rPr>
          <w:rFonts w:ascii="Calibri" w:hAnsi="Calibri"/>
        </w:rPr>
      </w:pPr>
      <w:r w:rsidRPr="002048A7">
        <w:rPr>
          <w:rFonts w:ascii="Calibri" w:hAnsi="Calibri"/>
        </w:rPr>
        <w:t>Tüketici şikayetlerine ilişkin internet sayfası üzerinden müracaat modülü yenilenmiş, T.C kimlik üzerinden yapılan müracaatlarda, müracaatın alınması ve şirketlere gönderilmesi aşamalarında müracaatçıya SMS gönderilmesi ve müracaatçının internet sayfası üzerinden takibini yapabilmesi sağlanmıştır.</w:t>
      </w:r>
    </w:p>
    <w:p w14:paraId="699905C0" w14:textId="77777777" w:rsidR="000803DF" w:rsidRPr="002048A7" w:rsidRDefault="003100A3" w:rsidP="00D730CF">
      <w:pPr>
        <w:pStyle w:val="Balk2"/>
        <w:spacing w:after="240"/>
        <w:rPr>
          <w:rFonts w:asciiTheme="minorHAnsi" w:hAnsiTheme="minorHAnsi"/>
          <w:color w:val="auto"/>
          <w:sz w:val="22"/>
          <w:szCs w:val="22"/>
        </w:rPr>
      </w:pPr>
      <w:bookmarkStart w:id="390" w:name="_Toc195868767"/>
      <w:r w:rsidRPr="002048A7">
        <w:rPr>
          <w:rFonts w:asciiTheme="minorHAnsi" w:hAnsiTheme="minorHAnsi"/>
          <w:color w:val="auto"/>
          <w:sz w:val="22"/>
          <w:szCs w:val="22"/>
        </w:rPr>
        <w:t>9.2.Tüketici Şikâyetlerinin Değerlendirilmesi</w:t>
      </w:r>
      <w:bookmarkEnd w:id="389"/>
      <w:bookmarkEnd w:id="390"/>
    </w:p>
    <w:p w14:paraId="2E7E9528" w14:textId="77777777" w:rsidR="00185636" w:rsidRPr="002048A7" w:rsidRDefault="00185636" w:rsidP="00185636">
      <w:pPr>
        <w:spacing w:after="0"/>
      </w:pPr>
      <w:r w:rsidRPr="002048A7">
        <w:t>Lisans sahibi tüzel kişiler, tüketiciler ve kullanıcılarla olan ilişkilerinde mevzuat çerçevesinde belirlenen yükümlülüklerini yerine getirirken faaliyet konularına ilişkin ihbar ve şikâyetleri hızlı bir şekilde değerlendirerek çözmek ve/veya çözüme yönelik düzenlemelerin yapılmasını sağlamak zorundadır.</w:t>
      </w:r>
    </w:p>
    <w:p w14:paraId="492CE36B" w14:textId="77777777" w:rsidR="00185636" w:rsidRPr="002048A7" w:rsidRDefault="00185636" w:rsidP="00185636">
      <w:pPr>
        <w:spacing w:after="0"/>
      </w:pPr>
    </w:p>
    <w:p w14:paraId="5A1D4913" w14:textId="77777777" w:rsidR="00185636" w:rsidRPr="002048A7" w:rsidRDefault="00185636" w:rsidP="00185636">
      <w:pPr>
        <w:spacing w:after="0"/>
      </w:pPr>
      <w:r w:rsidRPr="002048A7">
        <w:t xml:space="preserve">Tüketiciler, hizmet veren şirketlere yaptıkları başvurularda yeterli veya tatmin edici cevap alamadıkları takdirde Kuruma başvurma hakkına sahiptirler. Bu şekilde Kuruma ulaşan başvurular, konu ile ilgili tüzel kişi ile yapılan yazışmalar ile birlikte değerlendirmeye alınmakta ve mevzuat çerçevesinde incelenerek sonuçlandırılmaktadır. </w:t>
      </w:r>
    </w:p>
    <w:p w14:paraId="30894980" w14:textId="77777777" w:rsidR="00185636" w:rsidRPr="002048A7" w:rsidRDefault="00185636" w:rsidP="00185636">
      <w:pPr>
        <w:spacing w:after="0"/>
      </w:pPr>
    </w:p>
    <w:p w14:paraId="1DD5870C" w14:textId="77777777" w:rsidR="00185636" w:rsidRPr="002048A7" w:rsidRDefault="00185636" w:rsidP="00185636">
      <w:pPr>
        <w:spacing w:after="0"/>
      </w:pPr>
      <w:r w:rsidRPr="002048A7">
        <w:t xml:space="preserve">İlgili mevzuat çerçevesinde piyasalarda faaliyet gösteren lisans sahibi tüzel kişilerin yükümlülüklerinin izlenmesinde, gerekli düzenlemelerin hızlı yapılmasının sağlanmasında tüketici ve kullanıcıların istem ve şikâyette bulunması yollarının yeterli, açık ve kolay olması oldukça önemlidir. </w:t>
      </w:r>
    </w:p>
    <w:p w14:paraId="23AA9F25" w14:textId="77777777" w:rsidR="00185636" w:rsidRPr="002048A7" w:rsidRDefault="00185636" w:rsidP="00185636">
      <w:pPr>
        <w:spacing w:after="0"/>
      </w:pPr>
      <w:r w:rsidRPr="002048A7">
        <w:t xml:space="preserve"> </w:t>
      </w:r>
    </w:p>
    <w:p w14:paraId="63A8025D" w14:textId="77777777" w:rsidR="003100A3" w:rsidRPr="002048A7" w:rsidRDefault="00185636" w:rsidP="00185636">
      <w:pPr>
        <w:spacing w:after="0"/>
      </w:pPr>
      <w:r w:rsidRPr="002048A7">
        <w:t>Bu çerçevede, Kurum tarafından farklı kanallardan iletilen şikayetlerin ilgili tarafa hızlı bir şekilde iletilmesi, şikayetlerin çözümünün izlenmesi ve gerekmesi halinde denetiminin yapılmasına ilişkin çalışmalar devam etmektedir.</w:t>
      </w:r>
    </w:p>
    <w:p w14:paraId="3F6FA544" w14:textId="77777777" w:rsidR="000803DF" w:rsidRPr="002048A7" w:rsidRDefault="003100A3" w:rsidP="00D730CF">
      <w:pPr>
        <w:pStyle w:val="Balk3"/>
        <w:spacing w:after="240"/>
        <w:rPr>
          <w:rFonts w:asciiTheme="minorHAnsi" w:hAnsiTheme="minorHAnsi"/>
          <w:color w:val="auto"/>
        </w:rPr>
      </w:pPr>
      <w:bookmarkStart w:id="391" w:name="_Toc440363414"/>
      <w:bookmarkStart w:id="392" w:name="_Toc440363441"/>
      <w:bookmarkStart w:id="393" w:name="_Toc440364102"/>
      <w:bookmarkStart w:id="394" w:name="_Toc447286885"/>
      <w:bookmarkStart w:id="395" w:name="_Toc195868768"/>
      <w:r w:rsidRPr="002048A7">
        <w:rPr>
          <w:rFonts w:asciiTheme="minorHAnsi" w:hAnsiTheme="minorHAnsi"/>
          <w:color w:val="auto"/>
        </w:rPr>
        <w:t>9.2.1. Bilgi Edinme Şikâyet Sayısı ve Kanalları</w:t>
      </w:r>
      <w:bookmarkEnd w:id="391"/>
      <w:bookmarkEnd w:id="392"/>
      <w:bookmarkEnd w:id="393"/>
      <w:bookmarkEnd w:id="394"/>
      <w:bookmarkEnd w:id="395"/>
    </w:p>
    <w:p w14:paraId="392408BB" w14:textId="267B6257" w:rsidR="00585879" w:rsidRPr="002048A7" w:rsidRDefault="00BC0D87" w:rsidP="00585879">
      <w:pPr>
        <w:spacing w:after="315" w:line="269" w:lineRule="auto"/>
        <w:ind w:hanging="9"/>
      </w:pPr>
      <w:r>
        <w:t>Kurum</w:t>
      </w:r>
      <w:r>
        <w:rPr>
          <w:spacing w:val="11"/>
        </w:rPr>
        <w:t xml:space="preserve"> </w:t>
      </w:r>
      <w:r>
        <w:rPr>
          <w:spacing w:val="-1"/>
        </w:rPr>
        <w:t>ilgili</w:t>
      </w:r>
      <w:r>
        <w:rPr>
          <w:spacing w:val="12"/>
        </w:rPr>
        <w:t xml:space="preserve"> </w:t>
      </w:r>
      <w:r>
        <w:rPr>
          <w:spacing w:val="-1"/>
        </w:rPr>
        <w:t>Dairelerince</w:t>
      </w:r>
      <w:r>
        <w:rPr>
          <w:spacing w:val="13"/>
        </w:rPr>
        <w:t xml:space="preserve"> </w:t>
      </w:r>
      <w:r>
        <w:t>2024</w:t>
      </w:r>
      <w:r>
        <w:rPr>
          <w:spacing w:val="12"/>
        </w:rPr>
        <w:t xml:space="preserve"> </w:t>
      </w:r>
      <w:r>
        <w:rPr>
          <w:spacing w:val="-1"/>
        </w:rPr>
        <w:t>yılında</w:t>
      </w:r>
      <w:r>
        <w:rPr>
          <w:spacing w:val="12"/>
        </w:rPr>
        <w:t xml:space="preserve"> </w:t>
      </w:r>
      <w:r>
        <w:rPr>
          <w:spacing w:val="-1"/>
        </w:rPr>
        <w:t>Şikâyet</w:t>
      </w:r>
      <w:r>
        <w:rPr>
          <w:spacing w:val="13"/>
        </w:rPr>
        <w:t xml:space="preserve"> </w:t>
      </w:r>
      <w:r>
        <w:rPr>
          <w:spacing w:val="-1"/>
        </w:rPr>
        <w:t>başlığı</w:t>
      </w:r>
      <w:r>
        <w:rPr>
          <w:spacing w:val="12"/>
        </w:rPr>
        <w:t xml:space="preserve"> </w:t>
      </w:r>
      <w:r>
        <w:t>altında</w:t>
      </w:r>
      <w:r>
        <w:rPr>
          <w:spacing w:val="13"/>
        </w:rPr>
        <w:t xml:space="preserve"> </w:t>
      </w:r>
      <w:r>
        <w:t>119.842</w:t>
      </w:r>
      <w:r>
        <w:rPr>
          <w:spacing w:val="11"/>
        </w:rPr>
        <w:t xml:space="preserve"> </w:t>
      </w:r>
      <w:r>
        <w:t>adet</w:t>
      </w:r>
      <w:r>
        <w:rPr>
          <w:spacing w:val="12"/>
        </w:rPr>
        <w:t xml:space="preserve"> </w:t>
      </w:r>
      <w:r>
        <w:t>ve</w:t>
      </w:r>
      <w:r>
        <w:rPr>
          <w:spacing w:val="13"/>
        </w:rPr>
        <w:t xml:space="preserve"> </w:t>
      </w:r>
      <w:r>
        <w:t>Bilgi</w:t>
      </w:r>
      <w:r>
        <w:rPr>
          <w:spacing w:val="12"/>
        </w:rPr>
        <w:t xml:space="preserve"> </w:t>
      </w:r>
      <w:r>
        <w:rPr>
          <w:spacing w:val="-1"/>
        </w:rPr>
        <w:t>Edinme</w:t>
      </w:r>
      <w:r>
        <w:rPr>
          <w:spacing w:val="13"/>
        </w:rPr>
        <w:t xml:space="preserve"> </w:t>
      </w:r>
      <w:r>
        <w:t>başlığı</w:t>
      </w:r>
      <w:r>
        <w:rPr>
          <w:spacing w:val="12"/>
        </w:rPr>
        <w:t xml:space="preserve"> </w:t>
      </w:r>
      <w:r>
        <w:t>altında</w:t>
      </w:r>
      <w:r>
        <w:rPr>
          <w:spacing w:val="12"/>
        </w:rPr>
        <w:t xml:space="preserve"> </w:t>
      </w:r>
      <w:r>
        <w:t>1.493</w:t>
      </w:r>
      <w:r>
        <w:rPr>
          <w:spacing w:val="55"/>
          <w:w w:val="99"/>
        </w:rPr>
        <w:t xml:space="preserve"> </w:t>
      </w:r>
      <w:r>
        <w:t>adet</w:t>
      </w:r>
      <w:r>
        <w:rPr>
          <w:spacing w:val="-4"/>
        </w:rPr>
        <w:t xml:space="preserve"> </w:t>
      </w:r>
      <w:r>
        <w:rPr>
          <w:spacing w:val="-1"/>
        </w:rPr>
        <w:t>olmak</w:t>
      </w:r>
      <w:r>
        <w:rPr>
          <w:spacing w:val="-4"/>
        </w:rPr>
        <w:t xml:space="preserve"> </w:t>
      </w:r>
      <w:r>
        <w:rPr>
          <w:spacing w:val="-1"/>
        </w:rPr>
        <w:t>üzere</w:t>
      </w:r>
      <w:r>
        <w:rPr>
          <w:spacing w:val="-3"/>
        </w:rPr>
        <w:t xml:space="preserve"> </w:t>
      </w:r>
      <w:r>
        <w:rPr>
          <w:spacing w:val="-1"/>
        </w:rPr>
        <w:t>toplam</w:t>
      </w:r>
      <w:r>
        <w:rPr>
          <w:spacing w:val="-3"/>
        </w:rPr>
        <w:t xml:space="preserve"> </w:t>
      </w:r>
      <w:r w:rsidR="00A61EA2">
        <w:rPr>
          <w:spacing w:val="-1"/>
        </w:rPr>
        <w:t>121.335</w:t>
      </w:r>
      <w:r>
        <w:rPr>
          <w:spacing w:val="-3"/>
        </w:rPr>
        <w:t xml:space="preserve"> </w:t>
      </w:r>
      <w:r>
        <w:rPr>
          <w:spacing w:val="-1"/>
        </w:rPr>
        <w:t>adet</w:t>
      </w:r>
      <w:r>
        <w:rPr>
          <w:spacing w:val="-3"/>
        </w:rPr>
        <w:t xml:space="preserve"> </w:t>
      </w:r>
      <w:r>
        <w:rPr>
          <w:spacing w:val="-1"/>
        </w:rPr>
        <w:t>bildirim</w:t>
      </w:r>
      <w:r>
        <w:rPr>
          <w:spacing w:val="-3"/>
        </w:rPr>
        <w:t xml:space="preserve"> </w:t>
      </w:r>
      <w:r>
        <w:rPr>
          <w:spacing w:val="-1"/>
        </w:rPr>
        <w:t>işlem</w:t>
      </w:r>
      <w:r>
        <w:rPr>
          <w:spacing w:val="-3"/>
        </w:rPr>
        <w:t xml:space="preserve"> </w:t>
      </w:r>
      <w:r>
        <w:t>görmüştür.</w:t>
      </w:r>
    </w:p>
    <w:p w14:paraId="366FBE68" w14:textId="77777777" w:rsidR="00585879" w:rsidRPr="002048A7" w:rsidRDefault="00585879" w:rsidP="00585879">
      <w:pPr>
        <w:spacing w:after="5" w:line="269" w:lineRule="auto"/>
        <w:ind w:hanging="9"/>
      </w:pPr>
      <w:r w:rsidRPr="002048A7">
        <w:t>Şikâyet başlığı altında işlem gören bildirimlerin aylar itibarıyla yüzdesel dağılımı aşağıda verilmektedir.</w:t>
      </w:r>
    </w:p>
    <w:p w14:paraId="77E878C4" w14:textId="77777777" w:rsidR="000C39D5" w:rsidRPr="002048A7" w:rsidRDefault="000C39D5" w:rsidP="000C39D5">
      <w:pPr>
        <w:pStyle w:val="Balk5"/>
        <w:spacing w:before="0"/>
        <w:jc w:val="center"/>
        <w:rPr>
          <w:rStyle w:val="Gl"/>
          <w:color w:val="auto"/>
        </w:rPr>
      </w:pPr>
    </w:p>
    <w:p w14:paraId="2C6DE101" w14:textId="77777777" w:rsidR="000C39D5" w:rsidRPr="002048A7" w:rsidRDefault="00585879" w:rsidP="000C39D5">
      <w:pPr>
        <w:pStyle w:val="Balk5"/>
        <w:spacing w:before="0"/>
        <w:jc w:val="center"/>
        <w:rPr>
          <w:rStyle w:val="Gl"/>
          <w:color w:val="auto"/>
        </w:rPr>
      </w:pPr>
      <w:bookmarkStart w:id="396" w:name="_Toc195868862"/>
      <w:r w:rsidRPr="00AC570E">
        <w:rPr>
          <w:rStyle w:val="Gl"/>
          <w:color w:val="auto"/>
        </w:rPr>
        <w:t>Şekil 9.1: Şikâyet Başlığı Altında İşlem Gören Bildirimlerin 202</w:t>
      </w:r>
      <w:r w:rsidR="00BC0D87">
        <w:rPr>
          <w:rStyle w:val="Gl"/>
          <w:color w:val="auto"/>
        </w:rPr>
        <w:t>4</w:t>
      </w:r>
      <w:r w:rsidRPr="00AC570E">
        <w:rPr>
          <w:rStyle w:val="Gl"/>
          <w:color w:val="auto"/>
        </w:rPr>
        <w:t xml:space="preserve"> Yılı Aylar İtibarıyla Yüzdesel Dağılımı</w:t>
      </w:r>
      <w:bookmarkEnd w:id="396"/>
    </w:p>
    <w:p w14:paraId="0E5DA920" w14:textId="54AF4AAD" w:rsidR="00585879" w:rsidRPr="002048A7" w:rsidRDefault="005031A2" w:rsidP="00D3384C">
      <w:pPr>
        <w:spacing w:after="804"/>
        <w:jc w:val="center"/>
      </w:pPr>
      <w:r>
        <w:rPr>
          <w:noProof/>
          <w:lang w:eastAsia="tr-TR"/>
        </w:rPr>
        <w:drawing>
          <wp:inline distT="0" distB="0" distL="0" distR="0" wp14:anchorId="63D0A53D" wp14:editId="56A95A52">
            <wp:extent cx="6299835" cy="2603725"/>
            <wp:effectExtent l="0" t="0" r="5715" b="6350"/>
            <wp:docPr id="39" name="Grafik 39">
              <a:extLst xmlns:a="http://schemas.openxmlformats.org/drawingml/2006/main">
                <a:ext uri="{FF2B5EF4-FFF2-40B4-BE49-F238E27FC236}">
                  <a16:creationId xmlns:a16="http://schemas.microsoft.com/office/drawing/2014/main" id="{00000000-0008-0000-0000-000011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3A2DE839" w14:textId="213BC4A3" w:rsidR="00585879" w:rsidRPr="002048A7" w:rsidRDefault="00BC0D87" w:rsidP="00BC0D87">
      <w:pPr>
        <w:spacing w:after="315" w:line="269" w:lineRule="auto"/>
        <w:ind w:hanging="9"/>
      </w:pPr>
      <w:r w:rsidRPr="00BC0D87">
        <w:lastRenderedPageBreak/>
        <w:t xml:space="preserve">Şikâyet başlığı </w:t>
      </w:r>
      <w:r>
        <w:t>altındaki</w:t>
      </w:r>
      <w:r w:rsidRPr="00BC0D87">
        <w:t xml:space="preserve"> bildirimlerin aylık gerçekleşmelerine </w:t>
      </w:r>
      <w:r>
        <w:t>bakıldığında</w:t>
      </w:r>
      <w:r w:rsidRPr="00BC0D87">
        <w:t xml:space="preserve"> </w:t>
      </w:r>
      <w:r>
        <w:t>en</w:t>
      </w:r>
      <w:r w:rsidRPr="00BC0D87">
        <w:t xml:space="preserve"> büyük payın </w:t>
      </w:r>
      <w:r>
        <w:t>%1</w:t>
      </w:r>
      <w:r w:rsidR="005031A2">
        <w:t>4</w:t>
      </w:r>
      <w:r w:rsidRPr="00BC0D87">
        <w:t xml:space="preserve"> ile </w:t>
      </w:r>
      <w:proofErr w:type="gramStart"/>
      <w:r>
        <w:t>Temmuz</w:t>
      </w:r>
      <w:proofErr w:type="gramEnd"/>
      <w:r w:rsidRPr="00BC0D87">
        <w:t xml:space="preserve"> </w:t>
      </w:r>
      <w:r>
        <w:t>ayına ait</w:t>
      </w:r>
      <w:r w:rsidRPr="00BC0D87">
        <w:t xml:space="preserve"> </w:t>
      </w:r>
      <w:r>
        <w:t>olduğu,</w:t>
      </w:r>
      <w:r w:rsidRPr="00BC0D87">
        <w:t xml:space="preserve"> bu ayı Aralık</w:t>
      </w:r>
      <w:r w:rsidR="005031A2">
        <w:t xml:space="preserve">, </w:t>
      </w:r>
      <w:r w:rsidRPr="00BC0D87">
        <w:t>Kasım</w:t>
      </w:r>
      <w:r w:rsidR="005031A2">
        <w:t xml:space="preserve"> ve Ocak</w:t>
      </w:r>
      <w:r w:rsidRPr="00BC0D87">
        <w:t xml:space="preserve"> aylarının </w:t>
      </w:r>
      <w:r>
        <w:t>izlediği</w:t>
      </w:r>
      <w:r w:rsidRPr="00BC0D87">
        <w:t xml:space="preserve"> görülmektedir.</w:t>
      </w:r>
    </w:p>
    <w:p w14:paraId="0E32A402" w14:textId="77777777" w:rsidR="00585879" w:rsidRPr="002048A7" w:rsidRDefault="00585879" w:rsidP="00585879">
      <w:pPr>
        <w:spacing w:after="315" w:line="269" w:lineRule="auto"/>
        <w:ind w:hanging="9"/>
      </w:pPr>
      <w:r w:rsidRPr="002048A7">
        <w:t xml:space="preserve">Bildirimlerin Kuruma iletilmesinde, CİMER, Bakanlık, Kurum web sayfası (Form) ve Kurum Genel Evrak kanalları kullanılmaktadır. </w:t>
      </w:r>
    </w:p>
    <w:p w14:paraId="47CA9746" w14:textId="0CF3719E" w:rsidR="00BC0D87" w:rsidRDefault="00BC0D87" w:rsidP="00BC0D87">
      <w:pPr>
        <w:spacing w:after="315" w:line="269" w:lineRule="auto"/>
        <w:ind w:hanging="9"/>
      </w:pPr>
      <w:r>
        <w:t>2024</w:t>
      </w:r>
      <w:r w:rsidRPr="00BC0D87">
        <w:t xml:space="preserve"> </w:t>
      </w:r>
      <w:r>
        <w:t>yılında</w:t>
      </w:r>
      <w:r w:rsidRPr="00BC0D87">
        <w:t xml:space="preserve"> toplam </w:t>
      </w:r>
      <w:r>
        <w:t>tüm</w:t>
      </w:r>
      <w:r w:rsidRPr="00BC0D87">
        <w:t xml:space="preserve"> kanallar kullanılmak suretiyle Şikâyet başlığı </w:t>
      </w:r>
      <w:r>
        <w:t>altında</w:t>
      </w:r>
      <w:r w:rsidRPr="00BC0D87">
        <w:t xml:space="preserve"> 119.842 adet </w:t>
      </w:r>
      <w:r>
        <w:t>müracaat</w:t>
      </w:r>
      <w:r w:rsidRPr="00BC0D87">
        <w:t xml:space="preserve"> Kuruma intikal etmiştir. </w:t>
      </w:r>
      <w:r>
        <w:t>CİMER</w:t>
      </w:r>
      <w:r w:rsidRPr="00BC0D87">
        <w:t xml:space="preserve"> </w:t>
      </w:r>
      <w:r>
        <w:t>müracaatı</w:t>
      </w:r>
      <w:r w:rsidRPr="00BC0D87">
        <w:t xml:space="preserve"> 109.190 adet (%91,1), Kurum web(form) sayfasından müracaat 10.230 </w:t>
      </w:r>
      <w:r>
        <w:t>adet</w:t>
      </w:r>
      <w:r w:rsidRPr="00BC0D87">
        <w:t xml:space="preserve"> (%8,5), ETKB </w:t>
      </w:r>
      <w:r>
        <w:t>kanalı</w:t>
      </w:r>
      <w:r w:rsidRPr="00BC0D87">
        <w:t xml:space="preserve"> ile müracaat 123 adet (%0,1), Genel Evrak </w:t>
      </w:r>
      <w:r>
        <w:t>kanalı</w:t>
      </w:r>
      <w:r w:rsidRPr="00BC0D87">
        <w:t xml:space="preserve"> ile müracaat 115 adet (%0,1) </w:t>
      </w:r>
      <w:r>
        <w:t>ve</w:t>
      </w:r>
      <w:r w:rsidRPr="00BC0D87">
        <w:t xml:space="preserve"> diğer kanallar ile</w:t>
      </w:r>
      <w:r>
        <w:t xml:space="preserve"> müracaat</w:t>
      </w:r>
      <w:r w:rsidRPr="00BC0D87">
        <w:t xml:space="preserve"> </w:t>
      </w:r>
      <w:r>
        <w:t>184</w:t>
      </w:r>
      <w:r w:rsidRPr="00BC0D87">
        <w:t xml:space="preserve"> (%0,2) adettir.</w:t>
      </w:r>
    </w:p>
    <w:p w14:paraId="421A3B43" w14:textId="45D6B1CC" w:rsidR="00BC0D87" w:rsidRDefault="00BC0D87" w:rsidP="00BC0D87">
      <w:pPr>
        <w:spacing w:after="315" w:line="269" w:lineRule="auto"/>
        <w:ind w:hanging="9"/>
      </w:pPr>
      <w:r>
        <w:t>2024</w:t>
      </w:r>
      <w:r w:rsidRPr="00BC0D87">
        <w:t xml:space="preserve"> yılında </w:t>
      </w:r>
      <w:r>
        <w:t>Kuruma</w:t>
      </w:r>
      <w:r w:rsidRPr="00BC0D87">
        <w:t xml:space="preserve"> </w:t>
      </w:r>
      <w:r>
        <w:t>1493 adet</w:t>
      </w:r>
      <w:r w:rsidRPr="00BC0D87">
        <w:t xml:space="preserve"> Bilgi Edinme </w:t>
      </w:r>
      <w:r>
        <w:t>müracaatı</w:t>
      </w:r>
      <w:r w:rsidRPr="00BC0D87">
        <w:t xml:space="preserve"> </w:t>
      </w:r>
      <w:r>
        <w:t>yapılmıştır.</w:t>
      </w:r>
      <w:r w:rsidRPr="00BC0D87">
        <w:t xml:space="preserve"> Şikâyet </w:t>
      </w:r>
      <w:r>
        <w:t>ve</w:t>
      </w:r>
      <w:r w:rsidRPr="00BC0D87">
        <w:t xml:space="preserve"> Bilgi Edinme </w:t>
      </w:r>
      <w:r>
        <w:t>müracaatı</w:t>
      </w:r>
      <w:r w:rsidRPr="00BC0D87">
        <w:t xml:space="preserve"> </w:t>
      </w:r>
      <w:r>
        <w:t>toplamı 202</w:t>
      </w:r>
      <w:r w:rsidR="005031A2">
        <w:t>4</w:t>
      </w:r>
      <w:r w:rsidRPr="00BC0D87">
        <w:t xml:space="preserve"> </w:t>
      </w:r>
      <w:r>
        <w:t>yılı</w:t>
      </w:r>
      <w:r w:rsidRPr="00BC0D87">
        <w:t xml:space="preserve"> sonu </w:t>
      </w:r>
      <w:r>
        <w:t>itibarıyla</w:t>
      </w:r>
      <w:r w:rsidRPr="00BC0D87">
        <w:t xml:space="preserve"> </w:t>
      </w:r>
      <w:r w:rsidR="00A61EA2">
        <w:t>121.335</w:t>
      </w:r>
      <w:r w:rsidRPr="00BC0D87">
        <w:t xml:space="preserve"> adettir.</w:t>
      </w:r>
    </w:p>
    <w:p w14:paraId="03604339" w14:textId="77777777" w:rsidR="00585879" w:rsidRPr="002048A7" w:rsidRDefault="00BC0D87" w:rsidP="00BC0D87">
      <w:pPr>
        <w:spacing w:after="315" w:line="269" w:lineRule="auto"/>
        <w:ind w:hanging="9"/>
      </w:pPr>
      <w:r>
        <w:t>2024</w:t>
      </w:r>
      <w:r w:rsidRPr="00BC0D87">
        <w:t xml:space="preserve"> </w:t>
      </w:r>
      <w:r>
        <w:t>yılında</w:t>
      </w:r>
      <w:r w:rsidRPr="00BC0D87">
        <w:t xml:space="preserve"> </w:t>
      </w:r>
      <w:r>
        <w:t>105.024</w:t>
      </w:r>
      <w:r w:rsidRPr="00BC0D87">
        <w:t xml:space="preserve"> </w:t>
      </w:r>
      <w:r>
        <w:t>adet</w:t>
      </w:r>
      <w:r w:rsidRPr="00BC0D87">
        <w:t xml:space="preserve"> müracaat ilgili şirketlere değerlendirilmek ve gereği için gönderilmiştir. Şikâyet </w:t>
      </w:r>
      <w:r>
        <w:t>kanallarına</w:t>
      </w:r>
      <w:r w:rsidRPr="00BC0D87">
        <w:t xml:space="preserve"> göre gerçekleşmelerin </w:t>
      </w:r>
      <w:r>
        <w:t>yüzdesel</w:t>
      </w:r>
      <w:r w:rsidRPr="00BC0D87">
        <w:t xml:space="preserve"> dağılımı </w:t>
      </w:r>
      <w:r>
        <w:t>aşağıdaki</w:t>
      </w:r>
      <w:r w:rsidRPr="00BC0D87">
        <w:t xml:space="preserve"> </w:t>
      </w:r>
      <w:r>
        <w:t>grafikte</w:t>
      </w:r>
      <w:r w:rsidRPr="00BC0D87">
        <w:t xml:space="preserve"> verilmektedir.</w:t>
      </w:r>
    </w:p>
    <w:p w14:paraId="1EFF98EE" w14:textId="77777777" w:rsidR="00585879" w:rsidRPr="002048A7" w:rsidRDefault="00585879" w:rsidP="00DA36B3">
      <w:pPr>
        <w:pStyle w:val="Balk5"/>
        <w:spacing w:before="120" w:after="120" w:line="240" w:lineRule="auto"/>
        <w:jc w:val="center"/>
        <w:rPr>
          <w:rStyle w:val="Gl"/>
          <w:color w:val="auto"/>
        </w:rPr>
      </w:pPr>
      <w:bookmarkStart w:id="397" w:name="_Toc195868863"/>
      <w:r w:rsidRPr="002048A7">
        <w:rPr>
          <w:rStyle w:val="Gl"/>
          <w:color w:val="auto"/>
        </w:rPr>
        <w:t>Şekil 9.2: Şikâyet Bildirimlerinin Şikâyet Kanallarına Göre Yüzdesel Dağılımı</w:t>
      </w:r>
      <w:bookmarkEnd w:id="397"/>
    </w:p>
    <w:p w14:paraId="4E9AB747" w14:textId="77777777" w:rsidR="00585879" w:rsidRPr="002048A7" w:rsidRDefault="00BC0D87" w:rsidP="00DA36B3">
      <w:pPr>
        <w:spacing w:before="120" w:after="120"/>
        <w:jc w:val="center"/>
      </w:pPr>
      <w:r>
        <w:rPr>
          <w:noProof/>
          <w:lang w:eastAsia="tr-TR"/>
        </w:rPr>
        <w:drawing>
          <wp:inline distT="0" distB="0" distL="0" distR="0" wp14:anchorId="0226A34E" wp14:editId="1F5389BB">
            <wp:extent cx="4182533" cy="2548467"/>
            <wp:effectExtent l="0" t="0" r="0" b="0"/>
            <wp:docPr id="9" name="Grafik 9">
              <a:extLst xmlns:a="http://schemas.openxmlformats.org/drawingml/2006/main">
                <a:ext uri="{FF2B5EF4-FFF2-40B4-BE49-F238E27FC236}">
                  <a16:creationId xmlns:a16="http://schemas.microsoft.com/office/drawing/2014/main" id="{BBFA0620-010B-4D32-B4ED-FF641168957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20761050" w14:textId="77777777" w:rsidR="000C39D5" w:rsidRPr="002048A7" w:rsidRDefault="000C39D5" w:rsidP="00DA36B3">
      <w:pPr>
        <w:spacing w:before="120" w:after="120" w:line="269" w:lineRule="auto"/>
        <w:ind w:hanging="9"/>
      </w:pPr>
    </w:p>
    <w:p w14:paraId="6C5C87A7" w14:textId="77777777" w:rsidR="00585879" w:rsidRPr="002048A7" w:rsidRDefault="00585879" w:rsidP="00D3384C">
      <w:pPr>
        <w:pStyle w:val="Balk3"/>
        <w:spacing w:after="240"/>
      </w:pPr>
      <w:bookmarkStart w:id="398" w:name="_Toc195868769"/>
      <w:r w:rsidRPr="002048A7">
        <w:rPr>
          <w:rFonts w:asciiTheme="minorHAnsi" w:hAnsiTheme="minorHAnsi"/>
          <w:color w:val="auto"/>
        </w:rPr>
        <w:t>9.2.2. Şikâyet Bildirimlerinin Sektörel Dağılımı</w:t>
      </w:r>
      <w:bookmarkEnd w:id="398"/>
    </w:p>
    <w:p w14:paraId="34CD1385" w14:textId="77777777" w:rsidR="00585879" w:rsidRPr="002048A7" w:rsidRDefault="00BC0D87" w:rsidP="00585879">
      <w:pPr>
        <w:spacing w:after="315" w:line="269" w:lineRule="auto"/>
        <w:ind w:hanging="9"/>
      </w:pPr>
      <w:r w:rsidRPr="00BC0D87">
        <w:t>Şikâyet kategorisi altında iletilen bildirimler tüketici haklarının korunması ile tüketici şikâyetlerinin incelenmesi çerçevesinde Elektrik Piyasası, Doğal Gaz Piyasası, Petrol Piyasası, Sıvılaştırılmış Petrol Gazları Piyasası (LPG) ve Enerji Dönüşüm olarak ayrıştırılmıştır. Bu sektörlere ait şikâyet bildirimlerinin yüzdesel dağılımı aşağıdaki grafikte verilmektedir.</w:t>
      </w:r>
    </w:p>
    <w:p w14:paraId="3A72A6EA" w14:textId="77777777" w:rsidR="00585879" w:rsidRPr="002048A7" w:rsidRDefault="00585879" w:rsidP="008102B6">
      <w:pPr>
        <w:pStyle w:val="Balk5"/>
        <w:spacing w:before="120" w:after="120" w:line="240" w:lineRule="auto"/>
        <w:jc w:val="center"/>
        <w:rPr>
          <w:rStyle w:val="Gl"/>
          <w:color w:val="auto"/>
        </w:rPr>
      </w:pPr>
      <w:bookmarkStart w:id="399" w:name="_Toc195868864"/>
      <w:r w:rsidRPr="00AC570E">
        <w:rPr>
          <w:rStyle w:val="Gl"/>
          <w:color w:val="auto"/>
        </w:rPr>
        <w:lastRenderedPageBreak/>
        <w:t>Şekil 9.3: Şikâyet Bildirimlerinin Sektörel Dağılımı</w:t>
      </w:r>
      <w:bookmarkEnd w:id="399"/>
    </w:p>
    <w:p w14:paraId="5B7A316D" w14:textId="77777777" w:rsidR="00585879" w:rsidRPr="002048A7" w:rsidRDefault="00BC0D87" w:rsidP="005E202C">
      <w:pPr>
        <w:spacing w:after="0"/>
        <w:ind w:left="142"/>
        <w:jc w:val="center"/>
      </w:pPr>
      <w:r>
        <w:rPr>
          <w:noProof/>
          <w:lang w:eastAsia="tr-TR"/>
        </w:rPr>
        <w:drawing>
          <wp:inline distT="0" distB="0" distL="0" distR="0" wp14:anchorId="62D78CB9" wp14:editId="023E721F">
            <wp:extent cx="3488267" cy="2607733"/>
            <wp:effectExtent l="0" t="0" r="0" b="0"/>
            <wp:docPr id="28" name="Grafik 28">
              <a:extLst xmlns:a="http://schemas.openxmlformats.org/drawingml/2006/main">
                <a:ext uri="{FF2B5EF4-FFF2-40B4-BE49-F238E27FC236}">
                  <a16:creationId xmlns:a16="http://schemas.microsoft.com/office/drawing/2014/main" id="{B887A6CC-24D5-46CF-8512-508B75E1AE4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79C71B4E" w14:textId="586FA9D0" w:rsidR="00BC0D87" w:rsidRPr="00BC0D87" w:rsidRDefault="00BC0D87" w:rsidP="00BC0D87">
      <w:pPr>
        <w:spacing w:after="315" w:line="269" w:lineRule="auto"/>
        <w:ind w:hanging="9"/>
        <w:rPr>
          <w:spacing w:val="-1"/>
        </w:rPr>
      </w:pPr>
      <w:r w:rsidRPr="00BC0D87">
        <w:rPr>
          <w:spacing w:val="-1"/>
        </w:rPr>
        <w:t>Şikayetlerin sektörel dağılımında 86.017 adet (%71,8) ile en fazla paya sahip olan sektör elektrik sektörüdür. Elektrik sektörünü 28.529 adet (%23,8) ile doğal gaz sektörü, 1</w:t>
      </w:r>
      <w:r w:rsidR="00A61EA2">
        <w:rPr>
          <w:spacing w:val="-1"/>
        </w:rPr>
        <w:t>.</w:t>
      </w:r>
      <w:r w:rsidRPr="00BC0D87">
        <w:rPr>
          <w:spacing w:val="-1"/>
        </w:rPr>
        <w:t xml:space="preserve">754 adet (%1,5) ile petrol sektörü, 360 adet (%0,3) ile sıvılaştırılmış petrol gazları ve 299 adet (%0,2) ile enerji dönüşüm sektörü izlemiştir. </w:t>
      </w:r>
    </w:p>
    <w:p w14:paraId="666F7113" w14:textId="2E1BC6FA" w:rsidR="00BC0D87" w:rsidRPr="00BC0D87" w:rsidRDefault="00BC0D87" w:rsidP="00BC0D87">
      <w:pPr>
        <w:spacing w:after="315" w:line="269" w:lineRule="auto"/>
        <w:ind w:hanging="9"/>
        <w:rPr>
          <w:spacing w:val="-1"/>
        </w:rPr>
      </w:pPr>
      <w:r w:rsidRPr="00BC0D87">
        <w:rPr>
          <w:spacing w:val="-1"/>
        </w:rPr>
        <w:t xml:space="preserve">Kurum yazışma sistemi içine alınan bildirimlerin tamamı Kurum sektör dairelerine gönderilmemektedir. Kurum tarafından doğrudan incelenmeye alınmayan ve şirketler tarafından cevaplanması ve değerlendirilmesi gereken şikayetler ilgili şirketlere </w:t>
      </w:r>
      <w:r w:rsidR="00A61EA2">
        <w:rPr>
          <w:spacing w:val="-1"/>
        </w:rPr>
        <w:t>iletilmektedir.</w:t>
      </w:r>
    </w:p>
    <w:p w14:paraId="5C51DBEA" w14:textId="77777777" w:rsidR="00585879" w:rsidRPr="002048A7" w:rsidRDefault="00BC0D87" w:rsidP="00BC0D87">
      <w:pPr>
        <w:spacing w:after="315" w:line="269" w:lineRule="auto"/>
        <w:ind w:hanging="9"/>
      </w:pPr>
      <w:r w:rsidRPr="00BC0D87">
        <w:rPr>
          <w:spacing w:val="-1"/>
        </w:rPr>
        <w:t>Aşağıdaki grafikte Kurum yazışma sistemi içine alınan ve doğrudan kurum dışına yönlendirilen şikâyetlerin oranları gösterilmektedir.</w:t>
      </w:r>
    </w:p>
    <w:p w14:paraId="4B6E7D12" w14:textId="77777777" w:rsidR="00585879" w:rsidRPr="002048A7" w:rsidRDefault="00585879" w:rsidP="008102B6">
      <w:pPr>
        <w:pStyle w:val="Balk5"/>
        <w:spacing w:before="120" w:after="120" w:line="240" w:lineRule="auto"/>
        <w:jc w:val="center"/>
        <w:rPr>
          <w:rStyle w:val="Gl"/>
          <w:color w:val="auto"/>
        </w:rPr>
      </w:pPr>
      <w:r w:rsidRPr="002048A7">
        <w:rPr>
          <w:rStyle w:val="Gl"/>
          <w:color w:val="auto"/>
        </w:rPr>
        <w:t xml:space="preserve"> </w:t>
      </w:r>
      <w:bookmarkStart w:id="400" w:name="_Toc195868865"/>
      <w:r w:rsidRPr="002048A7">
        <w:rPr>
          <w:rStyle w:val="Gl"/>
          <w:color w:val="auto"/>
        </w:rPr>
        <w:t>Şekil 9.4: Şikâyet Bildirimlerinin Gönderildikleri Yerlere Göre Dağılımı</w:t>
      </w:r>
      <w:bookmarkEnd w:id="400"/>
    </w:p>
    <w:p w14:paraId="68C0E5F1" w14:textId="77777777" w:rsidR="00585879" w:rsidRPr="002048A7" w:rsidRDefault="00BC0D87" w:rsidP="00585879">
      <w:pPr>
        <w:spacing w:after="285"/>
        <w:ind w:left="1826"/>
      </w:pPr>
      <w:r>
        <w:rPr>
          <w:noProof/>
          <w:lang w:eastAsia="tr-TR"/>
        </w:rPr>
        <w:drawing>
          <wp:inline distT="0" distB="0" distL="0" distR="0" wp14:anchorId="30ACCBBB" wp14:editId="70108ED0">
            <wp:extent cx="3884930" cy="2847975"/>
            <wp:effectExtent l="0" t="0" r="1270" b="9525"/>
            <wp:docPr id="29" name="Grafik 29">
              <a:extLst xmlns:a="http://schemas.openxmlformats.org/drawingml/2006/main">
                <a:ext uri="{FF2B5EF4-FFF2-40B4-BE49-F238E27FC236}">
                  <a16:creationId xmlns:a16="http://schemas.microsoft.com/office/drawing/2014/main" id="{BBDC4004-FC50-4465-A137-A0F06EF6772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4B42368D" w14:textId="77777777" w:rsidR="00585879" w:rsidRPr="00BC0D87" w:rsidRDefault="00BC0D87" w:rsidP="00BC0D87">
      <w:pPr>
        <w:spacing w:after="315" w:line="269" w:lineRule="auto"/>
        <w:ind w:hanging="9"/>
        <w:rPr>
          <w:spacing w:val="-1"/>
        </w:rPr>
      </w:pPr>
      <w:r w:rsidRPr="00BC0D87">
        <w:rPr>
          <w:spacing w:val="-1"/>
        </w:rPr>
        <w:t>Kurum yazışma sistemi içine alınan şikâyetlerin en büyük kısmı %62’lik oranla elektrik dağıtım şirketlerine,</w:t>
      </w:r>
      <w:r>
        <w:rPr>
          <w:spacing w:val="-1"/>
        </w:rPr>
        <w:t xml:space="preserve"> </w:t>
      </w:r>
      <w:r w:rsidRPr="00BC0D87">
        <w:rPr>
          <w:spacing w:val="-1"/>
        </w:rPr>
        <w:t>%21’lik kısmı doğal gaz dağıtım şirketlerine, %5’lik kısmı elektrik görevli tedarik şirketlerine ve %12’lik kısmı</w:t>
      </w:r>
      <w:r>
        <w:rPr>
          <w:spacing w:val="-1"/>
        </w:rPr>
        <w:t xml:space="preserve"> </w:t>
      </w:r>
      <w:r w:rsidRPr="00BC0D87">
        <w:rPr>
          <w:spacing w:val="-1"/>
        </w:rPr>
        <w:t>Kurum sektör dairelerine gönderilmiştir.</w:t>
      </w:r>
    </w:p>
    <w:p w14:paraId="46339D8F" w14:textId="77777777" w:rsidR="00585879" w:rsidRPr="002048A7" w:rsidRDefault="00585879" w:rsidP="00045A80">
      <w:pPr>
        <w:pStyle w:val="Balk3"/>
        <w:spacing w:before="120" w:after="120"/>
        <w:rPr>
          <w:rFonts w:asciiTheme="minorHAnsi" w:hAnsiTheme="minorHAnsi"/>
          <w:color w:val="auto"/>
        </w:rPr>
      </w:pPr>
      <w:bookmarkStart w:id="401" w:name="_Toc195868770"/>
      <w:r w:rsidRPr="002048A7">
        <w:rPr>
          <w:rFonts w:asciiTheme="minorHAnsi" w:hAnsiTheme="minorHAnsi"/>
          <w:color w:val="auto"/>
        </w:rPr>
        <w:lastRenderedPageBreak/>
        <w:t>9.2.3. Elektrik Sektörüne Ait Şikâyetlerin Sınıflandırılması ve Gerçekleşmeler</w:t>
      </w:r>
      <w:bookmarkEnd w:id="401"/>
    </w:p>
    <w:p w14:paraId="453044BA" w14:textId="77777777" w:rsidR="00585879" w:rsidRPr="002048A7" w:rsidRDefault="00AF46E6" w:rsidP="00585879">
      <w:pPr>
        <w:spacing w:after="5" w:line="269" w:lineRule="auto"/>
        <w:ind w:hanging="9"/>
      </w:pPr>
      <w:r w:rsidRPr="002048A7">
        <w:rPr>
          <w:spacing w:val="-1"/>
        </w:rPr>
        <w:t>Tüketici</w:t>
      </w:r>
      <w:r w:rsidRPr="002048A7">
        <w:rPr>
          <w:spacing w:val="18"/>
        </w:rPr>
        <w:t xml:space="preserve"> </w:t>
      </w:r>
      <w:r w:rsidRPr="002048A7">
        <w:rPr>
          <w:spacing w:val="-1"/>
        </w:rPr>
        <w:t>hakları</w:t>
      </w:r>
      <w:r w:rsidRPr="002048A7">
        <w:rPr>
          <w:spacing w:val="18"/>
        </w:rPr>
        <w:t xml:space="preserve"> </w:t>
      </w:r>
      <w:r w:rsidRPr="002048A7">
        <w:t>ve</w:t>
      </w:r>
      <w:r w:rsidRPr="002048A7">
        <w:rPr>
          <w:spacing w:val="18"/>
        </w:rPr>
        <w:t xml:space="preserve"> </w:t>
      </w:r>
      <w:r w:rsidRPr="002048A7">
        <w:rPr>
          <w:spacing w:val="-1"/>
        </w:rPr>
        <w:t>tüketicilerin</w:t>
      </w:r>
      <w:r w:rsidRPr="002048A7">
        <w:rPr>
          <w:spacing w:val="18"/>
        </w:rPr>
        <w:t xml:space="preserve"> </w:t>
      </w:r>
      <w:r w:rsidRPr="002048A7">
        <w:t>korunması</w:t>
      </w:r>
      <w:r w:rsidRPr="002048A7">
        <w:rPr>
          <w:spacing w:val="18"/>
        </w:rPr>
        <w:t xml:space="preserve"> </w:t>
      </w:r>
      <w:r w:rsidRPr="002048A7">
        <w:rPr>
          <w:spacing w:val="-1"/>
        </w:rPr>
        <w:t>çerçevesinde,</w:t>
      </w:r>
      <w:r w:rsidRPr="002048A7">
        <w:rPr>
          <w:spacing w:val="18"/>
        </w:rPr>
        <w:t xml:space="preserve"> </w:t>
      </w:r>
      <w:r w:rsidRPr="002048A7">
        <w:rPr>
          <w:spacing w:val="-1"/>
        </w:rPr>
        <w:t>şikâyet</w:t>
      </w:r>
      <w:r w:rsidRPr="002048A7">
        <w:rPr>
          <w:spacing w:val="18"/>
        </w:rPr>
        <w:t xml:space="preserve"> </w:t>
      </w:r>
      <w:r w:rsidRPr="002048A7">
        <w:rPr>
          <w:spacing w:val="-1"/>
        </w:rPr>
        <w:t>kategorisi</w:t>
      </w:r>
      <w:r w:rsidRPr="002048A7">
        <w:rPr>
          <w:spacing w:val="18"/>
        </w:rPr>
        <w:t xml:space="preserve"> </w:t>
      </w:r>
      <w:r w:rsidRPr="002048A7">
        <w:t>altında</w:t>
      </w:r>
      <w:r w:rsidRPr="002048A7">
        <w:rPr>
          <w:spacing w:val="18"/>
        </w:rPr>
        <w:t xml:space="preserve"> </w:t>
      </w:r>
      <w:r w:rsidRPr="002048A7">
        <w:rPr>
          <w:spacing w:val="-1"/>
        </w:rPr>
        <w:t>elektrik</w:t>
      </w:r>
      <w:r w:rsidRPr="002048A7">
        <w:rPr>
          <w:spacing w:val="18"/>
        </w:rPr>
        <w:t xml:space="preserve"> </w:t>
      </w:r>
      <w:r w:rsidRPr="002048A7">
        <w:rPr>
          <w:spacing w:val="-1"/>
        </w:rPr>
        <w:t>sektörüne</w:t>
      </w:r>
      <w:r w:rsidRPr="002048A7">
        <w:rPr>
          <w:spacing w:val="18"/>
        </w:rPr>
        <w:t xml:space="preserve"> </w:t>
      </w:r>
      <w:r w:rsidRPr="002048A7">
        <w:rPr>
          <w:spacing w:val="-1"/>
        </w:rPr>
        <w:t>özgü</w:t>
      </w:r>
      <w:r w:rsidRPr="002048A7">
        <w:rPr>
          <w:spacing w:val="19"/>
        </w:rPr>
        <w:t xml:space="preserve"> </w:t>
      </w:r>
      <w:r w:rsidRPr="002048A7">
        <w:t>alt</w:t>
      </w:r>
      <w:r w:rsidRPr="002048A7">
        <w:rPr>
          <w:spacing w:val="113"/>
        </w:rPr>
        <w:t xml:space="preserve"> </w:t>
      </w:r>
      <w:r w:rsidRPr="002048A7">
        <w:t>sınıflandırmalar</w:t>
      </w:r>
      <w:r w:rsidRPr="002048A7">
        <w:rPr>
          <w:spacing w:val="-8"/>
        </w:rPr>
        <w:t xml:space="preserve"> </w:t>
      </w:r>
      <w:r w:rsidRPr="002048A7">
        <w:t>yapılmıştır.</w:t>
      </w:r>
      <w:r w:rsidRPr="002048A7">
        <w:rPr>
          <w:spacing w:val="-8"/>
        </w:rPr>
        <w:t xml:space="preserve"> </w:t>
      </w:r>
      <w:r w:rsidRPr="002048A7">
        <w:t>Bu</w:t>
      </w:r>
      <w:r w:rsidRPr="002048A7">
        <w:rPr>
          <w:spacing w:val="-8"/>
        </w:rPr>
        <w:t xml:space="preserve"> </w:t>
      </w:r>
      <w:r w:rsidRPr="002048A7">
        <w:rPr>
          <w:spacing w:val="-1"/>
        </w:rPr>
        <w:t>döneme</w:t>
      </w:r>
      <w:r w:rsidRPr="002048A7">
        <w:rPr>
          <w:spacing w:val="-8"/>
        </w:rPr>
        <w:t xml:space="preserve"> </w:t>
      </w:r>
      <w:r w:rsidRPr="002048A7">
        <w:rPr>
          <w:spacing w:val="-1"/>
        </w:rPr>
        <w:t>ilişkin</w:t>
      </w:r>
      <w:r w:rsidRPr="002048A7">
        <w:rPr>
          <w:spacing w:val="-8"/>
        </w:rPr>
        <w:t xml:space="preserve"> </w:t>
      </w:r>
      <w:r w:rsidRPr="002048A7">
        <w:rPr>
          <w:spacing w:val="-1"/>
        </w:rPr>
        <w:t>şikâyet</w:t>
      </w:r>
      <w:r w:rsidRPr="002048A7">
        <w:rPr>
          <w:spacing w:val="-8"/>
        </w:rPr>
        <w:t xml:space="preserve"> </w:t>
      </w:r>
      <w:r w:rsidRPr="002048A7">
        <w:rPr>
          <w:spacing w:val="-1"/>
        </w:rPr>
        <w:t>kategorisine</w:t>
      </w:r>
      <w:r w:rsidRPr="002048A7">
        <w:rPr>
          <w:spacing w:val="-7"/>
        </w:rPr>
        <w:t xml:space="preserve"> </w:t>
      </w:r>
      <w:r w:rsidRPr="002048A7">
        <w:t>tabi</w:t>
      </w:r>
      <w:r w:rsidRPr="002048A7">
        <w:rPr>
          <w:spacing w:val="-8"/>
        </w:rPr>
        <w:t xml:space="preserve"> </w:t>
      </w:r>
      <w:r w:rsidR="00BC0D87" w:rsidRPr="00BC0D87">
        <w:t xml:space="preserve">86.017 </w:t>
      </w:r>
      <w:r w:rsidRPr="002048A7">
        <w:t>adet</w:t>
      </w:r>
      <w:r w:rsidRPr="002048A7">
        <w:rPr>
          <w:spacing w:val="-8"/>
        </w:rPr>
        <w:t xml:space="preserve"> </w:t>
      </w:r>
      <w:r w:rsidRPr="002048A7">
        <w:rPr>
          <w:spacing w:val="-1"/>
        </w:rPr>
        <w:t>bildirim</w:t>
      </w:r>
      <w:r w:rsidRPr="002048A7">
        <w:rPr>
          <w:spacing w:val="-8"/>
        </w:rPr>
        <w:t xml:space="preserve"> </w:t>
      </w:r>
      <w:r w:rsidRPr="002048A7">
        <w:t>işlem</w:t>
      </w:r>
      <w:r w:rsidRPr="002048A7">
        <w:rPr>
          <w:spacing w:val="-8"/>
        </w:rPr>
        <w:t xml:space="preserve"> </w:t>
      </w:r>
      <w:r w:rsidRPr="002048A7">
        <w:t>görmüş</w:t>
      </w:r>
      <w:r w:rsidRPr="002048A7">
        <w:rPr>
          <w:spacing w:val="-7"/>
        </w:rPr>
        <w:t xml:space="preserve"> </w:t>
      </w:r>
      <w:r w:rsidRPr="002048A7">
        <w:rPr>
          <w:spacing w:val="-1"/>
        </w:rPr>
        <w:t>olup,</w:t>
      </w:r>
      <w:r w:rsidRPr="002048A7">
        <w:rPr>
          <w:spacing w:val="58"/>
          <w:w w:val="99"/>
        </w:rPr>
        <w:t xml:space="preserve"> </w:t>
      </w:r>
      <w:r w:rsidRPr="002048A7">
        <w:t>alt</w:t>
      </w:r>
      <w:r w:rsidRPr="002048A7">
        <w:rPr>
          <w:spacing w:val="27"/>
        </w:rPr>
        <w:t xml:space="preserve"> </w:t>
      </w:r>
      <w:r w:rsidRPr="002048A7">
        <w:t>sınıflandırmalar</w:t>
      </w:r>
      <w:r w:rsidRPr="002048A7">
        <w:rPr>
          <w:spacing w:val="26"/>
        </w:rPr>
        <w:t xml:space="preserve"> </w:t>
      </w:r>
      <w:r w:rsidRPr="002048A7">
        <w:t>bazında</w:t>
      </w:r>
      <w:r w:rsidRPr="002048A7">
        <w:rPr>
          <w:spacing w:val="27"/>
        </w:rPr>
        <w:t xml:space="preserve"> </w:t>
      </w:r>
      <w:r w:rsidRPr="002048A7">
        <w:t>dağıtım,</w:t>
      </w:r>
      <w:r w:rsidRPr="002048A7">
        <w:rPr>
          <w:spacing w:val="27"/>
        </w:rPr>
        <w:t xml:space="preserve"> </w:t>
      </w:r>
      <w:r w:rsidRPr="002048A7">
        <w:t>tedarik</w:t>
      </w:r>
      <w:r w:rsidRPr="002048A7">
        <w:rPr>
          <w:spacing w:val="27"/>
        </w:rPr>
        <w:t xml:space="preserve"> </w:t>
      </w:r>
      <w:r w:rsidRPr="002048A7">
        <w:t>ve</w:t>
      </w:r>
      <w:r w:rsidRPr="002048A7">
        <w:rPr>
          <w:spacing w:val="27"/>
        </w:rPr>
        <w:t xml:space="preserve"> </w:t>
      </w:r>
      <w:r w:rsidRPr="002048A7">
        <w:rPr>
          <w:spacing w:val="-1"/>
        </w:rPr>
        <w:t>özel</w:t>
      </w:r>
      <w:r w:rsidRPr="002048A7">
        <w:rPr>
          <w:spacing w:val="27"/>
        </w:rPr>
        <w:t xml:space="preserve"> </w:t>
      </w:r>
      <w:r w:rsidRPr="002048A7">
        <w:t>tedarik</w:t>
      </w:r>
      <w:r w:rsidRPr="002048A7">
        <w:rPr>
          <w:spacing w:val="27"/>
        </w:rPr>
        <w:t xml:space="preserve"> </w:t>
      </w:r>
      <w:r w:rsidRPr="002048A7">
        <w:rPr>
          <w:spacing w:val="-1"/>
        </w:rPr>
        <w:t>şirketleri</w:t>
      </w:r>
      <w:r w:rsidRPr="002048A7">
        <w:rPr>
          <w:spacing w:val="27"/>
        </w:rPr>
        <w:t xml:space="preserve"> </w:t>
      </w:r>
      <w:r w:rsidRPr="002048A7">
        <w:rPr>
          <w:spacing w:val="-1"/>
        </w:rPr>
        <w:t>şikâyet</w:t>
      </w:r>
      <w:r w:rsidRPr="002048A7">
        <w:rPr>
          <w:spacing w:val="27"/>
        </w:rPr>
        <w:t xml:space="preserve"> </w:t>
      </w:r>
      <w:r w:rsidRPr="002048A7">
        <w:rPr>
          <w:spacing w:val="-1"/>
        </w:rPr>
        <w:t>kategorilerinin</w:t>
      </w:r>
      <w:r w:rsidRPr="002048A7">
        <w:rPr>
          <w:spacing w:val="27"/>
        </w:rPr>
        <w:t xml:space="preserve"> </w:t>
      </w:r>
      <w:r w:rsidRPr="002048A7">
        <w:rPr>
          <w:spacing w:val="-1"/>
        </w:rPr>
        <w:t>dağılımı</w:t>
      </w:r>
      <w:r w:rsidRPr="002048A7">
        <w:rPr>
          <w:spacing w:val="27"/>
        </w:rPr>
        <w:t xml:space="preserve"> </w:t>
      </w:r>
      <w:r w:rsidRPr="002048A7">
        <w:t>aşağıda</w:t>
      </w:r>
      <w:r w:rsidRPr="002048A7">
        <w:rPr>
          <w:spacing w:val="69"/>
        </w:rPr>
        <w:t xml:space="preserve"> </w:t>
      </w:r>
      <w:r w:rsidRPr="002048A7">
        <w:rPr>
          <w:spacing w:val="-1"/>
        </w:rPr>
        <w:t>verilmektedir.</w:t>
      </w:r>
    </w:p>
    <w:p w14:paraId="67C95BE0" w14:textId="77777777" w:rsidR="00585879" w:rsidRPr="002048A7" w:rsidRDefault="00585879" w:rsidP="00433748">
      <w:pPr>
        <w:pStyle w:val="Balk5"/>
        <w:spacing w:before="120" w:after="120" w:line="240" w:lineRule="auto"/>
        <w:jc w:val="center"/>
        <w:rPr>
          <w:rStyle w:val="Gl"/>
          <w:color w:val="auto"/>
        </w:rPr>
      </w:pPr>
      <w:bookmarkStart w:id="402" w:name="_Toc195868866"/>
      <w:r w:rsidRPr="00AC570E">
        <w:rPr>
          <w:rStyle w:val="Gl"/>
          <w:color w:val="auto"/>
        </w:rPr>
        <w:t>Şekil 9.5: Elektrik Sektörüne Ait Şikâyetlerin Alt Sınıflandırmasının Yüzdesel Dağılımı</w:t>
      </w:r>
      <w:bookmarkEnd w:id="402"/>
    </w:p>
    <w:p w14:paraId="32D68514" w14:textId="6E0E0C5D" w:rsidR="00585879" w:rsidRPr="002048A7" w:rsidRDefault="00CD4A28" w:rsidP="00585879">
      <w:pPr>
        <w:spacing w:after="51"/>
      </w:pPr>
      <w:r>
        <w:rPr>
          <w:noProof/>
        </w:rPr>
        <w:drawing>
          <wp:inline distT="0" distB="0" distL="0" distR="0" wp14:anchorId="2BFD319D" wp14:editId="78B250C3">
            <wp:extent cx="6276975" cy="3533775"/>
            <wp:effectExtent l="0" t="0" r="9525" b="9525"/>
            <wp:docPr id="2" name="Grafik 2">
              <a:extLst xmlns:a="http://schemas.openxmlformats.org/drawingml/2006/main">
                <a:ext uri="{FF2B5EF4-FFF2-40B4-BE49-F238E27FC236}">
                  <a16:creationId xmlns:a16="http://schemas.microsoft.com/office/drawing/2014/main" id="{75514E74-D869-4A44-B415-C9FAAF1C013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6ABC2EE6" w14:textId="77777777" w:rsidR="00585879" w:rsidRPr="002048A7" w:rsidRDefault="00585879" w:rsidP="00585879">
      <w:pPr>
        <w:spacing w:after="253"/>
      </w:pPr>
      <w:r w:rsidRPr="002048A7">
        <w:rPr>
          <w:sz w:val="18"/>
        </w:rPr>
        <w:t>*Diğer kategorisi içerisinde birden fazla konuyu ilgilendiren muhtelif şikâyetler ve yüzdesi çok az olan şikâyetlerin toplamı yer almaktadır.</w:t>
      </w:r>
    </w:p>
    <w:p w14:paraId="50601734" w14:textId="77777777" w:rsidR="00585879" w:rsidRPr="002048A7" w:rsidRDefault="00BC0D87" w:rsidP="00BC0D87">
      <w:pPr>
        <w:spacing w:after="318" w:line="269" w:lineRule="auto"/>
        <w:ind w:hanging="9"/>
      </w:pPr>
      <w:r>
        <w:t>Elektrik piyasasında dağıtım faaliyetleri ile ilgili şikâyetlerin en fazla yoğunlaştığı alanlar %43,3 ile Enerji Kesintisi, %11,7 ile Yatırım/İlk Bağlantı (Şebekeye Fiziki Bağlantı Tesisi) ve %10,4 ile Voltaj Dalgalanması olduğu görülmektedir.</w:t>
      </w:r>
    </w:p>
    <w:p w14:paraId="11670414" w14:textId="77777777" w:rsidR="00585879" w:rsidRPr="002048A7" w:rsidRDefault="00585879" w:rsidP="000C39D5">
      <w:pPr>
        <w:spacing w:after="318" w:line="269" w:lineRule="auto"/>
        <w:ind w:hanging="9"/>
      </w:pPr>
      <w:r w:rsidRPr="002048A7">
        <w:t>Elektrik sektörüne ait olup işlem gören bildirimlerin aylar itibarıyla sayısal dağılımı aşağıda verilmektedir.</w:t>
      </w:r>
    </w:p>
    <w:p w14:paraId="3814331B" w14:textId="77777777" w:rsidR="00585879" w:rsidRPr="002048A7" w:rsidRDefault="00585879" w:rsidP="00433748">
      <w:pPr>
        <w:pStyle w:val="Balk5"/>
        <w:spacing w:before="120" w:after="120" w:line="240" w:lineRule="auto"/>
        <w:jc w:val="center"/>
        <w:rPr>
          <w:rStyle w:val="Gl"/>
          <w:color w:val="auto"/>
        </w:rPr>
      </w:pPr>
      <w:bookmarkStart w:id="403" w:name="_Toc195868867"/>
      <w:r w:rsidRPr="002048A7">
        <w:rPr>
          <w:rStyle w:val="Gl"/>
          <w:color w:val="auto"/>
        </w:rPr>
        <w:lastRenderedPageBreak/>
        <w:t>Şekil 9.6: Elektrik Sektöründe İşlem Gören Bildirimlerin Aylara Göre Yüzdesel Dağılımı</w:t>
      </w:r>
      <w:bookmarkEnd w:id="403"/>
    </w:p>
    <w:p w14:paraId="79F9635A" w14:textId="1911D6C4" w:rsidR="00585879" w:rsidRPr="002048A7" w:rsidRDefault="005031A2" w:rsidP="00585879">
      <w:pPr>
        <w:spacing w:after="594"/>
        <w:ind w:left="414"/>
      </w:pPr>
      <w:r>
        <w:rPr>
          <w:noProof/>
          <w:lang w:eastAsia="tr-TR"/>
        </w:rPr>
        <w:drawing>
          <wp:inline distT="0" distB="0" distL="0" distR="0" wp14:anchorId="5C68EBBA" wp14:editId="001D4752">
            <wp:extent cx="6299835" cy="2591649"/>
            <wp:effectExtent l="0" t="0" r="5715" b="18415"/>
            <wp:docPr id="40" name="Grafik 40">
              <a:extLst xmlns:a="http://schemas.openxmlformats.org/drawingml/2006/main">
                <a:ext uri="{FF2B5EF4-FFF2-40B4-BE49-F238E27FC236}">
                  <a16:creationId xmlns:a16="http://schemas.microsoft.com/office/drawing/2014/main" id="{00000000-0008-0000-0000-00001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6F657E03" w14:textId="083634DD" w:rsidR="00585879" w:rsidRPr="002048A7" w:rsidRDefault="00AF46E6" w:rsidP="00585879">
      <w:pPr>
        <w:spacing w:after="305" w:line="268" w:lineRule="auto"/>
        <w:ind w:left="10" w:hanging="10"/>
      </w:pPr>
      <w:r w:rsidRPr="002048A7">
        <w:t xml:space="preserve">Bildirimlerin aylık gerçekleşmelerine bakıldığında en büyük payın </w:t>
      </w:r>
      <w:r w:rsidR="00BC0D87">
        <w:t>%1</w:t>
      </w:r>
      <w:r w:rsidR="005031A2">
        <w:t>6</w:t>
      </w:r>
      <w:r w:rsidR="00BC0D87">
        <w:rPr>
          <w:spacing w:val="41"/>
        </w:rPr>
        <w:t xml:space="preserve"> </w:t>
      </w:r>
      <w:r w:rsidR="00BC0D87">
        <w:rPr>
          <w:spacing w:val="-1"/>
        </w:rPr>
        <w:t>ile</w:t>
      </w:r>
      <w:r w:rsidR="00BC0D87">
        <w:rPr>
          <w:spacing w:val="41"/>
        </w:rPr>
        <w:t xml:space="preserve"> </w:t>
      </w:r>
      <w:proofErr w:type="gramStart"/>
      <w:r w:rsidR="00BC0D87">
        <w:t>Temmuz</w:t>
      </w:r>
      <w:proofErr w:type="gramEnd"/>
      <w:r w:rsidRPr="002048A7">
        <w:t xml:space="preserve"> ayına ait olduğu, bu ayı </w:t>
      </w:r>
      <w:r w:rsidR="005031A2">
        <w:t>Aralık ve Kasım</w:t>
      </w:r>
      <w:r w:rsidRPr="002048A7">
        <w:t xml:space="preserve"> aylarının izlediği görülmektedir.</w:t>
      </w:r>
    </w:p>
    <w:p w14:paraId="23A01EEB" w14:textId="77777777" w:rsidR="00585879" w:rsidRPr="002048A7" w:rsidRDefault="00585879" w:rsidP="00D3384C">
      <w:pPr>
        <w:pStyle w:val="Balk3"/>
        <w:spacing w:after="240"/>
        <w:rPr>
          <w:rFonts w:asciiTheme="minorHAnsi" w:hAnsiTheme="minorHAnsi"/>
          <w:color w:val="auto"/>
        </w:rPr>
      </w:pPr>
      <w:bookmarkStart w:id="404" w:name="_Toc195868771"/>
      <w:r w:rsidRPr="002048A7">
        <w:rPr>
          <w:rFonts w:asciiTheme="minorHAnsi" w:hAnsiTheme="minorHAnsi"/>
          <w:color w:val="auto"/>
        </w:rPr>
        <w:t>9.2.4. Doğal Gaz Sektörüne Ait Şikâyetlerin Sınıflandırılması ve Gerçekleşmeler</w:t>
      </w:r>
      <w:bookmarkEnd w:id="404"/>
    </w:p>
    <w:p w14:paraId="50CEF184" w14:textId="77777777" w:rsidR="00585879" w:rsidRPr="002048A7" w:rsidRDefault="00585879" w:rsidP="00585879">
      <w:pPr>
        <w:spacing w:after="5" w:line="269" w:lineRule="auto"/>
        <w:ind w:hanging="9"/>
      </w:pPr>
      <w:r w:rsidRPr="002048A7">
        <w:t xml:space="preserve">Tüketici hakları ve tüketicilerin korunmasına yönelik gerekli işlemlerin tesis edilebilmesi için ilgili mevzuat da dikkate alınarak, şikâyet kategorisi altında sektöre özgü sınıflandırmalar yapılmıştır.  Doğal gaz ile ilgili Hatalı faturalandırma, Bağlantı/Servis hattı, Sayaç Okuma Süresi, Diğer, Fatura Kalemleri İtirazı, Zamanında Ödenmeyen Borç, Sayaç Okuma, Sayaç Bedeli, Sayaç Değişim ve Bakım Ücretleri, Fatura Dönemi/Son Ödeme Tarihi, Personel/Şirket İletişimi (Personel davranışları, Şirket Telefonlarına Ulaşılamama vs.), Hizmet Kesintisi, </w:t>
      </w:r>
    </w:p>
    <w:p w14:paraId="2E142E1F" w14:textId="77777777" w:rsidR="00585879" w:rsidRPr="002048A7" w:rsidRDefault="00585879" w:rsidP="00585879">
      <w:pPr>
        <w:spacing w:after="315" w:line="269" w:lineRule="auto"/>
        <w:ind w:hanging="9"/>
      </w:pPr>
      <w:r w:rsidRPr="002048A7">
        <w:t xml:space="preserve">Servis Kutusu, İç Tesisat Firma İşlemleri, Kaçak/Usulsüz Kullanım Tahakkuku, Güvence Bedeli ve İadesi, Abonelik Sözleşmesi, Dağıtım Şirketinin Randevuya Gelmemesi/Gecikmesi, Limitli Satış, Başvuruların Süresi içinde Cevaplandırılmaması adı altında alt sınıflandırma yapılmıştır. Bu döneme ilişkin şikâyet kategorisine tabi </w:t>
      </w:r>
      <w:r w:rsidR="00BC0D87">
        <w:t>28.529</w:t>
      </w:r>
      <w:r w:rsidRPr="002048A7">
        <w:t xml:space="preserve"> adet bildirim işlem görmüş olup, alt sınıflandırmalar bazında ilk 13 şikâyet kategorisinin dağılımı aşağıda verilmiştir.</w:t>
      </w:r>
    </w:p>
    <w:p w14:paraId="573A1495" w14:textId="77777777" w:rsidR="00585879" w:rsidRPr="002048A7" w:rsidRDefault="00585879" w:rsidP="00433748">
      <w:pPr>
        <w:pStyle w:val="Balk5"/>
        <w:spacing w:before="120" w:after="120" w:line="240" w:lineRule="auto"/>
        <w:jc w:val="center"/>
        <w:rPr>
          <w:rStyle w:val="Gl"/>
          <w:color w:val="auto"/>
        </w:rPr>
      </w:pPr>
      <w:bookmarkStart w:id="405" w:name="_Toc195868868"/>
      <w:r w:rsidRPr="00AC570E">
        <w:rPr>
          <w:rStyle w:val="Gl"/>
          <w:color w:val="auto"/>
        </w:rPr>
        <w:lastRenderedPageBreak/>
        <w:t>Şekil 9.7: Doğal Gaz Sektörüne Ait Şikâyetlerin Alt Sınıflandırmasının Yüzdesel Dağılımı</w:t>
      </w:r>
      <w:bookmarkEnd w:id="405"/>
    </w:p>
    <w:p w14:paraId="6A34703E" w14:textId="77777777" w:rsidR="00585879" w:rsidRPr="002048A7" w:rsidRDefault="00BC0D87" w:rsidP="00585879">
      <w:pPr>
        <w:spacing w:after="41"/>
      </w:pPr>
      <w:r>
        <w:rPr>
          <w:noProof/>
          <w:lang w:eastAsia="tr-TR"/>
        </w:rPr>
        <w:drawing>
          <wp:inline distT="0" distB="0" distL="0" distR="0" wp14:anchorId="37B8F585" wp14:editId="4DAFC4F5">
            <wp:extent cx="6299835" cy="3343806"/>
            <wp:effectExtent l="0" t="0" r="5715" b="9525"/>
            <wp:docPr id="8" name="Grafik 8">
              <a:extLst xmlns:a="http://schemas.openxmlformats.org/drawingml/2006/main">
                <a:ext uri="{FF2B5EF4-FFF2-40B4-BE49-F238E27FC236}">
                  <a16:creationId xmlns:a16="http://schemas.microsoft.com/office/drawing/2014/main" id="{0150BAB4-F782-4250-A7E7-146774E8884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78C2EBBD" w14:textId="77777777" w:rsidR="00585879" w:rsidRPr="002048A7" w:rsidRDefault="00585879" w:rsidP="00585879">
      <w:pPr>
        <w:spacing w:after="226" w:line="268" w:lineRule="auto"/>
        <w:ind w:left="-5" w:hanging="10"/>
      </w:pPr>
      <w:r w:rsidRPr="002048A7">
        <w:rPr>
          <w:sz w:val="18"/>
        </w:rPr>
        <w:t>*</w:t>
      </w:r>
      <w:r w:rsidRPr="002048A7">
        <w:rPr>
          <w:i/>
          <w:sz w:val="20"/>
        </w:rPr>
        <w:t>Diğer kategorisi içerisinde birden fazla konuyu ilgilendiren muhtelif şikâyetler ve yüzdesi çok az olan şikâyetlerin toplamı yer almaktadır</w:t>
      </w:r>
      <w:r w:rsidRPr="002048A7">
        <w:rPr>
          <w:sz w:val="18"/>
        </w:rPr>
        <w:t>.</w:t>
      </w:r>
    </w:p>
    <w:p w14:paraId="68DA9D1B" w14:textId="77777777" w:rsidR="00585879" w:rsidRPr="002048A7" w:rsidRDefault="00585879" w:rsidP="00585879">
      <w:pPr>
        <w:spacing w:after="315" w:line="269" w:lineRule="auto"/>
        <w:ind w:hanging="9"/>
      </w:pPr>
      <w:r w:rsidRPr="002048A7">
        <w:t>Doğal gaz sektörüne ait olup en fazla şikâyet alan konu %</w:t>
      </w:r>
      <w:r w:rsidR="00BC0D87">
        <w:t>60</w:t>
      </w:r>
      <w:r w:rsidR="00AF46E6" w:rsidRPr="002048A7">
        <w:t>’l</w:t>
      </w:r>
      <w:r w:rsidR="00BC0D87">
        <w:t>ı</w:t>
      </w:r>
      <w:r w:rsidR="00AF46E6" w:rsidRPr="002048A7">
        <w:t>k</w:t>
      </w:r>
      <w:r w:rsidRPr="002048A7">
        <w:t xml:space="preserve"> oranıyla Bağlantı/Servis Hattı konusudur. Bunu diğer kategoriler takip etmektedir. </w:t>
      </w:r>
    </w:p>
    <w:p w14:paraId="25CA00EF" w14:textId="77777777" w:rsidR="00585879" w:rsidRPr="002048A7" w:rsidRDefault="00585879" w:rsidP="00585879">
      <w:pPr>
        <w:spacing w:after="5" w:line="269" w:lineRule="auto"/>
        <w:ind w:hanging="9"/>
      </w:pPr>
      <w:r w:rsidRPr="002048A7">
        <w:t>Doğal gaz sektörüne ait olup işlem gören bildirimlerin aylar itibarıyla yüzdesel dağılımı aşağıda verilmektedir.</w:t>
      </w:r>
    </w:p>
    <w:p w14:paraId="5192886C" w14:textId="77777777" w:rsidR="00585879" w:rsidRPr="002048A7" w:rsidRDefault="00585879" w:rsidP="000C39D5">
      <w:pPr>
        <w:pStyle w:val="Balk5"/>
        <w:spacing w:before="120" w:line="240" w:lineRule="auto"/>
        <w:jc w:val="center"/>
        <w:rPr>
          <w:rStyle w:val="Gl"/>
          <w:color w:val="auto"/>
        </w:rPr>
      </w:pPr>
      <w:bookmarkStart w:id="406" w:name="_Toc195868869"/>
      <w:r w:rsidRPr="006956FE">
        <w:rPr>
          <w:rStyle w:val="Gl"/>
          <w:color w:val="auto"/>
        </w:rPr>
        <w:t>Şekil 9.8: Doğal Gaz Sektöründe İşlem Gören Bildirimlerin Aylara Göre Yüzdesel Dağılımı</w:t>
      </w:r>
      <w:bookmarkEnd w:id="406"/>
    </w:p>
    <w:p w14:paraId="7D886887" w14:textId="63C14DCD" w:rsidR="000C39D5" w:rsidRPr="002048A7" w:rsidRDefault="005031A2" w:rsidP="000C39D5">
      <w:r>
        <w:rPr>
          <w:noProof/>
          <w:lang w:eastAsia="tr-TR"/>
        </w:rPr>
        <w:drawing>
          <wp:inline distT="0" distB="0" distL="0" distR="0" wp14:anchorId="09D2A2C5" wp14:editId="7D649D20">
            <wp:extent cx="6299835" cy="2591791"/>
            <wp:effectExtent l="0" t="0" r="5715" b="18415"/>
            <wp:docPr id="41" name="Grafik 41">
              <a:extLst xmlns:a="http://schemas.openxmlformats.org/drawingml/2006/main">
                <a:ext uri="{FF2B5EF4-FFF2-40B4-BE49-F238E27FC236}">
                  <a16:creationId xmlns:a16="http://schemas.microsoft.com/office/drawing/2014/main" id="{00000000-0008-0000-0000-00001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751F0650" w14:textId="2ED13A9B" w:rsidR="00585879" w:rsidRPr="002048A7" w:rsidRDefault="00585879" w:rsidP="00585879">
      <w:pPr>
        <w:spacing w:after="305" w:line="268" w:lineRule="auto"/>
        <w:ind w:left="10" w:hanging="10"/>
      </w:pPr>
      <w:r w:rsidRPr="002048A7">
        <w:t>Bildirimlerin aylık gerçekleşmelerine bakıldığında en büyük payın %1</w:t>
      </w:r>
      <w:r w:rsidR="005031A2">
        <w:t>3</w:t>
      </w:r>
      <w:r w:rsidRPr="002048A7">
        <w:t xml:space="preserve"> ile </w:t>
      </w:r>
      <w:proofErr w:type="gramStart"/>
      <w:r w:rsidR="00BC0D87">
        <w:t>Ocak</w:t>
      </w:r>
      <w:proofErr w:type="gramEnd"/>
      <w:r w:rsidRPr="002048A7">
        <w:t xml:space="preserve"> ayına ait olduğu, bu ayı </w:t>
      </w:r>
      <w:r w:rsidR="005031A2">
        <w:t>Aralık ve Kasım</w:t>
      </w:r>
      <w:r w:rsidRPr="002048A7">
        <w:t xml:space="preserve"> aylarının izlediği görülmektedir.</w:t>
      </w:r>
    </w:p>
    <w:p w14:paraId="42423442" w14:textId="77777777" w:rsidR="00585879" w:rsidRPr="002048A7" w:rsidRDefault="00585879" w:rsidP="00D3384C">
      <w:pPr>
        <w:pStyle w:val="Balk3"/>
        <w:spacing w:after="240"/>
        <w:rPr>
          <w:rFonts w:asciiTheme="minorHAnsi" w:hAnsiTheme="minorHAnsi"/>
          <w:color w:val="auto"/>
        </w:rPr>
      </w:pPr>
      <w:bookmarkStart w:id="407" w:name="_Toc195868772"/>
      <w:r w:rsidRPr="002048A7">
        <w:rPr>
          <w:rFonts w:asciiTheme="minorHAnsi" w:hAnsiTheme="minorHAnsi"/>
          <w:color w:val="auto"/>
        </w:rPr>
        <w:lastRenderedPageBreak/>
        <w:t>9.2.5. Petrol Sektörüne Ait Şikâyetlerin Sınıflandırılması ve Gerçekleşmeler</w:t>
      </w:r>
      <w:bookmarkEnd w:id="407"/>
    </w:p>
    <w:p w14:paraId="00DB91EF" w14:textId="77777777" w:rsidR="00585879" w:rsidRPr="002048A7" w:rsidRDefault="00A35DB2" w:rsidP="00585879">
      <w:pPr>
        <w:spacing w:after="315" w:line="269" w:lineRule="auto"/>
        <w:ind w:hanging="9"/>
      </w:pPr>
      <w:r w:rsidRPr="00A35DB2">
        <w:rPr>
          <w:rFonts w:cs="Calibri"/>
          <w:spacing w:val="-1"/>
        </w:rPr>
        <w:t>Şikâyet kategorisi altında, Akaryakıt Fiyatı ve Fiyat Artışları, Diğer, Teknik Düzenlemelere Aykırı Akaryakıt, Fiyat Artışlarının ve Düşüşlerinin Zamanında Uygulanmaması, Müşteri Hizmetleri ve Kalite, Eksik Akaryakıt İkmali, Tesis Güvenliği (GSM ruhsatı, lisansa esas belgeler, mesafe tahdidi, vs.), Mevzuat/Öneri, Konu Kurumun Görev Alanında Değil, Pompa ve Tabeladaki Fiyatların Farklı Olması, Rekabet İhlali, Araç Dışı Yakıt İkmali (Bidon vs.), Kaçak Akaryakıt İhbarı, Şirket Çalışanlarının Davranışları, Sadakat Kart Uygulamaları gibi alt kategorileri belirlenmiştir. Bu dönemde 1754 adet şikâyet bildirimi işlem görmüştür. Petrol sektörü Kuruma intikal eden bildirimler içerisinde %1,5’luk paya sahiptir. Petrol sektörüne ait olup işlem gören bildirimlerin şikâyet kategorisine göre dağılımı   aşağıda verilmektedir.</w:t>
      </w:r>
    </w:p>
    <w:p w14:paraId="027A3C05" w14:textId="77777777" w:rsidR="00585879" w:rsidRPr="002048A7" w:rsidRDefault="00585879" w:rsidP="00433748">
      <w:pPr>
        <w:pStyle w:val="Balk5"/>
        <w:spacing w:before="120" w:after="120" w:line="240" w:lineRule="auto"/>
        <w:jc w:val="center"/>
        <w:rPr>
          <w:rStyle w:val="Gl"/>
          <w:color w:val="auto"/>
        </w:rPr>
      </w:pPr>
      <w:bookmarkStart w:id="408" w:name="_Toc195868870"/>
      <w:r w:rsidRPr="006956FE">
        <w:rPr>
          <w:rStyle w:val="Gl"/>
          <w:color w:val="auto"/>
        </w:rPr>
        <w:t>Şekil 9.9: Petrol Sektörüne Ait Şikâyetlerin Alt Sınıflandırmasının Yüzdesel Dağılımı</w:t>
      </w:r>
      <w:bookmarkEnd w:id="408"/>
    </w:p>
    <w:p w14:paraId="265D3627" w14:textId="77777777" w:rsidR="00585879" w:rsidRPr="002048A7" w:rsidRDefault="00A35DB2" w:rsidP="00680A47">
      <w:pPr>
        <w:spacing w:after="5" w:line="268" w:lineRule="auto"/>
        <w:ind w:left="-5" w:hanging="10"/>
        <w:jc w:val="center"/>
        <w:rPr>
          <w:sz w:val="18"/>
        </w:rPr>
      </w:pPr>
      <w:r>
        <w:rPr>
          <w:noProof/>
          <w:lang w:eastAsia="tr-TR"/>
        </w:rPr>
        <w:drawing>
          <wp:inline distT="0" distB="0" distL="0" distR="0" wp14:anchorId="2309DE1A" wp14:editId="4C9A638F">
            <wp:extent cx="6042660" cy="3025140"/>
            <wp:effectExtent l="0" t="0" r="15240" b="3810"/>
            <wp:docPr id="10" name="Grafik 10">
              <a:extLst xmlns:a="http://schemas.openxmlformats.org/drawingml/2006/main">
                <a:ext uri="{FF2B5EF4-FFF2-40B4-BE49-F238E27FC236}">
                  <a16:creationId xmlns:a16="http://schemas.microsoft.com/office/drawing/2014/main" id="{4F5DD108-2D52-4FF6-B3B5-8E6BB98C11F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60F34D31" w14:textId="77777777" w:rsidR="00585879" w:rsidRPr="002048A7" w:rsidRDefault="00585879" w:rsidP="00585879">
      <w:pPr>
        <w:spacing w:after="5" w:line="268" w:lineRule="auto"/>
        <w:ind w:left="-5" w:hanging="10"/>
      </w:pPr>
      <w:r w:rsidRPr="002048A7">
        <w:rPr>
          <w:sz w:val="18"/>
        </w:rPr>
        <w:t>*</w:t>
      </w:r>
      <w:r w:rsidRPr="002048A7">
        <w:rPr>
          <w:i/>
          <w:sz w:val="20"/>
        </w:rPr>
        <w:t>Diğer kategorisi içerisinde birden fazla konuyu ilgilendiren muhtelif şikâyetler ve yüzdesi çok az olan şikâyetlerin toplamı yer almaktadır</w:t>
      </w:r>
      <w:r w:rsidRPr="002048A7">
        <w:rPr>
          <w:sz w:val="18"/>
        </w:rPr>
        <w:t>.</w:t>
      </w:r>
    </w:p>
    <w:p w14:paraId="70E54C3E" w14:textId="77777777" w:rsidR="00585879" w:rsidRPr="002048A7" w:rsidRDefault="00585879" w:rsidP="00D3384C">
      <w:pPr>
        <w:pStyle w:val="Balk3"/>
        <w:spacing w:after="240"/>
        <w:rPr>
          <w:rFonts w:asciiTheme="minorHAnsi" w:hAnsiTheme="minorHAnsi"/>
          <w:color w:val="auto"/>
        </w:rPr>
      </w:pPr>
      <w:bookmarkStart w:id="409" w:name="_Toc195868773"/>
      <w:r w:rsidRPr="002048A7">
        <w:rPr>
          <w:rFonts w:asciiTheme="minorHAnsi" w:hAnsiTheme="minorHAnsi"/>
          <w:color w:val="auto"/>
        </w:rPr>
        <w:t>9.2.6. Sıvılaştırılmış Petrol Gazları Sektörüne Ait Şikâyetlerin Sınıflandırılması ve Gerçekleşmeler</w:t>
      </w:r>
      <w:bookmarkEnd w:id="409"/>
    </w:p>
    <w:p w14:paraId="27AADD36" w14:textId="77777777" w:rsidR="00585879" w:rsidRPr="002048A7" w:rsidRDefault="00A35DB2" w:rsidP="00585879">
      <w:pPr>
        <w:spacing w:after="315" w:line="269" w:lineRule="auto"/>
        <w:ind w:hanging="9"/>
      </w:pPr>
      <w:r w:rsidRPr="00A35DB2">
        <w:t>İlgili mevzuat esas alınarak tüketici hakları ve tüketicilerin korunmasına hususları kapsamında Şikâyet kategorisi altında LPG Fiyatı ve Fiyat Artışları, Diğer, Fiyat artışlarının ve Düşüşlerinin zamanında uygulanmaması, Teknik Düzenlemelere Aykırı LPG, Müşteri Hizmetleri ve Kalite, Konu Kurumun Görev alanında Değil, Rekabet ihlali, Mevzuat/Öneri (GSM ruhsatı, lisansa esas belgeler, mesafe tahdidi, vs.), Kaçak LPG ihbarı, Tesis Güvenliği, Pompa ve Tabeladaki Fiyatların Farklı Olması gibi alt kategorileri belirlenmiştir. Bu dönemde 360 adet şikâyet bildirimi işlem görmüştür. LPG sektörü Kuruma intikal eden bildirimler içerisinde %0,3’luk paya sahiptir.</w:t>
      </w:r>
    </w:p>
    <w:p w14:paraId="60F52FAA" w14:textId="77777777" w:rsidR="00585879" w:rsidRPr="002048A7" w:rsidRDefault="00585879" w:rsidP="00585879">
      <w:pPr>
        <w:spacing w:after="315" w:line="269" w:lineRule="auto"/>
        <w:ind w:hanging="9"/>
      </w:pPr>
      <w:r w:rsidRPr="002048A7">
        <w:t>Sıvılaştırılmış Petrol Gazları (LPG) sektörüne ait olup işlem gören bildirimlerin şikâyet kategorisine göre dağılımı aşağıda verilmektedir.</w:t>
      </w:r>
    </w:p>
    <w:p w14:paraId="39327ECD" w14:textId="77777777" w:rsidR="00585879" w:rsidRPr="002048A7" w:rsidRDefault="00585879" w:rsidP="00433748">
      <w:pPr>
        <w:pStyle w:val="Balk5"/>
        <w:spacing w:before="120" w:after="120" w:line="240" w:lineRule="auto"/>
        <w:jc w:val="center"/>
        <w:rPr>
          <w:rStyle w:val="Gl"/>
          <w:color w:val="auto"/>
        </w:rPr>
      </w:pPr>
      <w:bookmarkStart w:id="410" w:name="_Toc195868871"/>
      <w:r w:rsidRPr="002048A7">
        <w:rPr>
          <w:rStyle w:val="Gl"/>
          <w:color w:val="auto"/>
        </w:rPr>
        <w:lastRenderedPageBreak/>
        <w:t>Şekil 9.10: LPG Sektörüne Ait Şikâyetlerin Alt Sınıflandırmasının Yüzdesel Dağılımı</w:t>
      </w:r>
      <w:bookmarkEnd w:id="410"/>
    </w:p>
    <w:p w14:paraId="6137437B" w14:textId="77777777" w:rsidR="00585879" w:rsidRPr="002048A7" w:rsidRDefault="00A35DB2" w:rsidP="00585879">
      <w:pPr>
        <w:spacing w:after="54"/>
        <w:ind w:right="-130"/>
      </w:pPr>
      <w:r>
        <w:rPr>
          <w:noProof/>
          <w:lang w:eastAsia="tr-TR"/>
        </w:rPr>
        <w:drawing>
          <wp:inline distT="0" distB="0" distL="0" distR="0" wp14:anchorId="59EA562A" wp14:editId="0DF874B5">
            <wp:extent cx="6118860" cy="2827020"/>
            <wp:effectExtent l="0" t="0" r="15240" b="11430"/>
            <wp:docPr id="37" name="Grafik 37">
              <a:extLst xmlns:a="http://schemas.openxmlformats.org/drawingml/2006/main">
                <a:ext uri="{FF2B5EF4-FFF2-40B4-BE49-F238E27FC236}">
                  <a16:creationId xmlns:a16="http://schemas.microsoft.com/office/drawing/2014/main" id="{4B4FB81B-63F3-43CD-AC96-A91FBCBEF8A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2024AAB0" w14:textId="77777777" w:rsidR="00A35DB2" w:rsidRDefault="00585879" w:rsidP="002D1BFD">
      <w:pPr>
        <w:spacing w:after="0"/>
        <w:jc w:val="center"/>
        <w:rPr>
          <w:sz w:val="18"/>
        </w:rPr>
      </w:pPr>
      <w:r w:rsidRPr="002048A7">
        <w:rPr>
          <w:sz w:val="18"/>
        </w:rPr>
        <w:t>*</w:t>
      </w:r>
      <w:r w:rsidRPr="002048A7">
        <w:rPr>
          <w:i/>
          <w:sz w:val="20"/>
        </w:rPr>
        <w:t>Diğer kategorisi içerisinde birden fazla konuyu ilgilendiren muhtelif şikâyetler ve yüzdesi çok az olan şikâyetlerin toplamı yer almaktadır</w:t>
      </w:r>
      <w:r w:rsidRPr="002048A7">
        <w:rPr>
          <w:sz w:val="18"/>
        </w:rPr>
        <w:t>.</w:t>
      </w:r>
    </w:p>
    <w:p w14:paraId="39B4F615" w14:textId="77777777" w:rsidR="00A35DB2" w:rsidRPr="00A35DB2" w:rsidRDefault="00A35DB2" w:rsidP="00A35DB2">
      <w:pPr>
        <w:pStyle w:val="Balk3"/>
        <w:spacing w:after="240"/>
        <w:rPr>
          <w:rFonts w:asciiTheme="minorHAnsi" w:hAnsiTheme="minorHAnsi"/>
          <w:color w:val="auto"/>
        </w:rPr>
      </w:pPr>
      <w:bookmarkStart w:id="411" w:name="_Toc195868774"/>
      <w:r>
        <w:rPr>
          <w:rFonts w:asciiTheme="minorHAnsi" w:hAnsiTheme="minorHAnsi"/>
          <w:color w:val="auto"/>
        </w:rPr>
        <w:t xml:space="preserve">9.2.7. </w:t>
      </w:r>
      <w:r w:rsidRPr="00A35DB2">
        <w:rPr>
          <w:rFonts w:asciiTheme="minorHAnsi" w:hAnsiTheme="minorHAnsi"/>
          <w:color w:val="auto"/>
        </w:rPr>
        <w:t>Enerji Dönüşüm Sektörüne Ait Şikâyetlerin Sınıflandırılması ve Gerçekleşmeler</w:t>
      </w:r>
      <w:bookmarkEnd w:id="411"/>
    </w:p>
    <w:p w14:paraId="6E515CCB" w14:textId="77777777" w:rsidR="00A35DB2" w:rsidRDefault="00A35DB2" w:rsidP="00A35DB2">
      <w:pPr>
        <w:spacing w:after="315" w:line="269" w:lineRule="auto"/>
        <w:ind w:hanging="9"/>
      </w:pPr>
      <w:r w:rsidRPr="00A35DB2">
        <w:t xml:space="preserve">İlgili mevzuat esas alınarak tüketici hakları </w:t>
      </w:r>
      <w:r>
        <w:t>ve</w:t>
      </w:r>
      <w:r w:rsidRPr="00A35DB2">
        <w:t xml:space="preserve"> tüketicilerin korunmasına hususları kapsamında Şikâyet kategorisi altında Şarj İstasyonu Yetersizliği, Fiyat/Hizmet Bedeli </w:t>
      </w:r>
      <w:proofErr w:type="gramStart"/>
      <w:r w:rsidRPr="00A35DB2">
        <w:t>Şikayeti</w:t>
      </w:r>
      <w:proofErr w:type="gramEnd"/>
      <w:r w:rsidRPr="00A35DB2">
        <w:t xml:space="preserve">, Hizmet Alamama (Kesinti, Kalite, Ekipman Ve Donanım Sorunları), Ödeme/Rezervasyon/Müsaitlik Şikayeti, Şirket Yazılımı/Uygulaması Hakkında Şikayeti, Şarj@Tr Uygulaması Hakkında Şikayet ve diğer gibi </w:t>
      </w:r>
      <w:r>
        <w:t>alt</w:t>
      </w:r>
      <w:r w:rsidRPr="00A35DB2">
        <w:t xml:space="preserve"> kategorileri belirlenmiştir. </w:t>
      </w:r>
      <w:r>
        <w:t>Bu</w:t>
      </w:r>
      <w:r w:rsidRPr="00A35DB2">
        <w:t xml:space="preserve"> dönemde 299 </w:t>
      </w:r>
      <w:r>
        <w:t>adet</w:t>
      </w:r>
      <w:r w:rsidRPr="00A35DB2">
        <w:t xml:space="preserve"> şikâyet bildirimi işlem görmüştür. Enerji Dönüşüm sektörü Kuruma intikal </w:t>
      </w:r>
      <w:r>
        <w:t>eden</w:t>
      </w:r>
      <w:r w:rsidRPr="00A35DB2">
        <w:t xml:space="preserve"> bildirimler içerisinde %0,2’lik paya sahiptir.</w:t>
      </w:r>
    </w:p>
    <w:p w14:paraId="4261B76E" w14:textId="77777777" w:rsidR="00A35DB2" w:rsidRDefault="00A35DB2" w:rsidP="00A35DB2">
      <w:pPr>
        <w:spacing w:after="315" w:line="269" w:lineRule="auto"/>
        <w:ind w:hanging="9"/>
      </w:pPr>
      <w:r>
        <w:t>Enerji Dönüşüm</w:t>
      </w:r>
      <w:r w:rsidRPr="00A35DB2">
        <w:t xml:space="preserve"> sektörüne </w:t>
      </w:r>
      <w:r>
        <w:t>ait</w:t>
      </w:r>
      <w:r w:rsidRPr="00A35DB2">
        <w:t xml:space="preserve"> olup işlem gören bildirimlerin şikâyet kategorisine göre dağılımı </w:t>
      </w:r>
      <w:r>
        <w:t>aşağıda</w:t>
      </w:r>
      <w:r w:rsidRPr="00A35DB2">
        <w:t xml:space="preserve"> verilmektedir.</w:t>
      </w:r>
    </w:p>
    <w:p w14:paraId="39C6CF27" w14:textId="77777777" w:rsidR="00A35DB2" w:rsidRPr="00A35DB2" w:rsidRDefault="00A35DB2" w:rsidP="00A35DB2">
      <w:pPr>
        <w:pStyle w:val="Balk5"/>
        <w:spacing w:before="120" w:after="120" w:line="240" w:lineRule="auto"/>
        <w:jc w:val="center"/>
        <w:rPr>
          <w:rStyle w:val="Gl"/>
          <w:b w:val="0"/>
          <w:bCs w:val="0"/>
          <w:color w:val="auto"/>
        </w:rPr>
      </w:pPr>
      <w:bookmarkStart w:id="412" w:name="_Toc195868872"/>
      <w:r w:rsidRPr="00A35DB2">
        <w:rPr>
          <w:rStyle w:val="Gl"/>
          <w:color w:val="auto"/>
        </w:rPr>
        <w:lastRenderedPageBreak/>
        <w:t>Şekil 9.11: Enerji Dönüşüm Sektörüne Ait Şikâyetlerin Alt Sınıflandırmasının Yüzdesel Dağılımı</w:t>
      </w:r>
      <w:bookmarkEnd w:id="412"/>
    </w:p>
    <w:p w14:paraId="1B05DCFE" w14:textId="77777777" w:rsidR="00A35DB2" w:rsidRDefault="00A35DB2" w:rsidP="00A35DB2">
      <w:pPr>
        <w:keepNext/>
        <w:spacing w:before="36"/>
        <w:ind w:right="122"/>
      </w:pPr>
      <w:r>
        <w:rPr>
          <w:noProof/>
          <w:lang w:eastAsia="tr-TR"/>
        </w:rPr>
        <w:drawing>
          <wp:inline distT="0" distB="0" distL="0" distR="0" wp14:anchorId="0FA2095E" wp14:editId="564E04CF">
            <wp:extent cx="6345767" cy="2781300"/>
            <wp:effectExtent l="0" t="0" r="0" b="0"/>
            <wp:docPr id="12" name="Grafik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4AFBBD3C" w14:textId="77777777" w:rsidR="00A35DB2" w:rsidRPr="002C6BE9" w:rsidRDefault="00A35DB2" w:rsidP="00A35DB2">
      <w:pPr>
        <w:spacing w:before="59"/>
        <w:ind w:left="103"/>
      </w:pPr>
      <w:r w:rsidRPr="00040BF8">
        <w:rPr>
          <w:rFonts w:ascii="Calibri" w:hAnsi="Calibri"/>
          <w:spacing w:val="-1"/>
          <w:sz w:val="18"/>
          <w:szCs w:val="18"/>
        </w:rPr>
        <w:t>*</w:t>
      </w:r>
      <w:r w:rsidRPr="00040BF8">
        <w:rPr>
          <w:rFonts w:ascii="Calibri" w:hAnsi="Calibri"/>
          <w:i/>
          <w:spacing w:val="-1"/>
          <w:sz w:val="18"/>
          <w:szCs w:val="18"/>
        </w:rPr>
        <w:t>Diğer</w:t>
      </w:r>
      <w:r w:rsidRPr="00040BF8">
        <w:rPr>
          <w:rFonts w:ascii="Calibri" w:hAnsi="Calibri"/>
          <w:i/>
          <w:spacing w:val="9"/>
          <w:sz w:val="18"/>
          <w:szCs w:val="18"/>
        </w:rPr>
        <w:t xml:space="preserve"> </w:t>
      </w:r>
      <w:r w:rsidRPr="00040BF8">
        <w:rPr>
          <w:rFonts w:ascii="Calibri" w:hAnsi="Calibri"/>
          <w:i/>
          <w:spacing w:val="-1"/>
          <w:sz w:val="18"/>
          <w:szCs w:val="18"/>
        </w:rPr>
        <w:t>kategorisi</w:t>
      </w:r>
      <w:r w:rsidRPr="00040BF8">
        <w:rPr>
          <w:rFonts w:ascii="Calibri" w:hAnsi="Calibri"/>
          <w:i/>
          <w:spacing w:val="9"/>
          <w:sz w:val="18"/>
          <w:szCs w:val="18"/>
        </w:rPr>
        <w:t xml:space="preserve"> </w:t>
      </w:r>
      <w:r w:rsidRPr="00040BF8">
        <w:rPr>
          <w:rFonts w:ascii="Calibri" w:hAnsi="Calibri"/>
          <w:i/>
          <w:spacing w:val="-1"/>
          <w:sz w:val="18"/>
          <w:szCs w:val="18"/>
        </w:rPr>
        <w:t>içerisinde</w:t>
      </w:r>
      <w:r w:rsidRPr="00040BF8">
        <w:rPr>
          <w:rFonts w:ascii="Calibri" w:hAnsi="Calibri"/>
          <w:i/>
          <w:spacing w:val="9"/>
          <w:sz w:val="18"/>
          <w:szCs w:val="18"/>
        </w:rPr>
        <w:t xml:space="preserve"> </w:t>
      </w:r>
      <w:r w:rsidRPr="00040BF8">
        <w:rPr>
          <w:rFonts w:ascii="Calibri" w:hAnsi="Calibri"/>
          <w:i/>
          <w:spacing w:val="-1"/>
          <w:sz w:val="18"/>
          <w:szCs w:val="18"/>
        </w:rPr>
        <w:t>birden</w:t>
      </w:r>
      <w:r w:rsidRPr="00040BF8">
        <w:rPr>
          <w:rFonts w:ascii="Calibri" w:hAnsi="Calibri"/>
          <w:i/>
          <w:spacing w:val="8"/>
          <w:sz w:val="18"/>
          <w:szCs w:val="18"/>
        </w:rPr>
        <w:t xml:space="preserve"> </w:t>
      </w:r>
      <w:r w:rsidRPr="00040BF8">
        <w:rPr>
          <w:rFonts w:ascii="Calibri" w:hAnsi="Calibri"/>
          <w:i/>
          <w:spacing w:val="-1"/>
          <w:sz w:val="18"/>
          <w:szCs w:val="18"/>
        </w:rPr>
        <w:t>fazla</w:t>
      </w:r>
      <w:r w:rsidRPr="00040BF8">
        <w:rPr>
          <w:rFonts w:ascii="Calibri" w:hAnsi="Calibri"/>
          <w:i/>
          <w:spacing w:val="9"/>
          <w:sz w:val="18"/>
          <w:szCs w:val="18"/>
        </w:rPr>
        <w:t xml:space="preserve"> </w:t>
      </w:r>
      <w:r w:rsidRPr="00040BF8">
        <w:rPr>
          <w:rFonts w:ascii="Calibri" w:hAnsi="Calibri"/>
          <w:i/>
          <w:spacing w:val="-1"/>
          <w:sz w:val="18"/>
          <w:szCs w:val="18"/>
        </w:rPr>
        <w:t>konuyu</w:t>
      </w:r>
      <w:r w:rsidRPr="00040BF8">
        <w:rPr>
          <w:rFonts w:ascii="Calibri" w:hAnsi="Calibri"/>
          <w:i/>
          <w:spacing w:val="10"/>
          <w:sz w:val="18"/>
          <w:szCs w:val="18"/>
        </w:rPr>
        <w:t xml:space="preserve"> </w:t>
      </w:r>
      <w:r w:rsidRPr="00040BF8">
        <w:rPr>
          <w:rFonts w:ascii="Calibri" w:hAnsi="Calibri"/>
          <w:i/>
          <w:spacing w:val="-1"/>
          <w:sz w:val="18"/>
          <w:szCs w:val="18"/>
        </w:rPr>
        <w:t>ilgilendiren</w:t>
      </w:r>
      <w:r w:rsidRPr="00040BF8">
        <w:rPr>
          <w:rFonts w:ascii="Calibri" w:hAnsi="Calibri"/>
          <w:i/>
          <w:spacing w:val="11"/>
          <w:sz w:val="18"/>
          <w:szCs w:val="18"/>
        </w:rPr>
        <w:t xml:space="preserve"> </w:t>
      </w:r>
      <w:r w:rsidRPr="00040BF8">
        <w:rPr>
          <w:rFonts w:ascii="Calibri" w:hAnsi="Calibri"/>
          <w:i/>
          <w:spacing w:val="-1"/>
          <w:sz w:val="18"/>
          <w:szCs w:val="18"/>
        </w:rPr>
        <w:t>muhtelif</w:t>
      </w:r>
      <w:r w:rsidRPr="00040BF8">
        <w:rPr>
          <w:rFonts w:ascii="Calibri" w:hAnsi="Calibri"/>
          <w:i/>
          <w:spacing w:val="8"/>
          <w:sz w:val="18"/>
          <w:szCs w:val="18"/>
        </w:rPr>
        <w:t xml:space="preserve"> </w:t>
      </w:r>
      <w:r w:rsidRPr="00040BF8">
        <w:rPr>
          <w:rFonts w:ascii="Calibri" w:hAnsi="Calibri"/>
          <w:i/>
          <w:spacing w:val="-1"/>
          <w:sz w:val="18"/>
          <w:szCs w:val="18"/>
        </w:rPr>
        <w:t>şikâyetler</w:t>
      </w:r>
      <w:r w:rsidRPr="00040BF8">
        <w:rPr>
          <w:rFonts w:ascii="Calibri" w:hAnsi="Calibri"/>
          <w:i/>
          <w:spacing w:val="10"/>
          <w:sz w:val="18"/>
          <w:szCs w:val="18"/>
        </w:rPr>
        <w:t xml:space="preserve"> </w:t>
      </w:r>
      <w:r w:rsidRPr="00040BF8">
        <w:rPr>
          <w:rFonts w:ascii="Calibri" w:hAnsi="Calibri"/>
          <w:i/>
          <w:spacing w:val="-1"/>
          <w:sz w:val="18"/>
          <w:szCs w:val="18"/>
        </w:rPr>
        <w:t>ve</w:t>
      </w:r>
      <w:r w:rsidRPr="00040BF8">
        <w:rPr>
          <w:rFonts w:ascii="Calibri" w:hAnsi="Calibri"/>
          <w:i/>
          <w:spacing w:val="10"/>
          <w:sz w:val="18"/>
          <w:szCs w:val="18"/>
        </w:rPr>
        <w:t xml:space="preserve"> </w:t>
      </w:r>
      <w:r w:rsidRPr="00040BF8">
        <w:rPr>
          <w:rFonts w:ascii="Calibri" w:hAnsi="Calibri"/>
          <w:i/>
          <w:spacing w:val="-1"/>
          <w:sz w:val="18"/>
          <w:szCs w:val="18"/>
        </w:rPr>
        <w:t>yüzdesi</w:t>
      </w:r>
      <w:r w:rsidRPr="00040BF8">
        <w:rPr>
          <w:rFonts w:ascii="Calibri" w:hAnsi="Calibri"/>
          <w:i/>
          <w:spacing w:val="10"/>
          <w:sz w:val="18"/>
          <w:szCs w:val="18"/>
        </w:rPr>
        <w:t xml:space="preserve"> </w:t>
      </w:r>
      <w:r w:rsidRPr="00040BF8">
        <w:rPr>
          <w:rFonts w:ascii="Calibri" w:hAnsi="Calibri"/>
          <w:i/>
          <w:sz w:val="18"/>
          <w:szCs w:val="18"/>
        </w:rPr>
        <w:t>çok</w:t>
      </w:r>
      <w:r w:rsidRPr="00040BF8">
        <w:rPr>
          <w:rFonts w:ascii="Calibri" w:hAnsi="Calibri"/>
          <w:i/>
          <w:spacing w:val="8"/>
          <w:sz w:val="18"/>
          <w:szCs w:val="18"/>
        </w:rPr>
        <w:t xml:space="preserve"> </w:t>
      </w:r>
      <w:r w:rsidRPr="00040BF8">
        <w:rPr>
          <w:rFonts w:ascii="Calibri" w:hAnsi="Calibri"/>
          <w:i/>
          <w:sz w:val="18"/>
          <w:szCs w:val="18"/>
        </w:rPr>
        <w:t>az</w:t>
      </w:r>
      <w:r w:rsidRPr="00040BF8">
        <w:rPr>
          <w:rFonts w:ascii="Calibri" w:hAnsi="Calibri"/>
          <w:i/>
          <w:spacing w:val="9"/>
          <w:sz w:val="18"/>
          <w:szCs w:val="18"/>
        </w:rPr>
        <w:t xml:space="preserve"> </w:t>
      </w:r>
      <w:r w:rsidRPr="00040BF8">
        <w:rPr>
          <w:rFonts w:ascii="Calibri" w:hAnsi="Calibri"/>
          <w:i/>
          <w:spacing w:val="-1"/>
          <w:sz w:val="18"/>
          <w:szCs w:val="18"/>
        </w:rPr>
        <w:t>olan</w:t>
      </w:r>
      <w:r w:rsidRPr="00040BF8">
        <w:rPr>
          <w:rFonts w:ascii="Calibri" w:hAnsi="Calibri"/>
          <w:i/>
          <w:spacing w:val="10"/>
          <w:sz w:val="18"/>
          <w:szCs w:val="18"/>
        </w:rPr>
        <w:t xml:space="preserve"> </w:t>
      </w:r>
      <w:r w:rsidRPr="00040BF8">
        <w:rPr>
          <w:rFonts w:ascii="Calibri" w:hAnsi="Calibri"/>
          <w:i/>
          <w:sz w:val="18"/>
          <w:szCs w:val="18"/>
        </w:rPr>
        <w:t>şikâyetlerin</w:t>
      </w:r>
      <w:r w:rsidRPr="00040BF8">
        <w:rPr>
          <w:rFonts w:ascii="Calibri" w:hAnsi="Calibri"/>
          <w:i/>
          <w:spacing w:val="10"/>
          <w:sz w:val="18"/>
          <w:szCs w:val="18"/>
        </w:rPr>
        <w:t xml:space="preserve"> </w:t>
      </w:r>
      <w:r w:rsidRPr="00040BF8">
        <w:rPr>
          <w:rFonts w:ascii="Calibri" w:hAnsi="Calibri"/>
          <w:i/>
          <w:sz w:val="18"/>
          <w:szCs w:val="18"/>
        </w:rPr>
        <w:t>toplamı</w:t>
      </w:r>
      <w:r>
        <w:rPr>
          <w:rFonts w:ascii="Calibri" w:hAnsi="Calibri"/>
          <w:i/>
          <w:sz w:val="18"/>
          <w:szCs w:val="18"/>
        </w:rPr>
        <w:t xml:space="preserve"> </w:t>
      </w:r>
      <w:r w:rsidRPr="00040BF8">
        <w:rPr>
          <w:rFonts w:ascii="Calibri" w:hAnsi="Calibri"/>
          <w:i/>
          <w:spacing w:val="-1"/>
          <w:sz w:val="18"/>
          <w:szCs w:val="18"/>
        </w:rPr>
        <w:t>yer</w:t>
      </w:r>
      <w:r w:rsidRPr="00040BF8">
        <w:rPr>
          <w:rFonts w:ascii="Calibri" w:hAnsi="Calibri"/>
          <w:i/>
          <w:spacing w:val="-3"/>
          <w:sz w:val="18"/>
          <w:szCs w:val="18"/>
        </w:rPr>
        <w:t xml:space="preserve"> </w:t>
      </w:r>
      <w:r w:rsidRPr="00040BF8">
        <w:rPr>
          <w:rFonts w:ascii="Calibri" w:hAnsi="Calibri"/>
          <w:i/>
          <w:spacing w:val="-1"/>
          <w:sz w:val="18"/>
          <w:szCs w:val="18"/>
        </w:rPr>
        <w:t>almaktadır</w:t>
      </w:r>
      <w:r w:rsidRPr="00040BF8">
        <w:rPr>
          <w:rFonts w:ascii="Calibri" w:hAnsi="Calibri"/>
          <w:spacing w:val="-1"/>
          <w:sz w:val="18"/>
          <w:szCs w:val="18"/>
        </w:rPr>
        <w:t>.</w:t>
      </w:r>
    </w:p>
    <w:p w14:paraId="36979325" w14:textId="77777777" w:rsidR="00145A74" w:rsidRPr="002048A7" w:rsidRDefault="00145A74" w:rsidP="002D1BFD">
      <w:pPr>
        <w:spacing w:after="0"/>
        <w:jc w:val="center"/>
      </w:pPr>
      <w:r w:rsidRPr="002048A7">
        <w:br w:type="page"/>
      </w:r>
    </w:p>
    <w:p w14:paraId="6FF4BEF1" w14:textId="77777777" w:rsidR="00C62DB3" w:rsidRPr="002048A7" w:rsidRDefault="00C62DB3" w:rsidP="00577AAF">
      <w:pPr>
        <w:pStyle w:val="Balk1"/>
        <w:numPr>
          <w:ilvl w:val="0"/>
          <w:numId w:val="11"/>
        </w:numPr>
        <w:spacing w:before="0" w:after="240"/>
        <w:rPr>
          <w:rFonts w:ascii="Calibri" w:eastAsia="Times New Roman" w:hAnsi="Calibri"/>
          <w:color w:val="000000"/>
          <w:sz w:val="22"/>
          <w:szCs w:val="22"/>
        </w:rPr>
      </w:pPr>
      <w:bookmarkStart w:id="413" w:name="_Toc195868775"/>
      <w:r w:rsidRPr="002048A7">
        <w:rPr>
          <w:rFonts w:ascii="Calibri" w:eastAsia="Times New Roman" w:hAnsi="Calibri"/>
          <w:color w:val="000000"/>
          <w:sz w:val="22"/>
          <w:szCs w:val="22"/>
        </w:rPr>
        <w:lastRenderedPageBreak/>
        <w:t>BASIN VE HALKLA İLİŞKİLER</w:t>
      </w:r>
      <w:bookmarkEnd w:id="413"/>
      <w:r w:rsidRPr="002048A7">
        <w:rPr>
          <w:rFonts w:ascii="Calibri" w:eastAsia="Times New Roman" w:hAnsi="Calibri"/>
          <w:color w:val="000000"/>
          <w:sz w:val="22"/>
          <w:szCs w:val="22"/>
        </w:rPr>
        <w:t xml:space="preserve"> </w:t>
      </w:r>
    </w:p>
    <w:p w14:paraId="1B4E0EDA" w14:textId="77777777" w:rsidR="00471588" w:rsidRDefault="00471588" w:rsidP="00471588">
      <w:pPr>
        <w:rPr>
          <w:lang w:eastAsia="tr-TR"/>
        </w:rPr>
      </w:pPr>
      <w:r>
        <w:rPr>
          <w:lang w:eastAsia="tr-TR"/>
        </w:rPr>
        <w:t xml:space="preserve">2024 yılı içerisinde enerji sektörü ve Kurum faaliyetleri ile ilgili yayınların izlenmesi ve değerlendirilmesi, basın mensupları tarafından Kuruma yöneltilen yazılı ve sözlü soruların cevaplandırılmasının yanı sıra elektrik, doğal gaz, petrol ve LPG sektörleri ile ilgili kamuoyunun bilgilendirilmesi ve Kurum Başkanı tarafından verilen diğer organizasyon görevleri yerine getirilmiştir. Kurumun faaliyetlerine yönelik haber metinleri oluşturularak medya kuruluşları kanalıyla kamuoyu bilgilendirilmiş ve gerekli durumlarda basın açıklamaları yapılmıştır. </w:t>
      </w:r>
    </w:p>
    <w:p w14:paraId="1C9C78DF" w14:textId="77777777" w:rsidR="00471588" w:rsidRDefault="00471588" w:rsidP="00471588">
      <w:pPr>
        <w:rPr>
          <w:lang w:eastAsia="tr-TR"/>
        </w:rPr>
      </w:pPr>
      <w:r>
        <w:rPr>
          <w:lang w:eastAsia="tr-TR"/>
        </w:rPr>
        <w:t xml:space="preserve">Tüketici haklarına yönelik ve kamuoyunun bilgilendirilmesini gerektiren Kurul Kararları, haber haline dönüştürülerek basın yayın kuruluşları kanalıyla kamuoyu aydınlatılmıştır. </w:t>
      </w:r>
    </w:p>
    <w:p w14:paraId="39D5B4EA" w14:textId="77777777" w:rsidR="00471588" w:rsidRDefault="00471588" w:rsidP="00471588">
      <w:pPr>
        <w:rPr>
          <w:lang w:eastAsia="tr-TR"/>
        </w:rPr>
      </w:pPr>
      <w:r>
        <w:rPr>
          <w:lang w:eastAsia="tr-TR"/>
        </w:rPr>
        <w:t xml:space="preserve">Enerji sektöründe faaliyet gösteren dernekler ile Kurum Başkanı, Kurul Üyeleri ve ilgili hizmet birimleri personelinin katıldığı toplantıların organizasyonları gerçekleştirilmiştir. </w:t>
      </w:r>
    </w:p>
    <w:p w14:paraId="568A4DCC" w14:textId="60474DB9" w:rsidR="00471588" w:rsidRPr="002048A7" w:rsidRDefault="00471588" w:rsidP="00471588">
      <w:pPr>
        <w:rPr>
          <w:lang w:eastAsia="tr-TR"/>
        </w:rPr>
      </w:pPr>
      <w:r>
        <w:rPr>
          <w:lang w:eastAsia="tr-TR"/>
        </w:rPr>
        <w:t>Basında 2024 yılında EPDK'ya yönelik yaklaşık 7</w:t>
      </w:r>
      <w:r w:rsidR="00A61EA2">
        <w:rPr>
          <w:lang w:eastAsia="tr-TR"/>
        </w:rPr>
        <w:t>.</w:t>
      </w:r>
      <w:r>
        <w:rPr>
          <w:lang w:eastAsia="tr-TR"/>
        </w:rPr>
        <w:t>174 yazılı basın haberi, 3</w:t>
      </w:r>
      <w:r w:rsidR="00A61EA2">
        <w:rPr>
          <w:lang w:eastAsia="tr-TR"/>
        </w:rPr>
        <w:t>.</w:t>
      </w:r>
      <w:r>
        <w:rPr>
          <w:lang w:eastAsia="tr-TR"/>
        </w:rPr>
        <w:t>154 TV haberi ve 120.216 internet haberi çıkmıştır. Kurum adına 3 basın açıklaması yayınlanmıştır. Kurum Başkanı, 10 basına açık programa (konferans, telekonferans toplantı, canlı TV yayını) konuşmacı olarak katılmıştır.</w:t>
      </w:r>
    </w:p>
    <w:p w14:paraId="12D76E51" w14:textId="77777777" w:rsidR="00030C2B" w:rsidRPr="002048A7" w:rsidRDefault="00030C2B" w:rsidP="004945F0">
      <w:pPr>
        <w:rPr>
          <w:lang w:eastAsia="tr-TR"/>
        </w:rPr>
      </w:pPr>
    </w:p>
    <w:p w14:paraId="6DAFDFC8" w14:textId="77777777" w:rsidR="005B1782" w:rsidRPr="002048A7" w:rsidRDefault="005B1782" w:rsidP="004945F0">
      <w:pPr>
        <w:rPr>
          <w:lang w:eastAsia="tr-TR"/>
        </w:rPr>
      </w:pPr>
    </w:p>
    <w:p w14:paraId="0F28EB01" w14:textId="77777777" w:rsidR="005B1782" w:rsidRPr="002048A7" w:rsidRDefault="005B1782" w:rsidP="004945F0">
      <w:pPr>
        <w:rPr>
          <w:lang w:eastAsia="tr-TR"/>
        </w:rPr>
      </w:pPr>
    </w:p>
    <w:p w14:paraId="2FCC35D8" w14:textId="77777777" w:rsidR="005B1782" w:rsidRPr="002048A7" w:rsidRDefault="005B1782" w:rsidP="004945F0">
      <w:pPr>
        <w:rPr>
          <w:lang w:eastAsia="tr-TR"/>
        </w:rPr>
      </w:pPr>
    </w:p>
    <w:p w14:paraId="483A66F3" w14:textId="77777777" w:rsidR="005B1782" w:rsidRPr="002048A7" w:rsidRDefault="005B1782" w:rsidP="004945F0">
      <w:pPr>
        <w:rPr>
          <w:lang w:eastAsia="tr-TR"/>
        </w:rPr>
      </w:pPr>
    </w:p>
    <w:p w14:paraId="038C5D0F" w14:textId="77777777" w:rsidR="005B1782" w:rsidRPr="002048A7" w:rsidRDefault="005B1782" w:rsidP="004945F0">
      <w:pPr>
        <w:rPr>
          <w:lang w:eastAsia="tr-TR"/>
        </w:rPr>
      </w:pPr>
    </w:p>
    <w:p w14:paraId="3ADAC7B0" w14:textId="77777777" w:rsidR="005B1782" w:rsidRPr="002048A7" w:rsidRDefault="005B1782" w:rsidP="004945F0">
      <w:pPr>
        <w:rPr>
          <w:lang w:eastAsia="tr-TR"/>
        </w:rPr>
      </w:pPr>
    </w:p>
    <w:p w14:paraId="762B9076" w14:textId="77777777" w:rsidR="005B1782" w:rsidRPr="002048A7" w:rsidRDefault="005B1782" w:rsidP="004945F0">
      <w:pPr>
        <w:rPr>
          <w:lang w:eastAsia="tr-TR"/>
        </w:rPr>
      </w:pPr>
    </w:p>
    <w:p w14:paraId="005203CB" w14:textId="77777777" w:rsidR="005B1782" w:rsidRPr="002048A7" w:rsidRDefault="005B1782" w:rsidP="004945F0">
      <w:pPr>
        <w:rPr>
          <w:lang w:eastAsia="tr-TR"/>
        </w:rPr>
      </w:pPr>
    </w:p>
    <w:p w14:paraId="65683F36" w14:textId="77777777" w:rsidR="005B1782" w:rsidRPr="002048A7" w:rsidRDefault="005B1782" w:rsidP="004945F0">
      <w:pPr>
        <w:rPr>
          <w:lang w:eastAsia="tr-TR"/>
        </w:rPr>
      </w:pPr>
    </w:p>
    <w:p w14:paraId="6B4DEADC" w14:textId="77777777" w:rsidR="005B1782" w:rsidRPr="002048A7" w:rsidRDefault="005B1782" w:rsidP="004945F0">
      <w:pPr>
        <w:rPr>
          <w:lang w:eastAsia="tr-TR"/>
        </w:rPr>
      </w:pPr>
    </w:p>
    <w:p w14:paraId="2737E5E5" w14:textId="77777777" w:rsidR="005B1782" w:rsidRPr="002048A7" w:rsidRDefault="005B1782" w:rsidP="004945F0">
      <w:pPr>
        <w:rPr>
          <w:lang w:eastAsia="tr-TR"/>
        </w:rPr>
      </w:pPr>
    </w:p>
    <w:p w14:paraId="267B524B" w14:textId="77777777" w:rsidR="005B1782" w:rsidRPr="002048A7" w:rsidRDefault="005B1782" w:rsidP="004945F0">
      <w:pPr>
        <w:rPr>
          <w:lang w:eastAsia="tr-TR"/>
        </w:rPr>
      </w:pPr>
    </w:p>
    <w:p w14:paraId="6410C163" w14:textId="77777777" w:rsidR="005B1782" w:rsidRPr="002048A7" w:rsidRDefault="005B1782" w:rsidP="004945F0">
      <w:pPr>
        <w:rPr>
          <w:lang w:eastAsia="tr-TR"/>
        </w:rPr>
      </w:pPr>
    </w:p>
    <w:p w14:paraId="71D7F15E" w14:textId="77777777" w:rsidR="005B1782" w:rsidRPr="002048A7" w:rsidRDefault="005B1782" w:rsidP="004945F0">
      <w:pPr>
        <w:rPr>
          <w:lang w:eastAsia="tr-TR"/>
        </w:rPr>
      </w:pPr>
    </w:p>
    <w:p w14:paraId="04538D67" w14:textId="77777777" w:rsidR="005B1782" w:rsidRPr="002048A7" w:rsidRDefault="005B1782" w:rsidP="00577AAF">
      <w:pPr>
        <w:keepNext/>
        <w:keepLines/>
        <w:numPr>
          <w:ilvl w:val="0"/>
          <w:numId w:val="11"/>
        </w:numPr>
        <w:spacing w:after="240"/>
        <w:outlineLvl w:val="0"/>
        <w:rPr>
          <w:rFonts w:eastAsiaTheme="majorEastAsia" w:cstheme="majorBidi"/>
          <w:b/>
          <w:bCs/>
        </w:rPr>
      </w:pPr>
      <w:bookmarkStart w:id="414" w:name="_Toc39153505"/>
      <w:bookmarkStart w:id="415" w:name="_Toc195868776"/>
      <w:r w:rsidRPr="002048A7">
        <w:rPr>
          <w:rFonts w:eastAsiaTheme="majorEastAsia" w:cstheme="majorBidi"/>
          <w:b/>
          <w:bCs/>
        </w:rPr>
        <w:lastRenderedPageBreak/>
        <w:t>DİĞER KURUMLARLA İLİŞKİLER</w:t>
      </w:r>
      <w:bookmarkEnd w:id="414"/>
      <w:bookmarkEnd w:id="415"/>
    </w:p>
    <w:p w14:paraId="14644B6A" w14:textId="77777777" w:rsidR="005B1782" w:rsidRPr="002048A7" w:rsidRDefault="005B1782" w:rsidP="00577AAF">
      <w:pPr>
        <w:pStyle w:val="ListeParagraf"/>
        <w:keepNext/>
        <w:keepLines/>
        <w:numPr>
          <w:ilvl w:val="1"/>
          <w:numId w:val="11"/>
        </w:numPr>
        <w:spacing w:before="200" w:after="120"/>
        <w:outlineLvl w:val="1"/>
        <w:rPr>
          <w:rFonts w:eastAsiaTheme="majorEastAsia" w:cstheme="majorBidi"/>
          <w:b/>
          <w:bCs/>
          <w:color w:val="000000" w:themeColor="text1"/>
        </w:rPr>
      </w:pPr>
      <w:bookmarkStart w:id="416" w:name="_Toc39153506"/>
      <w:bookmarkStart w:id="417" w:name="_Toc195868777"/>
      <w:r w:rsidRPr="002048A7">
        <w:rPr>
          <w:rFonts w:eastAsiaTheme="majorEastAsia" w:cstheme="majorBidi"/>
          <w:b/>
          <w:bCs/>
          <w:color w:val="000000" w:themeColor="text1"/>
        </w:rPr>
        <w:t>Bakanlık Kanalıyla TBMM'den Gelen Soru Önergeleri</w:t>
      </w:r>
      <w:bookmarkEnd w:id="416"/>
      <w:bookmarkEnd w:id="417"/>
    </w:p>
    <w:p w14:paraId="66ADCE50" w14:textId="56E35517" w:rsidR="00A66E26" w:rsidRPr="002048A7" w:rsidRDefault="00A66E26" w:rsidP="00A66E26">
      <w:pPr>
        <w:pStyle w:val="ListeParagraf"/>
        <w:spacing w:after="0"/>
        <w:ind w:left="360"/>
      </w:pPr>
      <w:r w:rsidRPr="002048A7">
        <w:t>Bakanlık kanalıyla 202</w:t>
      </w:r>
      <w:r w:rsidR="00A16307">
        <w:t>4</w:t>
      </w:r>
      <w:r w:rsidRPr="002048A7">
        <w:t xml:space="preserve"> yılında TBMM’den gelen </w:t>
      </w:r>
      <w:r w:rsidR="00A16307">
        <w:t>314</w:t>
      </w:r>
      <w:r w:rsidRPr="002048A7">
        <w:t xml:space="preserve"> adet soru önergesi talebi için cevap oluşturulmuştur. Söz konusu soru önergelerinin dağılımı Tablo 11.1’de gösterilmektedir.</w:t>
      </w:r>
    </w:p>
    <w:p w14:paraId="34D0C4BB" w14:textId="77777777" w:rsidR="00A66E26" w:rsidRPr="002048A7" w:rsidRDefault="00A66E26" w:rsidP="00A66E26">
      <w:pPr>
        <w:pStyle w:val="ListeParagraf"/>
        <w:spacing w:after="0"/>
        <w:ind w:left="360"/>
      </w:pPr>
    </w:p>
    <w:p w14:paraId="48180277" w14:textId="53F6EF4D" w:rsidR="00A66E26" w:rsidRPr="002048A7" w:rsidRDefault="00A66E26" w:rsidP="00A66E26">
      <w:pPr>
        <w:pStyle w:val="Balk5"/>
        <w:spacing w:after="240"/>
        <w:jc w:val="center"/>
        <w:rPr>
          <w:rFonts w:asciiTheme="minorHAnsi" w:hAnsiTheme="minorHAnsi"/>
          <w:b/>
          <w:bCs/>
          <w:color w:val="000000" w:themeColor="text1"/>
        </w:rPr>
      </w:pPr>
      <w:bookmarkStart w:id="418" w:name="_Toc39153598"/>
      <w:bookmarkStart w:id="419" w:name="_Toc161321155"/>
      <w:bookmarkStart w:id="420" w:name="_Toc195868873"/>
      <w:r w:rsidRPr="002048A7">
        <w:rPr>
          <w:rStyle w:val="Gl"/>
          <w:color w:val="000000" w:themeColor="text1"/>
        </w:rPr>
        <w:t>Tablo 11.1: 202</w:t>
      </w:r>
      <w:r w:rsidR="00A16307">
        <w:rPr>
          <w:rStyle w:val="Gl"/>
          <w:color w:val="000000" w:themeColor="text1"/>
        </w:rPr>
        <w:t>4</w:t>
      </w:r>
      <w:r w:rsidRPr="002048A7">
        <w:rPr>
          <w:rStyle w:val="Gl"/>
          <w:color w:val="000000" w:themeColor="text1"/>
        </w:rPr>
        <w:t xml:space="preserve"> Yılında Gelen Soru Önergelerinin Konu </w:t>
      </w:r>
      <w:r w:rsidRPr="002048A7">
        <w:rPr>
          <w:rStyle w:val="Gl"/>
          <w:color w:val="auto"/>
        </w:rPr>
        <w:t>Bazında</w:t>
      </w:r>
      <w:r w:rsidRPr="002048A7">
        <w:rPr>
          <w:rStyle w:val="Gl"/>
          <w:color w:val="000000" w:themeColor="text1"/>
        </w:rPr>
        <w:t xml:space="preserve"> Dağılımı</w:t>
      </w:r>
      <w:bookmarkEnd w:id="418"/>
      <w:bookmarkEnd w:id="419"/>
      <w:bookmarkEnd w:id="420"/>
    </w:p>
    <w:tbl>
      <w:tblPr>
        <w:tblW w:w="4682" w:type="pct"/>
        <w:tblLayout w:type="fixed"/>
        <w:tblCellMar>
          <w:left w:w="70" w:type="dxa"/>
          <w:right w:w="70" w:type="dxa"/>
        </w:tblCellMar>
        <w:tblLook w:val="04A0" w:firstRow="1" w:lastRow="0" w:firstColumn="1" w:lastColumn="0" w:noHBand="0" w:noVBand="1"/>
      </w:tblPr>
      <w:tblGrid>
        <w:gridCol w:w="8168"/>
        <w:gridCol w:w="1103"/>
      </w:tblGrid>
      <w:tr w:rsidR="00A16307" w:rsidRPr="002048A7" w14:paraId="3A208A68" w14:textId="77777777" w:rsidTr="00EA4C02">
        <w:trPr>
          <w:trHeight w:val="18"/>
        </w:trPr>
        <w:tc>
          <w:tcPr>
            <w:tcW w:w="4405" w:type="pct"/>
            <w:tcBorders>
              <w:top w:val="single" w:sz="8" w:space="0" w:color="BFBFBF"/>
              <w:left w:val="single" w:sz="8" w:space="0" w:color="BFBFBF"/>
              <w:bottom w:val="single" w:sz="8" w:space="0" w:color="BFBFBF"/>
              <w:right w:val="single" w:sz="8" w:space="0" w:color="BFBFBF"/>
            </w:tcBorders>
            <w:shd w:val="clear" w:color="000000" w:fill="6E9ECA"/>
            <w:noWrap/>
            <w:vAlign w:val="center"/>
            <w:hideMark/>
          </w:tcPr>
          <w:p w14:paraId="74024211" w14:textId="77777777" w:rsidR="00A16307" w:rsidRPr="002048A7" w:rsidRDefault="00A16307" w:rsidP="0030074A">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Soru Önergesi İçeriği</w:t>
            </w:r>
          </w:p>
        </w:tc>
        <w:tc>
          <w:tcPr>
            <w:tcW w:w="595" w:type="pct"/>
            <w:tcBorders>
              <w:top w:val="single" w:sz="8" w:space="0" w:color="BFBFBF"/>
              <w:left w:val="nil"/>
              <w:bottom w:val="single" w:sz="8" w:space="0" w:color="BFBFBF"/>
              <w:right w:val="single" w:sz="8" w:space="0" w:color="BFBFBF"/>
            </w:tcBorders>
            <w:shd w:val="clear" w:color="000000" w:fill="6E9ECA"/>
            <w:noWrap/>
            <w:vAlign w:val="center"/>
            <w:hideMark/>
          </w:tcPr>
          <w:p w14:paraId="15AD72F9" w14:textId="77777777" w:rsidR="00A16307" w:rsidRPr="002048A7" w:rsidRDefault="00A16307" w:rsidP="0030074A">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Adet</w:t>
            </w:r>
          </w:p>
        </w:tc>
      </w:tr>
      <w:tr w:rsidR="00A16307" w:rsidRPr="002048A7" w14:paraId="03F62653" w14:textId="77777777" w:rsidTr="00EA4C02">
        <w:trPr>
          <w:trHeight w:val="394"/>
        </w:trPr>
        <w:tc>
          <w:tcPr>
            <w:tcW w:w="4405" w:type="pct"/>
            <w:tcBorders>
              <w:top w:val="nil"/>
              <w:left w:val="single" w:sz="8" w:space="0" w:color="BFBFBF"/>
              <w:bottom w:val="single" w:sz="8" w:space="0" w:color="BFBFBF"/>
              <w:right w:val="single" w:sz="8" w:space="0" w:color="BFBFBF"/>
            </w:tcBorders>
            <w:shd w:val="clear" w:color="000000" w:fill="FFFFFF"/>
            <w:noWrap/>
            <w:vAlign w:val="center"/>
            <w:hideMark/>
          </w:tcPr>
          <w:p w14:paraId="0D6A8A5B" w14:textId="1ACD87DE" w:rsidR="00A16307" w:rsidRPr="002048A7" w:rsidRDefault="00A16307" w:rsidP="0030074A">
            <w:pPr>
              <w:pStyle w:val="ListeParagraf"/>
              <w:spacing w:after="0"/>
              <w:ind w:left="360"/>
            </w:pPr>
            <w:r w:rsidRPr="00734006">
              <w:t xml:space="preserve">Elektrik ve Doğal Gaz </w:t>
            </w:r>
            <w:r w:rsidR="00EA4C02">
              <w:t>Dağıtım Şirketlerine İlişkin Şikayetler, Denetimler, Yatırımlar</w:t>
            </w:r>
          </w:p>
        </w:tc>
        <w:tc>
          <w:tcPr>
            <w:tcW w:w="595" w:type="pct"/>
            <w:tcBorders>
              <w:top w:val="nil"/>
              <w:left w:val="nil"/>
              <w:bottom w:val="single" w:sz="8" w:space="0" w:color="BFBFBF"/>
              <w:right w:val="single" w:sz="8" w:space="0" w:color="BFBFBF"/>
            </w:tcBorders>
            <w:shd w:val="clear" w:color="000000" w:fill="FFFFFF"/>
            <w:noWrap/>
            <w:vAlign w:val="center"/>
            <w:hideMark/>
          </w:tcPr>
          <w:p w14:paraId="4B4A7EFA" w14:textId="2210FA3A" w:rsidR="00A16307" w:rsidRPr="002048A7" w:rsidRDefault="00A16307" w:rsidP="0030074A">
            <w:pPr>
              <w:pStyle w:val="ListeParagraf"/>
              <w:spacing w:after="0"/>
              <w:ind w:left="360"/>
            </w:pPr>
            <w:r>
              <w:t>15</w:t>
            </w:r>
            <w:r w:rsidR="00EA4C02">
              <w:t>5</w:t>
            </w:r>
          </w:p>
        </w:tc>
      </w:tr>
      <w:tr w:rsidR="00A16307" w:rsidRPr="002048A7" w14:paraId="76482F47" w14:textId="77777777" w:rsidTr="00EA4C02">
        <w:trPr>
          <w:trHeight w:val="394"/>
        </w:trPr>
        <w:tc>
          <w:tcPr>
            <w:tcW w:w="4405" w:type="pct"/>
            <w:tcBorders>
              <w:top w:val="nil"/>
              <w:left w:val="single" w:sz="8" w:space="0" w:color="BFBFBF"/>
              <w:bottom w:val="single" w:sz="8" w:space="0" w:color="BFBFBF"/>
              <w:right w:val="single" w:sz="8" w:space="0" w:color="BFBFBF"/>
            </w:tcBorders>
            <w:shd w:val="clear" w:color="000000" w:fill="FFFFFF"/>
            <w:noWrap/>
            <w:vAlign w:val="center"/>
          </w:tcPr>
          <w:p w14:paraId="1528E80A" w14:textId="77777777" w:rsidR="00A16307" w:rsidRPr="002048A7" w:rsidRDefault="00A16307" w:rsidP="0030074A">
            <w:pPr>
              <w:pStyle w:val="ListeParagraf"/>
              <w:spacing w:after="0"/>
              <w:ind w:left="360"/>
            </w:pPr>
            <w:r w:rsidRPr="002048A7">
              <w:t xml:space="preserve">Borcu Yüzünden Elektriği ve Doğal Gazı Kesilen Veya İcralık Olan Tüketici Sayıları </w:t>
            </w:r>
          </w:p>
        </w:tc>
        <w:tc>
          <w:tcPr>
            <w:tcW w:w="595" w:type="pct"/>
            <w:tcBorders>
              <w:top w:val="nil"/>
              <w:left w:val="nil"/>
              <w:bottom w:val="single" w:sz="8" w:space="0" w:color="BFBFBF"/>
              <w:right w:val="single" w:sz="8" w:space="0" w:color="BFBFBF"/>
            </w:tcBorders>
            <w:shd w:val="clear" w:color="000000" w:fill="FFFFFF"/>
            <w:noWrap/>
            <w:vAlign w:val="center"/>
          </w:tcPr>
          <w:p w14:paraId="5D5A8FB6" w14:textId="77777777" w:rsidR="00A16307" w:rsidRPr="002048A7" w:rsidRDefault="00A16307" w:rsidP="0030074A">
            <w:pPr>
              <w:pStyle w:val="ListeParagraf"/>
              <w:spacing w:after="0"/>
              <w:ind w:left="360"/>
            </w:pPr>
            <w:r>
              <w:t>89</w:t>
            </w:r>
          </w:p>
        </w:tc>
      </w:tr>
      <w:tr w:rsidR="00A16307" w:rsidRPr="002048A7" w14:paraId="6F026F07" w14:textId="77777777" w:rsidTr="00EA4C02">
        <w:trPr>
          <w:trHeight w:val="394"/>
        </w:trPr>
        <w:tc>
          <w:tcPr>
            <w:tcW w:w="4405" w:type="pct"/>
            <w:tcBorders>
              <w:top w:val="nil"/>
              <w:left w:val="single" w:sz="8" w:space="0" w:color="BFBFBF"/>
              <w:bottom w:val="single" w:sz="8" w:space="0" w:color="BFBFBF"/>
              <w:right w:val="single" w:sz="8" w:space="0" w:color="BFBFBF"/>
            </w:tcBorders>
            <w:shd w:val="clear" w:color="000000" w:fill="FFFFFF"/>
            <w:noWrap/>
            <w:vAlign w:val="center"/>
          </w:tcPr>
          <w:p w14:paraId="4A4AA1CA" w14:textId="41665669" w:rsidR="00A16307" w:rsidRPr="002048A7" w:rsidRDefault="00A16307" w:rsidP="0030074A">
            <w:pPr>
              <w:pStyle w:val="ListeParagraf"/>
              <w:spacing w:after="0"/>
              <w:ind w:left="360"/>
            </w:pPr>
            <w:r w:rsidRPr="00734006">
              <w:t xml:space="preserve">Enerji Santralleri (RES, HES, GES, JES Yatırımları) </w:t>
            </w:r>
          </w:p>
        </w:tc>
        <w:tc>
          <w:tcPr>
            <w:tcW w:w="595" w:type="pct"/>
            <w:tcBorders>
              <w:top w:val="nil"/>
              <w:left w:val="nil"/>
              <w:bottom w:val="single" w:sz="8" w:space="0" w:color="BFBFBF"/>
              <w:right w:val="single" w:sz="8" w:space="0" w:color="BFBFBF"/>
            </w:tcBorders>
            <w:shd w:val="clear" w:color="000000" w:fill="FFFFFF"/>
            <w:noWrap/>
            <w:vAlign w:val="center"/>
          </w:tcPr>
          <w:p w14:paraId="2C2DAAE9" w14:textId="77777777" w:rsidR="00A16307" w:rsidRPr="002048A7" w:rsidRDefault="00A16307" w:rsidP="0030074A">
            <w:pPr>
              <w:pStyle w:val="ListeParagraf"/>
              <w:spacing w:after="0"/>
              <w:ind w:left="360"/>
            </w:pPr>
            <w:r>
              <w:t>26</w:t>
            </w:r>
          </w:p>
        </w:tc>
      </w:tr>
      <w:tr w:rsidR="00A16307" w:rsidRPr="002048A7" w14:paraId="1A338C6E" w14:textId="77777777" w:rsidTr="00EA4C02">
        <w:trPr>
          <w:trHeight w:val="394"/>
        </w:trPr>
        <w:tc>
          <w:tcPr>
            <w:tcW w:w="4405" w:type="pct"/>
            <w:tcBorders>
              <w:top w:val="nil"/>
              <w:left w:val="single" w:sz="8" w:space="0" w:color="BFBFBF"/>
              <w:bottom w:val="single" w:sz="8" w:space="0" w:color="BFBFBF"/>
              <w:right w:val="single" w:sz="8" w:space="0" w:color="BFBFBF"/>
            </w:tcBorders>
            <w:shd w:val="clear" w:color="000000" w:fill="FFFFFF"/>
            <w:noWrap/>
            <w:vAlign w:val="center"/>
          </w:tcPr>
          <w:p w14:paraId="4B6A5D33" w14:textId="77777777" w:rsidR="00A16307" w:rsidRPr="002048A7" w:rsidRDefault="00A16307" w:rsidP="0030074A">
            <w:pPr>
              <w:pStyle w:val="ListeParagraf"/>
              <w:spacing w:after="0"/>
              <w:ind w:left="360"/>
            </w:pPr>
            <w:r w:rsidRPr="002048A7">
              <w:t>Tarife Düzenlemeleri ve Zamlar</w:t>
            </w:r>
          </w:p>
        </w:tc>
        <w:tc>
          <w:tcPr>
            <w:tcW w:w="595" w:type="pct"/>
            <w:tcBorders>
              <w:top w:val="nil"/>
              <w:left w:val="nil"/>
              <w:bottom w:val="single" w:sz="8" w:space="0" w:color="BFBFBF"/>
              <w:right w:val="single" w:sz="8" w:space="0" w:color="BFBFBF"/>
            </w:tcBorders>
            <w:shd w:val="clear" w:color="000000" w:fill="FFFFFF"/>
            <w:noWrap/>
            <w:vAlign w:val="center"/>
          </w:tcPr>
          <w:p w14:paraId="4A863888" w14:textId="42662E28" w:rsidR="00A16307" w:rsidRPr="002048A7" w:rsidRDefault="00A16307" w:rsidP="0030074A">
            <w:pPr>
              <w:pStyle w:val="ListeParagraf"/>
              <w:spacing w:after="0"/>
              <w:ind w:left="360"/>
            </w:pPr>
            <w:r>
              <w:t>2</w:t>
            </w:r>
            <w:r w:rsidR="00EA4C02">
              <w:t>3</w:t>
            </w:r>
          </w:p>
        </w:tc>
      </w:tr>
      <w:tr w:rsidR="00A16307" w:rsidRPr="002048A7" w14:paraId="4904D161" w14:textId="77777777" w:rsidTr="00EA4C02">
        <w:trPr>
          <w:trHeight w:val="394"/>
        </w:trPr>
        <w:tc>
          <w:tcPr>
            <w:tcW w:w="4405" w:type="pct"/>
            <w:tcBorders>
              <w:top w:val="nil"/>
              <w:left w:val="single" w:sz="8" w:space="0" w:color="BFBFBF"/>
              <w:bottom w:val="single" w:sz="8" w:space="0" w:color="BFBFBF"/>
              <w:right w:val="single" w:sz="8" w:space="0" w:color="BFBFBF"/>
            </w:tcBorders>
            <w:shd w:val="clear" w:color="000000" w:fill="FFFFFF"/>
            <w:noWrap/>
            <w:vAlign w:val="center"/>
          </w:tcPr>
          <w:p w14:paraId="469F1554" w14:textId="4039370A" w:rsidR="00A16307" w:rsidRPr="002048A7" w:rsidRDefault="00A16307" w:rsidP="0030074A">
            <w:pPr>
              <w:pStyle w:val="ListeParagraf"/>
              <w:spacing w:after="0"/>
              <w:ind w:left="360"/>
            </w:pPr>
            <w:r w:rsidRPr="00734006">
              <w:t xml:space="preserve">6 Şubat’ta yaşanan deprem felaketi sonrası elektrik ve doğal gaz dağıtım hizmetleri </w:t>
            </w:r>
          </w:p>
        </w:tc>
        <w:tc>
          <w:tcPr>
            <w:tcW w:w="595" w:type="pct"/>
            <w:tcBorders>
              <w:top w:val="nil"/>
              <w:left w:val="nil"/>
              <w:bottom w:val="single" w:sz="8" w:space="0" w:color="BFBFBF"/>
              <w:right w:val="single" w:sz="8" w:space="0" w:color="BFBFBF"/>
            </w:tcBorders>
            <w:shd w:val="clear" w:color="000000" w:fill="FFFFFF"/>
            <w:noWrap/>
            <w:vAlign w:val="center"/>
          </w:tcPr>
          <w:p w14:paraId="60020849" w14:textId="77777777" w:rsidR="00A16307" w:rsidRPr="002048A7" w:rsidRDefault="00A16307" w:rsidP="0030074A">
            <w:pPr>
              <w:pStyle w:val="ListeParagraf"/>
              <w:spacing w:after="0"/>
              <w:ind w:left="360"/>
            </w:pPr>
            <w:r>
              <w:t>5</w:t>
            </w:r>
          </w:p>
        </w:tc>
      </w:tr>
      <w:tr w:rsidR="00A16307" w:rsidRPr="002048A7" w14:paraId="238DF32D" w14:textId="77777777" w:rsidTr="00EA4C02">
        <w:trPr>
          <w:trHeight w:val="394"/>
        </w:trPr>
        <w:tc>
          <w:tcPr>
            <w:tcW w:w="4405" w:type="pct"/>
            <w:tcBorders>
              <w:top w:val="nil"/>
              <w:left w:val="single" w:sz="8" w:space="0" w:color="BFBFBF"/>
              <w:bottom w:val="single" w:sz="8" w:space="0" w:color="BFBFBF"/>
              <w:right w:val="single" w:sz="8" w:space="0" w:color="BFBFBF"/>
            </w:tcBorders>
            <w:shd w:val="clear" w:color="000000" w:fill="FFFFFF"/>
            <w:noWrap/>
            <w:vAlign w:val="center"/>
          </w:tcPr>
          <w:p w14:paraId="72893A92" w14:textId="77777777" w:rsidR="00A16307" w:rsidRPr="002048A7" w:rsidRDefault="00A16307" w:rsidP="0030074A">
            <w:pPr>
              <w:pStyle w:val="ListeParagraf"/>
              <w:spacing w:after="0"/>
              <w:ind w:left="360"/>
            </w:pPr>
            <w:r w:rsidRPr="00734006">
              <w:t>Akaryakıt fiyatları ve piyasadaki faaliyetler</w:t>
            </w:r>
          </w:p>
        </w:tc>
        <w:tc>
          <w:tcPr>
            <w:tcW w:w="595" w:type="pct"/>
            <w:tcBorders>
              <w:top w:val="nil"/>
              <w:left w:val="nil"/>
              <w:bottom w:val="single" w:sz="8" w:space="0" w:color="BFBFBF"/>
              <w:right w:val="single" w:sz="8" w:space="0" w:color="BFBFBF"/>
            </w:tcBorders>
            <w:shd w:val="clear" w:color="000000" w:fill="FFFFFF"/>
            <w:noWrap/>
            <w:vAlign w:val="center"/>
          </w:tcPr>
          <w:p w14:paraId="1598D772" w14:textId="77777777" w:rsidR="00A16307" w:rsidRPr="002048A7" w:rsidRDefault="00A16307" w:rsidP="0030074A">
            <w:pPr>
              <w:pStyle w:val="ListeParagraf"/>
              <w:spacing w:after="0"/>
              <w:ind w:left="360"/>
            </w:pPr>
            <w:r>
              <w:t>9</w:t>
            </w:r>
          </w:p>
        </w:tc>
      </w:tr>
      <w:tr w:rsidR="00A16307" w:rsidRPr="002048A7" w14:paraId="5465077F" w14:textId="77777777" w:rsidTr="00EA4C02">
        <w:trPr>
          <w:trHeight w:val="394"/>
        </w:trPr>
        <w:tc>
          <w:tcPr>
            <w:tcW w:w="4405" w:type="pct"/>
            <w:tcBorders>
              <w:top w:val="nil"/>
              <w:left w:val="single" w:sz="8" w:space="0" w:color="BFBFBF"/>
              <w:bottom w:val="single" w:sz="8" w:space="0" w:color="BFBFBF"/>
              <w:right w:val="single" w:sz="8" w:space="0" w:color="BFBFBF"/>
            </w:tcBorders>
            <w:shd w:val="clear" w:color="000000" w:fill="FFFFFF"/>
            <w:noWrap/>
            <w:vAlign w:val="center"/>
          </w:tcPr>
          <w:p w14:paraId="7588AFFE" w14:textId="1A9AD063" w:rsidR="00A16307" w:rsidRPr="002048A7" w:rsidRDefault="00A16307" w:rsidP="0030074A">
            <w:pPr>
              <w:pStyle w:val="ListeParagraf"/>
              <w:spacing w:after="0"/>
              <w:ind w:left="360"/>
            </w:pPr>
            <w:r w:rsidRPr="00734006">
              <w:t xml:space="preserve"> </w:t>
            </w:r>
            <w:r w:rsidR="00EA4C02">
              <w:t>‘S</w:t>
            </w:r>
            <w:r w:rsidRPr="00734006">
              <w:t>aadet zinciri’ benzeri yapılanmalar</w:t>
            </w:r>
          </w:p>
        </w:tc>
        <w:tc>
          <w:tcPr>
            <w:tcW w:w="595" w:type="pct"/>
            <w:tcBorders>
              <w:top w:val="nil"/>
              <w:left w:val="nil"/>
              <w:bottom w:val="single" w:sz="8" w:space="0" w:color="BFBFBF"/>
              <w:right w:val="single" w:sz="8" w:space="0" w:color="BFBFBF"/>
            </w:tcBorders>
            <w:shd w:val="clear" w:color="000000" w:fill="FFFFFF"/>
            <w:noWrap/>
            <w:vAlign w:val="center"/>
          </w:tcPr>
          <w:p w14:paraId="17D4A906" w14:textId="77777777" w:rsidR="00A16307" w:rsidRPr="002048A7" w:rsidRDefault="00A16307" w:rsidP="0030074A">
            <w:pPr>
              <w:pStyle w:val="ListeParagraf"/>
              <w:spacing w:after="0"/>
              <w:ind w:left="360"/>
            </w:pPr>
            <w:r>
              <w:t>2</w:t>
            </w:r>
          </w:p>
        </w:tc>
      </w:tr>
      <w:tr w:rsidR="00A16307" w:rsidRPr="002048A7" w14:paraId="2CBE6CCF" w14:textId="77777777" w:rsidTr="00EA4C02">
        <w:trPr>
          <w:trHeight w:val="394"/>
        </w:trPr>
        <w:tc>
          <w:tcPr>
            <w:tcW w:w="4405" w:type="pct"/>
            <w:tcBorders>
              <w:top w:val="nil"/>
              <w:left w:val="single" w:sz="8" w:space="0" w:color="BFBFBF"/>
              <w:bottom w:val="single" w:sz="8" w:space="0" w:color="BFBFBF"/>
              <w:right w:val="single" w:sz="8" w:space="0" w:color="BFBFBF"/>
            </w:tcBorders>
            <w:shd w:val="clear" w:color="000000" w:fill="FFFFFF"/>
            <w:noWrap/>
            <w:vAlign w:val="center"/>
          </w:tcPr>
          <w:p w14:paraId="42DD7571" w14:textId="77777777" w:rsidR="00A16307" w:rsidRPr="002048A7" w:rsidRDefault="00A16307" w:rsidP="0030074A">
            <w:pPr>
              <w:pStyle w:val="ListeParagraf"/>
              <w:spacing w:after="0"/>
              <w:ind w:left="360"/>
            </w:pPr>
            <w:r w:rsidRPr="00734006">
              <w:t xml:space="preserve">EPDK İş ve İşlemleri </w:t>
            </w:r>
          </w:p>
        </w:tc>
        <w:tc>
          <w:tcPr>
            <w:tcW w:w="595" w:type="pct"/>
            <w:tcBorders>
              <w:top w:val="nil"/>
              <w:left w:val="nil"/>
              <w:bottom w:val="single" w:sz="8" w:space="0" w:color="BFBFBF"/>
              <w:right w:val="single" w:sz="8" w:space="0" w:color="BFBFBF"/>
            </w:tcBorders>
            <w:shd w:val="clear" w:color="000000" w:fill="FFFFFF"/>
            <w:noWrap/>
            <w:vAlign w:val="center"/>
          </w:tcPr>
          <w:p w14:paraId="44EF55E1" w14:textId="77777777" w:rsidR="00A16307" w:rsidRPr="002048A7" w:rsidRDefault="00A16307" w:rsidP="0030074A">
            <w:pPr>
              <w:pStyle w:val="ListeParagraf"/>
              <w:spacing w:after="0"/>
              <w:ind w:left="360"/>
            </w:pPr>
            <w:r w:rsidRPr="002048A7">
              <w:t>2</w:t>
            </w:r>
          </w:p>
        </w:tc>
      </w:tr>
      <w:tr w:rsidR="00A16307" w:rsidRPr="002048A7" w14:paraId="6170F8E0" w14:textId="77777777" w:rsidTr="00EA4C02">
        <w:trPr>
          <w:trHeight w:val="394"/>
        </w:trPr>
        <w:tc>
          <w:tcPr>
            <w:tcW w:w="4405" w:type="pct"/>
            <w:tcBorders>
              <w:top w:val="nil"/>
              <w:left w:val="single" w:sz="8" w:space="0" w:color="BFBFBF"/>
              <w:bottom w:val="single" w:sz="8" w:space="0" w:color="BFBFBF"/>
              <w:right w:val="single" w:sz="8" w:space="0" w:color="BFBFBF"/>
            </w:tcBorders>
            <w:shd w:val="clear" w:color="000000" w:fill="FFFFFF"/>
            <w:noWrap/>
            <w:vAlign w:val="center"/>
          </w:tcPr>
          <w:p w14:paraId="20611366" w14:textId="77777777" w:rsidR="00A16307" w:rsidRPr="002048A7" w:rsidRDefault="00A16307" w:rsidP="0030074A">
            <w:pPr>
              <w:pStyle w:val="ListeParagraf"/>
              <w:spacing w:after="0"/>
              <w:ind w:left="360"/>
            </w:pPr>
            <w:r w:rsidRPr="002048A7">
              <w:t>Kurum Görev Alanı İçerisinde Yer Almayan Konular</w:t>
            </w:r>
          </w:p>
        </w:tc>
        <w:tc>
          <w:tcPr>
            <w:tcW w:w="595" w:type="pct"/>
            <w:tcBorders>
              <w:top w:val="nil"/>
              <w:left w:val="nil"/>
              <w:bottom w:val="single" w:sz="8" w:space="0" w:color="BFBFBF"/>
              <w:right w:val="single" w:sz="8" w:space="0" w:color="BFBFBF"/>
            </w:tcBorders>
            <w:shd w:val="clear" w:color="000000" w:fill="FFFFFF"/>
            <w:noWrap/>
            <w:vAlign w:val="center"/>
          </w:tcPr>
          <w:p w14:paraId="4731ED7F" w14:textId="77777777" w:rsidR="00A16307" w:rsidRPr="002048A7" w:rsidRDefault="00A16307" w:rsidP="0030074A">
            <w:pPr>
              <w:pStyle w:val="ListeParagraf"/>
              <w:spacing w:after="0"/>
              <w:ind w:left="360"/>
            </w:pPr>
            <w:r>
              <w:t>3</w:t>
            </w:r>
          </w:p>
        </w:tc>
      </w:tr>
      <w:tr w:rsidR="00A16307" w:rsidRPr="002048A7" w14:paraId="392AACCE" w14:textId="77777777" w:rsidTr="00EA4C02">
        <w:trPr>
          <w:trHeight w:val="394"/>
        </w:trPr>
        <w:tc>
          <w:tcPr>
            <w:tcW w:w="4405" w:type="pct"/>
            <w:tcBorders>
              <w:top w:val="nil"/>
              <w:left w:val="single" w:sz="8" w:space="0" w:color="BFBFBF"/>
              <w:bottom w:val="single" w:sz="8" w:space="0" w:color="BFBFBF"/>
              <w:right w:val="single" w:sz="8" w:space="0" w:color="BFBFBF"/>
            </w:tcBorders>
            <w:shd w:val="clear" w:color="000000" w:fill="FFFFFF"/>
            <w:noWrap/>
            <w:vAlign w:val="center"/>
          </w:tcPr>
          <w:p w14:paraId="46089E1D" w14:textId="77777777" w:rsidR="00A16307" w:rsidRPr="00734006" w:rsidRDefault="00A16307" w:rsidP="0030074A">
            <w:pPr>
              <w:pStyle w:val="ListeParagraf"/>
              <w:spacing w:after="0"/>
              <w:ind w:left="360"/>
              <w:rPr>
                <w:b/>
              </w:rPr>
            </w:pPr>
            <w:r w:rsidRPr="00734006">
              <w:rPr>
                <w:b/>
              </w:rPr>
              <w:t>Toplam</w:t>
            </w:r>
          </w:p>
        </w:tc>
        <w:tc>
          <w:tcPr>
            <w:tcW w:w="595" w:type="pct"/>
            <w:tcBorders>
              <w:top w:val="nil"/>
              <w:left w:val="nil"/>
              <w:bottom w:val="single" w:sz="8" w:space="0" w:color="BFBFBF"/>
              <w:right w:val="single" w:sz="8" w:space="0" w:color="BFBFBF"/>
            </w:tcBorders>
            <w:shd w:val="clear" w:color="000000" w:fill="FFFFFF"/>
            <w:noWrap/>
            <w:vAlign w:val="center"/>
          </w:tcPr>
          <w:p w14:paraId="53A69839" w14:textId="77777777" w:rsidR="00A16307" w:rsidRPr="00734006" w:rsidRDefault="00A16307" w:rsidP="0030074A">
            <w:pPr>
              <w:pStyle w:val="ListeParagraf"/>
              <w:spacing w:after="0"/>
              <w:ind w:left="360"/>
              <w:rPr>
                <w:b/>
              </w:rPr>
            </w:pPr>
            <w:r w:rsidRPr="00734006">
              <w:rPr>
                <w:b/>
              </w:rPr>
              <w:t>314</w:t>
            </w:r>
          </w:p>
        </w:tc>
      </w:tr>
    </w:tbl>
    <w:p w14:paraId="201F8371" w14:textId="77777777" w:rsidR="00A16307" w:rsidRPr="002048A7" w:rsidRDefault="00A16307" w:rsidP="00A66E26">
      <w:pPr>
        <w:pStyle w:val="ListeParagraf"/>
        <w:ind w:left="360"/>
      </w:pPr>
    </w:p>
    <w:p w14:paraId="2A0B1AA2" w14:textId="77777777" w:rsidR="00A66E26" w:rsidRPr="002048A7" w:rsidRDefault="00A66E26" w:rsidP="00A66E26">
      <w:pPr>
        <w:pStyle w:val="ListeParagraf"/>
        <w:ind w:left="360"/>
      </w:pPr>
    </w:p>
    <w:p w14:paraId="070985BB" w14:textId="4999B001" w:rsidR="00A66E26" w:rsidRPr="002048A7" w:rsidRDefault="00A66E26" w:rsidP="00A66E26">
      <w:pPr>
        <w:pStyle w:val="Balk5"/>
        <w:spacing w:before="120" w:after="120" w:line="240" w:lineRule="auto"/>
        <w:jc w:val="center"/>
        <w:rPr>
          <w:rStyle w:val="Gl"/>
          <w:color w:val="auto"/>
        </w:rPr>
      </w:pPr>
      <w:bookmarkStart w:id="421" w:name="_Toc39153599"/>
      <w:bookmarkStart w:id="422" w:name="_Toc161321156"/>
      <w:bookmarkStart w:id="423" w:name="_Toc195868874"/>
      <w:r w:rsidRPr="002048A7">
        <w:rPr>
          <w:rStyle w:val="Gl"/>
          <w:color w:val="auto"/>
        </w:rPr>
        <w:t>Şekil 11.1: 202</w:t>
      </w:r>
      <w:r w:rsidR="00734006">
        <w:rPr>
          <w:rStyle w:val="Gl"/>
          <w:color w:val="auto"/>
        </w:rPr>
        <w:t>4</w:t>
      </w:r>
      <w:r w:rsidRPr="002048A7">
        <w:rPr>
          <w:rStyle w:val="Gl"/>
          <w:color w:val="auto"/>
        </w:rPr>
        <w:t xml:space="preserve"> Yılında Gelen Soru Önergelerinin Konu Bazında Yüzdesel Dağılımı</w:t>
      </w:r>
      <w:bookmarkEnd w:id="421"/>
      <w:bookmarkEnd w:id="422"/>
      <w:bookmarkEnd w:id="423"/>
    </w:p>
    <w:p w14:paraId="135C1859" w14:textId="365D2CFB" w:rsidR="000276C9" w:rsidRPr="002048A7" w:rsidRDefault="00EA4C02" w:rsidP="001C5F6B">
      <w:pPr>
        <w:spacing w:after="0"/>
        <w:rPr>
          <w:lang w:eastAsia="tr-TR"/>
        </w:rPr>
      </w:pPr>
      <w:r>
        <w:rPr>
          <w:noProof/>
        </w:rPr>
        <w:drawing>
          <wp:inline distT="0" distB="0" distL="0" distR="0" wp14:anchorId="2F9369F5" wp14:editId="142F9ABF">
            <wp:extent cx="6299835" cy="3497580"/>
            <wp:effectExtent l="0" t="0" r="5715" b="7620"/>
            <wp:docPr id="4" name="Grafik 4">
              <a:extLst xmlns:a="http://schemas.openxmlformats.org/drawingml/2006/main">
                <a:ext uri="{FF2B5EF4-FFF2-40B4-BE49-F238E27FC236}">
                  <a16:creationId xmlns:a16="http://schemas.microsoft.com/office/drawing/2014/main" id="{79E8939D-15F9-4D9F-8B65-77B81BC0D6D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6D2FB31F" w14:textId="77777777" w:rsidR="003863AF" w:rsidRPr="002048A7" w:rsidRDefault="001C350A" w:rsidP="00577AAF">
      <w:pPr>
        <w:pStyle w:val="Balk1"/>
        <w:numPr>
          <w:ilvl w:val="0"/>
          <w:numId w:val="11"/>
        </w:numPr>
        <w:spacing w:before="0" w:after="240"/>
        <w:rPr>
          <w:rFonts w:asciiTheme="minorHAnsi" w:hAnsiTheme="minorHAnsi"/>
          <w:color w:val="auto"/>
          <w:sz w:val="22"/>
          <w:szCs w:val="22"/>
        </w:rPr>
      </w:pPr>
      <w:bookmarkStart w:id="424" w:name="_Toc195868778"/>
      <w:r w:rsidRPr="002048A7">
        <w:rPr>
          <w:rFonts w:asciiTheme="minorHAnsi" w:hAnsiTheme="minorHAnsi"/>
          <w:color w:val="auto"/>
          <w:sz w:val="22"/>
          <w:szCs w:val="22"/>
        </w:rPr>
        <w:lastRenderedPageBreak/>
        <w:t>DIŞ İLİŞKİLER</w:t>
      </w:r>
      <w:bookmarkEnd w:id="424"/>
    </w:p>
    <w:p w14:paraId="59F78D98" w14:textId="77777777" w:rsidR="006C670B" w:rsidRPr="002048A7" w:rsidRDefault="006C670B" w:rsidP="006C670B">
      <w:pPr>
        <w:spacing w:before="120" w:after="120"/>
      </w:pPr>
      <w:r w:rsidRPr="002048A7">
        <w:t xml:space="preserve">Kurumun dış ilişkilere yönelik faaliyetleri “Bölgesel ve uluslararası enerji piyasalarında uzmanlığı ile ön plana çıkmak ve değer yaratan bir kurum olmak” vizyonu kapsamında benimsenen </w:t>
      </w:r>
      <w:r w:rsidRPr="002048A7">
        <w:rPr>
          <w:i/>
        </w:rPr>
        <w:t>“EPDK Dış İlişkiler Stratejisi”</w:t>
      </w:r>
      <w:r w:rsidRPr="002048A7">
        <w:t xml:space="preserve"> belgesi çerçevesinde sürdürülmektedir. 202</w:t>
      </w:r>
      <w:r w:rsidR="00D841B5">
        <w:t>4</w:t>
      </w:r>
      <w:r w:rsidRPr="002048A7">
        <w:t xml:space="preserve"> yılında üyesi olunan uluslararası birlikler tarafından çevrimiçi ve fiziki olarak gerçekleştirilen etkinliklere katılım sağlanmış, enerji düzenlemesine ilişkin bilgi, uzmanlık ve deneyimlerimizin paylaşılmasının yanı sıra </w:t>
      </w:r>
      <w:r w:rsidR="000D49CD" w:rsidRPr="002048A7">
        <w:t xml:space="preserve">ülkemiz </w:t>
      </w:r>
      <w:r w:rsidRPr="002048A7">
        <w:t xml:space="preserve">enerji </w:t>
      </w:r>
      <w:r w:rsidR="000D49CD" w:rsidRPr="002048A7">
        <w:t>piyasasının uluslararası alanda tanıtılmasına da önem verilmiştir.</w:t>
      </w:r>
      <w:r w:rsidRPr="002048A7">
        <w:t xml:space="preserve"> </w:t>
      </w:r>
    </w:p>
    <w:p w14:paraId="08FFD843" w14:textId="77777777" w:rsidR="006C670B" w:rsidRPr="002048A7" w:rsidRDefault="006C670B" w:rsidP="006C670B">
      <w:pPr>
        <w:spacing w:before="120" w:after="120"/>
      </w:pPr>
      <w:r w:rsidRPr="002048A7">
        <w:t>Kurum, dış ilişkiler bağlamındaki faaliyetlerini 202</w:t>
      </w:r>
      <w:r w:rsidR="00D841B5">
        <w:t>4</w:t>
      </w:r>
      <w:r w:rsidRPr="002048A7">
        <w:t xml:space="preserve"> yılında da 5 ana eksende sürdürmüştür:</w:t>
      </w:r>
    </w:p>
    <w:p w14:paraId="5A184639" w14:textId="77777777" w:rsidR="006C670B" w:rsidRPr="002048A7" w:rsidRDefault="006C670B" w:rsidP="006C670B">
      <w:pPr>
        <w:pStyle w:val="ListeParagraf"/>
        <w:numPr>
          <w:ilvl w:val="0"/>
          <w:numId w:val="7"/>
        </w:numPr>
        <w:spacing w:before="120" w:after="120"/>
      </w:pPr>
      <w:r w:rsidRPr="002048A7">
        <w:t>Üyesi olunan uluslararası birliklerle ilişkiler,</w:t>
      </w:r>
    </w:p>
    <w:p w14:paraId="704AE846" w14:textId="77777777" w:rsidR="006C670B" w:rsidRPr="002048A7" w:rsidRDefault="006C670B" w:rsidP="006C670B">
      <w:pPr>
        <w:pStyle w:val="ListeParagraf"/>
        <w:numPr>
          <w:ilvl w:val="0"/>
          <w:numId w:val="7"/>
        </w:numPr>
        <w:spacing w:before="120" w:after="120"/>
      </w:pPr>
      <w:r w:rsidRPr="002048A7">
        <w:t>İkili ilişkiler,</w:t>
      </w:r>
    </w:p>
    <w:p w14:paraId="04BDB108" w14:textId="77777777" w:rsidR="006C670B" w:rsidRPr="002048A7" w:rsidRDefault="006C670B" w:rsidP="006C670B">
      <w:pPr>
        <w:pStyle w:val="ListeParagraf"/>
        <w:numPr>
          <w:ilvl w:val="0"/>
          <w:numId w:val="7"/>
        </w:numPr>
        <w:spacing w:before="120" w:after="120"/>
      </w:pPr>
      <w:r w:rsidRPr="002048A7">
        <w:t xml:space="preserve">AB müktesebatına uyum süreci kapsamındaki faaliyetler, </w:t>
      </w:r>
    </w:p>
    <w:p w14:paraId="7C3D2D16" w14:textId="77777777" w:rsidR="006C670B" w:rsidRPr="002048A7" w:rsidRDefault="006C670B" w:rsidP="006C670B">
      <w:pPr>
        <w:pStyle w:val="ListeParagraf"/>
        <w:numPr>
          <w:ilvl w:val="0"/>
          <w:numId w:val="7"/>
        </w:numPr>
        <w:spacing w:before="120" w:after="120"/>
      </w:pPr>
      <w:r w:rsidRPr="002048A7">
        <w:t>Ülkemizin taraf olduğu uluslararası anlaşmalar gereği ilişki içerisinde bulunulan organizasyonlar kapsamında Kurumun görev alanına giren alanlarda yapılan çalışmalar,</w:t>
      </w:r>
    </w:p>
    <w:p w14:paraId="51F79323" w14:textId="77777777" w:rsidR="006C670B" w:rsidRDefault="006C670B" w:rsidP="006C670B">
      <w:pPr>
        <w:pStyle w:val="ListeParagraf"/>
        <w:numPr>
          <w:ilvl w:val="0"/>
          <w:numId w:val="7"/>
        </w:numPr>
        <w:spacing w:before="120" w:after="120"/>
      </w:pPr>
      <w:r w:rsidRPr="002048A7">
        <w:t>Uluslararası enerji piyasalarındaki gelişmelerin izlenmesi ve raporlanması.</w:t>
      </w:r>
    </w:p>
    <w:p w14:paraId="21D48028" w14:textId="77777777" w:rsidR="00D841B5" w:rsidRPr="002048A7" w:rsidRDefault="00D841B5" w:rsidP="00D841B5">
      <w:pPr>
        <w:spacing w:before="120" w:after="120"/>
      </w:pPr>
      <w:r>
        <w:t>Kurumumun dış ilişkilerine yönelik faaliyetlerinin güçlendirilmesi adına Kurumun yetki ve sorumluluğundaki piyasalara ilişkin mevzuatların İngilizce tercümeleri yapılmaya başlanmış ve tercüme dilen mevzuatlar Kurumun İngilizce internet sitesinde yayımlanmaya başlanmıştır.</w:t>
      </w:r>
    </w:p>
    <w:p w14:paraId="70453B38" w14:textId="77777777" w:rsidR="006C670B" w:rsidRPr="002048A7" w:rsidRDefault="006C670B" w:rsidP="00577AAF">
      <w:pPr>
        <w:pStyle w:val="Balk2"/>
        <w:numPr>
          <w:ilvl w:val="1"/>
          <w:numId w:val="11"/>
        </w:numPr>
        <w:spacing w:after="240"/>
        <w:rPr>
          <w:rFonts w:asciiTheme="minorHAnsi" w:hAnsiTheme="minorHAnsi"/>
          <w:color w:val="000000" w:themeColor="text1"/>
          <w:sz w:val="22"/>
          <w:szCs w:val="22"/>
        </w:rPr>
      </w:pPr>
      <w:bookmarkStart w:id="425" w:name="_Toc195868779"/>
      <w:r w:rsidRPr="002048A7">
        <w:rPr>
          <w:rFonts w:asciiTheme="minorHAnsi" w:hAnsiTheme="minorHAnsi"/>
          <w:color w:val="000000" w:themeColor="text1"/>
          <w:sz w:val="22"/>
          <w:szCs w:val="22"/>
        </w:rPr>
        <w:t>Üyesi Olunan Uluslararası Birliklerle İlişkiler</w:t>
      </w:r>
      <w:bookmarkEnd w:id="425"/>
    </w:p>
    <w:p w14:paraId="2AFDD87E" w14:textId="77777777" w:rsidR="006C670B" w:rsidRPr="002048A7" w:rsidRDefault="006C670B" w:rsidP="006C670B">
      <w:pPr>
        <w:spacing w:before="120" w:after="120"/>
      </w:pPr>
      <w:r w:rsidRPr="002048A7">
        <w:t xml:space="preserve">Kurum, Enerji Düzenleyicileri Bölgesel Birliği (ERRA) ve Akdeniz Elektrik ve Gaz Düzenleyicileri Birliği (MEDREG)’in üyesi, </w:t>
      </w:r>
      <w:r w:rsidRPr="002048A7">
        <w:rPr>
          <w:rFonts w:eastAsiaTheme="minorHAnsi" w:cstheme="minorBidi"/>
        </w:rPr>
        <w:t>Enerji Topluluğu Düzenleme Kurulu</w:t>
      </w:r>
      <w:r w:rsidRPr="002048A7">
        <w:t xml:space="preserve"> (ECRB)’nin de gözlemci üyesidir. Aynı zamanda Kurumun ilgili olduğu Uluslararası Enerji Düzenleyicileri Konfederasyonu (ICER), Karadeniz Ekonomik </w:t>
      </w:r>
      <w:proofErr w:type="gramStart"/>
      <w:r w:rsidRPr="002048A7">
        <w:t>İşbirliği</w:t>
      </w:r>
      <w:proofErr w:type="gramEnd"/>
      <w:r w:rsidRPr="002048A7">
        <w:t xml:space="preserve"> Teşkilatı (KEİ) ve OECD Ekonomik Düzenleyiciler Ağı (OECD-NER) bünyesinde oluşturulmuş bulunan çalışma gruplarına, görevlendirilen personel vasıtasıyla katkıda bulunulmaktadır.</w:t>
      </w:r>
    </w:p>
    <w:p w14:paraId="67672B12" w14:textId="77777777" w:rsidR="006C670B" w:rsidRPr="002048A7" w:rsidRDefault="00D841B5" w:rsidP="006C670B">
      <w:pPr>
        <w:spacing w:before="120" w:after="120"/>
        <w:rPr>
          <w:rFonts w:ascii="Calibri" w:hAnsi="Calibri"/>
        </w:rPr>
      </w:pPr>
      <w:r w:rsidRPr="002048A7">
        <w:t>Kurul üyesi Ahmet Çağrı ÇİÇEK</w:t>
      </w:r>
      <w:r>
        <w:t>,</w:t>
      </w:r>
      <w:r w:rsidRPr="002048A7">
        <w:t xml:space="preserve"> ERRA’nın 1</w:t>
      </w:r>
      <w:r>
        <w:t>7</w:t>
      </w:r>
      <w:r w:rsidRPr="002048A7">
        <w:t xml:space="preserve"> </w:t>
      </w:r>
      <w:r>
        <w:t>Mayıs</w:t>
      </w:r>
      <w:r w:rsidRPr="002048A7">
        <w:t xml:space="preserve"> 202</w:t>
      </w:r>
      <w:r>
        <w:t>4</w:t>
      </w:r>
      <w:r w:rsidRPr="002048A7">
        <w:t xml:space="preserve">’de yapılan </w:t>
      </w:r>
      <w:r>
        <w:t>G</w:t>
      </w:r>
      <w:r w:rsidRPr="002048A7">
        <w:t xml:space="preserve">enel </w:t>
      </w:r>
      <w:r>
        <w:t>K</w:t>
      </w:r>
      <w:r w:rsidRPr="002048A7">
        <w:t>urulu</w:t>
      </w:r>
      <w:r>
        <w:t>’</w:t>
      </w:r>
      <w:r w:rsidRPr="002048A7">
        <w:t xml:space="preserve">nda Yönetim Kurulu üyeliğine </w:t>
      </w:r>
      <w:r>
        <w:t>üçüncü</w:t>
      </w:r>
      <w:r w:rsidRPr="002048A7">
        <w:t xml:space="preserve"> kez seçil</w:t>
      </w:r>
      <w:r>
        <w:t>miştir.</w:t>
      </w:r>
    </w:p>
    <w:p w14:paraId="7BEC2E72" w14:textId="77777777" w:rsidR="006C670B" w:rsidRPr="002048A7" w:rsidRDefault="006C670B" w:rsidP="006C670B">
      <w:pPr>
        <w:spacing w:before="120" w:after="120"/>
        <w:rPr>
          <w:rFonts w:ascii="Calibri" w:hAnsi="Calibri"/>
        </w:rPr>
      </w:pPr>
      <w:r w:rsidRPr="002048A7">
        <w:rPr>
          <w:rFonts w:ascii="Calibri" w:hAnsi="Calibri"/>
        </w:rPr>
        <w:t>Komite faaliyetlerinin yanı sıra ERRA tarafından,</w:t>
      </w:r>
    </w:p>
    <w:p w14:paraId="2EBED49C" w14:textId="77777777" w:rsidR="00D841B5" w:rsidRPr="002048A7" w:rsidRDefault="00D841B5" w:rsidP="0025080A">
      <w:pPr>
        <w:pStyle w:val="ListeParagraf"/>
        <w:numPr>
          <w:ilvl w:val="0"/>
          <w:numId w:val="32"/>
        </w:numPr>
        <w:spacing w:before="120" w:after="120"/>
        <w:rPr>
          <w:rFonts w:ascii="Calibri" w:hAnsi="Calibri"/>
        </w:rPr>
      </w:pPr>
      <w:r>
        <w:t>29</w:t>
      </w:r>
      <w:r w:rsidRPr="002048A7">
        <w:t xml:space="preserve"> Ocak</w:t>
      </w:r>
      <w:r>
        <w:t>- 01 Şubat</w:t>
      </w:r>
      <w:r w:rsidRPr="002048A7">
        <w:t xml:space="preserve"> 202</w:t>
      </w:r>
      <w:r>
        <w:t>4</w:t>
      </w:r>
      <w:r w:rsidRPr="002048A7">
        <w:t xml:space="preserve"> tarihleri arasında </w:t>
      </w:r>
      <w:r w:rsidRPr="002048A7">
        <w:rPr>
          <w:rFonts w:ascii="Calibri" w:hAnsi="Calibri"/>
        </w:rPr>
        <w:t xml:space="preserve">Macaristan'ın Budapeşte şehrinde </w:t>
      </w:r>
      <w:r w:rsidRPr="002048A7">
        <w:t>gerçekleştirilen "</w:t>
      </w:r>
      <w:r>
        <w:t xml:space="preserve"> “Power-Natural Gas System Basics for Non-Engineers</w:t>
      </w:r>
      <w:r w:rsidRPr="002048A7">
        <w:t>" konulu programa Kurum personelince katılım sağlanmıştır.</w:t>
      </w:r>
    </w:p>
    <w:p w14:paraId="69EF2EA0" w14:textId="77777777" w:rsidR="00D841B5" w:rsidRPr="002048A7" w:rsidRDefault="00D841B5" w:rsidP="0025080A">
      <w:pPr>
        <w:pStyle w:val="ListeParagraf"/>
        <w:numPr>
          <w:ilvl w:val="0"/>
          <w:numId w:val="32"/>
        </w:numPr>
        <w:spacing w:before="120" w:after="120"/>
        <w:rPr>
          <w:rFonts w:ascii="Calibri" w:hAnsi="Calibri"/>
        </w:rPr>
      </w:pPr>
      <w:r>
        <w:t>26-29 Şubat</w:t>
      </w:r>
      <w:r w:rsidRPr="002048A7">
        <w:t xml:space="preserve"> 202</w:t>
      </w:r>
      <w:r>
        <w:t>4</w:t>
      </w:r>
      <w:r w:rsidRPr="002048A7">
        <w:t xml:space="preserve"> tarihlerinde </w:t>
      </w:r>
      <w:r>
        <w:t xml:space="preserve">Birleşik Arap Emirlikleri’nin </w:t>
      </w:r>
      <w:r w:rsidRPr="002048A7">
        <w:t xml:space="preserve">  </w:t>
      </w:r>
      <w:r>
        <w:t xml:space="preserve">Abu Dabi </w:t>
      </w:r>
      <w:r w:rsidRPr="002048A7">
        <w:t xml:space="preserve">şehrinde gerçekleştirilen </w:t>
      </w:r>
      <w:r>
        <w:t>“</w:t>
      </w:r>
      <w:r w:rsidRPr="00014B5C">
        <w:t>Principles of Economic Regulation and Electricity Tariffs"</w:t>
      </w:r>
      <w:r w:rsidRPr="00014B5C" w:rsidDel="00014B5C">
        <w:t xml:space="preserve"> </w:t>
      </w:r>
      <w:r>
        <w:t xml:space="preserve">eğitimine </w:t>
      </w:r>
      <w:r w:rsidRPr="002048A7">
        <w:t>Kurum personeli tarafından katılım sağlanmıştır.</w:t>
      </w:r>
    </w:p>
    <w:p w14:paraId="17DC94AE" w14:textId="77777777" w:rsidR="00D841B5" w:rsidRPr="002048A7" w:rsidRDefault="00D841B5" w:rsidP="0025080A">
      <w:pPr>
        <w:pStyle w:val="ListeParagraf"/>
        <w:numPr>
          <w:ilvl w:val="0"/>
          <w:numId w:val="32"/>
        </w:numPr>
        <w:spacing w:before="120" w:after="120"/>
        <w:rPr>
          <w:rFonts w:ascii="Calibri" w:hAnsi="Calibri"/>
        </w:rPr>
      </w:pPr>
      <w:r>
        <w:rPr>
          <w:rFonts w:ascii="Calibri" w:hAnsi="Calibri"/>
        </w:rPr>
        <w:t>Romanya’n</w:t>
      </w:r>
      <w:r w:rsidRPr="002048A7">
        <w:rPr>
          <w:rFonts w:ascii="Calibri" w:hAnsi="Calibri"/>
        </w:rPr>
        <w:t>ın B</w:t>
      </w:r>
      <w:r>
        <w:rPr>
          <w:rFonts w:ascii="Calibri" w:hAnsi="Calibri"/>
        </w:rPr>
        <w:t>ükreş</w:t>
      </w:r>
      <w:r w:rsidRPr="002048A7">
        <w:rPr>
          <w:rFonts w:ascii="Calibri" w:hAnsi="Calibri"/>
        </w:rPr>
        <w:t xml:space="preserve"> şehrinde </w:t>
      </w:r>
      <w:r>
        <w:rPr>
          <w:rFonts w:ascii="Calibri" w:hAnsi="Calibri"/>
        </w:rPr>
        <w:t>05-06</w:t>
      </w:r>
      <w:r w:rsidRPr="002048A7">
        <w:rPr>
          <w:rFonts w:ascii="Calibri" w:hAnsi="Calibri"/>
        </w:rPr>
        <w:t xml:space="preserve"> </w:t>
      </w:r>
      <w:r>
        <w:rPr>
          <w:rFonts w:ascii="Calibri" w:hAnsi="Calibri"/>
        </w:rPr>
        <w:t>Mart</w:t>
      </w:r>
      <w:r w:rsidRPr="002048A7">
        <w:rPr>
          <w:rFonts w:ascii="Calibri" w:hAnsi="Calibri"/>
        </w:rPr>
        <w:t xml:space="preserve"> 202</w:t>
      </w:r>
      <w:r>
        <w:rPr>
          <w:rFonts w:ascii="Calibri" w:hAnsi="Calibri"/>
        </w:rPr>
        <w:t>4</w:t>
      </w:r>
      <w:r w:rsidRPr="002048A7">
        <w:rPr>
          <w:rFonts w:ascii="Calibri" w:hAnsi="Calibri"/>
        </w:rPr>
        <w:t xml:space="preserve"> tarihinde gerçekleştirilen </w:t>
      </w:r>
      <w:r>
        <w:rPr>
          <w:rFonts w:ascii="Calibri" w:hAnsi="Calibri"/>
        </w:rPr>
        <w:t>Tüketici Koruma Komitesi</w:t>
      </w:r>
      <w:r w:rsidRPr="002048A7">
        <w:rPr>
          <w:rFonts w:ascii="Calibri" w:hAnsi="Calibri"/>
        </w:rPr>
        <w:t xml:space="preserve"> toplantısına </w:t>
      </w:r>
      <w:r>
        <w:rPr>
          <w:rFonts w:ascii="Calibri" w:hAnsi="Calibri"/>
        </w:rPr>
        <w:t>K</w:t>
      </w:r>
      <w:r w:rsidRPr="002048A7">
        <w:rPr>
          <w:rFonts w:ascii="Calibri" w:hAnsi="Calibri"/>
        </w:rPr>
        <w:t>urum personeli tarafından katılım sağlanmıştır.</w:t>
      </w:r>
    </w:p>
    <w:p w14:paraId="0440A7EA" w14:textId="77777777" w:rsidR="00D841B5" w:rsidRPr="002048A7" w:rsidRDefault="00D841B5" w:rsidP="0025080A">
      <w:pPr>
        <w:pStyle w:val="ListeParagraf"/>
        <w:numPr>
          <w:ilvl w:val="0"/>
          <w:numId w:val="32"/>
        </w:numPr>
        <w:spacing w:before="120" w:after="120"/>
        <w:rPr>
          <w:rFonts w:ascii="Calibri" w:hAnsi="Calibri"/>
        </w:rPr>
      </w:pPr>
      <w:r>
        <w:rPr>
          <w:rFonts w:ascii="Calibri" w:hAnsi="Calibri"/>
        </w:rPr>
        <w:t>Slovakya’nın Bratislava</w:t>
      </w:r>
      <w:r w:rsidRPr="002048A7">
        <w:rPr>
          <w:rFonts w:ascii="Calibri" w:hAnsi="Calibri"/>
        </w:rPr>
        <w:t xml:space="preserve"> şehrinde </w:t>
      </w:r>
      <w:r>
        <w:rPr>
          <w:rFonts w:ascii="Calibri" w:hAnsi="Calibri"/>
        </w:rPr>
        <w:t>07-08 Mart 2024</w:t>
      </w:r>
      <w:r w:rsidRPr="002048A7">
        <w:rPr>
          <w:rFonts w:ascii="Calibri" w:hAnsi="Calibri"/>
        </w:rPr>
        <w:t xml:space="preserve"> tarihinde gerçekleştirilen </w:t>
      </w:r>
      <w:r>
        <w:rPr>
          <w:rFonts w:ascii="Calibri" w:hAnsi="Calibri"/>
        </w:rPr>
        <w:t xml:space="preserve">Yenilenebilir Enerji ve </w:t>
      </w:r>
      <w:r w:rsidRPr="002048A7">
        <w:rPr>
          <w:rFonts w:ascii="Calibri" w:hAnsi="Calibri"/>
        </w:rPr>
        <w:t>Doğal Gaz</w:t>
      </w:r>
      <w:r>
        <w:rPr>
          <w:rFonts w:ascii="Calibri" w:hAnsi="Calibri"/>
        </w:rPr>
        <w:t xml:space="preserve"> ile Elektrik</w:t>
      </w:r>
      <w:r w:rsidRPr="002048A7">
        <w:rPr>
          <w:rFonts w:ascii="Calibri" w:hAnsi="Calibri"/>
        </w:rPr>
        <w:t xml:space="preserve"> Piyasaları ve Ekonomik Düzenleme Komite toplantı</w:t>
      </w:r>
      <w:r>
        <w:rPr>
          <w:rFonts w:ascii="Calibri" w:hAnsi="Calibri"/>
        </w:rPr>
        <w:t>ları</w:t>
      </w:r>
      <w:r w:rsidRPr="002048A7">
        <w:rPr>
          <w:rFonts w:ascii="Calibri" w:hAnsi="Calibri"/>
        </w:rPr>
        <w:t xml:space="preserve">na </w:t>
      </w:r>
      <w:r>
        <w:rPr>
          <w:rFonts w:ascii="Calibri" w:hAnsi="Calibri"/>
        </w:rPr>
        <w:t>K</w:t>
      </w:r>
      <w:r w:rsidRPr="002048A7">
        <w:rPr>
          <w:rFonts w:ascii="Calibri" w:hAnsi="Calibri"/>
        </w:rPr>
        <w:t>urum personeli tarafından katılım sağlanmıştır.</w:t>
      </w:r>
    </w:p>
    <w:p w14:paraId="3F76612C" w14:textId="77777777" w:rsidR="00D841B5" w:rsidRDefault="00D841B5" w:rsidP="0025080A">
      <w:pPr>
        <w:pStyle w:val="ListeParagraf"/>
        <w:numPr>
          <w:ilvl w:val="0"/>
          <w:numId w:val="32"/>
        </w:numPr>
        <w:spacing w:before="120" w:after="120"/>
        <w:rPr>
          <w:rFonts w:ascii="Calibri" w:hAnsi="Calibri"/>
        </w:rPr>
      </w:pPr>
      <w:r>
        <w:rPr>
          <w:rFonts w:ascii="Calibri" w:hAnsi="Calibri"/>
        </w:rPr>
        <w:t xml:space="preserve"> Macaristan’ın Budapeşte şehrinde 15-17 Nisan 2024 tarihlerinde gerçekleştirilen “Natural Gas Market Regulation” konulu eğitim programına Kurum personeli tarafından katılım sağlanmıştır.</w:t>
      </w:r>
    </w:p>
    <w:p w14:paraId="3B7AB26C" w14:textId="77777777" w:rsidR="00D841B5" w:rsidRDefault="00D841B5" w:rsidP="0025080A">
      <w:pPr>
        <w:pStyle w:val="ListeParagraf"/>
        <w:numPr>
          <w:ilvl w:val="0"/>
          <w:numId w:val="32"/>
        </w:numPr>
        <w:spacing w:before="120" w:after="120"/>
        <w:rPr>
          <w:rFonts w:ascii="Calibri" w:hAnsi="Calibri"/>
        </w:rPr>
      </w:pPr>
      <w:r>
        <w:rPr>
          <w:rFonts w:ascii="Calibri" w:hAnsi="Calibri"/>
        </w:rPr>
        <w:lastRenderedPageBreak/>
        <w:t>Tayland’ın Bangkok şehrinde 15-21 Mayıs 2024 tarihlerinde gerçekleştirilen ERRA 21. Genel Kurul’una ve “</w:t>
      </w:r>
      <w:r w:rsidRPr="009F3EE7">
        <w:rPr>
          <w:rFonts w:ascii="Calibri" w:hAnsi="Calibri"/>
        </w:rPr>
        <w:t>Elektrik Sektör Reformu</w:t>
      </w:r>
      <w:r>
        <w:rPr>
          <w:rFonts w:ascii="Calibri" w:hAnsi="Calibri"/>
        </w:rPr>
        <w:t>” konulu eğitim programına Kurum personeli tarafından konuşmacı olarak katılım sağlanmıştır.</w:t>
      </w:r>
    </w:p>
    <w:p w14:paraId="6D1BA01D" w14:textId="77777777" w:rsidR="00D841B5" w:rsidRDefault="00D841B5" w:rsidP="0025080A">
      <w:pPr>
        <w:pStyle w:val="ListeParagraf"/>
        <w:numPr>
          <w:ilvl w:val="0"/>
          <w:numId w:val="32"/>
        </w:numPr>
        <w:spacing w:before="120" w:after="120"/>
        <w:rPr>
          <w:rFonts w:ascii="Calibri" w:hAnsi="Calibri"/>
        </w:rPr>
      </w:pPr>
      <w:r>
        <w:rPr>
          <w:rFonts w:ascii="Calibri" w:hAnsi="Calibri"/>
        </w:rPr>
        <w:t xml:space="preserve">Avusturya’nın Viyana şehrinde 20 Haziran 2024 tarihinde gerçekleştirilen Uluslararası İrtibat Kişileri toplantısına Kurum personelince katılım sağlanmıştır. </w:t>
      </w:r>
    </w:p>
    <w:p w14:paraId="57DA724B" w14:textId="77777777" w:rsidR="00D841B5" w:rsidRPr="00D935D6" w:rsidRDefault="00D841B5" w:rsidP="0025080A">
      <w:pPr>
        <w:pStyle w:val="ListeParagraf"/>
        <w:numPr>
          <w:ilvl w:val="0"/>
          <w:numId w:val="32"/>
        </w:numPr>
        <w:spacing w:before="120" w:after="120"/>
        <w:rPr>
          <w:rFonts w:ascii="Calibri" w:hAnsi="Calibri"/>
        </w:rPr>
      </w:pPr>
      <w:r>
        <w:rPr>
          <w:rFonts w:ascii="Calibri" w:hAnsi="Calibri"/>
        </w:rPr>
        <w:t>Yunanistan</w:t>
      </w:r>
      <w:r w:rsidRPr="00D935D6">
        <w:rPr>
          <w:rFonts w:ascii="Calibri" w:hAnsi="Calibri"/>
        </w:rPr>
        <w:t>’</w:t>
      </w:r>
      <w:r>
        <w:rPr>
          <w:rFonts w:ascii="Calibri" w:hAnsi="Calibri"/>
        </w:rPr>
        <w:t>ı</w:t>
      </w:r>
      <w:r w:rsidRPr="00D935D6">
        <w:rPr>
          <w:rFonts w:ascii="Calibri" w:hAnsi="Calibri"/>
        </w:rPr>
        <w:t xml:space="preserve">n </w:t>
      </w:r>
      <w:r>
        <w:rPr>
          <w:rFonts w:ascii="Calibri" w:hAnsi="Calibri"/>
        </w:rPr>
        <w:t>Atina</w:t>
      </w:r>
      <w:r w:rsidRPr="00D935D6">
        <w:rPr>
          <w:rFonts w:ascii="Calibri" w:hAnsi="Calibri"/>
        </w:rPr>
        <w:t xml:space="preserve"> şehrinde </w:t>
      </w:r>
      <w:r>
        <w:rPr>
          <w:rFonts w:ascii="Calibri" w:hAnsi="Calibri"/>
        </w:rPr>
        <w:t>16-17</w:t>
      </w:r>
      <w:r w:rsidRPr="00D935D6">
        <w:rPr>
          <w:rFonts w:ascii="Calibri" w:hAnsi="Calibri"/>
        </w:rPr>
        <w:t xml:space="preserve"> Ekim 2024 tarihlerinde gerçekleştirilen </w:t>
      </w:r>
      <w:r>
        <w:rPr>
          <w:rFonts w:ascii="Calibri" w:hAnsi="Calibri"/>
        </w:rPr>
        <w:t>Tüketici Koruma</w:t>
      </w:r>
      <w:r w:rsidRPr="00D935D6">
        <w:rPr>
          <w:rFonts w:ascii="Calibri" w:hAnsi="Calibri"/>
        </w:rPr>
        <w:t xml:space="preserve"> Komitesi</w:t>
      </w:r>
      <w:r>
        <w:rPr>
          <w:rFonts w:ascii="Calibri" w:hAnsi="Calibri"/>
        </w:rPr>
        <w:t xml:space="preserve"> toplantısına Kurum personelince katılım sağlanmıştır. </w:t>
      </w:r>
    </w:p>
    <w:p w14:paraId="725F8787" w14:textId="77777777" w:rsidR="00D841B5" w:rsidRDefault="00D841B5" w:rsidP="0025080A">
      <w:pPr>
        <w:pStyle w:val="ListeParagraf"/>
        <w:numPr>
          <w:ilvl w:val="0"/>
          <w:numId w:val="32"/>
        </w:numPr>
        <w:spacing w:before="120" w:after="120"/>
        <w:rPr>
          <w:rFonts w:ascii="Calibri" w:hAnsi="Calibri"/>
        </w:rPr>
      </w:pPr>
      <w:r w:rsidRPr="00D935D6">
        <w:rPr>
          <w:rFonts w:ascii="Calibri" w:hAnsi="Calibri"/>
        </w:rPr>
        <w:t xml:space="preserve">Arnavutluk’un Tiran şehrinde 28 Ekim 2024 tarihlerinde gerçekleştirilen </w:t>
      </w:r>
      <w:r>
        <w:rPr>
          <w:rFonts w:ascii="Calibri" w:hAnsi="Calibri"/>
        </w:rPr>
        <w:t>Başkanlar</w:t>
      </w:r>
      <w:r w:rsidRPr="00D935D6">
        <w:rPr>
          <w:rFonts w:ascii="Calibri" w:hAnsi="Calibri"/>
        </w:rPr>
        <w:t xml:space="preserve"> Komitesi</w:t>
      </w:r>
      <w:r>
        <w:rPr>
          <w:rFonts w:ascii="Calibri" w:hAnsi="Calibri"/>
        </w:rPr>
        <w:t xml:space="preserve"> toplantısına Kurum Başkanı, Kurul Üyeleri ve Kurum personelince katılım sağlanmıştır. </w:t>
      </w:r>
    </w:p>
    <w:p w14:paraId="55DF2F8A" w14:textId="77777777" w:rsidR="000D49CD" w:rsidRPr="002048A7" w:rsidRDefault="00D841B5" w:rsidP="0025080A">
      <w:pPr>
        <w:pStyle w:val="ListeParagraf"/>
        <w:numPr>
          <w:ilvl w:val="0"/>
          <w:numId w:val="32"/>
        </w:numPr>
        <w:spacing w:before="120" w:after="120"/>
        <w:rPr>
          <w:rFonts w:ascii="Calibri" w:hAnsi="Calibri"/>
        </w:rPr>
      </w:pPr>
      <w:r w:rsidRPr="00D935D6">
        <w:rPr>
          <w:rFonts w:ascii="Calibri" w:hAnsi="Calibri"/>
        </w:rPr>
        <w:t>Arnavutluk’un Tiran şehrinde 28-29 Ekim 2024 tarihlerinde gerçekleştirilen Gaz Yakıtları Piyasaları ve Ekonomik Düzenleme Komitesi</w:t>
      </w:r>
      <w:r>
        <w:rPr>
          <w:rFonts w:ascii="Calibri" w:hAnsi="Calibri"/>
        </w:rPr>
        <w:t xml:space="preserve"> toplantısına Kurum personelince katılım sağlanmıştır.</w:t>
      </w:r>
    </w:p>
    <w:p w14:paraId="6E2FB7BE" w14:textId="77777777" w:rsidR="006C670B" w:rsidRPr="002048A7" w:rsidRDefault="006C670B" w:rsidP="006C670B">
      <w:pPr>
        <w:spacing w:before="120" w:after="120"/>
      </w:pPr>
      <w:r w:rsidRPr="002048A7">
        <w:t>Kurumun tam üyesi olduğu bir diğer birlik olan MEDREG’in de kuruluşundan itibaren tüm organlarına aktif olarak katılım sağlanmakta, çalışmalarına katkı sunulmaktadır.</w:t>
      </w:r>
    </w:p>
    <w:p w14:paraId="37A8E278" w14:textId="77777777" w:rsidR="006C670B" w:rsidRPr="002048A7" w:rsidRDefault="00D841B5" w:rsidP="006C670B">
      <w:pPr>
        <w:spacing w:before="120" w:after="120"/>
        <w:rPr>
          <w:rFonts w:ascii="Calibri" w:hAnsi="Calibri"/>
        </w:rPr>
      </w:pPr>
      <w:r w:rsidRPr="002048A7">
        <w:rPr>
          <w:rFonts w:ascii="Calibri" w:hAnsi="Calibri"/>
        </w:rPr>
        <w:t>MEDREG Kurumsal İşler Çalışma Grubu’nun 3</w:t>
      </w:r>
      <w:r>
        <w:rPr>
          <w:rFonts w:ascii="Calibri" w:hAnsi="Calibri"/>
        </w:rPr>
        <w:t>7</w:t>
      </w:r>
      <w:r w:rsidRPr="002048A7">
        <w:rPr>
          <w:rFonts w:ascii="Calibri" w:hAnsi="Calibri"/>
        </w:rPr>
        <w:t xml:space="preserve">. Toplantısı </w:t>
      </w:r>
      <w:r>
        <w:rPr>
          <w:rFonts w:ascii="Calibri" w:hAnsi="Calibri"/>
        </w:rPr>
        <w:t xml:space="preserve">15 Ekim </w:t>
      </w:r>
      <w:r w:rsidRPr="002048A7">
        <w:rPr>
          <w:rFonts w:ascii="Calibri" w:hAnsi="Calibri"/>
        </w:rPr>
        <w:t>202</w:t>
      </w:r>
      <w:r>
        <w:rPr>
          <w:rFonts w:ascii="Calibri" w:hAnsi="Calibri"/>
        </w:rPr>
        <w:t>4</w:t>
      </w:r>
      <w:r w:rsidRPr="002048A7">
        <w:rPr>
          <w:rFonts w:ascii="Calibri" w:hAnsi="Calibri"/>
        </w:rPr>
        <w:t xml:space="preserve"> tarihinde İtalya’nın Milano şehrinde gerçekleştirilmiş ve Kurum personelince katılım sağlanmıştır.</w:t>
      </w:r>
    </w:p>
    <w:p w14:paraId="6504E58A" w14:textId="7E7CEEEA" w:rsidR="00D841B5" w:rsidRDefault="00D841B5" w:rsidP="00D841B5">
      <w:pPr>
        <w:spacing w:before="120" w:after="120"/>
        <w:rPr>
          <w:rFonts w:ascii="Calibri" w:hAnsi="Calibri"/>
        </w:rPr>
      </w:pPr>
      <w:r>
        <w:rPr>
          <w:rFonts w:ascii="Calibri" w:hAnsi="Calibri"/>
        </w:rPr>
        <w:t>12-14 Haziran 2024</w:t>
      </w:r>
      <w:r w:rsidRPr="002048A7">
        <w:rPr>
          <w:rFonts w:ascii="Calibri" w:hAnsi="Calibri"/>
        </w:rPr>
        <w:t xml:space="preserve"> tarih</w:t>
      </w:r>
      <w:r>
        <w:rPr>
          <w:rFonts w:ascii="Calibri" w:hAnsi="Calibri"/>
        </w:rPr>
        <w:t>ler</w:t>
      </w:r>
      <w:r w:rsidRPr="002048A7">
        <w:rPr>
          <w:rFonts w:ascii="Calibri" w:hAnsi="Calibri"/>
        </w:rPr>
        <w:t>inde</w:t>
      </w:r>
      <w:r>
        <w:rPr>
          <w:rFonts w:ascii="Calibri" w:hAnsi="Calibri"/>
        </w:rPr>
        <w:t xml:space="preserve"> İtalya’nın Selinunte </w:t>
      </w:r>
      <w:r w:rsidRPr="002048A7">
        <w:rPr>
          <w:rFonts w:ascii="Calibri" w:hAnsi="Calibri"/>
        </w:rPr>
        <w:t>şehrinde düzenlenen 3</w:t>
      </w:r>
      <w:r>
        <w:rPr>
          <w:rFonts w:ascii="Calibri" w:hAnsi="Calibri"/>
        </w:rPr>
        <w:t>7</w:t>
      </w:r>
      <w:r w:rsidRPr="002048A7">
        <w:rPr>
          <w:rFonts w:ascii="Calibri" w:hAnsi="Calibri"/>
        </w:rPr>
        <w:t xml:space="preserve">. Genel Kurul’a Kurum </w:t>
      </w:r>
      <w:r>
        <w:rPr>
          <w:rFonts w:ascii="Calibri" w:hAnsi="Calibri"/>
        </w:rPr>
        <w:t xml:space="preserve">Başkanı ve </w:t>
      </w:r>
      <w:r w:rsidRPr="002048A7">
        <w:rPr>
          <w:rFonts w:ascii="Calibri" w:hAnsi="Calibri"/>
        </w:rPr>
        <w:t>personelince katılım sağlanmıştır.</w:t>
      </w:r>
      <w:r>
        <w:rPr>
          <w:rFonts w:ascii="Calibri" w:hAnsi="Calibri"/>
        </w:rPr>
        <w:t xml:space="preserve"> Söz konusu Genel Kurul’da 2025 yılı ilk yarısında gerçekleştirilecek olan Genel Kurul’un Türkiye’de yapılmasına karar verilmiştir. </w:t>
      </w:r>
    </w:p>
    <w:p w14:paraId="07E6D812" w14:textId="77777777" w:rsidR="00D841B5" w:rsidRPr="002048A7" w:rsidRDefault="00D841B5" w:rsidP="00D841B5">
      <w:pPr>
        <w:spacing w:before="120" w:after="120"/>
        <w:rPr>
          <w:rFonts w:ascii="Calibri" w:hAnsi="Calibri"/>
        </w:rPr>
      </w:pPr>
      <w:r>
        <w:rPr>
          <w:rFonts w:ascii="Calibri" w:hAnsi="Calibri"/>
        </w:rPr>
        <w:t xml:space="preserve">03-04 Aralık 2024 tarihlerinde Belçika’nın Brüksel şehrinde düzenlenen 38. Genel Kurul’a Kurum Başkan Yardımcısı ve personelince katılım sağlanmıştır.  38. Genel Kurul’da 2025-2026 çalışma dönemi için MEDREG Kurumsal Çalışma Grubu Başkan Yardımcılığına ve Doğal Gaz Çalışma Grubu Başkan Yardımcılığına Kurum personeli seçilmiştir. </w:t>
      </w:r>
    </w:p>
    <w:p w14:paraId="3DFBE476" w14:textId="77777777" w:rsidR="00D841B5" w:rsidRDefault="00D841B5" w:rsidP="00D841B5">
      <w:pPr>
        <w:spacing w:before="120" w:after="120"/>
      </w:pPr>
      <w:r>
        <w:rPr>
          <w:rFonts w:ascii="Calibri" w:hAnsi="Calibri"/>
        </w:rPr>
        <w:t xml:space="preserve">Diğer yandan, </w:t>
      </w:r>
      <w:r>
        <w:t xml:space="preserve">Kurumun Dünya Enerji Konseyi Türk Milli Komitesi Derneğine kurumsal üye olmasına 18.04.2024 ve 12576 sayılı Kurul Kararıyla karar verilmiş ve 2024 yılında yapılan Dernek Genel Kurulunda Kurumun kurumsal üyeliği kabul edilmiş olup buna ilişkin çalışmalar yürütülmüştür. Bu çalışmalar kapsamında, </w:t>
      </w:r>
      <w:r w:rsidRPr="003B7F94">
        <w:t>30.10.2024 tarih ve 992504 sayılı Başkanlık Makamı Olur’uyla World Energy Trilemma Raporu Çalışma Grubu kurulmuş</w:t>
      </w:r>
      <w:r>
        <w:t xml:space="preserve"> ve Kurum personeli bu kapsamdaki çalışmalarına başlamıştır. </w:t>
      </w:r>
    </w:p>
    <w:p w14:paraId="03784602" w14:textId="77777777" w:rsidR="006C670B" w:rsidRPr="002048A7" w:rsidRDefault="00D841B5" w:rsidP="00D841B5">
      <w:pPr>
        <w:spacing w:before="120" w:after="120"/>
        <w:rPr>
          <w:rFonts w:ascii="Calibri" w:hAnsi="Calibri"/>
        </w:rPr>
      </w:pPr>
      <w:r w:rsidRPr="002048A7">
        <w:rPr>
          <w:rFonts w:ascii="Calibri" w:hAnsi="Calibri"/>
        </w:rPr>
        <w:t>Bununla birlikte, Kurumun gözlemci üyesi olduğu ECRB ve KEİ’nin çalışmaları, bu kuruluşların çalışma gruplarında görevli Kurum personeli vasıtasıyla takip edilmiştir.</w:t>
      </w:r>
    </w:p>
    <w:p w14:paraId="3822649D" w14:textId="77777777" w:rsidR="006C670B" w:rsidRPr="002048A7" w:rsidRDefault="006C670B" w:rsidP="00577AAF">
      <w:pPr>
        <w:pStyle w:val="Balk2"/>
        <w:numPr>
          <w:ilvl w:val="1"/>
          <w:numId w:val="11"/>
        </w:numPr>
        <w:spacing w:after="240"/>
        <w:rPr>
          <w:rFonts w:asciiTheme="minorHAnsi" w:hAnsiTheme="minorHAnsi"/>
          <w:color w:val="000000" w:themeColor="text1"/>
          <w:sz w:val="22"/>
          <w:szCs w:val="22"/>
        </w:rPr>
      </w:pPr>
      <w:bookmarkStart w:id="426" w:name="_Toc195868780"/>
      <w:r w:rsidRPr="002048A7">
        <w:rPr>
          <w:rFonts w:asciiTheme="minorHAnsi" w:hAnsiTheme="minorHAnsi"/>
          <w:color w:val="000000" w:themeColor="text1"/>
          <w:sz w:val="22"/>
          <w:szCs w:val="22"/>
        </w:rPr>
        <w:t>İkili İlişkiler</w:t>
      </w:r>
      <w:bookmarkEnd w:id="426"/>
      <w:r w:rsidRPr="002048A7">
        <w:rPr>
          <w:rFonts w:asciiTheme="minorHAnsi" w:hAnsiTheme="minorHAnsi"/>
          <w:color w:val="000000" w:themeColor="text1"/>
          <w:sz w:val="22"/>
          <w:szCs w:val="22"/>
        </w:rPr>
        <w:t xml:space="preserve"> </w:t>
      </w:r>
    </w:p>
    <w:p w14:paraId="1A7AA31E" w14:textId="77777777" w:rsidR="00D841B5" w:rsidRPr="00E17879" w:rsidRDefault="00D841B5" w:rsidP="00D841B5">
      <w:r w:rsidRPr="00E17879">
        <w:t xml:space="preserve">Özbekistan Enerji Bakanlığı, Enerji Kalkınma ve Düzenleme Kurumu ile Özbekistan Ekonomi ve Finans Bakanlığı çalışanlarından oluşan bir heyet 11 Mart 2024 tarihinde Kurumu ziyaret etmiştir. Heyete, Kurum Yapısı ve Görevleri, Türkiye Elektrik Piyasası Yapısı ve Düzenlemeleri, Elektrik Tarife Düzenlemeleri, Türkiye’de Enerji Dönüşümü ve Strateji Geliştirme Dairesinin Rol ve Faaliyetleri hakkında bilgi verilmiştir. Sonrasında 06 Haziran 2024 tarihinde Özbekistan Enerji Piyasası Geliştirme ve Düzenleme Ajansı ile Kurum arasında Enerji Piyasasının Geliştirilmesi ve Düzenlenmesi İşbirliğine İlişkin Anlaşma imzalanmıştır. </w:t>
      </w:r>
    </w:p>
    <w:p w14:paraId="6DD085B2" w14:textId="77777777" w:rsidR="00D841B5" w:rsidRPr="00E17879" w:rsidRDefault="00D841B5" w:rsidP="00D841B5">
      <w:r w:rsidRPr="00E17879">
        <w:t xml:space="preserve">Filistin Maliye Bakanlığı, Filistin Su Kurumu ve çeşitli üniversite ile kamu kurumları temsilcilerinden oluşan bir heyet 02 Temmuz 2024 tarihinde Kurumu ziyaret etmiştir. Heyete, Kurum Yapısı ve Görevleri, Türkiye Elektrik Piyasası için Düzenleyici Çerçeve ve Yenilenebilir Enerji Kaynaklarının Yaygınlaştırılmasına İlişkin Tecrübe Paylaşımı ve Türkiye Elektrik Piyasasında Talep Tarafı Yedekleme (Rezerv) Hizmeti konularında bilgi verilmiştir. </w:t>
      </w:r>
    </w:p>
    <w:p w14:paraId="73A5E8A9" w14:textId="77777777" w:rsidR="00D841B5" w:rsidRPr="00E17879" w:rsidRDefault="00D841B5" w:rsidP="00D841B5">
      <w:r w:rsidRPr="00E17879">
        <w:lastRenderedPageBreak/>
        <w:t>Özbekistan Cumhuriyeti Enerji Piyasası Geliştirme ve Düzenleme Kurumundan bir</w:t>
      </w:r>
      <w:r>
        <w:t xml:space="preserve"> başka</w:t>
      </w:r>
      <w:r w:rsidRPr="00E17879">
        <w:t xml:space="preserve"> heyet 10-11 Aralık 2024 tarihlerinde Kurumu ziyaret etmiş ve </w:t>
      </w:r>
      <w:r>
        <w:t xml:space="preserve">heyete </w:t>
      </w:r>
      <w:r w:rsidRPr="00E17879">
        <w:t xml:space="preserve">Kurum Yapısı ve Sorumlulukları, Türkiye’de Elektrik Piyasası Yapısı ve Düzenlemeleri, Elektrik Piyasası Lisanslama Süreçleri ve Yatırım Modelleri, Enerji Piyasası Bildirim Sistemi, Elektrik Tarife Düzenlemeleri ve Elektrik Dağıtım Tarifeleri konularında bilgi verilmiş ve heyetin konuyla ilgili soruları cevaplanmıştır. </w:t>
      </w:r>
    </w:p>
    <w:p w14:paraId="3EDB83EB" w14:textId="77777777" w:rsidR="00D841B5" w:rsidRPr="002048A7" w:rsidRDefault="00D841B5" w:rsidP="00D841B5">
      <w:r w:rsidRPr="00E17879">
        <w:t>Azerbaycan-Türkiye Enerji İş birliği bağlamında oluşturulan Regülasyon Çalışma Grubu kapsamında Azerbaycan Enerji Düzenleme Kurumu personeliyle 2024 yılında dokuz adet çevrimiçi toplantı gerçekleştirilmiş ve elektrik piyasasında ayrıştırma süreçleri, enerji depolama, elektrikli araçlar ve altyapısı, ENTSO-E şebekesine bağlantı, enerji depolama, serbest tüketiciler, doğal gaz piyasası ve Kurum bildirim ve raporlama sistemi hakkında bilgilendirici sunumlar yapılmış ve katılımcıların konulara ilişkin soruları cevaplanmıştır.</w:t>
      </w:r>
    </w:p>
    <w:p w14:paraId="0660B733" w14:textId="77777777" w:rsidR="006C670B" w:rsidRPr="002048A7" w:rsidRDefault="006C670B" w:rsidP="00577AAF">
      <w:pPr>
        <w:pStyle w:val="Balk2"/>
        <w:numPr>
          <w:ilvl w:val="1"/>
          <w:numId w:val="11"/>
        </w:numPr>
        <w:spacing w:after="240"/>
        <w:rPr>
          <w:rFonts w:asciiTheme="minorHAnsi" w:hAnsiTheme="minorHAnsi"/>
          <w:color w:val="000000" w:themeColor="text1"/>
          <w:sz w:val="22"/>
          <w:szCs w:val="22"/>
        </w:rPr>
      </w:pPr>
      <w:bookmarkStart w:id="427" w:name="_Toc195868781"/>
      <w:r w:rsidRPr="002048A7">
        <w:rPr>
          <w:rFonts w:asciiTheme="minorHAnsi" w:hAnsiTheme="minorHAnsi"/>
          <w:color w:val="000000" w:themeColor="text1"/>
          <w:sz w:val="22"/>
          <w:szCs w:val="22"/>
        </w:rPr>
        <w:t>Avrupa Birliği Müktesebatı İle Uyum Süreci Kapsamındaki Faaliyetler</w:t>
      </w:r>
      <w:bookmarkEnd w:id="427"/>
    </w:p>
    <w:p w14:paraId="4760D76C" w14:textId="77777777" w:rsidR="00D841B5" w:rsidRPr="002048A7" w:rsidRDefault="00D841B5" w:rsidP="00D841B5">
      <w:pPr>
        <w:spacing w:before="120" w:after="120"/>
        <w:rPr>
          <w:rFonts w:ascii="Calibri" w:hAnsi="Calibri" w:cs="Calibri"/>
        </w:rPr>
      </w:pPr>
      <w:r w:rsidRPr="002048A7">
        <w:rPr>
          <w:rFonts w:ascii="Calibri" w:hAnsi="Calibri" w:cs="Calibri"/>
        </w:rPr>
        <w:t>Ülkemizin AB’ye katılım yolunda kaydettiği gelişmelerin değerlendirildiği, Avrupa Komisyonu tarafından hazırlanan 202</w:t>
      </w:r>
      <w:r>
        <w:rPr>
          <w:rFonts w:ascii="Calibri" w:hAnsi="Calibri" w:cs="Calibri"/>
        </w:rPr>
        <w:t>4</w:t>
      </w:r>
      <w:r w:rsidRPr="002048A7">
        <w:rPr>
          <w:rFonts w:ascii="Calibri" w:hAnsi="Calibri" w:cs="Calibri"/>
        </w:rPr>
        <w:t xml:space="preserve"> Türkiye İlerleme Raporunun Kurum görev alanı ile ilgili kısımlarına katkı sağlanmıştır.</w:t>
      </w:r>
    </w:p>
    <w:p w14:paraId="69353767" w14:textId="77777777" w:rsidR="00D841B5" w:rsidRPr="002048A7" w:rsidRDefault="00D841B5" w:rsidP="00D841B5">
      <w:pPr>
        <w:spacing w:before="120" w:after="120"/>
        <w:rPr>
          <w:rFonts w:ascii="Calibri" w:hAnsi="Calibri" w:cs="Calibri"/>
        </w:rPr>
      </w:pPr>
      <w:r w:rsidRPr="002048A7">
        <w:rPr>
          <w:rFonts w:ascii="Calibri" w:hAnsi="Calibri" w:cs="Calibri"/>
        </w:rPr>
        <w:t>AB’ye tam üyelik için aday ülke statüsü çerçevesinde her yıl Cumhurbaşkanlığı Strateji ve Bütçe Başkanlığı'nın koordinasyonunda hazırlanan ve Avrupa Komisyonu’na iletilen Katılım Öncesi Ekonomik Reform Programı’nın (ERP) 202</w:t>
      </w:r>
      <w:r>
        <w:rPr>
          <w:rFonts w:ascii="Calibri" w:hAnsi="Calibri" w:cs="Calibri"/>
        </w:rPr>
        <w:t>5</w:t>
      </w:r>
      <w:r w:rsidRPr="002048A7">
        <w:rPr>
          <w:rFonts w:ascii="Calibri" w:hAnsi="Calibri" w:cs="Calibri"/>
        </w:rPr>
        <w:t>-202</w:t>
      </w:r>
      <w:r>
        <w:rPr>
          <w:rFonts w:ascii="Calibri" w:hAnsi="Calibri" w:cs="Calibri"/>
        </w:rPr>
        <w:t>7</w:t>
      </w:r>
      <w:r w:rsidRPr="002048A7">
        <w:rPr>
          <w:rFonts w:ascii="Calibri" w:hAnsi="Calibri" w:cs="Calibri"/>
        </w:rPr>
        <w:t xml:space="preserve"> yılları hazırlık çalışmaları kapsamında, enerji piyasalarındaki tedbirlere ilişkin bilgi notları hazırlanmış ve hazırlık toplantılarına katılım sağlanmıştır. </w:t>
      </w:r>
    </w:p>
    <w:p w14:paraId="399B5D35" w14:textId="77777777" w:rsidR="00D841B5" w:rsidRPr="002048A7" w:rsidRDefault="00D841B5" w:rsidP="00D841B5">
      <w:pPr>
        <w:spacing w:before="120" w:after="120"/>
        <w:rPr>
          <w:rFonts w:ascii="Calibri" w:hAnsi="Calibri"/>
        </w:rPr>
      </w:pPr>
      <w:r>
        <w:t>AB'ye Katılım için Ulusal Eylem Planı'nın (2025-2028) yayımlanması çalışmaları kapsamında Kurum görev alanına giren tedbirlere ilişkin değişiklik yapılmış ve ilave tedbir önerileri geliştirilmiştir.</w:t>
      </w:r>
    </w:p>
    <w:p w14:paraId="18539E96" w14:textId="77777777" w:rsidR="006C670B" w:rsidRPr="002048A7" w:rsidRDefault="006C670B" w:rsidP="00577AAF">
      <w:pPr>
        <w:pStyle w:val="Balk2"/>
        <w:numPr>
          <w:ilvl w:val="1"/>
          <w:numId w:val="11"/>
        </w:numPr>
        <w:spacing w:after="240"/>
        <w:ind w:left="567" w:hanging="567"/>
        <w:rPr>
          <w:rFonts w:asciiTheme="minorHAnsi" w:hAnsiTheme="minorHAnsi"/>
          <w:color w:val="000000" w:themeColor="text1"/>
          <w:sz w:val="22"/>
          <w:szCs w:val="22"/>
        </w:rPr>
      </w:pPr>
      <w:bookmarkStart w:id="428" w:name="_Toc195868782"/>
      <w:r w:rsidRPr="002048A7">
        <w:rPr>
          <w:rFonts w:asciiTheme="minorHAnsi" w:hAnsiTheme="minorHAnsi"/>
          <w:color w:val="000000" w:themeColor="text1"/>
          <w:sz w:val="22"/>
          <w:szCs w:val="22"/>
        </w:rPr>
        <w:t>Ülkemizin Taraf Olduğu Uluslararası Anlaşmalar Gereği İlişki İçerisinde Bulunulan Organizasyonlar Kapsamında Kurumun Görev Alanına Giren Alanlarda Yapılan Çalışmalar</w:t>
      </w:r>
      <w:bookmarkEnd w:id="428"/>
    </w:p>
    <w:p w14:paraId="5AF79C49" w14:textId="77777777" w:rsidR="006C670B" w:rsidRPr="002048A7" w:rsidRDefault="006C670B" w:rsidP="006C670B">
      <w:pPr>
        <w:spacing w:before="120" w:after="120"/>
        <w:rPr>
          <w:rFonts w:ascii="Calibri" w:hAnsi="Calibri"/>
        </w:rPr>
      </w:pPr>
      <w:r w:rsidRPr="002048A7">
        <w:rPr>
          <w:rFonts w:ascii="Calibri" w:hAnsi="Calibri"/>
        </w:rPr>
        <w:t>KEİ, OECD, UEA, DTÖ ve EİT bünyesindeki çalışma grubu, görev gücü vb. oluşumlarda Kurumu temsil etmek üzere Kurum personeli görevlendirilerek adı geçen kuruluşların çalışmaları takip edilmektedir.</w:t>
      </w:r>
    </w:p>
    <w:p w14:paraId="68337469" w14:textId="77777777" w:rsidR="006C670B" w:rsidRPr="002048A7" w:rsidRDefault="006C670B" w:rsidP="006C670B">
      <w:pPr>
        <w:spacing w:before="120" w:after="120"/>
        <w:rPr>
          <w:rFonts w:ascii="Calibri" w:hAnsi="Calibri"/>
        </w:rPr>
      </w:pPr>
      <w:r w:rsidRPr="002048A7">
        <w:rPr>
          <w:rFonts w:ascii="Calibri" w:hAnsi="Calibri"/>
        </w:rPr>
        <w:t xml:space="preserve">Türkiye’nin OECD Daimî Temsilciliği tarafından iletilen raporlar ve bilgi notları değerlendirilerek, ilgili birimlerle </w:t>
      </w:r>
      <w:r w:rsidR="00975699" w:rsidRPr="002048A7">
        <w:rPr>
          <w:rFonts w:ascii="Calibri" w:hAnsi="Calibri"/>
        </w:rPr>
        <w:t xml:space="preserve">gerektiğinde </w:t>
      </w:r>
      <w:r w:rsidRPr="002048A7">
        <w:rPr>
          <w:rFonts w:ascii="Calibri" w:hAnsi="Calibri"/>
        </w:rPr>
        <w:t xml:space="preserve">paylaşılmıştır. </w:t>
      </w:r>
    </w:p>
    <w:p w14:paraId="1905BC75" w14:textId="77777777" w:rsidR="006C670B" w:rsidRPr="002048A7" w:rsidRDefault="006C670B" w:rsidP="00577AAF">
      <w:pPr>
        <w:pStyle w:val="Balk2"/>
        <w:numPr>
          <w:ilvl w:val="1"/>
          <w:numId w:val="11"/>
        </w:numPr>
        <w:spacing w:after="240"/>
        <w:rPr>
          <w:rFonts w:asciiTheme="minorHAnsi" w:hAnsiTheme="minorHAnsi"/>
          <w:color w:val="000000" w:themeColor="text1"/>
          <w:sz w:val="22"/>
          <w:szCs w:val="22"/>
        </w:rPr>
      </w:pPr>
      <w:bookmarkStart w:id="429" w:name="_Toc195868783"/>
      <w:r w:rsidRPr="002048A7">
        <w:rPr>
          <w:rFonts w:asciiTheme="minorHAnsi" w:hAnsiTheme="minorHAnsi"/>
          <w:color w:val="000000" w:themeColor="text1"/>
          <w:sz w:val="22"/>
          <w:szCs w:val="22"/>
        </w:rPr>
        <w:t>Uluslararası Enerji Piyasalarındaki Gelişmelerin İzlenmesi ve Raporlanması</w:t>
      </w:r>
      <w:bookmarkEnd w:id="429"/>
    </w:p>
    <w:p w14:paraId="0C1BA5F4" w14:textId="77777777" w:rsidR="00D841B5" w:rsidRPr="002048A7" w:rsidRDefault="00D841B5" w:rsidP="00D841B5">
      <w:pPr>
        <w:rPr>
          <w:rFonts w:ascii="Calibri" w:hAnsi="Calibri"/>
        </w:rPr>
      </w:pPr>
      <w:r w:rsidRPr="002048A7">
        <w:rPr>
          <w:rFonts w:ascii="Calibri" w:hAnsi="Calibri"/>
        </w:rPr>
        <w:t>2015 yılında başlanarak dış basında çıkan önemli haberler ile uluslararası kuruluşların önemli görülen raporlarının derlendiği “Dünya Enerji Gündemi” bültenlerinin hazırlanmasına 202</w:t>
      </w:r>
      <w:r>
        <w:rPr>
          <w:rFonts w:ascii="Calibri" w:hAnsi="Calibri"/>
        </w:rPr>
        <w:t>4</w:t>
      </w:r>
      <w:r w:rsidRPr="002048A7">
        <w:rPr>
          <w:rFonts w:ascii="Calibri" w:hAnsi="Calibri"/>
        </w:rPr>
        <w:t xml:space="preserve"> yılında da devam edilmiştir. 202</w:t>
      </w:r>
      <w:r>
        <w:rPr>
          <w:rFonts w:ascii="Calibri" w:hAnsi="Calibri"/>
        </w:rPr>
        <w:t>4</w:t>
      </w:r>
      <w:r w:rsidRPr="002048A7">
        <w:rPr>
          <w:rFonts w:ascii="Calibri" w:hAnsi="Calibri"/>
        </w:rPr>
        <w:t xml:space="preserve"> yılında </w:t>
      </w:r>
      <w:r>
        <w:rPr>
          <w:rFonts w:ascii="Calibri" w:hAnsi="Calibri"/>
        </w:rPr>
        <w:t>11</w:t>
      </w:r>
      <w:r w:rsidRPr="002048A7">
        <w:rPr>
          <w:rFonts w:ascii="Calibri" w:hAnsi="Calibri"/>
        </w:rPr>
        <w:t xml:space="preserve"> adet dış basın bülteni hazırlanmıştır. Haberler derlenirken coğrafi ve tematik sınıflandırma yapılmasına özen gösterilmiştir. Yıl içerisinde derlenen haberler, konularına göre ayrıca sınıflandırılmıştır. Diğer yandan, uluslararası kuruluşlarca yayımlanan ve Kuruma intikal eden raporlar ile Dışişleri Bakanlığı tarafından iletilen uluslararası gelişmeler ilgili birimlerle paylaşılmıştır.   </w:t>
      </w:r>
    </w:p>
    <w:p w14:paraId="1BBA4621" w14:textId="77777777" w:rsidR="00D841B5" w:rsidRPr="002048A7" w:rsidRDefault="00D841B5" w:rsidP="00D841B5">
      <w:pPr>
        <w:spacing w:before="120" w:after="120"/>
        <w:rPr>
          <w:rFonts w:ascii="Calibri" w:hAnsi="Calibri"/>
        </w:rPr>
      </w:pPr>
      <w:r w:rsidRPr="002048A7">
        <w:rPr>
          <w:rFonts w:ascii="Calibri" w:hAnsi="Calibri"/>
        </w:rPr>
        <w:t>Diğer taraftan 202</w:t>
      </w:r>
      <w:r>
        <w:rPr>
          <w:rFonts w:ascii="Calibri" w:hAnsi="Calibri"/>
        </w:rPr>
        <w:t>4</w:t>
      </w:r>
      <w:r w:rsidRPr="002048A7">
        <w:rPr>
          <w:rFonts w:ascii="Calibri" w:hAnsi="Calibri"/>
        </w:rPr>
        <w:t xml:space="preserve"> yılı içerisinde;</w:t>
      </w:r>
      <w:r>
        <w:rPr>
          <w:rFonts w:ascii="Calibri" w:hAnsi="Calibri"/>
        </w:rPr>
        <w:t xml:space="preserve">  </w:t>
      </w:r>
    </w:p>
    <w:p w14:paraId="54211436" w14:textId="77777777" w:rsidR="00D841B5" w:rsidRDefault="00D841B5" w:rsidP="0025080A">
      <w:pPr>
        <w:pStyle w:val="ListeParagraf"/>
        <w:numPr>
          <w:ilvl w:val="0"/>
          <w:numId w:val="28"/>
        </w:numPr>
        <w:spacing w:before="120" w:after="120" w:line="259" w:lineRule="auto"/>
        <w:contextualSpacing w:val="0"/>
        <w:jc w:val="left"/>
      </w:pPr>
      <w:r>
        <w:t xml:space="preserve">Libya Enerji ve Ekonomi Zirvesi çalışmalarına, </w:t>
      </w:r>
    </w:p>
    <w:p w14:paraId="14114C9D" w14:textId="77777777" w:rsidR="00D841B5" w:rsidRDefault="00D841B5" w:rsidP="0025080A">
      <w:pPr>
        <w:pStyle w:val="ListeParagraf"/>
        <w:numPr>
          <w:ilvl w:val="0"/>
          <w:numId w:val="28"/>
        </w:numPr>
        <w:spacing w:before="120" w:after="120" w:line="259" w:lineRule="auto"/>
        <w:contextualSpacing w:val="0"/>
        <w:jc w:val="left"/>
      </w:pPr>
      <w:r>
        <w:t>Türkiye-Kırgızistan Karma Ekonomik Komisyonu (KEK) 11. Dönem Toplantısı çalışmalarına,</w:t>
      </w:r>
    </w:p>
    <w:p w14:paraId="76B4D336" w14:textId="77777777" w:rsidR="00D841B5" w:rsidRDefault="00D841B5" w:rsidP="0025080A">
      <w:pPr>
        <w:pStyle w:val="ListeParagraf"/>
        <w:numPr>
          <w:ilvl w:val="0"/>
          <w:numId w:val="28"/>
        </w:numPr>
        <w:spacing w:before="120" w:after="120" w:line="259" w:lineRule="auto"/>
        <w:contextualSpacing w:val="0"/>
        <w:jc w:val="left"/>
      </w:pPr>
      <w:r>
        <w:t>BM Asya ve Pasifik Ekonomik ve Sosyal Komisyonu’nun "Orta Asya ve Kafkasya'da Enerji Bağlantısı" konulu çalışmalarına,</w:t>
      </w:r>
    </w:p>
    <w:p w14:paraId="1217B6F5" w14:textId="77777777" w:rsidR="00D841B5" w:rsidRDefault="00D841B5" w:rsidP="0025080A">
      <w:pPr>
        <w:pStyle w:val="ListeParagraf"/>
        <w:numPr>
          <w:ilvl w:val="0"/>
          <w:numId w:val="28"/>
        </w:numPr>
        <w:spacing w:before="120" w:after="120" w:line="259" w:lineRule="auto"/>
        <w:contextualSpacing w:val="0"/>
        <w:jc w:val="left"/>
      </w:pPr>
      <w:r>
        <w:lastRenderedPageBreak/>
        <w:t>Uluslararası Denizcilik Örgütü (IMO) Üye Devlet Denetim Programı (IMSAS) çalışmalarına,</w:t>
      </w:r>
    </w:p>
    <w:p w14:paraId="32D27DB1" w14:textId="77777777" w:rsidR="00D841B5" w:rsidRDefault="00D841B5" w:rsidP="0025080A">
      <w:pPr>
        <w:pStyle w:val="ListeParagraf"/>
        <w:numPr>
          <w:ilvl w:val="0"/>
          <w:numId w:val="28"/>
        </w:numPr>
        <w:spacing w:before="120" w:after="120" w:line="259" w:lineRule="auto"/>
        <w:contextualSpacing w:val="0"/>
        <w:jc w:val="left"/>
      </w:pPr>
      <w:r>
        <w:t>Türkiye'nin Döngüsel Ekonomiye Geçiş Potansiyelinin Değerlendirilmesi için Teknik Destek Projesi (DEEP) çalışmalarına,</w:t>
      </w:r>
    </w:p>
    <w:p w14:paraId="502CBAFA" w14:textId="77777777" w:rsidR="00D841B5" w:rsidRDefault="00D841B5" w:rsidP="0025080A">
      <w:pPr>
        <w:pStyle w:val="ListeParagraf"/>
        <w:numPr>
          <w:ilvl w:val="0"/>
          <w:numId w:val="28"/>
        </w:numPr>
        <w:spacing w:before="120" w:after="120" w:line="259" w:lineRule="auto"/>
        <w:contextualSpacing w:val="0"/>
        <w:jc w:val="left"/>
      </w:pPr>
      <w:r>
        <w:t>Yeşil Mutabakat Eylem Planı Finansman İmkanlarının Derlenmesi çalışmalarına,</w:t>
      </w:r>
    </w:p>
    <w:p w14:paraId="5F0DF431" w14:textId="77777777" w:rsidR="00D841B5" w:rsidRDefault="00D841B5" w:rsidP="0025080A">
      <w:pPr>
        <w:pStyle w:val="ListeParagraf"/>
        <w:numPr>
          <w:ilvl w:val="0"/>
          <w:numId w:val="28"/>
        </w:numPr>
        <w:spacing w:before="120" w:after="120" w:line="259" w:lineRule="auto"/>
        <w:contextualSpacing w:val="0"/>
        <w:jc w:val="left"/>
      </w:pPr>
      <w:r>
        <w:t>Türkiye Uluslararası Doğrudan Yatırım Stratejisi (2024-2028) çalışmalarına,</w:t>
      </w:r>
    </w:p>
    <w:p w14:paraId="355DE0CE" w14:textId="77777777" w:rsidR="00D841B5" w:rsidRDefault="00D841B5" w:rsidP="0025080A">
      <w:pPr>
        <w:pStyle w:val="ListeParagraf"/>
        <w:numPr>
          <w:ilvl w:val="0"/>
          <w:numId w:val="28"/>
        </w:numPr>
        <w:spacing w:before="120" w:after="120" w:line="259" w:lineRule="auto"/>
        <w:contextualSpacing w:val="0"/>
        <w:jc w:val="left"/>
      </w:pPr>
      <w:r>
        <w:t>Türkiye-Azerbaycan 11. Dönem KEK Toplantısı çalışmalarına,</w:t>
      </w:r>
    </w:p>
    <w:p w14:paraId="6D8612FA" w14:textId="77777777" w:rsidR="00D841B5" w:rsidRDefault="00D841B5" w:rsidP="0025080A">
      <w:pPr>
        <w:pStyle w:val="ListeParagraf"/>
        <w:numPr>
          <w:ilvl w:val="0"/>
          <w:numId w:val="28"/>
        </w:numPr>
        <w:spacing w:before="120" w:after="120" w:line="259" w:lineRule="auto"/>
        <w:contextualSpacing w:val="0"/>
        <w:jc w:val="left"/>
      </w:pPr>
      <w:r>
        <w:t>Avrupa Komisyonu ile yürütülen SKDM h</w:t>
      </w:r>
      <w:r w:rsidRPr="002F4A20">
        <w:t>akkında</w:t>
      </w:r>
      <w:r>
        <w:t>ki teknik istişarelere,</w:t>
      </w:r>
    </w:p>
    <w:p w14:paraId="4B930059" w14:textId="77777777" w:rsidR="00D841B5" w:rsidRDefault="00D841B5" w:rsidP="0025080A">
      <w:pPr>
        <w:pStyle w:val="ListeParagraf"/>
        <w:numPr>
          <w:ilvl w:val="0"/>
          <w:numId w:val="28"/>
        </w:numPr>
        <w:spacing w:before="120" w:after="120" w:line="259" w:lineRule="auto"/>
        <w:contextualSpacing w:val="0"/>
        <w:jc w:val="left"/>
      </w:pPr>
      <w:r>
        <w:t xml:space="preserve">Karadeniz Ekonomik </w:t>
      </w:r>
      <w:proofErr w:type="gramStart"/>
      <w:r>
        <w:t>İşbirliği</w:t>
      </w:r>
      <w:proofErr w:type="gramEnd"/>
      <w:r>
        <w:t xml:space="preserve"> Parlamenter Asamblesi (KEİPA) Ekonomi, Ticaret ve Finansal İşler Komisyonu çalışmalarına,</w:t>
      </w:r>
    </w:p>
    <w:p w14:paraId="6181362A" w14:textId="77777777" w:rsidR="00D841B5" w:rsidRDefault="00D841B5" w:rsidP="0025080A">
      <w:pPr>
        <w:pStyle w:val="ListeParagraf"/>
        <w:numPr>
          <w:ilvl w:val="0"/>
          <w:numId w:val="28"/>
        </w:numPr>
        <w:spacing w:before="120" w:after="120" w:line="259" w:lineRule="auto"/>
        <w:contextualSpacing w:val="0"/>
        <w:jc w:val="left"/>
      </w:pPr>
      <w:r>
        <w:t>6 No’lu Ulaştırma, Çevre, Enerji ve Trans-Avrupa Ağları Alt Komite Toplantısı çalışmalarına,</w:t>
      </w:r>
    </w:p>
    <w:p w14:paraId="3507CF50" w14:textId="77777777" w:rsidR="00D841B5" w:rsidRDefault="00D841B5" w:rsidP="0025080A">
      <w:pPr>
        <w:pStyle w:val="ListeParagraf"/>
        <w:numPr>
          <w:ilvl w:val="0"/>
          <w:numId w:val="28"/>
        </w:numPr>
        <w:spacing w:before="120" w:after="120" w:line="259" w:lineRule="auto"/>
        <w:contextualSpacing w:val="0"/>
        <w:jc w:val="left"/>
      </w:pPr>
      <w:r>
        <w:t>Ulusal Yeşil Taksonomi "Teknik Tarama Kriterleri"ne Yönelik Hazırlanan Taslak Metinlere İlişkin Alt Sektör Toplantıları çalışmalarına,</w:t>
      </w:r>
    </w:p>
    <w:p w14:paraId="07A8F2AD" w14:textId="77777777" w:rsidR="00D841B5" w:rsidRDefault="00D841B5" w:rsidP="0025080A">
      <w:pPr>
        <w:pStyle w:val="ListeParagraf"/>
        <w:numPr>
          <w:ilvl w:val="0"/>
          <w:numId w:val="28"/>
        </w:numPr>
        <w:spacing w:before="120" w:after="120" w:line="259" w:lineRule="auto"/>
        <w:contextualSpacing w:val="0"/>
        <w:jc w:val="left"/>
      </w:pPr>
      <w:r>
        <w:t>Türkiye-Azerbaycan III. Enerji Forumu çalışmalarına,</w:t>
      </w:r>
    </w:p>
    <w:p w14:paraId="77729CAE" w14:textId="77777777" w:rsidR="00D841B5" w:rsidRDefault="00D841B5" w:rsidP="0025080A">
      <w:pPr>
        <w:pStyle w:val="ListeParagraf"/>
        <w:numPr>
          <w:ilvl w:val="0"/>
          <w:numId w:val="28"/>
        </w:numPr>
        <w:spacing w:before="120" w:after="120" w:line="259" w:lineRule="auto"/>
        <w:contextualSpacing w:val="0"/>
        <w:jc w:val="left"/>
      </w:pPr>
      <w:r w:rsidRPr="00AB79FB">
        <w:t>AB’ye Katılım için U</w:t>
      </w:r>
      <w:r>
        <w:t>lusal Eylem Planı Güncelleme ç</w:t>
      </w:r>
      <w:r w:rsidRPr="00AB79FB">
        <w:t>alışmaları</w:t>
      </w:r>
      <w:r>
        <w:t>na,</w:t>
      </w:r>
    </w:p>
    <w:p w14:paraId="02F1A425" w14:textId="77777777" w:rsidR="00D841B5" w:rsidRDefault="00D841B5" w:rsidP="0025080A">
      <w:pPr>
        <w:pStyle w:val="ListeParagraf"/>
        <w:numPr>
          <w:ilvl w:val="0"/>
          <w:numId w:val="28"/>
        </w:numPr>
        <w:spacing w:before="120" w:after="120" w:line="259" w:lineRule="auto"/>
        <w:contextualSpacing w:val="0"/>
        <w:jc w:val="left"/>
      </w:pPr>
      <w:r>
        <w:t>AB Katılım Öncesi Ekonomik Reform Programı Değerlendirme Toplantısına,</w:t>
      </w:r>
    </w:p>
    <w:p w14:paraId="0B32C655" w14:textId="77777777" w:rsidR="00D841B5" w:rsidRDefault="00D841B5" w:rsidP="0025080A">
      <w:pPr>
        <w:pStyle w:val="ListeParagraf"/>
        <w:numPr>
          <w:ilvl w:val="0"/>
          <w:numId w:val="28"/>
        </w:numPr>
        <w:spacing w:before="120" w:after="120" w:line="259" w:lineRule="auto"/>
        <w:contextualSpacing w:val="0"/>
        <w:jc w:val="left"/>
      </w:pPr>
      <w:r>
        <w:t>Dünya Bankası Heyeti ile Karbon Piyasasının Geliştirilmesine Yönelik Teknik Görüşmeye,</w:t>
      </w:r>
    </w:p>
    <w:p w14:paraId="35EF68C6" w14:textId="77777777" w:rsidR="00D841B5" w:rsidRDefault="00D841B5" w:rsidP="0025080A">
      <w:pPr>
        <w:pStyle w:val="ListeParagraf"/>
        <w:numPr>
          <w:ilvl w:val="0"/>
          <w:numId w:val="28"/>
        </w:numPr>
        <w:spacing w:before="120" w:after="120" w:line="259" w:lineRule="auto"/>
        <w:contextualSpacing w:val="0"/>
        <w:jc w:val="left"/>
      </w:pPr>
      <w:r>
        <w:t>ETKB’de düzenlenen “Biyometan” konulu toplantıya,</w:t>
      </w:r>
    </w:p>
    <w:p w14:paraId="3C933FC0" w14:textId="77777777" w:rsidR="00D841B5" w:rsidRDefault="00D841B5" w:rsidP="0025080A">
      <w:pPr>
        <w:pStyle w:val="ListeParagraf"/>
        <w:numPr>
          <w:ilvl w:val="0"/>
          <w:numId w:val="28"/>
        </w:numPr>
        <w:spacing w:before="120" w:after="120" w:line="259" w:lineRule="auto"/>
        <w:contextualSpacing w:val="0"/>
        <w:jc w:val="left"/>
      </w:pPr>
      <w:r>
        <w:t>İklim Değişikliği Başkanlığı’nca düzenlenen “Emisyon Ticaret Sistemi” konulu eğitim programına,</w:t>
      </w:r>
    </w:p>
    <w:p w14:paraId="78016C68" w14:textId="77777777" w:rsidR="00D841B5" w:rsidRDefault="00D841B5" w:rsidP="0025080A">
      <w:pPr>
        <w:pStyle w:val="ListeParagraf"/>
        <w:numPr>
          <w:ilvl w:val="0"/>
          <w:numId w:val="28"/>
        </w:numPr>
        <w:spacing w:before="120" w:after="120" w:line="259" w:lineRule="auto"/>
        <w:contextualSpacing w:val="0"/>
        <w:jc w:val="left"/>
      </w:pPr>
      <w:r>
        <w:t>Türkiye Entegre Nükleer Emniyet Sürdürülebilirlik Planı (INSSP) Hazırlanması çalışmalarına,</w:t>
      </w:r>
    </w:p>
    <w:p w14:paraId="69A8D2CE" w14:textId="77777777" w:rsidR="00D841B5" w:rsidRDefault="00D841B5" w:rsidP="0025080A">
      <w:pPr>
        <w:pStyle w:val="ListeParagraf"/>
        <w:numPr>
          <w:ilvl w:val="0"/>
          <w:numId w:val="28"/>
        </w:numPr>
        <w:spacing w:before="120" w:after="120" w:line="259" w:lineRule="auto"/>
        <w:contextualSpacing w:val="0"/>
        <w:jc w:val="left"/>
      </w:pPr>
      <w:r>
        <w:t>Yeşil Mutabakat Çalışma Grubu 2023 Yılı Faaliyet Raporuna,</w:t>
      </w:r>
    </w:p>
    <w:p w14:paraId="0CAC20F3" w14:textId="77777777" w:rsidR="00D841B5" w:rsidRDefault="00D841B5" w:rsidP="0025080A">
      <w:pPr>
        <w:pStyle w:val="ListeParagraf"/>
        <w:numPr>
          <w:ilvl w:val="0"/>
          <w:numId w:val="28"/>
        </w:numPr>
        <w:spacing w:before="120" w:after="120" w:line="259" w:lineRule="auto"/>
        <w:contextualSpacing w:val="0"/>
        <w:jc w:val="left"/>
      </w:pPr>
      <w:r>
        <w:t xml:space="preserve">Resmi Destekli İhracat Kredileri Düzenlemesi Modernizasyonu çalışmalarına, </w:t>
      </w:r>
    </w:p>
    <w:p w14:paraId="4278C446" w14:textId="77777777" w:rsidR="00D841B5" w:rsidRPr="00BC26DA" w:rsidRDefault="00D841B5" w:rsidP="0025080A">
      <w:pPr>
        <w:pStyle w:val="ListeParagraf"/>
        <w:numPr>
          <w:ilvl w:val="0"/>
          <w:numId w:val="28"/>
        </w:numPr>
        <w:spacing w:before="120" w:after="120" w:line="259" w:lineRule="auto"/>
        <w:contextualSpacing w:val="0"/>
        <w:jc w:val="left"/>
      </w:pPr>
      <w:r w:rsidRPr="00BC26DA">
        <w:t>ABD’nin Telafi Edici Vergi Soruşturması çalışmalarına,</w:t>
      </w:r>
    </w:p>
    <w:p w14:paraId="2E0E7B89" w14:textId="77777777" w:rsidR="00D841B5" w:rsidRDefault="00D841B5" w:rsidP="0025080A">
      <w:pPr>
        <w:pStyle w:val="ListeParagraf"/>
        <w:numPr>
          <w:ilvl w:val="0"/>
          <w:numId w:val="28"/>
        </w:numPr>
        <w:spacing w:before="120" w:after="120" w:line="259" w:lineRule="auto"/>
        <w:contextualSpacing w:val="0"/>
        <w:jc w:val="left"/>
      </w:pPr>
      <w:r>
        <w:t xml:space="preserve">Avrupa </w:t>
      </w:r>
      <w:proofErr w:type="gramStart"/>
      <w:r>
        <w:t>Komisyonu -</w:t>
      </w:r>
      <w:proofErr w:type="gramEnd"/>
      <w:r>
        <w:t xml:space="preserve"> Türkiye 2024 Dijital Kamu Yönetimi Raporu çalışmalarına,</w:t>
      </w:r>
    </w:p>
    <w:p w14:paraId="7CA602E5" w14:textId="77777777" w:rsidR="00D841B5" w:rsidRDefault="00D841B5" w:rsidP="0025080A">
      <w:pPr>
        <w:pStyle w:val="ListeParagraf"/>
        <w:numPr>
          <w:ilvl w:val="0"/>
          <w:numId w:val="28"/>
        </w:numPr>
        <w:spacing w:before="120" w:after="120" w:line="259" w:lineRule="auto"/>
        <w:contextualSpacing w:val="0"/>
        <w:jc w:val="left"/>
      </w:pPr>
      <w:r>
        <w:t>Ulusal Karbon Fiyatlandırma İhtisas Çalışma Grubu 5. Toplantısına,</w:t>
      </w:r>
    </w:p>
    <w:p w14:paraId="07C9FA04" w14:textId="77777777" w:rsidR="00D841B5" w:rsidRDefault="00D841B5" w:rsidP="0025080A">
      <w:pPr>
        <w:pStyle w:val="ListeParagraf"/>
        <w:numPr>
          <w:ilvl w:val="0"/>
          <w:numId w:val="28"/>
        </w:numPr>
        <w:spacing w:before="120" w:after="120" w:line="259" w:lineRule="auto"/>
        <w:contextualSpacing w:val="0"/>
        <w:jc w:val="left"/>
      </w:pPr>
      <w:r>
        <w:t>Ufuk Avrupa Mütekabiliyet Çalışma Grubu çalışmalarına,</w:t>
      </w:r>
    </w:p>
    <w:p w14:paraId="6A891171" w14:textId="77777777" w:rsidR="00D841B5" w:rsidRDefault="00D841B5" w:rsidP="0025080A">
      <w:pPr>
        <w:pStyle w:val="ListeParagraf"/>
        <w:numPr>
          <w:ilvl w:val="0"/>
          <w:numId w:val="28"/>
        </w:numPr>
        <w:spacing w:before="120" w:after="120" w:line="259" w:lineRule="auto"/>
        <w:contextualSpacing w:val="0"/>
        <w:jc w:val="left"/>
      </w:pPr>
      <w:r>
        <w:t xml:space="preserve">10. </w:t>
      </w:r>
      <w:proofErr w:type="gramStart"/>
      <w:r>
        <w:t>Türkiye -</w:t>
      </w:r>
      <w:proofErr w:type="gramEnd"/>
      <w:r>
        <w:t xml:space="preserve"> Hollanda (Wittenburg) Konferansı çalışmalarına,</w:t>
      </w:r>
    </w:p>
    <w:p w14:paraId="276EF96A" w14:textId="77777777" w:rsidR="00D841B5" w:rsidRDefault="00D841B5" w:rsidP="0025080A">
      <w:pPr>
        <w:pStyle w:val="ListeParagraf"/>
        <w:numPr>
          <w:ilvl w:val="0"/>
          <w:numId w:val="28"/>
        </w:numPr>
        <w:spacing w:before="120" w:after="120" w:line="259" w:lineRule="auto"/>
        <w:contextualSpacing w:val="0"/>
        <w:jc w:val="left"/>
      </w:pPr>
      <w:r>
        <w:t>Türkiye-Kazakistan 13. Dönem Karma Ekonomik Komisyon (KEK) Toplantısı çalışmalarına,</w:t>
      </w:r>
    </w:p>
    <w:p w14:paraId="6763176B" w14:textId="77777777" w:rsidR="00D841B5" w:rsidRDefault="00D841B5" w:rsidP="0025080A">
      <w:pPr>
        <w:pStyle w:val="ListeParagraf"/>
        <w:numPr>
          <w:ilvl w:val="0"/>
          <w:numId w:val="28"/>
        </w:numPr>
        <w:spacing w:before="120" w:after="120" w:line="259" w:lineRule="auto"/>
        <w:contextualSpacing w:val="0"/>
        <w:jc w:val="left"/>
      </w:pPr>
      <w:r>
        <w:t>AB’nin “Yeşil Hidrojen” konulu anket çalışmasına,</w:t>
      </w:r>
    </w:p>
    <w:p w14:paraId="5F8661C0" w14:textId="77777777" w:rsidR="00D841B5" w:rsidRDefault="00D841B5" w:rsidP="0025080A">
      <w:pPr>
        <w:pStyle w:val="ListeParagraf"/>
        <w:numPr>
          <w:ilvl w:val="0"/>
          <w:numId w:val="28"/>
        </w:numPr>
        <w:spacing w:before="120" w:after="120" w:line="259" w:lineRule="auto"/>
        <w:contextualSpacing w:val="0"/>
        <w:jc w:val="left"/>
      </w:pPr>
      <w:r>
        <w:t>Türkiye Karbon Piyasası Geliştirme Projesi Açılış Toplantısına,</w:t>
      </w:r>
    </w:p>
    <w:p w14:paraId="4160E295" w14:textId="77777777" w:rsidR="00D841B5" w:rsidRDefault="00D841B5" w:rsidP="0025080A">
      <w:pPr>
        <w:pStyle w:val="ListeParagraf"/>
        <w:numPr>
          <w:ilvl w:val="0"/>
          <w:numId w:val="28"/>
        </w:numPr>
        <w:spacing w:before="120" w:after="120" w:line="259" w:lineRule="auto"/>
        <w:contextualSpacing w:val="0"/>
        <w:jc w:val="left"/>
      </w:pPr>
      <w:r>
        <w:t>Türkiye-Tacikistan 12. Dönem Karma Ekonomik Komisyon (KEK) Toplantısı çalışmalarına,</w:t>
      </w:r>
    </w:p>
    <w:p w14:paraId="3CE1542F" w14:textId="77777777" w:rsidR="00D841B5" w:rsidRDefault="00D841B5" w:rsidP="0025080A">
      <w:pPr>
        <w:pStyle w:val="ListeParagraf"/>
        <w:numPr>
          <w:ilvl w:val="0"/>
          <w:numId w:val="28"/>
        </w:numPr>
        <w:spacing w:before="120" w:after="120" w:line="259" w:lineRule="auto"/>
        <w:contextualSpacing w:val="0"/>
        <w:jc w:val="left"/>
      </w:pPr>
      <w:r>
        <w:t>Türk Resmi Ekonomi Politikaları Araştırma Merkezleri Ağı (ERCNET) Raporu çalışmasına,</w:t>
      </w:r>
    </w:p>
    <w:p w14:paraId="2B6751B0" w14:textId="77777777" w:rsidR="00D841B5" w:rsidRDefault="00D841B5" w:rsidP="0025080A">
      <w:pPr>
        <w:pStyle w:val="ListeParagraf"/>
        <w:numPr>
          <w:ilvl w:val="0"/>
          <w:numId w:val="28"/>
        </w:numPr>
        <w:spacing w:before="120" w:after="120" w:line="259" w:lineRule="auto"/>
        <w:contextualSpacing w:val="0"/>
        <w:jc w:val="left"/>
      </w:pPr>
      <w:r>
        <w:t>Türkiye-Cezayir Karma Ekonomik Komisyonu (KEK) 12. Dönem Toplantısı çalışmalarına,</w:t>
      </w:r>
    </w:p>
    <w:p w14:paraId="35B592C6" w14:textId="77777777" w:rsidR="00D841B5" w:rsidRDefault="00D841B5" w:rsidP="0025080A">
      <w:pPr>
        <w:pStyle w:val="ListeParagraf"/>
        <w:numPr>
          <w:ilvl w:val="0"/>
          <w:numId w:val="28"/>
        </w:numPr>
        <w:spacing w:before="120" w:after="120" w:line="259" w:lineRule="auto"/>
        <w:contextualSpacing w:val="0"/>
        <w:jc w:val="left"/>
      </w:pPr>
      <w:r>
        <w:t>AB Komisyonu 2024 Türkiye Raporuna ülkemiz katkısının hazırlanması çalışmalarına,</w:t>
      </w:r>
    </w:p>
    <w:p w14:paraId="11CC747F" w14:textId="77777777" w:rsidR="00D841B5" w:rsidRDefault="00D841B5" w:rsidP="0025080A">
      <w:pPr>
        <w:pStyle w:val="ListeParagraf"/>
        <w:numPr>
          <w:ilvl w:val="0"/>
          <w:numId w:val="28"/>
        </w:numPr>
        <w:spacing w:before="120" w:after="120" w:line="259" w:lineRule="auto"/>
        <w:contextualSpacing w:val="0"/>
        <w:jc w:val="left"/>
      </w:pPr>
      <w:r>
        <w:lastRenderedPageBreak/>
        <w:t xml:space="preserve">Türkiye-Venezuela Ortak </w:t>
      </w:r>
      <w:proofErr w:type="gramStart"/>
      <w:r>
        <w:t>İşbirliği</w:t>
      </w:r>
      <w:proofErr w:type="gramEnd"/>
      <w:r>
        <w:t xml:space="preserve"> Komisyonunun IV. Toplantısı ile akabinde imzalanan mutabakat zaptı çerçevesindeki çalışmalara, </w:t>
      </w:r>
    </w:p>
    <w:p w14:paraId="6B9DF94F" w14:textId="77777777" w:rsidR="00D841B5" w:rsidRDefault="00D841B5" w:rsidP="0025080A">
      <w:pPr>
        <w:pStyle w:val="ListeParagraf"/>
        <w:numPr>
          <w:ilvl w:val="0"/>
          <w:numId w:val="28"/>
        </w:numPr>
        <w:spacing w:before="120" w:after="120" w:line="259" w:lineRule="auto"/>
        <w:contextualSpacing w:val="0"/>
        <w:jc w:val="left"/>
      </w:pPr>
      <w:r>
        <w:t>EBRD 2025-2029 Türkiye Stratejisi hazırlanması çalışmalarına,</w:t>
      </w:r>
    </w:p>
    <w:p w14:paraId="26724F5A" w14:textId="77777777" w:rsidR="00D841B5" w:rsidRDefault="00D841B5" w:rsidP="0025080A">
      <w:pPr>
        <w:pStyle w:val="ListeParagraf"/>
        <w:numPr>
          <w:ilvl w:val="0"/>
          <w:numId w:val="28"/>
        </w:numPr>
        <w:spacing w:before="120" w:after="120" w:line="259" w:lineRule="auto"/>
        <w:contextualSpacing w:val="0"/>
        <w:jc w:val="left"/>
      </w:pPr>
      <w:r>
        <w:t>TAIEX destekli Yeşil Hidrojen Politikaları Seminerine,</w:t>
      </w:r>
    </w:p>
    <w:p w14:paraId="0A5AE8B8" w14:textId="77777777" w:rsidR="00D841B5" w:rsidRDefault="00D841B5" w:rsidP="0025080A">
      <w:pPr>
        <w:pStyle w:val="ListeParagraf"/>
        <w:numPr>
          <w:ilvl w:val="0"/>
          <w:numId w:val="28"/>
        </w:numPr>
        <w:spacing w:before="120" w:after="120" w:line="259" w:lineRule="auto"/>
        <w:contextualSpacing w:val="0"/>
        <w:jc w:val="left"/>
      </w:pPr>
      <w:r>
        <w:t>EİT Dışişleri Bakan Yardımcıları Yüksek Düzeyli Komite Toplantısı çalışmalarına,</w:t>
      </w:r>
    </w:p>
    <w:p w14:paraId="5C9E9716" w14:textId="77777777" w:rsidR="00D841B5" w:rsidRDefault="00D841B5" w:rsidP="0025080A">
      <w:pPr>
        <w:pStyle w:val="ListeParagraf"/>
        <w:numPr>
          <w:ilvl w:val="0"/>
          <w:numId w:val="28"/>
        </w:numPr>
        <w:spacing w:before="120" w:after="120" w:line="259" w:lineRule="auto"/>
        <w:contextualSpacing w:val="0"/>
        <w:jc w:val="left"/>
      </w:pPr>
      <w:r>
        <w:t>IPA Kapsamında Sektör İzleme Komitesi Öncesi Sektör Gözden Geçirme Belgesinin Güncellenmesi çalışmalarına,</w:t>
      </w:r>
    </w:p>
    <w:p w14:paraId="4B170254" w14:textId="77777777" w:rsidR="00D841B5" w:rsidRDefault="00D841B5" w:rsidP="0025080A">
      <w:pPr>
        <w:pStyle w:val="ListeParagraf"/>
        <w:numPr>
          <w:ilvl w:val="0"/>
          <w:numId w:val="28"/>
        </w:numPr>
        <w:spacing w:before="120" w:after="120" w:line="259" w:lineRule="auto"/>
        <w:contextualSpacing w:val="0"/>
        <w:jc w:val="left"/>
      </w:pPr>
      <w:r>
        <w:t>BM Asya ve Pasifik Ekonomik ve Sosyal Komisyonu (UNESCAP) tarafından EİT üyeleri arasında düzenlenen toplantılara,</w:t>
      </w:r>
    </w:p>
    <w:p w14:paraId="4CC13A77" w14:textId="77777777" w:rsidR="00D841B5" w:rsidRDefault="00D841B5" w:rsidP="0025080A">
      <w:pPr>
        <w:pStyle w:val="ListeParagraf"/>
        <w:numPr>
          <w:ilvl w:val="0"/>
          <w:numId w:val="28"/>
        </w:numPr>
        <w:spacing w:before="120" w:after="120" w:line="259" w:lineRule="auto"/>
        <w:contextualSpacing w:val="0"/>
        <w:jc w:val="left"/>
      </w:pPr>
      <w:r>
        <w:t>ETKB ile Hazine ve Maliye Bakanlığınca Gerçekleştirilen IMF Heyeti Görüşmesine,</w:t>
      </w:r>
    </w:p>
    <w:p w14:paraId="2BECBAED" w14:textId="77777777" w:rsidR="00D841B5" w:rsidRDefault="00D841B5" w:rsidP="0025080A">
      <w:pPr>
        <w:pStyle w:val="ListeParagraf"/>
        <w:numPr>
          <w:ilvl w:val="0"/>
          <w:numId w:val="28"/>
        </w:numPr>
        <w:spacing w:before="120" w:after="120" w:line="259" w:lineRule="auto"/>
        <w:contextualSpacing w:val="0"/>
        <w:jc w:val="left"/>
      </w:pPr>
      <w:r>
        <w:t>Sıfır Emisyonlu Araçlara Geçiş Konseyi Bilgilendirme Toplantısına,</w:t>
      </w:r>
    </w:p>
    <w:p w14:paraId="33CBEBD1" w14:textId="77777777" w:rsidR="00D841B5" w:rsidRDefault="00D841B5" w:rsidP="0025080A">
      <w:pPr>
        <w:pStyle w:val="ListeParagraf"/>
        <w:numPr>
          <w:ilvl w:val="0"/>
          <w:numId w:val="28"/>
        </w:numPr>
        <w:spacing w:before="120" w:after="120" w:line="259" w:lineRule="auto"/>
        <w:contextualSpacing w:val="0"/>
        <w:jc w:val="left"/>
      </w:pPr>
      <w:r>
        <w:t>OECD Kalkınma Merkezi Karşılıklı Öğrenme Grubu Toplantısına,</w:t>
      </w:r>
    </w:p>
    <w:p w14:paraId="312282F9" w14:textId="77777777" w:rsidR="00D841B5" w:rsidRDefault="00D841B5" w:rsidP="0025080A">
      <w:pPr>
        <w:pStyle w:val="ListeParagraf"/>
        <w:numPr>
          <w:ilvl w:val="0"/>
          <w:numId w:val="28"/>
        </w:numPr>
        <w:spacing w:before="120" w:after="120" w:line="259" w:lineRule="auto"/>
        <w:contextualSpacing w:val="0"/>
        <w:jc w:val="left"/>
      </w:pPr>
      <w:r>
        <w:t>Türk Devletleri Teşkilatı Şuşa Zirvesi çalışmalarına,</w:t>
      </w:r>
    </w:p>
    <w:p w14:paraId="14076054" w14:textId="77777777" w:rsidR="00D841B5" w:rsidRDefault="00D841B5" w:rsidP="0025080A">
      <w:pPr>
        <w:pStyle w:val="ListeParagraf"/>
        <w:numPr>
          <w:ilvl w:val="0"/>
          <w:numId w:val="28"/>
        </w:numPr>
        <w:spacing w:before="120" w:after="120" w:line="259" w:lineRule="auto"/>
        <w:contextualSpacing w:val="0"/>
        <w:jc w:val="left"/>
      </w:pPr>
      <w:r>
        <w:t>EİT Bölgesel Elektrik Piyasası çalışmalarına,</w:t>
      </w:r>
    </w:p>
    <w:p w14:paraId="7A073022" w14:textId="77777777" w:rsidR="00D841B5" w:rsidRDefault="00D841B5" w:rsidP="0025080A">
      <w:pPr>
        <w:pStyle w:val="ListeParagraf"/>
        <w:numPr>
          <w:ilvl w:val="0"/>
          <w:numId w:val="28"/>
        </w:numPr>
        <w:spacing w:before="120" w:after="120" w:line="259" w:lineRule="auto"/>
        <w:contextualSpacing w:val="0"/>
        <w:jc w:val="left"/>
      </w:pPr>
      <w:r>
        <w:t>Dünya Bankası tarafından düzenlenen Türkiye Enerji Dönüşümü Çalıştayına,</w:t>
      </w:r>
    </w:p>
    <w:p w14:paraId="00CE7C58" w14:textId="77777777" w:rsidR="00D841B5" w:rsidRDefault="00D841B5" w:rsidP="0025080A">
      <w:pPr>
        <w:pStyle w:val="ListeParagraf"/>
        <w:numPr>
          <w:ilvl w:val="0"/>
          <w:numId w:val="28"/>
        </w:numPr>
        <w:spacing w:before="120" w:after="120" w:line="259" w:lineRule="auto"/>
        <w:contextualSpacing w:val="0"/>
        <w:jc w:val="left"/>
      </w:pPr>
      <w:r>
        <w:t>Dışişleri Bakanlığı’nca talep edilen “Ülkemiz İklim Eylemleri” çalışmalarına,</w:t>
      </w:r>
    </w:p>
    <w:p w14:paraId="0C84F657" w14:textId="77777777" w:rsidR="00D841B5" w:rsidRDefault="00D841B5" w:rsidP="0025080A">
      <w:pPr>
        <w:pStyle w:val="ListeParagraf"/>
        <w:numPr>
          <w:ilvl w:val="0"/>
          <w:numId w:val="28"/>
        </w:numPr>
        <w:spacing w:before="120" w:after="120" w:line="259" w:lineRule="auto"/>
        <w:contextualSpacing w:val="0"/>
        <w:jc w:val="left"/>
      </w:pPr>
      <w:r>
        <w:t>OECD-EDRC Türkiye İncelemesi Raporu hazırlık çalışmalarına,</w:t>
      </w:r>
    </w:p>
    <w:p w14:paraId="63EB2E30" w14:textId="77777777" w:rsidR="00D841B5" w:rsidRDefault="00D841B5" w:rsidP="0025080A">
      <w:pPr>
        <w:pStyle w:val="ListeParagraf"/>
        <w:numPr>
          <w:ilvl w:val="0"/>
          <w:numId w:val="28"/>
        </w:numPr>
        <w:spacing w:before="120" w:after="120" w:line="259" w:lineRule="auto"/>
        <w:contextualSpacing w:val="0"/>
        <w:jc w:val="left"/>
      </w:pPr>
      <w:r>
        <w:t>G20 Brezilya Dönem Başkanlığı "Enerji Dönüşümleri Çalışma Grubu" çalışmalarına,</w:t>
      </w:r>
    </w:p>
    <w:p w14:paraId="5057D0D3" w14:textId="77777777" w:rsidR="00D841B5" w:rsidRPr="002048A7" w:rsidRDefault="00D841B5" w:rsidP="0025080A">
      <w:pPr>
        <w:numPr>
          <w:ilvl w:val="0"/>
          <w:numId w:val="28"/>
        </w:numPr>
        <w:spacing w:before="120" w:after="120"/>
        <w:rPr>
          <w:rFonts w:ascii="Calibri" w:hAnsi="Calibri"/>
        </w:rPr>
      </w:pPr>
      <w:r w:rsidRPr="002048A7">
        <w:rPr>
          <w:rFonts w:ascii="Calibri" w:hAnsi="Calibri"/>
        </w:rPr>
        <w:t>Türkiye'nin ABD Menkul Kıymetler ve Borsa Komisyonu (SEC) nezdindeki kaydının yenilenmesi çalışmalarına,</w:t>
      </w:r>
    </w:p>
    <w:p w14:paraId="53F307AB" w14:textId="77777777" w:rsidR="00D841B5" w:rsidRDefault="00D841B5" w:rsidP="0025080A">
      <w:pPr>
        <w:pStyle w:val="ListeParagraf"/>
        <w:numPr>
          <w:ilvl w:val="0"/>
          <w:numId w:val="28"/>
        </w:numPr>
        <w:spacing w:before="120" w:after="120" w:line="259" w:lineRule="auto"/>
        <w:contextualSpacing w:val="0"/>
        <w:jc w:val="left"/>
      </w:pPr>
      <w:r>
        <w:t>Avrupa Birliği Müktesebatına Uyum Sürecinde Türkiye'nin Ulaştırma Mevzuatının Analizi (ATLAS) Projesi çalışmalarına,</w:t>
      </w:r>
    </w:p>
    <w:p w14:paraId="2D79FCDF" w14:textId="77777777" w:rsidR="00D841B5" w:rsidRDefault="00D841B5" w:rsidP="0025080A">
      <w:pPr>
        <w:pStyle w:val="ListeParagraf"/>
        <w:numPr>
          <w:ilvl w:val="0"/>
          <w:numId w:val="28"/>
        </w:numPr>
        <w:spacing w:before="120" w:after="120" w:line="259" w:lineRule="auto"/>
        <w:contextualSpacing w:val="0"/>
        <w:jc w:val="left"/>
      </w:pPr>
      <w:r>
        <w:t>Ülkemizin “Uzun Dönemli İklim Stratejisi” çalışmalarına,</w:t>
      </w:r>
    </w:p>
    <w:p w14:paraId="3BE6B102" w14:textId="77777777" w:rsidR="00D841B5" w:rsidRDefault="00D841B5" w:rsidP="0025080A">
      <w:pPr>
        <w:pStyle w:val="ListeParagraf"/>
        <w:numPr>
          <w:ilvl w:val="0"/>
          <w:numId w:val="28"/>
        </w:numPr>
        <w:spacing w:before="120" w:after="120" w:line="259" w:lineRule="auto"/>
        <w:contextualSpacing w:val="0"/>
        <w:jc w:val="left"/>
      </w:pPr>
      <w:r>
        <w:t>Ülkemizin IMO Üye Devlet Denetim Programı (IMSAS) kapsamındaki çalışmalara,</w:t>
      </w:r>
    </w:p>
    <w:p w14:paraId="1C2163D5" w14:textId="77777777" w:rsidR="00D841B5" w:rsidRDefault="00D841B5" w:rsidP="0025080A">
      <w:pPr>
        <w:pStyle w:val="ListeParagraf"/>
        <w:numPr>
          <w:ilvl w:val="0"/>
          <w:numId w:val="28"/>
        </w:numPr>
        <w:spacing w:before="120" w:after="120" w:line="259" w:lineRule="auto"/>
        <w:contextualSpacing w:val="0"/>
        <w:jc w:val="left"/>
      </w:pPr>
      <w:r>
        <w:t>MENALINKS Projesi çalışmalarına,</w:t>
      </w:r>
    </w:p>
    <w:p w14:paraId="47FFAE82" w14:textId="77777777" w:rsidR="00D841B5" w:rsidRDefault="00D841B5" w:rsidP="0025080A">
      <w:pPr>
        <w:pStyle w:val="ListeParagraf"/>
        <w:numPr>
          <w:ilvl w:val="0"/>
          <w:numId w:val="28"/>
        </w:numPr>
        <w:spacing w:before="120" w:after="120" w:line="259" w:lineRule="auto"/>
        <w:contextualSpacing w:val="0"/>
        <w:jc w:val="left"/>
      </w:pPr>
      <w:r>
        <w:t>Türkiye-Japonya Enerji Forumu Çalışma Grubu toplantılarına,</w:t>
      </w:r>
    </w:p>
    <w:p w14:paraId="36D679AF" w14:textId="77777777" w:rsidR="00D841B5" w:rsidRDefault="00D841B5" w:rsidP="0025080A">
      <w:pPr>
        <w:pStyle w:val="ListeParagraf"/>
        <w:numPr>
          <w:ilvl w:val="0"/>
          <w:numId w:val="28"/>
        </w:numPr>
        <w:spacing w:before="120" w:after="120" w:line="259" w:lineRule="auto"/>
        <w:contextualSpacing w:val="0"/>
        <w:jc w:val="left"/>
      </w:pPr>
      <w:r>
        <w:t>Ülkemizin Birinci İki Yıllık Şeffaflık Raporu Hazırlanması çalışmalarına,</w:t>
      </w:r>
    </w:p>
    <w:p w14:paraId="5D06FADA" w14:textId="77777777" w:rsidR="00D841B5" w:rsidRDefault="00D841B5" w:rsidP="0025080A">
      <w:pPr>
        <w:pStyle w:val="ListeParagraf"/>
        <w:numPr>
          <w:ilvl w:val="0"/>
          <w:numId w:val="28"/>
        </w:numPr>
        <w:spacing w:before="120" w:after="120" w:line="259" w:lineRule="auto"/>
        <w:contextualSpacing w:val="0"/>
        <w:jc w:val="left"/>
      </w:pPr>
      <w:r>
        <w:t>Dünya Bankası “Business Ready Endeksi Eylem Planı” çalışmalarına,</w:t>
      </w:r>
    </w:p>
    <w:p w14:paraId="6FD25396" w14:textId="77777777" w:rsidR="00D841B5" w:rsidRDefault="00D841B5" w:rsidP="0025080A">
      <w:pPr>
        <w:pStyle w:val="ListeParagraf"/>
        <w:numPr>
          <w:ilvl w:val="0"/>
          <w:numId w:val="28"/>
        </w:numPr>
        <w:spacing w:before="120" w:after="120" w:line="259" w:lineRule="auto"/>
        <w:contextualSpacing w:val="0"/>
        <w:jc w:val="left"/>
      </w:pPr>
      <w:r>
        <w:t>Akdeniz için Birlik "Avrupa-Akdeniz Bölgesi Gaz Arz Güvenliğinde LNG'nin Rolü" raporu çalışmalarına,</w:t>
      </w:r>
    </w:p>
    <w:p w14:paraId="72DD8BE3" w14:textId="77777777" w:rsidR="00D841B5" w:rsidRDefault="00D841B5" w:rsidP="0025080A">
      <w:pPr>
        <w:pStyle w:val="ListeParagraf"/>
        <w:numPr>
          <w:ilvl w:val="0"/>
          <w:numId w:val="28"/>
        </w:numPr>
        <w:spacing w:before="120" w:after="120" w:line="259" w:lineRule="auto"/>
        <w:contextualSpacing w:val="0"/>
        <w:jc w:val="left"/>
      </w:pPr>
      <w:r>
        <w:t>ATLAS Projesi Denizcilik ve Havayolu Strateji ve Eylem Planı Raporu çalışmalarına,</w:t>
      </w:r>
    </w:p>
    <w:p w14:paraId="384C80F8" w14:textId="77777777" w:rsidR="00D841B5" w:rsidRDefault="00D841B5" w:rsidP="0025080A">
      <w:pPr>
        <w:pStyle w:val="ListeParagraf"/>
        <w:numPr>
          <w:ilvl w:val="0"/>
          <w:numId w:val="28"/>
        </w:numPr>
        <w:spacing w:before="120" w:after="120" w:line="259" w:lineRule="auto"/>
        <w:contextualSpacing w:val="0"/>
        <w:jc w:val="left"/>
      </w:pPr>
      <w:r>
        <w:t>AB MED-GEM Projesi çalışmalarına,</w:t>
      </w:r>
    </w:p>
    <w:p w14:paraId="69FC8D85" w14:textId="77777777" w:rsidR="00D841B5" w:rsidRDefault="00D841B5" w:rsidP="0025080A">
      <w:pPr>
        <w:pStyle w:val="ListeParagraf"/>
        <w:numPr>
          <w:ilvl w:val="0"/>
          <w:numId w:val="28"/>
        </w:numPr>
        <w:spacing w:before="120" w:after="120" w:line="259" w:lineRule="auto"/>
        <w:contextualSpacing w:val="0"/>
        <w:jc w:val="left"/>
      </w:pPr>
      <w:r>
        <w:t>Sırbistan Elektrik Piyasasında Yatırım Olanakları konulu toplantıya,</w:t>
      </w:r>
    </w:p>
    <w:p w14:paraId="18CE28F2" w14:textId="77777777" w:rsidR="00D841B5" w:rsidRDefault="00D841B5" w:rsidP="0025080A">
      <w:pPr>
        <w:pStyle w:val="ListeParagraf"/>
        <w:numPr>
          <w:ilvl w:val="0"/>
          <w:numId w:val="28"/>
        </w:numPr>
        <w:spacing w:before="120" w:after="120" w:line="259" w:lineRule="auto"/>
        <w:contextualSpacing w:val="0"/>
        <w:jc w:val="left"/>
      </w:pPr>
      <w:r w:rsidRPr="006E0E95">
        <w:t xml:space="preserve">Türkmenistan </w:t>
      </w:r>
      <w:r>
        <w:t xml:space="preserve">ile imzalanması planlanan </w:t>
      </w:r>
      <w:r w:rsidRPr="006E0E95">
        <w:t>Mutabakat Zaptı</w:t>
      </w:r>
      <w:r>
        <w:t xml:space="preserve"> çalışmalarına,</w:t>
      </w:r>
    </w:p>
    <w:p w14:paraId="38058888" w14:textId="77777777" w:rsidR="00D841B5" w:rsidRDefault="00D841B5" w:rsidP="0025080A">
      <w:pPr>
        <w:pStyle w:val="ListeParagraf"/>
        <w:numPr>
          <w:ilvl w:val="0"/>
          <w:numId w:val="28"/>
        </w:numPr>
        <w:spacing w:before="120" w:after="120" w:line="259" w:lineRule="auto"/>
        <w:contextualSpacing w:val="0"/>
        <w:jc w:val="left"/>
      </w:pPr>
      <w:r>
        <w:t>Uluslararası Enerji Ajansı (UEA) Türkiye İncelemesi çalışmalarına,</w:t>
      </w:r>
    </w:p>
    <w:p w14:paraId="4753A139" w14:textId="77777777" w:rsidR="00D841B5" w:rsidRDefault="00D841B5" w:rsidP="0025080A">
      <w:pPr>
        <w:pStyle w:val="ListeParagraf"/>
        <w:numPr>
          <w:ilvl w:val="0"/>
          <w:numId w:val="28"/>
        </w:numPr>
        <w:spacing w:before="120" w:after="120" w:line="259" w:lineRule="auto"/>
        <w:contextualSpacing w:val="0"/>
        <w:jc w:val="left"/>
      </w:pPr>
      <w:r>
        <w:t xml:space="preserve">Dünya Bankası tarafından düzenlenen Türkiye Deniz Üstü </w:t>
      </w:r>
      <w:proofErr w:type="gramStart"/>
      <w:r>
        <w:t>Rüzgar</w:t>
      </w:r>
      <w:proofErr w:type="gramEnd"/>
      <w:r>
        <w:t xml:space="preserve"> Enerjisi Konferansına,</w:t>
      </w:r>
    </w:p>
    <w:p w14:paraId="6E5CDD0C" w14:textId="77777777" w:rsidR="00D841B5" w:rsidRDefault="00D841B5" w:rsidP="0025080A">
      <w:pPr>
        <w:pStyle w:val="ListeParagraf"/>
        <w:numPr>
          <w:ilvl w:val="0"/>
          <w:numId w:val="28"/>
        </w:numPr>
        <w:spacing w:before="120" w:after="120" w:line="259" w:lineRule="auto"/>
        <w:contextualSpacing w:val="0"/>
        <w:jc w:val="left"/>
      </w:pPr>
      <w:r>
        <w:lastRenderedPageBreak/>
        <w:t>Uluslararası Enerji Ajansı Acil Durum ve Güvenlik İncelemesi çalışmalarına,</w:t>
      </w:r>
    </w:p>
    <w:p w14:paraId="7B99114A" w14:textId="77777777" w:rsidR="00D841B5" w:rsidRDefault="00D841B5" w:rsidP="0025080A">
      <w:pPr>
        <w:pStyle w:val="ListeParagraf"/>
        <w:numPr>
          <w:ilvl w:val="0"/>
          <w:numId w:val="28"/>
        </w:numPr>
        <w:spacing w:before="120" w:after="120" w:line="259" w:lineRule="auto"/>
        <w:contextualSpacing w:val="0"/>
        <w:jc w:val="left"/>
      </w:pPr>
      <w:r>
        <w:t>Orta Amerika Entegrasyon Sistemi (SICA) proje çalışmasına,</w:t>
      </w:r>
    </w:p>
    <w:p w14:paraId="3A392E82" w14:textId="77777777" w:rsidR="00D841B5" w:rsidRDefault="00D841B5" w:rsidP="0025080A">
      <w:pPr>
        <w:pStyle w:val="ListeParagraf"/>
        <w:numPr>
          <w:ilvl w:val="0"/>
          <w:numId w:val="28"/>
        </w:numPr>
        <w:spacing w:before="120" w:after="120" w:line="259" w:lineRule="auto"/>
        <w:contextualSpacing w:val="0"/>
        <w:jc w:val="left"/>
      </w:pPr>
      <w:r>
        <w:t xml:space="preserve">COP29 kapsamında taraf olunması öngörülen enerji girişimleri çalışmalarına, </w:t>
      </w:r>
    </w:p>
    <w:p w14:paraId="3EB9F6FC" w14:textId="77777777" w:rsidR="00D841B5" w:rsidRDefault="00D841B5" w:rsidP="0025080A">
      <w:pPr>
        <w:pStyle w:val="ListeParagraf"/>
        <w:numPr>
          <w:ilvl w:val="0"/>
          <w:numId w:val="28"/>
        </w:numPr>
        <w:spacing w:before="120" w:after="120" w:line="259" w:lineRule="auto"/>
        <w:contextualSpacing w:val="0"/>
        <w:jc w:val="left"/>
      </w:pPr>
      <w:r w:rsidRPr="00DA134D">
        <w:t>6. Türk-Alman Enerji Forumu</w:t>
      </w:r>
      <w:r>
        <w:t xml:space="preserve"> çalışmalarına,</w:t>
      </w:r>
    </w:p>
    <w:p w14:paraId="7F44FF81" w14:textId="77777777" w:rsidR="00D841B5" w:rsidRDefault="00D841B5" w:rsidP="0025080A">
      <w:pPr>
        <w:pStyle w:val="ListeParagraf"/>
        <w:numPr>
          <w:ilvl w:val="0"/>
          <w:numId w:val="28"/>
        </w:numPr>
        <w:spacing w:before="120" w:after="120" w:line="259" w:lineRule="auto"/>
        <w:contextualSpacing w:val="0"/>
        <w:jc w:val="left"/>
      </w:pPr>
      <w:r>
        <w:t xml:space="preserve">BM Sürdürülebilir Kalkınma </w:t>
      </w:r>
      <w:proofErr w:type="gramStart"/>
      <w:r>
        <w:t>İşbirliği</w:t>
      </w:r>
      <w:proofErr w:type="gramEnd"/>
      <w:r>
        <w:t xml:space="preserve"> Çerçevesi (UNSDCF-2026-2030) hazırlık çalışmalarına,</w:t>
      </w:r>
    </w:p>
    <w:p w14:paraId="150AEF87" w14:textId="77777777" w:rsidR="00D841B5" w:rsidRDefault="00D841B5" w:rsidP="0025080A">
      <w:pPr>
        <w:pStyle w:val="ListeParagraf"/>
        <w:numPr>
          <w:ilvl w:val="0"/>
          <w:numId w:val="28"/>
        </w:numPr>
        <w:spacing w:before="120" w:after="120" w:line="259" w:lineRule="auto"/>
        <w:contextualSpacing w:val="0"/>
        <w:jc w:val="left"/>
      </w:pPr>
      <w:r>
        <w:t>EİT Bölgesel Elektrik Piyasaları Toplantısına,</w:t>
      </w:r>
    </w:p>
    <w:p w14:paraId="5F93C4AA" w14:textId="77777777" w:rsidR="00D841B5" w:rsidRDefault="00D841B5" w:rsidP="0025080A">
      <w:pPr>
        <w:pStyle w:val="ListeParagraf"/>
        <w:numPr>
          <w:ilvl w:val="0"/>
          <w:numId w:val="28"/>
        </w:numPr>
        <w:spacing w:before="120" w:after="120" w:line="259" w:lineRule="auto"/>
        <w:contextualSpacing w:val="0"/>
        <w:jc w:val="left"/>
      </w:pPr>
      <w:r>
        <w:t>Türkiye Isı Pompası Piyasası Değerlendirme Projesi Kapanış Çalıştayına,</w:t>
      </w:r>
    </w:p>
    <w:p w14:paraId="42EC978F" w14:textId="77777777" w:rsidR="00D841B5" w:rsidRDefault="00D841B5" w:rsidP="0025080A">
      <w:pPr>
        <w:pStyle w:val="ListeParagraf"/>
        <w:numPr>
          <w:ilvl w:val="0"/>
          <w:numId w:val="28"/>
        </w:numPr>
        <w:spacing w:before="120" w:after="120" w:line="259" w:lineRule="auto"/>
        <w:contextualSpacing w:val="0"/>
        <w:jc w:val="left"/>
      </w:pPr>
      <w:r>
        <w:t>IRENA Çevrimiçi Hidrojen Çalıştayına,</w:t>
      </w:r>
    </w:p>
    <w:p w14:paraId="097F0EB6" w14:textId="77777777" w:rsidR="00D841B5" w:rsidRDefault="00D841B5" w:rsidP="0025080A">
      <w:pPr>
        <w:pStyle w:val="ListeParagraf"/>
        <w:numPr>
          <w:ilvl w:val="0"/>
          <w:numId w:val="28"/>
        </w:numPr>
        <w:spacing w:before="120" w:after="120" w:line="259" w:lineRule="auto"/>
        <w:contextualSpacing w:val="0"/>
        <w:jc w:val="left"/>
      </w:pPr>
      <w:r>
        <w:t xml:space="preserve">Türkiye-Filistin 2. Dönem Ekonomik </w:t>
      </w:r>
      <w:proofErr w:type="gramStart"/>
      <w:r>
        <w:t>İşbirliği</w:t>
      </w:r>
      <w:proofErr w:type="gramEnd"/>
      <w:r>
        <w:t xml:space="preserve"> Konseyi Toplantısı çalışmalarına,</w:t>
      </w:r>
    </w:p>
    <w:p w14:paraId="6A6413B6" w14:textId="77777777" w:rsidR="00D841B5" w:rsidRDefault="00D841B5" w:rsidP="0025080A">
      <w:pPr>
        <w:pStyle w:val="ListeParagraf"/>
        <w:numPr>
          <w:ilvl w:val="0"/>
          <w:numId w:val="28"/>
        </w:numPr>
        <w:spacing w:before="120" w:after="120" w:line="259" w:lineRule="auto"/>
        <w:contextualSpacing w:val="0"/>
        <w:jc w:val="left"/>
      </w:pPr>
      <w:r>
        <w:t>Türkiye'nin Net Sıfır Emisyon Hedefi: Ulaştırma Yol Haritası Projesi çalışmalarına,</w:t>
      </w:r>
    </w:p>
    <w:p w14:paraId="1C5524C8" w14:textId="77777777" w:rsidR="00D841B5" w:rsidRDefault="00D841B5" w:rsidP="0025080A">
      <w:pPr>
        <w:pStyle w:val="ListeParagraf"/>
        <w:numPr>
          <w:ilvl w:val="0"/>
          <w:numId w:val="28"/>
        </w:numPr>
        <w:spacing w:before="120" w:after="120" w:line="259" w:lineRule="auto"/>
        <w:contextualSpacing w:val="0"/>
        <w:jc w:val="left"/>
      </w:pPr>
      <w:r>
        <w:t>Türk Devletler Teşkilatı "Yeşil Enerjiye Yönelik Hareket Konsepti” çalışmalarına,</w:t>
      </w:r>
    </w:p>
    <w:p w14:paraId="0970C335" w14:textId="19E69094" w:rsidR="00D841B5" w:rsidRDefault="00D841B5" w:rsidP="00D841B5">
      <w:pPr>
        <w:spacing w:before="120" w:after="120"/>
        <w:rPr>
          <w:rFonts w:ascii="Calibri" w:hAnsi="Calibri"/>
        </w:rPr>
      </w:pPr>
      <w:proofErr w:type="gramStart"/>
      <w:r w:rsidRPr="002048A7">
        <w:rPr>
          <w:rFonts w:ascii="Calibri" w:hAnsi="Calibri"/>
        </w:rPr>
        <w:t>görüş</w:t>
      </w:r>
      <w:proofErr w:type="gramEnd"/>
      <w:r w:rsidRPr="002048A7">
        <w:rPr>
          <w:rFonts w:ascii="Calibri" w:hAnsi="Calibri"/>
        </w:rPr>
        <w:t xml:space="preserve"> ver</w:t>
      </w:r>
      <w:r>
        <w:rPr>
          <w:rFonts w:ascii="Calibri" w:hAnsi="Calibri"/>
        </w:rPr>
        <w:t xml:space="preserve">ilmiş veya katılım </w:t>
      </w:r>
      <w:r w:rsidRPr="002048A7">
        <w:rPr>
          <w:rFonts w:ascii="Calibri" w:hAnsi="Calibri"/>
        </w:rPr>
        <w:t>sağlanmıştır.</w:t>
      </w:r>
    </w:p>
    <w:p w14:paraId="3D454420" w14:textId="2553489B" w:rsidR="00CE1360" w:rsidRDefault="00CE1360">
      <w:pPr>
        <w:jc w:val="left"/>
        <w:rPr>
          <w:rFonts w:ascii="Calibri" w:hAnsi="Calibri"/>
        </w:rPr>
      </w:pPr>
      <w:r>
        <w:rPr>
          <w:rFonts w:ascii="Calibri" w:hAnsi="Calibri"/>
        </w:rPr>
        <w:br w:type="page"/>
      </w:r>
    </w:p>
    <w:p w14:paraId="45FD84B9" w14:textId="77777777" w:rsidR="005F64DA" w:rsidRPr="002048A7" w:rsidRDefault="00BA0C97" w:rsidP="00577AAF">
      <w:pPr>
        <w:pStyle w:val="Balk1"/>
        <w:numPr>
          <w:ilvl w:val="0"/>
          <w:numId w:val="11"/>
        </w:numPr>
        <w:spacing w:before="0" w:after="240"/>
        <w:rPr>
          <w:rFonts w:asciiTheme="minorHAnsi" w:hAnsiTheme="minorHAnsi"/>
          <w:color w:val="000000" w:themeColor="text1"/>
          <w:sz w:val="22"/>
          <w:szCs w:val="22"/>
        </w:rPr>
      </w:pPr>
      <w:bookmarkStart w:id="430" w:name="_Toc195868784"/>
      <w:r w:rsidRPr="002048A7">
        <w:rPr>
          <w:rFonts w:asciiTheme="minorHAnsi" w:hAnsiTheme="minorHAnsi"/>
          <w:color w:val="000000" w:themeColor="text1"/>
          <w:sz w:val="22"/>
          <w:szCs w:val="22"/>
        </w:rPr>
        <w:lastRenderedPageBreak/>
        <w:t>İNSAN KAYNAKLARI</w:t>
      </w:r>
      <w:r w:rsidR="00737643" w:rsidRPr="002048A7">
        <w:rPr>
          <w:rFonts w:asciiTheme="minorHAnsi" w:hAnsiTheme="minorHAnsi"/>
          <w:color w:val="000000" w:themeColor="text1"/>
          <w:sz w:val="22"/>
          <w:szCs w:val="22"/>
        </w:rPr>
        <w:t xml:space="preserve"> VE EĞİTİM FAALİYETLERİ</w:t>
      </w:r>
      <w:bookmarkEnd w:id="430"/>
    </w:p>
    <w:p w14:paraId="29D97717" w14:textId="77777777" w:rsidR="006C56FF" w:rsidRPr="002048A7" w:rsidRDefault="005747D2" w:rsidP="00577AAF">
      <w:pPr>
        <w:pStyle w:val="Balk2"/>
        <w:numPr>
          <w:ilvl w:val="1"/>
          <w:numId w:val="11"/>
        </w:numPr>
        <w:spacing w:after="240"/>
        <w:rPr>
          <w:rFonts w:asciiTheme="minorHAnsi" w:hAnsiTheme="minorHAnsi"/>
          <w:color w:val="000000" w:themeColor="text1"/>
          <w:sz w:val="22"/>
          <w:szCs w:val="22"/>
        </w:rPr>
      </w:pPr>
      <w:bookmarkStart w:id="431" w:name="_Toc442431326"/>
      <w:bookmarkStart w:id="432" w:name="_Toc195868785"/>
      <w:r w:rsidRPr="002048A7">
        <w:rPr>
          <w:rFonts w:asciiTheme="minorHAnsi" w:hAnsiTheme="minorHAnsi"/>
          <w:color w:val="000000" w:themeColor="text1"/>
          <w:sz w:val="22"/>
          <w:szCs w:val="22"/>
        </w:rPr>
        <w:t>Kurum Personeli</w:t>
      </w:r>
      <w:bookmarkEnd w:id="431"/>
      <w:bookmarkEnd w:id="432"/>
    </w:p>
    <w:p w14:paraId="16BA6495" w14:textId="6161EFD3" w:rsidR="00FF24CA" w:rsidRDefault="00771960" w:rsidP="00FF24CA">
      <w:bookmarkStart w:id="433" w:name="_Toc416447624"/>
      <w:bookmarkStart w:id="434" w:name="_Toc442441775"/>
      <w:r w:rsidRPr="002048A7">
        <w:t>Kurum hizmetlerinin gerektirdiği görevler, idari hizmet sözleşmesi ile sözleşmeli olarak istihdam edilen personel eliyle yürütülmektedir. Kurum personeli 4628 sayılı Kanun ile düzenlenen hususlar dışında 657 sayılı Devlet Memurları Kanunu</w:t>
      </w:r>
      <w:r w:rsidR="00FC7D75" w:rsidRPr="002048A7">
        <w:t>’</w:t>
      </w:r>
      <w:r w:rsidRPr="002048A7">
        <w:t>na tabidir. Kurul Başkanı ve Kurul üyeleri ile idari hizmet sözleşmesi ile istihdam edilen Kurum personeli, sosyal güvenlik açısından 31.05.2006 tarihli ve 5510 sayılı Sosyal Sigortalar ve Genel Sağlık Sigortası Kanununun 4</w:t>
      </w:r>
      <w:r w:rsidR="00CB4D42" w:rsidRPr="002048A7">
        <w:t>’</w:t>
      </w:r>
      <w:r w:rsidRPr="002048A7">
        <w:t>üncü maddesinin birinci fıkrasının (c) bendi kapsamında sigortalı sayılmaktadır. Kurumda, Kurul Başkan ve Kurul üyesi ile idari hizmet sözleşmesi ile istihdam edilen personelin sosyal güvenlik hak ve yükümlülükleri 5510 sayılı Kanunun Geçici 4</w:t>
      </w:r>
      <w:r w:rsidR="00CB4D42" w:rsidRPr="002048A7">
        <w:t>’</w:t>
      </w:r>
      <w:r w:rsidRPr="002048A7">
        <w:t>üncü maddesi saklı kalmak kaydıyla anılan Kanun hükümlerine göre düzenlenmektedir. 02.11.2011 tarihli ve 28103 (Mükerrer) sayılı Resmî Gazete’de yayımlanan 666 sayılı KHK ile 375 sayılı KHK’ye eklenen Ek 11 inci madde gereğince Kurum personelinin, ücret ve mali hakları hususunda emsali unvan ve ücret eşitlemesine tabi olması sağlanmış olup 15.01.2012 tarihinden sonra Kurum kadrolarına atanan personel, diğer kamu kurum ve kuruluşlarında görev yapan emsali personelin tabi olduğu ücret ve mali haklar rejimine tabi olmuştur.</w:t>
      </w:r>
    </w:p>
    <w:p w14:paraId="053A5E3A" w14:textId="77777777" w:rsidR="00CE1360" w:rsidRPr="002048A7" w:rsidRDefault="00CE1360" w:rsidP="00FF24CA"/>
    <w:p w14:paraId="07B15697" w14:textId="618BD284" w:rsidR="00FF24CA" w:rsidRPr="002048A7" w:rsidRDefault="00FF24CA" w:rsidP="00FF24CA">
      <w:pPr>
        <w:pStyle w:val="Balk5"/>
        <w:jc w:val="center"/>
        <w:rPr>
          <w:rFonts w:asciiTheme="minorHAnsi" w:hAnsiTheme="minorHAnsi"/>
          <w:b/>
          <w:color w:val="auto"/>
        </w:rPr>
      </w:pPr>
      <w:bookmarkStart w:id="435" w:name="_Toc195868875"/>
      <w:r w:rsidRPr="002048A7">
        <w:rPr>
          <w:rFonts w:asciiTheme="minorHAnsi" w:hAnsiTheme="minorHAnsi"/>
          <w:b/>
          <w:color w:val="auto"/>
        </w:rPr>
        <w:t>Tablo 13.1: 202</w:t>
      </w:r>
      <w:r w:rsidR="00734006">
        <w:rPr>
          <w:rFonts w:asciiTheme="minorHAnsi" w:hAnsiTheme="minorHAnsi"/>
          <w:b/>
          <w:color w:val="auto"/>
        </w:rPr>
        <w:t>4</w:t>
      </w:r>
      <w:r w:rsidRPr="002048A7">
        <w:rPr>
          <w:rFonts w:asciiTheme="minorHAnsi" w:hAnsiTheme="minorHAnsi"/>
          <w:b/>
          <w:color w:val="auto"/>
        </w:rPr>
        <w:t xml:space="preserve"> Yılında Kurumda Göreve Başlayan Personele İlişkin Bilgiler</w:t>
      </w:r>
      <w:bookmarkEnd w:id="435"/>
    </w:p>
    <w:tbl>
      <w:tblPr>
        <w:tblW w:w="5000"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70" w:type="dxa"/>
          <w:right w:w="70" w:type="dxa"/>
        </w:tblCellMar>
        <w:tblLook w:val="0000" w:firstRow="0" w:lastRow="0" w:firstColumn="0" w:lastColumn="0" w:noHBand="0" w:noVBand="0"/>
      </w:tblPr>
      <w:tblGrid>
        <w:gridCol w:w="2840"/>
        <w:gridCol w:w="823"/>
        <w:gridCol w:w="599"/>
        <w:gridCol w:w="599"/>
        <w:gridCol w:w="694"/>
        <w:gridCol w:w="599"/>
        <w:gridCol w:w="612"/>
        <w:gridCol w:w="749"/>
        <w:gridCol w:w="749"/>
        <w:gridCol w:w="749"/>
        <w:gridCol w:w="898"/>
      </w:tblGrid>
      <w:tr w:rsidR="00FF24CA" w:rsidRPr="002048A7" w14:paraId="6BABA008" w14:textId="77777777" w:rsidTr="00771960">
        <w:trPr>
          <w:trHeight w:val="454"/>
          <w:jc w:val="center"/>
        </w:trPr>
        <w:tc>
          <w:tcPr>
            <w:tcW w:w="1433" w:type="pct"/>
            <w:vMerge w:val="restart"/>
            <w:shd w:val="clear" w:color="auto" w:fill="6E9ECA"/>
            <w:noWrap/>
            <w:vAlign w:val="center"/>
          </w:tcPr>
          <w:p w14:paraId="395383A5" w14:textId="77777777" w:rsidR="00FF24CA" w:rsidRPr="002048A7" w:rsidRDefault="00FF24CA" w:rsidP="00FF24CA">
            <w:pPr>
              <w:spacing w:after="0"/>
              <w:rPr>
                <w:rFonts w:ascii="Calibri" w:hAnsi="Calibri" w:cs="Calibri"/>
                <w:b/>
                <w:bCs/>
                <w:color w:val="FFFFFF"/>
              </w:rPr>
            </w:pPr>
            <w:r w:rsidRPr="002048A7">
              <w:rPr>
                <w:rFonts w:ascii="Calibri" w:hAnsi="Calibri" w:cs="Calibri"/>
                <w:b/>
                <w:bCs/>
                <w:color w:val="FFFFFF"/>
              </w:rPr>
              <w:t>KADRO UNVANLARI</w:t>
            </w:r>
          </w:p>
        </w:tc>
        <w:tc>
          <w:tcPr>
            <w:tcW w:w="415" w:type="pct"/>
            <w:vMerge w:val="restart"/>
            <w:shd w:val="clear" w:color="auto" w:fill="6E9ECA"/>
            <w:vAlign w:val="center"/>
          </w:tcPr>
          <w:p w14:paraId="53EE31E6" w14:textId="77777777" w:rsidR="00FF24CA" w:rsidRPr="002048A7" w:rsidRDefault="00FF24CA" w:rsidP="00FF24CA">
            <w:pPr>
              <w:spacing w:after="0"/>
              <w:jc w:val="center"/>
              <w:rPr>
                <w:rFonts w:ascii="Calibri" w:hAnsi="Calibri" w:cs="Calibri"/>
                <w:b/>
                <w:bCs/>
                <w:color w:val="FFFFFF"/>
              </w:rPr>
            </w:pPr>
            <w:r w:rsidRPr="002048A7">
              <w:rPr>
                <w:rFonts w:ascii="Calibri" w:hAnsi="Calibri" w:cs="Calibri"/>
                <w:b/>
                <w:bCs/>
                <w:color w:val="FFFFFF"/>
              </w:rPr>
              <w:br/>
              <w:t>SAYI</w:t>
            </w:r>
          </w:p>
        </w:tc>
        <w:tc>
          <w:tcPr>
            <w:tcW w:w="1565" w:type="pct"/>
            <w:gridSpan w:val="5"/>
            <w:shd w:val="clear" w:color="auto" w:fill="6E9ECA"/>
            <w:noWrap/>
            <w:vAlign w:val="center"/>
          </w:tcPr>
          <w:p w14:paraId="73FD200A" w14:textId="77777777" w:rsidR="00FF24CA" w:rsidRPr="002048A7" w:rsidRDefault="00FF24CA" w:rsidP="00FF24CA">
            <w:pPr>
              <w:spacing w:after="0"/>
              <w:jc w:val="center"/>
              <w:rPr>
                <w:rFonts w:ascii="Calibri" w:hAnsi="Calibri" w:cs="Calibri"/>
                <w:b/>
                <w:bCs/>
                <w:color w:val="FFFFFF"/>
              </w:rPr>
            </w:pPr>
            <w:r w:rsidRPr="002048A7">
              <w:rPr>
                <w:rFonts w:ascii="Calibri" w:hAnsi="Calibri" w:cs="Calibri"/>
                <w:b/>
                <w:bCs/>
                <w:color w:val="FFFFFF"/>
              </w:rPr>
              <w:t>ÖĞRENİM DURUMU</w:t>
            </w:r>
          </w:p>
        </w:tc>
        <w:tc>
          <w:tcPr>
            <w:tcW w:w="756" w:type="pct"/>
            <w:gridSpan w:val="2"/>
            <w:shd w:val="clear" w:color="auto" w:fill="6E9ECA"/>
            <w:noWrap/>
            <w:vAlign w:val="center"/>
          </w:tcPr>
          <w:p w14:paraId="50C31784" w14:textId="77777777" w:rsidR="00FF24CA" w:rsidRPr="002048A7" w:rsidRDefault="00FF24CA" w:rsidP="00FF24CA">
            <w:pPr>
              <w:spacing w:after="0"/>
              <w:ind w:right="-157"/>
              <w:jc w:val="center"/>
              <w:rPr>
                <w:rFonts w:ascii="Calibri" w:hAnsi="Calibri" w:cs="Calibri"/>
                <w:b/>
                <w:bCs/>
                <w:color w:val="FFFFFF"/>
              </w:rPr>
            </w:pPr>
            <w:r w:rsidRPr="002048A7">
              <w:rPr>
                <w:rFonts w:ascii="Calibri" w:hAnsi="Calibri" w:cs="Calibri"/>
                <w:b/>
                <w:bCs/>
                <w:color w:val="FFFFFF"/>
              </w:rPr>
              <w:t>CİNSİYETİ</w:t>
            </w:r>
          </w:p>
        </w:tc>
        <w:tc>
          <w:tcPr>
            <w:tcW w:w="831" w:type="pct"/>
            <w:gridSpan w:val="2"/>
            <w:shd w:val="clear" w:color="auto" w:fill="6E9ECA"/>
            <w:vAlign w:val="center"/>
          </w:tcPr>
          <w:p w14:paraId="676A14C4" w14:textId="77777777" w:rsidR="00FF24CA" w:rsidRPr="002048A7" w:rsidRDefault="00FF24CA" w:rsidP="00FF24CA">
            <w:pPr>
              <w:spacing w:after="0"/>
              <w:ind w:right="-7"/>
              <w:jc w:val="center"/>
              <w:rPr>
                <w:rFonts w:ascii="Calibri" w:hAnsi="Calibri" w:cs="Calibri"/>
                <w:b/>
                <w:bCs/>
                <w:color w:val="FFFFFF"/>
              </w:rPr>
            </w:pPr>
            <w:r w:rsidRPr="002048A7">
              <w:rPr>
                <w:rFonts w:ascii="Calibri" w:hAnsi="Calibri" w:cs="Calibri"/>
                <w:b/>
                <w:bCs/>
                <w:color w:val="FFFFFF"/>
              </w:rPr>
              <w:t>ATANMA ŞEKLİ</w:t>
            </w:r>
          </w:p>
        </w:tc>
      </w:tr>
      <w:tr w:rsidR="00FF24CA" w:rsidRPr="002048A7" w14:paraId="14528E15" w14:textId="77777777" w:rsidTr="00771960">
        <w:trPr>
          <w:trHeight w:val="1644"/>
          <w:jc w:val="center"/>
        </w:trPr>
        <w:tc>
          <w:tcPr>
            <w:tcW w:w="1433" w:type="pct"/>
            <w:vMerge/>
            <w:vAlign w:val="center"/>
          </w:tcPr>
          <w:p w14:paraId="32274446" w14:textId="77777777" w:rsidR="00FF24CA" w:rsidRPr="002048A7" w:rsidRDefault="00FF24CA" w:rsidP="00FF24CA">
            <w:pPr>
              <w:spacing w:after="0"/>
              <w:rPr>
                <w:rFonts w:ascii="Calibri" w:hAnsi="Calibri" w:cs="Calibri"/>
                <w:b/>
                <w:bCs/>
                <w:color w:val="000000"/>
              </w:rPr>
            </w:pPr>
          </w:p>
        </w:tc>
        <w:tc>
          <w:tcPr>
            <w:tcW w:w="415" w:type="pct"/>
            <w:vMerge/>
            <w:vAlign w:val="center"/>
          </w:tcPr>
          <w:p w14:paraId="27730487" w14:textId="77777777" w:rsidR="00FF24CA" w:rsidRPr="002048A7" w:rsidRDefault="00FF24CA" w:rsidP="00FF24CA">
            <w:pPr>
              <w:spacing w:after="0"/>
              <w:jc w:val="center"/>
              <w:rPr>
                <w:rFonts w:ascii="Calibri" w:hAnsi="Calibri" w:cs="Calibri"/>
                <w:b/>
                <w:bCs/>
                <w:color w:val="000000"/>
              </w:rPr>
            </w:pPr>
          </w:p>
        </w:tc>
        <w:tc>
          <w:tcPr>
            <w:tcW w:w="302" w:type="pct"/>
            <w:shd w:val="clear" w:color="auto" w:fill="6E9ECA"/>
            <w:noWrap/>
            <w:textDirection w:val="btLr"/>
            <w:vAlign w:val="center"/>
          </w:tcPr>
          <w:p w14:paraId="02817362" w14:textId="77777777" w:rsidR="00FF24CA" w:rsidRPr="002048A7" w:rsidRDefault="00FF24CA" w:rsidP="00FF24CA">
            <w:pPr>
              <w:spacing w:after="0"/>
              <w:jc w:val="center"/>
              <w:rPr>
                <w:rFonts w:ascii="Calibri" w:hAnsi="Calibri" w:cs="Calibri"/>
                <w:b/>
                <w:bCs/>
                <w:color w:val="FFFFFF"/>
              </w:rPr>
            </w:pPr>
            <w:r w:rsidRPr="002048A7">
              <w:rPr>
                <w:rFonts w:ascii="Calibri" w:hAnsi="Calibri" w:cs="Calibri"/>
                <w:b/>
                <w:bCs/>
                <w:color w:val="FFFFFF"/>
              </w:rPr>
              <w:t>ORTAÖĞRETİM</w:t>
            </w:r>
          </w:p>
        </w:tc>
        <w:tc>
          <w:tcPr>
            <w:tcW w:w="302" w:type="pct"/>
            <w:shd w:val="clear" w:color="auto" w:fill="6E9ECA"/>
            <w:textDirection w:val="btLr"/>
            <w:vAlign w:val="center"/>
          </w:tcPr>
          <w:p w14:paraId="3B341CE4" w14:textId="77777777" w:rsidR="00FF24CA" w:rsidRPr="002048A7" w:rsidRDefault="00FF24CA" w:rsidP="00FF24CA">
            <w:pPr>
              <w:spacing w:after="0"/>
              <w:jc w:val="center"/>
              <w:rPr>
                <w:rFonts w:ascii="Calibri" w:hAnsi="Calibri" w:cs="Calibri"/>
                <w:b/>
                <w:bCs/>
                <w:color w:val="FFFFFF"/>
              </w:rPr>
            </w:pPr>
            <w:r w:rsidRPr="002048A7">
              <w:rPr>
                <w:rFonts w:ascii="Calibri" w:hAnsi="Calibri" w:cs="Calibri"/>
                <w:b/>
                <w:bCs/>
                <w:color w:val="FFFFFF"/>
              </w:rPr>
              <w:t>2 YILLIK Y.O.</w:t>
            </w:r>
          </w:p>
        </w:tc>
        <w:tc>
          <w:tcPr>
            <w:tcW w:w="350" w:type="pct"/>
            <w:shd w:val="clear" w:color="auto" w:fill="6E9ECA"/>
            <w:textDirection w:val="btLr"/>
            <w:vAlign w:val="center"/>
          </w:tcPr>
          <w:p w14:paraId="594529B3" w14:textId="77777777" w:rsidR="00FF24CA" w:rsidRPr="002048A7" w:rsidRDefault="00FF24CA" w:rsidP="00FF24CA">
            <w:pPr>
              <w:spacing w:after="0"/>
              <w:jc w:val="center"/>
              <w:rPr>
                <w:rFonts w:ascii="Calibri" w:hAnsi="Calibri" w:cs="Calibri"/>
                <w:b/>
                <w:bCs/>
                <w:color w:val="FFFFFF"/>
              </w:rPr>
            </w:pPr>
            <w:r w:rsidRPr="002048A7">
              <w:rPr>
                <w:rFonts w:ascii="Calibri" w:hAnsi="Calibri" w:cs="Calibri"/>
                <w:b/>
                <w:bCs/>
                <w:color w:val="FFFFFF"/>
              </w:rPr>
              <w:t>4 YILLIK Y.O.</w:t>
            </w:r>
          </w:p>
        </w:tc>
        <w:tc>
          <w:tcPr>
            <w:tcW w:w="302" w:type="pct"/>
            <w:shd w:val="clear" w:color="auto" w:fill="6E9ECA"/>
            <w:textDirection w:val="btLr"/>
            <w:vAlign w:val="center"/>
          </w:tcPr>
          <w:p w14:paraId="4D5DA4D3" w14:textId="77777777" w:rsidR="00FF24CA" w:rsidRPr="002048A7" w:rsidRDefault="00FF24CA" w:rsidP="00FF24CA">
            <w:pPr>
              <w:spacing w:after="0"/>
              <w:jc w:val="center"/>
              <w:rPr>
                <w:rFonts w:ascii="Calibri" w:hAnsi="Calibri" w:cs="Calibri"/>
                <w:b/>
                <w:bCs/>
                <w:color w:val="FFFFFF"/>
              </w:rPr>
            </w:pPr>
            <w:r w:rsidRPr="002048A7">
              <w:rPr>
                <w:rFonts w:ascii="Calibri" w:hAnsi="Calibri" w:cs="Calibri"/>
                <w:b/>
                <w:bCs/>
                <w:color w:val="FFFFFF"/>
              </w:rPr>
              <w:t>MASTER</w:t>
            </w:r>
          </w:p>
        </w:tc>
        <w:tc>
          <w:tcPr>
            <w:tcW w:w="309" w:type="pct"/>
            <w:shd w:val="clear" w:color="auto" w:fill="6E9ECA"/>
            <w:textDirection w:val="btLr"/>
            <w:vAlign w:val="center"/>
          </w:tcPr>
          <w:p w14:paraId="1C89029A" w14:textId="77777777" w:rsidR="00FF24CA" w:rsidRPr="002048A7" w:rsidRDefault="00FF24CA" w:rsidP="00FF24CA">
            <w:pPr>
              <w:spacing w:after="0"/>
              <w:jc w:val="center"/>
              <w:rPr>
                <w:rFonts w:ascii="Calibri" w:hAnsi="Calibri" w:cs="Calibri"/>
                <w:b/>
                <w:bCs/>
                <w:color w:val="FFFFFF"/>
              </w:rPr>
            </w:pPr>
            <w:r w:rsidRPr="002048A7">
              <w:rPr>
                <w:rFonts w:ascii="Calibri" w:hAnsi="Calibri" w:cs="Calibri"/>
                <w:b/>
                <w:bCs/>
                <w:color w:val="FFFFFF"/>
              </w:rPr>
              <w:t>DOKTORA</w:t>
            </w:r>
          </w:p>
        </w:tc>
        <w:tc>
          <w:tcPr>
            <w:tcW w:w="378" w:type="pct"/>
            <w:shd w:val="clear" w:color="auto" w:fill="6E9ECA"/>
            <w:textDirection w:val="btLr"/>
            <w:vAlign w:val="center"/>
          </w:tcPr>
          <w:p w14:paraId="4F35A084" w14:textId="77777777" w:rsidR="00FF24CA" w:rsidRPr="002048A7" w:rsidRDefault="00FF24CA" w:rsidP="00FF24CA">
            <w:pPr>
              <w:spacing w:after="0"/>
              <w:jc w:val="center"/>
              <w:rPr>
                <w:rFonts w:ascii="Calibri" w:hAnsi="Calibri" w:cs="Calibri"/>
                <w:b/>
                <w:bCs/>
                <w:color w:val="FFFFFF"/>
              </w:rPr>
            </w:pPr>
            <w:r w:rsidRPr="002048A7">
              <w:rPr>
                <w:rFonts w:ascii="Calibri" w:hAnsi="Calibri" w:cs="Calibri"/>
                <w:b/>
                <w:bCs/>
                <w:color w:val="FFFFFF"/>
              </w:rPr>
              <w:t>KADIN</w:t>
            </w:r>
          </w:p>
        </w:tc>
        <w:tc>
          <w:tcPr>
            <w:tcW w:w="378" w:type="pct"/>
            <w:shd w:val="clear" w:color="auto" w:fill="6E9ECA"/>
            <w:textDirection w:val="btLr"/>
            <w:vAlign w:val="center"/>
          </w:tcPr>
          <w:p w14:paraId="575BC83C" w14:textId="77777777" w:rsidR="00FF24CA" w:rsidRPr="002048A7" w:rsidRDefault="00FF24CA" w:rsidP="00FF24CA">
            <w:pPr>
              <w:spacing w:after="0"/>
              <w:jc w:val="center"/>
              <w:rPr>
                <w:rFonts w:ascii="Calibri" w:hAnsi="Calibri" w:cs="Calibri"/>
                <w:b/>
                <w:bCs/>
                <w:color w:val="FFFFFF"/>
              </w:rPr>
            </w:pPr>
            <w:r w:rsidRPr="002048A7">
              <w:rPr>
                <w:rFonts w:ascii="Calibri" w:hAnsi="Calibri" w:cs="Calibri"/>
                <w:b/>
                <w:bCs/>
                <w:color w:val="FFFFFF"/>
              </w:rPr>
              <w:t>ERKEK</w:t>
            </w:r>
          </w:p>
        </w:tc>
        <w:tc>
          <w:tcPr>
            <w:tcW w:w="378" w:type="pct"/>
            <w:shd w:val="clear" w:color="auto" w:fill="6E9ECA"/>
            <w:textDirection w:val="btLr"/>
            <w:vAlign w:val="center"/>
          </w:tcPr>
          <w:p w14:paraId="771D8F4B" w14:textId="77777777" w:rsidR="00FF24CA" w:rsidRPr="002048A7" w:rsidRDefault="00FF24CA" w:rsidP="00FF24CA">
            <w:pPr>
              <w:spacing w:after="0"/>
              <w:jc w:val="center"/>
              <w:rPr>
                <w:rFonts w:ascii="Calibri" w:hAnsi="Calibri" w:cs="Calibri"/>
                <w:b/>
                <w:bCs/>
                <w:color w:val="FFFFFF"/>
              </w:rPr>
            </w:pPr>
            <w:r w:rsidRPr="002048A7">
              <w:rPr>
                <w:rFonts w:ascii="Calibri" w:hAnsi="Calibri" w:cs="Calibri"/>
                <w:b/>
                <w:bCs/>
                <w:color w:val="FFFFFF"/>
              </w:rPr>
              <w:t>AÇIKTAN</w:t>
            </w:r>
          </w:p>
        </w:tc>
        <w:tc>
          <w:tcPr>
            <w:tcW w:w="453" w:type="pct"/>
            <w:shd w:val="clear" w:color="auto" w:fill="6E9ECA"/>
            <w:textDirection w:val="btLr"/>
            <w:vAlign w:val="center"/>
          </w:tcPr>
          <w:p w14:paraId="440F26DC" w14:textId="77777777" w:rsidR="00FF24CA" w:rsidRPr="002048A7" w:rsidRDefault="00FF24CA" w:rsidP="00FF24CA">
            <w:pPr>
              <w:spacing w:after="0"/>
              <w:jc w:val="center"/>
              <w:rPr>
                <w:rFonts w:ascii="Calibri" w:hAnsi="Calibri" w:cs="Calibri"/>
                <w:b/>
                <w:bCs/>
                <w:color w:val="FFFFFF"/>
              </w:rPr>
            </w:pPr>
            <w:r w:rsidRPr="002048A7">
              <w:rPr>
                <w:rFonts w:ascii="Calibri" w:hAnsi="Calibri" w:cs="Calibri"/>
                <w:b/>
                <w:bCs/>
                <w:color w:val="FFFFFF"/>
              </w:rPr>
              <w:t>NAKLEN</w:t>
            </w:r>
          </w:p>
        </w:tc>
      </w:tr>
      <w:tr w:rsidR="00771960" w:rsidRPr="002048A7" w14:paraId="69A327A5" w14:textId="77777777" w:rsidTr="00771960">
        <w:trPr>
          <w:trHeight w:val="385"/>
          <w:jc w:val="center"/>
        </w:trPr>
        <w:tc>
          <w:tcPr>
            <w:tcW w:w="1433" w:type="pct"/>
            <w:shd w:val="clear" w:color="auto" w:fill="auto"/>
            <w:vAlign w:val="center"/>
          </w:tcPr>
          <w:p w14:paraId="3E216C08" w14:textId="77777777" w:rsidR="00771960" w:rsidRPr="002048A7" w:rsidRDefault="001716C5" w:rsidP="00771960">
            <w:pPr>
              <w:spacing w:after="0"/>
              <w:rPr>
                <w:rFonts w:cstheme="minorHAnsi"/>
                <w:color w:val="000000"/>
              </w:rPr>
            </w:pPr>
            <w:r>
              <w:rPr>
                <w:rFonts w:cstheme="minorHAnsi"/>
                <w:color w:val="000000"/>
              </w:rPr>
              <w:t>Başkan Danışmanı</w:t>
            </w:r>
          </w:p>
        </w:tc>
        <w:tc>
          <w:tcPr>
            <w:tcW w:w="415" w:type="pct"/>
            <w:shd w:val="clear" w:color="auto" w:fill="auto"/>
            <w:noWrap/>
            <w:vAlign w:val="center"/>
          </w:tcPr>
          <w:p w14:paraId="233A55C9" w14:textId="77777777" w:rsidR="00771960" w:rsidRPr="002048A7" w:rsidRDefault="001716C5" w:rsidP="00771960">
            <w:pPr>
              <w:spacing w:after="0"/>
              <w:jc w:val="center"/>
              <w:rPr>
                <w:rFonts w:cstheme="minorHAnsi"/>
                <w:color w:val="000000"/>
              </w:rPr>
            </w:pPr>
            <w:r>
              <w:rPr>
                <w:rFonts w:cstheme="minorHAnsi"/>
                <w:color w:val="000000"/>
              </w:rPr>
              <w:t>1</w:t>
            </w:r>
          </w:p>
        </w:tc>
        <w:tc>
          <w:tcPr>
            <w:tcW w:w="302" w:type="pct"/>
            <w:shd w:val="clear" w:color="auto" w:fill="auto"/>
            <w:noWrap/>
            <w:vAlign w:val="center"/>
          </w:tcPr>
          <w:p w14:paraId="0FF9C28F" w14:textId="77777777" w:rsidR="00771960" w:rsidRPr="002048A7" w:rsidRDefault="00771960" w:rsidP="00771960">
            <w:pPr>
              <w:spacing w:after="0"/>
              <w:jc w:val="center"/>
              <w:rPr>
                <w:rFonts w:cstheme="minorHAnsi"/>
                <w:color w:val="000000"/>
              </w:rPr>
            </w:pPr>
          </w:p>
        </w:tc>
        <w:tc>
          <w:tcPr>
            <w:tcW w:w="302" w:type="pct"/>
            <w:shd w:val="clear" w:color="auto" w:fill="auto"/>
            <w:noWrap/>
            <w:vAlign w:val="center"/>
          </w:tcPr>
          <w:p w14:paraId="7BA9A6D0" w14:textId="77777777" w:rsidR="00771960" w:rsidRPr="002048A7" w:rsidRDefault="00771960" w:rsidP="00771960">
            <w:pPr>
              <w:spacing w:after="0"/>
              <w:jc w:val="center"/>
              <w:rPr>
                <w:rFonts w:cstheme="minorHAnsi"/>
                <w:color w:val="000000"/>
              </w:rPr>
            </w:pPr>
          </w:p>
        </w:tc>
        <w:tc>
          <w:tcPr>
            <w:tcW w:w="350" w:type="pct"/>
            <w:shd w:val="clear" w:color="auto" w:fill="auto"/>
            <w:noWrap/>
            <w:vAlign w:val="center"/>
          </w:tcPr>
          <w:p w14:paraId="3671629D" w14:textId="77777777" w:rsidR="00771960" w:rsidRPr="002048A7" w:rsidRDefault="001716C5" w:rsidP="00771960">
            <w:pPr>
              <w:spacing w:after="0"/>
              <w:jc w:val="center"/>
              <w:rPr>
                <w:rFonts w:cstheme="minorHAnsi"/>
                <w:color w:val="000000"/>
              </w:rPr>
            </w:pPr>
            <w:r>
              <w:rPr>
                <w:rFonts w:cstheme="minorHAnsi"/>
                <w:color w:val="000000"/>
              </w:rPr>
              <w:t>1</w:t>
            </w:r>
          </w:p>
        </w:tc>
        <w:tc>
          <w:tcPr>
            <w:tcW w:w="302" w:type="pct"/>
            <w:shd w:val="clear" w:color="auto" w:fill="auto"/>
            <w:noWrap/>
            <w:vAlign w:val="center"/>
          </w:tcPr>
          <w:p w14:paraId="36E0EDFD" w14:textId="77777777" w:rsidR="00771960" w:rsidRPr="002048A7" w:rsidRDefault="00771960" w:rsidP="00771960">
            <w:pPr>
              <w:spacing w:after="0"/>
              <w:jc w:val="center"/>
              <w:rPr>
                <w:rFonts w:cstheme="minorHAnsi"/>
                <w:color w:val="000000"/>
              </w:rPr>
            </w:pPr>
          </w:p>
        </w:tc>
        <w:tc>
          <w:tcPr>
            <w:tcW w:w="309" w:type="pct"/>
            <w:shd w:val="clear" w:color="auto" w:fill="auto"/>
            <w:noWrap/>
            <w:vAlign w:val="center"/>
          </w:tcPr>
          <w:p w14:paraId="6E16CB4A" w14:textId="77777777" w:rsidR="00771960" w:rsidRPr="002048A7" w:rsidRDefault="00771960" w:rsidP="00771960">
            <w:pPr>
              <w:spacing w:after="0"/>
              <w:jc w:val="center"/>
              <w:rPr>
                <w:rFonts w:cstheme="minorHAnsi"/>
                <w:color w:val="000000"/>
              </w:rPr>
            </w:pPr>
          </w:p>
        </w:tc>
        <w:tc>
          <w:tcPr>
            <w:tcW w:w="378" w:type="pct"/>
            <w:shd w:val="clear" w:color="auto" w:fill="auto"/>
            <w:noWrap/>
            <w:vAlign w:val="center"/>
          </w:tcPr>
          <w:p w14:paraId="7B81C18D" w14:textId="77777777" w:rsidR="00771960" w:rsidRPr="002048A7" w:rsidRDefault="00771960" w:rsidP="00771960">
            <w:pPr>
              <w:spacing w:after="0"/>
              <w:jc w:val="center"/>
              <w:rPr>
                <w:rFonts w:cstheme="minorHAnsi"/>
                <w:color w:val="000000"/>
              </w:rPr>
            </w:pPr>
          </w:p>
        </w:tc>
        <w:tc>
          <w:tcPr>
            <w:tcW w:w="378" w:type="pct"/>
            <w:shd w:val="clear" w:color="auto" w:fill="auto"/>
            <w:noWrap/>
            <w:vAlign w:val="center"/>
          </w:tcPr>
          <w:p w14:paraId="3BEB3F2D"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378" w:type="pct"/>
            <w:vAlign w:val="center"/>
          </w:tcPr>
          <w:p w14:paraId="4AE36C0D" w14:textId="77777777" w:rsidR="00771960" w:rsidRPr="002048A7" w:rsidRDefault="00771960" w:rsidP="00771960">
            <w:pPr>
              <w:spacing w:after="0"/>
              <w:jc w:val="center"/>
              <w:rPr>
                <w:rFonts w:cstheme="minorHAnsi"/>
                <w:color w:val="000000"/>
              </w:rPr>
            </w:pPr>
          </w:p>
        </w:tc>
        <w:tc>
          <w:tcPr>
            <w:tcW w:w="453" w:type="pct"/>
            <w:vAlign w:val="center"/>
          </w:tcPr>
          <w:p w14:paraId="11B50C3C" w14:textId="77777777" w:rsidR="00771960" w:rsidRPr="002048A7" w:rsidRDefault="00771960" w:rsidP="00771960">
            <w:pPr>
              <w:spacing w:after="0"/>
              <w:jc w:val="center"/>
              <w:rPr>
                <w:rFonts w:cstheme="minorHAnsi"/>
                <w:color w:val="000000"/>
              </w:rPr>
            </w:pPr>
            <w:r w:rsidRPr="002048A7">
              <w:rPr>
                <w:rFonts w:cstheme="minorHAnsi"/>
                <w:color w:val="000000"/>
              </w:rPr>
              <w:t>1</w:t>
            </w:r>
          </w:p>
        </w:tc>
      </w:tr>
      <w:tr w:rsidR="001716C5" w:rsidRPr="002048A7" w14:paraId="66A9D745" w14:textId="77777777" w:rsidTr="00771960">
        <w:trPr>
          <w:trHeight w:val="454"/>
          <w:jc w:val="center"/>
        </w:trPr>
        <w:tc>
          <w:tcPr>
            <w:tcW w:w="1433" w:type="pct"/>
            <w:shd w:val="clear" w:color="auto" w:fill="auto"/>
            <w:vAlign w:val="center"/>
          </w:tcPr>
          <w:p w14:paraId="3334DA94" w14:textId="77777777" w:rsidR="001716C5" w:rsidRPr="002048A7" w:rsidRDefault="001716C5" w:rsidP="001716C5">
            <w:pPr>
              <w:spacing w:after="0"/>
              <w:rPr>
                <w:rFonts w:cstheme="minorHAnsi"/>
                <w:color w:val="000000"/>
              </w:rPr>
            </w:pPr>
            <w:r w:rsidRPr="002048A7">
              <w:rPr>
                <w:rFonts w:cstheme="minorHAnsi"/>
                <w:color w:val="000000"/>
              </w:rPr>
              <w:t>Enerji Uzman Yardımcısı</w:t>
            </w:r>
          </w:p>
        </w:tc>
        <w:tc>
          <w:tcPr>
            <w:tcW w:w="415" w:type="pct"/>
            <w:shd w:val="clear" w:color="auto" w:fill="auto"/>
            <w:noWrap/>
            <w:vAlign w:val="center"/>
          </w:tcPr>
          <w:p w14:paraId="0DB2405A" w14:textId="77777777" w:rsidR="001716C5" w:rsidRPr="001716C5" w:rsidRDefault="001716C5" w:rsidP="001716C5">
            <w:pPr>
              <w:spacing w:after="0"/>
              <w:jc w:val="center"/>
              <w:rPr>
                <w:rFonts w:cstheme="minorHAnsi"/>
                <w:color w:val="000000"/>
              </w:rPr>
            </w:pPr>
            <w:r w:rsidRPr="001716C5">
              <w:rPr>
                <w:rFonts w:cstheme="minorHAnsi"/>
                <w:color w:val="000000"/>
              </w:rPr>
              <w:t>23</w:t>
            </w:r>
          </w:p>
        </w:tc>
        <w:tc>
          <w:tcPr>
            <w:tcW w:w="302" w:type="pct"/>
            <w:shd w:val="clear" w:color="auto" w:fill="auto"/>
            <w:noWrap/>
            <w:vAlign w:val="center"/>
          </w:tcPr>
          <w:p w14:paraId="0A5B7558" w14:textId="77777777" w:rsidR="001716C5" w:rsidRPr="001716C5" w:rsidRDefault="001716C5" w:rsidP="001716C5">
            <w:pPr>
              <w:spacing w:after="0"/>
              <w:jc w:val="center"/>
              <w:rPr>
                <w:rFonts w:cstheme="minorHAnsi"/>
                <w:color w:val="000000"/>
              </w:rPr>
            </w:pPr>
          </w:p>
        </w:tc>
        <w:tc>
          <w:tcPr>
            <w:tcW w:w="302" w:type="pct"/>
            <w:shd w:val="clear" w:color="auto" w:fill="auto"/>
            <w:noWrap/>
            <w:vAlign w:val="center"/>
          </w:tcPr>
          <w:p w14:paraId="71B170BB" w14:textId="77777777" w:rsidR="001716C5" w:rsidRPr="001716C5" w:rsidRDefault="001716C5" w:rsidP="001716C5">
            <w:pPr>
              <w:spacing w:after="0"/>
              <w:jc w:val="center"/>
              <w:rPr>
                <w:rFonts w:cstheme="minorHAnsi"/>
                <w:color w:val="000000"/>
              </w:rPr>
            </w:pPr>
          </w:p>
        </w:tc>
        <w:tc>
          <w:tcPr>
            <w:tcW w:w="350" w:type="pct"/>
            <w:shd w:val="clear" w:color="auto" w:fill="auto"/>
            <w:noWrap/>
            <w:vAlign w:val="center"/>
          </w:tcPr>
          <w:p w14:paraId="3F3EA5E0" w14:textId="77777777" w:rsidR="001716C5" w:rsidRPr="001716C5" w:rsidRDefault="001716C5" w:rsidP="001716C5">
            <w:pPr>
              <w:spacing w:after="0"/>
              <w:jc w:val="center"/>
              <w:rPr>
                <w:rFonts w:cstheme="minorHAnsi"/>
                <w:color w:val="000000"/>
              </w:rPr>
            </w:pPr>
            <w:r w:rsidRPr="001716C5">
              <w:rPr>
                <w:rFonts w:cstheme="minorHAnsi"/>
                <w:color w:val="000000"/>
              </w:rPr>
              <w:t>21</w:t>
            </w:r>
          </w:p>
        </w:tc>
        <w:tc>
          <w:tcPr>
            <w:tcW w:w="302" w:type="pct"/>
            <w:shd w:val="clear" w:color="auto" w:fill="auto"/>
            <w:noWrap/>
            <w:vAlign w:val="center"/>
          </w:tcPr>
          <w:p w14:paraId="616E6A99" w14:textId="77777777" w:rsidR="001716C5" w:rsidRPr="001716C5" w:rsidRDefault="001716C5" w:rsidP="001716C5">
            <w:pPr>
              <w:spacing w:after="0"/>
              <w:jc w:val="center"/>
              <w:rPr>
                <w:rFonts w:cstheme="minorHAnsi"/>
                <w:color w:val="000000"/>
              </w:rPr>
            </w:pPr>
            <w:r w:rsidRPr="001716C5">
              <w:rPr>
                <w:rFonts w:cstheme="minorHAnsi"/>
                <w:color w:val="000000"/>
              </w:rPr>
              <w:t>2</w:t>
            </w:r>
          </w:p>
        </w:tc>
        <w:tc>
          <w:tcPr>
            <w:tcW w:w="309" w:type="pct"/>
            <w:shd w:val="clear" w:color="auto" w:fill="auto"/>
            <w:noWrap/>
            <w:vAlign w:val="center"/>
          </w:tcPr>
          <w:p w14:paraId="63FC62D2" w14:textId="77777777" w:rsidR="001716C5" w:rsidRPr="001716C5" w:rsidRDefault="001716C5" w:rsidP="001716C5">
            <w:pPr>
              <w:spacing w:after="0"/>
              <w:jc w:val="center"/>
              <w:rPr>
                <w:rFonts w:cstheme="minorHAnsi"/>
                <w:color w:val="000000"/>
              </w:rPr>
            </w:pPr>
          </w:p>
        </w:tc>
        <w:tc>
          <w:tcPr>
            <w:tcW w:w="378" w:type="pct"/>
            <w:shd w:val="clear" w:color="auto" w:fill="auto"/>
            <w:noWrap/>
            <w:vAlign w:val="center"/>
          </w:tcPr>
          <w:p w14:paraId="6467FA10" w14:textId="77777777" w:rsidR="001716C5" w:rsidRPr="001716C5" w:rsidRDefault="001716C5" w:rsidP="001716C5">
            <w:pPr>
              <w:spacing w:after="0"/>
              <w:jc w:val="center"/>
              <w:rPr>
                <w:rFonts w:cstheme="minorHAnsi"/>
                <w:color w:val="000000"/>
              </w:rPr>
            </w:pPr>
            <w:r w:rsidRPr="001716C5">
              <w:rPr>
                <w:rFonts w:cstheme="minorHAnsi"/>
                <w:color w:val="000000"/>
              </w:rPr>
              <w:t>11</w:t>
            </w:r>
          </w:p>
        </w:tc>
        <w:tc>
          <w:tcPr>
            <w:tcW w:w="378" w:type="pct"/>
            <w:shd w:val="clear" w:color="auto" w:fill="auto"/>
            <w:noWrap/>
            <w:vAlign w:val="center"/>
          </w:tcPr>
          <w:p w14:paraId="03F1279C" w14:textId="77777777" w:rsidR="001716C5" w:rsidRPr="001716C5" w:rsidRDefault="001716C5" w:rsidP="001716C5">
            <w:pPr>
              <w:spacing w:after="0"/>
              <w:jc w:val="center"/>
              <w:rPr>
                <w:rFonts w:cstheme="minorHAnsi"/>
                <w:color w:val="000000"/>
              </w:rPr>
            </w:pPr>
            <w:r w:rsidRPr="001716C5">
              <w:rPr>
                <w:rFonts w:cstheme="minorHAnsi"/>
                <w:color w:val="000000"/>
              </w:rPr>
              <w:t>12</w:t>
            </w:r>
          </w:p>
        </w:tc>
        <w:tc>
          <w:tcPr>
            <w:tcW w:w="378" w:type="pct"/>
            <w:vAlign w:val="center"/>
          </w:tcPr>
          <w:p w14:paraId="55893F72" w14:textId="77777777" w:rsidR="001716C5" w:rsidRPr="001716C5" w:rsidRDefault="001716C5" w:rsidP="001716C5">
            <w:pPr>
              <w:spacing w:after="0"/>
              <w:jc w:val="center"/>
              <w:rPr>
                <w:rFonts w:cstheme="minorHAnsi"/>
                <w:color w:val="000000"/>
              </w:rPr>
            </w:pPr>
            <w:r w:rsidRPr="001716C5">
              <w:rPr>
                <w:rFonts w:cstheme="minorHAnsi"/>
                <w:color w:val="000000"/>
              </w:rPr>
              <w:t>20</w:t>
            </w:r>
          </w:p>
        </w:tc>
        <w:tc>
          <w:tcPr>
            <w:tcW w:w="453" w:type="pct"/>
            <w:vAlign w:val="center"/>
          </w:tcPr>
          <w:p w14:paraId="0D53E5F6" w14:textId="77777777" w:rsidR="001716C5" w:rsidRPr="001716C5" w:rsidRDefault="001716C5" w:rsidP="001716C5">
            <w:pPr>
              <w:spacing w:after="0"/>
              <w:jc w:val="center"/>
              <w:rPr>
                <w:rFonts w:cstheme="minorHAnsi"/>
                <w:color w:val="000000"/>
              </w:rPr>
            </w:pPr>
            <w:r w:rsidRPr="001716C5">
              <w:rPr>
                <w:rFonts w:cstheme="minorHAnsi"/>
                <w:color w:val="000000"/>
              </w:rPr>
              <w:t>3</w:t>
            </w:r>
          </w:p>
        </w:tc>
      </w:tr>
      <w:tr w:rsidR="00771960" w:rsidRPr="002048A7" w14:paraId="25D9E6E2" w14:textId="77777777" w:rsidTr="00771960">
        <w:trPr>
          <w:trHeight w:val="454"/>
          <w:jc w:val="center"/>
        </w:trPr>
        <w:tc>
          <w:tcPr>
            <w:tcW w:w="1433" w:type="pct"/>
            <w:shd w:val="clear" w:color="auto" w:fill="auto"/>
            <w:vAlign w:val="center"/>
          </w:tcPr>
          <w:p w14:paraId="1CB46828" w14:textId="77777777" w:rsidR="00771960" w:rsidRPr="002048A7" w:rsidRDefault="00771960" w:rsidP="00771960">
            <w:pPr>
              <w:spacing w:after="0"/>
              <w:rPr>
                <w:rFonts w:cstheme="minorHAnsi"/>
                <w:color w:val="000000"/>
              </w:rPr>
            </w:pPr>
            <w:r w:rsidRPr="002048A7">
              <w:rPr>
                <w:rFonts w:cstheme="minorHAnsi"/>
                <w:color w:val="000000"/>
              </w:rPr>
              <w:t>Avukat</w:t>
            </w:r>
          </w:p>
        </w:tc>
        <w:tc>
          <w:tcPr>
            <w:tcW w:w="415" w:type="pct"/>
            <w:shd w:val="clear" w:color="auto" w:fill="auto"/>
            <w:noWrap/>
            <w:vAlign w:val="center"/>
          </w:tcPr>
          <w:p w14:paraId="500C8432" w14:textId="77777777" w:rsidR="00771960" w:rsidRPr="002048A7" w:rsidRDefault="00771960" w:rsidP="00771960">
            <w:pPr>
              <w:spacing w:after="0"/>
              <w:jc w:val="center"/>
              <w:rPr>
                <w:rFonts w:cstheme="minorHAnsi"/>
                <w:color w:val="000000"/>
              </w:rPr>
            </w:pPr>
            <w:r w:rsidRPr="002048A7">
              <w:rPr>
                <w:rFonts w:cstheme="minorHAnsi"/>
                <w:color w:val="000000"/>
              </w:rPr>
              <w:t>2</w:t>
            </w:r>
          </w:p>
        </w:tc>
        <w:tc>
          <w:tcPr>
            <w:tcW w:w="302" w:type="pct"/>
            <w:shd w:val="clear" w:color="auto" w:fill="auto"/>
            <w:noWrap/>
            <w:vAlign w:val="center"/>
          </w:tcPr>
          <w:p w14:paraId="0B385ED0" w14:textId="77777777" w:rsidR="00771960" w:rsidRPr="002048A7" w:rsidRDefault="00771960" w:rsidP="00771960">
            <w:pPr>
              <w:spacing w:after="0"/>
              <w:jc w:val="center"/>
              <w:rPr>
                <w:rFonts w:cstheme="minorHAnsi"/>
                <w:color w:val="000000"/>
              </w:rPr>
            </w:pPr>
          </w:p>
        </w:tc>
        <w:tc>
          <w:tcPr>
            <w:tcW w:w="302" w:type="pct"/>
            <w:shd w:val="clear" w:color="auto" w:fill="auto"/>
            <w:noWrap/>
            <w:vAlign w:val="center"/>
          </w:tcPr>
          <w:p w14:paraId="0C9A1394" w14:textId="77777777" w:rsidR="00771960" w:rsidRPr="002048A7" w:rsidRDefault="00771960" w:rsidP="00771960">
            <w:pPr>
              <w:spacing w:after="0"/>
              <w:jc w:val="center"/>
              <w:rPr>
                <w:rFonts w:cstheme="minorHAnsi"/>
                <w:color w:val="000000"/>
              </w:rPr>
            </w:pPr>
          </w:p>
        </w:tc>
        <w:tc>
          <w:tcPr>
            <w:tcW w:w="350" w:type="pct"/>
            <w:shd w:val="clear" w:color="auto" w:fill="auto"/>
            <w:noWrap/>
            <w:vAlign w:val="center"/>
          </w:tcPr>
          <w:p w14:paraId="0DEDC938" w14:textId="77777777" w:rsidR="00771960" w:rsidRPr="002048A7" w:rsidRDefault="00771960" w:rsidP="00771960">
            <w:pPr>
              <w:spacing w:after="0"/>
              <w:jc w:val="center"/>
              <w:rPr>
                <w:rFonts w:cstheme="minorHAnsi"/>
                <w:color w:val="000000"/>
              </w:rPr>
            </w:pPr>
            <w:r w:rsidRPr="002048A7">
              <w:rPr>
                <w:rFonts w:cstheme="minorHAnsi"/>
                <w:color w:val="000000"/>
              </w:rPr>
              <w:t>2</w:t>
            </w:r>
          </w:p>
        </w:tc>
        <w:tc>
          <w:tcPr>
            <w:tcW w:w="302" w:type="pct"/>
            <w:shd w:val="clear" w:color="auto" w:fill="auto"/>
            <w:noWrap/>
            <w:vAlign w:val="center"/>
          </w:tcPr>
          <w:p w14:paraId="764D2283" w14:textId="77777777" w:rsidR="00771960" w:rsidRPr="002048A7" w:rsidRDefault="00771960" w:rsidP="00771960">
            <w:pPr>
              <w:spacing w:after="0"/>
              <w:jc w:val="center"/>
              <w:rPr>
                <w:rFonts w:cstheme="minorHAnsi"/>
                <w:color w:val="000000"/>
              </w:rPr>
            </w:pPr>
          </w:p>
        </w:tc>
        <w:tc>
          <w:tcPr>
            <w:tcW w:w="309" w:type="pct"/>
            <w:shd w:val="clear" w:color="auto" w:fill="auto"/>
            <w:noWrap/>
            <w:vAlign w:val="center"/>
          </w:tcPr>
          <w:p w14:paraId="0831EC23" w14:textId="77777777" w:rsidR="00771960" w:rsidRPr="002048A7" w:rsidRDefault="00771960" w:rsidP="00771960">
            <w:pPr>
              <w:spacing w:after="0"/>
              <w:jc w:val="center"/>
              <w:rPr>
                <w:rFonts w:cstheme="minorHAnsi"/>
                <w:color w:val="000000"/>
              </w:rPr>
            </w:pPr>
          </w:p>
        </w:tc>
        <w:tc>
          <w:tcPr>
            <w:tcW w:w="378" w:type="pct"/>
            <w:shd w:val="clear" w:color="auto" w:fill="auto"/>
            <w:noWrap/>
            <w:vAlign w:val="center"/>
          </w:tcPr>
          <w:p w14:paraId="7E3CA798"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378" w:type="pct"/>
            <w:shd w:val="clear" w:color="auto" w:fill="auto"/>
            <w:noWrap/>
            <w:vAlign w:val="center"/>
          </w:tcPr>
          <w:p w14:paraId="77F66ADA"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378" w:type="pct"/>
            <w:vAlign w:val="center"/>
          </w:tcPr>
          <w:p w14:paraId="436E181E" w14:textId="77777777" w:rsidR="00771960" w:rsidRPr="002048A7" w:rsidRDefault="00771960" w:rsidP="00771960">
            <w:pPr>
              <w:spacing w:after="0"/>
              <w:jc w:val="center"/>
              <w:rPr>
                <w:rFonts w:cstheme="minorHAnsi"/>
                <w:color w:val="000000"/>
              </w:rPr>
            </w:pPr>
          </w:p>
        </w:tc>
        <w:tc>
          <w:tcPr>
            <w:tcW w:w="453" w:type="pct"/>
            <w:vAlign w:val="center"/>
          </w:tcPr>
          <w:p w14:paraId="71A01887" w14:textId="77777777" w:rsidR="00771960" w:rsidRPr="002048A7" w:rsidRDefault="001716C5" w:rsidP="00771960">
            <w:pPr>
              <w:spacing w:after="0"/>
              <w:jc w:val="center"/>
              <w:rPr>
                <w:rFonts w:cstheme="minorHAnsi"/>
                <w:color w:val="000000"/>
              </w:rPr>
            </w:pPr>
            <w:r>
              <w:rPr>
                <w:rFonts w:cstheme="minorHAnsi"/>
                <w:color w:val="000000"/>
              </w:rPr>
              <w:t>2</w:t>
            </w:r>
          </w:p>
        </w:tc>
      </w:tr>
      <w:tr w:rsidR="00771960" w:rsidRPr="002048A7" w14:paraId="6880856D" w14:textId="77777777" w:rsidTr="00771960">
        <w:trPr>
          <w:trHeight w:val="454"/>
          <w:jc w:val="center"/>
        </w:trPr>
        <w:tc>
          <w:tcPr>
            <w:tcW w:w="1433" w:type="pct"/>
            <w:shd w:val="clear" w:color="auto" w:fill="auto"/>
            <w:vAlign w:val="center"/>
          </w:tcPr>
          <w:p w14:paraId="337B3F0C" w14:textId="77777777" w:rsidR="00771960" w:rsidRPr="002048A7" w:rsidRDefault="00771960" w:rsidP="00771960">
            <w:pPr>
              <w:spacing w:after="0"/>
              <w:rPr>
                <w:rFonts w:cstheme="minorHAnsi"/>
                <w:color w:val="000000"/>
              </w:rPr>
            </w:pPr>
            <w:r w:rsidRPr="002048A7">
              <w:rPr>
                <w:rFonts w:cstheme="minorHAnsi"/>
                <w:bCs/>
                <w:color w:val="000000"/>
              </w:rPr>
              <w:t>Mühendis</w:t>
            </w:r>
          </w:p>
        </w:tc>
        <w:tc>
          <w:tcPr>
            <w:tcW w:w="415" w:type="pct"/>
            <w:shd w:val="clear" w:color="auto" w:fill="auto"/>
            <w:noWrap/>
            <w:vAlign w:val="center"/>
          </w:tcPr>
          <w:p w14:paraId="1A2E8C20" w14:textId="77777777" w:rsidR="00771960" w:rsidRPr="002048A7" w:rsidRDefault="001716C5" w:rsidP="00771960">
            <w:pPr>
              <w:spacing w:after="0"/>
              <w:jc w:val="center"/>
              <w:rPr>
                <w:rFonts w:cstheme="minorHAnsi"/>
                <w:color w:val="000000"/>
              </w:rPr>
            </w:pPr>
            <w:r>
              <w:rPr>
                <w:rFonts w:cstheme="minorHAnsi"/>
                <w:color w:val="000000"/>
              </w:rPr>
              <w:t>2</w:t>
            </w:r>
          </w:p>
        </w:tc>
        <w:tc>
          <w:tcPr>
            <w:tcW w:w="302" w:type="pct"/>
            <w:shd w:val="clear" w:color="auto" w:fill="auto"/>
            <w:noWrap/>
            <w:vAlign w:val="center"/>
          </w:tcPr>
          <w:p w14:paraId="06C25629" w14:textId="77777777" w:rsidR="00771960" w:rsidRPr="002048A7" w:rsidRDefault="00771960" w:rsidP="00771960">
            <w:pPr>
              <w:spacing w:after="0"/>
              <w:jc w:val="center"/>
              <w:rPr>
                <w:rFonts w:cstheme="minorHAnsi"/>
                <w:color w:val="000000"/>
              </w:rPr>
            </w:pPr>
          </w:p>
        </w:tc>
        <w:tc>
          <w:tcPr>
            <w:tcW w:w="302" w:type="pct"/>
            <w:shd w:val="clear" w:color="auto" w:fill="auto"/>
            <w:noWrap/>
            <w:vAlign w:val="center"/>
          </w:tcPr>
          <w:p w14:paraId="68700EA7" w14:textId="77777777" w:rsidR="00771960" w:rsidRPr="002048A7" w:rsidRDefault="00771960" w:rsidP="00771960">
            <w:pPr>
              <w:spacing w:after="0"/>
              <w:jc w:val="center"/>
              <w:rPr>
                <w:rFonts w:cstheme="minorHAnsi"/>
                <w:color w:val="000000"/>
              </w:rPr>
            </w:pPr>
          </w:p>
        </w:tc>
        <w:tc>
          <w:tcPr>
            <w:tcW w:w="350" w:type="pct"/>
            <w:shd w:val="clear" w:color="auto" w:fill="auto"/>
            <w:noWrap/>
            <w:vAlign w:val="center"/>
          </w:tcPr>
          <w:p w14:paraId="2DEEF981" w14:textId="77777777" w:rsidR="00771960" w:rsidRPr="002048A7" w:rsidRDefault="00771960" w:rsidP="00771960">
            <w:pPr>
              <w:spacing w:after="0"/>
              <w:rPr>
                <w:rFonts w:cstheme="minorHAnsi"/>
                <w:color w:val="000000"/>
              </w:rPr>
            </w:pPr>
            <w:r w:rsidRPr="002048A7">
              <w:rPr>
                <w:rFonts w:cstheme="minorHAnsi"/>
                <w:color w:val="000000"/>
              </w:rPr>
              <w:t xml:space="preserve">    </w:t>
            </w:r>
            <w:r w:rsidR="001716C5">
              <w:rPr>
                <w:rFonts w:cstheme="minorHAnsi"/>
                <w:color w:val="000000"/>
              </w:rPr>
              <w:t>2</w:t>
            </w:r>
          </w:p>
        </w:tc>
        <w:tc>
          <w:tcPr>
            <w:tcW w:w="302" w:type="pct"/>
            <w:shd w:val="clear" w:color="auto" w:fill="auto"/>
            <w:noWrap/>
            <w:vAlign w:val="center"/>
          </w:tcPr>
          <w:p w14:paraId="43E6A5BA" w14:textId="77777777" w:rsidR="00771960" w:rsidRPr="002048A7" w:rsidRDefault="00771960" w:rsidP="00771960">
            <w:pPr>
              <w:spacing w:after="0"/>
              <w:jc w:val="center"/>
              <w:rPr>
                <w:rFonts w:cstheme="minorHAnsi"/>
                <w:color w:val="000000"/>
              </w:rPr>
            </w:pPr>
          </w:p>
        </w:tc>
        <w:tc>
          <w:tcPr>
            <w:tcW w:w="309" w:type="pct"/>
            <w:shd w:val="clear" w:color="auto" w:fill="auto"/>
            <w:noWrap/>
            <w:vAlign w:val="center"/>
          </w:tcPr>
          <w:p w14:paraId="02709E93" w14:textId="77777777" w:rsidR="00771960" w:rsidRPr="002048A7" w:rsidRDefault="00771960" w:rsidP="00771960">
            <w:pPr>
              <w:spacing w:after="0"/>
              <w:jc w:val="center"/>
              <w:rPr>
                <w:rFonts w:cstheme="minorHAnsi"/>
                <w:color w:val="000000"/>
              </w:rPr>
            </w:pPr>
          </w:p>
        </w:tc>
        <w:tc>
          <w:tcPr>
            <w:tcW w:w="378" w:type="pct"/>
            <w:shd w:val="clear" w:color="auto" w:fill="auto"/>
            <w:noWrap/>
            <w:vAlign w:val="center"/>
          </w:tcPr>
          <w:p w14:paraId="35802440" w14:textId="77777777" w:rsidR="00771960" w:rsidRPr="002048A7" w:rsidRDefault="00771960" w:rsidP="00771960">
            <w:pPr>
              <w:spacing w:after="0"/>
              <w:jc w:val="center"/>
              <w:rPr>
                <w:rFonts w:cstheme="minorHAnsi"/>
                <w:color w:val="000000"/>
              </w:rPr>
            </w:pPr>
          </w:p>
        </w:tc>
        <w:tc>
          <w:tcPr>
            <w:tcW w:w="378" w:type="pct"/>
            <w:shd w:val="clear" w:color="auto" w:fill="auto"/>
            <w:noWrap/>
            <w:vAlign w:val="center"/>
          </w:tcPr>
          <w:p w14:paraId="0FFB8399" w14:textId="77777777" w:rsidR="00771960" w:rsidRPr="002048A7" w:rsidRDefault="00771960" w:rsidP="00771960">
            <w:pPr>
              <w:spacing w:after="0"/>
              <w:jc w:val="center"/>
              <w:rPr>
                <w:rFonts w:cstheme="minorHAnsi"/>
                <w:color w:val="000000"/>
              </w:rPr>
            </w:pPr>
            <w:r w:rsidRPr="002048A7">
              <w:rPr>
                <w:rFonts w:cstheme="minorHAnsi"/>
                <w:color w:val="000000"/>
              </w:rPr>
              <w:t>2</w:t>
            </w:r>
          </w:p>
        </w:tc>
        <w:tc>
          <w:tcPr>
            <w:tcW w:w="378" w:type="pct"/>
            <w:vAlign w:val="center"/>
          </w:tcPr>
          <w:p w14:paraId="3EF42E9E" w14:textId="77777777" w:rsidR="00771960" w:rsidRPr="002048A7" w:rsidRDefault="00771960" w:rsidP="00771960">
            <w:pPr>
              <w:spacing w:after="0"/>
              <w:jc w:val="center"/>
              <w:rPr>
                <w:rFonts w:cstheme="minorHAnsi"/>
                <w:color w:val="000000"/>
              </w:rPr>
            </w:pPr>
          </w:p>
        </w:tc>
        <w:tc>
          <w:tcPr>
            <w:tcW w:w="453" w:type="pct"/>
            <w:vAlign w:val="center"/>
          </w:tcPr>
          <w:p w14:paraId="38AD396B" w14:textId="77777777" w:rsidR="00771960" w:rsidRPr="002048A7" w:rsidRDefault="00771960" w:rsidP="00771960">
            <w:pPr>
              <w:spacing w:after="0"/>
              <w:jc w:val="center"/>
              <w:rPr>
                <w:rFonts w:cstheme="minorHAnsi"/>
                <w:color w:val="000000"/>
              </w:rPr>
            </w:pPr>
            <w:r w:rsidRPr="002048A7">
              <w:rPr>
                <w:rFonts w:cstheme="minorHAnsi"/>
                <w:color w:val="000000"/>
              </w:rPr>
              <w:t>2</w:t>
            </w:r>
          </w:p>
        </w:tc>
      </w:tr>
      <w:tr w:rsidR="003F614D" w:rsidRPr="002048A7" w14:paraId="2FE05E5E" w14:textId="77777777" w:rsidTr="00771960">
        <w:trPr>
          <w:trHeight w:val="454"/>
          <w:jc w:val="center"/>
        </w:trPr>
        <w:tc>
          <w:tcPr>
            <w:tcW w:w="1433" w:type="pct"/>
            <w:shd w:val="clear" w:color="auto" w:fill="auto"/>
            <w:vAlign w:val="center"/>
          </w:tcPr>
          <w:p w14:paraId="258B9259" w14:textId="77777777" w:rsidR="003F614D" w:rsidRPr="002048A7" w:rsidRDefault="003F614D" w:rsidP="003F614D">
            <w:pPr>
              <w:spacing w:after="0"/>
              <w:rPr>
                <w:rFonts w:cstheme="minorHAnsi"/>
                <w:color w:val="000000"/>
              </w:rPr>
            </w:pPr>
            <w:r w:rsidRPr="002048A7">
              <w:rPr>
                <w:rFonts w:cstheme="minorHAnsi"/>
                <w:color w:val="000000"/>
              </w:rPr>
              <w:t>Yönetim Görevlisi</w:t>
            </w:r>
          </w:p>
        </w:tc>
        <w:tc>
          <w:tcPr>
            <w:tcW w:w="415" w:type="pct"/>
            <w:shd w:val="clear" w:color="auto" w:fill="auto"/>
            <w:noWrap/>
            <w:vAlign w:val="center"/>
          </w:tcPr>
          <w:p w14:paraId="767A1B73" w14:textId="77777777" w:rsidR="003F614D" w:rsidRPr="003F614D" w:rsidRDefault="003F614D" w:rsidP="003F614D">
            <w:pPr>
              <w:spacing w:after="0"/>
              <w:jc w:val="center"/>
              <w:rPr>
                <w:rFonts w:cstheme="minorHAnsi"/>
                <w:color w:val="000000"/>
              </w:rPr>
            </w:pPr>
            <w:r w:rsidRPr="003F614D">
              <w:rPr>
                <w:rFonts w:cstheme="minorHAnsi"/>
                <w:color w:val="000000"/>
              </w:rPr>
              <w:t>8</w:t>
            </w:r>
          </w:p>
        </w:tc>
        <w:tc>
          <w:tcPr>
            <w:tcW w:w="302" w:type="pct"/>
            <w:shd w:val="clear" w:color="auto" w:fill="auto"/>
            <w:noWrap/>
            <w:vAlign w:val="center"/>
          </w:tcPr>
          <w:p w14:paraId="457BF0AE" w14:textId="77777777" w:rsidR="003F614D" w:rsidRPr="003F614D" w:rsidRDefault="003F614D" w:rsidP="003F614D">
            <w:pPr>
              <w:spacing w:after="0"/>
              <w:jc w:val="center"/>
              <w:rPr>
                <w:rFonts w:cstheme="minorHAnsi"/>
                <w:color w:val="000000"/>
              </w:rPr>
            </w:pPr>
          </w:p>
        </w:tc>
        <w:tc>
          <w:tcPr>
            <w:tcW w:w="302" w:type="pct"/>
            <w:shd w:val="clear" w:color="auto" w:fill="auto"/>
            <w:noWrap/>
            <w:vAlign w:val="center"/>
          </w:tcPr>
          <w:p w14:paraId="3ECD1E40" w14:textId="77777777" w:rsidR="003F614D" w:rsidRPr="003F614D" w:rsidRDefault="003F614D" w:rsidP="003F614D">
            <w:pPr>
              <w:spacing w:after="0"/>
              <w:jc w:val="center"/>
              <w:rPr>
                <w:rFonts w:cstheme="minorHAnsi"/>
                <w:color w:val="000000"/>
              </w:rPr>
            </w:pPr>
          </w:p>
        </w:tc>
        <w:tc>
          <w:tcPr>
            <w:tcW w:w="350" w:type="pct"/>
            <w:shd w:val="clear" w:color="auto" w:fill="auto"/>
            <w:noWrap/>
            <w:vAlign w:val="center"/>
          </w:tcPr>
          <w:p w14:paraId="5E0E4B53" w14:textId="77777777" w:rsidR="003F614D" w:rsidRPr="003F614D" w:rsidRDefault="003F614D" w:rsidP="003F614D">
            <w:pPr>
              <w:spacing w:after="0"/>
              <w:jc w:val="center"/>
              <w:rPr>
                <w:rFonts w:cstheme="minorHAnsi"/>
                <w:color w:val="000000"/>
              </w:rPr>
            </w:pPr>
            <w:r w:rsidRPr="003F614D">
              <w:rPr>
                <w:rFonts w:cstheme="minorHAnsi"/>
                <w:color w:val="000000"/>
              </w:rPr>
              <w:t>7</w:t>
            </w:r>
          </w:p>
        </w:tc>
        <w:tc>
          <w:tcPr>
            <w:tcW w:w="302" w:type="pct"/>
            <w:shd w:val="clear" w:color="auto" w:fill="auto"/>
            <w:noWrap/>
            <w:vAlign w:val="center"/>
          </w:tcPr>
          <w:p w14:paraId="656C9354" w14:textId="77777777" w:rsidR="003F614D" w:rsidRPr="003F614D" w:rsidRDefault="003F614D" w:rsidP="003F614D">
            <w:pPr>
              <w:spacing w:after="0"/>
              <w:jc w:val="center"/>
              <w:rPr>
                <w:rFonts w:cstheme="minorHAnsi"/>
                <w:color w:val="000000"/>
              </w:rPr>
            </w:pPr>
            <w:r w:rsidRPr="003F614D">
              <w:rPr>
                <w:rFonts w:cstheme="minorHAnsi"/>
                <w:color w:val="000000"/>
              </w:rPr>
              <w:t>1</w:t>
            </w:r>
          </w:p>
        </w:tc>
        <w:tc>
          <w:tcPr>
            <w:tcW w:w="309" w:type="pct"/>
            <w:shd w:val="clear" w:color="auto" w:fill="auto"/>
            <w:noWrap/>
            <w:vAlign w:val="center"/>
          </w:tcPr>
          <w:p w14:paraId="115CF81A" w14:textId="77777777" w:rsidR="003F614D" w:rsidRPr="003F614D" w:rsidRDefault="003F614D" w:rsidP="003F614D">
            <w:pPr>
              <w:spacing w:after="0"/>
              <w:jc w:val="center"/>
              <w:rPr>
                <w:rFonts w:cstheme="minorHAnsi"/>
                <w:color w:val="000000"/>
              </w:rPr>
            </w:pPr>
          </w:p>
        </w:tc>
        <w:tc>
          <w:tcPr>
            <w:tcW w:w="378" w:type="pct"/>
            <w:shd w:val="clear" w:color="auto" w:fill="auto"/>
            <w:noWrap/>
            <w:vAlign w:val="center"/>
          </w:tcPr>
          <w:p w14:paraId="36A6B737" w14:textId="77777777" w:rsidR="003F614D" w:rsidRPr="003F614D" w:rsidRDefault="003F614D" w:rsidP="003F614D">
            <w:pPr>
              <w:spacing w:after="0"/>
              <w:jc w:val="center"/>
              <w:rPr>
                <w:rFonts w:cstheme="minorHAnsi"/>
                <w:color w:val="000000"/>
              </w:rPr>
            </w:pPr>
            <w:r w:rsidRPr="003F614D">
              <w:rPr>
                <w:rFonts w:cstheme="minorHAnsi"/>
                <w:color w:val="000000"/>
              </w:rPr>
              <w:t>4</w:t>
            </w:r>
          </w:p>
        </w:tc>
        <w:tc>
          <w:tcPr>
            <w:tcW w:w="378" w:type="pct"/>
            <w:shd w:val="clear" w:color="auto" w:fill="auto"/>
            <w:noWrap/>
            <w:vAlign w:val="center"/>
          </w:tcPr>
          <w:p w14:paraId="34CF948B" w14:textId="77777777" w:rsidR="003F614D" w:rsidRPr="003F614D" w:rsidRDefault="003F614D" w:rsidP="003F614D">
            <w:pPr>
              <w:spacing w:after="0"/>
              <w:jc w:val="center"/>
              <w:rPr>
                <w:rFonts w:cstheme="minorHAnsi"/>
                <w:color w:val="000000"/>
              </w:rPr>
            </w:pPr>
            <w:r w:rsidRPr="003F614D">
              <w:rPr>
                <w:rFonts w:cstheme="minorHAnsi"/>
                <w:color w:val="000000"/>
              </w:rPr>
              <w:t>4</w:t>
            </w:r>
          </w:p>
        </w:tc>
        <w:tc>
          <w:tcPr>
            <w:tcW w:w="378" w:type="pct"/>
            <w:vAlign w:val="center"/>
          </w:tcPr>
          <w:p w14:paraId="1A8270FD" w14:textId="77777777" w:rsidR="003F614D" w:rsidRPr="003F614D" w:rsidRDefault="003F614D" w:rsidP="003F614D">
            <w:pPr>
              <w:spacing w:after="0"/>
              <w:jc w:val="center"/>
              <w:rPr>
                <w:rFonts w:cstheme="minorHAnsi"/>
                <w:color w:val="000000"/>
              </w:rPr>
            </w:pPr>
            <w:r w:rsidRPr="003F614D">
              <w:rPr>
                <w:rFonts w:cstheme="minorHAnsi"/>
                <w:color w:val="000000"/>
              </w:rPr>
              <w:t>1</w:t>
            </w:r>
          </w:p>
        </w:tc>
        <w:tc>
          <w:tcPr>
            <w:tcW w:w="453" w:type="pct"/>
            <w:vAlign w:val="center"/>
          </w:tcPr>
          <w:p w14:paraId="1935613F" w14:textId="77777777" w:rsidR="003F614D" w:rsidRPr="003F614D" w:rsidRDefault="003F614D" w:rsidP="003F614D">
            <w:pPr>
              <w:spacing w:after="0"/>
              <w:jc w:val="center"/>
              <w:rPr>
                <w:rFonts w:cstheme="minorHAnsi"/>
                <w:color w:val="000000"/>
              </w:rPr>
            </w:pPr>
            <w:r w:rsidRPr="003F614D">
              <w:rPr>
                <w:rFonts w:cstheme="minorHAnsi"/>
                <w:color w:val="000000"/>
              </w:rPr>
              <w:t>7</w:t>
            </w:r>
          </w:p>
        </w:tc>
      </w:tr>
      <w:tr w:rsidR="00771960" w:rsidRPr="002048A7" w14:paraId="68F92817" w14:textId="77777777" w:rsidTr="00771960">
        <w:trPr>
          <w:trHeight w:val="454"/>
          <w:jc w:val="center"/>
        </w:trPr>
        <w:tc>
          <w:tcPr>
            <w:tcW w:w="1433" w:type="pct"/>
            <w:shd w:val="clear" w:color="auto" w:fill="auto"/>
            <w:vAlign w:val="center"/>
          </w:tcPr>
          <w:p w14:paraId="4D9103A1" w14:textId="77777777" w:rsidR="00771960" w:rsidRPr="002048A7" w:rsidRDefault="00771960" w:rsidP="00771960">
            <w:pPr>
              <w:spacing w:after="0"/>
              <w:rPr>
                <w:rFonts w:cstheme="minorHAnsi"/>
                <w:b/>
                <w:color w:val="000000"/>
              </w:rPr>
            </w:pPr>
            <w:r w:rsidRPr="002048A7">
              <w:rPr>
                <w:rFonts w:cstheme="minorHAnsi"/>
                <w:b/>
                <w:color w:val="000000"/>
              </w:rPr>
              <w:t>TOPLAM</w:t>
            </w:r>
          </w:p>
        </w:tc>
        <w:tc>
          <w:tcPr>
            <w:tcW w:w="415" w:type="pct"/>
            <w:shd w:val="clear" w:color="auto" w:fill="auto"/>
            <w:noWrap/>
            <w:vAlign w:val="center"/>
          </w:tcPr>
          <w:p w14:paraId="4F451C44" w14:textId="77777777" w:rsidR="00771960" w:rsidRPr="002048A7" w:rsidRDefault="003F614D" w:rsidP="00771960">
            <w:pPr>
              <w:spacing w:after="0"/>
              <w:jc w:val="center"/>
              <w:rPr>
                <w:rFonts w:cstheme="minorHAnsi"/>
                <w:b/>
                <w:color w:val="000000"/>
              </w:rPr>
            </w:pPr>
            <w:r>
              <w:rPr>
                <w:rFonts w:cstheme="minorHAnsi"/>
                <w:b/>
                <w:color w:val="000000"/>
              </w:rPr>
              <w:t>36</w:t>
            </w:r>
          </w:p>
        </w:tc>
        <w:tc>
          <w:tcPr>
            <w:tcW w:w="302" w:type="pct"/>
            <w:shd w:val="clear" w:color="auto" w:fill="auto"/>
            <w:noWrap/>
            <w:vAlign w:val="center"/>
          </w:tcPr>
          <w:p w14:paraId="295A424F" w14:textId="77777777" w:rsidR="00771960" w:rsidRPr="002048A7" w:rsidRDefault="00771960" w:rsidP="00771960">
            <w:pPr>
              <w:spacing w:after="0"/>
              <w:jc w:val="center"/>
              <w:rPr>
                <w:rFonts w:cstheme="minorHAnsi"/>
                <w:b/>
                <w:color w:val="000000"/>
              </w:rPr>
            </w:pPr>
          </w:p>
        </w:tc>
        <w:tc>
          <w:tcPr>
            <w:tcW w:w="302" w:type="pct"/>
            <w:shd w:val="clear" w:color="auto" w:fill="auto"/>
            <w:noWrap/>
            <w:vAlign w:val="center"/>
          </w:tcPr>
          <w:p w14:paraId="06AE8FDE" w14:textId="77777777" w:rsidR="00771960" w:rsidRPr="002048A7" w:rsidRDefault="00771960" w:rsidP="00771960">
            <w:pPr>
              <w:spacing w:after="0"/>
              <w:jc w:val="center"/>
              <w:rPr>
                <w:rFonts w:cstheme="minorHAnsi"/>
                <w:b/>
                <w:color w:val="000000"/>
              </w:rPr>
            </w:pPr>
          </w:p>
        </w:tc>
        <w:tc>
          <w:tcPr>
            <w:tcW w:w="350" w:type="pct"/>
            <w:shd w:val="clear" w:color="auto" w:fill="auto"/>
            <w:noWrap/>
            <w:vAlign w:val="center"/>
          </w:tcPr>
          <w:p w14:paraId="71D1EFD8" w14:textId="77777777" w:rsidR="00771960" w:rsidRPr="002048A7" w:rsidRDefault="003F614D" w:rsidP="00771960">
            <w:pPr>
              <w:spacing w:after="0"/>
              <w:jc w:val="center"/>
              <w:rPr>
                <w:rFonts w:cstheme="minorHAnsi"/>
                <w:b/>
                <w:color w:val="000000"/>
              </w:rPr>
            </w:pPr>
            <w:r>
              <w:rPr>
                <w:rFonts w:cstheme="minorHAnsi"/>
                <w:b/>
                <w:color w:val="000000"/>
              </w:rPr>
              <w:t>33</w:t>
            </w:r>
          </w:p>
        </w:tc>
        <w:tc>
          <w:tcPr>
            <w:tcW w:w="302" w:type="pct"/>
            <w:shd w:val="clear" w:color="auto" w:fill="auto"/>
            <w:noWrap/>
            <w:vAlign w:val="center"/>
          </w:tcPr>
          <w:p w14:paraId="1DEB1427" w14:textId="77777777" w:rsidR="00771960" w:rsidRPr="002048A7" w:rsidRDefault="00771960" w:rsidP="00771960">
            <w:pPr>
              <w:spacing w:after="0"/>
              <w:jc w:val="center"/>
              <w:rPr>
                <w:rFonts w:cstheme="minorHAnsi"/>
                <w:b/>
                <w:color w:val="000000"/>
              </w:rPr>
            </w:pPr>
            <w:r w:rsidRPr="002048A7">
              <w:rPr>
                <w:rFonts w:cstheme="minorHAnsi"/>
                <w:b/>
                <w:color w:val="000000"/>
              </w:rPr>
              <w:t>3</w:t>
            </w:r>
          </w:p>
        </w:tc>
        <w:tc>
          <w:tcPr>
            <w:tcW w:w="309" w:type="pct"/>
            <w:shd w:val="clear" w:color="auto" w:fill="auto"/>
            <w:noWrap/>
            <w:vAlign w:val="center"/>
          </w:tcPr>
          <w:p w14:paraId="5E70D82F" w14:textId="77777777" w:rsidR="00771960" w:rsidRPr="002048A7" w:rsidRDefault="00771960" w:rsidP="00771960">
            <w:pPr>
              <w:spacing w:after="0"/>
              <w:jc w:val="center"/>
              <w:rPr>
                <w:rFonts w:cstheme="minorHAnsi"/>
                <w:b/>
                <w:color w:val="000000"/>
              </w:rPr>
            </w:pPr>
          </w:p>
        </w:tc>
        <w:tc>
          <w:tcPr>
            <w:tcW w:w="378" w:type="pct"/>
            <w:shd w:val="clear" w:color="auto" w:fill="auto"/>
            <w:noWrap/>
            <w:vAlign w:val="center"/>
          </w:tcPr>
          <w:p w14:paraId="2A226FDF" w14:textId="77777777" w:rsidR="00771960" w:rsidRPr="002048A7" w:rsidRDefault="00771960" w:rsidP="00771960">
            <w:pPr>
              <w:spacing w:after="0"/>
              <w:jc w:val="center"/>
              <w:rPr>
                <w:rFonts w:cstheme="minorHAnsi"/>
                <w:b/>
                <w:color w:val="000000"/>
              </w:rPr>
            </w:pPr>
            <w:r w:rsidRPr="002048A7">
              <w:rPr>
                <w:rFonts w:cstheme="minorHAnsi"/>
                <w:b/>
                <w:color w:val="000000"/>
              </w:rPr>
              <w:t>1</w:t>
            </w:r>
            <w:r w:rsidR="003F614D">
              <w:rPr>
                <w:rFonts w:cstheme="minorHAnsi"/>
                <w:b/>
                <w:color w:val="000000"/>
              </w:rPr>
              <w:t>6</w:t>
            </w:r>
          </w:p>
        </w:tc>
        <w:tc>
          <w:tcPr>
            <w:tcW w:w="378" w:type="pct"/>
            <w:shd w:val="clear" w:color="auto" w:fill="auto"/>
            <w:noWrap/>
            <w:vAlign w:val="center"/>
          </w:tcPr>
          <w:p w14:paraId="062A8DF7" w14:textId="77777777" w:rsidR="00771960" w:rsidRPr="002048A7" w:rsidRDefault="003F614D" w:rsidP="00771960">
            <w:pPr>
              <w:spacing w:after="0"/>
              <w:jc w:val="center"/>
              <w:rPr>
                <w:rFonts w:cstheme="minorHAnsi"/>
                <w:b/>
                <w:color w:val="000000"/>
              </w:rPr>
            </w:pPr>
            <w:r>
              <w:rPr>
                <w:rFonts w:cstheme="minorHAnsi"/>
                <w:b/>
                <w:color w:val="000000"/>
              </w:rPr>
              <w:t>20</w:t>
            </w:r>
          </w:p>
        </w:tc>
        <w:tc>
          <w:tcPr>
            <w:tcW w:w="378" w:type="pct"/>
            <w:vAlign w:val="center"/>
          </w:tcPr>
          <w:p w14:paraId="2994E8F1" w14:textId="77777777" w:rsidR="00771960" w:rsidRPr="002048A7" w:rsidRDefault="003F614D" w:rsidP="00771960">
            <w:pPr>
              <w:spacing w:after="0"/>
              <w:jc w:val="center"/>
              <w:rPr>
                <w:rFonts w:cstheme="minorHAnsi"/>
                <w:b/>
                <w:color w:val="000000"/>
              </w:rPr>
            </w:pPr>
            <w:r>
              <w:rPr>
                <w:rFonts w:cstheme="minorHAnsi"/>
                <w:b/>
                <w:color w:val="000000"/>
              </w:rPr>
              <w:t>21</w:t>
            </w:r>
          </w:p>
        </w:tc>
        <w:tc>
          <w:tcPr>
            <w:tcW w:w="453" w:type="pct"/>
            <w:vAlign w:val="center"/>
          </w:tcPr>
          <w:p w14:paraId="50B91F78" w14:textId="77777777" w:rsidR="00771960" w:rsidRPr="002048A7" w:rsidRDefault="003F614D" w:rsidP="00771960">
            <w:pPr>
              <w:spacing w:after="0"/>
              <w:jc w:val="center"/>
              <w:rPr>
                <w:rFonts w:cstheme="minorHAnsi"/>
                <w:b/>
                <w:color w:val="000000"/>
              </w:rPr>
            </w:pPr>
            <w:r>
              <w:rPr>
                <w:rFonts w:cstheme="minorHAnsi"/>
                <w:b/>
                <w:color w:val="000000"/>
              </w:rPr>
              <w:t>1</w:t>
            </w:r>
            <w:r w:rsidR="00771960" w:rsidRPr="002048A7">
              <w:rPr>
                <w:rFonts w:cstheme="minorHAnsi"/>
                <w:b/>
                <w:color w:val="000000"/>
              </w:rPr>
              <w:t>5</w:t>
            </w:r>
          </w:p>
        </w:tc>
      </w:tr>
    </w:tbl>
    <w:p w14:paraId="3983F0F8" w14:textId="54AB77C0" w:rsidR="00FF24CA" w:rsidRDefault="00771960" w:rsidP="00FF24CA">
      <w:pPr>
        <w:rPr>
          <w:rFonts w:ascii="Calibri" w:hAnsi="Calibri"/>
        </w:rPr>
      </w:pPr>
      <w:r w:rsidRPr="002048A7">
        <w:rPr>
          <w:rFonts w:ascii="Calibri" w:hAnsi="Calibri"/>
        </w:rPr>
        <w:t>(</w:t>
      </w:r>
      <w:r w:rsidR="00FF24CA" w:rsidRPr="002048A7">
        <w:rPr>
          <w:rFonts w:ascii="Calibri" w:hAnsi="Calibri"/>
          <w:i/>
        </w:rPr>
        <w:t>Sürekli işçi kadrosunda yer alan personel hariçtir</w:t>
      </w:r>
      <w:r w:rsidR="00FF24CA" w:rsidRPr="002048A7">
        <w:rPr>
          <w:rFonts w:ascii="Calibri" w:hAnsi="Calibri"/>
        </w:rPr>
        <w:t>.</w:t>
      </w:r>
      <w:r w:rsidRPr="002048A7">
        <w:rPr>
          <w:rFonts w:ascii="Calibri" w:hAnsi="Calibri"/>
        </w:rPr>
        <w:t>)</w:t>
      </w:r>
    </w:p>
    <w:p w14:paraId="511DF4F7" w14:textId="05EBBFED" w:rsidR="00CE1360" w:rsidRDefault="00CE1360" w:rsidP="00FF24CA">
      <w:pPr>
        <w:rPr>
          <w:rFonts w:ascii="Calibri" w:hAnsi="Calibri"/>
        </w:rPr>
      </w:pPr>
    </w:p>
    <w:p w14:paraId="402EA6DD" w14:textId="67E579B9" w:rsidR="00CE1360" w:rsidRDefault="00CE1360" w:rsidP="00FF24CA">
      <w:pPr>
        <w:rPr>
          <w:rFonts w:ascii="Calibri" w:hAnsi="Calibri"/>
        </w:rPr>
      </w:pPr>
    </w:p>
    <w:p w14:paraId="697B9E39" w14:textId="6A00FFDA" w:rsidR="00CE1360" w:rsidRDefault="00CE1360" w:rsidP="00FF24CA">
      <w:pPr>
        <w:rPr>
          <w:rFonts w:ascii="Calibri" w:hAnsi="Calibri"/>
        </w:rPr>
      </w:pPr>
    </w:p>
    <w:p w14:paraId="436439B8" w14:textId="5C2DFBB4" w:rsidR="00CE1360" w:rsidRDefault="00CE1360" w:rsidP="00FF24CA">
      <w:pPr>
        <w:rPr>
          <w:rFonts w:ascii="Calibri" w:hAnsi="Calibri"/>
        </w:rPr>
      </w:pPr>
    </w:p>
    <w:p w14:paraId="6B1E07FF" w14:textId="77777777" w:rsidR="00CE1360" w:rsidRPr="002048A7" w:rsidRDefault="00CE1360" w:rsidP="00FF24CA">
      <w:pPr>
        <w:rPr>
          <w:rFonts w:ascii="Calibri" w:hAnsi="Calibri"/>
        </w:rPr>
      </w:pPr>
    </w:p>
    <w:p w14:paraId="15C0222D" w14:textId="51A2E408" w:rsidR="00FF24CA" w:rsidRPr="002048A7" w:rsidRDefault="00FF24CA" w:rsidP="00FF24CA">
      <w:pPr>
        <w:pStyle w:val="Balk5"/>
        <w:jc w:val="center"/>
        <w:rPr>
          <w:rFonts w:asciiTheme="minorHAnsi" w:hAnsiTheme="minorHAnsi"/>
          <w:b/>
          <w:color w:val="auto"/>
        </w:rPr>
      </w:pPr>
      <w:bookmarkStart w:id="436" w:name="_Toc195868876"/>
      <w:r w:rsidRPr="002048A7">
        <w:rPr>
          <w:rFonts w:asciiTheme="minorHAnsi" w:hAnsiTheme="minorHAnsi"/>
          <w:b/>
          <w:color w:val="auto"/>
        </w:rPr>
        <w:lastRenderedPageBreak/>
        <w:t>Tablo 13.2: 202</w:t>
      </w:r>
      <w:r w:rsidR="00734006">
        <w:rPr>
          <w:rFonts w:asciiTheme="minorHAnsi" w:hAnsiTheme="minorHAnsi"/>
          <w:b/>
          <w:color w:val="auto"/>
        </w:rPr>
        <w:t>4</w:t>
      </w:r>
      <w:r w:rsidRPr="002048A7">
        <w:rPr>
          <w:rFonts w:asciiTheme="minorHAnsi" w:hAnsiTheme="minorHAnsi"/>
          <w:b/>
          <w:color w:val="auto"/>
        </w:rPr>
        <w:t xml:space="preserve"> Yılında Kurumdan Ayrılan Personele İlişkin Bilgiler</w:t>
      </w:r>
      <w:bookmarkEnd w:id="436"/>
    </w:p>
    <w:tbl>
      <w:tblPr>
        <w:tblW w:w="5000" w:type="pct"/>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CellMar>
          <w:left w:w="70" w:type="dxa"/>
          <w:right w:w="70" w:type="dxa"/>
        </w:tblCellMar>
        <w:tblLook w:val="0000" w:firstRow="0" w:lastRow="0" w:firstColumn="0" w:lastColumn="0" w:noHBand="0" w:noVBand="0"/>
      </w:tblPr>
      <w:tblGrid>
        <w:gridCol w:w="2941"/>
        <w:gridCol w:w="610"/>
        <w:gridCol w:w="467"/>
        <w:gridCol w:w="463"/>
        <w:gridCol w:w="466"/>
        <w:gridCol w:w="365"/>
        <w:gridCol w:w="500"/>
        <w:gridCol w:w="553"/>
        <w:gridCol w:w="553"/>
        <w:gridCol w:w="498"/>
        <w:gridCol w:w="498"/>
        <w:gridCol w:w="498"/>
        <w:gridCol w:w="498"/>
        <w:gridCol w:w="498"/>
        <w:gridCol w:w="503"/>
      </w:tblGrid>
      <w:tr w:rsidR="00FF24CA" w:rsidRPr="002048A7" w14:paraId="33BAFA1C" w14:textId="77777777" w:rsidTr="003F614D">
        <w:trPr>
          <w:trHeight w:val="352"/>
        </w:trPr>
        <w:tc>
          <w:tcPr>
            <w:tcW w:w="1484" w:type="pct"/>
            <w:vMerge w:val="restart"/>
            <w:shd w:val="clear" w:color="auto" w:fill="6E9ECA"/>
            <w:noWrap/>
            <w:vAlign w:val="center"/>
          </w:tcPr>
          <w:p w14:paraId="06EBE826" w14:textId="77777777" w:rsidR="00FF24CA" w:rsidRPr="002048A7" w:rsidRDefault="00FF24CA" w:rsidP="00FF24CA">
            <w:pPr>
              <w:spacing w:after="0"/>
              <w:jc w:val="center"/>
              <w:rPr>
                <w:rFonts w:ascii="Calibri" w:hAnsi="Calibri" w:cs="Calibri"/>
                <w:b/>
                <w:bCs/>
                <w:color w:val="FFFFFF"/>
              </w:rPr>
            </w:pPr>
          </w:p>
          <w:p w14:paraId="2335BE71" w14:textId="77777777" w:rsidR="00FF24CA" w:rsidRPr="002048A7" w:rsidRDefault="00FF24CA" w:rsidP="00FF24CA">
            <w:pPr>
              <w:spacing w:after="0"/>
              <w:jc w:val="center"/>
              <w:rPr>
                <w:rFonts w:ascii="Calibri" w:hAnsi="Calibri" w:cs="Calibri"/>
                <w:b/>
                <w:bCs/>
                <w:color w:val="FFFFFF"/>
              </w:rPr>
            </w:pPr>
            <w:r w:rsidRPr="002048A7">
              <w:rPr>
                <w:rFonts w:ascii="Calibri" w:hAnsi="Calibri" w:cs="Calibri"/>
                <w:b/>
                <w:bCs/>
                <w:color w:val="FFFFFF"/>
              </w:rPr>
              <w:t>KADRO UNVANLARI</w:t>
            </w:r>
          </w:p>
        </w:tc>
        <w:tc>
          <w:tcPr>
            <w:tcW w:w="308" w:type="pct"/>
            <w:vMerge w:val="restart"/>
            <w:shd w:val="clear" w:color="auto" w:fill="6E9ECA"/>
            <w:vAlign w:val="center"/>
          </w:tcPr>
          <w:p w14:paraId="5FD7B736" w14:textId="77777777" w:rsidR="00FF24CA" w:rsidRPr="002048A7" w:rsidRDefault="00FF24CA" w:rsidP="00FF24CA">
            <w:pPr>
              <w:spacing w:after="0"/>
              <w:jc w:val="center"/>
              <w:rPr>
                <w:rFonts w:ascii="Calibri" w:hAnsi="Calibri" w:cs="Calibri"/>
                <w:b/>
                <w:bCs/>
                <w:color w:val="FFFFFF"/>
              </w:rPr>
            </w:pPr>
            <w:r w:rsidRPr="002048A7">
              <w:rPr>
                <w:rFonts w:ascii="Calibri" w:hAnsi="Calibri" w:cs="Calibri"/>
                <w:b/>
                <w:bCs/>
                <w:color w:val="FFFFFF"/>
              </w:rPr>
              <w:br/>
              <w:t>SAYI</w:t>
            </w:r>
          </w:p>
        </w:tc>
        <w:tc>
          <w:tcPr>
            <w:tcW w:w="1141" w:type="pct"/>
            <w:gridSpan w:val="5"/>
            <w:shd w:val="clear" w:color="auto" w:fill="6E9ECA"/>
            <w:noWrap/>
            <w:vAlign w:val="center"/>
          </w:tcPr>
          <w:p w14:paraId="719C7B5D" w14:textId="77777777" w:rsidR="00FF24CA" w:rsidRPr="002048A7" w:rsidRDefault="00FF24CA" w:rsidP="00FF24CA">
            <w:pPr>
              <w:spacing w:after="0"/>
              <w:jc w:val="center"/>
              <w:rPr>
                <w:rFonts w:ascii="Calibri" w:hAnsi="Calibri" w:cs="Calibri"/>
                <w:b/>
                <w:bCs/>
                <w:color w:val="FFFFFF"/>
              </w:rPr>
            </w:pPr>
            <w:r w:rsidRPr="002048A7">
              <w:rPr>
                <w:rFonts w:ascii="Calibri" w:hAnsi="Calibri" w:cs="Calibri"/>
                <w:b/>
                <w:bCs/>
                <w:color w:val="FFFFFF"/>
              </w:rPr>
              <w:t>ÖĞRENİM DURUMU</w:t>
            </w:r>
          </w:p>
        </w:tc>
        <w:tc>
          <w:tcPr>
            <w:tcW w:w="558" w:type="pct"/>
            <w:gridSpan w:val="2"/>
            <w:shd w:val="clear" w:color="auto" w:fill="6E9ECA"/>
            <w:noWrap/>
            <w:vAlign w:val="center"/>
          </w:tcPr>
          <w:p w14:paraId="1B359C71" w14:textId="77777777" w:rsidR="00FF24CA" w:rsidRPr="002048A7" w:rsidRDefault="00FF24CA" w:rsidP="00FF24CA">
            <w:pPr>
              <w:spacing w:after="0"/>
              <w:ind w:right="-157"/>
              <w:rPr>
                <w:rFonts w:ascii="Calibri" w:hAnsi="Calibri" w:cs="Calibri"/>
                <w:b/>
                <w:bCs/>
                <w:color w:val="FFFFFF"/>
              </w:rPr>
            </w:pPr>
            <w:r w:rsidRPr="002048A7">
              <w:rPr>
                <w:rFonts w:ascii="Calibri" w:hAnsi="Calibri" w:cs="Calibri"/>
                <w:b/>
                <w:bCs/>
                <w:color w:val="FFFFFF"/>
              </w:rPr>
              <w:t>CİNSİYETİ</w:t>
            </w:r>
          </w:p>
        </w:tc>
        <w:tc>
          <w:tcPr>
            <w:tcW w:w="1510" w:type="pct"/>
            <w:gridSpan w:val="6"/>
            <w:shd w:val="clear" w:color="auto" w:fill="6E9ECA"/>
            <w:vAlign w:val="center"/>
          </w:tcPr>
          <w:p w14:paraId="72BF660D" w14:textId="77777777" w:rsidR="00FF24CA" w:rsidRPr="002048A7" w:rsidRDefault="00FF24CA" w:rsidP="00FF24CA">
            <w:pPr>
              <w:spacing w:after="0"/>
              <w:ind w:right="-157"/>
              <w:jc w:val="center"/>
              <w:rPr>
                <w:rFonts w:ascii="Calibri" w:hAnsi="Calibri" w:cs="Calibri"/>
                <w:b/>
                <w:bCs/>
                <w:color w:val="FFFFFF"/>
              </w:rPr>
            </w:pPr>
            <w:r w:rsidRPr="002048A7">
              <w:rPr>
                <w:rFonts w:ascii="Calibri" w:hAnsi="Calibri" w:cs="Calibri"/>
                <w:b/>
                <w:bCs/>
                <w:color w:val="FFFFFF"/>
              </w:rPr>
              <w:t>AYRILMA NEDENİ</w:t>
            </w:r>
          </w:p>
        </w:tc>
      </w:tr>
      <w:tr w:rsidR="00FF24CA" w:rsidRPr="002048A7" w14:paraId="78A32699" w14:textId="77777777" w:rsidTr="003F614D">
        <w:trPr>
          <w:trHeight w:val="1737"/>
        </w:trPr>
        <w:tc>
          <w:tcPr>
            <w:tcW w:w="1484" w:type="pct"/>
            <w:vMerge/>
            <w:shd w:val="clear" w:color="auto" w:fill="6E9ECA"/>
            <w:vAlign w:val="center"/>
          </w:tcPr>
          <w:p w14:paraId="2719C18A" w14:textId="77777777" w:rsidR="00FF24CA" w:rsidRPr="002048A7" w:rsidRDefault="00FF24CA" w:rsidP="00FF24CA">
            <w:pPr>
              <w:spacing w:after="0"/>
              <w:rPr>
                <w:rFonts w:ascii="Calibri" w:hAnsi="Calibri" w:cs="Calibri"/>
                <w:b/>
                <w:bCs/>
                <w:color w:val="FFFFFF"/>
              </w:rPr>
            </w:pPr>
          </w:p>
        </w:tc>
        <w:tc>
          <w:tcPr>
            <w:tcW w:w="308" w:type="pct"/>
            <w:vMerge/>
            <w:shd w:val="clear" w:color="auto" w:fill="6E9ECA"/>
            <w:vAlign w:val="center"/>
          </w:tcPr>
          <w:p w14:paraId="22229BE8" w14:textId="77777777" w:rsidR="00FF24CA" w:rsidRPr="002048A7" w:rsidRDefault="00FF24CA" w:rsidP="00FF24CA">
            <w:pPr>
              <w:spacing w:after="0"/>
              <w:rPr>
                <w:rFonts w:ascii="Calibri" w:hAnsi="Calibri" w:cs="Calibri"/>
                <w:b/>
                <w:bCs/>
                <w:color w:val="FFFFFF"/>
              </w:rPr>
            </w:pPr>
          </w:p>
        </w:tc>
        <w:tc>
          <w:tcPr>
            <w:tcW w:w="236" w:type="pct"/>
            <w:shd w:val="clear" w:color="auto" w:fill="6E9ECA"/>
            <w:noWrap/>
            <w:textDirection w:val="btLr"/>
            <w:vAlign w:val="center"/>
          </w:tcPr>
          <w:p w14:paraId="24C3E5C7" w14:textId="77777777" w:rsidR="00FF24CA" w:rsidRPr="002048A7" w:rsidRDefault="00FF24CA" w:rsidP="00FF24CA">
            <w:pPr>
              <w:spacing w:after="0"/>
              <w:jc w:val="center"/>
              <w:rPr>
                <w:rFonts w:ascii="Calibri" w:hAnsi="Calibri" w:cs="Calibri"/>
                <w:b/>
                <w:bCs/>
                <w:color w:val="FFFFFF"/>
              </w:rPr>
            </w:pPr>
            <w:r w:rsidRPr="002048A7">
              <w:rPr>
                <w:rFonts w:ascii="Calibri" w:hAnsi="Calibri" w:cs="Calibri"/>
                <w:b/>
                <w:bCs/>
                <w:color w:val="FFFFFF"/>
              </w:rPr>
              <w:t>ORTAÖĞRETİM</w:t>
            </w:r>
          </w:p>
        </w:tc>
        <w:tc>
          <w:tcPr>
            <w:tcW w:w="234" w:type="pct"/>
            <w:shd w:val="clear" w:color="auto" w:fill="6E9ECA"/>
            <w:textDirection w:val="btLr"/>
          </w:tcPr>
          <w:p w14:paraId="0A52DC9C" w14:textId="77777777" w:rsidR="00FF24CA" w:rsidRPr="002048A7" w:rsidRDefault="00FF24CA" w:rsidP="00FF24CA">
            <w:pPr>
              <w:spacing w:after="0"/>
              <w:jc w:val="center"/>
              <w:rPr>
                <w:rFonts w:ascii="Calibri" w:hAnsi="Calibri" w:cs="Calibri"/>
                <w:b/>
                <w:bCs/>
                <w:color w:val="FFFFFF"/>
              </w:rPr>
            </w:pPr>
            <w:r w:rsidRPr="002048A7">
              <w:rPr>
                <w:rFonts w:ascii="Calibri" w:hAnsi="Calibri" w:cs="Calibri"/>
                <w:b/>
                <w:bCs/>
                <w:color w:val="FFFFFF"/>
              </w:rPr>
              <w:t>2 YILLIK Y.O.</w:t>
            </w:r>
          </w:p>
        </w:tc>
        <w:tc>
          <w:tcPr>
            <w:tcW w:w="235" w:type="pct"/>
            <w:shd w:val="clear" w:color="auto" w:fill="6E9ECA"/>
            <w:textDirection w:val="btLr"/>
            <w:vAlign w:val="center"/>
          </w:tcPr>
          <w:p w14:paraId="27E613EE" w14:textId="77777777" w:rsidR="00FF24CA" w:rsidRPr="002048A7" w:rsidRDefault="00FF24CA" w:rsidP="00FF24CA">
            <w:pPr>
              <w:spacing w:after="0"/>
              <w:jc w:val="center"/>
              <w:rPr>
                <w:rFonts w:ascii="Calibri" w:hAnsi="Calibri" w:cs="Calibri"/>
                <w:b/>
                <w:bCs/>
                <w:color w:val="FFFFFF"/>
              </w:rPr>
            </w:pPr>
            <w:r w:rsidRPr="002048A7">
              <w:rPr>
                <w:rFonts w:ascii="Calibri" w:hAnsi="Calibri" w:cs="Calibri"/>
                <w:b/>
                <w:bCs/>
                <w:color w:val="FFFFFF"/>
              </w:rPr>
              <w:t>4 YILLIK Y.O.</w:t>
            </w:r>
          </w:p>
        </w:tc>
        <w:tc>
          <w:tcPr>
            <w:tcW w:w="184" w:type="pct"/>
            <w:shd w:val="clear" w:color="auto" w:fill="6E9ECA"/>
            <w:textDirection w:val="btLr"/>
            <w:vAlign w:val="center"/>
          </w:tcPr>
          <w:p w14:paraId="40976156" w14:textId="77777777" w:rsidR="00FF24CA" w:rsidRPr="002048A7" w:rsidRDefault="00FF24CA" w:rsidP="00FF24CA">
            <w:pPr>
              <w:spacing w:after="0"/>
              <w:jc w:val="center"/>
              <w:rPr>
                <w:rFonts w:ascii="Calibri" w:hAnsi="Calibri" w:cs="Calibri"/>
                <w:b/>
                <w:bCs/>
                <w:color w:val="FFFFFF"/>
              </w:rPr>
            </w:pPr>
            <w:r w:rsidRPr="002048A7">
              <w:rPr>
                <w:rFonts w:ascii="Calibri" w:hAnsi="Calibri" w:cs="Calibri"/>
                <w:b/>
                <w:bCs/>
                <w:color w:val="FFFFFF"/>
              </w:rPr>
              <w:t>MASTER</w:t>
            </w:r>
          </w:p>
        </w:tc>
        <w:tc>
          <w:tcPr>
            <w:tcW w:w="252" w:type="pct"/>
            <w:shd w:val="clear" w:color="auto" w:fill="6E9ECA"/>
            <w:textDirection w:val="btLr"/>
          </w:tcPr>
          <w:p w14:paraId="0A7DEBD9" w14:textId="77777777" w:rsidR="00FF24CA" w:rsidRPr="002048A7" w:rsidRDefault="00FF24CA" w:rsidP="00FF24CA">
            <w:pPr>
              <w:spacing w:after="0"/>
              <w:jc w:val="center"/>
              <w:rPr>
                <w:rFonts w:ascii="Calibri" w:hAnsi="Calibri" w:cs="Calibri"/>
                <w:b/>
                <w:bCs/>
                <w:color w:val="FFFFFF"/>
              </w:rPr>
            </w:pPr>
            <w:r w:rsidRPr="002048A7">
              <w:rPr>
                <w:rFonts w:ascii="Calibri" w:hAnsi="Calibri" w:cs="Calibri"/>
                <w:b/>
                <w:bCs/>
                <w:color w:val="FFFFFF"/>
              </w:rPr>
              <w:t>DOKTORA</w:t>
            </w:r>
          </w:p>
        </w:tc>
        <w:tc>
          <w:tcPr>
            <w:tcW w:w="279" w:type="pct"/>
            <w:shd w:val="clear" w:color="auto" w:fill="6E9ECA"/>
            <w:textDirection w:val="btLr"/>
          </w:tcPr>
          <w:p w14:paraId="1BCDA1E0" w14:textId="77777777" w:rsidR="00FF24CA" w:rsidRPr="002048A7" w:rsidRDefault="00FF24CA" w:rsidP="00FF24CA">
            <w:pPr>
              <w:spacing w:after="0"/>
              <w:jc w:val="center"/>
              <w:rPr>
                <w:rFonts w:ascii="Calibri" w:hAnsi="Calibri" w:cs="Calibri"/>
                <w:b/>
                <w:bCs/>
                <w:color w:val="FFFFFF"/>
              </w:rPr>
            </w:pPr>
            <w:r w:rsidRPr="002048A7">
              <w:rPr>
                <w:rFonts w:ascii="Calibri" w:hAnsi="Calibri" w:cs="Calibri"/>
                <w:b/>
                <w:bCs/>
                <w:color w:val="FFFFFF"/>
              </w:rPr>
              <w:t>KADIN</w:t>
            </w:r>
          </w:p>
        </w:tc>
        <w:tc>
          <w:tcPr>
            <w:tcW w:w="279" w:type="pct"/>
            <w:shd w:val="clear" w:color="auto" w:fill="6E9ECA"/>
            <w:textDirection w:val="btLr"/>
          </w:tcPr>
          <w:p w14:paraId="3AC7D123" w14:textId="77777777" w:rsidR="00FF24CA" w:rsidRPr="002048A7" w:rsidRDefault="00FF24CA" w:rsidP="00FF24CA">
            <w:pPr>
              <w:spacing w:after="0"/>
              <w:jc w:val="center"/>
              <w:rPr>
                <w:rFonts w:ascii="Calibri" w:hAnsi="Calibri" w:cs="Calibri"/>
                <w:b/>
                <w:bCs/>
                <w:color w:val="FFFFFF"/>
              </w:rPr>
            </w:pPr>
            <w:r w:rsidRPr="002048A7">
              <w:rPr>
                <w:rFonts w:ascii="Calibri" w:hAnsi="Calibri" w:cs="Calibri"/>
                <w:b/>
                <w:bCs/>
                <w:color w:val="FFFFFF"/>
              </w:rPr>
              <w:t>ERKEK</w:t>
            </w:r>
          </w:p>
        </w:tc>
        <w:tc>
          <w:tcPr>
            <w:tcW w:w="251" w:type="pct"/>
            <w:shd w:val="clear" w:color="auto" w:fill="6E9ECA"/>
            <w:textDirection w:val="btLr"/>
          </w:tcPr>
          <w:p w14:paraId="1EAEFF7D" w14:textId="77777777" w:rsidR="00FF24CA" w:rsidRPr="002048A7" w:rsidRDefault="00FF24CA" w:rsidP="00FF24CA">
            <w:pPr>
              <w:spacing w:after="0"/>
              <w:jc w:val="center"/>
              <w:rPr>
                <w:rFonts w:ascii="Calibri" w:hAnsi="Calibri" w:cs="Calibri"/>
                <w:b/>
                <w:bCs/>
                <w:color w:val="FFFFFF"/>
              </w:rPr>
            </w:pPr>
            <w:r w:rsidRPr="002048A7">
              <w:rPr>
                <w:rFonts w:ascii="Calibri" w:hAnsi="Calibri" w:cs="Calibri"/>
                <w:b/>
                <w:bCs/>
                <w:color w:val="FFFFFF"/>
              </w:rPr>
              <w:t>İSTİFA</w:t>
            </w:r>
          </w:p>
        </w:tc>
        <w:tc>
          <w:tcPr>
            <w:tcW w:w="251" w:type="pct"/>
            <w:shd w:val="clear" w:color="auto" w:fill="6E9ECA"/>
            <w:textDirection w:val="btLr"/>
          </w:tcPr>
          <w:p w14:paraId="3A8C14BC" w14:textId="77777777" w:rsidR="00FF24CA" w:rsidRPr="002048A7" w:rsidRDefault="00FF24CA" w:rsidP="00FF24CA">
            <w:pPr>
              <w:spacing w:after="0"/>
              <w:jc w:val="center"/>
              <w:rPr>
                <w:rFonts w:ascii="Calibri" w:hAnsi="Calibri" w:cs="Calibri"/>
                <w:b/>
                <w:bCs/>
                <w:color w:val="FFFFFF"/>
              </w:rPr>
            </w:pPr>
            <w:r w:rsidRPr="002048A7">
              <w:rPr>
                <w:rFonts w:ascii="Calibri" w:hAnsi="Calibri" w:cs="Calibri"/>
                <w:b/>
                <w:bCs/>
                <w:color w:val="FFFFFF"/>
              </w:rPr>
              <w:t>EMEKLİLİK</w:t>
            </w:r>
          </w:p>
        </w:tc>
        <w:tc>
          <w:tcPr>
            <w:tcW w:w="251" w:type="pct"/>
            <w:shd w:val="clear" w:color="auto" w:fill="6E9ECA"/>
            <w:textDirection w:val="btLr"/>
            <w:vAlign w:val="center"/>
          </w:tcPr>
          <w:p w14:paraId="2B043E39" w14:textId="77777777" w:rsidR="00FF24CA" w:rsidRPr="002048A7" w:rsidRDefault="00FF24CA" w:rsidP="00FF24CA">
            <w:pPr>
              <w:spacing w:after="0"/>
              <w:jc w:val="center"/>
              <w:rPr>
                <w:rFonts w:ascii="Calibri" w:hAnsi="Calibri" w:cs="Calibri"/>
                <w:b/>
                <w:bCs/>
                <w:color w:val="FFFFFF"/>
              </w:rPr>
            </w:pPr>
            <w:r w:rsidRPr="002048A7">
              <w:rPr>
                <w:rFonts w:ascii="Calibri" w:hAnsi="Calibri" w:cs="Calibri"/>
                <w:b/>
                <w:bCs/>
                <w:color w:val="FFFFFF"/>
              </w:rPr>
              <w:t>NAKİL</w:t>
            </w:r>
          </w:p>
        </w:tc>
        <w:tc>
          <w:tcPr>
            <w:tcW w:w="251" w:type="pct"/>
            <w:shd w:val="clear" w:color="auto" w:fill="6E9ECA"/>
            <w:textDirection w:val="btLr"/>
          </w:tcPr>
          <w:p w14:paraId="5CD3E6F3" w14:textId="77777777" w:rsidR="00FF24CA" w:rsidRPr="002048A7" w:rsidRDefault="00FF24CA" w:rsidP="00FF24CA">
            <w:pPr>
              <w:spacing w:after="0"/>
              <w:jc w:val="center"/>
              <w:rPr>
                <w:rFonts w:ascii="Calibri" w:hAnsi="Calibri" w:cs="Calibri"/>
                <w:b/>
                <w:bCs/>
                <w:color w:val="FFFFFF"/>
              </w:rPr>
            </w:pPr>
            <w:r w:rsidRPr="002048A7">
              <w:rPr>
                <w:rFonts w:ascii="Calibri" w:hAnsi="Calibri" w:cs="Calibri"/>
                <w:b/>
                <w:bCs/>
                <w:color w:val="FFFFFF"/>
              </w:rPr>
              <w:t>İHRAÇ</w:t>
            </w:r>
          </w:p>
        </w:tc>
        <w:tc>
          <w:tcPr>
            <w:tcW w:w="251" w:type="pct"/>
            <w:shd w:val="clear" w:color="auto" w:fill="6E9ECA"/>
            <w:textDirection w:val="btLr"/>
          </w:tcPr>
          <w:p w14:paraId="484FD4BD" w14:textId="77777777" w:rsidR="00FF24CA" w:rsidRPr="002048A7" w:rsidRDefault="00FF24CA" w:rsidP="00FF24CA">
            <w:pPr>
              <w:spacing w:after="0"/>
              <w:jc w:val="center"/>
              <w:rPr>
                <w:rFonts w:ascii="Calibri" w:hAnsi="Calibri" w:cs="Calibri"/>
                <w:b/>
                <w:bCs/>
                <w:color w:val="FFFFFF"/>
              </w:rPr>
            </w:pPr>
            <w:r w:rsidRPr="002048A7">
              <w:rPr>
                <w:rFonts w:ascii="Calibri" w:hAnsi="Calibri" w:cs="Calibri"/>
                <w:b/>
                <w:bCs/>
                <w:color w:val="FFFFFF"/>
              </w:rPr>
              <w:t>MÜSTAFİ</w:t>
            </w:r>
          </w:p>
        </w:tc>
        <w:tc>
          <w:tcPr>
            <w:tcW w:w="254" w:type="pct"/>
            <w:shd w:val="clear" w:color="auto" w:fill="6E9ECA"/>
            <w:textDirection w:val="btLr"/>
          </w:tcPr>
          <w:p w14:paraId="39A1360B" w14:textId="77777777" w:rsidR="00FF24CA" w:rsidRPr="002048A7" w:rsidRDefault="00FF24CA" w:rsidP="00FF24CA">
            <w:pPr>
              <w:spacing w:after="0"/>
              <w:jc w:val="center"/>
              <w:rPr>
                <w:rFonts w:ascii="Calibri" w:hAnsi="Calibri" w:cs="Calibri"/>
                <w:b/>
                <w:bCs/>
                <w:color w:val="FFFFFF"/>
              </w:rPr>
            </w:pPr>
            <w:r w:rsidRPr="002048A7">
              <w:rPr>
                <w:rFonts w:ascii="Calibri" w:hAnsi="Calibri" w:cs="Calibri"/>
                <w:b/>
                <w:bCs/>
                <w:color w:val="FFFFFF"/>
              </w:rPr>
              <w:t>VEFAT</w:t>
            </w:r>
          </w:p>
        </w:tc>
      </w:tr>
      <w:tr w:rsidR="003F614D" w:rsidRPr="002048A7" w14:paraId="240628BD" w14:textId="77777777" w:rsidTr="003F614D">
        <w:trPr>
          <w:trHeight w:val="397"/>
        </w:trPr>
        <w:tc>
          <w:tcPr>
            <w:tcW w:w="1484" w:type="pct"/>
            <w:shd w:val="clear" w:color="auto" w:fill="auto"/>
            <w:vAlign w:val="bottom"/>
          </w:tcPr>
          <w:p w14:paraId="260CBD49" w14:textId="77777777" w:rsidR="003F614D" w:rsidRPr="002048A7" w:rsidRDefault="003F614D" w:rsidP="003F614D">
            <w:pPr>
              <w:spacing w:after="0"/>
              <w:rPr>
                <w:rFonts w:cstheme="minorHAnsi"/>
                <w:color w:val="000000"/>
              </w:rPr>
            </w:pPr>
            <w:r w:rsidRPr="002048A7">
              <w:rPr>
                <w:rFonts w:cstheme="minorHAnsi"/>
                <w:color w:val="000000"/>
              </w:rPr>
              <w:t>Başkan Danışmanı</w:t>
            </w:r>
          </w:p>
        </w:tc>
        <w:tc>
          <w:tcPr>
            <w:tcW w:w="308" w:type="pct"/>
            <w:shd w:val="clear" w:color="auto" w:fill="auto"/>
            <w:noWrap/>
            <w:vAlign w:val="center"/>
          </w:tcPr>
          <w:p w14:paraId="51C65D2E" w14:textId="77777777" w:rsidR="003F614D" w:rsidRPr="003F614D" w:rsidRDefault="003F614D" w:rsidP="003F614D">
            <w:pPr>
              <w:spacing w:after="0"/>
              <w:jc w:val="center"/>
              <w:rPr>
                <w:rFonts w:cstheme="minorHAnsi"/>
                <w:color w:val="000000"/>
              </w:rPr>
            </w:pPr>
            <w:r w:rsidRPr="003F614D">
              <w:rPr>
                <w:rFonts w:cstheme="minorHAnsi"/>
                <w:color w:val="000000"/>
              </w:rPr>
              <w:t>2</w:t>
            </w:r>
          </w:p>
        </w:tc>
        <w:tc>
          <w:tcPr>
            <w:tcW w:w="236" w:type="pct"/>
            <w:shd w:val="clear" w:color="auto" w:fill="auto"/>
            <w:noWrap/>
            <w:vAlign w:val="center"/>
          </w:tcPr>
          <w:p w14:paraId="41F18860" w14:textId="77777777" w:rsidR="003F614D" w:rsidRPr="003F614D" w:rsidRDefault="003F614D" w:rsidP="003F614D">
            <w:pPr>
              <w:spacing w:after="0"/>
              <w:jc w:val="center"/>
              <w:rPr>
                <w:rFonts w:cstheme="minorHAnsi"/>
                <w:color w:val="000000"/>
              </w:rPr>
            </w:pPr>
          </w:p>
        </w:tc>
        <w:tc>
          <w:tcPr>
            <w:tcW w:w="234" w:type="pct"/>
            <w:shd w:val="clear" w:color="auto" w:fill="auto"/>
            <w:noWrap/>
            <w:vAlign w:val="center"/>
          </w:tcPr>
          <w:p w14:paraId="6A099C78" w14:textId="77777777" w:rsidR="003F614D" w:rsidRPr="003F614D" w:rsidRDefault="003F614D" w:rsidP="003F614D">
            <w:pPr>
              <w:spacing w:after="0"/>
              <w:jc w:val="center"/>
              <w:rPr>
                <w:rFonts w:cstheme="minorHAnsi"/>
                <w:color w:val="000000"/>
              </w:rPr>
            </w:pPr>
          </w:p>
        </w:tc>
        <w:tc>
          <w:tcPr>
            <w:tcW w:w="235" w:type="pct"/>
            <w:shd w:val="clear" w:color="auto" w:fill="auto"/>
            <w:noWrap/>
            <w:vAlign w:val="center"/>
          </w:tcPr>
          <w:p w14:paraId="0DC4A062" w14:textId="77777777" w:rsidR="003F614D" w:rsidRPr="003F614D" w:rsidRDefault="003F614D" w:rsidP="003F614D">
            <w:pPr>
              <w:spacing w:after="0"/>
              <w:jc w:val="center"/>
              <w:rPr>
                <w:rFonts w:cstheme="minorHAnsi"/>
                <w:color w:val="000000"/>
              </w:rPr>
            </w:pPr>
            <w:r w:rsidRPr="003F614D">
              <w:rPr>
                <w:rFonts w:cstheme="minorHAnsi"/>
                <w:color w:val="000000"/>
              </w:rPr>
              <w:t>1</w:t>
            </w:r>
          </w:p>
        </w:tc>
        <w:tc>
          <w:tcPr>
            <w:tcW w:w="184" w:type="pct"/>
            <w:shd w:val="clear" w:color="auto" w:fill="auto"/>
            <w:noWrap/>
            <w:vAlign w:val="center"/>
          </w:tcPr>
          <w:p w14:paraId="4B497B96" w14:textId="77777777" w:rsidR="003F614D" w:rsidRPr="003F614D" w:rsidRDefault="003F614D" w:rsidP="003F614D">
            <w:pPr>
              <w:spacing w:after="0"/>
              <w:jc w:val="center"/>
              <w:rPr>
                <w:rFonts w:cstheme="minorHAnsi"/>
                <w:color w:val="000000"/>
              </w:rPr>
            </w:pPr>
            <w:r w:rsidRPr="003F614D">
              <w:rPr>
                <w:rFonts w:cstheme="minorHAnsi"/>
                <w:color w:val="000000"/>
              </w:rPr>
              <w:t>1</w:t>
            </w:r>
          </w:p>
        </w:tc>
        <w:tc>
          <w:tcPr>
            <w:tcW w:w="252" w:type="pct"/>
            <w:shd w:val="clear" w:color="auto" w:fill="auto"/>
            <w:noWrap/>
            <w:vAlign w:val="center"/>
          </w:tcPr>
          <w:p w14:paraId="5D16F4DE" w14:textId="77777777" w:rsidR="003F614D" w:rsidRPr="003F614D" w:rsidRDefault="003F614D" w:rsidP="003F614D">
            <w:pPr>
              <w:spacing w:after="0"/>
              <w:jc w:val="center"/>
              <w:rPr>
                <w:rFonts w:cstheme="minorHAnsi"/>
                <w:color w:val="000000"/>
              </w:rPr>
            </w:pPr>
          </w:p>
        </w:tc>
        <w:tc>
          <w:tcPr>
            <w:tcW w:w="279" w:type="pct"/>
            <w:shd w:val="clear" w:color="auto" w:fill="auto"/>
            <w:noWrap/>
            <w:vAlign w:val="center"/>
          </w:tcPr>
          <w:p w14:paraId="54BCDE82" w14:textId="77777777" w:rsidR="003F614D" w:rsidRPr="003F614D" w:rsidRDefault="003F614D" w:rsidP="003F614D">
            <w:pPr>
              <w:spacing w:after="0"/>
              <w:jc w:val="center"/>
              <w:rPr>
                <w:rFonts w:cstheme="minorHAnsi"/>
                <w:color w:val="000000"/>
              </w:rPr>
            </w:pPr>
          </w:p>
        </w:tc>
        <w:tc>
          <w:tcPr>
            <w:tcW w:w="279" w:type="pct"/>
            <w:shd w:val="clear" w:color="auto" w:fill="auto"/>
            <w:noWrap/>
            <w:vAlign w:val="center"/>
          </w:tcPr>
          <w:p w14:paraId="6CB116B6" w14:textId="77777777" w:rsidR="003F614D" w:rsidRPr="003F614D" w:rsidRDefault="003F614D" w:rsidP="003F614D">
            <w:pPr>
              <w:spacing w:after="0"/>
              <w:jc w:val="center"/>
              <w:rPr>
                <w:rFonts w:cstheme="minorHAnsi"/>
                <w:color w:val="000000"/>
              </w:rPr>
            </w:pPr>
            <w:r w:rsidRPr="003F614D">
              <w:rPr>
                <w:rFonts w:cstheme="minorHAnsi"/>
                <w:color w:val="000000"/>
              </w:rPr>
              <w:t>2</w:t>
            </w:r>
          </w:p>
        </w:tc>
        <w:tc>
          <w:tcPr>
            <w:tcW w:w="251" w:type="pct"/>
            <w:vAlign w:val="center"/>
          </w:tcPr>
          <w:p w14:paraId="60C13D20" w14:textId="77777777" w:rsidR="003F614D" w:rsidRPr="003F614D" w:rsidRDefault="003F614D" w:rsidP="003F614D">
            <w:pPr>
              <w:spacing w:after="0"/>
              <w:jc w:val="center"/>
              <w:rPr>
                <w:rFonts w:cstheme="minorHAnsi"/>
                <w:color w:val="000000"/>
              </w:rPr>
            </w:pPr>
          </w:p>
        </w:tc>
        <w:tc>
          <w:tcPr>
            <w:tcW w:w="251" w:type="pct"/>
            <w:vAlign w:val="center"/>
          </w:tcPr>
          <w:p w14:paraId="7052DBF3" w14:textId="77777777" w:rsidR="003F614D" w:rsidRPr="003F614D" w:rsidRDefault="003F614D" w:rsidP="003F614D">
            <w:pPr>
              <w:spacing w:after="0"/>
              <w:jc w:val="center"/>
              <w:rPr>
                <w:rFonts w:cstheme="minorHAnsi"/>
                <w:color w:val="000000"/>
              </w:rPr>
            </w:pPr>
            <w:r w:rsidRPr="003F614D">
              <w:rPr>
                <w:rFonts w:cstheme="minorHAnsi"/>
                <w:color w:val="000000"/>
              </w:rPr>
              <w:t>2</w:t>
            </w:r>
          </w:p>
        </w:tc>
        <w:tc>
          <w:tcPr>
            <w:tcW w:w="251" w:type="pct"/>
            <w:vAlign w:val="center"/>
          </w:tcPr>
          <w:p w14:paraId="35CCE5A0" w14:textId="77777777" w:rsidR="003F614D" w:rsidRPr="003F614D" w:rsidRDefault="003F614D" w:rsidP="003F614D">
            <w:pPr>
              <w:spacing w:after="0"/>
              <w:jc w:val="center"/>
              <w:rPr>
                <w:rFonts w:cstheme="minorHAnsi"/>
                <w:color w:val="000000"/>
              </w:rPr>
            </w:pPr>
          </w:p>
        </w:tc>
        <w:tc>
          <w:tcPr>
            <w:tcW w:w="251" w:type="pct"/>
            <w:vAlign w:val="center"/>
          </w:tcPr>
          <w:p w14:paraId="1091F7C8" w14:textId="77777777" w:rsidR="003F614D" w:rsidRPr="003F614D" w:rsidRDefault="003F614D" w:rsidP="003F614D">
            <w:pPr>
              <w:spacing w:after="0"/>
              <w:jc w:val="center"/>
              <w:rPr>
                <w:rFonts w:cstheme="minorHAnsi"/>
                <w:color w:val="000000"/>
              </w:rPr>
            </w:pPr>
          </w:p>
        </w:tc>
        <w:tc>
          <w:tcPr>
            <w:tcW w:w="251" w:type="pct"/>
          </w:tcPr>
          <w:p w14:paraId="4ADB602A" w14:textId="77777777" w:rsidR="003F614D" w:rsidRPr="003F614D" w:rsidRDefault="003F614D" w:rsidP="003F614D">
            <w:pPr>
              <w:spacing w:after="0"/>
              <w:jc w:val="center"/>
              <w:rPr>
                <w:rFonts w:cstheme="minorHAnsi"/>
                <w:color w:val="000000"/>
              </w:rPr>
            </w:pPr>
          </w:p>
        </w:tc>
        <w:tc>
          <w:tcPr>
            <w:tcW w:w="254" w:type="pct"/>
          </w:tcPr>
          <w:p w14:paraId="5D05010D" w14:textId="77777777" w:rsidR="003F614D" w:rsidRPr="003F614D" w:rsidRDefault="003F614D" w:rsidP="003F614D">
            <w:pPr>
              <w:spacing w:after="0"/>
              <w:jc w:val="center"/>
              <w:rPr>
                <w:rFonts w:cstheme="minorHAnsi"/>
                <w:color w:val="000000"/>
              </w:rPr>
            </w:pPr>
          </w:p>
        </w:tc>
      </w:tr>
      <w:tr w:rsidR="003F614D" w:rsidRPr="002048A7" w14:paraId="74B2BE17" w14:textId="77777777" w:rsidTr="003F614D">
        <w:trPr>
          <w:trHeight w:val="397"/>
        </w:trPr>
        <w:tc>
          <w:tcPr>
            <w:tcW w:w="1484" w:type="pct"/>
            <w:shd w:val="clear" w:color="auto" w:fill="auto"/>
            <w:noWrap/>
            <w:vAlign w:val="bottom"/>
          </w:tcPr>
          <w:p w14:paraId="1B55AC69" w14:textId="77777777" w:rsidR="003F614D" w:rsidRPr="002048A7" w:rsidRDefault="003F614D" w:rsidP="003F614D">
            <w:pPr>
              <w:spacing w:after="0"/>
              <w:rPr>
                <w:rFonts w:cstheme="minorHAnsi"/>
                <w:color w:val="000000"/>
              </w:rPr>
            </w:pPr>
            <w:r w:rsidRPr="002048A7">
              <w:rPr>
                <w:rFonts w:cstheme="minorHAnsi"/>
                <w:color w:val="000000"/>
              </w:rPr>
              <w:t>Grup Başkanı</w:t>
            </w:r>
          </w:p>
        </w:tc>
        <w:tc>
          <w:tcPr>
            <w:tcW w:w="308" w:type="pct"/>
            <w:shd w:val="clear" w:color="auto" w:fill="auto"/>
            <w:noWrap/>
            <w:vAlign w:val="center"/>
          </w:tcPr>
          <w:p w14:paraId="40C3F224" w14:textId="77777777" w:rsidR="003F614D" w:rsidRPr="003F614D" w:rsidRDefault="003F614D" w:rsidP="003F614D">
            <w:pPr>
              <w:spacing w:after="0"/>
              <w:jc w:val="center"/>
              <w:rPr>
                <w:rFonts w:cstheme="minorHAnsi"/>
                <w:color w:val="000000"/>
              </w:rPr>
            </w:pPr>
            <w:r w:rsidRPr="003F614D">
              <w:rPr>
                <w:rFonts w:cstheme="minorHAnsi"/>
                <w:color w:val="000000"/>
              </w:rPr>
              <w:t>4</w:t>
            </w:r>
          </w:p>
        </w:tc>
        <w:tc>
          <w:tcPr>
            <w:tcW w:w="236" w:type="pct"/>
            <w:shd w:val="clear" w:color="auto" w:fill="auto"/>
            <w:noWrap/>
            <w:vAlign w:val="center"/>
          </w:tcPr>
          <w:p w14:paraId="382D192F" w14:textId="77777777" w:rsidR="003F614D" w:rsidRPr="003F614D" w:rsidRDefault="003F614D" w:rsidP="003F614D">
            <w:pPr>
              <w:spacing w:after="0"/>
              <w:jc w:val="center"/>
              <w:rPr>
                <w:rFonts w:cstheme="minorHAnsi"/>
                <w:color w:val="000000"/>
              </w:rPr>
            </w:pPr>
          </w:p>
        </w:tc>
        <w:tc>
          <w:tcPr>
            <w:tcW w:w="234" w:type="pct"/>
            <w:shd w:val="clear" w:color="auto" w:fill="auto"/>
            <w:noWrap/>
            <w:vAlign w:val="center"/>
          </w:tcPr>
          <w:p w14:paraId="352BEC34" w14:textId="77777777" w:rsidR="003F614D" w:rsidRPr="003F614D" w:rsidRDefault="003F614D" w:rsidP="003F614D">
            <w:pPr>
              <w:spacing w:after="0"/>
              <w:jc w:val="center"/>
              <w:rPr>
                <w:rFonts w:cstheme="minorHAnsi"/>
                <w:color w:val="000000"/>
              </w:rPr>
            </w:pPr>
            <w:r w:rsidRPr="003F614D">
              <w:rPr>
                <w:rFonts w:cstheme="minorHAnsi"/>
                <w:color w:val="000000"/>
              </w:rPr>
              <w:t>1</w:t>
            </w:r>
          </w:p>
        </w:tc>
        <w:tc>
          <w:tcPr>
            <w:tcW w:w="235" w:type="pct"/>
            <w:shd w:val="clear" w:color="auto" w:fill="auto"/>
            <w:noWrap/>
            <w:vAlign w:val="center"/>
          </w:tcPr>
          <w:p w14:paraId="71114F58" w14:textId="77777777" w:rsidR="003F614D" w:rsidRPr="003F614D" w:rsidRDefault="003F614D" w:rsidP="003F614D">
            <w:pPr>
              <w:spacing w:after="0"/>
              <w:jc w:val="center"/>
              <w:rPr>
                <w:rFonts w:cstheme="minorHAnsi"/>
                <w:color w:val="000000"/>
              </w:rPr>
            </w:pPr>
            <w:r w:rsidRPr="003F614D">
              <w:rPr>
                <w:rFonts w:cstheme="minorHAnsi"/>
                <w:color w:val="000000"/>
              </w:rPr>
              <w:t>2</w:t>
            </w:r>
          </w:p>
        </w:tc>
        <w:tc>
          <w:tcPr>
            <w:tcW w:w="184" w:type="pct"/>
            <w:shd w:val="clear" w:color="auto" w:fill="auto"/>
            <w:noWrap/>
            <w:vAlign w:val="center"/>
          </w:tcPr>
          <w:p w14:paraId="401DD59C" w14:textId="77777777" w:rsidR="003F614D" w:rsidRPr="003F614D" w:rsidRDefault="003F614D" w:rsidP="003F614D">
            <w:pPr>
              <w:spacing w:after="0"/>
              <w:jc w:val="center"/>
              <w:rPr>
                <w:rFonts w:cstheme="minorHAnsi"/>
                <w:color w:val="000000"/>
              </w:rPr>
            </w:pPr>
            <w:r w:rsidRPr="003F614D">
              <w:rPr>
                <w:rFonts w:cstheme="minorHAnsi"/>
                <w:color w:val="000000"/>
              </w:rPr>
              <w:t>1</w:t>
            </w:r>
          </w:p>
        </w:tc>
        <w:tc>
          <w:tcPr>
            <w:tcW w:w="252" w:type="pct"/>
            <w:shd w:val="clear" w:color="auto" w:fill="auto"/>
            <w:noWrap/>
            <w:vAlign w:val="center"/>
          </w:tcPr>
          <w:p w14:paraId="53989837" w14:textId="77777777" w:rsidR="003F614D" w:rsidRPr="003F614D" w:rsidRDefault="003F614D" w:rsidP="003F614D">
            <w:pPr>
              <w:spacing w:after="0"/>
              <w:jc w:val="center"/>
              <w:rPr>
                <w:rFonts w:cstheme="minorHAnsi"/>
                <w:color w:val="000000"/>
              </w:rPr>
            </w:pPr>
          </w:p>
        </w:tc>
        <w:tc>
          <w:tcPr>
            <w:tcW w:w="279" w:type="pct"/>
            <w:shd w:val="clear" w:color="auto" w:fill="auto"/>
            <w:noWrap/>
            <w:vAlign w:val="center"/>
          </w:tcPr>
          <w:p w14:paraId="201447F4" w14:textId="77777777" w:rsidR="003F614D" w:rsidRPr="003F614D" w:rsidRDefault="003F614D" w:rsidP="003F614D">
            <w:pPr>
              <w:spacing w:after="0"/>
              <w:jc w:val="center"/>
              <w:rPr>
                <w:rFonts w:cstheme="minorHAnsi"/>
                <w:color w:val="000000"/>
              </w:rPr>
            </w:pPr>
          </w:p>
        </w:tc>
        <w:tc>
          <w:tcPr>
            <w:tcW w:w="279" w:type="pct"/>
            <w:shd w:val="clear" w:color="auto" w:fill="auto"/>
            <w:noWrap/>
            <w:vAlign w:val="center"/>
          </w:tcPr>
          <w:p w14:paraId="45192A8A" w14:textId="77777777" w:rsidR="003F614D" w:rsidRPr="003F614D" w:rsidRDefault="003F614D" w:rsidP="003F614D">
            <w:pPr>
              <w:spacing w:after="0"/>
              <w:jc w:val="center"/>
              <w:rPr>
                <w:rFonts w:cstheme="minorHAnsi"/>
                <w:color w:val="000000"/>
              </w:rPr>
            </w:pPr>
            <w:r w:rsidRPr="003F614D">
              <w:rPr>
                <w:rFonts w:cstheme="minorHAnsi"/>
                <w:color w:val="000000"/>
              </w:rPr>
              <w:t>4</w:t>
            </w:r>
          </w:p>
        </w:tc>
        <w:tc>
          <w:tcPr>
            <w:tcW w:w="251" w:type="pct"/>
            <w:vAlign w:val="center"/>
          </w:tcPr>
          <w:p w14:paraId="7181D43C" w14:textId="77777777" w:rsidR="003F614D" w:rsidRPr="003F614D" w:rsidRDefault="003F614D" w:rsidP="003F614D">
            <w:pPr>
              <w:spacing w:after="0"/>
              <w:jc w:val="center"/>
              <w:rPr>
                <w:rFonts w:cstheme="minorHAnsi"/>
                <w:color w:val="000000"/>
              </w:rPr>
            </w:pPr>
            <w:r w:rsidRPr="003F614D">
              <w:rPr>
                <w:rFonts w:cstheme="minorHAnsi"/>
                <w:color w:val="000000"/>
              </w:rPr>
              <w:t>2</w:t>
            </w:r>
          </w:p>
        </w:tc>
        <w:tc>
          <w:tcPr>
            <w:tcW w:w="251" w:type="pct"/>
            <w:vAlign w:val="center"/>
          </w:tcPr>
          <w:p w14:paraId="1CB7F56A" w14:textId="77777777" w:rsidR="003F614D" w:rsidRPr="003F614D" w:rsidRDefault="003F614D" w:rsidP="003F614D">
            <w:pPr>
              <w:spacing w:after="0"/>
              <w:jc w:val="center"/>
              <w:rPr>
                <w:rFonts w:cstheme="minorHAnsi"/>
                <w:color w:val="000000"/>
              </w:rPr>
            </w:pPr>
            <w:r w:rsidRPr="003F614D">
              <w:rPr>
                <w:rFonts w:cstheme="minorHAnsi"/>
                <w:color w:val="000000"/>
              </w:rPr>
              <w:t>2</w:t>
            </w:r>
          </w:p>
        </w:tc>
        <w:tc>
          <w:tcPr>
            <w:tcW w:w="251" w:type="pct"/>
            <w:vAlign w:val="center"/>
          </w:tcPr>
          <w:p w14:paraId="584EA179" w14:textId="77777777" w:rsidR="003F614D" w:rsidRPr="003F614D" w:rsidRDefault="003F614D" w:rsidP="003F614D">
            <w:pPr>
              <w:spacing w:after="0"/>
              <w:jc w:val="center"/>
              <w:rPr>
                <w:rFonts w:cstheme="minorHAnsi"/>
                <w:color w:val="000000"/>
              </w:rPr>
            </w:pPr>
          </w:p>
        </w:tc>
        <w:tc>
          <w:tcPr>
            <w:tcW w:w="251" w:type="pct"/>
            <w:vAlign w:val="center"/>
          </w:tcPr>
          <w:p w14:paraId="5B95811D" w14:textId="77777777" w:rsidR="003F614D" w:rsidRPr="003F614D" w:rsidRDefault="003F614D" w:rsidP="003F614D">
            <w:pPr>
              <w:spacing w:after="0"/>
              <w:jc w:val="center"/>
              <w:rPr>
                <w:rFonts w:cstheme="minorHAnsi"/>
                <w:color w:val="000000"/>
              </w:rPr>
            </w:pPr>
          </w:p>
        </w:tc>
        <w:tc>
          <w:tcPr>
            <w:tcW w:w="251" w:type="pct"/>
          </w:tcPr>
          <w:p w14:paraId="11870D6E" w14:textId="77777777" w:rsidR="003F614D" w:rsidRPr="003F614D" w:rsidRDefault="003F614D" w:rsidP="003F614D">
            <w:pPr>
              <w:spacing w:after="0"/>
              <w:jc w:val="center"/>
              <w:rPr>
                <w:rFonts w:cstheme="minorHAnsi"/>
                <w:color w:val="000000"/>
              </w:rPr>
            </w:pPr>
          </w:p>
        </w:tc>
        <w:tc>
          <w:tcPr>
            <w:tcW w:w="254" w:type="pct"/>
          </w:tcPr>
          <w:p w14:paraId="051AEAEA" w14:textId="77777777" w:rsidR="003F614D" w:rsidRPr="003F614D" w:rsidRDefault="003F614D" w:rsidP="003F614D">
            <w:pPr>
              <w:spacing w:after="0"/>
              <w:jc w:val="center"/>
              <w:rPr>
                <w:rFonts w:cstheme="minorHAnsi"/>
                <w:color w:val="000000"/>
              </w:rPr>
            </w:pPr>
          </w:p>
        </w:tc>
      </w:tr>
      <w:tr w:rsidR="003F614D" w:rsidRPr="002048A7" w14:paraId="1EF8809D" w14:textId="77777777" w:rsidTr="003F614D">
        <w:trPr>
          <w:trHeight w:val="397"/>
        </w:trPr>
        <w:tc>
          <w:tcPr>
            <w:tcW w:w="1484" w:type="pct"/>
            <w:shd w:val="clear" w:color="auto" w:fill="auto"/>
            <w:vAlign w:val="bottom"/>
          </w:tcPr>
          <w:p w14:paraId="08336335" w14:textId="77777777" w:rsidR="003F614D" w:rsidRPr="002048A7" w:rsidRDefault="003F614D" w:rsidP="003F614D">
            <w:pPr>
              <w:spacing w:after="0"/>
              <w:rPr>
                <w:rFonts w:cstheme="minorHAnsi"/>
                <w:color w:val="000000"/>
              </w:rPr>
            </w:pPr>
            <w:r w:rsidRPr="002048A7">
              <w:rPr>
                <w:rFonts w:cstheme="minorHAnsi"/>
                <w:color w:val="000000"/>
              </w:rPr>
              <w:t>Enerji Uzmanı</w:t>
            </w:r>
          </w:p>
        </w:tc>
        <w:tc>
          <w:tcPr>
            <w:tcW w:w="308" w:type="pct"/>
            <w:shd w:val="clear" w:color="auto" w:fill="auto"/>
            <w:noWrap/>
            <w:vAlign w:val="center"/>
          </w:tcPr>
          <w:p w14:paraId="36719CA1" w14:textId="77777777" w:rsidR="003F614D" w:rsidRPr="003F614D" w:rsidRDefault="003F614D" w:rsidP="003F614D">
            <w:pPr>
              <w:spacing w:after="0"/>
              <w:jc w:val="center"/>
              <w:rPr>
                <w:rFonts w:cstheme="minorHAnsi"/>
                <w:color w:val="000000"/>
              </w:rPr>
            </w:pPr>
            <w:r w:rsidRPr="003F614D">
              <w:rPr>
                <w:rFonts w:cstheme="minorHAnsi"/>
                <w:color w:val="000000"/>
              </w:rPr>
              <w:t>5</w:t>
            </w:r>
          </w:p>
        </w:tc>
        <w:tc>
          <w:tcPr>
            <w:tcW w:w="236" w:type="pct"/>
            <w:shd w:val="clear" w:color="auto" w:fill="auto"/>
            <w:noWrap/>
            <w:vAlign w:val="center"/>
          </w:tcPr>
          <w:p w14:paraId="3F92A50E" w14:textId="77777777" w:rsidR="003F614D" w:rsidRPr="003F614D" w:rsidRDefault="003F614D" w:rsidP="003F614D">
            <w:pPr>
              <w:spacing w:after="0"/>
              <w:jc w:val="center"/>
              <w:rPr>
                <w:rFonts w:cstheme="minorHAnsi"/>
                <w:color w:val="000000"/>
              </w:rPr>
            </w:pPr>
          </w:p>
        </w:tc>
        <w:tc>
          <w:tcPr>
            <w:tcW w:w="234" w:type="pct"/>
            <w:shd w:val="clear" w:color="auto" w:fill="auto"/>
            <w:noWrap/>
            <w:vAlign w:val="center"/>
          </w:tcPr>
          <w:p w14:paraId="77D2D862" w14:textId="77777777" w:rsidR="003F614D" w:rsidRPr="003F614D" w:rsidRDefault="003F614D" w:rsidP="003F614D">
            <w:pPr>
              <w:spacing w:after="0"/>
              <w:jc w:val="center"/>
              <w:rPr>
                <w:rFonts w:cstheme="minorHAnsi"/>
                <w:color w:val="000000"/>
              </w:rPr>
            </w:pPr>
          </w:p>
        </w:tc>
        <w:tc>
          <w:tcPr>
            <w:tcW w:w="235" w:type="pct"/>
            <w:shd w:val="clear" w:color="auto" w:fill="auto"/>
            <w:noWrap/>
            <w:vAlign w:val="center"/>
          </w:tcPr>
          <w:p w14:paraId="6EC420AF" w14:textId="77777777" w:rsidR="003F614D" w:rsidRPr="003F614D" w:rsidRDefault="003F614D" w:rsidP="003F614D">
            <w:pPr>
              <w:spacing w:after="0"/>
              <w:jc w:val="center"/>
              <w:rPr>
                <w:rFonts w:cstheme="minorHAnsi"/>
                <w:color w:val="000000"/>
              </w:rPr>
            </w:pPr>
            <w:r w:rsidRPr="003F614D">
              <w:rPr>
                <w:rFonts w:cstheme="minorHAnsi"/>
                <w:color w:val="000000"/>
              </w:rPr>
              <w:t>5</w:t>
            </w:r>
          </w:p>
        </w:tc>
        <w:tc>
          <w:tcPr>
            <w:tcW w:w="184" w:type="pct"/>
            <w:shd w:val="clear" w:color="auto" w:fill="auto"/>
            <w:noWrap/>
            <w:vAlign w:val="center"/>
          </w:tcPr>
          <w:p w14:paraId="7526C7CA" w14:textId="77777777" w:rsidR="003F614D" w:rsidRPr="003F614D" w:rsidRDefault="003F614D" w:rsidP="003F614D">
            <w:pPr>
              <w:spacing w:after="0"/>
              <w:jc w:val="center"/>
              <w:rPr>
                <w:rFonts w:cstheme="minorHAnsi"/>
                <w:color w:val="000000"/>
              </w:rPr>
            </w:pPr>
          </w:p>
        </w:tc>
        <w:tc>
          <w:tcPr>
            <w:tcW w:w="252" w:type="pct"/>
            <w:shd w:val="clear" w:color="auto" w:fill="auto"/>
            <w:noWrap/>
            <w:vAlign w:val="center"/>
          </w:tcPr>
          <w:p w14:paraId="6BCB9813" w14:textId="77777777" w:rsidR="003F614D" w:rsidRPr="003F614D" w:rsidRDefault="003F614D" w:rsidP="003F614D">
            <w:pPr>
              <w:spacing w:after="0"/>
              <w:jc w:val="center"/>
              <w:rPr>
                <w:rFonts w:cstheme="minorHAnsi"/>
                <w:color w:val="000000"/>
              </w:rPr>
            </w:pPr>
          </w:p>
        </w:tc>
        <w:tc>
          <w:tcPr>
            <w:tcW w:w="279" w:type="pct"/>
            <w:shd w:val="clear" w:color="auto" w:fill="auto"/>
            <w:noWrap/>
            <w:vAlign w:val="center"/>
          </w:tcPr>
          <w:p w14:paraId="7C960F4E" w14:textId="77777777" w:rsidR="003F614D" w:rsidRPr="003F614D" w:rsidRDefault="003F614D" w:rsidP="003F614D">
            <w:pPr>
              <w:spacing w:after="0"/>
              <w:jc w:val="center"/>
              <w:rPr>
                <w:rFonts w:cstheme="minorHAnsi"/>
                <w:color w:val="000000"/>
              </w:rPr>
            </w:pPr>
            <w:r w:rsidRPr="003F614D">
              <w:rPr>
                <w:rFonts w:cstheme="minorHAnsi"/>
                <w:color w:val="000000"/>
              </w:rPr>
              <w:t>2</w:t>
            </w:r>
          </w:p>
        </w:tc>
        <w:tc>
          <w:tcPr>
            <w:tcW w:w="279" w:type="pct"/>
            <w:shd w:val="clear" w:color="auto" w:fill="auto"/>
            <w:noWrap/>
            <w:vAlign w:val="center"/>
          </w:tcPr>
          <w:p w14:paraId="23D60DA9" w14:textId="77777777" w:rsidR="003F614D" w:rsidRPr="003F614D" w:rsidRDefault="003F614D" w:rsidP="003F614D">
            <w:pPr>
              <w:spacing w:after="0"/>
              <w:jc w:val="center"/>
              <w:rPr>
                <w:rFonts w:cstheme="minorHAnsi"/>
                <w:color w:val="000000"/>
              </w:rPr>
            </w:pPr>
            <w:r w:rsidRPr="003F614D">
              <w:rPr>
                <w:rFonts w:cstheme="minorHAnsi"/>
                <w:color w:val="000000"/>
              </w:rPr>
              <w:t>3</w:t>
            </w:r>
          </w:p>
        </w:tc>
        <w:tc>
          <w:tcPr>
            <w:tcW w:w="251" w:type="pct"/>
            <w:vAlign w:val="center"/>
          </w:tcPr>
          <w:p w14:paraId="65D6DCA4" w14:textId="77777777" w:rsidR="003F614D" w:rsidRPr="003F614D" w:rsidRDefault="003F614D" w:rsidP="003F614D">
            <w:pPr>
              <w:spacing w:after="0"/>
              <w:jc w:val="center"/>
              <w:rPr>
                <w:rFonts w:cstheme="minorHAnsi"/>
                <w:color w:val="000000"/>
              </w:rPr>
            </w:pPr>
            <w:r w:rsidRPr="003F614D">
              <w:rPr>
                <w:rFonts w:cstheme="minorHAnsi"/>
                <w:color w:val="000000"/>
              </w:rPr>
              <w:t>4</w:t>
            </w:r>
          </w:p>
        </w:tc>
        <w:tc>
          <w:tcPr>
            <w:tcW w:w="251" w:type="pct"/>
            <w:vAlign w:val="center"/>
          </w:tcPr>
          <w:p w14:paraId="7EDB6E05" w14:textId="77777777" w:rsidR="003F614D" w:rsidRPr="003F614D" w:rsidRDefault="003F614D" w:rsidP="003F614D">
            <w:pPr>
              <w:spacing w:after="0"/>
              <w:jc w:val="center"/>
              <w:rPr>
                <w:rFonts w:cstheme="minorHAnsi"/>
                <w:color w:val="000000"/>
              </w:rPr>
            </w:pPr>
            <w:r w:rsidRPr="003F614D">
              <w:rPr>
                <w:rFonts w:cstheme="minorHAnsi"/>
                <w:color w:val="000000"/>
              </w:rPr>
              <w:t>1</w:t>
            </w:r>
          </w:p>
        </w:tc>
        <w:tc>
          <w:tcPr>
            <w:tcW w:w="251" w:type="pct"/>
            <w:vAlign w:val="center"/>
          </w:tcPr>
          <w:p w14:paraId="4318ABFA" w14:textId="77777777" w:rsidR="003F614D" w:rsidRPr="003F614D" w:rsidRDefault="003F614D" w:rsidP="003F614D">
            <w:pPr>
              <w:spacing w:after="0"/>
              <w:jc w:val="center"/>
              <w:rPr>
                <w:rFonts w:cstheme="minorHAnsi"/>
                <w:color w:val="000000"/>
              </w:rPr>
            </w:pPr>
          </w:p>
        </w:tc>
        <w:tc>
          <w:tcPr>
            <w:tcW w:w="251" w:type="pct"/>
            <w:vAlign w:val="center"/>
          </w:tcPr>
          <w:p w14:paraId="248A80E5" w14:textId="77777777" w:rsidR="003F614D" w:rsidRPr="003F614D" w:rsidRDefault="003F614D" w:rsidP="003F614D">
            <w:pPr>
              <w:spacing w:after="0"/>
              <w:jc w:val="center"/>
              <w:rPr>
                <w:rFonts w:cstheme="minorHAnsi"/>
                <w:color w:val="000000"/>
              </w:rPr>
            </w:pPr>
          </w:p>
        </w:tc>
        <w:tc>
          <w:tcPr>
            <w:tcW w:w="251" w:type="pct"/>
          </w:tcPr>
          <w:p w14:paraId="707F9A52" w14:textId="77777777" w:rsidR="003F614D" w:rsidRPr="003F614D" w:rsidRDefault="003F614D" w:rsidP="003F614D">
            <w:pPr>
              <w:spacing w:after="0"/>
              <w:jc w:val="center"/>
              <w:rPr>
                <w:rFonts w:cstheme="minorHAnsi"/>
                <w:color w:val="000000"/>
              </w:rPr>
            </w:pPr>
          </w:p>
        </w:tc>
        <w:tc>
          <w:tcPr>
            <w:tcW w:w="254" w:type="pct"/>
          </w:tcPr>
          <w:p w14:paraId="6A50206A" w14:textId="77777777" w:rsidR="003F614D" w:rsidRPr="003F614D" w:rsidRDefault="003F614D" w:rsidP="003F614D">
            <w:pPr>
              <w:spacing w:after="0"/>
              <w:jc w:val="center"/>
              <w:rPr>
                <w:rFonts w:cstheme="minorHAnsi"/>
                <w:color w:val="000000"/>
              </w:rPr>
            </w:pPr>
          </w:p>
        </w:tc>
      </w:tr>
      <w:tr w:rsidR="003F614D" w:rsidRPr="002048A7" w14:paraId="3BEA991B" w14:textId="77777777" w:rsidTr="003F614D">
        <w:trPr>
          <w:trHeight w:val="397"/>
        </w:trPr>
        <w:tc>
          <w:tcPr>
            <w:tcW w:w="1484" w:type="pct"/>
            <w:shd w:val="clear" w:color="auto" w:fill="auto"/>
            <w:vAlign w:val="bottom"/>
          </w:tcPr>
          <w:p w14:paraId="3E6AD569" w14:textId="77777777" w:rsidR="003F614D" w:rsidRPr="002048A7" w:rsidRDefault="003F614D" w:rsidP="003F614D">
            <w:pPr>
              <w:spacing w:after="0"/>
              <w:rPr>
                <w:rFonts w:cstheme="minorHAnsi"/>
                <w:color w:val="000000"/>
              </w:rPr>
            </w:pPr>
            <w:r w:rsidRPr="002048A7">
              <w:rPr>
                <w:rFonts w:cstheme="minorHAnsi"/>
                <w:color w:val="000000"/>
              </w:rPr>
              <w:t>Enerji Uzman Yardımcısı</w:t>
            </w:r>
          </w:p>
        </w:tc>
        <w:tc>
          <w:tcPr>
            <w:tcW w:w="308" w:type="pct"/>
            <w:shd w:val="clear" w:color="auto" w:fill="auto"/>
            <w:noWrap/>
            <w:vAlign w:val="center"/>
          </w:tcPr>
          <w:p w14:paraId="2389F6D6" w14:textId="77777777" w:rsidR="003F614D" w:rsidRPr="003F614D" w:rsidRDefault="003F614D" w:rsidP="003F614D">
            <w:pPr>
              <w:spacing w:after="0"/>
              <w:jc w:val="center"/>
              <w:rPr>
                <w:rFonts w:cstheme="minorHAnsi"/>
                <w:color w:val="000000"/>
              </w:rPr>
            </w:pPr>
            <w:r w:rsidRPr="003F614D">
              <w:rPr>
                <w:rFonts w:cstheme="minorHAnsi"/>
                <w:color w:val="000000"/>
              </w:rPr>
              <w:t>2</w:t>
            </w:r>
          </w:p>
        </w:tc>
        <w:tc>
          <w:tcPr>
            <w:tcW w:w="236" w:type="pct"/>
            <w:shd w:val="clear" w:color="auto" w:fill="auto"/>
            <w:noWrap/>
            <w:vAlign w:val="center"/>
          </w:tcPr>
          <w:p w14:paraId="7ECF3379" w14:textId="77777777" w:rsidR="003F614D" w:rsidRPr="003F614D" w:rsidRDefault="003F614D" w:rsidP="003F614D">
            <w:pPr>
              <w:spacing w:after="0"/>
              <w:jc w:val="center"/>
              <w:rPr>
                <w:rFonts w:cstheme="minorHAnsi"/>
                <w:color w:val="000000"/>
              </w:rPr>
            </w:pPr>
          </w:p>
        </w:tc>
        <w:tc>
          <w:tcPr>
            <w:tcW w:w="234" w:type="pct"/>
            <w:shd w:val="clear" w:color="auto" w:fill="auto"/>
            <w:noWrap/>
            <w:vAlign w:val="center"/>
          </w:tcPr>
          <w:p w14:paraId="6DF6B0F3" w14:textId="77777777" w:rsidR="003F614D" w:rsidRPr="003F614D" w:rsidRDefault="003F614D" w:rsidP="003F614D">
            <w:pPr>
              <w:spacing w:after="0"/>
              <w:jc w:val="center"/>
              <w:rPr>
                <w:rFonts w:cstheme="minorHAnsi"/>
                <w:color w:val="000000"/>
              </w:rPr>
            </w:pPr>
          </w:p>
        </w:tc>
        <w:tc>
          <w:tcPr>
            <w:tcW w:w="235" w:type="pct"/>
            <w:shd w:val="clear" w:color="auto" w:fill="auto"/>
            <w:noWrap/>
            <w:vAlign w:val="center"/>
          </w:tcPr>
          <w:p w14:paraId="2BEF4E31" w14:textId="77777777" w:rsidR="003F614D" w:rsidRPr="003F614D" w:rsidRDefault="003F614D" w:rsidP="003F614D">
            <w:pPr>
              <w:spacing w:after="0"/>
              <w:jc w:val="center"/>
              <w:rPr>
                <w:rFonts w:cstheme="minorHAnsi"/>
                <w:color w:val="000000"/>
              </w:rPr>
            </w:pPr>
            <w:r w:rsidRPr="003F614D">
              <w:rPr>
                <w:rFonts w:cstheme="minorHAnsi"/>
                <w:color w:val="000000"/>
              </w:rPr>
              <w:t>2</w:t>
            </w:r>
          </w:p>
        </w:tc>
        <w:tc>
          <w:tcPr>
            <w:tcW w:w="184" w:type="pct"/>
            <w:shd w:val="clear" w:color="auto" w:fill="auto"/>
            <w:noWrap/>
            <w:vAlign w:val="center"/>
          </w:tcPr>
          <w:p w14:paraId="169787A5" w14:textId="77777777" w:rsidR="003F614D" w:rsidRPr="003F614D" w:rsidRDefault="003F614D" w:rsidP="003F614D">
            <w:pPr>
              <w:spacing w:after="0"/>
              <w:jc w:val="center"/>
              <w:rPr>
                <w:rFonts w:cstheme="minorHAnsi"/>
                <w:color w:val="000000"/>
              </w:rPr>
            </w:pPr>
          </w:p>
        </w:tc>
        <w:tc>
          <w:tcPr>
            <w:tcW w:w="252" w:type="pct"/>
            <w:shd w:val="clear" w:color="auto" w:fill="auto"/>
            <w:noWrap/>
            <w:vAlign w:val="center"/>
          </w:tcPr>
          <w:p w14:paraId="4E3B7040" w14:textId="77777777" w:rsidR="003F614D" w:rsidRPr="003F614D" w:rsidRDefault="003F614D" w:rsidP="003F614D">
            <w:pPr>
              <w:spacing w:after="0"/>
              <w:jc w:val="center"/>
              <w:rPr>
                <w:rFonts w:cstheme="minorHAnsi"/>
                <w:color w:val="000000"/>
              </w:rPr>
            </w:pPr>
          </w:p>
        </w:tc>
        <w:tc>
          <w:tcPr>
            <w:tcW w:w="279" w:type="pct"/>
            <w:shd w:val="clear" w:color="auto" w:fill="auto"/>
            <w:noWrap/>
            <w:vAlign w:val="center"/>
          </w:tcPr>
          <w:p w14:paraId="594E20A3" w14:textId="77777777" w:rsidR="003F614D" w:rsidRPr="003F614D" w:rsidRDefault="003F614D" w:rsidP="003F614D">
            <w:pPr>
              <w:spacing w:after="0"/>
              <w:jc w:val="center"/>
              <w:rPr>
                <w:rFonts w:cstheme="minorHAnsi"/>
                <w:color w:val="000000"/>
              </w:rPr>
            </w:pPr>
            <w:r w:rsidRPr="003F614D">
              <w:rPr>
                <w:rFonts w:cstheme="minorHAnsi"/>
                <w:color w:val="000000"/>
              </w:rPr>
              <w:t>1</w:t>
            </w:r>
          </w:p>
        </w:tc>
        <w:tc>
          <w:tcPr>
            <w:tcW w:w="279" w:type="pct"/>
            <w:shd w:val="clear" w:color="auto" w:fill="auto"/>
            <w:noWrap/>
            <w:vAlign w:val="center"/>
          </w:tcPr>
          <w:p w14:paraId="254701CE" w14:textId="77777777" w:rsidR="003F614D" w:rsidRPr="003F614D" w:rsidRDefault="003F614D" w:rsidP="003F614D">
            <w:pPr>
              <w:spacing w:after="0"/>
              <w:jc w:val="center"/>
              <w:rPr>
                <w:rFonts w:cstheme="minorHAnsi"/>
                <w:color w:val="000000"/>
              </w:rPr>
            </w:pPr>
            <w:r w:rsidRPr="003F614D">
              <w:rPr>
                <w:rFonts w:cstheme="minorHAnsi"/>
                <w:color w:val="000000"/>
              </w:rPr>
              <w:t>1</w:t>
            </w:r>
          </w:p>
        </w:tc>
        <w:tc>
          <w:tcPr>
            <w:tcW w:w="251" w:type="pct"/>
            <w:vAlign w:val="center"/>
          </w:tcPr>
          <w:p w14:paraId="301D0797" w14:textId="77777777" w:rsidR="003F614D" w:rsidRPr="003F614D" w:rsidRDefault="003F614D" w:rsidP="003F614D">
            <w:pPr>
              <w:spacing w:after="0"/>
              <w:jc w:val="center"/>
              <w:rPr>
                <w:rFonts w:cstheme="minorHAnsi"/>
                <w:color w:val="000000"/>
              </w:rPr>
            </w:pPr>
            <w:r w:rsidRPr="003F614D">
              <w:rPr>
                <w:rFonts w:cstheme="minorHAnsi"/>
                <w:color w:val="000000"/>
              </w:rPr>
              <w:t>1</w:t>
            </w:r>
          </w:p>
        </w:tc>
        <w:tc>
          <w:tcPr>
            <w:tcW w:w="251" w:type="pct"/>
            <w:vAlign w:val="center"/>
          </w:tcPr>
          <w:p w14:paraId="64B8F7D5" w14:textId="77777777" w:rsidR="003F614D" w:rsidRPr="003F614D" w:rsidRDefault="003F614D" w:rsidP="003F614D">
            <w:pPr>
              <w:spacing w:after="0"/>
              <w:jc w:val="center"/>
              <w:rPr>
                <w:rFonts w:cstheme="minorHAnsi"/>
                <w:color w:val="000000"/>
              </w:rPr>
            </w:pPr>
          </w:p>
        </w:tc>
        <w:tc>
          <w:tcPr>
            <w:tcW w:w="251" w:type="pct"/>
            <w:vAlign w:val="center"/>
          </w:tcPr>
          <w:p w14:paraId="27088743" w14:textId="77777777" w:rsidR="003F614D" w:rsidRPr="003F614D" w:rsidRDefault="003F614D" w:rsidP="003F614D">
            <w:pPr>
              <w:spacing w:after="0"/>
              <w:jc w:val="center"/>
              <w:rPr>
                <w:rFonts w:cstheme="minorHAnsi"/>
                <w:color w:val="000000"/>
              </w:rPr>
            </w:pPr>
            <w:r w:rsidRPr="003F614D">
              <w:rPr>
                <w:rFonts w:cstheme="minorHAnsi"/>
                <w:color w:val="000000"/>
              </w:rPr>
              <w:t>1</w:t>
            </w:r>
          </w:p>
        </w:tc>
        <w:tc>
          <w:tcPr>
            <w:tcW w:w="251" w:type="pct"/>
            <w:vAlign w:val="center"/>
          </w:tcPr>
          <w:p w14:paraId="0D39E9DD" w14:textId="77777777" w:rsidR="003F614D" w:rsidRPr="003F614D" w:rsidRDefault="003F614D" w:rsidP="003F614D">
            <w:pPr>
              <w:spacing w:after="0"/>
              <w:jc w:val="center"/>
              <w:rPr>
                <w:rFonts w:cstheme="minorHAnsi"/>
                <w:color w:val="000000"/>
              </w:rPr>
            </w:pPr>
          </w:p>
        </w:tc>
        <w:tc>
          <w:tcPr>
            <w:tcW w:w="251" w:type="pct"/>
          </w:tcPr>
          <w:p w14:paraId="01CD7292" w14:textId="77777777" w:rsidR="003F614D" w:rsidRPr="003F614D" w:rsidRDefault="003F614D" w:rsidP="003F614D">
            <w:pPr>
              <w:spacing w:after="0"/>
              <w:jc w:val="center"/>
              <w:rPr>
                <w:rFonts w:cstheme="minorHAnsi"/>
                <w:color w:val="000000"/>
              </w:rPr>
            </w:pPr>
          </w:p>
        </w:tc>
        <w:tc>
          <w:tcPr>
            <w:tcW w:w="254" w:type="pct"/>
          </w:tcPr>
          <w:p w14:paraId="41B0EFC1" w14:textId="77777777" w:rsidR="003F614D" w:rsidRPr="003F614D" w:rsidRDefault="003F614D" w:rsidP="003F614D">
            <w:pPr>
              <w:spacing w:after="0"/>
              <w:jc w:val="center"/>
              <w:rPr>
                <w:rFonts w:cstheme="minorHAnsi"/>
                <w:color w:val="000000"/>
              </w:rPr>
            </w:pPr>
          </w:p>
        </w:tc>
      </w:tr>
      <w:tr w:rsidR="003F614D" w:rsidRPr="002048A7" w14:paraId="6C8EB71C" w14:textId="77777777" w:rsidTr="003F614D">
        <w:trPr>
          <w:trHeight w:val="397"/>
        </w:trPr>
        <w:tc>
          <w:tcPr>
            <w:tcW w:w="1484" w:type="pct"/>
            <w:shd w:val="clear" w:color="auto" w:fill="auto"/>
            <w:vAlign w:val="bottom"/>
          </w:tcPr>
          <w:p w14:paraId="3200710F" w14:textId="77777777" w:rsidR="003F614D" w:rsidRPr="002048A7" w:rsidRDefault="003F614D" w:rsidP="003F614D">
            <w:pPr>
              <w:spacing w:after="0"/>
              <w:rPr>
                <w:rFonts w:cstheme="minorHAnsi"/>
                <w:color w:val="000000"/>
              </w:rPr>
            </w:pPr>
            <w:r w:rsidRPr="002048A7">
              <w:rPr>
                <w:rFonts w:cstheme="minorHAnsi"/>
                <w:color w:val="000000"/>
              </w:rPr>
              <w:t>Avukat</w:t>
            </w:r>
          </w:p>
        </w:tc>
        <w:tc>
          <w:tcPr>
            <w:tcW w:w="308" w:type="pct"/>
            <w:shd w:val="clear" w:color="auto" w:fill="auto"/>
            <w:noWrap/>
            <w:vAlign w:val="center"/>
          </w:tcPr>
          <w:p w14:paraId="55FE1487" w14:textId="77777777" w:rsidR="003F614D" w:rsidRPr="003F614D" w:rsidRDefault="003F614D" w:rsidP="003F614D">
            <w:pPr>
              <w:spacing w:after="0"/>
              <w:jc w:val="center"/>
              <w:rPr>
                <w:rFonts w:cstheme="minorHAnsi"/>
                <w:color w:val="000000"/>
              </w:rPr>
            </w:pPr>
            <w:r w:rsidRPr="003F614D">
              <w:rPr>
                <w:rFonts w:cstheme="minorHAnsi"/>
                <w:color w:val="000000"/>
              </w:rPr>
              <w:t>1</w:t>
            </w:r>
          </w:p>
        </w:tc>
        <w:tc>
          <w:tcPr>
            <w:tcW w:w="236" w:type="pct"/>
            <w:shd w:val="clear" w:color="auto" w:fill="auto"/>
            <w:noWrap/>
            <w:vAlign w:val="center"/>
          </w:tcPr>
          <w:p w14:paraId="0F667535" w14:textId="77777777" w:rsidR="003F614D" w:rsidRPr="003F614D" w:rsidRDefault="003F614D" w:rsidP="003F614D">
            <w:pPr>
              <w:spacing w:after="0"/>
              <w:jc w:val="center"/>
              <w:rPr>
                <w:rFonts w:cstheme="minorHAnsi"/>
                <w:color w:val="000000"/>
              </w:rPr>
            </w:pPr>
          </w:p>
        </w:tc>
        <w:tc>
          <w:tcPr>
            <w:tcW w:w="234" w:type="pct"/>
            <w:shd w:val="clear" w:color="auto" w:fill="auto"/>
            <w:noWrap/>
            <w:vAlign w:val="center"/>
          </w:tcPr>
          <w:p w14:paraId="68AB36E3" w14:textId="77777777" w:rsidR="003F614D" w:rsidRPr="003F614D" w:rsidRDefault="003F614D" w:rsidP="003F614D">
            <w:pPr>
              <w:spacing w:after="0"/>
              <w:jc w:val="center"/>
              <w:rPr>
                <w:rFonts w:cstheme="minorHAnsi"/>
                <w:color w:val="000000"/>
              </w:rPr>
            </w:pPr>
          </w:p>
        </w:tc>
        <w:tc>
          <w:tcPr>
            <w:tcW w:w="235" w:type="pct"/>
            <w:shd w:val="clear" w:color="auto" w:fill="auto"/>
            <w:noWrap/>
            <w:vAlign w:val="center"/>
          </w:tcPr>
          <w:p w14:paraId="0B658AFE" w14:textId="77777777" w:rsidR="003F614D" w:rsidRPr="003F614D" w:rsidRDefault="003F614D" w:rsidP="003F614D">
            <w:pPr>
              <w:spacing w:after="0"/>
              <w:jc w:val="center"/>
              <w:rPr>
                <w:rFonts w:cstheme="minorHAnsi"/>
                <w:color w:val="000000"/>
              </w:rPr>
            </w:pPr>
            <w:r w:rsidRPr="003F614D">
              <w:rPr>
                <w:rFonts w:cstheme="minorHAnsi"/>
                <w:color w:val="000000"/>
              </w:rPr>
              <w:t>1</w:t>
            </w:r>
          </w:p>
        </w:tc>
        <w:tc>
          <w:tcPr>
            <w:tcW w:w="184" w:type="pct"/>
            <w:shd w:val="clear" w:color="auto" w:fill="auto"/>
            <w:noWrap/>
            <w:vAlign w:val="center"/>
          </w:tcPr>
          <w:p w14:paraId="5191F4A9" w14:textId="77777777" w:rsidR="003F614D" w:rsidRPr="003F614D" w:rsidRDefault="003F614D" w:rsidP="003F614D">
            <w:pPr>
              <w:spacing w:after="0"/>
              <w:jc w:val="center"/>
              <w:rPr>
                <w:rFonts w:cstheme="minorHAnsi"/>
                <w:color w:val="000000"/>
              </w:rPr>
            </w:pPr>
          </w:p>
        </w:tc>
        <w:tc>
          <w:tcPr>
            <w:tcW w:w="252" w:type="pct"/>
            <w:shd w:val="clear" w:color="auto" w:fill="auto"/>
            <w:noWrap/>
            <w:vAlign w:val="center"/>
          </w:tcPr>
          <w:p w14:paraId="6763CEAF" w14:textId="77777777" w:rsidR="003F614D" w:rsidRPr="003F614D" w:rsidRDefault="003F614D" w:rsidP="003F614D">
            <w:pPr>
              <w:spacing w:after="0"/>
              <w:jc w:val="center"/>
              <w:rPr>
                <w:rFonts w:cstheme="minorHAnsi"/>
                <w:color w:val="000000"/>
              </w:rPr>
            </w:pPr>
          </w:p>
        </w:tc>
        <w:tc>
          <w:tcPr>
            <w:tcW w:w="279" w:type="pct"/>
            <w:shd w:val="clear" w:color="auto" w:fill="auto"/>
            <w:noWrap/>
            <w:vAlign w:val="center"/>
          </w:tcPr>
          <w:p w14:paraId="7AFD00DD" w14:textId="77777777" w:rsidR="003F614D" w:rsidRPr="003F614D" w:rsidRDefault="003F614D" w:rsidP="003F614D">
            <w:pPr>
              <w:spacing w:after="0"/>
              <w:jc w:val="center"/>
              <w:rPr>
                <w:rFonts w:cstheme="minorHAnsi"/>
                <w:color w:val="000000"/>
              </w:rPr>
            </w:pPr>
            <w:r w:rsidRPr="003F614D">
              <w:rPr>
                <w:rFonts w:cstheme="minorHAnsi"/>
                <w:color w:val="000000"/>
              </w:rPr>
              <w:t>1</w:t>
            </w:r>
          </w:p>
        </w:tc>
        <w:tc>
          <w:tcPr>
            <w:tcW w:w="279" w:type="pct"/>
            <w:shd w:val="clear" w:color="auto" w:fill="auto"/>
            <w:noWrap/>
            <w:vAlign w:val="center"/>
          </w:tcPr>
          <w:p w14:paraId="571710B3" w14:textId="77777777" w:rsidR="003F614D" w:rsidRPr="003F614D" w:rsidRDefault="003F614D" w:rsidP="003F614D">
            <w:pPr>
              <w:spacing w:after="0"/>
              <w:jc w:val="center"/>
              <w:rPr>
                <w:rFonts w:cstheme="minorHAnsi"/>
                <w:color w:val="000000"/>
              </w:rPr>
            </w:pPr>
          </w:p>
        </w:tc>
        <w:tc>
          <w:tcPr>
            <w:tcW w:w="251" w:type="pct"/>
            <w:vAlign w:val="center"/>
          </w:tcPr>
          <w:p w14:paraId="2AE88AF4" w14:textId="77777777" w:rsidR="003F614D" w:rsidRPr="003F614D" w:rsidRDefault="003F614D" w:rsidP="003F614D">
            <w:pPr>
              <w:spacing w:after="0"/>
              <w:jc w:val="center"/>
              <w:rPr>
                <w:rFonts w:cstheme="minorHAnsi"/>
                <w:color w:val="000000"/>
              </w:rPr>
            </w:pPr>
          </w:p>
        </w:tc>
        <w:tc>
          <w:tcPr>
            <w:tcW w:w="251" w:type="pct"/>
            <w:vAlign w:val="center"/>
          </w:tcPr>
          <w:p w14:paraId="36278A02" w14:textId="77777777" w:rsidR="003F614D" w:rsidRPr="003F614D" w:rsidRDefault="003F614D" w:rsidP="003F614D">
            <w:pPr>
              <w:spacing w:after="0"/>
              <w:jc w:val="center"/>
              <w:rPr>
                <w:rFonts w:cstheme="minorHAnsi"/>
                <w:color w:val="000000"/>
              </w:rPr>
            </w:pPr>
          </w:p>
        </w:tc>
        <w:tc>
          <w:tcPr>
            <w:tcW w:w="251" w:type="pct"/>
            <w:vAlign w:val="center"/>
          </w:tcPr>
          <w:p w14:paraId="25E640A0" w14:textId="77777777" w:rsidR="003F614D" w:rsidRPr="003F614D" w:rsidRDefault="003F614D" w:rsidP="003F614D">
            <w:pPr>
              <w:spacing w:after="0"/>
              <w:jc w:val="center"/>
              <w:rPr>
                <w:rFonts w:cstheme="minorHAnsi"/>
                <w:color w:val="000000"/>
              </w:rPr>
            </w:pPr>
            <w:r w:rsidRPr="003F614D">
              <w:rPr>
                <w:rFonts w:cstheme="minorHAnsi"/>
                <w:color w:val="000000"/>
              </w:rPr>
              <w:t>1</w:t>
            </w:r>
          </w:p>
        </w:tc>
        <w:tc>
          <w:tcPr>
            <w:tcW w:w="251" w:type="pct"/>
            <w:vAlign w:val="center"/>
          </w:tcPr>
          <w:p w14:paraId="0D4A020F" w14:textId="77777777" w:rsidR="003F614D" w:rsidRPr="003F614D" w:rsidRDefault="003F614D" w:rsidP="003F614D">
            <w:pPr>
              <w:spacing w:after="0"/>
              <w:jc w:val="center"/>
              <w:rPr>
                <w:rFonts w:cstheme="minorHAnsi"/>
                <w:color w:val="000000"/>
              </w:rPr>
            </w:pPr>
          </w:p>
        </w:tc>
        <w:tc>
          <w:tcPr>
            <w:tcW w:w="251" w:type="pct"/>
          </w:tcPr>
          <w:p w14:paraId="6B3DBB4F" w14:textId="77777777" w:rsidR="003F614D" w:rsidRPr="003F614D" w:rsidRDefault="003F614D" w:rsidP="003F614D">
            <w:pPr>
              <w:spacing w:after="0"/>
              <w:jc w:val="center"/>
              <w:rPr>
                <w:rFonts w:cstheme="minorHAnsi"/>
                <w:color w:val="000000"/>
              </w:rPr>
            </w:pPr>
          </w:p>
        </w:tc>
        <w:tc>
          <w:tcPr>
            <w:tcW w:w="254" w:type="pct"/>
          </w:tcPr>
          <w:p w14:paraId="3A47B8F1" w14:textId="77777777" w:rsidR="003F614D" w:rsidRPr="003F614D" w:rsidRDefault="003F614D" w:rsidP="003F614D">
            <w:pPr>
              <w:spacing w:after="0"/>
              <w:jc w:val="center"/>
              <w:rPr>
                <w:rFonts w:cstheme="minorHAnsi"/>
                <w:color w:val="000000"/>
              </w:rPr>
            </w:pPr>
          </w:p>
        </w:tc>
      </w:tr>
      <w:tr w:rsidR="003F614D" w:rsidRPr="002048A7" w14:paraId="2755A367" w14:textId="77777777" w:rsidTr="003F614D">
        <w:trPr>
          <w:trHeight w:val="397"/>
        </w:trPr>
        <w:tc>
          <w:tcPr>
            <w:tcW w:w="1484" w:type="pct"/>
            <w:shd w:val="clear" w:color="auto" w:fill="auto"/>
            <w:vAlign w:val="bottom"/>
          </w:tcPr>
          <w:p w14:paraId="3A13AAE7" w14:textId="77777777" w:rsidR="003F614D" w:rsidRPr="002048A7" w:rsidRDefault="003F614D" w:rsidP="003F614D">
            <w:pPr>
              <w:spacing w:after="0"/>
              <w:rPr>
                <w:rFonts w:cstheme="minorHAnsi"/>
                <w:color w:val="000000"/>
              </w:rPr>
            </w:pPr>
            <w:r w:rsidRPr="002048A7">
              <w:rPr>
                <w:rFonts w:cstheme="minorHAnsi"/>
                <w:color w:val="000000"/>
              </w:rPr>
              <w:t>Mühendis</w:t>
            </w:r>
          </w:p>
        </w:tc>
        <w:tc>
          <w:tcPr>
            <w:tcW w:w="308" w:type="pct"/>
            <w:shd w:val="clear" w:color="auto" w:fill="auto"/>
            <w:noWrap/>
            <w:vAlign w:val="center"/>
          </w:tcPr>
          <w:p w14:paraId="1F9031F7" w14:textId="77777777" w:rsidR="003F614D" w:rsidRPr="003F614D" w:rsidRDefault="003F614D" w:rsidP="003F614D">
            <w:pPr>
              <w:spacing w:after="0"/>
              <w:jc w:val="center"/>
              <w:rPr>
                <w:rFonts w:cstheme="minorHAnsi"/>
                <w:color w:val="000000"/>
              </w:rPr>
            </w:pPr>
            <w:r w:rsidRPr="003F614D">
              <w:rPr>
                <w:rFonts w:cstheme="minorHAnsi"/>
                <w:color w:val="000000"/>
              </w:rPr>
              <w:t>1</w:t>
            </w:r>
          </w:p>
        </w:tc>
        <w:tc>
          <w:tcPr>
            <w:tcW w:w="236" w:type="pct"/>
            <w:shd w:val="clear" w:color="auto" w:fill="auto"/>
            <w:noWrap/>
            <w:vAlign w:val="center"/>
          </w:tcPr>
          <w:p w14:paraId="79D9A698" w14:textId="77777777" w:rsidR="003F614D" w:rsidRPr="003F614D" w:rsidRDefault="003F614D" w:rsidP="003F614D">
            <w:pPr>
              <w:spacing w:after="0"/>
              <w:jc w:val="center"/>
              <w:rPr>
                <w:rFonts w:cstheme="minorHAnsi"/>
                <w:color w:val="000000"/>
              </w:rPr>
            </w:pPr>
          </w:p>
        </w:tc>
        <w:tc>
          <w:tcPr>
            <w:tcW w:w="234" w:type="pct"/>
            <w:shd w:val="clear" w:color="auto" w:fill="auto"/>
            <w:noWrap/>
            <w:vAlign w:val="center"/>
          </w:tcPr>
          <w:p w14:paraId="2DD91B91" w14:textId="77777777" w:rsidR="003F614D" w:rsidRPr="003F614D" w:rsidRDefault="003F614D" w:rsidP="003F614D">
            <w:pPr>
              <w:spacing w:after="0"/>
              <w:jc w:val="center"/>
              <w:rPr>
                <w:rFonts w:cstheme="minorHAnsi"/>
                <w:color w:val="000000"/>
              </w:rPr>
            </w:pPr>
          </w:p>
        </w:tc>
        <w:tc>
          <w:tcPr>
            <w:tcW w:w="235" w:type="pct"/>
            <w:shd w:val="clear" w:color="auto" w:fill="auto"/>
            <w:noWrap/>
            <w:vAlign w:val="center"/>
          </w:tcPr>
          <w:p w14:paraId="7D03575F" w14:textId="77777777" w:rsidR="003F614D" w:rsidRPr="003F614D" w:rsidRDefault="003F614D" w:rsidP="003F614D">
            <w:pPr>
              <w:spacing w:after="0"/>
              <w:jc w:val="center"/>
              <w:rPr>
                <w:rFonts w:cstheme="minorHAnsi"/>
                <w:color w:val="000000"/>
              </w:rPr>
            </w:pPr>
          </w:p>
        </w:tc>
        <w:tc>
          <w:tcPr>
            <w:tcW w:w="184" w:type="pct"/>
            <w:shd w:val="clear" w:color="auto" w:fill="auto"/>
            <w:noWrap/>
            <w:vAlign w:val="center"/>
          </w:tcPr>
          <w:p w14:paraId="043BE594" w14:textId="77777777" w:rsidR="003F614D" w:rsidRPr="003F614D" w:rsidRDefault="003F614D" w:rsidP="003F614D">
            <w:pPr>
              <w:spacing w:after="0"/>
              <w:jc w:val="center"/>
              <w:rPr>
                <w:rFonts w:cstheme="minorHAnsi"/>
                <w:color w:val="000000"/>
              </w:rPr>
            </w:pPr>
            <w:r w:rsidRPr="003F614D">
              <w:rPr>
                <w:rFonts w:cstheme="minorHAnsi"/>
                <w:color w:val="000000"/>
              </w:rPr>
              <w:t>1</w:t>
            </w:r>
          </w:p>
        </w:tc>
        <w:tc>
          <w:tcPr>
            <w:tcW w:w="252" w:type="pct"/>
            <w:shd w:val="clear" w:color="auto" w:fill="auto"/>
            <w:noWrap/>
            <w:vAlign w:val="center"/>
          </w:tcPr>
          <w:p w14:paraId="08E3213B" w14:textId="77777777" w:rsidR="003F614D" w:rsidRPr="003F614D" w:rsidRDefault="003F614D" w:rsidP="003F614D">
            <w:pPr>
              <w:spacing w:after="0"/>
              <w:jc w:val="center"/>
              <w:rPr>
                <w:rFonts w:cstheme="minorHAnsi"/>
                <w:color w:val="000000"/>
              </w:rPr>
            </w:pPr>
          </w:p>
        </w:tc>
        <w:tc>
          <w:tcPr>
            <w:tcW w:w="279" w:type="pct"/>
            <w:shd w:val="clear" w:color="auto" w:fill="auto"/>
            <w:noWrap/>
            <w:vAlign w:val="center"/>
          </w:tcPr>
          <w:p w14:paraId="0C7E8C55" w14:textId="77777777" w:rsidR="003F614D" w:rsidRPr="003F614D" w:rsidRDefault="003F614D" w:rsidP="003F614D">
            <w:pPr>
              <w:spacing w:after="0"/>
              <w:jc w:val="center"/>
              <w:rPr>
                <w:rFonts w:cstheme="minorHAnsi"/>
                <w:color w:val="000000"/>
              </w:rPr>
            </w:pPr>
            <w:r w:rsidRPr="003F614D">
              <w:rPr>
                <w:rFonts w:cstheme="minorHAnsi"/>
                <w:color w:val="000000"/>
              </w:rPr>
              <w:t>1</w:t>
            </w:r>
          </w:p>
        </w:tc>
        <w:tc>
          <w:tcPr>
            <w:tcW w:w="279" w:type="pct"/>
            <w:shd w:val="clear" w:color="auto" w:fill="auto"/>
            <w:noWrap/>
            <w:vAlign w:val="center"/>
          </w:tcPr>
          <w:p w14:paraId="6DDA5FAF" w14:textId="77777777" w:rsidR="003F614D" w:rsidRPr="003F614D" w:rsidRDefault="003F614D" w:rsidP="003F614D">
            <w:pPr>
              <w:spacing w:after="0"/>
              <w:jc w:val="center"/>
              <w:rPr>
                <w:rFonts w:cstheme="minorHAnsi"/>
                <w:color w:val="000000"/>
              </w:rPr>
            </w:pPr>
          </w:p>
        </w:tc>
        <w:tc>
          <w:tcPr>
            <w:tcW w:w="251" w:type="pct"/>
            <w:vAlign w:val="center"/>
          </w:tcPr>
          <w:p w14:paraId="6D95AF5D" w14:textId="77777777" w:rsidR="003F614D" w:rsidRPr="003F614D" w:rsidRDefault="003F614D" w:rsidP="003F614D">
            <w:pPr>
              <w:spacing w:after="0"/>
              <w:jc w:val="center"/>
              <w:rPr>
                <w:rFonts w:cstheme="minorHAnsi"/>
                <w:color w:val="000000"/>
              </w:rPr>
            </w:pPr>
          </w:p>
        </w:tc>
        <w:tc>
          <w:tcPr>
            <w:tcW w:w="251" w:type="pct"/>
            <w:vAlign w:val="center"/>
          </w:tcPr>
          <w:p w14:paraId="2275671E" w14:textId="77777777" w:rsidR="003F614D" w:rsidRPr="003F614D" w:rsidRDefault="003F614D" w:rsidP="003F614D">
            <w:pPr>
              <w:spacing w:after="0"/>
              <w:jc w:val="center"/>
              <w:rPr>
                <w:rFonts w:cstheme="minorHAnsi"/>
                <w:color w:val="000000"/>
              </w:rPr>
            </w:pPr>
            <w:r w:rsidRPr="003F614D">
              <w:rPr>
                <w:rFonts w:cstheme="minorHAnsi"/>
                <w:color w:val="000000"/>
              </w:rPr>
              <w:t>1</w:t>
            </w:r>
          </w:p>
        </w:tc>
        <w:tc>
          <w:tcPr>
            <w:tcW w:w="251" w:type="pct"/>
            <w:vAlign w:val="center"/>
          </w:tcPr>
          <w:p w14:paraId="0D01A5C5" w14:textId="77777777" w:rsidR="003F614D" w:rsidRPr="003F614D" w:rsidRDefault="003F614D" w:rsidP="003F614D">
            <w:pPr>
              <w:spacing w:after="0"/>
              <w:jc w:val="center"/>
              <w:rPr>
                <w:rFonts w:cstheme="minorHAnsi"/>
                <w:color w:val="000000"/>
              </w:rPr>
            </w:pPr>
          </w:p>
        </w:tc>
        <w:tc>
          <w:tcPr>
            <w:tcW w:w="251" w:type="pct"/>
            <w:vAlign w:val="center"/>
          </w:tcPr>
          <w:p w14:paraId="13412F11" w14:textId="77777777" w:rsidR="003F614D" w:rsidRPr="003F614D" w:rsidRDefault="003F614D" w:rsidP="003F614D">
            <w:pPr>
              <w:spacing w:after="0"/>
              <w:jc w:val="center"/>
              <w:rPr>
                <w:rFonts w:cstheme="minorHAnsi"/>
                <w:color w:val="000000"/>
              </w:rPr>
            </w:pPr>
          </w:p>
        </w:tc>
        <w:tc>
          <w:tcPr>
            <w:tcW w:w="251" w:type="pct"/>
          </w:tcPr>
          <w:p w14:paraId="46B75101" w14:textId="77777777" w:rsidR="003F614D" w:rsidRPr="003F614D" w:rsidRDefault="003F614D" w:rsidP="003F614D">
            <w:pPr>
              <w:spacing w:after="0"/>
              <w:jc w:val="center"/>
              <w:rPr>
                <w:rFonts w:cstheme="minorHAnsi"/>
                <w:color w:val="000000"/>
              </w:rPr>
            </w:pPr>
          </w:p>
        </w:tc>
        <w:tc>
          <w:tcPr>
            <w:tcW w:w="254" w:type="pct"/>
          </w:tcPr>
          <w:p w14:paraId="01AB6530" w14:textId="77777777" w:rsidR="003F614D" w:rsidRPr="003F614D" w:rsidRDefault="003F614D" w:rsidP="003F614D">
            <w:pPr>
              <w:spacing w:after="0"/>
              <w:jc w:val="center"/>
              <w:rPr>
                <w:rFonts w:cstheme="minorHAnsi"/>
                <w:color w:val="000000"/>
              </w:rPr>
            </w:pPr>
          </w:p>
        </w:tc>
      </w:tr>
      <w:tr w:rsidR="003F614D" w:rsidRPr="002048A7" w14:paraId="5FDE5B80" w14:textId="77777777" w:rsidTr="003F614D">
        <w:trPr>
          <w:trHeight w:val="397"/>
        </w:trPr>
        <w:tc>
          <w:tcPr>
            <w:tcW w:w="1484" w:type="pct"/>
            <w:shd w:val="clear" w:color="auto" w:fill="auto"/>
            <w:vAlign w:val="bottom"/>
          </w:tcPr>
          <w:p w14:paraId="1B6A6C68" w14:textId="77777777" w:rsidR="003F614D" w:rsidRPr="002048A7" w:rsidRDefault="003F614D" w:rsidP="003F614D">
            <w:pPr>
              <w:spacing w:after="0"/>
              <w:rPr>
                <w:rFonts w:cstheme="minorHAnsi"/>
                <w:color w:val="000000"/>
              </w:rPr>
            </w:pPr>
            <w:r w:rsidRPr="002048A7">
              <w:rPr>
                <w:rFonts w:cstheme="minorHAnsi"/>
                <w:color w:val="000000"/>
              </w:rPr>
              <w:t>Yönetim Hizmetleri Uzmanı</w:t>
            </w:r>
          </w:p>
        </w:tc>
        <w:tc>
          <w:tcPr>
            <w:tcW w:w="308" w:type="pct"/>
            <w:shd w:val="clear" w:color="auto" w:fill="auto"/>
            <w:noWrap/>
            <w:vAlign w:val="center"/>
          </w:tcPr>
          <w:p w14:paraId="5CCD8EEC" w14:textId="77777777" w:rsidR="003F614D" w:rsidRPr="003F614D" w:rsidRDefault="003F614D" w:rsidP="003F614D">
            <w:pPr>
              <w:spacing w:after="0"/>
              <w:jc w:val="center"/>
              <w:rPr>
                <w:rFonts w:cstheme="minorHAnsi"/>
                <w:color w:val="000000"/>
              </w:rPr>
            </w:pPr>
            <w:r w:rsidRPr="003F614D">
              <w:rPr>
                <w:rFonts w:cstheme="minorHAnsi"/>
                <w:color w:val="000000"/>
              </w:rPr>
              <w:t>4</w:t>
            </w:r>
          </w:p>
        </w:tc>
        <w:tc>
          <w:tcPr>
            <w:tcW w:w="236" w:type="pct"/>
            <w:shd w:val="clear" w:color="auto" w:fill="auto"/>
            <w:noWrap/>
            <w:vAlign w:val="center"/>
          </w:tcPr>
          <w:p w14:paraId="54F0D5F7" w14:textId="77777777" w:rsidR="003F614D" w:rsidRPr="003F614D" w:rsidRDefault="003F614D" w:rsidP="003F614D">
            <w:pPr>
              <w:spacing w:after="0"/>
              <w:jc w:val="center"/>
              <w:rPr>
                <w:rFonts w:cstheme="minorHAnsi"/>
                <w:color w:val="000000"/>
              </w:rPr>
            </w:pPr>
          </w:p>
        </w:tc>
        <w:tc>
          <w:tcPr>
            <w:tcW w:w="234" w:type="pct"/>
            <w:shd w:val="clear" w:color="auto" w:fill="auto"/>
            <w:noWrap/>
            <w:vAlign w:val="center"/>
          </w:tcPr>
          <w:p w14:paraId="364D4397" w14:textId="77777777" w:rsidR="003F614D" w:rsidRPr="003F614D" w:rsidRDefault="003F614D" w:rsidP="003F614D">
            <w:pPr>
              <w:spacing w:after="0"/>
              <w:jc w:val="center"/>
              <w:rPr>
                <w:rFonts w:cstheme="minorHAnsi"/>
                <w:color w:val="000000"/>
              </w:rPr>
            </w:pPr>
          </w:p>
        </w:tc>
        <w:tc>
          <w:tcPr>
            <w:tcW w:w="235" w:type="pct"/>
            <w:shd w:val="clear" w:color="auto" w:fill="auto"/>
            <w:noWrap/>
            <w:vAlign w:val="center"/>
          </w:tcPr>
          <w:p w14:paraId="4D26D00C" w14:textId="77777777" w:rsidR="003F614D" w:rsidRPr="003F614D" w:rsidRDefault="003F614D" w:rsidP="003F614D">
            <w:pPr>
              <w:spacing w:after="0"/>
              <w:jc w:val="center"/>
              <w:rPr>
                <w:rFonts w:cstheme="minorHAnsi"/>
                <w:color w:val="000000"/>
              </w:rPr>
            </w:pPr>
            <w:r w:rsidRPr="003F614D">
              <w:rPr>
                <w:rFonts w:cstheme="minorHAnsi"/>
                <w:color w:val="000000"/>
              </w:rPr>
              <w:t>3</w:t>
            </w:r>
          </w:p>
        </w:tc>
        <w:tc>
          <w:tcPr>
            <w:tcW w:w="184" w:type="pct"/>
            <w:shd w:val="clear" w:color="auto" w:fill="auto"/>
            <w:noWrap/>
            <w:vAlign w:val="center"/>
          </w:tcPr>
          <w:p w14:paraId="65082E2E" w14:textId="77777777" w:rsidR="003F614D" w:rsidRPr="003F614D" w:rsidRDefault="003F614D" w:rsidP="003F614D">
            <w:pPr>
              <w:spacing w:after="0"/>
              <w:jc w:val="center"/>
              <w:rPr>
                <w:rFonts w:cstheme="minorHAnsi"/>
                <w:color w:val="000000"/>
              </w:rPr>
            </w:pPr>
            <w:r w:rsidRPr="003F614D">
              <w:rPr>
                <w:rFonts w:cstheme="minorHAnsi"/>
                <w:color w:val="000000"/>
              </w:rPr>
              <w:t>1</w:t>
            </w:r>
          </w:p>
        </w:tc>
        <w:tc>
          <w:tcPr>
            <w:tcW w:w="252" w:type="pct"/>
            <w:shd w:val="clear" w:color="auto" w:fill="auto"/>
            <w:noWrap/>
            <w:vAlign w:val="center"/>
          </w:tcPr>
          <w:p w14:paraId="05E0820A" w14:textId="77777777" w:rsidR="003F614D" w:rsidRPr="003F614D" w:rsidRDefault="003F614D" w:rsidP="003F614D">
            <w:pPr>
              <w:spacing w:after="0"/>
              <w:jc w:val="center"/>
              <w:rPr>
                <w:rFonts w:cstheme="minorHAnsi"/>
                <w:color w:val="000000"/>
              </w:rPr>
            </w:pPr>
          </w:p>
        </w:tc>
        <w:tc>
          <w:tcPr>
            <w:tcW w:w="279" w:type="pct"/>
            <w:shd w:val="clear" w:color="auto" w:fill="auto"/>
            <w:noWrap/>
            <w:vAlign w:val="center"/>
          </w:tcPr>
          <w:p w14:paraId="10E97F9E" w14:textId="77777777" w:rsidR="003F614D" w:rsidRPr="003F614D" w:rsidRDefault="003F614D" w:rsidP="003F614D">
            <w:pPr>
              <w:spacing w:after="0"/>
              <w:jc w:val="center"/>
              <w:rPr>
                <w:rFonts w:cstheme="minorHAnsi"/>
                <w:color w:val="000000"/>
              </w:rPr>
            </w:pPr>
            <w:r w:rsidRPr="003F614D">
              <w:rPr>
                <w:rFonts w:cstheme="minorHAnsi"/>
                <w:color w:val="000000"/>
              </w:rPr>
              <w:t>2</w:t>
            </w:r>
          </w:p>
        </w:tc>
        <w:tc>
          <w:tcPr>
            <w:tcW w:w="279" w:type="pct"/>
            <w:shd w:val="clear" w:color="auto" w:fill="auto"/>
            <w:noWrap/>
            <w:vAlign w:val="center"/>
          </w:tcPr>
          <w:p w14:paraId="68D19CE6" w14:textId="77777777" w:rsidR="003F614D" w:rsidRPr="003F614D" w:rsidRDefault="003F614D" w:rsidP="003F614D">
            <w:pPr>
              <w:spacing w:after="0"/>
              <w:jc w:val="center"/>
              <w:rPr>
                <w:rFonts w:cstheme="minorHAnsi"/>
                <w:color w:val="000000"/>
              </w:rPr>
            </w:pPr>
            <w:r w:rsidRPr="003F614D">
              <w:rPr>
                <w:rFonts w:cstheme="minorHAnsi"/>
                <w:color w:val="000000"/>
              </w:rPr>
              <w:t>2</w:t>
            </w:r>
          </w:p>
        </w:tc>
        <w:tc>
          <w:tcPr>
            <w:tcW w:w="251" w:type="pct"/>
            <w:vAlign w:val="center"/>
          </w:tcPr>
          <w:p w14:paraId="4C7D0EDA" w14:textId="77777777" w:rsidR="003F614D" w:rsidRPr="003F614D" w:rsidRDefault="003F614D" w:rsidP="003F614D">
            <w:pPr>
              <w:spacing w:after="0"/>
              <w:jc w:val="center"/>
              <w:rPr>
                <w:rFonts w:cstheme="minorHAnsi"/>
                <w:color w:val="000000"/>
              </w:rPr>
            </w:pPr>
          </w:p>
        </w:tc>
        <w:tc>
          <w:tcPr>
            <w:tcW w:w="251" w:type="pct"/>
            <w:vAlign w:val="center"/>
          </w:tcPr>
          <w:p w14:paraId="74AF9F3A" w14:textId="77777777" w:rsidR="003F614D" w:rsidRPr="003F614D" w:rsidRDefault="003F614D" w:rsidP="003F614D">
            <w:pPr>
              <w:spacing w:after="0"/>
              <w:jc w:val="center"/>
              <w:rPr>
                <w:rFonts w:cstheme="minorHAnsi"/>
                <w:color w:val="000000"/>
              </w:rPr>
            </w:pPr>
            <w:r w:rsidRPr="003F614D">
              <w:rPr>
                <w:rFonts w:cstheme="minorHAnsi"/>
                <w:color w:val="000000"/>
              </w:rPr>
              <w:t>4</w:t>
            </w:r>
          </w:p>
        </w:tc>
        <w:tc>
          <w:tcPr>
            <w:tcW w:w="251" w:type="pct"/>
            <w:vAlign w:val="center"/>
          </w:tcPr>
          <w:p w14:paraId="107C72B4" w14:textId="77777777" w:rsidR="003F614D" w:rsidRPr="003F614D" w:rsidRDefault="003F614D" w:rsidP="003F614D">
            <w:pPr>
              <w:spacing w:after="0"/>
              <w:jc w:val="center"/>
              <w:rPr>
                <w:rFonts w:cstheme="minorHAnsi"/>
                <w:color w:val="000000"/>
              </w:rPr>
            </w:pPr>
          </w:p>
        </w:tc>
        <w:tc>
          <w:tcPr>
            <w:tcW w:w="251" w:type="pct"/>
            <w:vAlign w:val="center"/>
          </w:tcPr>
          <w:p w14:paraId="114915F8" w14:textId="77777777" w:rsidR="003F614D" w:rsidRPr="003F614D" w:rsidRDefault="003F614D" w:rsidP="003F614D">
            <w:pPr>
              <w:spacing w:after="0"/>
              <w:jc w:val="center"/>
              <w:rPr>
                <w:rFonts w:cstheme="minorHAnsi"/>
                <w:color w:val="000000"/>
              </w:rPr>
            </w:pPr>
          </w:p>
        </w:tc>
        <w:tc>
          <w:tcPr>
            <w:tcW w:w="251" w:type="pct"/>
          </w:tcPr>
          <w:p w14:paraId="3BDC95DF" w14:textId="77777777" w:rsidR="003F614D" w:rsidRPr="003F614D" w:rsidRDefault="003F614D" w:rsidP="003F614D">
            <w:pPr>
              <w:spacing w:after="0"/>
              <w:jc w:val="center"/>
              <w:rPr>
                <w:rFonts w:cstheme="minorHAnsi"/>
                <w:color w:val="000000"/>
              </w:rPr>
            </w:pPr>
          </w:p>
        </w:tc>
        <w:tc>
          <w:tcPr>
            <w:tcW w:w="254" w:type="pct"/>
          </w:tcPr>
          <w:p w14:paraId="186E707E" w14:textId="77777777" w:rsidR="003F614D" w:rsidRPr="003F614D" w:rsidRDefault="003F614D" w:rsidP="003F614D">
            <w:pPr>
              <w:spacing w:after="0"/>
              <w:jc w:val="center"/>
              <w:rPr>
                <w:rFonts w:cstheme="minorHAnsi"/>
                <w:color w:val="000000"/>
              </w:rPr>
            </w:pPr>
          </w:p>
        </w:tc>
      </w:tr>
      <w:tr w:rsidR="003F614D" w:rsidRPr="002048A7" w14:paraId="6EB57C72" w14:textId="77777777" w:rsidTr="003F614D">
        <w:trPr>
          <w:trHeight w:val="397"/>
        </w:trPr>
        <w:tc>
          <w:tcPr>
            <w:tcW w:w="1484" w:type="pct"/>
            <w:shd w:val="clear" w:color="auto" w:fill="auto"/>
            <w:vAlign w:val="bottom"/>
          </w:tcPr>
          <w:p w14:paraId="70693382" w14:textId="77777777" w:rsidR="003F614D" w:rsidRPr="002048A7" w:rsidRDefault="003F614D" w:rsidP="003F614D">
            <w:pPr>
              <w:spacing w:after="0"/>
              <w:rPr>
                <w:rFonts w:cstheme="minorHAnsi"/>
                <w:color w:val="000000"/>
              </w:rPr>
            </w:pPr>
            <w:r>
              <w:rPr>
                <w:rFonts w:cstheme="minorHAnsi"/>
                <w:color w:val="000000"/>
              </w:rPr>
              <w:t>Yönetim</w:t>
            </w:r>
            <w:r w:rsidRPr="002048A7">
              <w:rPr>
                <w:rFonts w:cstheme="minorHAnsi"/>
                <w:color w:val="000000"/>
              </w:rPr>
              <w:t xml:space="preserve"> Görevlisi</w:t>
            </w:r>
          </w:p>
        </w:tc>
        <w:tc>
          <w:tcPr>
            <w:tcW w:w="308" w:type="pct"/>
            <w:shd w:val="clear" w:color="auto" w:fill="auto"/>
            <w:noWrap/>
            <w:vAlign w:val="center"/>
          </w:tcPr>
          <w:p w14:paraId="0EEA05A7" w14:textId="77777777" w:rsidR="003F614D" w:rsidRPr="003F614D" w:rsidRDefault="003F614D" w:rsidP="003F614D">
            <w:pPr>
              <w:spacing w:after="0"/>
              <w:jc w:val="center"/>
              <w:rPr>
                <w:rFonts w:cstheme="minorHAnsi"/>
                <w:color w:val="000000"/>
              </w:rPr>
            </w:pPr>
            <w:r w:rsidRPr="003F614D">
              <w:rPr>
                <w:rFonts w:cstheme="minorHAnsi"/>
                <w:color w:val="000000"/>
              </w:rPr>
              <w:t>1</w:t>
            </w:r>
          </w:p>
        </w:tc>
        <w:tc>
          <w:tcPr>
            <w:tcW w:w="236" w:type="pct"/>
            <w:shd w:val="clear" w:color="auto" w:fill="auto"/>
            <w:noWrap/>
            <w:vAlign w:val="center"/>
          </w:tcPr>
          <w:p w14:paraId="42E7A239" w14:textId="77777777" w:rsidR="003F614D" w:rsidRPr="003F614D" w:rsidRDefault="003F614D" w:rsidP="003F614D">
            <w:pPr>
              <w:spacing w:after="0"/>
              <w:jc w:val="center"/>
              <w:rPr>
                <w:rFonts w:cstheme="minorHAnsi"/>
                <w:color w:val="000000"/>
              </w:rPr>
            </w:pPr>
          </w:p>
        </w:tc>
        <w:tc>
          <w:tcPr>
            <w:tcW w:w="234" w:type="pct"/>
            <w:shd w:val="clear" w:color="auto" w:fill="auto"/>
            <w:noWrap/>
            <w:vAlign w:val="center"/>
          </w:tcPr>
          <w:p w14:paraId="4B473448" w14:textId="77777777" w:rsidR="003F614D" w:rsidRPr="003F614D" w:rsidRDefault="003F614D" w:rsidP="003F614D">
            <w:pPr>
              <w:spacing w:after="0"/>
              <w:jc w:val="center"/>
              <w:rPr>
                <w:rFonts w:cstheme="minorHAnsi"/>
                <w:color w:val="000000"/>
              </w:rPr>
            </w:pPr>
          </w:p>
        </w:tc>
        <w:tc>
          <w:tcPr>
            <w:tcW w:w="235" w:type="pct"/>
            <w:shd w:val="clear" w:color="auto" w:fill="auto"/>
            <w:noWrap/>
            <w:vAlign w:val="center"/>
          </w:tcPr>
          <w:p w14:paraId="05AD8441" w14:textId="77777777" w:rsidR="003F614D" w:rsidRPr="003F614D" w:rsidRDefault="003F614D" w:rsidP="003F614D">
            <w:pPr>
              <w:spacing w:after="0"/>
              <w:jc w:val="center"/>
              <w:rPr>
                <w:rFonts w:cstheme="minorHAnsi"/>
                <w:color w:val="000000"/>
              </w:rPr>
            </w:pPr>
          </w:p>
        </w:tc>
        <w:tc>
          <w:tcPr>
            <w:tcW w:w="184" w:type="pct"/>
            <w:shd w:val="clear" w:color="auto" w:fill="auto"/>
            <w:noWrap/>
            <w:vAlign w:val="center"/>
          </w:tcPr>
          <w:p w14:paraId="6CB759C6" w14:textId="77777777" w:rsidR="003F614D" w:rsidRPr="003F614D" w:rsidRDefault="003F614D" w:rsidP="003F614D">
            <w:pPr>
              <w:spacing w:after="0"/>
              <w:jc w:val="center"/>
              <w:rPr>
                <w:rFonts w:cstheme="minorHAnsi"/>
                <w:color w:val="000000"/>
              </w:rPr>
            </w:pPr>
            <w:r w:rsidRPr="003F614D">
              <w:rPr>
                <w:rFonts w:cstheme="minorHAnsi"/>
                <w:color w:val="000000"/>
              </w:rPr>
              <w:t>1</w:t>
            </w:r>
          </w:p>
        </w:tc>
        <w:tc>
          <w:tcPr>
            <w:tcW w:w="252" w:type="pct"/>
            <w:shd w:val="clear" w:color="auto" w:fill="auto"/>
            <w:noWrap/>
            <w:vAlign w:val="center"/>
          </w:tcPr>
          <w:p w14:paraId="50FBE88E" w14:textId="77777777" w:rsidR="003F614D" w:rsidRPr="003F614D" w:rsidRDefault="003F614D" w:rsidP="003F614D">
            <w:pPr>
              <w:spacing w:after="0"/>
              <w:jc w:val="center"/>
              <w:rPr>
                <w:rFonts w:cstheme="minorHAnsi"/>
                <w:color w:val="000000"/>
              </w:rPr>
            </w:pPr>
          </w:p>
        </w:tc>
        <w:tc>
          <w:tcPr>
            <w:tcW w:w="279" w:type="pct"/>
            <w:shd w:val="clear" w:color="auto" w:fill="auto"/>
            <w:noWrap/>
            <w:vAlign w:val="center"/>
          </w:tcPr>
          <w:p w14:paraId="6B157184" w14:textId="77777777" w:rsidR="003F614D" w:rsidRPr="003F614D" w:rsidRDefault="003F614D" w:rsidP="003F614D">
            <w:pPr>
              <w:spacing w:after="0"/>
              <w:jc w:val="center"/>
              <w:rPr>
                <w:rFonts w:cstheme="minorHAnsi"/>
                <w:color w:val="000000"/>
              </w:rPr>
            </w:pPr>
            <w:r w:rsidRPr="003F614D">
              <w:rPr>
                <w:rFonts w:cstheme="minorHAnsi"/>
                <w:color w:val="000000"/>
              </w:rPr>
              <w:t>1</w:t>
            </w:r>
          </w:p>
        </w:tc>
        <w:tc>
          <w:tcPr>
            <w:tcW w:w="279" w:type="pct"/>
            <w:shd w:val="clear" w:color="auto" w:fill="auto"/>
            <w:noWrap/>
            <w:vAlign w:val="center"/>
          </w:tcPr>
          <w:p w14:paraId="30B0BE4E" w14:textId="77777777" w:rsidR="003F614D" w:rsidRPr="003F614D" w:rsidRDefault="003F614D" w:rsidP="003F614D">
            <w:pPr>
              <w:spacing w:after="0"/>
              <w:jc w:val="center"/>
              <w:rPr>
                <w:rFonts w:cstheme="minorHAnsi"/>
                <w:color w:val="000000"/>
              </w:rPr>
            </w:pPr>
          </w:p>
        </w:tc>
        <w:tc>
          <w:tcPr>
            <w:tcW w:w="251" w:type="pct"/>
            <w:vAlign w:val="center"/>
          </w:tcPr>
          <w:p w14:paraId="078178CD" w14:textId="77777777" w:rsidR="003F614D" w:rsidRPr="003F614D" w:rsidRDefault="003F614D" w:rsidP="003F614D">
            <w:pPr>
              <w:spacing w:after="0"/>
              <w:jc w:val="center"/>
              <w:rPr>
                <w:rFonts w:cstheme="minorHAnsi"/>
                <w:color w:val="000000"/>
              </w:rPr>
            </w:pPr>
          </w:p>
        </w:tc>
        <w:tc>
          <w:tcPr>
            <w:tcW w:w="251" w:type="pct"/>
            <w:vAlign w:val="center"/>
          </w:tcPr>
          <w:p w14:paraId="0D04085F" w14:textId="77777777" w:rsidR="003F614D" w:rsidRPr="003F614D" w:rsidRDefault="003F614D" w:rsidP="003F614D">
            <w:pPr>
              <w:spacing w:after="0"/>
              <w:jc w:val="center"/>
              <w:rPr>
                <w:rFonts w:cstheme="minorHAnsi"/>
                <w:color w:val="000000"/>
              </w:rPr>
            </w:pPr>
            <w:r w:rsidRPr="003F614D">
              <w:rPr>
                <w:rFonts w:cstheme="minorHAnsi"/>
                <w:color w:val="000000"/>
              </w:rPr>
              <w:t>1</w:t>
            </w:r>
          </w:p>
        </w:tc>
        <w:tc>
          <w:tcPr>
            <w:tcW w:w="251" w:type="pct"/>
            <w:vAlign w:val="center"/>
          </w:tcPr>
          <w:p w14:paraId="6EC1EB51" w14:textId="77777777" w:rsidR="003F614D" w:rsidRPr="003F614D" w:rsidRDefault="003F614D" w:rsidP="003F614D">
            <w:pPr>
              <w:spacing w:after="0"/>
              <w:jc w:val="center"/>
              <w:rPr>
                <w:rFonts w:cstheme="minorHAnsi"/>
                <w:color w:val="000000"/>
              </w:rPr>
            </w:pPr>
          </w:p>
        </w:tc>
        <w:tc>
          <w:tcPr>
            <w:tcW w:w="251" w:type="pct"/>
            <w:vAlign w:val="center"/>
          </w:tcPr>
          <w:p w14:paraId="206D7538" w14:textId="77777777" w:rsidR="003F614D" w:rsidRPr="003F614D" w:rsidRDefault="003F614D" w:rsidP="003F614D">
            <w:pPr>
              <w:spacing w:after="0"/>
              <w:jc w:val="center"/>
              <w:rPr>
                <w:rFonts w:cstheme="minorHAnsi"/>
                <w:color w:val="000000"/>
              </w:rPr>
            </w:pPr>
          </w:p>
        </w:tc>
        <w:tc>
          <w:tcPr>
            <w:tcW w:w="251" w:type="pct"/>
          </w:tcPr>
          <w:p w14:paraId="2236A350" w14:textId="77777777" w:rsidR="003F614D" w:rsidRPr="003F614D" w:rsidRDefault="003F614D" w:rsidP="003F614D">
            <w:pPr>
              <w:spacing w:after="0"/>
              <w:jc w:val="center"/>
              <w:rPr>
                <w:rFonts w:cstheme="minorHAnsi"/>
                <w:color w:val="000000"/>
              </w:rPr>
            </w:pPr>
          </w:p>
        </w:tc>
        <w:tc>
          <w:tcPr>
            <w:tcW w:w="254" w:type="pct"/>
          </w:tcPr>
          <w:p w14:paraId="2523EFDB" w14:textId="77777777" w:rsidR="003F614D" w:rsidRPr="003F614D" w:rsidRDefault="003F614D" w:rsidP="003F614D">
            <w:pPr>
              <w:spacing w:after="0"/>
              <w:jc w:val="center"/>
              <w:rPr>
                <w:rFonts w:cstheme="minorHAnsi"/>
                <w:color w:val="000000"/>
              </w:rPr>
            </w:pPr>
          </w:p>
        </w:tc>
      </w:tr>
      <w:tr w:rsidR="00771960" w:rsidRPr="002048A7" w14:paraId="2E29EAAC" w14:textId="77777777" w:rsidTr="003F614D">
        <w:trPr>
          <w:trHeight w:val="397"/>
        </w:trPr>
        <w:tc>
          <w:tcPr>
            <w:tcW w:w="1484" w:type="pct"/>
            <w:shd w:val="clear" w:color="auto" w:fill="auto"/>
            <w:vAlign w:val="bottom"/>
          </w:tcPr>
          <w:p w14:paraId="43742417" w14:textId="77777777" w:rsidR="00771960" w:rsidRPr="002048A7" w:rsidRDefault="00771960" w:rsidP="00771960">
            <w:pPr>
              <w:spacing w:after="0"/>
              <w:rPr>
                <w:rFonts w:cstheme="minorHAnsi"/>
                <w:b/>
              </w:rPr>
            </w:pPr>
            <w:r w:rsidRPr="002048A7">
              <w:rPr>
                <w:rFonts w:cstheme="minorHAnsi"/>
                <w:b/>
              </w:rPr>
              <w:t>TOPLAM</w:t>
            </w:r>
          </w:p>
        </w:tc>
        <w:tc>
          <w:tcPr>
            <w:tcW w:w="308" w:type="pct"/>
            <w:shd w:val="clear" w:color="auto" w:fill="auto"/>
            <w:noWrap/>
            <w:vAlign w:val="center"/>
          </w:tcPr>
          <w:p w14:paraId="599957CD" w14:textId="77777777" w:rsidR="00771960" w:rsidRPr="002048A7" w:rsidRDefault="003F614D" w:rsidP="00771960">
            <w:pPr>
              <w:spacing w:after="0"/>
              <w:jc w:val="center"/>
              <w:rPr>
                <w:rFonts w:cstheme="minorHAnsi"/>
                <w:b/>
              </w:rPr>
            </w:pPr>
            <w:r>
              <w:rPr>
                <w:rFonts w:cstheme="minorHAnsi"/>
                <w:b/>
              </w:rPr>
              <w:t>2</w:t>
            </w:r>
            <w:r w:rsidR="00771960" w:rsidRPr="002048A7">
              <w:rPr>
                <w:rFonts w:cstheme="minorHAnsi"/>
                <w:b/>
              </w:rPr>
              <w:t>0</w:t>
            </w:r>
          </w:p>
        </w:tc>
        <w:tc>
          <w:tcPr>
            <w:tcW w:w="236" w:type="pct"/>
            <w:shd w:val="clear" w:color="auto" w:fill="auto"/>
            <w:noWrap/>
            <w:vAlign w:val="center"/>
          </w:tcPr>
          <w:p w14:paraId="6ACA3E51" w14:textId="77777777" w:rsidR="00771960" w:rsidRPr="002048A7" w:rsidRDefault="00771960" w:rsidP="00771960">
            <w:pPr>
              <w:spacing w:after="0"/>
              <w:jc w:val="center"/>
              <w:rPr>
                <w:rFonts w:cstheme="minorHAnsi"/>
                <w:b/>
              </w:rPr>
            </w:pPr>
          </w:p>
        </w:tc>
        <w:tc>
          <w:tcPr>
            <w:tcW w:w="234" w:type="pct"/>
            <w:shd w:val="clear" w:color="auto" w:fill="auto"/>
            <w:noWrap/>
            <w:vAlign w:val="center"/>
          </w:tcPr>
          <w:p w14:paraId="6BC5AA60" w14:textId="77777777" w:rsidR="00771960" w:rsidRPr="002048A7" w:rsidRDefault="00771960" w:rsidP="00771960">
            <w:pPr>
              <w:spacing w:after="0"/>
              <w:jc w:val="center"/>
              <w:rPr>
                <w:rFonts w:cstheme="minorHAnsi"/>
                <w:b/>
              </w:rPr>
            </w:pPr>
            <w:r w:rsidRPr="002048A7">
              <w:rPr>
                <w:rFonts w:cstheme="minorHAnsi"/>
                <w:b/>
              </w:rPr>
              <w:t>1</w:t>
            </w:r>
          </w:p>
        </w:tc>
        <w:tc>
          <w:tcPr>
            <w:tcW w:w="235" w:type="pct"/>
            <w:shd w:val="clear" w:color="auto" w:fill="auto"/>
            <w:noWrap/>
            <w:vAlign w:val="center"/>
          </w:tcPr>
          <w:p w14:paraId="192615F2" w14:textId="77777777" w:rsidR="00771960" w:rsidRPr="002048A7" w:rsidRDefault="00771960" w:rsidP="00771960">
            <w:pPr>
              <w:spacing w:after="0"/>
              <w:jc w:val="center"/>
              <w:rPr>
                <w:rFonts w:cstheme="minorHAnsi"/>
                <w:b/>
              </w:rPr>
            </w:pPr>
            <w:r w:rsidRPr="002048A7">
              <w:rPr>
                <w:rFonts w:cstheme="minorHAnsi"/>
                <w:b/>
              </w:rPr>
              <w:t>1</w:t>
            </w:r>
            <w:r w:rsidR="003F614D">
              <w:rPr>
                <w:rFonts w:cstheme="minorHAnsi"/>
                <w:b/>
              </w:rPr>
              <w:t>4</w:t>
            </w:r>
          </w:p>
        </w:tc>
        <w:tc>
          <w:tcPr>
            <w:tcW w:w="184" w:type="pct"/>
            <w:shd w:val="clear" w:color="auto" w:fill="auto"/>
            <w:noWrap/>
            <w:vAlign w:val="center"/>
          </w:tcPr>
          <w:p w14:paraId="65249C22" w14:textId="77777777" w:rsidR="00771960" w:rsidRPr="002048A7" w:rsidRDefault="003F614D" w:rsidP="00771960">
            <w:pPr>
              <w:spacing w:after="0"/>
              <w:rPr>
                <w:rFonts w:cstheme="minorHAnsi"/>
                <w:b/>
              </w:rPr>
            </w:pPr>
            <w:r>
              <w:rPr>
                <w:rFonts w:cstheme="minorHAnsi"/>
                <w:b/>
              </w:rPr>
              <w:t>5</w:t>
            </w:r>
          </w:p>
        </w:tc>
        <w:tc>
          <w:tcPr>
            <w:tcW w:w="252" w:type="pct"/>
            <w:shd w:val="clear" w:color="auto" w:fill="auto"/>
            <w:noWrap/>
            <w:vAlign w:val="center"/>
          </w:tcPr>
          <w:p w14:paraId="4886BF89" w14:textId="77777777" w:rsidR="00771960" w:rsidRPr="002048A7" w:rsidRDefault="00771960" w:rsidP="00771960">
            <w:pPr>
              <w:spacing w:after="0"/>
              <w:jc w:val="center"/>
              <w:rPr>
                <w:rFonts w:cstheme="minorHAnsi"/>
                <w:b/>
              </w:rPr>
            </w:pPr>
          </w:p>
        </w:tc>
        <w:tc>
          <w:tcPr>
            <w:tcW w:w="279" w:type="pct"/>
            <w:shd w:val="clear" w:color="auto" w:fill="auto"/>
            <w:noWrap/>
            <w:vAlign w:val="center"/>
          </w:tcPr>
          <w:p w14:paraId="746EB5EB" w14:textId="77777777" w:rsidR="00771960" w:rsidRPr="002048A7" w:rsidRDefault="003F614D" w:rsidP="00771960">
            <w:pPr>
              <w:spacing w:after="0"/>
              <w:jc w:val="center"/>
              <w:rPr>
                <w:rFonts w:cstheme="minorHAnsi"/>
                <w:b/>
              </w:rPr>
            </w:pPr>
            <w:r>
              <w:rPr>
                <w:rFonts w:cstheme="minorHAnsi"/>
                <w:b/>
              </w:rPr>
              <w:t>8</w:t>
            </w:r>
          </w:p>
        </w:tc>
        <w:tc>
          <w:tcPr>
            <w:tcW w:w="279" w:type="pct"/>
            <w:shd w:val="clear" w:color="auto" w:fill="auto"/>
            <w:noWrap/>
            <w:vAlign w:val="center"/>
          </w:tcPr>
          <w:p w14:paraId="5645FFB1" w14:textId="77777777" w:rsidR="00771960" w:rsidRPr="002048A7" w:rsidRDefault="003F614D" w:rsidP="00771960">
            <w:pPr>
              <w:spacing w:after="0"/>
              <w:jc w:val="center"/>
              <w:rPr>
                <w:rFonts w:cstheme="minorHAnsi"/>
                <w:b/>
              </w:rPr>
            </w:pPr>
            <w:r>
              <w:rPr>
                <w:rFonts w:cstheme="minorHAnsi"/>
                <w:b/>
              </w:rPr>
              <w:t>12</w:t>
            </w:r>
          </w:p>
        </w:tc>
        <w:tc>
          <w:tcPr>
            <w:tcW w:w="251" w:type="pct"/>
            <w:vAlign w:val="center"/>
          </w:tcPr>
          <w:p w14:paraId="566F04F0" w14:textId="77777777" w:rsidR="00771960" w:rsidRPr="002048A7" w:rsidRDefault="003F614D" w:rsidP="00771960">
            <w:pPr>
              <w:spacing w:after="0"/>
              <w:jc w:val="center"/>
              <w:rPr>
                <w:rFonts w:cstheme="minorHAnsi"/>
                <w:b/>
              </w:rPr>
            </w:pPr>
            <w:r>
              <w:rPr>
                <w:rFonts w:cstheme="minorHAnsi"/>
                <w:b/>
              </w:rPr>
              <w:t>7</w:t>
            </w:r>
          </w:p>
        </w:tc>
        <w:tc>
          <w:tcPr>
            <w:tcW w:w="251" w:type="pct"/>
            <w:vAlign w:val="center"/>
          </w:tcPr>
          <w:p w14:paraId="7C1D4AA5" w14:textId="77777777" w:rsidR="00771960" w:rsidRPr="002048A7" w:rsidRDefault="00771960" w:rsidP="00771960">
            <w:pPr>
              <w:spacing w:after="0"/>
              <w:jc w:val="center"/>
              <w:rPr>
                <w:rFonts w:cstheme="minorHAnsi"/>
                <w:b/>
              </w:rPr>
            </w:pPr>
            <w:r w:rsidRPr="002048A7">
              <w:rPr>
                <w:rFonts w:cstheme="minorHAnsi"/>
                <w:b/>
              </w:rPr>
              <w:t>11</w:t>
            </w:r>
          </w:p>
        </w:tc>
        <w:tc>
          <w:tcPr>
            <w:tcW w:w="251" w:type="pct"/>
            <w:vAlign w:val="center"/>
          </w:tcPr>
          <w:p w14:paraId="0AC58585" w14:textId="77777777" w:rsidR="00771960" w:rsidRPr="002048A7" w:rsidRDefault="003F614D" w:rsidP="00771960">
            <w:pPr>
              <w:spacing w:after="0"/>
              <w:jc w:val="center"/>
              <w:rPr>
                <w:rFonts w:cstheme="minorHAnsi"/>
                <w:b/>
              </w:rPr>
            </w:pPr>
            <w:r>
              <w:rPr>
                <w:rFonts w:cstheme="minorHAnsi"/>
                <w:b/>
              </w:rPr>
              <w:t>2</w:t>
            </w:r>
          </w:p>
        </w:tc>
        <w:tc>
          <w:tcPr>
            <w:tcW w:w="251" w:type="pct"/>
            <w:vAlign w:val="center"/>
          </w:tcPr>
          <w:p w14:paraId="569FF03E" w14:textId="77777777" w:rsidR="00771960" w:rsidRPr="002048A7" w:rsidRDefault="00771960" w:rsidP="00771960">
            <w:pPr>
              <w:spacing w:after="0"/>
              <w:jc w:val="center"/>
              <w:rPr>
                <w:rFonts w:cstheme="minorHAnsi"/>
                <w:b/>
              </w:rPr>
            </w:pPr>
          </w:p>
        </w:tc>
        <w:tc>
          <w:tcPr>
            <w:tcW w:w="251" w:type="pct"/>
            <w:vAlign w:val="center"/>
          </w:tcPr>
          <w:p w14:paraId="50D06BD0" w14:textId="77777777" w:rsidR="00771960" w:rsidRPr="002048A7" w:rsidRDefault="00771960" w:rsidP="00771960">
            <w:pPr>
              <w:spacing w:after="0"/>
              <w:jc w:val="center"/>
              <w:rPr>
                <w:rFonts w:cstheme="minorHAnsi"/>
                <w:b/>
              </w:rPr>
            </w:pPr>
          </w:p>
        </w:tc>
        <w:tc>
          <w:tcPr>
            <w:tcW w:w="254" w:type="pct"/>
            <w:vAlign w:val="center"/>
          </w:tcPr>
          <w:p w14:paraId="66C4FCFA" w14:textId="77777777" w:rsidR="00771960" w:rsidRPr="002048A7" w:rsidRDefault="00771960" w:rsidP="00771960">
            <w:pPr>
              <w:spacing w:after="0"/>
              <w:jc w:val="center"/>
              <w:rPr>
                <w:rFonts w:cstheme="minorHAnsi"/>
                <w:b/>
              </w:rPr>
            </w:pPr>
          </w:p>
        </w:tc>
      </w:tr>
    </w:tbl>
    <w:p w14:paraId="191C98E3" w14:textId="77777777" w:rsidR="00FF24CA" w:rsidRPr="002048A7" w:rsidRDefault="00FF24CA" w:rsidP="00FF24CA">
      <w:pPr>
        <w:rPr>
          <w:rFonts w:ascii="Calibri" w:hAnsi="Calibri"/>
        </w:rPr>
      </w:pPr>
      <w:r w:rsidRPr="002048A7">
        <w:rPr>
          <w:rFonts w:ascii="Calibri" w:hAnsi="Calibri"/>
          <w:i/>
        </w:rPr>
        <w:t>Sürekli işçi kadrosunda yer alan personel hariçtir.</w:t>
      </w:r>
    </w:p>
    <w:p w14:paraId="7921EC1E" w14:textId="77777777" w:rsidR="00FF24CA" w:rsidRPr="002048A7" w:rsidRDefault="00FF24CA" w:rsidP="00FF24CA">
      <w:pPr>
        <w:spacing w:after="0"/>
      </w:pPr>
    </w:p>
    <w:p w14:paraId="256C28D2" w14:textId="77777777" w:rsidR="00FF24CA" w:rsidRPr="002048A7" w:rsidRDefault="00FF24CA" w:rsidP="00FF24CA">
      <w:r w:rsidRPr="002048A7">
        <w:t>Kurumun kadro unvan ve sayıları ile 202</w:t>
      </w:r>
      <w:r w:rsidR="003F614D">
        <w:t>4</w:t>
      </w:r>
      <w:r w:rsidRPr="002048A7">
        <w:t xml:space="preserve"> yılı sonu itibarıyla istihdam edilen </w:t>
      </w:r>
      <w:r w:rsidR="00771960" w:rsidRPr="002048A7">
        <w:t>5</w:t>
      </w:r>
      <w:r w:rsidR="003F614D">
        <w:t>90</w:t>
      </w:r>
      <w:r w:rsidRPr="002048A7">
        <w:t xml:space="preserve"> adet kadrolu personele ilişkin bilgiler Tablo 13.3’te yer almaktadır.</w:t>
      </w:r>
    </w:p>
    <w:p w14:paraId="4166C5BF" w14:textId="77777777" w:rsidR="00771960" w:rsidRPr="002048A7" w:rsidRDefault="00771960" w:rsidP="00771960">
      <w:pPr>
        <w:pStyle w:val="Balk5"/>
        <w:spacing w:before="120"/>
        <w:jc w:val="center"/>
        <w:rPr>
          <w:rFonts w:asciiTheme="minorHAnsi" w:hAnsiTheme="minorHAnsi" w:cstheme="minorHAnsi"/>
          <w:b/>
          <w:color w:val="auto"/>
        </w:rPr>
      </w:pPr>
      <w:bookmarkStart w:id="437" w:name="_Toc129192022"/>
      <w:bookmarkStart w:id="438" w:name="_Toc195868877"/>
      <w:r w:rsidRPr="002048A7">
        <w:rPr>
          <w:rFonts w:asciiTheme="minorHAnsi" w:hAnsiTheme="minorHAnsi" w:cstheme="minorHAnsi"/>
          <w:b/>
          <w:color w:val="auto"/>
        </w:rPr>
        <w:t>Tablo 13.3:  Kurum Personeli Kadro Dağılımı</w:t>
      </w:r>
      <w:bookmarkEnd w:id="437"/>
      <w:bookmarkEnd w:id="438"/>
      <w:r w:rsidRPr="002048A7">
        <w:rPr>
          <w:rFonts w:asciiTheme="minorHAnsi" w:hAnsiTheme="minorHAnsi" w:cstheme="minorHAnsi"/>
          <w:b/>
          <w:color w:val="auto"/>
        </w:rPr>
        <w:t xml:space="preserve"> </w:t>
      </w:r>
    </w:p>
    <w:tbl>
      <w:tblPr>
        <w:tblW w:w="5081" w:type="pct"/>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left w:w="70" w:type="dxa"/>
          <w:right w:w="70" w:type="dxa"/>
        </w:tblCellMar>
        <w:tblLook w:val="0000" w:firstRow="0" w:lastRow="0" w:firstColumn="0" w:lastColumn="0" w:noHBand="0" w:noVBand="0"/>
      </w:tblPr>
      <w:tblGrid>
        <w:gridCol w:w="3127"/>
        <w:gridCol w:w="1022"/>
        <w:gridCol w:w="880"/>
        <w:gridCol w:w="596"/>
        <w:gridCol w:w="596"/>
        <w:gridCol w:w="596"/>
        <w:gridCol w:w="596"/>
        <w:gridCol w:w="596"/>
        <w:gridCol w:w="705"/>
        <w:gridCol w:w="639"/>
        <w:gridCol w:w="719"/>
      </w:tblGrid>
      <w:tr w:rsidR="00771960" w:rsidRPr="002048A7" w14:paraId="7931FB74" w14:textId="77777777" w:rsidTr="003F614D">
        <w:trPr>
          <w:trHeight w:val="227"/>
          <w:tblHeader/>
        </w:trPr>
        <w:tc>
          <w:tcPr>
            <w:tcW w:w="1552" w:type="pct"/>
            <w:vMerge w:val="restart"/>
            <w:shd w:val="clear" w:color="auto" w:fill="6E9ECA"/>
            <w:noWrap/>
            <w:vAlign w:val="center"/>
          </w:tcPr>
          <w:p w14:paraId="1EBD18D7" w14:textId="77777777" w:rsidR="00771960" w:rsidRPr="002048A7" w:rsidRDefault="00771960" w:rsidP="00771960">
            <w:pPr>
              <w:spacing w:after="0"/>
              <w:jc w:val="center"/>
              <w:rPr>
                <w:rFonts w:cstheme="minorHAnsi"/>
                <w:b/>
                <w:bCs/>
                <w:color w:val="FFFFFF"/>
              </w:rPr>
            </w:pPr>
            <w:r w:rsidRPr="002048A7">
              <w:rPr>
                <w:rFonts w:cstheme="minorHAnsi"/>
                <w:b/>
                <w:bCs/>
                <w:color w:val="FFFFFF"/>
              </w:rPr>
              <w:t>KADRO UNVANLARI</w:t>
            </w:r>
          </w:p>
        </w:tc>
        <w:tc>
          <w:tcPr>
            <w:tcW w:w="507" w:type="pct"/>
            <w:vMerge w:val="restart"/>
            <w:shd w:val="clear" w:color="auto" w:fill="6E9ECA"/>
            <w:vAlign w:val="center"/>
          </w:tcPr>
          <w:p w14:paraId="576EAB86" w14:textId="77777777" w:rsidR="00771960" w:rsidRPr="002048A7" w:rsidRDefault="00771960" w:rsidP="00771960">
            <w:pPr>
              <w:spacing w:after="0"/>
              <w:jc w:val="center"/>
              <w:rPr>
                <w:rFonts w:cstheme="minorHAnsi"/>
                <w:b/>
                <w:bCs/>
                <w:color w:val="FFFFFF"/>
              </w:rPr>
            </w:pPr>
            <w:r w:rsidRPr="002048A7">
              <w:rPr>
                <w:rFonts w:cstheme="minorHAnsi"/>
                <w:b/>
                <w:bCs/>
                <w:color w:val="FFFFFF"/>
              </w:rPr>
              <w:t xml:space="preserve">TOPLAM KADRO </w:t>
            </w:r>
            <w:r w:rsidRPr="002048A7">
              <w:rPr>
                <w:rFonts w:cstheme="minorHAnsi"/>
                <w:b/>
                <w:bCs/>
                <w:color w:val="FFFFFF"/>
              </w:rPr>
              <w:br/>
              <w:t>SAYISI</w:t>
            </w:r>
          </w:p>
        </w:tc>
        <w:tc>
          <w:tcPr>
            <w:tcW w:w="437" w:type="pct"/>
            <w:vMerge w:val="restart"/>
            <w:shd w:val="clear" w:color="auto" w:fill="6E9ECA"/>
            <w:vAlign w:val="center"/>
          </w:tcPr>
          <w:p w14:paraId="4BB70F18" w14:textId="77777777" w:rsidR="00771960" w:rsidRPr="002048A7" w:rsidRDefault="00771960" w:rsidP="00771960">
            <w:pPr>
              <w:spacing w:after="0"/>
              <w:jc w:val="center"/>
              <w:rPr>
                <w:rFonts w:cstheme="minorHAnsi"/>
                <w:b/>
                <w:bCs/>
                <w:color w:val="FFFFFF"/>
              </w:rPr>
            </w:pPr>
            <w:r w:rsidRPr="002048A7">
              <w:rPr>
                <w:rFonts w:cstheme="minorHAnsi"/>
                <w:b/>
                <w:bCs/>
                <w:color w:val="FFFFFF"/>
              </w:rPr>
              <w:t xml:space="preserve">DOLU KADRO </w:t>
            </w:r>
            <w:r w:rsidRPr="002048A7">
              <w:rPr>
                <w:rFonts w:cstheme="minorHAnsi"/>
                <w:b/>
                <w:bCs/>
                <w:color w:val="FFFFFF"/>
              </w:rPr>
              <w:br/>
              <w:t>SAYISI</w:t>
            </w:r>
          </w:p>
        </w:tc>
        <w:tc>
          <w:tcPr>
            <w:tcW w:w="1829" w:type="pct"/>
            <w:gridSpan w:val="6"/>
            <w:shd w:val="clear" w:color="auto" w:fill="6E9ECA"/>
            <w:vAlign w:val="center"/>
          </w:tcPr>
          <w:p w14:paraId="48CAD646" w14:textId="77777777" w:rsidR="00771960" w:rsidRPr="002048A7" w:rsidRDefault="00771960" w:rsidP="00771960">
            <w:pPr>
              <w:spacing w:after="0"/>
              <w:jc w:val="center"/>
              <w:rPr>
                <w:rFonts w:cstheme="minorHAnsi"/>
                <w:b/>
                <w:bCs/>
                <w:color w:val="FFFFFF"/>
              </w:rPr>
            </w:pPr>
            <w:r w:rsidRPr="002048A7">
              <w:rPr>
                <w:rFonts w:cstheme="minorHAnsi"/>
                <w:b/>
                <w:bCs/>
                <w:color w:val="FFFFFF"/>
              </w:rPr>
              <w:t>ÖĞRENİM DURUMU</w:t>
            </w:r>
          </w:p>
        </w:tc>
        <w:tc>
          <w:tcPr>
            <w:tcW w:w="674" w:type="pct"/>
            <w:gridSpan w:val="2"/>
            <w:shd w:val="clear" w:color="auto" w:fill="6E9ECA"/>
            <w:noWrap/>
            <w:vAlign w:val="center"/>
          </w:tcPr>
          <w:p w14:paraId="288B0B01" w14:textId="77777777" w:rsidR="00771960" w:rsidRPr="002048A7" w:rsidRDefault="00771960" w:rsidP="00771960">
            <w:pPr>
              <w:spacing w:after="0"/>
              <w:jc w:val="center"/>
              <w:rPr>
                <w:rFonts w:cstheme="minorHAnsi"/>
                <w:b/>
                <w:bCs/>
                <w:color w:val="FFFFFF"/>
              </w:rPr>
            </w:pPr>
            <w:r w:rsidRPr="002048A7">
              <w:rPr>
                <w:rFonts w:cstheme="minorHAnsi"/>
                <w:b/>
                <w:bCs/>
                <w:color w:val="FFFFFF"/>
              </w:rPr>
              <w:t>CİNSİYETİ</w:t>
            </w:r>
          </w:p>
        </w:tc>
      </w:tr>
      <w:tr w:rsidR="00771960" w:rsidRPr="002048A7" w14:paraId="69B7765D" w14:textId="77777777" w:rsidTr="003F614D">
        <w:trPr>
          <w:trHeight w:val="1549"/>
          <w:tblHeader/>
        </w:trPr>
        <w:tc>
          <w:tcPr>
            <w:tcW w:w="1552" w:type="pct"/>
            <w:vMerge/>
            <w:shd w:val="clear" w:color="auto" w:fill="6E9ECA"/>
            <w:vAlign w:val="center"/>
          </w:tcPr>
          <w:p w14:paraId="0D888608" w14:textId="77777777" w:rsidR="00771960" w:rsidRPr="002048A7" w:rsidRDefault="00771960" w:rsidP="00771960">
            <w:pPr>
              <w:spacing w:after="0"/>
              <w:rPr>
                <w:rFonts w:cstheme="minorHAnsi"/>
                <w:b/>
                <w:bCs/>
                <w:color w:val="FFFFFF"/>
              </w:rPr>
            </w:pPr>
          </w:p>
        </w:tc>
        <w:tc>
          <w:tcPr>
            <w:tcW w:w="507" w:type="pct"/>
            <w:vMerge/>
            <w:shd w:val="clear" w:color="auto" w:fill="6E9ECA"/>
            <w:vAlign w:val="center"/>
          </w:tcPr>
          <w:p w14:paraId="498AA22B" w14:textId="77777777" w:rsidR="00771960" w:rsidRPr="002048A7" w:rsidRDefault="00771960" w:rsidP="00771960">
            <w:pPr>
              <w:spacing w:after="0"/>
              <w:jc w:val="center"/>
              <w:rPr>
                <w:rFonts w:cstheme="minorHAnsi"/>
                <w:b/>
                <w:bCs/>
                <w:color w:val="FFFFFF"/>
              </w:rPr>
            </w:pPr>
          </w:p>
        </w:tc>
        <w:tc>
          <w:tcPr>
            <w:tcW w:w="437" w:type="pct"/>
            <w:vMerge/>
            <w:shd w:val="clear" w:color="auto" w:fill="6E9ECA"/>
            <w:vAlign w:val="center"/>
          </w:tcPr>
          <w:p w14:paraId="667C2D7A" w14:textId="77777777" w:rsidR="00771960" w:rsidRPr="002048A7" w:rsidRDefault="00771960" w:rsidP="00771960">
            <w:pPr>
              <w:spacing w:after="0"/>
              <w:jc w:val="center"/>
              <w:rPr>
                <w:rFonts w:cstheme="minorHAnsi"/>
                <w:b/>
                <w:bCs/>
                <w:color w:val="FFFFFF"/>
              </w:rPr>
            </w:pPr>
          </w:p>
        </w:tc>
        <w:tc>
          <w:tcPr>
            <w:tcW w:w="296" w:type="pct"/>
            <w:shd w:val="clear" w:color="auto" w:fill="6E9ECA"/>
            <w:noWrap/>
            <w:textDirection w:val="btLr"/>
            <w:vAlign w:val="center"/>
          </w:tcPr>
          <w:p w14:paraId="44E983B4" w14:textId="77777777" w:rsidR="00771960" w:rsidRPr="002048A7" w:rsidRDefault="00771960" w:rsidP="00771960">
            <w:pPr>
              <w:spacing w:after="0"/>
              <w:jc w:val="center"/>
              <w:rPr>
                <w:rFonts w:cstheme="minorHAnsi"/>
                <w:b/>
                <w:bCs/>
                <w:color w:val="FFFFFF"/>
              </w:rPr>
            </w:pPr>
            <w:r w:rsidRPr="002048A7">
              <w:rPr>
                <w:rFonts w:cstheme="minorHAnsi"/>
                <w:b/>
                <w:bCs/>
                <w:color w:val="FFFFFF"/>
              </w:rPr>
              <w:t>İLKÖĞRETİM</w:t>
            </w:r>
          </w:p>
        </w:tc>
        <w:tc>
          <w:tcPr>
            <w:tcW w:w="296" w:type="pct"/>
            <w:shd w:val="clear" w:color="auto" w:fill="6E9ECA"/>
            <w:textDirection w:val="btLr"/>
            <w:vAlign w:val="center"/>
          </w:tcPr>
          <w:p w14:paraId="4D6E56D3" w14:textId="77777777" w:rsidR="00771960" w:rsidRPr="002048A7" w:rsidRDefault="00771960" w:rsidP="00771960">
            <w:pPr>
              <w:spacing w:after="0"/>
              <w:jc w:val="center"/>
              <w:rPr>
                <w:rFonts w:cstheme="minorHAnsi"/>
                <w:b/>
                <w:bCs/>
                <w:color w:val="FFFFFF"/>
              </w:rPr>
            </w:pPr>
            <w:r w:rsidRPr="002048A7">
              <w:rPr>
                <w:rFonts w:cstheme="minorHAnsi"/>
                <w:b/>
                <w:bCs/>
                <w:color w:val="FFFFFF"/>
              </w:rPr>
              <w:t>ORTAÖĞRETİM</w:t>
            </w:r>
          </w:p>
        </w:tc>
        <w:tc>
          <w:tcPr>
            <w:tcW w:w="296" w:type="pct"/>
            <w:shd w:val="clear" w:color="auto" w:fill="6E9ECA"/>
            <w:textDirection w:val="btLr"/>
            <w:vAlign w:val="center"/>
          </w:tcPr>
          <w:p w14:paraId="1D05AC9A" w14:textId="77777777" w:rsidR="00771960" w:rsidRPr="002048A7" w:rsidRDefault="00771960" w:rsidP="00771960">
            <w:pPr>
              <w:spacing w:after="0"/>
              <w:jc w:val="center"/>
              <w:rPr>
                <w:rFonts w:cstheme="minorHAnsi"/>
                <w:b/>
                <w:bCs/>
                <w:color w:val="FFFFFF"/>
              </w:rPr>
            </w:pPr>
            <w:r w:rsidRPr="002048A7">
              <w:rPr>
                <w:rFonts w:cstheme="minorHAnsi"/>
                <w:b/>
                <w:bCs/>
                <w:color w:val="FFFFFF"/>
              </w:rPr>
              <w:t>ÖNLİSANS</w:t>
            </w:r>
          </w:p>
        </w:tc>
        <w:tc>
          <w:tcPr>
            <w:tcW w:w="296" w:type="pct"/>
            <w:shd w:val="clear" w:color="auto" w:fill="6E9ECA"/>
            <w:textDirection w:val="btLr"/>
            <w:vAlign w:val="center"/>
          </w:tcPr>
          <w:p w14:paraId="7DBB6283" w14:textId="77777777" w:rsidR="00771960" w:rsidRPr="002048A7" w:rsidRDefault="00771960" w:rsidP="00771960">
            <w:pPr>
              <w:spacing w:after="0"/>
              <w:jc w:val="center"/>
              <w:rPr>
                <w:rFonts w:cstheme="minorHAnsi"/>
                <w:b/>
                <w:bCs/>
                <w:color w:val="FFFFFF"/>
              </w:rPr>
            </w:pPr>
            <w:r w:rsidRPr="002048A7">
              <w:rPr>
                <w:rFonts w:cstheme="minorHAnsi"/>
                <w:b/>
                <w:bCs/>
                <w:color w:val="FFFFFF"/>
              </w:rPr>
              <w:t>LİSANS</w:t>
            </w:r>
          </w:p>
        </w:tc>
        <w:tc>
          <w:tcPr>
            <w:tcW w:w="296" w:type="pct"/>
            <w:shd w:val="clear" w:color="auto" w:fill="6E9ECA"/>
            <w:textDirection w:val="btLr"/>
            <w:vAlign w:val="center"/>
          </w:tcPr>
          <w:p w14:paraId="18BF423D" w14:textId="77777777" w:rsidR="00771960" w:rsidRPr="002048A7" w:rsidRDefault="00771960" w:rsidP="00771960">
            <w:pPr>
              <w:spacing w:after="0"/>
              <w:jc w:val="center"/>
              <w:rPr>
                <w:rFonts w:cstheme="minorHAnsi"/>
                <w:b/>
                <w:bCs/>
                <w:color w:val="FFFFFF"/>
              </w:rPr>
            </w:pPr>
            <w:r w:rsidRPr="002048A7">
              <w:rPr>
                <w:rFonts w:cstheme="minorHAnsi"/>
                <w:b/>
                <w:bCs/>
                <w:color w:val="FFFFFF"/>
              </w:rPr>
              <w:t>MASTER</w:t>
            </w:r>
          </w:p>
        </w:tc>
        <w:tc>
          <w:tcPr>
            <w:tcW w:w="350" w:type="pct"/>
            <w:shd w:val="clear" w:color="auto" w:fill="6E9ECA"/>
            <w:textDirection w:val="btLr"/>
            <w:vAlign w:val="center"/>
          </w:tcPr>
          <w:p w14:paraId="7C5CE15E" w14:textId="77777777" w:rsidR="00771960" w:rsidRPr="002048A7" w:rsidRDefault="00771960" w:rsidP="00771960">
            <w:pPr>
              <w:spacing w:after="0"/>
              <w:jc w:val="center"/>
              <w:rPr>
                <w:rFonts w:cstheme="minorHAnsi"/>
                <w:b/>
                <w:bCs/>
                <w:color w:val="FFFFFF"/>
              </w:rPr>
            </w:pPr>
            <w:r w:rsidRPr="002048A7">
              <w:rPr>
                <w:rFonts w:cstheme="minorHAnsi"/>
                <w:b/>
                <w:bCs/>
                <w:color w:val="FFFFFF"/>
              </w:rPr>
              <w:t>DOKTORA</w:t>
            </w:r>
          </w:p>
        </w:tc>
        <w:tc>
          <w:tcPr>
            <w:tcW w:w="317" w:type="pct"/>
            <w:shd w:val="clear" w:color="auto" w:fill="6E9ECA"/>
            <w:textDirection w:val="btLr"/>
            <w:vAlign w:val="center"/>
          </w:tcPr>
          <w:p w14:paraId="123ED0BB" w14:textId="77777777" w:rsidR="00771960" w:rsidRPr="002048A7" w:rsidRDefault="00771960" w:rsidP="00771960">
            <w:pPr>
              <w:spacing w:after="0"/>
              <w:jc w:val="center"/>
              <w:rPr>
                <w:rFonts w:cstheme="minorHAnsi"/>
                <w:b/>
                <w:bCs/>
                <w:color w:val="FFFFFF"/>
              </w:rPr>
            </w:pPr>
            <w:r w:rsidRPr="002048A7">
              <w:rPr>
                <w:rFonts w:cstheme="minorHAnsi"/>
                <w:b/>
                <w:bCs/>
                <w:color w:val="FFFFFF"/>
              </w:rPr>
              <w:t>KADIN</w:t>
            </w:r>
          </w:p>
        </w:tc>
        <w:tc>
          <w:tcPr>
            <w:tcW w:w="357" w:type="pct"/>
            <w:shd w:val="clear" w:color="auto" w:fill="6E9ECA"/>
            <w:textDirection w:val="btLr"/>
            <w:vAlign w:val="center"/>
          </w:tcPr>
          <w:p w14:paraId="0EDA59E6" w14:textId="77777777" w:rsidR="00771960" w:rsidRPr="002048A7" w:rsidRDefault="00771960" w:rsidP="00771960">
            <w:pPr>
              <w:spacing w:after="0"/>
              <w:jc w:val="center"/>
              <w:rPr>
                <w:rFonts w:cstheme="minorHAnsi"/>
                <w:b/>
                <w:bCs/>
                <w:color w:val="FFFFFF"/>
              </w:rPr>
            </w:pPr>
            <w:r w:rsidRPr="002048A7">
              <w:rPr>
                <w:rFonts w:cstheme="minorHAnsi"/>
                <w:b/>
                <w:bCs/>
                <w:color w:val="FFFFFF"/>
              </w:rPr>
              <w:t>ERKEK</w:t>
            </w:r>
          </w:p>
        </w:tc>
      </w:tr>
      <w:tr w:rsidR="00771960" w:rsidRPr="002048A7" w14:paraId="71D639D4" w14:textId="77777777" w:rsidTr="003F614D">
        <w:trPr>
          <w:trHeight w:val="227"/>
        </w:trPr>
        <w:tc>
          <w:tcPr>
            <w:tcW w:w="1552" w:type="pct"/>
            <w:shd w:val="clear" w:color="auto" w:fill="auto"/>
            <w:noWrap/>
            <w:vAlign w:val="center"/>
          </w:tcPr>
          <w:p w14:paraId="3E44B543" w14:textId="77777777" w:rsidR="00771960" w:rsidRPr="002048A7" w:rsidRDefault="00771960" w:rsidP="00771960">
            <w:pPr>
              <w:spacing w:after="0"/>
              <w:rPr>
                <w:rFonts w:cstheme="minorHAnsi"/>
                <w:color w:val="000000"/>
              </w:rPr>
            </w:pPr>
            <w:r w:rsidRPr="002048A7">
              <w:rPr>
                <w:rFonts w:cstheme="minorHAnsi"/>
                <w:color w:val="000000"/>
              </w:rPr>
              <w:t>Başkan Yardımcısı</w:t>
            </w:r>
          </w:p>
        </w:tc>
        <w:tc>
          <w:tcPr>
            <w:tcW w:w="507" w:type="pct"/>
            <w:shd w:val="clear" w:color="auto" w:fill="auto"/>
            <w:noWrap/>
            <w:vAlign w:val="center"/>
          </w:tcPr>
          <w:p w14:paraId="6CEA9F42" w14:textId="77777777" w:rsidR="00771960" w:rsidRPr="002048A7" w:rsidRDefault="00771960" w:rsidP="00771960">
            <w:pPr>
              <w:spacing w:after="0"/>
              <w:jc w:val="center"/>
              <w:rPr>
                <w:rFonts w:cstheme="minorHAnsi"/>
                <w:color w:val="000000"/>
              </w:rPr>
            </w:pPr>
            <w:r w:rsidRPr="002048A7">
              <w:rPr>
                <w:rFonts w:cstheme="minorHAnsi"/>
                <w:color w:val="000000"/>
              </w:rPr>
              <w:t>3</w:t>
            </w:r>
          </w:p>
        </w:tc>
        <w:tc>
          <w:tcPr>
            <w:tcW w:w="437" w:type="pct"/>
            <w:shd w:val="clear" w:color="auto" w:fill="auto"/>
            <w:noWrap/>
            <w:vAlign w:val="center"/>
          </w:tcPr>
          <w:p w14:paraId="7FEC9199" w14:textId="77777777" w:rsidR="00771960" w:rsidRPr="002048A7" w:rsidRDefault="00771960" w:rsidP="00771960">
            <w:pPr>
              <w:spacing w:after="0"/>
              <w:jc w:val="center"/>
              <w:rPr>
                <w:rFonts w:cstheme="minorHAnsi"/>
                <w:color w:val="000000"/>
              </w:rPr>
            </w:pPr>
            <w:r w:rsidRPr="002048A7">
              <w:rPr>
                <w:rFonts w:cstheme="minorHAnsi"/>
                <w:color w:val="000000"/>
              </w:rPr>
              <w:t>3</w:t>
            </w:r>
          </w:p>
        </w:tc>
        <w:tc>
          <w:tcPr>
            <w:tcW w:w="296" w:type="pct"/>
            <w:shd w:val="clear" w:color="auto" w:fill="auto"/>
            <w:noWrap/>
            <w:vAlign w:val="center"/>
          </w:tcPr>
          <w:p w14:paraId="319A86B4" w14:textId="77777777" w:rsidR="00771960" w:rsidRPr="002048A7" w:rsidRDefault="00771960" w:rsidP="00771960">
            <w:pPr>
              <w:spacing w:after="0"/>
              <w:jc w:val="center"/>
              <w:rPr>
                <w:rFonts w:cstheme="minorHAnsi"/>
                <w:color w:val="000000"/>
              </w:rPr>
            </w:pPr>
          </w:p>
        </w:tc>
        <w:tc>
          <w:tcPr>
            <w:tcW w:w="296" w:type="pct"/>
            <w:vAlign w:val="center"/>
          </w:tcPr>
          <w:p w14:paraId="102E856E"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63C17EDC"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112CBD14"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96" w:type="pct"/>
            <w:shd w:val="clear" w:color="auto" w:fill="auto"/>
            <w:noWrap/>
            <w:vAlign w:val="center"/>
          </w:tcPr>
          <w:p w14:paraId="7C5E651B" w14:textId="77777777" w:rsidR="00771960" w:rsidRPr="002048A7" w:rsidRDefault="00771960" w:rsidP="00771960">
            <w:pPr>
              <w:spacing w:after="0"/>
              <w:jc w:val="center"/>
              <w:rPr>
                <w:rFonts w:cstheme="minorHAnsi"/>
                <w:color w:val="000000"/>
              </w:rPr>
            </w:pPr>
            <w:r w:rsidRPr="002048A7">
              <w:rPr>
                <w:rFonts w:cstheme="minorHAnsi"/>
                <w:color w:val="000000"/>
              </w:rPr>
              <w:t>2</w:t>
            </w:r>
          </w:p>
        </w:tc>
        <w:tc>
          <w:tcPr>
            <w:tcW w:w="350" w:type="pct"/>
            <w:shd w:val="clear" w:color="auto" w:fill="auto"/>
            <w:noWrap/>
            <w:vAlign w:val="center"/>
          </w:tcPr>
          <w:p w14:paraId="4C59A987" w14:textId="77777777" w:rsidR="00771960" w:rsidRPr="002048A7" w:rsidRDefault="00771960" w:rsidP="00771960">
            <w:pPr>
              <w:spacing w:after="0"/>
              <w:jc w:val="center"/>
              <w:rPr>
                <w:rFonts w:cstheme="minorHAnsi"/>
                <w:color w:val="000000"/>
              </w:rPr>
            </w:pPr>
          </w:p>
        </w:tc>
        <w:tc>
          <w:tcPr>
            <w:tcW w:w="317" w:type="pct"/>
            <w:shd w:val="clear" w:color="auto" w:fill="auto"/>
            <w:noWrap/>
            <w:vAlign w:val="center"/>
          </w:tcPr>
          <w:p w14:paraId="26C98F77" w14:textId="77777777" w:rsidR="00771960" w:rsidRPr="002048A7" w:rsidRDefault="00771960" w:rsidP="00771960">
            <w:pPr>
              <w:spacing w:after="0"/>
              <w:jc w:val="center"/>
              <w:rPr>
                <w:rFonts w:cstheme="minorHAnsi"/>
                <w:color w:val="000000"/>
              </w:rPr>
            </w:pPr>
          </w:p>
        </w:tc>
        <w:tc>
          <w:tcPr>
            <w:tcW w:w="357" w:type="pct"/>
            <w:shd w:val="clear" w:color="auto" w:fill="auto"/>
            <w:noWrap/>
            <w:vAlign w:val="center"/>
          </w:tcPr>
          <w:p w14:paraId="1D917F88" w14:textId="77777777" w:rsidR="00771960" w:rsidRPr="002048A7" w:rsidRDefault="00771960" w:rsidP="00771960">
            <w:pPr>
              <w:spacing w:after="0"/>
              <w:jc w:val="center"/>
              <w:rPr>
                <w:rFonts w:cstheme="minorHAnsi"/>
                <w:color w:val="000000"/>
              </w:rPr>
            </w:pPr>
            <w:r w:rsidRPr="002048A7">
              <w:rPr>
                <w:rFonts w:cstheme="minorHAnsi"/>
                <w:color w:val="000000"/>
              </w:rPr>
              <w:t>3</w:t>
            </w:r>
          </w:p>
        </w:tc>
      </w:tr>
      <w:tr w:rsidR="00771960" w:rsidRPr="002048A7" w14:paraId="45D8598C" w14:textId="77777777" w:rsidTr="003F614D">
        <w:trPr>
          <w:trHeight w:val="227"/>
        </w:trPr>
        <w:tc>
          <w:tcPr>
            <w:tcW w:w="1552" w:type="pct"/>
            <w:shd w:val="clear" w:color="auto" w:fill="auto"/>
            <w:vAlign w:val="center"/>
          </w:tcPr>
          <w:p w14:paraId="42756769" w14:textId="77777777" w:rsidR="00771960" w:rsidRPr="002048A7" w:rsidRDefault="00771960" w:rsidP="00771960">
            <w:pPr>
              <w:spacing w:after="0"/>
              <w:rPr>
                <w:rFonts w:cstheme="minorHAnsi"/>
                <w:color w:val="000000"/>
              </w:rPr>
            </w:pPr>
            <w:r w:rsidRPr="002048A7">
              <w:rPr>
                <w:rFonts w:cstheme="minorHAnsi"/>
                <w:color w:val="000000"/>
              </w:rPr>
              <w:t>Bilgi İşlem Dairesi Başkanı</w:t>
            </w:r>
          </w:p>
        </w:tc>
        <w:tc>
          <w:tcPr>
            <w:tcW w:w="507" w:type="pct"/>
            <w:shd w:val="clear" w:color="auto" w:fill="auto"/>
            <w:vAlign w:val="center"/>
          </w:tcPr>
          <w:p w14:paraId="2D0D087A"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437" w:type="pct"/>
            <w:shd w:val="clear" w:color="auto" w:fill="auto"/>
            <w:noWrap/>
            <w:vAlign w:val="center"/>
          </w:tcPr>
          <w:p w14:paraId="680B0849"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96" w:type="pct"/>
            <w:shd w:val="clear" w:color="auto" w:fill="auto"/>
            <w:noWrap/>
            <w:vAlign w:val="center"/>
          </w:tcPr>
          <w:p w14:paraId="0A49BBCE" w14:textId="77777777" w:rsidR="00771960" w:rsidRPr="002048A7" w:rsidRDefault="00771960" w:rsidP="00771960">
            <w:pPr>
              <w:spacing w:after="0"/>
              <w:jc w:val="center"/>
              <w:rPr>
                <w:rFonts w:cstheme="minorHAnsi"/>
                <w:color w:val="000000"/>
              </w:rPr>
            </w:pPr>
          </w:p>
        </w:tc>
        <w:tc>
          <w:tcPr>
            <w:tcW w:w="296" w:type="pct"/>
            <w:vAlign w:val="center"/>
          </w:tcPr>
          <w:p w14:paraId="49B674CC"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77ABA154"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0E5910F3"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96" w:type="pct"/>
            <w:shd w:val="clear" w:color="auto" w:fill="auto"/>
            <w:noWrap/>
            <w:vAlign w:val="center"/>
          </w:tcPr>
          <w:p w14:paraId="09EBF074" w14:textId="77777777" w:rsidR="00771960" w:rsidRPr="002048A7" w:rsidRDefault="00771960" w:rsidP="00771960">
            <w:pPr>
              <w:spacing w:after="0"/>
              <w:jc w:val="center"/>
              <w:rPr>
                <w:rFonts w:cstheme="minorHAnsi"/>
                <w:color w:val="000000"/>
              </w:rPr>
            </w:pPr>
          </w:p>
        </w:tc>
        <w:tc>
          <w:tcPr>
            <w:tcW w:w="350" w:type="pct"/>
            <w:shd w:val="clear" w:color="auto" w:fill="auto"/>
            <w:noWrap/>
            <w:vAlign w:val="center"/>
          </w:tcPr>
          <w:p w14:paraId="3B745221" w14:textId="77777777" w:rsidR="00771960" w:rsidRPr="002048A7" w:rsidRDefault="00771960" w:rsidP="00771960">
            <w:pPr>
              <w:spacing w:after="0"/>
              <w:jc w:val="center"/>
              <w:rPr>
                <w:rFonts w:cstheme="minorHAnsi"/>
                <w:color w:val="000000"/>
              </w:rPr>
            </w:pPr>
          </w:p>
        </w:tc>
        <w:tc>
          <w:tcPr>
            <w:tcW w:w="317" w:type="pct"/>
            <w:shd w:val="clear" w:color="auto" w:fill="auto"/>
            <w:noWrap/>
            <w:vAlign w:val="center"/>
          </w:tcPr>
          <w:p w14:paraId="787F9A78" w14:textId="77777777" w:rsidR="00771960" w:rsidRPr="002048A7" w:rsidRDefault="00771960" w:rsidP="00771960">
            <w:pPr>
              <w:spacing w:after="0"/>
              <w:jc w:val="center"/>
              <w:rPr>
                <w:rFonts w:cstheme="minorHAnsi"/>
                <w:color w:val="000000"/>
              </w:rPr>
            </w:pPr>
          </w:p>
        </w:tc>
        <w:tc>
          <w:tcPr>
            <w:tcW w:w="357" w:type="pct"/>
            <w:shd w:val="clear" w:color="auto" w:fill="auto"/>
            <w:noWrap/>
            <w:vAlign w:val="center"/>
          </w:tcPr>
          <w:p w14:paraId="5255EFAB" w14:textId="77777777" w:rsidR="00771960" w:rsidRPr="002048A7" w:rsidRDefault="00771960" w:rsidP="00771960">
            <w:pPr>
              <w:spacing w:after="0"/>
              <w:jc w:val="center"/>
              <w:rPr>
                <w:rFonts w:cstheme="minorHAnsi"/>
                <w:color w:val="000000"/>
              </w:rPr>
            </w:pPr>
            <w:r w:rsidRPr="002048A7">
              <w:rPr>
                <w:rFonts w:cstheme="minorHAnsi"/>
                <w:color w:val="000000"/>
              </w:rPr>
              <w:t>1</w:t>
            </w:r>
          </w:p>
        </w:tc>
      </w:tr>
      <w:tr w:rsidR="00771960" w:rsidRPr="002048A7" w14:paraId="53973F9A" w14:textId="77777777" w:rsidTr="003F614D">
        <w:trPr>
          <w:trHeight w:val="227"/>
        </w:trPr>
        <w:tc>
          <w:tcPr>
            <w:tcW w:w="1552" w:type="pct"/>
            <w:shd w:val="clear" w:color="auto" w:fill="auto"/>
            <w:vAlign w:val="center"/>
          </w:tcPr>
          <w:p w14:paraId="17F03551" w14:textId="77777777" w:rsidR="00771960" w:rsidRPr="002048A7" w:rsidRDefault="00771960" w:rsidP="00771960">
            <w:pPr>
              <w:autoSpaceDE w:val="0"/>
              <w:autoSpaceDN w:val="0"/>
              <w:adjustRightInd w:val="0"/>
              <w:spacing w:after="0" w:line="240" w:lineRule="auto"/>
              <w:rPr>
                <w:rFonts w:cstheme="minorHAnsi"/>
                <w:color w:val="000000"/>
              </w:rPr>
            </w:pPr>
            <w:r w:rsidRPr="002048A7">
              <w:rPr>
                <w:rFonts w:cstheme="minorHAnsi"/>
                <w:color w:val="000000"/>
              </w:rPr>
              <w:t>Denetim Dairesi Başkanı</w:t>
            </w:r>
          </w:p>
        </w:tc>
        <w:tc>
          <w:tcPr>
            <w:tcW w:w="507" w:type="pct"/>
            <w:shd w:val="clear" w:color="auto" w:fill="auto"/>
            <w:vAlign w:val="center"/>
          </w:tcPr>
          <w:p w14:paraId="753A15A7"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437" w:type="pct"/>
            <w:shd w:val="clear" w:color="auto" w:fill="auto"/>
            <w:noWrap/>
            <w:vAlign w:val="center"/>
          </w:tcPr>
          <w:p w14:paraId="505D8E78"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96" w:type="pct"/>
            <w:shd w:val="clear" w:color="auto" w:fill="auto"/>
            <w:noWrap/>
            <w:vAlign w:val="center"/>
          </w:tcPr>
          <w:p w14:paraId="302F7387" w14:textId="77777777" w:rsidR="00771960" w:rsidRPr="002048A7" w:rsidRDefault="00771960" w:rsidP="00771960">
            <w:pPr>
              <w:spacing w:after="0"/>
              <w:jc w:val="center"/>
              <w:rPr>
                <w:rFonts w:cstheme="minorHAnsi"/>
                <w:color w:val="000000"/>
              </w:rPr>
            </w:pPr>
          </w:p>
        </w:tc>
        <w:tc>
          <w:tcPr>
            <w:tcW w:w="296" w:type="pct"/>
            <w:vAlign w:val="center"/>
          </w:tcPr>
          <w:p w14:paraId="276FC508"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05E68639"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77B7E2AA"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96" w:type="pct"/>
            <w:shd w:val="clear" w:color="auto" w:fill="auto"/>
            <w:noWrap/>
            <w:vAlign w:val="center"/>
          </w:tcPr>
          <w:p w14:paraId="647F892B" w14:textId="77777777" w:rsidR="00771960" w:rsidRPr="002048A7" w:rsidRDefault="00771960" w:rsidP="00771960">
            <w:pPr>
              <w:spacing w:after="0"/>
              <w:jc w:val="center"/>
              <w:rPr>
                <w:rFonts w:cstheme="minorHAnsi"/>
                <w:color w:val="000000"/>
              </w:rPr>
            </w:pPr>
          </w:p>
        </w:tc>
        <w:tc>
          <w:tcPr>
            <w:tcW w:w="350" w:type="pct"/>
            <w:shd w:val="clear" w:color="auto" w:fill="auto"/>
            <w:noWrap/>
            <w:vAlign w:val="center"/>
          </w:tcPr>
          <w:p w14:paraId="0BBE28BE" w14:textId="77777777" w:rsidR="00771960" w:rsidRPr="002048A7" w:rsidRDefault="00771960" w:rsidP="00771960">
            <w:pPr>
              <w:spacing w:after="0"/>
              <w:jc w:val="center"/>
              <w:rPr>
                <w:rFonts w:cstheme="minorHAnsi"/>
                <w:color w:val="000000"/>
              </w:rPr>
            </w:pPr>
          </w:p>
        </w:tc>
        <w:tc>
          <w:tcPr>
            <w:tcW w:w="317" w:type="pct"/>
            <w:shd w:val="clear" w:color="auto" w:fill="auto"/>
            <w:noWrap/>
            <w:vAlign w:val="center"/>
          </w:tcPr>
          <w:p w14:paraId="192DA6A4" w14:textId="77777777" w:rsidR="00771960" w:rsidRPr="002048A7" w:rsidRDefault="00771960" w:rsidP="00771960">
            <w:pPr>
              <w:spacing w:after="0"/>
              <w:jc w:val="center"/>
              <w:rPr>
                <w:rFonts w:cstheme="minorHAnsi"/>
                <w:color w:val="000000"/>
              </w:rPr>
            </w:pPr>
          </w:p>
        </w:tc>
        <w:tc>
          <w:tcPr>
            <w:tcW w:w="357" w:type="pct"/>
            <w:shd w:val="clear" w:color="auto" w:fill="auto"/>
            <w:noWrap/>
            <w:vAlign w:val="center"/>
          </w:tcPr>
          <w:p w14:paraId="075E9C1A" w14:textId="77777777" w:rsidR="00771960" w:rsidRPr="002048A7" w:rsidRDefault="00771960" w:rsidP="00771960">
            <w:pPr>
              <w:spacing w:after="0"/>
              <w:jc w:val="center"/>
              <w:rPr>
                <w:rFonts w:cstheme="minorHAnsi"/>
                <w:color w:val="000000"/>
              </w:rPr>
            </w:pPr>
            <w:r w:rsidRPr="002048A7">
              <w:rPr>
                <w:rFonts w:cstheme="minorHAnsi"/>
                <w:color w:val="000000"/>
              </w:rPr>
              <w:t>1</w:t>
            </w:r>
          </w:p>
        </w:tc>
      </w:tr>
      <w:tr w:rsidR="00771960" w:rsidRPr="002048A7" w14:paraId="7A9F9960" w14:textId="77777777" w:rsidTr="003F614D">
        <w:trPr>
          <w:trHeight w:val="227"/>
        </w:trPr>
        <w:tc>
          <w:tcPr>
            <w:tcW w:w="1552" w:type="pct"/>
            <w:shd w:val="clear" w:color="auto" w:fill="auto"/>
            <w:vAlign w:val="center"/>
          </w:tcPr>
          <w:p w14:paraId="6C6FCC96" w14:textId="77777777" w:rsidR="00771960" w:rsidRPr="002048A7" w:rsidRDefault="00771960" w:rsidP="00771960">
            <w:pPr>
              <w:autoSpaceDE w:val="0"/>
              <w:autoSpaceDN w:val="0"/>
              <w:adjustRightInd w:val="0"/>
              <w:spacing w:after="0" w:line="240" w:lineRule="auto"/>
              <w:rPr>
                <w:rFonts w:cstheme="minorHAnsi"/>
                <w:color w:val="000000"/>
              </w:rPr>
            </w:pPr>
            <w:r w:rsidRPr="002048A7">
              <w:rPr>
                <w:rFonts w:cstheme="minorHAnsi"/>
                <w:color w:val="000000"/>
              </w:rPr>
              <w:t>Doğal Gaz Piyasası Dairesi Başkanı</w:t>
            </w:r>
          </w:p>
        </w:tc>
        <w:tc>
          <w:tcPr>
            <w:tcW w:w="507" w:type="pct"/>
            <w:shd w:val="clear" w:color="auto" w:fill="auto"/>
            <w:vAlign w:val="center"/>
          </w:tcPr>
          <w:p w14:paraId="180887F0"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437" w:type="pct"/>
            <w:shd w:val="clear" w:color="auto" w:fill="auto"/>
            <w:noWrap/>
            <w:vAlign w:val="center"/>
          </w:tcPr>
          <w:p w14:paraId="1A53B5F7"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96" w:type="pct"/>
            <w:shd w:val="clear" w:color="auto" w:fill="auto"/>
            <w:noWrap/>
            <w:vAlign w:val="center"/>
          </w:tcPr>
          <w:p w14:paraId="18788BEA" w14:textId="77777777" w:rsidR="00771960" w:rsidRPr="002048A7" w:rsidRDefault="00771960" w:rsidP="00771960">
            <w:pPr>
              <w:spacing w:after="0"/>
              <w:jc w:val="center"/>
              <w:rPr>
                <w:rFonts w:cstheme="minorHAnsi"/>
                <w:color w:val="000000"/>
              </w:rPr>
            </w:pPr>
          </w:p>
        </w:tc>
        <w:tc>
          <w:tcPr>
            <w:tcW w:w="296" w:type="pct"/>
            <w:vAlign w:val="center"/>
          </w:tcPr>
          <w:p w14:paraId="639C58E9"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000BD8BC"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618661F6"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96" w:type="pct"/>
            <w:shd w:val="clear" w:color="auto" w:fill="auto"/>
            <w:noWrap/>
            <w:vAlign w:val="center"/>
          </w:tcPr>
          <w:p w14:paraId="7B690703" w14:textId="77777777" w:rsidR="00771960" w:rsidRPr="002048A7" w:rsidRDefault="00771960" w:rsidP="00771960">
            <w:pPr>
              <w:spacing w:after="0"/>
              <w:jc w:val="center"/>
              <w:rPr>
                <w:rFonts w:cstheme="minorHAnsi"/>
                <w:color w:val="000000"/>
              </w:rPr>
            </w:pPr>
          </w:p>
        </w:tc>
        <w:tc>
          <w:tcPr>
            <w:tcW w:w="350" w:type="pct"/>
            <w:shd w:val="clear" w:color="auto" w:fill="auto"/>
            <w:noWrap/>
            <w:vAlign w:val="center"/>
          </w:tcPr>
          <w:p w14:paraId="073EF41B" w14:textId="77777777" w:rsidR="00771960" w:rsidRPr="002048A7" w:rsidRDefault="00771960" w:rsidP="00771960">
            <w:pPr>
              <w:spacing w:after="0"/>
              <w:jc w:val="center"/>
              <w:rPr>
                <w:rFonts w:cstheme="minorHAnsi"/>
                <w:color w:val="000000"/>
              </w:rPr>
            </w:pPr>
          </w:p>
        </w:tc>
        <w:tc>
          <w:tcPr>
            <w:tcW w:w="317" w:type="pct"/>
            <w:shd w:val="clear" w:color="auto" w:fill="auto"/>
            <w:noWrap/>
            <w:vAlign w:val="center"/>
          </w:tcPr>
          <w:p w14:paraId="15276696" w14:textId="77777777" w:rsidR="00771960" w:rsidRPr="002048A7" w:rsidRDefault="00771960" w:rsidP="00771960">
            <w:pPr>
              <w:spacing w:after="0"/>
              <w:jc w:val="center"/>
              <w:rPr>
                <w:rFonts w:cstheme="minorHAnsi"/>
                <w:color w:val="000000"/>
              </w:rPr>
            </w:pPr>
          </w:p>
        </w:tc>
        <w:tc>
          <w:tcPr>
            <w:tcW w:w="357" w:type="pct"/>
            <w:shd w:val="clear" w:color="auto" w:fill="auto"/>
            <w:noWrap/>
            <w:vAlign w:val="center"/>
          </w:tcPr>
          <w:p w14:paraId="23973381" w14:textId="77777777" w:rsidR="00771960" w:rsidRPr="002048A7" w:rsidRDefault="00771960" w:rsidP="00771960">
            <w:pPr>
              <w:spacing w:after="0"/>
              <w:jc w:val="center"/>
              <w:rPr>
                <w:rFonts w:cstheme="minorHAnsi"/>
                <w:color w:val="000000"/>
              </w:rPr>
            </w:pPr>
            <w:r w:rsidRPr="002048A7">
              <w:rPr>
                <w:rFonts w:cstheme="minorHAnsi"/>
                <w:color w:val="000000"/>
              </w:rPr>
              <w:t>1</w:t>
            </w:r>
          </w:p>
        </w:tc>
      </w:tr>
      <w:tr w:rsidR="00771960" w:rsidRPr="002048A7" w14:paraId="612E4F6F" w14:textId="77777777" w:rsidTr="003F614D">
        <w:trPr>
          <w:trHeight w:val="227"/>
        </w:trPr>
        <w:tc>
          <w:tcPr>
            <w:tcW w:w="1552" w:type="pct"/>
            <w:shd w:val="clear" w:color="auto" w:fill="auto"/>
            <w:vAlign w:val="center"/>
          </w:tcPr>
          <w:p w14:paraId="57CBFCF2" w14:textId="77777777" w:rsidR="00771960" w:rsidRPr="002048A7" w:rsidRDefault="00771960" w:rsidP="00771960">
            <w:pPr>
              <w:autoSpaceDE w:val="0"/>
              <w:autoSpaceDN w:val="0"/>
              <w:adjustRightInd w:val="0"/>
              <w:spacing w:after="0" w:line="240" w:lineRule="auto"/>
              <w:rPr>
                <w:rFonts w:cstheme="minorHAnsi"/>
                <w:color w:val="000000"/>
              </w:rPr>
            </w:pPr>
            <w:r w:rsidRPr="002048A7">
              <w:rPr>
                <w:rFonts w:cstheme="minorHAnsi"/>
                <w:color w:val="000000"/>
              </w:rPr>
              <w:t>Elektrik Piyasası Dairesi Başkanı</w:t>
            </w:r>
          </w:p>
        </w:tc>
        <w:tc>
          <w:tcPr>
            <w:tcW w:w="507" w:type="pct"/>
            <w:shd w:val="clear" w:color="auto" w:fill="auto"/>
            <w:vAlign w:val="center"/>
          </w:tcPr>
          <w:p w14:paraId="47B3C088"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437" w:type="pct"/>
            <w:shd w:val="clear" w:color="auto" w:fill="auto"/>
            <w:noWrap/>
            <w:vAlign w:val="center"/>
          </w:tcPr>
          <w:p w14:paraId="55EDFB78"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96" w:type="pct"/>
            <w:shd w:val="clear" w:color="auto" w:fill="auto"/>
            <w:noWrap/>
            <w:vAlign w:val="center"/>
          </w:tcPr>
          <w:p w14:paraId="25D5112C" w14:textId="77777777" w:rsidR="00771960" w:rsidRPr="002048A7" w:rsidRDefault="00771960" w:rsidP="00771960">
            <w:pPr>
              <w:spacing w:after="0"/>
              <w:jc w:val="center"/>
              <w:rPr>
                <w:rFonts w:cstheme="minorHAnsi"/>
                <w:color w:val="000000"/>
              </w:rPr>
            </w:pPr>
          </w:p>
        </w:tc>
        <w:tc>
          <w:tcPr>
            <w:tcW w:w="296" w:type="pct"/>
            <w:vAlign w:val="center"/>
          </w:tcPr>
          <w:p w14:paraId="7A009202"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02EE4C71"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0AF74C51"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96" w:type="pct"/>
            <w:shd w:val="clear" w:color="auto" w:fill="auto"/>
            <w:noWrap/>
            <w:vAlign w:val="center"/>
          </w:tcPr>
          <w:p w14:paraId="4C377AEC" w14:textId="77777777" w:rsidR="00771960" w:rsidRPr="002048A7" w:rsidRDefault="00771960" w:rsidP="00771960">
            <w:pPr>
              <w:spacing w:after="0"/>
              <w:jc w:val="center"/>
              <w:rPr>
                <w:rFonts w:cstheme="minorHAnsi"/>
                <w:color w:val="000000"/>
              </w:rPr>
            </w:pPr>
          </w:p>
        </w:tc>
        <w:tc>
          <w:tcPr>
            <w:tcW w:w="350" w:type="pct"/>
            <w:shd w:val="clear" w:color="auto" w:fill="auto"/>
            <w:noWrap/>
            <w:vAlign w:val="center"/>
          </w:tcPr>
          <w:p w14:paraId="077382C0" w14:textId="77777777" w:rsidR="00771960" w:rsidRPr="002048A7" w:rsidRDefault="00771960" w:rsidP="00771960">
            <w:pPr>
              <w:spacing w:after="0"/>
              <w:jc w:val="center"/>
              <w:rPr>
                <w:rFonts w:cstheme="minorHAnsi"/>
                <w:color w:val="000000"/>
              </w:rPr>
            </w:pPr>
          </w:p>
        </w:tc>
        <w:tc>
          <w:tcPr>
            <w:tcW w:w="317" w:type="pct"/>
            <w:shd w:val="clear" w:color="auto" w:fill="auto"/>
            <w:noWrap/>
            <w:vAlign w:val="center"/>
          </w:tcPr>
          <w:p w14:paraId="756BADD4" w14:textId="77777777" w:rsidR="00771960" w:rsidRPr="002048A7" w:rsidRDefault="00771960" w:rsidP="00771960">
            <w:pPr>
              <w:spacing w:after="0"/>
              <w:jc w:val="center"/>
              <w:rPr>
                <w:rFonts w:cstheme="minorHAnsi"/>
                <w:color w:val="000000"/>
              </w:rPr>
            </w:pPr>
          </w:p>
        </w:tc>
        <w:tc>
          <w:tcPr>
            <w:tcW w:w="357" w:type="pct"/>
            <w:shd w:val="clear" w:color="auto" w:fill="auto"/>
            <w:noWrap/>
            <w:vAlign w:val="center"/>
          </w:tcPr>
          <w:p w14:paraId="3EF8930E" w14:textId="77777777" w:rsidR="00771960" w:rsidRPr="002048A7" w:rsidRDefault="00771960" w:rsidP="00771960">
            <w:pPr>
              <w:spacing w:after="0"/>
              <w:jc w:val="center"/>
              <w:rPr>
                <w:rFonts w:cstheme="minorHAnsi"/>
                <w:color w:val="000000"/>
              </w:rPr>
            </w:pPr>
            <w:r w:rsidRPr="002048A7">
              <w:rPr>
                <w:rFonts w:cstheme="minorHAnsi"/>
                <w:color w:val="000000"/>
              </w:rPr>
              <w:t>1</w:t>
            </w:r>
          </w:p>
        </w:tc>
      </w:tr>
      <w:tr w:rsidR="00771960" w:rsidRPr="002048A7" w14:paraId="6B8453AE" w14:textId="77777777" w:rsidTr="003F614D">
        <w:trPr>
          <w:trHeight w:val="227"/>
        </w:trPr>
        <w:tc>
          <w:tcPr>
            <w:tcW w:w="1552" w:type="pct"/>
            <w:shd w:val="clear" w:color="auto" w:fill="auto"/>
            <w:vAlign w:val="center"/>
          </w:tcPr>
          <w:p w14:paraId="48AA3CE0" w14:textId="77777777" w:rsidR="00771960" w:rsidRPr="002048A7" w:rsidRDefault="00771960" w:rsidP="00771960">
            <w:pPr>
              <w:spacing w:after="0"/>
              <w:rPr>
                <w:rFonts w:cstheme="minorHAnsi"/>
                <w:color w:val="000000"/>
              </w:rPr>
            </w:pPr>
            <w:r w:rsidRPr="002048A7">
              <w:rPr>
                <w:rFonts w:cstheme="minorHAnsi"/>
                <w:color w:val="000000"/>
              </w:rPr>
              <w:t>Enerji Dönüşüm Dairesi Başkanı</w:t>
            </w:r>
          </w:p>
        </w:tc>
        <w:tc>
          <w:tcPr>
            <w:tcW w:w="507" w:type="pct"/>
            <w:shd w:val="clear" w:color="auto" w:fill="auto"/>
            <w:vAlign w:val="center"/>
          </w:tcPr>
          <w:p w14:paraId="45EE3843"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437" w:type="pct"/>
            <w:shd w:val="clear" w:color="auto" w:fill="auto"/>
            <w:noWrap/>
            <w:vAlign w:val="center"/>
          </w:tcPr>
          <w:p w14:paraId="5EF148D7"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96" w:type="pct"/>
            <w:shd w:val="clear" w:color="auto" w:fill="auto"/>
            <w:noWrap/>
            <w:vAlign w:val="center"/>
          </w:tcPr>
          <w:p w14:paraId="69844C86" w14:textId="77777777" w:rsidR="00771960" w:rsidRPr="002048A7" w:rsidRDefault="00771960" w:rsidP="00771960">
            <w:pPr>
              <w:spacing w:after="0"/>
              <w:jc w:val="center"/>
              <w:rPr>
                <w:rFonts w:cstheme="minorHAnsi"/>
                <w:color w:val="000000"/>
              </w:rPr>
            </w:pPr>
          </w:p>
        </w:tc>
        <w:tc>
          <w:tcPr>
            <w:tcW w:w="296" w:type="pct"/>
            <w:vAlign w:val="center"/>
          </w:tcPr>
          <w:p w14:paraId="1378AA84"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17324AC5"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7F6B1F9C"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4BA89EC7"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350" w:type="pct"/>
            <w:shd w:val="clear" w:color="auto" w:fill="auto"/>
            <w:noWrap/>
            <w:vAlign w:val="center"/>
          </w:tcPr>
          <w:p w14:paraId="1EE022EB" w14:textId="77777777" w:rsidR="00771960" w:rsidRPr="002048A7" w:rsidRDefault="00771960" w:rsidP="00771960">
            <w:pPr>
              <w:spacing w:after="0"/>
              <w:jc w:val="center"/>
              <w:rPr>
                <w:rFonts w:cstheme="minorHAnsi"/>
                <w:color w:val="000000"/>
              </w:rPr>
            </w:pPr>
          </w:p>
        </w:tc>
        <w:tc>
          <w:tcPr>
            <w:tcW w:w="317" w:type="pct"/>
            <w:shd w:val="clear" w:color="auto" w:fill="auto"/>
            <w:noWrap/>
            <w:vAlign w:val="center"/>
          </w:tcPr>
          <w:p w14:paraId="17A8570F" w14:textId="77777777" w:rsidR="00771960" w:rsidRPr="002048A7" w:rsidRDefault="00771960" w:rsidP="00771960">
            <w:pPr>
              <w:spacing w:after="0"/>
              <w:jc w:val="center"/>
              <w:rPr>
                <w:rFonts w:cstheme="minorHAnsi"/>
                <w:color w:val="000000"/>
              </w:rPr>
            </w:pPr>
          </w:p>
        </w:tc>
        <w:tc>
          <w:tcPr>
            <w:tcW w:w="357" w:type="pct"/>
            <w:shd w:val="clear" w:color="auto" w:fill="auto"/>
            <w:noWrap/>
            <w:vAlign w:val="center"/>
          </w:tcPr>
          <w:p w14:paraId="30208B14" w14:textId="77777777" w:rsidR="00771960" w:rsidRPr="002048A7" w:rsidRDefault="00771960" w:rsidP="00771960">
            <w:pPr>
              <w:spacing w:after="0"/>
              <w:jc w:val="center"/>
              <w:rPr>
                <w:rFonts w:cstheme="minorHAnsi"/>
                <w:color w:val="000000"/>
              </w:rPr>
            </w:pPr>
            <w:r w:rsidRPr="002048A7">
              <w:rPr>
                <w:rFonts w:cstheme="minorHAnsi"/>
                <w:color w:val="000000"/>
              </w:rPr>
              <w:t>1</w:t>
            </w:r>
          </w:p>
        </w:tc>
      </w:tr>
      <w:tr w:rsidR="00771960" w:rsidRPr="002048A7" w14:paraId="44AF61EA" w14:textId="77777777" w:rsidTr="003F614D">
        <w:trPr>
          <w:trHeight w:val="227"/>
        </w:trPr>
        <w:tc>
          <w:tcPr>
            <w:tcW w:w="1552" w:type="pct"/>
            <w:shd w:val="clear" w:color="auto" w:fill="auto"/>
            <w:vAlign w:val="center"/>
          </w:tcPr>
          <w:p w14:paraId="4E8B3D1C" w14:textId="77777777" w:rsidR="00771960" w:rsidRPr="002048A7" w:rsidRDefault="00771960" w:rsidP="00771960">
            <w:pPr>
              <w:autoSpaceDE w:val="0"/>
              <w:autoSpaceDN w:val="0"/>
              <w:adjustRightInd w:val="0"/>
              <w:spacing w:after="0" w:line="240" w:lineRule="auto"/>
              <w:rPr>
                <w:rFonts w:cstheme="minorHAnsi"/>
                <w:color w:val="000000"/>
              </w:rPr>
            </w:pPr>
            <w:r w:rsidRPr="002048A7">
              <w:rPr>
                <w:rFonts w:cstheme="minorHAnsi"/>
                <w:color w:val="000000"/>
              </w:rPr>
              <w:t>Hukuk Dairesi Başkanı</w:t>
            </w:r>
          </w:p>
        </w:tc>
        <w:tc>
          <w:tcPr>
            <w:tcW w:w="507" w:type="pct"/>
            <w:shd w:val="clear" w:color="auto" w:fill="auto"/>
            <w:vAlign w:val="center"/>
          </w:tcPr>
          <w:p w14:paraId="4EB44199"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437" w:type="pct"/>
            <w:shd w:val="clear" w:color="auto" w:fill="auto"/>
            <w:noWrap/>
            <w:vAlign w:val="center"/>
          </w:tcPr>
          <w:p w14:paraId="74457008"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96" w:type="pct"/>
            <w:shd w:val="clear" w:color="auto" w:fill="auto"/>
            <w:noWrap/>
            <w:vAlign w:val="center"/>
          </w:tcPr>
          <w:p w14:paraId="26E7E0DD" w14:textId="77777777" w:rsidR="00771960" w:rsidRPr="002048A7" w:rsidRDefault="00771960" w:rsidP="00771960">
            <w:pPr>
              <w:spacing w:after="0"/>
              <w:jc w:val="center"/>
              <w:rPr>
                <w:rFonts w:cstheme="minorHAnsi"/>
                <w:color w:val="000000"/>
              </w:rPr>
            </w:pPr>
          </w:p>
        </w:tc>
        <w:tc>
          <w:tcPr>
            <w:tcW w:w="296" w:type="pct"/>
            <w:vAlign w:val="center"/>
          </w:tcPr>
          <w:p w14:paraId="28AA3ECD"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26380103"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4D8B8EF4"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96" w:type="pct"/>
            <w:shd w:val="clear" w:color="auto" w:fill="auto"/>
            <w:noWrap/>
            <w:vAlign w:val="center"/>
          </w:tcPr>
          <w:p w14:paraId="7DF80FB0" w14:textId="77777777" w:rsidR="00771960" w:rsidRPr="002048A7" w:rsidRDefault="00771960" w:rsidP="00771960">
            <w:pPr>
              <w:spacing w:after="0"/>
              <w:jc w:val="center"/>
              <w:rPr>
                <w:rFonts w:cstheme="minorHAnsi"/>
                <w:color w:val="000000"/>
              </w:rPr>
            </w:pPr>
          </w:p>
        </w:tc>
        <w:tc>
          <w:tcPr>
            <w:tcW w:w="350" w:type="pct"/>
            <w:shd w:val="clear" w:color="auto" w:fill="auto"/>
            <w:noWrap/>
            <w:vAlign w:val="center"/>
          </w:tcPr>
          <w:p w14:paraId="307EC61B" w14:textId="77777777" w:rsidR="00771960" w:rsidRPr="002048A7" w:rsidRDefault="00771960" w:rsidP="00771960">
            <w:pPr>
              <w:spacing w:after="0"/>
              <w:jc w:val="center"/>
              <w:rPr>
                <w:rFonts w:cstheme="minorHAnsi"/>
                <w:color w:val="000000"/>
              </w:rPr>
            </w:pPr>
          </w:p>
        </w:tc>
        <w:tc>
          <w:tcPr>
            <w:tcW w:w="317" w:type="pct"/>
            <w:shd w:val="clear" w:color="auto" w:fill="auto"/>
            <w:noWrap/>
            <w:vAlign w:val="center"/>
          </w:tcPr>
          <w:p w14:paraId="0A82B455"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357" w:type="pct"/>
            <w:shd w:val="clear" w:color="auto" w:fill="auto"/>
            <w:noWrap/>
            <w:vAlign w:val="center"/>
          </w:tcPr>
          <w:p w14:paraId="534CCF09" w14:textId="77777777" w:rsidR="00771960" w:rsidRPr="002048A7" w:rsidRDefault="00771960" w:rsidP="00771960">
            <w:pPr>
              <w:spacing w:after="0"/>
              <w:jc w:val="center"/>
              <w:rPr>
                <w:rFonts w:cstheme="minorHAnsi"/>
                <w:color w:val="000000"/>
              </w:rPr>
            </w:pPr>
          </w:p>
        </w:tc>
      </w:tr>
      <w:tr w:rsidR="00771960" w:rsidRPr="002048A7" w14:paraId="52317FF3" w14:textId="77777777" w:rsidTr="003F614D">
        <w:trPr>
          <w:trHeight w:val="227"/>
        </w:trPr>
        <w:tc>
          <w:tcPr>
            <w:tcW w:w="1552" w:type="pct"/>
            <w:shd w:val="clear" w:color="auto" w:fill="auto"/>
            <w:vAlign w:val="center"/>
          </w:tcPr>
          <w:p w14:paraId="174C1917" w14:textId="77777777" w:rsidR="00771960" w:rsidRPr="002048A7" w:rsidRDefault="00771960" w:rsidP="00771960">
            <w:pPr>
              <w:spacing w:after="0"/>
              <w:rPr>
                <w:rFonts w:cstheme="minorHAnsi"/>
                <w:color w:val="000000"/>
              </w:rPr>
            </w:pPr>
            <w:r w:rsidRPr="002048A7">
              <w:rPr>
                <w:rFonts w:cstheme="minorHAnsi"/>
                <w:color w:val="000000"/>
              </w:rPr>
              <w:t>İnsan Kaynakları ve Destek Hizmetleri Dairesi Başkanı</w:t>
            </w:r>
          </w:p>
        </w:tc>
        <w:tc>
          <w:tcPr>
            <w:tcW w:w="507" w:type="pct"/>
            <w:shd w:val="clear" w:color="auto" w:fill="auto"/>
            <w:vAlign w:val="center"/>
          </w:tcPr>
          <w:p w14:paraId="5D6B3AFB"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437" w:type="pct"/>
            <w:shd w:val="clear" w:color="auto" w:fill="auto"/>
            <w:noWrap/>
            <w:vAlign w:val="center"/>
          </w:tcPr>
          <w:p w14:paraId="75C28ECA"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96" w:type="pct"/>
            <w:shd w:val="clear" w:color="auto" w:fill="auto"/>
            <w:noWrap/>
            <w:vAlign w:val="center"/>
          </w:tcPr>
          <w:p w14:paraId="43ECD2E5" w14:textId="77777777" w:rsidR="00771960" w:rsidRPr="002048A7" w:rsidRDefault="00771960" w:rsidP="00771960">
            <w:pPr>
              <w:spacing w:after="0"/>
              <w:jc w:val="center"/>
              <w:rPr>
                <w:rFonts w:cstheme="minorHAnsi"/>
                <w:color w:val="000000"/>
              </w:rPr>
            </w:pPr>
          </w:p>
        </w:tc>
        <w:tc>
          <w:tcPr>
            <w:tcW w:w="296" w:type="pct"/>
            <w:vAlign w:val="center"/>
          </w:tcPr>
          <w:p w14:paraId="6F636A3D"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53EF9833"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29AEC80D"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313D674D"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350" w:type="pct"/>
            <w:shd w:val="clear" w:color="auto" w:fill="auto"/>
            <w:noWrap/>
            <w:vAlign w:val="center"/>
          </w:tcPr>
          <w:p w14:paraId="1BB0C0E1" w14:textId="77777777" w:rsidR="00771960" w:rsidRPr="002048A7" w:rsidRDefault="00771960" w:rsidP="00771960">
            <w:pPr>
              <w:spacing w:after="0"/>
              <w:jc w:val="center"/>
              <w:rPr>
                <w:rFonts w:cstheme="minorHAnsi"/>
                <w:color w:val="000000"/>
              </w:rPr>
            </w:pPr>
          </w:p>
        </w:tc>
        <w:tc>
          <w:tcPr>
            <w:tcW w:w="317" w:type="pct"/>
            <w:shd w:val="clear" w:color="auto" w:fill="auto"/>
            <w:noWrap/>
            <w:vAlign w:val="center"/>
          </w:tcPr>
          <w:p w14:paraId="66E42B49" w14:textId="77777777" w:rsidR="00771960" w:rsidRPr="002048A7" w:rsidRDefault="00771960" w:rsidP="00771960">
            <w:pPr>
              <w:spacing w:after="0"/>
              <w:jc w:val="center"/>
              <w:rPr>
                <w:rFonts w:cstheme="minorHAnsi"/>
                <w:color w:val="000000"/>
              </w:rPr>
            </w:pPr>
          </w:p>
        </w:tc>
        <w:tc>
          <w:tcPr>
            <w:tcW w:w="357" w:type="pct"/>
            <w:shd w:val="clear" w:color="auto" w:fill="auto"/>
            <w:noWrap/>
            <w:vAlign w:val="center"/>
          </w:tcPr>
          <w:p w14:paraId="5A5D8E86" w14:textId="77777777" w:rsidR="00771960" w:rsidRPr="002048A7" w:rsidRDefault="00771960" w:rsidP="00771960">
            <w:pPr>
              <w:spacing w:after="0"/>
              <w:jc w:val="center"/>
              <w:rPr>
                <w:rFonts w:cstheme="minorHAnsi"/>
                <w:color w:val="000000"/>
              </w:rPr>
            </w:pPr>
            <w:r w:rsidRPr="002048A7">
              <w:rPr>
                <w:rFonts w:cstheme="minorHAnsi"/>
                <w:color w:val="000000"/>
              </w:rPr>
              <w:t>1</w:t>
            </w:r>
          </w:p>
        </w:tc>
      </w:tr>
      <w:tr w:rsidR="00771960" w:rsidRPr="002048A7" w14:paraId="6746C677" w14:textId="77777777" w:rsidTr="003F614D">
        <w:trPr>
          <w:trHeight w:val="227"/>
        </w:trPr>
        <w:tc>
          <w:tcPr>
            <w:tcW w:w="1552" w:type="pct"/>
            <w:shd w:val="clear" w:color="auto" w:fill="auto"/>
            <w:vAlign w:val="center"/>
          </w:tcPr>
          <w:p w14:paraId="50065BE0" w14:textId="77777777" w:rsidR="00771960" w:rsidRPr="002048A7" w:rsidRDefault="00771960" w:rsidP="00771960">
            <w:pPr>
              <w:autoSpaceDE w:val="0"/>
              <w:autoSpaceDN w:val="0"/>
              <w:adjustRightInd w:val="0"/>
              <w:spacing w:after="0" w:line="240" w:lineRule="auto"/>
              <w:rPr>
                <w:rFonts w:cstheme="minorHAnsi"/>
                <w:color w:val="000000"/>
              </w:rPr>
            </w:pPr>
            <w:r w:rsidRPr="002048A7">
              <w:rPr>
                <w:rFonts w:cstheme="minorHAnsi"/>
                <w:color w:val="000000"/>
              </w:rPr>
              <w:t>Kamulaştırma Dairesi Başkanı</w:t>
            </w:r>
          </w:p>
        </w:tc>
        <w:tc>
          <w:tcPr>
            <w:tcW w:w="507" w:type="pct"/>
            <w:shd w:val="clear" w:color="auto" w:fill="auto"/>
            <w:vAlign w:val="center"/>
          </w:tcPr>
          <w:p w14:paraId="1EFF8EF9"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437" w:type="pct"/>
            <w:shd w:val="clear" w:color="auto" w:fill="auto"/>
            <w:noWrap/>
            <w:vAlign w:val="center"/>
          </w:tcPr>
          <w:p w14:paraId="4D1C9DD4"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96" w:type="pct"/>
            <w:shd w:val="clear" w:color="auto" w:fill="auto"/>
            <w:noWrap/>
            <w:vAlign w:val="center"/>
          </w:tcPr>
          <w:p w14:paraId="5DDFB0C5" w14:textId="77777777" w:rsidR="00771960" w:rsidRPr="002048A7" w:rsidRDefault="00771960" w:rsidP="00771960">
            <w:pPr>
              <w:spacing w:after="0"/>
              <w:jc w:val="center"/>
              <w:rPr>
                <w:rFonts w:cstheme="minorHAnsi"/>
                <w:color w:val="000000"/>
              </w:rPr>
            </w:pPr>
          </w:p>
        </w:tc>
        <w:tc>
          <w:tcPr>
            <w:tcW w:w="296" w:type="pct"/>
            <w:vAlign w:val="center"/>
          </w:tcPr>
          <w:p w14:paraId="698D5ED7"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6F7C3FCF"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0CA8E303"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96" w:type="pct"/>
            <w:shd w:val="clear" w:color="auto" w:fill="auto"/>
            <w:noWrap/>
            <w:vAlign w:val="center"/>
          </w:tcPr>
          <w:p w14:paraId="4619927A" w14:textId="77777777" w:rsidR="00771960" w:rsidRPr="002048A7" w:rsidRDefault="00771960" w:rsidP="00771960">
            <w:pPr>
              <w:spacing w:after="0"/>
              <w:jc w:val="center"/>
              <w:rPr>
                <w:rFonts w:cstheme="minorHAnsi"/>
                <w:color w:val="000000"/>
              </w:rPr>
            </w:pPr>
          </w:p>
        </w:tc>
        <w:tc>
          <w:tcPr>
            <w:tcW w:w="350" w:type="pct"/>
            <w:shd w:val="clear" w:color="auto" w:fill="auto"/>
            <w:noWrap/>
            <w:vAlign w:val="center"/>
          </w:tcPr>
          <w:p w14:paraId="5E15287D" w14:textId="77777777" w:rsidR="00771960" w:rsidRPr="002048A7" w:rsidRDefault="00771960" w:rsidP="00771960">
            <w:pPr>
              <w:spacing w:after="0"/>
              <w:jc w:val="center"/>
              <w:rPr>
                <w:rFonts w:cstheme="minorHAnsi"/>
                <w:color w:val="000000"/>
              </w:rPr>
            </w:pPr>
          </w:p>
        </w:tc>
        <w:tc>
          <w:tcPr>
            <w:tcW w:w="317" w:type="pct"/>
            <w:shd w:val="clear" w:color="auto" w:fill="auto"/>
            <w:noWrap/>
            <w:vAlign w:val="center"/>
          </w:tcPr>
          <w:p w14:paraId="6CBF18E7" w14:textId="77777777" w:rsidR="00771960" w:rsidRPr="002048A7" w:rsidRDefault="00771960" w:rsidP="00771960">
            <w:pPr>
              <w:spacing w:after="0"/>
              <w:jc w:val="center"/>
              <w:rPr>
                <w:rFonts w:cstheme="minorHAnsi"/>
                <w:color w:val="000000"/>
              </w:rPr>
            </w:pPr>
          </w:p>
        </w:tc>
        <w:tc>
          <w:tcPr>
            <w:tcW w:w="357" w:type="pct"/>
            <w:shd w:val="clear" w:color="auto" w:fill="auto"/>
            <w:noWrap/>
            <w:vAlign w:val="center"/>
          </w:tcPr>
          <w:p w14:paraId="7A2B396B" w14:textId="77777777" w:rsidR="00771960" w:rsidRPr="002048A7" w:rsidRDefault="00771960" w:rsidP="00771960">
            <w:pPr>
              <w:spacing w:after="0"/>
              <w:jc w:val="center"/>
              <w:rPr>
                <w:rFonts w:cstheme="minorHAnsi"/>
                <w:color w:val="000000"/>
              </w:rPr>
            </w:pPr>
            <w:r w:rsidRPr="002048A7">
              <w:rPr>
                <w:rFonts w:cstheme="minorHAnsi"/>
                <w:color w:val="000000"/>
              </w:rPr>
              <w:t>1</w:t>
            </w:r>
          </w:p>
        </w:tc>
      </w:tr>
      <w:tr w:rsidR="00771960" w:rsidRPr="002048A7" w14:paraId="03DF5688" w14:textId="77777777" w:rsidTr="003F614D">
        <w:trPr>
          <w:trHeight w:val="227"/>
        </w:trPr>
        <w:tc>
          <w:tcPr>
            <w:tcW w:w="1552" w:type="pct"/>
            <w:shd w:val="clear" w:color="auto" w:fill="auto"/>
            <w:vAlign w:val="center"/>
          </w:tcPr>
          <w:p w14:paraId="2138A22B" w14:textId="77777777" w:rsidR="00771960" w:rsidRPr="002048A7" w:rsidRDefault="00771960" w:rsidP="00771960">
            <w:pPr>
              <w:autoSpaceDE w:val="0"/>
              <w:autoSpaceDN w:val="0"/>
              <w:adjustRightInd w:val="0"/>
              <w:spacing w:after="0" w:line="240" w:lineRule="auto"/>
              <w:rPr>
                <w:rFonts w:cstheme="minorHAnsi"/>
                <w:color w:val="000000"/>
              </w:rPr>
            </w:pPr>
            <w:r w:rsidRPr="002048A7">
              <w:rPr>
                <w:rFonts w:cstheme="minorHAnsi"/>
                <w:color w:val="000000"/>
              </w:rPr>
              <w:t>Petrol Piyasası Dairesi Başkanı</w:t>
            </w:r>
          </w:p>
        </w:tc>
        <w:tc>
          <w:tcPr>
            <w:tcW w:w="507" w:type="pct"/>
            <w:shd w:val="clear" w:color="auto" w:fill="auto"/>
            <w:vAlign w:val="center"/>
          </w:tcPr>
          <w:p w14:paraId="14B2046B"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437" w:type="pct"/>
            <w:shd w:val="clear" w:color="auto" w:fill="auto"/>
            <w:noWrap/>
            <w:vAlign w:val="center"/>
          </w:tcPr>
          <w:p w14:paraId="0C604A93"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96" w:type="pct"/>
            <w:shd w:val="clear" w:color="auto" w:fill="auto"/>
            <w:noWrap/>
            <w:vAlign w:val="center"/>
          </w:tcPr>
          <w:p w14:paraId="6519AABD" w14:textId="77777777" w:rsidR="00771960" w:rsidRPr="002048A7" w:rsidRDefault="00771960" w:rsidP="00771960">
            <w:pPr>
              <w:spacing w:after="0"/>
              <w:jc w:val="center"/>
              <w:rPr>
                <w:rFonts w:cstheme="minorHAnsi"/>
                <w:color w:val="000000"/>
              </w:rPr>
            </w:pPr>
          </w:p>
        </w:tc>
        <w:tc>
          <w:tcPr>
            <w:tcW w:w="296" w:type="pct"/>
            <w:vAlign w:val="center"/>
          </w:tcPr>
          <w:p w14:paraId="24B7FD7D"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41845C4F"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0DD60983"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96" w:type="pct"/>
            <w:shd w:val="clear" w:color="auto" w:fill="auto"/>
            <w:noWrap/>
            <w:vAlign w:val="center"/>
          </w:tcPr>
          <w:p w14:paraId="67378CA7" w14:textId="77777777" w:rsidR="00771960" w:rsidRPr="002048A7" w:rsidRDefault="00771960" w:rsidP="00771960">
            <w:pPr>
              <w:spacing w:after="0"/>
              <w:jc w:val="center"/>
              <w:rPr>
                <w:rFonts w:cstheme="minorHAnsi"/>
                <w:color w:val="000000"/>
              </w:rPr>
            </w:pPr>
          </w:p>
        </w:tc>
        <w:tc>
          <w:tcPr>
            <w:tcW w:w="350" w:type="pct"/>
            <w:shd w:val="clear" w:color="auto" w:fill="auto"/>
            <w:noWrap/>
            <w:vAlign w:val="center"/>
          </w:tcPr>
          <w:p w14:paraId="591BC6FF" w14:textId="77777777" w:rsidR="00771960" w:rsidRPr="002048A7" w:rsidRDefault="00771960" w:rsidP="00771960">
            <w:pPr>
              <w:spacing w:after="0"/>
              <w:jc w:val="center"/>
              <w:rPr>
                <w:rFonts w:cstheme="minorHAnsi"/>
                <w:color w:val="000000"/>
              </w:rPr>
            </w:pPr>
          </w:p>
        </w:tc>
        <w:tc>
          <w:tcPr>
            <w:tcW w:w="317" w:type="pct"/>
            <w:shd w:val="clear" w:color="auto" w:fill="auto"/>
            <w:noWrap/>
            <w:vAlign w:val="center"/>
          </w:tcPr>
          <w:p w14:paraId="19AE06CC" w14:textId="77777777" w:rsidR="00771960" w:rsidRPr="002048A7" w:rsidRDefault="00771960" w:rsidP="00771960">
            <w:pPr>
              <w:spacing w:after="0"/>
              <w:jc w:val="center"/>
              <w:rPr>
                <w:rFonts w:cstheme="minorHAnsi"/>
                <w:color w:val="000000"/>
              </w:rPr>
            </w:pPr>
          </w:p>
        </w:tc>
        <w:tc>
          <w:tcPr>
            <w:tcW w:w="357" w:type="pct"/>
            <w:shd w:val="clear" w:color="auto" w:fill="auto"/>
            <w:noWrap/>
            <w:vAlign w:val="center"/>
          </w:tcPr>
          <w:p w14:paraId="444771A3" w14:textId="77777777" w:rsidR="00771960" w:rsidRPr="002048A7" w:rsidRDefault="00771960" w:rsidP="00771960">
            <w:pPr>
              <w:spacing w:after="0"/>
              <w:jc w:val="center"/>
              <w:rPr>
                <w:rFonts w:cstheme="minorHAnsi"/>
                <w:color w:val="000000"/>
              </w:rPr>
            </w:pPr>
            <w:r w:rsidRPr="002048A7">
              <w:rPr>
                <w:rFonts w:cstheme="minorHAnsi"/>
                <w:color w:val="000000"/>
              </w:rPr>
              <w:t>1</w:t>
            </w:r>
          </w:p>
        </w:tc>
      </w:tr>
      <w:tr w:rsidR="00771960" w:rsidRPr="002048A7" w14:paraId="157A0930" w14:textId="77777777" w:rsidTr="003F614D">
        <w:trPr>
          <w:trHeight w:val="227"/>
        </w:trPr>
        <w:tc>
          <w:tcPr>
            <w:tcW w:w="1552" w:type="pct"/>
            <w:shd w:val="clear" w:color="auto" w:fill="auto"/>
            <w:vAlign w:val="center"/>
          </w:tcPr>
          <w:p w14:paraId="2A074A7E" w14:textId="77777777" w:rsidR="00771960" w:rsidRPr="002048A7" w:rsidRDefault="00771960" w:rsidP="00771960">
            <w:pPr>
              <w:autoSpaceDE w:val="0"/>
              <w:autoSpaceDN w:val="0"/>
              <w:adjustRightInd w:val="0"/>
              <w:spacing w:after="0" w:line="240" w:lineRule="auto"/>
              <w:rPr>
                <w:rFonts w:cstheme="minorHAnsi"/>
                <w:color w:val="000000"/>
              </w:rPr>
            </w:pPr>
            <w:r w:rsidRPr="002048A7">
              <w:rPr>
                <w:rFonts w:cstheme="minorHAnsi"/>
                <w:color w:val="000000"/>
              </w:rPr>
              <w:t>LPG Piyasası Dairesi Başkanı</w:t>
            </w:r>
          </w:p>
        </w:tc>
        <w:tc>
          <w:tcPr>
            <w:tcW w:w="507" w:type="pct"/>
            <w:shd w:val="clear" w:color="auto" w:fill="auto"/>
            <w:vAlign w:val="center"/>
          </w:tcPr>
          <w:p w14:paraId="74C18841"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437" w:type="pct"/>
            <w:shd w:val="clear" w:color="auto" w:fill="auto"/>
            <w:noWrap/>
            <w:vAlign w:val="center"/>
          </w:tcPr>
          <w:p w14:paraId="3F952691"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96" w:type="pct"/>
            <w:shd w:val="clear" w:color="auto" w:fill="auto"/>
            <w:noWrap/>
            <w:vAlign w:val="center"/>
          </w:tcPr>
          <w:p w14:paraId="57F55361" w14:textId="77777777" w:rsidR="00771960" w:rsidRPr="002048A7" w:rsidRDefault="00771960" w:rsidP="00771960">
            <w:pPr>
              <w:spacing w:after="0"/>
              <w:jc w:val="center"/>
              <w:rPr>
                <w:rFonts w:cstheme="minorHAnsi"/>
                <w:color w:val="000000"/>
              </w:rPr>
            </w:pPr>
          </w:p>
        </w:tc>
        <w:tc>
          <w:tcPr>
            <w:tcW w:w="296" w:type="pct"/>
            <w:vAlign w:val="center"/>
          </w:tcPr>
          <w:p w14:paraId="798C8DBF"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2026CC9A"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0B83FF4C"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96" w:type="pct"/>
            <w:shd w:val="clear" w:color="auto" w:fill="auto"/>
            <w:noWrap/>
            <w:vAlign w:val="center"/>
          </w:tcPr>
          <w:p w14:paraId="61E5C7CC" w14:textId="77777777" w:rsidR="00771960" w:rsidRPr="002048A7" w:rsidRDefault="00771960" w:rsidP="00771960">
            <w:pPr>
              <w:spacing w:after="0"/>
              <w:jc w:val="center"/>
              <w:rPr>
                <w:rFonts w:cstheme="minorHAnsi"/>
                <w:color w:val="000000"/>
              </w:rPr>
            </w:pPr>
          </w:p>
        </w:tc>
        <w:tc>
          <w:tcPr>
            <w:tcW w:w="350" w:type="pct"/>
            <w:shd w:val="clear" w:color="auto" w:fill="auto"/>
            <w:noWrap/>
            <w:vAlign w:val="center"/>
          </w:tcPr>
          <w:p w14:paraId="472EB7FF" w14:textId="77777777" w:rsidR="00771960" w:rsidRPr="002048A7" w:rsidRDefault="00771960" w:rsidP="00771960">
            <w:pPr>
              <w:spacing w:after="0"/>
              <w:jc w:val="center"/>
              <w:rPr>
                <w:rFonts w:cstheme="minorHAnsi"/>
                <w:color w:val="000000"/>
              </w:rPr>
            </w:pPr>
          </w:p>
        </w:tc>
        <w:tc>
          <w:tcPr>
            <w:tcW w:w="317" w:type="pct"/>
            <w:shd w:val="clear" w:color="auto" w:fill="auto"/>
            <w:noWrap/>
            <w:vAlign w:val="center"/>
          </w:tcPr>
          <w:p w14:paraId="66559823" w14:textId="77777777" w:rsidR="00771960" w:rsidRPr="002048A7" w:rsidRDefault="00771960" w:rsidP="00771960">
            <w:pPr>
              <w:spacing w:after="0"/>
              <w:jc w:val="center"/>
              <w:rPr>
                <w:rFonts w:cstheme="minorHAnsi"/>
                <w:color w:val="000000"/>
              </w:rPr>
            </w:pPr>
          </w:p>
        </w:tc>
        <w:tc>
          <w:tcPr>
            <w:tcW w:w="357" w:type="pct"/>
            <w:shd w:val="clear" w:color="auto" w:fill="auto"/>
            <w:noWrap/>
            <w:vAlign w:val="center"/>
          </w:tcPr>
          <w:p w14:paraId="7CBA6322" w14:textId="77777777" w:rsidR="00771960" w:rsidRPr="002048A7" w:rsidRDefault="00771960" w:rsidP="00771960">
            <w:pPr>
              <w:spacing w:after="0"/>
              <w:jc w:val="center"/>
              <w:rPr>
                <w:rFonts w:cstheme="minorHAnsi"/>
                <w:color w:val="000000"/>
              </w:rPr>
            </w:pPr>
            <w:r w:rsidRPr="002048A7">
              <w:rPr>
                <w:rFonts w:cstheme="minorHAnsi"/>
                <w:color w:val="000000"/>
              </w:rPr>
              <w:t>1</w:t>
            </w:r>
          </w:p>
        </w:tc>
      </w:tr>
      <w:tr w:rsidR="00771960" w:rsidRPr="002048A7" w14:paraId="3E17CD48" w14:textId="77777777" w:rsidTr="003F614D">
        <w:trPr>
          <w:trHeight w:val="227"/>
        </w:trPr>
        <w:tc>
          <w:tcPr>
            <w:tcW w:w="1552" w:type="pct"/>
            <w:shd w:val="clear" w:color="auto" w:fill="auto"/>
            <w:vAlign w:val="center"/>
          </w:tcPr>
          <w:p w14:paraId="05BF3767" w14:textId="77777777" w:rsidR="00771960" w:rsidRPr="002048A7" w:rsidRDefault="00771960" w:rsidP="00771960">
            <w:pPr>
              <w:autoSpaceDE w:val="0"/>
              <w:autoSpaceDN w:val="0"/>
              <w:adjustRightInd w:val="0"/>
              <w:spacing w:after="0" w:line="240" w:lineRule="auto"/>
              <w:rPr>
                <w:rFonts w:cstheme="minorHAnsi"/>
                <w:color w:val="000000"/>
              </w:rPr>
            </w:pPr>
            <w:r w:rsidRPr="002048A7">
              <w:rPr>
                <w:rFonts w:cstheme="minorHAnsi"/>
                <w:color w:val="000000"/>
              </w:rPr>
              <w:lastRenderedPageBreak/>
              <w:t>Strateji Geliştirme Dairesi Başkanı</w:t>
            </w:r>
          </w:p>
        </w:tc>
        <w:tc>
          <w:tcPr>
            <w:tcW w:w="507" w:type="pct"/>
            <w:shd w:val="clear" w:color="auto" w:fill="auto"/>
            <w:vAlign w:val="center"/>
          </w:tcPr>
          <w:p w14:paraId="13BD3067"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437" w:type="pct"/>
            <w:shd w:val="clear" w:color="auto" w:fill="auto"/>
            <w:noWrap/>
            <w:vAlign w:val="center"/>
          </w:tcPr>
          <w:p w14:paraId="5BF6ABEB"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96" w:type="pct"/>
            <w:shd w:val="clear" w:color="auto" w:fill="auto"/>
            <w:noWrap/>
            <w:vAlign w:val="center"/>
          </w:tcPr>
          <w:p w14:paraId="212E41AC" w14:textId="77777777" w:rsidR="00771960" w:rsidRPr="002048A7" w:rsidRDefault="00771960" w:rsidP="00771960">
            <w:pPr>
              <w:spacing w:after="0"/>
              <w:jc w:val="center"/>
              <w:rPr>
                <w:rFonts w:cstheme="minorHAnsi"/>
                <w:color w:val="000000"/>
              </w:rPr>
            </w:pPr>
          </w:p>
        </w:tc>
        <w:tc>
          <w:tcPr>
            <w:tcW w:w="296" w:type="pct"/>
            <w:vAlign w:val="center"/>
          </w:tcPr>
          <w:p w14:paraId="069A1B29"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6110A5CC"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56B55BE6"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96" w:type="pct"/>
            <w:shd w:val="clear" w:color="auto" w:fill="auto"/>
            <w:noWrap/>
            <w:vAlign w:val="center"/>
          </w:tcPr>
          <w:p w14:paraId="069369C3" w14:textId="77777777" w:rsidR="00771960" w:rsidRPr="002048A7" w:rsidRDefault="00771960" w:rsidP="00771960">
            <w:pPr>
              <w:spacing w:after="0"/>
              <w:jc w:val="center"/>
              <w:rPr>
                <w:rFonts w:cstheme="minorHAnsi"/>
                <w:color w:val="000000"/>
              </w:rPr>
            </w:pPr>
          </w:p>
        </w:tc>
        <w:tc>
          <w:tcPr>
            <w:tcW w:w="350" w:type="pct"/>
            <w:shd w:val="clear" w:color="auto" w:fill="auto"/>
            <w:noWrap/>
            <w:vAlign w:val="center"/>
          </w:tcPr>
          <w:p w14:paraId="604D2432" w14:textId="77777777" w:rsidR="00771960" w:rsidRPr="002048A7" w:rsidRDefault="00771960" w:rsidP="00771960">
            <w:pPr>
              <w:spacing w:after="0"/>
              <w:jc w:val="center"/>
              <w:rPr>
                <w:rFonts w:cstheme="minorHAnsi"/>
                <w:color w:val="000000"/>
              </w:rPr>
            </w:pPr>
          </w:p>
        </w:tc>
        <w:tc>
          <w:tcPr>
            <w:tcW w:w="317" w:type="pct"/>
            <w:shd w:val="clear" w:color="auto" w:fill="auto"/>
            <w:noWrap/>
            <w:vAlign w:val="center"/>
          </w:tcPr>
          <w:p w14:paraId="0A728183" w14:textId="77777777" w:rsidR="00771960" w:rsidRPr="002048A7" w:rsidRDefault="00771960" w:rsidP="00771960">
            <w:pPr>
              <w:spacing w:after="0"/>
              <w:jc w:val="center"/>
              <w:rPr>
                <w:rFonts w:cstheme="minorHAnsi"/>
                <w:color w:val="000000"/>
              </w:rPr>
            </w:pPr>
          </w:p>
        </w:tc>
        <w:tc>
          <w:tcPr>
            <w:tcW w:w="357" w:type="pct"/>
            <w:shd w:val="clear" w:color="auto" w:fill="auto"/>
            <w:noWrap/>
            <w:vAlign w:val="center"/>
          </w:tcPr>
          <w:p w14:paraId="65DF2EEB" w14:textId="77777777" w:rsidR="00771960" w:rsidRPr="002048A7" w:rsidRDefault="00771960" w:rsidP="00771960">
            <w:pPr>
              <w:spacing w:after="0"/>
              <w:jc w:val="center"/>
              <w:rPr>
                <w:rFonts w:cstheme="minorHAnsi"/>
                <w:color w:val="000000"/>
              </w:rPr>
            </w:pPr>
            <w:r w:rsidRPr="002048A7">
              <w:rPr>
                <w:rFonts w:cstheme="minorHAnsi"/>
                <w:color w:val="000000"/>
              </w:rPr>
              <w:t>1</w:t>
            </w:r>
          </w:p>
        </w:tc>
      </w:tr>
      <w:tr w:rsidR="00771960" w:rsidRPr="002048A7" w14:paraId="26CF6FBB" w14:textId="77777777" w:rsidTr="003F614D">
        <w:trPr>
          <w:trHeight w:val="227"/>
        </w:trPr>
        <w:tc>
          <w:tcPr>
            <w:tcW w:w="1552" w:type="pct"/>
            <w:shd w:val="clear" w:color="auto" w:fill="auto"/>
            <w:vAlign w:val="center"/>
          </w:tcPr>
          <w:p w14:paraId="322B09D1" w14:textId="77777777" w:rsidR="00771960" w:rsidRPr="002048A7" w:rsidRDefault="00771960" w:rsidP="00771960">
            <w:pPr>
              <w:autoSpaceDE w:val="0"/>
              <w:autoSpaceDN w:val="0"/>
              <w:adjustRightInd w:val="0"/>
              <w:spacing w:after="0" w:line="240" w:lineRule="auto"/>
              <w:rPr>
                <w:rFonts w:cstheme="minorHAnsi"/>
                <w:color w:val="000000"/>
              </w:rPr>
            </w:pPr>
            <w:r w:rsidRPr="002048A7">
              <w:rPr>
                <w:rFonts w:cstheme="minorHAnsi"/>
                <w:color w:val="000000"/>
              </w:rPr>
              <w:t>Tarifeler Dairesi Başkanı</w:t>
            </w:r>
          </w:p>
        </w:tc>
        <w:tc>
          <w:tcPr>
            <w:tcW w:w="507" w:type="pct"/>
            <w:shd w:val="clear" w:color="auto" w:fill="auto"/>
            <w:vAlign w:val="center"/>
          </w:tcPr>
          <w:p w14:paraId="3824556B"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437" w:type="pct"/>
            <w:shd w:val="clear" w:color="auto" w:fill="auto"/>
            <w:noWrap/>
            <w:vAlign w:val="center"/>
          </w:tcPr>
          <w:p w14:paraId="64EDB014"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96" w:type="pct"/>
            <w:shd w:val="clear" w:color="auto" w:fill="auto"/>
            <w:noWrap/>
            <w:vAlign w:val="center"/>
          </w:tcPr>
          <w:p w14:paraId="0D88D0AD" w14:textId="77777777" w:rsidR="00771960" w:rsidRPr="002048A7" w:rsidRDefault="00771960" w:rsidP="00771960">
            <w:pPr>
              <w:spacing w:after="0"/>
              <w:jc w:val="center"/>
              <w:rPr>
                <w:rFonts w:cstheme="minorHAnsi"/>
                <w:color w:val="000000"/>
              </w:rPr>
            </w:pPr>
          </w:p>
        </w:tc>
        <w:tc>
          <w:tcPr>
            <w:tcW w:w="296" w:type="pct"/>
            <w:vAlign w:val="center"/>
          </w:tcPr>
          <w:p w14:paraId="54BA356B"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06A02909"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4952E59B"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0C3F5303" w14:textId="77777777" w:rsidR="00771960" w:rsidRPr="002048A7" w:rsidRDefault="00771960" w:rsidP="00771960">
            <w:pPr>
              <w:spacing w:after="0"/>
              <w:jc w:val="center"/>
              <w:rPr>
                <w:rFonts w:cstheme="minorHAnsi"/>
                <w:color w:val="000000"/>
              </w:rPr>
            </w:pPr>
          </w:p>
        </w:tc>
        <w:tc>
          <w:tcPr>
            <w:tcW w:w="350" w:type="pct"/>
            <w:shd w:val="clear" w:color="auto" w:fill="auto"/>
            <w:noWrap/>
            <w:vAlign w:val="center"/>
          </w:tcPr>
          <w:p w14:paraId="74605C8C"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317" w:type="pct"/>
            <w:shd w:val="clear" w:color="auto" w:fill="auto"/>
            <w:noWrap/>
            <w:vAlign w:val="center"/>
          </w:tcPr>
          <w:p w14:paraId="2FCB6B7C" w14:textId="77777777" w:rsidR="00771960" w:rsidRPr="002048A7" w:rsidRDefault="00771960" w:rsidP="00771960">
            <w:pPr>
              <w:spacing w:after="0"/>
              <w:jc w:val="center"/>
              <w:rPr>
                <w:rFonts w:cstheme="minorHAnsi"/>
                <w:color w:val="000000"/>
              </w:rPr>
            </w:pPr>
          </w:p>
        </w:tc>
        <w:tc>
          <w:tcPr>
            <w:tcW w:w="357" w:type="pct"/>
            <w:shd w:val="clear" w:color="auto" w:fill="auto"/>
            <w:noWrap/>
            <w:vAlign w:val="center"/>
          </w:tcPr>
          <w:p w14:paraId="29E73B01" w14:textId="77777777" w:rsidR="00771960" w:rsidRPr="002048A7" w:rsidRDefault="00771960" w:rsidP="00771960">
            <w:pPr>
              <w:spacing w:after="0"/>
              <w:jc w:val="center"/>
              <w:rPr>
                <w:rFonts w:cstheme="minorHAnsi"/>
                <w:color w:val="000000"/>
              </w:rPr>
            </w:pPr>
            <w:r w:rsidRPr="002048A7">
              <w:rPr>
                <w:rFonts w:cstheme="minorHAnsi"/>
                <w:color w:val="000000"/>
              </w:rPr>
              <w:t>1</w:t>
            </w:r>
          </w:p>
        </w:tc>
      </w:tr>
      <w:tr w:rsidR="00771960" w:rsidRPr="002048A7" w14:paraId="6D3B3F6B" w14:textId="77777777" w:rsidTr="003F614D">
        <w:trPr>
          <w:trHeight w:val="227"/>
        </w:trPr>
        <w:tc>
          <w:tcPr>
            <w:tcW w:w="1552" w:type="pct"/>
            <w:shd w:val="clear" w:color="auto" w:fill="auto"/>
            <w:vAlign w:val="center"/>
          </w:tcPr>
          <w:p w14:paraId="7EFE0EA7" w14:textId="77777777" w:rsidR="00771960" w:rsidRPr="002048A7" w:rsidRDefault="00771960" w:rsidP="00771960">
            <w:pPr>
              <w:spacing w:after="0"/>
              <w:rPr>
                <w:rFonts w:cstheme="minorHAnsi"/>
                <w:color w:val="000000"/>
              </w:rPr>
            </w:pPr>
            <w:bookmarkStart w:id="439" w:name="_Hlk316290716"/>
            <w:bookmarkStart w:id="440" w:name="_Hlk351368486"/>
            <w:r w:rsidRPr="002048A7">
              <w:rPr>
                <w:rFonts w:cstheme="minorHAnsi"/>
                <w:color w:val="000000"/>
              </w:rPr>
              <w:t>Başkan Danışmanı</w:t>
            </w:r>
          </w:p>
        </w:tc>
        <w:tc>
          <w:tcPr>
            <w:tcW w:w="507" w:type="pct"/>
            <w:shd w:val="clear" w:color="auto" w:fill="auto"/>
            <w:vAlign w:val="center"/>
          </w:tcPr>
          <w:p w14:paraId="738525EF" w14:textId="77777777" w:rsidR="00771960" w:rsidRPr="002048A7" w:rsidRDefault="00771960" w:rsidP="00771960">
            <w:pPr>
              <w:spacing w:after="0"/>
              <w:jc w:val="center"/>
              <w:rPr>
                <w:rFonts w:cstheme="minorHAnsi"/>
                <w:color w:val="000000"/>
              </w:rPr>
            </w:pPr>
            <w:r w:rsidRPr="002048A7">
              <w:rPr>
                <w:rFonts w:cstheme="minorHAnsi"/>
                <w:color w:val="000000"/>
              </w:rPr>
              <w:t>19</w:t>
            </w:r>
          </w:p>
        </w:tc>
        <w:tc>
          <w:tcPr>
            <w:tcW w:w="437" w:type="pct"/>
            <w:shd w:val="clear" w:color="auto" w:fill="auto"/>
            <w:noWrap/>
            <w:vAlign w:val="center"/>
          </w:tcPr>
          <w:p w14:paraId="560D3909" w14:textId="77777777" w:rsidR="00771960" w:rsidRPr="002048A7" w:rsidRDefault="00771960" w:rsidP="00771960">
            <w:pPr>
              <w:spacing w:after="0"/>
              <w:jc w:val="center"/>
              <w:rPr>
                <w:rFonts w:cstheme="minorHAnsi"/>
                <w:color w:val="000000"/>
              </w:rPr>
            </w:pPr>
            <w:r w:rsidRPr="002048A7">
              <w:rPr>
                <w:rFonts w:cstheme="minorHAnsi"/>
                <w:color w:val="000000"/>
              </w:rPr>
              <w:t>1</w:t>
            </w:r>
            <w:r w:rsidR="003F614D">
              <w:rPr>
                <w:rFonts w:cstheme="minorHAnsi"/>
                <w:color w:val="000000"/>
              </w:rPr>
              <w:t>0</w:t>
            </w:r>
          </w:p>
        </w:tc>
        <w:tc>
          <w:tcPr>
            <w:tcW w:w="296" w:type="pct"/>
            <w:shd w:val="clear" w:color="auto" w:fill="auto"/>
            <w:noWrap/>
            <w:vAlign w:val="center"/>
          </w:tcPr>
          <w:p w14:paraId="5451E7CF" w14:textId="77777777" w:rsidR="00771960" w:rsidRPr="002048A7" w:rsidRDefault="00771960" w:rsidP="00771960">
            <w:pPr>
              <w:spacing w:after="0"/>
              <w:jc w:val="center"/>
              <w:rPr>
                <w:rFonts w:cstheme="minorHAnsi"/>
                <w:color w:val="000000"/>
              </w:rPr>
            </w:pPr>
          </w:p>
        </w:tc>
        <w:tc>
          <w:tcPr>
            <w:tcW w:w="296" w:type="pct"/>
            <w:vAlign w:val="center"/>
          </w:tcPr>
          <w:p w14:paraId="6536CC5C"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024ACF4D"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0AFF6357" w14:textId="77777777" w:rsidR="00771960" w:rsidRPr="002048A7" w:rsidRDefault="00771960" w:rsidP="00771960">
            <w:pPr>
              <w:spacing w:after="0"/>
              <w:jc w:val="center"/>
              <w:rPr>
                <w:rFonts w:cstheme="minorHAnsi"/>
                <w:color w:val="000000"/>
              </w:rPr>
            </w:pPr>
            <w:r w:rsidRPr="002048A7">
              <w:rPr>
                <w:rFonts w:cstheme="minorHAnsi"/>
                <w:color w:val="000000"/>
              </w:rPr>
              <w:t>6</w:t>
            </w:r>
          </w:p>
        </w:tc>
        <w:tc>
          <w:tcPr>
            <w:tcW w:w="296" w:type="pct"/>
            <w:shd w:val="clear" w:color="auto" w:fill="auto"/>
            <w:noWrap/>
            <w:vAlign w:val="center"/>
          </w:tcPr>
          <w:p w14:paraId="0292B416" w14:textId="77777777" w:rsidR="00771960" w:rsidRPr="002048A7" w:rsidRDefault="003F614D" w:rsidP="00771960">
            <w:pPr>
              <w:spacing w:after="0"/>
              <w:jc w:val="center"/>
              <w:rPr>
                <w:rFonts w:cstheme="minorHAnsi"/>
                <w:color w:val="000000"/>
              </w:rPr>
            </w:pPr>
            <w:r>
              <w:rPr>
                <w:rFonts w:cstheme="minorHAnsi"/>
                <w:color w:val="000000"/>
              </w:rPr>
              <w:t>2</w:t>
            </w:r>
          </w:p>
        </w:tc>
        <w:tc>
          <w:tcPr>
            <w:tcW w:w="350" w:type="pct"/>
            <w:shd w:val="clear" w:color="auto" w:fill="auto"/>
            <w:noWrap/>
            <w:vAlign w:val="center"/>
          </w:tcPr>
          <w:p w14:paraId="5113724B" w14:textId="77777777" w:rsidR="00771960" w:rsidRPr="002048A7" w:rsidRDefault="00771960" w:rsidP="00771960">
            <w:pPr>
              <w:spacing w:after="0"/>
              <w:jc w:val="center"/>
              <w:rPr>
                <w:rFonts w:cstheme="minorHAnsi"/>
                <w:color w:val="000000"/>
              </w:rPr>
            </w:pPr>
            <w:r w:rsidRPr="002048A7">
              <w:rPr>
                <w:rFonts w:cstheme="minorHAnsi"/>
                <w:color w:val="000000"/>
              </w:rPr>
              <w:t>2</w:t>
            </w:r>
          </w:p>
        </w:tc>
        <w:tc>
          <w:tcPr>
            <w:tcW w:w="317" w:type="pct"/>
            <w:shd w:val="clear" w:color="auto" w:fill="auto"/>
            <w:noWrap/>
            <w:vAlign w:val="center"/>
          </w:tcPr>
          <w:p w14:paraId="72148EAD" w14:textId="77777777" w:rsidR="00771960" w:rsidRPr="002048A7" w:rsidRDefault="00771960" w:rsidP="00771960">
            <w:pPr>
              <w:spacing w:after="0"/>
              <w:jc w:val="center"/>
              <w:rPr>
                <w:rFonts w:cstheme="minorHAnsi"/>
                <w:color w:val="000000"/>
              </w:rPr>
            </w:pPr>
          </w:p>
        </w:tc>
        <w:tc>
          <w:tcPr>
            <w:tcW w:w="357" w:type="pct"/>
            <w:shd w:val="clear" w:color="auto" w:fill="auto"/>
            <w:noWrap/>
            <w:vAlign w:val="center"/>
          </w:tcPr>
          <w:p w14:paraId="19B26E39" w14:textId="77777777" w:rsidR="00771960" w:rsidRPr="002048A7" w:rsidRDefault="00771960" w:rsidP="00771960">
            <w:pPr>
              <w:spacing w:after="0"/>
              <w:jc w:val="center"/>
              <w:rPr>
                <w:rFonts w:cstheme="minorHAnsi"/>
                <w:color w:val="000000"/>
              </w:rPr>
            </w:pPr>
            <w:r w:rsidRPr="002048A7">
              <w:rPr>
                <w:rFonts w:cstheme="minorHAnsi"/>
                <w:color w:val="000000"/>
              </w:rPr>
              <w:t>1</w:t>
            </w:r>
            <w:r w:rsidR="003F614D">
              <w:rPr>
                <w:rFonts w:cstheme="minorHAnsi"/>
                <w:color w:val="000000"/>
              </w:rPr>
              <w:t>0</w:t>
            </w:r>
          </w:p>
        </w:tc>
      </w:tr>
      <w:tr w:rsidR="00771960" w:rsidRPr="002048A7" w14:paraId="60B9D17D" w14:textId="77777777" w:rsidTr="003F614D">
        <w:trPr>
          <w:trHeight w:val="227"/>
        </w:trPr>
        <w:tc>
          <w:tcPr>
            <w:tcW w:w="1552" w:type="pct"/>
            <w:shd w:val="clear" w:color="auto" w:fill="auto"/>
            <w:vAlign w:val="center"/>
          </w:tcPr>
          <w:p w14:paraId="14FCED5A" w14:textId="77777777" w:rsidR="00771960" w:rsidRPr="002048A7" w:rsidRDefault="00771960" w:rsidP="00771960">
            <w:pPr>
              <w:spacing w:after="0"/>
              <w:rPr>
                <w:rFonts w:cstheme="minorHAnsi"/>
                <w:color w:val="000000"/>
              </w:rPr>
            </w:pPr>
            <w:r w:rsidRPr="002048A7">
              <w:rPr>
                <w:rFonts w:cstheme="minorHAnsi"/>
                <w:color w:val="000000"/>
              </w:rPr>
              <w:t>Basın ve Halkla İlişkiler Müşaviri</w:t>
            </w:r>
          </w:p>
        </w:tc>
        <w:tc>
          <w:tcPr>
            <w:tcW w:w="507" w:type="pct"/>
            <w:shd w:val="clear" w:color="auto" w:fill="auto"/>
            <w:vAlign w:val="center"/>
          </w:tcPr>
          <w:p w14:paraId="462A4460"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437" w:type="pct"/>
            <w:shd w:val="clear" w:color="auto" w:fill="auto"/>
            <w:noWrap/>
            <w:vAlign w:val="center"/>
          </w:tcPr>
          <w:p w14:paraId="5E8DF6EE" w14:textId="77777777" w:rsidR="00771960" w:rsidRPr="002048A7" w:rsidRDefault="00771960" w:rsidP="00771960">
            <w:pPr>
              <w:spacing w:after="0"/>
              <w:jc w:val="center"/>
              <w:rPr>
                <w:rFonts w:cstheme="minorHAnsi"/>
                <w:color w:val="000000"/>
              </w:rPr>
            </w:pPr>
            <w:r w:rsidRPr="002048A7">
              <w:rPr>
                <w:rFonts w:cstheme="minorHAnsi"/>
                <w:color w:val="000000"/>
              </w:rPr>
              <w:t>-</w:t>
            </w:r>
          </w:p>
        </w:tc>
        <w:tc>
          <w:tcPr>
            <w:tcW w:w="296" w:type="pct"/>
            <w:shd w:val="clear" w:color="auto" w:fill="auto"/>
            <w:noWrap/>
            <w:vAlign w:val="center"/>
          </w:tcPr>
          <w:p w14:paraId="0747036C" w14:textId="77777777" w:rsidR="00771960" w:rsidRPr="002048A7" w:rsidRDefault="00771960" w:rsidP="00771960">
            <w:pPr>
              <w:spacing w:after="0"/>
              <w:jc w:val="center"/>
              <w:rPr>
                <w:rFonts w:cstheme="minorHAnsi"/>
                <w:color w:val="000000"/>
              </w:rPr>
            </w:pPr>
          </w:p>
        </w:tc>
        <w:tc>
          <w:tcPr>
            <w:tcW w:w="296" w:type="pct"/>
            <w:vAlign w:val="center"/>
          </w:tcPr>
          <w:p w14:paraId="4A5AFC7B"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1F94E802"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2E9548BA"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3013E3A9" w14:textId="77777777" w:rsidR="00771960" w:rsidRPr="002048A7" w:rsidRDefault="00771960" w:rsidP="00771960">
            <w:pPr>
              <w:spacing w:after="0"/>
              <w:jc w:val="center"/>
              <w:rPr>
                <w:rFonts w:cstheme="minorHAnsi"/>
                <w:color w:val="000000"/>
              </w:rPr>
            </w:pPr>
          </w:p>
        </w:tc>
        <w:tc>
          <w:tcPr>
            <w:tcW w:w="350" w:type="pct"/>
            <w:shd w:val="clear" w:color="auto" w:fill="auto"/>
            <w:noWrap/>
            <w:vAlign w:val="center"/>
          </w:tcPr>
          <w:p w14:paraId="061186F1" w14:textId="77777777" w:rsidR="00771960" w:rsidRPr="002048A7" w:rsidRDefault="00771960" w:rsidP="00771960">
            <w:pPr>
              <w:spacing w:after="0"/>
              <w:jc w:val="center"/>
              <w:rPr>
                <w:rFonts w:cstheme="minorHAnsi"/>
                <w:color w:val="000000"/>
              </w:rPr>
            </w:pPr>
          </w:p>
        </w:tc>
        <w:tc>
          <w:tcPr>
            <w:tcW w:w="317" w:type="pct"/>
            <w:shd w:val="clear" w:color="auto" w:fill="auto"/>
            <w:noWrap/>
            <w:vAlign w:val="center"/>
          </w:tcPr>
          <w:p w14:paraId="69727608" w14:textId="77777777" w:rsidR="00771960" w:rsidRPr="002048A7" w:rsidRDefault="00771960" w:rsidP="00771960">
            <w:pPr>
              <w:spacing w:after="0"/>
              <w:jc w:val="center"/>
              <w:rPr>
                <w:rFonts w:cstheme="minorHAnsi"/>
                <w:color w:val="000000"/>
              </w:rPr>
            </w:pPr>
          </w:p>
        </w:tc>
        <w:tc>
          <w:tcPr>
            <w:tcW w:w="357" w:type="pct"/>
            <w:shd w:val="clear" w:color="auto" w:fill="auto"/>
            <w:noWrap/>
            <w:vAlign w:val="center"/>
          </w:tcPr>
          <w:p w14:paraId="672710BB" w14:textId="77777777" w:rsidR="00771960" w:rsidRPr="002048A7" w:rsidRDefault="00771960" w:rsidP="00771960">
            <w:pPr>
              <w:spacing w:after="0"/>
              <w:jc w:val="center"/>
              <w:rPr>
                <w:rFonts w:cstheme="minorHAnsi"/>
                <w:color w:val="000000"/>
              </w:rPr>
            </w:pPr>
          </w:p>
        </w:tc>
      </w:tr>
      <w:tr w:rsidR="003F614D" w:rsidRPr="002048A7" w14:paraId="3CA5C7AF" w14:textId="77777777" w:rsidTr="003F614D">
        <w:trPr>
          <w:trHeight w:val="227"/>
        </w:trPr>
        <w:tc>
          <w:tcPr>
            <w:tcW w:w="1552" w:type="pct"/>
            <w:shd w:val="clear" w:color="auto" w:fill="auto"/>
            <w:vAlign w:val="center"/>
          </w:tcPr>
          <w:p w14:paraId="53A69667" w14:textId="77777777" w:rsidR="003F614D" w:rsidRPr="002048A7" w:rsidRDefault="003F614D" w:rsidP="003F614D">
            <w:pPr>
              <w:spacing w:after="0"/>
              <w:rPr>
                <w:rFonts w:cstheme="minorHAnsi"/>
                <w:color w:val="000000"/>
              </w:rPr>
            </w:pPr>
            <w:r w:rsidRPr="002048A7">
              <w:rPr>
                <w:rFonts w:cstheme="minorHAnsi"/>
                <w:color w:val="000000"/>
              </w:rPr>
              <w:t>Grup Başkanı</w:t>
            </w:r>
          </w:p>
        </w:tc>
        <w:tc>
          <w:tcPr>
            <w:tcW w:w="507" w:type="pct"/>
            <w:shd w:val="clear" w:color="auto" w:fill="auto"/>
            <w:vAlign w:val="center"/>
          </w:tcPr>
          <w:p w14:paraId="38E4E022" w14:textId="77777777" w:rsidR="003F614D" w:rsidRPr="002048A7" w:rsidRDefault="003F614D" w:rsidP="003F614D">
            <w:pPr>
              <w:spacing w:after="0"/>
              <w:jc w:val="center"/>
              <w:rPr>
                <w:rFonts w:cstheme="minorHAnsi"/>
                <w:color w:val="000000"/>
              </w:rPr>
            </w:pPr>
            <w:r w:rsidRPr="002048A7">
              <w:rPr>
                <w:rFonts w:cstheme="minorHAnsi"/>
                <w:color w:val="000000"/>
              </w:rPr>
              <w:t>74</w:t>
            </w:r>
          </w:p>
        </w:tc>
        <w:tc>
          <w:tcPr>
            <w:tcW w:w="437" w:type="pct"/>
            <w:shd w:val="clear" w:color="auto" w:fill="auto"/>
            <w:noWrap/>
            <w:vAlign w:val="center"/>
          </w:tcPr>
          <w:p w14:paraId="3F7755B6" w14:textId="77777777" w:rsidR="003F614D" w:rsidRPr="002048A7" w:rsidRDefault="003F614D" w:rsidP="003F614D">
            <w:pPr>
              <w:spacing w:after="0"/>
              <w:jc w:val="center"/>
              <w:rPr>
                <w:rFonts w:cstheme="minorHAnsi"/>
                <w:color w:val="000000"/>
              </w:rPr>
            </w:pPr>
            <w:r w:rsidRPr="002048A7">
              <w:rPr>
                <w:rFonts w:cstheme="minorHAnsi"/>
                <w:color w:val="000000"/>
              </w:rPr>
              <w:t>7</w:t>
            </w:r>
            <w:r>
              <w:rPr>
                <w:rFonts w:cstheme="minorHAnsi"/>
                <w:color w:val="000000"/>
              </w:rPr>
              <w:t>1</w:t>
            </w:r>
          </w:p>
        </w:tc>
        <w:tc>
          <w:tcPr>
            <w:tcW w:w="296" w:type="pct"/>
            <w:shd w:val="clear" w:color="auto" w:fill="auto"/>
            <w:noWrap/>
            <w:vAlign w:val="center"/>
          </w:tcPr>
          <w:p w14:paraId="60200D65" w14:textId="77777777" w:rsidR="003F614D" w:rsidRPr="002048A7" w:rsidRDefault="003F614D" w:rsidP="003F614D">
            <w:pPr>
              <w:spacing w:after="0"/>
              <w:jc w:val="center"/>
              <w:rPr>
                <w:rFonts w:cstheme="minorHAnsi"/>
                <w:color w:val="000000"/>
              </w:rPr>
            </w:pPr>
          </w:p>
        </w:tc>
        <w:tc>
          <w:tcPr>
            <w:tcW w:w="296" w:type="pct"/>
            <w:vAlign w:val="center"/>
          </w:tcPr>
          <w:p w14:paraId="48AEB335" w14:textId="77777777" w:rsidR="003F614D" w:rsidRPr="002048A7" w:rsidRDefault="003F614D" w:rsidP="003F614D">
            <w:pPr>
              <w:spacing w:after="0"/>
              <w:jc w:val="center"/>
              <w:rPr>
                <w:rFonts w:cstheme="minorHAnsi"/>
                <w:color w:val="000000"/>
              </w:rPr>
            </w:pPr>
          </w:p>
        </w:tc>
        <w:tc>
          <w:tcPr>
            <w:tcW w:w="296" w:type="pct"/>
            <w:shd w:val="clear" w:color="auto" w:fill="auto"/>
            <w:noWrap/>
            <w:vAlign w:val="center"/>
          </w:tcPr>
          <w:p w14:paraId="711DD816" w14:textId="77777777" w:rsidR="003F614D" w:rsidRPr="002048A7" w:rsidRDefault="003F614D" w:rsidP="003F614D">
            <w:pPr>
              <w:spacing w:after="0"/>
              <w:jc w:val="center"/>
              <w:rPr>
                <w:rFonts w:cstheme="minorHAnsi"/>
                <w:color w:val="000000"/>
              </w:rPr>
            </w:pPr>
          </w:p>
        </w:tc>
        <w:tc>
          <w:tcPr>
            <w:tcW w:w="296" w:type="pct"/>
            <w:shd w:val="clear" w:color="auto" w:fill="auto"/>
            <w:noWrap/>
            <w:vAlign w:val="center"/>
          </w:tcPr>
          <w:p w14:paraId="20F7AA0C" w14:textId="77777777" w:rsidR="003F614D" w:rsidRPr="003F614D" w:rsidRDefault="003F614D" w:rsidP="003F614D">
            <w:pPr>
              <w:spacing w:after="0"/>
              <w:jc w:val="center"/>
              <w:rPr>
                <w:rFonts w:cstheme="minorHAnsi"/>
                <w:color w:val="000000"/>
              </w:rPr>
            </w:pPr>
            <w:r w:rsidRPr="003F614D">
              <w:rPr>
                <w:rFonts w:cstheme="minorHAnsi"/>
                <w:color w:val="000000"/>
              </w:rPr>
              <w:t>47</w:t>
            </w:r>
          </w:p>
        </w:tc>
        <w:tc>
          <w:tcPr>
            <w:tcW w:w="296" w:type="pct"/>
            <w:shd w:val="clear" w:color="auto" w:fill="auto"/>
            <w:noWrap/>
            <w:vAlign w:val="center"/>
          </w:tcPr>
          <w:p w14:paraId="5843511F" w14:textId="77777777" w:rsidR="003F614D" w:rsidRPr="003F614D" w:rsidRDefault="003F614D" w:rsidP="003F614D">
            <w:pPr>
              <w:spacing w:after="0"/>
              <w:jc w:val="center"/>
              <w:rPr>
                <w:rFonts w:cstheme="minorHAnsi"/>
                <w:color w:val="000000"/>
              </w:rPr>
            </w:pPr>
            <w:r w:rsidRPr="003F614D">
              <w:rPr>
                <w:rFonts w:cstheme="minorHAnsi"/>
                <w:color w:val="000000"/>
              </w:rPr>
              <w:t>19</w:t>
            </w:r>
          </w:p>
        </w:tc>
        <w:tc>
          <w:tcPr>
            <w:tcW w:w="350" w:type="pct"/>
            <w:shd w:val="clear" w:color="auto" w:fill="auto"/>
            <w:noWrap/>
            <w:vAlign w:val="center"/>
          </w:tcPr>
          <w:p w14:paraId="298BE609" w14:textId="77777777" w:rsidR="003F614D" w:rsidRPr="003F614D" w:rsidRDefault="003F614D" w:rsidP="003F614D">
            <w:pPr>
              <w:spacing w:after="0"/>
              <w:jc w:val="center"/>
              <w:rPr>
                <w:rFonts w:cstheme="minorHAnsi"/>
                <w:color w:val="000000"/>
              </w:rPr>
            </w:pPr>
            <w:r w:rsidRPr="003F614D">
              <w:rPr>
                <w:rFonts w:cstheme="minorHAnsi"/>
                <w:color w:val="000000"/>
              </w:rPr>
              <w:t>5</w:t>
            </w:r>
          </w:p>
        </w:tc>
        <w:tc>
          <w:tcPr>
            <w:tcW w:w="317" w:type="pct"/>
            <w:shd w:val="clear" w:color="auto" w:fill="auto"/>
            <w:noWrap/>
            <w:vAlign w:val="center"/>
          </w:tcPr>
          <w:p w14:paraId="77049D97" w14:textId="77777777" w:rsidR="003F614D" w:rsidRPr="003F614D" w:rsidRDefault="003F614D" w:rsidP="003F614D">
            <w:pPr>
              <w:spacing w:after="0"/>
              <w:jc w:val="center"/>
              <w:rPr>
                <w:rFonts w:cstheme="minorHAnsi"/>
                <w:color w:val="000000"/>
              </w:rPr>
            </w:pPr>
            <w:r w:rsidRPr="003F614D">
              <w:rPr>
                <w:rFonts w:cstheme="minorHAnsi"/>
                <w:color w:val="000000"/>
              </w:rPr>
              <w:t>17</w:t>
            </w:r>
          </w:p>
        </w:tc>
        <w:tc>
          <w:tcPr>
            <w:tcW w:w="357" w:type="pct"/>
            <w:shd w:val="clear" w:color="auto" w:fill="auto"/>
            <w:noWrap/>
            <w:vAlign w:val="center"/>
          </w:tcPr>
          <w:p w14:paraId="071E9E26" w14:textId="77777777" w:rsidR="003F614D" w:rsidRPr="003F614D" w:rsidRDefault="003F614D" w:rsidP="003F614D">
            <w:pPr>
              <w:spacing w:after="0"/>
              <w:jc w:val="center"/>
              <w:rPr>
                <w:rFonts w:cstheme="minorHAnsi"/>
                <w:color w:val="000000"/>
              </w:rPr>
            </w:pPr>
            <w:r w:rsidRPr="003F614D">
              <w:rPr>
                <w:rFonts w:cstheme="minorHAnsi"/>
                <w:color w:val="000000"/>
              </w:rPr>
              <w:t>54</w:t>
            </w:r>
          </w:p>
        </w:tc>
      </w:tr>
      <w:tr w:rsidR="00771960" w:rsidRPr="002048A7" w14:paraId="6A7494C6" w14:textId="77777777" w:rsidTr="003F614D">
        <w:trPr>
          <w:trHeight w:val="227"/>
        </w:trPr>
        <w:tc>
          <w:tcPr>
            <w:tcW w:w="1552" w:type="pct"/>
            <w:shd w:val="clear" w:color="auto" w:fill="auto"/>
            <w:vAlign w:val="center"/>
          </w:tcPr>
          <w:p w14:paraId="3EEA6109" w14:textId="77777777" w:rsidR="00771960" w:rsidRPr="002048A7" w:rsidRDefault="00771960" w:rsidP="00771960">
            <w:pPr>
              <w:spacing w:after="0"/>
              <w:rPr>
                <w:rFonts w:cstheme="minorHAnsi"/>
                <w:color w:val="000000"/>
              </w:rPr>
            </w:pPr>
            <w:r w:rsidRPr="002048A7">
              <w:rPr>
                <w:rFonts w:cstheme="minorHAnsi"/>
                <w:color w:val="000000"/>
              </w:rPr>
              <w:t>Özel Kalem Müdürü</w:t>
            </w:r>
          </w:p>
        </w:tc>
        <w:tc>
          <w:tcPr>
            <w:tcW w:w="507" w:type="pct"/>
            <w:shd w:val="clear" w:color="auto" w:fill="auto"/>
            <w:vAlign w:val="center"/>
          </w:tcPr>
          <w:p w14:paraId="409975A7"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437" w:type="pct"/>
            <w:shd w:val="clear" w:color="auto" w:fill="auto"/>
            <w:noWrap/>
            <w:vAlign w:val="center"/>
          </w:tcPr>
          <w:p w14:paraId="5A436A46"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96" w:type="pct"/>
            <w:shd w:val="clear" w:color="auto" w:fill="auto"/>
            <w:noWrap/>
            <w:vAlign w:val="center"/>
          </w:tcPr>
          <w:p w14:paraId="6750DAC4" w14:textId="77777777" w:rsidR="00771960" w:rsidRPr="002048A7" w:rsidRDefault="00771960" w:rsidP="00771960">
            <w:pPr>
              <w:spacing w:after="0"/>
              <w:jc w:val="center"/>
              <w:rPr>
                <w:rFonts w:cstheme="minorHAnsi"/>
                <w:color w:val="000000"/>
              </w:rPr>
            </w:pPr>
          </w:p>
        </w:tc>
        <w:tc>
          <w:tcPr>
            <w:tcW w:w="296" w:type="pct"/>
            <w:vAlign w:val="center"/>
          </w:tcPr>
          <w:p w14:paraId="23E57B27"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35B25ADD"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1654A602"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96" w:type="pct"/>
            <w:shd w:val="clear" w:color="auto" w:fill="auto"/>
            <w:noWrap/>
            <w:vAlign w:val="center"/>
          </w:tcPr>
          <w:p w14:paraId="48714669" w14:textId="77777777" w:rsidR="00771960" w:rsidRPr="002048A7" w:rsidRDefault="00771960" w:rsidP="00771960">
            <w:pPr>
              <w:spacing w:after="0"/>
              <w:jc w:val="center"/>
              <w:rPr>
                <w:rFonts w:cstheme="minorHAnsi"/>
                <w:color w:val="000000"/>
              </w:rPr>
            </w:pPr>
          </w:p>
        </w:tc>
        <w:tc>
          <w:tcPr>
            <w:tcW w:w="350" w:type="pct"/>
            <w:shd w:val="clear" w:color="auto" w:fill="auto"/>
            <w:noWrap/>
            <w:vAlign w:val="center"/>
          </w:tcPr>
          <w:p w14:paraId="3CA70003" w14:textId="77777777" w:rsidR="00771960" w:rsidRPr="002048A7" w:rsidRDefault="00771960" w:rsidP="00771960">
            <w:pPr>
              <w:spacing w:after="0"/>
              <w:jc w:val="center"/>
              <w:rPr>
                <w:rFonts w:cstheme="minorHAnsi"/>
                <w:color w:val="000000"/>
              </w:rPr>
            </w:pPr>
          </w:p>
        </w:tc>
        <w:tc>
          <w:tcPr>
            <w:tcW w:w="317" w:type="pct"/>
            <w:shd w:val="clear" w:color="auto" w:fill="auto"/>
            <w:noWrap/>
            <w:vAlign w:val="center"/>
          </w:tcPr>
          <w:p w14:paraId="6DB85312" w14:textId="77777777" w:rsidR="00771960" w:rsidRPr="002048A7" w:rsidRDefault="00771960" w:rsidP="00771960">
            <w:pPr>
              <w:spacing w:after="0"/>
              <w:jc w:val="center"/>
              <w:rPr>
                <w:rFonts w:cstheme="minorHAnsi"/>
                <w:color w:val="000000"/>
              </w:rPr>
            </w:pPr>
          </w:p>
        </w:tc>
        <w:tc>
          <w:tcPr>
            <w:tcW w:w="357" w:type="pct"/>
            <w:shd w:val="clear" w:color="auto" w:fill="auto"/>
            <w:noWrap/>
            <w:vAlign w:val="center"/>
          </w:tcPr>
          <w:p w14:paraId="5357CD87" w14:textId="77777777" w:rsidR="00771960" w:rsidRPr="002048A7" w:rsidRDefault="00771960" w:rsidP="00771960">
            <w:pPr>
              <w:spacing w:after="0"/>
              <w:jc w:val="center"/>
              <w:rPr>
                <w:rFonts w:cstheme="minorHAnsi"/>
                <w:color w:val="000000"/>
              </w:rPr>
            </w:pPr>
            <w:r w:rsidRPr="002048A7">
              <w:rPr>
                <w:rFonts w:cstheme="minorHAnsi"/>
                <w:color w:val="000000"/>
              </w:rPr>
              <w:t>1</w:t>
            </w:r>
          </w:p>
        </w:tc>
      </w:tr>
      <w:tr w:rsidR="00771960" w:rsidRPr="002048A7" w14:paraId="58FC8BBA" w14:textId="77777777" w:rsidTr="003F614D">
        <w:trPr>
          <w:trHeight w:val="227"/>
        </w:trPr>
        <w:tc>
          <w:tcPr>
            <w:tcW w:w="1552" w:type="pct"/>
            <w:shd w:val="clear" w:color="auto" w:fill="auto"/>
            <w:vAlign w:val="center"/>
          </w:tcPr>
          <w:p w14:paraId="157C5CE1" w14:textId="77777777" w:rsidR="00771960" w:rsidRPr="002048A7" w:rsidRDefault="00771960" w:rsidP="00771960">
            <w:pPr>
              <w:spacing w:after="0"/>
              <w:rPr>
                <w:rFonts w:cstheme="minorHAnsi"/>
                <w:color w:val="000000"/>
              </w:rPr>
            </w:pPr>
            <w:r w:rsidRPr="002048A7">
              <w:rPr>
                <w:rFonts w:cstheme="minorHAnsi"/>
                <w:color w:val="000000"/>
              </w:rPr>
              <w:t>İrtibat Büro Müdürü</w:t>
            </w:r>
          </w:p>
        </w:tc>
        <w:tc>
          <w:tcPr>
            <w:tcW w:w="507" w:type="pct"/>
            <w:shd w:val="clear" w:color="auto" w:fill="auto"/>
            <w:vAlign w:val="center"/>
          </w:tcPr>
          <w:p w14:paraId="5F03DB42"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437" w:type="pct"/>
            <w:shd w:val="clear" w:color="auto" w:fill="auto"/>
            <w:noWrap/>
            <w:vAlign w:val="center"/>
          </w:tcPr>
          <w:p w14:paraId="31FF63AB" w14:textId="77777777" w:rsidR="00771960" w:rsidRPr="002048A7" w:rsidRDefault="00771960" w:rsidP="00771960">
            <w:pPr>
              <w:spacing w:after="0"/>
              <w:jc w:val="center"/>
              <w:rPr>
                <w:rFonts w:cstheme="minorHAnsi"/>
                <w:color w:val="000000"/>
              </w:rPr>
            </w:pPr>
            <w:r w:rsidRPr="002048A7">
              <w:rPr>
                <w:rFonts w:cstheme="minorHAnsi"/>
                <w:color w:val="000000"/>
              </w:rPr>
              <w:t>-</w:t>
            </w:r>
          </w:p>
        </w:tc>
        <w:tc>
          <w:tcPr>
            <w:tcW w:w="296" w:type="pct"/>
            <w:shd w:val="clear" w:color="auto" w:fill="auto"/>
            <w:noWrap/>
            <w:vAlign w:val="center"/>
          </w:tcPr>
          <w:p w14:paraId="2D9F7828" w14:textId="77777777" w:rsidR="00771960" w:rsidRPr="002048A7" w:rsidRDefault="00771960" w:rsidP="00771960">
            <w:pPr>
              <w:spacing w:after="0"/>
              <w:jc w:val="center"/>
              <w:rPr>
                <w:rFonts w:cstheme="minorHAnsi"/>
                <w:color w:val="000000"/>
              </w:rPr>
            </w:pPr>
          </w:p>
        </w:tc>
        <w:tc>
          <w:tcPr>
            <w:tcW w:w="296" w:type="pct"/>
            <w:vAlign w:val="center"/>
          </w:tcPr>
          <w:p w14:paraId="59D1529F"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4E5B9186"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29EAB3DF"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2C0344F5" w14:textId="77777777" w:rsidR="00771960" w:rsidRPr="002048A7" w:rsidRDefault="00771960" w:rsidP="00771960">
            <w:pPr>
              <w:spacing w:after="0"/>
              <w:jc w:val="center"/>
              <w:rPr>
                <w:rFonts w:cstheme="minorHAnsi"/>
                <w:color w:val="000000"/>
              </w:rPr>
            </w:pPr>
          </w:p>
        </w:tc>
        <w:tc>
          <w:tcPr>
            <w:tcW w:w="350" w:type="pct"/>
            <w:shd w:val="clear" w:color="auto" w:fill="auto"/>
            <w:noWrap/>
            <w:vAlign w:val="center"/>
          </w:tcPr>
          <w:p w14:paraId="147947C5" w14:textId="77777777" w:rsidR="00771960" w:rsidRPr="002048A7" w:rsidRDefault="00771960" w:rsidP="00771960">
            <w:pPr>
              <w:spacing w:after="0"/>
              <w:jc w:val="center"/>
              <w:rPr>
                <w:rFonts w:cstheme="minorHAnsi"/>
                <w:color w:val="000000"/>
              </w:rPr>
            </w:pPr>
          </w:p>
        </w:tc>
        <w:tc>
          <w:tcPr>
            <w:tcW w:w="317" w:type="pct"/>
            <w:shd w:val="clear" w:color="auto" w:fill="auto"/>
            <w:noWrap/>
            <w:vAlign w:val="center"/>
          </w:tcPr>
          <w:p w14:paraId="0BC2FF1A" w14:textId="77777777" w:rsidR="00771960" w:rsidRPr="002048A7" w:rsidRDefault="00771960" w:rsidP="00771960">
            <w:pPr>
              <w:spacing w:after="0"/>
              <w:jc w:val="center"/>
              <w:rPr>
                <w:rFonts w:cstheme="minorHAnsi"/>
                <w:color w:val="000000"/>
              </w:rPr>
            </w:pPr>
          </w:p>
        </w:tc>
        <w:tc>
          <w:tcPr>
            <w:tcW w:w="357" w:type="pct"/>
            <w:shd w:val="clear" w:color="auto" w:fill="auto"/>
            <w:noWrap/>
            <w:vAlign w:val="center"/>
          </w:tcPr>
          <w:p w14:paraId="52C13434" w14:textId="77777777" w:rsidR="00771960" w:rsidRPr="002048A7" w:rsidRDefault="00771960" w:rsidP="00771960">
            <w:pPr>
              <w:spacing w:after="0"/>
              <w:jc w:val="center"/>
              <w:rPr>
                <w:rFonts w:cstheme="minorHAnsi"/>
                <w:color w:val="000000"/>
              </w:rPr>
            </w:pPr>
          </w:p>
        </w:tc>
      </w:tr>
      <w:tr w:rsidR="00771960" w:rsidRPr="002048A7" w14:paraId="24355592" w14:textId="77777777" w:rsidTr="003F614D">
        <w:trPr>
          <w:trHeight w:val="227"/>
        </w:trPr>
        <w:tc>
          <w:tcPr>
            <w:tcW w:w="1552" w:type="pct"/>
            <w:shd w:val="clear" w:color="auto" w:fill="auto"/>
            <w:vAlign w:val="center"/>
          </w:tcPr>
          <w:p w14:paraId="6B893A6E" w14:textId="77777777" w:rsidR="00771960" w:rsidRPr="002048A7" w:rsidRDefault="00771960" w:rsidP="00771960">
            <w:pPr>
              <w:spacing w:after="0"/>
              <w:rPr>
                <w:rFonts w:cstheme="minorHAnsi"/>
                <w:color w:val="000000"/>
              </w:rPr>
            </w:pPr>
            <w:r w:rsidRPr="002048A7">
              <w:rPr>
                <w:rFonts w:cstheme="minorHAnsi"/>
                <w:color w:val="000000"/>
              </w:rPr>
              <w:t>Kurul Hizmetleri Müdürü</w:t>
            </w:r>
          </w:p>
        </w:tc>
        <w:tc>
          <w:tcPr>
            <w:tcW w:w="507" w:type="pct"/>
            <w:shd w:val="clear" w:color="auto" w:fill="auto"/>
            <w:vAlign w:val="center"/>
          </w:tcPr>
          <w:p w14:paraId="0A938254"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437" w:type="pct"/>
            <w:shd w:val="clear" w:color="auto" w:fill="auto"/>
            <w:noWrap/>
            <w:vAlign w:val="center"/>
          </w:tcPr>
          <w:p w14:paraId="57FB8770"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96" w:type="pct"/>
            <w:shd w:val="clear" w:color="auto" w:fill="auto"/>
            <w:noWrap/>
            <w:vAlign w:val="center"/>
          </w:tcPr>
          <w:p w14:paraId="6787B2FF" w14:textId="77777777" w:rsidR="00771960" w:rsidRPr="002048A7" w:rsidRDefault="00771960" w:rsidP="00771960">
            <w:pPr>
              <w:spacing w:after="0"/>
              <w:jc w:val="center"/>
              <w:rPr>
                <w:rFonts w:cstheme="minorHAnsi"/>
                <w:color w:val="000000"/>
              </w:rPr>
            </w:pPr>
          </w:p>
        </w:tc>
        <w:tc>
          <w:tcPr>
            <w:tcW w:w="296" w:type="pct"/>
            <w:vAlign w:val="center"/>
          </w:tcPr>
          <w:p w14:paraId="5BEABC46"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5745A8E3"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266CF60A"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96" w:type="pct"/>
            <w:shd w:val="clear" w:color="auto" w:fill="auto"/>
            <w:noWrap/>
            <w:vAlign w:val="center"/>
          </w:tcPr>
          <w:p w14:paraId="3D27B4DA" w14:textId="77777777" w:rsidR="00771960" w:rsidRPr="002048A7" w:rsidRDefault="00771960" w:rsidP="00771960">
            <w:pPr>
              <w:spacing w:after="0"/>
              <w:jc w:val="center"/>
              <w:rPr>
                <w:rFonts w:cstheme="minorHAnsi"/>
                <w:color w:val="000000"/>
              </w:rPr>
            </w:pPr>
          </w:p>
        </w:tc>
        <w:tc>
          <w:tcPr>
            <w:tcW w:w="350" w:type="pct"/>
            <w:shd w:val="clear" w:color="auto" w:fill="auto"/>
            <w:noWrap/>
            <w:vAlign w:val="center"/>
          </w:tcPr>
          <w:p w14:paraId="3751D328" w14:textId="77777777" w:rsidR="00771960" w:rsidRPr="002048A7" w:rsidRDefault="00771960" w:rsidP="00771960">
            <w:pPr>
              <w:spacing w:after="0"/>
              <w:jc w:val="center"/>
              <w:rPr>
                <w:rFonts w:cstheme="minorHAnsi"/>
                <w:color w:val="000000"/>
              </w:rPr>
            </w:pPr>
          </w:p>
        </w:tc>
        <w:tc>
          <w:tcPr>
            <w:tcW w:w="317" w:type="pct"/>
            <w:shd w:val="clear" w:color="auto" w:fill="auto"/>
            <w:noWrap/>
            <w:vAlign w:val="center"/>
          </w:tcPr>
          <w:p w14:paraId="591E75B4"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357" w:type="pct"/>
            <w:shd w:val="clear" w:color="auto" w:fill="auto"/>
            <w:noWrap/>
            <w:vAlign w:val="center"/>
          </w:tcPr>
          <w:p w14:paraId="009661DF" w14:textId="77777777" w:rsidR="00771960" w:rsidRPr="002048A7" w:rsidRDefault="00771960" w:rsidP="00771960">
            <w:pPr>
              <w:spacing w:after="0"/>
              <w:jc w:val="center"/>
              <w:rPr>
                <w:rFonts w:cstheme="minorHAnsi"/>
                <w:color w:val="000000"/>
              </w:rPr>
            </w:pPr>
          </w:p>
        </w:tc>
      </w:tr>
      <w:tr w:rsidR="00771960" w:rsidRPr="002048A7" w14:paraId="08119794" w14:textId="77777777" w:rsidTr="003F614D">
        <w:trPr>
          <w:trHeight w:val="227"/>
        </w:trPr>
        <w:tc>
          <w:tcPr>
            <w:tcW w:w="1552" w:type="pct"/>
            <w:shd w:val="clear" w:color="auto" w:fill="auto"/>
            <w:vAlign w:val="center"/>
          </w:tcPr>
          <w:p w14:paraId="2D20864D" w14:textId="77777777" w:rsidR="00771960" w:rsidRPr="002048A7" w:rsidRDefault="00771960" w:rsidP="00771960">
            <w:pPr>
              <w:spacing w:after="0"/>
              <w:rPr>
                <w:rFonts w:cstheme="minorHAnsi"/>
                <w:color w:val="000000"/>
              </w:rPr>
            </w:pPr>
            <w:r w:rsidRPr="002048A7">
              <w:rPr>
                <w:rFonts w:cstheme="minorHAnsi"/>
                <w:color w:val="000000"/>
              </w:rPr>
              <w:t>Kurul Hizmetleri Müdür Yardımcısı</w:t>
            </w:r>
          </w:p>
        </w:tc>
        <w:tc>
          <w:tcPr>
            <w:tcW w:w="507" w:type="pct"/>
            <w:shd w:val="clear" w:color="auto" w:fill="auto"/>
            <w:vAlign w:val="center"/>
          </w:tcPr>
          <w:p w14:paraId="53CD0928"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437" w:type="pct"/>
            <w:shd w:val="clear" w:color="auto" w:fill="auto"/>
            <w:noWrap/>
            <w:vAlign w:val="center"/>
          </w:tcPr>
          <w:p w14:paraId="7BE5292B" w14:textId="77777777" w:rsidR="00771960" w:rsidRPr="002048A7" w:rsidRDefault="00771960" w:rsidP="00771960">
            <w:pPr>
              <w:spacing w:after="0"/>
              <w:jc w:val="center"/>
              <w:rPr>
                <w:rFonts w:cstheme="minorHAnsi"/>
                <w:color w:val="000000"/>
              </w:rPr>
            </w:pPr>
            <w:r w:rsidRPr="002048A7">
              <w:rPr>
                <w:rFonts w:cstheme="minorHAnsi"/>
                <w:color w:val="000000"/>
              </w:rPr>
              <w:t>-</w:t>
            </w:r>
          </w:p>
        </w:tc>
        <w:tc>
          <w:tcPr>
            <w:tcW w:w="296" w:type="pct"/>
            <w:shd w:val="clear" w:color="auto" w:fill="auto"/>
            <w:noWrap/>
            <w:vAlign w:val="center"/>
          </w:tcPr>
          <w:p w14:paraId="216952DB" w14:textId="77777777" w:rsidR="00771960" w:rsidRPr="002048A7" w:rsidRDefault="00771960" w:rsidP="00771960">
            <w:pPr>
              <w:spacing w:after="0"/>
              <w:jc w:val="center"/>
              <w:rPr>
                <w:rFonts w:cstheme="minorHAnsi"/>
                <w:color w:val="000000"/>
              </w:rPr>
            </w:pPr>
          </w:p>
        </w:tc>
        <w:tc>
          <w:tcPr>
            <w:tcW w:w="296" w:type="pct"/>
            <w:vAlign w:val="center"/>
          </w:tcPr>
          <w:p w14:paraId="609C5554"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68825313"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6AB9FEC1"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7C6F1FCE" w14:textId="77777777" w:rsidR="00771960" w:rsidRPr="002048A7" w:rsidRDefault="00771960" w:rsidP="00771960">
            <w:pPr>
              <w:spacing w:after="0"/>
              <w:jc w:val="center"/>
              <w:rPr>
                <w:rFonts w:cstheme="minorHAnsi"/>
                <w:color w:val="000000"/>
              </w:rPr>
            </w:pPr>
          </w:p>
        </w:tc>
        <w:tc>
          <w:tcPr>
            <w:tcW w:w="350" w:type="pct"/>
            <w:shd w:val="clear" w:color="auto" w:fill="auto"/>
            <w:noWrap/>
            <w:vAlign w:val="center"/>
          </w:tcPr>
          <w:p w14:paraId="4E241F0A" w14:textId="77777777" w:rsidR="00771960" w:rsidRPr="002048A7" w:rsidRDefault="00771960" w:rsidP="00771960">
            <w:pPr>
              <w:spacing w:after="0"/>
              <w:jc w:val="center"/>
              <w:rPr>
                <w:rFonts w:cstheme="minorHAnsi"/>
                <w:color w:val="000000"/>
              </w:rPr>
            </w:pPr>
          </w:p>
        </w:tc>
        <w:tc>
          <w:tcPr>
            <w:tcW w:w="317" w:type="pct"/>
            <w:shd w:val="clear" w:color="auto" w:fill="auto"/>
            <w:noWrap/>
            <w:vAlign w:val="center"/>
          </w:tcPr>
          <w:p w14:paraId="5AC7B08D" w14:textId="77777777" w:rsidR="00771960" w:rsidRPr="002048A7" w:rsidRDefault="00771960" w:rsidP="00771960">
            <w:pPr>
              <w:spacing w:after="0"/>
              <w:jc w:val="center"/>
              <w:rPr>
                <w:rFonts w:cstheme="minorHAnsi"/>
                <w:color w:val="000000"/>
              </w:rPr>
            </w:pPr>
          </w:p>
        </w:tc>
        <w:tc>
          <w:tcPr>
            <w:tcW w:w="357" w:type="pct"/>
            <w:shd w:val="clear" w:color="auto" w:fill="auto"/>
            <w:noWrap/>
            <w:vAlign w:val="center"/>
          </w:tcPr>
          <w:p w14:paraId="39CCFCF8" w14:textId="77777777" w:rsidR="00771960" w:rsidRPr="002048A7" w:rsidRDefault="00771960" w:rsidP="00771960">
            <w:pPr>
              <w:spacing w:after="0"/>
              <w:jc w:val="center"/>
              <w:rPr>
                <w:rFonts w:cstheme="minorHAnsi"/>
                <w:color w:val="000000"/>
              </w:rPr>
            </w:pPr>
          </w:p>
        </w:tc>
      </w:tr>
      <w:tr w:rsidR="00771960" w:rsidRPr="002048A7" w14:paraId="5CA34D6D" w14:textId="77777777" w:rsidTr="003F614D">
        <w:trPr>
          <w:trHeight w:val="227"/>
        </w:trPr>
        <w:tc>
          <w:tcPr>
            <w:tcW w:w="1552" w:type="pct"/>
            <w:shd w:val="clear" w:color="auto" w:fill="auto"/>
            <w:vAlign w:val="center"/>
          </w:tcPr>
          <w:p w14:paraId="25F0C84F" w14:textId="77777777" w:rsidR="00771960" w:rsidRPr="002048A7" w:rsidRDefault="00771960" w:rsidP="00771960">
            <w:pPr>
              <w:spacing w:after="0"/>
              <w:rPr>
                <w:rFonts w:cstheme="minorHAnsi"/>
                <w:color w:val="000000"/>
              </w:rPr>
            </w:pPr>
            <w:r w:rsidRPr="002048A7">
              <w:rPr>
                <w:rFonts w:cstheme="minorHAnsi"/>
                <w:color w:val="000000"/>
              </w:rPr>
              <w:t>Özel Kalem Müdür Yardımcısı</w:t>
            </w:r>
          </w:p>
        </w:tc>
        <w:tc>
          <w:tcPr>
            <w:tcW w:w="507" w:type="pct"/>
            <w:shd w:val="clear" w:color="auto" w:fill="auto"/>
            <w:vAlign w:val="center"/>
          </w:tcPr>
          <w:p w14:paraId="21413360"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437" w:type="pct"/>
            <w:shd w:val="clear" w:color="auto" w:fill="auto"/>
            <w:noWrap/>
            <w:vAlign w:val="center"/>
          </w:tcPr>
          <w:p w14:paraId="5D5CB7F3" w14:textId="77777777" w:rsidR="00771960" w:rsidRPr="002048A7" w:rsidRDefault="00771960" w:rsidP="00771960">
            <w:pPr>
              <w:spacing w:after="0"/>
              <w:jc w:val="center"/>
              <w:rPr>
                <w:rFonts w:cstheme="minorHAnsi"/>
                <w:color w:val="000000"/>
              </w:rPr>
            </w:pPr>
            <w:r w:rsidRPr="002048A7">
              <w:rPr>
                <w:rFonts w:cstheme="minorHAnsi"/>
                <w:color w:val="000000"/>
              </w:rPr>
              <w:t>-</w:t>
            </w:r>
          </w:p>
        </w:tc>
        <w:tc>
          <w:tcPr>
            <w:tcW w:w="296" w:type="pct"/>
            <w:shd w:val="clear" w:color="auto" w:fill="auto"/>
            <w:noWrap/>
            <w:vAlign w:val="center"/>
          </w:tcPr>
          <w:p w14:paraId="4909C975" w14:textId="77777777" w:rsidR="00771960" w:rsidRPr="002048A7" w:rsidRDefault="00771960" w:rsidP="00771960">
            <w:pPr>
              <w:spacing w:after="0"/>
              <w:jc w:val="center"/>
              <w:rPr>
                <w:rFonts w:cstheme="minorHAnsi"/>
                <w:color w:val="000000"/>
              </w:rPr>
            </w:pPr>
          </w:p>
        </w:tc>
        <w:tc>
          <w:tcPr>
            <w:tcW w:w="296" w:type="pct"/>
            <w:vAlign w:val="center"/>
          </w:tcPr>
          <w:p w14:paraId="178261BA"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7FEBD656"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158AA32C"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02A28144" w14:textId="77777777" w:rsidR="00771960" w:rsidRPr="002048A7" w:rsidRDefault="00771960" w:rsidP="00771960">
            <w:pPr>
              <w:spacing w:after="0"/>
              <w:jc w:val="center"/>
              <w:rPr>
                <w:rFonts w:cstheme="minorHAnsi"/>
                <w:color w:val="000000"/>
              </w:rPr>
            </w:pPr>
          </w:p>
        </w:tc>
        <w:tc>
          <w:tcPr>
            <w:tcW w:w="350" w:type="pct"/>
            <w:shd w:val="clear" w:color="auto" w:fill="auto"/>
            <w:noWrap/>
            <w:vAlign w:val="center"/>
          </w:tcPr>
          <w:p w14:paraId="2F45BC9C" w14:textId="77777777" w:rsidR="00771960" w:rsidRPr="002048A7" w:rsidRDefault="00771960" w:rsidP="00771960">
            <w:pPr>
              <w:spacing w:after="0"/>
              <w:jc w:val="center"/>
              <w:rPr>
                <w:rFonts w:cstheme="minorHAnsi"/>
                <w:color w:val="000000"/>
              </w:rPr>
            </w:pPr>
          </w:p>
        </w:tc>
        <w:tc>
          <w:tcPr>
            <w:tcW w:w="317" w:type="pct"/>
            <w:shd w:val="clear" w:color="auto" w:fill="auto"/>
            <w:noWrap/>
            <w:vAlign w:val="center"/>
          </w:tcPr>
          <w:p w14:paraId="21617B47" w14:textId="77777777" w:rsidR="00771960" w:rsidRPr="002048A7" w:rsidRDefault="00771960" w:rsidP="00771960">
            <w:pPr>
              <w:spacing w:after="0"/>
              <w:jc w:val="center"/>
              <w:rPr>
                <w:rFonts w:cstheme="minorHAnsi"/>
                <w:color w:val="000000"/>
              </w:rPr>
            </w:pPr>
          </w:p>
        </w:tc>
        <w:tc>
          <w:tcPr>
            <w:tcW w:w="357" w:type="pct"/>
            <w:shd w:val="clear" w:color="auto" w:fill="auto"/>
            <w:noWrap/>
            <w:vAlign w:val="center"/>
          </w:tcPr>
          <w:p w14:paraId="33C30BAA" w14:textId="77777777" w:rsidR="00771960" w:rsidRPr="002048A7" w:rsidRDefault="00771960" w:rsidP="00771960">
            <w:pPr>
              <w:spacing w:after="0"/>
              <w:jc w:val="center"/>
              <w:rPr>
                <w:rFonts w:cstheme="minorHAnsi"/>
                <w:color w:val="000000"/>
              </w:rPr>
            </w:pPr>
          </w:p>
        </w:tc>
      </w:tr>
      <w:bookmarkEnd w:id="439"/>
      <w:tr w:rsidR="003F614D" w:rsidRPr="002048A7" w14:paraId="020C6731" w14:textId="77777777" w:rsidTr="003F614D">
        <w:trPr>
          <w:trHeight w:val="227"/>
        </w:trPr>
        <w:tc>
          <w:tcPr>
            <w:tcW w:w="1552" w:type="pct"/>
            <w:shd w:val="clear" w:color="auto" w:fill="auto"/>
            <w:vAlign w:val="center"/>
          </w:tcPr>
          <w:p w14:paraId="7FDE322C" w14:textId="77777777" w:rsidR="003F614D" w:rsidRPr="002048A7" w:rsidRDefault="003F614D" w:rsidP="003F614D">
            <w:pPr>
              <w:spacing w:after="0"/>
              <w:rPr>
                <w:rFonts w:cstheme="minorHAnsi"/>
                <w:color w:val="000000"/>
              </w:rPr>
            </w:pPr>
            <w:r w:rsidRPr="002048A7">
              <w:rPr>
                <w:rFonts w:cstheme="minorHAnsi"/>
                <w:color w:val="000000"/>
              </w:rPr>
              <w:t>Enerji Uzmanı</w:t>
            </w:r>
          </w:p>
        </w:tc>
        <w:tc>
          <w:tcPr>
            <w:tcW w:w="507" w:type="pct"/>
            <w:shd w:val="clear" w:color="auto" w:fill="auto"/>
            <w:vAlign w:val="center"/>
          </w:tcPr>
          <w:p w14:paraId="0A37D18D" w14:textId="77777777" w:rsidR="003F614D" w:rsidRPr="003F614D" w:rsidRDefault="003F614D" w:rsidP="003F614D">
            <w:pPr>
              <w:spacing w:after="0"/>
              <w:jc w:val="center"/>
              <w:rPr>
                <w:rFonts w:cstheme="minorHAnsi"/>
                <w:color w:val="000000"/>
              </w:rPr>
            </w:pPr>
            <w:r w:rsidRPr="003F614D">
              <w:rPr>
                <w:rFonts w:cstheme="minorHAnsi"/>
                <w:color w:val="000000"/>
              </w:rPr>
              <w:t>281</w:t>
            </w:r>
          </w:p>
        </w:tc>
        <w:tc>
          <w:tcPr>
            <w:tcW w:w="437" w:type="pct"/>
            <w:shd w:val="clear" w:color="auto" w:fill="auto"/>
            <w:noWrap/>
            <w:vAlign w:val="center"/>
          </w:tcPr>
          <w:p w14:paraId="1A6EC29A" w14:textId="77777777" w:rsidR="003F614D" w:rsidRPr="003F614D" w:rsidRDefault="003F614D" w:rsidP="003F614D">
            <w:pPr>
              <w:spacing w:after="0"/>
              <w:jc w:val="center"/>
              <w:rPr>
                <w:rFonts w:cstheme="minorHAnsi"/>
                <w:color w:val="000000"/>
              </w:rPr>
            </w:pPr>
            <w:r w:rsidRPr="003F614D">
              <w:rPr>
                <w:rFonts w:cstheme="minorHAnsi"/>
                <w:color w:val="000000"/>
              </w:rPr>
              <w:t>169</w:t>
            </w:r>
          </w:p>
        </w:tc>
        <w:tc>
          <w:tcPr>
            <w:tcW w:w="296" w:type="pct"/>
            <w:shd w:val="clear" w:color="auto" w:fill="auto"/>
            <w:noWrap/>
            <w:vAlign w:val="center"/>
          </w:tcPr>
          <w:p w14:paraId="262C4026" w14:textId="77777777" w:rsidR="003F614D" w:rsidRPr="003F614D" w:rsidRDefault="003F614D" w:rsidP="003F614D">
            <w:pPr>
              <w:spacing w:after="0"/>
              <w:jc w:val="center"/>
              <w:rPr>
                <w:rFonts w:cstheme="minorHAnsi"/>
                <w:color w:val="000000"/>
              </w:rPr>
            </w:pPr>
          </w:p>
        </w:tc>
        <w:tc>
          <w:tcPr>
            <w:tcW w:w="296" w:type="pct"/>
            <w:vAlign w:val="center"/>
          </w:tcPr>
          <w:p w14:paraId="0AA5C01C" w14:textId="77777777" w:rsidR="003F614D" w:rsidRPr="003F614D" w:rsidRDefault="003F614D" w:rsidP="003F614D">
            <w:pPr>
              <w:spacing w:after="0"/>
              <w:jc w:val="center"/>
              <w:rPr>
                <w:rFonts w:cstheme="minorHAnsi"/>
                <w:color w:val="000000"/>
              </w:rPr>
            </w:pPr>
          </w:p>
        </w:tc>
        <w:tc>
          <w:tcPr>
            <w:tcW w:w="296" w:type="pct"/>
            <w:shd w:val="clear" w:color="auto" w:fill="auto"/>
            <w:noWrap/>
            <w:vAlign w:val="center"/>
          </w:tcPr>
          <w:p w14:paraId="13C79E88" w14:textId="77777777" w:rsidR="003F614D" w:rsidRPr="003F614D" w:rsidRDefault="003F614D" w:rsidP="003F614D">
            <w:pPr>
              <w:spacing w:after="0"/>
              <w:jc w:val="center"/>
              <w:rPr>
                <w:rFonts w:cstheme="minorHAnsi"/>
                <w:color w:val="000000"/>
              </w:rPr>
            </w:pPr>
          </w:p>
        </w:tc>
        <w:tc>
          <w:tcPr>
            <w:tcW w:w="296" w:type="pct"/>
            <w:shd w:val="clear" w:color="auto" w:fill="auto"/>
            <w:noWrap/>
            <w:vAlign w:val="center"/>
          </w:tcPr>
          <w:p w14:paraId="6C198F43" w14:textId="77777777" w:rsidR="003F614D" w:rsidRPr="003F614D" w:rsidRDefault="003F614D" w:rsidP="003F614D">
            <w:pPr>
              <w:spacing w:after="0"/>
              <w:jc w:val="center"/>
              <w:rPr>
                <w:rFonts w:cstheme="minorHAnsi"/>
                <w:color w:val="000000"/>
              </w:rPr>
            </w:pPr>
            <w:r w:rsidRPr="003F614D">
              <w:rPr>
                <w:rFonts w:cstheme="minorHAnsi"/>
                <w:color w:val="000000"/>
              </w:rPr>
              <w:t>129</w:t>
            </w:r>
          </w:p>
        </w:tc>
        <w:tc>
          <w:tcPr>
            <w:tcW w:w="296" w:type="pct"/>
            <w:shd w:val="clear" w:color="auto" w:fill="auto"/>
            <w:noWrap/>
            <w:vAlign w:val="center"/>
          </w:tcPr>
          <w:p w14:paraId="2B99DE99" w14:textId="77777777" w:rsidR="003F614D" w:rsidRPr="003F614D" w:rsidRDefault="003F614D" w:rsidP="003F614D">
            <w:pPr>
              <w:spacing w:after="0"/>
              <w:jc w:val="center"/>
              <w:rPr>
                <w:rFonts w:cstheme="minorHAnsi"/>
                <w:color w:val="000000"/>
              </w:rPr>
            </w:pPr>
            <w:r w:rsidRPr="003F614D">
              <w:rPr>
                <w:rFonts w:cstheme="minorHAnsi"/>
                <w:color w:val="000000"/>
              </w:rPr>
              <w:t>34</w:t>
            </w:r>
          </w:p>
        </w:tc>
        <w:tc>
          <w:tcPr>
            <w:tcW w:w="350" w:type="pct"/>
            <w:shd w:val="clear" w:color="auto" w:fill="auto"/>
            <w:noWrap/>
            <w:vAlign w:val="center"/>
          </w:tcPr>
          <w:p w14:paraId="48FD64BB" w14:textId="77777777" w:rsidR="003F614D" w:rsidRPr="003F614D" w:rsidRDefault="003F614D" w:rsidP="003F614D">
            <w:pPr>
              <w:spacing w:after="0"/>
              <w:jc w:val="center"/>
              <w:rPr>
                <w:rFonts w:cstheme="minorHAnsi"/>
                <w:color w:val="000000"/>
              </w:rPr>
            </w:pPr>
            <w:r w:rsidRPr="003F614D">
              <w:rPr>
                <w:rFonts w:cstheme="minorHAnsi"/>
                <w:color w:val="000000"/>
              </w:rPr>
              <w:t>6</w:t>
            </w:r>
          </w:p>
        </w:tc>
        <w:tc>
          <w:tcPr>
            <w:tcW w:w="317" w:type="pct"/>
            <w:shd w:val="clear" w:color="auto" w:fill="auto"/>
            <w:noWrap/>
            <w:vAlign w:val="center"/>
          </w:tcPr>
          <w:p w14:paraId="3C0E28E9" w14:textId="77777777" w:rsidR="003F614D" w:rsidRPr="003F614D" w:rsidRDefault="003F614D" w:rsidP="003F614D">
            <w:pPr>
              <w:spacing w:after="0"/>
              <w:jc w:val="center"/>
              <w:rPr>
                <w:rFonts w:cstheme="minorHAnsi"/>
                <w:color w:val="000000"/>
              </w:rPr>
            </w:pPr>
            <w:r w:rsidRPr="003F614D">
              <w:rPr>
                <w:rFonts w:cstheme="minorHAnsi"/>
                <w:color w:val="000000"/>
              </w:rPr>
              <w:t>60</w:t>
            </w:r>
          </w:p>
        </w:tc>
        <w:tc>
          <w:tcPr>
            <w:tcW w:w="357" w:type="pct"/>
            <w:shd w:val="clear" w:color="auto" w:fill="auto"/>
            <w:noWrap/>
            <w:vAlign w:val="center"/>
          </w:tcPr>
          <w:p w14:paraId="0644375C" w14:textId="77777777" w:rsidR="003F614D" w:rsidRPr="003F614D" w:rsidRDefault="003F614D" w:rsidP="003F614D">
            <w:pPr>
              <w:spacing w:after="0"/>
              <w:jc w:val="center"/>
              <w:rPr>
                <w:rFonts w:cstheme="minorHAnsi"/>
                <w:color w:val="000000"/>
              </w:rPr>
            </w:pPr>
            <w:r w:rsidRPr="003F614D">
              <w:rPr>
                <w:rFonts w:cstheme="minorHAnsi"/>
                <w:color w:val="000000"/>
              </w:rPr>
              <w:t>109</w:t>
            </w:r>
          </w:p>
        </w:tc>
      </w:tr>
      <w:tr w:rsidR="003F614D" w:rsidRPr="002048A7" w14:paraId="3B25F728" w14:textId="77777777" w:rsidTr="003F614D">
        <w:trPr>
          <w:trHeight w:val="227"/>
        </w:trPr>
        <w:tc>
          <w:tcPr>
            <w:tcW w:w="1552" w:type="pct"/>
            <w:shd w:val="clear" w:color="auto" w:fill="auto"/>
            <w:vAlign w:val="center"/>
          </w:tcPr>
          <w:p w14:paraId="30DF8111" w14:textId="77777777" w:rsidR="003F614D" w:rsidRPr="002048A7" w:rsidRDefault="003F614D" w:rsidP="003F614D">
            <w:pPr>
              <w:spacing w:after="0"/>
              <w:rPr>
                <w:rFonts w:cstheme="minorHAnsi"/>
                <w:color w:val="000000"/>
              </w:rPr>
            </w:pPr>
            <w:r w:rsidRPr="002048A7">
              <w:rPr>
                <w:rFonts w:cstheme="minorHAnsi"/>
                <w:color w:val="000000"/>
              </w:rPr>
              <w:t>Enerji Uzman Yardımcısı</w:t>
            </w:r>
          </w:p>
        </w:tc>
        <w:tc>
          <w:tcPr>
            <w:tcW w:w="507" w:type="pct"/>
            <w:shd w:val="clear" w:color="auto" w:fill="auto"/>
            <w:vAlign w:val="center"/>
          </w:tcPr>
          <w:p w14:paraId="096740D9" w14:textId="77777777" w:rsidR="003F614D" w:rsidRPr="003F614D" w:rsidRDefault="003F614D" w:rsidP="003F614D">
            <w:pPr>
              <w:spacing w:after="0"/>
              <w:jc w:val="center"/>
              <w:rPr>
                <w:rFonts w:cstheme="minorHAnsi"/>
                <w:color w:val="000000"/>
              </w:rPr>
            </w:pPr>
            <w:r w:rsidRPr="003F614D">
              <w:rPr>
                <w:rFonts w:cstheme="minorHAnsi"/>
                <w:color w:val="000000"/>
              </w:rPr>
              <w:t>126</w:t>
            </w:r>
          </w:p>
        </w:tc>
        <w:tc>
          <w:tcPr>
            <w:tcW w:w="437" w:type="pct"/>
            <w:shd w:val="clear" w:color="auto" w:fill="auto"/>
            <w:noWrap/>
            <w:vAlign w:val="center"/>
          </w:tcPr>
          <w:p w14:paraId="592F7CE1" w14:textId="77777777" w:rsidR="003F614D" w:rsidRPr="003F614D" w:rsidRDefault="003F614D" w:rsidP="003F614D">
            <w:pPr>
              <w:spacing w:after="0"/>
              <w:jc w:val="center"/>
              <w:rPr>
                <w:rFonts w:cstheme="minorHAnsi"/>
                <w:color w:val="000000"/>
              </w:rPr>
            </w:pPr>
            <w:r w:rsidRPr="003F614D">
              <w:rPr>
                <w:rFonts w:cstheme="minorHAnsi"/>
                <w:color w:val="000000"/>
              </w:rPr>
              <w:t>72</w:t>
            </w:r>
          </w:p>
        </w:tc>
        <w:tc>
          <w:tcPr>
            <w:tcW w:w="296" w:type="pct"/>
            <w:shd w:val="clear" w:color="auto" w:fill="auto"/>
            <w:noWrap/>
            <w:vAlign w:val="center"/>
          </w:tcPr>
          <w:p w14:paraId="0DD6987C" w14:textId="77777777" w:rsidR="003F614D" w:rsidRPr="003F614D" w:rsidRDefault="003F614D" w:rsidP="003F614D">
            <w:pPr>
              <w:spacing w:after="0"/>
              <w:jc w:val="center"/>
              <w:rPr>
                <w:rFonts w:cstheme="minorHAnsi"/>
                <w:color w:val="000000"/>
              </w:rPr>
            </w:pPr>
          </w:p>
        </w:tc>
        <w:tc>
          <w:tcPr>
            <w:tcW w:w="296" w:type="pct"/>
            <w:vAlign w:val="center"/>
          </w:tcPr>
          <w:p w14:paraId="7CA4913A" w14:textId="77777777" w:rsidR="003F614D" w:rsidRPr="003F614D" w:rsidRDefault="003F614D" w:rsidP="003F614D">
            <w:pPr>
              <w:spacing w:after="0"/>
              <w:jc w:val="center"/>
              <w:rPr>
                <w:rFonts w:cstheme="minorHAnsi"/>
                <w:color w:val="000000"/>
              </w:rPr>
            </w:pPr>
          </w:p>
        </w:tc>
        <w:tc>
          <w:tcPr>
            <w:tcW w:w="296" w:type="pct"/>
            <w:shd w:val="clear" w:color="auto" w:fill="auto"/>
            <w:noWrap/>
            <w:vAlign w:val="center"/>
          </w:tcPr>
          <w:p w14:paraId="50646983" w14:textId="77777777" w:rsidR="003F614D" w:rsidRPr="003F614D" w:rsidRDefault="003F614D" w:rsidP="003F614D">
            <w:pPr>
              <w:spacing w:after="0"/>
              <w:jc w:val="center"/>
              <w:rPr>
                <w:rFonts w:cstheme="minorHAnsi"/>
                <w:color w:val="000000"/>
              </w:rPr>
            </w:pPr>
          </w:p>
        </w:tc>
        <w:tc>
          <w:tcPr>
            <w:tcW w:w="296" w:type="pct"/>
            <w:shd w:val="clear" w:color="auto" w:fill="auto"/>
            <w:noWrap/>
            <w:vAlign w:val="center"/>
          </w:tcPr>
          <w:p w14:paraId="3730A1C7" w14:textId="77777777" w:rsidR="003F614D" w:rsidRPr="003F614D" w:rsidRDefault="003F614D" w:rsidP="003F614D">
            <w:pPr>
              <w:spacing w:after="0"/>
              <w:jc w:val="center"/>
              <w:rPr>
                <w:rFonts w:cstheme="minorHAnsi"/>
                <w:color w:val="000000"/>
              </w:rPr>
            </w:pPr>
            <w:r w:rsidRPr="003F614D">
              <w:rPr>
                <w:rFonts w:cstheme="minorHAnsi"/>
                <w:color w:val="000000"/>
              </w:rPr>
              <w:t>66</w:t>
            </w:r>
          </w:p>
        </w:tc>
        <w:tc>
          <w:tcPr>
            <w:tcW w:w="296" w:type="pct"/>
            <w:shd w:val="clear" w:color="auto" w:fill="auto"/>
            <w:noWrap/>
            <w:vAlign w:val="center"/>
          </w:tcPr>
          <w:p w14:paraId="5FBB2B4E" w14:textId="77777777" w:rsidR="003F614D" w:rsidRPr="003F614D" w:rsidRDefault="003F614D" w:rsidP="003F614D">
            <w:pPr>
              <w:spacing w:after="0"/>
              <w:jc w:val="center"/>
              <w:rPr>
                <w:rFonts w:cstheme="minorHAnsi"/>
                <w:color w:val="000000"/>
              </w:rPr>
            </w:pPr>
            <w:r w:rsidRPr="003F614D">
              <w:rPr>
                <w:rFonts w:cstheme="minorHAnsi"/>
                <w:color w:val="000000"/>
              </w:rPr>
              <w:t>6</w:t>
            </w:r>
          </w:p>
        </w:tc>
        <w:tc>
          <w:tcPr>
            <w:tcW w:w="350" w:type="pct"/>
            <w:shd w:val="clear" w:color="auto" w:fill="auto"/>
            <w:noWrap/>
            <w:vAlign w:val="center"/>
          </w:tcPr>
          <w:p w14:paraId="2A792B46" w14:textId="77777777" w:rsidR="003F614D" w:rsidRPr="003F614D" w:rsidRDefault="003F614D" w:rsidP="003F614D">
            <w:pPr>
              <w:spacing w:after="0"/>
              <w:jc w:val="center"/>
              <w:rPr>
                <w:rFonts w:cstheme="minorHAnsi"/>
                <w:color w:val="000000"/>
              </w:rPr>
            </w:pPr>
          </w:p>
        </w:tc>
        <w:tc>
          <w:tcPr>
            <w:tcW w:w="317" w:type="pct"/>
            <w:shd w:val="clear" w:color="auto" w:fill="auto"/>
            <w:noWrap/>
            <w:vAlign w:val="center"/>
          </w:tcPr>
          <w:p w14:paraId="057DF167" w14:textId="77777777" w:rsidR="003F614D" w:rsidRPr="003F614D" w:rsidRDefault="003F614D" w:rsidP="003F614D">
            <w:pPr>
              <w:spacing w:after="0"/>
              <w:jc w:val="center"/>
              <w:rPr>
                <w:rFonts w:cstheme="minorHAnsi"/>
                <w:color w:val="000000"/>
              </w:rPr>
            </w:pPr>
            <w:r w:rsidRPr="003F614D">
              <w:rPr>
                <w:rFonts w:cstheme="minorHAnsi"/>
                <w:color w:val="000000"/>
              </w:rPr>
              <w:t>26</w:t>
            </w:r>
          </w:p>
        </w:tc>
        <w:tc>
          <w:tcPr>
            <w:tcW w:w="357" w:type="pct"/>
            <w:shd w:val="clear" w:color="auto" w:fill="auto"/>
            <w:noWrap/>
            <w:vAlign w:val="center"/>
          </w:tcPr>
          <w:p w14:paraId="4BA2AF25" w14:textId="77777777" w:rsidR="003F614D" w:rsidRPr="003F614D" w:rsidRDefault="003F614D" w:rsidP="003F614D">
            <w:pPr>
              <w:spacing w:after="0"/>
              <w:jc w:val="center"/>
              <w:rPr>
                <w:rFonts w:cstheme="minorHAnsi"/>
                <w:color w:val="000000"/>
              </w:rPr>
            </w:pPr>
            <w:r w:rsidRPr="003F614D">
              <w:rPr>
                <w:rFonts w:cstheme="minorHAnsi"/>
                <w:color w:val="000000"/>
              </w:rPr>
              <w:t>46</w:t>
            </w:r>
          </w:p>
        </w:tc>
      </w:tr>
      <w:tr w:rsidR="003F614D" w:rsidRPr="002048A7" w14:paraId="5CF9F9F4" w14:textId="77777777" w:rsidTr="003F614D">
        <w:trPr>
          <w:trHeight w:val="227"/>
        </w:trPr>
        <w:tc>
          <w:tcPr>
            <w:tcW w:w="1552" w:type="pct"/>
            <w:shd w:val="clear" w:color="auto" w:fill="auto"/>
            <w:vAlign w:val="center"/>
          </w:tcPr>
          <w:p w14:paraId="3A8795C5" w14:textId="77777777" w:rsidR="003F614D" w:rsidRPr="002048A7" w:rsidRDefault="003F614D" w:rsidP="003F614D">
            <w:pPr>
              <w:spacing w:after="0"/>
              <w:rPr>
                <w:rFonts w:cstheme="minorHAnsi"/>
                <w:color w:val="000000"/>
              </w:rPr>
            </w:pPr>
            <w:r w:rsidRPr="002048A7">
              <w:rPr>
                <w:rFonts w:cstheme="minorHAnsi"/>
                <w:color w:val="000000"/>
              </w:rPr>
              <w:t>Avukat</w:t>
            </w:r>
          </w:p>
        </w:tc>
        <w:tc>
          <w:tcPr>
            <w:tcW w:w="507" w:type="pct"/>
            <w:shd w:val="clear" w:color="auto" w:fill="auto"/>
            <w:vAlign w:val="center"/>
          </w:tcPr>
          <w:p w14:paraId="7E89710B" w14:textId="77777777" w:rsidR="003F614D" w:rsidRPr="003F614D" w:rsidRDefault="003F614D" w:rsidP="003F614D">
            <w:pPr>
              <w:spacing w:after="0"/>
              <w:jc w:val="center"/>
              <w:rPr>
                <w:rFonts w:cstheme="minorHAnsi"/>
                <w:color w:val="000000"/>
              </w:rPr>
            </w:pPr>
            <w:r w:rsidRPr="003F614D">
              <w:rPr>
                <w:rFonts w:cstheme="minorHAnsi"/>
                <w:color w:val="000000"/>
              </w:rPr>
              <w:t>30</w:t>
            </w:r>
          </w:p>
        </w:tc>
        <w:tc>
          <w:tcPr>
            <w:tcW w:w="437" w:type="pct"/>
            <w:shd w:val="clear" w:color="auto" w:fill="auto"/>
            <w:noWrap/>
            <w:vAlign w:val="center"/>
          </w:tcPr>
          <w:p w14:paraId="79C2A1F6" w14:textId="77777777" w:rsidR="003F614D" w:rsidRPr="003F614D" w:rsidRDefault="003F614D" w:rsidP="003F614D">
            <w:pPr>
              <w:spacing w:after="0"/>
              <w:jc w:val="center"/>
              <w:rPr>
                <w:rFonts w:cstheme="minorHAnsi"/>
                <w:color w:val="000000"/>
              </w:rPr>
            </w:pPr>
            <w:r w:rsidRPr="003F614D">
              <w:rPr>
                <w:rFonts w:cstheme="minorHAnsi"/>
                <w:color w:val="000000"/>
              </w:rPr>
              <w:t>27</w:t>
            </w:r>
          </w:p>
        </w:tc>
        <w:tc>
          <w:tcPr>
            <w:tcW w:w="296" w:type="pct"/>
            <w:shd w:val="clear" w:color="auto" w:fill="auto"/>
            <w:noWrap/>
            <w:vAlign w:val="center"/>
          </w:tcPr>
          <w:p w14:paraId="3ACC5B05" w14:textId="77777777" w:rsidR="003F614D" w:rsidRPr="003F614D" w:rsidRDefault="003F614D" w:rsidP="003F614D">
            <w:pPr>
              <w:spacing w:after="0"/>
              <w:jc w:val="center"/>
              <w:rPr>
                <w:rFonts w:cstheme="minorHAnsi"/>
                <w:color w:val="000000"/>
              </w:rPr>
            </w:pPr>
          </w:p>
        </w:tc>
        <w:tc>
          <w:tcPr>
            <w:tcW w:w="296" w:type="pct"/>
            <w:vAlign w:val="center"/>
          </w:tcPr>
          <w:p w14:paraId="4CCCA402" w14:textId="77777777" w:rsidR="003F614D" w:rsidRPr="003F614D" w:rsidRDefault="003F614D" w:rsidP="003F614D">
            <w:pPr>
              <w:spacing w:after="0"/>
              <w:jc w:val="center"/>
              <w:rPr>
                <w:rFonts w:cstheme="minorHAnsi"/>
                <w:color w:val="000000"/>
              </w:rPr>
            </w:pPr>
          </w:p>
        </w:tc>
        <w:tc>
          <w:tcPr>
            <w:tcW w:w="296" w:type="pct"/>
            <w:shd w:val="clear" w:color="auto" w:fill="auto"/>
            <w:noWrap/>
            <w:vAlign w:val="center"/>
          </w:tcPr>
          <w:p w14:paraId="61BCCEB8" w14:textId="77777777" w:rsidR="003F614D" w:rsidRPr="003F614D" w:rsidRDefault="003F614D" w:rsidP="003F614D">
            <w:pPr>
              <w:spacing w:after="0"/>
              <w:jc w:val="center"/>
              <w:rPr>
                <w:rFonts w:cstheme="minorHAnsi"/>
                <w:color w:val="000000"/>
              </w:rPr>
            </w:pPr>
          </w:p>
        </w:tc>
        <w:tc>
          <w:tcPr>
            <w:tcW w:w="296" w:type="pct"/>
            <w:shd w:val="clear" w:color="auto" w:fill="auto"/>
            <w:noWrap/>
            <w:vAlign w:val="center"/>
          </w:tcPr>
          <w:p w14:paraId="23535B90" w14:textId="77777777" w:rsidR="003F614D" w:rsidRPr="003F614D" w:rsidRDefault="003F614D" w:rsidP="003F614D">
            <w:pPr>
              <w:spacing w:after="0"/>
              <w:jc w:val="center"/>
              <w:rPr>
                <w:rFonts w:cstheme="minorHAnsi"/>
                <w:color w:val="000000"/>
              </w:rPr>
            </w:pPr>
            <w:r w:rsidRPr="003F614D">
              <w:rPr>
                <w:rFonts w:cstheme="minorHAnsi"/>
                <w:color w:val="000000"/>
              </w:rPr>
              <w:t>22</w:t>
            </w:r>
          </w:p>
        </w:tc>
        <w:tc>
          <w:tcPr>
            <w:tcW w:w="296" w:type="pct"/>
            <w:shd w:val="clear" w:color="auto" w:fill="auto"/>
            <w:noWrap/>
            <w:vAlign w:val="center"/>
          </w:tcPr>
          <w:p w14:paraId="4FEC5A4F" w14:textId="77777777" w:rsidR="003F614D" w:rsidRPr="003F614D" w:rsidRDefault="003F614D" w:rsidP="003F614D">
            <w:pPr>
              <w:spacing w:after="0"/>
              <w:jc w:val="center"/>
              <w:rPr>
                <w:rFonts w:cstheme="minorHAnsi"/>
                <w:color w:val="000000"/>
              </w:rPr>
            </w:pPr>
            <w:r w:rsidRPr="003F614D">
              <w:rPr>
                <w:rFonts w:cstheme="minorHAnsi"/>
                <w:color w:val="000000"/>
              </w:rPr>
              <w:t>5</w:t>
            </w:r>
          </w:p>
        </w:tc>
        <w:tc>
          <w:tcPr>
            <w:tcW w:w="350" w:type="pct"/>
            <w:shd w:val="clear" w:color="auto" w:fill="auto"/>
            <w:noWrap/>
            <w:vAlign w:val="center"/>
          </w:tcPr>
          <w:p w14:paraId="39516EFA" w14:textId="77777777" w:rsidR="003F614D" w:rsidRPr="003F614D" w:rsidRDefault="003F614D" w:rsidP="003F614D">
            <w:pPr>
              <w:spacing w:after="0"/>
              <w:jc w:val="center"/>
              <w:rPr>
                <w:rFonts w:cstheme="minorHAnsi"/>
                <w:color w:val="000000"/>
              </w:rPr>
            </w:pPr>
          </w:p>
        </w:tc>
        <w:tc>
          <w:tcPr>
            <w:tcW w:w="317" w:type="pct"/>
            <w:shd w:val="clear" w:color="auto" w:fill="auto"/>
            <w:noWrap/>
            <w:vAlign w:val="center"/>
          </w:tcPr>
          <w:p w14:paraId="041B4457" w14:textId="77777777" w:rsidR="003F614D" w:rsidRPr="003F614D" w:rsidRDefault="003F614D" w:rsidP="003F614D">
            <w:pPr>
              <w:spacing w:after="0"/>
              <w:jc w:val="center"/>
              <w:rPr>
                <w:rFonts w:cstheme="minorHAnsi"/>
                <w:color w:val="000000"/>
              </w:rPr>
            </w:pPr>
            <w:r w:rsidRPr="003F614D">
              <w:rPr>
                <w:rFonts w:cstheme="minorHAnsi"/>
                <w:color w:val="000000"/>
              </w:rPr>
              <w:t>24</w:t>
            </w:r>
          </w:p>
        </w:tc>
        <w:tc>
          <w:tcPr>
            <w:tcW w:w="357" w:type="pct"/>
            <w:shd w:val="clear" w:color="auto" w:fill="auto"/>
            <w:noWrap/>
            <w:vAlign w:val="center"/>
          </w:tcPr>
          <w:p w14:paraId="25197714" w14:textId="77777777" w:rsidR="003F614D" w:rsidRPr="003F614D" w:rsidRDefault="003F614D" w:rsidP="003F614D">
            <w:pPr>
              <w:spacing w:after="0"/>
              <w:jc w:val="center"/>
              <w:rPr>
                <w:rFonts w:cstheme="minorHAnsi"/>
                <w:color w:val="000000"/>
              </w:rPr>
            </w:pPr>
            <w:r w:rsidRPr="003F614D">
              <w:rPr>
                <w:rFonts w:cstheme="minorHAnsi"/>
                <w:color w:val="000000"/>
              </w:rPr>
              <w:t>3</w:t>
            </w:r>
          </w:p>
        </w:tc>
      </w:tr>
      <w:tr w:rsidR="003F614D" w:rsidRPr="002048A7" w14:paraId="0E68A51C" w14:textId="77777777" w:rsidTr="003F614D">
        <w:trPr>
          <w:trHeight w:val="227"/>
        </w:trPr>
        <w:tc>
          <w:tcPr>
            <w:tcW w:w="1552" w:type="pct"/>
            <w:shd w:val="clear" w:color="auto" w:fill="auto"/>
            <w:vAlign w:val="center"/>
          </w:tcPr>
          <w:p w14:paraId="7CF6EE9D" w14:textId="77777777" w:rsidR="003F614D" w:rsidRPr="002048A7" w:rsidRDefault="003F614D" w:rsidP="003F614D">
            <w:pPr>
              <w:spacing w:after="0"/>
              <w:rPr>
                <w:rFonts w:cstheme="minorHAnsi"/>
                <w:color w:val="000000"/>
              </w:rPr>
            </w:pPr>
            <w:r w:rsidRPr="002048A7">
              <w:rPr>
                <w:rFonts w:cstheme="minorHAnsi"/>
                <w:color w:val="000000"/>
              </w:rPr>
              <w:t>Yönetim Hizmetleri Uzmanı</w:t>
            </w:r>
          </w:p>
        </w:tc>
        <w:tc>
          <w:tcPr>
            <w:tcW w:w="507" w:type="pct"/>
            <w:shd w:val="clear" w:color="auto" w:fill="auto"/>
            <w:vAlign w:val="center"/>
          </w:tcPr>
          <w:p w14:paraId="282CE93C" w14:textId="77777777" w:rsidR="003F614D" w:rsidRPr="003F614D" w:rsidRDefault="003F614D" w:rsidP="003F614D">
            <w:pPr>
              <w:spacing w:after="0"/>
              <w:jc w:val="center"/>
              <w:rPr>
                <w:rFonts w:cstheme="minorHAnsi"/>
                <w:color w:val="000000"/>
              </w:rPr>
            </w:pPr>
            <w:r w:rsidRPr="003F614D">
              <w:rPr>
                <w:rFonts w:cstheme="minorHAnsi"/>
                <w:color w:val="000000"/>
              </w:rPr>
              <w:t>94</w:t>
            </w:r>
          </w:p>
        </w:tc>
        <w:tc>
          <w:tcPr>
            <w:tcW w:w="437" w:type="pct"/>
            <w:shd w:val="clear" w:color="auto" w:fill="auto"/>
            <w:noWrap/>
            <w:vAlign w:val="center"/>
          </w:tcPr>
          <w:p w14:paraId="5DFC615C" w14:textId="77777777" w:rsidR="003F614D" w:rsidRPr="003F614D" w:rsidRDefault="003F614D" w:rsidP="003F614D">
            <w:pPr>
              <w:spacing w:after="0"/>
              <w:jc w:val="center"/>
              <w:rPr>
                <w:rFonts w:cstheme="minorHAnsi"/>
                <w:color w:val="000000"/>
              </w:rPr>
            </w:pPr>
            <w:r w:rsidRPr="003F614D">
              <w:rPr>
                <w:rFonts w:cstheme="minorHAnsi"/>
                <w:color w:val="000000"/>
              </w:rPr>
              <w:t>66</w:t>
            </w:r>
          </w:p>
        </w:tc>
        <w:tc>
          <w:tcPr>
            <w:tcW w:w="296" w:type="pct"/>
            <w:shd w:val="clear" w:color="auto" w:fill="auto"/>
            <w:noWrap/>
            <w:vAlign w:val="center"/>
          </w:tcPr>
          <w:p w14:paraId="362FF9F6" w14:textId="77777777" w:rsidR="003F614D" w:rsidRPr="003F614D" w:rsidRDefault="003F614D" w:rsidP="003F614D">
            <w:pPr>
              <w:spacing w:after="0"/>
              <w:jc w:val="center"/>
              <w:rPr>
                <w:rFonts w:cstheme="minorHAnsi"/>
                <w:color w:val="000000"/>
              </w:rPr>
            </w:pPr>
          </w:p>
        </w:tc>
        <w:tc>
          <w:tcPr>
            <w:tcW w:w="296" w:type="pct"/>
            <w:vAlign w:val="center"/>
          </w:tcPr>
          <w:p w14:paraId="69952FA7" w14:textId="77777777" w:rsidR="003F614D" w:rsidRPr="003F614D" w:rsidRDefault="003F614D" w:rsidP="003F614D">
            <w:pPr>
              <w:spacing w:after="0"/>
              <w:jc w:val="center"/>
              <w:rPr>
                <w:rFonts w:cstheme="minorHAnsi"/>
                <w:color w:val="000000"/>
              </w:rPr>
            </w:pPr>
          </w:p>
        </w:tc>
        <w:tc>
          <w:tcPr>
            <w:tcW w:w="296" w:type="pct"/>
            <w:shd w:val="clear" w:color="auto" w:fill="auto"/>
            <w:noWrap/>
            <w:vAlign w:val="center"/>
          </w:tcPr>
          <w:p w14:paraId="1B51F8FB" w14:textId="77777777" w:rsidR="003F614D" w:rsidRPr="003F614D" w:rsidRDefault="003F614D" w:rsidP="003F614D">
            <w:pPr>
              <w:spacing w:after="0"/>
              <w:jc w:val="center"/>
              <w:rPr>
                <w:rFonts w:cstheme="minorHAnsi"/>
                <w:color w:val="000000"/>
              </w:rPr>
            </w:pPr>
          </w:p>
        </w:tc>
        <w:tc>
          <w:tcPr>
            <w:tcW w:w="296" w:type="pct"/>
            <w:shd w:val="clear" w:color="auto" w:fill="auto"/>
            <w:noWrap/>
            <w:vAlign w:val="center"/>
          </w:tcPr>
          <w:p w14:paraId="32C96A75" w14:textId="77777777" w:rsidR="003F614D" w:rsidRPr="003F614D" w:rsidRDefault="003F614D" w:rsidP="003F614D">
            <w:pPr>
              <w:spacing w:after="0"/>
              <w:jc w:val="center"/>
              <w:rPr>
                <w:rFonts w:cstheme="minorHAnsi"/>
                <w:color w:val="000000"/>
              </w:rPr>
            </w:pPr>
            <w:r w:rsidRPr="003F614D">
              <w:rPr>
                <w:rFonts w:cstheme="minorHAnsi"/>
                <w:color w:val="000000"/>
              </w:rPr>
              <w:t>47</w:t>
            </w:r>
          </w:p>
        </w:tc>
        <w:tc>
          <w:tcPr>
            <w:tcW w:w="296" w:type="pct"/>
            <w:shd w:val="clear" w:color="auto" w:fill="auto"/>
            <w:noWrap/>
            <w:vAlign w:val="center"/>
          </w:tcPr>
          <w:p w14:paraId="7405E9F6" w14:textId="77777777" w:rsidR="003F614D" w:rsidRPr="003F614D" w:rsidRDefault="003F614D" w:rsidP="003F614D">
            <w:pPr>
              <w:spacing w:after="0"/>
              <w:jc w:val="center"/>
              <w:rPr>
                <w:rFonts w:cstheme="minorHAnsi"/>
                <w:color w:val="000000"/>
              </w:rPr>
            </w:pPr>
            <w:r w:rsidRPr="003F614D">
              <w:rPr>
                <w:rFonts w:cstheme="minorHAnsi"/>
                <w:color w:val="000000"/>
              </w:rPr>
              <w:t>17</w:t>
            </w:r>
          </w:p>
        </w:tc>
        <w:tc>
          <w:tcPr>
            <w:tcW w:w="350" w:type="pct"/>
            <w:shd w:val="clear" w:color="auto" w:fill="auto"/>
            <w:noWrap/>
            <w:vAlign w:val="center"/>
          </w:tcPr>
          <w:p w14:paraId="21ED6BF1" w14:textId="77777777" w:rsidR="003F614D" w:rsidRPr="003F614D" w:rsidRDefault="003F614D" w:rsidP="003F614D">
            <w:pPr>
              <w:spacing w:after="0"/>
              <w:jc w:val="center"/>
              <w:rPr>
                <w:rFonts w:cstheme="minorHAnsi"/>
                <w:color w:val="000000"/>
              </w:rPr>
            </w:pPr>
            <w:r w:rsidRPr="003F614D">
              <w:rPr>
                <w:rFonts w:cstheme="minorHAnsi"/>
                <w:color w:val="000000"/>
              </w:rPr>
              <w:t>2</w:t>
            </w:r>
          </w:p>
        </w:tc>
        <w:tc>
          <w:tcPr>
            <w:tcW w:w="317" w:type="pct"/>
            <w:shd w:val="clear" w:color="auto" w:fill="auto"/>
            <w:noWrap/>
            <w:vAlign w:val="center"/>
          </w:tcPr>
          <w:p w14:paraId="2C52D3D8" w14:textId="77777777" w:rsidR="003F614D" w:rsidRPr="003F614D" w:rsidRDefault="003F614D" w:rsidP="003F614D">
            <w:pPr>
              <w:spacing w:after="0"/>
              <w:jc w:val="center"/>
              <w:rPr>
                <w:rFonts w:cstheme="minorHAnsi"/>
                <w:color w:val="000000"/>
              </w:rPr>
            </w:pPr>
            <w:r w:rsidRPr="003F614D">
              <w:rPr>
                <w:rFonts w:cstheme="minorHAnsi"/>
                <w:color w:val="000000"/>
              </w:rPr>
              <w:t>39</w:t>
            </w:r>
          </w:p>
        </w:tc>
        <w:tc>
          <w:tcPr>
            <w:tcW w:w="357" w:type="pct"/>
            <w:shd w:val="clear" w:color="auto" w:fill="auto"/>
            <w:noWrap/>
            <w:vAlign w:val="center"/>
          </w:tcPr>
          <w:p w14:paraId="0095D067" w14:textId="77777777" w:rsidR="003F614D" w:rsidRPr="003F614D" w:rsidRDefault="003F614D" w:rsidP="003F614D">
            <w:pPr>
              <w:spacing w:after="0"/>
              <w:jc w:val="center"/>
              <w:rPr>
                <w:rFonts w:cstheme="minorHAnsi"/>
                <w:color w:val="000000"/>
              </w:rPr>
            </w:pPr>
            <w:r w:rsidRPr="003F614D">
              <w:rPr>
                <w:rFonts w:cstheme="minorHAnsi"/>
                <w:color w:val="000000"/>
              </w:rPr>
              <w:t>27</w:t>
            </w:r>
          </w:p>
        </w:tc>
      </w:tr>
      <w:tr w:rsidR="003F614D" w:rsidRPr="002048A7" w14:paraId="1806C64D" w14:textId="77777777" w:rsidTr="003F614D">
        <w:trPr>
          <w:trHeight w:val="227"/>
        </w:trPr>
        <w:tc>
          <w:tcPr>
            <w:tcW w:w="1552" w:type="pct"/>
            <w:shd w:val="clear" w:color="auto" w:fill="auto"/>
            <w:vAlign w:val="center"/>
          </w:tcPr>
          <w:p w14:paraId="5F92E4A9" w14:textId="77777777" w:rsidR="003F614D" w:rsidRPr="002048A7" w:rsidRDefault="003F614D" w:rsidP="003F614D">
            <w:pPr>
              <w:spacing w:after="0"/>
              <w:rPr>
                <w:rFonts w:cstheme="minorHAnsi"/>
                <w:color w:val="000000"/>
              </w:rPr>
            </w:pPr>
            <w:r w:rsidRPr="002048A7">
              <w:rPr>
                <w:rFonts w:cstheme="minorHAnsi"/>
                <w:color w:val="000000"/>
              </w:rPr>
              <w:t>Tabip</w:t>
            </w:r>
          </w:p>
        </w:tc>
        <w:tc>
          <w:tcPr>
            <w:tcW w:w="507" w:type="pct"/>
            <w:shd w:val="clear" w:color="auto" w:fill="auto"/>
            <w:vAlign w:val="center"/>
          </w:tcPr>
          <w:p w14:paraId="215B034C" w14:textId="77777777" w:rsidR="003F614D" w:rsidRPr="003F614D" w:rsidRDefault="003F614D" w:rsidP="003F614D">
            <w:pPr>
              <w:spacing w:after="0"/>
              <w:jc w:val="center"/>
              <w:rPr>
                <w:rFonts w:cstheme="minorHAnsi"/>
                <w:color w:val="000000"/>
              </w:rPr>
            </w:pPr>
            <w:r w:rsidRPr="003F614D">
              <w:rPr>
                <w:rFonts w:cstheme="minorHAnsi"/>
                <w:color w:val="000000"/>
              </w:rPr>
              <w:t>1</w:t>
            </w:r>
          </w:p>
        </w:tc>
        <w:tc>
          <w:tcPr>
            <w:tcW w:w="437" w:type="pct"/>
            <w:shd w:val="clear" w:color="auto" w:fill="auto"/>
            <w:noWrap/>
            <w:vAlign w:val="center"/>
          </w:tcPr>
          <w:p w14:paraId="3B9A38F3" w14:textId="77777777" w:rsidR="003F614D" w:rsidRPr="003F614D" w:rsidRDefault="003F614D" w:rsidP="003F614D">
            <w:pPr>
              <w:spacing w:after="0"/>
              <w:jc w:val="center"/>
              <w:rPr>
                <w:rFonts w:cstheme="minorHAnsi"/>
                <w:color w:val="000000"/>
              </w:rPr>
            </w:pPr>
            <w:r w:rsidRPr="003F614D">
              <w:rPr>
                <w:rFonts w:cstheme="minorHAnsi"/>
                <w:color w:val="000000"/>
              </w:rPr>
              <w:t>-</w:t>
            </w:r>
          </w:p>
        </w:tc>
        <w:tc>
          <w:tcPr>
            <w:tcW w:w="296" w:type="pct"/>
            <w:shd w:val="clear" w:color="auto" w:fill="auto"/>
            <w:noWrap/>
            <w:vAlign w:val="center"/>
          </w:tcPr>
          <w:p w14:paraId="2687A0EA" w14:textId="77777777" w:rsidR="003F614D" w:rsidRPr="003F614D" w:rsidRDefault="003F614D" w:rsidP="003F614D">
            <w:pPr>
              <w:spacing w:after="0"/>
              <w:jc w:val="center"/>
              <w:rPr>
                <w:rFonts w:cstheme="minorHAnsi"/>
                <w:color w:val="000000"/>
              </w:rPr>
            </w:pPr>
          </w:p>
        </w:tc>
        <w:tc>
          <w:tcPr>
            <w:tcW w:w="296" w:type="pct"/>
            <w:vAlign w:val="center"/>
          </w:tcPr>
          <w:p w14:paraId="3C34F44B" w14:textId="77777777" w:rsidR="003F614D" w:rsidRPr="003F614D" w:rsidRDefault="003F614D" w:rsidP="003F614D">
            <w:pPr>
              <w:spacing w:after="0"/>
              <w:jc w:val="center"/>
              <w:rPr>
                <w:rFonts w:cstheme="minorHAnsi"/>
                <w:color w:val="000000"/>
              </w:rPr>
            </w:pPr>
          </w:p>
        </w:tc>
        <w:tc>
          <w:tcPr>
            <w:tcW w:w="296" w:type="pct"/>
            <w:shd w:val="clear" w:color="auto" w:fill="auto"/>
            <w:noWrap/>
            <w:vAlign w:val="center"/>
          </w:tcPr>
          <w:p w14:paraId="568CBF6E" w14:textId="77777777" w:rsidR="003F614D" w:rsidRPr="003F614D" w:rsidRDefault="003F614D" w:rsidP="003F614D">
            <w:pPr>
              <w:spacing w:after="0"/>
              <w:jc w:val="center"/>
              <w:rPr>
                <w:rFonts w:cstheme="minorHAnsi"/>
                <w:color w:val="000000"/>
              </w:rPr>
            </w:pPr>
          </w:p>
        </w:tc>
        <w:tc>
          <w:tcPr>
            <w:tcW w:w="296" w:type="pct"/>
            <w:shd w:val="clear" w:color="auto" w:fill="auto"/>
            <w:noWrap/>
            <w:vAlign w:val="center"/>
          </w:tcPr>
          <w:p w14:paraId="7098C529" w14:textId="77777777" w:rsidR="003F614D" w:rsidRPr="003F614D" w:rsidRDefault="003F614D" w:rsidP="003F614D">
            <w:pPr>
              <w:spacing w:after="0"/>
              <w:jc w:val="center"/>
              <w:rPr>
                <w:rFonts w:cstheme="minorHAnsi"/>
                <w:color w:val="000000"/>
              </w:rPr>
            </w:pPr>
          </w:p>
        </w:tc>
        <w:tc>
          <w:tcPr>
            <w:tcW w:w="296" w:type="pct"/>
            <w:shd w:val="clear" w:color="auto" w:fill="auto"/>
            <w:noWrap/>
            <w:vAlign w:val="center"/>
          </w:tcPr>
          <w:p w14:paraId="2FD0ACCF" w14:textId="77777777" w:rsidR="003F614D" w:rsidRPr="003F614D" w:rsidRDefault="003F614D" w:rsidP="003F614D">
            <w:pPr>
              <w:spacing w:after="0"/>
              <w:jc w:val="center"/>
              <w:rPr>
                <w:rFonts w:cstheme="minorHAnsi"/>
                <w:color w:val="000000"/>
              </w:rPr>
            </w:pPr>
          </w:p>
        </w:tc>
        <w:tc>
          <w:tcPr>
            <w:tcW w:w="350" w:type="pct"/>
            <w:shd w:val="clear" w:color="auto" w:fill="auto"/>
            <w:noWrap/>
            <w:vAlign w:val="center"/>
          </w:tcPr>
          <w:p w14:paraId="73823EDD" w14:textId="77777777" w:rsidR="003F614D" w:rsidRPr="003F614D" w:rsidRDefault="003F614D" w:rsidP="003F614D">
            <w:pPr>
              <w:spacing w:after="0"/>
              <w:jc w:val="center"/>
              <w:rPr>
                <w:rFonts w:cstheme="minorHAnsi"/>
                <w:color w:val="000000"/>
              </w:rPr>
            </w:pPr>
          </w:p>
        </w:tc>
        <w:tc>
          <w:tcPr>
            <w:tcW w:w="317" w:type="pct"/>
            <w:shd w:val="clear" w:color="auto" w:fill="auto"/>
            <w:noWrap/>
            <w:vAlign w:val="center"/>
          </w:tcPr>
          <w:p w14:paraId="66B290EE" w14:textId="77777777" w:rsidR="003F614D" w:rsidRPr="003F614D" w:rsidRDefault="003F614D" w:rsidP="003F614D">
            <w:pPr>
              <w:spacing w:after="0"/>
              <w:jc w:val="center"/>
              <w:rPr>
                <w:rFonts w:cstheme="minorHAnsi"/>
                <w:color w:val="000000"/>
              </w:rPr>
            </w:pPr>
          </w:p>
        </w:tc>
        <w:tc>
          <w:tcPr>
            <w:tcW w:w="357" w:type="pct"/>
            <w:shd w:val="clear" w:color="auto" w:fill="auto"/>
            <w:noWrap/>
            <w:vAlign w:val="center"/>
          </w:tcPr>
          <w:p w14:paraId="6B6EE2FC" w14:textId="77777777" w:rsidR="003F614D" w:rsidRPr="003F614D" w:rsidRDefault="003F614D" w:rsidP="003F614D">
            <w:pPr>
              <w:spacing w:after="0"/>
              <w:jc w:val="center"/>
              <w:rPr>
                <w:rFonts w:cstheme="minorHAnsi"/>
                <w:color w:val="000000"/>
              </w:rPr>
            </w:pPr>
          </w:p>
        </w:tc>
      </w:tr>
      <w:tr w:rsidR="003F614D" w:rsidRPr="002048A7" w14:paraId="418A93A8" w14:textId="77777777" w:rsidTr="003F614D">
        <w:trPr>
          <w:trHeight w:val="227"/>
        </w:trPr>
        <w:tc>
          <w:tcPr>
            <w:tcW w:w="1552" w:type="pct"/>
            <w:shd w:val="clear" w:color="auto" w:fill="auto"/>
            <w:vAlign w:val="center"/>
          </w:tcPr>
          <w:p w14:paraId="56F2290D" w14:textId="77777777" w:rsidR="003F614D" w:rsidRPr="002048A7" w:rsidRDefault="003F614D" w:rsidP="003F614D">
            <w:pPr>
              <w:spacing w:after="0"/>
              <w:rPr>
                <w:rFonts w:cstheme="minorHAnsi"/>
                <w:bCs/>
                <w:color w:val="000000"/>
              </w:rPr>
            </w:pPr>
            <w:r w:rsidRPr="002048A7">
              <w:rPr>
                <w:rFonts w:cstheme="minorHAnsi"/>
                <w:bCs/>
                <w:color w:val="000000"/>
              </w:rPr>
              <w:t>Mimar</w:t>
            </w:r>
          </w:p>
        </w:tc>
        <w:tc>
          <w:tcPr>
            <w:tcW w:w="507" w:type="pct"/>
            <w:shd w:val="clear" w:color="auto" w:fill="auto"/>
            <w:vAlign w:val="center"/>
          </w:tcPr>
          <w:p w14:paraId="231DB097" w14:textId="77777777" w:rsidR="003F614D" w:rsidRPr="003F614D" w:rsidRDefault="003F614D" w:rsidP="003F614D">
            <w:pPr>
              <w:spacing w:after="0"/>
              <w:jc w:val="center"/>
              <w:rPr>
                <w:rFonts w:cstheme="minorHAnsi"/>
                <w:color w:val="000000"/>
              </w:rPr>
            </w:pPr>
            <w:r w:rsidRPr="003F614D">
              <w:rPr>
                <w:rFonts w:cstheme="minorHAnsi"/>
                <w:color w:val="000000"/>
              </w:rPr>
              <w:t>1</w:t>
            </w:r>
          </w:p>
        </w:tc>
        <w:tc>
          <w:tcPr>
            <w:tcW w:w="437" w:type="pct"/>
            <w:shd w:val="clear" w:color="auto" w:fill="auto"/>
            <w:noWrap/>
            <w:vAlign w:val="center"/>
          </w:tcPr>
          <w:p w14:paraId="450C54AA" w14:textId="77777777" w:rsidR="003F614D" w:rsidRPr="003F614D" w:rsidRDefault="003F614D" w:rsidP="003F614D">
            <w:pPr>
              <w:spacing w:after="0"/>
              <w:jc w:val="center"/>
              <w:rPr>
                <w:rFonts w:cstheme="minorHAnsi"/>
                <w:color w:val="000000"/>
              </w:rPr>
            </w:pPr>
            <w:r w:rsidRPr="003F614D">
              <w:rPr>
                <w:rFonts w:cstheme="minorHAnsi"/>
                <w:color w:val="000000"/>
              </w:rPr>
              <w:t>1</w:t>
            </w:r>
          </w:p>
        </w:tc>
        <w:tc>
          <w:tcPr>
            <w:tcW w:w="296" w:type="pct"/>
            <w:shd w:val="clear" w:color="auto" w:fill="auto"/>
            <w:noWrap/>
            <w:vAlign w:val="center"/>
          </w:tcPr>
          <w:p w14:paraId="0518E65D" w14:textId="77777777" w:rsidR="003F614D" w:rsidRPr="003F614D" w:rsidRDefault="003F614D" w:rsidP="003F614D">
            <w:pPr>
              <w:spacing w:after="0"/>
              <w:jc w:val="center"/>
              <w:rPr>
                <w:rFonts w:cstheme="minorHAnsi"/>
                <w:color w:val="000000"/>
              </w:rPr>
            </w:pPr>
          </w:p>
        </w:tc>
        <w:tc>
          <w:tcPr>
            <w:tcW w:w="296" w:type="pct"/>
            <w:vAlign w:val="center"/>
          </w:tcPr>
          <w:p w14:paraId="274A20C7" w14:textId="77777777" w:rsidR="003F614D" w:rsidRPr="003F614D" w:rsidRDefault="003F614D" w:rsidP="003F614D">
            <w:pPr>
              <w:spacing w:after="0"/>
              <w:jc w:val="center"/>
              <w:rPr>
                <w:rFonts w:cstheme="minorHAnsi"/>
                <w:color w:val="000000"/>
              </w:rPr>
            </w:pPr>
          </w:p>
        </w:tc>
        <w:tc>
          <w:tcPr>
            <w:tcW w:w="296" w:type="pct"/>
            <w:shd w:val="clear" w:color="auto" w:fill="auto"/>
            <w:noWrap/>
            <w:vAlign w:val="center"/>
          </w:tcPr>
          <w:p w14:paraId="61D84576" w14:textId="77777777" w:rsidR="003F614D" w:rsidRPr="003F614D" w:rsidRDefault="003F614D" w:rsidP="003F614D">
            <w:pPr>
              <w:spacing w:after="0"/>
              <w:jc w:val="center"/>
              <w:rPr>
                <w:rFonts w:cstheme="minorHAnsi"/>
                <w:color w:val="000000"/>
              </w:rPr>
            </w:pPr>
          </w:p>
        </w:tc>
        <w:tc>
          <w:tcPr>
            <w:tcW w:w="296" w:type="pct"/>
            <w:shd w:val="clear" w:color="auto" w:fill="auto"/>
            <w:noWrap/>
            <w:vAlign w:val="center"/>
          </w:tcPr>
          <w:p w14:paraId="40EDB189" w14:textId="77777777" w:rsidR="003F614D" w:rsidRPr="003F614D" w:rsidRDefault="003F614D" w:rsidP="003F614D">
            <w:pPr>
              <w:spacing w:after="0"/>
              <w:jc w:val="center"/>
              <w:rPr>
                <w:rFonts w:cstheme="minorHAnsi"/>
                <w:color w:val="000000"/>
              </w:rPr>
            </w:pPr>
            <w:r w:rsidRPr="003F614D">
              <w:rPr>
                <w:rFonts w:cstheme="minorHAnsi"/>
                <w:color w:val="000000"/>
              </w:rPr>
              <w:t>1</w:t>
            </w:r>
          </w:p>
        </w:tc>
        <w:tc>
          <w:tcPr>
            <w:tcW w:w="296" w:type="pct"/>
            <w:shd w:val="clear" w:color="auto" w:fill="auto"/>
            <w:noWrap/>
            <w:vAlign w:val="center"/>
          </w:tcPr>
          <w:p w14:paraId="79C09D4C" w14:textId="77777777" w:rsidR="003F614D" w:rsidRPr="003F614D" w:rsidRDefault="003F614D" w:rsidP="003F614D">
            <w:pPr>
              <w:spacing w:after="0"/>
              <w:jc w:val="center"/>
              <w:rPr>
                <w:rFonts w:cstheme="minorHAnsi"/>
                <w:color w:val="000000"/>
              </w:rPr>
            </w:pPr>
          </w:p>
        </w:tc>
        <w:tc>
          <w:tcPr>
            <w:tcW w:w="350" w:type="pct"/>
            <w:shd w:val="clear" w:color="auto" w:fill="auto"/>
            <w:noWrap/>
            <w:vAlign w:val="center"/>
          </w:tcPr>
          <w:p w14:paraId="6D5F6637" w14:textId="77777777" w:rsidR="003F614D" w:rsidRPr="003F614D" w:rsidRDefault="003F614D" w:rsidP="003F614D">
            <w:pPr>
              <w:spacing w:after="0"/>
              <w:jc w:val="center"/>
              <w:rPr>
                <w:rFonts w:cstheme="minorHAnsi"/>
                <w:color w:val="000000"/>
              </w:rPr>
            </w:pPr>
          </w:p>
        </w:tc>
        <w:tc>
          <w:tcPr>
            <w:tcW w:w="317" w:type="pct"/>
            <w:shd w:val="clear" w:color="auto" w:fill="auto"/>
            <w:noWrap/>
            <w:vAlign w:val="center"/>
          </w:tcPr>
          <w:p w14:paraId="7FE144B0" w14:textId="77777777" w:rsidR="003F614D" w:rsidRPr="003F614D" w:rsidRDefault="003F614D" w:rsidP="003F614D">
            <w:pPr>
              <w:spacing w:after="0"/>
              <w:jc w:val="center"/>
              <w:rPr>
                <w:rFonts w:cstheme="minorHAnsi"/>
                <w:color w:val="000000"/>
              </w:rPr>
            </w:pPr>
          </w:p>
        </w:tc>
        <w:tc>
          <w:tcPr>
            <w:tcW w:w="357" w:type="pct"/>
            <w:shd w:val="clear" w:color="auto" w:fill="auto"/>
            <w:noWrap/>
            <w:vAlign w:val="center"/>
          </w:tcPr>
          <w:p w14:paraId="001505C2" w14:textId="77777777" w:rsidR="003F614D" w:rsidRPr="003F614D" w:rsidRDefault="003F614D" w:rsidP="003F614D">
            <w:pPr>
              <w:spacing w:after="0"/>
              <w:jc w:val="center"/>
              <w:rPr>
                <w:rFonts w:cstheme="minorHAnsi"/>
                <w:color w:val="000000"/>
              </w:rPr>
            </w:pPr>
            <w:r w:rsidRPr="003F614D">
              <w:rPr>
                <w:rFonts w:cstheme="minorHAnsi"/>
                <w:color w:val="000000"/>
              </w:rPr>
              <w:t>1</w:t>
            </w:r>
          </w:p>
        </w:tc>
      </w:tr>
      <w:tr w:rsidR="003F614D" w:rsidRPr="002048A7" w14:paraId="0FC9CADD" w14:textId="77777777" w:rsidTr="003F614D">
        <w:trPr>
          <w:trHeight w:val="227"/>
        </w:trPr>
        <w:tc>
          <w:tcPr>
            <w:tcW w:w="1552" w:type="pct"/>
            <w:shd w:val="clear" w:color="auto" w:fill="auto"/>
            <w:vAlign w:val="center"/>
          </w:tcPr>
          <w:p w14:paraId="7C4F6600" w14:textId="77777777" w:rsidR="003F614D" w:rsidRPr="002048A7" w:rsidRDefault="003F614D" w:rsidP="003F614D">
            <w:pPr>
              <w:spacing w:after="0"/>
              <w:rPr>
                <w:rFonts w:cstheme="minorHAnsi"/>
                <w:bCs/>
                <w:color w:val="000000"/>
              </w:rPr>
            </w:pPr>
            <w:r w:rsidRPr="002048A7">
              <w:rPr>
                <w:rFonts w:cstheme="minorHAnsi"/>
                <w:bCs/>
                <w:color w:val="000000"/>
              </w:rPr>
              <w:t>Mühendis</w:t>
            </w:r>
          </w:p>
        </w:tc>
        <w:tc>
          <w:tcPr>
            <w:tcW w:w="507" w:type="pct"/>
            <w:shd w:val="clear" w:color="auto" w:fill="auto"/>
            <w:vAlign w:val="center"/>
          </w:tcPr>
          <w:p w14:paraId="0D0910E7" w14:textId="77777777" w:rsidR="003F614D" w:rsidRPr="003F614D" w:rsidRDefault="003F614D" w:rsidP="003F614D">
            <w:pPr>
              <w:spacing w:after="0"/>
              <w:jc w:val="center"/>
              <w:rPr>
                <w:rFonts w:cstheme="minorHAnsi"/>
                <w:color w:val="000000"/>
              </w:rPr>
            </w:pPr>
            <w:r w:rsidRPr="003F614D">
              <w:rPr>
                <w:rFonts w:cstheme="minorHAnsi"/>
                <w:color w:val="000000"/>
              </w:rPr>
              <w:t>40</w:t>
            </w:r>
          </w:p>
        </w:tc>
        <w:tc>
          <w:tcPr>
            <w:tcW w:w="437" w:type="pct"/>
            <w:shd w:val="clear" w:color="auto" w:fill="auto"/>
            <w:noWrap/>
            <w:vAlign w:val="center"/>
          </w:tcPr>
          <w:p w14:paraId="2FDA2DFC" w14:textId="77777777" w:rsidR="003F614D" w:rsidRPr="003F614D" w:rsidRDefault="003F614D" w:rsidP="003F614D">
            <w:pPr>
              <w:spacing w:after="0"/>
              <w:jc w:val="center"/>
              <w:rPr>
                <w:rFonts w:cstheme="minorHAnsi"/>
                <w:color w:val="000000"/>
              </w:rPr>
            </w:pPr>
            <w:r w:rsidRPr="003F614D">
              <w:rPr>
                <w:rFonts w:cstheme="minorHAnsi"/>
                <w:color w:val="000000"/>
              </w:rPr>
              <w:t>31</w:t>
            </w:r>
          </w:p>
        </w:tc>
        <w:tc>
          <w:tcPr>
            <w:tcW w:w="296" w:type="pct"/>
            <w:shd w:val="clear" w:color="auto" w:fill="auto"/>
            <w:noWrap/>
            <w:vAlign w:val="center"/>
          </w:tcPr>
          <w:p w14:paraId="6022DBA3" w14:textId="77777777" w:rsidR="003F614D" w:rsidRPr="003F614D" w:rsidRDefault="003F614D" w:rsidP="003F614D">
            <w:pPr>
              <w:spacing w:after="0"/>
              <w:jc w:val="center"/>
              <w:rPr>
                <w:rFonts w:cstheme="minorHAnsi"/>
                <w:color w:val="000000"/>
              </w:rPr>
            </w:pPr>
          </w:p>
        </w:tc>
        <w:tc>
          <w:tcPr>
            <w:tcW w:w="296" w:type="pct"/>
            <w:vAlign w:val="center"/>
          </w:tcPr>
          <w:p w14:paraId="3450D3CF" w14:textId="77777777" w:rsidR="003F614D" w:rsidRPr="003F614D" w:rsidRDefault="003F614D" w:rsidP="003F614D">
            <w:pPr>
              <w:spacing w:after="0"/>
              <w:jc w:val="center"/>
              <w:rPr>
                <w:rFonts w:cstheme="minorHAnsi"/>
                <w:color w:val="000000"/>
              </w:rPr>
            </w:pPr>
          </w:p>
        </w:tc>
        <w:tc>
          <w:tcPr>
            <w:tcW w:w="296" w:type="pct"/>
            <w:shd w:val="clear" w:color="auto" w:fill="auto"/>
            <w:noWrap/>
            <w:vAlign w:val="center"/>
          </w:tcPr>
          <w:p w14:paraId="1BDA6CA4" w14:textId="77777777" w:rsidR="003F614D" w:rsidRPr="003F614D" w:rsidRDefault="003F614D" w:rsidP="003F614D">
            <w:pPr>
              <w:spacing w:after="0"/>
              <w:jc w:val="center"/>
              <w:rPr>
                <w:rFonts w:cstheme="minorHAnsi"/>
                <w:color w:val="000000"/>
              </w:rPr>
            </w:pPr>
          </w:p>
        </w:tc>
        <w:tc>
          <w:tcPr>
            <w:tcW w:w="296" w:type="pct"/>
            <w:shd w:val="clear" w:color="auto" w:fill="auto"/>
            <w:noWrap/>
            <w:vAlign w:val="center"/>
          </w:tcPr>
          <w:p w14:paraId="25868B26" w14:textId="77777777" w:rsidR="003F614D" w:rsidRPr="003F614D" w:rsidRDefault="003F614D" w:rsidP="003F614D">
            <w:pPr>
              <w:spacing w:after="0"/>
              <w:jc w:val="center"/>
              <w:rPr>
                <w:rFonts w:cstheme="minorHAnsi"/>
                <w:color w:val="000000"/>
              </w:rPr>
            </w:pPr>
            <w:r w:rsidRPr="003F614D">
              <w:rPr>
                <w:rFonts w:cstheme="minorHAnsi"/>
                <w:color w:val="000000"/>
              </w:rPr>
              <w:t>24</w:t>
            </w:r>
          </w:p>
        </w:tc>
        <w:tc>
          <w:tcPr>
            <w:tcW w:w="296" w:type="pct"/>
            <w:shd w:val="clear" w:color="auto" w:fill="auto"/>
            <w:noWrap/>
            <w:vAlign w:val="center"/>
          </w:tcPr>
          <w:p w14:paraId="3594F3CB" w14:textId="77777777" w:rsidR="003F614D" w:rsidRPr="003F614D" w:rsidRDefault="003F614D" w:rsidP="003F614D">
            <w:pPr>
              <w:spacing w:after="0"/>
              <w:jc w:val="center"/>
              <w:rPr>
                <w:rFonts w:cstheme="minorHAnsi"/>
                <w:color w:val="000000"/>
              </w:rPr>
            </w:pPr>
            <w:r w:rsidRPr="003F614D">
              <w:rPr>
                <w:rFonts w:cstheme="minorHAnsi"/>
                <w:color w:val="000000"/>
              </w:rPr>
              <w:t>6</w:t>
            </w:r>
          </w:p>
        </w:tc>
        <w:tc>
          <w:tcPr>
            <w:tcW w:w="350" w:type="pct"/>
            <w:shd w:val="clear" w:color="auto" w:fill="auto"/>
            <w:noWrap/>
            <w:vAlign w:val="center"/>
          </w:tcPr>
          <w:p w14:paraId="2E59750F" w14:textId="77777777" w:rsidR="003F614D" w:rsidRPr="003F614D" w:rsidRDefault="003F614D" w:rsidP="003F614D">
            <w:pPr>
              <w:spacing w:after="0"/>
              <w:jc w:val="center"/>
              <w:rPr>
                <w:rFonts w:cstheme="minorHAnsi"/>
                <w:color w:val="000000"/>
              </w:rPr>
            </w:pPr>
            <w:r w:rsidRPr="003F614D">
              <w:rPr>
                <w:rFonts w:cstheme="minorHAnsi"/>
                <w:color w:val="000000"/>
              </w:rPr>
              <w:t>1</w:t>
            </w:r>
          </w:p>
        </w:tc>
        <w:tc>
          <w:tcPr>
            <w:tcW w:w="317" w:type="pct"/>
            <w:shd w:val="clear" w:color="auto" w:fill="auto"/>
            <w:noWrap/>
            <w:vAlign w:val="center"/>
          </w:tcPr>
          <w:p w14:paraId="38EC90C6" w14:textId="77777777" w:rsidR="003F614D" w:rsidRPr="003F614D" w:rsidRDefault="003F614D" w:rsidP="003F614D">
            <w:pPr>
              <w:spacing w:after="0"/>
              <w:jc w:val="center"/>
              <w:rPr>
                <w:rFonts w:cstheme="minorHAnsi"/>
                <w:color w:val="000000"/>
              </w:rPr>
            </w:pPr>
            <w:r w:rsidRPr="003F614D">
              <w:rPr>
                <w:rFonts w:cstheme="minorHAnsi"/>
                <w:color w:val="000000"/>
              </w:rPr>
              <w:t>12</w:t>
            </w:r>
          </w:p>
        </w:tc>
        <w:tc>
          <w:tcPr>
            <w:tcW w:w="357" w:type="pct"/>
            <w:shd w:val="clear" w:color="auto" w:fill="auto"/>
            <w:noWrap/>
            <w:vAlign w:val="center"/>
          </w:tcPr>
          <w:p w14:paraId="667ACAFA" w14:textId="77777777" w:rsidR="003F614D" w:rsidRPr="003F614D" w:rsidRDefault="003F614D" w:rsidP="003F614D">
            <w:pPr>
              <w:spacing w:after="0"/>
              <w:jc w:val="center"/>
              <w:rPr>
                <w:rFonts w:cstheme="minorHAnsi"/>
                <w:color w:val="000000"/>
              </w:rPr>
            </w:pPr>
            <w:r w:rsidRPr="003F614D">
              <w:rPr>
                <w:rFonts w:cstheme="minorHAnsi"/>
                <w:color w:val="000000"/>
              </w:rPr>
              <w:t>19</w:t>
            </w:r>
          </w:p>
        </w:tc>
      </w:tr>
      <w:tr w:rsidR="003F614D" w:rsidRPr="002048A7" w14:paraId="692B0C2E" w14:textId="77777777" w:rsidTr="003F614D">
        <w:trPr>
          <w:trHeight w:val="227"/>
        </w:trPr>
        <w:tc>
          <w:tcPr>
            <w:tcW w:w="1552" w:type="pct"/>
            <w:shd w:val="clear" w:color="auto" w:fill="auto"/>
            <w:vAlign w:val="center"/>
          </w:tcPr>
          <w:p w14:paraId="4B78454B" w14:textId="77777777" w:rsidR="003F614D" w:rsidRPr="002048A7" w:rsidRDefault="003F614D" w:rsidP="003F614D">
            <w:pPr>
              <w:spacing w:after="0"/>
              <w:rPr>
                <w:rFonts w:cstheme="minorHAnsi"/>
                <w:bCs/>
                <w:color w:val="000000"/>
              </w:rPr>
            </w:pPr>
            <w:r w:rsidRPr="002048A7">
              <w:rPr>
                <w:rFonts w:cstheme="minorHAnsi"/>
                <w:bCs/>
                <w:color w:val="000000"/>
              </w:rPr>
              <w:t>Mütercim-Tercüman</w:t>
            </w:r>
          </w:p>
        </w:tc>
        <w:tc>
          <w:tcPr>
            <w:tcW w:w="507" w:type="pct"/>
            <w:shd w:val="clear" w:color="auto" w:fill="auto"/>
            <w:vAlign w:val="center"/>
          </w:tcPr>
          <w:p w14:paraId="6007333F" w14:textId="77777777" w:rsidR="003F614D" w:rsidRPr="003F614D" w:rsidRDefault="003F614D" w:rsidP="003F614D">
            <w:pPr>
              <w:spacing w:after="0"/>
              <w:jc w:val="center"/>
              <w:rPr>
                <w:rFonts w:cstheme="minorHAnsi"/>
                <w:color w:val="000000"/>
              </w:rPr>
            </w:pPr>
            <w:r w:rsidRPr="003F614D">
              <w:rPr>
                <w:rFonts w:cstheme="minorHAnsi"/>
                <w:color w:val="000000"/>
              </w:rPr>
              <w:t>2</w:t>
            </w:r>
          </w:p>
        </w:tc>
        <w:tc>
          <w:tcPr>
            <w:tcW w:w="437" w:type="pct"/>
            <w:shd w:val="clear" w:color="auto" w:fill="auto"/>
            <w:noWrap/>
            <w:vAlign w:val="center"/>
          </w:tcPr>
          <w:p w14:paraId="0F45F266" w14:textId="77777777" w:rsidR="003F614D" w:rsidRPr="003F614D" w:rsidRDefault="003F614D" w:rsidP="003F614D">
            <w:pPr>
              <w:spacing w:after="0"/>
              <w:jc w:val="center"/>
              <w:rPr>
                <w:rFonts w:cstheme="minorHAnsi"/>
                <w:color w:val="000000"/>
              </w:rPr>
            </w:pPr>
            <w:r w:rsidRPr="003F614D">
              <w:rPr>
                <w:rFonts w:cstheme="minorHAnsi"/>
                <w:color w:val="000000"/>
              </w:rPr>
              <w:t>1</w:t>
            </w:r>
          </w:p>
        </w:tc>
        <w:tc>
          <w:tcPr>
            <w:tcW w:w="296" w:type="pct"/>
            <w:shd w:val="clear" w:color="auto" w:fill="auto"/>
            <w:noWrap/>
            <w:vAlign w:val="center"/>
          </w:tcPr>
          <w:p w14:paraId="0970E5DC" w14:textId="77777777" w:rsidR="003F614D" w:rsidRPr="003F614D" w:rsidRDefault="003F614D" w:rsidP="003F614D">
            <w:pPr>
              <w:spacing w:after="0"/>
              <w:jc w:val="center"/>
              <w:rPr>
                <w:rFonts w:cstheme="minorHAnsi"/>
                <w:color w:val="000000"/>
              </w:rPr>
            </w:pPr>
          </w:p>
        </w:tc>
        <w:tc>
          <w:tcPr>
            <w:tcW w:w="296" w:type="pct"/>
            <w:vAlign w:val="center"/>
          </w:tcPr>
          <w:p w14:paraId="4B2EE23E" w14:textId="77777777" w:rsidR="003F614D" w:rsidRPr="003F614D" w:rsidRDefault="003F614D" w:rsidP="003F614D">
            <w:pPr>
              <w:spacing w:after="0"/>
              <w:jc w:val="center"/>
              <w:rPr>
                <w:rFonts w:cstheme="minorHAnsi"/>
                <w:color w:val="000000"/>
              </w:rPr>
            </w:pPr>
          </w:p>
        </w:tc>
        <w:tc>
          <w:tcPr>
            <w:tcW w:w="296" w:type="pct"/>
            <w:shd w:val="clear" w:color="auto" w:fill="auto"/>
            <w:noWrap/>
            <w:vAlign w:val="center"/>
          </w:tcPr>
          <w:p w14:paraId="60AA3CA3" w14:textId="77777777" w:rsidR="003F614D" w:rsidRPr="003F614D" w:rsidRDefault="003F614D" w:rsidP="003F614D">
            <w:pPr>
              <w:spacing w:after="0"/>
              <w:jc w:val="center"/>
              <w:rPr>
                <w:rFonts w:cstheme="minorHAnsi"/>
                <w:color w:val="000000"/>
              </w:rPr>
            </w:pPr>
          </w:p>
        </w:tc>
        <w:tc>
          <w:tcPr>
            <w:tcW w:w="296" w:type="pct"/>
            <w:shd w:val="clear" w:color="auto" w:fill="auto"/>
            <w:noWrap/>
            <w:vAlign w:val="center"/>
          </w:tcPr>
          <w:p w14:paraId="7DE52A6E" w14:textId="77777777" w:rsidR="003F614D" w:rsidRPr="003F614D" w:rsidRDefault="003F614D" w:rsidP="003F614D">
            <w:pPr>
              <w:spacing w:after="0"/>
              <w:jc w:val="center"/>
              <w:rPr>
                <w:rFonts w:cstheme="minorHAnsi"/>
                <w:color w:val="000000"/>
              </w:rPr>
            </w:pPr>
            <w:r w:rsidRPr="003F614D">
              <w:rPr>
                <w:rFonts w:cstheme="minorHAnsi"/>
                <w:color w:val="000000"/>
              </w:rPr>
              <w:t>1</w:t>
            </w:r>
          </w:p>
        </w:tc>
        <w:tc>
          <w:tcPr>
            <w:tcW w:w="296" w:type="pct"/>
            <w:shd w:val="clear" w:color="auto" w:fill="auto"/>
            <w:noWrap/>
            <w:vAlign w:val="center"/>
          </w:tcPr>
          <w:p w14:paraId="5B99A968" w14:textId="77777777" w:rsidR="003F614D" w:rsidRPr="003F614D" w:rsidRDefault="003F614D" w:rsidP="003F614D">
            <w:pPr>
              <w:spacing w:after="0"/>
              <w:jc w:val="center"/>
              <w:rPr>
                <w:rFonts w:cstheme="minorHAnsi"/>
                <w:color w:val="000000"/>
              </w:rPr>
            </w:pPr>
          </w:p>
        </w:tc>
        <w:tc>
          <w:tcPr>
            <w:tcW w:w="350" w:type="pct"/>
            <w:shd w:val="clear" w:color="auto" w:fill="auto"/>
            <w:noWrap/>
            <w:vAlign w:val="center"/>
          </w:tcPr>
          <w:p w14:paraId="3104E6E7" w14:textId="77777777" w:rsidR="003F614D" w:rsidRPr="003F614D" w:rsidRDefault="003F614D" w:rsidP="003F614D">
            <w:pPr>
              <w:spacing w:after="0"/>
              <w:jc w:val="center"/>
              <w:rPr>
                <w:rFonts w:cstheme="minorHAnsi"/>
                <w:color w:val="000000"/>
              </w:rPr>
            </w:pPr>
          </w:p>
        </w:tc>
        <w:tc>
          <w:tcPr>
            <w:tcW w:w="317" w:type="pct"/>
            <w:shd w:val="clear" w:color="auto" w:fill="auto"/>
            <w:noWrap/>
            <w:vAlign w:val="center"/>
          </w:tcPr>
          <w:p w14:paraId="241B09E1" w14:textId="77777777" w:rsidR="003F614D" w:rsidRPr="003F614D" w:rsidRDefault="003F614D" w:rsidP="003F614D">
            <w:pPr>
              <w:spacing w:after="0"/>
              <w:jc w:val="center"/>
              <w:rPr>
                <w:rFonts w:cstheme="minorHAnsi"/>
                <w:color w:val="000000"/>
              </w:rPr>
            </w:pPr>
            <w:r w:rsidRPr="003F614D">
              <w:rPr>
                <w:rFonts w:cstheme="minorHAnsi"/>
                <w:color w:val="000000"/>
              </w:rPr>
              <w:t>1</w:t>
            </w:r>
          </w:p>
        </w:tc>
        <w:tc>
          <w:tcPr>
            <w:tcW w:w="357" w:type="pct"/>
            <w:shd w:val="clear" w:color="auto" w:fill="auto"/>
            <w:noWrap/>
            <w:vAlign w:val="center"/>
          </w:tcPr>
          <w:p w14:paraId="3C56CE09" w14:textId="77777777" w:rsidR="003F614D" w:rsidRPr="003F614D" w:rsidRDefault="003F614D" w:rsidP="003F614D">
            <w:pPr>
              <w:spacing w:after="0"/>
              <w:jc w:val="center"/>
              <w:rPr>
                <w:rFonts w:cstheme="minorHAnsi"/>
                <w:color w:val="000000"/>
              </w:rPr>
            </w:pPr>
          </w:p>
        </w:tc>
      </w:tr>
      <w:tr w:rsidR="003F614D" w:rsidRPr="002048A7" w14:paraId="1A0F6ECE" w14:textId="77777777" w:rsidTr="003F614D">
        <w:trPr>
          <w:trHeight w:val="227"/>
        </w:trPr>
        <w:tc>
          <w:tcPr>
            <w:tcW w:w="1552" w:type="pct"/>
            <w:shd w:val="clear" w:color="auto" w:fill="auto"/>
            <w:vAlign w:val="center"/>
          </w:tcPr>
          <w:p w14:paraId="337F238B" w14:textId="77777777" w:rsidR="003F614D" w:rsidRPr="002048A7" w:rsidRDefault="003F614D" w:rsidP="003F614D">
            <w:pPr>
              <w:spacing w:after="0"/>
              <w:rPr>
                <w:rFonts w:cstheme="minorHAnsi"/>
                <w:bCs/>
                <w:color w:val="000000"/>
              </w:rPr>
            </w:pPr>
            <w:r w:rsidRPr="002048A7">
              <w:rPr>
                <w:rFonts w:cstheme="minorHAnsi"/>
                <w:bCs/>
                <w:color w:val="000000"/>
              </w:rPr>
              <w:t>Araştırmacı</w:t>
            </w:r>
          </w:p>
        </w:tc>
        <w:tc>
          <w:tcPr>
            <w:tcW w:w="507" w:type="pct"/>
            <w:shd w:val="clear" w:color="auto" w:fill="auto"/>
            <w:vAlign w:val="center"/>
          </w:tcPr>
          <w:p w14:paraId="2F835560" w14:textId="77777777" w:rsidR="003F614D" w:rsidRPr="003F614D" w:rsidRDefault="003F614D" w:rsidP="003F614D">
            <w:pPr>
              <w:spacing w:after="0"/>
              <w:jc w:val="center"/>
              <w:rPr>
                <w:rFonts w:cstheme="minorHAnsi"/>
                <w:color w:val="000000"/>
              </w:rPr>
            </w:pPr>
            <w:r w:rsidRPr="003F614D">
              <w:rPr>
                <w:rFonts w:cstheme="minorHAnsi"/>
                <w:color w:val="000000"/>
              </w:rPr>
              <w:t>1</w:t>
            </w:r>
          </w:p>
        </w:tc>
        <w:tc>
          <w:tcPr>
            <w:tcW w:w="437" w:type="pct"/>
            <w:shd w:val="clear" w:color="auto" w:fill="auto"/>
            <w:noWrap/>
            <w:vAlign w:val="center"/>
          </w:tcPr>
          <w:p w14:paraId="5C6F2176" w14:textId="77777777" w:rsidR="003F614D" w:rsidRPr="003F614D" w:rsidRDefault="003F614D" w:rsidP="003F614D">
            <w:pPr>
              <w:spacing w:after="0"/>
              <w:jc w:val="center"/>
              <w:rPr>
                <w:rFonts w:cstheme="minorHAnsi"/>
                <w:color w:val="000000"/>
              </w:rPr>
            </w:pPr>
            <w:r w:rsidRPr="003F614D">
              <w:rPr>
                <w:rFonts w:cstheme="minorHAnsi"/>
                <w:color w:val="000000"/>
              </w:rPr>
              <w:t>-</w:t>
            </w:r>
          </w:p>
        </w:tc>
        <w:tc>
          <w:tcPr>
            <w:tcW w:w="296" w:type="pct"/>
            <w:shd w:val="clear" w:color="auto" w:fill="auto"/>
            <w:noWrap/>
            <w:vAlign w:val="center"/>
          </w:tcPr>
          <w:p w14:paraId="2E6380B0" w14:textId="77777777" w:rsidR="003F614D" w:rsidRPr="003F614D" w:rsidRDefault="003F614D" w:rsidP="003F614D">
            <w:pPr>
              <w:spacing w:after="0"/>
              <w:jc w:val="center"/>
              <w:rPr>
                <w:rFonts w:cstheme="minorHAnsi"/>
                <w:color w:val="000000"/>
              </w:rPr>
            </w:pPr>
          </w:p>
        </w:tc>
        <w:tc>
          <w:tcPr>
            <w:tcW w:w="296" w:type="pct"/>
            <w:vAlign w:val="center"/>
          </w:tcPr>
          <w:p w14:paraId="3A4CAB17" w14:textId="77777777" w:rsidR="003F614D" w:rsidRPr="003F614D" w:rsidRDefault="003F614D" w:rsidP="003F614D">
            <w:pPr>
              <w:spacing w:after="0"/>
              <w:jc w:val="center"/>
              <w:rPr>
                <w:rFonts w:cstheme="minorHAnsi"/>
                <w:color w:val="000000"/>
              </w:rPr>
            </w:pPr>
          </w:p>
        </w:tc>
        <w:tc>
          <w:tcPr>
            <w:tcW w:w="296" w:type="pct"/>
            <w:shd w:val="clear" w:color="auto" w:fill="auto"/>
            <w:noWrap/>
            <w:vAlign w:val="center"/>
          </w:tcPr>
          <w:p w14:paraId="2A4C7250" w14:textId="77777777" w:rsidR="003F614D" w:rsidRPr="003F614D" w:rsidRDefault="003F614D" w:rsidP="003F614D">
            <w:pPr>
              <w:spacing w:after="0"/>
              <w:jc w:val="center"/>
              <w:rPr>
                <w:rFonts w:cstheme="minorHAnsi"/>
                <w:color w:val="000000"/>
              </w:rPr>
            </w:pPr>
          </w:p>
        </w:tc>
        <w:tc>
          <w:tcPr>
            <w:tcW w:w="296" w:type="pct"/>
            <w:shd w:val="clear" w:color="auto" w:fill="auto"/>
            <w:noWrap/>
            <w:vAlign w:val="center"/>
          </w:tcPr>
          <w:p w14:paraId="51CA428D" w14:textId="77777777" w:rsidR="003F614D" w:rsidRPr="003F614D" w:rsidRDefault="003F614D" w:rsidP="003F614D">
            <w:pPr>
              <w:spacing w:after="0"/>
              <w:jc w:val="center"/>
              <w:rPr>
                <w:rFonts w:cstheme="minorHAnsi"/>
                <w:color w:val="000000"/>
              </w:rPr>
            </w:pPr>
          </w:p>
        </w:tc>
        <w:tc>
          <w:tcPr>
            <w:tcW w:w="296" w:type="pct"/>
            <w:shd w:val="clear" w:color="auto" w:fill="auto"/>
            <w:noWrap/>
            <w:vAlign w:val="center"/>
          </w:tcPr>
          <w:p w14:paraId="5767ECBE" w14:textId="77777777" w:rsidR="003F614D" w:rsidRPr="003F614D" w:rsidRDefault="003F614D" w:rsidP="003F614D">
            <w:pPr>
              <w:spacing w:after="0"/>
              <w:jc w:val="center"/>
              <w:rPr>
                <w:rFonts w:cstheme="minorHAnsi"/>
                <w:color w:val="000000"/>
              </w:rPr>
            </w:pPr>
          </w:p>
        </w:tc>
        <w:tc>
          <w:tcPr>
            <w:tcW w:w="350" w:type="pct"/>
            <w:shd w:val="clear" w:color="auto" w:fill="auto"/>
            <w:noWrap/>
            <w:vAlign w:val="center"/>
          </w:tcPr>
          <w:p w14:paraId="48F226D7" w14:textId="77777777" w:rsidR="003F614D" w:rsidRPr="003F614D" w:rsidRDefault="003F614D" w:rsidP="003F614D">
            <w:pPr>
              <w:spacing w:after="0"/>
              <w:jc w:val="center"/>
              <w:rPr>
                <w:rFonts w:cstheme="minorHAnsi"/>
                <w:color w:val="000000"/>
              </w:rPr>
            </w:pPr>
          </w:p>
        </w:tc>
        <w:tc>
          <w:tcPr>
            <w:tcW w:w="317" w:type="pct"/>
            <w:shd w:val="clear" w:color="auto" w:fill="auto"/>
            <w:noWrap/>
            <w:vAlign w:val="center"/>
          </w:tcPr>
          <w:p w14:paraId="0CC8DC93" w14:textId="77777777" w:rsidR="003F614D" w:rsidRPr="003F614D" w:rsidRDefault="003F614D" w:rsidP="003F614D">
            <w:pPr>
              <w:spacing w:after="0"/>
              <w:jc w:val="center"/>
              <w:rPr>
                <w:rFonts w:cstheme="minorHAnsi"/>
                <w:color w:val="000000"/>
              </w:rPr>
            </w:pPr>
          </w:p>
        </w:tc>
        <w:tc>
          <w:tcPr>
            <w:tcW w:w="357" w:type="pct"/>
            <w:shd w:val="clear" w:color="auto" w:fill="auto"/>
            <w:noWrap/>
            <w:vAlign w:val="center"/>
          </w:tcPr>
          <w:p w14:paraId="10C2BE69" w14:textId="77777777" w:rsidR="003F614D" w:rsidRPr="003F614D" w:rsidRDefault="003F614D" w:rsidP="003F614D">
            <w:pPr>
              <w:spacing w:after="0"/>
              <w:jc w:val="center"/>
              <w:rPr>
                <w:rFonts w:cstheme="minorHAnsi"/>
                <w:color w:val="000000"/>
              </w:rPr>
            </w:pPr>
          </w:p>
        </w:tc>
      </w:tr>
      <w:tr w:rsidR="003F614D" w:rsidRPr="002048A7" w14:paraId="5E94EA9B" w14:textId="77777777" w:rsidTr="003F614D">
        <w:trPr>
          <w:trHeight w:val="227"/>
        </w:trPr>
        <w:tc>
          <w:tcPr>
            <w:tcW w:w="1552" w:type="pct"/>
            <w:shd w:val="clear" w:color="auto" w:fill="auto"/>
            <w:vAlign w:val="center"/>
          </w:tcPr>
          <w:p w14:paraId="5D1A9233" w14:textId="77777777" w:rsidR="003F614D" w:rsidRPr="002048A7" w:rsidRDefault="003F614D" w:rsidP="003F614D">
            <w:pPr>
              <w:spacing w:after="0"/>
              <w:rPr>
                <w:rFonts w:cstheme="minorHAnsi"/>
                <w:color w:val="000000"/>
              </w:rPr>
            </w:pPr>
            <w:r w:rsidRPr="002048A7">
              <w:rPr>
                <w:rFonts w:cstheme="minorHAnsi"/>
                <w:color w:val="000000"/>
              </w:rPr>
              <w:t>Çözümleyici</w:t>
            </w:r>
          </w:p>
        </w:tc>
        <w:tc>
          <w:tcPr>
            <w:tcW w:w="507" w:type="pct"/>
            <w:shd w:val="clear" w:color="auto" w:fill="auto"/>
            <w:vAlign w:val="center"/>
          </w:tcPr>
          <w:p w14:paraId="5F67A5A9" w14:textId="77777777" w:rsidR="003F614D" w:rsidRPr="003F614D" w:rsidRDefault="003F614D" w:rsidP="003F614D">
            <w:pPr>
              <w:spacing w:after="0"/>
              <w:jc w:val="center"/>
              <w:rPr>
                <w:rFonts w:cstheme="minorHAnsi"/>
                <w:color w:val="000000"/>
              </w:rPr>
            </w:pPr>
            <w:r w:rsidRPr="003F614D">
              <w:rPr>
                <w:rFonts w:cstheme="minorHAnsi"/>
                <w:color w:val="000000"/>
              </w:rPr>
              <w:t>6</w:t>
            </w:r>
          </w:p>
        </w:tc>
        <w:tc>
          <w:tcPr>
            <w:tcW w:w="437" w:type="pct"/>
            <w:shd w:val="clear" w:color="auto" w:fill="auto"/>
            <w:noWrap/>
            <w:vAlign w:val="center"/>
          </w:tcPr>
          <w:p w14:paraId="264B3D41" w14:textId="77777777" w:rsidR="003F614D" w:rsidRPr="003F614D" w:rsidRDefault="003F614D" w:rsidP="003F614D">
            <w:pPr>
              <w:spacing w:after="0"/>
              <w:jc w:val="center"/>
              <w:rPr>
                <w:rFonts w:cstheme="minorHAnsi"/>
                <w:color w:val="000000"/>
              </w:rPr>
            </w:pPr>
            <w:r w:rsidRPr="003F614D">
              <w:rPr>
                <w:rFonts w:cstheme="minorHAnsi"/>
                <w:color w:val="000000"/>
              </w:rPr>
              <w:t>4</w:t>
            </w:r>
          </w:p>
        </w:tc>
        <w:tc>
          <w:tcPr>
            <w:tcW w:w="296" w:type="pct"/>
            <w:shd w:val="clear" w:color="auto" w:fill="auto"/>
            <w:noWrap/>
            <w:vAlign w:val="center"/>
          </w:tcPr>
          <w:p w14:paraId="2F79BFEE" w14:textId="77777777" w:rsidR="003F614D" w:rsidRPr="003F614D" w:rsidRDefault="003F614D" w:rsidP="003F614D">
            <w:pPr>
              <w:spacing w:after="0"/>
              <w:jc w:val="center"/>
              <w:rPr>
                <w:rFonts w:cstheme="minorHAnsi"/>
                <w:color w:val="000000"/>
              </w:rPr>
            </w:pPr>
          </w:p>
        </w:tc>
        <w:tc>
          <w:tcPr>
            <w:tcW w:w="296" w:type="pct"/>
            <w:vAlign w:val="center"/>
          </w:tcPr>
          <w:p w14:paraId="6CC4D4B7" w14:textId="77777777" w:rsidR="003F614D" w:rsidRPr="003F614D" w:rsidRDefault="003F614D" w:rsidP="003F614D">
            <w:pPr>
              <w:spacing w:after="0"/>
              <w:jc w:val="center"/>
              <w:rPr>
                <w:rFonts w:cstheme="minorHAnsi"/>
                <w:color w:val="000000"/>
              </w:rPr>
            </w:pPr>
          </w:p>
        </w:tc>
        <w:tc>
          <w:tcPr>
            <w:tcW w:w="296" w:type="pct"/>
            <w:shd w:val="clear" w:color="auto" w:fill="auto"/>
            <w:noWrap/>
            <w:vAlign w:val="center"/>
          </w:tcPr>
          <w:p w14:paraId="562166B7" w14:textId="77777777" w:rsidR="003F614D" w:rsidRPr="003F614D" w:rsidRDefault="003F614D" w:rsidP="003F614D">
            <w:pPr>
              <w:spacing w:after="0"/>
              <w:jc w:val="center"/>
              <w:rPr>
                <w:rFonts w:cstheme="minorHAnsi"/>
                <w:color w:val="000000"/>
              </w:rPr>
            </w:pPr>
          </w:p>
        </w:tc>
        <w:tc>
          <w:tcPr>
            <w:tcW w:w="296" w:type="pct"/>
            <w:shd w:val="clear" w:color="auto" w:fill="auto"/>
            <w:noWrap/>
            <w:vAlign w:val="center"/>
          </w:tcPr>
          <w:p w14:paraId="5A6E6C98" w14:textId="77777777" w:rsidR="003F614D" w:rsidRPr="003F614D" w:rsidRDefault="003F614D" w:rsidP="003F614D">
            <w:pPr>
              <w:spacing w:after="0"/>
              <w:jc w:val="center"/>
              <w:rPr>
                <w:rFonts w:cstheme="minorHAnsi"/>
                <w:color w:val="000000"/>
              </w:rPr>
            </w:pPr>
            <w:r w:rsidRPr="003F614D">
              <w:rPr>
                <w:rFonts w:cstheme="minorHAnsi"/>
                <w:color w:val="000000"/>
              </w:rPr>
              <w:t>4</w:t>
            </w:r>
          </w:p>
        </w:tc>
        <w:tc>
          <w:tcPr>
            <w:tcW w:w="296" w:type="pct"/>
            <w:shd w:val="clear" w:color="auto" w:fill="auto"/>
            <w:noWrap/>
            <w:vAlign w:val="center"/>
          </w:tcPr>
          <w:p w14:paraId="5948F58F" w14:textId="77777777" w:rsidR="003F614D" w:rsidRPr="003F614D" w:rsidRDefault="003F614D" w:rsidP="003F614D">
            <w:pPr>
              <w:spacing w:after="0"/>
              <w:jc w:val="center"/>
              <w:rPr>
                <w:rFonts w:cstheme="minorHAnsi"/>
                <w:color w:val="000000"/>
              </w:rPr>
            </w:pPr>
          </w:p>
        </w:tc>
        <w:tc>
          <w:tcPr>
            <w:tcW w:w="350" w:type="pct"/>
            <w:shd w:val="clear" w:color="auto" w:fill="auto"/>
            <w:noWrap/>
            <w:vAlign w:val="center"/>
          </w:tcPr>
          <w:p w14:paraId="5F014FD4" w14:textId="77777777" w:rsidR="003F614D" w:rsidRPr="003F614D" w:rsidRDefault="003F614D" w:rsidP="003F614D">
            <w:pPr>
              <w:spacing w:after="0"/>
              <w:jc w:val="center"/>
              <w:rPr>
                <w:rFonts w:cstheme="minorHAnsi"/>
                <w:color w:val="000000"/>
              </w:rPr>
            </w:pPr>
          </w:p>
        </w:tc>
        <w:tc>
          <w:tcPr>
            <w:tcW w:w="317" w:type="pct"/>
            <w:shd w:val="clear" w:color="auto" w:fill="auto"/>
            <w:noWrap/>
            <w:vAlign w:val="center"/>
          </w:tcPr>
          <w:p w14:paraId="506072E6" w14:textId="77777777" w:rsidR="003F614D" w:rsidRPr="003F614D" w:rsidRDefault="003F614D" w:rsidP="003F614D">
            <w:pPr>
              <w:spacing w:after="0"/>
              <w:jc w:val="center"/>
              <w:rPr>
                <w:rFonts w:cstheme="minorHAnsi"/>
                <w:color w:val="000000"/>
              </w:rPr>
            </w:pPr>
            <w:r w:rsidRPr="003F614D">
              <w:rPr>
                <w:rFonts w:cstheme="minorHAnsi"/>
                <w:color w:val="000000"/>
              </w:rPr>
              <w:t>1</w:t>
            </w:r>
          </w:p>
        </w:tc>
        <w:tc>
          <w:tcPr>
            <w:tcW w:w="357" w:type="pct"/>
            <w:shd w:val="clear" w:color="auto" w:fill="auto"/>
            <w:noWrap/>
            <w:vAlign w:val="center"/>
          </w:tcPr>
          <w:p w14:paraId="1F24B733" w14:textId="77777777" w:rsidR="003F614D" w:rsidRPr="003F614D" w:rsidRDefault="003F614D" w:rsidP="003F614D">
            <w:pPr>
              <w:spacing w:after="0"/>
              <w:jc w:val="center"/>
              <w:rPr>
                <w:rFonts w:cstheme="minorHAnsi"/>
                <w:color w:val="000000"/>
              </w:rPr>
            </w:pPr>
            <w:r w:rsidRPr="003F614D">
              <w:rPr>
                <w:rFonts w:cstheme="minorHAnsi"/>
                <w:color w:val="000000"/>
              </w:rPr>
              <w:t>3</w:t>
            </w:r>
          </w:p>
        </w:tc>
      </w:tr>
      <w:tr w:rsidR="003F614D" w:rsidRPr="002048A7" w14:paraId="63AF856E" w14:textId="77777777" w:rsidTr="003F614D">
        <w:trPr>
          <w:trHeight w:val="227"/>
        </w:trPr>
        <w:tc>
          <w:tcPr>
            <w:tcW w:w="1552" w:type="pct"/>
            <w:shd w:val="clear" w:color="auto" w:fill="auto"/>
            <w:vAlign w:val="center"/>
          </w:tcPr>
          <w:p w14:paraId="11F9164D" w14:textId="77777777" w:rsidR="003F614D" w:rsidRPr="002048A7" w:rsidRDefault="003F614D" w:rsidP="003F614D">
            <w:pPr>
              <w:spacing w:after="0"/>
              <w:rPr>
                <w:rFonts w:cstheme="minorHAnsi"/>
                <w:color w:val="000000"/>
              </w:rPr>
            </w:pPr>
            <w:r w:rsidRPr="002048A7">
              <w:rPr>
                <w:rFonts w:cstheme="minorHAnsi"/>
                <w:color w:val="000000"/>
              </w:rPr>
              <w:t>Programcı</w:t>
            </w:r>
          </w:p>
        </w:tc>
        <w:tc>
          <w:tcPr>
            <w:tcW w:w="507" w:type="pct"/>
            <w:shd w:val="clear" w:color="auto" w:fill="auto"/>
            <w:vAlign w:val="center"/>
          </w:tcPr>
          <w:p w14:paraId="1BD94138" w14:textId="77777777" w:rsidR="003F614D" w:rsidRPr="003F614D" w:rsidRDefault="003F614D" w:rsidP="003F614D">
            <w:pPr>
              <w:spacing w:after="0"/>
              <w:jc w:val="center"/>
              <w:rPr>
                <w:rFonts w:cstheme="minorHAnsi"/>
                <w:color w:val="000000"/>
              </w:rPr>
            </w:pPr>
            <w:r w:rsidRPr="003F614D">
              <w:rPr>
                <w:rFonts w:cstheme="minorHAnsi"/>
                <w:color w:val="000000"/>
              </w:rPr>
              <w:t>2</w:t>
            </w:r>
          </w:p>
        </w:tc>
        <w:tc>
          <w:tcPr>
            <w:tcW w:w="437" w:type="pct"/>
            <w:shd w:val="clear" w:color="auto" w:fill="auto"/>
            <w:noWrap/>
            <w:vAlign w:val="center"/>
          </w:tcPr>
          <w:p w14:paraId="78A7D27D" w14:textId="77777777" w:rsidR="003F614D" w:rsidRPr="003F614D" w:rsidRDefault="003F614D" w:rsidP="003F614D">
            <w:pPr>
              <w:spacing w:after="0"/>
              <w:jc w:val="center"/>
              <w:rPr>
                <w:rFonts w:cstheme="minorHAnsi"/>
                <w:color w:val="000000"/>
              </w:rPr>
            </w:pPr>
            <w:r w:rsidRPr="003F614D">
              <w:rPr>
                <w:rFonts w:cstheme="minorHAnsi"/>
                <w:color w:val="000000"/>
              </w:rPr>
              <w:t>-</w:t>
            </w:r>
          </w:p>
        </w:tc>
        <w:tc>
          <w:tcPr>
            <w:tcW w:w="296" w:type="pct"/>
            <w:shd w:val="clear" w:color="auto" w:fill="auto"/>
            <w:noWrap/>
            <w:vAlign w:val="center"/>
          </w:tcPr>
          <w:p w14:paraId="5942FABF" w14:textId="77777777" w:rsidR="003F614D" w:rsidRPr="003F614D" w:rsidRDefault="003F614D" w:rsidP="003F614D">
            <w:pPr>
              <w:spacing w:after="0"/>
              <w:jc w:val="center"/>
              <w:rPr>
                <w:rFonts w:cstheme="minorHAnsi"/>
                <w:color w:val="000000"/>
              </w:rPr>
            </w:pPr>
          </w:p>
        </w:tc>
        <w:tc>
          <w:tcPr>
            <w:tcW w:w="296" w:type="pct"/>
            <w:vAlign w:val="center"/>
          </w:tcPr>
          <w:p w14:paraId="799A5C9B" w14:textId="77777777" w:rsidR="003F614D" w:rsidRPr="003F614D" w:rsidRDefault="003F614D" w:rsidP="003F614D">
            <w:pPr>
              <w:spacing w:after="0"/>
              <w:jc w:val="center"/>
              <w:rPr>
                <w:rFonts w:cstheme="minorHAnsi"/>
                <w:color w:val="000000"/>
              </w:rPr>
            </w:pPr>
          </w:p>
        </w:tc>
        <w:tc>
          <w:tcPr>
            <w:tcW w:w="296" w:type="pct"/>
            <w:shd w:val="clear" w:color="auto" w:fill="auto"/>
            <w:noWrap/>
            <w:vAlign w:val="center"/>
          </w:tcPr>
          <w:p w14:paraId="31DFA3BD" w14:textId="77777777" w:rsidR="003F614D" w:rsidRPr="003F614D" w:rsidRDefault="003F614D" w:rsidP="003F614D">
            <w:pPr>
              <w:spacing w:after="0"/>
              <w:jc w:val="center"/>
              <w:rPr>
                <w:rFonts w:cstheme="minorHAnsi"/>
                <w:color w:val="000000"/>
              </w:rPr>
            </w:pPr>
          </w:p>
        </w:tc>
        <w:tc>
          <w:tcPr>
            <w:tcW w:w="296" w:type="pct"/>
            <w:shd w:val="clear" w:color="auto" w:fill="auto"/>
            <w:noWrap/>
            <w:vAlign w:val="center"/>
          </w:tcPr>
          <w:p w14:paraId="6B996632" w14:textId="77777777" w:rsidR="003F614D" w:rsidRPr="003F614D" w:rsidRDefault="003F614D" w:rsidP="003F614D">
            <w:pPr>
              <w:spacing w:after="0"/>
              <w:jc w:val="center"/>
              <w:rPr>
                <w:rFonts w:cstheme="minorHAnsi"/>
                <w:color w:val="000000"/>
              </w:rPr>
            </w:pPr>
          </w:p>
        </w:tc>
        <w:tc>
          <w:tcPr>
            <w:tcW w:w="296" w:type="pct"/>
            <w:shd w:val="clear" w:color="auto" w:fill="auto"/>
            <w:noWrap/>
            <w:vAlign w:val="center"/>
          </w:tcPr>
          <w:p w14:paraId="76F27283" w14:textId="77777777" w:rsidR="003F614D" w:rsidRPr="003F614D" w:rsidRDefault="003F614D" w:rsidP="003F614D">
            <w:pPr>
              <w:spacing w:after="0"/>
              <w:jc w:val="center"/>
              <w:rPr>
                <w:rFonts w:cstheme="minorHAnsi"/>
                <w:color w:val="000000"/>
              </w:rPr>
            </w:pPr>
          </w:p>
        </w:tc>
        <w:tc>
          <w:tcPr>
            <w:tcW w:w="350" w:type="pct"/>
            <w:shd w:val="clear" w:color="auto" w:fill="auto"/>
            <w:noWrap/>
            <w:vAlign w:val="center"/>
          </w:tcPr>
          <w:p w14:paraId="4E201096" w14:textId="77777777" w:rsidR="003F614D" w:rsidRPr="003F614D" w:rsidRDefault="003F614D" w:rsidP="003F614D">
            <w:pPr>
              <w:spacing w:after="0"/>
              <w:jc w:val="center"/>
              <w:rPr>
                <w:rFonts w:cstheme="minorHAnsi"/>
                <w:color w:val="000000"/>
              </w:rPr>
            </w:pPr>
          </w:p>
        </w:tc>
        <w:tc>
          <w:tcPr>
            <w:tcW w:w="317" w:type="pct"/>
            <w:shd w:val="clear" w:color="auto" w:fill="auto"/>
            <w:noWrap/>
            <w:vAlign w:val="center"/>
          </w:tcPr>
          <w:p w14:paraId="3F293437" w14:textId="77777777" w:rsidR="003F614D" w:rsidRPr="003F614D" w:rsidRDefault="003F614D" w:rsidP="003F614D">
            <w:pPr>
              <w:spacing w:after="0"/>
              <w:jc w:val="center"/>
              <w:rPr>
                <w:rFonts w:cstheme="minorHAnsi"/>
                <w:color w:val="000000"/>
              </w:rPr>
            </w:pPr>
          </w:p>
        </w:tc>
        <w:tc>
          <w:tcPr>
            <w:tcW w:w="357" w:type="pct"/>
            <w:shd w:val="clear" w:color="auto" w:fill="auto"/>
            <w:noWrap/>
            <w:vAlign w:val="center"/>
          </w:tcPr>
          <w:p w14:paraId="2AC50723" w14:textId="77777777" w:rsidR="003F614D" w:rsidRPr="003F614D" w:rsidRDefault="003F614D" w:rsidP="003F614D">
            <w:pPr>
              <w:spacing w:after="0"/>
              <w:jc w:val="center"/>
              <w:rPr>
                <w:rFonts w:cstheme="minorHAnsi"/>
                <w:color w:val="000000"/>
              </w:rPr>
            </w:pPr>
          </w:p>
        </w:tc>
      </w:tr>
      <w:tr w:rsidR="003F614D" w:rsidRPr="002048A7" w14:paraId="734D1A67" w14:textId="77777777" w:rsidTr="003F614D">
        <w:trPr>
          <w:trHeight w:val="227"/>
        </w:trPr>
        <w:tc>
          <w:tcPr>
            <w:tcW w:w="1552" w:type="pct"/>
            <w:shd w:val="clear" w:color="auto" w:fill="auto"/>
            <w:vAlign w:val="center"/>
          </w:tcPr>
          <w:p w14:paraId="5F9EC43F" w14:textId="77777777" w:rsidR="003F614D" w:rsidRPr="002048A7" w:rsidRDefault="003F614D" w:rsidP="003F614D">
            <w:pPr>
              <w:spacing w:after="0"/>
              <w:rPr>
                <w:rFonts w:cstheme="minorHAnsi"/>
                <w:color w:val="000000"/>
              </w:rPr>
            </w:pPr>
            <w:r w:rsidRPr="002048A7">
              <w:rPr>
                <w:rFonts w:cstheme="minorHAnsi"/>
                <w:color w:val="000000"/>
              </w:rPr>
              <w:t>Hemşire</w:t>
            </w:r>
          </w:p>
        </w:tc>
        <w:tc>
          <w:tcPr>
            <w:tcW w:w="507" w:type="pct"/>
            <w:shd w:val="clear" w:color="auto" w:fill="auto"/>
            <w:vAlign w:val="center"/>
          </w:tcPr>
          <w:p w14:paraId="68DB8551" w14:textId="77777777" w:rsidR="003F614D" w:rsidRPr="003F614D" w:rsidRDefault="003F614D" w:rsidP="003F614D">
            <w:pPr>
              <w:spacing w:after="0"/>
              <w:jc w:val="center"/>
              <w:rPr>
                <w:rFonts w:cstheme="minorHAnsi"/>
                <w:color w:val="000000"/>
              </w:rPr>
            </w:pPr>
            <w:r w:rsidRPr="003F614D">
              <w:rPr>
                <w:rFonts w:cstheme="minorHAnsi"/>
                <w:color w:val="000000"/>
              </w:rPr>
              <w:t>1</w:t>
            </w:r>
          </w:p>
        </w:tc>
        <w:tc>
          <w:tcPr>
            <w:tcW w:w="437" w:type="pct"/>
            <w:shd w:val="clear" w:color="auto" w:fill="auto"/>
            <w:noWrap/>
            <w:vAlign w:val="center"/>
          </w:tcPr>
          <w:p w14:paraId="48966BDC" w14:textId="77777777" w:rsidR="003F614D" w:rsidRPr="003F614D" w:rsidRDefault="003F614D" w:rsidP="003F614D">
            <w:pPr>
              <w:spacing w:after="0"/>
              <w:jc w:val="center"/>
              <w:rPr>
                <w:rFonts w:cstheme="minorHAnsi"/>
                <w:color w:val="000000"/>
              </w:rPr>
            </w:pPr>
            <w:r w:rsidRPr="003F614D">
              <w:rPr>
                <w:rFonts w:cstheme="minorHAnsi"/>
                <w:color w:val="000000"/>
              </w:rPr>
              <w:t>1</w:t>
            </w:r>
          </w:p>
        </w:tc>
        <w:tc>
          <w:tcPr>
            <w:tcW w:w="296" w:type="pct"/>
            <w:shd w:val="clear" w:color="auto" w:fill="auto"/>
            <w:noWrap/>
            <w:vAlign w:val="center"/>
          </w:tcPr>
          <w:p w14:paraId="4DB4C54A" w14:textId="77777777" w:rsidR="003F614D" w:rsidRPr="003F614D" w:rsidRDefault="003F614D" w:rsidP="003F614D">
            <w:pPr>
              <w:spacing w:after="0"/>
              <w:jc w:val="center"/>
              <w:rPr>
                <w:rFonts w:cstheme="minorHAnsi"/>
                <w:color w:val="000000"/>
              </w:rPr>
            </w:pPr>
          </w:p>
        </w:tc>
        <w:tc>
          <w:tcPr>
            <w:tcW w:w="296" w:type="pct"/>
            <w:vAlign w:val="center"/>
          </w:tcPr>
          <w:p w14:paraId="2B019714" w14:textId="77777777" w:rsidR="003F614D" w:rsidRPr="003F614D" w:rsidRDefault="003F614D" w:rsidP="003F614D">
            <w:pPr>
              <w:spacing w:after="0"/>
              <w:jc w:val="center"/>
              <w:rPr>
                <w:rFonts w:cstheme="minorHAnsi"/>
                <w:color w:val="000000"/>
              </w:rPr>
            </w:pPr>
          </w:p>
        </w:tc>
        <w:tc>
          <w:tcPr>
            <w:tcW w:w="296" w:type="pct"/>
            <w:shd w:val="clear" w:color="auto" w:fill="auto"/>
            <w:noWrap/>
            <w:vAlign w:val="center"/>
          </w:tcPr>
          <w:p w14:paraId="770DA305" w14:textId="77777777" w:rsidR="003F614D" w:rsidRPr="003F614D" w:rsidRDefault="003F614D" w:rsidP="003F614D">
            <w:pPr>
              <w:spacing w:after="0"/>
              <w:jc w:val="center"/>
              <w:rPr>
                <w:rFonts w:cstheme="minorHAnsi"/>
                <w:color w:val="000000"/>
              </w:rPr>
            </w:pPr>
            <w:r w:rsidRPr="003F614D">
              <w:rPr>
                <w:rFonts w:cstheme="minorHAnsi"/>
                <w:color w:val="000000"/>
              </w:rPr>
              <w:t>1</w:t>
            </w:r>
          </w:p>
        </w:tc>
        <w:tc>
          <w:tcPr>
            <w:tcW w:w="296" w:type="pct"/>
            <w:shd w:val="clear" w:color="auto" w:fill="auto"/>
            <w:noWrap/>
            <w:vAlign w:val="center"/>
          </w:tcPr>
          <w:p w14:paraId="6133DEF7" w14:textId="77777777" w:rsidR="003F614D" w:rsidRPr="003F614D" w:rsidRDefault="003F614D" w:rsidP="003F614D">
            <w:pPr>
              <w:spacing w:after="0"/>
              <w:jc w:val="center"/>
              <w:rPr>
                <w:rFonts w:cstheme="minorHAnsi"/>
                <w:color w:val="000000"/>
              </w:rPr>
            </w:pPr>
          </w:p>
        </w:tc>
        <w:tc>
          <w:tcPr>
            <w:tcW w:w="296" w:type="pct"/>
            <w:shd w:val="clear" w:color="auto" w:fill="auto"/>
            <w:noWrap/>
            <w:vAlign w:val="center"/>
          </w:tcPr>
          <w:p w14:paraId="1DFD9627" w14:textId="77777777" w:rsidR="003F614D" w:rsidRPr="003F614D" w:rsidRDefault="003F614D" w:rsidP="003F614D">
            <w:pPr>
              <w:spacing w:after="0"/>
              <w:jc w:val="center"/>
              <w:rPr>
                <w:rFonts w:cstheme="minorHAnsi"/>
                <w:color w:val="000000"/>
              </w:rPr>
            </w:pPr>
          </w:p>
        </w:tc>
        <w:tc>
          <w:tcPr>
            <w:tcW w:w="350" w:type="pct"/>
            <w:shd w:val="clear" w:color="auto" w:fill="auto"/>
            <w:noWrap/>
            <w:vAlign w:val="center"/>
          </w:tcPr>
          <w:p w14:paraId="247629A4" w14:textId="77777777" w:rsidR="003F614D" w:rsidRPr="003F614D" w:rsidRDefault="003F614D" w:rsidP="003F614D">
            <w:pPr>
              <w:spacing w:after="0"/>
              <w:jc w:val="center"/>
              <w:rPr>
                <w:rFonts w:cstheme="minorHAnsi"/>
                <w:color w:val="000000"/>
              </w:rPr>
            </w:pPr>
          </w:p>
        </w:tc>
        <w:tc>
          <w:tcPr>
            <w:tcW w:w="317" w:type="pct"/>
            <w:shd w:val="clear" w:color="auto" w:fill="auto"/>
            <w:noWrap/>
            <w:vAlign w:val="center"/>
          </w:tcPr>
          <w:p w14:paraId="64283964" w14:textId="77777777" w:rsidR="003F614D" w:rsidRPr="003F614D" w:rsidRDefault="003F614D" w:rsidP="003F614D">
            <w:pPr>
              <w:spacing w:after="0"/>
              <w:jc w:val="center"/>
              <w:rPr>
                <w:rFonts w:cstheme="minorHAnsi"/>
                <w:color w:val="000000"/>
              </w:rPr>
            </w:pPr>
            <w:r w:rsidRPr="003F614D">
              <w:rPr>
                <w:rFonts w:cstheme="minorHAnsi"/>
                <w:color w:val="000000"/>
              </w:rPr>
              <w:t>1</w:t>
            </w:r>
          </w:p>
        </w:tc>
        <w:tc>
          <w:tcPr>
            <w:tcW w:w="357" w:type="pct"/>
            <w:shd w:val="clear" w:color="auto" w:fill="auto"/>
            <w:noWrap/>
            <w:vAlign w:val="center"/>
          </w:tcPr>
          <w:p w14:paraId="762E8FBC" w14:textId="77777777" w:rsidR="003F614D" w:rsidRPr="003F614D" w:rsidRDefault="003F614D" w:rsidP="003F614D">
            <w:pPr>
              <w:spacing w:after="0"/>
              <w:jc w:val="center"/>
              <w:rPr>
                <w:rFonts w:cstheme="minorHAnsi"/>
                <w:color w:val="000000"/>
              </w:rPr>
            </w:pPr>
          </w:p>
        </w:tc>
      </w:tr>
      <w:tr w:rsidR="003F614D" w:rsidRPr="002048A7" w14:paraId="2BBBF671" w14:textId="77777777" w:rsidTr="003F614D">
        <w:trPr>
          <w:trHeight w:val="227"/>
        </w:trPr>
        <w:tc>
          <w:tcPr>
            <w:tcW w:w="1552" w:type="pct"/>
            <w:shd w:val="clear" w:color="auto" w:fill="auto"/>
            <w:vAlign w:val="center"/>
          </w:tcPr>
          <w:p w14:paraId="6FFACC0A" w14:textId="77777777" w:rsidR="003F614D" w:rsidRPr="002048A7" w:rsidRDefault="003F614D" w:rsidP="003F614D">
            <w:pPr>
              <w:spacing w:after="0"/>
              <w:rPr>
                <w:rFonts w:cstheme="minorHAnsi"/>
                <w:color w:val="000000"/>
              </w:rPr>
            </w:pPr>
            <w:r w:rsidRPr="002048A7">
              <w:rPr>
                <w:rFonts w:cstheme="minorHAnsi"/>
                <w:color w:val="000000"/>
              </w:rPr>
              <w:t>Yönetim Görevlisi</w:t>
            </w:r>
          </w:p>
        </w:tc>
        <w:tc>
          <w:tcPr>
            <w:tcW w:w="507" w:type="pct"/>
            <w:shd w:val="clear" w:color="auto" w:fill="auto"/>
            <w:vAlign w:val="center"/>
          </w:tcPr>
          <w:p w14:paraId="037287C2" w14:textId="77777777" w:rsidR="003F614D" w:rsidRPr="003F614D" w:rsidRDefault="003F614D" w:rsidP="003F614D">
            <w:pPr>
              <w:spacing w:after="0"/>
              <w:jc w:val="center"/>
              <w:rPr>
                <w:rFonts w:cstheme="minorHAnsi"/>
                <w:color w:val="000000"/>
              </w:rPr>
            </w:pPr>
            <w:r w:rsidRPr="003F614D">
              <w:rPr>
                <w:rFonts w:cstheme="minorHAnsi"/>
                <w:color w:val="000000"/>
              </w:rPr>
              <w:t>87</w:t>
            </w:r>
          </w:p>
        </w:tc>
        <w:tc>
          <w:tcPr>
            <w:tcW w:w="437" w:type="pct"/>
            <w:shd w:val="clear" w:color="auto" w:fill="auto"/>
            <w:noWrap/>
            <w:vAlign w:val="center"/>
          </w:tcPr>
          <w:p w14:paraId="5BCED526" w14:textId="77777777" w:rsidR="003F614D" w:rsidRPr="003F614D" w:rsidRDefault="003F614D" w:rsidP="003F614D">
            <w:pPr>
              <w:spacing w:after="0"/>
              <w:jc w:val="center"/>
              <w:rPr>
                <w:rFonts w:cstheme="minorHAnsi"/>
                <w:color w:val="000000"/>
              </w:rPr>
            </w:pPr>
            <w:r w:rsidRPr="003F614D">
              <w:rPr>
                <w:rFonts w:cstheme="minorHAnsi"/>
                <w:color w:val="000000"/>
              </w:rPr>
              <w:t>87</w:t>
            </w:r>
          </w:p>
        </w:tc>
        <w:tc>
          <w:tcPr>
            <w:tcW w:w="296" w:type="pct"/>
            <w:shd w:val="clear" w:color="auto" w:fill="auto"/>
            <w:noWrap/>
            <w:vAlign w:val="center"/>
          </w:tcPr>
          <w:p w14:paraId="28D3EB12" w14:textId="77777777" w:rsidR="003F614D" w:rsidRPr="003F614D" w:rsidRDefault="003F614D" w:rsidP="003F614D">
            <w:pPr>
              <w:spacing w:after="0"/>
              <w:jc w:val="center"/>
              <w:rPr>
                <w:rFonts w:cstheme="minorHAnsi"/>
                <w:color w:val="000000"/>
              </w:rPr>
            </w:pPr>
          </w:p>
        </w:tc>
        <w:tc>
          <w:tcPr>
            <w:tcW w:w="296" w:type="pct"/>
            <w:vAlign w:val="center"/>
          </w:tcPr>
          <w:p w14:paraId="64EDEA54" w14:textId="77777777" w:rsidR="003F614D" w:rsidRPr="003F614D" w:rsidRDefault="003F614D" w:rsidP="003F614D">
            <w:pPr>
              <w:spacing w:after="0"/>
              <w:jc w:val="center"/>
              <w:rPr>
                <w:rFonts w:cstheme="minorHAnsi"/>
                <w:color w:val="000000"/>
              </w:rPr>
            </w:pPr>
            <w:r w:rsidRPr="003F614D">
              <w:rPr>
                <w:rFonts w:cstheme="minorHAnsi"/>
                <w:color w:val="000000"/>
              </w:rPr>
              <w:t>6</w:t>
            </w:r>
          </w:p>
        </w:tc>
        <w:tc>
          <w:tcPr>
            <w:tcW w:w="296" w:type="pct"/>
            <w:shd w:val="clear" w:color="auto" w:fill="auto"/>
            <w:noWrap/>
            <w:vAlign w:val="center"/>
          </w:tcPr>
          <w:p w14:paraId="16437BB9" w14:textId="77777777" w:rsidR="003F614D" w:rsidRPr="003F614D" w:rsidRDefault="003F614D" w:rsidP="003F614D">
            <w:pPr>
              <w:spacing w:after="0"/>
              <w:jc w:val="center"/>
              <w:rPr>
                <w:rFonts w:cstheme="minorHAnsi"/>
                <w:color w:val="000000"/>
              </w:rPr>
            </w:pPr>
            <w:r w:rsidRPr="003F614D">
              <w:rPr>
                <w:rFonts w:cstheme="minorHAnsi"/>
                <w:color w:val="000000"/>
              </w:rPr>
              <w:t>15</w:t>
            </w:r>
          </w:p>
        </w:tc>
        <w:tc>
          <w:tcPr>
            <w:tcW w:w="296" w:type="pct"/>
            <w:shd w:val="clear" w:color="auto" w:fill="auto"/>
            <w:noWrap/>
            <w:vAlign w:val="center"/>
          </w:tcPr>
          <w:p w14:paraId="35EE2E91" w14:textId="77777777" w:rsidR="003F614D" w:rsidRPr="003F614D" w:rsidRDefault="003F614D" w:rsidP="003F614D">
            <w:pPr>
              <w:spacing w:after="0"/>
              <w:jc w:val="center"/>
              <w:rPr>
                <w:rFonts w:cstheme="minorHAnsi"/>
                <w:color w:val="000000"/>
              </w:rPr>
            </w:pPr>
            <w:r w:rsidRPr="003F614D">
              <w:rPr>
                <w:rFonts w:cstheme="minorHAnsi"/>
                <w:color w:val="000000"/>
              </w:rPr>
              <w:t>58</w:t>
            </w:r>
          </w:p>
        </w:tc>
        <w:tc>
          <w:tcPr>
            <w:tcW w:w="296" w:type="pct"/>
            <w:shd w:val="clear" w:color="auto" w:fill="auto"/>
            <w:noWrap/>
            <w:vAlign w:val="center"/>
          </w:tcPr>
          <w:p w14:paraId="0D7D39A9" w14:textId="77777777" w:rsidR="003F614D" w:rsidRPr="003F614D" w:rsidRDefault="003F614D" w:rsidP="003F614D">
            <w:pPr>
              <w:spacing w:after="0"/>
              <w:jc w:val="center"/>
              <w:rPr>
                <w:rFonts w:cstheme="minorHAnsi"/>
                <w:color w:val="000000"/>
              </w:rPr>
            </w:pPr>
            <w:r w:rsidRPr="003F614D">
              <w:rPr>
                <w:rFonts w:cstheme="minorHAnsi"/>
                <w:color w:val="000000"/>
              </w:rPr>
              <w:t>8</w:t>
            </w:r>
          </w:p>
        </w:tc>
        <w:tc>
          <w:tcPr>
            <w:tcW w:w="350" w:type="pct"/>
            <w:shd w:val="clear" w:color="auto" w:fill="auto"/>
            <w:noWrap/>
            <w:vAlign w:val="center"/>
          </w:tcPr>
          <w:p w14:paraId="1819B8BA" w14:textId="77777777" w:rsidR="003F614D" w:rsidRPr="003F614D" w:rsidRDefault="003F614D" w:rsidP="003F614D">
            <w:pPr>
              <w:spacing w:after="0"/>
              <w:jc w:val="center"/>
              <w:rPr>
                <w:rFonts w:cstheme="minorHAnsi"/>
                <w:color w:val="000000"/>
              </w:rPr>
            </w:pPr>
          </w:p>
        </w:tc>
        <w:tc>
          <w:tcPr>
            <w:tcW w:w="317" w:type="pct"/>
            <w:shd w:val="clear" w:color="auto" w:fill="auto"/>
            <w:noWrap/>
            <w:vAlign w:val="center"/>
          </w:tcPr>
          <w:p w14:paraId="2DD0711E" w14:textId="77777777" w:rsidR="003F614D" w:rsidRPr="003F614D" w:rsidRDefault="003F614D" w:rsidP="003F614D">
            <w:pPr>
              <w:spacing w:after="0"/>
              <w:jc w:val="center"/>
              <w:rPr>
                <w:rFonts w:cstheme="minorHAnsi"/>
                <w:color w:val="000000"/>
              </w:rPr>
            </w:pPr>
            <w:r w:rsidRPr="003F614D">
              <w:rPr>
                <w:rFonts w:cstheme="minorHAnsi"/>
                <w:color w:val="000000"/>
              </w:rPr>
              <w:t>53</w:t>
            </w:r>
          </w:p>
        </w:tc>
        <w:tc>
          <w:tcPr>
            <w:tcW w:w="357" w:type="pct"/>
            <w:shd w:val="clear" w:color="auto" w:fill="auto"/>
            <w:noWrap/>
            <w:vAlign w:val="center"/>
          </w:tcPr>
          <w:p w14:paraId="3090528F" w14:textId="77777777" w:rsidR="003F614D" w:rsidRPr="003F614D" w:rsidRDefault="003F614D" w:rsidP="003F614D">
            <w:pPr>
              <w:spacing w:after="0"/>
              <w:jc w:val="center"/>
              <w:rPr>
                <w:rFonts w:cstheme="minorHAnsi"/>
                <w:color w:val="000000"/>
              </w:rPr>
            </w:pPr>
            <w:r w:rsidRPr="003F614D">
              <w:rPr>
                <w:rFonts w:cstheme="minorHAnsi"/>
                <w:color w:val="000000"/>
              </w:rPr>
              <w:t>34</w:t>
            </w:r>
          </w:p>
        </w:tc>
      </w:tr>
      <w:tr w:rsidR="003F614D" w:rsidRPr="002048A7" w14:paraId="0F4AAA08" w14:textId="77777777" w:rsidTr="003F614D">
        <w:trPr>
          <w:trHeight w:val="227"/>
        </w:trPr>
        <w:tc>
          <w:tcPr>
            <w:tcW w:w="1552" w:type="pct"/>
            <w:shd w:val="clear" w:color="auto" w:fill="auto"/>
            <w:vAlign w:val="center"/>
          </w:tcPr>
          <w:p w14:paraId="64EA1342" w14:textId="77777777" w:rsidR="003F614D" w:rsidRPr="002048A7" w:rsidRDefault="003F614D" w:rsidP="003F614D">
            <w:pPr>
              <w:spacing w:after="0"/>
              <w:rPr>
                <w:rFonts w:cstheme="minorHAnsi"/>
                <w:color w:val="000000"/>
              </w:rPr>
            </w:pPr>
            <w:r w:rsidRPr="002048A7">
              <w:rPr>
                <w:rFonts w:cstheme="minorHAnsi"/>
                <w:color w:val="000000"/>
              </w:rPr>
              <w:t>İletişim Görevlisi</w:t>
            </w:r>
          </w:p>
        </w:tc>
        <w:tc>
          <w:tcPr>
            <w:tcW w:w="507" w:type="pct"/>
            <w:shd w:val="clear" w:color="auto" w:fill="auto"/>
            <w:vAlign w:val="center"/>
          </w:tcPr>
          <w:p w14:paraId="02F1AC63" w14:textId="77777777" w:rsidR="003F614D" w:rsidRPr="003F614D" w:rsidRDefault="003F614D" w:rsidP="003F614D">
            <w:pPr>
              <w:spacing w:after="0"/>
              <w:jc w:val="center"/>
              <w:rPr>
                <w:rFonts w:cstheme="minorHAnsi"/>
                <w:color w:val="000000"/>
              </w:rPr>
            </w:pPr>
            <w:r w:rsidRPr="003F614D">
              <w:rPr>
                <w:rFonts w:cstheme="minorHAnsi"/>
                <w:color w:val="000000"/>
              </w:rPr>
              <w:t>20</w:t>
            </w:r>
          </w:p>
        </w:tc>
        <w:tc>
          <w:tcPr>
            <w:tcW w:w="437" w:type="pct"/>
            <w:shd w:val="clear" w:color="auto" w:fill="auto"/>
            <w:noWrap/>
            <w:vAlign w:val="center"/>
          </w:tcPr>
          <w:p w14:paraId="0C6F0A8A" w14:textId="77777777" w:rsidR="003F614D" w:rsidRPr="003F614D" w:rsidRDefault="003F614D" w:rsidP="003F614D">
            <w:pPr>
              <w:spacing w:after="0"/>
              <w:jc w:val="center"/>
              <w:rPr>
                <w:rFonts w:cstheme="minorHAnsi"/>
                <w:color w:val="000000"/>
              </w:rPr>
            </w:pPr>
            <w:r w:rsidRPr="003F614D">
              <w:rPr>
                <w:rFonts w:cstheme="minorHAnsi"/>
                <w:color w:val="000000"/>
              </w:rPr>
              <w:t>20</w:t>
            </w:r>
          </w:p>
        </w:tc>
        <w:tc>
          <w:tcPr>
            <w:tcW w:w="296" w:type="pct"/>
            <w:shd w:val="clear" w:color="auto" w:fill="auto"/>
            <w:noWrap/>
            <w:vAlign w:val="center"/>
          </w:tcPr>
          <w:p w14:paraId="1AF408EF" w14:textId="77777777" w:rsidR="003F614D" w:rsidRPr="003F614D" w:rsidRDefault="003F614D" w:rsidP="003F614D">
            <w:pPr>
              <w:spacing w:after="0"/>
              <w:jc w:val="center"/>
              <w:rPr>
                <w:rFonts w:cstheme="minorHAnsi"/>
                <w:color w:val="000000"/>
              </w:rPr>
            </w:pPr>
          </w:p>
        </w:tc>
        <w:tc>
          <w:tcPr>
            <w:tcW w:w="296" w:type="pct"/>
            <w:vAlign w:val="center"/>
          </w:tcPr>
          <w:p w14:paraId="1F077728" w14:textId="77777777" w:rsidR="003F614D" w:rsidRPr="003F614D" w:rsidRDefault="003F614D" w:rsidP="003F614D">
            <w:pPr>
              <w:spacing w:after="0"/>
              <w:jc w:val="center"/>
              <w:rPr>
                <w:rFonts w:cstheme="minorHAnsi"/>
                <w:color w:val="000000"/>
              </w:rPr>
            </w:pPr>
            <w:r w:rsidRPr="003F614D">
              <w:rPr>
                <w:rFonts w:cstheme="minorHAnsi"/>
                <w:color w:val="000000"/>
              </w:rPr>
              <w:t>1</w:t>
            </w:r>
          </w:p>
        </w:tc>
        <w:tc>
          <w:tcPr>
            <w:tcW w:w="296" w:type="pct"/>
            <w:shd w:val="clear" w:color="auto" w:fill="auto"/>
            <w:noWrap/>
            <w:vAlign w:val="center"/>
          </w:tcPr>
          <w:p w14:paraId="7C7308EA" w14:textId="77777777" w:rsidR="003F614D" w:rsidRPr="003F614D" w:rsidRDefault="003F614D" w:rsidP="003F614D">
            <w:pPr>
              <w:spacing w:after="0"/>
              <w:jc w:val="center"/>
              <w:rPr>
                <w:rFonts w:cstheme="minorHAnsi"/>
                <w:color w:val="000000"/>
              </w:rPr>
            </w:pPr>
            <w:r w:rsidRPr="003F614D">
              <w:rPr>
                <w:rFonts w:cstheme="minorHAnsi"/>
                <w:color w:val="000000"/>
              </w:rPr>
              <w:t>3</w:t>
            </w:r>
          </w:p>
        </w:tc>
        <w:tc>
          <w:tcPr>
            <w:tcW w:w="296" w:type="pct"/>
            <w:shd w:val="clear" w:color="auto" w:fill="auto"/>
            <w:noWrap/>
            <w:vAlign w:val="center"/>
          </w:tcPr>
          <w:p w14:paraId="6429F739" w14:textId="77777777" w:rsidR="003F614D" w:rsidRPr="003F614D" w:rsidRDefault="003F614D" w:rsidP="003F614D">
            <w:pPr>
              <w:spacing w:after="0"/>
              <w:jc w:val="center"/>
              <w:rPr>
                <w:rFonts w:cstheme="minorHAnsi"/>
                <w:color w:val="000000"/>
              </w:rPr>
            </w:pPr>
            <w:r w:rsidRPr="003F614D">
              <w:rPr>
                <w:rFonts w:cstheme="minorHAnsi"/>
                <w:color w:val="000000"/>
              </w:rPr>
              <w:t>16</w:t>
            </w:r>
          </w:p>
        </w:tc>
        <w:tc>
          <w:tcPr>
            <w:tcW w:w="296" w:type="pct"/>
            <w:shd w:val="clear" w:color="auto" w:fill="auto"/>
            <w:noWrap/>
            <w:vAlign w:val="center"/>
          </w:tcPr>
          <w:p w14:paraId="38FE31D4" w14:textId="77777777" w:rsidR="003F614D" w:rsidRPr="003F614D" w:rsidRDefault="003F614D" w:rsidP="003F614D">
            <w:pPr>
              <w:spacing w:after="0"/>
              <w:jc w:val="center"/>
              <w:rPr>
                <w:rFonts w:cstheme="minorHAnsi"/>
                <w:color w:val="000000"/>
              </w:rPr>
            </w:pPr>
          </w:p>
        </w:tc>
        <w:tc>
          <w:tcPr>
            <w:tcW w:w="350" w:type="pct"/>
            <w:shd w:val="clear" w:color="auto" w:fill="auto"/>
            <w:noWrap/>
            <w:vAlign w:val="center"/>
          </w:tcPr>
          <w:p w14:paraId="0ACA6FFB" w14:textId="77777777" w:rsidR="003F614D" w:rsidRPr="003F614D" w:rsidRDefault="003F614D" w:rsidP="003F614D">
            <w:pPr>
              <w:spacing w:after="0"/>
              <w:jc w:val="center"/>
              <w:rPr>
                <w:rFonts w:cstheme="minorHAnsi"/>
                <w:color w:val="000000"/>
              </w:rPr>
            </w:pPr>
          </w:p>
        </w:tc>
        <w:tc>
          <w:tcPr>
            <w:tcW w:w="317" w:type="pct"/>
            <w:shd w:val="clear" w:color="auto" w:fill="auto"/>
            <w:noWrap/>
            <w:vAlign w:val="center"/>
          </w:tcPr>
          <w:p w14:paraId="13369B1F" w14:textId="77777777" w:rsidR="003F614D" w:rsidRPr="003F614D" w:rsidRDefault="003F614D" w:rsidP="003F614D">
            <w:pPr>
              <w:spacing w:after="0"/>
              <w:jc w:val="center"/>
              <w:rPr>
                <w:rFonts w:cstheme="minorHAnsi"/>
                <w:color w:val="000000"/>
              </w:rPr>
            </w:pPr>
            <w:r w:rsidRPr="003F614D">
              <w:rPr>
                <w:rFonts w:cstheme="minorHAnsi"/>
                <w:color w:val="000000"/>
              </w:rPr>
              <w:t>19</w:t>
            </w:r>
          </w:p>
        </w:tc>
        <w:tc>
          <w:tcPr>
            <w:tcW w:w="357" w:type="pct"/>
            <w:shd w:val="clear" w:color="auto" w:fill="auto"/>
            <w:noWrap/>
            <w:vAlign w:val="center"/>
          </w:tcPr>
          <w:p w14:paraId="30E9AAD0" w14:textId="77777777" w:rsidR="003F614D" w:rsidRPr="003F614D" w:rsidRDefault="003F614D" w:rsidP="003F614D">
            <w:pPr>
              <w:spacing w:after="0"/>
              <w:jc w:val="center"/>
              <w:rPr>
                <w:rFonts w:cstheme="minorHAnsi"/>
                <w:color w:val="000000"/>
              </w:rPr>
            </w:pPr>
            <w:r w:rsidRPr="003F614D">
              <w:rPr>
                <w:rFonts w:cstheme="minorHAnsi"/>
                <w:color w:val="000000"/>
              </w:rPr>
              <w:t>1</w:t>
            </w:r>
          </w:p>
        </w:tc>
      </w:tr>
      <w:tr w:rsidR="003F614D" w:rsidRPr="002048A7" w14:paraId="5BF25994" w14:textId="77777777" w:rsidTr="003F614D">
        <w:trPr>
          <w:trHeight w:val="227"/>
        </w:trPr>
        <w:tc>
          <w:tcPr>
            <w:tcW w:w="1552" w:type="pct"/>
            <w:shd w:val="clear" w:color="auto" w:fill="auto"/>
            <w:vAlign w:val="center"/>
          </w:tcPr>
          <w:p w14:paraId="3E69BEC9" w14:textId="77777777" w:rsidR="003F614D" w:rsidRPr="002048A7" w:rsidRDefault="003F614D" w:rsidP="003F614D">
            <w:pPr>
              <w:spacing w:after="0"/>
              <w:rPr>
                <w:rFonts w:cstheme="minorHAnsi"/>
                <w:color w:val="000000"/>
              </w:rPr>
            </w:pPr>
            <w:r w:rsidRPr="002048A7">
              <w:rPr>
                <w:rFonts w:cstheme="minorHAnsi"/>
                <w:color w:val="000000"/>
              </w:rPr>
              <w:t>Dağıtıcı</w:t>
            </w:r>
          </w:p>
        </w:tc>
        <w:tc>
          <w:tcPr>
            <w:tcW w:w="507" w:type="pct"/>
            <w:shd w:val="clear" w:color="auto" w:fill="auto"/>
            <w:vAlign w:val="center"/>
          </w:tcPr>
          <w:p w14:paraId="79C9029A" w14:textId="77777777" w:rsidR="003F614D" w:rsidRPr="003F614D" w:rsidRDefault="003F614D" w:rsidP="003F614D">
            <w:pPr>
              <w:spacing w:after="0"/>
              <w:jc w:val="center"/>
              <w:rPr>
                <w:rFonts w:cstheme="minorHAnsi"/>
                <w:color w:val="000000"/>
              </w:rPr>
            </w:pPr>
            <w:r w:rsidRPr="003F614D">
              <w:rPr>
                <w:rFonts w:cstheme="minorHAnsi"/>
                <w:color w:val="000000"/>
              </w:rPr>
              <w:t>2</w:t>
            </w:r>
          </w:p>
        </w:tc>
        <w:tc>
          <w:tcPr>
            <w:tcW w:w="437" w:type="pct"/>
            <w:shd w:val="clear" w:color="auto" w:fill="auto"/>
            <w:noWrap/>
            <w:vAlign w:val="center"/>
          </w:tcPr>
          <w:p w14:paraId="2F75C921" w14:textId="77777777" w:rsidR="003F614D" w:rsidRPr="003F614D" w:rsidRDefault="003F614D" w:rsidP="003F614D">
            <w:pPr>
              <w:spacing w:after="0"/>
              <w:jc w:val="center"/>
              <w:rPr>
                <w:rFonts w:cstheme="minorHAnsi"/>
                <w:color w:val="000000"/>
              </w:rPr>
            </w:pPr>
            <w:r w:rsidRPr="003F614D">
              <w:rPr>
                <w:rFonts w:cstheme="minorHAnsi"/>
                <w:color w:val="000000"/>
              </w:rPr>
              <w:t>1</w:t>
            </w:r>
          </w:p>
        </w:tc>
        <w:tc>
          <w:tcPr>
            <w:tcW w:w="296" w:type="pct"/>
            <w:shd w:val="clear" w:color="auto" w:fill="auto"/>
            <w:noWrap/>
            <w:vAlign w:val="center"/>
          </w:tcPr>
          <w:p w14:paraId="54B1C224" w14:textId="77777777" w:rsidR="003F614D" w:rsidRPr="003F614D" w:rsidRDefault="003F614D" w:rsidP="003F614D">
            <w:pPr>
              <w:spacing w:after="0"/>
              <w:jc w:val="center"/>
              <w:rPr>
                <w:rFonts w:cstheme="minorHAnsi"/>
                <w:color w:val="000000"/>
              </w:rPr>
            </w:pPr>
          </w:p>
        </w:tc>
        <w:tc>
          <w:tcPr>
            <w:tcW w:w="296" w:type="pct"/>
            <w:vAlign w:val="center"/>
          </w:tcPr>
          <w:p w14:paraId="4271C009" w14:textId="77777777" w:rsidR="003F614D" w:rsidRPr="003F614D" w:rsidRDefault="003F614D" w:rsidP="003F614D">
            <w:pPr>
              <w:spacing w:after="0"/>
              <w:jc w:val="center"/>
              <w:rPr>
                <w:rFonts w:cstheme="minorHAnsi"/>
                <w:color w:val="000000"/>
              </w:rPr>
            </w:pPr>
          </w:p>
        </w:tc>
        <w:tc>
          <w:tcPr>
            <w:tcW w:w="296" w:type="pct"/>
            <w:shd w:val="clear" w:color="auto" w:fill="auto"/>
            <w:noWrap/>
            <w:vAlign w:val="center"/>
          </w:tcPr>
          <w:p w14:paraId="20E0F4C2" w14:textId="77777777" w:rsidR="003F614D" w:rsidRPr="003F614D" w:rsidRDefault="003F614D" w:rsidP="003F614D">
            <w:pPr>
              <w:spacing w:after="0"/>
              <w:jc w:val="center"/>
              <w:rPr>
                <w:rFonts w:cstheme="minorHAnsi"/>
                <w:color w:val="000000"/>
              </w:rPr>
            </w:pPr>
          </w:p>
        </w:tc>
        <w:tc>
          <w:tcPr>
            <w:tcW w:w="296" w:type="pct"/>
            <w:shd w:val="clear" w:color="auto" w:fill="auto"/>
            <w:noWrap/>
            <w:vAlign w:val="center"/>
          </w:tcPr>
          <w:p w14:paraId="711A87FF" w14:textId="77777777" w:rsidR="003F614D" w:rsidRPr="003F614D" w:rsidRDefault="003F614D" w:rsidP="003F614D">
            <w:pPr>
              <w:spacing w:after="0"/>
              <w:jc w:val="center"/>
              <w:rPr>
                <w:rFonts w:cstheme="minorHAnsi"/>
                <w:color w:val="000000"/>
              </w:rPr>
            </w:pPr>
            <w:r w:rsidRPr="003F614D">
              <w:rPr>
                <w:rFonts w:cstheme="minorHAnsi"/>
                <w:color w:val="000000"/>
              </w:rPr>
              <w:t>1</w:t>
            </w:r>
          </w:p>
        </w:tc>
        <w:tc>
          <w:tcPr>
            <w:tcW w:w="296" w:type="pct"/>
            <w:shd w:val="clear" w:color="auto" w:fill="auto"/>
            <w:noWrap/>
            <w:vAlign w:val="center"/>
          </w:tcPr>
          <w:p w14:paraId="21E03374" w14:textId="77777777" w:rsidR="003F614D" w:rsidRPr="003F614D" w:rsidRDefault="003F614D" w:rsidP="003F614D">
            <w:pPr>
              <w:spacing w:after="0"/>
              <w:jc w:val="center"/>
              <w:rPr>
                <w:rFonts w:cstheme="minorHAnsi"/>
                <w:color w:val="000000"/>
              </w:rPr>
            </w:pPr>
          </w:p>
        </w:tc>
        <w:tc>
          <w:tcPr>
            <w:tcW w:w="350" w:type="pct"/>
            <w:shd w:val="clear" w:color="auto" w:fill="auto"/>
            <w:noWrap/>
            <w:vAlign w:val="center"/>
          </w:tcPr>
          <w:p w14:paraId="3122BFAF" w14:textId="77777777" w:rsidR="003F614D" w:rsidRPr="003F614D" w:rsidRDefault="003F614D" w:rsidP="003F614D">
            <w:pPr>
              <w:spacing w:after="0"/>
              <w:jc w:val="center"/>
              <w:rPr>
                <w:rFonts w:cstheme="minorHAnsi"/>
                <w:color w:val="000000"/>
              </w:rPr>
            </w:pPr>
          </w:p>
        </w:tc>
        <w:tc>
          <w:tcPr>
            <w:tcW w:w="317" w:type="pct"/>
            <w:shd w:val="clear" w:color="auto" w:fill="auto"/>
            <w:noWrap/>
            <w:vAlign w:val="center"/>
          </w:tcPr>
          <w:p w14:paraId="1D206E8C" w14:textId="77777777" w:rsidR="003F614D" w:rsidRPr="003F614D" w:rsidRDefault="003F614D" w:rsidP="003F614D">
            <w:pPr>
              <w:spacing w:after="0"/>
              <w:jc w:val="center"/>
              <w:rPr>
                <w:rFonts w:cstheme="minorHAnsi"/>
                <w:color w:val="000000"/>
              </w:rPr>
            </w:pPr>
          </w:p>
        </w:tc>
        <w:tc>
          <w:tcPr>
            <w:tcW w:w="357" w:type="pct"/>
            <w:shd w:val="clear" w:color="auto" w:fill="auto"/>
            <w:noWrap/>
            <w:vAlign w:val="center"/>
          </w:tcPr>
          <w:p w14:paraId="003DBFC3" w14:textId="77777777" w:rsidR="003F614D" w:rsidRPr="003F614D" w:rsidRDefault="003F614D" w:rsidP="003F614D">
            <w:pPr>
              <w:spacing w:after="0"/>
              <w:jc w:val="center"/>
              <w:rPr>
                <w:rFonts w:cstheme="minorHAnsi"/>
                <w:color w:val="000000"/>
              </w:rPr>
            </w:pPr>
            <w:r w:rsidRPr="003F614D">
              <w:rPr>
                <w:rFonts w:cstheme="minorHAnsi"/>
                <w:color w:val="000000"/>
              </w:rPr>
              <w:t>1</w:t>
            </w:r>
          </w:p>
        </w:tc>
      </w:tr>
      <w:tr w:rsidR="003F614D" w:rsidRPr="002048A7" w14:paraId="1E60723D" w14:textId="77777777" w:rsidTr="003F614D">
        <w:trPr>
          <w:trHeight w:val="227"/>
        </w:trPr>
        <w:tc>
          <w:tcPr>
            <w:tcW w:w="1552" w:type="pct"/>
            <w:shd w:val="clear" w:color="auto" w:fill="auto"/>
            <w:vAlign w:val="center"/>
          </w:tcPr>
          <w:p w14:paraId="7B637661" w14:textId="77777777" w:rsidR="003F614D" w:rsidRPr="002048A7" w:rsidRDefault="003F614D" w:rsidP="003F614D">
            <w:pPr>
              <w:spacing w:after="0"/>
              <w:rPr>
                <w:rFonts w:cstheme="minorHAnsi"/>
                <w:color w:val="000000"/>
              </w:rPr>
            </w:pPr>
            <w:r w:rsidRPr="002048A7">
              <w:rPr>
                <w:rFonts w:cstheme="minorHAnsi"/>
                <w:color w:val="000000"/>
              </w:rPr>
              <w:t>Kütüphaneci</w:t>
            </w:r>
          </w:p>
        </w:tc>
        <w:tc>
          <w:tcPr>
            <w:tcW w:w="507" w:type="pct"/>
            <w:shd w:val="clear" w:color="auto" w:fill="auto"/>
            <w:vAlign w:val="center"/>
          </w:tcPr>
          <w:p w14:paraId="31C159E1" w14:textId="77777777" w:rsidR="003F614D" w:rsidRPr="003F614D" w:rsidRDefault="003F614D" w:rsidP="003F614D">
            <w:pPr>
              <w:spacing w:after="0"/>
              <w:jc w:val="center"/>
              <w:rPr>
                <w:rFonts w:cstheme="minorHAnsi"/>
                <w:color w:val="000000"/>
              </w:rPr>
            </w:pPr>
            <w:r w:rsidRPr="003F614D">
              <w:rPr>
                <w:rFonts w:cstheme="minorHAnsi"/>
                <w:color w:val="000000"/>
              </w:rPr>
              <w:t>1</w:t>
            </w:r>
          </w:p>
        </w:tc>
        <w:tc>
          <w:tcPr>
            <w:tcW w:w="437" w:type="pct"/>
            <w:shd w:val="clear" w:color="auto" w:fill="auto"/>
            <w:noWrap/>
            <w:vAlign w:val="center"/>
          </w:tcPr>
          <w:p w14:paraId="61A1E347" w14:textId="77777777" w:rsidR="003F614D" w:rsidRPr="003F614D" w:rsidRDefault="003F614D" w:rsidP="003F614D">
            <w:pPr>
              <w:spacing w:after="0"/>
              <w:jc w:val="center"/>
              <w:rPr>
                <w:rFonts w:cstheme="minorHAnsi"/>
                <w:color w:val="000000"/>
              </w:rPr>
            </w:pPr>
            <w:r w:rsidRPr="003F614D">
              <w:rPr>
                <w:rFonts w:cstheme="minorHAnsi"/>
                <w:color w:val="000000"/>
              </w:rPr>
              <w:t>1</w:t>
            </w:r>
          </w:p>
        </w:tc>
        <w:tc>
          <w:tcPr>
            <w:tcW w:w="296" w:type="pct"/>
            <w:shd w:val="clear" w:color="auto" w:fill="auto"/>
            <w:noWrap/>
            <w:vAlign w:val="center"/>
          </w:tcPr>
          <w:p w14:paraId="1A991321" w14:textId="77777777" w:rsidR="003F614D" w:rsidRPr="003F614D" w:rsidRDefault="003F614D" w:rsidP="003F614D">
            <w:pPr>
              <w:spacing w:after="0"/>
              <w:jc w:val="center"/>
              <w:rPr>
                <w:rFonts w:cstheme="minorHAnsi"/>
                <w:color w:val="000000"/>
              </w:rPr>
            </w:pPr>
          </w:p>
        </w:tc>
        <w:tc>
          <w:tcPr>
            <w:tcW w:w="296" w:type="pct"/>
            <w:vAlign w:val="center"/>
          </w:tcPr>
          <w:p w14:paraId="7D7FA7E2" w14:textId="77777777" w:rsidR="003F614D" w:rsidRPr="003F614D" w:rsidRDefault="003F614D" w:rsidP="003F614D">
            <w:pPr>
              <w:spacing w:after="0"/>
              <w:jc w:val="center"/>
              <w:rPr>
                <w:rFonts w:cstheme="minorHAnsi"/>
                <w:color w:val="000000"/>
              </w:rPr>
            </w:pPr>
          </w:p>
        </w:tc>
        <w:tc>
          <w:tcPr>
            <w:tcW w:w="296" w:type="pct"/>
            <w:shd w:val="clear" w:color="auto" w:fill="auto"/>
            <w:noWrap/>
            <w:vAlign w:val="center"/>
          </w:tcPr>
          <w:p w14:paraId="25589392" w14:textId="77777777" w:rsidR="003F614D" w:rsidRPr="003F614D" w:rsidRDefault="003F614D" w:rsidP="003F614D">
            <w:pPr>
              <w:spacing w:after="0"/>
              <w:jc w:val="center"/>
              <w:rPr>
                <w:rFonts w:cstheme="minorHAnsi"/>
                <w:color w:val="000000"/>
              </w:rPr>
            </w:pPr>
          </w:p>
        </w:tc>
        <w:tc>
          <w:tcPr>
            <w:tcW w:w="296" w:type="pct"/>
            <w:shd w:val="clear" w:color="auto" w:fill="auto"/>
            <w:noWrap/>
            <w:vAlign w:val="center"/>
          </w:tcPr>
          <w:p w14:paraId="5222154A" w14:textId="77777777" w:rsidR="003F614D" w:rsidRPr="003F614D" w:rsidRDefault="003F614D" w:rsidP="003F614D">
            <w:pPr>
              <w:spacing w:after="0"/>
              <w:jc w:val="center"/>
              <w:rPr>
                <w:rFonts w:cstheme="minorHAnsi"/>
                <w:color w:val="000000"/>
              </w:rPr>
            </w:pPr>
            <w:r w:rsidRPr="003F614D">
              <w:rPr>
                <w:rFonts w:cstheme="minorHAnsi"/>
                <w:color w:val="000000"/>
              </w:rPr>
              <w:t>1</w:t>
            </w:r>
          </w:p>
        </w:tc>
        <w:tc>
          <w:tcPr>
            <w:tcW w:w="296" w:type="pct"/>
            <w:shd w:val="clear" w:color="auto" w:fill="auto"/>
            <w:noWrap/>
            <w:vAlign w:val="center"/>
          </w:tcPr>
          <w:p w14:paraId="00979C24" w14:textId="77777777" w:rsidR="003F614D" w:rsidRPr="003F614D" w:rsidRDefault="003F614D" w:rsidP="003F614D">
            <w:pPr>
              <w:spacing w:after="0"/>
              <w:jc w:val="center"/>
              <w:rPr>
                <w:rFonts w:cstheme="minorHAnsi"/>
                <w:color w:val="000000"/>
              </w:rPr>
            </w:pPr>
          </w:p>
        </w:tc>
        <w:tc>
          <w:tcPr>
            <w:tcW w:w="350" w:type="pct"/>
            <w:shd w:val="clear" w:color="auto" w:fill="auto"/>
            <w:noWrap/>
            <w:vAlign w:val="center"/>
          </w:tcPr>
          <w:p w14:paraId="534DC5E7" w14:textId="77777777" w:rsidR="003F614D" w:rsidRPr="003F614D" w:rsidRDefault="003F614D" w:rsidP="003F614D">
            <w:pPr>
              <w:spacing w:after="0"/>
              <w:jc w:val="center"/>
              <w:rPr>
                <w:rFonts w:cstheme="minorHAnsi"/>
                <w:color w:val="000000"/>
              </w:rPr>
            </w:pPr>
          </w:p>
        </w:tc>
        <w:tc>
          <w:tcPr>
            <w:tcW w:w="317" w:type="pct"/>
            <w:shd w:val="clear" w:color="auto" w:fill="auto"/>
            <w:noWrap/>
            <w:vAlign w:val="center"/>
          </w:tcPr>
          <w:p w14:paraId="69AE0AEE" w14:textId="77777777" w:rsidR="003F614D" w:rsidRPr="003F614D" w:rsidRDefault="003F614D" w:rsidP="003F614D">
            <w:pPr>
              <w:spacing w:after="0"/>
              <w:jc w:val="center"/>
              <w:rPr>
                <w:rFonts w:cstheme="minorHAnsi"/>
                <w:color w:val="000000"/>
              </w:rPr>
            </w:pPr>
            <w:r w:rsidRPr="003F614D">
              <w:rPr>
                <w:rFonts w:cstheme="minorHAnsi"/>
                <w:color w:val="000000"/>
              </w:rPr>
              <w:t>1</w:t>
            </w:r>
          </w:p>
        </w:tc>
        <w:tc>
          <w:tcPr>
            <w:tcW w:w="357" w:type="pct"/>
            <w:shd w:val="clear" w:color="auto" w:fill="auto"/>
            <w:noWrap/>
            <w:vAlign w:val="center"/>
          </w:tcPr>
          <w:p w14:paraId="54E633DC" w14:textId="77777777" w:rsidR="003F614D" w:rsidRPr="003F614D" w:rsidRDefault="003F614D" w:rsidP="003F614D">
            <w:pPr>
              <w:spacing w:after="0"/>
              <w:jc w:val="center"/>
              <w:rPr>
                <w:rFonts w:cstheme="minorHAnsi"/>
                <w:color w:val="000000"/>
              </w:rPr>
            </w:pPr>
          </w:p>
        </w:tc>
      </w:tr>
      <w:tr w:rsidR="003F614D" w:rsidRPr="002048A7" w14:paraId="68D1CECB" w14:textId="77777777" w:rsidTr="003F614D">
        <w:trPr>
          <w:trHeight w:val="227"/>
        </w:trPr>
        <w:tc>
          <w:tcPr>
            <w:tcW w:w="1552" w:type="pct"/>
            <w:shd w:val="clear" w:color="auto" w:fill="auto"/>
            <w:vAlign w:val="center"/>
          </w:tcPr>
          <w:p w14:paraId="750B568A" w14:textId="77777777" w:rsidR="003F614D" w:rsidRPr="002048A7" w:rsidRDefault="003F614D" w:rsidP="003F614D">
            <w:pPr>
              <w:spacing w:after="0"/>
              <w:rPr>
                <w:rFonts w:cstheme="minorHAnsi"/>
                <w:color w:val="000000"/>
              </w:rPr>
            </w:pPr>
            <w:r w:rsidRPr="002048A7">
              <w:rPr>
                <w:rFonts w:cstheme="minorHAnsi"/>
                <w:color w:val="000000"/>
              </w:rPr>
              <w:t>Tekniker</w:t>
            </w:r>
          </w:p>
        </w:tc>
        <w:tc>
          <w:tcPr>
            <w:tcW w:w="507" w:type="pct"/>
            <w:shd w:val="clear" w:color="auto" w:fill="auto"/>
            <w:vAlign w:val="center"/>
          </w:tcPr>
          <w:p w14:paraId="4F03D7CE" w14:textId="77777777" w:rsidR="003F614D" w:rsidRPr="003F614D" w:rsidRDefault="003F614D" w:rsidP="003F614D">
            <w:pPr>
              <w:spacing w:after="0"/>
              <w:jc w:val="center"/>
              <w:rPr>
                <w:rFonts w:cstheme="minorHAnsi"/>
                <w:color w:val="000000"/>
              </w:rPr>
            </w:pPr>
            <w:r w:rsidRPr="003F614D">
              <w:rPr>
                <w:rFonts w:cstheme="minorHAnsi"/>
                <w:color w:val="000000"/>
              </w:rPr>
              <w:t>4</w:t>
            </w:r>
          </w:p>
        </w:tc>
        <w:tc>
          <w:tcPr>
            <w:tcW w:w="437" w:type="pct"/>
            <w:shd w:val="clear" w:color="auto" w:fill="auto"/>
            <w:noWrap/>
            <w:vAlign w:val="center"/>
          </w:tcPr>
          <w:p w14:paraId="617AD46C" w14:textId="77777777" w:rsidR="003F614D" w:rsidRPr="003F614D" w:rsidRDefault="003F614D" w:rsidP="003F614D">
            <w:pPr>
              <w:spacing w:after="0"/>
              <w:jc w:val="center"/>
              <w:rPr>
                <w:rFonts w:cstheme="minorHAnsi"/>
                <w:color w:val="000000"/>
              </w:rPr>
            </w:pPr>
            <w:r w:rsidRPr="003F614D">
              <w:rPr>
                <w:rFonts w:cstheme="minorHAnsi"/>
                <w:color w:val="000000"/>
              </w:rPr>
              <w:t>1</w:t>
            </w:r>
          </w:p>
        </w:tc>
        <w:tc>
          <w:tcPr>
            <w:tcW w:w="296" w:type="pct"/>
            <w:shd w:val="clear" w:color="auto" w:fill="auto"/>
            <w:noWrap/>
            <w:vAlign w:val="center"/>
          </w:tcPr>
          <w:p w14:paraId="4034243A" w14:textId="77777777" w:rsidR="003F614D" w:rsidRPr="003F614D" w:rsidRDefault="003F614D" w:rsidP="003F614D">
            <w:pPr>
              <w:spacing w:after="0"/>
              <w:jc w:val="center"/>
              <w:rPr>
                <w:rFonts w:cstheme="minorHAnsi"/>
                <w:color w:val="000000"/>
              </w:rPr>
            </w:pPr>
          </w:p>
        </w:tc>
        <w:tc>
          <w:tcPr>
            <w:tcW w:w="296" w:type="pct"/>
            <w:vAlign w:val="center"/>
          </w:tcPr>
          <w:p w14:paraId="2B5E9B9D" w14:textId="77777777" w:rsidR="003F614D" w:rsidRPr="003F614D" w:rsidRDefault="003F614D" w:rsidP="003F614D">
            <w:pPr>
              <w:spacing w:after="0"/>
              <w:jc w:val="center"/>
              <w:rPr>
                <w:rFonts w:cstheme="minorHAnsi"/>
                <w:color w:val="000000"/>
              </w:rPr>
            </w:pPr>
          </w:p>
        </w:tc>
        <w:tc>
          <w:tcPr>
            <w:tcW w:w="296" w:type="pct"/>
            <w:shd w:val="clear" w:color="auto" w:fill="auto"/>
            <w:noWrap/>
            <w:vAlign w:val="center"/>
          </w:tcPr>
          <w:p w14:paraId="6784A801" w14:textId="77777777" w:rsidR="003F614D" w:rsidRPr="003F614D" w:rsidRDefault="003F614D" w:rsidP="003F614D">
            <w:pPr>
              <w:spacing w:after="0"/>
              <w:jc w:val="center"/>
              <w:rPr>
                <w:rFonts w:cstheme="minorHAnsi"/>
                <w:color w:val="000000"/>
              </w:rPr>
            </w:pPr>
          </w:p>
        </w:tc>
        <w:tc>
          <w:tcPr>
            <w:tcW w:w="296" w:type="pct"/>
            <w:shd w:val="clear" w:color="auto" w:fill="auto"/>
            <w:noWrap/>
            <w:vAlign w:val="center"/>
          </w:tcPr>
          <w:p w14:paraId="672E23A0" w14:textId="77777777" w:rsidR="003F614D" w:rsidRPr="003F614D" w:rsidRDefault="003F614D" w:rsidP="003F614D">
            <w:pPr>
              <w:spacing w:after="0"/>
              <w:jc w:val="center"/>
              <w:rPr>
                <w:rFonts w:cstheme="minorHAnsi"/>
                <w:color w:val="000000"/>
              </w:rPr>
            </w:pPr>
            <w:r w:rsidRPr="003F614D">
              <w:rPr>
                <w:rFonts w:cstheme="minorHAnsi"/>
                <w:color w:val="000000"/>
              </w:rPr>
              <w:t>1</w:t>
            </w:r>
          </w:p>
        </w:tc>
        <w:tc>
          <w:tcPr>
            <w:tcW w:w="296" w:type="pct"/>
            <w:shd w:val="clear" w:color="auto" w:fill="auto"/>
            <w:noWrap/>
            <w:vAlign w:val="center"/>
          </w:tcPr>
          <w:p w14:paraId="7019953A" w14:textId="77777777" w:rsidR="003F614D" w:rsidRPr="003F614D" w:rsidRDefault="003F614D" w:rsidP="003F614D">
            <w:pPr>
              <w:spacing w:after="0"/>
              <w:jc w:val="center"/>
              <w:rPr>
                <w:rFonts w:cstheme="minorHAnsi"/>
                <w:color w:val="000000"/>
              </w:rPr>
            </w:pPr>
          </w:p>
        </w:tc>
        <w:tc>
          <w:tcPr>
            <w:tcW w:w="350" w:type="pct"/>
            <w:shd w:val="clear" w:color="auto" w:fill="auto"/>
            <w:noWrap/>
            <w:vAlign w:val="center"/>
          </w:tcPr>
          <w:p w14:paraId="207EC5B0" w14:textId="77777777" w:rsidR="003F614D" w:rsidRPr="003F614D" w:rsidRDefault="003F614D" w:rsidP="003F614D">
            <w:pPr>
              <w:spacing w:after="0"/>
              <w:jc w:val="center"/>
              <w:rPr>
                <w:rFonts w:cstheme="minorHAnsi"/>
                <w:color w:val="000000"/>
              </w:rPr>
            </w:pPr>
          </w:p>
        </w:tc>
        <w:tc>
          <w:tcPr>
            <w:tcW w:w="317" w:type="pct"/>
            <w:shd w:val="clear" w:color="auto" w:fill="auto"/>
            <w:noWrap/>
            <w:vAlign w:val="center"/>
          </w:tcPr>
          <w:p w14:paraId="3A72AEE7" w14:textId="77777777" w:rsidR="003F614D" w:rsidRPr="003F614D" w:rsidRDefault="003F614D" w:rsidP="003F614D">
            <w:pPr>
              <w:spacing w:after="0"/>
              <w:jc w:val="center"/>
              <w:rPr>
                <w:rFonts w:cstheme="minorHAnsi"/>
                <w:color w:val="000000"/>
              </w:rPr>
            </w:pPr>
          </w:p>
        </w:tc>
        <w:tc>
          <w:tcPr>
            <w:tcW w:w="357" w:type="pct"/>
            <w:shd w:val="clear" w:color="auto" w:fill="auto"/>
            <w:noWrap/>
            <w:vAlign w:val="center"/>
          </w:tcPr>
          <w:p w14:paraId="5CACB613" w14:textId="77777777" w:rsidR="003F614D" w:rsidRPr="003F614D" w:rsidRDefault="003F614D" w:rsidP="003F614D">
            <w:pPr>
              <w:spacing w:after="0"/>
              <w:jc w:val="center"/>
              <w:rPr>
                <w:rFonts w:cstheme="minorHAnsi"/>
                <w:color w:val="000000"/>
              </w:rPr>
            </w:pPr>
            <w:r w:rsidRPr="003F614D">
              <w:rPr>
                <w:rFonts w:cstheme="minorHAnsi"/>
                <w:color w:val="000000"/>
              </w:rPr>
              <w:t>1</w:t>
            </w:r>
          </w:p>
        </w:tc>
      </w:tr>
      <w:tr w:rsidR="003F614D" w:rsidRPr="002048A7" w14:paraId="3F7B22E3" w14:textId="77777777" w:rsidTr="003F614D">
        <w:trPr>
          <w:trHeight w:val="227"/>
        </w:trPr>
        <w:tc>
          <w:tcPr>
            <w:tcW w:w="1552" w:type="pct"/>
            <w:shd w:val="clear" w:color="auto" w:fill="auto"/>
            <w:vAlign w:val="center"/>
          </w:tcPr>
          <w:p w14:paraId="53F71E0F" w14:textId="77777777" w:rsidR="003F614D" w:rsidRPr="002048A7" w:rsidRDefault="003F614D" w:rsidP="003F614D">
            <w:pPr>
              <w:spacing w:after="0"/>
              <w:rPr>
                <w:rFonts w:cstheme="minorHAnsi"/>
                <w:color w:val="000000"/>
              </w:rPr>
            </w:pPr>
            <w:r w:rsidRPr="002048A7">
              <w:rPr>
                <w:rFonts w:cstheme="minorHAnsi"/>
                <w:color w:val="000000"/>
              </w:rPr>
              <w:t>Teknisyen</w:t>
            </w:r>
          </w:p>
        </w:tc>
        <w:tc>
          <w:tcPr>
            <w:tcW w:w="507" w:type="pct"/>
            <w:shd w:val="clear" w:color="auto" w:fill="auto"/>
            <w:vAlign w:val="center"/>
          </w:tcPr>
          <w:p w14:paraId="4A48F6E5" w14:textId="77777777" w:rsidR="003F614D" w:rsidRPr="003F614D" w:rsidRDefault="003F614D" w:rsidP="003F614D">
            <w:pPr>
              <w:spacing w:after="0"/>
              <w:jc w:val="center"/>
              <w:rPr>
                <w:rFonts w:cstheme="minorHAnsi"/>
                <w:color w:val="000000"/>
              </w:rPr>
            </w:pPr>
            <w:r w:rsidRPr="003F614D">
              <w:rPr>
                <w:rFonts w:cstheme="minorHAnsi"/>
                <w:color w:val="000000"/>
              </w:rPr>
              <w:t>10</w:t>
            </w:r>
          </w:p>
        </w:tc>
        <w:tc>
          <w:tcPr>
            <w:tcW w:w="437" w:type="pct"/>
            <w:shd w:val="clear" w:color="auto" w:fill="auto"/>
            <w:noWrap/>
            <w:vAlign w:val="center"/>
          </w:tcPr>
          <w:p w14:paraId="6C349A09" w14:textId="77777777" w:rsidR="003F614D" w:rsidRPr="003F614D" w:rsidRDefault="003F614D" w:rsidP="003F614D">
            <w:pPr>
              <w:spacing w:after="0"/>
              <w:jc w:val="center"/>
              <w:rPr>
                <w:rFonts w:cstheme="minorHAnsi"/>
                <w:color w:val="000000"/>
              </w:rPr>
            </w:pPr>
            <w:r w:rsidRPr="003F614D">
              <w:rPr>
                <w:rFonts w:cstheme="minorHAnsi"/>
                <w:color w:val="000000"/>
              </w:rPr>
              <w:t>5</w:t>
            </w:r>
          </w:p>
        </w:tc>
        <w:tc>
          <w:tcPr>
            <w:tcW w:w="296" w:type="pct"/>
            <w:shd w:val="clear" w:color="auto" w:fill="auto"/>
            <w:noWrap/>
            <w:vAlign w:val="center"/>
          </w:tcPr>
          <w:p w14:paraId="39064C39" w14:textId="77777777" w:rsidR="003F614D" w:rsidRPr="003F614D" w:rsidRDefault="003F614D" w:rsidP="003F614D">
            <w:pPr>
              <w:spacing w:after="0"/>
              <w:jc w:val="center"/>
              <w:rPr>
                <w:rFonts w:cstheme="minorHAnsi"/>
                <w:color w:val="000000"/>
              </w:rPr>
            </w:pPr>
          </w:p>
        </w:tc>
        <w:tc>
          <w:tcPr>
            <w:tcW w:w="296" w:type="pct"/>
            <w:vAlign w:val="center"/>
          </w:tcPr>
          <w:p w14:paraId="41A6F169" w14:textId="77777777" w:rsidR="003F614D" w:rsidRPr="003F614D" w:rsidRDefault="003F614D" w:rsidP="003F614D">
            <w:pPr>
              <w:spacing w:after="0"/>
              <w:jc w:val="center"/>
              <w:rPr>
                <w:rFonts w:cstheme="minorHAnsi"/>
                <w:color w:val="000000"/>
              </w:rPr>
            </w:pPr>
            <w:r w:rsidRPr="003F614D">
              <w:rPr>
                <w:rFonts w:cstheme="minorHAnsi"/>
                <w:color w:val="000000"/>
              </w:rPr>
              <w:t>3</w:t>
            </w:r>
          </w:p>
        </w:tc>
        <w:tc>
          <w:tcPr>
            <w:tcW w:w="296" w:type="pct"/>
            <w:shd w:val="clear" w:color="auto" w:fill="auto"/>
            <w:noWrap/>
            <w:vAlign w:val="center"/>
          </w:tcPr>
          <w:p w14:paraId="3C8826A8" w14:textId="77777777" w:rsidR="003F614D" w:rsidRPr="003F614D" w:rsidRDefault="003F614D" w:rsidP="003F614D">
            <w:pPr>
              <w:spacing w:after="0"/>
              <w:jc w:val="center"/>
              <w:rPr>
                <w:rFonts w:cstheme="minorHAnsi"/>
                <w:color w:val="000000"/>
              </w:rPr>
            </w:pPr>
            <w:r w:rsidRPr="003F614D">
              <w:rPr>
                <w:rFonts w:cstheme="minorHAnsi"/>
                <w:color w:val="000000"/>
              </w:rPr>
              <w:t>1</w:t>
            </w:r>
          </w:p>
        </w:tc>
        <w:tc>
          <w:tcPr>
            <w:tcW w:w="296" w:type="pct"/>
            <w:shd w:val="clear" w:color="auto" w:fill="auto"/>
            <w:noWrap/>
            <w:vAlign w:val="center"/>
          </w:tcPr>
          <w:p w14:paraId="4E3FC8E2" w14:textId="77777777" w:rsidR="003F614D" w:rsidRPr="003F614D" w:rsidRDefault="003F614D" w:rsidP="003F614D">
            <w:pPr>
              <w:spacing w:after="0"/>
              <w:jc w:val="center"/>
              <w:rPr>
                <w:rFonts w:cstheme="minorHAnsi"/>
                <w:color w:val="000000"/>
              </w:rPr>
            </w:pPr>
            <w:r w:rsidRPr="003F614D">
              <w:rPr>
                <w:rFonts w:cstheme="minorHAnsi"/>
                <w:color w:val="000000"/>
              </w:rPr>
              <w:t>1</w:t>
            </w:r>
          </w:p>
        </w:tc>
        <w:tc>
          <w:tcPr>
            <w:tcW w:w="296" w:type="pct"/>
            <w:shd w:val="clear" w:color="auto" w:fill="auto"/>
            <w:noWrap/>
            <w:vAlign w:val="center"/>
          </w:tcPr>
          <w:p w14:paraId="000A5561" w14:textId="77777777" w:rsidR="003F614D" w:rsidRPr="003F614D" w:rsidRDefault="003F614D" w:rsidP="003F614D">
            <w:pPr>
              <w:spacing w:after="0"/>
              <w:jc w:val="center"/>
              <w:rPr>
                <w:rFonts w:cstheme="minorHAnsi"/>
                <w:color w:val="000000"/>
              </w:rPr>
            </w:pPr>
          </w:p>
        </w:tc>
        <w:tc>
          <w:tcPr>
            <w:tcW w:w="350" w:type="pct"/>
            <w:shd w:val="clear" w:color="auto" w:fill="auto"/>
            <w:noWrap/>
            <w:vAlign w:val="center"/>
          </w:tcPr>
          <w:p w14:paraId="277A2476" w14:textId="77777777" w:rsidR="003F614D" w:rsidRPr="003F614D" w:rsidRDefault="003F614D" w:rsidP="003F614D">
            <w:pPr>
              <w:spacing w:after="0"/>
              <w:jc w:val="center"/>
              <w:rPr>
                <w:rFonts w:cstheme="minorHAnsi"/>
                <w:color w:val="000000"/>
              </w:rPr>
            </w:pPr>
          </w:p>
        </w:tc>
        <w:tc>
          <w:tcPr>
            <w:tcW w:w="317" w:type="pct"/>
            <w:shd w:val="clear" w:color="auto" w:fill="auto"/>
            <w:noWrap/>
            <w:vAlign w:val="center"/>
          </w:tcPr>
          <w:p w14:paraId="13D57B84" w14:textId="77777777" w:rsidR="003F614D" w:rsidRPr="003F614D" w:rsidRDefault="003F614D" w:rsidP="003F614D">
            <w:pPr>
              <w:spacing w:after="0"/>
              <w:jc w:val="center"/>
              <w:rPr>
                <w:rFonts w:cstheme="minorHAnsi"/>
                <w:color w:val="000000"/>
              </w:rPr>
            </w:pPr>
          </w:p>
        </w:tc>
        <w:tc>
          <w:tcPr>
            <w:tcW w:w="357" w:type="pct"/>
            <w:shd w:val="clear" w:color="auto" w:fill="auto"/>
            <w:noWrap/>
            <w:vAlign w:val="center"/>
          </w:tcPr>
          <w:p w14:paraId="7FF0445A" w14:textId="77777777" w:rsidR="003F614D" w:rsidRPr="003F614D" w:rsidRDefault="003F614D" w:rsidP="003F614D">
            <w:pPr>
              <w:spacing w:after="0"/>
              <w:jc w:val="center"/>
              <w:rPr>
                <w:rFonts w:cstheme="minorHAnsi"/>
                <w:color w:val="000000"/>
              </w:rPr>
            </w:pPr>
            <w:r w:rsidRPr="003F614D">
              <w:rPr>
                <w:rFonts w:cstheme="minorHAnsi"/>
                <w:color w:val="000000"/>
              </w:rPr>
              <w:t>5</w:t>
            </w:r>
          </w:p>
        </w:tc>
      </w:tr>
      <w:tr w:rsidR="003F614D" w:rsidRPr="002048A7" w14:paraId="01730421" w14:textId="77777777" w:rsidTr="003F614D">
        <w:trPr>
          <w:trHeight w:val="227"/>
        </w:trPr>
        <w:tc>
          <w:tcPr>
            <w:tcW w:w="1552" w:type="pct"/>
            <w:shd w:val="clear" w:color="auto" w:fill="auto"/>
            <w:vAlign w:val="center"/>
          </w:tcPr>
          <w:p w14:paraId="71F63168" w14:textId="77777777" w:rsidR="003F614D" w:rsidRPr="002048A7" w:rsidRDefault="003F614D" w:rsidP="003F614D">
            <w:pPr>
              <w:spacing w:after="0"/>
              <w:rPr>
                <w:rFonts w:cstheme="minorHAnsi"/>
                <w:color w:val="000000"/>
              </w:rPr>
            </w:pPr>
            <w:r w:rsidRPr="002048A7">
              <w:rPr>
                <w:rFonts w:cstheme="minorHAnsi"/>
                <w:color w:val="000000"/>
              </w:rPr>
              <w:t>Şoför</w:t>
            </w:r>
          </w:p>
        </w:tc>
        <w:tc>
          <w:tcPr>
            <w:tcW w:w="507" w:type="pct"/>
            <w:shd w:val="clear" w:color="auto" w:fill="auto"/>
            <w:vAlign w:val="center"/>
          </w:tcPr>
          <w:p w14:paraId="0CD265E9" w14:textId="77777777" w:rsidR="003F614D" w:rsidRPr="003F614D" w:rsidRDefault="003F614D" w:rsidP="003F614D">
            <w:pPr>
              <w:spacing w:after="0"/>
              <w:jc w:val="center"/>
              <w:rPr>
                <w:rFonts w:cstheme="minorHAnsi"/>
                <w:color w:val="000000"/>
              </w:rPr>
            </w:pPr>
            <w:r w:rsidRPr="003F614D">
              <w:rPr>
                <w:rFonts w:cstheme="minorHAnsi"/>
                <w:color w:val="000000"/>
              </w:rPr>
              <w:t>5</w:t>
            </w:r>
          </w:p>
        </w:tc>
        <w:tc>
          <w:tcPr>
            <w:tcW w:w="437" w:type="pct"/>
            <w:shd w:val="clear" w:color="auto" w:fill="auto"/>
            <w:noWrap/>
            <w:vAlign w:val="center"/>
          </w:tcPr>
          <w:p w14:paraId="7E9C4A52" w14:textId="77777777" w:rsidR="003F614D" w:rsidRPr="003F614D" w:rsidRDefault="003F614D" w:rsidP="003F614D">
            <w:pPr>
              <w:spacing w:after="0"/>
              <w:jc w:val="center"/>
              <w:rPr>
                <w:rFonts w:cstheme="minorHAnsi"/>
                <w:color w:val="000000"/>
              </w:rPr>
            </w:pPr>
            <w:r w:rsidRPr="003F614D">
              <w:rPr>
                <w:rFonts w:cstheme="minorHAnsi"/>
                <w:color w:val="000000"/>
              </w:rPr>
              <w:t>5</w:t>
            </w:r>
          </w:p>
        </w:tc>
        <w:tc>
          <w:tcPr>
            <w:tcW w:w="296" w:type="pct"/>
            <w:shd w:val="clear" w:color="auto" w:fill="auto"/>
            <w:noWrap/>
            <w:vAlign w:val="center"/>
          </w:tcPr>
          <w:p w14:paraId="4CDC3236" w14:textId="77777777" w:rsidR="003F614D" w:rsidRPr="003F614D" w:rsidRDefault="003F614D" w:rsidP="003F614D">
            <w:pPr>
              <w:spacing w:after="0"/>
              <w:jc w:val="center"/>
              <w:rPr>
                <w:rFonts w:cstheme="minorHAnsi"/>
                <w:color w:val="000000"/>
              </w:rPr>
            </w:pPr>
          </w:p>
        </w:tc>
        <w:tc>
          <w:tcPr>
            <w:tcW w:w="296" w:type="pct"/>
            <w:vAlign w:val="center"/>
          </w:tcPr>
          <w:p w14:paraId="367F165D" w14:textId="77777777" w:rsidR="003F614D" w:rsidRPr="003F614D" w:rsidRDefault="003F614D" w:rsidP="003F614D">
            <w:pPr>
              <w:spacing w:after="0"/>
              <w:jc w:val="center"/>
              <w:rPr>
                <w:rFonts w:cstheme="minorHAnsi"/>
                <w:color w:val="000000"/>
              </w:rPr>
            </w:pPr>
            <w:r w:rsidRPr="003F614D">
              <w:rPr>
                <w:rFonts w:cstheme="minorHAnsi"/>
                <w:color w:val="000000"/>
              </w:rPr>
              <w:t>1</w:t>
            </w:r>
          </w:p>
        </w:tc>
        <w:tc>
          <w:tcPr>
            <w:tcW w:w="296" w:type="pct"/>
            <w:shd w:val="clear" w:color="auto" w:fill="auto"/>
            <w:noWrap/>
            <w:vAlign w:val="center"/>
          </w:tcPr>
          <w:p w14:paraId="4489B1F8" w14:textId="77777777" w:rsidR="003F614D" w:rsidRPr="003F614D" w:rsidRDefault="003F614D" w:rsidP="003F614D">
            <w:pPr>
              <w:spacing w:after="0"/>
              <w:jc w:val="center"/>
              <w:rPr>
                <w:rFonts w:cstheme="minorHAnsi"/>
                <w:color w:val="000000"/>
              </w:rPr>
            </w:pPr>
            <w:r w:rsidRPr="003F614D">
              <w:rPr>
                <w:rFonts w:cstheme="minorHAnsi"/>
                <w:color w:val="000000"/>
              </w:rPr>
              <w:t>1</w:t>
            </w:r>
          </w:p>
        </w:tc>
        <w:tc>
          <w:tcPr>
            <w:tcW w:w="296" w:type="pct"/>
            <w:shd w:val="clear" w:color="auto" w:fill="auto"/>
            <w:noWrap/>
            <w:vAlign w:val="center"/>
          </w:tcPr>
          <w:p w14:paraId="717D5C2B" w14:textId="77777777" w:rsidR="003F614D" w:rsidRPr="003F614D" w:rsidRDefault="003F614D" w:rsidP="003F614D">
            <w:pPr>
              <w:spacing w:after="0"/>
              <w:jc w:val="center"/>
              <w:rPr>
                <w:rFonts w:cstheme="minorHAnsi"/>
                <w:color w:val="000000"/>
              </w:rPr>
            </w:pPr>
            <w:r w:rsidRPr="003F614D">
              <w:rPr>
                <w:rFonts w:cstheme="minorHAnsi"/>
                <w:color w:val="000000"/>
              </w:rPr>
              <w:t>3</w:t>
            </w:r>
          </w:p>
        </w:tc>
        <w:tc>
          <w:tcPr>
            <w:tcW w:w="296" w:type="pct"/>
            <w:shd w:val="clear" w:color="auto" w:fill="auto"/>
            <w:noWrap/>
            <w:vAlign w:val="center"/>
          </w:tcPr>
          <w:p w14:paraId="7145DF18" w14:textId="77777777" w:rsidR="003F614D" w:rsidRPr="003F614D" w:rsidRDefault="003F614D" w:rsidP="003F614D">
            <w:pPr>
              <w:spacing w:after="0"/>
              <w:jc w:val="center"/>
              <w:rPr>
                <w:rFonts w:cstheme="minorHAnsi"/>
                <w:color w:val="000000"/>
              </w:rPr>
            </w:pPr>
          </w:p>
        </w:tc>
        <w:tc>
          <w:tcPr>
            <w:tcW w:w="350" w:type="pct"/>
            <w:shd w:val="clear" w:color="auto" w:fill="auto"/>
            <w:noWrap/>
            <w:vAlign w:val="center"/>
          </w:tcPr>
          <w:p w14:paraId="208C9721" w14:textId="77777777" w:rsidR="003F614D" w:rsidRPr="003F614D" w:rsidRDefault="003F614D" w:rsidP="003F614D">
            <w:pPr>
              <w:spacing w:after="0"/>
              <w:jc w:val="center"/>
              <w:rPr>
                <w:rFonts w:cstheme="minorHAnsi"/>
                <w:color w:val="000000"/>
              </w:rPr>
            </w:pPr>
          </w:p>
        </w:tc>
        <w:tc>
          <w:tcPr>
            <w:tcW w:w="317" w:type="pct"/>
            <w:shd w:val="clear" w:color="auto" w:fill="auto"/>
            <w:noWrap/>
            <w:vAlign w:val="center"/>
          </w:tcPr>
          <w:p w14:paraId="4C8E86C2" w14:textId="77777777" w:rsidR="003F614D" w:rsidRPr="003F614D" w:rsidRDefault="003F614D" w:rsidP="003F614D">
            <w:pPr>
              <w:spacing w:after="0"/>
              <w:jc w:val="center"/>
              <w:rPr>
                <w:rFonts w:cstheme="minorHAnsi"/>
                <w:color w:val="000000"/>
              </w:rPr>
            </w:pPr>
          </w:p>
        </w:tc>
        <w:tc>
          <w:tcPr>
            <w:tcW w:w="357" w:type="pct"/>
            <w:shd w:val="clear" w:color="auto" w:fill="auto"/>
            <w:noWrap/>
            <w:vAlign w:val="center"/>
          </w:tcPr>
          <w:p w14:paraId="12D49C0B" w14:textId="77777777" w:rsidR="003F614D" w:rsidRPr="003F614D" w:rsidRDefault="003F614D" w:rsidP="003F614D">
            <w:pPr>
              <w:spacing w:after="0"/>
              <w:jc w:val="center"/>
              <w:rPr>
                <w:rFonts w:cstheme="minorHAnsi"/>
                <w:color w:val="000000"/>
              </w:rPr>
            </w:pPr>
            <w:r w:rsidRPr="003F614D">
              <w:rPr>
                <w:rFonts w:cstheme="minorHAnsi"/>
                <w:color w:val="000000"/>
              </w:rPr>
              <w:t>5</w:t>
            </w:r>
          </w:p>
        </w:tc>
      </w:tr>
      <w:bookmarkEnd w:id="440"/>
      <w:tr w:rsidR="00771960" w:rsidRPr="002048A7" w14:paraId="6045B5D8" w14:textId="77777777" w:rsidTr="003F614D">
        <w:trPr>
          <w:trHeight w:val="227"/>
        </w:trPr>
        <w:tc>
          <w:tcPr>
            <w:tcW w:w="1552" w:type="pct"/>
            <w:shd w:val="clear" w:color="auto" w:fill="auto"/>
            <w:vAlign w:val="center"/>
          </w:tcPr>
          <w:p w14:paraId="347206F5" w14:textId="77777777" w:rsidR="00771960" w:rsidRPr="002048A7" w:rsidRDefault="00771960" w:rsidP="00771960">
            <w:pPr>
              <w:spacing w:after="0"/>
              <w:rPr>
                <w:rFonts w:cstheme="minorHAnsi"/>
                <w:b/>
                <w:bCs/>
                <w:color w:val="000000"/>
              </w:rPr>
            </w:pPr>
            <w:r w:rsidRPr="002048A7">
              <w:rPr>
                <w:rFonts w:cstheme="minorHAnsi"/>
                <w:b/>
                <w:bCs/>
                <w:color w:val="000000"/>
              </w:rPr>
              <w:t>TOPLAM</w:t>
            </w:r>
          </w:p>
        </w:tc>
        <w:tc>
          <w:tcPr>
            <w:tcW w:w="507" w:type="pct"/>
            <w:shd w:val="clear" w:color="auto" w:fill="auto"/>
            <w:vAlign w:val="center"/>
          </w:tcPr>
          <w:p w14:paraId="1581BBDA" w14:textId="77777777" w:rsidR="00771960" w:rsidRPr="002048A7" w:rsidRDefault="00771960" w:rsidP="00771960">
            <w:pPr>
              <w:spacing w:after="0"/>
              <w:jc w:val="center"/>
              <w:rPr>
                <w:rFonts w:cstheme="minorHAnsi"/>
                <w:b/>
                <w:color w:val="000000"/>
              </w:rPr>
            </w:pPr>
            <w:r w:rsidRPr="002048A7">
              <w:rPr>
                <w:rFonts w:cstheme="minorHAnsi"/>
                <w:b/>
                <w:color w:val="000000"/>
              </w:rPr>
              <w:t>828</w:t>
            </w:r>
          </w:p>
        </w:tc>
        <w:tc>
          <w:tcPr>
            <w:tcW w:w="437" w:type="pct"/>
            <w:shd w:val="clear" w:color="auto" w:fill="auto"/>
            <w:noWrap/>
            <w:vAlign w:val="center"/>
          </w:tcPr>
          <w:p w14:paraId="2D1046D1" w14:textId="77777777" w:rsidR="00771960" w:rsidRPr="002048A7" w:rsidRDefault="00771960" w:rsidP="00771960">
            <w:pPr>
              <w:spacing w:after="0"/>
              <w:jc w:val="center"/>
              <w:rPr>
                <w:rFonts w:cstheme="minorHAnsi"/>
                <w:b/>
                <w:color w:val="000000"/>
              </w:rPr>
            </w:pPr>
            <w:r w:rsidRPr="002048A7">
              <w:rPr>
                <w:rFonts w:cstheme="minorHAnsi"/>
                <w:b/>
                <w:color w:val="000000"/>
              </w:rPr>
              <w:t>5</w:t>
            </w:r>
            <w:r w:rsidR="003F614D">
              <w:rPr>
                <w:rFonts w:cstheme="minorHAnsi"/>
                <w:b/>
                <w:color w:val="000000"/>
              </w:rPr>
              <w:t>90</w:t>
            </w:r>
          </w:p>
        </w:tc>
        <w:tc>
          <w:tcPr>
            <w:tcW w:w="296" w:type="pct"/>
            <w:shd w:val="clear" w:color="auto" w:fill="auto"/>
            <w:noWrap/>
            <w:vAlign w:val="center"/>
          </w:tcPr>
          <w:p w14:paraId="64798CFD" w14:textId="77777777" w:rsidR="00771960" w:rsidRPr="002048A7" w:rsidRDefault="00771960" w:rsidP="00771960">
            <w:pPr>
              <w:spacing w:after="0"/>
              <w:jc w:val="center"/>
              <w:rPr>
                <w:rFonts w:cstheme="minorHAnsi"/>
                <w:b/>
                <w:color w:val="000000"/>
              </w:rPr>
            </w:pPr>
            <w:r w:rsidRPr="002048A7">
              <w:rPr>
                <w:rFonts w:cstheme="minorHAnsi"/>
                <w:b/>
                <w:color w:val="000000"/>
              </w:rPr>
              <w:t>0</w:t>
            </w:r>
          </w:p>
        </w:tc>
        <w:tc>
          <w:tcPr>
            <w:tcW w:w="296" w:type="pct"/>
            <w:vAlign w:val="center"/>
          </w:tcPr>
          <w:p w14:paraId="2622ABED" w14:textId="77777777" w:rsidR="00771960" w:rsidRPr="002048A7" w:rsidRDefault="00771960" w:rsidP="00771960">
            <w:pPr>
              <w:spacing w:after="0"/>
              <w:jc w:val="center"/>
              <w:rPr>
                <w:rFonts w:cstheme="minorHAnsi"/>
                <w:b/>
                <w:color w:val="000000"/>
              </w:rPr>
            </w:pPr>
            <w:r w:rsidRPr="002048A7">
              <w:rPr>
                <w:rFonts w:cstheme="minorHAnsi"/>
                <w:b/>
                <w:color w:val="000000"/>
              </w:rPr>
              <w:t>11</w:t>
            </w:r>
          </w:p>
        </w:tc>
        <w:tc>
          <w:tcPr>
            <w:tcW w:w="296" w:type="pct"/>
            <w:shd w:val="clear" w:color="auto" w:fill="auto"/>
            <w:noWrap/>
            <w:vAlign w:val="center"/>
          </w:tcPr>
          <w:p w14:paraId="1B2A755F" w14:textId="77777777" w:rsidR="00771960" w:rsidRPr="002048A7" w:rsidRDefault="00771960" w:rsidP="00771960">
            <w:pPr>
              <w:spacing w:after="0"/>
              <w:jc w:val="center"/>
              <w:rPr>
                <w:rFonts w:cstheme="minorHAnsi"/>
                <w:b/>
                <w:color w:val="000000"/>
              </w:rPr>
            </w:pPr>
            <w:r w:rsidRPr="002048A7">
              <w:rPr>
                <w:rFonts w:cstheme="minorHAnsi"/>
                <w:b/>
                <w:color w:val="000000"/>
              </w:rPr>
              <w:t>2</w:t>
            </w:r>
            <w:r w:rsidR="003F614D">
              <w:rPr>
                <w:rFonts w:cstheme="minorHAnsi"/>
                <w:b/>
                <w:color w:val="000000"/>
              </w:rPr>
              <w:t>1</w:t>
            </w:r>
          </w:p>
        </w:tc>
        <w:tc>
          <w:tcPr>
            <w:tcW w:w="296" w:type="pct"/>
            <w:shd w:val="clear" w:color="auto" w:fill="auto"/>
            <w:noWrap/>
            <w:vAlign w:val="center"/>
          </w:tcPr>
          <w:p w14:paraId="46E581EC" w14:textId="77777777" w:rsidR="00771960" w:rsidRPr="002048A7" w:rsidRDefault="003F614D" w:rsidP="00771960">
            <w:pPr>
              <w:spacing w:after="0"/>
              <w:jc w:val="center"/>
              <w:rPr>
                <w:rFonts w:cstheme="minorHAnsi"/>
                <w:b/>
                <w:color w:val="000000"/>
              </w:rPr>
            </w:pPr>
            <w:r>
              <w:rPr>
                <w:rFonts w:cstheme="minorHAnsi"/>
                <w:b/>
                <w:color w:val="000000"/>
              </w:rPr>
              <w:t>440</w:t>
            </w:r>
          </w:p>
        </w:tc>
        <w:tc>
          <w:tcPr>
            <w:tcW w:w="296" w:type="pct"/>
            <w:shd w:val="clear" w:color="auto" w:fill="auto"/>
            <w:noWrap/>
            <w:vAlign w:val="center"/>
          </w:tcPr>
          <w:p w14:paraId="6DB60E5A" w14:textId="77777777" w:rsidR="00771960" w:rsidRPr="002048A7" w:rsidRDefault="00771960" w:rsidP="00771960">
            <w:pPr>
              <w:spacing w:after="0"/>
              <w:jc w:val="center"/>
              <w:rPr>
                <w:rFonts w:cstheme="minorHAnsi"/>
                <w:b/>
                <w:color w:val="000000"/>
              </w:rPr>
            </w:pPr>
            <w:r w:rsidRPr="002048A7">
              <w:rPr>
                <w:rFonts w:cstheme="minorHAnsi"/>
                <w:b/>
                <w:color w:val="000000"/>
              </w:rPr>
              <w:t>10</w:t>
            </w:r>
            <w:r w:rsidR="003F614D">
              <w:rPr>
                <w:rFonts w:cstheme="minorHAnsi"/>
                <w:b/>
                <w:color w:val="000000"/>
              </w:rPr>
              <w:t>1</w:t>
            </w:r>
          </w:p>
        </w:tc>
        <w:tc>
          <w:tcPr>
            <w:tcW w:w="350" w:type="pct"/>
            <w:shd w:val="clear" w:color="auto" w:fill="auto"/>
            <w:noWrap/>
            <w:vAlign w:val="center"/>
          </w:tcPr>
          <w:p w14:paraId="7C5187CE" w14:textId="77777777" w:rsidR="00771960" w:rsidRPr="002048A7" w:rsidRDefault="00771960" w:rsidP="00771960">
            <w:pPr>
              <w:spacing w:after="0"/>
              <w:jc w:val="center"/>
              <w:rPr>
                <w:rFonts w:cstheme="minorHAnsi"/>
                <w:b/>
                <w:color w:val="000000"/>
              </w:rPr>
            </w:pPr>
            <w:r w:rsidRPr="002048A7">
              <w:rPr>
                <w:rFonts w:cstheme="minorHAnsi"/>
                <w:b/>
                <w:color w:val="000000"/>
              </w:rPr>
              <w:t>1</w:t>
            </w:r>
            <w:r w:rsidR="003F614D">
              <w:rPr>
                <w:rFonts w:cstheme="minorHAnsi"/>
                <w:b/>
                <w:color w:val="000000"/>
              </w:rPr>
              <w:t>7</w:t>
            </w:r>
          </w:p>
        </w:tc>
        <w:tc>
          <w:tcPr>
            <w:tcW w:w="317" w:type="pct"/>
            <w:shd w:val="clear" w:color="auto" w:fill="auto"/>
            <w:noWrap/>
            <w:vAlign w:val="center"/>
          </w:tcPr>
          <w:p w14:paraId="5ED3E671" w14:textId="77777777" w:rsidR="00771960" w:rsidRPr="002048A7" w:rsidRDefault="00771960" w:rsidP="00771960">
            <w:pPr>
              <w:spacing w:after="0"/>
              <w:jc w:val="center"/>
              <w:rPr>
                <w:rFonts w:cstheme="minorHAnsi"/>
                <w:b/>
                <w:color w:val="000000"/>
              </w:rPr>
            </w:pPr>
            <w:r w:rsidRPr="002048A7">
              <w:rPr>
                <w:rFonts w:cstheme="minorHAnsi"/>
                <w:b/>
                <w:color w:val="000000"/>
              </w:rPr>
              <w:t>2</w:t>
            </w:r>
            <w:r w:rsidR="003F614D">
              <w:rPr>
                <w:rFonts w:cstheme="minorHAnsi"/>
                <w:b/>
                <w:color w:val="000000"/>
              </w:rPr>
              <w:t>56</w:t>
            </w:r>
          </w:p>
        </w:tc>
        <w:tc>
          <w:tcPr>
            <w:tcW w:w="357" w:type="pct"/>
            <w:shd w:val="clear" w:color="auto" w:fill="auto"/>
            <w:noWrap/>
            <w:vAlign w:val="center"/>
          </w:tcPr>
          <w:p w14:paraId="023C5997" w14:textId="77777777" w:rsidR="00771960" w:rsidRPr="002048A7" w:rsidRDefault="00771960" w:rsidP="00771960">
            <w:pPr>
              <w:spacing w:after="0"/>
              <w:jc w:val="center"/>
              <w:rPr>
                <w:rFonts w:cstheme="minorHAnsi"/>
                <w:b/>
                <w:color w:val="000000"/>
              </w:rPr>
            </w:pPr>
            <w:r w:rsidRPr="002048A7">
              <w:rPr>
                <w:rFonts w:cstheme="minorHAnsi"/>
                <w:b/>
                <w:color w:val="000000"/>
              </w:rPr>
              <w:t>3</w:t>
            </w:r>
            <w:r w:rsidR="003F614D">
              <w:rPr>
                <w:rFonts w:cstheme="minorHAnsi"/>
                <w:b/>
                <w:color w:val="000000"/>
              </w:rPr>
              <w:t>34</w:t>
            </w:r>
          </w:p>
        </w:tc>
      </w:tr>
    </w:tbl>
    <w:p w14:paraId="6D5DFDF4" w14:textId="77777777" w:rsidR="00FF24CA" w:rsidRPr="002048A7" w:rsidRDefault="00FF24CA" w:rsidP="00FF24CA">
      <w:pPr>
        <w:rPr>
          <w:rFonts w:ascii="Calibri" w:hAnsi="Calibri"/>
        </w:rPr>
      </w:pPr>
      <w:r w:rsidRPr="002048A7">
        <w:rPr>
          <w:rFonts w:ascii="Calibri" w:hAnsi="Calibri"/>
          <w:i/>
        </w:rPr>
        <w:t>Sürekli işçi kadrosunda yer alan personel hariçtir</w:t>
      </w:r>
      <w:r w:rsidRPr="002048A7">
        <w:rPr>
          <w:rFonts w:ascii="Calibri" w:hAnsi="Calibri"/>
        </w:rPr>
        <w:t>.</w:t>
      </w:r>
    </w:p>
    <w:p w14:paraId="49E46C5B" w14:textId="77777777" w:rsidR="00FF24CA" w:rsidRPr="002048A7" w:rsidRDefault="00FF24CA" w:rsidP="00FF24CA">
      <w:pPr>
        <w:spacing w:before="120"/>
      </w:pPr>
      <w:r w:rsidRPr="002048A7">
        <w:t>Kurumun personel sayısında yıllara göre yaşanan değişim Tablo 13.4’te gösterilmektedir.</w:t>
      </w:r>
    </w:p>
    <w:p w14:paraId="5B1DBC7E" w14:textId="77777777" w:rsidR="00771960" w:rsidRPr="002048A7" w:rsidRDefault="00771960" w:rsidP="00771960">
      <w:pPr>
        <w:pStyle w:val="Balk5"/>
        <w:jc w:val="center"/>
        <w:rPr>
          <w:rFonts w:asciiTheme="minorHAnsi" w:hAnsiTheme="minorHAnsi" w:cstheme="minorHAnsi"/>
          <w:b/>
          <w:color w:val="auto"/>
        </w:rPr>
      </w:pPr>
      <w:bookmarkStart w:id="441" w:name="_Toc416447627"/>
      <w:bookmarkStart w:id="442" w:name="_Toc442441778"/>
      <w:bookmarkStart w:id="443" w:name="_Toc129192023"/>
      <w:bookmarkStart w:id="444" w:name="_Toc195868878"/>
      <w:bookmarkStart w:id="445" w:name="_Toc442431327"/>
      <w:bookmarkEnd w:id="433"/>
      <w:bookmarkEnd w:id="434"/>
      <w:r w:rsidRPr="002048A7">
        <w:rPr>
          <w:rFonts w:asciiTheme="minorHAnsi" w:hAnsiTheme="minorHAnsi" w:cstheme="minorHAnsi"/>
          <w:b/>
          <w:color w:val="auto"/>
        </w:rPr>
        <w:lastRenderedPageBreak/>
        <w:t>Tablo 13.4:  Yıllara Göre Kurum Personel Sayısı</w:t>
      </w:r>
      <w:bookmarkEnd w:id="441"/>
      <w:bookmarkEnd w:id="442"/>
      <w:bookmarkEnd w:id="443"/>
      <w:bookmarkEnd w:id="444"/>
    </w:p>
    <w:tbl>
      <w:tblPr>
        <w:tblW w:w="2576"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265"/>
        <w:gridCol w:w="1283"/>
        <w:gridCol w:w="1283"/>
        <w:gridCol w:w="1275"/>
      </w:tblGrid>
      <w:tr w:rsidR="00CB0AB1" w:rsidRPr="002048A7" w14:paraId="31299572" w14:textId="77777777" w:rsidTr="00CE1360">
        <w:trPr>
          <w:cantSplit/>
          <w:trHeight w:val="331"/>
          <w:tblHeader/>
          <w:jc w:val="center"/>
        </w:trPr>
        <w:tc>
          <w:tcPr>
            <w:tcW w:w="1238" w:type="pct"/>
            <w:tcBorders>
              <w:top w:val="single" w:sz="4" w:space="0" w:color="BFBFBF"/>
              <w:left w:val="single" w:sz="4" w:space="0" w:color="BFBFBF"/>
              <w:bottom w:val="single" w:sz="4" w:space="0" w:color="BFBFBF"/>
              <w:right w:val="single" w:sz="4" w:space="0" w:color="BFBFBF"/>
            </w:tcBorders>
            <w:shd w:val="clear" w:color="auto" w:fill="6E9ECA"/>
            <w:vAlign w:val="center"/>
            <w:hideMark/>
          </w:tcPr>
          <w:p w14:paraId="1ED51B05" w14:textId="77777777" w:rsidR="00CB0AB1" w:rsidRPr="002048A7" w:rsidRDefault="00CB0AB1" w:rsidP="00CB0AB1">
            <w:pPr>
              <w:jc w:val="center"/>
              <w:rPr>
                <w:rFonts w:cstheme="minorHAnsi"/>
                <w:b/>
                <w:color w:val="FFFFFF"/>
              </w:rPr>
            </w:pPr>
            <w:bookmarkStart w:id="446" w:name="_Hlk160527587"/>
            <w:r w:rsidRPr="002048A7">
              <w:rPr>
                <w:rFonts w:cstheme="minorHAnsi"/>
                <w:b/>
                <w:color w:val="FFFFFF"/>
              </w:rPr>
              <w:t>Yıl</w:t>
            </w:r>
          </w:p>
        </w:tc>
        <w:tc>
          <w:tcPr>
            <w:tcW w:w="1256" w:type="pct"/>
            <w:tcBorders>
              <w:top w:val="single" w:sz="4" w:space="0" w:color="BFBFBF"/>
              <w:left w:val="single" w:sz="4" w:space="0" w:color="BFBFBF"/>
              <w:bottom w:val="single" w:sz="4" w:space="0" w:color="BFBFBF"/>
              <w:right w:val="single" w:sz="4" w:space="0" w:color="BFBFBF"/>
            </w:tcBorders>
            <w:shd w:val="clear" w:color="auto" w:fill="6E9ECA"/>
            <w:vAlign w:val="center"/>
            <w:hideMark/>
          </w:tcPr>
          <w:p w14:paraId="707A6235" w14:textId="77777777" w:rsidR="00CB0AB1" w:rsidRPr="002048A7" w:rsidRDefault="00CB0AB1" w:rsidP="00CB0AB1">
            <w:pPr>
              <w:jc w:val="center"/>
              <w:rPr>
                <w:rFonts w:cstheme="minorHAnsi"/>
                <w:b/>
                <w:color w:val="FFFFFF"/>
              </w:rPr>
            </w:pPr>
            <w:r w:rsidRPr="002048A7">
              <w:rPr>
                <w:rFonts w:cstheme="minorHAnsi"/>
                <w:b/>
                <w:color w:val="FFFFFF"/>
              </w:rPr>
              <w:t>Personel Sayısı</w:t>
            </w:r>
          </w:p>
        </w:tc>
        <w:tc>
          <w:tcPr>
            <w:tcW w:w="1256" w:type="pct"/>
            <w:tcBorders>
              <w:top w:val="single" w:sz="4" w:space="0" w:color="BFBFBF"/>
              <w:left w:val="single" w:sz="4" w:space="0" w:color="BFBFBF"/>
              <w:bottom w:val="single" w:sz="4" w:space="0" w:color="BFBFBF"/>
              <w:right w:val="single" w:sz="4" w:space="0" w:color="BFBFBF"/>
            </w:tcBorders>
            <w:shd w:val="clear" w:color="auto" w:fill="6E9ECA"/>
            <w:vAlign w:val="center"/>
          </w:tcPr>
          <w:p w14:paraId="221691D4" w14:textId="77777777" w:rsidR="00CB0AB1" w:rsidRPr="002048A7" w:rsidRDefault="00CB0AB1" w:rsidP="00CB0AB1">
            <w:pPr>
              <w:jc w:val="center"/>
              <w:rPr>
                <w:rFonts w:cstheme="minorHAnsi"/>
                <w:b/>
                <w:color w:val="FFFFFF"/>
              </w:rPr>
            </w:pPr>
            <w:r w:rsidRPr="002048A7">
              <w:rPr>
                <w:rFonts w:cstheme="minorHAnsi"/>
                <w:b/>
                <w:color w:val="FFFFFF"/>
              </w:rPr>
              <w:t>Yıl</w:t>
            </w:r>
          </w:p>
        </w:tc>
        <w:tc>
          <w:tcPr>
            <w:tcW w:w="1249" w:type="pct"/>
            <w:tcBorders>
              <w:top w:val="single" w:sz="4" w:space="0" w:color="BFBFBF"/>
              <w:left w:val="single" w:sz="4" w:space="0" w:color="BFBFBF"/>
              <w:bottom w:val="single" w:sz="4" w:space="0" w:color="BFBFBF"/>
              <w:right w:val="single" w:sz="4" w:space="0" w:color="BFBFBF"/>
            </w:tcBorders>
            <w:shd w:val="clear" w:color="auto" w:fill="6E9ECA"/>
            <w:vAlign w:val="center"/>
          </w:tcPr>
          <w:p w14:paraId="56E52E2F" w14:textId="77777777" w:rsidR="00CB0AB1" w:rsidRPr="002048A7" w:rsidRDefault="00CB0AB1" w:rsidP="00CB0AB1">
            <w:pPr>
              <w:jc w:val="center"/>
              <w:rPr>
                <w:rFonts w:cstheme="minorHAnsi"/>
                <w:b/>
                <w:color w:val="FFFFFF"/>
              </w:rPr>
            </w:pPr>
            <w:r w:rsidRPr="002048A7">
              <w:rPr>
                <w:rFonts w:cstheme="minorHAnsi"/>
                <w:b/>
                <w:color w:val="FFFFFF"/>
              </w:rPr>
              <w:t>Personel Sayısı</w:t>
            </w:r>
          </w:p>
        </w:tc>
      </w:tr>
      <w:tr w:rsidR="003F614D" w:rsidRPr="002048A7" w14:paraId="7E872377" w14:textId="77777777" w:rsidTr="00CE1360">
        <w:trPr>
          <w:cantSplit/>
          <w:trHeight w:val="241"/>
          <w:jc w:val="center"/>
        </w:trPr>
        <w:tc>
          <w:tcPr>
            <w:tcW w:w="1238" w:type="pct"/>
            <w:tcBorders>
              <w:top w:val="single" w:sz="4" w:space="0" w:color="BFBFBF"/>
              <w:left w:val="single" w:sz="4" w:space="0" w:color="BFBFBF"/>
              <w:bottom w:val="single" w:sz="4" w:space="0" w:color="BFBFBF"/>
              <w:right w:val="single" w:sz="4" w:space="0" w:color="BFBFBF"/>
            </w:tcBorders>
          </w:tcPr>
          <w:p w14:paraId="2356FE1F" w14:textId="77777777" w:rsidR="003F614D" w:rsidRPr="002048A7" w:rsidRDefault="003F614D" w:rsidP="003F614D">
            <w:pPr>
              <w:autoSpaceDE w:val="0"/>
              <w:autoSpaceDN w:val="0"/>
              <w:adjustRightInd w:val="0"/>
              <w:jc w:val="center"/>
              <w:rPr>
                <w:rFonts w:cstheme="minorHAnsi"/>
                <w:b/>
              </w:rPr>
            </w:pPr>
            <w:r w:rsidRPr="002048A7">
              <w:rPr>
                <w:rFonts w:cstheme="minorHAnsi"/>
                <w:b/>
              </w:rPr>
              <w:t>2004</w:t>
            </w:r>
          </w:p>
        </w:tc>
        <w:tc>
          <w:tcPr>
            <w:tcW w:w="1256" w:type="pct"/>
            <w:tcBorders>
              <w:top w:val="single" w:sz="4" w:space="0" w:color="BFBFBF"/>
              <w:left w:val="single" w:sz="4" w:space="0" w:color="BFBFBF"/>
              <w:bottom w:val="single" w:sz="4" w:space="0" w:color="BFBFBF"/>
              <w:right w:val="single" w:sz="4" w:space="0" w:color="BFBFBF"/>
            </w:tcBorders>
          </w:tcPr>
          <w:p w14:paraId="5B5FBE95" w14:textId="77777777" w:rsidR="003F614D" w:rsidRPr="002048A7" w:rsidRDefault="003F614D" w:rsidP="003F614D">
            <w:pPr>
              <w:jc w:val="center"/>
              <w:rPr>
                <w:rFonts w:cstheme="minorHAnsi"/>
                <w:i/>
              </w:rPr>
            </w:pPr>
            <w:r w:rsidRPr="002048A7">
              <w:rPr>
                <w:rFonts w:cstheme="minorHAnsi"/>
                <w:i/>
              </w:rPr>
              <w:t>259</w:t>
            </w:r>
          </w:p>
        </w:tc>
        <w:tc>
          <w:tcPr>
            <w:tcW w:w="1256" w:type="pct"/>
            <w:tcBorders>
              <w:top w:val="single" w:sz="4" w:space="0" w:color="BFBFBF"/>
              <w:left w:val="single" w:sz="4" w:space="0" w:color="BFBFBF"/>
              <w:bottom w:val="single" w:sz="4" w:space="0" w:color="BFBFBF"/>
              <w:right w:val="single" w:sz="4" w:space="0" w:color="BFBFBF"/>
            </w:tcBorders>
          </w:tcPr>
          <w:p w14:paraId="031F335F" w14:textId="77777777" w:rsidR="003F614D" w:rsidRPr="002048A7" w:rsidRDefault="003F614D" w:rsidP="003F614D">
            <w:pPr>
              <w:jc w:val="center"/>
              <w:rPr>
                <w:rFonts w:cstheme="minorHAnsi"/>
                <w:b/>
              </w:rPr>
            </w:pPr>
            <w:r w:rsidRPr="002048A7">
              <w:rPr>
                <w:rFonts w:cstheme="minorHAnsi"/>
                <w:b/>
              </w:rPr>
              <w:t>2015</w:t>
            </w:r>
          </w:p>
        </w:tc>
        <w:tc>
          <w:tcPr>
            <w:tcW w:w="1249" w:type="pct"/>
            <w:tcBorders>
              <w:top w:val="single" w:sz="4" w:space="0" w:color="BFBFBF"/>
              <w:left w:val="single" w:sz="4" w:space="0" w:color="BFBFBF"/>
              <w:bottom w:val="single" w:sz="4" w:space="0" w:color="BFBFBF"/>
              <w:right w:val="single" w:sz="4" w:space="0" w:color="BFBFBF"/>
            </w:tcBorders>
          </w:tcPr>
          <w:p w14:paraId="5F0283CC" w14:textId="77777777" w:rsidR="003F614D" w:rsidRPr="002048A7" w:rsidRDefault="003F614D" w:rsidP="003F614D">
            <w:pPr>
              <w:jc w:val="center"/>
              <w:rPr>
                <w:rFonts w:cstheme="minorHAnsi"/>
                <w:i/>
              </w:rPr>
            </w:pPr>
            <w:r w:rsidRPr="002048A7">
              <w:rPr>
                <w:rFonts w:cstheme="minorHAnsi"/>
                <w:i/>
              </w:rPr>
              <w:t>494</w:t>
            </w:r>
          </w:p>
        </w:tc>
      </w:tr>
      <w:tr w:rsidR="003F614D" w:rsidRPr="002048A7" w14:paraId="0E3A27ED" w14:textId="77777777" w:rsidTr="00CE1360">
        <w:trPr>
          <w:cantSplit/>
          <w:trHeight w:val="14"/>
          <w:jc w:val="center"/>
        </w:trPr>
        <w:tc>
          <w:tcPr>
            <w:tcW w:w="1238" w:type="pct"/>
            <w:tcBorders>
              <w:top w:val="single" w:sz="4" w:space="0" w:color="BFBFBF"/>
              <w:left w:val="single" w:sz="4" w:space="0" w:color="BFBFBF"/>
              <w:bottom w:val="single" w:sz="4" w:space="0" w:color="BFBFBF"/>
              <w:right w:val="single" w:sz="4" w:space="0" w:color="BFBFBF"/>
            </w:tcBorders>
          </w:tcPr>
          <w:p w14:paraId="216894D4" w14:textId="77777777" w:rsidR="003F614D" w:rsidRPr="002048A7" w:rsidRDefault="003F614D" w:rsidP="003F614D">
            <w:pPr>
              <w:jc w:val="center"/>
              <w:rPr>
                <w:rFonts w:cstheme="minorHAnsi"/>
                <w:b/>
              </w:rPr>
            </w:pPr>
            <w:r w:rsidRPr="002048A7">
              <w:rPr>
                <w:rFonts w:cstheme="minorHAnsi"/>
                <w:b/>
              </w:rPr>
              <w:t>2005</w:t>
            </w:r>
          </w:p>
        </w:tc>
        <w:tc>
          <w:tcPr>
            <w:tcW w:w="1256" w:type="pct"/>
            <w:tcBorders>
              <w:top w:val="single" w:sz="4" w:space="0" w:color="BFBFBF"/>
              <w:left w:val="single" w:sz="4" w:space="0" w:color="BFBFBF"/>
              <w:bottom w:val="single" w:sz="4" w:space="0" w:color="BFBFBF"/>
              <w:right w:val="single" w:sz="4" w:space="0" w:color="BFBFBF"/>
            </w:tcBorders>
          </w:tcPr>
          <w:p w14:paraId="44224196" w14:textId="77777777" w:rsidR="003F614D" w:rsidRPr="002048A7" w:rsidRDefault="003F614D" w:rsidP="003F614D">
            <w:pPr>
              <w:jc w:val="center"/>
              <w:rPr>
                <w:rFonts w:cstheme="minorHAnsi"/>
                <w:i/>
              </w:rPr>
            </w:pPr>
            <w:r w:rsidRPr="002048A7">
              <w:rPr>
                <w:rFonts w:cstheme="minorHAnsi"/>
                <w:i/>
              </w:rPr>
              <w:t>296</w:t>
            </w:r>
          </w:p>
        </w:tc>
        <w:tc>
          <w:tcPr>
            <w:tcW w:w="1256" w:type="pct"/>
            <w:tcBorders>
              <w:top w:val="single" w:sz="4" w:space="0" w:color="BFBFBF"/>
              <w:left w:val="single" w:sz="4" w:space="0" w:color="BFBFBF"/>
              <w:bottom w:val="single" w:sz="4" w:space="0" w:color="BFBFBF"/>
              <w:right w:val="single" w:sz="4" w:space="0" w:color="BFBFBF"/>
            </w:tcBorders>
          </w:tcPr>
          <w:p w14:paraId="713AF6A6" w14:textId="77777777" w:rsidR="003F614D" w:rsidRPr="002048A7" w:rsidRDefault="003F614D" w:rsidP="003F614D">
            <w:pPr>
              <w:jc w:val="center"/>
              <w:rPr>
                <w:rFonts w:cstheme="minorHAnsi"/>
                <w:b/>
              </w:rPr>
            </w:pPr>
            <w:r w:rsidRPr="002048A7">
              <w:rPr>
                <w:rFonts w:cstheme="minorHAnsi"/>
                <w:b/>
              </w:rPr>
              <w:t>2016</w:t>
            </w:r>
          </w:p>
        </w:tc>
        <w:tc>
          <w:tcPr>
            <w:tcW w:w="1249" w:type="pct"/>
            <w:tcBorders>
              <w:top w:val="single" w:sz="4" w:space="0" w:color="BFBFBF"/>
              <w:left w:val="single" w:sz="4" w:space="0" w:color="BFBFBF"/>
              <w:bottom w:val="single" w:sz="4" w:space="0" w:color="BFBFBF"/>
              <w:right w:val="single" w:sz="4" w:space="0" w:color="BFBFBF"/>
            </w:tcBorders>
          </w:tcPr>
          <w:p w14:paraId="7E15325D" w14:textId="77777777" w:rsidR="003F614D" w:rsidRPr="002048A7" w:rsidRDefault="003F614D" w:rsidP="003F614D">
            <w:pPr>
              <w:jc w:val="center"/>
              <w:rPr>
                <w:rFonts w:cstheme="minorHAnsi"/>
                <w:i/>
              </w:rPr>
            </w:pPr>
            <w:r w:rsidRPr="002048A7">
              <w:rPr>
                <w:rFonts w:cstheme="minorHAnsi"/>
                <w:i/>
              </w:rPr>
              <w:t>482</w:t>
            </w:r>
          </w:p>
        </w:tc>
      </w:tr>
      <w:tr w:rsidR="003F614D" w:rsidRPr="002048A7" w14:paraId="3C1F4432" w14:textId="77777777" w:rsidTr="00CE1360">
        <w:trPr>
          <w:cantSplit/>
          <w:trHeight w:val="14"/>
          <w:jc w:val="center"/>
        </w:trPr>
        <w:tc>
          <w:tcPr>
            <w:tcW w:w="1238" w:type="pct"/>
            <w:tcBorders>
              <w:top w:val="single" w:sz="4" w:space="0" w:color="BFBFBF"/>
              <w:left w:val="single" w:sz="4" w:space="0" w:color="BFBFBF"/>
              <w:bottom w:val="single" w:sz="4" w:space="0" w:color="BFBFBF"/>
              <w:right w:val="single" w:sz="4" w:space="0" w:color="BFBFBF"/>
            </w:tcBorders>
          </w:tcPr>
          <w:p w14:paraId="681A789A" w14:textId="77777777" w:rsidR="003F614D" w:rsidRPr="002048A7" w:rsidRDefault="003F614D" w:rsidP="003F614D">
            <w:pPr>
              <w:jc w:val="center"/>
              <w:rPr>
                <w:rFonts w:cstheme="minorHAnsi"/>
                <w:b/>
              </w:rPr>
            </w:pPr>
            <w:r w:rsidRPr="002048A7">
              <w:rPr>
                <w:rFonts w:cstheme="minorHAnsi"/>
                <w:b/>
              </w:rPr>
              <w:t>2006</w:t>
            </w:r>
          </w:p>
        </w:tc>
        <w:tc>
          <w:tcPr>
            <w:tcW w:w="1256" w:type="pct"/>
            <w:tcBorders>
              <w:top w:val="single" w:sz="4" w:space="0" w:color="BFBFBF"/>
              <w:left w:val="single" w:sz="4" w:space="0" w:color="BFBFBF"/>
              <w:bottom w:val="single" w:sz="4" w:space="0" w:color="BFBFBF"/>
              <w:right w:val="single" w:sz="4" w:space="0" w:color="BFBFBF"/>
            </w:tcBorders>
          </w:tcPr>
          <w:p w14:paraId="5A918D0D" w14:textId="77777777" w:rsidR="003F614D" w:rsidRPr="002048A7" w:rsidRDefault="003F614D" w:rsidP="003F614D">
            <w:pPr>
              <w:jc w:val="center"/>
              <w:rPr>
                <w:rFonts w:cstheme="minorHAnsi"/>
                <w:i/>
              </w:rPr>
            </w:pPr>
            <w:r w:rsidRPr="002048A7">
              <w:rPr>
                <w:rFonts w:cstheme="minorHAnsi"/>
                <w:i/>
              </w:rPr>
              <w:t>303</w:t>
            </w:r>
          </w:p>
        </w:tc>
        <w:tc>
          <w:tcPr>
            <w:tcW w:w="1256" w:type="pct"/>
            <w:tcBorders>
              <w:top w:val="single" w:sz="4" w:space="0" w:color="BFBFBF"/>
              <w:left w:val="single" w:sz="4" w:space="0" w:color="BFBFBF"/>
              <w:bottom w:val="single" w:sz="4" w:space="0" w:color="BFBFBF"/>
              <w:right w:val="single" w:sz="4" w:space="0" w:color="BFBFBF"/>
            </w:tcBorders>
          </w:tcPr>
          <w:p w14:paraId="1CDD1526" w14:textId="77777777" w:rsidR="003F614D" w:rsidRPr="002048A7" w:rsidRDefault="003F614D" w:rsidP="003F614D">
            <w:pPr>
              <w:jc w:val="center"/>
              <w:rPr>
                <w:rFonts w:cstheme="minorHAnsi"/>
                <w:b/>
              </w:rPr>
            </w:pPr>
            <w:r w:rsidRPr="002048A7">
              <w:rPr>
                <w:rFonts w:cstheme="minorHAnsi"/>
                <w:b/>
              </w:rPr>
              <w:t>2017</w:t>
            </w:r>
          </w:p>
        </w:tc>
        <w:tc>
          <w:tcPr>
            <w:tcW w:w="1249" w:type="pct"/>
            <w:tcBorders>
              <w:top w:val="single" w:sz="4" w:space="0" w:color="BFBFBF"/>
              <w:left w:val="single" w:sz="4" w:space="0" w:color="BFBFBF"/>
              <w:bottom w:val="single" w:sz="4" w:space="0" w:color="BFBFBF"/>
              <w:right w:val="single" w:sz="4" w:space="0" w:color="BFBFBF"/>
            </w:tcBorders>
          </w:tcPr>
          <w:p w14:paraId="68811C15" w14:textId="77777777" w:rsidR="003F614D" w:rsidRPr="002048A7" w:rsidRDefault="003F614D" w:rsidP="003F614D">
            <w:pPr>
              <w:jc w:val="center"/>
              <w:rPr>
                <w:rFonts w:cstheme="minorHAnsi"/>
                <w:i/>
              </w:rPr>
            </w:pPr>
            <w:r w:rsidRPr="002048A7">
              <w:rPr>
                <w:rFonts w:cstheme="minorHAnsi"/>
                <w:i/>
              </w:rPr>
              <w:t>474</w:t>
            </w:r>
          </w:p>
        </w:tc>
      </w:tr>
      <w:tr w:rsidR="003F614D" w:rsidRPr="002048A7" w14:paraId="418B51F7" w14:textId="77777777" w:rsidTr="00CE1360">
        <w:trPr>
          <w:cantSplit/>
          <w:trHeight w:val="14"/>
          <w:jc w:val="center"/>
        </w:trPr>
        <w:tc>
          <w:tcPr>
            <w:tcW w:w="1238" w:type="pct"/>
            <w:tcBorders>
              <w:top w:val="single" w:sz="4" w:space="0" w:color="BFBFBF"/>
              <w:left w:val="single" w:sz="4" w:space="0" w:color="BFBFBF"/>
              <w:bottom w:val="single" w:sz="4" w:space="0" w:color="BFBFBF"/>
              <w:right w:val="single" w:sz="4" w:space="0" w:color="BFBFBF"/>
            </w:tcBorders>
          </w:tcPr>
          <w:p w14:paraId="16880197" w14:textId="77777777" w:rsidR="003F614D" w:rsidRPr="002048A7" w:rsidRDefault="003F614D" w:rsidP="003F614D">
            <w:pPr>
              <w:tabs>
                <w:tab w:val="left" w:pos="964"/>
              </w:tabs>
              <w:jc w:val="center"/>
              <w:rPr>
                <w:rFonts w:cstheme="minorHAnsi"/>
                <w:b/>
              </w:rPr>
            </w:pPr>
            <w:r w:rsidRPr="002048A7">
              <w:rPr>
                <w:rFonts w:cstheme="minorHAnsi"/>
                <w:b/>
              </w:rPr>
              <w:t>2007</w:t>
            </w:r>
          </w:p>
        </w:tc>
        <w:tc>
          <w:tcPr>
            <w:tcW w:w="1256" w:type="pct"/>
            <w:tcBorders>
              <w:top w:val="single" w:sz="4" w:space="0" w:color="BFBFBF"/>
              <w:left w:val="single" w:sz="4" w:space="0" w:color="BFBFBF"/>
              <w:bottom w:val="single" w:sz="4" w:space="0" w:color="BFBFBF"/>
              <w:right w:val="single" w:sz="4" w:space="0" w:color="BFBFBF"/>
            </w:tcBorders>
          </w:tcPr>
          <w:p w14:paraId="7AB1C602" w14:textId="77777777" w:rsidR="003F614D" w:rsidRPr="002048A7" w:rsidRDefault="003F614D" w:rsidP="003F614D">
            <w:pPr>
              <w:jc w:val="center"/>
              <w:rPr>
                <w:rFonts w:cstheme="minorHAnsi"/>
                <w:i/>
              </w:rPr>
            </w:pPr>
            <w:r w:rsidRPr="002048A7">
              <w:rPr>
                <w:rFonts w:cstheme="minorHAnsi"/>
                <w:i/>
              </w:rPr>
              <w:t>313</w:t>
            </w:r>
          </w:p>
        </w:tc>
        <w:tc>
          <w:tcPr>
            <w:tcW w:w="1256" w:type="pct"/>
            <w:tcBorders>
              <w:top w:val="single" w:sz="4" w:space="0" w:color="BFBFBF"/>
              <w:left w:val="single" w:sz="4" w:space="0" w:color="BFBFBF"/>
              <w:bottom w:val="single" w:sz="4" w:space="0" w:color="BFBFBF"/>
              <w:right w:val="single" w:sz="4" w:space="0" w:color="BFBFBF"/>
            </w:tcBorders>
          </w:tcPr>
          <w:p w14:paraId="110637DC" w14:textId="77777777" w:rsidR="003F614D" w:rsidRPr="002048A7" w:rsidRDefault="003F614D" w:rsidP="003F614D">
            <w:pPr>
              <w:jc w:val="center"/>
              <w:rPr>
                <w:rFonts w:cstheme="minorHAnsi"/>
                <w:b/>
              </w:rPr>
            </w:pPr>
            <w:r w:rsidRPr="002048A7">
              <w:rPr>
                <w:rFonts w:cstheme="minorHAnsi"/>
                <w:b/>
              </w:rPr>
              <w:t>2018</w:t>
            </w:r>
          </w:p>
        </w:tc>
        <w:tc>
          <w:tcPr>
            <w:tcW w:w="1249" w:type="pct"/>
            <w:tcBorders>
              <w:top w:val="single" w:sz="4" w:space="0" w:color="BFBFBF"/>
              <w:left w:val="single" w:sz="4" w:space="0" w:color="BFBFBF"/>
              <w:bottom w:val="single" w:sz="4" w:space="0" w:color="BFBFBF"/>
              <w:right w:val="single" w:sz="4" w:space="0" w:color="BFBFBF"/>
            </w:tcBorders>
          </w:tcPr>
          <w:p w14:paraId="3699B396" w14:textId="77777777" w:rsidR="003F614D" w:rsidRPr="002048A7" w:rsidRDefault="003F614D" w:rsidP="003F614D">
            <w:pPr>
              <w:jc w:val="center"/>
              <w:rPr>
                <w:rFonts w:cstheme="minorHAnsi"/>
                <w:i/>
              </w:rPr>
            </w:pPr>
            <w:r w:rsidRPr="002048A7">
              <w:rPr>
                <w:rFonts w:cstheme="minorHAnsi"/>
                <w:i/>
              </w:rPr>
              <w:t>501</w:t>
            </w:r>
          </w:p>
        </w:tc>
      </w:tr>
      <w:tr w:rsidR="003F614D" w:rsidRPr="002048A7" w14:paraId="31494364" w14:textId="77777777" w:rsidTr="00CE1360">
        <w:trPr>
          <w:cantSplit/>
          <w:trHeight w:val="14"/>
          <w:jc w:val="center"/>
        </w:trPr>
        <w:tc>
          <w:tcPr>
            <w:tcW w:w="1238" w:type="pct"/>
            <w:tcBorders>
              <w:top w:val="single" w:sz="4" w:space="0" w:color="BFBFBF"/>
              <w:left w:val="single" w:sz="4" w:space="0" w:color="BFBFBF"/>
              <w:bottom w:val="single" w:sz="4" w:space="0" w:color="BFBFBF"/>
              <w:right w:val="single" w:sz="4" w:space="0" w:color="BFBFBF"/>
            </w:tcBorders>
          </w:tcPr>
          <w:p w14:paraId="18D44DB8" w14:textId="77777777" w:rsidR="003F614D" w:rsidRPr="002048A7" w:rsidRDefault="003F614D" w:rsidP="003F614D">
            <w:pPr>
              <w:tabs>
                <w:tab w:val="left" w:pos="1240"/>
              </w:tabs>
              <w:jc w:val="center"/>
              <w:rPr>
                <w:rFonts w:cstheme="minorHAnsi"/>
                <w:b/>
              </w:rPr>
            </w:pPr>
            <w:r w:rsidRPr="002048A7">
              <w:rPr>
                <w:rFonts w:cstheme="minorHAnsi"/>
                <w:b/>
              </w:rPr>
              <w:t>2008</w:t>
            </w:r>
          </w:p>
        </w:tc>
        <w:tc>
          <w:tcPr>
            <w:tcW w:w="1256" w:type="pct"/>
            <w:tcBorders>
              <w:top w:val="single" w:sz="4" w:space="0" w:color="BFBFBF"/>
              <w:left w:val="single" w:sz="4" w:space="0" w:color="BFBFBF"/>
              <w:bottom w:val="single" w:sz="4" w:space="0" w:color="BFBFBF"/>
              <w:right w:val="single" w:sz="4" w:space="0" w:color="BFBFBF"/>
            </w:tcBorders>
          </w:tcPr>
          <w:p w14:paraId="23B64F48" w14:textId="77777777" w:rsidR="003F614D" w:rsidRPr="002048A7" w:rsidRDefault="003F614D" w:rsidP="003F614D">
            <w:pPr>
              <w:jc w:val="center"/>
              <w:rPr>
                <w:rFonts w:cstheme="minorHAnsi"/>
                <w:i/>
              </w:rPr>
            </w:pPr>
            <w:r w:rsidRPr="002048A7">
              <w:rPr>
                <w:rFonts w:cstheme="minorHAnsi"/>
                <w:i/>
              </w:rPr>
              <w:t>370</w:t>
            </w:r>
          </w:p>
        </w:tc>
        <w:tc>
          <w:tcPr>
            <w:tcW w:w="1256" w:type="pct"/>
            <w:tcBorders>
              <w:top w:val="single" w:sz="4" w:space="0" w:color="BFBFBF"/>
              <w:left w:val="single" w:sz="4" w:space="0" w:color="BFBFBF"/>
              <w:bottom w:val="single" w:sz="4" w:space="0" w:color="BFBFBF"/>
              <w:right w:val="single" w:sz="4" w:space="0" w:color="BFBFBF"/>
            </w:tcBorders>
          </w:tcPr>
          <w:p w14:paraId="240C42EB" w14:textId="77777777" w:rsidR="003F614D" w:rsidRPr="002048A7" w:rsidRDefault="003F614D" w:rsidP="003F614D">
            <w:pPr>
              <w:jc w:val="center"/>
              <w:rPr>
                <w:rFonts w:cstheme="minorHAnsi"/>
                <w:b/>
              </w:rPr>
            </w:pPr>
            <w:r w:rsidRPr="002048A7">
              <w:rPr>
                <w:rFonts w:cstheme="minorHAnsi"/>
                <w:b/>
              </w:rPr>
              <w:t>2019</w:t>
            </w:r>
          </w:p>
        </w:tc>
        <w:tc>
          <w:tcPr>
            <w:tcW w:w="1249" w:type="pct"/>
            <w:tcBorders>
              <w:top w:val="single" w:sz="4" w:space="0" w:color="BFBFBF"/>
              <w:left w:val="single" w:sz="4" w:space="0" w:color="BFBFBF"/>
              <w:bottom w:val="single" w:sz="4" w:space="0" w:color="BFBFBF"/>
              <w:right w:val="single" w:sz="4" w:space="0" w:color="BFBFBF"/>
            </w:tcBorders>
          </w:tcPr>
          <w:p w14:paraId="056FE8F9" w14:textId="77777777" w:rsidR="003F614D" w:rsidRPr="002048A7" w:rsidRDefault="003F614D" w:rsidP="003F614D">
            <w:pPr>
              <w:jc w:val="center"/>
              <w:rPr>
                <w:rFonts w:cstheme="minorHAnsi"/>
                <w:i/>
              </w:rPr>
            </w:pPr>
            <w:r w:rsidRPr="002048A7">
              <w:rPr>
                <w:rFonts w:cstheme="minorHAnsi"/>
                <w:i/>
              </w:rPr>
              <w:t>509</w:t>
            </w:r>
          </w:p>
        </w:tc>
      </w:tr>
      <w:tr w:rsidR="003F614D" w:rsidRPr="002048A7" w14:paraId="5FE2F9EE" w14:textId="77777777" w:rsidTr="00CE1360">
        <w:trPr>
          <w:cantSplit/>
          <w:trHeight w:val="14"/>
          <w:jc w:val="center"/>
        </w:trPr>
        <w:tc>
          <w:tcPr>
            <w:tcW w:w="1238" w:type="pct"/>
            <w:tcBorders>
              <w:top w:val="single" w:sz="4" w:space="0" w:color="BFBFBF"/>
              <w:left w:val="single" w:sz="4" w:space="0" w:color="BFBFBF"/>
              <w:bottom w:val="single" w:sz="4" w:space="0" w:color="BFBFBF"/>
              <w:right w:val="single" w:sz="4" w:space="0" w:color="BFBFBF"/>
            </w:tcBorders>
          </w:tcPr>
          <w:p w14:paraId="62AB303D" w14:textId="77777777" w:rsidR="003F614D" w:rsidRPr="002048A7" w:rsidRDefault="003F614D" w:rsidP="003F614D">
            <w:pPr>
              <w:tabs>
                <w:tab w:val="left" w:pos="2304"/>
              </w:tabs>
              <w:jc w:val="center"/>
              <w:rPr>
                <w:rFonts w:cstheme="minorHAnsi"/>
                <w:b/>
              </w:rPr>
            </w:pPr>
            <w:r w:rsidRPr="002048A7">
              <w:rPr>
                <w:rFonts w:cstheme="minorHAnsi"/>
                <w:b/>
              </w:rPr>
              <w:t>2009</w:t>
            </w:r>
          </w:p>
        </w:tc>
        <w:tc>
          <w:tcPr>
            <w:tcW w:w="1256" w:type="pct"/>
            <w:tcBorders>
              <w:top w:val="single" w:sz="4" w:space="0" w:color="BFBFBF"/>
              <w:left w:val="single" w:sz="4" w:space="0" w:color="BFBFBF"/>
              <w:bottom w:val="single" w:sz="4" w:space="0" w:color="BFBFBF"/>
              <w:right w:val="single" w:sz="4" w:space="0" w:color="BFBFBF"/>
            </w:tcBorders>
          </w:tcPr>
          <w:p w14:paraId="5C6676FD" w14:textId="77777777" w:rsidR="003F614D" w:rsidRPr="002048A7" w:rsidRDefault="003F614D" w:rsidP="003F614D">
            <w:pPr>
              <w:jc w:val="center"/>
              <w:rPr>
                <w:rFonts w:cstheme="minorHAnsi"/>
                <w:i/>
              </w:rPr>
            </w:pPr>
            <w:r w:rsidRPr="002048A7">
              <w:rPr>
                <w:rFonts w:cstheme="minorHAnsi"/>
                <w:i/>
              </w:rPr>
              <w:t>404</w:t>
            </w:r>
          </w:p>
        </w:tc>
        <w:tc>
          <w:tcPr>
            <w:tcW w:w="1256" w:type="pct"/>
            <w:tcBorders>
              <w:top w:val="single" w:sz="4" w:space="0" w:color="BFBFBF"/>
              <w:left w:val="single" w:sz="4" w:space="0" w:color="BFBFBF"/>
              <w:bottom w:val="single" w:sz="4" w:space="0" w:color="BFBFBF"/>
              <w:right w:val="single" w:sz="4" w:space="0" w:color="BFBFBF"/>
            </w:tcBorders>
          </w:tcPr>
          <w:p w14:paraId="61EFB827" w14:textId="77777777" w:rsidR="003F614D" w:rsidRPr="002048A7" w:rsidRDefault="003F614D" w:rsidP="003F614D">
            <w:pPr>
              <w:jc w:val="center"/>
              <w:rPr>
                <w:rFonts w:cstheme="minorHAnsi"/>
                <w:b/>
              </w:rPr>
            </w:pPr>
            <w:r w:rsidRPr="002048A7">
              <w:rPr>
                <w:rFonts w:cstheme="minorHAnsi"/>
                <w:b/>
              </w:rPr>
              <w:t>2020</w:t>
            </w:r>
          </w:p>
        </w:tc>
        <w:tc>
          <w:tcPr>
            <w:tcW w:w="1249" w:type="pct"/>
            <w:tcBorders>
              <w:top w:val="single" w:sz="4" w:space="0" w:color="BFBFBF"/>
              <w:left w:val="single" w:sz="4" w:space="0" w:color="BFBFBF"/>
              <w:bottom w:val="single" w:sz="4" w:space="0" w:color="BFBFBF"/>
              <w:right w:val="single" w:sz="4" w:space="0" w:color="BFBFBF"/>
            </w:tcBorders>
          </w:tcPr>
          <w:p w14:paraId="44788DC1" w14:textId="77777777" w:rsidR="003F614D" w:rsidRPr="002048A7" w:rsidRDefault="003F614D" w:rsidP="003F614D">
            <w:pPr>
              <w:jc w:val="center"/>
              <w:rPr>
                <w:rFonts w:cstheme="minorHAnsi"/>
                <w:i/>
              </w:rPr>
            </w:pPr>
            <w:r w:rsidRPr="002048A7">
              <w:rPr>
                <w:rFonts w:cstheme="minorHAnsi"/>
                <w:i/>
              </w:rPr>
              <w:t>506</w:t>
            </w:r>
          </w:p>
        </w:tc>
      </w:tr>
      <w:tr w:rsidR="003F614D" w:rsidRPr="002048A7" w14:paraId="20D1AA2A" w14:textId="77777777" w:rsidTr="00CE1360">
        <w:trPr>
          <w:cantSplit/>
          <w:trHeight w:val="14"/>
          <w:jc w:val="center"/>
        </w:trPr>
        <w:tc>
          <w:tcPr>
            <w:tcW w:w="1238" w:type="pct"/>
            <w:tcBorders>
              <w:top w:val="single" w:sz="4" w:space="0" w:color="BFBFBF"/>
              <w:left w:val="single" w:sz="4" w:space="0" w:color="BFBFBF"/>
              <w:bottom w:val="single" w:sz="4" w:space="0" w:color="BFBFBF"/>
              <w:right w:val="single" w:sz="4" w:space="0" w:color="BFBFBF"/>
            </w:tcBorders>
          </w:tcPr>
          <w:p w14:paraId="219B10FB" w14:textId="77777777" w:rsidR="003F614D" w:rsidRPr="002048A7" w:rsidRDefault="003F614D" w:rsidP="003F614D">
            <w:pPr>
              <w:tabs>
                <w:tab w:val="left" w:pos="1590"/>
              </w:tabs>
              <w:jc w:val="center"/>
              <w:rPr>
                <w:rFonts w:cstheme="minorHAnsi"/>
                <w:b/>
              </w:rPr>
            </w:pPr>
            <w:r w:rsidRPr="002048A7">
              <w:rPr>
                <w:rFonts w:cstheme="minorHAnsi"/>
                <w:b/>
              </w:rPr>
              <w:t>2010</w:t>
            </w:r>
          </w:p>
        </w:tc>
        <w:tc>
          <w:tcPr>
            <w:tcW w:w="1256" w:type="pct"/>
            <w:tcBorders>
              <w:top w:val="single" w:sz="4" w:space="0" w:color="BFBFBF"/>
              <w:left w:val="single" w:sz="4" w:space="0" w:color="BFBFBF"/>
              <w:bottom w:val="single" w:sz="4" w:space="0" w:color="BFBFBF"/>
              <w:right w:val="single" w:sz="4" w:space="0" w:color="BFBFBF"/>
            </w:tcBorders>
          </w:tcPr>
          <w:p w14:paraId="54E727C7" w14:textId="77777777" w:rsidR="003F614D" w:rsidRPr="002048A7" w:rsidRDefault="003F614D" w:rsidP="003F614D">
            <w:pPr>
              <w:jc w:val="center"/>
              <w:rPr>
                <w:rFonts w:cstheme="minorHAnsi"/>
                <w:i/>
              </w:rPr>
            </w:pPr>
            <w:r w:rsidRPr="002048A7">
              <w:rPr>
                <w:rFonts w:cstheme="minorHAnsi"/>
                <w:i/>
              </w:rPr>
              <w:t>430</w:t>
            </w:r>
          </w:p>
        </w:tc>
        <w:tc>
          <w:tcPr>
            <w:tcW w:w="1256" w:type="pct"/>
            <w:tcBorders>
              <w:top w:val="single" w:sz="4" w:space="0" w:color="BFBFBF"/>
              <w:left w:val="single" w:sz="4" w:space="0" w:color="BFBFBF"/>
              <w:bottom w:val="single" w:sz="4" w:space="0" w:color="BFBFBF"/>
              <w:right w:val="single" w:sz="4" w:space="0" w:color="BFBFBF"/>
            </w:tcBorders>
          </w:tcPr>
          <w:p w14:paraId="42EDD8C8" w14:textId="77777777" w:rsidR="003F614D" w:rsidRPr="002048A7" w:rsidRDefault="003F614D" w:rsidP="003F614D">
            <w:pPr>
              <w:jc w:val="center"/>
              <w:rPr>
                <w:rFonts w:cstheme="minorHAnsi"/>
                <w:b/>
              </w:rPr>
            </w:pPr>
            <w:r w:rsidRPr="002048A7">
              <w:rPr>
                <w:rFonts w:cstheme="minorHAnsi"/>
                <w:b/>
              </w:rPr>
              <w:t>2021</w:t>
            </w:r>
          </w:p>
        </w:tc>
        <w:tc>
          <w:tcPr>
            <w:tcW w:w="1249" w:type="pct"/>
            <w:tcBorders>
              <w:top w:val="single" w:sz="4" w:space="0" w:color="BFBFBF"/>
              <w:left w:val="single" w:sz="4" w:space="0" w:color="BFBFBF"/>
              <w:bottom w:val="single" w:sz="4" w:space="0" w:color="BFBFBF"/>
              <w:right w:val="single" w:sz="4" w:space="0" w:color="BFBFBF"/>
            </w:tcBorders>
          </w:tcPr>
          <w:p w14:paraId="39A2422E" w14:textId="77777777" w:rsidR="003F614D" w:rsidRPr="002048A7" w:rsidRDefault="003F614D" w:rsidP="003F614D">
            <w:pPr>
              <w:jc w:val="center"/>
              <w:rPr>
                <w:rFonts w:cstheme="minorHAnsi"/>
                <w:i/>
              </w:rPr>
            </w:pPr>
            <w:r w:rsidRPr="002048A7">
              <w:rPr>
                <w:rFonts w:cstheme="minorHAnsi"/>
                <w:i/>
              </w:rPr>
              <w:t>521</w:t>
            </w:r>
          </w:p>
        </w:tc>
      </w:tr>
      <w:tr w:rsidR="003F614D" w:rsidRPr="002048A7" w14:paraId="332F2D81" w14:textId="77777777" w:rsidTr="00CE1360">
        <w:trPr>
          <w:cantSplit/>
          <w:trHeight w:val="14"/>
          <w:jc w:val="center"/>
        </w:trPr>
        <w:tc>
          <w:tcPr>
            <w:tcW w:w="1238" w:type="pct"/>
            <w:tcBorders>
              <w:top w:val="single" w:sz="4" w:space="0" w:color="BFBFBF"/>
              <w:left w:val="single" w:sz="4" w:space="0" w:color="BFBFBF"/>
              <w:bottom w:val="single" w:sz="4" w:space="0" w:color="BFBFBF"/>
              <w:right w:val="single" w:sz="4" w:space="0" w:color="BFBFBF"/>
            </w:tcBorders>
          </w:tcPr>
          <w:p w14:paraId="2679E3BA" w14:textId="77777777" w:rsidR="003F614D" w:rsidRPr="002048A7" w:rsidRDefault="003F614D" w:rsidP="003F614D">
            <w:pPr>
              <w:autoSpaceDE w:val="0"/>
              <w:autoSpaceDN w:val="0"/>
              <w:adjustRightInd w:val="0"/>
              <w:jc w:val="center"/>
              <w:rPr>
                <w:rFonts w:cstheme="minorHAnsi"/>
                <w:b/>
              </w:rPr>
            </w:pPr>
            <w:r w:rsidRPr="002048A7">
              <w:rPr>
                <w:rFonts w:cstheme="minorHAnsi"/>
                <w:b/>
              </w:rPr>
              <w:t>2011</w:t>
            </w:r>
          </w:p>
        </w:tc>
        <w:tc>
          <w:tcPr>
            <w:tcW w:w="1256" w:type="pct"/>
            <w:tcBorders>
              <w:top w:val="single" w:sz="4" w:space="0" w:color="BFBFBF"/>
              <w:left w:val="single" w:sz="4" w:space="0" w:color="BFBFBF"/>
              <w:bottom w:val="single" w:sz="4" w:space="0" w:color="BFBFBF"/>
              <w:right w:val="single" w:sz="4" w:space="0" w:color="BFBFBF"/>
            </w:tcBorders>
          </w:tcPr>
          <w:p w14:paraId="2D222193" w14:textId="77777777" w:rsidR="003F614D" w:rsidRPr="002048A7" w:rsidRDefault="003F614D" w:rsidP="003F614D">
            <w:pPr>
              <w:jc w:val="center"/>
              <w:rPr>
                <w:rFonts w:cstheme="minorHAnsi"/>
                <w:i/>
              </w:rPr>
            </w:pPr>
            <w:r w:rsidRPr="002048A7">
              <w:rPr>
                <w:rFonts w:cstheme="minorHAnsi"/>
                <w:i/>
              </w:rPr>
              <w:t>467</w:t>
            </w:r>
          </w:p>
        </w:tc>
        <w:tc>
          <w:tcPr>
            <w:tcW w:w="1256" w:type="pct"/>
            <w:tcBorders>
              <w:top w:val="single" w:sz="4" w:space="0" w:color="BFBFBF"/>
              <w:left w:val="single" w:sz="4" w:space="0" w:color="BFBFBF"/>
              <w:bottom w:val="single" w:sz="4" w:space="0" w:color="BFBFBF"/>
              <w:right w:val="single" w:sz="4" w:space="0" w:color="BFBFBF"/>
            </w:tcBorders>
          </w:tcPr>
          <w:p w14:paraId="116ED76D" w14:textId="77777777" w:rsidR="003F614D" w:rsidRPr="002048A7" w:rsidRDefault="003F614D" w:rsidP="003F614D">
            <w:pPr>
              <w:jc w:val="center"/>
              <w:rPr>
                <w:rFonts w:cstheme="minorHAnsi"/>
                <w:b/>
              </w:rPr>
            </w:pPr>
            <w:r w:rsidRPr="002048A7">
              <w:rPr>
                <w:rFonts w:cstheme="minorHAnsi"/>
                <w:b/>
              </w:rPr>
              <w:t>2022</w:t>
            </w:r>
          </w:p>
        </w:tc>
        <w:tc>
          <w:tcPr>
            <w:tcW w:w="1249" w:type="pct"/>
            <w:tcBorders>
              <w:top w:val="single" w:sz="4" w:space="0" w:color="BFBFBF"/>
              <w:left w:val="single" w:sz="4" w:space="0" w:color="BFBFBF"/>
              <w:bottom w:val="single" w:sz="4" w:space="0" w:color="BFBFBF"/>
              <w:right w:val="single" w:sz="4" w:space="0" w:color="BFBFBF"/>
            </w:tcBorders>
          </w:tcPr>
          <w:p w14:paraId="644B2DF6" w14:textId="77777777" w:rsidR="003F614D" w:rsidRPr="002048A7" w:rsidRDefault="003F614D" w:rsidP="003F614D">
            <w:pPr>
              <w:jc w:val="center"/>
              <w:rPr>
                <w:rFonts w:cstheme="minorHAnsi"/>
                <w:i/>
              </w:rPr>
            </w:pPr>
            <w:r w:rsidRPr="002048A7">
              <w:rPr>
                <w:rFonts w:cstheme="minorHAnsi"/>
                <w:i/>
              </w:rPr>
              <w:t>545</w:t>
            </w:r>
          </w:p>
        </w:tc>
      </w:tr>
      <w:tr w:rsidR="003F614D" w:rsidRPr="002048A7" w14:paraId="5D0B12A3" w14:textId="77777777" w:rsidTr="00CE1360">
        <w:trPr>
          <w:cantSplit/>
          <w:trHeight w:val="14"/>
          <w:jc w:val="center"/>
        </w:trPr>
        <w:tc>
          <w:tcPr>
            <w:tcW w:w="1238" w:type="pct"/>
            <w:tcBorders>
              <w:top w:val="single" w:sz="4" w:space="0" w:color="BFBFBF"/>
              <w:left w:val="single" w:sz="4" w:space="0" w:color="BFBFBF"/>
              <w:bottom w:val="single" w:sz="4" w:space="0" w:color="BFBFBF"/>
              <w:right w:val="single" w:sz="4" w:space="0" w:color="BFBFBF"/>
            </w:tcBorders>
          </w:tcPr>
          <w:p w14:paraId="33F1805C" w14:textId="77777777" w:rsidR="003F614D" w:rsidRPr="002048A7" w:rsidRDefault="003F614D" w:rsidP="003F614D">
            <w:pPr>
              <w:jc w:val="center"/>
              <w:rPr>
                <w:rFonts w:cstheme="minorHAnsi"/>
                <w:b/>
              </w:rPr>
            </w:pPr>
            <w:r w:rsidRPr="002048A7">
              <w:rPr>
                <w:rFonts w:cstheme="minorHAnsi"/>
                <w:b/>
              </w:rPr>
              <w:t>2012</w:t>
            </w:r>
          </w:p>
        </w:tc>
        <w:tc>
          <w:tcPr>
            <w:tcW w:w="1256" w:type="pct"/>
            <w:tcBorders>
              <w:top w:val="single" w:sz="4" w:space="0" w:color="BFBFBF"/>
              <w:left w:val="single" w:sz="4" w:space="0" w:color="BFBFBF"/>
              <w:bottom w:val="single" w:sz="4" w:space="0" w:color="BFBFBF"/>
              <w:right w:val="single" w:sz="4" w:space="0" w:color="BFBFBF"/>
            </w:tcBorders>
          </w:tcPr>
          <w:p w14:paraId="52D622BC" w14:textId="77777777" w:rsidR="003F614D" w:rsidRPr="002048A7" w:rsidRDefault="003F614D" w:rsidP="003F614D">
            <w:pPr>
              <w:jc w:val="center"/>
              <w:rPr>
                <w:rFonts w:cstheme="minorHAnsi"/>
                <w:i/>
              </w:rPr>
            </w:pPr>
            <w:r w:rsidRPr="002048A7">
              <w:rPr>
                <w:rFonts w:cstheme="minorHAnsi"/>
                <w:i/>
              </w:rPr>
              <w:t>453</w:t>
            </w:r>
          </w:p>
        </w:tc>
        <w:tc>
          <w:tcPr>
            <w:tcW w:w="1256" w:type="pct"/>
            <w:tcBorders>
              <w:top w:val="single" w:sz="4" w:space="0" w:color="BFBFBF"/>
              <w:left w:val="single" w:sz="4" w:space="0" w:color="BFBFBF"/>
              <w:bottom w:val="single" w:sz="4" w:space="0" w:color="BFBFBF"/>
              <w:right w:val="single" w:sz="4" w:space="0" w:color="BFBFBF"/>
            </w:tcBorders>
          </w:tcPr>
          <w:p w14:paraId="7BFF73EA" w14:textId="77777777" w:rsidR="003F614D" w:rsidRPr="002048A7" w:rsidRDefault="003F614D" w:rsidP="003F614D">
            <w:pPr>
              <w:jc w:val="center"/>
              <w:rPr>
                <w:rFonts w:cstheme="minorHAnsi"/>
                <w:b/>
              </w:rPr>
            </w:pPr>
            <w:r w:rsidRPr="002048A7">
              <w:rPr>
                <w:rFonts w:cstheme="minorHAnsi"/>
                <w:b/>
              </w:rPr>
              <w:t>2023</w:t>
            </w:r>
          </w:p>
        </w:tc>
        <w:tc>
          <w:tcPr>
            <w:tcW w:w="1249" w:type="pct"/>
            <w:tcBorders>
              <w:top w:val="single" w:sz="4" w:space="0" w:color="BFBFBF"/>
              <w:left w:val="single" w:sz="4" w:space="0" w:color="BFBFBF"/>
              <w:bottom w:val="single" w:sz="4" w:space="0" w:color="BFBFBF"/>
              <w:right w:val="single" w:sz="4" w:space="0" w:color="BFBFBF"/>
            </w:tcBorders>
          </w:tcPr>
          <w:p w14:paraId="120ECE3F" w14:textId="77777777" w:rsidR="003F614D" w:rsidRPr="002048A7" w:rsidRDefault="003F614D" w:rsidP="003F614D">
            <w:pPr>
              <w:jc w:val="center"/>
              <w:rPr>
                <w:rFonts w:cstheme="minorHAnsi"/>
                <w:i/>
              </w:rPr>
            </w:pPr>
            <w:r w:rsidRPr="002048A7">
              <w:rPr>
                <w:rFonts w:cstheme="minorHAnsi"/>
                <w:i/>
              </w:rPr>
              <w:t>572</w:t>
            </w:r>
          </w:p>
        </w:tc>
      </w:tr>
      <w:tr w:rsidR="003F614D" w:rsidRPr="002048A7" w14:paraId="7A04B6C9" w14:textId="77777777" w:rsidTr="00CE1360">
        <w:trPr>
          <w:cantSplit/>
          <w:trHeight w:val="14"/>
          <w:jc w:val="center"/>
        </w:trPr>
        <w:tc>
          <w:tcPr>
            <w:tcW w:w="1238" w:type="pct"/>
            <w:tcBorders>
              <w:top w:val="single" w:sz="4" w:space="0" w:color="BFBFBF"/>
              <w:left w:val="single" w:sz="4" w:space="0" w:color="BFBFBF"/>
              <w:bottom w:val="single" w:sz="4" w:space="0" w:color="BFBFBF"/>
              <w:right w:val="single" w:sz="4" w:space="0" w:color="BFBFBF"/>
            </w:tcBorders>
          </w:tcPr>
          <w:p w14:paraId="0CD6E98F" w14:textId="77777777" w:rsidR="003F614D" w:rsidRPr="002048A7" w:rsidRDefault="003F614D" w:rsidP="003F614D">
            <w:pPr>
              <w:jc w:val="center"/>
              <w:rPr>
                <w:rFonts w:cstheme="minorHAnsi"/>
                <w:b/>
              </w:rPr>
            </w:pPr>
            <w:r w:rsidRPr="002048A7">
              <w:rPr>
                <w:rFonts w:cstheme="minorHAnsi"/>
                <w:b/>
              </w:rPr>
              <w:t>2013</w:t>
            </w:r>
          </w:p>
        </w:tc>
        <w:tc>
          <w:tcPr>
            <w:tcW w:w="1256" w:type="pct"/>
            <w:tcBorders>
              <w:top w:val="single" w:sz="4" w:space="0" w:color="BFBFBF"/>
              <w:left w:val="single" w:sz="4" w:space="0" w:color="BFBFBF"/>
              <w:bottom w:val="single" w:sz="4" w:space="0" w:color="BFBFBF"/>
              <w:right w:val="single" w:sz="4" w:space="0" w:color="BFBFBF"/>
            </w:tcBorders>
          </w:tcPr>
          <w:p w14:paraId="2BCACD78" w14:textId="77777777" w:rsidR="003F614D" w:rsidRPr="002048A7" w:rsidRDefault="003F614D" w:rsidP="003F614D">
            <w:pPr>
              <w:jc w:val="center"/>
              <w:rPr>
                <w:rFonts w:cstheme="minorHAnsi"/>
                <w:i/>
              </w:rPr>
            </w:pPr>
            <w:r w:rsidRPr="002048A7">
              <w:rPr>
                <w:rFonts w:cstheme="minorHAnsi"/>
                <w:i/>
              </w:rPr>
              <w:t>436</w:t>
            </w:r>
          </w:p>
        </w:tc>
        <w:tc>
          <w:tcPr>
            <w:tcW w:w="1256" w:type="pct"/>
            <w:tcBorders>
              <w:top w:val="single" w:sz="4" w:space="0" w:color="BFBFBF"/>
              <w:left w:val="single" w:sz="4" w:space="0" w:color="BFBFBF"/>
              <w:bottom w:val="single" w:sz="4" w:space="0" w:color="BFBFBF"/>
              <w:right w:val="single" w:sz="4" w:space="0" w:color="BFBFBF"/>
            </w:tcBorders>
          </w:tcPr>
          <w:p w14:paraId="1E39491E" w14:textId="77777777" w:rsidR="003F614D" w:rsidRPr="002048A7" w:rsidRDefault="0003197C" w:rsidP="003F614D">
            <w:pPr>
              <w:jc w:val="center"/>
              <w:rPr>
                <w:rFonts w:cstheme="minorHAnsi"/>
                <w:b/>
              </w:rPr>
            </w:pPr>
            <w:r>
              <w:rPr>
                <w:rFonts w:cstheme="minorHAnsi"/>
                <w:b/>
              </w:rPr>
              <w:t>2024</w:t>
            </w:r>
          </w:p>
        </w:tc>
        <w:tc>
          <w:tcPr>
            <w:tcW w:w="1249" w:type="pct"/>
            <w:tcBorders>
              <w:top w:val="single" w:sz="4" w:space="0" w:color="BFBFBF"/>
              <w:left w:val="single" w:sz="4" w:space="0" w:color="BFBFBF"/>
              <w:bottom w:val="single" w:sz="4" w:space="0" w:color="BFBFBF"/>
              <w:right w:val="single" w:sz="4" w:space="0" w:color="BFBFBF"/>
            </w:tcBorders>
          </w:tcPr>
          <w:p w14:paraId="16B6B32E" w14:textId="77777777" w:rsidR="003F614D" w:rsidRPr="002048A7" w:rsidRDefault="0003197C" w:rsidP="003F614D">
            <w:pPr>
              <w:jc w:val="center"/>
              <w:rPr>
                <w:rFonts w:cstheme="minorHAnsi"/>
                <w:i/>
              </w:rPr>
            </w:pPr>
            <w:r>
              <w:rPr>
                <w:rFonts w:cstheme="minorHAnsi"/>
                <w:i/>
              </w:rPr>
              <w:t>590</w:t>
            </w:r>
          </w:p>
        </w:tc>
      </w:tr>
      <w:tr w:rsidR="003F614D" w:rsidRPr="002048A7" w14:paraId="344B382D" w14:textId="77777777" w:rsidTr="00CE1360">
        <w:trPr>
          <w:cantSplit/>
          <w:trHeight w:val="14"/>
          <w:jc w:val="center"/>
        </w:trPr>
        <w:tc>
          <w:tcPr>
            <w:tcW w:w="1238" w:type="pct"/>
            <w:tcBorders>
              <w:top w:val="single" w:sz="4" w:space="0" w:color="BFBFBF"/>
              <w:left w:val="single" w:sz="4" w:space="0" w:color="BFBFBF"/>
              <w:bottom w:val="single" w:sz="4" w:space="0" w:color="BFBFBF"/>
              <w:right w:val="single" w:sz="4" w:space="0" w:color="BFBFBF"/>
            </w:tcBorders>
          </w:tcPr>
          <w:p w14:paraId="21E53D60" w14:textId="77777777" w:rsidR="003F614D" w:rsidRPr="002048A7" w:rsidRDefault="003F614D" w:rsidP="003F614D">
            <w:pPr>
              <w:jc w:val="center"/>
              <w:rPr>
                <w:rFonts w:cstheme="minorHAnsi"/>
                <w:b/>
              </w:rPr>
            </w:pPr>
            <w:r w:rsidRPr="002048A7">
              <w:rPr>
                <w:rFonts w:cstheme="minorHAnsi"/>
                <w:b/>
              </w:rPr>
              <w:t>2014</w:t>
            </w:r>
          </w:p>
        </w:tc>
        <w:tc>
          <w:tcPr>
            <w:tcW w:w="1256" w:type="pct"/>
            <w:tcBorders>
              <w:top w:val="single" w:sz="4" w:space="0" w:color="BFBFBF"/>
              <w:left w:val="single" w:sz="4" w:space="0" w:color="BFBFBF"/>
              <w:bottom w:val="single" w:sz="4" w:space="0" w:color="BFBFBF"/>
              <w:right w:val="single" w:sz="4" w:space="0" w:color="BFBFBF"/>
            </w:tcBorders>
          </w:tcPr>
          <w:p w14:paraId="72704531" w14:textId="77777777" w:rsidR="003F614D" w:rsidRPr="002048A7" w:rsidRDefault="003F614D" w:rsidP="003F614D">
            <w:pPr>
              <w:jc w:val="center"/>
              <w:rPr>
                <w:rFonts w:cstheme="minorHAnsi"/>
                <w:i/>
              </w:rPr>
            </w:pPr>
            <w:r w:rsidRPr="002048A7">
              <w:rPr>
                <w:rFonts w:cstheme="minorHAnsi"/>
                <w:i/>
              </w:rPr>
              <w:t>461</w:t>
            </w:r>
          </w:p>
        </w:tc>
        <w:tc>
          <w:tcPr>
            <w:tcW w:w="1256" w:type="pct"/>
            <w:tcBorders>
              <w:top w:val="single" w:sz="4" w:space="0" w:color="BFBFBF"/>
              <w:left w:val="single" w:sz="4" w:space="0" w:color="BFBFBF"/>
              <w:bottom w:val="single" w:sz="4" w:space="0" w:color="BFBFBF"/>
              <w:right w:val="single" w:sz="4" w:space="0" w:color="BFBFBF"/>
            </w:tcBorders>
          </w:tcPr>
          <w:p w14:paraId="581B6747" w14:textId="77777777" w:rsidR="003F614D" w:rsidRPr="002048A7" w:rsidRDefault="003F614D" w:rsidP="003F614D">
            <w:pPr>
              <w:jc w:val="center"/>
              <w:rPr>
                <w:rFonts w:cstheme="minorHAnsi"/>
                <w:b/>
              </w:rPr>
            </w:pPr>
          </w:p>
        </w:tc>
        <w:tc>
          <w:tcPr>
            <w:tcW w:w="1249" w:type="pct"/>
            <w:tcBorders>
              <w:top w:val="single" w:sz="4" w:space="0" w:color="BFBFBF"/>
              <w:left w:val="single" w:sz="4" w:space="0" w:color="BFBFBF"/>
              <w:bottom w:val="single" w:sz="4" w:space="0" w:color="BFBFBF"/>
              <w:right w:val="single" w:sz="4" w:space="0" w:color="BFBFBF"/>
            </w:tcBorders>
          </w:tcPr>
          <w:p w14:paraId="2E560003" w14:textId="77777777" w:rsidR="003F614D" w:rsidRPr="002048A7" w:rsidRDefault="003F614D" w:rsidP="003F614D">
            <w:pPr>
              <w:jc w:val="center"/>
              <w:rPr>
                <w:rFonts w:cstheme="minorHAnsi"/>
                <w:i/>
              </w:rPr>
            </w:pPr>
          </w:p>
        </w:tc>
      </w:tr>
    </w:tbl>
    <w:bookmarkEnd w:id="446"/>
    <w:p w14:paraId="44B6DBF5" w14:textId="77777777" w:rsidR="00771960" w:rsidRPr="002048A7" w:rsidRDefault="00771960" w:rsidP="00771960">
      <w:pPr>
        <w:jc w:val="center"/>
        <w:rPr>
          <w:rFonts w:cstheme="minorHAnsi"/>
        </w:rPr>
      </w:pPr>
      <w:r w:rsidRPr="002048A7">
        <w:rPr>
          <w:rFonts w:cstheme="minorHAnsi"/>
        </w:rPr>
        <w:t>(</w:t>
      </w:r>
      <w:r w:rsidRPr="002048A7">
        <w:rPr>
          <w:rFonts w:cstheme="minorHAnsi"/>
          <w:i/>
        </w:rPr>
        <w:t>Sürekli işçi kadrosunda yer alan personel hariçtir</w:t>
      </w:r>
      <w:r w:rsidRPr="002048A7">
        <w:rPr>
          <w:rFonts w:cstheme="minorHAnsi"/>
        </w:rPr>
        <w:t>.)</w:t>
      </w:r>
    </w:p>
    <w:p w14:paraId="36211607" w14:textId="26D1721E" w:rsidR="00633B0C" w:rsidRPr="002048A7" w:rsidRDefault="00032431" w:rsidP="0035089D">
      <w:pPr>
        <w:pStyle w:val="Balk5"/>
        <w:spacing w:after="240"/>
        <w:jc w:val="center"/>
        <w:rPr>
          <w:rFonts w:asciiTheme="minorHAnsi" w:hAnsiTheme="minorHAnsi"/>
          <w:b/>
          <w:color w:val="auto"/>
        </w:rPr>
      </w:pPr>
      <w:bookmarkStart w:id="447" w:name="_Toc195868879"/>
      <w:r w:rsidRPr="002048A7">
        <w:rPr>
          <w:rFonts w:asciiTheme="minorHAnsi" w:hAnsiTheme="minorHAnsi"/>
          <w:b/>
          <w:color w:val="auto"/>
        </w:rPr>
        <w:t>Tablo 1</w:t>
      </w:r>
      <w:r w:rsidR="008517CF" w:rsidRPr="002048A7">
        <w:rPr>
          <w:rFonts w:asciiTheme="minorHAnsi" w:hAnsiTheme="minorHAnsi"/>
          <w:b/>
          <w:color w:val="auto"/>
        </w:rPr>
        <w:t>3</w:t>
      </w:r>
      <w:r w:rsidRPr="002048A7">
        <w:rPr>
          <w:rFonts w:asciiTheme="minorHAnsi" w:hAnsiTheme="minorHAnsi"/>
          <w:b/>
          <w:color w:val="auto"/>
        </w:rPr>
        <w:t>.</w:t>
      </w:r>
      <w:r w:rsidR="00992142" w:rsidRPr="002048A7">
        <w:rPr>
          <w:rFonts w:asciiTheme="minorHAnsi" w:hAnsiTheme="minorHAnsi"/>
          <w:b/>
          <w:color w:val="auto"/>
        </w:rPr>
        <w:t>5</w:t>
      </w:r>
      <w:r w:rsidRPr="002048A7">
        <w:rPr>
          <w:rFonts w:asciiTheme="minorHAnsi" w:hAnsiTheme="minorHAnsi"/>
          <w:b/>
          <w:color w:val="auto"/>
        </w:rPr>
        <w:t xml:space="preserve">: </w:t>
      </w:r>
      <w:r w:rsidR="00633B0C" w:rsidRPr="002048A7">
        <w:rPr>
          <w:rFonts w:asciiTheme="minorHAnsi" w:hAnsiTheme="minorHAnsi"/>
          <w:b/>
          <w:color w:val="auto"/>
        </w:rPr>
        <w:t>202</w:t>
      </w:r>
      <w:r w:rsidR="00894A3C">
        <w:rPr>
          <w:rFonts w:asciiTheme="minorHAnsi" w:hAnsiTheme="minorHAnsi"/>
          <w:b/>
          <w:color w:val="auto"/>
        </w:rPr>
        <w:t>4</w:t>
      </w:r>
      <w:r w:rsidR="00633B0C" w:rsidRPr="002048A7">
        <w:rPr>
          <w:rFonts w:asciiTheme="minorHAnsi" w:hAnsiTheme="minorHAnsi"/>
          <w:b/>
          <w:color w:val="auto"/>
        </w:rPr>
        <w:t xml:space="preserve"> Yılında Kurumdan Ayrılan Personele İlişkin Bilgiler (Sürekli İşçi)</w:t>
      </w:r>
      <w:bookmarkEnd w:id="447"/>
    </w:p>
    <w:tbl>
      <w:tblPr>
        <w:tblStyle w:val="TableNormal1"/>
        <w:tblW w:w="9911" w:type="dxa"/>
        <w:tblInd w:w="98" w:type="dxa"/>
        <w:tblLayout w:type="fixed"/>
        <w:tblLook w:val="01E0" w:firstRow="1" w:lastRow="1" w:firstColumn="1" w:lastColumn="1" w:noHBand="0" w:noVBand="0"/>
      </w:tblPr>
      <w:tblGrid>
        <w:gridCol w:w="2802"/>
        <w:gridCol w:w="663"/>
        <w:gridCol w:w="476"/>
        <w:gridCol w:w="476"/>
        <w:gridCol w:w="476"/>
        <w:gridCol w:w="476"/>
        <w:gridCol w:w="480"/>
        <w:gridCol w:w="507"/>
        <w:gridCol w:w="509"/>
        <w:gridCol w:w="507"/>
        <w:gridCol w:w="507"/>
        <w:gridCol w:w="507"/>
        <w:gridCol w:w="507"/>
        <w:gridCol w:w="507"/>
        <w:gridCol w:w="511"/>
      </w:tblGrid>
      <w:tr w:rsidR="001C2BBC" w:rsidRPr="002048A7" w14:paraId="1B64B640" w14:textId="77777777" w:rsidTr="00FC2252">
        <w:trPr>
          <w:trHeight w:hRule="exact" w:val="362"/>
        </w:trPr>
        <w:tc>
          <w:tcPr>
            <w:tcW w:w="2802" w:type="dxa"/>
            <w:vMerge w:val="restart"/>
            <w:tcBorders>
              <w:top w:val="single" w:sz="4" w:space="0" w:color="D9D9D9"/>
              <w:left w:val="single" w:sz="4" w:space="0" w:color="D9D9D9"/>
              <w:right w:val="single" w:sz="4" w:space="0" w:color="D9D9D9"/>
            </w:tcBorders>
            <w:shd w:val="clear" w:color="auto" w:fill="6E9ECA"/>
          </w:tcPr>
          <w:p w14:paraId="2E56E415" w14:textId="77777777" w:rsidR="001C2BBC" w:rsidRPr="002048A7" w:rsidRDefault="001C2BBC" w:rsidP="001C2BBC">
            <w:pPr>
              <w:jc w:val="left"/>
              <w:rPr>
                <w:rFonts w:ascii="Calibri" w:hAnsi="Calibri" w:cs="Calibri"/>
                <w:b/>
                <w:bCs/>
              </w:rPr>
            </w:pPr>
          </w:p>
          <w:p w14:paraId="5678D5CA" w14:textId="77777777" w:rsidR="001C2BBC" w:rsidRPr="002048A7" w:rsidRDefault="001C2BBC" w:rsidP="001C2BBC">
            <w:pPr>
              <w:jc w:val="left"/>
              <w:rPr>
                <w:rFonts w:ascii="Calibri" w:hAnsi="Calibri" w:cs="Calibri"/>
                <w:b/>
                <w:bCs/>
              </w:rPr>
            </w:pPr>
          </w:p>
          <w:p w14:paraId="74AE9041" w14:textId="77777777" w:rsidR="001C2BBC" w:rsidRPr="002048A7" w:rsidRDefault="001C2BBC" w:rsidP="001C2BBC">
            <w:pPr>
              <w:spacing w:before="3"/>
              <w:jc w:val="left"/>
              <w:rPr>
                <w:rFonts w:ascii="Calibri" w:hAnsi="Calibri" w:cs="Calibri"/>
                <w:b/>
                <w:bCs/>
                <w:sz w:val="30"/>
                <w:szCs w:val="30"/>
              </w:rPr>
            </w:pPr>
          </w:p>
          <w:p w14:paraId="67E100B3" w14:textId="77777777" w:rsidR="001C2BBC" w:rsidRPr="002048A7" w:rsidRDefault="001C2BBC" w:rsidP="001C2BBC">
            <w:pPr>
              <w:ind w:left="485"/>
              <w:jc w:val="left"/>
              <w:rPr>
                <w:rFonts w:ascii="Calibri" w:hAnsi="Calibri" w:cs="Calibri"/>
              </w:rPr>
            </w:pPr>
            <w:r w:rsidRPr="002048A7">
              <w:rPr>
                <w:rFonts w:ascii="Calibri" w:hAnsi="Calibri"/>
                <w:b/>
                <w:color w:val="FFFFFF"/>
              </w:rPr>
              <w:t>KADRO</w:t>
            </w:r>
            <w:r w:rsidRPr="002048A7">
              <w:rPr>
                <w:rFonts w:ascii="Calibri" w:hAnsi="Calibri"/>
                <w:b/>
                <w:color w:val="FFFFFF"/>
                <w:spacing w:val="-13"/>
              </w:rPr>
              <w:t xml:space="preserve"> </w:t>
            </w:r>
            <w:r w:rsidRPr="002048A7">
              <w:rPr>
                <w:rFonts w:ascii="Calibri" w:hAnsi="Calibri"/>
                <w:b/>
                <w:color w:val="FFFFFF"/>
                <w:spacing w:val="-1"/>
              </w:rPr>
              <w:t>UNVANLARI</w:t>
            </w:r>
          </w:p>
        </w:tc>
        <w:tc>
          <w:tcPr>
            <w:tcW w:w="663" w:type="dxa"/>
            <w:vMerge w:val="restart"/>
            <w:tcBorders>
              <w:top w:val="single" w:sz="4" w:space="0" w:color="D9D9D9"/>
              <w:left w:val="single" w:sz="4" w:space="0" w:color="D9D9D9"/>
              <w:right w:val="single" w:sz="4" w:space="0" w:color="D9D9D9"/>
            </w:tcBorders>
            <w:shd w:val="clear" w:color="auto" w:fill="6E9ECA"/>
          </w:tcPr>
          <w:p w14:paraId="3DE4D33B" w14:textId="77777777" w:rsidR="001C2BBC" w:rsidRPr="002048A7" w:rsidRDefault="001C2BBC" w:rsidP="001C2BBC">
            <w:pPr>
              <w:jc w:val="left"/>
              <w:rPr>
                <w:rFonts w:ascii="Calibri" w:hAnsi="Calibri" w:cs="Calibri"/>
                <w:b/>
                <w:bCs/>
              </w:rPr>
            </w:pPr>
          </w:p>
          <w:p w14:paraId="0E88501C" w14:textId="77777777" w:rsidR="001C2BBC" w:rsidRPr="002048A7" w:rsidRDefault="001C2BBC" w:rsidP="001C2BBC">
            <w:pPr>
              <w:jc w:val="left"/>
              <w:rPr>
                <w:rFonts w:ascii="Calibri" w:hAnsi="Calibri" w:cs="Calibri"/>
                <w:b/>
                <w:bCs/>
              </w:rPr>
            </w:pPr>
          </w:p>
          <w:p w14:paraId="1E75F533" w14:textId="77777777" w:rsidR="001C2BBC" w:rsidRPr="002048A7" w:rsidRDefault="001C2BBC" w:rsidP="001C2BBC">
            <w:pPr>
              <w:spacing w:before="3"/>
              <w:jc w:val="left"/>
              <w:rPr>
                <w:rFonts w:ascii="Calibri" w:hAnsi="Calibri" w:cs="Calibri"/>
                <w:b/>
                <w:bCs/>
                <w:sz w:val="30"/>
                <w:szCs w:val="30"/>
              </w:rPr>
            </w:pPr>
          </w:p>
          <w:p w14:paraId="2E4C73C1" w14:textId="77777777" w:rsidR="001C2BBC" w:rsidRPr="002048A7" w:rsidRDefault="001C2BBC" w:rsidP="001C2BBC">
            <w:pPr>
              <w:ind w:left="121"/>
              <w:jc w:val="left"/>
              <w:rPr>
                <w:rFonts w:ascii="Calibri" w:hAnsi="Calibri" w:cs="Calibri"/>
              </w:rPr>
            </w:pPr>
            <w:r w:rsidRPr="002048A7">
              <w:rPr>
                <w:rFonts w:ascii="Calibri" w:hAnsi="Calibri"/>
                <w:b/>
                <w:color w:val="FFFFFF"/>
                <w:spacing w:val="-1"/>
              </w:rPr>
              <w:t>SAYI</w:t>
            </w:r>
          </w:p>
        </w:tc>
        <w:tc>
          <w:tcPr>
            <w:tcW w:w="2384" w:type="dxa"/>
            <w:gridSpan w:val="5"/>
            <w:tcBorders>
              <w:top w:val="single" w:sz="4" w:space="0" w:color="D9D9D9"/>
              <w:left w:val="single" w:sz="4" w:space="0" w:color="D9D9D9"/>
              <w:bottom w:val="single" w:sz="4" w:space="0" w:color="D9D9D9"/>
              <w:right w:val="single" w:sz="4" w:space="0" w:color="D9D9D9"/>
            </w:tcBorders>
            <w:shd w:val="clear" w:color="auto" w:fill="6E9ECA"/>
          </w:tcPr>
          <w:p w14:paraId="46017EDE" w14:textId="77777777" w:rsidR="001C2BBC" w:rsidRPr="002048A7" w:rsidRDefault="001C2BBC" w:rsidP="001C2BBC">
            <w:pPr>
              <w:spacing w:before="21"/>
              <w:ind w:left="261"/>
              <w:jc w:val="left"/>
              <w:rPr>
                <w:rFonts w:ascii="Calibri" w:hAnsi="Calibri" w:cs="Calibri"/>
              </w:rPr>
            </w:pPr>
            <w:r w:rsidRPr="002048A7">
              <w:rPr>
                <w:rFonts w:ascii="Calibri" w:hAnsi="Calibri"/>
                <w:b/>
                <w:color w:val="FFFFFF"/>
              </w:rPr>
              <w:t>ÖĞRENİM</w:t>
            </w:r>
            <w:r w:rsidRPr="002048A7">
              <w:rPr>
                <w:rFonts w:ascii="Calibri" w:hAnsi="Calibri"/>
                <w:b/>
                <w:color w:val="FFFFFF"/>
                <w:spacing w:val="-9"/>
              </w:rPr>
              <w:t xml:space="preserve"> </w:t>
            </w:r>
            <w:r w:rsidRPr="002048A7">
              <w:rPr>
                <w:rFonts w:ascii="Calibri" w:hAnsi="Calibri"/>
                <w:b/>
                <w:color w:val="FFFFFF"/>
                <w:spacing w:val="-1"/>
              </w:rPr>
              <w:t>DURUMU</w:t>
            </w:r>
          </w:p>
        </w:tc>
        <w:tc>
          <w:tcPr>
            <w:tcW w:w="1016" w:type="dxa"/>
            <w:gridSpan w:val="2"/>
            <w:tcBorders>
              <w:top w:val="single" w:sz="4" w:space="0" w:color="D9D9D9"/>
              <w:left w:val="single" w:sz="4" w:space="0" w:color="D9D9D9"/>
              <w:bottom w:val="single" w:sz="4" w:space="0" w:color="D9D9D9"/>
              <w:right w:val="single" w:sz="4" w:space="0" w:color="D9D9D9"/>
            </w:tcBorders>
            <w:shd w:val="clear" w:color="auto" w:fill="6E9ECA"/>
          </w:tcPr>
          <w:p w14:paraId="426CD6A0" w14:textId="77777777" w:rsidR="001C2BBC" w:rsidRPr="002048A7" w:rsidRDefault="001C2BBC" w:rsidP="001C2BBC">
            <w:pPr>
              <w:spacing w:before="21"/>
              <w:ind w:left="64"/>
              <w:jc w:val="left"/>
              <w:rPr>
                <w:rFonts w:ascii="Calibri" w:hAnsi="Calibri" w:cs="Calibri"/>
              </w:rPr>
            </w:pPr>
            <w:r w:rsidRPr="002048A7">
              <w:rPr>
                <w:rFonts w:ascii="Calibri" w:hAnsi="Calibri"/>
                <w:b/>
                <w:color w:val="FFFFFF"/>
                <w:spacing w:val="-1"/>
              </w:rPr>
              <w:t>CİNSİYETİ</w:t>
            </w:r>
          </w:p>
        </w:tc>
        <w:tc>
          <w:tcPr>
            <w:tcW w:w="3046" w:type="dxa"/>
            <w:gridSpan w:val="6"/>
            <w:tcBorders>
              <w:top w:val="single" w:sz="4" w:space="0" w:color="D9D9D9"/>
              <w:left w:val="single" w:sz="4" w:space="0" w:color="D9D9D9"/>
              <w:bottom w:val="single" w:sz="4" w:space="0" w:color="D9D9D9"/>
              <w:right w:val="single" w:sz="4" w:space="0" w:color="D9D9D9"/>
            </w:tcBorders>
            <w:shd w:val="clear" w:color="auto" w:fill="6E9ECA"/>
          </w:tcPr>
          <w:p w14:paraId="64729901" w14:textId="77777777" w:rsidR="001C2BBC" w:rsidRPr="002048A7" w:rsidRDefault="001C2BBC" w:rsidP="001C2BBC">
            <w:pPr>
              <w:spacing w:before="21"/>
              <w:ind w:left="796"/>
              <w:jc w:val="left"/>
              <w:rPr>
                <w:rFonts w:ascii="Calibri" w:hAnsi="Calibri" w:cs="Calibri"/>
              </w:rPr>
            </w:pPr>
            <w:r w:rsidRPr="002048A7">
              <w:rPr>
                <w:rFonts w:ascii="Calibri" w:hAnsi="Calibri"/>
                <w:b/>
                <w:color w:val="FFFFFF"/>
                <w:spacing w:val="-1"/>
              </w:rPr>
              <w:t>AYRILMA</w:t>
            </w:r>
            <w:r w:rsidRPr="002048A7">
              <w:rPr>
                <w:rFonts w:ascii="Calibri" w:hAnsi="Calibri"/>
                <w:b/>
                <w:color w:val="FFFFFF"/>
                <w:spacing w:val="-9"/>
              </w:rPr>
              <w:t xml:space="preserve"> </w:t>
            </w:r>
            <w:r w:rsidRPr="002048A7">
              <w:rPr>
                <w:rFonts w:ascii="Calibri" w:hAnsi="Calibri"/>
                <w:b/>
                <w:color w:val="FFFFFF"/>
                <w:spacing w:val="-1"/>
              </w:rPr>
              <w:t>NEDENİ</w:t>
            </w:r>
          </w:p>
        </w:tc>
      </w:tr>
      <w:tr w:rsidR="001C2BBC" w:rsidRPr="002048A7" w14:paraId="4F682EFA" w14:textId="77777777" w:rsidTr="00FC2252">
        <w:trPr>
          <w:trHeight w:val="1461"/>
        </w:trPr>
        <w:tc>
          <w:tcPr>
            <w:tcW w:w="2802" w:type="dxa"/>
            <w:vMerge/>
            <w:tcBorders>
              <w:left w:val="single" w:sz="4" w:space="0" w:color="D9D9D9"/>
              <w:bottom w:val="single" w:sz="4" w:space="0" w:color="D9D9D9"/>
              <w:right w:val="single" w:sz="4" w:space="0" w:color="D9D9D9"/>
            </w:tcBorders>
            <w:shd w:val="clear" w:color="auto" w:fill="6E9ECA"/>
          </w:tcPr>
          <w:p w14:paraId="01B06489" w14:textId="77777777" w:rsidR="001C2BBC" w:rsidRPr="002048A7" w:rsidRDefault="001C2BBC" w:rsidP="001C2BBC">
            <w:pPr>
              <w:rPr>
                <w:rFonts w:ascii="Calibri" w:hAnsi="Calibri"/>
              </w:rPr>
            </w:pPr>
          </w:p>
        </w:tc>
        <w:tc>
          <w:tcPr>
            <w:tcW w:w="663" w:type="dxa"/>
            <w:vMerge/>
            <w:tcBorders>
              <w:left w:val="single" w:sz="4" w:space="0" w:color="D9D9D9"/>
              <w:bottom w:val="single" w:sz="4" w:space="0" w:color="D9D9D9"/>
              <w:right w:val="single" w:sz="4" w:space="0" w:color="D9D9D9"/>
            </w:tcBorders>
            <w:shd w:val="clear" w:color="auto" w:fill="6E9ECA"/>
          </w:tcPr>
          <w:p w14:paraId="670D807B" w14:textId="77777777" w:rsidR="001C2BBC" w:rsidRPr="002048A7" w:rsidRDefault="001C2BBC" w:rsidP="001C2BBC">
            <w:pPr>
              <w:rPr>
                <w:rFonts w:ascii="Calibri" w:hAnsi="Calibri"/>
              </w:rPr>
            </w:pPr>
          </w:p>
        </w:tc>
        <w:tc>
          <w:tcPr>
            <w:tcW w:w="476" w:type="dxa"/>
            <w:tcBorders>
              <w:top w:val="single" w:sz="4" w:space="0" w:color="D9D9D9"/>
              <w:left w:val="single" w:sz="4" w:space="0" w:color="D9D9D9"/>
              <w:bottom w:val="single" w:sz="4" w:space="0" w:color="D9D9D9"/>
              <w:right w:val="single" w:sz="4" w:space="0" w:color="D9D9D9"/>
            </w:tcBorders>
            <w:shd w:val="clear" w:color="auto" w:fill="6E9ECA"/>
            <w:textDirection w:val="btLr"/>
          </w:tcPr>
          <w:p w14:paraId="0C06EF0B" w14:textId="77777777" w:rsidR="001C2BBC" w:rsidRPr="002048A7" w:rsidRDefault="001C2BBC" w:rsidP="001C2BBC">
            <w:pPr>
              <w:spacing w:before="78"/>
              <w:ind w:left="28"/>
              <w:jc w:val="left"/>
              <w:rPr>
                <w:rFonts w:ascii="Calibri" w:hAnsi="Calibri" w:cs="Calibri"/>
              </w:rPr>
            </w:pPr>
            <w:r w:rsidRPr="002048A7">
              <w:rPr>
                <w:rFonts w:ascii="Calibri" w:hAnsi="Calibri"/>
                <w:b/>
                <w:color w:val="FFFFFF"/>
                <w:spacing w:val="-1"/>
              </w:rPr>
              <w:t>ORTAÖĞRETİM</w:t>
            </w:r>
          </w:p>
        </w:tc>
        <w:tc>
          <w:tcPr>
            <w:tcW w:w="476" w:type="dxa"/>
            <w:tcBorders>
              <w:top w:val="single" w:sz="4" w:space="0" w:color="D9D9D9"/>
              <w:left w:val="single" w:sz="4" w:space="0" w:color="D9D9D9"/>
              <w:bottom w:val="single" w:sz="4" w:space="0" w:color="D9D9D9"/>
              <w:right w:val="single" w:sz="4" w:space="0" w:color="D9D9D9"/>
            </w:tcBorders>
            <w:shd w:val="clear" w:color="auto" w:fill="6E9ECA"/>
            <w:textDirection w:val="btLr"/>
          </w:tcPr>
          <w:p w14:paraId="010D22E3" w14:textId="77777777" w:rsidR="001C2BBC" w:rsidRPr="002048A7" w:rsidRDefault="001C2BBC" w:rsidP="001C2BBC">
            <w:pPr>
              <w:spacing w:before="65"/>
              <w:ind w:left="160"/>
              <w:jc w:val="left"/>
              <w:rPr>
                <w:rFonts w:ascii="Calibri" w:hAnsi="Calibri" w:cs="Calibri"/>
              </w:rPr>
            </w:pPr>
            <w:r w:rsidRPr="002048A7">
              <w:rPr>
                <w:rFonts w:ascii="Calibri" w:hAnsi="Calibri"/>
                <w:b/>
                <w:color w:val="FFFFFF"/>
              </w:rPr>
              <w:t>2</w:t>
            </w:r>
            <w:r w:rsidRPr="002048A7">
              <w:rPr>
                <w:rFonts w:ascii="Calibri" w:hAnsi="Calibri"/>
                <w:b/>
                <w:color w:val="FFFFFF"/>
                <w:spacing w:val="-6"/>
              </w:rPr>
              <w:t xml:space="preserve"> </w:t>
            </w:r>
            <w:r w:rsidRPr="002048A7">
              <w:rPr>
                <w:rFonts w:ascii="Calibri" w:hAnsi="Calibri"/>
                <w:b/>
                <w:color w:val="FFFFFF"/>
                <w:spacing w:val="-1"/>
              </w:rPr>
              <w:t>YILLIK</w:t>
            </w:r>
            <w:r w:rsidRPr="002048A7">
              <w:rPr>
                <w:rFonts w:ascii="Calibri" w:hAnsi="Calibri"/>
                <w:b/>
                <w:color w:val="FFFFFF"/>
                <w:spacing w:val="-5"/>
              </w:rPr>
              <w:t xml:space="preserve"> </w:t>
            </w:r>
            <w:r w:rsidRPr="002048A7">
              <w:rPr>
                <w:rFonts w:ascii="Calibri" w:hAnsi="Calibri"/>
                <w:b/>
                <w:color w:val="FFFFFF"/>
              </w:rPr>
              <w:t>Y.O.</w:t>
            </w:r>
          </w:p>
        </w:tc>
        <w:tc>
          <w:tcPr>
            <w:tcW w:w="476" w:type="dxa"/>
            <w:tcBorders>
              <w:top w:val="single" w:sz="4" w:space="0" w:color="D9D9D9"/>
              <w:left w:val="single" w:sz="4" w:space="0" w:color="D9D9D9"/>
              <w:bottom w:val="single" w:sz="4" w:space="0" w:color="D9D9D9"/>
              <w:right w:val="single" w:sz="4" w:space="0" w:color="D9D9D9"/>
            </w:tcBorders>
            <w:shd w:val="clear" w:color="auto" w:fill="6E9ECA"/>
            <w:textDirection w:val="btLr"/>
          </w:tcPr>
          <w:p w14:paraId="7000002E" w14:textId="77777777" w:rsidR="001C2BBC" w:rsidRPr="002048A7" w:rsidRDefault="001C2BBC" w:rsidP="001C2BBC">
            <w:pPr>
              <w:spacing w:before="78"/>
              <w:ind w:left="160"/>
              <w:jc w:val="left"/>
              <w:rPr>
                <w:rFonts w:ascii="Calibri" w:hAnsi="Calibri" w:cs="Calibri"/>
              </w:rPr>
            </w:pPr>
            <w:r w:rsidRPr="002048A7">
              <w:rPr>
                <w:rFonts w:ascii="Calibri" w:hAnsi="Calibri"/>
                <w:b/>
                <w:color w:val="FFFFFF"/>
              </w:rPr>
              <w:t>4</w:t>
            </w:r>
            <w:r w:rsidRPr="002048A7">
              <w:rPr>
                <w:rFonts w:ascii="Calibri" w:hAnsi="Calibri"/>
                <w:b/>
                <w:color w:val="FFFFFF"/>
                <w:spacing w:val="-6"/>
              </w:rPr>
              <w:t xml:space="preserve"> </w:t>
            </w:r>
            <w:r w:rsidRPr="002048A7">
              <w:rPr>
                <w:rFonts w:ascii="Calibri" w:hAnsi="Calibri"/>
                <w:b/>
                <w:color w:val="FFFFFF"/>
                <w:spacing w:val="-1"/>
              </w:rPr>
              <w:t>YILLIK</w:t>
            </w:r>
            <w:r w:rsidRPr="002048A7">
              <w:rPr>
                <w:rFonts w:ascii="Calibri" w:hAnsi="Calibri"/>
                <w:b/>
                <w:color w:val="FFFFFF"/>
                <w:spacing w:val="-5"/>
              </w:rPr>
              <w:t xml:space="preserve"> </w:t>
            </w:r>
            <w:r w:rsidRPr="002048A7">
              <w:rPr>
                <w:rFonts w:ascii="Calibri" w:hAnsi="Calibri"/>
                <w:b/>
                <w:color w:val="FFFFFF"/>
              </w:rPr>
              <w:t>Y.O.</w:t>
            </w:r>
          </w:p>
        </w:tc>
        <w:tc>
          <w:tcPr>
            <w:tcW w:w="476" w:type="dxa"/>
            <w:tcBorders>
              <w:top w:val="single" w:sz="4" w:space="0" w:color="D9D9D9"/>
              <w:left w:val="single" w:sz="4" w:space="0" w:color="D9D9D9"/>
              <w:bottom w:val="single" w:sz="4" w:space="0" w:color="D9D9D9"/>
              <w:right w:val="single" w:sz="4" w:space="0" w:color="D9D9D9"/>
            </w:tcBorders>
            <w:shd w:val="clear" w:color="auto" w:fill="6E9ECA"/>
            <w:textDirection w:val="btLr"/>
          </w:tcPr>
          <w:p w14:paraId="4B13DAE0" w14:textId="77777777" w:rsidR="001C2BBC" w:rsidRPr="002048A7" w:rsidRDefault="001C2BBC" w:rsidP="001C2BBC">
            <w:pPr>
              <w:spacing w:before="78"/>
              <w:ind w:left="340"/>
              <w:jc w:val="left"/>
              <w:rPr>
                <w:rFonts w:ascii="Calibri" w:hAnsi="Calibri" w:cs="Calibri"/>
              </w:rPr>
            </w:pPr>
            <w:r w:rsidRPr="002048A7">
              <w:rPr>
                <w:rFonts w:ascii="Calibri" w:hAnsi="Calibri"/>
                <w:b/>
                <w:color w:val="FFFFFF"/>
              </w:rPr>
              <w:t>MASTER</w:t>
            </w:r>
          </w:p>
        </w:tc>
        <w:tc>
          <w:tcPr>
            <w:tcW w:w="480" w:type="dxa"/>
            <w:tcBorders>
              <w:top w:val="single" w:sz="4" w:space="0" w:color="D9D9D9"/>
              <w:left w:val="single" w:sz="4" w:space="0" w:color="D9D9D9"/>
              <w:bottom w:val="single" w:sz="4" w:space="0" w:color="D9D9D9"/>
              <w:right w:val="single" w:sz="4" w:space="0" w:color="D9D9D9"/>
            </w:tcBorders>
            <w:shd w:val="clear" w:color="auto" w:fill="6E9ECA"/>
            <w:textDirection w:val="btLr"/>
          </w:tcPr>
          <w:p w14:paraId="53C0939F" w14:textId="77777777" w:rsidR="001C2BBC" w:rsidRPr="002048A7" w:rsidRDefault="001C2BBC" w:rsidP="001C2BBC">
            <w:pPr>
              <w:spacing w:before="65"/>
              <w:ind w:left="264"/>
              <w:jc w:val="left"/>
              <w:rPr>
                <w:rFonts w:ascii="Calibri" w:hAnsi="Calibri" w:cs="Calibri"/>
              </w:rPr>
            </w:pPr>
            <w:r w:rsidRPr="002048A7">
              <w:rPr>
                <w:rFonts w:ascii="Calibri" w:hAnsi="Calibri"/>
                <w:b/>
                <w:color w:val="FFFFFF"/>
                <w:spacing w:val="-1"/>
              </w:rPr>
              <w:t>DOKTORA</w:t>
            </w:r>
          </w:p>
        </w:tc>
        <w:tc>
          <w:tcPr>
            <w:tcW w:w="507" w:type="dxa"/>
            <w:tcBorders>
              <w:top w:val="single" w:sz="4" w:space="0" w:color="D9D9D9"/>
              <w:left w:val="single" w:sz="4" w:space="0" w:color="D9D9D9"/>
              <w:bottom w:val="single" w:sz="4" w:space="0" w:color="D9D9D9"/>
              <w:right w:val="single" w:sz="4" w:space="0" w:color="D9D9D9"/>
            </w:tcBorders>
            <w:shd w:val="clear" w:color="auto" w:fill="6E9ECA"/>
            <w:textDirection w:val="btLr"/>
          </w:tcPr>
          <w:p w14:paraId="1DEC2935" w14:textId="77777777" w:rsidR="001C2BBC" w:rsidRPr="002048A7" w:rsidRDefault="001C2BBC" w:rsidP="001C2BBC">
            <w:pPr>
              <w:spacing w:before="65"/>
              <w:ind w:left="427"/>
              <w:jc w:val="left"/>
              <w:rPr>
                <w:rFonts w:ascii="Calibri" w:hAnsi="Calibri" w:cs="Calibri"/>
              </w:rPr>
            </w:pPr>
            <w:r w:rsidRPr="002048A7">
              <w:rPr>
                <w:rFonts w:ascii="Calibri" w:hAnsi="Calibri"/>
                <w:b/>
                <w:color w:val="FFFFFF"/>
              </w:rPr>
              <w:t>KADIN</w:t>
            </w:r>
          </w:p>
        </w:tc>
        <w:tc>
          <w:tcPr>
            <w:tcW w:w="509" w:type="dxa"/>
            <w:tcBorders>
              <w:top w:val="single" w:sz="4" w:space="0" w:color="D9D9D9"/>
              <w:left w:val="single" w:sz="4" w:space="0" w:color="D9D9D9"/>
              <w:bottom w:val="single" w:sz="4" w:space="0" w:color="D9D9D9"/>
              <w:right w:val="single" w:sz="4" w:space="0" w:color="D9D9D9"/>
            </w:tcBorders>
            <w:shd w:val="clear" w:color="auto" w:fill="6E9ECA"/>
            <w:textDirection w:val="btLr"/>
          </w:tcPr>
          <w:p w14:paraId="07F5A60E" w14:textId="77777777" w:rsidR="001C2BBC" w:rsidRPr="002048A7" w:rsidRDefault="001C2BBC" w:rsidP="001C2BBC">
            <w:pPr>
              <w:spacing w:before="65"/>
              <w:ind w:left="435"/>
              <w:jc w:val="left"/>
              <w:rPr>
                <w:rFonts w:ascii="Calibri" w:hAnsi="Calibri" w:cs="Calibri"/>
              </w:rPr>
            </w:pPr>
            <w:r w:rsidRPr="002048A7">
              <w:rPr>
                <w:rFonts w:ascii="Calibri" w:hAnsi="Calibri"/>
                <w:b/>
                <w:color w:val="FFFFFF"/>
                <w:spacing w:val="-1"/>
              </w:rPr>
              <w:t>ERKEK</w:t>
            </w:r>
          </w:p>
        </w:tc>
        <w:tc>
          <w:tcPr>
            <w:tcW w:w="507" w:type="dxa"/>
            <w:tcBorders>
              <w:top w:val="single" w:sz="4" w:space="0" w:color="D9D9D9"/>
              <w:left w:val="single" w:sz="4" w:space="0" w:color="D9D9D9"/>
              <w:bottom w:val="single" w:sz="4" w:space="0" w:color="D9D9D9"/>
              <w:right w:val="single" w:sz="4" w:space="0" w:color="D9D9D9"/>
            </w:tcBorders>
            <w:shd w:val="clear" w:color="auto" w:fill="6E9ECA"/>
            <w:textDirection w:val="btLr"/>
          </w:tcPr>
          <w:p w14:paraId="75F02BB8" w14:textId="77777777" w:rsidR="001C2BBC" w:rsidRPr="002048A7" w:rsidRDefault="001C2BBC" w:rsidP="001C2BBC">
            <w:pPr>
              <w:spacing w:before="65"/>
              <w:ind w:left="443"/>
              <w:jc w:val="left"/>
              <w:rPr>
                <w:rFonts w:ascii="Calibri" w:hAnsi="Calibri" w:cs="Calibri"/>
              </w:rPr>
            </w:pPr>
            <w:r w:rsidRPr="002048A7">
              <w:rPr>
                <w:rFonts w:ascii="Calibri" w:hAnsi="Calibri"/>
                <w:b/>
                <w:color w:val="FFFFFF"/>
                <w:spacing w:val="-1"/>
              </w:rPr>
              <w:t>İSTİFA</w:t>
            </w:r>
          </w:p>
        </w:tc>
        <w:tc>
          <w:tcPr>
            <w:tcW w:w="507" w:type="dxa"/>
            <w:tcBorders>
              <w:top w:val="single" w:sz="4" w:space="0" w:color="D9D9D9"/>
              <w:left w:val="single" w:sz="4" w:space="0" w:color="D9D9D9"/>
              <w:bottom w:val="single" w:sz="4" w:space="0" w:color="D9D9D9"/>
              <w:right w:val="single" w:sz="4" w:space="0" w:color="D9D9D9"/>
            </w:tcBorders>
            <w:shd w:val="clear" w:color="auto" w:fill="6E9ECA"/>
            <w:textDirection w:val="btLr"/>
          </w:tcPr>
          <w:p w14:paraId="19CA1A5F" w14:textId="77777777" w:rsidR="001C2BBC" w:rsidRPr="002048A7" w:rsidRDefault="001C2BBC" w:rsidP="001C2BBC">
            <w:pPr>
              <w:spacing w:before="65"/>
              <w:ind w:left="250"/>
              <w:jc w:val="left"/>
              <w:rPr>
                <w:rFonts w:ascii="Calibri" w:hAnsi="Calibri" w:cs="Calibri"/>
              </w:rPr>
            </w:pPr>
            <w:r w:rsidRPr="002048A7">
              <w:rPr>
                <w:rFonts w:ascii="Calibri" w:hAnsi="Calibri"/>
                <w:b/>
                <w:color w:val="FFFFFF"/>
                <w:spacing w:val="-1"/>
              </w:rPr>
              <w:t>EMEKLİLİK</w:t>
            </w:r>
          </w:p>
        </w:tc>
        <w:tc>
          <w:tcPr>
            <w:tcW w:w="507" w:type="dxa"/>
            <w:tcBorders>
              <w:top w:val="single" w:sz="4" w:space="0" w:color="D9D9D9"/>
              <w:left w:val="single" w:sz="4" w:space="0" w:color="D9D9D9"/>
              <w:bottom w:val="single" w:sz="4" w:space="0" w:color="D9D9D9"/>
              <w:right w:val="single" w:sz="4" w:space="0" w:color="D9D9D9"/>
            </w:tcBorders>
            <w:shd w:val="clear" w:color="auto" w:fill="6E9ECA"/>
            <w:textDirection w:val="btLr"/>
          </w:tcPr>
          <w:p w14:paraId="796270F8" w14:textId="77777777" w:rsidR="001C2BBC" w:rsidRPr="002048A7" w:rsidRDefault="001C2BBC" w:rsidP="001C2BBC">
            <w:pPr>
              <w:spacing w:before="94"/>
              <w:ind w:left="450"/>
              <w:jc w:val="left"/>
              <w:rPr>
                <w:rFonts w:ascii="Calibri" w:hAnsi="Calibri" w:cs="Calibri"/>
              </w:rPr>
            </w:pPr>
            <w:r w:rsidRPr="002048A7">
              <w:rPr>
                <w:rFonts w:ascii="Calibri" w:hAnsi="Calibri"/>
                <w:b/>
                <w:color w:val="FFFFFF"/>
                <w:spacing w:val="-1"/>
              </w:rPr>
              <w:t>NAKİL</w:t>
            </w:r>
          </w:p>
        </w:tc>
        <w:tc>
          <w:tcPr>
            <w:tcW w:w="507" w:type="dxa"/>
            <w:tcBorders>
              <w:top w:val="single" w:sz="4" w:space="0" w:color="D9D9D9"/>
              <w:left w:val="single" w:sz="4" w:space="0" w:color="D9D9D9"/>
              <w:bottom w:val="single" w:sz="4" w:space="0" w:color="D9D9D9"/>
              <w:right w:val="single" w:sz="4" w:space="0" w:color="D9D9D9"/>
            </w:tcBorders>
            <w:shd w:val="clear" w:color="auto" w:fill="6E9ECA"/>
            <w:textDirection w:val="btLr"/>
          </w:tcPr>
          <w:p w14:paraId="5094DEB7" w14:textId="77777777" w:rsidR="001C2BBC" w:rsidRPr="002048A7" w:rsidRDefault="001C2BBC" w:rsidP="001C2BBC">
            <w:pPr>
              <w:spacing w:before="65"/>
              <w:ind w:left="439"/>
              <w:jc w:val="left"/>
              <w:rPr>
                <w:rFonts w:ascii="Calibri" w:hAnsi="Calibri" w:cs="Calibri"/>
              </w:rPr>
            </w:pPr>
            <w:r w:rsidRPr="002048A7">
              <w:rPr>
                <w:rFonts w:ascii="Calibri" w:hAnsi="Calibri"/>
                <w:b/>
                <w:color w:val="FFFFFF"/>
                <w:spacing w:val="-1"/>
              </w:rPr>
              <w:t>İHRAÇ</w:t>
            </w:r>
          </w:p>
        </w:tc>
        <w:tc>
          <w:tcPr>
            <w:tcW w:w="507" w:type="dxa"/>
            <w:tcBorders>
              <w:top w:val="single" w:sz="4" w:space="0" w:color="D9D9D9"/>
              <w:left w:val="single" w:sz="4" w:space="0" w:color="D9D9D9"/>
              <w:bottom w:val="single" w:sz="4" w:space="0" w:color="D9D9D9"/>
              <w:right w:val="single" w:sz="4" w:space="0" w:color="D9D9D9"/>
            </w:tcBorders>
            <w:shd w:val="clear" w:color="auto" w:fill="6E9ECA"/>
            <w:textDirection w:val="btLr"/>
          </w:tcPr>
          <w:p w14:paraId="7A30FFCC" w14:textId="77777777" w:rsidR="001C2BBC" w:rsidRPr="002048A7" w:rsidRDefault="001C2BBC" w:rsidP="001C2BBC">
            <w:pPr>
              <w:spacing w:before="65"/>
              <w:ind w:left="304"/>
              <w:jc w:val="left"/>
              <w:rPr>
                <w:rFonts w:ascii="Calibri" w:hAnsi="Calibri" w:cs="Calibri"/>
              </w:rPr>
            </w:pPr>
            <w:r w:rsidRPr="002048A7">
              <w:rPr>
                <w:rFonts w:ascii="Calibri" w:hAnsi="Calibri"/>
                <w:b/>
                <w:color w:val="FFFFFF"/>
              </w:rPr>
              <w:t>MÜSTAFİ</w:t>
            </w:r>
          </w:p>
        </w:tc>
        <w:tc>
          <w:tcPr>
            <w:tcW w:w="511" w:type="dxa"/>
            <w:tcBorders>
              <w:top w:val="single" w:sz="4" w:space="0" w:color="D9D9D9"/>
              <w:left w:val="single" w:sz="4" w:space="0" w:color="D9D9D9"/>
              <w:bottom w:val="single" w:sz="4" w:space="0" w:color="D9D9D9"/>
              <w:right w:val="single" w:sz="4" w:space="0" w:color="D9D9D9"/>
            </w:tcBorders>
            <w:shd w:val="clear" w:color="auto" w:fill="6E9ECA"/>
            <w:textDirection w:val="btLr"/>
          </w:tcPr>
          <w:p w14:paraId="44D235D6" w14:textId="77777777" w:rsidR="001C2BBC" w:rsidRPr="002048A7" w:rsidRDefault="001C2BBC" w:rsidP="001C2BBC">
            <w:pPr>
              <w:spacing w:before="65"/>
              <w:ind w:left="436"/>
              <w:jc w:val="left"/>
              <w:rPr>
                <w:rFonts w:ascii="Calibri" w:hAnsi="Calibri" w:cs="Calibri"/>
              </w:rPr>
            </w:pPr>
            <w:r w:rsidRPr="002048A7">
              <w:rPr>
                <w:rFonts w:ascii="Calibri" w:hAnsi="Calibri"/>
                <w:b/>
                <w:color w:val="FFFFFF"/>
                <w:spacing w:val="-1"/>
              </w:rPr>
              <w:t>ÖLÜM</w:t>
            </w:r>
          </w:p>
        </w:tc>
      </w:tr>
      <w:tr w:rsidR="0003197C" w:rsidRPr="002048A7" w14:paraId="3F0C91C4" w14:textId="77777777" w:rsidTr="006540F6">
        <w:trPr>
          <w:trHeight w:hRule="exact" w:val="407"/>
        </w:trPr>
        <w:tc>
          <w:tcPr>
            <w:tcW w:w="2802" w:type="dxa"/>
            <w:tcBorders>
              <w:top w:val="single" w:sz="4" w:space="0" w:color="D9D9D9"/>
              <w:left w:val="single" w:sz="4" w:space="0" w:color="D9D9D9"/>
              <w:bottom w:val="single" w:sz="4" w:space="0" w:color="D9D9D9"/>
              <w:right w:val="single" w:sz="4" w:space="0" w:color="D9D9D9"/>
            </w:tcBorders>
          </w:tcPr>
          <w:p w14:paraId="6ADF1DA9" w14:textId="77777777" w:rsidR="0003197C" w:rsidRPr="002048A7" w:rsidRDefault="0003197C" w:rsidP="0003197C">
            <w:pPr>
              <w:spacing w:before="88"/>
              <w:ind w:left="65"/>
              <w:rPr>
                <w:rFonts w:cstheme="minorHAnsi"/>
              </w:rPr>
            </w:pPr>
            <w:r w:rsidRPr="002048A7">
              <w:rPr>
                <w:rFonts w:cstheme="minorHAnsi"/>
              </w:rPr>
              <w:t>Güvenlik</w:t>
            </w:r>
            <w:r w:rsidRPr="002048A7">
              <w:rPr>
                <w:rFonts w:cstheme="minorHAnsi"/>
                <w:spacing w:val="-4"/>
              </w:rPr>
              <w:t xml:space="preserve"> </w:t>
            </w:r>
            <w:r w:rsidRPr="002048A7">
              <w:rPr>
                <w:rFonts w:cstheme="minorHAnsi"/>
                <w:spacing w:val="-1"/>
              </w:rPr>
              <w:t>Personeli</w:t>
            </w:r>
          </w:p>
        </w:tc>
        <w:tc>
          <w:tcPr>
            <w:tcW w:w="663" w:type="dxa"/>
            <w:tcBorders>
              <w:top w:val="single" w:sz="4" w:space="0" w:color="D9D9D9"/>
              <w:left w:val="single" w:sz="4" w:space="0" w:color="D9D9D9"/>
              <w:bottom w:val="single" w:sz="4" w:space="0" w:color="D9D9D9"/>
              <w:right w:val="single" w:sz="4" w:space="0" w:color="D9D9D9"/>
            </w:tcBorders>
            <w:vAlign w:val="center"/>
          </w:tcPr>
          <w:p w14:paraId="0C81CB5E" w14:textId="77777777" w:rsidR="0003197C" w:rsidRPr="0003197C" w:rsidRDefault="0003197C" w:rsidP="0003197C">
            <w:pPr>
              <w:widowControl/>
              <w:spacing w:line="276" w:lineRule="auto"/>
              <w:jc w:val="center"/>
              <w:rPr>
                <w:rFonts w:cstheme="minorHAnsi"/>
                <w:color w:val="000000"/>
              </w:rPr>
            </w:pPr>
            <w:r w:rsidRPr="0003197C">
              <w:rPr>
                <w:rFonts w:cstheme="minorHAnsi"/>
                <w:color w:val="000000"/>
              </w:rPr>
              <w:t>1</w:t>
            </w:r>
          </w:p>
        </w:tc>
        <w:tc>
          <w:tcPr>
            <w:tcW w:w="476" w:type="dxa"/>
            <w:tcBorders>
              <w:top w:val="single" w:sz="4" w:space="0" w:color="D9D9D9"/>
              <w:left w:val="single" w:sz="4" w:space="0" w:color="D9D9D9"/>
              <w:bottom w:val="single" w:sz="4" w:space="0" w:color="D9D9D9"/>
              <w:right w:val="single" w:sz="4" w:space="0" w:color="D9D9D9"/>
            </w:tcBorders>
            <w:vAlign w:val="center"/>
          </w:tcPr>
          <w:p w14:paraId="6A638912" w14:textId="77777777" w:rsidR="0003197C" w:rsidRPr="0003197C" w:rsidRDefault="0003197C" w:rsidP="0003197C">
            <w:pPr>
              <w:widowControl/>
              <w:spacing w:line="276" w:lineRule="auto"/>
              <w:jc w:val="center"/>
              <w:rPr>
                <w:rFonts w:cstheme="minorHAnsi"/>
                <w:color w:val="000000"/>
              </w:rPr>
            </w:pPr>
            <w:r w:rsidRPr="0003197C">
              <w:rPr>
                <w:rFonts w:cstheme="minorHAnsi"/>
                <w:color w:val="000000"/>
              </w:rPr>
              <w:t>1</w:t>
            </w:r>
          </w:p>
        </w:tc>
        <w:tc>
          <w:tcPr>
            <w:tcW w:w="476" w:type="dxa"/>
            <w:tcBorders>
              <w:top w:val="single" w:sz="4" w:space="0" w:color="D9D9D9"/>
              <w:left w:val="single" w:sz="4" w:space="0" w:color="D9D9D9"/>
              <w:bottom w:val="single" w:sz="4" w:space="0" w:color="D9D9D9"/>
              <w:right w:val="single" w:sz="4" w:space="0" w:color="D9D9D9"/>
            </w:tcBorders>
            <w:vAlign w:val="center"/>
          </w:tcPr>
          <w:p w14:paraId="078E7306" w14:textId="77777777" w:rsidR="0003197C" w:rsidRPr="0003197C" w:rsidRDefault="0003197C" w:rsidP="0003197C">
            <w:pPr>
              <w:widowControl/>
              <w:spacing w:line="276" w:lineRule="auto"/>
              <w:jc w:val="center"/>
              <w:rPr>
                <w:rFonts w:cstheme="minorHAnsi"/>
                <w:color w:val="000000"/>
              </w:rPr>
            </w:pPr>
          </w:p>
        </w:tc>
        <w:tc>
          <w:tcPr>
            <w:tcW w:w="476" w:type="dxa"/>
            <w:tcBorders>
              <w:top w:val="single" w:sz="4" w:space="0" w:color="D9D9D9"/>
              <w:left w:val="single" w:sz="4" w:space="0" w:color="D9D9D9"/>
              <w:bottom w:val="single" w:sz="4" w:space="0" w:color="D9D9D9"/>
              <w:right w:val="single" w:sz="4" w:space="0" w:color="D9D9D9"/>
            </w:tcBorders>
            <w:vAlign w:val="center"/>
          </w:tcPr>
          <w:p w14:paraId="7EDF6DD7" w14:textId="77777777" w:rsidR="0003197C" w:rsidRPr="0003197C" w:rsidRDefault="0003197C" w:rsidP="0003197C">
            <w:pPr>
              <w:widowControl/>
              <w:spacing w:line="276" w:lineRule="auto"/>
              <w:jc w:val="center"/>
              <w:rPr>
                <w:rFonts w:cstheme="minorHAnsi"/>
                <w:color w:val="000000"/>
              </w:rPr>
            </w:pPr>
          </w:p>
        </w:tc>
        <w:tc>
          <w:tcPr>
            <w:tcW w:w="476" w:type="dxa"/>
            <w:tcBorders>
              <w:top w:val="single" w:sz="4" w:space="0" w:color="D9D9D9"/>
              <w:left w:val="single" w:sz="4" w:space="0" w:color="D9D9D9"/>
              <w:bottom w:val="single" w:sz="4" w:space="0" w:color="D9D9D9"/>
              <w:right w:val="single" w:sz="4" w:space="0" w:color="D9D9D9"/>
            </w:tcBorders>
            <w:vAlign w:val="center"/>
          </w:tcPr>
          <w:p w14:paraId="5C85C7F1" w14:textId="77777777" w:rsidR="0003197C" w:rsidRPr="0003197C" w:rsidRDefault="0003197C" w:rsidP="0003197C">
            <w:pPr>
              <w:widowControl/>
              <w:spacing w:line="276" w:lineRule="auto"/>
              <w:jc w:val="center"/>
              <w:rPr>
                <w:rFonts w:cstheme="minorHAnsi"/>
                <w:color w:val="000000"/>
              </w:rPr>
            </w:pPr>
          </w:p>
        </w:tc>
        <w:tc>
          <w:tcPr>
            <w:tcW w:w="480" w:type="dxa"/>
            <w:tcBorders>
              <w:top w:val="single" w:sz="4" w:space="0" w:color="D9D9D9"/>
              <w:left w:val="single" w:sz="4" w:space="0" w:color="D9D9D9"/>
              <w:bottom w:val="single" w:sz="4" w:space="0" w:color="D9D9D9"/>
              <w:right w:val="single" w:sz="4" w:space="0" w:color="D9D9D9"/>
            </w:tcBorders>
            <w:vAlign w:val="center"/>
          </w:tcPr>
          <w:p w14:paraId="135445B1" w14:textId="77777777" w:rsidR="0003197C" w:rsidRPr="0003197C" w:rsidRDefault="0003197C" w:rsidP="0003197C">
            <w:pPr>
              <w:widowControl/>
              <w:spacing w:line="276" w:lineRule="auto"/>
              <w:jc w:val="center"/>
              <w:rPr>
                <w:rFonts w:cstheme="minorHAnsi"/>
                <w:color w:val="000000"/>
              </w:rPr>
            </w:pPr>
          </w:p>
        </w:tc>
        <w:tc>
          <w:tcPr>
            <w:tcW w:w="507" w:type="dxa"/>
            <w:tcBorders>
              <w:top w:val="single" w:sz="4" w:space="0" w:color="D9D9D9"/>
              <w:left w:val="single" w:sz="4" w:space="0" w:color="D9D9D9"/>
              <w:bottom w:val="single" w:sz="4" w:space="0" w:color="D9D9D9"/>
              <w:right w:val="single" w:sz="4" w:space="0" w:color="D9D9D9"/>
            </w:tcBorders>
            <w:vAlign w:val="center"/>
          </w:tcPr>
          <w:p w14:paraId="23024250" w14:textId="77777777" w:rsidR="0003197C" w:rsidRPr="0003197C" w:rsidRDefault="0003197C" w:rsidP="0003197C">
            <w:pPr>
              <w:widowControl/>
              <w:spacing w:line="276" w:lineRule="auto"/>
              <w:jc w:val="center"/>
              <w:rPr>
                <w:rFonts w:cstheme="minorHAnsi"/>
                <w:color w:val="000000"/>
              </w:rPr>
            </w:pPr>
          </w:p>
        </w:tc>
        <w:tc>
          <w:tcPr>
            <w:tcW w:w="509" w:type="dxa"/>
            <w:tcBorders>
              <w:top w:val="single" w:sz="4" w:space="0" w:color="D9D9D9"/>
              <w:left w:val="single" w:sz="4" w:space="0" w:color="D9D9D9"/>
              <w:bottom w:val="single" w:sz="4" w:space="0" w:color="D9D9D9"/>
              <w:right w:val="single" w:sz="4" w:space="0" w:color="D9D9D9"/>
            </w:tcBorders>
            <w:vAlign w:val="center"/>
          </w:tcPr>
          <w:p w14:paraId="28B6B495" w14:textId="77777777" w:rsidR="0003197C" w:rsidRPr="0003197C" w:rsidRDefault="0003197C" w:rsidP="0003197C">
            <w:pPr>
              <w:widowControl/>
              <w:spacing w:line="276" w:lineRule="auto"/>
              <w:jc w:val="center"/>
              <w:rPr>
                <w:rFonts w:cstheme="minorHAnsi"/>
                <w:color w:val="000000"/>
              </w:rPr>
            </w:pPr>
            <w:r w:rsidRPr="0003197C">
              <w:rPr>
                <w:rFonts w:cstheme="minorHAnsi"/>
                <w:color w:val="000000"/>
              </w:rPr>
              <w:t>1</w:t>
            </w:r>
          </w:p>
        </w:tc>
        <w:tc>
          <w:tcPr>
            <w:tcW w:w="507" w:type="dxa"/>
            <w:tcBorders>
              <w:top w:val="single" w:sz="4" w:space="0" w:color="D9D9D9"/>
              <w:left w:val="single" w:sz="4" w:space="0" w:color="D9D9D9"/>
              <w:bottom w:val="single" w:sz="4" w:space="0" w:color="D9D9D9"/>
              <w:right w:val="single" w:sz="4" w:space="0" w:color="D9D9D9"/>
            </w:tcBorders>
            <w:vAlign w:val="center"/>
          </w:tcPr>
          <w:p w14:paraId="043A707B" w14:textId="77777777" w:rsidR="0003197C" w:rsidRPr="0003197C" w:rsidRDefault="0003197C" w:rsidP="0003197C">
            <w:pPr>
              <w:widowControl/>
              <w:spacing w:line="276" w:lineRule="auto"/>
              <w:jc w:val="center"/>
              <w:rPr>
                <w:rFonts w:cstheme="minorHAnsi"/>
                <w:color w:val="000000"/>
              </w:rPr>
            </w:pPr>
          </w:p>
        </w:tc>
        <w:tc>
          <w:tcPr>
            <w:tcW w:w="507" w:type="dxa"/>
            <w:tcBorders>
              <w:top w:val="single" w:sz="4" w:space="0" w:color="D9D9D9"/>
              <w:left w:val="single" w:sz="4" w:space="0" w:color="D9D9D9"/>
              <w:bottom w:val="single" w:sz="4" w:space="0" w:color="D9D9D9"/>
              <w:right w:val="single" w:sz="4" w:space="0" w:color="D9D9D9"/>
            </w:tcBorders>
            <w:vAlign w:val="center"/>
          </w:tcPr>
          <w:p w14:paraId="50F9C293" w14:textId="77777777" w:rsidR="0003197C" w:rsidRPr="0003197C" w:rsidRDefault="0003197C" w:rsidP="0003197C">
            <w:pPr>
              <w:widowControl/>
              <w:spacing w:line="276" w:lineRule="auto"/>
              <w:jc w:val="center"/>
              <w:rPr>
                <w:rFonts w:cstheme="minorHAnsi"/>
                <w:color w:val="000000"/>
              </w:rPr>
            </w:pPr>
          </w:p>
        </w:tc>
        <w:tc>
          <w:tcPr>
            <w:tcW w:w="507" w:type="dxa"/>
            <w:tcBorders>
              <w:top w:val="single" w:sz="4" w:space="0" w:color="D9D9D9"/>
              <w:left w:val="single" w:sz="4" w:space="0" w:color="D9D9D9"/>
              <w:bottom w:val="single" w:sz="4" w:space="0" w:color="D9D9D9"/>
              <w:right w:val="single" w:sz="4" w:space="0" w:color="D9D9D9"/>
            </w:tcBorders>
            <w:vAlign w:val="center"/>
          </w:tcPr>
          <w:p w14:paraId="18AA5B78" w14:textId="77777777" w:rsidR="0003197C" w:rsidRPr="0003197C" w:rsidRDefault="0003197C" w:rsidP="0003197C">
            <w:pPr>
              <w:widowControl/>
              <w:spacing w:line="276" w:lineRule="auto"/>
              <w:jc w:val="center"/>
              <w:rPr>
                <w:rFonts w:cstheme="minorHAnsi"/>
                <w:color w:val="000000"/>
              </w:rPr>
            </w:pPr>
          </w:p>
        </w:tc>
        <w:tc>
          <w:tcPr>
            <w:tcW w:w="507" w:type="dxa"/>
            <w:tcBorders>
              <w:top w:val="single" w:sz="4" w:space="0" w:color="D9D9D9"/>
              <w:left w:val="single" w:sz="4" w:space="0" w:color="D9D9D9"/>
              <w:bottom w:val="single" w:sz="4" w:space="0" w:color="D9D9D9"/>
              <w:right w:val="single" w:sz="4" w:space="0" w:color="D9D9D9"/>
            </w:tcBorders>
            <w:vAlign w:val="center"/>
          </w:tcPr>
          <w:p w14:paraId="5A83CACE" w14:textId="77777777" w:rsidR="0003197C" w:rsidRPr="0003197C" w:rsidRDefault="0003197C" w:rsidP="0003197C">
            <w:pPr>
              <w:widowControl/>
              <w:spacing w:line="276" w:lineRule="auto"/>
              <w:jc w:val="center"/>
              <w:rPr>
                <w:rFonts w:cstheme="minorHAnsi"/>
                <w:color w:val="000000"/>
              </w:rPr>
            </w:pPr>
            <w:r w:rsidRPr="0003197C">
              <w:rPr>
                <w:rFonts w:cstheme="minorHAnsi"/>
                <w:color w:val="000000"/>
              </w:rPr>
              <w:t>1</w:t>
            </w:r>
          </w:p>
        </w:tc>
        <w:tc>
          <w:tcPr>
            <w:tcW w:w="507" w:type="dxa"/>
            <w:tcBorders>
              <w:top w:val="single" w:sz="4" w:space="0" w:color="D9D9D9"/>
              <w:left w:val="single" w:sz="4" w:space="0" w:color="D9D9D9"/>
              <w:bottom w:val="single" w:sz="4" w:space="0" w:color="D9D9D9"/>
              <w:right w:val="single" w:sz="4" w:space="0" w:color="D9D9D9"/>
            </w:tcBorders>
            <w:vAlign w:val="center"/>
          </w:tcPr>
          <w:p w14:paraId="0D08343B" w14:textId="77777777" w:rsidR="0003197C" w:rsidRPr="0003197C" w:rsidRDefault="0003197C" w:rsidP="0003197C">
            <w:pPr>
              <w:widowControl/>
              <w:spacing w:line="276" w:lineRule="auto"/>
              <w:jc w:val="center"/>
              <w:rPr>
                <w:rFonts w:cstheme="minorHAnsi"/>
                <w:color w:val="000000"/>
              </w:rPr>
            </w:pPr>
          </w:p>
        </w:tc>
        <w:tc>
          <w:tcPr>
            <w:tcW w:w="511" w:type="dxa"/>
            <w:tcBorders>
              <w:top w:val="single" w:sz="4" w:space="0" w:color="D9D9D9"/>
              <w:left w:val="single" w:sz="4" w:space="0" w:color="D9D9D9"/>
              <w:bottom w:val="single" w:sz="4" w:space="0" w:color="D9D9D9"/>
              <w:right w:val="single" w:sz="4" w:space="0" w:color="D9D9D9"/>
            </w:tcBorders>
            <w:vAlign w:val="center"/>
          </w:tcPr>
          <w:p w14:paraId="0EC8646C" w14:textId="77777777" w:rsidR="0003197C" w:rsidRPr="0003197C" w:rsidRDefault="0003197C" w:rsidP="0003197C">
            <w:pPr>
              <w:widowControl/>
              <w:spacing w:line="276" w:lineRule="auto"/>
              <w:jc w:val="center"/>
              <w:rPr>
                <w:rFonts w:cstheme="minorHAnsi"/>
                <w:color w:val="000000"/>
              </w:rPr>
            </w:pPr>
          </w:p>
          <w:p w14:paraId="38C1446C" w14:textId="77777777" w:rsidR="0003197C" w:rsidRPr="0003197C" w:rsidRDefault="0003197C" w:rsidP="0003197C">
            <w:pPr>
              <w:widowControl/>
              <w:spacing w:line="276" w:lineRule="auto"/>
              <w:jc w:val="center"/>
              <w:rPr>
                <w:rFonts w:cstheme="minorHAnsi"/>
                <w:color w:val="000000"/>
              </w:rPr>
            </w:pPr>
          </w:p>
          <w:p w14:paraId="696ABE1F" w14:textId="77777777" w:rsidR="0003197C" w:rsidRPr="0003197C" w:rsidRDefault="0003197C" w:rsidP="0003197C">
            <w:pPr>
              <w:widowControl/>
              <w:spacing w:line="276" w:lineRule="auto"/>
              <w:jc w:val="center"/>
              <w:rPr>
                <w:rFonts w:cstheme="minorHAnsi"/>
                <w:color w:val="000000"/>
              </w:rPr>
            </w:pPr>
          </w:p>
        </w:tc>
      </w:tr>
      <w:tr w:rsidR="0003197C" w:rsidRPr="002048A7" w14:paraId="14937538" w14:textId="77777777" w:rsidTr="006540F6">
        <w:trPr>
          <w:trHeight w:hRule="exact" w:val="407"/>
        </w:trPr>
        <w:tc>
          <w:tcPr>
            <w:tcW w:w="2802" w:type="dxa"/>
            <w:tcBorders>
              <w:top w:val="single" w:sz="4" w:space="0" w:color="D9D9D9"/>
              <w:left w:val="single" w:sz="4" w:space="0" w:color="D9D9D9"/>
              <w:bottom w:val="single" w:sz="4" w:space="0" w:color="D9D9D9"/>
              <w:right w:val="single" w:sz="4" w:space="0" w:color="D9D9D9"/>
            </w:tcBorders>
          </w:tcPr>
          <w:p w14:paraId="6040D242" w14:textId="77777777" w:rsidR="0003197C" w:rsidRPr="002048A7" w:rsidRDefault="0003197C" w:rsidP="0003197C">
            <w:pPr>
              <w:spacing w:before="88"/>
              <w:ind w:left="65"/>
              <w:rPr>
                <w:rFonts w:cstheme="minorHAnsi"/>
              </w:rPr>
            </w:pPr>
            <w:r w:rsidRPr="002048A7">
              <w:rPr>
                <w:rFonts w:cstheme="minorHAnsi"/>
                <w:color w:val="000000" w:themeColor="text1"/>
              </w:rPr>
              <w:t>Hizmet Personeli</w:t>
            </w:r>
          </w:p>
        </w:tc>
        <w:tc>
          <w:tcPr>
            <w:tcW w:w="663" w:type="dxa"/>
            <w:tcBorders>
              <w:top w:val="single" w:sz="4" w:space="0" w:color="D9D9D9"/>
              <w:left w:val="single" w:sz="4" w:space="0" w:color="D9D9D9"/>
              <w:bottom w:val="single" w:sz="4" w:space="0" w:color="D9D9D9"/>
              <w:right w:val="single" w:sz="4" w:space="0" w:color="D9D9D9"/>
            </w:tcBorders>
            <w:vAlign w:val="center"/>
          </w:tcPr>
          <w:p w14:paraId="31CF27D0" w14:textId="77777777" w:rsidR="0003197C" w:rsidRPr="0003197C" w:rsidRDefault="0003197C" w:rsidP="0003197C">
            <w:pPr>
              <w:widowControl/>
              <w:spacing w:line="276" w:lineRule="auto"/>
              <w:jc w:val="center"/>
              <w:rPr>
                <w:rFonts w:cstheme="minorHAnsi"/>
                <w:color w:val="000000"/>
              </w:rPr>
            </w:pPr>
            <w:r w:rsidRPr="0003197C">
              <w:rPr>
                <w:rFonts w:cstheme="minorHAnsi"/>
                <w:color w:val="000000"/>
              </w:rPr>
              <w:t>6</w:t>
            </w:r>
          </w:p>
        </w:tc>
        <w:tc>
          <w:tcPr>
            <w:tcW w:w="476" w:type="dxa"/>
            <w:tcBorders>
              <w:top w:val="single" w:sz="4" w:space="0" w:color="D9D9D9"/>
              <w:left w:val="single" w:sz="4" w:space="0" w:color="D9D9D9"/>
              <w:bottom w:val="single" w:sz="4" w:space="0" w:color="D9D9D9"/>
              <w:right w:val="single" w:sz="4" w:space="0" w:color="D9D9D9"/>
            </w:tcBorders>
            <w:vAlign w:val="center"/>
          </w:tcPr>
          <w:p w14:paraId="7337175F" w14:textId="77777777" w:rsidR="0003197C" w:rsidRPr="0003197C" w:rsidRDefault="0003197C" w:rsidP="0003197C">
            <w:pPr>
              <w:widowControl/>
              <w:spacing w:line="276" w:lineRule="auto"/>
              <w:jc w:val="center"/>
              <w:rPr>
                <w:rFonts w:cstheme="minorHAnsi"/>
                <w:color w:val="000000"/>
              </w:rPr>
            </w:pPr>
            <w:r w:rsidRPr="0003197C">
              <w:rPr>
                <w:rFonts w:cstheme="minorHAnsi"/>
                <w:color w:val="000000"/>
              </w:rPr>
              <w:t>6</w:t>
            </w:r>
          </w:p>
        </w:tc>
        <w:tc>
          <w:tcPr>
            <w:tcW w:w="476" w:type="dxa"/>
            <w:tcBorders>
              <w:top w:val="single" w:sz="4" w:space="0" w:color="D9D9D9"/>
              <w:left w:val="single" w:sz="4" w:space="0" w:color="D9D9D9"/>
              <w:bottom w:val="single" w:sz="4" w:space="0" w:color="D9D9D9"/>
              <w:right w:val="single" w:sz="4" w:space="0" w:color="D9D9D9"/>
            </w:tcBorders>
            <w:vAlign w:val="center"/>
          </w:tcPr>
          <w:p w14:paraId="23889C49" w14:textId="77777777" w:rsidR="0003197C" w:rsidRPr="0003197C" w:rsidRDefault="0003197C" w:rsidP="0003197C">
            <w:pPr>
              <w:widowControl/>
              <w:spacing w:line="276" w:lineRule="auto"/>
              <w:jc w:val="center"/>
              <w:rPr>
                <w:rFonts w:cstheme="minorHAnsi"/>
                <w:color w:val="000000"/>
              </w:rPr>
            </w:pPr>
          </w:p>
        </w:tc>
        <w:tc>
          <w:tcPr>
            <w:tcW w:w="476" w:type="dxa"/>
            <w:tcBorders>
              <w:top w:val="single" w:sz="4" w:space="0" w:color="D9D9D9"/>
              <w:left w:val="single" w:sz="4" w:space="0" w:color="D9D9D9"/>
              <w:bottom w:val="single" w:sz="4" w:space="0" w:color="D9D9D9"/>
              <w:right w:val="single" w:sz="4" w:space="0" w:color="D9D9D9"/>
            </w:tcBorders>
            <w:vAlign w:val="center"/>
          </w:tcPr>
          <w:p w14:paraId="4AE07143" w14:textId="77777777" w:rsidR="0003197C" w:rsidRPr="0003197C" w:rsidRDefault="0003197C" w:rsidP="0003197C">
            <w:pPr>
              <w:widowControl/>
              <w:spacing w:line="276" w:lineRule="auto"/>
              <w:jc w:val="center"/>
              <w:rPr>
                <w:rFonts w:cstheme="minorHAnsi"/>
                <w:color w:val="000000"/>
              </w:rPr>
            </w:pPr>
          </w:p>
        </w:tc>
        <w:tc>
          <w:tcPr>
            <w:tcW w:w="476" w:type="dxa"/>
            <w:tcBorders>
              <w:top w:val="single" w:sz="4" w:space="0" w:color="D9D9D9"/>
              <w:left w:val="single" w:sz="4" w:space="0" w:color="D9D9D9"/>
              <w:bottom w:val="single" w:sz="4" w:space="0" w:color="D9D9D9"/>
              <w:right w:val="single" w:sz="4" w:space="0" w:color="D9D9D9"/>
            </w:tcBorders>
            <w:vAlign w:val="center"/>
          </w:tcPr>
          <w:p w14:paraId="1F6601E4" w14:textId="77777777" w:rsidR="0003197C" w:rsidRPr="0003197C" w:rsidRDefault="0003197C" w:rsidP="0003197C">
            <w:pPr>
              <w:widowControl/>
              <w:spacing w:line="276" w:lineRule="auto"/>
              <w:jc w:val="center"/>
              <w:rPr>
                <w:rFonts w:cstheme="minorHAnsi"/>
                <w:color w:val="000000"/>
              </w:rPr>
            </w:pPr>
          </w:p>
        </w:tc>
        <w:tc>
          <w:tcPr>
            <w:tcW w:w="480" w:type="dxa"/>
            <w:tcBorders>
              <w:top w:val="single" w:sz="4" w:space="0" w:color="D9D9D9"/>
              <w:left w:val="single" w:sz="4" w:space="0" w:color="D9D9D9"/>
              <w:bottom w:val="single" w:sz="4" w:space="0" w:color="D9D9D9"/>
              <w:right w:val="single" w:sz="4" w:space="0" w:color="D9D9D9"/>
            </w:tcBorders>
            <w:vAlign w:val="center"/>
          </w:tcPr>
          <w:p w14:paraId="2763468C" w14:textId="77777777" w:rsidR="0003197C" w:rsidRPr="0003197C" w:rsidRDefault="0003197C" w:rsidP="0003197C">
            <w:pPr>
              <w:widowControl/>
              <w:spacing w:line="276" w:lineRule="auto"/>
              <w:jc w:val="center"/>
              <w:rPr>
                <w:rFonts w:cstheme="minorHAnsi"/>
                <w:color w:val="000000"/>
              </w:rPr>
            </w:pPr>
          </w:p>
        </w:tc>
        <w:tc>
          <w:tcPr>
            <w:tcW w:w="507" w:type="dxa"/>
            <w:tcBorders>
              <w:top w:val="single" w:sz="4" w:space="0" w:color="D9D9D9"/>
              <w:left w:val="single" w:sz="4" w:space="0" w:color="D9D9D9"/>
              <w:bottom w:val="single" w:sz="4" w:space="0" w:color="D9D9D9"/>
              <w:right w:val="single" w:sz="4" w:space="0" w:color="D9D9D9"/>
            </w:tcBorders>
            <w:vAlign w:val="center"/>
          </w:tcPr>
          <w:p w14:paraId="26961D9C" w14:textId="77777777" w:rsidR="0003197C" w:rsidRPr="0003197C" w:rsidRDefault="0003197C" w:rsidP="0003197C">
            <w:pPr>
              <w:widowControl/>
              <w:spacing w:line="276" w:lineRule="auto"/>
              <w:jc w:val="center"/>
              <w:rPr>
                <w:rFonts w:cstheme="minorHAnsi"/>
                <w:color w:val="000000"/>
              </w:rPr>
            </w:pPr>
            <w:r w:rsidRPr="0003197C">
              <w:rPr>
                <w:rFonts w:cstheme="minorHAnsi"/>
                <w:color w:val="000000"/>
              </w:rPr>
              <w:t>1</w:t>
            </w:r>
          </w:p>
        </w:tc>
        <w:tc>
          <w:tcPr>
            <w:tcW w:w="509" w:type="dxa"/>
            <w:tcBorders>
              <w:top w:val="single" w:sz="4" w:space="0" w:color="D9D9D9"/>
              <w:left w:val="single" w:sz="4" w:space="0" w:color="D9D9D9"/>
              <w:bottom w:val="single" w:sz="4" w:space="0" w:color="D9D9D9"/>
              <w:right w:val="single" w:sz="4" w:space="0" w:color="D9D9D9"/>
            </w:tcBorders>
            <w:vAlign w:val="center"/>
          </w:tcPr>
          <w:p w14:paraId="67FABEB7" w14:textId="77777777" w:rsidR="0003197C" w:rsidRPr="0003197C" w:rsidRDefault="0003197C" w:rsidP="0003197C">
            <w:pPr>
              <w:widowControl/>
              <w:spacing w:line="276" w:lineRule="auto"/>
              <w:jc w:val="center"/>
              <w:rPr>
                <w:rFonts w:cstheme="minorHAnsi"/>
                <w:color w:val="000000"/>
              </w:rPr>
            </w:pPr>
            <w:r w:rsidRPr="0003197C">
              <w:rPr>
                <w:rFonts w:cstheme="minorHAnsi"/>
                <w:color w:val="000000"/>
              </w:rPr>
              <w:t>5</w:t>
            </w:r>
          </w:p>
        </w:tc>
        <w:tc>
          <w:tcPr>
            <w:tcW w:w="507" w:type="dxa"/>
            <w:tcBorders>
              <w:top w:val="single" w:sz="4" w:space="0" w:color="D9D9D9"/>
              <w:left w:val="single" w:sz="4" w:space="0" w:color="D9D9D9"/>
              <w:bottom w:val="single" w:sz="4" w:space="0" w:color="D9D9D9"/>
              <w:right w:val="single" w:sz="4" w:space="0" w:color="D9D9D9"/>
            </w:tcBorders>
            <w:vAlign w:val="center"/>
          </w:tcPr>
          <w:p w14:paraId="1973528B" w14:textId="77777777" w:rsidR="0003197C" w:rsidRPr="0003197C" w:rsidRDefault="0003197C" w:rsidP="0003197C">
            <w:pPr>
              <w:widowControl/>
              <w:spacing w:line="276" w:lineRule="auto"/>
              <w:jc w:val="center"/>
              <w:rPr>
                <w:rFonts w:cstheme="minorHAnsi"/>
                <w:color w:val="000000"/>
              </w:rPr>
            </w:pPr>
            <w:r w:rsidRPr="0003197C">
              <w:rPr>
                <w:rFonts w:cstheme="minorHAnsi"/>
                <w:color w:val="000000"/>
              </w:rPr>
              <w:t>3</w:t>
            </w:r>
          </w:p>
        </w:tc>
        <w:tc>
          <w:tcPr>
            <w:tcW w:w="507" w:type="dxa"/>
            <w:tcBorders>
              <w:top w:val="single" w:sz="4" w:space="0" w:color="D9D9D9"/>
              <w:left w:val="single" w:sz="4" w:space="0" w:color="D9D9D9"/>
              <w:bottom w:val="single" w:sz="4" w:space="0" w:color="D9D9D9"/>
              <w:right w:val="single" w:sz="4" w:space="0" w:color="D9D9D9"/>
            </w:tcBorders>
            <w:vAlign w:val="center"/>
          </w:tcPr>
          <w:p w14:paraId="78324CB9" w14:textId="77777777" w:rsidR="0003197C" w:rsidRPr="0003197C" w:rsidRDefault="0003197C" w:rsidP="0003197C">
            <w:pPr>
              <w:widowControl/>
              <w:spacing w:line="276" w:lineRule="auto"/>
              <w:jc w:val="center"/>
              <w:rPr>
                <w:rFonts w:cstheme="minorHAnsi"/>
                <w:color w:val="000000"/>
              </w:rPr>
            </w:pPr>
            <w:r w:rsidRPr="0003197C">
              <w:rPr>
                <w:rFonts w:cstheme="minorHAnsi"/>
                <w:color w:val="000000"/>
              </w:rPr>
              <w:t>3</w:t>
            </w:r>
          </w:p>
        </w:tc>
        <w:tc>
          <w:tcPr>
            <w:tcW w:w="507" w:type="dxa"/>
            <w:tcBorders>
              <w:top w:val="single" w:sz="4" w:space="0" w:color="D9D9D9"/>
              <w:left w:val="single" w:sz="4" w:space="0" w:color="D9D9D9"/>
              <w:bottom w:val="single" w:sz="4" w:space="0" w:color="D9D9D9"/>
              <w:right w:val="single" w:sz="4" w:space="0" w:color="D9D9D9"/>
            </w:tcBorders>
            <w:vAlign w:val="center"/>
          </w:tcPr>
          <w:p w14:paraId="3CB6582F" w14:textId="77777777" w:rsidR="0003197C" w:rsidRPr="0003197C" w:rsidRDefault="0003197C" w:rsidP="0003197C">
            <w:pPr>
              <w:widowControl/>
              <w:spacing w:line="276" w:lineRule="auto"/>
              <w:jc w:val="center"/>
              <w:rPr>
                <w:rFonts w:cstheme="minorHAnsi"/>
                <w:color w:val="000000"/>
              </w:rPr>
            </w:pPr>
          </w:p>
        </w:tc>
        <w:tc>
          <w:tcPr>
            <w:tcW w:w="507" w:type="dxa"/>
            <w:tcBorders>
              <w:top w:val="single" w:sz="4" w:space="0" w:color="D9D9D9"/>
              <w:left w:val="single" w:sz="4" w:space="0" w:color="D9D9D9"/>
              <w:bottom w:val="single" w:sz="4" w:space="0" w:color="D9D9D9"/>
              <w:right w:val="single" w:sz="4" w:space="0" w:color="D9D9D9"/>
            </w:tcBorders>
            <w:vAlign w:val="center"/>
          </w:tcPr>
          <w:p w14:paraId="3A61CA08" w14:textId="77777777" w:rsidR="0003197C" w:rsidRPr="0003197C" w:rsidRDefault="0003197C" w:rsidP="0003197C">
            <w:pPr>
              <w:widowControl/>
              <w:spacing w:line="276" w:lineRule="auto"/>
              <w:jc w:val="center"/>
              <w:rPr>
                <w:rFonts w:cstheme="minorHAnsi"/>
                <w:color w:val="000000"/>
              </w:rPr>
            </w:pPr>
          </w:p>
        </w:tc>
        <w:tc>
          <w:tcPr>
            <w:tcW w:w="507" w:type="dxa"/>
            <w:tcBorders>
              <w:top w:val="single" w:sz="4" w:space="0" w:color="D9D9D9"/>
              <w:left w:val="single" w:sz="4" w:space="0" w:color="D9D9D9"/>
              <w:bottom w:val="single" w:sz="4" w:space="0" w:color="D9D9D9"/>
              <w:right w:val="single" w:sz="4" w:space="0" w:color="D9D9D9"/>
            </w:tcBorders>
            <w:vAlign w:val="center"/>
          </w:tcPr>
          <w:p w14:paraId="54906F45" w14:textId="77777777" w:rsidR="0003197C" w:rsidRPr="0003197C" w:rsidRDefault="0003197C" w:rsidP="0003197C">
            <w:pPr>
              <w:widowControl/>
              <w:spacing w:line="276" w:lineRule="auto"/>
              <w:jc w:val="center"/>
              <w:rPr>
                <w:rFonts w:cstheme="minorHAnsi"/>
                <w:color w:val="000000"/>
              </w:rPr>
            </w:pPr>
          </w:p>
        </w:tc>
        <w:tc>
          <w:tcPr>
            <w:tcW w:w="511" w:type="dxa"/>
            <w:tcBorders>
              <w:top w:val="single" w:sz="4" w:space="0" w:color="D9D9D9"/>
              <w:left w:val="single" w:sz="4" w:space="0" w:color="D9D9D9"/>
              <w:bottom w:val="single" w:sz="4" w:space="0" w:color="D9D9D9"/>
              <w:right w:val="single" w:sz="4" w:space="0" w:color="D9D9D9"/>
            </w:tcBorders>
            <w:vAlign w:val="center"/>
          </w:tcPr>
          <w:p w14:paraId="44098627" w14:textId="77777777" w:rsidR="0003197C" w:rsidRPr="0003197C" w:rsidRDefault="0003197C" w:rsidP="0003197C">
            <w:pPr>
              <w:widowControl/>
              <w:spacing w:line="276" w:lineRule="auto"/>
              <w:jc w:val="center"/>
              <w:rPr>
                <w:rFonts w:cstheme="minorHAnsi"/>
                <w:color w:val="000000"/>
              </w:rPr>
            </w:pPr>
          </w:p>
          <w:p w14:paraId="3C6C6913" w14:textId="77777777" w:rsidR="0003197C" w:rsidRPr="0003197C" w:rsidRDefault="0003197C" w:rsidP="0003197C">
            <w:pPr>
              <w:widowControl/>
              <w:spacing w:line="276" w:lineRule="auto"/>
              <w:jc w:val="center"/>
              <w:rPr>
                <w:rFonts w:cstheme="minorHAnsi"/>
                <w:color w:val="000000"/>
              </w:rPr>
            </w:pPr>
          </w:p>
          <w:p w14:paraId="2607CEC0" w14:textId="77777777" w:rsidR="0003197C" w:rsidRPr="0003197C" w:rsidRDefault="0003197C" w:rsidP="0003197C">
            <w:pPr>
              <w:widowControl/>
              <w:spacing w:line="276" w:lineRule="auto"/>
              <w:jc w:val="center"/>
              <w:rPr>
                <w:rFonts w:cstheme="minorHAnsi"/>
                <w:color w:val="000000"/>
              </w:rPr>
            </w:pPr>
          </w:p>
        </w:tc>
      </w:tr>
      <w:tr w:rsidR="0003197C" w:rsidRPr="002048A7" w14:paraId="3BD04CF5" w14:textId="77777777" w:rsidTr="006540F6">
        <w:trPr>
          <w:trHeight w:hRule="exact" w:val="407"/>
        </w:trPr>
        <w:tc>
          <w:tcPr>
            <w:tcW w:w="2802" w:type="dxa"/>
            <w:tcBorders>
              <w:top w:val="single" w:sz="4" w:space="0" w:color="D9D9D9"/>
              <w:left w:val="single" w:sz="4" w:space="0" w:color="D9D9D9"/>
              <w:bottom w:val="single" w:sz="4" w:space="0" w:color="D9D9D9"/>
              <w:right w:val="single" w:sz="4" w:space="0" w:color="D9D9D9"/>
            </w:tcBorders>
          </w:tcPr>
          <w:p w14:paraId="7804942C" w14:textId="77777777" w:rsidR="0003197C" w:rsidRPr="002048A7" w:rsidRDefault="0003197C" w:rsidP="0003197C">
            <w:pPr>
              <w:spacing w:before="88"/>
              <w:ind w:left="65"/>
              <w:rPr>
                <w:rFonts w:cstheme="minorHAnsi"/>
              </w:rPr>
            </w:pPr>
            <w:r w:rsidRPr="002048A7">
              <w:rPr>
                <w:rFonts w:cstheme="minorHAnsi"/>
                <w:b/>
                <w:spacing w:val="-1"/>
              </w:rPr>
              <w:t>TOPLAM</w:t>
            </w:r>
          </w:p>
        </w:tc>
        <w:tc>
          <w:tcPr>
            <w:tcW w:w="663" w:type="dxa"/>
            <w:tcBorders>
              <w:top w:val="single" w:sz="4" w:space="0" w:color="D9D9D9"/>
              <w:left w:val="single" w:sz="4" w:space="0" w:color="D9D9D9"/>
              <w:bottom w:val="single" w:sz="4" w:space="0" w:color="D9D9D9"/>
              <w:right w:val="single" w:sz="4" w:space="0" w:color="D9D9D9"/>
            </w:tcBorders>
            <w:vAlign w:val="center"/>
          </w:tcPr>
          <w:p w14:paraId="62B549FA" w14:textId="77777777" w:rsidR="0003197C" w:rsidRPr="0003197C" w:rsidRDefault="0003197C" w:rsidP="0003197C">
            <w:pPr>
              <w:widowControl/>
              <w:spacing w:line="276" w:lineRule="auto"/>
              <w:jc w:val="center"/>
              <w:rPr>
                <w:rFonts w:cstheme="minorHAnsi"/>
                <w:b/>
                <w:color w:val="000000"/>
              </w:rPr>
            </w:pPr>
            <w:r w:rsidRPr="0003197C">
              <w:rPr>
                <w:rFonts w:cstheme="minorHAnsi"/>
                <w:b/>
                <w:color w:val="000000"/>
              </w:rPr>
              <w:t>7</w:t>
            </w:r>
          </w:p>
        </w:tc>
        <w:tc>
          <w:tcPr>
            <w:tcW w:w="476" w:type="dxa"/>
            <w:tcBorders>
              <w:top w:val="single" w:sz="4" w:space="0" w:color="D9D9D9"/>
              <w:left w:val="single" w:sz="4" w:space="0" w:color="D9D9D9"/>
              <w:bottom w:val="single" w:sz="4" w:space="0" w:color="D9D9D9"/>
              <w:right w:val="single" w:sz="4" w:space="0" w:color="D9D9D9"/>
            </w:tcBorders>
            <w:vAlign w:val="center"/>
          </w:tcPr>
          <w:p w14:paraId="5FE3EE89" w14:textId="77777777" w:rsidR="0003197C" w:rsidRPr="0003197C" w:rsidRDefault="0003197C" w:rsidP="0003197C">
            <w:pPr>
              <w:widowControl/>
              <w:spacing w:line="276" w:lineRule="auto"/>
              <w:jc w:val="center"/>
              <w:rPr>
                <w:rFonts w:cstheme="minorHAnsi"/>
                <w:b/>
                <w:color w:val="000000"/>
              </w:rPr>
            </w:pPr>
            <w:r w:rsidRPr="0003197C">
              <w:rPr>
                <w:rFonts w:cstheme="minorHAnsi"/>
                <w:b/>
                <w:color w:val="000000"/>
              </w:rPr>
              <w:t>7</w:t>
            </w:r>
          </w:p>
        </w:tc>
        <w:tc>
          <w:tcPr>
            <w:tcW w:w="476" w:type="dxa"/>
            <w:tcBorders>
              <w:top w:val="single" w:sz="4" w:space="0" w:color="D9D9D9"/>
              <w:left w:val="single" w:sz="4" w:space="0" w:color="D9D9D9"/>
              <w:bottom w:val="single" w:sz="4" w:space="0" w:color="D9D9D9"/>
              <w:right w:val="single" w:sz="4" w:space="0" w:color="D9D9D9"/>
            </w:tcBorders>
            <w:vAlign w:val="center"/>
          </w:tcPr>
          <w:p w14:paraId="4642DB21" w14:textId="77777777" w:rsidR="0003197C" w:rsidRPr="0003197C" w:rsidRDefault="0003197C" w:rsidP="0003197C">
            <w:pPr>
              <w:widowControl/>
              <w:spacing w:line="276" w:lineRule="auto"/>
              <w:jc w:val="center"/>
              <w:rPr>
                <w:rFonts w:cstheme="minorHAnsi"/>
                <w:b/>
                <w:color w:val="000000"/>
              </w:rPr>
            </w:pPr>
            <w:r w:rsidRPr="0003197C">
              <w:rPr>
                <w:rFonts w:cstheme="minorHAnsi"/>
                <w:b/>
                <w:color w:val="000000"/>
              </w:rPr>
              <w:t>-</w:t>
            </w:r>
          </w:p>
        </w:tc>
        <w:tc>
          <w:tcPr>
            <w:tcW w:w="476" w:type="dxa"/>
            <w:tcBorders>
              <w:top w:val="single" w:sz="4" w:space="0" w:color="D9D9D9"/>
              <w:left w:val="single" w:sz="4" w:space="0" w:color="D9D9D9"/>
              <w:bottom w:val="single" w:sz="4" w:space="0" w:color="D9D9D9"/>
              <w:right w:val="single" w:sz="4" w:space="0" w:color="D9D9D9"/>
            </w:tcBorders>
            <w:vAlign w:val="center"/>
          </w:tcPr>
          <w:p w14:paraId="0DDD6745" w14:textId="77777777" w:rsidR="0003197C" w:rsidRPr="0003197C" w:rsidRDefault="0003197C" w:rsidP="0003197C">
            <w:pPr>
              <w:widowControl/>
              <w:spacing w:line="276" w:lineRule="auto"/>
              <w:jc w:val="center"/>
              <w:rPr>
                <w:rFonts w:cstheme="minorHAnsi"/>
                <w:b/>
                <w:color w:val="000000"/>
              </w:rPr>
            </w:pPr>
            <w:r w:rsidRPr="0003197C">
              <w:rPr>
                <w:rFonts w:cstheme="minorHAnsi"/>
                <w:b/>
                <w:color w:val="000000"/>
              </w:rPr>
              <w:t>-</w:t>
            </w:r>
          </w:p>
        </w:tc>
        <w:tc>
          <w:tcPr>
            <w:tcW w:w="476" w:type="dxa"/>
            <w:tcBorders>
              <w:top w:val="single" w:sz="4" w:space="0" w:color="D9D9D9"/>
              <w:left w:val="single" w:sz="4" w:space="0" w:color="D9D9D9"/>
              <w:bottom w:val="single" w:sz="4" w:space="0" w:color="D9D9D9"/>
              <w:right w:val="single" w:sz="4" w:space="0" w:color="D9D9D9"/>
            </w:tcBorders>
            <w:vAlign w:val="center"/>
          </w:tcPr>
          <w:p w14:paraId="01CF7339" w14:textId="77777777" w:rsidR="0003197C" w:rsidRPr="0003197C" w:rsidRDefault="0003197C" w:rsidP="0003197C">
            <w:pPr>
              <w:widowControl/>
              <w:spacing w:line="276" w:lineRule="auto"/>
              <w:jc w:val="center"/>
              <w:rPr>
                <w:rFonts w:cstheme="minorHAnsi"/>
                <w:b/>
                <w:color w:val="000000"/>
              </w:rPr>
            </w:pPr>
            <w:r w:rsidRPr="0003197C">
              <w:rPr>
                <w:rFonts w:cstheme="minorHAnsi"/>
                <w:b/>
                <w:color w:val="000000"/>
              </w:rPr>
              <w:t>-</w:t>
            </w:r>
          </w:p>
        </w:tc>
        <w:tc>
          <w:tcPr>
            <w:tcW w:w="480" w:type="dxa"/>
            <w:tcBorders>
              <w:top w:val="single" w:sz="4" w:space="0" w:color="D9D9D9"/>
              <w:left w:val="single" w:sz="4" w:space="0" w:color="D9D9D9"/>
              <w:bottom w:val="single" w:sz="4" w:space="0" w:color="D9D9D9"/>
              <w:right w:val="single" w:sz="4" w:space="0" w:color="D9D9D9"/>
            </w:tcBorders>
            <w:vAlign w:val="center"/>
          </w:tcPr>
          <w:p w14:paraId="0E840B2E" w14:textId="77777777" w:rsidR="0003197C" w:rsidRPr="0003197C" w:rsidRDefault="0003197C" w:rsidP="0003197C">
            <w:pPr>
              <w:widowControl/>
              <w:spacing w:line="276" w:lineRule="auto"/>
              <w:jc w:val="center"/>
              <w:rPr>
                <w:rFonts w:cstheme="minorHAnsi"/>
                <w:b/>
                <w:color w:val="000000"/>
              </w:rPr>
            </w:pPr>
            <w:r w:rsidRPr="0003197C">
              <w:rPr>
                <w:rFonts w:cstheme="minorHAnsi"/>
                <w:b/>
                <w:color w:val="000000"/>
              </w:rPr>
              <w:t>-</w:t>
            </w:r>
          </w:p>
        </w:tc>
        <w:tc>
          <w:tcPr>
            <w:tcW w:w="507" w:type="dxa"/>
            <w:tcBorders>
              <w:top w:val="single" w:sz="4" w:space="0" w:color="D9D9D9"/>
              <w:left w:val="single" w:sz="4" w:space="0" w:color="D9D9D9"/>
              <w:bottom w:val="single" w:sz="4" w:space="0" w:color="D9D9D9"/>
              <w:right w:val="single" w:sz="4" w:space="0" w:color="D9D9D9"/>
            </w:tcBorders>
            <w:vAlign w:val="center"/>
          </w:tcPr>
          <w:p w14:paraId="7AADA366" w14:textId="77777777" w:rsidR="0003197C" w:rsidRPr="0003197C" w:rsidRDefault="0003197C" w:rsidP="0003197C">
            <w:pPr>
              <w:widowControl/>
              <w:spacing w:line="276" w:lineRule="auto"/>
              <w:jc w:val="center"/>
              <w:rPr>
                <w:rFonts w:cstheme="minorHAnsi"/>
                <w:b/>
                <w:color w:val="000000"/>
              </w:rPr>
            </w:pPr>
            <w:r w:rsidRPr="0003197C">
              <w:rPr>
                <w:rFonts w:cstheme="minorHAnsi"/>
                <w:b/>
                <w:color w:val="000000"/>
              </w:rPr>
              <w:t>1</w:t>
            </w:r>
          </w:p>
        </w:tc>
        <w:tc>
          <w:tcPr>
            <w:tcW w:w="509" w:type="dxa"/>
            <w:tcBorders>
              <w:top w:val="single" w:sz="4" w:space="0" w:color="D9D9D9"/>
              <w:left w:val="single" w:sz="4" w:space="0" w:color="D9D9D9"/>
              <w:bottom w:val="single" w:sz="4" w:space="0" w:color="D9D9D9"/>
              <w:right w:val="single" w:sz="4" w:space="0" w:color="D9D9D9"/>
            </w:tcBorders>
            <w:vAlign w:val="center"/>
          </w:tcPr>
          <w:p w14:paraId="72628008" w14:textId="77777777" w:rsidR="0003197C" w:rsidRPr="0003197C" w:rsidRDefault="0003197C" w:rsidP="0003197C">
            <w:pPr>
              <w:widowControl/>
              <w:spacing w:line="276" w:lineRule="auto"/>
              <w:jc w:val="center"/>
              <w:rPr>
                <w:rFonts w:cstheme="minorHAnsi"/>
                <w:b/>
                <w:color w:val="000000"/>
              </w:rPr>
            </w:pPr>
            <w:r w:rsidRPr="0003197C">
              <w:rPr>
                <w:rFonts w:cstheme="minorHAnsi"/>
                <w:b/>
                <w:color w:val="000000"/>
              </w:rPr>
              <w:t>6</w:t>
            </w:r>
          </w:p>
        </w:tc>
        <w:tc>
          <w:tcPr>
            <w:tcW w:w="507" w:type="dxa"/>
            <w:tcBorders>
              <w:top w:val="single" w:sz="4" w:space="0" w:color="D9D9D9"/>
              <w:left w:val="single" w:sz="4" w:space="0" w:color="D9D9D9"/>
              <w:bottom w:val="single" w:sz="4" w:space="0" w:color="D9D9D9"/>
              <w:right w:val="single" w:sz="4" w:space="0" w:color="D9D9D9"/>
            </w:tcBorders>
            <w:vAlign w:val="center"/>
          </w:tcPr>
          <w:p w14:paraId="47D69609" w14:textId="77777777" w:rsidR="0003197C" w:rsidRPr="0003197C" w:rsidRDefault="0003197C" w:rsidP="0003197C">
            <w:pPr>
              <w:widowControl/>
              <w:spacing w:line="276" w:lineRule="auto"/>
              <w:jc w:val="center"/>
              <w:rPr>
                <w:rFonts w:cstheme="minorHAnsi"/>
                <w:b/>
                <w:color w:val="000000"/>
              </w:rPr>
            </w:pPr>
            <w:r w:rsidRPr="0003197C">
              <w:rPr>
                <w:rFonts w:cstheme="minorHAnsi"/>
                <w:b/>
                <w:color w:val="000000"/>
              </w:rPr>
              <w:t>3</w:t>
            </w:r>
          </w:p>
        </w:tc>
        <w:tc>
          <w:tcPr>
            <w:tcW w:w="507" w:type="dxa"/>
            <w:tcBorders>
              <w:top w:val="single" w:sz="4" w:space="0" w:color="D9D9D9"/>
              <w:left w:val="single" w:sz="4" w:space="0" w:color="D9D9D9"/>
              <w:bottom w:val="single" w:sz="4" w:space="0" w:color="D9D9D9"/>
              <w:right w:val="single" w:sz="4" w:space="0" w:color="D9D9D9"/>
            </w:tcBorders>
            <w:vAlign w:val="center"/>
          </w:tcPr>
          <w:p w14:paraId="0E46BD1A" w14:textId="77777777" w:rsidR="0003197C" w:rsidRPr="0003197C" w:rsidRDefault="0003197C" w:rsidP="0003197C">
            <w:pPr>
              <w:widowControl/>
              <w:spacing w:line="276" w:lineRule="auto"/>
              <w:jc w:val="center"/>
              <w:rPr>
                <w:rFonts w:cstheme="minorHAnsi"/>
                <w:b/>
                <w:color w:val="000000"/>
              </w:rPr>
            </w:pPr>
            <w:r w:rsidRPr="0003197C">
              <w:rPr>
                <w:rFonts w:cstheme="minorHAnsi"/>
                <w:b/>
                <w:color w:val="000000"/>
              </w:rPr>
              <w:t>3</w:t>
            </w:r>
          </w:p>
        </w:tc>
        <w:tc>
          <w:tcPr>
            <w:tcW w:w="507" w:type="dxa"/>
            <w:tcBorders>
              <w:top w:val="single" w:sz="4" w:space="0" w:color="D9D9D9"/>
              <w:left w:val="single" w:sz="4" w:space="0" w:color="D9D9D9"/>
              <w:bottom w:val="single" w:sz="4" w:space="0" w:color="D9D9D9"/>
              <w:right w:val="single" w:sz="4" w:space="0" w:color="D9D9D9"/>
            </w:tcBorders>
            <w:vAlign w:val="center"/>
          </w:tcPr>
          <w:p w14:paraId="4AD13C27" w14:textId="77777777" w:rsidR="0003197C" w:rsidRPr="0003197C" w:rsidRDefault="0003197C" w:rsidP="0003197C">
            <w:pPr>
              <w:widowControl/>
              <w:spacing w:line="276" w:lineRule="auto"/>
              <w:jc w:val="center"/>
              <w:rPr>
                <w:rFonts w:cstheme="minorHAnsi"/>
                <w:b/>
                <w:color w:val="000000"/>
              </w:rPr>
            </w:pPr>
            <w:r w:rsidRPr="0003197C">
              <w:rPr>
                <w:rFonts w:cstheme="minorHAnsi"/>
                <w:b/>
                <w:color w:val="000000"/>
              </w:rPr>
              <w:t>-</w:t>
            </w:r>
          </w:p>
        </w:tc>
        <w:tc>
          <w:tcPr>
            <w:tcW w:w="507" w:type="dxa"/>
            <w:tcBorders>
              <w:top w:val="single" w:sz="4" w:space="0" w:color="D9D9D9"/>
              <w:left w:val="single" w:sz="4" w:space="0" w:color="D9D9D9"/>
              <w:bottom w:val="single" w:sz="4" w:space="0" w:color="D9D9D9"/>
              <w:right w:val="single" w:sz="4" w:space="0" w:color="D9D9D9"/>
            </w:tcBorders>
            <w:vAlign w:val="center"/>
          </w:tcPr>
          <w:p w14:paraId="57FD765D" w14:textId="77777777" w:rsidR="0003197C" w:rsidRPr="0003197C" w:rsidRDefault="0003197C" w:rsidP="0003197C">
            <w:pPr>
              <w:widowControl/>
              <w:spacing w:line="276" w:lineRule="auto"/>
              <w:jc w:val="center"/>
              <w:rPr>
                <w:rFonts w:cstheme="minorHAnsi"/>
                <w:b/>
                <w:color w:val="000000"/>
              </w:rPr>
            </w:pPr>
            <w:r w:rsidRPr="0003197C">
              <w:rPr>
                <w:rFonts w:cstheme="minorHAnsi"/>
                <w:b/>
                <w:color w:val="000000"/>
              </w:rPr>
              <w:t>1</w:t>
            </w:r>
          </w:p>
        </w:tc>
        <w:tc>
          <w:tcPr>
            <w:tcW w:w="507" w:type="dxa"/>
            <w:tcBorders>
              <w:top w:val="single" w:sz="4" w:space="0" w:color="D9D9D9"/>
              <w:left w:val="single" w:sz="4" w:space="0" w:color="D9D9D9"/>
              <w:bottom w:val="single" w:sz="4" w:space="0" w:color="D9D9D9"/>
              <w:right w:val="single" w:sz="4" w:space="0" w:color="D9D9D9"/>
            </w:tcBorders>
            <w:vAlign w:val="center"/>
          </w:tcPr>
          <w:p w14:paraId="31B2B197" w14:textId="77777777" w:rsidR="0003197C" w:rsidRPr="0003197C" w:rsidRDefault="0003197C" w:rsidP="0003197C">
            <w:pPr>
              <w:widowControl/>
              <w:spacing w:line="276" w:lineRule="auto"/>
              <w:jc w:val="center"/>
              <w:rPr>
                <w:rFonts w:cstheme="minorHAnsi"/>
                <w:b/>
                <w:color w:val="000000"/>
              </w:rPr>
            </w:pPr>
            <w:r w:rsidRPr="0003197C">
              <w:rPr>
                <w:rFonts w:cstheme="minorHAnsi"/>
                <w:b/>
                <w:color w:val="000000"/>
              </w:rPr>
              <w:t>-</w:t>
            </w:r>
          </w:p>
        </w:tc>
        <w:tc>
          <w:tcPr>
            <w:tcW w:w="511" w:type="dxa"/>
            <w:tcBorders>
              <w:top w:val="single" w:sz="4" w:space="0" w:color="D9D9D9"/>
              <w:left w:val="single" w:sz="4" w:space="0" w:color="D9D9D9"/>
              <w:bottom w:val="single" w:sz="4" w:space="0" w:color="D9D9D9"/>
              <w:right w:val="single" w:sz="4" w:space="0" w:color="D9D9D9"/>
            </w:tcBorders>
            <w:vAlign w:val="center"/>
          </w:tcPr>
          <w:p w14:paraId="2F53C599" w14:textId="77777777" w:rsidR="0003197C" w:rsidRPr="0003197C" w:rsidRDefault="0003197C" w:rsidP="0003197C">
            <w:pPr>
              <w:widowControl/>
              <w:spacing w:line="276" w:lineRule="auto"/>
              <w:jc w:val="center"/>
              <w:rPr>
                <w:rFonts w:cstheme="minorHAnsi"/>
                <w:b/>
                <w:color w:val="000000"/>
              </w:rPr>
            </w:pPr>
            <w:r w:rsidRPr="0003197C">
              <w:rPr>
                <w:rFonts w:cstheme="minorHAnsi"/>
                <w:b/>
                <w:color w:val="000000"/>
              </w:rPr>
              <w:t>-</w:t>
            </w:r>
          </w:p>
        </w:tc>
      </w:tr>
    </w:tbl>
    <w:p w14:paraId="41252CB1" w14:textId="77777777" w:rsidR="00633B0C" w:rsidRPr="002048A7" w:rsidRDefault="00633B0C" w:rsidP="0035089D">
      <w:pPr>
        <w:pStyle w:val="Balk5"/>
        <w:spacing w:before="120" w:after="240"/>
        <w:jc w:val="center"/>
        <w:rPr>
          <w:rFonts w:asciiTheme="minorHAnsi" w:hAnsiTheme="minorHAnsi"/>
          <w:b/>
          <w:color w:val="auto"/>
        </w:rPr>
      </w:pPr>
      <w:bookmarkStart w:id="448" w:name="_Toc195868880"/>
      <w:r w:rsidRPr="002048A7">
        <w:rPr>
          <w:rFonts w:asciiTheme="minorHAnsi" w:hAnsiTheme="minorHAnsi"/>
          <w:b/>
          <w:color w:val="auto"/>
        </w:rPr>
        <w:t>Tablo 1</w:t>
      </w:r>
      <w:r w:rsidR="00456863" w:rsidRPr="002048A7">
        <w:rPr>
          <w:rFonts w:asciiTheme="minorHAnsi" w:hAnsiTheme="minorHAnsi"/>
          <w:b/>
          <w:color w:val="auto"/>
        </w:rPr>
        <w:t>3</w:t>
      </w:r>
      <w:r w:rsidRPr="002048A7">
        <w:rPr>
          <w:rFonts w:asciiTheme="minorHAnsi" w:hAnsiTheme="minorHAnsi"/>
          <w:b/>
          <w:color w:val="auto"/>
        </w:rPr>
        <w:t>.</w:t>
      </w:r>
      <w:r w:rsidR="00992142" w:rsidRPr="002048A7">
        <w:rPr>
          <w:rFonts w:asciiTheme="minorHAnsi" w:hAnsiTheme="minorHAnsi"/>
          <w:b/>
          <w:color w:val="auto"/>
        </w:rPr>
        <w:t>6</w:t>
      </w:r>
      <w:r w:rsidRPr="002048A7">
        <w:rPr>
          <w:rFonts w:asciiTheme="minorHAnsi" w:hAnsiTheme="minorHAnsi"/>
          <w:b/>
          <w:color w:val="auto"/>
        </w:rPr>
        <w:t>: Kurum Personeli Kadro Dağılımı (Sürekli İşçi)</w:t>
      </w:r>
      <w:bookmarkEnd w:id="448"/>
    </w:p>
    <w:tbl>
      <w:tblPr>
        <w:tblW w:w="4788"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000" w:firstRow="0" w:lastRow="0" w:firstColumn="0" w:lastColumn="0" w:noHBand="0" w:noVBand="0"/>
      </w:tblPr>
      <w:tblGrid>
        <w:gridCol w:w="2719"/>
        <w:gridCol w:w="978"/>
        <w:gridCol w:w="839"/>
        <w:gridCol w:w="611"/>
        <w:gridCol w:w="611"/>
        <w:gridCol w:w="611"/>
        <w:gridCol w:w="611"/>
        <w:gridCol w:w="611"/>
        <w:gridCol w:w="619"/>
        <w:gridCol w:w="653"/>
        <w:gridCol w:w="628"/>
      </w:tblGrid>
      <w:tr w:rsidR="00633B0C" w:rsidRPr="002048A7" w14:paraId="32F26908" w14:textId="77777777" w:rsidTr="001C2BBC">
        <w:trPr>
          <w:trHeight w:val="227"/>
          <w:tblHeader/>
          <w:jc w:val="center"/>
        </w:trPr>
        <w:tc>
          <w:tcPr>
            <w:tcW w:w="1432" w:type="pct"/>
            <w:vMerge w:val="restart"/>
            <w:shd w:val="clear" w:color="auto" w:fill="6E9ECA"/>
            <w:noWrap/>
            <w:vAlign w:val="center"/>
          </w:tcPr>
          <w:p w14:paraId="4A306C66" w14:textId="77777777" w:rsidR="00633B0C" w:rsidRPr="002048A7" w:rsidRDefault="00633B0C" w:rsidP="00162B0C">
            <w:pPr>
              <w:spacing w:after="0"/>
              <w:jc w:val="center"/>
              <w:rPr>
                <w:rFonts w:cstheme="minorHAnsi"/>
                <w:b/>
                <w:bCs/>
                <w:color w:val="FFFFFF" w:themeColor="background1"/>
              </w:rPr>
            </w:pPr>
            <w:r w:rsidRPr="002048A7">
              <w:rPr>
                <w:rFonts w:cstheme="minorHAnsi"/>
                <w:b/>
                <w:bCs/>
                <w:color w:val="FFFFFF" w:themeColor="background1"/>
              </w:rPr>
              <w:t>KADRO UNVANLARI</w:t>
            </w:r>
          </w:p>
        </w:tc>
        <w:tc>
          <w:tcPr>
            <w:tcW w:w="515" w:type="pct"/>
            <w:vMerge w:val="restart"/>
            <w:shd w:val="clear" w:color="auto" w:fill="6E9ECA"/>
            <w:vAlign w:val="center"/>
          </w:tcPr>
          <w:p w14:paraId="3EBB66B0" w14:textId="77777777" w:rsidR="00633B0C" w:rsidRPr="002048A7" w:rsidRDefault="00633B0C" w:rsidP="00162B0C">
            <w:pPr>
              <w:spacing w:after="0"/>
              <w:jc w:val="center"/>
              <w:rPr>
                <w:rFonts w:cstheme="minorHAnsi"/>
                <w:b/>
                <w:bCs/>
                <w:color w:val="FFFFFF" w:themeColor="background1"/>
              </w:rPr>
            </w:pPr>
            <w:r w:rsidRPr="002048A7">
              <w:rPr>
                <w:rFonts w:cstheme="minorHAnsi"/>
                <w:b/>
                <w:bCs/>
                <w:color w:val="FFFFFF" w:themeColor="background1"/>
              </w:rPr>
              <w:t xml:space="preserve">TOPLAM KADRO </w:t>
            </w:r>
            <w:r w:rsidRPr="002048A7">
              <w:rPr>
                <w:rFonts w:cstheme="minorHAnsi"/>
                <w:b/>
                <w:bCs/>
                <w:color w:val="FFFFFF" w:themeColor="background1"/>
              </w:rPr>
              <w:br/>
              <w:t>SAYISI</w:t>
            </w:r>
          </w:p>
        </w:tc>
        <w:tc>
          <w:tcPr>
            <w:tcW w:w="442" w:type="pct"/>
            <w:vMerge w:val="restart"/>
            <w:shd w:val="clear" w:color="auto" w:fill="6E9ECA"/>
            <w:vAlign w:val="center"/>
          </w:tcPr>
          <w:p w14:paraId="365F3B6A" w14:textId="77777777" w:rsidR="00633B0C" w:rsidRPr="002048A7" w:rsidRDefault="00633B0C" w:rsidP="00162B0C">
            <w:pPr>
              <w:spacing w:after="0"/>
              <w:jc w:val="center"/>
              <w:rPr>
                <w:rFonts w:cstheme="minorHAnsi"/>
                <w:b/>
                <w:bCs/>
                <w:color w:val="FFFFFF" w:themeColor="background1"/>
              </w:rPr>
            </w:pPr>
            <w:r w:rsidRPr="002048A7">
              <w:rPr>
                <w:rFonts w:cstheme="minorHAnsi"/>
                <w:b/>
                <w:bCs/>
                <w:color w:val="FFFFFF" w:themeColor="background1"/>
              </w:rPr>
              <w:t xml:space="preserve">DOLU KADRO </w:t>
            </w:r>
            <w:r w:rsidRPr="002048A7">
              <w:rPr>
                <w:rFonts w:cstheme="minorHAnsi"/>
                <w:b/>
                <w:bCs/>
                <w:color w:val="FFFFFF" w:themeColor="background1"/>
              </w:rPr>
              <w:br/>
              <w:t>SAYISI</w:t>
            </w:r>
          </w:p>
        </w:tc>
        <w:tc>
          <w:tcPr>
            <w:tcW w:w="1936" w:type="pct"/>
            <w:gridSpan w:val="6"/>
            <w:shd w:val="clear" w:color="auto" w:fill="6E9ECA"/>
            <w:vAlign w:val="center"/>
          </w:tcPr>
          <w:p w14:paraId="7E77244D" w14:textId="77777777" w:rsidR="00633B0C" w:rsidRPr="002048A7" w:rsidRDefault="00633B0C" w:rsidP="00162B0C">
            <w:pPr>
              <w:spacing w:after="0"/>
              <w:jc w:val="center"/>
              <w:rPr>
                <w:rFonts w:cstheme="minorHAnsi"/>
                <w:b/>
                <w:bCs/>
                <w:color w:val="FFFFFF" w:themeColor="background1"/>
              </w:rPr>
            </w:pPr>
            <w:r w:rsidRPr="002048A7">
              <w:rPr>
                <w:rFonts w:cstheme="minorHAnsi"/>
                <w:b/>
                <w:bCs/>
                <w:color w:val="FFFFFF" w:themeColor="background1"/>
              </w:rPr>
              <w:t>ÖĞRENİM DURUMU</w:t>
            </w:r>
          </w:p>
        </w:tc>
        <w:tc>
          <w:tcPr>
            <w:tcW w:w="675" w:type="pct"/>
            <w:gridSpan w:val="2"/>
            <w:shd w:val="clear" w:color="auto" w:fill="6E9ECA"/>
            <w:noWrap/>
            <w:vAlign w:val="center"/>
          </w:tcPr>
          <w:p w14:paraId="3BB89329" w14:textId="77777777" w:rsidR="00633B0C" w:rsidRPr="002048A7" w:rsidRDefault="00633B0C" w:rsidP="00162B0C">
            <w:pPr>
              <w:spacing w:after="0"/>
              <w:jc w:val="center"/>
              <w:rPr>
                <w:rFonts w:cstheme="minorHAnsi"/>
                <w:b/>
                <w:bCs/>
                <w:color w:val="FFFFFF" w:themeColor="background1"/>
              </w:rPr>
            </w:pPr>
            <w:r w:rsidRPr="002048A7">
              <w:rPr>
                <w:rFonts w:cstheme="minorHAnsi"/>
                <w:b/>
                <w:bCs/>
                <w:color w:val="FFFFFF" w:themeColor="background1"/>
              </w:rPr>
              <w:t>CİNSİYETİ</w:t>
            </w:r>
          </w:p>
        </w:tc>
      </w:tr>
      <w:tr w:rsidR="00633B0C" w:rsidRPr="002048A7" w14:paraId="2C2BC908" w14:textId="77777777" w:rsidTr="001C2BBC">
        <w:trPr>
          <w:trHeight w:val="1549"/>
          <w:tblHeader/>
          <w:jc w:val="center"/>
        </w:trPr>
        <w:tc>
          <w:tcPr>
            <w:tcW w:w="1432" w:type="pct"/>
            <w:vMerge/>
            <w:shd w:val="clear" w:color="auto" w:fill="6E9ECA"/>
            <w:vAlign w:val="center"/>
          </w:tcPr>
          <w:p w14:paraId="18B42948" w14:textId="77777777" w:rsidR="00633B0C" w:rsidRPr="002048A7" w:rsidRDefault="00633B0C" w:rsidP="00162B0C">
            <w:pPr>
              <w:spacing w:after="0"/>
              <w:rPr>
                <w:rFonts w:cstheme="minorHAnsi"/>
                <w:b/>
                <w:bCs/>
                <w:color w:val="FFFFFF" w:themeColor="background1"/>
              </w:rPr>
            </w:pPr>
          </w:p>
        </w:tc>
        <w:tc>
          <w:tcPr>
            <w:tcW w:w="515" w:type="pct"/>
            <w:vMerge/>
            <w:shd w:val="clear" w:color="auto" w:fill="6E9ECA"/>
            <w:vAlign w:val="center"/>
          </w:tcPr>
          <w:p w14:paraId="52A06CAC" w14:textId="77777777" w:rsidR="00633B0C" w:rsidRPr="002048A7" w:rsidRDefault="00633B0C" w:rsidP="00162B0C">
            <w:pPr>
              <w:spacing w:after="0"/>
              <w:jc w:val="center"/>
              <w:rPr>
                <w:rFonts w:cstheme="minorHAnsi"/>
                <w:b/>
                <w:bCs/>
                <w:color w:val="FFFFFF" w:themeColor="background1"/>
              </w:rPr>
            </w:pPr>
          </w:p>
        </w:tc>
        <w:tc>
          <w:tcPr>
            <w:tcW w:w="442" w:type="pct"/>
            <w:vMerge/>
            <w:shd w:val="clear" w:color="auto" w:fill="6E9ECA"/>
            <w:vAlign w:val="center"/>
          </w:tcPr>
          <w:p w14:paraId="6F75E131" w14:textId="77777777" w:rsidR="00633B0C" w:rsidRPr="002048A7" w:rsidRDefault="00633B0C" w:rsidP="00162B0C">
            <w:pPr>
              <w:spacing w:after="0"/>
              <w:jc w:val="center"/>
              <w:rPr>
                <w:rFonts w:cstheme="minorHAnsi"/>
                <w:b/>
                <w:bCs/>
                <w:color w:val="FFFFFF" w:themeColor="background1"/>
              </w:rPr>
            </w:pPr>
          </w:p>
        </w:tc>
        <w:tc>
          <w:tcPr>
            <w:tcW w:w="322" w:type="pct"/>
            <w:shd w:val="clear" w:color="auto" w:fill="6E9ECA"/>
            <w:noWrap/>
            <w:textDirection w:val="btLr"/>
            <w:vAlign w:val="center"/>
          </w:tcPr>
          <w:p w14:paraId="184D056C" w14:textId="77777777" w:rsidR="00633B0C" w:rsidRPr="002048A7" w:rsidRDefault="00633B0C" w:rsidP="00162B0C">
            <w:pPr>
              <w:spacing w:after="0"/>
              <w:jc w:val="center"/>
              <w:rPr>
                <w:rFonts w:cstheme="minorHAnsi"/>
                <w:b/>
                <w:bCs/>
                <w:color w:val="FFFFFF" w:themeColor="background1"/>
              </w:rPr>
            </w:pPr>
            <w:r w:rsidRPr="002048A7">
              <w:rPr>
                <w:rFonts w:cstheme="minorHAnsi"/>
                <w:b/>
                <w:bCs/>
                <w:color w:val="FFFFFF" w:themeColor="background1"/>
              </w:rPr>
              <w:t>İLKÖĞRETİM</w:t>
            </w:r>
          </w:p>
        </w:tc>
        <w:tc>
          <w:tcPr>
            <w:tcW w:w="322" w:type="pct"/>
            <w:shd w:val="clear" w:color="auto" w:fill="6E9ECA"/>
            <w:textDirection w:val="btLr"/>
            <w:vAlign w:val="center"/>
          </w:tcPr>
          <w:p w14:paraId="5DD5B402" w14:textId="77777777" w:rsidR="00633B0C" w:rsidRPr="002048A7" w:rsidRDefault="00633B0C" w:rsidP="00162B0C">
            <w:pPr>
              <w:spacing w:after="0"/>
              <w:jc w:val="center"/>
              <w:rPr>
                <w:rFonts w:cstheme="minorHAnsi"/>
                <w:b/>
                <w:bCs/>
                <w:color w:val="FFFFFF" w:themeColor="background1"/>
              </w:rPr>
            </w:pPr>
            <w:r w:rsidRPr="002048A7">
              <w:rPr>
                <w:rFonts w:cstheme="minorHAnsi"/>
                <w:b/>
                <w:bCs/>
                <w:color w:val="FFFFFF" w:themeColor="background1"/>
              </w:rPr>
              <w:t>ORTAÖĞRETİM</w:t>
            </w:r>
          </w:p>
        </w:tc>
        <w:tc>
          <w:tcPr>
            <w:tcW w:w="322" w:type="pct"/>
            <w:shd w:val="clear" w:color="auto" w:fill="6E9ECA"/>
            <w:textDirection w:val="btLr"/>
            <w:vAlign w:val="center"/>
          </w:tcPr>
          <w:p w14:paraId="6A679E45" w14:textId="77777777" w:rsidR="00633B0C" w:rsidRPr="002048A7" w:rsidRDefault="00633B0C" w:rsidP="00162B0C">
            <w:pPr>
              <w:spacing w:after="0"/>
              <w:jc w:val="center"/>
              <w:rPr>
                <w:rFonts w:cstheme="minorHAnsi"/>
                <w:b/>
                <w:bCs/>
                <w:color w:val="FFFFFF" w:themeColor="background1"/>
              </w:rPr>
            </w:pPr>
            <w:r w:rsidRPr="002048A7">
              <w:rPr>
                <w:rFonts w:cstheme="minorHAnsi"/>
                <w:b/>
                <w:bCs/>
                <w:color w:val="FFFFFF" w:themeColor="background1"/>
              </w:rPr>
              <w:t>ÖNLİSANS</w:t>
            </w:r>
          </w:p>
        </w:tc>
        <w:tc>
          <w:tcPr>
            <w:tcW w:w="322" w:type="pct"/>
            <w:shd w:val="clear" w:color="auto" w:fill="6E9ECA"/>
            <w:textDirection w:val="btLr"/>
            <w:vAlign w:val="center"/>
          </w:tcPr>
          <w:p w14:paraId="242FAC56" w14:textId="77777777" w:rsidR="00633B0C" w:rsidRPr="002048A7" w:rsidRDefault="00633B0C" w:rsidP="00162B0C">
            <w:pPr>
              <w:spacing w:after="0"/>
              <w:jc w:val="center"/>
              <w:rPr>
                <w:rFonts w:cstheme="minorHAnsi"/>
                <w:b/>
                <w:bCs/>
                <w:color w:val="FFFFFF" w:themeColor="background1"/>
              </w:rPr>
            </w:pPr>
            <w:r w:rsidRPr="002048A7">
              <w:rPr>
                <w:rFonts w:cstheme="minorHAnsi"/>
                <w:b/>
                <w:bCs/>
                <w:color w:val="FFFFFF" w:themeColor="background1"/>
              </w:rPr>
              <w:t>LİSANS</w:t>
            </w:r>
          </w:p>
        </w:tc>
        <w:tc>
          <w:tcPr>
            <w:tcW w:w="322" w:type="pct"/>
            <w:shd w:val="clear" w:color="auto" w:fill="6E9ECA"/>
            <w:textDirection w:val="btLr"/>
            <w:vAlign w:val="center"/>
          </w:tcPr>
          <w:p w14:paraId="53F32EF7" w14:textId="77777777" w:rsidR="00633B0C" w:rsidRPr="002048A7" w:rsidRDefault="00633B0C" w:rsidP="00162B0C">
            <w:pPr>
              <w:spacing w:after="0"/>
              <w:jc w:val="center"/>
              <w:rPr>
                <w:rFonts w:cstheme="minorHAnsi"/>
                <w:b/>
                <w:bCs/>
                <w:color w:val="FFFFFF" w:themeColor="background1"/>
              </w:rPr>
            </w:pPr>
            <w:r w:rsidRPr="002048A7">
              <w:rPr>
                <w:rFonts w:cstheme="minorHAnsi"/>
                <w:b/>
                <w:bCs/>
                <w:color w:val="FFFFFF" w:themeColor="background1"/>
              </w:rPr>
              <w:t>MASTER</w:t>
            </w:r>
          </w:p>
        </w:tc>
        <w:tc>
          <w:tcPr>
            <w:tcW w:w="326" w:type="pct"/>
            <w:shd w:val="clear" w:color="auto" w:fill="6E9ECA"/>
            <w:textDirection w:val="btLr"/>
            <w:vAlign w:val="center"/>
          </w:tcPr>
          <w:p w14:paraId="335D9DC3" w14:textId="77777777" w:rsidR="00633B0C" w:rsidRPr="002048A7" w:rsidRDefault="00633B0C" w:rsidP="00162B0C">
            <w:pPr>
              <w:spacing w:after="0"/>
              <w:jc w:val="center"/>
              <w:rPr>
                <w:rFonts w:cstheme="minorHAnsi"/>
                <w:b/>
                <w:bCs/>
                <w:color w:val="FFFFFF" w:themeColor="background1"/>
              </w:rPr>
            </w:pPr>
            <w:r w:rsidRPr="002048A7">
              <w:rPr>
                <w:rFonts w:cstheme="minorHAnsi"/>
                <w:b/>
                <w:bCs/>
                <w:color w:val="FFFFFF" w:themeColor="background1"/>
              </w:rPr>
              <w:t>DOKTORA</w:t>
            </w:r>
          </w:p>
        </w:tc>
        <w:tc>
          <w:tcPr>
            <w:tcW w:w="344" w:type="pct"/>
            <w:shd w:val="clear" w:color="auto" w:fill="6E9ECA"/>
            <w:textDirection w:val="btLr"/>
            <w:vAlign w:val="center"/>
          </w:tcPr>
          <w:p w14:paraId="297A0820" w14:textId="77777777" w:rsidR="00633B0C" w:rsidRPr="002048A7" w:rsidRDefault="00633B0C" w:rsidP="00162B0C">
            <w:pPr>
              <w:spacing w:after="0"/>
              <w:jc w:val="center"/>
              <w:rPr>
                <w:rFonts w:cstheme="minorHAnsi"/>
                <w:b/>
                <w:bCs/>
                <w:color w:val="FFFFFF" w:themeColor="background1"/>
              </w:rPr>
            </w:pPr>
            <w:r w:rsidRPr="002048A7">
              <w:rPr>
                <w:rFonts w:cstheme="minorHAnsi"/>
                <w:b/>
                <w:bCs/>
                <w:color w:val="FFFFFF" w:themeColor="background1"/>
              </w:rPr>
              <w:t>KADIN</w:t>
            </w:r>
          </w:p>
        </w:tc>
        <w:tc>
          <w:tcPr>
            <w:tcW w:w="331" w:type="pct"/>
            <w:shd w:val="clear" w:color="auto" w:fill="6E9ECA"/>
            <w:textDirection w:val="btLr"/>
            <w:vAlign w:val="center"/>
          </w:tcPr>
          <w:p w14:paraId="499675A3" w14:textId="77777777" w:rsidR="00633B0C" w:rsidRPr="002048A7" w:rsidRDefault="00633B0C" w:rsidP="00162B0C">
            <w:pPr>
              <w:spacing w:after="0"/>
              <w:jc w:val="center"/>
              <w:rPr>
                <w:rFonts w:cstheme="minorHAnsi"/>
                <w:b/>
                <w:bCs/>
                <w:color w:val="FFFFFF" w:themeColor="background1"/>
              </w:rPr>
            </w:pPr>
            <w:r w:rsidRPr="002048A7">
              <w:rPr>
                <w:rFonts w:cstheme="minorHAnsi"/>
                <w:b/>
                <w:bCs/>
                <w:color w:val="FFFFFF" w:themeColor="background1"/>
              </w:rPr>
              <w:t>ERKEK</w:t>
            </w:r>
          </w:p>
        </w:tc>
      </w:tr>
      <w:tr w:rsidR="0003197C" w:rsidRPr="002048A7" w14:paraId="5EFE086C" w14:textId="77777777" w:rsidTr="001C2BBC">
        <w:trPr>
          <w:trHeight w:val="227"/>
          <w:jc w:val="center"/>
        </w:trPr>
        <w:tc>
          <w:tcPr>
            <w:tcW w:w="1432" w:type="pct"/>
            <w:shd w:val="clear" w:color="auto" w:fill="auto"/>
            <w:noWrap/>
            <w:vAlign w:val="center"/>
          </w:tcPr>
          <w:p w14:paraId="26CBF114" w14:textId="77777777" w:rsidR="0003197C" w:rsidRPr="002048A7" w:rsidRDefault="0003197C" w:rsidP="0003197C">
            <w:pPr>
              <w:spacing w:after="0"/>
              <w:rPr>
                <w:rFonts w:cstheme="minorHAnsi"/>
                <w:color w:val="000000" w:themeColor="text1"/>
              </w:rPr>
            </w:pPr>
            <w:bookmarkStart w:id="449" w:name="_Hlk286234746"/>
            <w:r w:rsidRPr="002048A7">
              <w:rPr>
                <w:rFonts w:cstheme="minorHAnsi"/>
                <w:color w:val="000000" w:themeColor="text1"/>
              </w:rPr>
              <w:t>Büro Personeli</w:t>
            </w:r>
          </w:p>
        </w:tc>
        <w:tc>
          <w:tcPr>
            <w:tcW w:w="515" w:type="pct"/>
            <w:tcBorders>
              <w:top w:val="single" w:sz="4" w:space="0" w:color="D9D9D9"/>
              <w:left w:val="single" w:sz="4" w:space="0" w:color="D9D9D9"/>
              <w:bottom w:val="single" w:sz="4" w:space="0" w:color="D9D9D9"/>
              <w:right w:val="single" w:sz="4" w:space="0" w:color="D9D9D9"/>
            </w:tcBorders>
            <w:noWrap/>
          </w:tcPr>
          <w:p w14:paraId="78EC5671" w14:textId="77777777" w:rsidR="0003197C" w:rsidRPr="0003197C" w:rsidRDefault="0003197C" w:rsidP="0003197C">
            <w:pPr>
              <w:spacing w:after="0"/>
              <w:jc w:val="center"/>
              <w:rPr>
                <w:rFonts w:cstheme="minorHAnsi"/>
                <w:color w:val="000000"/>
              </w:rPr>
            </w:pPr>
            <w:r w:rsidRPr="0003197C">
              <w:rPr>
                <w:rFonts w:cstheme="minorHAnsi"/>
                <w:color w:val="000000"/>
              </w:rPr>
              <w:t>56</w:t>
            </w:r>
          </w:p>
        </w:tc>
        <w:tc>
          <w:tcPr>
            <w:tcW w:w="442" w:type="pct"/>
            <w:tcBorders>
              <w:top w:val="single" w:sz="4" w:space="0" w:color="D9D9D9"/>
              <w:left w:val="single" w:sz="4" w:space="0" w:color="D9D9D9"/>
              <w:bottom w:val="single" w:sz="4" w:space="0" w:color="D9D9D9"/>
              <w:right w:val="single" w:sz="4" w:space="0" w:color="D9D9D9"/>
            </w:tcBorders>
            <w:noWrap/>
          </w:tcPr>
          <w:p w14:paraId="1DBD2683" w14:textId="77777777" w:rsidR="0003197C" w:rsidRPr="0003197C" w:rsidRDefault="0003197C" w:rsidP="0003197C">
            <w:pPr>
              <w:spacing w:after="0"/>
              <w:jc w:val="center"/>
              <w:rPr>
                <w:rFonts w:cstheme="minorHAnsi"/>
                <w:color w:val="000000"/>
              </w:rPr>
            </w:pPr>
            <w:r w:rsidRPr="0003197C">
              <w:rPr>
                <w:rFonts w:cstheme="minorHAnsi"/>
                <w:color w:val="000000"/>
              </w:rPr>
              <w:t>56</w:t>
            </w:r>
          </w:p>
        </w:tc>
        <w:tc>
          <w:tcPr>
            <w:tcW w:w="322" w:type="pct"/>
            <w:tcBorders>
              <w:top w:val="single" w:sz="4" w:space="0" w:color="D9D9D9"/>
              <w:left w:val="single" w:sz="4" w:space="0" w:color="D9D9D9"/>
              <w:bottom w:val="single" w:sz="4" w:space="0" w:color="D9D9D9"/>
              <w:right w:val="single" w:sz="4" w:space="0" w:color="D9D9D9"/>
            </w:tcBorders>
            <w:noWrap/>
          </w:tcPr>
          <w:p w14:paraId="7C7B33FF" w14:textId="77777777" w:rsidR="0003197C" w:rsidRPr="0003197C" w:rsidRDefault="0003197C" w:rsidP="0003197C">
            <w:pPr>
              <w:spacing w:after="0"/>
              <w:jc w:val="center"/>
              <w:rPr>
                <w:rFonts w:cstheme="minorHAnsi"/>
                <w:color w:val="000000"/>
              </w:rPr>
            </w:pPr>
          </w:p>
        </w:tc>
        <w:tc>
          <w:tcPr>
            <w:tcW w:w="322" w:type="pct"/>
            <w:tcBorders>
              <w:top w:val="single" w:sz="4" w:space="0" w:color="D9D9D9"/>
              <w:left w:val="single" w:sz="4" w:space="0" w:color="D9D9D9"/>
              <w:bottom w:val="single" w:sz="4" w:space="0" w:color="D9D9D9"/>
              <w:right w:val="single" w:sz="4" w:space="0" w:color="D9D9D9"/>
            </w:tcBorders>
          </w:tcPr>
          <w:p w14:paraId="1D86B79F" w14:textId="77777777" w:rsidR="0003197C" w:rsidRPr="0003197C" w:rsidRDefault="0003197C" w:rsidP="0003197C">
            <w:pPr>
              <w:spacing w:after="0"/>
              <w:jc w:val="center"/>
              <w:rPr>
                <w:rFonts w:cstheme="minorHAnsi"/>
                <w:color w:val="000000"/>
              </w:rPr>
            </w:pPr>
            <w:r w:rsidRPr="0003197C">
              <w:rPr>
                <w:rFonts w:cstheme="minorHAnsi"/>
                <w:color w:val="000000"/>
              </w:rPr>
              <w:t>15</w:t>
            </w:r>
          </w:p>
        </w:tc>
        <w:tc>
          <w:tcPr>
            <w:tcW w:w="322" w:type="pct"/>
            <w:tcBorders>
              <w:top w:val="single" w:sz="4" w:space="0" w:color="D9D9D9"/>
              <w:left w:val="single" w:sz="4" w:space="0" w:color="D9D9D9"/>
              <w:bottom w:val="single" w:sz="4" w:space="0" w:color="D9D9D9"/>
              <w:right w:val="single" w:sz="4" w:space="0" w:color="D9D9D9"/>
            </w:tcBorders>
            <w:noWrap/>
          </w:tcPr>
          <w:p w14:paraId="543F1D83" w14:textId="77777777" w:rsidR="0003197C" w:rsidRPr="0003197C" w:rsidRDefault="0003197C" w:rsidP="0003197C">
            <w:pPr>
              <w:spacing w:after="0"/>
              <w:jc w:val="center"/>
              <w:rPr>
                <w:rFonts w:cstheme="minorHAnsi"/>
                <w:color w:val="000000"/>
              </w:rPr>
            </w:pPr>
            <w:r w:rsidRPr="0003197C">
              <w:rPr>
                <w:rFonts w:cstheme="minorHAnsi"/>
                <w:color w:val="000000"/>
              </w:rPr>
              <w:t>8</w:t>
            </w:r>
          </w:p>
        </w:tc>
        <w:tc>
          <w:tcPr>
            <w:tcW w:w="322" w:type="pct"/>
            <w:tcBorders>
              <w:top w:val="single" w:sz="4" w:space="0" w:color="D9D9D9"/>
              <w:left w:val="single" w:sz="4" w:space="0" w:color="D9D9D9"/>
              <w:bottom w:val="single" w:sz="4" w:space="0" w:color="D9D9D9"/>
              <w:right w:val="single" w:sz="4" w:space="0" w:color="D9D9D9"/>
            </w:tcBorders>
            <w:noWrap/>
          </w:tcPr>
          <w:p w14:paraId="145C00C3" w14:textId="77777777" w:rsidR="0003197C" w:rsidRPr="0003197C" w:rsidRDefault="0003197C" w:rsidP="0003197C">
            <w:pPr>
              <w:spacing w:after="0"/>
              <w:jc w:val="center"/>
              <w:rPr>
                <w:rFonts w:cstheme="minorHAnsi"/>
                <w:color w:val="000000"/>
              </w:rPr>
            </w:pPr>
            <w:r w:rsidRPr="0003197C">
              <w:rPr>
                <w:rFonts w:cstheme="minorHAnsi"/>
                <w:color w:val="000000"/>
              </w:rPr>
              <w:t>33</w:t>
            </w:r>
          </w:p>
        </w:tc>
        <w:tc>
          <w:tcPr>
            <w:tcW w:w="322" w:type="pct"/>
            <w:tcBorders>
              <w:top w:val="single" w:sz="4" w:space="0" w:color="D9D9D9"/>
              <w:left w:val="single" w:sz="4" w:space="0" w:color="D9D9D9"/>
              <w:bottom w:val="single" w:sz="4" w:space="0" w:color="D9D9D9"/>
              <w:right w:val="single" w:sz="4" w:space="0" w:color="D9D9D9"/>
            </w:tcBorders>
            <w:noWrap/>
          </w:tcPr>
          <w:p w14:paraId="2895E7F9" w14:textId="77777777" w:rsidR="0003197C" w:rsidRPr="0003197C" w:rsidRDefault="0003197C" w:rsidP="0003197C">
            <w:pPr>
              <w:spacing w:after="0"/>
              <w:jc w:val="center"/>
              <w:rPr>
                <w:rFonts w:cstheme="minorHAnsi"/>
                <w:color w:val="000000"/>
              </w:rPr>
            </w:pPr>
          </w:p>
        </w:tc>
        <w:tc>
          <w:tcPr>
            <w:tcW w:w="326" w:type="pct"/>
            <w:tcBorders>
              <w:top w:val="single" w:sz="4" w:space="0" w:color="D9D9D9"/>
              <w:left w:val="single" w:sz="4" w:space="0" w:color="D9D9D9"/>
              <w:bottom w:val="single" w:sz="4" w:space="0" w:color="D9D9D9"/>
              <w:right w:val="single" w:sz="4" w:space="0" w:color="D9D9D9"/>
            </w:tcBorders>
            <w:noWrap/>
          </w:tcPr>
          <w:p w14:paraId="19F0F89A" w14:textId="77777777" w:rsidR="0003197C" w:rsidRPr="0003197C" w:rsidRDefault="0003197C" w:rsidP="0003197C">
            <w:pPr>
              <w:spacing w:after="0"/>
              <w:jc w:val="center"/>
              <w:rPr>
                <w:rFonts w:cstheme="minorHAnsi"/>
                <w:color w:val="000000"/>
              </w:rPr>
            </w:pPr>
          </w:p>
        </w:tc>
        <w:tc>
          <w:tcPr>
            <w:tcW w:w="344" w:type="pct"/>
            <w:tcBorders>
              <w:top w:val="single" w:sz="4" w:space="0" w:color="D9D9D9"/>
              <w:left w:val="single" w:sz="4" w:space="0" w:color="D9D9D9"/>
              <w:bottom w:val="single" w:sz="4" w:space="0" w:color="D9D9D9"/>
              <w:right w:val="single" w:sz="4" w:space="0" w:color="D9D9D9"/>
            </w:tcBorders>
            <w:noWrap/>
          </w:tcPr>
          <w:p w14:paraId="4C7DE7D0" w14:textId="77777777" w:rsidR="0003197C" w:rsidRPr="0003197C" w:rsidRDefault="0003197C" w:rsidP="0003197C">
            <w:pPr>
              <w:spacing w:after="0"/>
              <w:jc w:val="center"/>
              <w:rPr>
                <w:rFonts w:cstheme="minorHAnsi"/>
                <w:color w:val="000000"/>
              </w:rPr>
            </w:pPr>
            <w:r w:rsidRPr="0003197C">
              <w:rPr>
                <w:rFonts w:cstheme="minorHAnsi"/>
                <w:color w:val="000000"/>
              </w:rPr>
              <w:t>35</w:t>
            </w:r>
          </w:p>
        </w:tc>
        <w:tc>
          <w:tcPr>
            <w:tcW w:w="331" w:type="pct"/>
            <w:tcBorders>
              <w:top w:val="single" w:sz="4" w:space="0" w:color="D9D9D9"/>
              <w:left w:val="single" w:sz="4" w:space="0" w:color="D9D9D9"/>
              <w:bottom w:val="single" w:sz="4" w:space="0" w:color="D9D9D9"/>
              <w:right w:val="single" w:sz="4" w:space="0" w:color="D9D9D9"/>
            </w:tcBorders>
            <w:noWrap/>
          </w:tcPr>
          <w:p w14:paraId="1532F56D" w14:textId="77777777" w:rsidR="0003197C" w:rsidRPr="0003197C" w:rsidRDefault="0003197C" w:rsidP="0003197C">
            <w:pPr>
              <w:spacing w:after="0"/>
              <w:jc w:val="center"/>
              <w:rPr>
                <w:rFonts w:cstheme="minorHAnsi"/>
                <w:color w:val="000000"/>
              </w:rPr>
            </w:pPr>
            <w:r w:rsidRPr="0003197C">
              <w:rPr>
                <w:rFonts w:cstheme="minorHAnsi"/>
                <w:color w:val="000000"/>
              </w:rPr>
              <w:t>21</w:t>
            </w:r>
          </w:p>
        </w:tc>
      </w:tr>
      <w:tr w:rsidR="0003197C" w:rsidRPr="002048A7" w14:paraId="4CB6C997" w14:textId="77777777" w:rsidTr="001C2BBC">
        <w:trPr>
          <w:trHeight w:val="227"/>
          <w:jc w:val="center"/>
        </w:trPr>
        <w:tc>
          <w:tcPr>
            <w:tcW w:w="1432" w:type="pct"/>
            <w:shd w:val="clear" w:color="auto" w:fill="auto"/>
            <w:vAlign w:val="center"/>
          </w:tcPr>
          <w:p w14:paraId="52960F6B" w14:textId="77777777" w:rsidR="0003197C" w:rsidRPr="002048A7" w:rsidRDefault="0003197C" w:rsidP="0003197C">
            <w:pPr>
              <w:autoSpaceDE w:val="0"/>
              <w:autoSpaceDN w:val="0"/>
              <w:adjustRightInd w:val="0"/>
              <w:spacing w:after="0" w:line="240" w:lineRule="auto"/>
              <w:rPr>
                <w:rFonts w:cstheme="minorHAnsi"/>
                <w:color w:val="000000" w:themeColor="text1"/>
              </w:rPr>
            </w:pPr>
            <w:r w:rsidRPr="002048A7">
              <w:rPr>
                <w:rFonts w:cstheme="minorHAnsi"/>
                <w:color w:val="000000" w:themeColor="text1"/>
              </w:rPr>
              <w:lastRenderedPageBreak/>
              <w:t>Güvenlik Personeli</w:t>
            </w:r>
          </w:p>
        </w:tc>
        <w:tc>
          <w:tcPr>
            <w:tcW w:w="515" w:type="pct"/>
            <w:tcBorders>
              <w:top w:val="single" w:sz="4" w:space="0" w:color="D9D9D9"/>
              <w:left w:val="single" w:sz="4" w:space="0" w:color="D9D9D9"/>
              <w:bottom w:val="single" w:sz="4" w:space="0" w:color="D9D9D9"/>
              <w:right w:val="single" w:sz="4" w:space="0" w:color="D9D9D9"/>
            </w:tcBorders>
          </w:tcPr>
          <w:p w14:paraId="61DA6332" w14:textId="77777777" w:rsidR="0003197C" w:rsidRPr="0003197C" w:rsidRDefault="0003197C" w:rsidP="0003197C">
            <w:pPr>
              <w:spacing w:after="0"/>
              <w:jc w:val="center"/>
              <w:rPr>
                <w:rFonts w:cstheme="minorHAnsi"/>
                <w:color w:val="000000"/>
              </w:rPr>
            </w:pPr>
            <w:r w:rsidRPr="0003197C">
              <w:rPr>
                <w:rFonts w:cstheme="minorHAnsi"/>
                <w:color w:val="000000"/>
              </w:rPr>
              <w:t>49</w:t>
            </w:r>
          </w:p>
        </w:tc>
        <w:tc>
          <w:tcPr>
            <w:tcW w:w="442" w:type="pct"/>
            <w:tcBorders>
              <w:top w:val="single" w:sz="4" w:space="0" w:color="D9D9D9"/>
              <w:left w:val="single" w:sz="4" w:space="0" w:color="D9D9D9"/>
              <w:bottom w:val="single" w:sz="4" w:space="0" w:color="D9D9D9"/>
              <w:right w:val="single" w:sz="4" w:space="0" w:color="D9D9D9"/>
            </w:tcBorders>
            <w:noWrap/>
          </w:tcPr>
          <w:p w14:paraId="121C6183" w14:textId="77777777" w:rsidR="0003197C" w:rsidRPr="0003197C" w:rsidRDefault="0003197C" w:rsidP="0003197C">
            <w:pPr>
              <w:spacing w:after="0"/>
              <w:jc w:val="center"/>
              <w:rPr>
                <w:rFonts w:cstheme="minorHAnsi"/>
                <w:color w:val="000000"/>
              </w:rPr>
            </w:pPr>
            <w:r w:rsidRPr="0003197C">
              <w:rPr>
                <w:rFonts w:cstheme="minorHAnsi"/>
                <w:color w:val="000000"/>
              </w:rPr>
              <w:t>47</w:t>
            </w:r>
          </w:p>
        </w:tc>
        <w:tc>
          <w:tcPr>
            <w:tcW w:w="322" w:type="pct"/>
            <w:tcBorders>
              <w:top w:val="single" w:sz="4" w:space="0" w:color="D9D9D9"/>
              <w:left w:val="single" w:sz="4" w:space="0" w:color="D9D9D9"/>
              <w:bottom w:val="single" w:sz="4" w:space="0" w:color="D9D9D9"/>
              <w:right w:val="single" w:sz="4" w:space="0" w:color="D9D9D9"/>
            </w:tcBorders>
            <w:noWrap/>
          </w:tcPr>
          <w:p w14:paraId="65D5AB17" w14:textId="77777777" w:rsidR="0003197C" w:rsidRPr="0003197C" w:rsidRDefault="0003197C" w:rsidP="0003197C">
            <w:pPr>
              <w:spacing w:after="0"/>
              <w:jc w:val="center"/>
              <w:rPr>
                <w:rFonts w:cstheme="minorHAnsi"/>
                <w:color w:val="000000"/>
              </w:rPr>
            </w:pPr>
          </w:p>
        </w:tc>
        <w:tc>
          <w:tcPr>
            <w:tcW w:w="322" w:type="pct"/>
            <w:tcBorders>
              <w:top w:val="single" w:sz="4" w:space="0" w:color="D9D9D9"/>
              <w:left w:val="single" w:sz="4" w:space="0" w:color="D9D9D9"/>
              <w:bottom w:val="single" w:sz="4" w:space="0" w:color="D9D9D9"/>
              <w:right w:val="single" w:sz="4" w:space="0" w:color="D9D9D9"/>
            </w:tcBorders>
          </w:tcPr>
          <w:p w14:paraId="51117CA7" w14:textId="77777777" w:rsidR="0003197C" w:rsidRPr="0003197C" w:rsidRDefault="0003197C" w:rsidP="0003197C">
            <w:pPr>
              <w:spacing w:after="0"/>
              <w:jc w:val="center"/>
              <w:rPr>
                <w:rFonts w:cstheme="minorHAnsi"/>
                <w:color w:val="000000"/>
              </w:rPr>
            </w:pPr>
            <w:r w:rsidRPr="0003197C">
              <w:rPr>
                <w:rFonts w:cstheme="minorHAnsi"/>
                <w:color w:val="000000"/>
              </w:rPr>
              <w:t>38</w:t>
            </w:r>
          </w:p>
        </w:tc>
        <w:tc>
          <w:tcPr>
            <w:tcW w:w="322" w:type="pct"/>
            <w:tcBorders>
              <w:top w:val="single" w:sz="4" w:space="0" w:color="D9D9D9"/>
              <w:left w:val="single" w:sz="4" w:space="0" w:color="D9D9D9"/>
              <w:bottom w:val="single" w:sz="4" w:space="0" w:color="D9D9D9"/>
              <w:right w:val="single" w:sz="4" w:space="0" w:color="D9D9D9"/>
            </w:tcBorders>
            <w:noWrap/>
          </w:tcPr>
          <w:p w14:paraId="26E7F0B4" w14:textId="77777777" w:rsidR="0003197C" w:rsidRPr="0003197C" w:rsidRDefault="0003197C" w:rsidP="0003197C">
            <w:pPr>
              <w:spacing w:after="0"/>
              <w:jc w:val="center"/>
              <w:rPr>
                <w:rFonts w:cstheme="minorHAnsi"/>
                <w:color w:val="000000"/>
              </w:rPr>
            </w:pPr>
            <w:r w:rsidRPr="0003197C">
              <w:rPr>
                <w:rFonts w:cstheme="minorHAnsi"/>
                <w:color w:val="000000"/>
              </w:rPr>
              <w:t>6</w:t>
            </w:r>
          </w:p>
        </w:tc>
        <w:tc>
          <w:tcPr>
            <w:tcW w:w="322" w:type="pct"/>
            <w:tcBorders>
              <w:top w:val="single" w:sz="4" w:space="0" w:color="D9D9D9"/>
              <w:left w:val="single" w:sz="4" w:space="0" w:color="D9D9D9"/>
              <w:bottom w:val="single" w:sz="4" w:space="0" w:color="D9D9D9"/>
              <w:right w:val="single" w:sz="4" w:space="0" w:color="D9D9D9"/>
            </w:tcBorders>
            <w:noWrap/>
          </w:tcPr>
          <w:p w14:paraId="2B0A01A8" w14:textId="77777777" w:rsidR="0003197C" w:rsidRPr="0003197C" w:rsidRDefault="0003197C" w:rsidP="0003197C">
            <w:pPr>
              <w:spacing w:after="0"/>
              <w:jc w:val="center"/>
              <w:rPr>
                <w:rFonts w:cstheme="minorHAnsi"/>
                <w:color w:val="000000"/>
              </w:rPr>
            </w:pPr>
            <w:r w:rsidRPr="0003197C">
              <w:rPr>
                <w:rFonts w:cstheme="minorHAnsi"/>
                <w:color w:val="000000"/>
              </w:rPr>
              <w:t>3</w:t>
            </w:r>
          </w:p>
        </w:tc>
        <w:tc>
          <w:tcPr>
            <w:tcW w:w="322" w:type="pct"/>
            <w:tcBorders>
              <w:top w:val="single" w:sz="4" w:space="0" w:color="D9D9D9"/>
              <w:left w:val="single" w:sz="4" w:space="0" w:color="D9D9D9"/>
              <w:bottom w:val="single" w:sz="4" w:space="0" w:color="D9D9D9"/>
              <w:right w:val="single" w:sz="4" w:space="0" w:color="D9D9D9"/>
            </w:tcBorders>
            <w:noWrap/>
          </w:tcPr>
          <w:p w14:paraId="39EE62D2" w14:textId="77777777" w:rsidR="0003197C" w:rsidRPr="0003197C" w:rsidRDefault="0003197C" w:rsidP="0003197C">
            <w:pPr>
              <w:spacing w:after="0"/>
              <w:jc w:val="center"/>
              <w:rPr>
                <w:rFonts w:cstheme="minorHAnsi"/>
                <w:color w:val="000000"/>
              </w:rPr>
            </w:pPr>
          </w:p>
        </w:tc>
        <w:tc>
          <w:tcPr>
            <w:tcW w:w="326" w:type="pct"/>
            <w:tcBorders>
              <w:top w:val="single" w:sz="4" w:space="0" w:color="D9D9D9"/>
              <w:left w:val="single" w:sz="4" w:space="0" w:color="D9D9D9"/>
              <w:bottom w:val="single" w:sz="4" w:space="0" w:color="D9D9D9"/>
              <w:right w:val="single" w:sz="4" w:space="0" w:color="D9D9D9"/>
            </w:tcBorders>
            <w:noWrap/>
          </w:tcPr>
          <w:p w14:paraId="0951F57F" w14:textId="77777777" w:rsidR="0003197C" w:rsidRPr="0003197C" w:rsidRDefault="0003197C" w:rsidP="0003197C">
            <w:pPr>
              <w:spacing w:after="0"/>
              <w:jc w:val="center"/>
              <w:rPr>
                <w:rFonts w:cstheme="minorHAnsi"/>
                <w:color w:val="000000"/>
              </w:rPr>
            </w:pPr>
          </w:p>
        </w:tc>
        <w:tc>
          <w:tcPr>
            <w:tcW w:w="344" w:type="pct"/>
            <w:tcBorders>
              <w:top w:val="single" w:sz="4" w:space="0" w:color="D9D9D9"/>
              <w:left w:val="single" w:sz="4" w:space="0" w:color="D9D9D9"/>
              <w:bottom w:val="single" w:sz="4" w:space="0" w:color="D9D9D9"/>
              <w:right w:val="single" w:sz="4" w:space="0" w:color="D9D9D9"/>
            </w:tcBorders>
            <w:noWrap/>
          </w:tcPr>
          <w:p w14:paraId="2843CF7F" w14:textId="77777777" w:rsidR="0003197C" w:rsidRPr="0003197C" w:rsidRDefault="0003197C" w:rsidP="0003197C">
            <w:pPr>
              <w:spacing w:after="0"/>
              <w:jc w:val="center"/>
              <w:rPr>
                <w:rFonts w:cstheme="minorHAnsi"/>
                <w:color w:val="000000"/>
              </w:rPr>
            </w:pPr>
            <w:r w:rsidRPr="0003197C">
              <w:rPr>
                <w:rFonts w:cstheme="minorHAnsi"/>
                <w:color w:val="000000"/>
              </w:rPr>
              <w:t>7</w:t>
            </w:r>
          </w:p>
        </w:tc>
        <w:tc>
          <w:tcPr>
            <w:tcW w:w="331" w:type="pct"/>
            <w:tcBorders>
              <w:top w:val="single" w:sz="4" w:space="0" w:color="D9D9D9"/>
              <w:left w:val="single" w:sz="4" w:space="0" w:color="D9D9D9"/>
              <w:bottom w:val="single" w:sz="4" w:space="0" w:color="D9D9D9"/>
              <w:right w:val="single" w:sz="4" w:space="0" w:color="D9D9D9"/>
            </w:tcBorders>
            <w:noWrap/>
          </w:tcPr>
          <w:p w14:paraId="4C7C041E" w14:textId="77777777" w:rsidR="0003197C" w:rsidRPr="0003197C" w:rsidRDefault="0003197C" w:rsidP="0003197C">
            <w:pPr>
              <w:spacing w:after="0"/>
              <w:jc w:val="center"/>
              <w:rPr>
                <w:rFonts w:cstheme="minorHAnsi"/>
                <w:color w:val="000000"/>
              </w:rPr>
            </w:pPr>
            <w:r w:rsidRPr="0003197C">
              <w:rPr>
                <w:rFonts w:cstheme="minorHAnsi"/>
                <w:color w:val="000000"/>
              </w:rPr>
              <w:t>40</w:t>
            </w:r>
          </w:p>
        </w:tc>
      </w:tr>
      <w:tr w:rsidR="0003197C" w:rsidRPr="002048A7" w14:paraId="1799DB73" w14:textId="77777777" w:rsidTr="001C2BBC">
        <w:trPr>
          <w:trHeight w:val="227"/>
          <w:jc w:val="center"/>
        </w:trPr>
        <w:tc>
          <w:tcPr>
            <w:tcW w:w="1432" w:type="pct"/>
            <w:shd w:val="clear" w:color="auto" w:fill="auto"/>
            <w:vAlign w:val="center"/>
          </w:tcPr>
          <w:p w14:paraId="1B6085C4" w14:textId="77777777" w:rsidR="0003197C" w:rsidRPr="002048A7" w:rsidRDefault="0003197C" w:rsidP="0003197C">
            <w:pPr>
              <w:autoSpaceDE w:val="0"/>
              <w:autoSpaceDN w:val="0"/>
              <w:adjustRightInd w:val="0"/>
              <w:spacing w:after="0" w:line="240" w:lineRule="auto"/>
              <w:rPr>
                <w:rFonts w:cstheme="minorHAnsi"/>
                <w:color w:val="000000" w:themeColor="text1"/>
              </w:rPr>
            </w:pPr>
            <w:r w:rsidRPr="002048A7">
              <w:rPr>
                <w:rFonts w:cstheme="minorHAnsi"/>
                <w:color w:val="000000" w:themeColor="text1"/>
              </w:rPr>
              <w:t>Hizmet Personeli</w:t>
            </w:r>
          </w:p>
        </w:tc>
        <w:tc>
          <w:tcPr>
            <w:tcW w:w="515" w:type="pct"/>
            <w:tcBorders>
              <w:top w:val="single" w:sz="4" w:space="0" w:color="D9D9D9"/>
              <w:left w:val="single" w:sz="4" w:space="0" w:color="D9D9D9"/>
              <w:bottom w:val="single" w:sz="4" w:space="0" w:color="D9D9D9"/>
              <w:right w:val="single" w:sz="4" w:space="0" w:color="D9D9D9"/>
            </w:tcBorders>
          </w:tcPr>
          <w:p w14:paraId="60F876DC" w14:textId="77777777" w:rsidR="0003197C" w:rsidRPr="0003197C" w:rsidRDefault="0003197C" w:rsidP="0003197C">
            <w:pPr>
              <w:spacing w:after="0"/>
              <w:jc w:val="center"/>
              <w:rPr>
                <w:rFonts w:cstheme="minorHAnsi"/>
                <w:color w:val="000000"/>
              </w:rPr>
            </w:pPr>
            <w:r w:rsidRPr="0003197C">
              <w:rPr>
                <w:rFonts w:cstheme="minorHAnsi"/>
                <w:color w:val="000000"/>
              </w:rPr>
              <w:t>143</w:t>
            </w:r>
          </w:p>
        </w:tc>
        <w:tc>
          <w:tcPr>
            <w:tcW w:w="442" w:type="pct"/>
            <w:tcBorders>
              <w:top w:val="single" w:sz="4" w:space="0" w:color="D9D9D9"/>
              <w:left w:val="single" w:sz="4" w:space="0" w:color="D9D9D9"/>
              <w:bottom w:val="single" w:sz="4" w:space="0" w:color="D9D9D9"/>
              <w:right w:val="single" w:sz="4" w:space="0" w:color="D9D9D9"/>
            </w:tcBorders>
            <w:noWrap/>
          </w:tcPr>
          <w:p w14:paraId="36F4BAC7" w14:textId="77777777" w:rsidR="0003197C" w:rsidRPr="0003197C" w:rsidRDefault="0003197C" w:rsidP="0003197C">
            <w:pPr>
              <w:spacing w:after="0"/>
              <w:jc w:val="center"/>
              <w:rPr>
                <w:rFonts w:cstheme="minorHAnsi"/>
                <w:color w:val="000000"/>
              </w:rPr>
            </w:pPr>
            <w:r w:rsidRPr="0003197C">
              <w:rPr>
                <w:rFonts w:cstheme="minorHAnsi"/>
                <w:color w:val="000000"/>
              </w:rPr>
              <w:t>140</w:t>
            </w:r>
          </w:p>
        </w:tc>
        <w:tc>
          <w:tcPr>
            <w:tcW w:w="322" w:type="pct"/>
            <w:tcBorders>
              <w:top w:val="single" w:sz="4" w:space="0" w:color="D9D9D9"/>
              <w:left w:val="single" w:sz="4" w:space="0" w:color="D9D9D9"/>
              <w:bottom w:val="single" w:sz="4" w:space="0" w:color="D9D9D9"/>
              <w:right w:val="single" w:sz="4" w:space="0" w:color="D9D9D9"/>
            </w:tcBorders>
            <w:noWrap/>
          </w:tcPr>
          <w:p w14:paraId="65AE2A80" w14:textId="77777777" w:rsidR="0003197C" w:rsidRPr="0003197C" w:rsidRDefault="0003197C" w:rsidP="0003197C">
            <w:pPr>
              <w:spacing w:after="0"/>
              <w:jc w:val="center"/>
              <w:rPr>
                <w:rFonts w:cstheme="minorHAnsi"/>
                <w:color w:val="000000"/>
              </w:rPr>
            </w:pPr>
            <w:r w:rsidRPr="0003197C">
              <w:rPr>
                <w:rFonts w:cstheme="minorHAnsi"/>
                <w:color w:val="000000"/>
              </w:rPr>
              <w:t>25</w:t>
            </w:r>
          </w:p>
        </w:tc>
        <w:tc>
          <w:tcPr>
            <w:tcW w:w="322" w:type="pct"/>
            <w:tcBorders>
              <w:top w:val="single" w:sz="4" w:space="0" w:color="D9D9D9"/>
              <w:left w:val="single" w:sz="4" w:space="0" w:color="D9D9D9"/>
              <w:bottom w:val="single" w:sz="4" w:space="0" w:color="D9D9D9"/>
              <w:right w:val="single" w:sz="4" w:space="0" w:color="D9D9D9"/>
            </w:tcBorders>
          </w:tcPr>
          <w:p w14:paraId="65A151E8" w14:textId="77777777" w:rsidR="0003197C" w:rsidRPr="0003197C" w:rsidRDefault="0003197C" w:rsidP="0003197C">
            <w:pPr>
              <w:spacing w:after="0"/>
              <w:jc w:val="center"/>
              <w:rPr>
                <w:rFonts w:cstheme="minorHAnsi"/>
                <w:color w:val="000000"/>
              </w:rPr>
            </w:pPr>
            <w:r w:rsidRPr="0003197C">
              <w:rPr>
                <w:rFonts w:cstheme="minorHAnsi"/>
                <w:color w:val="000000"/>
              </w:rPr>
              <w:t>91</w:t>
            </w:r>
          </w:p>
        </w:tc>
        <w:tc>
          <w:tcPr>
            <w:tcW w:w="322" w:type="pct"/>
            <w:tcBorders>
              <w:top w:val="single" w:sz="4" w:space="0" w:color="D9D9D9"/>
              <w:left w:val="single" w:sz="4" w:space="0" w:color="D9D9D9"/>
              <w:bottom w:val="single" w:sz="4" w:space="0" w:color="D9D9D9"/>
              <w:right w:val="single" w:sz="4" w:space="0" w:color="D9D9D9"/>
            </w:tcBorders>
            <w:noWrap/>
          </w:tcPr>
          <w:p w14:paraId="78D01036" w14:textId="77777777" w:rsidR="0003197C" w:rsidRPr="0003197C" w:rsidRDefault="0003197C" w:rsidP="0003197C">
            <w:pPr>
              <w:spacing w:after="0"/>
              <w:jc w:val="center"/>
              <w:rPr>
                <w:rFonts w:cstheme="minorHAnsi"/>
                <w:color w:val="000000"/>
              </w:rPr>
            </w:pPr>
            <w:r w:rsidRPr="0003197C">
              <w:rPr>
                <w:rFonts w:cstheme="minorHAnsi"/>
                <w:color w:val="000000"/>
              </w:rPr>
              <w:t>14</w:t>
            </w:r>
          </w:p>
        </w:tc>
        <w:tc>
          <w:tcPr>
            <w:tcW w:w="322" w:type="pct"/>
            <w:tcBorders>
              <w:top w:val="single" w:sz="4" w:space="0" w:color="D9D9D9"/>
              <w:left w:val="single" w:sz="4" w:space="0" w:color="D9D9D9"/>
              <w:bottom w:val="single" w:sz="4" w:space="0" w:color="D9D9D9"/>
              <w:right w:val="single" w:sz="4" w:space="0" w:color="D9D9D9"/>
            </w:tcBorders>
            <w:noWrap/>
          </w:tcPr>
          <w:p w14:paraId="610AED23" w14:textId="77777777" w:rsidR="0003197C" w:rsidRPr="0003197C" w:rsidRDefault="0003197C" w:rsidP="0003197C">
            <w:pPr>
              <w:spacing w:after="0"/>
              <w:jc w:val="center"/>
              <w:rPr>
                <w:rFonts w:cstheme="minorHAnsi"/>
                <w:color w:val="000000"/>
              </w:rPr>
            </w:pPr>
            <w:r w:rsidRPr="0003197C">
              <w:rPr>
                <w:rFonts w:cstheme="minorHAnsi"/>
                <w:color w:val="000000"/>
              </w:rPr>
              <w:t>9</w:t>
            </w:r>
          </w:p>
        </w:tc>
        <w:tc>
          <w:tcPr>
            <w:tcW w:w="322" w:type="pct"/>
            <w:tcBorders>
              <w:top w:val="single" w:sz="4" w:space="0" w:color="D9D9D9"/>
              <w:left w:val="single" w:sz="4" w:space="0" w:color="D9D9D9"/>
              <w:bottom w:val="single" w:sz="4" w:space="0" w:color="D9D9D9"/>
              <w:right w:val="single" w:sz="4" w:space="0" w:color="D9D9D9"/>
            </w:tcBorders>
            <w:noWrap/>
          </w:tcPr>
          <w:p w14:paraId="7B384BED" w14:textId="77777777" w:rsidR="0003197C" w:rsidRPr="0003197C" w:rsidRDefault="0003197C" w:rsidP="0003197C">
            <w:pPr>
              <w:spacing w:after="0"/>
              <w:jc w:val="center"/>
              <w:rPr>
                <w:rFonts w:cstheme="minorHAnsi"/>
                <w:color w:val="000000"/>
              </w:rPr>
            </w:pPr>
            <w:r w:rsidRPr="0003197C">
              <w:rPr>
                <w:rFonts w:cstheme="minorHAnsi"/>
                <w:color w:val="000000"/>
              </w:rPr>
              <w:t>1</w:t>
            </w:r>
          </w:p>
        </w:tc>
        <w:tc>
          <w:tcPr>
            <w:tcW w:w="326" w:type="pct"/>
            <w:tcBorders>
              <w:top w:val="single" w:sz="4" w:space="0" w:color="D9D9D9"/>
              <w:left w:val="single" w:sz="4" w:space="0" w:color="D9D9D9"/>
              <w:bottom w:val="single" w:sz="4" w:space="0" w:color="D9D9D9"/>
              <w:right w:val="single" w:sz="4" w:space="0" w:color="D9D9D9"/>
            </w:tcBorders>
            <w:noWrap/>
          </w:tcPr>
          <w:p w14:paraId="39C5B8BC" w14:textId="77777777" w:rsidR="0003197C" w:rsidRPr="0003197C" w:rsidRDefault="0003197C" w:rsidP="0003197C">
            <w:pPr>
              <w:spacing w:after="0"/>
              <w:jc w:val="center"/>
              <w:rPr>
                <w:rFonts w:cstheme="minorHAnsi"/>
                <w:color w:val="000000"/>
              </w:rPr>
            </w:pPr>
          </w:p>
        </w:tc>
        <w:tc>
          <w:tcPr>
            <w:tcW w:w="344" w:type="pct"/>
            <w:tcBorders>
              <w:top w:val="single" w:sz="4" w:space="0" w:color="D9D9D9"/>
              <w:left w:val="single" w:sz="4" w:space="0" w:color="D9D9D9"/>
              <w:bottom w:val="single" w:sz="4" w:space="0" w:color="D9D9D9"/>
              <w:right w:val="single" w:sz="4" w:space="0" w:color="D9D9D9"/>
            </w:tcBorders>
            <w:noWrap/>
          </w:tcPr>
          <w:p w14:paraId="714CE507" w14:textId="77777777" w:rsidR="0003197C" w:rsidRPr="0003197C" w:rsidRDefault="0003197C" w:rsidP="0003197C">
            <w:pPr>
              <w:spacing w:after="0"/>
              <w:jc w:val="center"/>
              <w:rPr>
                <w:rFonts w:cstheme="minorHAnsi"/>
                <w:color w:val="000000"/>
              </w:rPr>
            </w:pPr>
            <w:r w:rsidRPr="0003197C">
              <w:rPr>
                <w:rFonts w:cstheme="minorHAnsi"/>
                <w:color w:val="000000"/>
              </w:rPr>
              <w:t>59</w:t>
            </w:r>
          </w:p>
        </w:tc>
        <w:tc>
          <w:tcPr>
            <w:tcW w:w="331" w:type="pct"/>
            <w:tcBorders>
              <w:top w:val="single" w:sz="4" w:space="0" w:color="D9D9D9"/>
              <w:left w:val="single" w:sz="4" w:space="0" w:color="D9D9D9"/>
              <w:bottom w:val="single" w:sz="4" w:space="0" w:color="D9D9D9"/>
              <w:right w:val="single" w:sz="4" w:space="0" w:color="D9D9D9"/>
            </w:tcBorders>
            <w:noWrap/>
          </w:tcPr>
          <w:p w14:paraId="2DFB2A7D" w14:textId="77777777" w:rsidR="0003197C" w:rsidRPr="0003197C" w:rsidRDefault="0003197C" w:rsidP="0003197C">
            <w:pPr>
              <w:spacing w:after="0"/>
              <w:jc w:val="center"/>
              <w:rPr>
                <w:rFonts w:cstheme="minorHAnsi"/>
                <w:color w:val="000000"/>
              </w:rPr>
            </w:pPr>
            <w:r w:rsidRPr="0003197C">
              <w:rPr>
                <w:rFonts w:cstheme="minorHAnsi"/>
                <w:color w:val="000000"/>
              </w:rPr>
              <w:t>81</w:t>
            </w:r>
          </w:p>
        </w:tc>
      </w:tr>
      <w:tr w:rsidR="0003197C" w:rsidRPr="002048A7" w14:paraId="21ADBDDE" w14:textId="77777777" w:rsidTr="001C2BBC">
        <w:trPr>
          <w:trHeight w:val="227"/>
          <w:jc w:val="center"/>
        </w:trPr>
        <w:tc>
          <w:tcPr>
            <w:tcW w:w="1432" w:type="pct"/>
            <w:shd w:val="clear" w:color="auto" w:fill="auto"/>
            <w:vAlign w:val="center"/>
          </w:tcPr>
          <w:p w14:paraId="04847CAF" w14:textId="77777777" w:rsidR="0003197C" w:rsidRPr="002048A7" w:rsidRDefault="0003197C" w:rsidP="0003197C">
            <w:pPr>
              <w:autoSpaceDE w:val="0"/>
              <w:autoSpaceDN w:val="0"/>
              <w:adjustRightInd w:val="0"/>
              <w:spacing w:after="0" w:line="240" w:lineRule="auto"/>
              <w:rPr>
                <w:rFonts w:cstheme="minorHAnsi"/>
                <w:color w:val="000000" w:themeColor="text1"/>
              </w:rPr>
            </w:pPr>
            <w:r w:rsidRPr="002048A7">
              <w:rPr>
                <w:rFonts w:cstheme="minorHAnsi"/>
                <w:color w:val="000000" w:themeColor="text1"/>
              </w:rPr>
              <w:t>Şoför</w:t>
            </w:r>
          </w:p>
        </w:tc>
        <w:tc>
          <w:tcPr>
            <w:tcW w:w="515" w:type="pct"/>
            <w:tcBorders>
              <w:top w:val="single" w:sz="4" w:space="0" w:color="D9D9D9"/>
              <w:left w:val="single" w:sz="4" w:space="0" w:color="D9D9D9"/>
              <w:bottom w:val="single" w:sz="4" w:space="0" w:color="D9D9D9"/>
              <w:right w:val="single" w:sz="4" w:space="0" w:color="D9D9D9"/>
            </w:tcBorders>
          </w:tcPr>
          <w:p w14:paraId="69AFF800" w14:textId="77777777" w:rsidR="0003197C" w:rsidRPr="0003197C" w:rsidRDefault="0003197C" w:rsidP="0003197C">
            <w:pPr>
              <w:spacing w:after="0"/>
              <w:jc w:val="center"/>
              <w:rPr>
                <w:rFonts w:cstheme="minorHAnsi"/>
                <w:color w:val="000000"/>
              </w:rPr>
            </w:pPr>
            <w:r w:rsidRPr="0003197C">
              <w:rPr>
                <w:rFonts w:cstheme="minorHAnsi"/>
                <w:color w:val="000000"/>
              </w:rPr>
              <w:t>1</w:t>
            </w:r>
          </w:p>
        </w:tc>
        <w:tc>
          <w:tcPr>
            <w:tcW w:w="442" w:type="pct"/>
            <w:tcBorders>
              <w:top w:val="single" w:sz="4" w:space="0" w:color="D9D9D9"/>
              <w:left w:val="single" w:sz="4" w:space="0" w:color="D9D9D9"/>
              <w:bottom w:val="single" w:sz="4" w:space="0" w:color="D9D9D9"/>
              <w:right w:val="single" w:sz="4" w:space="0" w:color="D9D9D9"/>
            </w:tcBorders>
            <w:noWrap/>
          </w:tcPr>
          <w:p w14:paraId="1EC9FB35" w14:textId="77777777" w:rsidR="0003197C" w:rsidRPr="0003197C" w:rsidRDefault="0003197C" w:rsidP="0003197C">
            <w:pPr>
              <w:spacing w:after="0"/>
              <w:jc w:val="center"/>
              <w:rPr>
                <w:rFonts w:cstheme="minorHAnsi"/>
                <w:color w:val="000000"/>
              </w:rPr>
            </w:pPr>
            <w:r w:rsidRPr="0003197C">
              <w:rPr>
                <w:rFonts w:cstheme="minorHAnsi"/>
                <w:color w:val="000000"/>
              </w:rPr>
              <w:t>1</w:t>
            </w:r>
          </w:p>
        </w:tc>
        <w:tc>
          <w:tcPr>
            <w:tcW w:w="322" w:type="pct"/>
            <w:tcBorders>
              <w:top w:val="single" w:sz="4" w:space="0" w:color="D9D9D9"/>
              <w:left w:val="single" w:sz="4" w:space="0" w:color="D9D9D9"/>
              <w:bottom w:val="single" w:sz="4" w:space="0" w:color="D9D9D9"/>
              <w:right w:val="single" w:sz="4" w:space="0" w:color="D9D9D9"/>
            </w:tcBorders>
            <w:noWrap/>
          </w:tcPr>
          <w:p w14:paraId="45B6E69D" w14:textId="77777777" w:rsidR="0003197C" w:rsidRPr="0003197C" w:rsidRDefault="0003197C" w:rsidP="0003197C">
            <w:pPr>
              <w:spacing w:after="0"/>
              <w:jc w:val="center"/>
              <w:rPr>
                <w:rFonts w:cstheme="minorHAnsi"/>
                <w:color w:val="000000"/>
              </w:rPr>
            </w:pPr>
            <w:r w:rsidRPr="0003197C">
              <w:rPr>
                <w:rFonts w:cstheme="minorHAnsi"/>
                <w:color w:val="000000"/>
              </w:rPr>
              <w:t>1</w:t>
            </w:r>
          </w:p>
        </w:tc>
        <w:tc>
          <w:tcPr>
            <w:tcW w:w="322" w:type="pct"/>
            <w:tcBorders>
              <w:top w:val="single" w:sz="4" w:space="0" w:color="D9D9D9"/>
              <w:left w:val="single" w:sz="4" w:space="0" w:color="D9D9D9"/>
              <w:bottom w:val="single" w:sz="4" w:space="0" w:color="D9D9D9"/>
              <w:right w:val="single" w:sz="4" w:space="0" w:color="D9D9D9"/>
            </w:tcBorders>
          </w:tcPr>
          <w:p w14:paraId="14B9DE05" w14:textId="77777777" w:rsidR="0003197C" w:rsidRPr="0003197C" w:rsidRDefault="0003197C" w:rsidP="0003197C">
            <w:pPr>
              <w:spacing w:after="0"/>
              <w:jc w:val="center"/>
              <w:rPr>
                <w:rFonts w:cstheme="minorHAnsi"/>
                <w:color w:val="000000"/>
              </w:rPr>
            </w:pPr>
          </w:p>
        </w:tc>
        <w:tc>
          <w:tcPr>
            <w:tcW w:w="322" w:type="pct"/>
            <w:tcBorders>
              <w:top w:val="single" w:sz="4" w:space="0" w:color="D9D9D9"/>
              <w:left w:val="single" w:sz="4" w:space="0" w:color="D9D9D9"/>
              <w:bottom w:val="single" w:sz="4" w:space="0" w:color="D9D9D9"/>
              <w:right w:val="single" w:sz="4" w:space="0" w:color="D9D9D9"/>
            </w:tcBorders>
            <w:noWrap/>
          </w:tcPr>
          <w:p w14:paraId="39871625" w14:textId="77777777" w:rsidR="0003197C" w:rsidRPr="0003197C" w:rsidRDefault="0003197C" w:rsidP="0003197C">
            <w:pPr>
              <w:spacing w:after="0"/>
              <w:jc w:val="center"/>
              <w:rPr>
                <w:rFonts w:cstheme="minorHAnsi"/>
                <w:color w:val="000000"/>
              </w:rPr>
            </w:pPr>
          </w:p>
        </w:tc>
        <w:tc>
          <w:tcPr>
            <w:tcW w:w="322" w:type="pct"/>
            <w:tcBorders>
              <w:top w:val="single" w:sz="4" w:space="0" w:color="D9D9D9"/>
              <w:left w:val="single" w:sz="4" w:space="0" w:color="D9D9D9"/>
              <w:bottom w:val="single" w:sz="4" w:space="0" w:color="D9D9D9"/>
              <w:right w:val="single" w:sz="4" w:space="0" w:color="D9D9D9"/>
            </w:tcBorders>
            <w:noWrap/>
          </w:tcPr>
          <w:p w14:paraId="0E69695A" w14:textId="77777777" w:rsidR="0003197C" w:rsidRPr="0003197C" w:rsidRDefault="0003197C" w:rsidP="0003197C">
            <w:pPr>
              <w:spacing w:after="0"/>
              <w:jc w:val="center"/>
              <w:rPr>
                <w:rFonts w:cstheme="minorHAnsi"/>
                <w:color w:val="000000"/>
              </w:rPr>
            </w:pPr>
          </w:p>
        </w:tc>
        <w:tc>
          <w:tcPr>
            <w:tcW w:w="322" w:type="pct"/>
            <w:tcBorders>
              <w:top w:val="single" w:sz="4" w:space="0" w:color="D9D9D9"/>
              <w:left w:val="single" w:sz="4" w:space="0" w:color="D9D9D9"/>
              <w:bottom w:val="single" w:sz="4" w:space="0" w:color="D9D9D9"/>
              <w:right w:val="single" w:sz="4" w:space="0" w:color="D9D9D9"/>
            </w:tcBorders>
            <w:noWrap/>
          </w:tcPr>
          <w:p w14:paraId="7CFB6859" w14:textId="77777777" w:rsidR="0003197C" w:rsidRPr="0003197C" w:rsidRDefault="0003197C" w:rsidP="0003197C">
            <w:pPr>
              <w:spacing w:after="0"/>
              <w:jc w:val="center"/>
              <w:rPr>
                <w:rFonts w:cstheme="minorHAnsi"/>
                <w:color w:val="000000"/>
              </w:rPr>
            </w:pPr>
          </w:p>
        </w:tc>
        <w:tc>
          <w:tcPr>
            <w:tcW w:w="326" w:type="pct"/>
            <w:tcBorders>
              <w:top w:val="single" w:sz="4" w:space="0" w:color="D9D9D9"/>
              <w:left w:val="single" w:sz="4" w:space="0" w:color="D9D9D9"/>
              <w:bottom w:val="single" w:sz="4" w:space="0" w:color="D9D9D9"/>
              <w:right w:val="single" w:sz="4" w:space="0" w:color="D9D9D9"/>
            </w:tcBorders>
            <w:noWrap/>
          </w:tcPr>
          <w:p w14:paraId="53DF298C" w14:textId="77777777" w:rsidR="0003197C" w:rsidRPr="0003197C" w:rsidRDefault="0003197C" w:rsidP="0003197C">
            <w:pPr>
              <w:spacing w:after="0"/>
              <w:jc w:val="center"/>
              <w:rPr>
                <w:rFonts w:cstheme="minorHAnsi"/>
                <w:color w:val="000000"/>
              </w:rPr>
            </w:pPr>
          </w:p>
        </w:tc>
        <w:tc>
          <w:tcPr>
            <w:tcW w:w="344" w:type="pct"/>
            <w:tcBorders>
              <w:top w:val="single" w:sz="4" w:space="0" w:color="D9D9D9"/>
              <w:left w:val="single" w:sz="4" w:space="0" w:color="D9D9D9"/>
              <w:bottom w:val="single" w:sz="4" w:space="0" w:color="D9D9D9"/>
              <w:right w:val="single" w:sz="4" w:space="0" w:color="D9D9D9"/>
            </w:tcBorders>
            <w:noWrap/>
          </w:tcPr>
          <w:p w14:paraId="3349CC95" w14:textId="77777777" w:rsidR="0003197C" w:rsidRPr="0003197C" w:rsidRDefault="0003197C" w:rsidP="0003197C">
            <w:pPr>
              <w:spacing w:after="0"/>
              <w:jc w:val="center"/>
              <w:rPr>
                <w:rFonts w:cstheme="minorHAnsi"/>
                <w:color w:val="000000"/>
              </w:rPr>
            </w:pPr>
          </w:p>
        </w:tc>
        <w:tc>
          <w:tcPr>
            <w:tcW w:w="331" w:type="pct"/>
            <w:tcBorders>
              <w:top w:val="single" w:sz="4" w:space="0" w:color="D9D9D9"/>
              <w:left w:val="single" w:sz="4" w:space="0" w:color="D9D9D9"/>
              <w:bottom w:val="single" w:sz="4" w:space="0" w:color="D9D9D9"/>
              <w:right w:val="single" w:sz="4" w:space="0" w:color="D9D9D9"/>
            </w:tcBorders>
            <w:noWrap/>
          </w:tcPr>
          <w:p w14:paraId="313A391C" w14:textId="77777777" w:rsidR="0003197C" w:rsidRPr="0003197C" w:rsidRDefault="0003197C" w:rsidP="0003197C">
            <w:pPr>
              <w:spacing w:after="0"/>
              <w:jc w:val="center"/>
              <w:rPr>
                <w:rFonts w:cstheme="minorHAnsi"/>
                <w:color w:val="000000"/>
              </w:rPr>
            </w:pPr>
            <w:r w:rsidRPr="0003197C">
              <w:rPr>
                <w:rFonts w:cstheme="minorHAnsi"/>
                <w:color w:val="000000"/>
              </w:rPr>
              <w:t>1</w:t>
            </w:r>
          </w:p>
        </w:tc>
      </w:tr>
      <w:tr w:rsidR="0003197C" w:rsidRPr="002048A7" w14:paraId="53BD2499" w14:textId="77777777" w:rsidTr="001C2BBC">
        <w:trPr>
          <w:trHeight w:val="227"/>
          <w:jc w:val="center"/>
        </w:trPr>
        <w:tc>
          <w:tcPr>
            <w:tcW w:w="1432" w:type="pct"/>
            <w:shd w:val="clear" w:color="auto" w:fill="auto"/>
            <w:vAlign w:val="center"/>
          </w:tcPr>
          <w:p w14:paraId="2159A732" w14:textId="77777777" w:rsidR="0003197C" w:rsidRPr="002048A7" w:rsidRDefault="0003197C" w:rsidP="0003197C">
            <w:pPr>
              <w:spacing w:after="0"/>
              <w:rPr>
                <w:rFonts w:cstheme="minorHAnsi"/>
                <w:b/>
                <w:bCs/>
                <w:color w:val="000000" w:themeColor="text1"/>
              </w:rPr>
            </w:pPr>
            <w:bookmarkStart w:id="450" w:name="_Hlk316290464"/>
            <w:r w:rsidRPr="002048A7">
              <w:rPr>
                <w:rFonts w:cstheme="minorHAnsi"/>
                <w:b/>
                <w:bCs/>
                <w:color w:val="000000" w:themeColor="text1"/>
              </w:rPr>
              <w:t>TOPLAM</w:t>
            </w:r>
          </w:p>
        </w:tc>
        <w:tc>
          <w:tcPr>
            <w:tcW w:w="515" w:type="pct"/>
            <w:tcBorders>
              <w:top w:val="single" w:sz="4" w:space="0" w:color="D9D9D9"/>
              <w:left w:val="single" w:sz="4" w:space="0" w:color="D9D9D9"/>
              <w:bottom w:val="single" w:sz="4" w:space="0" w:color="D9D9D9"/>
              <w:right w:val="single" w:sz="4" w:space="0" w:color="D9D9D9"/>
            </w:tcBorders>
          </w:tcPr>
          <w:p w14:paraId="076FEFD3" w14:textId="77777777" w:rsidR="0003197C" w:rsidRPr="0003197C" w:rsidRDefault="0003197C" w:rsidP="0003197C">
            <w:pPr>
              <w:spacing w:after="0"/>
              <w:jc w:val="center"/>
              <w:rPr>
                <w:rFonts w:cstheme="minorHAnsi"/>
                <w:b/>
                <w:color w:val="000000"/>
              </w:rPr>
            </w:pPr>
            <w:r w:rsidRPr="0003197C">
              <w:rPr>
                <w:rFonts w:cstheme="minorHAnsi"/>
                <w:b/>
                <w:color w:val="000000"/>
              </w:rPr>
              <w:t>249</w:t>
            </w:r>
          </w:p>
        </w:tc>
        <w:tc>
          <w:tcPr>
            <w:tcW w:w="442" w:type="pct"/>
            <w:tcBorders>
              <w:top w:val="single" w:sz="4" w:space="0" w:color="D9D9D9"/>
              <w:left w:val="single" w:sz="4" w:space="0" w:color="D9D9D9"/>
              <w:bottom w:val="single" w:sz="4" w:space="0" w:color="D9D9D9"/>
              <w:right w:val="single" w:sz="4" w:space="0" w:color="D9D9D9"/>
            </w:tcBorders>
            <w:noWrap/>
          </w:tcPr>
          <w:p w14:paraId="6C503024" w14:textId="77777777" w:rsidR="0003197C" w:rsidRPr="0003197C" w:rsidRDefault="0003197C" w:rsidP="0003197C">
            <w:pPr>
              <w:spacing w:after="0"/>
              <w:jc w:val="center"/>
              <w:rPr>
                <w:rFonts w:cstheme="minorHAnsi"/>
                <w:b/>
                <w:color w:val="000000"/>
              </w:rPr>
            </w:pPr>
            <w:r w:rsidRPr="0003197C">
              <w:rPr>
                <w:rFonts w:cstheme="minorHAnsi"/>
                <w:b/>
                <w:color w:val="000000"/>
              </w:rPr>
              <w:t>244</w:t>
            </w:r>
          </w:p>
        </w:tc>
        <w:tc>
          <w:tcPr>
            <w:tcW w:w="322" w:type="pct"/>
            <w:tcBorders>
              <w:top w:val="single" w:sz="4" w:space="0" w:color="D9D9D9"/>
              <w:left w:val="single" w:sz="4" w:space="0" w:color="D9D9D9"/>
              <w:bottom w:val="single" w:sz="4" w:space="0" w:color="D9D9D9"/>
              <w:right w:val="single" w:sz="4" w:space="0" w:color="D9D9D9"/>
            </w:tcBorders>
            <w:noWrap/>
          </w:tcPr>
          <w:p w14:paraId="5B53C1A6" w14:textId="77777777" w:rsidR="0003197C" w:rsidRPr="0003197C" w:rsidRDefault="0003197C" w:rsidP="0003197C">
            <w:pPr>
              <w:spacing w:after="0"/>
              <w:jc w:val="center"/>
              <w:rPr>
                <w:rFonts w:cstheme="minorHAnsi"/>
                <w:b/>
                <w:color w:val="000000"/>
              </w:rPr>
            </w:pPr>
            <w:r w:rsidRPr="0003197C">
              <w:rPr>
                <w:rFonts w:cstheme="minorHAnsi"/>
                <w:b/>
                <w:color w:val="000000"/>
              </w:rPr>
              <w:t>26</w:t>
            </w:r>
          </w:p>
        </w:tc>
        <w:tc>
          <w:tcPr>
            <w:tcW w:w="322" w:type="pct"/>
            <w:tcBorders>
              <w:top w:val="single" w:sz="4" w:space="0" w:color="D9D9D9"/>
              <w:left w:val="single" w:sz="4" w:space="0" w:color="D9D9D9"/>
              <w:bottom w:val="single" w:sz="4" w:space="0" w:color="D9D9D9"/>
              <w:right w:val="single" w:sz="4" w:space="0" w:color="D9D9D9"/>
            </w:tcBorders>
          </w:tcPr>
          <w:p w14:paraId="3738DECA" w14:textId="77777777" w:rsidR="0003197C" w:rsidRPr="0003197C" w:rsidRDefault="0003197C" w:rsidP="0003197C">
            <w:pPr>
              <w:spacing w:after="0"/>
              <w:jc w:val="center"/>
              <w:rPr>
                <w:rFonts w:cstheme="minorHAnsi"/>
                <w:b/>
                <w:color w:val="000000"/>
              </w:rPr>
            </w:pPr>
            <w:r w:rsidRPr="0003197C">
              <w:rPr>
                <w:rFonts w:cstheme="minorHAnsi"/>
                <w:b/>
                <w:color w:val="000000"/>
              </w:rPr>
              <w:t>144</w:t>
            </w:r>
          </w:p>
        </w:tc>
        <w:tc>
          <w:tcPr>
            <w:tcW w:w="322" w:type="pct"/>
            <w:tcBorders>
              <w:top w:val="single" w:sz="4" w:space="0" w:color="D9D9D9"/>
              <w:left w:val="single" w:sz="4" w:space="0" w:color="D9D9D9"/>
              <w:bottom w:val="single" w:sz="4" w:space="0" w:color="D9D9D9"/>
              <w:right w:val="single" w:sz="4" w:space="0" w:color="D9D9D9"/>
            </w:tcBorders>
            <w:noWrap/>
          </w:tcPr>
          <w:p w14:paraId="1BC7AAED" w14:textId="77777777" w:rsidR="0003197C" w:rsidRPr="0003197C" w:rsidRDefault="0003197C" w:rsidP="0003197C">
            <w:pPr>
              <w:spacing w:after="0"/>
              <w:jc w:val="center"/>
              <w:rPr>
                <w:rFonts w:cstheme="minorHAnsi"/>
                <w:b/>
                <w:color w:val="000000"/>
              </w:rPr>
            </w:pPr>
            <w:r w:rsidRPr="0003197C">
              <w:rPr>
                <w:rFonts w:cstheme="minorHAnsi"/>
                <w:b/>
                <w:color w:val="000000"/>
              </w:rPr>
              <w:t>28</w:t>
            </w:r>
          </w:p>
        </w:tc>
        <w:tc>
          <w:tcPr>
            <w:tcW w:w="322" w:type="pct"/>
            <w:tcBorders>
              <w:top w:val="single" w:sz="4" w:space="0" w:color="D9D9D9"/>
              <w:left w:val="single" w:sz="4" w:space="0" w:color="D9D9D9"/>
              <w:bottom w:val="single" w:sz="4" w:space="0" w:color="D9D9D9"/>
              <w:right w:val="single" w:sz="4" w:space="0" w:color="D9D9D9"/>
            </w:tcBorders>
            <w:noWrap/>
          </w:tcPr>
          <w:p w14:paraId="55F4FAC5" w14:textId="77777777" w:rsidR="0003197C" w:rsidRPr="0003197C" w:rsidRDefault="0003197C" w:rsidP="0003197C">
            <w:pPr>
              <w:spacing w:after="0"/>
              <w:jc w:val="center"/>
              <w:rPr>
                <w:rFonts w:cstheme="minorHAnsi"/>
                <w:b/>
                <w:color w:val="000000"/>
              </w:rPr>
            </w:pPr>
            <w:r w:rsidRPr="0003197C">
              <w:rPr>
                <w:rFonts w:cstheme="minorHAnsi"/>
                <w:b/>
                <w:color w:val="000000"/>
              </w:rPr>
              <w:t>45</w:t>
            </w:r>
          </w:p>
        </w:tc>
        <w:tc>
          <w:tcPr>
            <w:tcW w:w="322" w:type="pct"/>
            <w:tcBorders>
              <w:top w:val="single" w:sz="4" w:space="0" w:color="D9D9D9"/>
              <w:left w:val="single" w:sz="4" w:space="0" w:color="D9D9D9"/>
              <w:bottom w:val="single" w:sz="4" w:space="0" w:color="D9D9D9"/>
              <w:right w:val="single" w:sz="4" w:space="0" w:color="D9D9D9"/>
            </w:tcBorders>
            <w:noWrap/>
          </w:tcPr>
          <w:p w14:paraId="32454C02" w14:textId="77777777" w:rsidR="0003197C" w:rsidRPr="0003197C" w:rsidRDefault="0003197C" w:rsidP="0003197C">
            <w:pPr>
              <w:spacing w:after="0"/>
              <w:jc w:val="center"/>
              <w:rPr>
                <w:rFonts w:cstheme="minorHAnsi"/>
                <w:b/>
                <w:color w:val="000000"/>
              </w:rPr>
            </w:pPr>
            <w:r w:rsidRPr="0003197C">
              <w:rPr>
                <w:rFonts w:cstheme="minorHAnsi"/>
                <w:b/>
                <w:color w:val="000000"/>
              </w:rPr>
              <w:t>1</w:t>
            </w:r>
          </w:p>
        </w:tc>
        <w:tc>
          <w:tcPr>
            <w:tcW w:w="326" w:type="pct"/>
            <w:tcBorders>
              <w:top w:val="single" w:sz="4" w:space="0" w:color="D9D9D9"/>
              <w:left w:val="single" w:sz="4" w:space="0" w:color="D9D9D9"/>
              <w:bottom w:val="single" w:sz="4" w:space="0" w:color="D9D9D9"/>
              <w:right w:val="single" w:sz="4" w:space="0" w:color="D9D9D9"/>
            </w:tcBorders>
            <w:noWrap/>
          </w:tcPr>
          <w:p w14:paraId="2781A68B" w14:textId="77777777" w:rsidR="0003197C" w:rsidRPr="0003197C" w:rsidRDefault="0003197C" w:rsidP="0003197C">
            <w:pPr>
              <w:spacing w:after="0"/>
              <w:jc w:val="center"/>
              <w:rPr>
                <w:rFonts w:cstheme="minorHAnsi"/>
                <w:b/>
                <w:color w:val="000000"/>
              </w:rPr>
            </w:pPr>
            <w:r w:rsidRPr="0003197C">
              <w:rPr>
                <w:rFonts w:cstheme="minorHAnsi"/>
                <w:b/>
                <w:color w:val="000000"/>
              </w:rPr>
              <w:t>-</w:t>
            </w:r>
          </w:p>
        </w:tc>
        <w:tc>
          <w:tcPr>
            <w:tcW w:w="344" w:type="pct"/>
            <w:tcBorders>
              <w:top w:val="single" w:sz="4" w:space="0" w:color="D9D9D9"/>
              <w:left w:val="single" w:sz="4" w:space="0" w:color="D9D9D9"/>
              <w:bottom w:val="single" w:sz="4" w:space="0" w:color="D9D9D9"/>
              <w:right w:val="single" w:sz="4" w:space="0" w:color="D9D9D9"/>
            </w:tcBorders>
            <w:noWrap/>
          </w:tcPr>
          <w:p w14:paraId="33DEF6B7" w14:textId="77777777" w:rsidR="0003197C" w:rsidRPr="0003197C" w:rsidRDefault="0003197C" w:rsidP="0003197C">
            <w:pPr>
              <w:spacing w:after="0"/>
              <w:jc w:val="center"/>
              <w:rPr>
                <w:rFonts w:cstheme="minorHAnsi"/>
                <w:b/>
                <w:color w:val="000000"/>
              </w:rPr>
            </w:pPr>
            <w:r w:rsidRPr="0003197C">
              <w:rPr>
                <w:rFonts w:cstheme="minorHAnsi"/>
                <w:b/>
                <w:color w:val="000000"/>
              </w:rPr>
              <w:t>101</w:t>
            </w:r>
          </w:p>
        </w:tc>
        <w:tc>
          <w:tcPr>
            <w:tcW w:w="331" w:type="pct"/>
            <w:tcBorders>
              <w:top w:val="single" w:sz="4" w:space="0" w:color="D9D9D9"/>
              <w:left w:val="single" w:sz="4" w:space="0" w:color="D9D9D9"/>
              <w:bottom w:val="single" w:sz="4" w:space="0" w:color="D9D9D9"/>
              <w:right w:val="single" w:sz="4" w:space="0" w:color="D9D9D9"/>
            </w:tcBorders>
            <w:noWrap/>
          </w:tcPr>
          <w:p w14:paraId="0BABAA9E" w14:textId="77777777" w:rsidR="0003197C" w:rsidRPr="0003197C" w:rsidRDefault="0003197C" w:rsidP="0003197C">
            <w:pPr>
              <w:spacing w:after="0"/>
              <w:jc w:val="center"/>
              <w:rPr>
                <w:rFonts w:cstheme="minorHAnsi"/>
                <w:b/>
                <w:color w:val="000000"/>
              </w:rPr>
            </w:pPr>
            <w:r w:rsidRPr="0003197C">
              <w:rPr>
                <w:rFonts w:cstheme="minorHAnsi"/>
                <w:b/>
                <w:color w:val="000000"/>
              </w:rPr>
              <w:t>143</w:t>
            </w:r>
          </w:p>
        </w:tc>
      </w:tr>
    </w:tbl>
    <w:p w14:paraId="1A31DA13" w14:textId="77777777" w:rsidR="005747D2" w:rsidRPr="002048A7" w:rsidRDefault="005747D2" w:rsidP="00577AAF">
      <w:pPr>
        <w:pStyle w:val="Balk2"/>
        <w:numPr>
          <w:ilvl w:val="1"/>
          <w:numId w:val="11"/>
        </w:numPr>
        <w:spacing w:before="120" w:after="120" w:line="240" w:lineRule="auto"/>
        <w:ind w:left="357" w:hanging="357"/>
        <w:rPr>
          <w:rFonts w:asciiTheme="minorHAnsi" w:hAnsiTheme="minorHAnsi"/>
          <w:color w:val="000000" w:themeColor="text1"/>
          <w:sz w:val="22"/>
          <w:szCs w:val="22"/>
        </w:rPr>
      </w:pPr>
      <w:bookmarkStart w:id="451" w:name="_Toc195868786"/>
      <w:bookmarkEnd w:id="449"/>
      <w:bookmarkEnd w:id="450"/>
      <w:r w:rsidRPr="002048A7">
        <w:rPr>
          <w:rFonts w:asciiTheme="minorHAnsi" w:hAnsiTheme="minorHAnsi"/>
          <w:color w:val="000000" w:themeColor="text1"/>
          <w:sz w:val="22"/>
          <w:szCs w:val="22"/>
        </w:rPr>
        <w:t>Eğitim Faaliyetleri</w:t>
      </w:r>
      <w:bookmarkEnd w:id="445"/>
      <w:bookmarkEnd w:id="451"/>
    </w:p>
    <w:p w14:paraId="0587D23D" w14:textId="77777777" w:rsidR="0003197C" w:rsidRPr="00C2183E" w:rsidRDefault="0003197C" w:rsidP="0003197C">
      <w:pPr>
        <w:spacing w:before="120" w:after="120"/>
        <w:rPr>
          <w:rFonts w:eastAsiaTheme="majorEastAsia" w:cstheme="majorBidi"/>
          <w:bCs/>
          <w:color w:val="000000" w:themeColor="text1"/>
        </w:rPr>
      </w:pPr>
      <w:r w:rsidRPr="00C2183E">
        <w:rPr>
          <w:rFonts w:eastAsiaTheme="majorEastAsia" w:cstheme="majorBidi"/>
          <w:bCs/>
          <w:color w:val="000000" w:themeColor="text1"/>
        </w:rPr>
        <w:t xml:space="preserve">Kurumda hizmet içi eğitim alanında kalitenin arttırılması amacıyla 2024 yılı içinde çok sayıda yenilik, değişiklik ve düzenleme gerçekleştirilmiştir. Diğer taraftan, Kurumun hedeflerine ulaşabilmesi için çalışanların bilgi ve becerilerini artırmak amacıyla eğitim programlarının düzenlenmesine devam edilmiştir. </w:t>
      </w:r>
    </w:p>
    <w:p w14:paraId="46991EA4" w14:textId="77777777" w:rsidR="0003197C" w:rsidRPr="002048A7" w:rsidRDefault="0003197C" w:rsidP="0003197C">
      <w:pPr>
        <w:spacing w:after="240"/>
      </w:pPr>
      <w:r w:rsidRPr="00C2183E">
        <w:rPr>
          <w:rFonts w:eastAsiaTheme="majorEastAsia" w:cstheme="majorBidi"/>
          <w:bCs/>
          <w:color w:val="000000" w:themeColor="text1"/>
        </w:rPr>
        <w:t>Bu bölümde Kurum çalışanlarına yönelik hizmet içi eğitim faaliyetleri, enerji uzman yardımcılarının yetiştirilmesine yönelik çalışmalar, çalışanlara sağlanan yabancı dil kursu destekleri, Kurum kütüphanesi ve staj imkânlarına ilişkin bilgiler yer almaktadır.</w:t>
      </w:r>
    </w:p>
    <w:p w14:paraId="7B39410E" w14:textId="77777777" w:rsidR="00433748" w:rsidRPr="002048A7" w:rsidRDefault="0072201B" w:rsidP="00577AAF">
      <w:pPr>
        <w:pStyle w:val="Balk3"/>
        <w:numPr>
          <w:ilvl w:val="2"/>
          <w:numId w:val="11"/>
        </w:numPr>
        <w:spacing w:before="0" w:after="240"/>
        <w:rPr>
          <w:rFonts w:asciiTheme="minorHAnsi" w:hAnsiTheme="minorHAnsi"/>
          <w:color w:val="000000" w:themeColor="text1"/>
        </w:rPr>
      </w:pPr>
      <w:bookmarkStart w:id="452" w:name="_Toc442431328"/>
      <w:bookmarkStart w:id="453" w:name="_Toc195868787"/>
      <w:r w:rsidRPr="002048A7">
        <w:rPr>
          <w:rFonts w:asciiTheme="minorHAnsi" w:hAnsiTheme="minorHAnsi"/>
          <w:color w:val="000000" w:themeColor="text1"/>
        </w:rPr>
        <w:t>Hizmet içi Eğitim Faaliyetleri</w:t>
      </w:r>
      <w:bookmarkEnd w:id="452"/>
      <w:bookmarkEnd w:id="453"/>
    </w:p>
    <w:p w14:paraId="5E81C13A" w14:textId="77777777" w:rsidR="0003197C" w:rsidRPr="00C2183E" w:rsidRDefault="0003197C" w:rsidP="0003197C">
      <w:pPr>
        <w:spacing w:before="120" w:after="120"/>
        <w:rPr>
          <w:rFonts w:eastAsiaTheme="majorEastAsia" w:cstheme="majorBidi"/>
          <w:bCs/>
          <w:color w:val="000000" w:themeColor="text1"/>
        </w:rPr>
      </w:pPr>
      <w:bookmarkStart w:id="454" w:name="_Toc442431329"/>
      <w:r w:rsidRPr="00C2183E">
        <w:rPr>
          <w:rFonts w:eastAsiaTheme="majorEastAsia" w:cstheme="majorBidi"/>
          <w:bCs/>
          <w:color w:val="000000" w:themeColor="text1"/>
        </w:rPr>
        <w:t>2024 yılında 14 farklı eğitim programına çalışan</w:t>
      </w:r>
      <w:r>
        <w:rPr>
          <w:rFonts w:eastAsiaTheme="majorEastAsia" w:cstheme="majorBidi"/>
          <w:bCs/>
          <w:color w:val="000000" w:themeColor="text1"/>
        </w:rPr>
        <w:t>larımızın</w:t>
      </w:r>
      <w:r w:rsidRPr="00C2183E">
        <w:rPr>
          <w:rFonts w:eastAsiaTheme="majorEastAsia" w:cstheme="majorBidi"/>
          <w:bCs/>
          <w:color w:val="000000" w:themeColor="text1"/>
        </w:rPr>
        <w:t xml:space="preserve"> katılımı sağlanmıştır. Bu kapsamda 259 çalışanımız en az bir eğitim programına katılmıştır. Uzaktan Eğitim Kapısı üzerinden eğitim alan çalışan sayımız ise 521 kişidir.</w:t>
      </w:r>
    </w:p>
    <w:p w14:paraId="32DEB3C0" w14:textId="77777777" w:rsidR="0003197C" w:rsidRPr="00C2183E" w:rsidRDefault="0003197C" w:rsidP="0003197C">
      <w:pPr>
        <w:spacing w:before="120" w:after="120"/>
        <w:rPr>
          <w:rFonts w:eastAsiaTheme="majorEastAsia" w:cstheme="majorBidi"/>
          <w:bCs/>
          <w:color w:val="000000" w:themeColor="text1"/>
        </w:rPr>
      </w:pPr>
      <w:r w:rsidRPr="00C2183E">
        <w:rPr>
          <w:rFonts w:eastAsiaTheme="majorEastAsia" w:cstheme="majorBidi"/>
          <w:bCs/>
          <w:color w:val="000000" w:themeColor="text1"/>
        </w:rPr>
        <w:t xml:space="preserve">Aday memur hazırlayıcı eğitim programına ilk defa 2024 yılı içerisinde 22 adet çevrim içi ve 30 adedi yüz yüze olmak üzere 52 </w:t>
      </w:r>
      <w:r>
        <w:rPr>
          <w:rFonts w:eastAsiaTheme="majorEastAsia" w:cstheme="majorBidi"/>
          <w:bCs/>
          <w:color w:val="000000" w:themeColor="text1"/>
        </w:rPr>
        <w:t xml:space="preserve">yeni </w:t>
      </w:r>
      <w:r w:rsidRPr="00C2183E">
        <w:rPr>
          <w:rFonts w:eastAsiaTheme="majorEastAsia" w:cstheme="majorBidi"/>
          <w:bCs/>
          <w:color w:val="000000" w:themeColor="text1"/>
        </w:rPr>
        <w:t xml:space="preserve">ders eklenmiştir. </w:t>
      </w:r>
    </w:p>
    <w:p w14:paraId="24A292E3" w14:textId="77777777" w:rsidR="0003197C" w:rsidRPr="00C2183E" w:rsidRDefault="0003197C" w:rsidP="0003197C">
      <w:pPr>
        <w:spacing w:before="120" w:after="120"/>
        <w:rPr>
          <w:rFonts w:eastAsiaTheme="majorEastAsia" w:cstheme="majorBidi"/>
          <w:bCs/>
          <w:color w:val="000000" w:themeColor="text1"/>
        </w:rPr>
      </w:pPr>
      <w:r w:rsidRPr="00C2183E">
        <w:rPr>
          <w:rFonts w:eastAsiaTheme="majorEastAsia" w:cstheme="majorBidi"/>
          <w:bCs/>
          <w:color w:val="000000" w:themeColor="text1"/>
        </w:rPr>
        <w:t xml:space="preserve">2024 yılında 65 çalışanımız en az bir kez Kurum dışına eğitim görevlisi olarak gönderilmiştir. </w:t>
      </w:r>
    </w:p>
    <w:p w14:paraId="0BE9C28B" w14:textId="77777777" w:rsidR="0003197C" w:rsidRPr="00C2183E" w:rsidRDefault="0003197C" w:rsidP="0003197C">
      <w:pPr>
        <w:spacing w:before="120" w:after="120"/>
        <w:rPr>
          <w:rFonts w:eastAsiaTheme="majorEastAsia" w:cstheme="majorBidi"/>
          <w:bCs/>
          <w:color w:val="000000" w:themeColor="text1"/>
        </w:rPr>
      </w:pPr>
      <w:r w:rsidRPr="00C2183E">
        <w:rPr>
          <w:rFonts w:eastAsiaTheme="majorEastAsia" w:cstheme="majorBidi"/>
          <w:bCs/>
          <w:color w:val="000000" w:themeColor="text1"/>
        </w:rPr>
        <w:t>2024 yılsonu itibariyle yüksek lisans için yurt dışına gönderdiğimiz 6 çalışanımız bulunmaktadır.</w:t>
      </w:r>
    </w:p>
    <w:p w14:paraId="21D90B31" w14:textId="77777777" w:rsidR="0003197C" w:rsidRDefault="0003197C" w:rsidP="0003197C">
      <w:pPr>
        <w:spacing w:after="0" w:line="269" w:lineRule="auto"/>
        <w:rPr>
          <w:rFonts w:eastAsiaTheme="majorEastAsia" w:cstheme="majorBidi"/>
          <w:bCs/>
          <w:color w:val="000000" w:themeColor="text1"/>
        </w:rPr>
      </w:pPr>
      <w:r w:rsidRPr="00C2183E">
        <w:rPr>
          <w:rFonts w:eastAsiaTheme="majorEastAsia" w:cstheme="majorBidi"/>
          <w:bCs/>
          <w:color w:val="000000" w:themeColor="text1"/>
        </w:rPr>
        <w:t>31/07/2024 tarihinde kabul edilen Enerji Piyasası Düzenleme Kurumu Personelinin Yetiştirilmek Üzere Yurt Dışına Gönderilmesine İlişkin Yönerge ile 41 konuda mevzuat değişikliği yapılmış olup bunların başlıcaları; uzun süreli yurt dışı eğitime gönderilmek için gereken çalışma süresinin beş yıldan üç yıla indirilmesi, genç çalışanların yurt dışı eğitime gönderilme olanaklarının genişletilmesi, dünyada ilk 300 üniversiteden kabul alınması şartı getirilmesi, aday tespitinde mülakat şeklindeki yarışma sınavının esas alınması, sınavda puan eşitliği olursa önceliğin üniversite sıralaması önde olan adaya, bu da eşit olursa yaşı genç adaya verilmesidir.</w:t>
      </w:r>
    </w:p>
    <w:p w14:paraId="1E8F0F39" w14:textId="77777777" w:rsidR="0003197C" w:rsidRPr="00A814C5" w:rsidRDefault="0003197C" w:rsidP="0003197C">
      <w:pPr>
        <w:numPr>
          <w:ilvl w:val="2"/>
          <w:numId w:val="11"/>
        </w:numPr>
        <w:spacing w:before="120" w:after="120"/>
        <w:rPr>
          <w:rFonts w:eastAsiaTheme="majorEastAsia" w:cstheme="majorBidi"/>
          <w:b/>
          <w:bCs/>
          <w:color w:val="000000" w:themeColor="text1"/>
        </w:rPr>
      </w:pPr>
      <w:r w:rsidRPr="00A814C5">
        <w:rPr>
          <w:rFonts w:eastAsiaTheme="majorEastAsia" w:cstheme="majorBidi"/>
          <w:b/>
          <w:bCs/>
          <w:color w:val="000000" w:themeColor="text1"/>
        </w:rPr>
        <w:t xml:space="preserve">Enerji Uzman Yardımcısı Yetiştirme </w:t>
      </w:r>
    </w:p>
    <w:p w14:paraId="7147CEED" w14:textId="77777777" w:rsidR="0003197C" w:rsidRPr="00C2183E" w:rsidRDefault="0003197C" w:rsidP="0003197C">
      <w:pPr>
        <w:spacing w:before="120" w:after="120"/>
        <w:rPr>
          <w:rFonts w:eastAsiaTheme="majorEastAsia" w:cstheme="majorBidi"/>
          <w:bCs/>
          <w:color w:val="000000" w:themeColor="text1"/>
        </w:rPr>
      </w:pPr>
      <w:r w:rsidRPr="00C2183E">
        <w:rPr>
          <w:rFonts w:eastAsiaTheme="majorEastAsia" w:cstheme="majorBidi"/>
          <w:bCs/>
          <w:color w:val="000000" w:themeColor="text1"/>
        </w:rPr>
        <w:t>15. dönem enerji uzman yardımcısı olan 24 kişinin uzmanlık tezleri 2024 yılında değerlendirilmiş ve kabul edilmiştir. Sözlü savunma sınavında başarılı olan bu enerji uzman yardımcıları için Kurumumuzda ilk defa yazılı yeterlik sınavı yapılmıştır.</w:t>
      </w:r>
    </w:p>
    <w:p w14:paraId="6ADA5667" w14:textId="77777777" w:rsidR="0003197C" w:rsidRPr="00C2183E" w:rsidRDefault="0003197C" w:rsidP="0003197C">
      <w:pPr>
        <w:spacing w:before="120" w:after="120"/>
        <w:rPr>
          <w:rFonts w:eastAsiaTheme="majorEastAsia" w:cstheme="majorBidi"/>
          <w:bCs/>
          <w:color w:val="000000" w:themeColor="text1"/>
        </w:rPr>
      </w:pPr>
      <w:r w:rsidRPr="00C2183E">
        <w:rPr>
          <w:rFonts w:eastAsiaTheme="majorEastAsia" w:cstheme="majorBidi"/>
          <w:bCs/>
          <w:color w:val="000000" w:themeColor="text1"/>
        </w:rPr>
        <w:t>Diğer taraftan 2024 yılında, enerji uzman yardımcıları hakkında ilk kez refakat çalışması notu verilmesi uygulaması başlatılmış ve bu amaçla kullanılacak 20 adet refakat değerlendirme ölçütü tespit edilmiştir.</w:t>
      </w:r>
    </w:p>
    <w:p w14:paraId="55319472" w14:textId="77777777" w:rsidR="0003197C" w:rsidRPr="00C2183E" w:rsidRDefault="0003197C" w:rsidP="0003197C">
      <w:pPr>
        <w:spacing w:before="120" w:after="120"/>
        <w:rPr>
          <w:rFonts w:eastAsiaTheme="majorEastAsia" w:cstheme="majorBidi"/>
          <w:bCs/>
          <w:color w:val="000000" w:themeColor="text1"/>
        </w:rPr>
      </w:pPr>
      <w:r w:rsidRPr="00C2183E">
        <w:rPr>
          <w:rFonts w:eastAsiaTheme="majorEastAsia" w:cstheme="majorBidi"/>
          <w:bCs/>
          <w:color w:val="000000" w:themeColor="text1"/>
        </w:rPr>
        <w:t xml:space="preserve">17/10/2024 tarihinde kabul edilen Enerji Piyasası Düzenleme Kurumu Enerji Uzmanlık Tezi Yazım Yönergesi ile 39 konuda mevzuat değişikliği yapılmış olup bunların başlıcaları; tezde Yükseköğretim Kurulunun belirlediği etik ilkeler çerçevesinde yapay zekâdan yararlanılmasına olanak tanınması, tez metni için uygulanan 80 sayfalık alt </w:t>
      </w:r>
      <w:r w:rsidRPr="00C2183E">
        <w:rPr>
          <w:rFonts w:eastAsiaTheme="majorEastAsia" w:cstheme="majorBidi"/>
          <w:bCs/>
          <w:color w:val="000000" w:themeColor="text1"/>
        </w:rPr>
        <w:lastRenderedPageBreak/>
        <w:t>sınırın kaldırılması, uzman yardımcısına tez sürecinin altıncı ayı bitiminde tez izleme raporu sunma yükümlülüğü getirilmesi, tez yazımında APA stiline geçilmesi,  tezin 50 farklı ölçüte göre kontrolünü sağlayacak yeni bir tez danışmanı inceleme raporu örneği oluşturulması, intihal tespit yazılımı kullanımına olanak sağlanmasıdır.</w:t>
      </w:r>
    </w:p>
    <w:p w14:paraId="6A18A9F6" w14:textId="77777777" w:rsidR="0003197C" w:rsidRPr="00A814C5" w:rsidRDefault="0003197C" w:rsidP="0003197C">
      <w:pPr>
        <w:numPr>
          <w:ilvl w:val="2"/>
          <w:numId w:val="11"/>
        </w:numPr>
        <w:spacing w:before="120" w:after="120"/>
        <w:rPr>
          <w:rFonts w:eastAsiaTheme="majorEastAsia" w:cstheme="majorBidi"/>
          <w:b/>
          <w:bCs/>
          <w:color w:val="000000" w:themeColor="text1"/>
        </w:rPr>
      </w:pPr>
      <w:r w:rsidRPr="00A814C5">
        <w:rPr>
          <w:rFonts w:eastAsiaTheme="majorEastAsia" w:cstheme="majorBidi"/>
          <w:b/>
          <w:bCs/>
          <w:color w:val="000000" w:themeColor="text1"/>
        </w:rPr>
        <w:t>Yabancı Dil Kursu Desteği</w:t>
      </w:r>
    </w:p>
    <w:p w14:paraId="4F3D2652" w14:textId="77777777" w:rsidR="0003197C" w:rsidRPr="00C2183E" w:rsidRDefault="0003197C" w:rsidP="0003197C">
      <w:pPr>
        <w:spacing w:before="120" w:after="120"/>
        <w:rPr>
          <w:rFonts w:eastAsiaTheme="majorEastAsia" w:cstheme="majorBidi"/>
          <w:bCs/>
          <w:color w:val="000000" w:themeColor="text1"/>
        </w:rPr>
      </w:pPr>
      <w:r w:rsidRPr="00C2183E">
        <w:rPr>
          <w:rFonts w:eastAsiaTheme="majorEastAsia" w:cstheme="majorBidi"/>
          <w:bCs/>
          <w:color w:val="000000" w:themeColor="text1"/>
        </w:rPr>
        <w:t xml:space="preserve">2024 yılında gereken şartları sağlayan ve ödeme öncesinde onay verilen 12 çalışanımıza, aylık 2.100 TL’yi geçmemek kaydıyla ödedikleri yabancı dil ders ücretlerinin yüzde 50'si destek olarak ödenmiştir. </w:t>
      </w:r>
    </w:p>
    <w:p w14:paraId="77F3FD77" w14:textId="77777777" w:rsidR="0003197C" w:rsidRPr="00A814C5" w:rsidRDefault="0003197C" w:rsidP="0003197C">
      <w:pPr>
        <w:numPr>
          <w:ilvl w:val="2"/>
          <w:numId w:val="11"/>
        </w:numPr>
        <w:spacing w:before="120" w:after="120"/>
        <w:rPr>
          <w:rFonts w:eastAsiaTheme="majorEastAsia" w:cstheme="majorBidi"/>
          <w:b/>
          <w:bCs/>
          <w:color w:val="000000" w:themeColor="text1"/>
        </w:rPr>
      </w:pPr>
      <w:r w:rsidRPr="00A814C5">
        <w:rPr>
          <w:rFonts w:eastAsiaTheme="majorEastAsia" w:cstheme="majorBidi"/>
          <w:b/>
          <w:bCs/>
          <w:color w:val="000000" w:themeColor="text1"/>
        </w:rPr>
        <w:t>Kütüphane</w:t>
      </w:r>
    </w:p>
    <w:p w14:paraId="664FAABA" w14:textId="77777777" w:rsidR="0003197C" w:rsidRPr="00C2183E" w:rsidRDefault="0003197C" w:rsidP="0003197C">
      <w:pPr>
        <w:spacing w:before="120" w:after="120"/>
        <w:rPr>
          <w:rFonts w:eastAsiaTheme="majorEastAsia" w:cstheme="majorBidi"/>
          <w:bCs/>
          <w:color w:val="000000" w:themeColor="text1"/>
        </w:rPr>
      </w:pPr>
      <w:r w:rsidRPr="00C2183E">
        <w:rPr>
          <w:rFonts w:eastAsiaTheme="majorEastAsia" w:cstheme="majorBidi"/>
          <w:bCs/>
          <w:color w:val="000000" w:themeColor="text1"/>
        </w:rPr>
        <w:t xml:space="preserve">Yapılan tasnif ve analiz çalışmalarımıza göre Kurum kütüphanemizde toplam 5685 adet basılı materyal mevcuttur. 2024 yılı itibariyle kütüphanemizde bulunan uzmanlık tezlerine Kurum içi bilgisayarlardan salt okunur şekilde erişim sağlanmıştır. </w:t>
      </w:r>
    </w:p>
    <w:p w14:paraId="19557C03" w14:textId="77777777" w:rsidR="0003197C" w:rsidRPr="00C2183E" w:rsidRDefault="0003197C" w:rsidP="0003197C">
      <w:pPr>
        <w:spacing w:before="120" w:after="120"/>
        <w:rPr>
          <w:rFonts w:eastAsiaTheme="majorEastAsia" w:cstheme="majorBidi"/>
          <w:bCs/>
          <w:color w:val="000000" w:themeColor="text1"/>
        </w:rPr>
      </w:pPr>
      <w:r w:rsidRPr="00C2183E">
        <w:rPr>
          <w:rFonts w:eastAsiaTheme="majorEastAsia" w:cstheme="majorBidi"/>
          <w:bCs/>
          <w:color w:val="000000" w:themeColor="text1"/>
        </w:rPr>
        <w:t>Diğer taraftan 11/11/2024 tarihinde çıkarılan Enerji Piyasası Düzenleme Kurumu Kütüphane Yönergesi ile 20 konuda düzenleme yapılmış olup bunların başlıcaları; kütüphaneye kabul edilmeyecek materyal çeşitlerinin gösterilmesi, materyal temini kütüphane kullanımı ve ödünç verme kurallarının tespiti ile kütüphane hizmetlerinin otomasyon sistemi üzerinden verilmesine imkân tanınmasıdır.</w:t>
      </w:r>
    </w:p>
    <w:p w14:paraId="7F833BC7" w14:textId="77777777" w:rsidR="0003197C" w:rsidRPr="00A814C5" w:rsidRDefault="0003197C" w:rsidP="0003197C">
      <w:pPr>
        <w:numPr>
          <w:ilvl w:val="2"/>
          <w:numId w:val="11"/>
        </w:numPr>
        <w:spacing w:before="120" w:after="120"/>
        <w:rPr>
          <w:rFonts w:eastAsiaTheme="majorEastAsia" w:cstheme="majorBidi"/>
          <w:b/>
          <w:bCs/>
          <w:color w:val="000000" w:themeColor="text1"/>
        </w:rPr>
      </w:pPr>
      <w:r w:rsidRPr="00A814C5">
        <w:rPr>
          <w:rFonts w:eastAsiaTheme="majorEastAsia" w:cstheme="majorBidi"/>
          <w:b/>
          <w:bCs/>
          <w:color w:val="000000" w:themeColor="text1"/>
        </w:rPr>
        <w:t>Staj</w:t>
      </w:r>
    </w:p>
    <w:p w14:paraId="68994670" w14:textId="77777777" w:rsidR="0003197C" w:rsidRPr="00C2183E" w:rsidRDefault="0003197C" w:rsidP="0003197C">
      <w:pPr>
        <w:spacing w:before="120" w:after="120"/>
        <w:rPr>
          <w:rFonts w:eastAsiaTheme="majorEastAsia" w:cstheme="majorBidi"/>
          <w:bCs/>
          <w:color w:val="000000" w:themeColor="text1"/>
        </w:rPr>
      </w:pPr>
      <w:r w:rsidRPr="00C2183E">
        <w:rPr>
          <w:rFonts w:eastAsiaTheme="majorEastAsia" w:cstheme="majorBidi"/>
          <w:bCs/>
          <w:color w:val="000000" w:themeColor="text1"/>
        </w:rPr>
        <w:t xml:space="preserve">Kurumumuzun iş yoğunluğu ve her bir stajyere daha fazla zaman ayrılabilmesi amacıyla, 2024 yılında stajyer sayımız azaltılarak 25 öğrencinin Kurumumuzda staj yapması sağlanmıştır. </w:t>
      </w:r>
    </w:p>
    <w:p w14:paraId="5B302E59" w14:textId="77777777" w:rsidR="0003197C" w:rsidRPr="00C2183E" w:rsidRDefault="0003197C" w:rsidP="0003197C">
      <w:pPr>
        <w:spacing w:before="120" w:after="120"/>
        <w:rPr>
          <w:rFonts w:eastAsiaTheme="majorEastAsia" w:cstheme="majorBidi"/>
          <w:bCs/>
          <w:color w:val="000000" w:themeColor="text1"/>
        </w:rPr>
      </w:pPr>
      <w:r w:rsidRPr="00C2183E">
        <w:rPr>
          <w:rFonts w:eastAsiaTheme="majorEastAsia" w:cstheme="majorBidi"/>
          <w:bCs/>
          <w:color w:val="000000" w:themeColor="text1"/>
        </w:rPr>
        <w:t>Diğer taraftan 17/07/2024 tarihinde kabul edilen Enerji Piyasası Düzenleme Kurumu Staj Yönergesi ile 27 konuda düzenleme yapılmış olup bunların başlıcaları; staja ilişkin bürokratik işlemlerin azaltılması, uygulamaya dair belirsizliklerin giderilmesi, stajyerlerin yükümlülükleri ve bunlara ilişkin yaptırımların belirlenmesi, yaz stajı döneminin uzatılması ve stajın haftanın belirli günlerinde devam edilerek tamamlanabilmesine imkân tanınmasıdır.</w:t>
      </w:r>
    </w:p>
    <w:bookmarkEnd w:id="454"/>
    <w:p w14:paraId="626EE93E" w14:textId="77777777" w:rsidR="00433748" w:rsidRPr="002048A7" w:rsidRDefault="00433748" w:rsidP="00433748"/>
    <w:p w14:paraId="53F6D25A" w14:textId="77777777" w:rsidR="00EA1330" w:rsidRPr="002048A7" w:rsidRDefault="00EA1330" w:rsidP="00433748"/>
    <w:p w14:paraId="3EF0B6F0" w14:textId="77777777" w:rsidR="00EA1330" w:rsidRPr="002048A7" w:rsidRDefault="00EA1330" w:rsidP="00433748"/>
    <w:p w14:paraId="33A6F2C6" w14:textId="77777777" w:rsidR="00EA1330" w:rsidRPr="002048A7" w:rsidRDefault="00EA1330" w:rsidP="00433748"/>
    <w:p w14:paraId="26BC6AC0" w14:textId="77777777" w:rsidR="00EA1330" w:rsidRPr="002048A7" w:rsidRDefault="00EA1330" w:rsidP="00433748"/>
    <w:p w14:paraId="255812E8" w14:textId="77777777" w:rsidR="00EA1330" w:rsidRPr="002048A7" w:rsidRDefault="00EA1330" w:rsidP="00433748"/>
    <w:p w14:paraId="3EDA08E0" w14:textId="77777777" w:rsidR="00EA1330" w:rsidRPr="002048A7" w:rsidRDefault="00EA1330" w:rsidP="00433748"/>
    <w:p w14:paraId="4D9354DD" w14:textId="77777777" w:rsidR="00433748" w:rsidRPr="002048A7" w:rsidRDefault="00433748" w:rsidP="00433748"/>
    <w:p w14:paraId="282B73CF" w14:textId="77777777" w:rsidR="00433748" w:rsidRPr="002048A7" w:rsidRDefault="00433748" w:rsidP="00433748"/>
    <w:p w14:paraId="260697A7" w14:textId="77777777" w:rsidR="00433748" w:rsidRPr="002048A7" w:rsidRDefault="00433748" w:rsidP="00433748"/>
    <w:p w14:paraId="65F4B822" w14:textId="77777777" w:rsidR="00760BA0" w:rsidRPr="002048A7" w:rsidRDefault="00B244EB" w:rsidP="00577AAF">
      <w:pPr>
        <w:pStyle w:val="Balk1"/>
        <w:numPr>
          <w:ilvl w:val="0"/>
          <w:numId w:val="11"/>
        </w:numPr>
        <w:rPr>
          <w:rFonts w:asciiTheme="minorHAnsi" w:hAnsiTheme="minorHAnsi"/>
          <w:color w:val="000000" w:themeColor="text1"/>
          <w:sz w:val="22"/>
          <w:szCs w:val="22"/>
        </w:rPr>
      </w:pPr>
      <w:bookmarkStart w:id="455" w:name="_Toc195868788"/>
      <w:r w:rsidRPr="002048A7">
        <w:rPr>
          <w:rFonts w:asciiTheme="minorHAnsi" w:hAnsiTheme="minorHAnsi"/>
          <w:color w:val="000000" w:themeColor="text1"/>
          <w:sz w:val="22"/>
          <w:szCs w:val="22"/>
        </w:rPr>
        <w:lastRenderedPageBreak/>
        <w:t>MALİ BİLGİLER</w:t>
      </w:r>
      <w:bookmarkEnd w:id="455"/>
    </w:p>
    <w:p w14:paraId="7848E1B7" w14:textId="77777777" w:rsidR="00B244EB" w:rsidRPr="002048A7" w:rsidRDefault="00B244EB" w:rsidP="00B244EB">
      <w:pPr>
        <w:spacing w:after="0"/>
      </w:pPr>
      <w:r w:rsidRPr="002048A7">
        <w:t>Kurumun gelir-giderleri Kurumun bütçesini oluşturur. Kurumun gelirlerinin, giderlerini karşılaması esastır. Kurumun gelir fazlası, 4628 sayılı Kanun ve 5018 sayılı Kanuna istinaden genel bütçeye gelir kaydedilmek üzere Kurum kaynaklarından</w:t>
      </w:r>
      <w:r w:rsidR="00C25631" w:rsidRPr="002048A7">
        <w:t xml:space="preserve"> T.C. Hazine ve</w:t>
      </w:r>
      <w:r w:rsidRPr="002048A7">
        <w:t xml:space="preserve"> Maliye Bakanlığına aktarılmaktadır. Bu kapsamd</w:t>
      </w:r>
      <w:r w:rsidR="00043DEB" w:rsidRPr="002048A7">
        <w:t xml:space="preserve">a yapılan aktarmalar Tablo </w:t>
      </w:r>
      <w:r w:rsidR="000279E8" w:rsidRPr="002048A7">
        <w:t>1</w:t>
      </w:r>
      <w:r w:rsidR="00456863" w:rsidRPr="002048A7">
        <w:t>4</w:t>
      </w:r>
      <w:r w:rsidR="008F5245" w:rsidRPr="002048A7">
        <w:t>.1’de</w:t>
      </w:r>
      <w:r w:rsidRPr="002048A7">
        <w:t xml:space="preserve"> gösterilmiştir.</w:t>
      </w:r>
    </w:p>
    <w:p w14:paraId="1F0822DE" w14:textId="77777777" w:rsidR="00B244EB" w:rsidRPr="002048A7" w:rsidRDefault="00B244EB" w:rsidP="0035089D">
      <w:pPr>
        <w:pStyle w:val="Balk5"/>
        <w:spacing w:after="240"/>
        <w:jc w:val="center"/>
        <w:rPr>
          <w:rFonts w:asciiTheme="minorHAnsi" w:hAnsiTheme="minorHAnsi"/>
          <w:b/>
          <w:color w:val="000000" w:themeColor="text1"/>
        </w:rPr>
      </w:pPr>
      <w:bookmarkStart w:id="456" w:name="_Toc195868881"/>
      <w:r w:rsidRPr="002048A7">
        <w:rPr>
          <w:rFonts w:asciiTheme="minorHAnsi" w:hAnsiTheme="minorHAnsi"/>
          <w:b/>
          <w:color w:val="000000" w:themeColor="text1"/>
        </w:rPr>
        <w:t xml:space="preserve">Tablo </w:t>
      </w:r>
      <w:r w:rsidR="008F5245" w:rsidRPr="002048A7">
        <w:rPr>
          <w:rFonts w:asciiTheme="minorHAnsi" w:hAnsiTheme="minorHAnsi"/>
          <w:b/>
          <w:color w:val="000000" w:themeColor="text1"/>
        </w:rPr>
        <w:t>1</w:t>
      </w:r>
      <w:r w:rsidR="00456863" w:rsidRPr="002048A7">
        <w:rPr>
          <w:rFonts w:asciiTheme="minorHAnsi" w:hAnsiTheme="minorHAnsi"/>
          <w:b/>
          <w:color w:val="000000" w:themeColor="text1"/>
        </w:rPr>
        <w:t>4</w:t>
      </w:r>
      <w:r w:rsidR="008F5245" w:rsidRPr="002048A7">
        <w:rPr>
          <w:rFonts w:asciiTheme="minorHAnsi" w:hAnsiTheme="minorHAnsi"/>
          <w:b/>
          <w:color w:val="000000" w:themeColor="text1"/>
        </w:rPr>
        <w:t>.1</w:t>
      </w:r>
      <w:r w:rsidRPr="002048A7">
        <w:rPr>
          <w:rFonts w:asciiTheme="minorHAnsi" w:hAnsiTheme="minorHAnsi"/>
          <w:b/>
          <w:color w:val="000000" w:themeColor="text1"/>
        </w:rPr>
        <w:t>: Yıllar İtibar</w:t>
      </w:r>
      <w:r w:rsidR="00B26352" w:rsidRPr="002048A7">
        <w:rPr>
          <w:rFonts w:asciiTheme="minorHAnsi" w:hAnsiTheme="minorHAnsi"/>
          <w:b/>
          <w:color w:val="000000" w:themeColor="text1"/>
        </w:rPr>
        <w:t>ı</w:t>
      </w:r>
      <w:r w:rsidRPr="002048A7">
        <w:rPr>
          <w:rFonts w:asciiTheme="minorHAnsi" w:hAnsiTheme="minorHAnsi"/>
          <w:b/>
          <w:color w:val="000000" w:themeColor="text1"/>
        </w:rPr>
        <w:t>yl</w:t>
      </w:r>
      <w:r w:rsidR="00B26352" w:rsidRPr="002048A7">
        <w:rPr>
          <w:rFonts w:asciiTheme="minorHAnsi" w:hAnsiTheme="minorHAnsi"/>
          <w:b/>
          <w:color w:val="000000" w:themeColor="text1"/>
        </w:rPr>
        <w:t>a</w:t>
      </w:r>
      <w:r w:rsidRPr="002048A7">
        <w:rPr>
          <w:rFonts w:asciiTheme="minorHAnsi" w:hAnsiTheme="minorHAnsi"/>
          <w:b/>
          <w:color w:val="000000" w:themeColor="text1"/>
        </w:rPr>
        <w:t xml:space="preserve"> </w:t>
      </w:r>
      <w:r w:rsidR="00C25631" w:rsidRPr="002048A7">
        <w:rPr>
          <w:rFonts w:asciiTheme="minorHAnsi" w:hAnsiTheme="minorHAnsi"/>
          <w:b/>
          <w:color w:val="000000" w:themeColor="text1"/>
        </w:rPr>
        <w:t xml:space="preserve">T.C. Hazine ve </w:t>
      </w:r>
      <w:r w:rsidRPr="002048A7">
        <w:rPr>
          <w:rFonts w:asciiTheme="minorHAnsi" w:hAnsiTheme="minorHAnsi"/>
          <w:b/>
          <w:color w:val="000000" w:themeColor="text1"/>
        </w:rPr>
        <w:t>Maliye Bakanlığına Aktarılan Gelir Fazlası (TL)</w:t>
      </w:r>
      <w:bookmarkEnd w:id="456"/>
    </w:p>
    <w:tbl>
      <w:tblPr>
        <w:tblW w:w="5000" w:type="pct"/>
        <w:jc w:val="righ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2723"/>
        <w:gridCol w:w="2373"/>
        <w:gridCol w:w="2373"/>
        <w:gridCol w:w="2442"/>
      </w:tblGrid>
      <w:tr w:rsidR="009F6F06" w:rsidRPr="002048A7" w14:paraId="0B8CD63B" w14:textId="77777777" w:rsidTr="00ED7796">
        <w:trPr>
          <w:trHeight w:val="397"/>
          <w:tblHeader/>
          <w:jc w:val="right"/>
        </w:trPr>
        <w:tc>
          <w:tcPr>
            <w:tcW w:w="5000" w:type="pct"/>
            <w:gridSpan w:val="4"/>
            <w:tcBorders>
              <w:top w:val="single" w:sz="4" w:space="0" w:color="auto"/>
              <w:left w:val="single" w:sz="4" w:space="0" w:color="auto"/>
              <w:bottom w:val="single" w:sz="4" w:space="0" w:color="auto"/>
              <w:right w:val="single" w:sz="4" w:space="0" w:color="auto"/>
            </w:tcBorders>
            <w:shd w:val="clear" w:color="000000" w:fill="6E9ECA"/>
            <w:vAlign w:val="center"/>
            <w:hideMark/>
          </w:tcPr>
          <w:p w14:paraId="162E5C05" w14:textId="77777777" w:rsidR="009F6F06" w:rsidRPr="002048A7" w:rsidRDefault="009F6F06" w:rsidP="000F0D68">
            <w:pPr>
              <w:spacing w:after="0" w:line="240" w:lineRule="auto"/>
              <w:jc w:val="center"/>
              <w:rPr>
                <w:rFonts w:ascii="Calibri" w:eastAsia="Times New Roman" w:hAnsi="Calibri"/>
                <w:b/>
                <w:bCs/>
                <w:color w:val="FFFFFF" w:themeColor="background1"/>
                <w:sz w:val="24"/>
                <w:szCs w:val="24"/>
                <w:lang w:eastAsia="tr-TR"/>
              </w:rPr>
            </w:pPr>
            <w:r w:rsidRPr="002048A7">
              <w:rPr>
                <w:rFonts w:ascii="Calibri" w:eastAsia="Times New Roman" w:hAnsi="Calibri"/>
                <w:b/>
                <w:bCs/>
                <w:color w:val="FFFFFF" w:themeColor="background1"/>
                <w:sz w:val="24"/>
                <w:szCs w:val="24"/>
                <w:lang w:eastAsia="tr-TR"/>
              </w:rPr>
              <w:t>Yıllar İtibar</w:t>
            </w:r>
            <w:r w:rsidR="00B26352" w:rsidRPr="002048A7">
              <w:rPr>
                <w:rFonts w:ascii="Calibri" w:eastAsia="Times New Roman" w:hAnsi="Calibri"/>
                <w:b/>
                <w:bCs/>
                <w:color w:val="FFFFFF" w:themeColor="background1"/>
                <w:sz w:val="24"/>
                <w:szCs w:val="24"/>
                <w:lang w:eastAsia="tr-TR"/>
              </w:rPr>
              <w:t>ı</w:t>
            </w:r>
            <w:r w:rsidRPr="002048A7">
              <w:rPr>
                <w:rFonts w:ascii="Calibri" w:eastAsia="Times New Roman" w:hAnsi="Calibri"/>
                <w:b/>
                <w:bCs/>
                <w:color w:val="FFFFFF" w:themeColor="background1"/>
                <w:sz w:val="24"/>
                <w:szCs w:val="24"/>
                <w:lang w:eastAsia="tr-TR"/>
              </w:rPr>
              <w:t>yl</w:t>
            </w:r>
            <w:r w:rsidR="00B26352" w:rsidRPr="002048A7">
              <w:rPr>
                <w:rFonts w:ascii="Calibri" w:eastAsia="Times New Roman" w:hAnsi="Calibri"/>
                <w:b/>
                <w:bCs/>
                <w:color w:val="FFFFFF" w:themeColor="background1"/>
                <w:sz w:val="24"/>
                <w:szCs w:val="24"/>
                <w:lang w:eastAsia="tr-TR"/>
              </w:rPr>
              <w:t>a</w:t>
            </w:r>
            <w:r w:rsidRPr="002048A7">
              <w:rPr>
                <w:rFonts w:ascii="Calibri" w:eastAsia="Times New Roman" w:hAnsi="Calibri"/>
                <w:b/>
                <w:bCs/>
                <w:color w:val="FFFFFF" w:themeColor="background1"/>
                <w:sz w:val="24"/>
                <w:szCs w:val="24"/>
                <w:lang w:eastAsia="tr-TR"/>
              </w:rPr>
              <w:t xml:space="preserve"> T.C. Hazine Maliye Bakanlığına (Bütçeye) Aktarılan Gelir Fazlası (TL)</w:t>
            </w:r>
          </w:p>
        </w:tc>
      </w:tr>
      <w:tr w:rsidR="009F6F06" w:rsidRPr="002048A7" w14:paraId="1A6621C3" w14:textId="77777777" w:rsidTr="00ED7796">
        <w:trPr>
          <w:trHeight w:val="509"/>
          <w:tblHeader/>
          <w:jc w:val="right"/>
        </w:trPr>
        <w:tc>
          <w:tcPr>
            <w:tcW w:w="1374" w:type="pct"/>
            <w:vMerge w:val="restart"/>
            <w:tcBorders>
              <w:top w:val="single" w:sz="4" w:space="0" w:color="auto"/>
              <w:left w:val="single" w:sz="4" w:space="0" w:color="auto"/>
              <w:bottom w:val="single" w:sz="4" w:space="0" w:color="auto"/>
              <w:right w:val="single" w:sz="4" w:space="0" w:color="auto"/>
            </w:tcBorders>
            <w:shd w:val="clear" w:color="000000" w:fill="6E9ECA"/>
            <w:vAlign w:val="center"/>
            <w:hideMark/>
          </w:tcPr>
          <w:p w14:paraId="35034191" w14:textId="77777777" w:rsidR="009F6F06" w:rsidRPr="002048A7" w:rsidRDefault="009F6F06" w:rsidP="000F0D68">
            <w:pPr>
              <w:spacing w:after="0" w:line="240" w:lineRule="auto"/>
              <w:jc w:val="center"/>
              <w:rPr>
                <w:rFonts w:ascii="Calibri" w:eastAsia="Times New Roman" w:hAnsi="Calibri"/>
                <w:b/>
                <w:bCs/>
                <w:color w:val="FFFFFF" w:themeColor="background1"/>
                <w:sz w:val="24"/>
                <w:szCs w:val="24"/>
                <w:lang w:eastAsia="tr-TR"/>
              </w:rPr>
            </w:pPr>
            <w:r w:rsidRPr="002048A7">
              <w:rPr>
                <w:rFonts w:ascii="Calibri" w:eastAsia="Times New Roman" w:hAnsi="Calibri"/>
                <w:b/>
                <w:bCs/>
                <w:color w:val="FFFFFF" w:themeColor="background1"/>
                <w:sz w:val="24"/>
                <w:szCs w:val="24"/>
                <w:lang w:eastAsia="tr-TR"/>
              </w:rPr>
              <w:t>Yıllar</w:t>
            </w:r>
          </w:p>
        </w:tc>
        <w:tc>
          <w:tcPr>
            <w:tcW w:w="1197" w:type="pct"/>
            <w:vMerge w:val="restart"/>
            <w:tcBorders>
              <w:top w:val="single" w:sz="4" w:space="0" w:color="auto"/>
              <w:left w:val="single" w:sz="4" w:space="0" w:color="auto"/>
              <w:bottom w:val="single" w:sz="4" w:space="0" w:color="auto"/>
              <w:right w:val="single" w:sz="4" w:space="0" w:color="auto"/>
            </w:tcBorders>
            <w:shd w:val="clear" w:color="000000" w:fill="6E9ECA"/>
            <w:vAlign w:val="center"/>
            <w:hideMark/>
          </w:tcPr>
          <w:p w14:paraId="58F730FD" w14:textId="77777777" w:rsidR="009F6F06" w:rsidRPr="002048A7" w:rsidRDefault="009F6F06" w:rsidP="000F0D68">
            <w:pPr>
              <w:spacing w:after="0" w:line="240" w:lineRule="auto"/>
              <w:jc w:val="center"/>
              <w:rPr>
                <w:rFonts w:ascii="Calibri" w:eastAsia="Times New Roman" w:hAnsi="Calibri"/>
                <w:b/>
                <w:bCs/>
                <w:color w:val="FFFFFF" w:themeColor="background1"/>
                <w:sz w:val="24"/>
                <w:szCs w:val="24"/>
                <w:lang w:eastAsia="tr-TR"/>
              </w:rPr>
            </w:pPr>
            <w:r w:rsidRPr="002048A7">
              <w:rPr>
                <w:rFonts w:ascii="Calibri" w:eastAsia="Times New Roman" w:hAnsi="Calibri"/>
                <w:b/>
                <w:bCs/>
                <w:color w:val="FFFFFF" w:themeColor="background1"/>
                <w:sz w:val="24"/>
                <w:szCs w:val="24"/>
                <w:lang w:eastAsia="tr-TR"/>
              </w:rPr>
              <w:t xml:space="preserve">Yıl İçindeki                                                                                                                                            </w:t>
            </w:r>
            <w:proofErr w:type="gramStart"/>
            <w:r w:rsidRPr="002048A7">
              <w:rPr>
                <w:rFonts w:ascii="Calibri" w:eastAsia="Times New Roman" w:hAnsi="Calibri"/>
                <w:b/>
                <w:bCs/>
                <w:color w:val="FFFFFF" w:themeColor="background1"/>
                <w:sz w:val="24"/>
                <w:szCs w:val="24"/>
                <w:lang w:eastAsia="tr-TR"/>
              </w:rPr>
              <w:t xml:space="preserve"> </w:t>
            </w:r>
            <w:r w:rsidR="00C309A5" w:rsidRPr="002048A7">
              <w:rPr>
                <w:rFonts w:ascii="Calibri" w:eastAsia="Times New Roman" w:hAnsi="Calibri"/>
                <w:b/>
                <w:bCs/>
                <w:color w:val="FFFFFF" w:themeColor="background1"/>
                <w:sz w:val="24"/>
                <w:szCs w:val="24"/>
                <w:lang w:eastAsia="tr-TR"/>
              </w:rPr>
              <w:t xml:space="preserve">  (</w:t>
            </w:r>
            <w:proofErr w:type="gramEnd"/>
            <w:r w:rsidRPr="002048A7">
              <w:rPr>
                <w:rFonts w:ascii="Calibri" w:eastAsia="Times New Roman" w:hAnsi="Calibri"/>
                <w:b/>
                <w:bCs/>
                <w:color w:val="FFFFFF" w:themeColor="background1"/>
                <w:sz w:val="24"/>
                <w:szCs w:val="24"/>
                <w:lang w:eastAsia="tr-TR"/>
              </w:rPr>
              <w:t>Her Üç Ayda Bir İzleyen  Ayın On</w:t>
            </w:r>
            <w:r w:rsidR="00C309A5" w:rsidRPr="002048A7">
              <w:rPr>
                <w:rFonts w:ascii="Calibri" w:eastAsia="Times New Roman" w:hAnsi="Calibri"/>
                <w:b/>
                <w:bCs/>
                <w:color w:val="FFFFFF" w:themeColor="background1"/>
                <w:sz w:val="24"/>
                <w:szCs w:val="24"/>
                <w:lang w:eastAsia="tr-TR"/>
              </w:rPr>
              <w:t xml:space="preserve"> B</w:t>
            </w:r>
            <w:r w:rsidRPr="002048A7">
              <w:rPr>
                <w:rFonts w:ascii="Calibri" w:eastAsia="Times New Roman" w:hAnsi="Calibri"/>
                <w:b/>
                <w:bCs/>
                <w:color w:val="FFFFFF" w:themeColor="background1"/>
                <w:sz w:val="24"/>
                <w:szCs w:val="24"/>
                <w:lang w:eastAsia="tr-TR"/>
              </w:rPr>
              <w:t>eşine Kadar Aktarılan)</w:t>
            </w:r>
          </w:p>
        </w:tc>
        <w:tc>
          <w:tcPr>
            <w:tcW w:w="1197" w:type="pct"/>
            <w:vMerge w:val="restart"/>
            <w:tcBorders>
              <w:top w:val="single" w:sz="4" w:space="0" w:color="auto"/>
              <w:left w:val="single" w:sz="4" w:space="0" w:color="auto"/>
              <w:bottom w:val="single" w:sz="4" w:space="0" w:color="auto"/>
              <w:right w:val="single" w:sz="4" w:space="0" w:color="auto"/>
            </w:tcBorders>
            <w:shd w:val="clear" w:color="000000" w:fill="6E9ECA"/>
            <w:vAlign w:val="center"/>
            <w:hideMark/>
          </w:tcPr>
          <w:p w14:paraId="1E1F4788" w14:textId="77777777" w:rsidR="009F6F06" w:rsidRPr="002048A7" w:rsidRDefault="009F6F06" w:rsidP="000F0D68">
            <w:pPr>
              <w:spacing w:after="0" w:line="240" w:lineRule="auto"/>
              <w:jc w:val="center"/>
              <w:rPr>
                <w:rFonts w:ascii="Calibri" w:eastAsia="Times New Roman" w:hAnsi="Calibri"/>
                <w:b/>
                <w:bCs/>
                <w:color w:val="FFFFFF" w:themeColor="background1"/>
                <w:sz w:val="24"/>
                <w:szCs w:val="24"/>
                <w:lang w:eastAsia="tr-TR"/>
              </w:rPr>
            </w:pPr>
            <w:r w:rsidRPr="002048A7">
              <w:rPr>
                <w:rFonts w:ascii="Calibri" w:eastAsia="Times New Roman" w:hAnsi="Calibri"/>
                <w:b/>
                <w:bCs/>
                <w:color w:val="FFFFFF" w:themeColor="background1"/>
                <w:sz w:val="24"/>
                <w:szCs w:val="24"/>
                <w:lang w:eastAsia="tr-TR"/>
              </w:rPr>
              <w:t xml:space="preserve">Yıl Sonundaki                             </w:t>
            </w:r>
            <w:proofErr w:type="gramStart"/>
            <w:r w:rsidRPr="002048A7">
              <w:rPr>
                <w:rFonts w:ascii="Calibri" w:eastAsia="Times New Roman" w:hAnsi="Calibri"/>
                <w:b/>
                <w:bCs/>
                <w:color w:val="FFFFFF" w:themeColor="background1"/>
                <w:sz w:val="24"/>
                <w:szCs w:val="24"/>
                <w:lang w:eastAsia="tr-TR"/>
              </w:rPr>
              <w:t xml:space="preserve"> </w:t>
            </w:r>
            <w:r w:rsidR="00C309A5" w:rsidRPr="002048A7">
              <w:rPr>
                <w:rFonts w:ascii="Calibri" w:eastAsia="Times New Roman" w:hAnsi="Calibri"/>
                <w:b/>
                <w:bCs/>
                <w:color w:val="FFFFFF" w:themeColor="background1"/>
                <w:sz w:val="24"/>
                <w:szCs w:val="24"/>
                <w:lang w:eastAsia="tr-TR"/>
              </w:rPr>
              <w:t xml:space="preserve">  (</w:t>
            </w:r>
            <w:proofErr w:type="gramEnd"/>
            <w:r w:rsidRPr="002048A7">
              <w:rPr>
                <w:rFonts w:ascii="Calibri" w:eastAsia="Times New Roman" w:hAnsi="Calibri"/>
                <w:b/>
                <w:bCs/>
                <w:color w:val="FFFFFF" w:themeColor="background1"/>
                <w:sz w:val="24"/>
                <w:szCs w:val="24"/>
                <w:lang w:eastAsia="tr-TR"/>
              </w:rPr>
              <w:t>İzleyen Yılın Mart Ayı Sonuna Kadar Aktarılan)</w:t>
            </w:r>
          </w:p>
        </w:tc>
        <w:tc>
          <w:tcPr>
            <w:tcW w:w="1232" w:type="pct"/>
            <w:vMerge w:val="restart"/>
            <w:tcBorders>
              <w:top w:val="single" w:sz="4" w:space="0" w:color="auto"/>
              <w:left w:val="single" w:sz="4" w:space="0" w:color="auto"/>
              <w:bottom w:val="single" w:sz="4" w:space="0" w:color="auto"/>
              <w:right w:val="single" w:sz="4" w:space="0" w:color="auto"/>
            </w:tcBorders>
            <w:shd w:val="clear" w:color="000000" w:fill="6E9ECA"/>
            <w:vAlign w:val="center"/>
            <w:hideMark/>
          </w:tcPr>
          <w:p w14:paraId="3107FC48" w14:textId="77777777" w:rsidR="009F6F06" w:rsidRPr="002048A7" w:rsidRDefault="009F6F06" w:rsidP="000F0D68">
            <w:pPr>
              <w:spacing w:after="0" w:line="240" w:lineRule="auto"/>
              <w:jc w:val="center"/>
              <w:rPr>
                <w:rFonts w:ascii="Calibri" w:eastAsia="Times New Roman" w:hAnsi="Calibri"/>
                <w:b/>
                <w:bCs/>
                <w:color w:val="FFFFFF" w:themeColor="background1"/>
                <w:sz w:val="24"/>
                <w:szCs w:val="24"/>
                <w:lang w:eastAsia="tr-TR"/>
              </w:rPr>
            </w:pPr>
            <w:r w:rsidRPr="002048A7">
              <w:rPr>
                <w:rFonts w:ascii="Calibri" w:eastAsia="Times New Roman" w:hAnsi="Calibri"/>
                <w:b/>
                <w:bCs/>
                <w:color w:val="FFFFFF" w:themeColor="background1"/>
                <w:sz w:val="24"/>
                <w:szCs w:val="24"/>
                <w:lang w:eastAsia="tr-TR"/>
              </w:rPr>
              <w:t>Toplam</w:t>
            </w:r>
          </w:p>
        </w:tc>
      </w:tr>
      <w:tr w:rsidR="009F6F06" w:rsidRPr="002048A7" w14:paraId="7BA7BF98" w14:textId="77777777" w:rsidTr="0035089D">
        <w:trPr>
          <w:trHeight w:val="509"/>
          <w:jc w:val="right"/>
        </w:trPr>
        <w:tc>
          <w:tcPr>
            <w:tcW w:w="1374" w:type="pct"/>
            <w:vMerge/>
            <w:tcBorders>
              <w:top w:val="single" w:sz="4" w:space="0" w:color="auto"/>
              <w:left w:val="single" w:sz="4" w:space="0" w:color="auto"/>
              <w:bottom w:val="single" w:sz="4" w:space="0" w:color="auto"/>
              <w:right w:val="single" w:sz="4" w:space="0" w:color="auto"/>
            </w:tcBorders>
            <w:vAlign w:val="center"/>
            <w:hideMark/>
          </w:tcPr>
          <w:p w14:paraId="5B29F3E1" w14:textId="77777777" w:rsidR="009F6F06" w:rsidRPr="002048A7" w:rsidRDefault="009F6F06" w:rsidP="000F0D68">
            <w:pPr>
              <w:spacing w:after="0" w:line="240" w:lineRule="auto"/>
              <w:rPr>
                <w:rFonts w:ascii="Calibri" w:eastAsia="Times New Roman" w:hAnsi="Calibri"/>
                <w:b/>
                <w:bCs/>
                <w:color w:val="FFFFFF"/>
                <w:sz w:val="24"/>
                <w:szCs w:val="24"/>
                <w:lang w:eastAsia="tr-TR"/>
              </w:rPr>
            </w:pPr>
          </w:p>
        </w:tc>
        <w:tc>
          <w:tcPr>
            <w:tcW w:w="1197" w:type="pct"/>
            <w:vMerge/>
            <w:tcBorders>
              <w:top w:val="single" w:sz="4" w:space="0" w:color="auto"/>
              <w:left w:val="single" w:sz="4" w:space="0" w:color="auto"/>
              <w:bottom w:val="single" w:sz="4" w:space="0" w:color="auto"/>
              <w:right w:val="single" w:sz="4" w:space="0" w:color="auto"/>
            </w:tcBorders>
            <w:vAlign w:val="center"/>
            <w:hideMark/>
          </w:tcPr>
          <w:p w14:paraId="737DE7DC" w14:textId="77777777" w:rsidR="009F6F06" w:rsidRPr="002048A7" w:rsidRDefault="009F6F06" w:rsidP="000F0D68">
            <w:pPr>
              <w:spacing w:after="0" w:line="240" w:lineRule="auto"/>
              <w:rPr>
                <w:rFonts w:ascii="Calibri" w:eastAsia="Times New Roman" w:hAnsi="Calibri"/>
                <w:b/>
                <w:bCs/>
                <w:color w:val="FFFFFF"/>
                <w:sz w:val="24"/>
                <w:szCs w:val="24"/>
                <w:lang w:eastAsia="tr-TR"/>
              </w:rPr>
            </w:pPr>
          </w:p>
        </w:tc>
        <w:tc>
          <w:tcPr>
            <w:tcW w:w="1197" w:type="pct"/>
            <w:vMerge/>
            <w:tcBorders>
              <w:top w:val="single" w:sz="4" w:space="0" w:color="auto"/>
              <w:left w:val="single" w:sz="4" w:space="0" w:color="auto"/>
              <w:bottom w:val="single" w:sz="4" w:space="0" w:color="auto"/>
              <w:right w:val="single" w:sz="4" w:space="0" w:color="auto"/>
            </w:tcBorders>
            <w:vAlign w:val="center"/>
            <w:hideMark/>
          </w:tcPr>
          <w:p w14:paraId="4034DD0E" w14:textId="77777777" w:rsidR="009F6F06" w:rsidRPr="002048A7" w:rsidRDefault="009F6F06" w:rsidP="000F0D68">
            <w:pPr>
              <w:spacing w:after="0" w:line="240" w:lineRule="auto"/>
              <w:rPr>
                <w:rFonts w:ascii="Calibri" w:eastAsia="Times New Roman" w:hAnsi="Calibri"/>
                <w:b/>
                <w:bCs/>
                <w:color w:val="FFFFFF"/>
                <w:sz w:val="24"/>
                <w:szCs w:val="24"/>
                <w:lang w:eastAsia="tr-TR"/>
              </w:rPr>
            </w:pPr>
          </w:p>
        </w:tc>
        <w:tc>
          <w:tcPr>
            <w:tcW w:w="1232" w:type="pct"/>
            <w:vMerge/>
            <w:tcBorders>
              <w:top w:val="single" w:sz="4" w:space="0" w:color="auto"/>
              <w:left w:val="single" w:sz="4" w:space="0" w:color="auto"/>
              <w:bottom w:val="single" w:sz="4" w:space="0" w:color="auto"/>
              <w:right w:val="single" w:sz="4" w:space="0" w:color="auto"/>
            </w:tcBorders>
            <w:vAlign w:val="center"/>
            <w:hideMark/>
          </w:tcPr>
          <w:p w14:paraId="47113EEC" w14:textId="77777777" w:rsidR="009F6F06" w:rsidRPr="002048A7" w:rsidRDefault="009F6F06" w:rsidP="000F0D68">
            <w:pPr>
              <w:spacing w:after="0" w:line="240" w:lineRule="auto"/>
              <w:rPr>
                <w:rFonts w:ascii="Calibri" w:eastAsia="Times New Roman" w:hAnsi="Calibri"/>
                <w:b/>
                <w:bCs/>
                <w:color w:val="FFFFFF"/>
                <w:sz w:val="24"/>
                <w:szCs w:val="24"/>
                <w:lang w:eastAsia="tr-TR"/>
              </w:rPr>
            </w:pPr>
          </w:p>
        </w:tc>
      </w:tr>
      <w:tr w:rsidR="00DC6441" w:rsidRPr="002048A7" w14:paraId="482432A9" w14:textId="77777777"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14:paraId="6D6E1E94" w14:textId="77777777" w:rsidR="00DC6441" w:rsidRPr="002048A7" w:rsidRDefault="00DC6441" w:rsidP="00DC6441">
            <w:pPr>
              <w:spacing w:after="0" w:line="240" w:lineRule="auto"/>
              <w:jc w:val="center"/>
              <w:rPr>
                <w:rFonts w:ascii="Calibri" w:eastAsia="Times New Roman" w:hAnsi="Calibri"/>
                <w:b/>
                <w:bCs/>
                <w:color w:val="000000"/>
                <w:lang w:eastAsia="tr-TR"/>
              </w:rPr>
            </w:pPr>
            <w:r w:rsidRPr="002048A7">
              <w:rPr>
                <w:rFonts w:ascii="Calibri" w:eastAsia="Times New Roman" w:hAnsi="Calibri"/>
                <w:b/>
                <w:bCs/>
                <w:color w:val="000000" w:themeColor="text1"/>
                <w:lang w:eastAsia="tr-TR"/>
              </w:rPr>
              <w:t>2001</w:t>
            </w:r>
          </w:p>
        </w:tc>
        <w:tc>
          <w:tcPr>
            <w:tcW w:w="11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98176A" w14:textId="77777777" w:rsidR="00DC6441" w:rsidRPr="002048A7" w:rsidRDefault="00DC6441" w:rsidP="00DC6441">
            <w:pPr>
              <w:jc w:val="center"/>
              <w:rPr>
                <w:rFonts w:ascii="Calibri" w:eastAsia="Times New Roman" w:hAnsi="Calibri" w:cs="Calibri"/>
                <w:color w:val="000000"/>
              </w:rPr>
            </w:pPr>
            <w:r w:rsidRPr="002048A7">
              <w:rPr>
                <w:rFonts w:ascii="Calibri" w:hAnsi="Calibri" w:cs="Calibri"/>
                <w:color w:val="000000"/>
              </w:rPr>
              <w:t>0,00</w:t>
            </w:r>
          </w:p>
        </w:tc>
        <w:tc>
          <w:tcPr>
            <w:tcW w:w="1197" w:type="pct"/>
            <w:tcBorders>
              <w:top w:val="single" w:sz="4" w:space="0" w:color="auto"/>
              <w:left w:val="nil"/>
              <w:bottom w:val="single" w:sz="4" w:space="0" w:color="auto"/>
              <w:right w:val="single" w:sz="4" w:space="0" w:color="auto"/>
            </w:tcBorders>
            <w:shd w:val="clear" w:color="000000" w:fill="FFFFFF"/>
            <w:vAlign w:val="center"/>
            <w:hideMark/>
          </w:tcPr>
          <w:p w14:paraId="49C71CE4"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22.306,00</w:t>
            </w:r>
          </w:p>
        </w:tc>
        <w:tc>
          <w:tcPr>
            <w:tcW w:w="1232" w:type="pct"/>
            <w:tcBorders>
              <w:top w:val="single" w:sz="4" w:space="0" w:color="auto"/>
              <w:left w:val="nil"/>
              <w:bottom w:val="single" w:sz="4" w:space="0" w:color="auto"/>
              <w:right w:val="single" w:sz="4" w:space="0" w:color="auto"/>
            </w:tcBorders>
            <w:shd w:val="clear" w:color="000000" w:fill="FFFFFF"/>
            <w:vAlign w:val="center"/>
            <w:hideMark/>
          </w:tcPr>
          <w:p w14:paraId="76AC396E"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22.306,00</w:t>
            </w:r>
          </w:p>
        </w:tc>
      </w:tr>
      <w:tr w:rsidR="00DC6441" w:rsidRPr="002048A7" w14:paraId="7E226262" w14:textId="77777777"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14:paraId="2FB8676B" w14:textId="77777777" w:rsidR="00DC6441" w:rsidRPr="002048A7" w:rsidRDefault="00DC6441" w:rsidP="00DC6441">
            <w:pPr>
              <w:spacing w:after="0" w:line="240" w:lineRule="auto"/>
              <w:jc w:val="center"/>
              <w:rPr>
                <w:rFonts w:ascii="Calibri" w:eastAsia="Times New Roman" w:hAnsi="Calibri"/>
                <w:b/>
                <w:bCs/>
                <w:color w:val="000000"/>
                <w:lang w:eastAsia="tr-TR"/>
              </w:rPr>
            </w:pPr>
            <w:r w:rsidRPr="002048A7">
              <w:rPr>
                <w:rFonts w:ascii="Calibri" w:eastAsia="Times New Roman" w:hAnsi="Calibri"/>
                <w:b/>
                <w:bCs/>
                <w:color w:val="000000" w:themeColor="text1"/>
                <w:lang w:eastAsia="tr-TR"/>
              </w:rPr>
              <w:t>2002</w:t>
            </w:r>
          </w:p>
        </w:tc>
        <w:tc>
          <w:tcPr>
            <w:tcW w:w="1197" w:type="pct"/>
            <w:tcBorders>
              <w:top w:val="nil"/>
              <w:left w:val="single" w:sz="4" w:space="0" w:color="auto"/>
              <w:bottom w:val="single" w:sz="4" w:space="0" w:color="auto"/>
              <w:right w:val="single" w:sz="4" w:space="0" w:color="auto"/>
            </w:tcBorders>
            <w:shd w:val="clear" w:color="auto" w:fill="auto"/>
            <w:vAlign w:val="center"/>
            <w:hideMark/>
          </w:tcPr>
          <w:p w14:paraId="50644E89"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0,00</w:t>
            </w:r>
          </w:p>
        </w:tc>
        <w:tc>
          <w:tcPr>
            <w:tcW w:w="1197" w:type="pct"/>
            <w:tcBorders>
              <w:top w:val="nil"/>
              <w:left w:val="nil"/>
              <w:bottom w:val="single" w:sz="4" w:space="0" w:color="auto"/>
              <w:right w:val="single" w:sz="4" w:space="0" w:color="auto"/>
            </w:tcBorders>
            <w:shd w:val="clear" w:color="auto" w:fill="auto"/>
            <w:vAlign w:val="center"/>
            <w:hideMark/>
          </w:tcPr>
          <w:p w14:paraId="3325AF5E"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0,00</w:t>
            </w:r>
          </w:p>
        </w:tc>
        <w:tc>
          <w:tcPr>
            <w:tcW w:w="1232" w:type="pct"/>
            <w:tcBorders>
              <w:top w:val="nil"/>
              <w:left w:val="nil"/>
              <w:bottom w:val="single" w:sz="4" w:space="0" w:color="auto"/>
              <w:right w:val="single" w:sz="4" w:space="0" w:color="auto"/>
            </w:tcBorders>
            <w:shd w:val="clear" w:color="auto" w:fill="auto"/>
            <w:vAlign w:val="center"/>
            <w:hideMark/>
          </w:tcPr>
          <w:p w14:paraId="47C57B92"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0,00</w:t>
            </w:r>
          </w:p>
        </w:tc>
      </w:tr>
      <w:tr w:rsidR="00DC6441" w:rsidRPr="002048A7" w14:paraId="3F8DB411" w14:textId="77777777"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14:paraId="08253B59" w14:textId="77777777" w:rsidR="00DC6441" w:rsidRPr="002048A7" w:rsidRDefault="00DC6441" w:rsidP="00DC6441">
            <w:pPr>
              <w:spacing w:after="0" w:line="240" w:lineRule="auto"/>
              <w:jc w:val="center"/>
              <w:rPr>
                <w:rFonts w:ascii="Calibri" w:eastAsia="Times New Roman" w:hAnsi="Calibri"/>
                <w:b/>
                <w:bCs/>
                <w:color w:val="000000"/>
                <w:lang w:eastAsia="tr-TR"/>
              </w:rPr>
            </w:pPr>
            <w:r w:rsidRPr="002048A7">
              <w:rPr>
                <w:rFonts w:ascii="Calibri" w:eastAsia="Times New Roman" w:hAnsi="Calibri"/>
                <w:b/>
                <w:bCs/>
                <w:color w:val="000000" w:themeColor="text1"/>
                <w:lang w:eastAsia="tr-TR"/>
              </w:rPr>
              <w:t>2003</w:t>
            </w:r>
          </w:p>
        </w:tc>
        <w:tc>
          <w:tcPr>
            <w:tcW w:w="1197" w:type="pct"/>
            <w:tcBorders>
              <w:top w:val="nil"/>
              <w:left w:val="single" w:sz="4" w:space="0" w:color="auto"/>
              <w:bottom w:val="single" w:sz="4" w:space="0" w:color="auto"/>
              <w:right w:val="single" w:sz="4" w:space="0" w:color="auto"/>
            </w:tcBorders>
            <w:shd w:val="clear" w:color="auto" w:fill="auto"/>
            <w:vAlign w:val="center"/>
            <w:hideMark/>
          </w:tcPr>
          <w:p w14:paraId="17626E9F"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0,00</w:t>
            </w:r>
          </w:p>
        </w:tc>
        <w:tc>
          <w:tcPr>
            <w:tcW w:w="1197" w:type="pct"/>
            <w:tcBorders>
              <w:top w:val="nil"/>
              <w:left w:val="nil"/>
              <w:bottom w:val="single" w:sz="4" w:space="0" w:color="auto"/>
              <w:right w:val="single" w:sz="4" w:space="0" w:color="auto"/>
            </w:tcBorders>
            <w:shd w:val="clear" w:color="000000" w:fill="FFFFFF"/>
            <w:vAlign w:val="center"/>
            <w:hideMark/>
          </w:tcPr>
          <w:p w14:paraId="363A8076"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17.992.437,17</w:t>
            </w:r>
          </w:p>
        </w:tc>
        <w:tc>
          <w:tcPr>
            <w:tcW w:w="1232" w:type="pct"/>
            <w:tcBorders>
              <w:top w:val="nil"/>
              <w:left w:val="nil"/>
              <w:bottom w:val="single" w:sz="4" w:space="0" w:color="auto"/>
              <w:right w:val="single" w:sz="4" w:space="0" w:color="auto"/>
            </w:tcBorders>
            <w:shd w:val="clear" w:color="000000" w:fill="FFFFFF"/>
            <w:vAlign w:val="center"/>
            <w:hideMark/>
          </w:tcPr>
          <w:p w14:paraId="7D5EF944"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17.992.437,17</w:t>
            </w:r>
          </w:p>
        </w:tc>
      </w:tr>
      <w:tr w:rsidR="00DC6441" w:rsidRPr="002048A7" w14:paraId="5884521A" w14:textId="77777777"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14:paraId="3A41CE83" w14:textId="77777777" w:rsidR="00DC6441" w:rsidRPr="002048A7" w:rsidRDefault="00DC6441" w:rsidP="00DC6441">
            <w:pPr>
              <w:spacing w:after="0" w:line="240" w:lineRule="auto"/>
              <w:jc w:val="center"/>
              <w:rPr>
                <w:rFonts w:ascii="Calibri" w:eastAsia="Times New Roman" w:hAnsi="Calibri"/>
                <w:b/>
                <w:bCs/>
                <w:color w:val="000000"/>
                <w:lang w:eastAsia="tr-TR"/>
              </w:rPr>
            </w:pPr>
            <w:r w:rsidRPr="002048A7">
              <w:rPr>
                <w:rFonts w:ascii="Calibri" w:eastAsia="Times New Roman" w:hAnsi="Calibri"/>
                <w:b/>
                <w:bCs/>
                <w:color w:val="000000" w:themeColor="text1"/>
                <w:lang w:eastAsia="tr-TR"/>
              </w:rPr>
              <w:t>2004</w:t>
            </w:r>
          </w:p>
        </w:tc>
        <w:tc>
          <w:tcPr>
            <w:tcW w:w="1197" w:type="pct"/>
            <w:tcBorders>
              <w:top w:val="nil"/>
              <w:left w:val="single" w:sz="4" w:space="0" w:color="auto"/>
              <w:bottom w:val="single" w:sz="4" w:space="0" w:color="auto"/>
              <w:right w:val="single" w:sz="4" w:space="0" w:color="auto"/>
            </w:tcBorders>
            <w:shd w:val="clear" w:color="auto" w:fill="auto"/>
            <w:vAlign w:val="center"/>
            <w:hideMark/>
          </w:tcPr>
          <w:p w14:paraId="099C455E"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0,00</w:t>
            </w:r>
          </w:p>
        </w:tc>
        <w:tc>
          <w:tcPr>
            <w:tcW w:w="1197" w:type="pct"/>
            <w:tcBorders>
              <w:top w:val="nil"/>
              <w:left w:val="nil"/>
              <w:bottom w:val="single" w:sz="4" w:space="0" w:color="auto"/>
              <w:right w:val="single" w:sz="4" w:space="0" w:color="auto"/>
            </w:tcBorders>
            <w:shd w:val="clear" w:color="000000" w:fill="FFFFFF"/>
            <w:vAlign w:val="center"/>
            <w:hideMark/>
          </w:tcPr>
          <w:p w14:paraId="4B1DEF74"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39.891.979,98</w:t>
            </w:r>
          </w:p>
        </w:tc>
        <w:tc>
          <w:tcPr>
            <w:tcW w:w="1232" w:type="pct"/>
            <w:tcBorders>
              <w:top w:val="nil"/>
              <w:left w:val="nil"/>
              <w:bottom w:val="single" w:sz="4" w:space="0" w:color="auto"/>
              <w:right w:val="single" w:sz="4" w:space="0" w:color="auto"/>
            </w:tcBorders>
            <w:shd w:val="clear" w:color="000000" w:fill="FFFFFF"/>
            <w:vAlign w:val="center"/>
            <w:hideMark/>
          </w:tcPr>
          <w:p w14:paraId="567819D8"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39.891.979,98</w:t>
            </w:r>
          </w:p>
        </w:tc>
      </w:tr>
      <w:tr w:rsidR="00DC6441" w:rsidRPr="002048A7" w14:paraId="2CE04528" w14:textId="77777777"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14:paraId="674E9918" w14:textId="77777777" w:rsidR="00DC6441" w:rsidRPr="002048A7" w:rsidRDefault="00DC6441" w:rsidP="00DC6441">
            <w:pPr>
              <w:spacing w:after="0" w:line="240" w:lineRule="auto"/>
              <w:jc w:val="center"/>
              <w:rPr>
                <w:rFonts w:ascii="Calibri" w:eastAsia="Times New Roman" w:hAnsi="Calibri"/>
                <w:b/>
                <w:bCs/>
                <w:color w:val="000000"/>
                <w:lang w:eastAsia="tr-TR"/>
              </w:rPr>
            </w:pPr>
            <w:r w:rsidRPr="002048A7">
              <w:rPr>
                <w:rFonts w:ascii="Calibri" w:eastAsia="Times New Roman" w:hAnsi="Calibri"/>
                <w:b/>
                <w:bCs/>
                <w:color w:val="000000" w:themeColor="text1"/>
                <w:lang w:eastAsia="tr-TR"/>
              </w:rPr>
              <w:t>2005</w:t>
            </w:r>
          </w:p>
        </w:tc>
        <w:tc>
          <w:tcPr>
            <w:tcW w:w="1197" w:type="pct"/>
            <w:tcBorders>
              <w:top w:val="nil"/>
              <w:left w:val="single" w:sz="4" w:space="0" w:color="auto"/>
              <w:bottom w:val="single" w:sz="4" w:space="0" w:color="auto"/>
              <w:right w:val="single" w:sz="4" w:space="0" w:color="auto"/>
            </w:tcBorders>
            <w:shd w:val="clear" w:color="auto" w:fill="auto"/>
            <w:vAlign w:val="center"/>
            <w:hideMark/>
          </w:tcPr>
          <w:p w14:paraId="4D540BE7"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0,00</w:t>
            </w:r>
          </w:p>
        </w:tc>
        <w:tc>
          <w:tcPr>
            <w:tcW w:w="1197" w:type="pct"/>
            <w:tcBorders>
              <w:top w:val="nil"/>
              <w:left w:val="nil"/>
              <w:bottom w:val="single" w:sz="4" w:space="0" w:color="auto"/>
              <w:right w:val="single" w:sz="4" w:space="0" w:color="auto"/>
            </w:tcBorders>
            <w:shd w:val="clear" w:color="000000" w:fill="FFFFFF"/>
            <w:vAlign w:val="center"/>
            <w:hideMark/>
          </w:tcPr>
          <w:p w14:paraId="2C59831F"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91.351.575,70</w:t>
            </w:r>
          </w:p>
        </w:tc>
        <w:tc>
          <w:tcPr>
            <w:tcW w:w="1232" w:type="pct"/>
            <w:tcBorders>
              <w:top w:val="nil"/>
              <w:left w:val="nil"/>
              <w:bottom w:val="single" w:sz="4" w:space="0" w:color="auto"/>
              <w:right w:val="single" w:sz="4" w:space="0" w:color="auto"/>
            </w:tcBorders>
            <w:shd w:val="clear" w:color="000000" w:fill="FFFFFF"/>
            <w:vAlign w:val="center"/>
            <w:hideMark/>
          </w:tcPr>
          <w:p w14:paraId="01080CD0"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91.351.575,70</w:t>
            </w:r>
          </w:p>
        </w:tc>
      </w:tr>
      <w:tr w:rsidR="00DC6441" w:rsidRPr="002048A7" w14:paraId="27496BB9" w14:textId="77777777"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14:paraId="32C9CED9" w14:textId="77777777" w:rsidR="00DC6441" w:rsidRPr="002048A7" w:rsidRDefault="00DC6441" w:rsidP="00DC6441">
            <w:pPr>
              <w:spacing w:after="0" w:line="240" w:lineRule="auto"/>
              <w:jc w:val="center"/>
              <w:rPr>
                <w:rFonts w:ascii="Calibri" w:eastAsia="Times New Roman" w:hAnsi="Calibri"/>
                <w:b/>
                <w:bCs/>
                <w:color w:val="000000"/>
                <w:lang w:eastAsia="tr-TR"/>
              </w:rPr>
            </w:pPr>
            <w:r w:rsidRPr="002048A7">
              <w:rPr>
                <w:rFonts w:ascii="Calibri" w:eastAsia="Times New Roman" w:hAnsi="Calibri"/>
                <w:b/>
                <w:bCs/>
                <w:color w:val="000000" w:themeColor="text1"/>
                <w:lang w:eastAsia="tr-TR"/>
              </w:rPr>
              <w:t>2006</w:t>
            </w:r>
          </w:p>
        </w:tc>
        <w:tc>
          <w:tcPr>
            <w:tcW w:w="1197" w:type="pct"/>
            <w:tcBorders>
              <w:top w:val="nil"/>
              <w:left w:val="single" w:sz="4" w:space="0" w:color="auto"/>
              <w:bottom w:val="single" w:sz="4" w:space="0" w:color="auto"/>
              <w:right w:val="single" w:sz="4" w:space="0" w:color="auto"/>
            </w:tcBorders>
            <w:shd w:val="clear" w:color="000000" w:fill="FFFFFF"/>
            <w:vAlign w:val="center"/>
            <w:hideMark/>
          </w:tcPr>
          <w:p w14:paraId="03112C78"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118.872.511,00</w:t>
            </w:r>
          </w:p>
        </w:tc>
        <w:tc>
          <w:tcPr>
            <w:tcW w:w="1197" w:type="pct"/>
            <w:tcBorders>
              <w:top w:val="nil"/>
              <w:left w:val="nil"/>
              <w:bottom w:val="single" w:sz="4" w:space="0" w:color="auto"/>
              <w:right w:val="single" w:sz="4" w:space="0" w:color="auto"/>
            </w:tcBorders>
            <w:shd w:val="clear" w:color="000000" w:fill="FFFFFF"/>
            <w:vAlign w:val="center"/>
            <w:hideMark/>
          </w:tcPr>
          <w:p w14:paraId="44E3BA51"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10.213.361,85</w:t>
            </w:r>
          </w:p>
        </w:tc>
        <w:tc>
          <w:tcPr>
            <w:tcW w:w="1232" w:type="pct"/>
            <w:tcBorders>
              <w:top w:val="nil"/>
              <w:left w:val="nil"/>
              <w:bottom w:val="single" w:sz="4" w:space="0" w:color="auto"/>
              <w:right w:val="single" w:sz="4" w:space="0" w:color="auto"/>
            </w:tcBorders>
            <w:shd w:val="clear" w:color="000000" w:fill="FFFFFF"/>
            <w:vAlign w:val="center"/>
            <w:hideMark/>
          </w:tcPr>
          <w:p w14:paraId="6F6F98E5"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129.085.872,85</w:t>
            </w:r>
          </w:p>
        </w:tc>
      </w:tr>
      <w:tr w:rsidR="00DC6441" w:rsidRPr="002048A7" w14:paraId="4D6DABED" w14:textId="77777777"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14:paraId="46B66CA7" w14:textId="77777777" w:rsidR="00DC6441" w:rsidRPr="002048A7" w:rsidRDefault="00DC6441" w:rsidP="00DC6441">
            <w:pPr>
              <w:spacing w:after="0" w:line="240" w:lineRule="auto"/>
              <w:jc w:val="center"/>
              <w:rPr>
                <w:rFonts w:ascii="Calibri" w:eastAsia="Times New Roman" w:hAnsi="Calibri"/>
                <w:b/>
                <w:bCs/>
                <w:color w:val="000000"/>
                <w:lang w:eastAsia="tr-TR"/>
              </w:rPr>
            </w:pPr>
            <w:r w:rsidRPr="002048A7">
              <w:rPr>
                <w:rFonts w:ascii="Calibri" w:eastAsia="Times New Roman" w:hAnsi="Calibri"/>
                <w:b/>
                <w:bCs/>
                <w:color w:val="000000" w:themeColor="text1"/>
                <w:lang w:eastAsia="tr-TR"/>
              </w:rPr>
              <w:t>2007</w:t>
            </w:r>
          </w:p>
        </w:tc>
        <w:tc>
          <w:tcPr>
            <w:tcW w:w="1197" w:type="pct"/>
            <w:tcBorders>
              <w:top w:val="nil"/>
              <w:left w:val="single" w:sz="4" w:space="0" w:color="auto"/>
              <w:bottom w:val="single" w:sz="4" w:space="0" w:color="auto"/>
              <w:right w:val="single" w:sz="4" w:space="0" w:color="auto"/>
            </w:tcBorders>
            <w:shd w:val="clear" w:color="000000" w:fill="FFFFFF"/>
            <w:vAlign w:val="center"/>
            <w:hideMark/>
          </w:tcPr>
          <w:p w14:paraId="5F731157"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26.316.184,86</w:t>
            </w:r>
          </w:p>
        </w:tc>
        <w:tc>
          <w:tcPr>
            <w:tcW w:w="1197" w:type="pct"/>
            <w:tcBorders>
              <w:top w:val="nil"/>
              <w:left w:val="nil"/>
              <w:bottom w:val="single" w:sz="4" w:space="0" w:color="auto"/>
              <w:right w:val="single" w:sz="4" w:space="0" w:color="auto"/>
            </w:tcBorders>
            <w:shd w:val="clear" w:color="000000" w:fill="FFFFFF"/>
            <w:vAlign w:val="center"/>
            <w:hideMark/>
          </w:tcPr>
          <w:p w14:paraId="5C6D2C2B"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43.563.569,34</w:t>
            </w:r>
          </w:p>
        </w:tc>
        <w:tc>
          <w:tcPr>
            <w:tcW w:w="1232" w:type="pct"/>
            <w:tcBorders>
              <w:top w:val="nil"/>
              <w:left w:val="nil"/>
              <w:bottom w:val="single" w:sz="4" w:space="0" w:color="auto"/>
              <w:right w:val="single" w:sz="4" w:space="0" w:color="auto"/>
            </w:tcBorders>
            <w:shd w:val="clear" w:color="000000" w:fill="FFFFFF"/>
            <w:vAlign w:val="center"/>
            <w:hideMark/>
          </w:tcPr>
          <w:p w14:paraId="6344473C"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69.879.754,20</w:t>
            </w:r>
          </w:p>
        </w:tc>
      </w:tr>
      <w:tr w:rsidR="00DC6441" w:rsidRPr="002048A7" w14:paraId="0E9DB950" w14:textId="77777777"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14:paraId="036988DB" w14:textId="77777777" w:rsidR="00DC6441" w:rsidRPr="002048A7" w:rsidRDefault="00DC6441" w:rsidP="00DC6441">
            <w:pPr>
              <w:spacing w:after="0" w:line="240" w:lineRule="auto"/>
              <w:jc w:val="center"/>
              <w:rPr>
                <w:rFonts w:ascii="Calibri" w:eastAsia="Times New Roman" w:hAnsi="Calibri"/>
                <w:b/>
                <w:bCs/>
                <w:color w:val="000000"/>
                <w:lang w:eastAsia="tr-TR"/>
              </w:rPr>
            </w:pPr>
            <w:r w:rsidRPr="002048A7">
              <w:rPr>
                <w:rFonts w:ascii="Calibri" w:eastAsia="Times New Roman" w:hAnsi="Calibri"/>
                <w:b/>
                <w:bCs/>
                <w:color w:val="000000" w:themeColor="text1"/>
                <w:lang w:eastAsia="tr-TR"/>
              </w:rPr>
              <w:t>2008</w:t>
            </w:r>
          </w:p>
        </w:tc>
        <w:tc>
          <w:tcPr>
            <w:tcW w:w="1197" w:type="pct"/>
            <w:tcBorders>
              <w:top w:val="nil"/>
              <w:left w:val="single" w:sz="4" w:space="0" w:color="auto"/>
              <w:bottom w:val="single" w:sz="4" w:space="0" w:color="auto"/>
              <w:right w:val="single" w:sz="4" w:space="0" w:color="auto"/>
            </w:tcBorders>
            <w:shd w:val="clear" w:color="000000" w:fill="FFFFFF"/>
            <w:vAlign w:val="center"/>
            <w:hideMark/>
          </w:tcPr>
          <w:p w14:paraId="02B3E04D"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6.500.000,00</w:t>
            </w:r>
          </w:p>
        </w:tc>
        <w:tc>
          <w:tcPr>
            <w:tcW w:w="1197" w:type="pct"/>
            <w:tcBorders>
              <w:top w:val="nil"/>
              <w:left w:val="nil"/>
              <w:bottom w:val="single" w:sz="4" w:space="0" w:color="auto"/>
              <w:right w:val="single" w:sz="4" w:space="0" w:color="auto"/>
            </w:tcBorders>
            <w:shd w:val="clear" w:color="000000" w:fill="FFFFFF"/>
            <w:vAlign w:val="center"/>
            <w:hideMark/>
          </w:tcPr>
          <w:p w14:paraId="49B099ED"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27.507.108,75</w:t>
            </w:r>
          </w:p>
        </w:tc>
        <w:tc>
          <w:tcPr>
            <w:tcW w:w="1232" w:type="pct"/>
            <w:tcBorders>
              <w:top w:val="nil"/>
              <w:left w:val="nil"/>
              <w:bottom w:val="single" w:sz="4" w:space="0" w:color="auto"/>
              <w:right w:val="single" w:sz="4" w:space="0" w:color="auto"/>
            </w:tcBorders>
            <w:shd w:val="clear" w:color="000000" w:fill="FFFFFF"/>
            <w:vAlign w:val="center"/>
            <w:hideMark/>
          </w:tcPr>
          <w:p w14:paraId="170DFC88"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34.007.108,75</w:t>
            </w:r>
          </w:p>
        </w:tc>
      </w:tr>
      <w:tr w:rsidR="00DC6441" w:rsidRPr="002048A7" w14:paraId="154511BC" w14:textId="77777777"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14:paraId="53DAE59D" w14:textId="77777777" w:rsidR="00DC6441" w:rsidRPr="002048A7" w:rsidRDefault="00DC6441" w:rsidP="00DC6441">
            <w:pPr>
              <w:spacing w:after="0" w:line="240" w:lineRule="auto"/>
              <w:jc w:val="center"/>
              <w:rPr>
                <w:rFonts w:ascii="Calibri" w:eastAsia="Times New Roman" w:hAnsi="Calibri"/>
                <w:b/>
                <w:bCs/>
                <w:color w:val="000000"/>
                <w:lang w:eastAsia="tr-TR"/>
              </w:rPr>
            </w:pPr>
            <w:r w:rsidRPr="002048A7">
              <w:rPr>
                <w:rFonts w:ascii="Calibri" w:eastAsia="Times New Roman" w:hAnsi="Calibri"/>
                <w:b/>
                <w:bCs/>
                <w:color w:val="000000" w:themeColor="text1"/>
                <w:lang w:eastAsia="tr-TR"/>
              </w:rPr>
              <w:t>2009</w:t>
            </w:r>
          </w:p>
        </w:tc>
        <w:tc>
          <w:tcPr>
            <w:tcW w:w="1197" w:type="pct"/>
            <w:tcBorders>
              <w:top w:val="nil"/>
              <w:left w:val="single" w:sz="4" w:space="0" w:color="auto"/>
              <w:bottom w:val="single" w:sz="4" w:space="0" w:color="auto"/>
              <w:right w:val="single" w:sz="4" w:space="0" w:color="auto"/>
            </w:tcBorders>
            <w:shd w:val="clear" w:color="000000" w:fill="FFFFFF"/>
            <w:vAlign w:val="center"/>
            <w:hideMark/>
          </w:tcPr>
          <w:p w14:paraId="0FA790AE"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10.000.000,00</w:t>
            </w:r>
          </w:p>
        </w:tc>
        <w:tc>
          <w:tcPr>
            <w:tcW w:w="1197" w:type="pct"/>
            <w:tcBorders>
              <w:top w:val="nil"/>
              <w:left w:val="nil"/>
              <w:bottom w:val="single" w:sz="4" w:space="0" w:color="auto"/>
              <w:right w:val="single" w:sz="4" w:space="0" w:color="auto"/>
            </w:tcBorders>
            <w:shd w:val="clear" w:color="000000" w:fill="FFFFFF"/>
            <w:vAlign w:val="center"/>
            <w:hideMark/>
          </w:tcPr>
          <w:p w14:paraId="2A66121E"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25.560.370,79</w:t>
            </w:r>
          </w:p>
        </w:tc>
        <w:tc>
          <w:tcPr>
            <w:tcW w:w="1232" w:type="pct"/>
            <w:tcBorders>
              <w:top w:val="nil"/>
              <w:left w:val="nil"/>
              <w:bottom w:val="single" w:sz="4" w:space="0" w:color="auto"/>
              <w:right w:val="single" w:sz="4" w:space="0" w:color="auto"/>
            </w:tcBorders>
            <w:shd w:val="clear" w:color="000000" w:fill="FFFFFF"/>
            <w:vAlign w:val="center"/>
            <w:hideMark/>
          </w:tcPr>
          <w:p w14:paraId="28D1D780"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35.560.370,79</w:t>
            </w:r>
          </w:p>
        </w:tc>
      </w:tr>
      <w:tr w:rsidR="00DC6441" w:rsidRPr="002048A7" w14:paraId="7A942588" w14:textId="77777777"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14:paraId="15C610AC" w14:textId="77777777" w:rsidR="00DC6441" w:rsidRPr="002048A7" w:rsidRDefault="00DC6441" w:rsidP="00DC6441">
            <w:pPr>
              <w:spacing w:after="0" w:line="240" w:lineRule="auto"/>
              <w:jc w:val="center"/>
              <w:rPr>
                <w:rFonts w:ascii="Calibri" w:eastAsia="Times New Roman" w:hAnsi="Calibri"/>
                <w:b/>
                <w:bCs/>
                <w:color w:val="000000"/>
                <w:lang w:eastAsia="tr-TR"/>
              </w:rPr>
            </w:pPr>
            <w:r w:rsidRPr="002048A7">
              <w:rPr>
                <w:rFonts w:ascii="Calibri" w:eastAsia="Times New Roman" w:hAnsi="Calibri"/>
                <w:b/>
                <w:bCs/>
                <w:color w:val="000000" w:themeColor="text1"/>
                <w:lang w:eastAsia="tr-TR"/>
              </w:rPr>
              <w:t>2010</w:t>
            </w:r>
          </w:p>
        </w:tc>
        <w:tc>
          <w:tcPr>
            <w:tcW w:w="1197" w:type="pct"/>
            <w:tcBorders>
              <w:top w:val="nil"/>
              <w:left w:val="single" w:sz="4" w:space="0" w:color="auto"/>
              <w:bottom w:val="single" w:sz="4" w:space="0" w:color="auto"/>
              <w:right w:val="single" w:sz="4" w:space="0" w:color="auto"/>
            </w:tcBorders>
            <w:shd w:val="clear" w:color="000000" w:fill="FFFFFF"/>
            <w:vAlign w:val="center"/>
            <w:hideMark/>
          </w:tcPr>
          <w:p w14:paraId="6A7A52E0"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18.000.000,00</w:t>
            </w:r>
          </w:p>
        </w:tc>
        <w:tc>
          <w:tcPr>
            <w:tcW w:w="1197" w:type="pct"/>
            <w:tcBorders>
              <w:top w:val="nil"/>
              <w:left w:val="nil"/>
              <w:bottom w:val="single" w:sz="4" w:space="0" w:color="auto"/>
              <w:right w:val="single" w:sz="4" w:space="0" w:color="auto"/>
            </w:tcBorders>
            <w:shd w:val="clear" w:color="000000" w:fill="FFFFFF"/>
            <w:vAlign w:val="center"/>
            <w:hideMark/>
          </w:tcPr>
          <w:p w14:paraId="71CA44A6"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47.907.651,22</w:t>
            </w:r>
          </w:p>
        </w:tc>
        <w:tc>
          <w:tcPr>
            <w:tcW w:w="1232" w:type="pct"/>
            <w:tcBorders>
              <w:top w:val="nil"/>
              <w:left w:val="nil"/>
              <w:bottom w:val="single" w:sz="4" w:space="0" w:color="auto"/>
              <w:right w:val="single" w:sz="4" w:space="0" w:color="auto"/>
            </w:tcBorders>
            <w:shd w:val="clear" w:color="000000" w:fill="FFFFFF"/>
            <w:vAlign w:val="center"/>
            <w:hideMark/>
          </w:tcPr>
          <w:p w14:paraId="77B87602"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65.907.651,22</w:t>
            </w:r>
          </w:p>
        </w:tc>
      </w:tr>
      <w:tr w:rsidR="00DC6441" w:rsidRPr="002048A7" w14:paraId="70FCD1A5" w14:textId="77777777"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14:paraId="2070C785" w14:textId="77777777" w:rsidR="00DC6441" w:rsidRPr="002048A7" w:rsidRDefault="00DC6441" w:rsidP="00DC6441">
            <w:pPr>
              <w:spacing w:after="0" w:line="240" w:lineRule="auto"/>
              <w:jc w:val="center"/>
              <w:rPr>
                <w:rFonts w:ascii="Calibri" w:eastAsia="Times New Roman" w:hAnsi="Calibri"/>
                <w:b/>
                <w:bCs/>
                <w:color w:val="000000"/>
                <w:lang w:eastAsia="tr-TR"/>
              </w:rPr>
            </w:pPr>
            <w:r w:rsidRPr="002048A7">
              <w:rPr>
                <w:rFonts w:ascii="Calibri" w:eastAsia="Times New Roman" w:hAnsi="Calibri"/>
                <w:b/>
                <w:bCs/>
                <w:color w:val="000000" w:themeColor="text1"/>
                <w:lang w:eastAsia="tr-TR"/>
              </w:rPr>
              <w:t>2011</w:t>
            </w:r>
          </w:p>
        </w:tc>
        <w:tc>
          <w:tcPr>
            <w:tcW w:w="1197" w:type="pct"/>
            <w:tcBorders>
              <w:top w:val="nil"/>
              <w:left w:val="single" w:sz="4" w:space="0" w:color="auto"/>
              <w:bottom w:val="single" w:sz="4" w:space="0" w:color="auto"/>
              <w:right w:val="single" w:sz="4" w:space="0" w:color="auto"/>
            </w:tcBorders>
            <w:shd w:val="clear" w:color="000000" w:fill="FFFFFF"/>
            <w:vAlign w:val="center"/>
            <w:hideMark/>
          </w:tcPr>
          <w:p w14:paraId="21A30F90"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27.500.000,00</w:t>
            </w:r>
          </w:p>
        </w:tc>
        <w:tc>
          <w:tcPr>
            <w:tcW w:w="1197" w:type="pct"/>
            <w:tcBorders>
              <w:top w:val="nil"/>
              <w:left w:val="nil"/>
              <w:bottom w:val="single" w:sz="4" w:space="0" w:color="auto"/>
              <w:right w:val="single" w:sz="4" w:space="0" w:color="auto"/>
            </w:tcBorders>
            <w:shd w:val="clear" w:color="000000" w:fill="FFFFFF"/>
            <w:vAlign w:val="center"/>
            <w:hideMark/>
          </w:tcPr>
          <w:p w14:paraId="0798BD6A"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27.474.743,68</w:t>
            </w:r>
          </w:p>
        </w:tc>
        <w:tc>
          <w:tcPr>
            <w:tcW w:w="1232" w:type="pct"/>
            <w:tcBorders>
              <w:top w:val="nil"/>
              <w:left w:val="nil"/>
              <w:bottom w:val="single" w:sz="4" w:space="0" w:color="auto"/>
              <w:right w:val="single" w:sz="4" w:space="0" w:color="auto"/>
            </w:tcBorders>
            <w:shd w:val="clear" w:color="000000" w:fill="FFFFFF"/>
            <w:vAlign w:val="center"/>
            <w:hideMark/>
          </w:tcPr>
          <w:p w14:paraId="09A74488"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54.974.743,68</w:t>
            </w:r>
          </w:p>
        </w:tc>
      </w:tr>
      <w:tr w:rsidR="00DC6441" w:rsidRPr="002048A7" w14:paraId="208CCA7D" w14:textId="77777777"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14:paraId="2E03A8A5" w14:textId="77777777" w:rsidR="00DC6441" w:rsidRPr="002048A7" w:rsidRDefault="00DC6441" w:rsidP="00DC6441">
            <w:pPr>
              <w:spacing w:after="0" w:line="240" w:lineRule="auto"/>
              <w:jc w:val="center"/>
              <w:rPr>
                <w:rFonts w:ascii="Calibri" w:eastAsia="Times New Roman" w:hAnsi="Calibri"/>
                <w:b/>
                <w:bCs/>
                <w:color w:val="000000"/>
                <w:lang w:eastAsia="tr-TR"/>
              </w:rPr>
            </w:pPr>
            <w:r w:rsidRPr="002048A7">
              <w:rPr>
                <w:rFonts w:ascii="Calibri" w:eastAsia="Times New Roman" w:hAnsi="Calibri"/>
                <w:b/>
                <w:bCs/>
                <w:color w:val="000000" w:themeColor="text1"/>
                <w:lang w:eastAsia="tr-TR"/>
              </w:rPr>
              <w:t>2012</w:t>
            </w:r>
          </w:p>
        </w:tc>
        <w:tc>
          <w:tcPr>
            <w:tcW w:w="1197" w:type="pct"/>
            <w:tcBorders>
              <w:top w:val="nil"/>
              <w:left w:val="single" w:sz="4" w:space="0" w:color="auto"/>
              <w:bottom w:val="single" w:sz="4" w:space="0" w:color="auto"/>
              <w:right w:val="single" w:sz="4" w:space="0" w:color="auto"/>
            </w:tcBorders>
            <w:shd w:val="clear" w:color="000000" w:fill="FFFFFF"/>
            <w:vAlign w:val="center"/>
            <w:hideMark/>
          </w:tcPr>
          <w:p w14:paraId="5D69859A"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42.500.000,00</w:t>
            </w:r>
          </w:p>
        </w:tc>
        <w:tc>
          <w:tcPr>
            <w:tcW w:w="1197" w:type="pct"/>
            <w:tcBorders>
              <w:top w:val="nil"/>
              <w:left w:val="nil"/>
              <w:bottom w:val="single" w:sz="4" w:space="0" w:color="auto"/>
              <w:right w:val="single" w:sz="4" w:space="0" w:color="auto"/>
            </w:tcBorders>
            <w:shd w:val="clear" w:color="000000" w:fill="FFFFFF"/>
            <w:vAlign w:val="center"/>
            <w:hideMark/>
          </w:tcPr>
          <w:p w14:paraId="34373F9C"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40.174.832,05</w:t>
            </w:r>
          </w:p>
        </w:tc>
        <w:tc>
          <w:tcPr>
            <w:tcW w:w="1232" w:type="pct"/>
            <w:tcBorders>
              <w:top w:val="nil"/>
              <w:left w:val="nil"/>
              <w:bottom w:val="single" w:sz="4" w:space="0" w:color="auto"/>
              <w:right w:val="single" w:sz="4" w:space="0" w:color="auto"/>
            </w:tcBorders>
            <w:shd w:val="clear" w:color="000000" w:fill="FFFFFF"/>
            <w:vAlign w:val="center"/>
            <w:hideMark/>
          </w:tcPr>
          <w:p w14:paraId="46901545"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82.674.832,05</w:t>
            </w:r>
          </w:p>
        </w:tc>
      </w:tr>
      <w:tr w:rsidR="00DC6441" w:rsidRPr="002048A7" w14:paraId="7E04C90B" w14:textId="77777777"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14:paraId="5440EFC1" w14:textId="77777777" w:rsidR="00DC6441" w:rsidRPr="002048A7" w:rsidRDefault="00DC6441" w:rsidP="00DC6441">
            <w:pPr>
              <w:spacing w:after="0" w:line="240" w:lineRule="auto"/>
              <w:jc w:val="center"/>
              <w:rPr>
                <w:rFonts w:ascii="Calibri" w:eastAsia="Times New Roman" w:hAnsi="Calibri"/>
                <w:b/>
                <w:bCs/>
                <w:color w:val="000000"/>
                <w:lang w:eastAsia="tr-TR"/>
              </w:rPr>
            </w:pPr>
            <w:r w:rsidRPr="002048A7">
              <w:rPr>
                <w:rFonts w:ascii="Calibri" w:eastAsia="Times New Roman" w:hAnsi="Calibri"/>
                <w:b/>
                <w:bCs/>
                <w:color w:val="000000" w:themeColor="text1"/>
                <w:lang w:eastAsia="tr-TR"/>
              </w:rPr>
              <w:t>2013</w:t>
            </w:r>
          </w:p>
        </w:tc>
        <w:tc>
          <w:tcPr>
            <w:tcW w:w="1197" w:type="pct"/>
            <w:tcBorders>
              <w:top w:val="nil"/>
              <w:left w:val="single" w:sz="4" w:space="0" w:color="auto"/>
              <w:bottom w:val="single" w:sz="4" w:space="0" w:color="auto"/>
              <w:right w:val="single" w:sz="4" w:space="0" w:color="auto"/>
            </w:tcBorders>
            <w:shd w:val="clear" w:color="000000" w:fill="FFFFFF"/>
            <w:vAlign w:val="center"/>
            <w:hideMark/>
          </w:tcPr>
          <w:p w14:paraId="5A3AB0DA"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51.370.000,00</w:t>
            </w:r>
          </w:p>
        </w:tc>
        <w:tc>
          <w:tcPr>
            <w:tcW w:w="1197" w:type="pct"/>
            <w:tcBorders>
              <w:top w:val="nil"/>
              <w:left w:val="nil"/>
              <w:bottom w:val="single" w:sz="4" w:space="0" w:color="auto"/>
              <w:right w:val="single" w:sz="4" w:space="0" w:color="auto"/>
            </w:tcBorders>
            <w:shd w:val="clear" w:color="000000" w:fill="FFFFFF"/>
            <w:vAlign w:val="center"/>
            <w:hideMark/>
          </w:tcPr>
          <w:p w14:paraId="189F910F"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46.559.157,90</w:t>
            </w:r>
          </w:p>
        </w:tc>
        <w:tc>
          <w:tcPr>
            <w:tcW w:w="1232" w:type="pct"/>
            <w:tcBorders>
              <w:top w:val="nil"/>
              <w:left w:val="nil"/>
              <w:bottom w:val="single" w:sz="4" w:space="0" w:color="auto"/>
              <w:right w:val="single" w:sz="4" w:space="0" w:color="auto"/>
            </w:tcBorders>
            <w:shd w:val="clear" w:color="000000" w:fill="FFFFFF"/>
            <w:vAlign w:val="center"/>
            <w:hideMark/>
          </w:tcPr>
          <w:p w14:paraId="3C8CBB93"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97.929.157,90</w:t>
            </w:r>
          </w:p>
        </w:tc>
      </w:tr>
      <w:tr w:rsidR="00DC6441" w:rsidRPr="002048A7" w14:paraId="3921CFCB" w14:textId="77777777"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14:paraId="18A1B89D" w14:textId="77777777" w:rsidR="00DC6441" w:rsidRPr="002048A7" w:rsidRDefault="00DC6441" w:rsidP="00DC6441">
            <w:pPr>
              <w:spacing w:after="0" w:line="240" w:lineRule="auto"/>
              <w:jc w:val="center"/>
              <w:rPr>
                <w:rFonts w:ascii="Calibri" w:eastAsia="Times New Roman" w:hAnsi="Calibri"/>
                <w:b/>
                <w:bCs/>
                <w:color w:val="000000"/>
                <w:lang w:eastAsia="tr-TR"/>
              </w:rPr>
            </w:pPr>
            <w:r w:rsidRPr="002048A7">
              <w:rPr>
                <w:rFonts w:ascii="Calibri" w:eastAsia="Times New Roman" w:hAnsi="Calibri"/>
                <w:b/>
                <w:bCs/>
                <w:color w:val="000000" w:themeColor="text1"/>
                <w:lang w:eastAsia="tr-TR"/>
              </w:rPr>
              <w:t>2014</w:t>
            </w:r>
          </w:p>
        </w:tc>
        <w:tc>
          <w:tcPr>
            <w:tcW w:w="1197" w:type="pct"/>
            <w:tcBorders>
              <w:top w:val="nil"/>
              <w:left w:val="single" w:sz="4" w:space="0" w:color="auto"/>
              <w:bottom w:val="single" w:sz="4" w:space="0" w:color="auto"/>
              <w:right w:val="single" w:sz="4" w:space="0" w:color="auto"/>
            </w:tcBorders>
            <w:shd w:val="clear" w:color="000000" w:fill="FFFFFF"/>
            <w:vAlign w:val="center"/>
            <w:hideMark/>
          </w:tcPr>
          <w:p w14:paraId="0F341E34"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27.933.000,00</w:t>
            </w:r>
          </w:p>
        </w:tc>
        <w:tc>
          <w:tcPr>
            <w:tcW w:w="1197" w:type="pct"/>
            <w:tcBorders>
              <w:top w:val="nil"/>
              <w:left w:val="nil"/>
              <w:bottom w:val="single" w:sz="4" w:space="0" w:color="auto"/>
              <w:right w:val="single" w:sz="4" w:space="0" w:color="auto"/>
            </w:tcBorders>
            <w:shd w:val="clear" w:color="000000" w:fill="FFFFFF"/>
            <w:vAlign w:val="center"/>
            <w:hideMark/>
          </w:tcPr>
          <w:p w14:paraId="5D776916"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15.266.784,26</w:t>
            </w:r>
          </w:p>
        </w:tc>
        <w:tc>
          <w:tcPr>
            <w:tcW w:w="1232" w:type="pct"/>
            <w:tcBorders>
              <w:top w:val="nil"/>
              <w:left w:val="nil"/>
              <w:bottom w:val="single" w:sz="4" w:space="0" w:color="auto"/>
              <w:right w:val="single" w:sz="4" w:space="0" w:color="auto"/>
            </w:tcBorders>
            <w:shd w:val="clear" w:color="000000" w:fill="FFFFFF"/>
            <w:vAlign w:val="center"/>
            <w:hideMark/>
          </w:tcPr>
          <w:p w14:paraId="490753AC"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43.199.784,26</w:t>
            </w:r>
          </w:p>
        </w:tc>
      </w:tr>
      <w:tr w:rsidR="00DC6441" w:rsidRPr="002048A7" w14:paraId="128FF946" w14:textId="77777777"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14:paraId="612D5E35" w14:textId="77777777" w:rsidR="00DC6441" w:rsidRPr="002048A7" w:rsidRDefault="00DC6441" w:rsidP="00DC6441">
            <w:pPr>
              <w:spacing w:after="0" w:line="240" w:lineRule="auto"/>
              <w:jc w:val="center"/>
              <w:rPr>
                <w:rFonts w:ascii="Calibri" w:eastAsia="Times New Roman" w:hAnsi="Calibri"/>
                <w:b/>
                <w:bCs/>
                <w:color w:val="000000"/>
                <w:lang w:eastAsia="tr-TR"/>
              </w:rPr>
            </w:pPr>
            <w:r w:rsidRPr="002048A7">
              <w:rPr>
                <w:rFonts w:ascii="Calibri" w:eastAsia="Times New Roman" w:hAnsi="Calibri"/>
                <w:b/>
                <w:bCs/>
                <w:color w:val="000000" w:themeColor="text1"/>
                <w:lang w:eastAsia="tr-TR"/>
              </w:rPr>
              <w:t>2015</w:t>
            </w:r>
          </w:p>
        </w:tc>
        <w:tc>
          <w:tcPr>
            <w:tcW w:w="1197" w:type="pct"/>
            <w:tcBorders>
              <w:top w:val="nil"/>
              <w:left w:val="single" w:sz="4" w:space="0" w:color="auto"/>
              <w:bottom w:val="single" w:sz="4" w:space="0" w:color="auto"/>
              <w:right w:val="single" w:sz="4" w:space="0" w:color="auto"/>
            </w:tcBorders>
            <w:shd w:val="clear" w:color="000000" w:fill="FFFFFF"/>
            <w:vAlign w:val="center"/>
            <w:hideMark/>
          </w:tcPr>
          <w:p w14:paraId="248411B0"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47.480.000,00</w:t>
            </w:r>
          </w:p>
        </w:tc>
        <w:tc>
          <w:tcPr>
            <w:tcW w:w="1197" w:type="pct"/>
            <w:tcBorders>
              <w:top w:val="nil"/>
              <w:left w:val="nil"/>
              <w:bottom w:val="single" w:sz="4" w:space="0" w:color="auto"/>
              <w:right w:val="single" w:sz="4" w:space="0" w:color="auto"/>
            </w:tcBorders>
            <w:shd w:val="clear" w:color="000000" w:fill="FFFFFF"/>
            <w:vAlign w:val="center"/>
            <w:hideMark/>
          </w:tcPr>
          <w:p w14:paraId="79A75F21"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15.928.305,88</w:t>
            </w:r>
          </w:p>
        </w:tc>
        <w:tc>
          <w:tcPr>
            <w:tcW w:w="1232" w:type="pct"/>
            <w:tcBorders>
              <w:top w:val="nil"/>
              <w:left w:val="nil"/>
              <w:bottom w:val="single" w:sz="4" w:space="0" w:color="auto"/>
              <w:right w:val="single" w:sz="4" w:space="0" w:color="auto"/>
            </w:tcBorders>
            <w:shd w:val="clear" w:color="000000" w:fill="FFFFFF"/>
            <w:vAlign w:val="center"/>
            <w:hideMark/>
          </w:tcPr>
          <w:p w14:paraId="24F97F28"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63.408.305,88</w:t>
            </w:r>
          </w:p>
        </w:tc>
      </w:tr>
      <w:tr w:rsidR="00DC6441" w:rsidRPr="002048A7" w14:paraId="57A41EA6" w14:textId="77777777"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14:paraId="385AC0CE" w14:textId="77777777" w:rsidR="00DC6441" w:rsidRPr="002048A7" w:rsidRDefault="00DC6441" w:rsidP="00DC6441">
            <w:pPr>
              <w:spacing w:after="0" w:line="240" w:lineRule="auto"/>
              <w:jc w:val="center"/>
              <w:rPr>
                <w:rFonts w:ascii="Calibri" w:eastAsia="Times New Roman" w:hAnsi="Calibri"/>
                <w:b/>
                <w:bCs/>
                <w:color w:val="000000"/>
                <w:lang w:eastAsia="tr-TR"/>
              </w:rPr>
            </w:pPr>
            <w:r w:rsidRPr="002048A7">
              <w:rPr>
                <w:rFonts w:ascii="Calibri" w:eastAsia="Times New Roman" w:hAnsi="Calibri"/>
                <w:b/>
                <w:bCs/>
                <w:color w:val="000000" w:themeColor="text1"/>
                <w:lang w:eastAsia="tr-TR"/>
              </w:rPr>
              <w:t>2016</w:t>
            </w:r>
          </w:p>
        </w:tc>
        <w:tc>
          <w:tcPr>
            <w:tcW w:w="1197" w:type="pct"/>
            <w:tcBorders>
              <w:top w:val="nil"/>
              <w:left w:val="single" w:sz="4" w:space="0" w:color="auto"/>
              <w:bottom w:val="single" w:sz="4" w:space="0" w:color="auto"/>
              <w:right w:val="single" w:sz="4" w:space="0" w:color="auto"/>
            </w:tcBorders>
            <w:shd w:val="clear" w:color="000000" w:fill="FFFFFF"/>
            <w:vAlign w:val="center"/>
            <w:hideMark/>
          </w:tcPr>
          <w:p w14:paraId="0CA37887"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36.500.000,00</w:t>
            </w:r>
          </w:p>
        </w:tc>
        <w:tc>
          <w:tcPr>
            <w:tcW w:w="1197" w:type="pct"/>
            <w:tcBorders>
              <w:top w:val="nil"/>
              <w:left w:val="nil"/>
              <w:bottom w:val="single" w:sz="4" w:space="0" w:color="auto"/>
              <w:right w:val="single" w:sz="4" w:space="0" w:color="auto"/>
            </w:tcBorders>
            <w:shd w:val="clear" w:color="000000" w:fill="FFFFFF"/>
            <w:vAlign w:val="center"/>
            <w:hideMark/>
          </w:tcPr>
          <w:p w14:paraId="765396C6"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29.518.976,87</w:t>
            </w:r>
          </w:p>
        </w:tc>
        <w:tc>
          <w:tcPr>
            <w:tcW w:w="1232" w:type="pct"/>
            <w:tcBorders>
              <w:top w:val="nil"/>
              <w:left w:val="nil"/>
              <w:bottom w:val="single" w:sz="4" w:space="0" w:color="auto"/>
              <w:right w:val="single" w:sz="4" w:space="0" w:color="auto"/>
            </w:tcBorders>
            <w:shd w:val="clear" w:color="000000" w:fill="FFFFFF"/>
            <w:vAlign w:val="center"/>
            <w:hideMark/>
          </w:tcPr>
          <w:p w14:paraId="7FCC31EC"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66.018.976,87</w:t>
            </w:r>
          </w:p>
        </w:tc>
      </w:tr>
      <w:tr w:rsidR="00DC6441" w:rsidRPr="002048A7" w14:paraId="5420CFC6" w14:textId="77777777"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14:paraId="4E38A025" w14:textId="77777777" w:rsidR="00DC6441" w:rsidRPr="002048A7" w:rsidRDefault="00DC6441" w:rsidP="00DC6441">
            <w:pPr>
              <w:spacing w:after="0" w:line="240" w:lineRule="auto"/>
              <w:jc w:val="center"/>
              <w:rPr>
                <w:rFonts w:ascii="Calibri" w:eastAsia="Times New Roman" w:hAnsi="Calibri"/>
                <w:b/>
                <w:bCs/>
                <w:color w:val="000000"/>
                <w:lang w:eastAsia="tr-TR"/>
              </w:rPr>
            </w:pPr>
            <w:r w:rsidRPr="002048A7">
              <w:rPr>
                <w:rFonts w:ascii="Calibri" w:eastAsia="Times New Roman" w:hAnsi="Calibri"/>
                <w:b/>
                <w:bCs/>
                <w:color w:val="000000" w:themeColor="text1"/>
                <w:lang w:eastAsia="tr-TR"/>
              </w:rPr>
              <w:t>2017</w:t>
            </w:r>
          </w:p>
        </w:tc>
        <w:tc>
          <w:tcPr>
            <w:tcW w:w="1197" w:type="pct"/>
            <w:tcBorders>
              <w:top w:val="nil"/>
              <w:left w:val="single" w:sz="4" w:space="0" w:color="auto"/>
              <w:bottom w:val="single" w:sz="4" w:space="0" w:color="auto"/>
              <w:right w:val="single" w:sz="4" w:space="0" w:color="auto"/>
            </w:tcBorders>
            <w:shd w:val="clear" w:color="000000" w:fill="FFFFFF"/>
            <w:vAlign w:val="center"/>
            <w:hideMark/>
          </w:tcPr>
          <w:p w14:paraId="6D647D1C"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18.896.300,00</w:t>
            </w:r>
          </w:p>
        </w:tc>
        <w:tc>
          <w:tcPr>
            <w:tcW w:w="1197" w:type="pct"/>
            <w:tcBorders>
              <w:top w:val="nil"/>
              <w:left w:val="nil"/>
              <w:bottom w:val="single" w:sz="4" w:space="0" w:color="auto"/>
              <w:right w:val="single" w:sz="4" w:space="0" w:color="auto"/>
            </w:tcBorders>
            <w:shd w:val="clear" w:color="000000" w:fill="FFFFFF"/>
            <w:vAlign w:val="center"/>
            <w:hideMark/>
          </w:tcPr>
          <w:p w14:paraId="43209AED"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34.157.312,38</w:t>
            </w:r>
          </w:p>
        </w:tc>
        <w:tc>
          <w:tcPr>
            <w:tcW w:w="1232" w:type="pct"/>
            <w:tcBorders>
              <w:top w:val="nil"/>
              <w:left w:val="nil"/>
              <w:bottom w:val="single" w:sz="4" w:space="0" w:color="auto"/>
              <w:right w:val="single" w:sz="4" w:space="0" w:color="auto"/>
            </w:tcBorders>
            <w:shd w:val="clear" w:color="000000" w:fill="FFFFFF"/>
            <w:vAlign w:val="center"/>
            <w:hideMark/>
          </w:tcPr>
          <w:p w14:paraId="54E44466"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53.053.612,38</w:t>
            </w:r>
          </w:p>
        </w:tc>
      </w:tr>
      <w:tr w:rsidR="00DC6441" w:rsidRPr="002048A7" w14:paraId="34463EE6" w14:textId="77777777"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14:paraId="09CFCD27" w14:textId="77777777" w:rsidR="00DC6441" w:rsidRPr="002048A7" w:rsidRDefault="00DC6441" w:rsidP="00DC6441">
            <w:pPr>
              <w:spacing w:after="0" w:line="240" w:lineRule="auto"/>
              <w:jc w:val="center"/>
              <w:rPr>
                <w:rFonts w:ascii="Calibri" w:eastAsia="Times New Roman" w:hAnsi="Calibri"/>
                <w:b/>
                <w:bCs/>
                <w:color w:val="000000"/>
                <w:lang w:eastAsia="tr-TR"/>
              </w:rPr>
            </w:pPr>
            <w:r w:rsidRPr="002048A7">
              <w:rPr>
                <w:rFonts w:ascii="Calibri" w:eastAsia="Times New Roman" w:hAnsi="Calibri"/>
                <w:b/>
                <w:bCs/>
                <w:color w:val="000000" w:themeColor="text1"/>
                <w:lang w:eastAsia="tr-TR"/>
              </w:rPr>
              <w:t>2018</w:t>
            </w:r>
          </w:p>
        </w:tc>
        <w:tc>
          <w:tcPr>
            <w:tcW w:w="1197" w:type="pct"/>
            <w:tcBorders>
              <w:top w:val="nil"/>
              <w:left w:val="single" w:sz="4" w:space="0" w:color="auto"/>
              <w:bottom w:val="single" w:sz="4" w:space="0" w:color="auto"/>
              <w:right w:val="single" w:sz="4" w:space="0" w:color="auto"/>
            </w:tcBorders>
            <w:shd w:val="clear" w:color="000000" w:fill="FFFFFF"/>
            <w:vAlign w:val="center"/>
            <w:hideMark/>
          </w:tcPr>
          <w:p w14:paraId="03FE0C11"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47.485.800,00</w:t>
            </w:r>
          </w:p>
        </w:tc>
        <w:tc>
          <w:tcPr>
            <w:tcW w:w="1197" w:type="pct"/>
            <w:tcBorders>
              <w:top w:val="nil"/>
              <w:left w:val="nil"/>
              <w:bottom w:val="single" w:sz="4" w:space="0" w:color="auto"/>
              <w:right w:val="single" w:sz="4" w:space="0" w:color="auto"/>
            </w:tcBorders>
            <w:shd w:val="clear" w:color="000000" w:fill="FFFFFF"/>
            <w:vAlign w:val="center"/>
            <w:hideMark/>
          </w:tcPr>
          <w:p w14:paraId="442192CF"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49.604.977,77</w:t>
            </w:r>
          </w:p>
        </w:tc>
        <w:tc>
          <w:tcPr>
            <w:tcW w:w="1232" w:type="pct"/>
            <w:tcBorders>
              <w:top w:val="nil"/>
              <w:left w:val="nil"/>
              <w:bottom w:val="single" w:sz="4" w:space="0" w:color="auto"/>
              <w:right w:val="single" w:sz="4" w:space="0" w:color="auto"/>
            </w:tcBorders>
            <w:shd w:val="clear" w:color="000000" w:fill="FFFFFF"/>
            <w:vAlign w:val="center"/>
            <w:hideMark/>
          </w:tcPr>
          <w:p w14:paraId="5709F699"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97.090.777,77</w:t>
            </w:r>
          </w:p>
        </w:tc>
      </w:tr>
      <w:tr w:rsidR="00DC6441" w:rsidRPr="002048A7" w14:paraId="4900C641" w14:textId="77777777"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tcPr>
          <w:p w14:paraId="05E7C5F0" w14:textId="77777777" w:rsidR="00DC6441" w:rsidRPr="002048A7" w:rsidRDefault="00DC6441" w:rsidP="00DC6441">
            <w:pPr>
              <w:spacing w:after="0" w:line="240" w:lineRule="auto"/>
              <w:jc w:val="center"/>
              <w:rPr>
                <w:rFonts w:ascii="Calibri" w:eastAsia="Times New Roman" w:hAnsi="Calibri"/>
                <w:b/>
                <w:bCs/>
                <w:color w:val="000000" w:themeColor="text1"/>
                <w:lang w:eastAsia="tr-TR"/>
              </w:rPr>
            </w:pPr>
            <w:r w:rsidRPr="002048A7">
              <w:rPr>
                <w:rFonts w:ascii="Calibri" w:eastAsia="Times New Roman" w:hAnsi="Calibri"/>
                <w:b/>
                <w:bCs/>
                <w:color w:val="000000" w:themeColor="text1"/>
                <w:lang w:eastAsia="tr-TR"/>
              </w:rPr>
              <w:lastRenderedPageBreak/>
              <w:t>2019</w:t>
            </w:r>
          </w:p>
        </w:tc>
        <w:tc>
          <w:tcPr>
            <w:tcW w:w="1197" w:type="pct"/>
            <w:tcBorders>
              <w:top w:val="nil"/>
              <w:left w:val="single" w:sz="4" w:space="0" w:color="auto"/>
              <w:bottom w:val="single" w:sz="4" w:space="0" w:color="auto"/>
              <w:right w:val="single" w:sz="4" w:space="0" w:color="auto"/>
            </w:tcBorders>
            <w:shd w:val="clear" w:color="000000" w:fill="FFFFFF"/>
            <w:vAlign w:val="center"/>
          </w:tcPr>
          <w:p w14:paraId="27A14D7F"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26.003.160,00</w:t>
            </w:r>
          </w:p>
        </w:tc>
        <w:tc>
          <w:tcPr>
            <w:tcW w:w="1197" w:type="pct"/>
            <w:tcBorders>
              <w:top w:val="nil"/>
              <w:left w:val="nil"/>
              <w:bottom w:val="single" w:sz="4" w:space="0" w:color="auto"/>
              <w:right w:val="single" w:sz="4" w:space="0" w:color="auto"/>
            </w:tcBorders>
            <w:shd w:val="clear" w:color="000000" w:fill="FFFFFF"/>
            <w:vAlign w:val="center"/>
          </w:tcPr>
          <w:p w14:paraId="7226DBA6"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48.027.983,78</w:t>
            </w:r>
          </w:p>
        </w:tc>
        <w:tc>
          <w:tcPr>
            <w:tcW w:w="1232" w:type="pct"/>
            <w:tcBorders>
              <w:top w:val="nil"/>
              <w:left w:val="nil"/>
              <w:bottom w:val="single" w:sz="4" w:space="0" w:color="auto"/>
              <w:right w:val="single" w:sz="4" w:space="0" w:color="auto"/>
            </w:tcBorders>
            <w:shd w:val="clear" w:color="000000" w:fill="FFFFFF"/>
            <w:vAlign w:val="center"/>
          </w:tcPr>
          <w:p w14:paraId="57C55954"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74.031.143,78</w:t>
            </w:r>
          </w:p>
        </w:tc>
      </w:tr>
      <w:tr w:rsidR="00DC6441" w:rsidRPr="002048A7" w14:paraId="27A6A134" w14:textId="77777777"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tcPr>
          <w:p w14:paraId="3DC2842E" w14:textId="77777777" w:rsidR="00DC6441" w:rsidRPr="002048A7" w:rsidRDefault="00DC6441" w:rsidP="00DC6441">
            <w:pPr>
              <w:spacing w:after="0" w:line="240" w:lineRule="auto"/>
              <w:jc w:val="center"/>
              <w:rPr>
                <w:rFonts w:ascii="Calibri" w:eastAsia="Times New Roman" w:hAnsi="Calibri"/>
                <w:b/>
                <w:bCs/>
                <w:color w:val="000000" w:themeColor="text1"/>
                <w:lang w:eastAsia="tr-TR"/>
              </w:rPr>
            </w:pPr>
            <w:r w:rsidRPr="002048A7">
              <w:rPr>
                <w:rFonts w:ascii="Calibri" w:eastAsia="Times New Roman" w:hAnsi="Calibri"/>
                <w:b/>
                <w:bCs/>
                <w:color w:val="000000" w:themeColor="text1"/>
                <w:lang w:eastAsia="tr-TR"/>
              </w:rPr>
              <w:t>2020</w:t>
            </w:r>
          </w:p>
        </w:tc>
        <w:tc>
          <w:tcPr>
            <w:tcW w:w="1197" w:type="pct"/>
            <w:tcBorders>
              <w:top w:val="nil"/>
              <w:left w:val="single" w:sz="4" w:space="0" w:color="auto"/>
              <w:bottom w:val="single" w:sz="4" w:space="0" w:color="auto"/>
              <w:right w:val="single" w:sz="4" w:space="0" w:color="auto"/>
            </w:tcBorders>
            <w:shd w:val="clear" w:color="000000" w:fill="FFFFFF"/>
            <w:vAlign w:val="center"/>
          </w:tcPr>
          <w:p w14:paraId="6A55A702"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65.500.000,00</w:t>
            </w:r>
          </w:p>
        </w:tc>
        <w:tc>
          <w:tcPr>
            <w:tcW w:w="1197" w:type="pct"/>
            <w:tcBorders>
              <w:top w:val="nil"/>
              <w:left w:val="nil"/>
              <w:bottom w:val="single" w:sz="4" w:space="0" w:color="auto"/>
              <w:right w:val="single" w:sz="4" w:space="0" w:color="auto"/>
            </w:tcBorders>
            <w:shd w:val="clear" w:color="000000" w:fill="FFFFFF"/>
            <w:vAlign w:val="center"/>
          </w:tcPr>
          <w:p w14:paraId="72F4F0CF"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126.405.442,93</w:t>
            </w:r>
          </w:p>
        </w:tc>
        <w:tc>
          <w:tcPr>
            <w:tcW w:w="1232" w:type="pct"/>
            <w:tcBorders>
              <w:top w:val="nil"/>
              <w:left w:val="nil"/>
              <w:bottom w:val="single" w:sz="4" w:space="0" w:color="auto"/>
              <w:right w:val="single" w:sz="4" w:space="0" w:color="auto"/>
            </w:tcBorders>
            <w:shd w:val="clear" w:color="000000" w:fill="FFFFFF"/>
            <w:vAlign w:val="center"/>
          </w:tcPr>
          <w:p w14:paraId="39C7236B"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191.905.442,93</w:t>
            </w:r>
          </w:p>
        </w:tc>
      </w:tr>
      <w:tr w:rsidR="00DC6441" w:rsidRPr="002048A7" w14:paraId="63200D24" w14:textId="77777777"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tcPr>
          <w:p w14:paraId="3E831FDB" w14:textId="77777777" w:rsidR="00DC6441" w:rsidRPr="002048A7" w:rsidRDefault="00DC6441" w:rsidP="00DC6441">
            <w:pPr>
              <w:spacing w:after="0" w:line="240" w:lineRule="auto"/>
              <w:jc w:val="center"/>
              <w:rPr>
                <w:rFonts w:ascii="Calibri" w:eastAsia="Times New Roman" w:hAnsi="Calibri"/>
                <w:b/>
                <w:bCs/>
                <w:color w:val="000000" w:themeColor="text1"/>
                <w:lang w:eastAsia="tr-TR"/>
              </w:rPr>
            </w:pPr>
            <w:r w:rsidRPr="002048A7">
              <w:rPr>
                <w:rFonts w:ascii="Calibri" w:eastAsia="Times New Roman" w:hAnsi="Calibri"/>
                <w:b/>
                <w:bCs/>
                <w:color w:val="000000" w:themeColor="text1"/>
                <w:lang w:eastAsia="tr-TR"/>
              </w:rPr>
              <w:t>2021</w:t>
            </w:r>
          </w:p>
        </w:tc>
        <w:tc>
          <w:tcPr>
            <w:tcW w:w="1197" w:type="pct"/>
            <w:tcBorders>
              <w:top w:val="nil"/>
              <w:left w:val="single" w:sz="4" w:space="0" w:color="auto"/>
              <w:bottom w:val="single" w:sz="4" w:space="0" w:color="auto"/>
              <w:right w:val="single" w:sz="4" w:space="0" w:color="auto"/>
            </w:tcBorders>
            <w:shd w:val="clear" w:color="000000" w:fill="FFFFFF"/>
            <w:vAlign w:val="center"/>
          </w:tcPr>
          <w:p w14:paraId="4769F7D7"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98.000.000,00</w:t>
            </w:r>
          </w:p>
        </w:tc>
        <w:tc>
          <w:tcPr>
            <w:tcW w:w="1197" w:type="pct"/>
            <w:tcBorders>
              <w:top w:val="nil"/>
              <w:left w:val="nil"/>
              <w:bottom w:val="single" w:sz="4" w:space="0" w:color="auto"/>
              <w:right w:val="single" w:sz="4" w:space="0" w:color="auto"/>
            </w:tcBorders>
            <w:shd w:val="clear" w:color="000000" w:fill="FFFFFF"/>
            <w:vAlign w:val="center"/>
          </w:tcPr>
          <w:p w14:paraId="4755C06E"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131.246.953,36</w:t>
            </w:r>
          </w:p>
        </w:tc>
        <w:tc>
          <w:tcPr>
            <w:tcW w:w="1232" w:type="pct"/>
            <w:tcBorders>
              <w:top w:val="nil"/>
              <w:left w:val="nil"/>
              <w:bottom w:val="single" w:sz="4" w:space="0" w:color="auto"/>
              <w:right w:val="single" w:sz="4" w:space="0" w:color="auto"/>
            </w:tcBorders>
            <w:shd w:val="clear" w:color="000000" w:fill="FFFFFF"/>
            <w:vAlign w:val="center"/>
          </w:tcPr>
          <w:p w14:paraId="3FC4272F"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229.246.953,36</w:t>
            </w:r>
          </w:p>
        </w:tc>
      </w:tr>
      <w:tr w:rsidR="00DC6441" w:rsidRPr="002048A7" w14:paraId="71FEDD3F" w14:textId="77777777"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tcPr>
          <w:p w14:paraId="5FA4FA77" w14:textId="77777777" w:rsidR="00DC6441" w:rsidRPr="002048A7" w:rsidRDefault="00DC6441" w:rsidP="00DC6441">
            <w:pPr>
              <w:spacing w:after="0" w:line="240" w:lineRule="auto"/>
              <w:jc w:val="center"/>
              <w:rPr>
                <w:rFonts w:ascii="Calibri" w:eastAsia="Times New Roman" w:hAnsi="Calibri"/>
                <w:b/>
                <w:bCs/>
                <w:color w:val="000000" w:themeColor="text1"/>
                <w:lang w:eastAsia="tr-TR"/>
              </w:rPr>
            </w:pPr>
            <w:r w:rsidRPr="002048A7">
              <w:rPr>
                <w:rFonts w:ascii="Calibri" w:eastAsia="Times New Roman" w:hAnsi="Calibri"/>
                <w:b/>
                <w:bCs/>
                <w:color w:val="000000" w:themeColor="text1"/>
                <w:lang w:eastAsia="tr-TR"/>
              </w:rPr>
              <w:t>2022</w:t>
            </w:r>
          </w:p>
        </w:tc>
        <w:tc>
          <w:tcPr>
            <w:tcW w:w="1197" w:type="pct"/>
            <w:tcBorders>
              <w:top w:val="single" w:sz="4" w:space="0" w:color="auto"/>
              <w:left w:val="single" w:sz="4" w:space="0" w:color="auto"/>
              <w:bottom w:val="single" w:sz="4" w:space="0" w:color="auto"/>
              <w:right w:val="single" w:sz="4" w:space="0" w:color="auto"/>
            </w:tcBorders>
            <w:shd w:val="clear" w:color="000000" w:fill="FFFFFF"/>
            <w:vAlign w:val="center"/>
          </w:tcPr>
          <w:p w14:paraId="57297FA5"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159.000.000,00</w:t>
            </w:r>
          </w:p>
        </w:tc>
        <w:tc>
          <w:tcPr>
            <w:tcW w:w="1197" w:type="pct"/>
            <w:tcBorders>
              <w:top w:val="single" w:sz="4" w:space="0" w:color="auto"/>
              <w:left w:val="nil"/>
              <w:bottom w:val="single" w:sz="4" w:space="0" w:color="auto"/>
              <w:right w:val="single" w:sz="4" w:space="0" w:color="auto"/>
            </w:tcBorders>
            <w:shd w:val="clear" w:color="auto" w:fill="auto"/>
            <w:vAlign w:val="center"/>
          </w:tcPr>
          <w:p w14:paraId="6E12C3AA"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310.313.822,27</w:t>
            </w:r>
          </w:p>
        </w:tc>
        <w:tc>
          <w:tcPr>
            <w:tcW w:w="1232" w:type="pct"/>
            <w:tcBorders>
              <w:top w:val="single" w:sz="4" w:space="0" w:color="auto"/>
              <w:left w:val="nil"/>
              <w:bottom w:val="single" w:sz="4" w:space="0" w:color="auto"/>
              <w:right w:val="single" w:sz="4" w:space="0" w:color="auto"/>
            </w:tcBorders>
            <w:shd w:val="clear" w:color="000000" w:fill="FFFFFF"/>
            <w:vAlign w:val="center"/>
          </w:tcPr>
          <w:p w14:paraId="60E95215"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469.313.822,27</w:t>
            </w:r>
          </w:p>
        </w:tc>
      </w:tr>
      <w:tr w:rsidR="00DC6441" w:rsidRPr="002048A7" w14:paraId="19CE38CF" w14:textId="77777777"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tcPr>
          <w:p w14:paraId="597AB01F" w14:textId="77777777" w:rsidR="00DC6441" w:rsidRPr="002048A7" w:rsidRDefault="00DC6441" w:rsidP="00DC6441">
            <w:pPr>
              <w:spacing w:after="0" w:line="240" w:lineRule="auto"/>
              <w:jc w:val="center"/>
              <w:rPr>
                <w:rFonts w:ascii="Calibri" w:eastAsia="Times New Roman" w:hAnsi="Calibri"/>
                <w:b/>
                <w:bCs/>
                <w:color w:val="000000" w:themeColor="text1"/>
                <w:lang w:eastAsia="tr-TR"/>
              </w:rPr>
            </w:pPr>
            <w:r w:rsidRPr="002048A7">
              <w:rPr>
                <w:rFonts w:ascii="Calibri" w:eastAsia="Times New Roman" w:hAnsi="Calibri"/>
                <w:b/>
                <w:bCs/>
                <w:color w:val="000000" w:themeColor="text1"/>
                <w:lang w:eastAsia="tr-TR"/>
              </w:rPr>
              <w:t>2023</w:t>
            </w:r>
          </w:p>
        </w:tc>
        <w:tc>
          <w:tcPr>
            <w:tcW w:w="1197" w:type="pct"/>
            <w:tcBorders>
              <w:top w:val="single" w:sz="4" w:space="0" w:color="auto"/>
              <w:left w:val="single" w:sz="4" w:space="0" w:color="auto"/>
              <w:bottom w:val="single" w:sz="4" w:space="0" w:color="auto"/>
              <w:right w:val="single" w:sz="4" w:space="0" w:color="auto"/>
            </w:tcBorders>
            <w:shd w:val="clear" w:color="000000" w:fill="FFFFFF"/>
            <w:vAlign w:val="center"/>
          </w:tcPr>
          <w:p w14:paraId="52C38760" w14:textId="77777777" w:rsidR="00DC6441" w:rsidRPr="002048A7" w:rsidRDefault="00DC6441" w:rsidP="00DC6441">
            <w:pPr>
              <w:jc w:val="center"/>
              <w:rPr>
                <w:rFonts w:ascii="Calibri" w:eastAsia="Times New Roman" w:hAnsi="Calibri" w:cs="Calibri"/>
                <w:color w:val="000000"/>
              </w:rPr>
            </w:pPr>
            <w:r w:rsidRPr="002048A7">
              <w:rPr>
                <w:rFonts w:ascii="Calibri" w:hAnsi="Calibri" w:cs="Calibri"/>
                <w:color w:val="000000"/>
              </w:rPr>
              <w:t>217.000.000,00</w:t>
            </w:r>
          </w:p>
        </w:tc>
        <w:tc>
          <w:tcPr>
            <w:tcW w:w="1197" w:type="pct"/>
            <w:tcBorders>
              <w:top w:val="single" w:sz="4" w:space="0" w:color="auto"/>
              <w:left w:val="nil"/>
              <w:bottom w:val="single" w:sz="4" w:space="0" w:color="auto"/>
              <w:right w:val="single" w:sz="4" w:space="0" w:color="auto"/>
            </w:tcBorders>
            <w:shd w:val="clear" w:color="auto" w:fill="auto"/>
            <w:vAlign w:val="center"/>
          </w:tcPr>
          <w:p w14:paraId="322D6037"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568.729.782,20</w:t>
            </w:r>
          </w:p>
        </w:tc>
        <w:tc>
          <w:tcPr>
            <w:tcW w:w="1232" w:type="pct"/>
            <w:tcBorders>
              <w:top w:val="single" w:sz="4" w:space="0" w:color="auto"/>
              <w:left w:val="nil"/>
              <w:bottom w:val="single" w:sz="4" w:space="0" w:color="auto"/>
              <w:right w:val="single" w:sz="4" w:space="0" w:color="auto"/>
            </w:tcBorders>
            <w:shd w:val="clear" w:color="000000" w:fill="FFFFFF"/>
            <w:vAlign w:val="center"/>
          </w:tcPr>
          <w:p w14:paraId="11D0FEDE"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785.729.782,20</w:t>
            </w:r>
          </w:p>
        </w:tc>
      </w:tr>
      <w:tr w:rsidR="00F15C9A" w:rsidRPr="002048A7" w14:paraId="7C4E6A45" w14:textId="77777777"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tcPr>
          <w:p w14:paraId="17660C7B" w14:textId="77777777" w:rsidR="00F15C9A" w:rsidRPr="002048A7" w:rsidRDefault="00F15C9A" w:rsidP="00F15C9A">
            <w:pPr>
              <w:spacing w:after="0" w:line="240" w:lineRule="auto"/>
              <w:jc w:val="center"/>
              <w:rPr>
                <w:rFonts w:ascii="Calibri" w:eastAsia="Times New Roman" w:hAnsi="Calibri"/>
                <w:b/>
                <w:bCs/>
                <w:color w:val="000000" w:themeColor="text1"/>
                <w:lang w:eastAsia="tr-TR"/>
              </w:rPr>
            </w:pPr>
            <w:r>
              <w:rPr>
                <w:rFonts w:ascii="Calibri" w:eastAsia="Times New Roman" w:hAnsi="Calibri"/>
                <w:b/>
                <w:bCs/>
                <w:color w:val="000000" w:themeColor="text1"/>
                <w:lang w:eastAsia="tr-TR"/>
              </w:rPr>
              <w:t>2024</w:t>
            </w:r>
          </w:p>
        </w:tc>
        <w:tc>
          <w:tcPr>
            <w:tcW w:w="1197" w:type="pct"/>
            <w:tcBorders>
              <w:top w:val="single" w:sz="4" w:space="0" w:color="auto"/>
              <w:left w:val="single" w:sz="4" w:space="0" w:color="auto"/>
              <w:bottom w:val="single" w:sz="4" w:space="0" w:color="auto"/>
              <w:right w:val="single" w:sz="4" w:space="0" w:color="auto"/>
            </w:tcBorders>
            <w:shd w:val="clear" w:color="000000" w:fill="FFFFFF"/>
            <w:vAlign w:val="center"/>
          </w:tcPr>
          <w:p w14:paraId="40F995C3" w14:textId="77777777" w:rsidR="00F15C9A" w:rsidRDefault="00F15C9A" w:rsidP="00F15C9A">
            <w:pPr>
              <w:jc w:val="center"/>
              <w:rPr>
                <w:rFonts w:ascii="Calibri" w:hAnsi="Calibri" w:cs="Calibri"/>
                <w:color w:val="000000"/>
              </w:rPr>
            </w:pPr>
            <w:r>
              <w:rPr>
                <w:rFonts w:ascii="Calibri" w:hAnsi="Calibri" w:cs="Calibri"/>
                <w:color w:val="000000"/>
              </w:rPr>
              <w:t>633.775.332,57</w:t>
            </w:r>
          </w:p>
        </w:tc>
        <w:tc>
          <w:tcPr>
            <w:tcW w:w="1197" w:type="pct"/>
            <w:tcBorders>
              <w:top w:val="single" w:sz="4" w:space="0" w:color="auto"/>
              <w:left w:val="nil"/>
              <w:bottom w:val="single" w:sz="4" w:space="0" w:color="auto"/>
              <w:right w:val="single" w:sz="4" w:space="0" w:color="auto"/>
            </w:tcBorders>
            <w:shd w:val="clear" w:color="auto" w:fill="auto"/>
            <w:vAlign w:val="center"/>
          </w:tcPr>
          <w:p w14:paraId="41F333D4" w14:textId="77777777" w:rsidR="00F15C9A" w:rsidRDefault="00F15C9A" w:rsidP="00F15C9A">
            <w:pPr>
              <w:jc w:val="center"/>
              <w:rPr>
                <w:rFonts w:ascii="Calibri" w:hAnsi="Calibri" w:cs="Calibri"/>
                <w:color w:val="000000"/>
              </w:rPr>
            </w:pPr>
            <w:r>
              <w:rPr>
                <w:rFonts w:ascii="Calibri" w:hAnsi="Calibri" w:cs="Calibri"/>
                <w:color w:val="000000"/>
              </w:rPr>
              <w:t>300.000.000,00</w:t>
            </w:r>
          </w:p>
        </w:tc>
        <w:tc>
          <w:tcPr>
            <w:tcW w:w="1232" w:type="pct"/>
            <w:tcBorders>
              <w:top w:val="single" w:sz="4" w:space="0" w:color="auto"/>
              <w:left w:val="nil"/>
              <w:bottom w:val="single" w:sz="4" w:space="0" w:color="auto"/>
              <w:right w:val="single" w:sz="4" w:space="0" w:color="auto"/>
            </w:tcBorders>
            <w:shd w:val="clear" w:color="000000" w:fill="FFFFFF"/>
            <w:vAlign w:val="center"/>
          </w:tcPr>
          <w:p w14:paraId="2A182BA0" w14:textId="77777777" w:rsidR="00F15C9A" w:rsidRDefault="00F15C9A" w:rsidP="00F15C9A">
            <w:pPr>
              <w:jc w:val="center"/>
              <w:rPr>
                <w:rFonts w:ascii="Calibri" w:hAnsi="Calibri" w:cs="Calibri"/>
                <w:color w:val="000000"/>
              </w:rPr>
            </w:pPr>
            <w:r>
              <w:rPr>
                <w:rFonts w:ascii="Calibri" w:hAnsi="Calibri" w:cs="Calibri"/>
                <w:color w:val="000000"/>
              </w:rPr>
              <w:t>933.775.332,57</w:t>
            </w:r>
          </w:p>
        </w:tc>
      </w:tr>
      <w:tr w:rsidR="00F15C9A" w:rsidRPr="002048A7" w14:paraId="2193D6AD" w14:textId="77777777"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14:paraId="674FCE67" w14:textId="77777777" w:rsidR="00F15C9A" w:rsidRPr="002048A7" w:rsidRDefault="00F15C9A" w:rsidP="00F15C9A">
            <w:pPr>
              <w:spacing w:after="0" w:line="240" w:lineRule="auto"/>
              <w:jc w:val="center"/>
              <w:rPr>
                <w:rFonts w:ascii="Calibri" w:eastAsia="Times New Roman" w:hAnsi="Calibri"/>
                <w:b/>
                <w:bCs/>
                <w:color w:val="000000"/>
                <w:lang w:eastAsia="tr-TR"/>
              </w:rPr>
            </w:pPr>
            <w:r w:rsidRPr="002048A7">
              <w:rPr>
                <w:rFonts w:ascii="Calibri" w:eastAsia="Times New Roman" w:hAnsi="Calibri"/>
                <w:b/>
                <w:bCs/>
                <w:color w:val="000000" w:themeColor="text1"/>
                <w:lang w:eastAsia="tr-TR"/>
              </w:rPr>
              <w:t>Toplam</w:t>
            </w:r>
          </w:p>
        </w:tc>
        <w:tc>
          <w:tcPr>
            <w:tcW w:w="1197" w:type="pct"/>
            <w:tcBorders>
              <w:top w:val="single" w:sz="4" w:space="0" w:color="auto"/>
              <w:left w:val="single" w:sz="4" w:space="0" w:color="auto"/>
              <w:bottom w:val="single" w:sz="4" w:space="0" w:color="auto"/>
              <w:right w:val="single" w:sz="4" w:space="0" w:color="auto"/>
            </w:tcBorders>
            <w:shd w:val="clear" w:color="000000" w:fill="FFFFFF"/>
            <w:vAlign w:val="center"/>
          </w:tcPr>
          <w:p w14:paraId="7BAE30A3" w14:textId="77777777" w:rsidR="00F15C9A" w:rsidRDefault="00F15C9A" w:rsidP="00F15C9A">
            <w:pPr>
              <w:jc w:val="center"/>
              <w:rPr>
                <w:rFonts w:ascii="Calibri" w:hAnsi="Calibri" w:cs="Calibri"/>
                <w:b/>
                <w:bCs/>
                <w:color w:val="000000"/>
              </w:rPr>
            </w:pPr>
            <w:r>
              <w:rPr>
                <w:rFonts w:ascii="Calibri" w:hAnsi="Calibri" w:cs="Calibri"/>
                <w:b/>
                <w:bCs/>
                <w:color w:val="000000"/>
              </w:rPr>
              <w:t>1.678.632.288,43</w:t>
            </w:r>
          </w:p>
        </w:tc>
        <w:tc>
          <w:tcPr>
            <w:tcW w:w="1197" w:type="pct"/>
            <w:tcBorders>
              <w:top w:val="single" w:sz="4" w:space="0" w:color="auto"/>
              <w:left w:val="nil"/>
              <w:bottom w:val="single" w:sz="4" w:space="0" w:color="auto"/>
              <w:right w:val="single" w:sz="4" w:space="0" w:color="auto"/>
            </w:tcBorders>
            <w:shd w:val="clear" w:color="000000" w:fill="FFFFFF"/>
            <w:vAlign w:val="center"/>
          </w:tcPr>
          <w:p w14:paraId="648CDAA5" w14:textId="77777777" w:rsidR="00F15C9A" w:rsidRDefault="00F15C9A" w:rsidP="00F15C9A">
            <w:pPr>
              <w:jc w:val="center"/>
              <w:rPr>
                <w:rFonts w:ascii="Calibri" w:hAnsi="Calibri" w:cs="Calibri"/>
                <w:b/>
                <w:bCs/>
                <w:color w:val="000000"/>
              </w:rPr>
            </w:pPr>
            <w:r>
              <w:rPr>
                <w:rFonts w:ascii="Calibri" w:hAnsi="Calibri" w:cs="Calibri"/>
                <w:b/>
                <w:bCs/>
                <w:color w:val="000000"/>
              </w:rPr>
              <w:t>2.047.419.436,13</w:t>
            </w:r>
          </w:p>
        </w:tc>
        <w:tc>
          <w:tcPr>
            <w:tcW w:w="1232" w:type="pct"/>
            <w:tcBorders>
              <w:top w:val="single" w:sz="4" w:space="0" w:color="auto"/>
              <w:left w:val="nil"/>
              <w:bottom w:val="single" w:sz="4" w:space="0" w:color="auto"/>
              <w:right w:val="single" w:sz="4" w:space="0" w:color="auto"/>
            </w:tcBorders>
            <w:shd w:val="clear" w:color="000000" w:fill="FFFFFF"/>
            <w:vAlign w:val="center"/>
          </w:tcPr>
          <w:p w14:paraId="0AACC87B" w14:textId="77777777" w:rsidR="00F15C9A" w:rsidRDefault="00F15C9A" w:rsidP="00F15C9A">
            <w:pPr>
              <w:jc w:val="center"/>
              <w:rPr>
                <w:rFonts w:ascii="Calibri" w:eastAsia="Times New Roman" w:hAnsi="Calibri" w:cs="Calibri"/>
                <w:b/>
                <w:bCs/>
                <w:color w:val="000000"/>
              </w:rPr>
            </w:pPr>
            <w:r>
              <w:rPr>
                <w:rFonts w:ascii="Calibri" w:hAnsi="Calibri" w:cs="Calibri"/>
                <w:b/>
                <w:bCs/>
                <w:color w:val="000000"/>
              </w:rPr>
              <w:t>3.726.051.724,56</w:t>
            </w:r>
          </w:p>
        </w:tc>
      </w:tr>
    </w:tbl>
    <w:p w14:paraId="3F9F62F8" w14:textId="74CFDF61" w:rsidR="00C25631" w:rsidRPr="002048A7" w:rsidRDefault="00D568D1" w:rsidP="0063778F">
      <w:pPr>
        <w:pStyle w:val="Balk2"/>
        <w:numPr>
          <w:ilvl w:val="1"/>
          <w:numId w:val="11"/>
        </w:numPr>
        <w:spacing w:before="120" w:after="120" w:line="240" w:lineRule="auto"/>
        <w:rPr>
          <w:rFonts w:asciiTheme="minorHAnsi" w:hAnsiTheme="minorHAnsi"/>
          <w:color w:val="000000" w:themeColor="text1"/>
          <w:sz w:val="22"/>
          <w:szCs w:val="22"/>
        </w:rPr>
      </w:pPr>
      <w:bookmarkStart w:id="457" w:name="_Toc195868789"/>
      <w:r w:rsidRPr="002048A7">
        <w:rPr>
          <w:rFonts w:asciiTheme="minorHAnsi" w:hAnsiTheme="minorHAnsi"/>
          <w:color w:val="000000" w:themeColor="text1"/>
          <w:sz w:val="22"/>
          <w:szCs w:val="22"/>
        </w:rPr>
        <w:t>202</w:t>
      </w:r>
      <w:r w:rsidR="0063778F">
        <w:rPr>
          <w:rFonts w:asciiTheme="minorHAnsi" w:hAnsiTheme="minorHAnsi"/>
          <w:color w:val="000000" w:themeColor="text1"/>
          <w:sz w:val="22"/>
          <w:szCs w:val="22"/>
        </w:rPr>
        <w:t>4</w:t>
      </w:r>
      <w:r w:rsidR="00C25631" w:rsidRPr="002048A7">
        <w:rPr>
          <w:rFonts w:asciiTheme="minorHAnsi" w:hAnsiTheme="minorHAnsi"/>
          <w:color w:val="000000" w:themeColor="text1"/>
          <w:sz w:val="22"/>
          <w:szCs w:val="22"/>
        </w:rPr>
        <w:t xml:space="preserve"> Yılı Bütçe Uygulama Sonuçları</w:t>
      </w:r>
      <w:bookmarkEnd w:id="457"/>
    </w:p>
    <w:p w14:paraId="60A49FCE" w14:textId="77777777" w:rsidR="009F6F06" w:rsidRPr="00D841B5" w:rsidRDefault="00D60D50" w:rsidP="00DC6441">
      <w:pPr>
        <w:spacing w:before="120" w:after="120" w:line="240" w:lineRule="auto"/>
      </w:pPr>
      <w:r w:rsidRPr="002048A7">
        <w:t xml:space="preserve">Kurumun </w:t>
      </w:r>
      <w:r w:rsidRPr="00D841B5">
        <w:t>202</w:t>
      </w:r>
      <w:r w:rsidR="00061F9B" w:rsidRPr="00D841B5">
        <w:t>4</w:t>
      </w:r>
      <w:r w:rsidRPr="00D841B5">
        <w:t xml:space="preserve"> yılı bütçesi, TBMM’de kabul edilerek 31.12.202</w:t>
      </w:r>
      <w:r w:rsidR="002F3577" w:rsidRPr="00D841B5">
        <w:t>3</w:t>
      </w:r>
      <w:r w:rsidRPr="00D841B5">
        <w:t xml:space="preserve"> tarihli ve 32</w:t>
      </w:r>
      <w:r w:rsidR="002F3577" w:rsidRPr="00D841B5">
        <w:t>416</w:t>
      </w:r>
      <w:r w:rsidRPr="00D841B5">
        <w:t xml:space="preserve"> (Mükerrer) sayılı Resmî Gazetede yayımlanmış ve 01.01.202</w:t>
      </w:r>
      <w:r w:rsidR="002F3577" w:rsidRPr="00D841B5">
        <w:t>4</w:t>
      </w:r>
      <w:r w:rsidRPr="00D841B5">
        <w:t xml:space="preserve"> tarihinden itibaren yürürlüğe girmiştir.</w:t>
      </w:r>
    </w:p>
    <w:p w14:paraId="26938844" w14:textId="77777777" w:rsidR="002966DA" w:rsidRPr="00D841B5" w:rsidRDefault="009F6F06" w:rsidP="00577AAF">
      <w:pPr>
        <w:pStyle w:val="Balk3"/>
        <w:numPr>
          <w:ilvl w:val="2"/>
          <w:numId w:val="11"/>
        </w:numPr>
        <w:spacing w:after="240"/>
        <w:rPr>
          <w:rFonts w:asciiTheme="minorHAnsi" w:hAnsiTheme="minorHAnsi"/>
          <w:color w:val="auto"/>
        </w:rPr>
      </w:pPr>
      <w:bookmarkStart w:id="458" w:name="_Toc195868790"/>
      <w:r w:rsidRPr="00D841B5">
        <w:rPr>
          <w:rFonts w:asciiTheme="minorHAnsi" w:hAnsiTheme="minorHAnsi"/>
          <w:color w:val="auto"/>
        </w:rPr>
        <w:t>Gelir Bütçesi</w:t>
      </w:r>
      <w:bookmarkEnd w:id="458"/>
    </w:p>
    <w:p w14:paraId="04DF57CC" w14:textId="77777777" w:rsidR="009F6F06" w:rsidRPr="00D841B5" w:rsidRDefault="00D60D50" w:rsidP="00E27A49">
      <w:pPr>
        <w:spacing w:after="0"/>
      </w:pPr>
      <w:r w:rsidRPr="00D841B5">
        <w:t>202</w:t>
      </w:r>
      <w:r w:rsidR="00BB1396" w:rsidRPr="00D841B5">
        <w:t>4</w:t>
      </w:r>
      <w:r w:rsidRPr="00D841B5">
        <w:t xml:space="preserve"> yılı net bütçe gelirleri </w:t>
      </w:r>
      <w:r w:rsidR="00BB1396" w:rsidRPr="00D841B5">
        <w:t>1.783</w:t>
      </w:r>
      <w:r w:rsidRPr="00D841B5">
        <w:t>.</w:t>
      </w:r>
      <w:r w:rsidR="00BB1396" w:rsidRPr="00D841B5">
        <w:t>367</w:t>
      </w:r>
      <w:r w:rsidRPr="00D841B5">
        <w:t xml:space="preserve">.000,00 TL olarak tahmin edilmiş ve </w:t>
      </w:r>
      <w:r w:rsidR="00BB1396" w:rsidRPr="00D841B5">
        <w:t>2</w:t>
      </w:r>
      <w:r w:rsidRPr="00D841B5">
        <w:t>.</w:t>
      </w:r>
      <w:r w:rsidR="00BB1396" w:rsidRPr="00D841B5">
        <w:t>761</w:t>
      </w:r>
      <w:r w:rsidRPr="00D841B5">
        <w:t>.</w:t>
      </w:r>
      <w:r w:rsidR="00BB1396" w:rsidRPr="00D841B5">
        <w:t>103</w:t>
      </w:r>
      <w:r w:rsidRPr="00D841B5">
        <w:t>.</w:t>
      </w:r>
      <w:r w:rsidR="00BB1396" w:rsidRPr="00D841B5">
        <w:t>615</w:t>
      </w:r>
      <w:r w:rsidRPr="00D841B5">
        <w:t>,</w:t>
      </w:r>
      <w:r w:rsidR="00BB1396" w:rsidRPr="00D841B5">
        <w:t>30</w:t>
      </w:r>
      <w:r w:rsidR="002836FB" w:rsidRPr="00D841B5">
        <w:t xml:space="preserve"> </w:t>
      </w:r>
      <w:r w:rsidRPr="00D841B5">
        <w:t>TL net bütçe geliri elde edilmiştir. Böylece net bütçe gelir gerçekleşme oranı %</w:t>
      </w:r>
      <w:r w:rsidR="00BB1396" w:rsidRPr="00D841B5">
        <w:t>154</w:t>
      </w:r>
      <w:r w:rsidRPr="00D841B5">
        <w:t>,</w:t>
      </w:r>
      <w:r w:rsidR="00BB1396" w:rsidRPr="00D841B5">
        <w:t>8</w:t>
      </w:r>
      <w:r w:rsidR="00783B7E" w:rsidRPr="00D841B5">
        <w:t>3</w:t>
      </w:r>
      <w:r w:rsidRPr="00D841B5">
        <w:t xml:space="preserve"> olmuştur. Kurumun gelirleri, 4628 sayılı Kanunun 10 uncu maddesinde yer alan aşağıdaki unsurlardan oluşmaktadır:</w:t>
      </w:r>
    </w:p>
    <w:p w14:paraId="0737DE57" w14:textId="77777777" w:rsidR="006138ED" w:rsidRPr="00D841B5" w:rsidRDefault="006138ED" w:rsidP="009F6F06">
      <w:pPr>
        <w:spacing w:after="0"/>
      </w:pPr>
    </w:p>
    <w:p w14:paraId="0559700C" w14:textId="77777777" w:rsidR="009F6F06" w:rsidRPr="00D841B5" w:rsidRDefault="009F6F06" w:rsidP="009F6F06">
      <w:pPr>
        <w:numPr>
          <w:ilvl w:val="0"/>
          <w:numId w:val="2"/>
        </w:numPr>
        <w:tabs>
          <w:tab w:val="left" w:pos="284"/>
          <w:tab w:val="left" w:pos="567"/>
          <w:tab w:val="left" w:pos="709"/>
          <w:tab w:val="left" w:pos="851"/>
        </w:tabs>
        <w:spacing w:after="0"/>
        <w:ind w:left="284" w:firstLine="0"/>
        <w:contextualSpacing/>
      </w:pPr>
      <w:r w:rsidRPr="00D841B5">
        <w:t xml:space="preserve">Lisans </w:t>
      </w:r>
      <w:r w:rsidR="006138ED" w:rsidRPr="00D841B5">
        <w:t xml:space="preserve">(Elektrik ve doğal gaz piyasalarında yıllık </w:t>
      </w:r>
      <w:r w:rsidR="00990061" w:rsidRPr="00D841B5">
        <w:t>lisans; elektrik</w:t>
      </w:r>
      <w:r w:rsidR="006138ED" w:rsidRPr="00D841B5">
        <w:t>, doğal gaz, petrol ve LPG piyasalarında lisans alma, lisans yenileme, lisans tadili ve lisans sureti çıkartma), sertifika, onay, izin ve vize işlemleri üzerinden alınacak bedeller (Doğal gaz piyasasında</w:t>
      </w:r>
      <w:r w:rsidR="00990061" w:rsidRPr="00D841B5">
        <w:t>),</w:t>
      </w:r>
      <w:r w:rsidR="006138ED" w:rsidRPr="00D841B5">
        <w:t xml:space="preserve"> </w:t>
      </w:r>
    </w:p>
    <w:p w14:paraId="532C37ED" w14:textId="77777777" w:rsidR="009F6F06" w:rsidRPr="00D841B5" w:rsidRDefault="008A6E21" w:rsidP="006138ED">
      <w:pPr>
        <w:numPr>
          <w:ilvl w:val="0"/>
          <w:numId w:val="2"/>
        </w:numPr>
        <w:tabs>
          <w:tab w:val="left" w:pos="284"/>
          <w:tab w:val="left" w:pos="567"/>
          <w:tab w:val="left" w:pos="709"/>
          <w:tab w:val="left" w:pos="851"/>
        </w:tabs>
        <w:spacing w:after="0"/>
        <w:ind w:left="284" w:firstLine="0"/>
        <w:contextualSpacing/>
      </w:pPr>
      <w:r w:rsidRPr="00D841B5">
        <w:t>Katılma payı</w:t>
      </w:r>
      <w:r w:rsidR="009F6F06" w:rsidRPr="00D841B5">
        <w:t xml:space="preserve"> </w:t>
      </w:r>
      <w:r w:rsidR="006138ED" w:rsidRPr="00D841B5">
        <w:t>(Doğal gaz, petrol ve LPG piyasalarında)</w:t>
      </w:r>
    </w:p>
    <w:p w14:paraId="626A6872" w14:textId="77777777" w:rsidR="006138ED" w:rsidRPr="00D841B5" w:rsidRDefault="006138ED" w:rsidP="006138ED">
      <w:pPr>
        <w:tabs>
          <w:tab w:val="left" w:pos="284"/>
          <w:tab w:val="left" w:pos="567"/>
          <w:tab w:val="left" w:pos="709"/>
          <w:tab w:val="left" w:pos="851"/>
        </w:tabs>
        <w:spacing w:after="0"/>
        <w:ind w:left="284"/>
        <w:contextualSpacing/>
      </w:pPr>
    </w:p>
    <w:p w14:paraId="2735C617" w14:textId="77777777" w:rsidR="009F6F06" w:rsidRPr="00D841B5" w:rsidRDefault="009F6F06" w:rsidP="009F6F06">
      <w:pPr>
        <w:spacing w:after="120"/>
      </w:pPr>
      <w:r w:rsidRPr="00D841B5">
        <w:t>Elektrik piyasasında katılma payı olmayıp, doğal gaz piyasasında katılma payının mükellefi, lisans ve sertifika sahibi olan tüzel kişilerdir. Petrol piyasasında katılma payının mükellefi</w:t>
      </w:r>
      <w:r w:rsidR="00720469" w:rsidRPr="00D841B5">
        <w:t xml:space="preserve"> ise</w:t>
      </w:r>
      <w:r w:rsidRPr="00D841B5">
        <w:t xml:space="preserve">; </w:t>
      </w:r>
      <w:r w:rsidR="00EB0733" w:rsidRPr="00D841B5">
        <w:t>rafinerici</w:t>
      </w:r>
      <w:r w:rsidRPr="00D841B5">
        <w:t xml:space="preserve">, işleme, dağıtıcı, iletim, taşıma, ihrakiye, depolama, bayi ve madeni yağ üretim lisansı sahibi gerçek ve tüzel kişilerdir. </w:t>
      </w:r>
      <w:r w:rsidR="00720469" w:rsidRPr="00D841B5">
        <w:t>Lisansı kapsamında, bir veya birden fazla piyasa faaliyetini yürüten lisans sahipleri</w:t>
      </w:r>
      <w:r w:rsidRPr="00D841B5">
        <w:t xml:space="preserve"> katılma payını toplam net satışları üzerinden ödemektedirler.</w:t>
      </w:r>
    </w:p>
    <w:p w14:paraId="54FD30AD" w14:textId="77777777" w:rsidR="009F6F06" w:rsidRPr="00D841B5" w:rsidRDefault="009F6F06" w:rsidP="009F6F06">
      <w:pPr>
        <w:spacing w:after="120"/>
      </w:pPr>
      <w:r w:rsidRPr="00D841B5">
        <w:t>LPG piyasasında katılma payının mükellefi ise; rafinerici, LPG piyasası dağıtıcı ve LPG otogaz bayilik lisansı sahibi gerçek ve tüzel kişilerdir. LPG piyasasında</w:t>
      </w:r>
      <w:r w:rsidR="00720469" w:rsidRPr="00D841B5">
        <w:t xml:space="preserve"> lisansı kapsamında, bir veya birden fazla piyasa faaliyetini yürüten lisans sahipleri</w:t>
      </w:r>
      <w:r w:rsidR="00720469" w:rsidRPr="00D841B5" w:rsidDel="00720469">
        <w:t xml:space="preserve"> </w:t>
      </w:r>
      <w:r w:rsidRPr="00D841B5">
        <w:t>katılma payını toplam net satışları üzerinden ödemektedirler.</w:t>
      </w:r>
    </w:p>
    <w:p w14:paraId="10415243" w14:textId="77777777" w:rsidR="009F6F06" w:rsidRPr="00D841B5" w:rsidRDefault="009F6F06" w:rsidP="009F6F06">
      <w:pPr>
        <w:spacing w:after="120"/>
      </w:pPr>
      <w:r w:rsidRPr="00D841B5">
        <w:t xml:space="preserve">Ancak petrol ve LPG piyasasına ilişkin katılma payı, lisans sahiplerince yıllık gelir tablolarında yer alan net satışlar tutarının binde biri oranını ve iki milyon ABD Dolarını aşmayacak şekilde Kurulca belirlenmektedir. </w:t>
      </w:r>
    </w:p>
    <w:p w14:paraId="34FDA005" w14:textId="77777777" w:rsidR="009F6F06" w:rsidRPr="00D841B5" w:rsidRDefault="009F6F06" w:rsidP="009F6F06">
      <w:pPr>
        <w:spacing w:after="0"/>
      </w:pPr>
      <w:r w:rsidRPr="00D841B5">
        <w:t>Diğer taraftan;</w:t>
      </w:r>
    </w:p>
    <w:p w14:paraId="00F0A4D4" w14:textId="77777777" w:rsidR="009F6F06" w:rsidRPr="00D841B5" w:rsidRDefault="009F6F06" w:rsidP="009F6F06">
      <w:pPr>
        <w:numPr>
          <w:ilvl w:val="0"/>
          <w:numId w:val="2"/>
        </w:numPr>
        <w:tabs>
          <w:tab w:val="left" w:pos="284"/>
          <w:tab w:val="left" w:pos="567"/>
          <w:tab w:val="left" w:pos="709"/>
          <w:tab w:val="left" w:pos="851"/>
        </w:tabs>
        <w:spacing w:after="0"/>
        <w:ind w:left="284" w:firstLine="0"/>
        <w:contextualSpacing/>
      </w:pPr>
      <w:r w:rsidRPr="00D841B5">
        <w:lastRenderedPageBreak/>
        <w:t>Elektrik piyasası iletim tarifesinin en fazla yüzde biri oranındaki iletim ek ücretleri,</w:t>
      </w:r>
    </w:p>
    <w:p w14:paraId="2AF017A8" w14:textId="77777777" w:rsidR="009F6F06" w:rsidRPr="00D841B5" w:rsidRDefault="009F6F06" w:rsidP="009F6F06">
      <w:pPr>
        <w:numPr>
          <w:ilvl w:val="0"/>
          <w:numId w:val="2"/>
        </w:numPr>
        <w:tabs>
          <w:tab w:val="left" w:pos="284"/>
          <w:tab w:val="left" w:pos="567"/>
          <w:tab w:val="left" w:pos="709"/>
          <w:tab w:val="left" w:pos="851"/>
        </w:tabs>
        <w:spacing w:after="0"/>
        <w:ind w:left="284" w:firstLine="0"/>
        <w:contextualSpacing/>
      </w:pPr>
      <w:r w:rsidRPr="00D841B5">
        <w:t>Kurul tarafından verilen elektrik piyasası ile ilgili idari para cezalarının yüzde yirmi beşi,</w:t>
      </w:r>
    </w:p>
    <w:p w14:paraId="57C85C2D" w14:textId="77777777" w:rsidR="009F6F06" w:rsidRPr="00D841B5" w:rsidRDefault="009F6F06" w:rsidP="009F6F06">
      <w:pPr>
        <w:numPr>
          <w:ilvl w:val="0"/>
          <w:numId w:val="2"/>
        </w:numPr>
        <w:tabs>
          <w:tab w:val="left" w:pos="284"/>
          <w:tab w:val="left" w:pos="567"/>
          <w:tab w:val="left" w:pos="709"/>
          <w:tab w:val="left" w:pos="851"/>
        </w:tabs>
        <w:spacing w:after="0"/>
        <w:ind w:left="284" w:firstLine="0"/>
        <w:contextualSpacing/>
      </w:pPr>
      <w:r w:rsidRPr="00D841B5">
        <w:t>Yayın gelirleri ve sair gelirler,</w:t>
      </w:r>
    </w:p>
    <w:p w14:paraId="3C850F04" w14:textId="77777777" w:rsidR="009F6F06" w:rsidRPr="00D841B5" w:rsidRDefault="009F6F06" w:rsidP="009F6F06">
      <w:pPr>
        <w:numPr>
          <w:ilvl w:val="0"/>
          <w:numId w:val="2"/>
        </w:numPr>
        <w:tabs>
          <w:tab w:val="left" w:pos="284"/>
          <w:tab w:val="left" w:pos="567"/>
          <w:tab w:val="left" w:pos="709"/>
          <w:tab w:val="left" w:pos="851"/>
        </w:tabs>
        <w:spacing w:after="0"/>
        <w:ind w:left="284" w:firstLine="0"/>
        <w:contextualSpacing/>
      </w:pPr>
      <w:r w:rsidRPr="00D841B5">
        <w:t>Ayrıntıları kamuoyuna duyurulmak kaydıyla ve piyasanın gelişimine dair etüt ve proje çalışmalarının finansmanında kullanılmak üzere uluslararası kurum ve kuruluşlar tarafından verilecek hibeler de gelir kalemlerindendir.</w:t>
      </w:r>
    </w:p>
    <w:p w14:paraId="579DD462" w14:textId="77777777" w:rsidR="009F6F06" w:rsidRPr="00D841B5" w:rsidRDefault="009F6F06" w:rsidP="009F6F06">
      <w:pPr>
        <w:spacing w:after="0"/>
      </w:pPr>
      <w:r w:rsidRPr="00D841B5">
        <w:t xml:space="preserve">Yukarıda belirtilen gelir kalemlerine yönelik </w:t>
      </w:r>
      <w:r w:rsidR="00B400D3" w:rsidRPr="00D841B5">
        <w:t>202</w:t>
      </w:r>
      <w:r w:rsidR="00BB1396" w:rsidRPr="00D841B5">
        <w:t>4</w:t>
      </w:r>
      <w:r w:rsidR="00B400D3" w:rsidRPr="00D841B5">
        <w:t xml:space="preserve"> </w:t>
      </w:r>
      <w:r w:rsidRPr="00D841B5">
        <w:t>yılında uygulanacak bedeller, Kurul Kararları ile belirlenmiştir.</w:t>
      </w:r>
    </w:p>
    <w:p w14:paraId="5CE99BD3" w14:textId="77777777" w:rsidR="009F6F06" w:rsidRPr="00D841B5" w:rsidRDefault="009F6F06" w:rsidP="00577AAF">
      <w:pPr>
        <w:pStyle w:val="Balk3"/>
        <w:numPr>
          <w:ilvl w:val="2"/>
          <w:numId w:val="11"/>
        </w:numPr>
        <w:spacing w:before="120" w:after="240"/>
        <w:rPr>
          <w:rFonts w:asciiTheme="minorHAnsi" w:hAnsiTheme="minorHAnsi"/>
          <w:color w:val="auto"/>
        </w:rPr>
      </w:pPr>
      <w:bookmarkStart w:id="459" w:name="_Toc195868791"/>
      <w:r w:rsidRPr="00D841B5">
        <w:rPr>
          <w:rFonts w:asciiTheme="minorHAnsi" w:hAnsiTheme="minorHAnsi"/>
          <w:color w:val="auto"/>
        </w:rPr>
        <w:t>Gider Bütçesi</w:t>
      </w:r>
      <w:bookmarkEnd w:id="459"/>
    </w:p>
    <w:p w14:paraId="090BE0E5" w14:textId="77777777" w:rsidR="00AA282A" w:rsidRPr="00D841B5" w:rsidRDefault="00D60D50" w:rsidP="00AA282A">
      <w:bookmarkStart w:id="460" w:name="_Hlk164687386"/>
      <w:r w:rsidRPr="00D841B5">
        <w:t>Kurumun 202</w:t>
      </w:r>
      <w:r w:rsidR="00BB1396" w:rsidRPr="00D841B5">
        <w:t>4</w:t>
      </w:r>
      <w:r w:rsidRPr="00D841B5">
        <w:t xml:space="preserve"> yılı gider bütçesi </w:t>
      </w:r>
      <w:r w:rsidR="00A673DB" w:rsidRPr="00D841B5">
        <w:t>1.783.367.000</w:t>
      </w:r>
      <w:r w:rsidR="00896CEC" w:rsidRPr="00D841B5">
        <w:t>,00</w:t>
      </w:r>
      <w:r w:rsidRPr="00D841B5">
        <w:t xml:space="preserve"> TL olarak öngörülmüş, yıl içerisinde yapılan revizyonlar ile bütçe </w:t>
      </w:r>
      <w:r w:rsidR="00A673DB" w:rsidRPr="00D841B5">
        <w:t>2.997.458.543,99</w:t>
      </w:r>
      <w:r w:rsidR="00CA3BA6" w:rsidRPr="00D841B5">
        <w:t xml:space="preserve"> </w:t>
      </w:r>
      <w:r w:rsidRPr="00D841B5">
        <w:t xml:space="preserve">TL’ye yükselmiştir. Toplam bütçe ödeneğinin </w:t>
      </w:r>
      <w:r w:rsidR="00A673DB" w:rsidRPr="00D841B5">
        <w:t>2.761.103.615,30</w:t>
      </w:r>
      <w:r w:rsidRPr="00D841B5">
        <w:t xml:space="preserve"> TL’si kullanılmış ve </w:t>
      </w:r>
      <w:r w:rsidR="00A673DB" w:rsidRPr="00D841B5">
        <w:t>236.354.92</w:t>
      </w:r>
      <w:r w:rsidR="00752E5F" w:rsidRPr="00D841B5">
        <w:t>8</w:t>
      </w:r>
      <w:r w:rsidR="00A673DB" w:rsidRPr="00D841B5">
        <w:t>,69</w:t>
      </w:r>
      <w:r w:rsidRPr="00D841B5">
        <w:t xml:space="preserve"> TL’lik bütçe ödeneği yıl sonunda iptal edilmiştir. Böylece yıl sonu itibariyle gider bütçesi gerçekleşme oranı %9</w:t>
      </w:r>
      <w:r w:rsidR="00004F76" w:rsidRPr="00D841B5">
        <w:t>2,11</w:t>
      </w:r>
      <w:r w:rsidRPr="00D841B5">
        <w:t xml:space="preserve"> olmuştur.</w:t>
      </w:r>
    </w:p>
    <w:bookmarkEnd w:id="460"/>
    <w:p w14:paraId="27BF729B" w14:textId="77777777" w:rsidR="009F6F06" w:rsidRPr="00D841B5" w:rsidRDefault="00D0588A" w:rsidP="009F6F06">
      <w:pPr>
        <w:spacing w:after="120"/>
      </w:pPr>
      <w:r w:rsidRPr="00D841B5">
        <w:t xml:space="preserve">Ek’te Kurumun </w:t>
      </w:r>
      <w:r w:rsidR="0041189E" w:rsidRPr="00D841B5">
        <w:t>202</w:t>
      </w:r>
      <w:r w:rsidR="00752E5F" w:rsidRPr="00D841B5">
        <w:t>2</w:t>
      </w:r>
      <w:r w:rsidR="0041189E" w:rsidRPr="00D841B5">
        <w:t>-202</w:t>
      </w:r>
      <w:r w:rsidR="00752E5F" w:rsidRPr="00D841B5">
        <w:t>3</w:t>
      </w:r>
      <w:r w:rsidR="0041189E" w:rsidRPr="00D841B5">
        <w:t>-202</w:t>
      </w:r>
      <w:r w:rsidR="00752E5F" w:rsidRPr="00D841B5">
        <w:t>4</w:t>
      </w:r>
      <w:r w:rsidR="009F6F06" w:rsidRPr="00D841B5">
        <w:t xml:space="preserve"> yılları </w:t>
      </w:r>
      <w:r w:rsidRPr="00D841B5">
        <w:t xml:space="preserve">faaliyet sonuçları tablosu ve </w:t>
      </w:r>
      <w:r w:rsidR="009F6F06" w:rsidRPr="00D841B5">
        <w:t>bilançosu, karşılaştırmalı olarak verilmektedir.</w:t>
      </w:r>
    </w:p>
    <w:p w14:paraId="769C6DBC" w14:textId="77777777" w:rsidR="0027136F" w:rsidRPr="002048A7" w:rsidRDefault="0027136F" w:rsidP="00A02EDE">
      <w:pPr>
        <w:spacing w:after="0"/>
        <w:rPr>
          <w:b/>
        </w:rPr>
        <w:sectPr w:rsidR="0027136F" w:rsidRPr="002048A7" w:rsidSect="008F5245">
          <w:pgSz w:w="11906" w:h="16838"/>
          <w:pgMar w:top="1418" w:right="567" w:bottom="1418" w:left="1418" w:header="709" w:footer="709" w:gutter="0"/>
          <w:cols w:space="708"/>
          <w:docGrid w:linePitch="360"/>
        </w:sectPr>
      </w:pPr>
    </w:p>
    <w:p w14:paraId="6A2AC5CC" w14:textId="77777777" w:rsidR="00056C40" w:rsidRPr="002048A7" w:rsidRDefault="00056C40" w:rsidP="009A5906">
      <w:pPr>
        <w:pStyle w:val="Balk1"/>
        <w:ind w:right="-7"/>
        <w:rPr>
          <w:rFonts w:asciiTheme="minorHAnsi" w:hAnsiTheme="minorHAnsi"/>
          <w:b w:val="0"/>
          <w:sz w:val="12"/>
          <w:szCs w:val="12"/>
        </w:rPr>
      </w:pPr>
      <w:bookmarkStart w:id="461" w:name="_Toc195868792"/>
      <w:r w:rsidRPr="002048A7">
        <w:rPr>
          <w:rFonts w:asciiTheme="minorHAnsi" w:hAnsiTheme="minorHAnsi"/>
          <w:color w:val="000000" w:themeColor="text1"/>
          <w:sz w:val="22"/>
          <w:szCs w:val="22"/>
        </w:rPr>
        <w:lastRenderedPageBreak/>
        <w:t>EKLE</w:t>
      </w:r>
      <w:r w:rsidR="00A959D5" w:rsidRPr="002048A7">
        <w:rPr>
          <w:rFonts w:asciiTheme="minorHAnsi" w:hAnsiTheme="minorHAnsi"/>
          <w:color w:val="000000" w:themeColor="text1"/>
          <w:sz w:val="22"/>
          <w:szCs w:val="22"/>
        </w:rPr>
        <w:t>R</w:t>
      </w:r>
      <w:bookmarkEnd w:id="461"/>
    </w:p>
    <w:p w14:paraId="05F310BC" w14:textId="77777777" w:rsidR="00F15C9A" w:rsidRDefault="00056C40" w:rsidP="00F15C9A">
      <w:pPr>
        <w:jc w:val="center"/>
        <w:rPr>
          <w:b/>
          <w:sz w:val="18"/>
          <w:szCs w:val="18"/>
        </w:rPr>
      </w:pPr>
      <w:r w:rsidRPr="002048A7">
        <w:rPr>
          <w:b/>
          <w:sz w:val="18"/>
          <w:szCs w:val="18"/>
        </w:rPr>
        <w:t>ENERJİ PİYASASI DÜZENLEME KURUMU FAALİYET SONUÇLARI TABLOSU</w:t>
      </w:r>
      <w:r w:rsidR="00AC3C0E" w:rsidRPr="002048A7">
        <w:rPr>
          <w:b/>
          <w:sz w:val="18"/>
          <w:szCs w:val="18"/>
        </w:rPr>
        <w:t xml:space="preserve"> </w:t>
      </w:r>
      <w:r w:rsidRPr="002048A7">
        <w:rPr>
          <w:b/>
          <w:sz w:val="18"/>
          <w:szCs w:val="18"/>
        </w:rPr>
        <w:t>(TL)</w:t>
      </w:r>
    </w:p>
    <w:tbl>
      <w:tblPr>
        <w:tblpPr w:leftFromText="141" w:rightFromText="141" w:bottomFromText="200" w:vertAnchor="text" w:horzAnchor="page" w:tblpXSpec="center" w:tblpY="138"/>
        <w:tblW w:w="16099" w:type="dxa"/>
        <w:tblCellMar>
          <w:left w:w="70" w:type="dxa"/>
          <w:right w:w="70" w:type="dxa"/>
        </w:tblCellMar>
        <w:tblLook w:val="04A0" w:firstRow="1" w:lastRow="0" w:firstColumn="1" w:lastColumn="0" w:noHBand="0" w:noVBand="1"/>
      </w:tblPr>
      <w:tblGrid>
        <w:gridCol w:w="438"/>
        <w:gridCol w:w="318"/>
        <w:gridCol w:w="349"/>
        <w:gridCol w:w="2542"/>
        <w:gridCol w:w="1340"/>
        <w:gridCol w:w="1386"/>
        <w:gridCol w:w="1464"/>
        <w:gridCol w:w="169"/>
        <w:gridCol w:w="417"/>
        <w:gridCol w:w="229"/>
        <w:gridCol w:w="229"/>
        <w:gridCol w:w="229"/>
        <w:gridCol w:w="318"/>
        <w:gridCol w:w="621"/>
        <w:gridCol w:w="621"/>
        <w:gridCol w:w="621"/>
        <w:gridCol w:w="547"/>
        <w:gridCol w:w="712"/>
        <w:gridCol w:w="634"/>
        <w:gridCol w:w="631"/>
        <w:gridCol w:w="755"/>
        <w:gridCol w:w="619"/>
        <w:gridCol w:w="910"/>
      </w:tblGrid>
      <w:tr w:rsidR="00F15C9A" w14:paraId="7DC8825C" w14:textId="77777777" w:rsidTr="00F15C9A">
        <w:trPr>
          <w:trHeight w:val="369"/>
        </w:trPr>
        <w:tc>
          <w:tcPr>
            <w:tcW w:w="756" w:type="dxa"/>
            <w:gridSpan w:val="2"/>
            <w:tcBorders>
              <w:top w:val="single" w:sz="4" w:space="0" w:color="auto"/>
              <w:left w:val="single" w:sz="4" w:space="0" w:color="auto"/>
              <w:bottom w:val="single" w:sz="4" w:space="0" w:color="auto"/>
              <w:right w:val="single" w:sz="4" w:space="0" w:color="000000"/>
            </w:tcBorders>
            <w:noWrap/>
            <w:vAlign w:val="center"/>
            <w:hideMark/>
          </w:tcPr>
          <w:p w14:paraId="58D5A5CE" w14:textId="77777777" w:rsidR="00F15C9A" w:rsidRDefault="00F15C9A" w:rsidP="00BC0D87">
            <w:pPr>
              <w:spacing w:after="0" w:line="240" w:lineRule="auto"/>
              <w:jc w:val="left"/>
              <w:rPr>
                <w:rFonts w:ascii="Arial" w:eastAsia="Times New Roman" w:hAnsi="Arial" w:cs="Arial"/>
                <w:b/>
                <w:bCs/>
                <w:sz w:val="20"/>
                <w:szCs w:val="20"/>
                <w:lang w:eastAsia="tr-TR"/>
              </w:rPr>
            </w:pPr>
            <w:r>
              <w:rPr>
                <w:rFonts w:ascii="Arial" w:eastAsia="Times New Roman" w:hAnsi="Arial" w:cs="Arial"/>
                <w:b/>
                <w:bCs/>
                <w:sz w:val="20"/>
                <w:szCs w:val="20"/>
                <w:lang w:eastAsia="tr-TR"/>
              </w:rPr>
              <w:t>Hesap Kodu</w:t>
            </w:r>
          </w:p>
        </w:tc>
        <w:tc>
          <w:tcPr>
            <w:tcW w:w="349" w:type="dxa"/>
            <w:tcBorders>
              <w:top w:val="single" w:sz="4" w:space="0" w:color="auto"/>
              <w:left w:val="nil"/>
              <w:bottom w:val="single" w:sz="4" w:space="0" w:color="auto"/>
              <w:right w:val="nil"/>
            </w:tcBorders>
            <w:noWrap/>
            <w:vAlign w:val="center"/>
            <w:hideMark/>
          </w:tcPr>
          <w:p w14:paraId="1746C1CE" w14:textId="77777777" w:rsidR="00F15C9A" w:rsidRDefault="00F15C9A" w:rsidP="00BC0D87">
            <w:pPr>
              <w:spacing w:after="0" w:line="240" w:lineRule="auto"/>
              <w:jc w:val="left"/>
              <w:rPr>
                <w:rFonts w:ascii="Arial" w:eastAsia="Times New Roman" w:hAnsi="Arial" w:cs="Arial"/>
                <w:b/>
                <w:bCs/>
                <w:sz w:val="20"/>
                <w:szCs w:val="20"/>
                <w:lang w:eastAsia="tr-TR"/>
              </w:rPr>
            </w:pPr>
            <w:r>
              <w:rPr>
                <w:rFonts w:ascii="Arial" w:eastAsia="Times New Roman" w:hAnsi="Arial" w:cs="Arial"/>
                <w:b/>
                <w:bCs/>
                <w:sz w:val="20"/>
                <w:szCs w:val="20"/>
                <w:lang w:eastAsia="tr-TR"/>
              </w:rPr>
              <w:t> </w:t>
            </w:r>
          </w:p>
        </w:tc>
        <w:tc>
          <w:tcPr>
            <w:tcW w:w="2542" w:type="dxa"/>
            <w:tcBorders>
              <w:top w:val="single" w:sz="4" w:space="0" w:color="auto"/>
              <w:left w:val="single" w:sz="4" w:space="0" w:color="auto"/>
              <w:bottom w:val="single" w:sz="4" w:space="0" w:color="auto"/>
              <w:right w:val="single" w:sz="4" w:space="0" w:color="000000"/>
            </w:tcBorders>
            <w:noWrap/>
            <w:vAlign w:val="center"/>
            <w:hideMark/>
          </w:tcPr>
          <w:p w14:paraId="1085B9E1" w14:textId="77777777" w:rsidR="00F15C9A" w:rsidRDefault="00F15C9A" w:rsidP="00BC0D87">
            <w:pPr>
              <w:spacing w:after="0" w:line="240" w:lineRule="auto"/>
              <w:jc w:val="left"/>
              <w:rPr>
                <w:rFonts w:ascii="Arial" w:eastAsia="Times New Roman" w:hAnsi="Arial" w:cs="Arial"/>
                <w:b/>
                <w:bCs/>
                <w:sz w:val="20"/>
                <w:szCs w:val="20"/>
                <w:lang w:eastAsia="tr-TR"/>
              </w:rPr>
            </w:pPr>
            <w:r>
              <w:rPr>
                <w:rFonts w:ascii="Arial" w:eastAsia="Times New Roman" w:hAnsi="Arial" w:cs="Arial"/>
                <w:b/>
                <w:bCs/>
                <w:sz w:val="20"/>
                <w:szCs w:val="20"/>
                <w:lang w:eastAsia="tr-TR"/>
              </w:rPr>
              <w:t>GİDERİN TÜRÜ</w:t>
            </w:r>
          </w:p>
        </w:tc>
        <w:tc>
          <w:tcPr>
            <w:tcW w:w="1340" w:type="dxa"/>
            <w:tcBorders>
              <w:top w:val="single" w:sz="4" w:space="0" w:color="auto"/>
              <w:left w:val="nil"/>
              <w:bottom w:val="single" w:sz="4" w:space="0" w:color="auto"/>
              <w:right w:val="single" w:sz="4" w:space="0" w:color="000000"/>
            </w:tcBorders>
            <w:noWrap/>
            <w:vAlign w:val="center"/>
            <w:hideMark/>
          </w:tcPr>
          <w:p w14:paraId="7538AF7F" w14:textId="77777777" w:rsidR="00F15C9A" w:rsidRDefault="00F15C9A" w:rsidP="00BC0D87">
            <w:pPr>
              <w:spacing w:after="0" w:line="240" w:lineRule="auto"/>
              <w:jc w:val="center"/>
              <w:rPr>
                <w:rFonts w:ascii="Arial" w:eastAsia="Times New Roman" w:hAnsi="Arial" w:cs="Arial"/>
                <w:b/>
                <w:bCs/>
                <w:sz w:val="18"/>
                <w:szCs w:val="18"/>
                <w:lang w:eastAsia="tr-TR"/>
              </w:rPr>
            </w:pPr>
            <w:r>
              <w:rPr>
                <w:rFonts w:ascii="Arial" w:eastAsia="Times New Roman" w:hAnsi="Arial" w:cs="Arial"/>
                <w:b/>
                <w:bCs/>
                <w:sz w:val="18"/>
                <w:szCs w:val="18"/>
                <w:lang w:eastAsia="tr-TR"/>
              </w:rPr>
              <w:t>2022 YILI</w:t>
            </w:r>
          </w:p>
        </w:tc>
        <w:tc>
          <w:tcPr>
            <w:tcW w:w="1386" w:type="dxa"/>
            <w:tcBorders>
              <w:top w:val="single" w:sz="4" w:space="0" w:color="auto"/>
              <w:left w:val="nil"/>
              <w:bottom w:val="single" w:sz="4" w:space="0" w:color="auto"/>
              <w:right w:val="single" w:sz="4" w:space="0" w:color="000000"/>
            </w:tcBorders>
            <w:noWrap/>
            <w:vAlign w:val="center"/>
            <w:hideMark/>
          </w:tcPr>
          <w:p w14:paraId="1AB19546" w14:textId="77777777" w:rsidR="00F15C9A" w:rsidRDefault="00F15C9A" w:rsidP="00BC0D87">
            <w:pPr>
              <w:spacing w:after="0" w:line="240" w:lineRule="auto"/>
              <w:jc w:val="center"/>
              <w:rPr>
                <w:rFonts w:ascii="Arial" w:eastAsia="Times New Roman" w:hAnsi="Arial" w:cs="Arial"/>
                <w:b/>
                <w:bCs/>
                <w:sz w:val="18"/>
                <w:szCs w:val="18"/>
                <w:lang w:eastAsia="tr-TR"/>
              </w:rPr>
            </w:pPr>
            <w:r>
              <w:rPr>
                <w:rFonts w:ascii="Arial" w:eastAsia="Times New Roman" w:hAnsi="Arial" w:cs="Arial"/>
                <w:b/>
                <w:bCs/>
                <w:sz w:val="18"/>
                <w:szCs w:val="18"/>
                <w:lang w:eastAsia="tr-TR"/>
              </w:rPr>
              <w:t>2023 YILI</w:t>
            </w:r>
          </w:p>
        </w:tc>
        <w:tc>
          <w:tcPr>
            <w:tcW w:w="1464" w:type="dxa"/>
            <w:tcBorders>
              <w:top w:val="single" w:sz="4" w:space="0" w:color="auto"/>
              <w:left w:val="nil"/>
              <w:bottom w:val="single" w:sz="4" w:space="0" w:color="auto"/>
              <w:right w:val="single" w:sz="4" w:space="0" w:color="000000"/>
            </w:tcBorders>
            <w:noWrap/>
            <w:vAlign w:val="center"/>
            <w:hideMark/>
          </w:tcPr>
          <w:p w14:paraId="29B854E7" w14:textId="77777777" w:rsidR="00F15C9A" w:rsidRDefault="00F15C9A" w:rsidP="00BC0D87">
            <w:pPr>
              <w:spacing w:after="0" w:line="240" w:lineRule="auto"/>
              <w:jc w:val="center"/>
              <w:rPr>
                <w:rFonts w:ascii="Arial" w:eastAsia="Times New Roman" w:hAnsi="Arial" w:cs="Arial"/>
                <w:b/>
                <w:bCs/>
                <w:sz w:val="18"/>
                <w:szCs w:val="18"/>
                <w:lang w:eastAsia="tr-TR"/>
              </w:rPr>
            </w:pPr>
            <w:r>
              <w:rPr>
                <w:rFonts w:ascii="Arial" w:eastAsia="Times New Roman" w:hAnsi="Arial" w:cs="Arial"/>
                <w:b/>
                <w:bCs/>
                <w:sz w:val="18"/>
                <w:szCs w:val="18"/>
                <w:lang w:eastAsia="tr-TR"/>
              </w:rPr>
              <w:t>2024 YILI</w:t>
            </w:r>
          </w:p>
        </w:tc>
        <w:tc>
          <w:tcPr>
            <w:tcW w:w="169" w:type="dxa"/>
            <w:noWrap/>
            <w:vAlign w:val="center"/>
            <w:hideMark/>
          </w:tcPr>
          <w:p w14:paraId="1F9DFDC8" w14:textId="77777777" w:rsidR="00F15C9A" w:rsidRDefault="00F15C9A" w:rsidP="00BC0D87">
            <w:pPr>
              <w:rPr>
                <w:rFonts w:ascii="Arial" w:eastAsia="Times New Roman" w:hAnsi="Arial" w:cs="Arial"/>
                <w:b/>
                <w:bCs/>
                <w:sz w:val="18"/>
                <w:szCs w:val="18"/>
                <w:lang w:eastAsia="tr-TR"/>
              </w:rPr>
            </w:pPr>
          </w:p>
        </w:tc>
        <w:tc>
          <w:tcPr>
            <w:tcW w:w="1422" w:type="dxa"/>
            <w:gridSpan w:val="5"/>
            <w:tcBorders>
              <w:top w:val="single" w:sz="4" w:space="0" w:color="auto"/>
              <w:left w:val="single" w:sz="4" w:space="0" w:color="auto"/>
              <w:bottom w:val="single" w:sz="4" w:space="0" w:color="auto"/>
              <w:right w:val="single" w:sz="4" w:space="0" w:color="auto"/>
            </w:tcBorders>
            <w:noWrap/>
            <w:vAlign w:val="center"/>
            <w:hideMark/>
          </w:tcPr>
          <w:p w14:paraId="0B1DAFA9" w14:textId="77777777" w:rsidR="00F15C9A" w:rsidRDefault="00F15C9A" w:rsidP="00BC0D87">
            <w:pPr>
              <w:spacing w:after="0" w:line="240" w:lineRule="auto"/>
              <w:jc w:val="left"/>
              <w:rPr>
                <w:rFonts w:ascii="Arial" w:eastAsia="Times New Roman" w:hAnsi="Arial" w:cs="Arial"/>
                <w:b/>
                <w:bCs/>
                <w:sz w:val="20"/>
                <w:szCs w:val="20"/>
                <w:lang w:eastAsia="tr-TR"/>
              </w:rPr>
            </w:pPr>
            <w:r>
              <w:rPr>
                <w:rFonts w:ascii="Arial" w:eastAsia="Times New Roman" w:hAnsi="Arial" w:cs="Arial"/>
                <w:b/>
                <w:bCs/>
                <w:sz w:val="20"/>
                <w:szCs w:val="20"/>
                <w:lang w:eastAsia="tr-TR"/>
              </w:rPr>
              <w:t>Hesap Kodu</w:t>
            </w:r>
          </w:p>
        </w:tc>
        <w:tc>
          <w:tcPr>
            <w:tcW w:w="2410" w:type="dxa"/>
            <w:gridSpan w:val="4"/>
            <w:tcBorders>
              <w:top w:val="single" w:sz="4" w:space="0" w:color="auto"/>
              <w:left w:val="nil"/>
              <w:bottom w:val="single" w:sz="4" w:space="0" w:color="auto"/>
              <w:right w:val="single" w:sz="4" w:space="0" w:color="auto"/>
            </w:tcBorders>
            <w:noWrap/>
            <w:vAlign w:val="center"/>
            <w:hideMark/>
          </w:tcPr>
          <w:p w14:paraId="0CE89D3F" w14:textId="77777777" w:rsidR="00F15C9A" w:rsidRDefault="00F15C9A" w:rsidP="00BC0D87">
            <w:pPr>
              <w:spacing w:after="0" w:line="240" w:lineRule="auto"/>
              <w:jc w:val="left"/>
              <w:rPr>
                <w:rFonts w:ascii="Arial" w:eastAsia="Times New Roman" w:hAnsi="Arial" w:cs="Arial"/>
                <w:b/>
                <w:bCs/>
                <w:sz w:val="20"/>
                <w:szCs w:val="20"/>
                <w:lang w:eastAsia="tr-TR"/>
              </w:rPr>
            </w:pPr>
            <w:r>
              <w:rPr>
                <w:rFonts w:ascii="Arial" w:eastAsia="Times New Roman" w:hAnsi="Arial" w:cs="Arial"/>
                <w:b/>
                <w:bCs/>
                <w:sz w:val="20"/>
                <w:szCs w:val="20"/>
                <w:lang w:eastAsia="tr-TR"/>
              </w:rPr>
              <w:t>GELİRİN TÜRÜ</w:t>
            </w:r>
          </w:p>
        </w:tc>
        <w:tc>
          <w:tcPr>
            <w:tcW w:w="1346" w:type="dxa"/>
            <w:gridSpan w:val="2"/>
            <w:tcBorders>
              <w:top w:val="single" w:sz="4" w:space="0" w:color="auto"/>
              <w:left w:val="nil"/>
              <w:bottom w:val="single" w:sz="4" w:space="0" w:color="auto"/>
              <w:right w:val="single" w:sz="4" w:space="0" w:color="000000"/>
            </w:tcBorders>
            <w:noWrap/>
            <w:vAlign w:val="center"/>
            <w:hideMark/>
          </w:tcPr>
          <w:p w14:paraId="52E52BDD" w14:textId="77777777" w:rsidR="00F15C9A" w:rsidRDefault="00F15C9A" w:rsidP="00BC0D87">
            <w:pPr>
              <w:spacing w:after="0" w:line="240" w:lineRule="auto"/>
              <w:jc w:val="center"/>
              <w:rPr>
                <w:rFonts w:ascii="Arial" w:eastAsia="Times New Roman" w:hAnsi="Arial" w:cs="Arial"/>
                <w:b/>
                <w:bCs/>
                <w:sz w:val="18"/>
                <w:szCs w:val="18"/>
                <w:lang w:eastAsia="tr-TR"/>
              </w:rPr>
            </w:pPr>
            <w:r>
              <w:rPr>
                <w:rFonts w:ascii="Arial" w:eastAsia="Times New Roman" w:hAnsi="Arial" w:cs="Arial"/>
                <w:b/>
                <w:bCs/>
                <w:sz w:val="18"/>
                <w:szCs w:val="18"/>
                <w:lang w:eastAsia="tr-TR"/>
              </w:rPr>
              <w:t>2022 YILI</w:t>
            </w:r>
          </w:p>
        </w:tc>
        <w:tc>
          <w:tcPr>
            <w:tcW w:w="1386" w:type="dxa"/>
            <w:gridSpan w:val="2"/>
            <w:tcBorders>
              <w:top w:val="single" w:sz="4" w:space="0" w:color="auto"/>
              <w:left w:val="nil"/>
              <w:bottom w:val="single" w:sz="4" w:space="0" w:color="auto"/>
              <w:right w:val="single" w:sz="4" w:space="0" w:color="000000"/>
            </w:tcBorders>
            <w:noWrap/>
            <w:vAlign w:val="center"/>
            <w:hideMark/>
          </w:tcPr>
          <w:p w14:paraId="3CD09D0B" w14:textId="77777777" w:rsidR="00F15C9A" w:rsidRDefault="00F15C9A" w:rsidP="00BC0D87">
            <w:pPr>
              <w:spacing w:after="0" w:line="240" w:lineRule="auto"/>
              <w:jc w:val="center"/>
              <w:rPr>
                <w:rFonts w:ascii="Arial" w:eastAsia="Times New Roman" w:hAnsi="Arial" w:cs="Arial"/>
                <w:b/>
                <w:bCs/>
                <w:sz w:val="18"/>
                <w:szCs w:val="18"/>
                <w:lang w:eastAsia="tr-TR"/>
              </w:rPr>
            </w:pPr>
            <w:r>
              <w:rPr>
                <w:rFonts w:ascii="Arial" w:eastAsia="Times New Roman" w:hAnsi="Arial" w:cs="Arial"/>
                <w:b/>
                <w:bCs/>
                <w:sz w:val="18"/>
                <w:szCs w:val="18"/>
                <w:lang w:eastAsia="tr-TR"/>
              </w:rPr>
              <w:t>2023 YILI</w:t>
            </w:r>
          </w:p>
        </w:tc>
        <w:tc>
          <w:tcPr>
            <w:tcW w:w="1529" w:type="dxa"/>
            <w:gridSpan w:val="2"/>
            <w:tcBorders>
              <w:top w:val="single" w:sz="4" w:space="0" w:color="auto"/>
              <w:left w:val="nil"/>
              <w:bottom w:val="single" w:sz="4" w:space="0" w:color="auto"/>
              <w:right w:val="single" w:sz="4" w:space="0" w:color="000000"/>
            </w:tcBorders>
            <w:noWrap/>
            <w:vAlign w:val="center"/>
            <w:hideMark/>
          </w:tcPr>
          <w:p w14:paraId="2A258E15" w14:textId="77777777" w:rsidR="00F15C9A" w:rsidRDefault="00F15C9A" w:rsidP="00BC0D87">
            <w:pPr>
              <w:spacing w:after="0" w:line="240" w:lineRule="auto"/>
              <w:jc w:val="center"/>
              <w:rPr>
                <w:rFonts w:ascii="Arial" w:eastAsia="Times New Roman" w:hAnsi="Arial" w:cs="Arial"/>
                <w:b/>
                <w:bCs/>
                <w:sz w:val="18"/>
                <w:szCs w:val="18"/>
                <w:lang w:eastAsia="tr-TR"/>
              </w:rPr>
            </w:pPr>
            <w:r>
              <w:rPr>
                <w:rFonts w:ascii="Arial" w:eastAsia="Times New Roman" w:hAnsi="Arial" w:cs="Arial"/>
                <w:b/>
                <w:bCs/>
                <w:sz w:val="18"/>
                <w:szCs w:val="18"/>
                <w:lang w:eastAsia="tr-TR"/>
              </w:rPr>
              <w:t>2024 YILI</w:t>
            </w:r>
          </w:p>
        </w:tc>
      </w:tr>
      <w:tr w:rsidR="00F15C9A" w14:paraId="60F74925" w14:textId="77777777" w:rsidTr="00F15C9A">
        <w:trPr>
          <w:trHeight w:val="342"/>
        </w:trPr>
        <w:tc>
          <w:tcPr>
            <w:tcW w:w="438" w:type="dxa"/>
            <w:tcBorders>
              <w:top w:val="nil"/>
              <w:left w:val="single" w:sz="4" w:space="0" w:color="auto"/>
              <w:bottom w:val="single" w:sz="4" w:space="0" w:color="auto"/>
              <w:right w:val="single" w:sz="4" w:space="0" w:color="auto"/>
            </w:tcBorders>
            <w:noWrap/>
            <w:vAlign w:val="center"/>
            <w:hideMark/>
          </w:tcPr>
          <w:p w14:paraId="103DEF3F" w14:textId="77777777" w:rsidR="00F15C9A" w:rsidRDefault="00F15C9A" w:rsidP="00BC0D87">
            <w:pPr>
              <w:spacing w:after="0" w:line="240" w:lineRule="auto"/>
              <w:jc w:val="center"/>
              <w:rPr>
                <w:rFonts w:ascii="Arial" w:eastAsia="Times New Roman" w:hAnsi="Arial" w:cs="Arial"/>
                <w:b/>
                <w:bCs/>
                <w:sz w:val="16"/>
                <w:szCs w:val="16"/>
                <w:lang w:eastAsia="tr-TR"/>
              </w:rPr>
            </w:pPr>
            <w:r>
              <w:rPr>
                <w:rFonts w:ascii="Arial" w:eastAsia="Times New Roman" w:hAnsi="Arial" w:cs="Arial"/>
                <w:b/>
                <w:bCs/>
                <w:sz w:val="16"/>
                <w:szCs w:val="16"/>
                <w:lang w:eastAsia="tr-TR"/>
              </w:rPr>
              <w:t>630</w:t>
            </w:r>
          </w:p>
        </w:tc>
        <w:tc>
          <w:tcPr>
            <w:tcW w:w="318" w:type="dxa"/>
            <w:tcBorders>
              <w:top w:val="nil"/>
              <w:left w:val="nil"/>
              <w:bottom w:val="single" w:sz="4" w:space="0" w:color="auto"/>
              <w:right w:val="single" w:sz="4" w:space="0" w:color="auto"/>
            </w:tcBorders>
            <w:noWrap/>
            <w:vAlign w:val="center"/>
            <w:hideMark/>
          </w:tcPr>
          <w:p w14:paraId="3310060D" w14:textId="77777777" w:rsidR="00F15C9A" w:rsidRDefault="00F15C9A" w:rsidP="00BC0D87">
            <w:pPr>
              <w:spacing w:after="0" w:line="240" w:lineRule="auto"/>
              <w:jc w:val="center"/>
              <w:rPr>
                <w:rFonts w:ascii="Arial" w:eastAsia="Times New Roman" w:hAnsi="Arial" w:cs="Arial"/>
                <w:b/>
                <w:bCs/>
                <w:sz w:val="16"/>
                <w:szCs w:val="16"/>
                <w:lang w:eastAsia="tr-TR"/>
              </w:rPr>
            </w:pPr>
            <w:r>
              <w:rPr>
                <w:rFonts w:ascii="Arial" w:eastAsia="Times New Roman" w:hAnsi="Arial" w:cs="Arial"/>
                <w:b/>
                <w:bCs/>
                <w:sz w:val="16"/>
                <w:szCs w:val="16"/>
                <w:lang w:eastAsia="tr-TR"/>
              </w:rPr>
              <w:t> </w:t>
            </w:r>
          </w:p>
        </w:tc>
        <w:tc>
          <w:tcPr>
            <w:tcW w:w="349" w:type="dxa"/>
            <w:tcBorders>
              <w:top w:val="nil"/>
              <w:left w:val="nil"/>
              <w:bottom w:val="single" w:sz="4" w:space="0" w:color="auto"/>
              <w:right w:val="single" w:sz="4" w:space="0" w:color="auto"/>
            </w:tcBorders>
            <w:noWrap/>
            <w:vAlign w:val="center"/>
            <w:hideMark/>
          </w:tcPr>
          <w:p w14:paraId="08C4E31D"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 </w:t>
            </w:r>
          </w:p>
        </w:tc>
        <w:tc>
          <w:tcPr>
            <w:tcW w:w="2542" w:type="dxa"/>
            <w:tcBorders>
              <w:top w:val="single" w:sz="4" w:space="0" w:color="auto"/>
              <w:left w:val="nil"/>
              <w:bottom w:val="single" w:sz="4" w:space="0" w:color="auto"/>
              <w:right w:val="single" w:sz="4" w:space="0" w:color="auto"/>
            </w:tcBorders>
            <w:noWrap/>
            <w:vAlign w:val="center"/>
            <w:hideMark/>
          </w:tcPr>
          <w:p w14:paraId="04498078" w14:textId="77777777" w:rsidR="00F15C9A" w:rsidRDefault="00F15C9A" w:rsidP="00BC0D87">
            <w:pPr>
              <w:spacing w:after="0" w:line="240" w:lineRule="auto"/>
              <w:jc w:val="left"/>
              <w:rPr>
                <w:rFonts w:ascii="Arial" w:eastAsia="Times New Roman" w:hAnsi="Arial" w:cs="Arial"/>
                <w:b/>
                <w:bCs/>
                <w:sz w:val="16"/>
                <w:szCs w:val="16"/>
                <w:lang w:eastAsia="tr-TR"/>
              </w:rPr>
            </w:pPr>
            <w:r>
              <w:rPr>
                <w:rFonts w:ascii="Arial" w:eastAsia="Times New Roman" w:hAnsi="Arial" w:cs="Arial"/>
                <w:b/>
                <w:bCs/>
                <w:sz w:val="16"/>
                <w:szCs w:val="16"/>
                <w:lang w:eastAsia="tr-TR"/>
              </w:rPr>
              <w:t>GİDERLER HESABI</w:t>
            </w:r>
          </w:p>
        </w:tc>
        <w:tc>
          <w:tcPr>
            <w:tcW w:w="1340" w:type="dxa"/>
            <w:tcBorders>
              <w:top w:val="single" w:sz="4" w:space="0" w:color="auto"/>
              <w:left w:val="nil"/>
              <w:bottom w:val="single" w:sz="4" w:space="0" w:color="auto"/>
              <w:right w:val="single" w:sz="4" w:space="0" w:color="000000"/>
            </w:tcBorders>
            <w:noWrap/>
            <w:vAlign w:val="center"/>
            <w:hideMark/>
          </w:tcPr>
          <w:p w14:paraId="12D22029" w14:textId="77777777" w:rsidR="00F15C9A" w:rsidRDefault="00F15C9A" w:rsidP="00BC0D87">
            <w:pPr>
              <w:spacing w:after="0" w:line="240" w:lineRule="auto"/>
              <w:jc w:val="center"/>
              <w:rPr>
                <w:rFonts w:ascii="Arial" w:eastAsia="Times New Roman" w:hAnsi="Arial" w:cs="Arial"/>
                <w:b/>
                <w:bCs/>
                <w:sz w:val="16"/>
                <w:szCs w:val="16"/>
                <w:lang w:eastAsia="tr-TR"/>
              </w:rPr>
            </w:pPr>
            <w:r>
              <w:rPr>
                <w:rFonts w:ascii="Arial" w:eastAsia="Times New Roman" w:hAnsi="Arial" w:cs="Arial"/>
                <w:b/>
                <w:bCs/>
                <w:sz w:val="16"/>
                <w:szCs w:val="16"/>
                <w:lang w:eastAsia="tr-TR"/>
              </w:rPr>
              <w:t>886.756.067,29</w:t>
            </w:r>
          </w:p>
        </w:tc>
        <w:tc>
          <w:tcPr>
            <w:tcW w:w="1386" w:type="dxa"/>
            <w:tcBorders>
              <w:top w:val="single" w:sz="4" w:space="0" w:color="auto"/>
              <w:left w:val="nil"/>
              <w:bottom w:val="single" w:sz="4" w:space="0" w:color="auto"/>
              <w:right w:val="single" w:sz="4" w:space="0" w:color="000000"/>
            </w:tcBorders>
            <w:noWrap/>
            <w:vAlign w:val="center"/>
            <w:hideMark/>
          </w:tcPr>
          <w:p w14:paraId="222890F3" w14:textId="77777777" w:rsidR="00F15C9A" w:rsidRDefault="00F15C9A" w:rsidP="00BC0D87">
            <w:pPr>
              <w:spacing w:after="0" w:line="240" w:lineRule="auto"/>
              <w:jc w:val="right"/>
              <w:rPr>
                <w:rFonts w:ascii="Arial" w:eastAsia="Times New Roman" w:hAnsi="Arial" w:cs="Arial"/>
                <w:b/>
                <w:bCs/>
                <w:sz w:val="16"/>
                <w:szCs w:val="16"/>
                <w:lang w:eastAsia="tr-TR"/>
              </w:rPr>
            </w:pPr>
            <w:r>
              <w:rPr>
                <w:rFonts w:ascii="Arial" w:eastAsia="Times New Roman" w:hAnsi="Arial" w:cs="Arial"/>
                <w:b/>
                <w:bCs/>
                <w:sz w:val="16"/>
                <w:szCs w:val="16"/>
                <w:lang w:eastAsia="tr-TR"/>
              </w:rPr>
              <w:t>1.668.642.516,76</w:t>
            </w:r>
          </w:p>
        </w:tc>
        <w:tc>
          <w:tcPr>
            <w:tcW w:w="1464" w:type="dxa"/>
            <w:tcBorders>
              <w:top w:val="single" w:sz="4" w:space="0" w:color="auto"/>
              <w:left w:val="nil"/>
              <w:bottom w:val="single" w:sz="4" w:space="0" w:color="auto"/>
              <w:right w:val="single" w:sz="4" w:space="0" w:color="000000"/>
            </w:tcBorders>
            <w:noWrap/>
            <w:vAlign w:val="center"/>
            <w:hideMark/>
          </w:tcPr>
          <w:p w14:paraId="094D7BC5" w14:textId="77777777" w:rsidR="00F15C9A" w:rsidRDefault="00F15C9A" w:rsidP="00BC0D87">
            <w:pPr>
              <w:spacing w:after="0" w:line="240" w:lineRule="auto"/>
              <w:jc w:val="right"/>
              <w:rPr>
                <w:rFonts w:ascii="Arial" w:eastAsia="Times New Roman" w:hAnsi="Arial" w:cs="Arial"/>
                <w:b/>
                <w:bCs/>
                <w:sz w:val="16"/>
                <w:szCs w:val="16"/>
                <w:lang w:eastAsia="tr-TR"/>
              </w:rPr>
            </w:pPr>
            <w:r>
              <w:rPr>
                <w:rFonts w:ascii="Arial" w:eastAsia="Times New Roman" w:hAnsi="Arial" w:cs="Arial"/>
                <w:b/>
                <w:bCs/>
                <w:sz w:val="16"/>
                <w:szCs w:val="16"/>
                <w:lang w:eastAsia="tr-TR"/>
              </w:rPr>
              <w:t>2.797.894.090,71</w:t>
            </w:r>
          </w:p>
        </w:tc>
        <w:tc>
          <w:tcPr>
            <w:tcW w:w="169" w:type="dxa"/>
            <w:noWrap/>
            <w:vAlign w:val="center"/>
            <w:hideMark/>
          </w:tcPr>
          <w:p w14:paraId="7C91DE99" w14:textId="77777777" w:rsidR="00F15C9A" w:rsidRDefault="00F15C9A" w:rsidP="00BC0D87">
            <w:pPr>
              <w:rPr>
                <w:rFonts w:ascii="Arial" w:eastAsia="Times New Roman" w:hAnsi="Arial" w:cs="Arial"/>
                <w:b/>
                <w:bCs/>
                <w:sz w:val="16"/>
                <w:szCs w:val="16"/>
                <w:lang w:eastAsia="tr-TR"/>
              </w:rPr>
            </w:pPr>
          </w:p>
        </w:tc>
        <w:tc>
          <w:tcPr>
            <w:tcW w:w="417" w:type="dxa"/>
            <w:tcBorders>
              <w:top w:val="nil"/>
              <w:left w:val="single" w:sz="4" w:space="0" w:color="auto"/>
              <w:bottom w:val="single" w:sz="4" w:space="0" w:color="auto"/>
              <w:right w:val="single" w:sz="4" w:space="0" w:color="auto"/>
            </w:tcBorders>
            <w:noWrap/>
            <w:vAlign w:val="center"/>
            <w:hideMark/>
          </w:tcPr>
          <w:p w14:paraId="03158FF8" w14:textId="77777777" w:rsidR="00F15C9A" w:rsidRDefault="00F15C9A" w:rsidP="00BC0D87">
            <w:pPr>
              <w:spacing w:after="0" w:line="240" w:lineRule="auto"/>
              <w:jc w:val="center"/>
              <w:rPr>
                <w:rFonts w:ascii="Arial" w:eastAsia="Times New Roman" w:hAnsi="Arial" w:cs="Arial"/>
                <w:b/>
                <w:bCs/>
                <w:sz w:val="16"/>
                <w:szCs w:val="16"/>
                <w:lang w:eastAsia="tr-TR"/>
              </w:rPr>
            </w:pPr>
            <w:r>
              <w:rPr>
                <w:rFonts w:ascii="Arial" w:eastAsia="Times New Roman" w:hAnsi="Arial" w:cs="Arial"/>
                <w:b/>
                <w:bCs/>
                <w:sz w:val="16"/>
                <w:szCs w:val="16"/>
                <w:lang w:eastAsia="tr-TR"/>
              </w:rPr>
              <w:t>600</w:t>
            </w:r>
          </w:p>
        </w:tc>
        <w:tc>
          <w:tcPr>
            <w:tcW w:w="229" w:type="dxa"/>
            <w:tcBorders>
              <w:top w:val="nil"/>
              <w:left w:val="nil"/>
              <w:bottom w:val="single" w:sz="4" w:space="0" w:color="auto"/>
              <w:right w:val="single" w:sz="4" w:space="0" w:color="auto"/>
            </w:tcBorders>
            <w:noWrap/>
            <w:vAlign w:val="center"/>
            <w:hideMark/>
          </w:tcPr>
          <w:p w14:paraId="6D40BE49" w14:textId="77777777" w:rsidR="00F15C9A" w:rsidRDefault="00F15C9A" w:rsidP="00BC0D87">
            <w:pPr>
              <w:spacing w:after="0" w:line="240" w:lineRule="auto"/>
              <w:jc w:val="center"/>
              <w:rPr>
                <w:rFonts w:ascii="Arial" w:eastAsia="Times New Roman" w:hAnsi="Arial" w:cs="Arial"/>
                <w:b/>
                <w:bCs/>
                <w:sz w:val="16"/>
                <w:szCs w:val="16"/>
                <w:lang w:eastAsia="tr-TR"/>
              </w:rPr>
            </w:pPr>
            <w:r>
              <w:rPr>
                <w:rFonts w:ascii="Arial" w:eastAsia="Times New Roman" w:hAnsi="Arial" w:cs="Arial"/>
                <w:b/>
                <w:bCs/>
                <w:sz w:val="16"/>
                <w:szCs w:val="16"/>
                <w:lang w:eastAsia="tr-TR"/>
              </w:rPr>
              <w:t> </w:t>
            </w:r>
          </w:p>
        </w:tc>
        <w:tc>
          <w:tcPr>
            <w:tcW w:w="229" w:type="dxa"/>
            <w:tcBorders>
              <w:top w:val="nil"/>
              <w:left w:val="nil"/>
              <w:bottom w:val="single" w:sz="4" w:space="0" w:color="auto"/>
              <w:right w:val="single" w:sz="4" w:space="0" w:color="auto"/>
            </w:tcBorders>
            <w:noWrap/>
            <w:vAlign w:val="center"/>
            <w:hideMark/>
          </w:tcPr>
          <w:p w14:paraId="67D0E244"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 </w:t>
            </w:r>
          </w:p>
        </w:tc>
        <w:tc>
          <w:tcPr>
            <w:tcW w:w="229" w:type="dxa"/>
            <w:tcBorders>
              <w:top w:val="nil"/>
              <w:left w:val="nil"/>
              <w:bottom w:val="single" w:sz="4" w:space="0" w:color="auto"/>
              <w:right w:val="single" w:sz="4" w:space="0" w:color="auto"/>
            </w:tcBorders>
            <w:noWrap/>
            <w:vAlign w:val="center"/>
            <w:hideMark/>
          </w:tcPr>
          <w:p w14:paraId="53854343"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 </w:t>
            </w:r>
          </w:p>
        </w:tc>
        <w:tc>
          <w:tcPr>
            <w:tcW w:w="318" w:type="dxa"/>
            <w:tcBorders>
              <w:top w:val="nil"/>
              <w:left w:val="nil"/>
              <w:bottom w:val="single" w:sz="4" w:space="0" w:color="auto"/>
              <w:right w:val="single" w:sz="4" w:space="0" w:color="auto"/>
            </w:tcBorders>
            <w:noWrap/>
            <w:vAlign w:val="center"/>
            <w:hideMark/>
          </w:tcPr>
          <w:p w14:paraId="3A724525"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 </w:t>
            </w:r>
          </w:p>
        </w:tc>
        <w:tc>
          <w:tcPr>
            <w:tcW w:w="2410" w:type="dxa"/>
            <w:gridSpan w:val="4"/>
            <w:tcBorders>
              <w:top w:val="single" w:sz="4" w:space="0" w:color="auto"/>
              <w:left w:val="nil"/>
              <w:bottom w:val="single" w:sz="4" w:space="0" w:color="auto"/>
              <w:right w:val="single" w:sz="4" w:space="0" w:color="auto"/>
            </w:tcBorders>
            <w:noWrap/>
            <w:vAlign w:val="center"/>
            <w:hideMark/>
          </w:tcPr>
          <w:p w14:paraId="4CD3742F" w14:textId="77777777" w:rsidR="00F15C9A" w:rsidRDefault="00F15C9A" w:rsidP="00BC0D87">
            <w:pPr>
              <w:spacing w:after="0" w:line="240" w:lineRule="auto"/>
              <w:jc w:val="left"/>
              <w:rPr>
                <w:rFonts w:ascii="Arial" w:eastAsia="Times New Roman" w:hAnsi="Arial" w:cs="Arial"/>
                <w:b/>
                <w:bCs/>
                <w:sz w:val="16"/>
                <w:szCs w:val="16"/>
                <w:lang w:eastAsia="tr-TR"/>
              </w:rPr>
            </w:pPr>
            <w:r>
              <w:rPr>
                <w:rFonts w:ascii="Arial" w:eastAsia="Times New Roman" w:hAnsi="Arial" w:cs="Arial"/>
                <w:b/>
                <w:bCs/>
                <w:sz w:val="16"/>
                <w:szCs w:val="16"/>
                <w:lang w:eastAsia="tr-TR"/>
              </w:rPr>
              <w:t>GELİRLER HESABI</w:t>
            </w:r>
          </w:p>
        </w:tc>
        <w:tc>
          <w:tcPr>
            <w:tcW w:w="1346" w:type="dxa"/>
            <w:gridSpan w:val="2"/>
            <w:tcBorders>
              <w:top w:val="single" w:sz="4" w:space="0" w:color="auto"/>
              <w:left w:val="nil"/>
              <w:bottom w:val="single" w:sz="4" w:space="0" w:color="auto"/>
              <w:right w:val="single" w:sz="4" w:space="0" w:color="auto"/>
            </w:tcBorders>
            <w:noWrap/>
            <w:vAlign w:val="center"/>
            <w:hideMark/>
          </w:tcPr>
          <w:p w14:paraId="671CFD72" w14:textId="77777777" w:rsidR="00F15C9A" w:rsidRDefault="00F15C9A" w:rsidP="00BC0D87">
            <w:pPr>
              <w:spacing w:after="0" w:line="240" w:lineRule="auto"/>
              <w:jc w:val="right"/>
              <w:rPr>
                <w:rFonts w:ascii="Arial" w:eastAsia="Times New Roman" w:hAnsi="Arial" w:cs="Arial"/>
                <w:b/>
                <w:bCs/>
                <w:sz w:val="16"/>
                <w:szCs w:val="16"/>
                <w:lang w:eastAsia="tr-TR"/>
              </w:rPr>
            </w:pPr>
            <w:r>
              <w:rPr>
                <w:rFonts w:ascii="Arial" w:eastAsia="Times New Roman" w:hAnsi="Arial" w:cs="Arial"/>
                <w:b/>
                <w:bCs/>
                <w:sz w:val="16"/>
                <w:szCs w:val="16"/>
                <w:lang w:eastAsia="tr-TR"/>
              </w:rPr>
              <w:t>908.045.801,55</w:t>
            </w:r>
          </w:p>
        </w:tc>
        <w:tc>
          <w:tcPr>
            <w:tcW w:w="1386" w:type="dxa"/>
            <w:gridSpan w:val="2"/>
            <w:tcBorders>
              <w:top w:val="single" w:sz="4" w:space="0" w:color="auto"/>
              <w:left w:val="nil"/>
              <w:bottom w:val="single" w:sz="4" w:space="0" w:color="auto"/>
              <w:right w:val="single" w:sz="4" w:space="0" w:color="auto"/>
            </w:tcBorders>
            <w:noWrap/>
            <w:vAlign w:val="center"/>
            <w:hideMark/>
          </w:tcPr>
          <w:p w14:paraId="5E33FE77" w14:textId="77777777" w:rsidR="00F15C9A" w:rsidRDefault="00F15C9A" w:rsidP="00BC0D87">
            <w:pPr>
              <w:spacing w:after="0" w:line="240" w:lineRule="auto"/>
              <w:jc w:val="right"/>
              <w:rPr>
                <w:rFonts w:ascii="Arial" w:eastAsia="Times New Roman" w:hAnsi="Arial" w:cs="Arial"/>
                <w:b/>
                <w:bCs/>
                <w:sz w:val="16"/>
                <w:szCs w:val="16"/>
                <w:lang w:eastAsia="tr-TR"/>
              </w:rPr>
            </w:pPr>
            <w:r>
              <w:rPr>
                <w:rFonts w:ascii="Arial" w:eastAsia="Times New Roman" w:hAnsi="Arial" w:cs="Arial"/>
                <w:b/>
                <w:bCs/>
                <w:sz w:val="16"/>
                <w:szCs w:val="16"/>
                <w:lang w:eastAsia="tr-TR"/>
              </w:rPr>
              <w:t>1.633.012.210,54</w:t>
            </w:r>
          </w:p>
        </w:tc>
        <w:tc>
          <w:tcPr>
            <w:tcW w:w="1529" w:type="dxa"/>
            <w:gridSpan w:val="2"/>
            <w:tcBorders>
              <w:top w:val="single" w:sz="4" w:space="0" w:color="auto"/>
              <w:left w:val="nil"/>
              <w:bottom w:val="single" w:sz="4" w:space="0" w:color="auto"/>
              <w:right w:val="single" w:sz="4" w:space="0" w:color="auto"/>
            </w:tcBorders>
            <w:noWrap/>
            <w:vAlign w:val="center"/>
            <w:hideMark/>
          </w:tcPr>
          <w:p w14:paraId="0BB60555" w14:textId="77777777" w:rsidR="00F15C9A" w:rsidRDefault="00F15C9A" w:rsidP="00BC0D87">
            <w:pPr>
              <w:spacing w:after="0" w:line="240" w:lineRule="auto"/>
              <w:jc w:val="right"/>
              <w:rPr>
                <w:rFonts w:ascii="Arial" w:eastAsia="Times New Roman" w:hAnsi="Arial" w:cs="Arial"/>
                <w:b/>
                <w:bCs/>
                <w:sz w:val="16"/>
                <w:szCs w:val="16"/>
                <w:lang w:eastAsia="tr-TR"/>
              </w:rPr>
            </w:pPr>
            <w:r>
              <w:rPr>
                <w:rFonts w:ascii="Arial" w:eastAsia="Times New Roman" w:hAnsi="Arial" w:cs="Arial"/>
                <w:b/>
                <w:bCs/>
                <w:sz w:val="16"/>
                <w:szCs w:val="16"/>
                <w:lang w:eastAsia="tr-TR"/>
              </w:rPr>
              <w:t>2.791.328.473,39</w:t>
            </w:r>
          </w:p>
        </w:tc>
      </w:tr>
      <w:tr w:rsidR="00F15C9A" w14:paraId="601D33CF" w14:textId="77777777" w:rsidTr="00F15C9A">
        <w:trPr>
          <w:trHeight w:val="342"/>
        </w:trPr>
        <w:tc>
          <w:tcPr>
            <w:tcW w:w="438" w:type="dxa"/>
            <w:tcBorders>
              <w:top w:val="nil"/>
              <w:left w:val="single" w:sz="4" w:space="0" w:color="auto"/>
              <w:bottom w:val="single" w:sz="4" w:space="0" w:color="auto"/>
              <w:right w:val="single" w:sz="4" w:space="0" w:color="auto"/>
            </w:tcBorders>
            <w:noWrap/>
            <w:vAlign w:val="center"/>
            <w:hideMark/>
          </w:tcPr>
          <w:p w14:paraId="09BE0449" w14:textId="77777777" w:rsidR="00F15C9A" w:rsidRDefault="00F15C9A" w:rsidP="00BC0D87">
            <w:pPr>
              <w:spacing w:after="0" w:line="240" w:lineRule="auto"/>
              <w:jc w:val="center"/>
              <w:rPr>
                <w:rFonts w:ascii="Arial" w:eastAsia="Times New Roman" w:hAnsi="Arial" w:cs="Arial"/>
                <w:b/>
                <w:bCs/>
                <w:sz w:val="16"/>
                <w:szCs w:val="16"/>
                <w:lang w:eastAsia="tr-TR"/>
              </w:rPr>
            </w:pPr>
            <w:r>
              <w:rPr>
                <w:rFonts w:ascii="Arial" w:eastAsia="Times New Roman" w:hAnsi="Arial" w:cs="Arial"/>
                <w:b/>
                <w:bCs/>
                <w:sz w:val="16"/>
                <w:szCs w:val="16"/>
                <w:lang w:eastAsia="tr-TR"/>
              </w:rPr>
              <w:t>630</w:t>
            </w:r>
          </w:p>
        </w:tc>
        <w:tc>
          <w:tcPr>
            <w:tcW w:w="318" w:type="dxa"/>
            <w:tcBorders>
              <w:top w:val="nil"/>
              <w:left w:val="nil"/>
              <w:bottom w:val="single" w:sz="4" w:space="0" w:color="auto"/>
              <w:right w:val="single" w:sz="4" w:space="0" w:color="auto"/>
            </w:tcBorders>
            <w:noWrap/>
            <w:vAlign w:val="center"/>
            <w:hideMark/>
          </w:tcPr>
          <w:p w14:paraId="59B710F3" w14:textId="77777777" w:rsidR="00F15C9A" w:rsidRDefault="00F15C9A" w:rsidP="00BC0D87">
            <w:pPr>
              <w:spacing w:after="0" w:line="240" w:lineRule="auto"/>
              <w:jc w:val="center"/>
              <w:rPr>
                <w:rFonts w:ascii="Arial" w:eastAsia="Times New Roman" w:hAnsi="Arial" w:cs="Arial"/>
                <w:b/>
                <w:bCs/>
                <w:sz w:val="16"/>
                <w:szCs w:val="16"/>
                <w:lang w:eastAsia="tr-TR"/>
              </w:rPr>
            </w:pPr>
            <w:r>
              <w:rPr>
                <w:rFonts w:ascii="Arial" w:eastAsia="Times New Roman" w:hAnsi="Arial" w:cs="Arial"/>
                <w:b/>
                <w:bCs/>
                <w:sz w:val="16"/>
                <w:szCs w:val="16"/>
                <w:lang w:eastAsia="tr-TR"/>
              </w:rPr>
              <w:t>1</w:t>
            </w:r>
          </w:p>
        </w:tc>
        <w:tc>
          <w:tcPr>
            <w:tcW w:w="349" w:type="dxa"/>
            <w:tcBorders>
              <w:top w:val="nil"/>
              <w:left w:val="nil"/>
              <w:bottom w:val="single" w:sz="4" w:space="0" w:color="auto"/>
              <w:right w:val="single" w:sz="4" w:space="0" w:color="auto"/>
            </w:tcBorders>
            <w:noWrap/>
            <w:vAlign w:val="center"/>
            <w:hideMark/>
          </w:tcPr>
          <w:p w14:paraId="5F122F77"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 </w:t>
            </w:r>
          </w:p>
        </w:tc>
        <w:tc>
          <w:tcPr>
            <w:tcW w:w="2542" w:type="dxa"/>
            <w:tcBorders>
              <w:top w:val="single" w:sz="4" w:space="0" w:color="auto"/>
              <w:left w:val="nil"/>
              <w:bottom w:val="single" w:sz="4" w:space="0" w:color="auto"/>
              <w:right w:val="single" w:sz="4" w:space="0" w:color="auto"/>
            </w:tcBorders>
            <w:noWrap/>
            <w:vAlign w:val="center"/>
            <w:hideMark/>
          </w:tcPr>
          <w:p w14:paraId="57B3C55D" w14:textId="77777777" w:rsidR="00F15C9A" w:rsidRDefault="00F15C9A" w:rsidP="00BC0D87">
            <w:pPr>
              <w:spacing w:after="0" w:line="240" w:lineRule="auto"/>
              <w:jc w:val="left"/>
              <w:rPr>
                <w:rFonts w:ascii="Arial" w:eastAsia="Times New Roman" w:hAnsi="Arial" w:cs="Arial"/>
                <w:b/>
                <w:bCs/>
                <w:sz w:val="16"/>
                <w:szCs w:val="16"/>
                <w:lang w:eastAsia="tr-TR"/>
              </w:rPr>
            </w:pPr>
            <w:r>
              <w:rPr>
                <w:rFonts w:ascii="Arial" w:eastAsia="Times New Roman" w:hAnsi="Arial" w:cs="Arial"/>
                <w:b/>
                <w:bCs/>
                <w:sz w:val="16"/>
                <w:szCs w:val="16"/>
                <w:lang w:eastAsia="tr-TR"/>
              </w:rPr>
              <w:t>Personel Giderleri</w:t>
            </w:r>
          </w:p>
        </w:tc>
        <w:tc>
          <w:tcPr>
            <w:tcW w:w="1340" w:type="dxa"/>
            <w:tcBorders>
              <w:top w:val="single" w:sz="4" w:space="0" w:color="auto"/>
              <w:left w:val="nil"/>
              <w:bottom w:val="single" w:sz="4" w:space="0" w:color="auto"/>
              <w:right w:val="single" w:sz="4" w:space="0" w:color="000000"/>
            </w:tcBorders>
            <w:noWrap/>
            <w:vAlign w:val="center"/>
            <w:hideMark/>
          </w:tcPr>
          <w:p w14:paraId="26A77886" w14:textId="77777777" w:rsidR="00F15C9A" w:rsidRDefault="00F15C9A" w:rsidP="00BC0D87">
            <w:pPr>
              <w:spacing w:after="0" w:line="240" w:lineRule="auto"/>
              <w:jc w:val="right"/>
              <w:rPr>
                <w:rFonts w:ascii="Arial" w:eastAsia="Times New Roman" w:hAnsi="Arial" w:cs="Arial"/>
                <w:b/>
                <w:bCs/>
                <w:sz w:val="16"/>
                <w:szCs w:val="16"/>
                <w:lang w:eastAsia="tr-TR"/>
              </w:rPr>
            </w:pPr>
            <w:r>
              <w:rPr>
                <w:rFonts w:ascii="Arial" w:eastAsia="Times New Roman" w:hAnsi="Arial" w:cs="Arial"/>
                <w:b/>
                <w:bCs/>
                <w:sz w:val="16"/>
                <w:szCs w:val="16"/>
                <w:lang w:eastAsia="tr-TR"/>
              </w:rPr>
              <w:t>186.565.478,87</w:t>
            </w:r>
          </w:p>
        </w:tc>
        <w:tc>
          <w:tcPr>
            <w:tcW w:w="1386" w:type="dxa"/>
            <w:tcBorders>
              <w:top w:val="single" w:sz="4" w:space="0" w:color="auto"/>
              <w:left w:val="nil"/>
              <w:bottom w:val="single" w:sz="4" w:space="0" w:color="auto"/>
              <w:right w:val="single" w:sz="4" w:space="0" w:color="000000"/>
            </w:tcBorders>
            <w:noWrap/>
            <w:vAlign w:val="center"/>
            <w:hideMark/>
          </w:tcPr>
          <w:p w14:paraId="01C76A33" w14:textId="77777777" w:rsidR="00F15C9A" w:rsidRDefault="00F15C9A" w:rsidP="00BC0D87">
            <w:pPr>
              <w:spacing w:after="0" w:line="240" w:lineRule="auto"/>
              <w:jc w:val="right"/>
              <w:rPr>
                <w:rFonts w:ascii="Arial" w:eastAsia="Times New Roman" w:hAnsi="Arial" w:cs="Arial"/>
                <w:b/>
                <w:bCs/>
                <w:sz w:val="16"/>
                <w:szCs w:val="16"/>
                <w:lang w:eastAsia="tr-TR"/>
              </w:rPr>
            </w:pPr>
            <w:r>
              <w:rPr>
                <w:rFonts w:ascii="Arial" w:eastAsia="Times New Roman" w:hAnsi="Arial" w:cs="Arial"/>
                <w:b/>
                <w:bCs/>
                <w:sz w:val="16"/>
                <w:szCs w:val="16"/>
                <w:lang w:eastAsia="tr-TR"/>
              </w:rPr>
              <w:t>385.712.047,91</w:t>
            </w:r>
          </w:p>
        </w:tc>
        <w:tc>
          <w:tcPr>
            <w:tcW w:w="1464" w:type="dxa"/>
            <w:tcBorders>
              <w:top w:val="single" w:sz="4" w:space="0" w:color="auto"/>
              <w:left w:val="nil"/>
              <w:bottom w:val="single" w:sz="4" w:space="0" w:color="auto"/>
              <w:right w:val="single" w:sz="4" w:space="0" w:color="000000"/>
            </w:tcBorders>
            <w:noWrap/>
            <w:vAlign w:val="center"/>
            <w:hideMark/>
          </w:tcPr>
          <w:p w14:paraId="5A41DEDF" w14:textId="77777777" w:rsidR="00F15C9A" w:rsidRDefault="00F15C9A" w:rsidP="00BC0D87">
            <w:pPr>
              <w:spacing w:after="0" w:line="240" w:lineRule="auto"/>
              <w:jc w:val="right"/>
              <w:rPr>
                <w:rFonts w:ascii="Arial" w:eastAsia="Times New Roman" w:hAnsi="Arial" w:cs="Arial"/>
                <w:b/>
                <w:bCs/>
                <w:sz w:val="16"/>
                <w:szCs w:val="16"/>
                <w:lang w:eastAsia="tr-TR"/>
              </w:rPr>
            </w:pPr>
            <w:r>
              <w:rPr>
                <w:rFonts w:ascii="Arial" w:eastAsia="Times New Roman" w:hAnsi="Arial" w:cs="Arial"/>
                <w:b/>
                <w:bCs/>
                <w:sz w:val="16"/>
                <w:szCs w:val="16"/>
                <w:lang w:eastAsia="tr-TR"/>
              </w:rPr>
              <w:t>737.888.704,38</w:t>
            </w:r>
          </w:p>
        </w:tc>
        <w:tc>
          <w:tcPr>
            <w:tcW w:w="169" w:type="dxa"/>
            <w:noWrap/>
            <w:vAlign w:val="center"/>
            <w:hideMark/>
          </w:tcPr>
          <w:p w14:paraId="2C1001A2" w14:textId="77777777" w:rsidR="00F15C9A" w:rsidRDefault="00F15C9A" w:rsidP="00BC0D87">
            <w:pPr>
              <w:rPr>
                <w:rFonts w:ascii="Arial" w:eastAsia="Times New Roman" w:hAnsi="Arial" w:cs="Arial"/>
                <w:b/>
                <w:bCs/>
                <w:sz w:val="16"/>
                <w:szCs w:val="16"/>
                <w:lang w:eastAsia="tr-TR"/>
              </w:rPr>
            </w:pPr>
          </w:p>
        </w:tc>
        <w:tc>
          <w:tcPr>
            <w:tcW w:w="417" w:type="dxa"/>
            <w:tcBorders>
              <w:top w:val="nil"/>
              <w:left w:val="single" w:sz="4" w:space="0" w:color="auto"/>
              <w:bottom w:val="single" w:sz="4" w:space="0" w:color="auto"/>
              <w:right w:val="single" w:sz="4" w:space="0" w:color="auto"/>
            </w:tcBorders>
            <w:noWrap/>
            <w:vAlign w:val="center"/>
            <w:hideMark/>
          </w:tcPr>
          <w:p w14:paraId="7D1B6E8D" w14:textId="77777777" w:rsidR="00F15C9A" w:rsidRDefault="00F15C9A" w:rsidP="00BC0D87">
            <w:pPr>
              <w:spacing w:after="0" w:line="240" w:lineRule="auto"/>
              <w:jc w:val="center"/>
              <w:rPr>
                <w:rFonts w:ascii="Arial" w:eastAsia="Times New Roman" w:hAnsi="Arial" w:cs="Arial"/>
                <w:b/>
                <w:bCs/>
                <w:sz w:val="16"/>
                <w:szCs w:val="16"/>
                <w:lang w:eastAsia="tr-TR"/>
              </w:rPr>
            </w:pPr>
            <w:r>
              <w:rPr>
                <w:rFonts w:ascii="Arial" w:eastAsia="Times New Roman" w:hAnsi="Arial" w:cs="Arial"/>
                <w:b/>
                <w:bCs/>
                <w:sz w:val="16"/>
                <w:szCs w:val="16"/>
                <w:lang w:eastAsia="tr-TR"/>
              </w:rPr>
              <w:t>600</w:t>
            </w:r>
          </w:p>
        </w:tc>
        <w:tc>
          <w:tcPr>
            <w:tcW w:w="229" w:type="dxa"/>
            <w:tcBorders>
              <w:top w:val="nil"/>
              <w:left w:val="nil"/>
              <w:bottom w:val="single" w:sz="4" w:space="0" w:color="auto"/>
              <w:right w:val="single" w:sz="4" w:space="0" w:color="auto"/>
            </w:tcBorders>
            <w:noWrap/>
            <w:vAlign w:val="center"/>
            <w:hideMark/>
          </w:tcPr>
          <w:p w14:paraId="206D1B19" w14:textId="77777777" w:rsidR="00F15C9A" w:rsidRDefault="00F15C9A" w:rsidP="00BC0D87">
            <w:pPr>
              <w:spacing w:after="0" w:line="240" w:lineRule="auto"/>
              <w:jc w:val="center"/>
              <w:rPr>
                <w:rFonts w:ascii="Arial" w:eastAsia="Times New Roman" w:hAnsi="Arial" w:cs="Arial"/>
                <w:b/>
                <w:bCs/>
                <w:sz w:val="16"/>
                <w:szCs w:val="16"/>
                <w:lang w:eastAsia="tr-TR"/>
              </w:rPr>
            </w:pPr>
            <w:r>
              <w:rPr>
                <w:rFonts w:ascii="Arial" w:eastAsia="Times New Roman" w:hAnsi="Arial" w:cs="Arial"/>
                <w:b/>
                <w:bCs/>
                <w:sz w:val="16"/>
                <w:szCs w:val="16"/>
                <w:lang w:eastAsia="tr-TR"/>
              </w:rPr>
              <w:t>3</w:t>
            </w:r>
          </w:p>
        </w:tc>
        <w:tc>
          <w:tcPr>
            <w:tcW w:w="229" w:type="dxa"/>
            <w:tcBorders>
              <w:top w:val="nil"/>
              <w:left w:val="nil"/>
              <w:bottom w:val="single" w:sz="4" w:space="0" w:color="auto"/>
              <w:right w:val="single" w:sz="4" w:space="0" w:color="auto"/>
            </w:tcBorders>
            <w:noWrap/>
            <w:vAlign w:val="center"/>
            <w:hideMark/>
          </w:tcPr>
          <w:p w14:paraId="14B55BEF"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 </w:t>
            </w:r>
          </w:p>
        </w:tc>
        <w:tc>
          <w:tcPr>
            <w:tcW w:w="229" w:type="dxa"/>
            <w:tcBorders>
              <w:top w:val="nil"/>
              <w:left w:val="nil"/>
              <w:bottom w:val="single" w:sz="4" w:space="0" w:color="auto"/>
              <w:right w:val="single" w:sz="4" w:space="0" w:color="auto"/>
            </w:tcBorders>
            <w:noWrap/>
            <w:vAlign w:val="center"/>
            <w:hideMark/>
          </w:tcPr>
          <w:p w14:paraId="0C94AF1A"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 </w:t>
            </w:r>
          </w:p>
        </w:tc>
        <w:tc>
          <w:tcPr>
            <w:tcW w:w="318" w:type="dxa"/>
            <w:tcBorders>
              <w:top w:val="nil"/>
              <w:left w:val="nil"/>
              <w:bottom w:val="single" w:sz="4" w:space="0" w:color="auto"/>
              <w:right w:val="single" w:sz="4" w:space="0" w:color="auto"/>
            </w:tcBorders>
            <w:noWrap/>
            <w:vAlign w:val="center"/>
            <w:hideMark/>
          </w:tcPr>
          <w:p w14:paraId="3F0E32AA"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 </w:t>
            </w:r>
          </w:p>
        </w:tc>
        <w:tc>
          <w:tcPr>
            <w:tcW w:w="2410" w:type="dxa"/>
            <w:gridSpan w:val="4"/>
            <w:tcBorders>
              <w:top w:val="single" w:sz="4" w:space="0" w:color="auto"/>
              <w:left w:val="nil"/>
              <w:bottom w:val="single" w:sz="4" w:space="0" w:color="auto"/>
              <w:right w:val="single" w:sz="4" w:space="0" w:color="auto"/>
            </w:tcBorders>
            <w:noWrap/>
            <w:vAlign w:val="center"/>
            <w:hideMark/>
          </w:tcPr>
          <w:p w14:paraId="1EBA82C5" w14:textId="77777777" w:rsidR="00F15C9A" w:rsidRDefault="00F15C9A" w:rsidP="00BC0D87">
            <w:pPr>
              <w:spacing w:after="0" w:line="240" w:lineRule="auto"/>
              <w:jc w:val="left"/>
              <w:rPr>
                <w:rFonts w:ascii="Arial" w:eastAsia="Times New Roman" w:hAnsi="Arial" w:cs="Arial"/>
                <w:b/>
                <w:bCs/>
                <w:sz w:val="16"/>
                <w:szCs w:val="16"/>
                <w:lang w:eastAsia="tr-TR"/>
              </w:rPr>
            </w:pPr>
            <w:r>
              <w:rPr>
                <w:rFonts w:ascii="Arial" w:eastAsia="Times New Roman" w:hAnsi="Arial" w:cs="Arial"/>
                <w:b/>
                <w:bCs/>
                <w:sz w:val="16"/>
                <w:szCs w:val="16"/>
                <w:lang w:eastAsia="tr-TR"/>
              </w:rPr>
              <w:t>Teşebbüs ve Mülkiyet Gelirleri</w:t>
            </w:r>
          </w:p>
        </w:tc>
        <w:tc>
          <w:tcPr>
            <w:tcW w:w="1346" w:type="dxa"/>
            <w:gridSpan w:val="2"/>
            <w:tcBorders>
              <w:top w:val="single" w:sz="4" w:space="0" w:color="auto"/>
              <w:left w:val="nil"/>
              <w:bottom w:val="single" w:sz="4" w:space="0" w:color="auto"/>
              <w:right w:val="single" w:sz="4" w:space="0" w:color="auto"/>
            </w:tcBorders>
            <w:noWrap/>
            <w:vAlign w:val="center"/>
            <w:hideMark/>
          </w:tcPr>
          <w:p w14:paraId="74377F54" w14:textId="77777777" w:rsidR="00F15C9A" w:rsidRDefault="00F15C9A" w:rsidP="00BC0D87">
            <w:pPr>
              <w:spacing w:after="0" w:line="240" w:lineRule="auto"/>
              <w:jc w:val="right"/>
              <w:rPr>
                <w:rFonts w:ascii="Arial" w:eastAsia="Times New Roman" w:hAnsi="Arial" w:cs="Arial"/>
                <w:b/>
                <w:bCs/>
                <w:sz w:val="16"/>
                <w:szCs w:val="16"/>
                <w:lang w:eastAsia="tr-TR"/>
              </w:rPr>
            </w:pPr>
            <w:r>
              <w:rPr>
                <w:rFonts w:ascii="Arial" w:eastAsia="Times New Roman" w:hAnsi="Arial" w:cs="Arial"/>
                <w:b/>
                <w:bCs/>
                <w:sz w:val="16"/>
                <w:szCs w:val="16"/>
                <w:lang w:eastAsia="tr-TR"/>
              </w:rPr>
              <w:t>771.423.831,66</w:t>
            </w:r>
          </w:p>
        </w:tc>
        <w:tc>
          <w:tcPr>
            <w:tcW w:w="1386" w:type="dxa"/>
            <w:gridSpan w:val="2"/>
            <w:tcBorders>
              <w:top w:val="single" w:sz="4" w:space="0" w:color="auto"/>
              <w:left w:val="nil"/>
              <w:bottom w:val="single" w:sz="4" w:space="0" w:color="auto"/>
              <w:right w:val="single" w:sz="4" w:space="0" w:color="auto"/>
            </w:tcBorders>
            <w:noWrap/>
            <w:vAlign w:val="center"/>
            <w:hideMark/>
          </w:tcPr>
          <w:p w14:paraId="101CA976" w14:textId="77777777" w:rsidR="00F15C9A" w:rsidRDefault="00F15C9A" w:rsidP="00BC0D87">
            <w:pPr>
              <w:spacing w:after="0" w:line="240" w:lineRule="auto"/>
              <w:jc w:val="right"/>
              <w:rPr>
                <w:rFonts w:ascii="Arial" w:eastAsia="Times New Roman" w:hAnsi="Arial" w:cs="Arial"/>
                <w:b/>
                <w:bCs/>
                <w:sz w:val="16"/>
                <w:szCs w:val="16"/>
                <w:lang w:eastAsia="tr-TR"/>
              </w:rPr>
            </w:pPr>
            <w:r>
              <w:rPr>
                <w:rFonts w:ascii="Arial" w:eastAsia="Times New Roman" w:hAnsi="Arial" w:cs="Arial"/>
                <w:b/>
                <w:bCs/>
                <w:sz w:val="16"/>
                <w:szCs w:val="16"/>
                <w:lang w:eastAsia="tr-TR"/>
              </w:rPr>
              <w:t>1.327.263.960,04</w:t>
            </w:r>
          </w:p>
        </w:tc>
        <w:tc>
          <w:tcPr>
            <w:tcW w:w="1529" w:type="dxa"/>
            <w:gridSpan w:val="2"/>
            <w:tcBorders>
              <w:top w:val="single" w:sz="4" w:space="0" w:color="auto"/>
              <w:left w:val="nil"/>
              <w:bottom w:val="single" w:sz="4" w:space="0" w:color="auto"/>
              <w:right w:val="single" w:sz="4" w:space="0" w:color="auto"/>
            </w:tcBorders>
            <w:noWrap/>
            <w:vAlign w:val="center"/>
            <w:hideMark/>
          </w:tcPr>
          <w:p w14:paraId="369DD5BB" w14:textId="77777777" w:rsidR="00F15C9A" w:rsidRDefault="00F15C9A" w:rsidP="00BC0D87">
            <w:pPr>
              <w:spacing w:after="0" w:line="240" w:lineRule="auto"/>
              <w:jc w:val="right"/>
              <w:rPr>
                <w:rFonts w:ascii="Arial" w:eastAsia="Times New Roman" w:hAnsi="Arial" w:cs="Arial"/>
                <w:b/>
                <w:bCs/>
                <w:sz w:val="16"/>
                <w:szCs w:val="16"/>
                <w:lang w:eastAsia="tr-TR"/>
              </w:rPr>
            </w:pPr>
            <w:r>
              <w:rPr>
                <w:rFonts w:ascii="Arial" w:eastAsia="Times New Roman" w:hAnsi="Arial" w:cs="Arial"/>
                <w:b/>
                <w:bCs/>
                <w:sz w:val="16"/>
                <w:szCs w:val="16"/>
                <w:lang w:eastAsia="tr-TR"/>
              </w:rPr>
              <w:t>2.077.286.009,61</w:t>
            </w:r>
          </w:p>
        </w:tc>
      </w:tr>
      <w:tr w:rsidR="00F15C9A" w14:paraId="1E9F5717" w14:textId="77777777" w:rsidTr="00F15C9A">
        <w:trPr>
          <w:trHeight w:val="342"/>
        </w:trPr>
        <w:tc>
          <w:tcPr>
            <w:tcW w:w="438" w:type="dxa"/>
            <w:tcBorders>
              <w:top w:val="nil"/>
              <w:left w:val="single" w:sz="4" w:space="0" w:color="auto"/>
              <w:bottom w:val="single" w:sz="4" w:space="0" w:color="auto"/>
              <w:right w:val="single" w:sz="4" w:space="0" w:color="auto"/>
            </w:tcBorders>
            <w:noWrap/>
            <w:vAlign w:val="center"/>
            <w:hideMark/>
          </w:tcPr>
          <w:p w14:paraId="5B5973F9"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630</w:t>
            </w:r>
          </w:p>
        </w:tc>
        <w:tc>
          <w:tcPr>
            <w:tcW w:w="318" w:type="dxa"/>
            <w:tcBorders>
              <w:top w:val="nil"/>
              <w:left w:val="nil"/>
              <w:bottom w:val="single" w:sz="4" w:space="0" w:color="auto"/>
              <w:right w:val="single" w:sz="4" w:space="0" w:color="auto"/>
            </w:tcBorders>
            <w:noWrap/>
            <w:vAlign w:val="center"/>
            <w:hideMark/>
          </w:tcPr>
          <w:p w14:paraId="11C30741"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1</w:t>
            </w:r>
          </w:p>
        </w:tc>
        <w:tc>
          <w:tcPr>
            <w:tcW w:w="349" w:type="dxa"/>
            <w:tcBorders>
              <w:top w:val="nil"/>
              <w:left w:val="nil"/>
              <w:bottom w:val="single" w:sz="4" w:space="0" w:color="auto"/>
              <w:right w:val="single" w:sz="4" w:space="0" w:color="auto"/>
            </w:tcBorders>
            <w:noWrap/>
            <w:vAlign w:val="center"/>
            <w:hideMark/>
          </w:tcPr>
          <w:p w14:paraId="01F9FC65"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1</w:t>
            </w:r>
          </w:p>
        </w:tc>
        <w:tc>
          <w:tcPr>
            <w:tcW w:w="2542" w:type="dxa"/>
            <w:tcBorders>
              <w:top w:val="single" w:sz="4" w:space="0" w:color="auto"/>
              <w:left w:val="nil"/>
              <w:bottom w:val="single" w:sz="4" w:space="0" w:color="auto"/>
              <w:right w:val="single" w:sz="4" w:space="0" w:color="auto"/>
            </w:tcBorders>
            <w:noWrap/>
            <w:vAlign w:val="center"/>
            <w:hideMark/>
          </w:tcPr>
          <w:p w14:paraId="6E544F82" w14:textId="77777777" w:rsidR="00F15C9A" w:rsidRDefault="00F15C9A" w:rsidP="00BC0D87">
            <w:pPr>
              <w:spacing w:after="0" w:line="240" w:lineRule="auto"/>
              <w:jc w:val="left"/>
              <w:rPr>
                <w:rFonts w:ascii="Arial" w:eastAsia="Times New Roman" w:hAnsi="Arial" w:cs="Arial"/>
                <w:sz w:val="16"/>
                <w:szCs w:val="16"/>
                <w:lang w:eastAsia="tr-TR"/>
              </w:rPr>
            </w:pPr>
            <w:r>
              <w:rPr>
                <w:rFonts w:ascii="Arial" w:eastAsia="Times New Roman" w:hAnsi="Arial" w:cs="Arial"/>
                <w:sz w:val="16"/>
                <w:szCs w:val="16"/>
                <w:lang w:eastAsia="tr-TR"/>
              </w:rPr>
              <w:t>Memurlar</w:t>
            </w:r>
          </w:p>
        </w:tc>
        <w:tc>
          <w:tcPr>
            <w:tcW w:w="1340" w:type="dxa"/>
            <w:tcBorders>
              <w:top w:val="single" w:sz="4" w:space="0" w:color="auto"/>
              <w:left w:val="nil"/>
              <w:bottom w:val="single" w:sz="4" w:space="0" w:color="auto"/>
              <w:right w:val="single" w:sz="4" w:space="0" w:color="000000"/>
            </w:tcBorders>
            <w:noWrap/>
            <w:vAlign w:val="center"/>
            <w:hideMark/>
          </w:tcPr>
          <w:p w14:paraId="337B1D80"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28.873,70</w:t>
            </w:r>
          </w:p>
        </w:tc>
        <w:tc>
          <w:tcPr>
            <w:tcW w:w="1386" w:type="dxa"/>
            <w:tcBorders>
              <w:top w:val="single" w:sz="4" w:space="0" w:color="auto"/>
              <w:left w:val="nil"/>
              <w:bottom w:val="single" w:sz="4" w:space="0" w:color="auto"/>
              <w:right w:val="single" w:sz="4" w:space="0" w:color="auto"/>
            </w:tcBorders>
            <w:noWrap/>
            <w:vAlign w:val="center"/>
            <w:hideMark/>
          </w:tcPr>
          <w:p w14:paraId="152777DE"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2.913,49</w:t>
            </w:r>
          </w:p>
        </w:tc>
        <w:tc>
          <w:tcPr>
            <w:tcW w:w="1464" w:type="dxa"/>
            <w:tcBorders>
              <w:top w:val="single" w:sz="4" w:space="0" w:color="auto"/>
              <w:left w:val="nil"/>
              <w:bottom w:val="single" w:sz="4" w:space="0" w:color="auto"/>
              <w:right w:val="single" w:sz="4" w:space="0" w:color="auto"/>
            </w:tcBorders>
            <w:noWrap/>
            <w:vAlign w:val="center"/>
            <w:hideMark/>
          </w:tcPr>
          <w:p w14:paraId="262E3440"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0,00</w:t>
            </w:r>
          </w:p>
        </w:tc>
        <w:tc>
          <w:tcPr>
            <w:tcW w:w="169" w:type="dxa"/>
            <w:noWrap/>
            <w:vAlign w:val="center"/>
            <w:hideMark/>
          </w:tcPr>
          <w:p w14:paraId="5597425B" w14:textId="77777777" w:rsidR="00F15C9A" w:rsidRDefault="00F15C9A" w:rsidP="00BC0D87">
            <w:pPr>
              <w:rPr>
                <w:rFonts w:ascii="Arial" w:eastAsia="Times New Roman" w:hAnsi="Arial" w:cs="Arial"/>
                <w:sz w:val="16"/>
                <w:szCs w:val="16"/>
                <w:lang w:eastAsia="tr-TR"/>
              </w:rPr>
            </w:pPr>
          </w:p>
        </w:tc>
        <w:tc>
          <w:tcPr>
            <w:tcW w:w="417" w:type="dxa"/>
            <w:tcBorders>
              <w:top w:val="nil"/>
              <w:left w:val="single" w:sz="4" w:space="0" w:color="auto"/>
              <w:bottom w:val="single" w:sz="4" w:space="0" w:color="auto"/>
              <w:right w:val="single" w:sz="4" w:space="0" w:color="auto"/>
            </w:tcBorders>
            <w:noWrap/>
            <w:vAlign w:val="center"/>
            <w:hideMark/>
          </w:tcPr>
          <w:p w14:paraId="26D9855C"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600</w:t>
            </w:r>
          </w:p>
        </w:tc>
        <w:tc>
          <w:tcPr>
            <w:tcW w:w="229" w:type="dxa"/>
            <w:tcBorders>
              <w:top w:val="nil"/>
              <w:left w:val="nil"/>
              <w:bottom w:val="single" w:sz="4" w:space="0" w:color="auto"/>
              <w:right w:val="single" w:sz="4" w:space="0" w:color="auto"/>
            </w:tcBorders>
            <w:noWrap/>
            <w:vAlign w:val="center"/>
            <w:hideMark/>
          </w:tcPr>
          <w:p w14:paraId="01DDEE45"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3</w:t>
            </w:r>
          </w:p>
        </w:tc>
        <w:tc>
          <w:tcPr>
            <w:tcW w:w="229" w:type="dxa"/>
            <w:tcBorders>
              <w:top w:val="nil"/>
              <w:left w:val="nil"/>
              <w:bottom w:val="single" w:sz="4" w:space="0" w:color="auto"/>
              <w:right w:val="single" w:sz="4" w:space="0" w:color="auto"/>
            </w:tcBorders>
            <w:noWrap/>
            <w:vAlign w:val="center"/>
            <w:hideMark/>
          </w:tcPr>
          <w:p w14:paraId="3A0A8A5C"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1</w:t>
            </w:r>
          </w:p>
        </w:tc>
        <w:tc>
          <w:tcPr>
            <w:tcW w:w="229" w:type="dxa"/>
            <w:tcBorders>
              <w:top w:val="nil"/>
              <w:left w:val="nil"/>
              <w:bottom w:val="single" w:sz="4" w:space="0" w:color="auto"/>
              <w:right w:val="single" w:sz="4" w:space="0" w:color="auto"/>
            </w:tcBorders>
            <w:noWrap/>
            <w:vAlign w:val="center"/>
            <w:hideMark/>
          </w:tcPr>
          <w:p w14:paraId="416AB53B"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 </w:t>
            </w:r>
          </w:p>
        </w:tc>
        <w:tc>
          <w:tcPr>
            <w:tcW w:w="318" w:type="dxa"/>
            <w:tcBorders>
              <w:top w:val="nil"/>
              <w:left w:val="nil"/>
              <w:bottom w:val="single" w:sz="4" w:space="0" w:color="auto"/>
              <w:right w:val="single" w:sz="4" w:space="0" w:color="auto"/>
            </w:tcBorders>
            <w:noWrap/>
            <w:vAlign w:val="center"/>
            <w:hideMark/>
          </w:tcPr>
          <w:p w14:paraId="35B75FB1"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 </w:t>
            </w:r>
          </w:p>
        </w:tc>
        <w:tc>
          <w:tcPr>
            <w:tcW w:w="2410" w:type="dxa"/>
            <w:gridSpan w:val="4"/>
            <w:tcBorders>
              <w:top w:val="single" w:sz="4" w:space="0" w:color="auto"/>
              <w:left w:val="nil"/>
              <w:bottom w:val="single" w:sz="4" w:space="0" w:color="auto"/>
              <w:right w:val="single" w:sz="4" w:space="0" w:color="auto"/>
            </w:tcBorders>
            <w:noWrap/>
            <w:vAlign w:val="center"/>
            <w:hideMark/>
          </w:tcPr>
          <w:p w14:paraId="56DED92C" w14:textId="77777777" w:rsidR="00F15C9A" w:rsidRDefault="00F15C9A" w:rsidP="00BC0D87">
            <w:pPr>
              <w:spacing w:after="0" w:line="240" w:lineRule="auto"/>
              <w:jc w:val="left"/>
              <w:rPr>
                <w:rFonts w:ascii="Arial" w:eastAsia="Times New Roman" w:hAnsi="Arial" w:cs="Arial"/>
                <w:sz w:val="16"/>
                <w:szCs w:val="16"/>
                <w:lang w:eastAsia="tr-TR"/>
              </w:rPr>
            </w:pPr>
            <w:r>
              <w:rPr>
                <w:rFonts w:ascii="Arial" w:eastAsia="Times New Roman" w:hAnsi="Arial" w:cs="Arial"/>
                <w:sz w:val="16"/>
                <w:szCs w:val="16"/>
                <w:lang w:eastAsia="tr-TR"/>
              </w:rPr>
              <w:t>Mal ve Hizmet Satış Gelirleri</w:t>
            </w:r>
          </w:p>
        </w:tc>
        <w:tc>
          <w:tcPr>
            <w:tcW w:w="1346" w:type="dxa"/>
            <w:gridSpan w:val="2"/>
            <w:tcBorders>
              <w:top w:val="single" w:sz="4" w:space="0" w:color="auto"/>
              <w:left w:val="nil"/>
              <w:bottom w:val="single" w:sz="4" w:space="0" w:color="auto"/>
              <w:right w:val="single" w:sz="4" w:space="0" w:color="auto"/>
            </w:tcBorders>
            <w:noWrap/>
            <w:vAlign w:val="center"/>
            <w:hideMark/>
          </w:tcPr>
          <w:p w14:paraId="3E3E5EF3"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0,00</w:t>
            </w:r>
          </w:p>
        </w:tc>
        <w:tc>
          <w:tcPr>
            <w:tcW w:w="1386" w:type="dxa"/>
            <w:gridSpan w:val="2"/>
            <w:tcBorders>
              <w:top w:val="single" w:sz="4" w:space="0" w:color="auto"/>
              <w:left w:val="nil"/>
              <w:bottom w:val="single" w:sz="4" w:space="0" w:color="auto"/>
              <w:right w:val="single" w:sz="4" w:space="0" w:color="auto"/>
            </w:tcBorders>
            <w:noWrap/>
            <w:vAlign w:val="center"/>
            <w:hideMark/>
          </w:tcPr>
          <w:p w14:paraId="79CD74AE"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0,00</w:t>
            </w:r>
          </w:p>
        </w:tc>
        <w:tc>
          <w:tcPr>
            <w:tcW w:w="1529" w:type="dxa"/>
            <w:gridSpan w:val="2"/>
            <w:tcBorders>
              <w:top w:val="single" w:sz="4" w:space="0" w:color="auto"/>
              <w:left w:val="nil"/>
              <w:bottom w:val="single" w:sz="4" w:space="0" w:color="auto"/>
              <w:right w:val="single" w:sz="4" w:space="0" w:color="auto"/>
            </w:tcBorders>
            <w:noWrap/>
            <w:vAlign w:val="center"/>
            <w:hideMark/>
          </w:tcPr>
          <w:p w14:paraId="5A022056"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12.550.000,00</w:t>
            </w:r>
          </w:p>
        </w:tc>
      </w:tr>
      <w:tr w:rsidR="00F15C9A" w14:paraId="4D9469DD" w14:textId="77777777" w:rsidTr="00F15C9A">
        <w:trPr>
          <w:trHeight w:val="369"/>
        </w:trPr>
        <w:tc>
          <w:tcPr>
            <w:tcW w:w="438" w:type="dxa"/>
            <w:tcBorders>
              <w:top w:val="nil"/>
              <w:left w:val="single" w:sz="4" w:space="0" w:color="auto"/>
              <w:bottom w:val="single" w:sz="4" w:space="0" w:color="auto"/>
              <w:right w:val="single" w:sz="4" w:space="0" w:color="auto"/>
            </w:tcBorders>
            <w:noWrap/>
            <w:vAlign w:val="center"/>
            <w:hideMark/>
          </w:tcPr>
          <w:p w14:paraId="61DCCAA5"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630</w:t>
            </w:r>
          </w:p>
        </w:tc>
        <w:tc>
          <w:tcPr>
            <w:tcW w:w="318" w:type="dxa"/>
            <w:tcBorders>
              <w:top w:val="nil"/>
              <w:left w:val="nil"/>
              <w:bottom w:val="single" w:sz="4" w:space="0" w:color="auto"/>
              <w:right w:val="single" w:sz="4" w:space="0" w:color="auto"/>
            </w:tcBorders>
            <w:noWrap/>
            <w:vAlign w:val="center"/>
            <w:hideMark/>
          </w:tcPr>
          <w:p w14:paraId="6E570C1B"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1</w:t>
            </w:r>
          </w:p>
        </w:tc>
        <w:tc>
          <w:tcPr>
            <w:tcW w:w="349" w:type="dxa"/>
            <w:tcBorders>
              <w:top w:val="nil"/>
              <w:left w:val="nil"/>
              <w:bottom w:val="single" w:sz="4" w:space="0" w:color="auto"/>
              <w:right w:val="single" w:sz="4" w:space="0" w:color="auto"/>
            </w:tcBorders>
            <w:noWrap/>
            <w:vAlign w:val="center"/>
            <w:hideMark/>
          </w:tcPr>
          <w:p w14:paraId="1C7864CB"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2</w:t>
            </w:r>
          </w:p>
        </w:tc>
        <w:tc>
          <w:tcPr>
            <w:tcW w:w="2542" w:type="dxa"/>
            <w:tcBorders>
              <w:top w:val="single" w:sz="4" w:space="0" w:color="auto"/>
              <w:left w:val="nil"/>
              <w:bottom w:val="single" w:sz="4" w:space="0" w:color="auto"/>
              <w:right w:val="single" w:sz="4" w:space="0" w:color="auto"/>
            </w:tcBorders>
            <w:noWrap/>
            <w:vAlign w:val="center"/>
            <w:hideMark/>
          </w:tcPr>
          <w:p w14:paraId="51BF7252" w14:textId="77777777" w:rsidR="00F15C9A" w:rsidRDefault="00F15C9A" w:rsidP="00BC0D87">
            <w:pPr>
              <w:spacing w:after="0" w:line="240" w:lineRule="auto"/>
              <w:jc w:val="left"/>
              <w:rPr>
                <w:rFonts w:ascii="Arial" w:eastAsia="Times New Roman" w:hAnsi="Arial" w:cs="Arial"/>
                <w:sz w:val="16"/>
                <w:szCs w:val="16"/>
                <w:lang w:eastAsia="tr-TR"/>
              </w:rPr>
            </w:pPr>
            <w:r>
              <w:rPr>
                <w:rFonts w:ascii="Arial" w:eastAsia="Times New Roman" w:hAnsi="Arial" w:cs="Arial"/>
                <w:sz w:val="16"/>
                <w:szCs w:val="16"/>
                <w:lang w:eastAsia="tr-TR"/>
              </w:rPr>
              <w:t>Sözleşmeli Personel</w:t>
            </w:r>
          </w:p>
        </w:tc>
        <w:tc>
          <w:tcPr>
            <w:tcW w:w="1340" w:type="dxa"/>
            <w:tcBorders>
              <w:top w:val="single" w:sz="4" w:space="0" w:color="auto"/>
              <w:left w:val="nil"/>
              <w:bottom w:val="single" w:sz="4" w:space="0" w:color="auto"/>
              <w:right w:val="single" w:sz="4" w:space="0" w:color="000000"/>
            </w:tcBorders>
            <w:noWrap/>
            <w:vAlign w:val="center"/>
            <w:hideMark/>
          </w:tcPr>
          <w:p w14:paraId="3891A4EE"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137.941.382,23</w:t>
            </w:r>
          </w:p>
        </w:tc>
        <w:tc>
          <w:tcPr>
            <w:tcW w:w="1386" w:type="dxa"/>
            <w:tcBorders>
              <w:top w:val="single" w:sz="4" w:space="0" w:color="auto"/>
              <w:left w:val="nil"/>
              <w:bottom w:val="single" w:sz="4" w:space="0" w:color="auto"/>
              <w:right w:val="single" w:sz="4" w:space="0" w:color="auto"/>
            </w:tcBorders>
            <w:noWrap/>
            <w:vAlign w:val="center"/>
            <w:hideMark/>
          </w:tcPr>
          <w:p w14:paraId="467122F1"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251.725.336,99</w:t>
            </w:r>
          </w:p>
        </w:tc>
        <w:tc>
          <w:tcPr>
            <w:tcW w:w="1464" w:type="dxa"/>
            <w:tcBorders>
              <w:top w:val="single" w:sz="4" w:space="0" w:color="auto"/>
              <w:left w:val="nil"/>
              <w:bottom w:val="single" w:sz="4" w:space="0" w:color="auto"/>
              <w:right w:val="single" w:sz="4" w:space="0" w:color="auto"/>
            </w:tcBorders>
            <w:noWrap/>
            <w:vAlign w:val="center"/>
            <w:hideMark/>
          </w:tcPr>
          <w:p w14:paraId="7D564147"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502.831.330,35</w:t>
            </w:r>
          </w:p>
        </w:tc>
        <w:tc>
          <w:tcPr>
            <w:tcW w:w="169" w:type="dxa"/>
            <w:noWrap/>
            <w:vAlign w:val="center"/>
            <w:hideMark/>
          </w:tcPr>
          <w:p w14:paraId="711336CD" w14:textId="77777777" w:rsidR="00F15C9A" w:rsidRDefault="00F15C9A" w:rsidP="00BC0D87">
            <w:pPr>
              <w:rPr>
                <w:rFonts w:ascii="Arial" w:eastAsia="Times New Roman" w:hAnsi="Arial" w:cs="Arial"/>
                <w:sz w:val="16"/>
                <w:szCs w:val="16"/>
                <w:lang w:eastAsia="tr-TR"/>
              </w:rPr>
            </w:pPr>
          </w:p>
        </w:tc>
        <w:tc>
          <w:tcPr>
            <w:tcW w:w="417" w:type="dxa"/>
            <w:tcBorders>
              <w:top w:val="nil"/>
              <w:left w:val="single" w:sz="4" w:space="0" w:color="auto"/>
              <w:bottom w:val="single" w:sz="4" w:space="0" w:color="auto"/>
              <w:right w:val="single" w:sz="4" w:space="0" w:color="auto"/>
            </w:tcBorders>
            <w:noWrap/>
            <w:vAlign w:val="center"/>
            <w:hideMark/>
          </w:tcPr>
          <w:p w14:paraId="092A59FA"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600</w:t>
            </w:r>
          </w:p>
        </w:tc>
        <w:tc>
          <w:tcPr>
            <w:tcW w:w="229" w:type="dxa"/>
            <w:tcBorders>
              <w:top w:val="nil"/>
              <w:left w:val="nil"/>
              <w:bottom w:val="single" w:sz="4" w:space="0" w:color="auto"/>
              <w:right w:val="single" w:sz="4" w:space="0" w:color="auto"/>
            </w:tcBorders>
            <w:noWrap/>
            <w:vAlign w:val="center"/>
            <w:hideMark/>
          </w:tcPr>
          <w:p w14:paraId="38CA76E8"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3</w:t>
            </w:r>
          </w:p>
        </w:tc>
        <w:tc>
          <w:tcPr>
            <w:tcW w:w="229" w:type="dxa"/>
            <w:tcBorders>
              <w:top w:val="nil"/>
              <w:left w:val="nil"/>
              <w:bottom w:val="single" w:sz="4" w:space="0" w:color="auto"/>
              <w:right w:val="single" w:sz="4" w:space="0" w:color="auto"/>
            </w:tcBorders>
            <w:noWrap/>
            <w:vAlign w:val="center"/>
            <w:hideMark/>
          </w:tcPr>
          <w:p w14:paraId="4A4066C4"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2</w:t>
            </w:r>
          </w:p>
        </w:tc>
        <w:tc>
          <w:tcPr>
            <w:tcW w:w="229" w:type="dxa"/>
            <w:tcBorders>
              <w:top w:val="nil"/>
              <w:left w:val="nil"/>
              <w:bottom w:val="single" w:sz="4" w:space="0" w:color="auto"/>
              <w:right w:val="single" w:sz="4" w:space="0" w:color="auto"/>
            </w:tcBorders>
            <w:noWrap/>
            <w:vAlign w:val="center"/>
            <w:hideMark/>
          </w:tcPr>
          <w:p w14:paraId="23B347CB"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 </w:t>
            </w:r>
          </w:p>
        </w:tc>
        <w:tc>
          <w:tcPr>
            <w:tcW w:w="318" w:type="dxa"/>
            <w:tcBorders>
              <w:top w:val="nil"/>
              <w:left w:val="nil"/>
              <w:bottom w:val="single" w:sz="4" w:space="0" w:color="auto"/>
              <w:right w:val="single" w:sz="4" w:space="0" w:color="auto"/>
            </w:tcBorders>
            <w:noWrap/>
            <w:vAlign w:val="center"/>
            <w:hideMark/>
          </w:tcPr>
          <w:p w14:paraId="2FD60160"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 </w:t>
            </w:r>
          </w:p>
        </w:tc>
        <w:tc>
          <w:tcPr>
            <w:tcW w:w="2410" w:type="dxa"/>
            <w:gridSpan w:val="4"/>
            <w:tcBorders>
              <w:top w:val="single" w:sz="4" w:space="0" w:color="auto"/>
              <w:left w:val="nil"/>
              <w:bottom w:val="single" w:sz="4" w:space="0" w:color="auto"/>
              <w:right w:val="single" w:sz="4" w:space="0" w:color="auto"/>
            </w:tcBorders>
            <w:vAlign w:val="center"/>
            <w:hideMark/>
          </w:tcPr>
          <w:p w14:paraId="3FFF966B" w14:textId="77777777" w:rsidR="00F15C9A" w:rsidRDefault="00F15C9A" w:rsidP="00BC0D87">
            <w:pPr>
              <w:spacing w:after="0" w:line="240" w:lineRule="auto"/>
              <w:jc w:val="left"/>
              <w:rPr>
                <w:rFonts w:ascii="Arial" w:eastAsia="Times New Roman" w:hAnsi="Arial" w:cs="Arial"/>
                <w:sz w:val="16"/>
                <w:szCs w:val="16"/>
                <w:lang w:eastAsia="tr-TR"/>
              </w:rPr>
            </w:pPr>
            <w:r>
              <w:rPr>
                <w:rFonts w:ascii="Arial" w:eastAsia="Times New Roman" w:hAnsi="Arial" w:cs="Arial"/>
                <w:sz w:val="16"/>
                <w:szCs w:val="16"/>
                <w:lang w:eastAsia="tr-TR"/>
              </w:rPr>
              <w:t>Malların Kullanma veya Faaliyette Bulunma İzni Gelirleri</w:t>
            </w:r>
          </w:p>
        </w:tc>
        <w:tc>
          <w:tcPr>
            <w:tcW w:w="1346" w:type="dxa"/>
            <w:gridSpan w:val="2"/>
            <w:tcBorders>
              <w:top w:val="single" w:sz="4" w:space="0" w:color="auto"/>
              <w:left w:val="nil"/>
              <w:bottom w:val="single" w:sz="4" w:space="0" w:color="auto"/>
              <w:right w:val="single" w:sz="4" w:space="0" w:color="auto"/>
            </w:tcBorders>
            <w:noWrap/>
            <w:vAlign w:val="center"/>
            <w:hideMark/>
          </w:tcPr>
          <w:p w14:paraId="4B3A58D8"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771.297.&lt;284,20</w:t>
            </w:r>
          </w:p>
        </w:tc>
        <w:tc>
          <w:tcPr>
            <w:tcW w:w="1386" w:type="dxa"/>
            <w:gridSpan w:val="2"/>
            <w:tcBorders>
              <w:top w:val="single" w:sz="4" w:space="0" w:color="auto"/>
              <w:left w:val="nil"/>
              <w:bottom w:val="single" w:sz="4" w:space="0" w:color="auto"/>
              <w:right w:val="single" w:sz="4" w:space="0" w:color="auto"/>
            </w:tcBorders>
            <w:noWrap/>
            <w:vAlign w:val="center"/>
            <w:hideMark/>
          </w:tcPr>
          <w:p w14:paraId="186F255F"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1.326.932.268,97</w:t>
            </w:r>
          </w:p>
        </w:tc>
        <w:tc>
          <w:tcPr>
            <w:tcW w:w="1529" w:type="dxa"/>
            <w:gridSpan w:val="2"/>
            <w:tcBorders>
              <w:top w:val="single" w:sz="4" w:space="0" w:color="auto"/>
              <w:left w:val="nil"/>
              <w:bottom w:val="single" w:sz="4" w:space="0" w:color="auto"/>
              <w:right w:val="single" w:sz="4" w:space="0" w:color="auto"/>
            </w:tcBorders>
            <w:noWrap/>
            <w:vAlign w:val="center"/>
            <w:hideMark/>
          </w:tcPr>
          <w:p w14:paraId="7AF96B40"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2.064.337.523,32</w:t>
            </w:r>
          </w:p>
        </w:tc>
      </w:tr>
      <w:tr w:rsidR="00F15C9A" w14:paraId="3C01AFA1" w14:textId="77777777" w:rsidTr="00F15C9A">
        <w:trPr>
          <w:trHeight w:val="342"/>
        </w:trPr>
        <w:tc>
          <w:tcPr>
            <w:tcW w:w="438" w:type="dxa"/>
            <w:tcBorders>
              <w:top w:val="nil"/>
              <w:left w:val="single" w:sz="4" w:space="0" w:color="auto"/>
              <w:bottom w:val="single" w:sz="4" w:space="0" w:color="auto"/>
              <w:right w:val="single" w:sz="4" w:space="0" w:color="auto"/>
            </w:tcBorders>
            <w:noWrap/>
            <w:vAlign w:val="center"/>
            <w:hideMark/>
          </w:tcPr>
          <w:p w14:paraId="51AE279D"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630</w:t>
            </w:r>
          </w:p>
        </w:tc>
        <w:tc>
          <w:tcPr>
            <w:tcW w:w="318" w:type="dxa"/>
            <w:tcBorders>
              <w:top w:val="nil"/>
              <w:left w:val="nil"/>
              <w:bottom w:val="single" w:sz="4" w:space="0" w:color="auto"/>
              <w:right w:val="single" w:sz="4" w:space="0" w:color="auto"/>
            </w:tcBorders>
            <w:noWrap/>
            <w:vAlign w:val="center"/>
            <w:hideMark/>
          </w:tcPr>
          <w:p w14:paraId="21329432"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1</w:t>
            </w:r>
          </w:p>
        </w:tc>
        <w:tc>
          <w:tcPr>
            <w:tcW w:w="349" w:type="dxa"/>
            <w:tcBorders>
              <w:top w:val="nil"/>
              <w:left w:val="nil"/>
              <w:bottom w:val="single" w:sz="4" w:space="0" w:color="auto"/>
              <w:right w:val="single" w:sz="4" w:space="0" w:color="auto"/>
            </w:tcBorders>
            <w:noWrap/>
            <w:vAlign w:val="center"/>
            <w:hideMark/>
          </w:tcPr>
          <w:p w14:paraId="2C6BF3B1"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3</w:t>
            </w:r>
          </w:p>
        </w:tc>
        <w:tc>
          <w:tcPr>
            <w:tcW w:w="2542" w:type="dxa"/>
            <w:tcBorders>
              <w:top w:val="single" w:sz="4" w:space="0" w:color="auto"/>
              <w:left w:val="nil"/>
              <w:bottom w:val="single" w:sz="4" w:space="0" w:color="auto"/>
              <w:right w:val="single" w:sz="4" w:space="0" w:color="auto"/>
            </w:tcBorders>
            <w:noWrap/>
            <w:vAlign w:val="center"/>
            <w:hideMark/>
          </w:tcPr>
          <w:p w14:paraId="4470A99D" w14:textId="77777777" w:rsidR="00F15C9A" w:rsidRDefault="00F15C9A" w:rsidP="00BC0D87">
            <w:pPr>
              <w:spacing w:after="0" w:line="240" w:lineRule="auto"/>
              <w:jc w:val="left"/>
              <w:rPr>
                <w:rFonts w:ascii="Arial" w:eastAsia="Times New Roman" w:hAnsi="Arial" w:cs="Arial"/>
                <w:sz w:val="16"/>
                <w:szCs w:val="16"/>
                <w:lang w:eastAsia="tr-TR"/>
              </w:rPr>
            </w:pPr>
            <w:r>
              <w:rPr>
                <w:rFonts w:ascii="Arial" w:eastAsia="Times New Roman" w:hAnsi="Arial" w:cs="Arial"/>
                <w:sz w:val="16"/>
                <w:szCs w:val="16"/>
                <w:lang w:eastAsia="tr-TR"/>
              </w:rPr>
              <w:t>İşçiler</w:t>
            </w:r>
          </w:p>
        </w:tc>
        <w:tc>
          <w:tcPr>
            <w:tcW w:w="1340" w:type="dxa"/>
            <w:tcBorders>
              <w:top w:val="single" w:sz="4" w:space="0" w:color="auto"/>
              <w:left w:val="nil"/>
              <w:bottom w:val="single" w:sz="4" w:space="0" w:color="auto"/>
              <w:right w:val="single" w:sz="4" w:space="0" w:color="000000"/>
            </w:tcBorders>
            <w:noWrap/>
            <w:vAlign w:val="center"/>
            <w:hideMark/>
          </w:tcPr>
          <w:p w14:paraId="3127BD7C"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48.595.222,94</w:t>
            </w:r>
          </w:p>
        </w:tc>
        <w:tc>
          <w:tcPr>
            <w:tcW w:w="1386" w:type="dxa"/>
            <w:tcBorders>
              <w:top w:val="single" w:sz="4" w:space="0" w:color="auto"/>
              <w:left w:val="nil"/>
              <w:bottom w:val="single" w:sz="4" w:space="0" w:color="auto"/>
              <w:right w:val="single" w:sz="4" w:space="0" w:color="auto"/>
            </w:tcBorders>
            <w:noWrap/>
            <w:vAlign w:val="center"/>
            <w:hideMark/>
          </w:tcPr>
          <w:p w14:paraId="5C9D0288"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132.431.550,76</w:t>
            </w:r>
          </w:p>
        </w:tc>
        <w:tc>
          <w:tcPr>
            <w:tcW w:w="1464" w:type="dxa"/>
            <w:tcBorders>
              <w:top w:val="single" w:sz="4" w:space="0" w:color="auto"/>
              <w:left w:val="nil"/>
              <w:bottom w:val="single" w:sz="4" w:space="0" w:color="auto"/>
              <w:right w:val="single" w:sz="4" w:space="0" w:color="auto"/>
            </w:tcBorders>
            <w:noWrap/>
            <w:vAlign w:val="center"/>
            <w:hideMark/>
          </w:tcPr>
          <w:p w14:paraId="0E76F5FF"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228.810.070,12</w:t>
            </w:r>
          </w:p>
        </w:tc>
        <w:tc>
          <w:tcPr>
            <w:tcW w:w="169" w:type="dxa"/>
            <w:noWrap/>
            <w:vAlign w:val="center"/>
            <w:hideMark/>
          </w:tcPr>
          <w:p w14:paraId="04C80245" w14:textId="77777777" w:rsidR="00F15C9A" w:rsidRDefault="00F15C9A" w:rsidP="00BC0D87">
            <w:pPr>
              <w:rPr>
                <w:rFonts w:ascii="Arial" w:eastAsia="Times New Roman" w:hAnsi="Arial" w:cs="Arial"/>
                <w:sz w:val="16"/>
                <w:szCs w:val="16"/>
                <w:lang w:eastAsia="tr-TR"/>
              </w:rPr>
            </w:pPr>
          </w:p>
        </w:tc>
        <w:tc>
          <w:tcPr>
            <w:tcW w:w="417" w:type="dxa"/>
            <w:tcBorders>
              <w:top w:val="nil"/>
              <w:left w:val="single" w:sz="4" w:space="0" w:color="auto"/>
              <w:bottom w:val="single" w:sz="4" w:space="0" w:color="auto"/>
              <w:right w:val="single" w:sz="4" w:space="0" w:color="auto"/>
            </w:tcBorders>
            <w:noWrap/>
            <w:vAlign w:val="center"/>
            <w:hideMark/>
          </w:tcPr>
          <w:p w14:paraId="080BC140"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600</w:t>
            </w:r>
          </w:p>
        </w:tc>
        <w:tc>
          <w:tcPr>
            <w:tcW w:w="229" w:type="dxa"/>
            <w:tcBorders>
              <w:top w:val="nil"/>
              <w:left w:val="nil"/>
              <w:bottom w:val="single" w:sz="4" w:space="0" w:color="auto"/>
              <w:right w:val="single" w:sz="4" w:space="0" w:color="auto"/>
            </w:tcBorders>
            <w:noWrap/>
            <w:vAlign w:val="center"/>
            <w:hideMark/>
          </w:tcPr>
          <w:p w14:paraId="46015FDC"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3</w:t>
            </w:r>
          </w:p>
        </w:tc>
        <w:tc>
          <w:tcPr>
            <w:tcW w:w="229" w:type="dxa"/>
            <w:tcBorders>
              <w:top w:val="nil"/>
              <w:left w:val="nil"/>
              <w:bottom w:val="single" w:sz="4" w:space="0" w:color="auto"/>
              <w:right w:val="single" w:sz="4" w:space="0" w:color="auto"/>
            </w:tcBorders>
            <w:noWrap/>
            <w:vAlign w:val="center"/>
            <w:hideMark/>
          </w:tcPr>
          <w:p w14:paraId="3DC749D2"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2</w:t>
            </w:r>
          </w:p>
        </w:tc>
        <w:tc>
          <w:tcPr>
            <w:tcW w:w="229" w:type="dxa"/>
            <w:tcBorders>
              <w:top w:val="nil"/>
              <w:left w:val="nil"/>
              <w:bottom w:val="single" w:sz="4" w:space="0" w:color="auto"/>
              <w:right w:val="single" w:sz="4" w:space="0" w:color="auto"/>
            </w:tcBorders>
            <w:noWrap/>
            <w:vAlign w:val="center"/>
            <w:hideMark/>
          </w:tcPr>
          <w:p w14:paraId="2167E165"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1</w:t>
            </w:r>
          </w:p>
        </w:tc>
        <w:tc>
          <w:tcPr>
            <w:tcW w:w="318" w:type="dxa"/>
            <w:tcBorders>
              <w:top w:val="nil"/>
              <w:left w:val="nil"/>
              <w:bottom w:val="single" w:sz="4" w:space="0" w:color="auto"/>
              <w:right w:val="single" w:sz="4" w:space="0" w:color="auto"/>
            </w:tcBorders>
            <w:noWrap/>
            <w:vAlign w:val="center"/>
            <w:hideMark/>
          </w:tcPr>
          <w:p w14:paraId="293EACF2"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10</w:t>
            </w:r>
          </w:p>
        </w:tc>
        <w:tc>
          <w:tcPr>
            <w:tcW w:w="2410" w:type="dxa"/>
            <w:gridSpan w:val="4"/>
            <w:tcBorders>
              <w:top w:val="single" w:sz="4" w:space="0" w:color="auto"/>
              <w:left w:val="nil"/>
              <w:bottom w:val="single" w:sz="4" w:space="0" w:color="auto"/>
              <w:right w:val="single" w:sz="4" w:space="0" w:color="auto"/>
            </w:tcBorders>
            <w:noWrap/>
            <w:vAlign w:val="center"/>
            <w:hideMark/>
          </w:tcPr>
          <w:p w14:paraId="647D7DCE" w14:textId="77777777" w:rsidR="00F15C9A" w:rsidRDefault="00F15C9A" w:rsidP="00BC0D87">
            <w:pPr>
              <w:spacing w:after="0" w:line="240" w:lineRule="auto"/>
              <w:jc w:val="left"/>
              <w:rPr>
                <w:rFonts w:ascii="Arial" w:eastAsia="Times New Roman" w:hAnsi="Arial" w:cs="Arial"/>
                <w:sz w:val="16"/>
                <w:szCs w:val="16"/>
                <w:lang w:eastAsia="tr-TR"/>
              </w:rPr>
            </w:pPr>
            <w:r>
              <w:rPr>
                <w:rFonts w:ascii="Arial" w:eastAsia="Times New Roman" w:hAnsi="Arial" w:cs="Arial"/>
                <w:sz w:val="16"/>
                <w:szCs w:val="16"/>
                <w:lang w:eastAsia="tr-TR"/>
              </w:rPr>
              <w:t>Elektrik Piyasası Lisans Gelirleri</w:t>
            </w:r>
          </w:p>
        </w:tc>
        <w:tc>
          <w:tcPr>
            <w:tcW w:w="1346" w:type="dxa"/>
            <w:gridSpan w:val="2"/>
            <w:tcBorders>
              <w:top w:val="single" w:sz="4" w:space="0" w:color="auto"/>
              <w:left w:val="nil"/>
              <w:bottom w:val="single" w:sz="4" w:space="0" w:color="auto"/>
              <w:right w:val="single" w:sz="4" w:space="0" w:color="auto"/>
            </w:tcBorders>
            <w:noWrap/>
            <w:vAlign w:val="center"/>
            <w:hideMark/>
          </w:tcPr>
          <w:p w14:paraId="3D502306"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209.913.246,46</w:t>
            </w:r>
          </w:p>
        </w:tc>
        <w:tc>
          <w:tcPr>
            <w:tcW w:w="1386" w:type="dxa"/>
            <w:gridSpan w:val="2"/>
            <w:tcBorders>
              <w:top w:val="single" w:sz="4" w:space="0" w:color="auto"/>
              <w:left w:val="nil"/>
              <w:bottom w:val="single" w:sz="4" w:space="0" w:color="auto"/>
              <w:right w:val="single" w:sz="4" w:space="0" w:color="auto"/>
            </w:tcBorders>
            <w:noWrap/>
            <w:vAlign w:val="center"/>
            <w:hideMark/>
          </w:tcPr>
          <w:p w14:paraId="465C7931"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256.258.865,11</w:t>
            </w:r>
          </w:p>
        </w:tc>
        <w:tc>
          <w:tcPr>
            <w:tcW w:w="1529" w:type="dxa"/>
            <w:gridSpan w:val="2"/>
            <w:tcBorders>
              <w:top w:val="single" w:sz="4" w:space="0" w:color="auto"/>
              <w:left w:val="nil"/>
              <w:bottom w:val="single" w:sz="4" w:space="0" w:color="auto"/>
              <w:right w:val="single" w:sz="4" w:space="0" w:color="auto"/>
            </w:tcBorders>
            <w:noWrap/>
            <w:vAlign w:val="center"/>
            <w:hideMark/>
          </w:tcPr>
          <w:p w14:paraId="64A228BC"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527.362.925,09</w:t>
            </w:r>
          </w:p>
        </w:tc>
      </w:tr>
      <w:tr w:rsidR="00F15C9A" w14:paraId="4C94AE84" w14:textId="77777777" w:rsidTr="00F15C9A">
        <w:trPr>
          <w:trHeight w:val="369"/>
        </w:trPr>
        <w:tc>
          <w:tcPr>
            <w:tcW w:w="438" w:type="dxa"/>
            <w:tcBorders>
              <w:top w:val="nil"/>
              <w:left w:val="single" w:sz="4" w:space="0" w:color="auto"/>
              <w:bottom w:val="single" w:sz="4" w:space="0" w:color="auto"/>
              <w:right w:val="single" w:sz="4" w:space="0" w:color="auto"/>
            </w:tcBorders>
            <w:noWrap/>
            <w:vAlign w:val="center"/>
            <w:hideMark/>
          </w:tcPr>
          <w:p w14:paraId="27BB8C94"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630</w:t>
            </w:r>
          </w:p>
        </w:tc>
        <w:tc>
          <w:tcPr>
            <w:tcW w:w="318" w:type="dxa"/>
            <w:tcBorders>
              <w:top w:val="nil"/>
              <w:left w:val="nil"/>
              <w:bottom w:val="single" w:sz="4" w:space="0" w:color="auto"/>
              <w:right w:val="single" w:sz="4" w:space="0" w:color="auto"/>
            </w:tcBorders>
            <w:noWrap/>
            <w:vAlign w:val="center"/>
            <w:hideMark/>
          </w:tcPr>
          <w:p w14:paraId="610CE27B"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1</w:t>
            </w:r>
          </w:p>
        </w:tc>
        <w:tc>
          <w:tcPr>
            <w:tcW w:w="349" w:type="dxa"/>
            <w:tcBorders>
              <w:top w:val="nil"/>
              <w:left w:val="nil"/>
              <w:bottom w:val="single" w:sz="4" w:space="0" w:color="auto"/>
              <w:right w:val="single" w:sz="4" w:space="0" w:color="auto"/>
            </w:tcBorders>
            <w:noWrap/>
            <w:vAlign w:val="center"/>
            <w:hideMark/>
          </w:tcPr>
          <w:p w14:paraId="465964EC"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5</w:t>
            </w:r>
          </w:p>
        </w:tc>
        <w:tc>
          <w:tcPr>
            <w:tcW w:w="2542" w:type="dxa"/>
            <w:tcBorders>
              <w:top w:val="single" w:sz="4" w:space="0" w:color="auto"/>
              <w:left w:val="nil"/>
              <w:bottom w:val="single" w:sz="4" w:space="0" w:color="auto"/>
              <w:right w:val="single" w:sz="4" w:space="0" w:color="auto"/>
            </w:tcBorders>
            <w:noWrap/>
            <w:vAlign w:val="center"/>
            <w:hideMark/>
          </w:tcPr>
          <w:p w14:paraId="6E817C36" w14:textId="77777777" w:rsidR="00F15C9A" w:rsidRDefault="00F15C9A" w:rsidP="00BC0D87">
            <w:pPr>
              <w:spacing w:after="0" w:line="240" w:lineRule="auto"/>
              <w:jc w:val="left"/>
              <w:rPr>
                <w:rFonts w:ascii="Arial" w:eastAsia="Times New Roman" w:hAnsi="Arial" w:cs="Arial"/>
                <w:sz w:val="16"/>
                <w:szCs w:val="16"/>
                <w:lang w:eastAsia="tr-TR"/>
              </w:rPr>
            </w:pPr>
            <w:r>
              <w:rPr>
                <w:rFonts w:ascii="Arial" w:eastAsia="Times New Roman" w:hAnsi="Arial" w:cs="Arial"/>
                <w:sz w:val="16"/>
                <w:szCs w:val="16"/>
                <w:lang w:eastAsia="tr-TR"/>
              </w:rPr>
              <w:t>Diğer Personel</w:t>
            </w:r>
          </w:p>
        </w:tc>
        <w:tc>
          <w:tcPr>
            <w:tcW w:w="1340" w:type="dxa"/>
            <w:tcBorders>
              <w:top w:val="single" w:sz="4" w:space="0" w:color="auto"/>
              <w:left w:val="nil"/>
              <w:bottom w:val="single" w:sz="4" w:space="0" w:color="auto"/>
              <w:right w:val="single" w:sz="4" w:space="0" w:color="000000"/>
            </w:tcBorders>
            <w:noWrap/>
            <w:vAlign w:val="center"/>
            <w:hideMark/>
          </w:tcPr>
          <w:p w14:paraId="78871295"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0,00</w:t>
            </w:r>
          </w:p>
        </w:tc>
        <w:tc>
          <w:tcPr>
            <w:tcW w:w="1386" w:type="dxa"/>
            <w:tcBorders>
              <w:top w:val="single" w:sz="4" w:space="0" w:color="auto"/>
              <w:left w:val="nil"/>
              <w:bottom w:val="single" w:sz="4" w:space="0" w:color="auto"/>
              <w:right w:val="single" w:sz="4" w:space="0" w:color="auto"/>
            </w:tcBorders>
            <w:noWrap/>
            <w:vAlign w:val="center"/>
            <w:hideMark/>
          </w:tcPr>
          <w:p w14:paraId="70E0DEC7"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1.552.246,67</w:t>
            </w:r>
          </w:p>
        </w:tc>
        <w:tc>
          <w:tcPr>
            <w:tcW w:w="1464" w:type="dxa"/>
            <w:tcBorders>
              <w:top w:val="single" w:sz="4" w:space="0" w:color="auto"/>
              <w:left w:val="nil"/>
              <w:bottom w:val="single" w:sz="4" w:space="0" w:color="auto"/>
              <w:right w:val="single" w:sz="4" w:space="0" w:color="auto"/>
            </w:tcBorders>
            <w:noWrap/>
            <w:vAlign w:val="center"/>
            <w:hideMark/>
          </w:tcPr>
          <w:p w14:paraId="7DCF73D9"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6.247.303,91</w:t>
            </w:r>
          </w:p>
        </w:tc>
        <w:tc>
          <w:tcPr>
            <w:tcW w:w="169" w:type="dxa"/>
            <w:noWrap/>
            <w:vAlign w:val="center"/>
            <w:hideMark/>
          </w:tcPr>
          <w:p w14:paraId="1A9C39E8" w14:textId="77777777" w:rsidR="00F15C9A" w:rsidRDefault="00F15C9A" w:rsidP="00BC0D87">
            <w:pPr>
              <w:rPr>
                <w:rFonts w:ascii="Arial" w:eastAsia="Times New Roman" w:hAnsi="Arial" w:cs="Arial"/>
                <w:sz w:val="16"/>
                <w:szCs w:val="16"/>
                <w:lang w:eastAsia="tr-TR"/>
              </w:rPr>
            </w:pPr>
          </w:p>
        </w:tc>
        <w:tc>
          <w:tcPr>
            <w:tcW w:w="417" w:type="dxa"/>
            <w:tcBorders>
              <w:top w:val="nil"/>
              <w:left w:val="single" w:sz="4" w:space="0" w:color="auto"/>
              <w:bottom w:val="single" w:sz="4" w:space="0" w:color="auto"/>
              <w:right w:val="single" w:sz="4" w:space="0" w:color="auto"/>
            </w:tcBorders>
            <w:noWrap/>
            <w:vAlign w:val="center"/>
            <w:hideMark/>
          </w:tcPr>
          <w:p w14:paraId="7666264F"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600</w:t>
            </w:r>
          </w:p>
        </w:tc>
        <w:tc>
          <w:tcPr>
            <w:tcW w:w="229" w:type="dxa"/>
            <w:tcBorders>
              <w:top w:val="nil"/>
              <w:left w:val="nil"/>
              <w:bottom w:val="single" w:sz="4" w:space="0" w:color="auto"/>
              <w:right w:val="single" w:sz="4" w:space="0" w:color="auto"/>
            </w:tcBorders>
            <w:noWrap/>
            <w:vAlign w:val="center"/>
            <w:hideMark/>
          </w:tcPr>
          <w:p w14:paraId="47D8AB45"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3</w:t>
            </w:r>
          </w:p>
        </w:tc>
        <w:tc>
          <w:tcPr>
            <w:tcW w:w="229" w:type="dxa"/>
            <w:tcBorders>
              <w:top w:val="nil"/>
              <w:left w:val="nil"/>
              <w:bottom w:val="single" w:sz="4" w:space="0" w:color="auto"/>
              <w:right w:val="single" w:sz="4" w:space="0" w:color="auto"/>
            </w:tcBorders>
            <w:noWrap/>
            <w:vAlign w:val="center"/>
            <w:hideMark/>
          </w:tcPr>
          <w:p w14:paraId="5E2F5898"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2</w:t>
            </w:r>
          </w:p>
        </w:tc>
        <w:tc>
          <w:tcPr>
            <w:tcW w:w="229" w:type="dxa"/>
            <w:tcBorders>
              <w:top w:val="nil"/>
              <w:left w:val="nil"/>
              <w:bottom w:val="single" w:sz="4" w:space="0" w:color="auto"/>
              <w:right w:val="single" w:sz="4" w:space="0" w:color="auto"/>
            </w:tcBorders>
            <w:noWrap/>
            <w:vAlign w:val="center"/>
            <w:hideMark/>
          </w:tcPr>
          <w:p w14:paraId="5966B9F3"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1</w:t>
            </w:r>
          </w:p>
        </w:tc>
        <w:tc>
          <w:tcPr>
            <w:tcW w:w="318" w:type="dxa"/>
            <w:tcBorders>
              <w:top w:val="nil"/>
              <w:left w:val="nil"/>
              <w:bottom w:val="single" w:sz="4" w:space="0" w:color="auto"/>
              <w:right w:val="single" w:sz="4" w:space="0" w:color="auto"/>
            </w:tcBorders>
            <w:noWrap/>
            <w:vAlign w:val="center"/>
            <w:hideMark/>
          </w:tcPr>
          <w:p w14:paraId="54F88D59"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11</w:t>
            </w:r>
          </w:p>
        </w:tc>
        <w:tc>
          <w:tcPr>
            <w:tcW w:w="2410" w:type="dxa"/>
            <w:gridSpan w:val="4"/>
            <w:tcBorders>
              <w:top w:val="single" w:sz="4" w:space="0" w:color="auto"/>
              <w:left w:val="nil"/>
              <w:bottom w:val="single" w:sz="4" w:space="0" w:color="auto"/>
              <w:right w:val="single" w:sz="4" w:space="0" w:color="auto"/>
            </w:tcBorders>
            <w:vAlign w:val="center"/>
            <w:hideMark/>
          </w:tcPr>
          <w:p w14:paraId="5E5362A7" w14:textId="77777777" w:rsidR="00F15C9A" w:rsidRDefault="00F15C9A" w:rsidP="00BC0D87">
            <w:pPr>
              <w:spacing w:after="0" w:line="240" w:lineRule="auto"/>
              <w:jc w:val="left"/>
              <w:rPr>
                <w:rFonts w:ascii="Arial" w:eastAsia="Times New Roman" w:hAnsi="Arial" w:cs="Arial"/>
                <w:sz w:val="16"/>
                <w:szCs w:val="16"/>
                <w:lang w:eastAsia="tr-TR"/>
              </w:rPr>
            </w:pPr>
            <w:r>
              <w:rPr>
                <w:rFonts w:ascii="Arial" w:eastAsia="Times New Roman" w:hAnsi="Arial" w:cs="Arial"/>
                <w:sz w:val="16"/>
                <w:szCs w:val="16"/>
                <w:lang w:eastAsia="tr-TR"/>
              </w:rPr>
              <w:t>Doğal Gaz Piyasası Lisans ve Sertifika Gelirleri</w:t>
            </w:r>
          </w:p>
        </w:tc>
        <w:tc>
          <w:tcPr>
            <w:tcW w:w="1346" w:type="dxa"/>
            <w:gridSpan w:val="2"/>
            <w:tcBorders>
              <w:top w:val="single" w:sz="4" w:space="0" w:color="auto"/>
              <w:left w:val="nil"/>
              <w:bottom w:val="single" w:sz="4" w:space="0" w:color="auto"/>
              <w:right w:val="single" w:sz="4" w:space="0" w:color="auto"/>
            </w:tcBorders>
            <w:noWrap/>
            <w:vAlign w:val="center"/>
            <w:hideMark/>
          </w:tcPr>
          <w:p w14:paraId="3FFC79E8"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145.747.404,82</w:t>
            </w:r>
          </w:p>
        </w:tc>
        <w:tc>
          <w:tcPr>
            <w:tcW w:w="1386" w:type="dxa"/>
            <w:gridSpan w:val="2"/>
            <w:tcBorders>
              <w:top w:val="single" w:sz="4" w:space="0" w:color="auto"/>
              <w:left w:val="nil"/>
              <w:bottom w:val="single" w:sz="4" w:space="0" w:color="auto"/>
              <w:right w:val="single" w:sz="4" w:space="0" w:color="auto"/>
            </w:tcBorders>
            <w:noWrap/>
            <w:vAlign w:val="center"/>
            <w:hideMark/>
          </w:tcPr>
          <w:p w14:paraId="53DD9FEF"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270.163.323,57</w:t>
            </w:r>
          </w:p>
        </w:tc>
        <w:tc>
          <w:tcPr>
            <w:tcW w:w="1529" w:type="dxa"/>
            <w:gridSpan w:val="2"/>
            <w:tcBorders>
              <w:top w:val="single" w:sz="4" w:space="0" w:color="auto"/>
              <w:left w:val="nil"/>
              <w:bottom w:val="single" w:sz="4" w:space="0" w:color="auto"/>
              <w:right w:val="single" w:sz="4" w:space="0" w:color="auto"/>
            </w:tcBorders>
            <w:noWrap/>
            <w:vAlign w:val="center"/>
            <w:hideMark/>
          </w:tcPr>
          <w:p w14:paraId="784D67D1"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361.040.263,64</w:t>
            </w:r>
          </w:p>
        </w:tc>
      </w:tr>
      <w:tr w:rsidR="00F15C9A" w14:paraId="39ED64D9" w14:textId="77777777" w:rsidTr="00F15C9A">
        <w:trPr>
          <w:trHeight w:val="461"/>
        </w:trPr>
        <w:tc>
          <w:tcPr>
            <w:tcW w:w="438" w:type="dxa"/>
            <w:tcBorders>
              <w:top w:val="nil"/>
              <w:left w:val="single" w:sz="4" w:space="0" w:color="auto"/>
              <w:bottom w:val="single" w:sz="4" w:space="0" w:color="auto"/>
              <w:right w:val="single" w:sz="4" w:space="0" w:color="auto"/>
            </w:tcBorders>
            <w:noWrap/>
            <w:vAlign w:val="center"/>
            <w:hideMark/>
          </w:tcPr>
          <w:p w14:paraId="7EF7E5E0" w14:textId="77777777" w:rsidR="00F15C9A" w:rsidRDefault="00F15C9A" w:rsidP="00BC0D87">
            <w:pPr>
              <w:spacing w:after="0" w:line="240" w:lineRule="auto"/>
              <w:jc w:val="center"/>
              <w:rPr>
                <w:rFonts w:ascii="Arial" w:eastAsia="Times New Roman" w:hAnsi="Arial" w:cs="Arial"/>
                <w:b/>
                <w:bCs/>
                <w:sz w:val="16"/>
                <w:szCs w:val="16"/>
                <w:lang w:eastAsia="tr-TR"/>
              </w:rPr>
            </w:pPr>
            <w:r>
              <w:rPr>
                <w:rFonts w:ascii="Arial" w:eastAsia="Times New Roman" w:hAnsi="Arial" w:cs="Arial"/>
                <w:b/>
                <w:bCs/>
                <w:sz w:val="16"/>
                <w:szCs w:val="16"/>
                <w:lang w:eastAsia="tr-TR"/>
              </w:rPr>
              <w:t>630</w:t>
            </w:r>
          </w:p>
        </w:tc>
        <w:tc>
          <w:tcPr>
            <w:tcW w:w="318" w:type="dxa"/>
            <w:tcBorders>
              <w:top w:val="nil"/>
              <w:left w:val="nil"/>
              <w:bottom w:val="single" w:sz="4" w:space="0" w:color="auto"/>
              <w:right w:val="single" w:sz="4" w:space="0" w:color="auto"/>
            </w:tcBorders>
            <w:noWrap/>
            <w:vAlign w:val="center"/>
            <w:hideMark/>
          </w:tcPr>
          <w:p w14:paraId="073AC01C" w14:textId="77777777" w:rsidR="00F15C9A" w:rsidRDefault="00F15C9A" w:rsidP="00BC0D87">
            <w:pPr>
              <w:spacing w:after="0" w:line="240" w:lineRule="auto"/>
              <w:jc w:val="center"/>
              <w:rPr>
                <w:rFonts w:ascii="Arial" w:eastAsia="Times New Roman" w:hAnsi="Arial" w:cs="Arial"/>
                <w:b/>
                <w:bCs/>
                <w:sz w:val="16"/>
                <w:szCs w:val="16"/>
                <w:lang w:eastAsia="tr-TR"/>
              </w:rPr>
            </w:pPr>
            <w:r>
              <w:rPr>
                <w:rFonts w:ascii="Arial" w:eastAsia="Times New Roman" w:hAnsi="Arial" w:cs="Arial"/>
                <w:b/>
                <w:bCs/>
                <w:sz w:val="16"/>
                <w:szCs w:val="16"/>
                <w:lang w:eastAsia="tr-TR"/>
              </w:rPr>
              <w:t>2</w:t>
            </w:r>
          </w:p>
        </w:tc>
        <w:tc>
          <w:tcPr>
            <w:tcW w:w="349" w:type="dxa"/>
            <w:tcBorders>
              <w:top w:val="nil"/>
              <w:left w:val="nil"/>
              <w:bottom w:val="single" w:sz="4" w:space="0" w:color="auto"/>
              <w:right w:val="single" w:sz="4" w:space="0" w:color="auto"/>
            </w:tcBorders>
            <w:noWrap/>
            <w:vAlign w:val="center"/>
            <w:hideMark/>
          </w:tcPr>
          <w:p w14:paraId="73E89DDA"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 </w:t>
            </w:r>
          </w:p>
        </w:tc>
        <w:tc>
          <w:tcPr>
            <w:tcW w:w="2542" w:type="dxa"/>
            <w:tcBorders>
              <w:top w:val="single" w:sz="4" w:space="0" w:color="auto"/>
              <w:left w:val="nil"/>
              <w:bottom w:val="single" w:sz="4" w:space="0" w:color="auto"/>
              <w:right w:val="single" w:sz="4" w:space="0" w:color="auto"/>
            </w:tcBorders>
            <w:vAlign w:val="center"/>
            <w:hideMark/>
          </w:tcPr>
          <w:p w14:paraId="3DFCB06D" w14:textId="77777777" w:rsidR="00F15C9A" w:rsidRDefault="00F15C9A" w:rsidP="00BC0D87">
            <w:pPr>
              <w:spacing w:after="0" w:line="240" w:lineRule="auto"/>
              <w:jc w:val="left"/>
              <w:rPr>
                <w:rFonts w:ascii="Arial" w:eastAsia="Times New Roman" w:hAnsi="Arial" w:cs="Arial"/>
                <w:b/>
                <w:bCs/>
                <w:sz w:val="16"/>
                <w:szCs w:val="16"/>
                <w:lang w:eastAsia="tr-TR"/>
              </w:rPr>
            </w:pPr>
            <w:r>
              <w:rPr>
                <w:rFonts w:ascii="Arial" w:eastAsia="Times New Roman" w:hAnsi="Arial" w:cs="Arial"/>
                <w:b/>
                <w:bCs/>
                <w:sz w:val="16"/>
                <w:szCs w:val="16"/>
                <w:lang w:eastAsia="tr-TR"/>
              </w:rPr>
              <w:t>Sosyal Güvenlik Kurumlarına Devlet Primi Giderleri</w:t>
            </w:r>
          </w:p>
        </w:tc>
        <w:tc>
          <w:tcPr>
            <w:tcW w:w="1340" w:type="dxa"/>
            <w:tcBorders>
              <w:top w:val="single" w:sz="4" w:space="0" w:color="auto"/>
              <w:left w:val="nil"/>
              <w:bottom w:val="single" w:sz="4" w:space="0" w:color="auto"/>
              <w:right w:val="single" w:sz="4" w:space="0" w:color="000000"/>
            </w:tcBorders>
            <w:noWrap/>
            <w:vAlign w:val="center"/>
            <w:hideMark/>
          </w:tcPr>
          <w:p w14:paraId="220925BC" w14:textId="77777777" w:rsidR="00F15C9A" w:rsidRDefault="00F15C9A" w:rsidP="00BC0D87">
            <w:pPr>
              <w:spacing w:after="0" w:line="240" w:lineRule="auto"/>
              <w:jc w:val="right"/>
              <w:rPr>
                <w:rFonts w:ascii="Arial" w:eastAsia="Times New Roman" w:hAnsi="Arial" w:cs="Arial"/>
                <w:b/>
                <w:bCs/>
                <w:sz w:val="16"/>
                <w:szCs w:val="16"/>
                <w:lang w:eastAsia="tr-TR"/>
              </w:rPr>
            </w:pPr>
            <w:r>
              <w:rPr>
                <w:rFonts w:ascii="Arial" w:eastAsia="Times New Roman" w:hAnsi="Arial" w:cs="Arial"/>
                <w:b/>
                <w:bCs/>
                <w:sz w:val="16"/>
                <w:szCs w:val="16"/>
                <w:lang w:eastAsia="tr-TR"/>
              </w:rPr>
              <w:t>22.170.753,69</w:t>
            </w:r>
          </w:p>
        </w:tc>
        <w:tc>
          <w:tcPr>
            <w:tcW w:w="1386" w:type="dxa"/>
            <w:tcBorders>
              <w:top w:val="single" w:sz="4" w:space="0" w:color="auto"/>
              <w:left w:val="nil"/>
              <w:bottom w:val="single" w:sz="4" w:space="0" w:color="auto"/>
              <w:right w:val="single" w:sz="4" w:space="0" w:color="000000"/>
            </w:tcBorders>
            <w:noWrap/>
            <w:vAlign w:val="center"/>
            <w:hideMark/>
          </w:tcPr>
          <w:p w14:paraId="53F9527F" w14:textId="77777777" w:rsidR="00F15C9A" w:rsidRDefault="00F15C9A" w:rsidP="00BC0D87">
            <w:pPr>
              <w:spacing w:after="0" w:line="240" w:lineRule="auto"/>
              <w:jc w:val="right"/>
              <w:rPr>
                <w:rFonts w:ascii="Arial" w:eastAsia="Times New Roman" w:hAnsi="Arial" w:cs="Arial"/>
                <w:b/>
                <w:bCs/>
                <w:sz w:val="16"/>
                <w:szCs w:val="16"/>
                <w:lang w:eastAsia="tr-TR"/>
              </w:rPr>
            </w:pPr>
            <w:r>
              <w:rPr>
                <w:rFonts w:ascii="Arial" w:eastAsia="Times New Roman" w:hAnsi="Arial" w:cs="Arial"/>
                <w:b/>
                <w:bCs/>
                <w:sz w:val="16"/>
                <w:szCs w:val="16"/>
                <w:lang w:eastAsia="tr-TR"/>
              </w:rPr>
              <w:t>50.178.753,41</w:t>
            </w:r>
          </w:p>
        </w:tc>
        <w:tc>
          <w:tcPr>
            <w:tcW w:w="1464" w:type="dxa"/>
            <w:tcBorders>
              <w:top w:val="single" w:sz="4" w:space="0" w:color="auto"/>
              <w:left w:val="nil"/>
              <w:bottom w:val="single" w:sz="4" w:space="0" w:color="auto"/>
              <w:right w:val="single" w:sz="4" w:space="0" w:color="000000"/>
            </w:tcBorders>
            <w:noWrap/>
            <w:vAlign w:val="center"/>
            <w:hideMark/>
          </w:tcPr>
          <w:p w14:paraId="1EDEAAA1" w14:textId="77777777" w:rsidR="00F15C9A" w:rsidRDefault="00F15C9A" w:rsidP="00BC0D87">
            <w:pPr>
              <w:spacing w:after="0" w:line="240" w:lineRule="auto"/>
              <w:jc w:val="right"/>
              <w:rPr>
                <w:rFonts w:ascii="Arial" w:eastAsia="Times New Roman" w:hAnsi="Arial" w:cs="Arial"/>
                <w:b/>
                <w:bCs/>
                <w:sz w:val="16"/>
                <w:szCs w:val="16"/>
                <w:lang w:eastAsia="tr-TR"/>
              </w:rPr>
            </w:pPr>
            <w:r>
              <w:rPr>
                <w:rFonts w:ascii="Arial" w:eastAsia="Times New Roman" w:hAnsi="Arial" w:cs="Arial"/>
                <w:b/>
                <w:bCs/>
                <w:sz w:val="16"/>
                <w:szCs w:val="16"/>
                <w:lang w:eastAsia="tr-TR"/>
              </w:rPr>
              <w:t>84.714.313,64</w:t>
            </w:r>
          </w:p>
        </w:tc>
        <w:tc>
          <w:tcPr>
            <w:tcW w:w="169" w:type="dxa"/>
            <w:noWrap/>
            <w:vAlign w:val="center"/>
            <w:hideMark/>
          </w:tcPr>
          <w:p w14:paraId="5F44A9D2" w14:textId="77777777" w:rsidR="00F15C9A" w:rsidRDefault="00F15C9A" w:rsidP="00BC0D87">
            <w:pPr>
              <w:rPr>
                <w:rFonts w:ascii="Arial" w:eastAsia="Times New Roman" w:hAnsi="Arial" w:cs="Arial"/>
                <w:b/>
                <w:bCs/>
                <w:sz w:val="16"/>
                <w:szCs w:val="16"/>
                <w:lang w:eastAsia="tr-TR"/>
              </w:rPr>
            </w:pPr>
          </w:p>
        </w:tc>
        <w:tc>
          <w:tcPr>
            <w:tcW w:w="417" w:type="dxa"/>
            <w:tcBorders>
              <w:top w:val="nil"/>
              <w:left w:val="single" w:sz="4" w:space="0" w:color="auto"/>
              <w:bottom w:val="single" w:sz="4" w:space="0" w:color="auto"/>
              <w:right w:val="single" w:sz="4" w:space="0" w:color="auto"/>
            </w:tcBorders>
            <w:noWrap/>
            <w:vAlign w:val="center"/>
            <w:hideMark/>
          </w:tcPr>
          <w:p w14:paraId="6833B421"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600</w:t>
            </w:r>
          </w:p>
        </w:tc>
        <w:tc>
          <w:tcPr>
            <w:tcW w:w="229" w:type="dxa"/>
            <w:tcBorders>
              <w:top w:val="nil"/>
              <w:left w:val="nil"/>
              <w:bottom w:val="single" w:sz="4" w:space="0" w:color="auto"/>
              <w:right w:val="single" w:sz="4" w:space="0" w:color="auto"/>
            </w:tcBorders>
            <w:noWrap/>
            <w:vAlign w:val="center"/>
            <w:hideMark/>
          </w:tcPr>
          <w:p w14:paraId="229243D6"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3</w:t>
            </w:r>
          </w:p>
        </w:tc>
        <w:tc>
          <w:tcPr>
            <w:tcW w:w="229" w:type="dxa"/>
            <w:tcBorders>
              <w:top w:val="nil"/>
              <w:left w:val="nil"/>
              <w:bottom w:val="single" w:sz="4" w:space="0" w:color="auto"/>
              <w:right w:val="single" w:sz="4" w:space="0" w:color="auto"/>
            </w:tcBorders>
            <w:noWrap/>
            <w:vAlign w:val="center"/>
            <w:hideMark/>
          </w:tcPr>
          <w:p w14:paraId="60412728"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2</w:t>
            </w:r>
          </w:p>
        </w:tc>
        <w:tc>
          <w:tcPr>
            <w:tcW w:w="229" w:type="dxa"/>
            <w:tcBorders>
              <w:top w:val="nil"/>
              <w:left w:val="nil"/>
              <w:bottom w:val="single" w:sz="4" w:space="0" w:color="auto"/>
              <w:right w:val="single" w:sz="4" w:space="0" w:color="auto"/>
            </w:tcBorders>
            <w:noWrap/>
            <w:vAlign w:val="center"/>
            <w:hideMark/>
          </w:tcPr>
          <w:p w14:paraId="3E880F22"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1</w:t>
            </w:r>
          </w:p>
        </w:tc>
        <w:tc>
          <w:tcPr>
            <w:tcW w:w="318" w:type="dxa"/>
            <w:tcBorders>
              <w:top w:val="nil"/>
              <w:left w:val="nil"/>
              <w:bottom w:val="single" w:sz="4" w:space="0" w:color="auto"/>
              <w:right w:val="single" w:sz="4" w:space="0" w:color="auto"/>
            </w:tcBorders>
            <w:noWrap/>
            <w:vAlign w:val="center"/>
            <w:hideMark/>
          </w:tcPr>
          <w:p w14:paraId="04B970E2"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12</w:t>
            </w:r>
          </w:p>
        </w:tc>
        <w:tc>
          <w:tcPr>
            <w:tcW w:w="2410" w:type="dxa"/>
            <w:gridSpan w:val="4"/>
            <w:tcBorders>
              <w:top w:val="single" w:sz="4" w:space="0" w:color="auto"/>
              <w:left w:val="nil"/>
              <w:bottom w:val="single" w:sz="4" w:space="0" w:color="auto"/>
              <w:right w:val="single" w:sz="4" w:space="0" w:color="auto"/>
            </w:tcBorders>
            <w:noWrap/>
            <w:vAlign w:val="center"/>
            <w:hideMark/>
          </w:tcPr>
          <w:p w14:paraId="592C464C" w14:textId="77777777" w:rsidR="00F15C9A" w:rsidRDefault="00F15C9A" w:rsidP="00BC0D87">
            <w:pPr>
              <w:spacing w:after="0" w:line="240" w:lineRule="auto"/>
              <w:jc w:val="left"/>
              <w:rPr>
                <w:rFonts w:ascii="Arial" w:eastAsia="Times New Roman" w:hAnsi="Arial" w:cs="Arial"/>
                <w:sz w:val="16"/>
                <w:szCs w:val="16"/>
                <w:lang w:eastAsia="tr-TR"/>
              </w:rPr>
            </w:pPr>
            <w:r>
              <w:rPr>
                <w:rFonts w:ascii="Arial" w:eastAsia="Times New Roman" w:hAnsi="Arial" w:cs="Arial"/>
                <w:sz w:val="16"/>
                <w:szCs w:val="16"/>
                <w:lang w:eastAsia="tr-TR"/>
              </w:rPr>
              <w:t>Petrol Piyasası Lisans Gelirleri</w:t>
            </w:r>
          </w:p>
        </w:tc>
        <w:tc>
          <w:tcPr>
            <w:tcW w:w="1346" w:type="dxa"/>
            <w:gridSpan w:val="2"/>
            <w:tcBorders>
              <w:top w:val="single" w:sz="4" w:space="0" w:color="auto"/>
              <w:left w:val="nil"/>
              <w:bottom w:val="single" w:sz="4" w:space="0" w:color="auto"/>
              <w:right w:val="single" w:sz="4" w:space="0" w:color="auto"/>
            </w:tcBorders>
            <w:noWrap/>
            <w:vAlign w:val="center"/>
            <w:hideMark/>
          </w:tcPr>
          <w:p w14:paraId="1291B44B"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359.501.988,25</w:t>
            </w:r>
          </w:p>
        </w:tc>
        <w:tc>
          <w:tcPr>
            <w:tcW w:w="1386" w:type="dxa"/>
            <w:gridSpan w:val="2"/>
            <w:tcBorders>
              <w:top w:val="single" w:sz="4" w:space="0" w:color="auto"/>
              <w:left w:val="nil"/>
              <w:bottom w:val="single" w:sz="4" w:space="0" w:color="auto"/>
              <w:right w:val="single" w:sz="4" w:space="0" w:color="auto"/>
            </w:tcBorders>
            <w:noWrap/>
            <w:vAlign w:val="center"/>
            <w:hideMark/>
          </w:tcPr>
          <w:p w14:paraId="7ABE5D2F"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684.069.832,08</w:t>
            </w:r>
          </w:p>
        </w:tc>
        <w:tc>
          <w:tcPr>
            <w:tcW w:w="1529" w:type="dxa"/>
            <w:gridSpan w:val="2"/>
            <w:tcBorders>
              <w:top w:val="single" w:sz="4" w:space="0" w:color="auto"/>
              <w:left w:val="nil"/>
              <w:bottom w:val="single" w:sz="4" w:space="0" w:color="auto"/>
              <w:right w:val="single" w:sz="4" w:space="0" w:color="auto"/>
            </w:tcBorders>
            <w:noWrap/>
            <w:vAlign w:val="center"/>
            <w:hideMark/>
          </w:tcPr>
          <w:p w14:paraId="7409E043"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1.018.152.387,11</w:t>
            </w:r>
          </w:p>
        </w:tc>
      </w:tr>
      <w:tr w:rsidR="00F15C9A" w14:paraId="17C43FD8" w14:textId="77777777" w:rsidTr="00F15C9A">
        <w:trPr>
          <w:trHeight w:val="342"/>
        </w:trPr>
        <w:tc>
          <w:tcPr>
            <w:tcW w:w="438" w:type="dxa"/>
            <w:tcBorders>
              <w:top w:val="nil"/>
              <w:left w:val="single" w:sz="4" w:space="0" w:color="auto"/>
              <w:bottom w:val="single" w:sz="4" w:space="0" w:color="auto"/>
              <w:right w:val="single" w:sz="4" w:space="0" w:color="auto"/>
            </w:tcBorders>
            <w:noWrap/>
            <w:vAlign w:val="center"/>
            <w:hideMark/>
          </w:tcPr>
          <w:p w14:paraId="6342B212"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630</w:t>
            </w:r>
          </w:p>
        </w:tc>
        <w:tc>
          <w:tcPr>
            <w:tcW w:w="318" w:type="dxa"/>
            <w:tcBorders>
              <w:top w:val="nil"/>
              <w:left w:val="nil"/>
              <w:bottom w:val="single" w:sz="4" w:space="0" w:color="auto"/>
              <w:right w:val="single" w:sz="4" w:space="0" w:color="auto"/>
            </w:tcBorders>
            <w:noWrap/>
            <w:vAlign w:val="center"/>
            <w:hideMark/>
          </w:tcPr>
          <w:p w14:paraId="10B64332"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2</w:t>
            </w:r>
          </w:p>
        </w:tc>
        <w:tc>
          <w:tcPr>
            <w:tcW w:w="349" w:type="dxa"/>
            <w:tcBorders>
              <w:top w:val="nil"/>
              <w:left w:val="nil"/>
              <w:bottom w:val="single" w:sz="4" w:space="0" w:color="auto"/>
              <w:right w:val="single" w:sz="4" w:space="0" w:color="auto"/>
            </w:tcBorders>
            <w:noWrap/>
            <w:vAlign w:val="center"/>
            <w:hideMark/>
          </w:tcPr>
          <w:p w14:paraId="3B3C82CC"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2</w:t>
            </w:r>
          </w:p>
        </w:tc>
        <w:tc>
          <w:tcPr>
            <w:tcW w:w="2542" w:type="dxa"/>
            <w:tcBorders>
              <w:top w:val="single" w:sz="4" w:space="0" w:color="auto"/>
              <w:left w:val="nil"/>
              <w:bottom w:val="single" w:sz="4" w:space="0" w:color="auto"/>
              <w:right w:val="single" w:sz="4" w:space="0" w:color="auto"/>
            </w:tcBorders>
            <w:noWrap/>
            <w:vAlign w:val="center"/>
            <w:hideMark/>
          </w:tcPr>
          <w:p w14:paraId="1B729757" w14:textId="77777777" w:rsidR="00F15C9A" w:rsidRDefault="00F15C9A" w:rsidP="00BC0D87">
            <w:pPr>
              <w:spacing w:after="0" w:line="240" w:lineRule="auto"/>
              <w:jc w:val="left"/>
              <w:rPr>
                <w:rFonts w:ascii="Arial" w:eastAsia="Times New Roman" w:hAnsi="Arial" w:cs="Arial"/>
                <w:sz w:val="16"/>
                <w:szCs w:val="16"/>
                <w:lang w:eastAsia="tr-TR"/>
              </w:rPr>
            </w:pPr>
            <w:r>
              <w:rPr>
                <w:rFonts w:ascii="Arial" w:eastAsia="Times New Roman" w:hAnsi="Arial" w:cs="Arial"/>
                <w:sz w:val="16"/>
                <w:szCs w:val="16"/>
                <w:lang w:eastAsia="tr-TR"/>
              </w:rPr>
              <w:t>Sözleşmeli Personel</w:t>
            </w:r>
          </w:p>
        </w:tc>
        <w:tc>
          <w:tcPr>
            <w:tcW w:w="1340" w:type="dxa"/>
            <w:tcBorders>
              <w:top w:val="single" w:sz="4" w:space="0" w:color="auto"/>
              <w:left w:val="nil"/>
              <w:bottom w:val="single" w:sz="4" w:space="0" w:color="auto"/>
              <w:right w:val="single" w:sz="4" w:space="0" w:color="000000"/>
            </w:tcBorders>
            <w:noWrap/>
            <w:vAlign w:val="center"/>
            <w:hideMark/>
          </w:tcPr>
          <w:p w14:paraId="1624A62C"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15.660.095,68</w:t>
            </w:r>
          </w:p>
        </w:tc>
        <w:tc>
          <w:tcPr>
            <w:tcW w:w="1386" w:type="dxa"/>
            <w:tcBorders>
              <w:top w:val="single" w:sz="4" w:space="0" w:color="auto"/>
              <w:left w:val="nil"/>
              <w:bottom w:val="single" w:sz="4" w:space="0" w:color="auto"/>
              <w:right w:val="single" w:sz="4" w:space="0" w:color="auto"/>
            </w:tcBorders>
            <w:noWrap/>
            <w:vAlign w:val="center"/>
            <w:hideMark/>
          </w:tcPr>
          <w:p w14:paraId="170796FE"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26.987.656,83</w:t>
            </w:r>
          </w:p>
        </w:tc>
        <w:tc>
          <w:tcPr>
            <w:tcW w:w="1464" w:type="dxa"/>
            <w:tcBorders>
              <w:top w:val="single" w:sz="4" w:space="0" w:color="auto"/>
              <w:left w:val="nil"/>
              <w:bottom w:val="single" w:sz="4" w:space="0" w:color="auto"/>
              <w:right w:val="single" w:sz="4" w:space="0" w:color="auto"/>
            </w:tcBorders>
            <w:noWrap/>
            <w:vAlign w:val="center"/>
            <w:hideMark/>
          </w:tcPr>
          <w:p w14:paraId="193839CF"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47.700.104,40</w:t>
            </w:r>
          </w:p>
        </w:tc>
        <w:tc>
          <w:tcPr>
            <w:tcW w:w="169" w:type="dxa"/>
            <w:noWrap/>
            <w:vAlign w:val="center"/>
            <w:hideMark/>
          </w:tcPr>
          <w:p w14:paraId="1D0E8222" w14:textId="77777777" w:rsidR="00F15C9A" w:rsidRDefault="00F15C9A" w:rsidP="00BC0D87">
            <w:pPr>
              <w:rPr>
                <w:rFonts w:ascii="Arial" w:eastAsia="Times New Roman" w:hAnsi="Arial" w:cs="Arial"/>
                <w:sz w:val="16"/>
                <w:szCs w:val="16"/>
                <w:lang w:eastAsia="tr-TR"/>
              </w:rPr>
            </w:pPr>
          </w:p>
        </w:tc>
        <w:tc>
          <w:tcPr>
            <w:tcW w:w="417" w:type="dxa"/>
            <w:tcBorders>
              <w:top w:val="nil"/>
              <w:left w:val="single" w:sz="4" w:space="0" w:color="auto"/>
              <w:bottom w:val="single" w:sz="4" w:space="0" w:color="auto"/>
              <w:right w:val="single" w:sz="4" w:space="0" w:color="auto"/>
            </w:tcBorders>
            <w:noWrap/>
            <w:vAlign w:val="center"/>
            <w:hideMark/>
          </w:tcPr>
          <w:p w14:paraId="50A31436"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600</w:t>
            </w:r>
          </w:p>
        </w:tc>
        <w:tc>
          <w:tcPr>
            <w:tcW w:w="229" w:type="dxa"/>
            <w:tcBorders>
              <w:top w:val="nil"/>
              <w:left w:val="nil"/>
              <w:bottom w:val="single" w:sz="4" w:space="0" w:color="auto"/>
              <w:right w:val="single" w:sz="4" w:space="0" w:color="auto"/>
            </w:tcBorders>
            <w:noWrap/>
            <w:vAlign w:val="center"/>
            <w:hideMark/>
          </w:tcPr>
          <w:p w14:paraId="1B4B4EDC"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3</w:t>
            </w:r>
          </w:p>
        </w:tc>
        <w:tc>
          <w:tcPr>
            <w:tcW w:w="229" w:type="dxa"/>
            <w:tcBorders>
              <w:top w:val="nil"/>
              <w:left w:val="nil"/>
              <w:bottom w:val="single" w:sz="4" w:space="0" w:color="auto"/>
              <w:right w:val="single" w:sz="4" w:space="0" w:color="auto"/>
            </w:tcBorders>
            <w:noWrap/>
            <w:vAlign w:val="center"/>
            <w:hideMark/>
          </w:tcPr>
          <w:p w14:paraId="331D0F56"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2</w:t>
            </w:r>
          </w:p>
        </w:tc>
        <w:tc>
          <w:tcPr>
            <w:tcW w:w="229" w:type="dxa"/>
            <w:tcBorders>
              <w:top w:val="nil"/>
              <w:left w:val="nil"/>
              <w:bottom w:val="single" w:sz="4" w:space="0" w:color="auto"/>
              <w:right w:val="single" w:sz="4" w:space="0" w:color="auto"/>
            </w:tcBorders>
            <w:noWrap/>
            <w:vAlign w:val="center"/>
            <w:hideMark/>
          </w:tcPr>
          <w:p w14:paraId="7CE21FAB"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1</w:t>
            </w:r>
          </w:p>
        </w:tc>
        <w:tc>
          <w:tcPr>
            <w:tcW w:w="318" w:type="dxa"/>
            <w:tcBorders>
              <w:top w:val="nil"/>
              <w:left w:val="nil"/>
              <w:bottom w:val="single" w:sz="4" w:space="0" w:color="auto"/>
              <w:right w:val="single" w:sz="4" w:space="0" w:color="auto"/>
            </w:tcBorders>
            <w:noWrap/>
            <w:vAlign w:val="center"/>
            <w:hideMark/>
          </w:tcPr>
          <w:p w14:paraId="09E5E3A0"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13</w:t>
            </w:r>
          </w:p>
        </w:tc>
        <w:tc>
          <w:tcPr>
            <w:tcW w:w="2410" w:type="dxa"/>
            <w:gridSpan w:val="4"/>
            <w:tcBorders>
              <w:top w:val="single" w:sz="4" w:space="0" w:color="auto"/>
              <w:left w:val="nil"/>
              <w:bottom w:val="single" w:sz="4" w:space="0" w:color="auto"/>
              <w:right w:val="single" w:sz="4" w:space="0" w:color="auto"/>
            </w:tcBorders>
            <w:noWrap/>
            <w:vAlign w:val="center"/>
            <w:hideMark/>
          </w:tcPr>
          <w:p w14:paraId="535A3862" w14:textId="77777777" w:rsidR="00F15C9A" w:rsidRDefault="00F15C9A" w:rsidP="00BC0D87">
            <w:pPr>
              <w:spacing w:after="0" w:line="240" w:lineRule="auto"/>
              <w:jc w:val="left"/>
              <w:rPr>
                <w:rFonts w:ascii="Arial" w:eastAsia="Times New Roman" w:hAnsi="Arial" w:cs="Arial"/>
                <w:sz w:val="16"/>
                <w:szCs w:val="16"/>
                <w:lang w:eastAsia="tr-TR"/>
              </w:rPr>
            </w:pPr>
            <w:r>
              <w:rPr>
                <w:rFonts w:ascii="Arial" w:eastAsia="Times New Roman" w:hAnsi="Arial" w:cs="Arial"/>
                <w:sz w:val="16"/>
                <w:szCs w:val="16"/>
                <w:lang w:eastAsia="tr-TR"/>
              </w:rPr>
              <w:t>LPG Piyasası Lisans Gelirleri</w:t>
            </w:r>
          </w:p>
        </w:tc>
        <w:tc>
          <w:tcPr>
            <w:tcW w:w="1346" w:type="dxa"/>
            <w:gridSpan w:val="2"/>
            <w:tcBorders>
              <w:top w:val="single" w:sz="4" w:space="0" w:color="auto"/>
              <w:left w:val="nil"/>
              <w:bottom w:val="single" w:sz="4" w:space="0" w:color="auto"/>
              <w:right w:val="single" w:sz="4" w:space="0" w:color="auto"/>
            </w:tcBorders>
            <w:noWrap/>
            <w:vAlign w:val="center"/>
            <w:hideMark/>
          </w:tcPr>
          <w:p w14:paraId="4731D77A"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56.134.644,67</w:t>
            </w:r>
          </w:p>
        </w:tc>
        <w:tc>
          <w:tcPr>
            <w:tcW w:w="1386" w:type="dxa"/>
            <w:gridSpan w:val="2"/>
            <w:tcBorders>
              <w:top w:val="single" w:sz="4" w:space="0" w:color="auto"/>
              <w:left w:val="nil"/>
              <w:bottom w:val="single" w:sz="4" w:space="0" w:color="auto"/>
              <w:right w:val="single" w:sz="4" w:space="0" w:color="auto"/>
            </w:tcBorders>
            <w:noWrap/>
            <w:vAlign w:val="center"/>
            <w:hideMark/>
          </w:tcPr>
          <w:p w14:paraId="5E242EEC"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116.440.248,21</w:t>
            </w:r>
          </w:p>
        </w:tc>
        <w:tc>
          <w:tcPr>
            <w:tcW w:w="1529" w:type="dxa"/>
            <w:gridSpan w:val="2"/>
            <w:tcBorders>
              <w:top w:val="single" w:sz="4" w:space="0" w:color="auto"/>
              <w:left w:val="nil"/>
              <w:bottom w:val="single" w:sz="4" w:space="0" w:color="auto"/>
              <w:right w:val="single" w:sz="4" w:space="0" w:color="auto"/>
            </w:tcBorders>
            <w:noWrap/>
            <w:vAlign w:val="center"/>
            <w:hideMark/>
          </w:tcPr>
          <w:p w14:paraId="2D28F824"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157.781.947,48</w:t>
            </w:r>
          </w:p>
        </w:tc>
      </w:tr>
      <w:tr w:rsidR="00F15C9A" w14:paraId="3E76E50F" w14:textId="77777777" w:rsidTr="00F15C9A">
        <w:trPr>
          <w:trHeight w:val="342"/>
        </w:trPr>
        <w:tc>
          <w:tcPr>
            <w:tcW w:w="438" w:type="dxa"/>
            <w:tcBorders>
              <w:top w:val="nil"/>
              <w:left w:val="single" w:sz="4" w:space="0" w:color="auto"/>
              <w:bottom w:val="single" w:sz="4" w:space="0" w:color="auto"/>
              <w:right w:val="single" w:sz="4" w:space="0" w:color="auto"/>
            </w:tcBorders>
            <w:noWrap/>
            <w:vAlign w:val="center"/>
            <w:hideMark/>
          </w:tcPr>
          <w:p w14:paraId="5ED1EEE0"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630</w:t>
            </w:r>
          </w:p>
        </w:tc>
        <w:tc>
          <w:tcPr>
            <w:tcW w:w="318" w:type="dxa"/>
            <w:tcBorders>
              <w:top w:val="nil"/>
              <w:left w:val="nil"/>
              <w:bottom w:val="single" w:sz="4" w:space="0" w:color="auto"/>
              <w:right w:val="single" w:sz="4" w:space="0" w:color="auto"/>
            </w:tcBorders>
            <w:noWrap/>
            <w:vAlign w:val="center"/>
            <w:hideMark/>
          </w:tcPr>
          <w:p w14:paraId="36C5E410"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2</w:t>
            </w:r>
          </w:p>
        </w:tc>
        <w:tc>
          <w:tcPr>
            <w:tcW w:w="349" w:type="dxa"/>
            <w:tcBorders>
              <w:top w:val="nil"/>
              <w:left w:val="nil"/>
              <w:bottom w:val="single" w:sz="4" w:space="0" w:color="auto"/>
              <w:right w:val="single" w:sz="4" w:space="0" w:color="auto"/>
            </w:tcBorders>
            <w:noWrap/>
            <w:vAlign w:val="center"/>
            <w:hideMark/>
          </w:tcPr>
          <w:p w14:paraId="60CB07BC"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3</w:t>
            </w:r>
          </w:p>
        </w:tc>
        <w:tc>
          <w:tcPr>
            <w:tcW w:w="2542" w:type="dxa"/>
            <w:tcBorders>
              <w:top w:val="single" w:sz="4" w:space="0" w:color="auto"/>
              <w:left w:val="nil"/>
              <w:bottom w:val="single" w:sz="4" w:space="0" w:color="auto"/>
              <w:right w:val="single" w:sz="4" w:space="0" w:color="auto"/>
            </w:tcBorders>
            <w:noWrap/>
            <w:vAlign w:val="center"/>
            <w:hideMark/>
          </w:tcPr>
          <w:p w14:paraId="67F4B3E7" w14:textId="77777777" w:rsidR="00F15C9A" w:rsidRDefault="00F15C9A" w:rsidP="00BC0D87">
            <w:pPr>
              <w:spacing w:after="0" w:line="240" w:lineRule="auto"/>
              <w:jc w:val="left"/>
              <w:rPr>
                <w:rFonts w:ascii="Arial" w:eastAsia="Times New Roman" w:hAnsi="Arial" w:cs="Arial"/>
                <w:sz w:val="16"/>
                <w:szCs w:val="16"/>
                <w:lang w:eastAsia="tr-TR"/>
              </w:rPr>
            </w:pPr>
            <w:r>
              <w:rPr>
                <w:rFonts w:ascii="Arial" w:eastAsia="Times New Roman" w:hAnsi="Arial" w:cs="Arial"/>
                <w:sz w:val="16"/>
                <w:szCs w:val="16"/>
                <w:lang w:eastAsia="tr-TR"/>
              </w:rPr>
              <w:t>İşçiler</w:t>
            </w:r>
          </w:p>
        </w:tc>
        <w:tc>
          <w:tcPr>
            <w:tcW w:w="1340" w:type="dxa"/>
            <w:tcBorders>
              <w:top w:val="single" w:sz="4" w:space="0" w:color="auto"/>
              <w:left w:val="nil"/>
              <w:bottom w:val="single" w:sz="4" w:space="0" w:color="auto"/>
              <w:right w:val="single" w:sz="4" w:space="0" w:color="000000"/>
            </w:tcBorders>
            <w:noWrap/>
            <w:vAlign w:val="center"/>
            <w:hideMark/>
          </w:tcPr>
          <w:p w14:paraId="31A68161"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6.510.658,01</w:t>
            </w:r>
          </w:p>
        </w:tc>
        <w:tc>
          <w:tcPr>
            <w:tcW w:w="1386" w:type="dxa"/>
            <w:tcBorders>
              <w:top w:val="single" w:sz="4" w:space="0" w:color="auto"/>
              <w:left w:val="nil"/>
              <w:bottom w:val="single" w:sz="4" w:space="0" w:color="auto"/>
              <w:right w:val="single" w:sz="4" w:space="0" w:color="auto"/>
            </w:tcBorders>
            <w:noWrap/>
            <w:vAlign w:val="center"/>
            <w:hideMark/>
          </w:tcPr>
          <w:p w14:paraId="5BBE459F"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23.191.096,58</w:t>
            </w:r>
          </w:p>
        </w:tc>
        <w:tc>
          <w:tcPr>
            <w:tcW w:w="1464" w:type="dxa"/>
            <w:tcBorders>
              <w:top w:val="single" w:sz="4" w:space="0" w:color="auto"/>
              <w:left w:val="nil"/>
              <w:bottom w:val="single" w:sz="4" w:space="0" w:color="auto"/>
              <w:right w:val="single" w:sz="4" w:space="0" w:color="auto"/>
            </w:tcBorders>
            <w:noWrap/>
            <w:vAlign w:val="center"/>
            <w:hideMark/>
          </w:tcPr>
          <w:p w14:paraId="2D81C75E"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37.014.209,24</w:t>
            </w:r>
          </w:p>
        </w:tc>
        <w:tc>
          <w:tcPr>
            <w:tcW w:w="169" w:type="dxa"/>
            <w:noWrap/>
            <w:vAlign w:val="center"/>
            <w:hideMark/>
          </w:tcPr>
          <w:p w14:paraId="66CA3C7C" w14:textId="77777777" w:rsidR="00F15C9A" w:rsidRDefault="00F15C9A" w:rsidP="00BC0D87">
            <w:pPr>
              <w:rPr>
                <w:rFonts w:ascii="Arial" w:eastAsia="Times New Roman" w:hAnsi="Arial" w:cs="Arial"/>
                <w:sz w:val="16"/>
                <w:szCs w:val="16"/>
                <w:lang w:eastAsia="tr-TR"/>
              </w:rPr>
            </w:pPr>
          </w:p>
        </w:tc>
        <w:tc>
          <w:tcPr>
            <w:tcW w:w="417" w:type="dxa"/>
            <w:tcBorders>
              <w:top w:val="nil"/>
              <w:left w:val="single" w:sz="4" w:space="0" w:color="auto"/>
              <w:bottom w:val="single" w:sz="4" w:space="0" w:color="auto"/>
              <w:right w:val="single" w:sz="4" w:space="0" w:color="auto"/>
            </w:tcBorders>
            <w:noWrap/>
            <w:vAlign w:val="center"/>
            <w:hideMark/>
          </w:tcPr>
          <w:p w14:paraId="777F4AFE"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600</w:t>
            </w:r>
          </w:p>
        </w:tc>
        <w:tc>
          <w:tcPr>
            <w:tcW w:w="229" w:type="dxa"/>
            <w:tcBorders>
              <w:top w:val="nil"/>
              <w:left w:val="nil"/>
              <w:bottom w:val="single" w:sz="4" w:space="0" w:color="auto"/>
              <w:right w:val="single" w:sz="4" w:space="0" w:color="auto"/>
            </w:tcBorders>
            <w:noWrap/>
            <w:vAlign w:val="center"/>
            <w:hideMark/>
          </w:tcPr>
          <w:p w14:paraId="696CEC54"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3</w:t>
            </w:r>
          </w:p>
        </w:tc>
        <w:tc>
          <w:tcPr>
            <w:tcW w:w="229" w:type="dxa"/>
            <w:tcBorders>
              <w:top w:val="nil"/>
              <w:left w:val="nil"/>
              <w:bottom w:val="single" w:sz="4" w:space="0" w:color="auto"/>
              <w:right w:val="single" w:sz="4" w:space="0" w:color="auto"/>
            </w:tcBorders>
            <w:noWrap/>
            <w:vAlign w:val="center"/>
            <w:hideMark/>
          </w:tcPr>
          <w:p w14:paraId="12B34EAD"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6</w:t>
            </w:r>
          </w:p>
        </w:tc>
        <w:tc>
          <w:tcPr>
            <w:tcW w:w="229" w:type="dxa"/>
            <w:tcBorders>
              <w:top w:val="nil"/>
              <w:left w:val="nil"/>
              <w:bottom w:val="single" w:sz="4" w:space="0" w:color="auto"/>
              <w:right w:val="single" w:sz="4" w:space="0" w:color="auto"/>
            </w:tcBorders>
            <w:noWrap/>
            <w:vAlign w:val="center"/>
            <w:hideMark/>
          </w:tcPr>
          <w:p w14:paraId="03DDF581"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 </w:t>
            </w:r>
          </w:p>
        </w:tc>
        <w:tc>
          <w:tcPr>
            <w:tcW w:w="318" w:type="dxa"/>
            <w:tcBorders>
              <w:top w:val="nil"/>
              <w:left w:val="nil"/>
              <w:bottom w:val="single" w:sz="4" w:space="0" w:color="auto"/>
              <w:right w:val="single" w:sz="4" w:space="0" w:color="auto"/>
            </w:tcBorders>
            <w:noWrap/>
            <w:vAlign w:val="center"/>
            <w:hideMark/>
          </w:tcPr>
          <w:p w14:paraId="7520013E"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 </w:t>
            </w:r>
          </w:p>
        </w:tc>
        <w:tc>
          <w:tcPr>
            <w:tcW w:w="2410" w:type="dxa"/>
            <w:gridSpan w:val="4"/>
            <w:tcBorders>
              <w:top w:val="single" w:sz="4" w:space="0" w:color="auto"/>
              <w:left w:val="nil"/>
              <w:bottom w:val="single" w:sz="4" w:space="0" w:color="auto"/>
              <w:right w:val="single" w:sz="4" w:space="0" w:color="auto"/>
            </w:tcBorders>
            <w:noWrap/>
            <w:vAlign w:val="center"/>
            <w:hideMark/>
          </w:tcPr>
          <w:p w14:paraId="67DCAE3E" w14:textId="77777777" w:rsidR="00F15C9A" w:rsidRDefault="00F15C9A" w:rsidP="00BC0D87">
            <w:pPr>
              <w:spacing w:after="0" w:line="240" w:lineRule="auto"/>
              <w:jc w:val="left"/>
              <w:rPr>
                <w:rFonts w:ascii="Arial" w:eastAsia="Times New Roman" w:hAnsi="Arial" w:cs="Arial"/>
                <w:sz w:val="16"/>
                <w:szCs w:val="16"/>
                <w:lang w:eastAsia="tr-TR"/>
              </w:rPr>
            </w:pPr>
            <w:r>
              <w:rPr>
                <w:rFonts w:ascii="Arial" w:eastAsia="Times New Roman" w:hAnsi="Arial" w:cs="Arial"/>
                <w:sz w:val="16"/>
                <w:szCs w:val="16"/>
                <w:lang w:eastAsia="tr-TR"/>
              </w:rPr>
              <w:t>Kira Gelirleri</w:t>
            </w:r>
          </w:p>
        </w:tc>
        <w:tc>
          <w:tcPr>
            <w:tcW w:w="1346" w:type="dxa"/>
            <w:gridSpan w:val="2"/>
            <w:tcBorders>
              <w:top w:val="single" w:sz="4" w:space="0" w:color="auto"/>
              <w:left w:val="nil"/>
              <w:bottom w:val="single" w:sz="4" w:space="0" w:color="auto"/>
              <w:right w:val="single" w:sz="4" w:space="0" w:color="auto"/>
            </w:tcBorders>
            <w:noWrap/>
            <w:vAlign w:val="center"/>
            <w:hideMark/>
          </w:tcPr>
          <w:p w14:paraId="18157125"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126.547,46</w:t>
            </w:r>
          </w:p>
        </w:tc>
        <w:tc>
          <w:tcPr>
            <w:tcW w:w="1386" w:type="dxa"/>
            <w:gridSpan w:val="2"/>
            <w:tcBorders>
              <w:top w:val="single" w:sz="4" w:space="0" w:color="auto"/>
              <w:left w:val="nil"/>
              <w:bottom w:val="single" w:sz="4" w:space="0" w:color="auto"/>
              <w:right w:val="single" w:sz="4" w:space="0" w:color="auto"/>
            </w:tcBorders>
            <w:noWrap/>
            <w:vAlign w:val="center"/>
            <w:hideMark/>
          </w:tcPr>
          <w:p w14:paraId="09A24C25"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331.691,07</w:t>
            </w:r>
          </w:p>
        </w:tc>
        <w:tc>
          <w:tcPr>
            <w:tcW w:w="1529" w:type="dxa"/>
            <w:gridSpan w:val="2"/>
            <w:tcBorders>
              <w:top w:val="single" w:sz="4" w:space="0" w:color="auto"/>
              <w:left w:val="nil"/>
              <w:bottom w:val="single" w:sz="4" w:space="0" w:color="auto"/>
              <w:right w:val="single" w:sz="4" w:space="0" w:color="auto"/>
            </w:tcBorders>
            <w:noWrap/>
            <w:vAlign w:val="center"/>
            <w:hideMark/>
          </w:tcPr>
          <w:p w14:paraId="324FE7A8"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398.486,29</w:t>
            </w:r>
          </w:p>
        </w:tc>
      </w:tr>
      <w:tr w:rsidR="00F15C9A" w14:paraId="48A0BFA4" w14:textId="77777777" w:rsidTr="00F15C9A">
        <w:trPr>
          <w:trHeight w:val="342"/>
        </w:trPr>
        <w:tc>
          <w:tcPr>
            <w:tcW w:w="438" w:type="dxa"/>
            <w:tcBorders>
              <w:top w:val="nil"/>
              <w:left w:val="single" w:sz="4" w:space="0" w:color="auto"/>
              <w:bottom w:val="single" w:sz="4" w:space="0" w:color="auto"/>
              <w:right w:val="single" w:sz="4" w:space="0" w:color="auto"/>
            </w:tcBorders>
            <w:noWrap/>
            <w:vAlign w:val="center"/>
            <w:hideMark/>
          </w:tcPr>
          <w:p w14:paraId="723E3FCC" w14:textId="77777777" w:rsidR="00F15C9A" w:rsidRDefault="00F15C9A" w:rsidP="00BC0D87">
            <w:pPr>
              <w:spacing w:after="0" w:line="240" w:lineRule="auto"/>
              <w:jc w:val="center"/>
              <w:rPr>
                <w:rFonts w:ascii="Arial" w:eastAsia="Times New Roman" w:hAnsi="Arial" w:cs="Arial"/>
                <w:b/>
                <w:bCs/>
                <w:sz w:val="16"/>
                <w:szCs w:val="16"/>
                <w:lang w:eastAsia="tr-TR"/>
              </w:rPr>
            </w:pPr>
            <w:r>
              <w:rPr>
                <w:rFonts w:ascii="Arial" w:eastAsia="Times New Roman" w:hAnsi="Arial" w:cs="Arial"/>
                <w:b/>
                <w:bCs/>
                <w:sz w:val="16"/>
                <w:szCs w:val="16"/>
                <w:lang w:eastAsia="tr-TR"/>
              </w:rPr>
              <w:t>630</w:t>
            </w:r>
          </w:p>
        </w:tc>
        <w:tc>
          <w:tcPr>
            <w:tcW w:w="318" w:type="dxa"/>
            <w:tcBorders>
              <w:top w:val="nil"/>
              <w:left w:val="nil"/>
              <w:bottom w:val="single" w:sz="4" w:space="0" w:color="auto"/>
              <w:right w:val="single" w:sz="4" w:space="0" w:color="auto"/>
            </w:tcBorders>
            <w:noWrap/>
            <w:vAlign w:val="center"/>
            <w:hideMark/>
          </w:tcPr>
          <w:p w14:paraId="59225CA9" w14:textId="77777777" w:rsidR="00F15C9A" w:rsidRDefault="00F15C9A" w:rsidP="00BC0D87">
            <w:pPr>
              <w:spacing w:after="0" w:line="240" w:lineRule="auto"/>
              <w:jc w:val="center"/>
              <w:rPr>
                <w:rFonts w:ascii="Arial" w:eastAsia="Times New Roman" w:hAnsi="Arial" w:cs="Arial"/>
                <w:b/>
                <w:bCs/>
                <w:sz w:val="16"/>
                <w:szCs w:val="16"/>
                <w:lang w:eastAsia="tr-TR"/>
              </w:rPr>
            </w:pPr>
            <w:r>
              <w:rPr>
                <w:rFonts w:ascii="Arial" w:eastAsia="Times New Roman" w:hAnsi="Arial" w:cs="Arial"/>
                <w:b/>
                <w:bCs/>
                <w:sz w:val="16"/>
                <w:szCs w:val="16"/>
                <w:lang w:eastAsia="tr-TR"/>
              </w:rPr>
              <w:t>3</w:t>
            </w:r>
          </w:p>
        </w:tc>
        <w:tc>
          <w:tcPr>
            <w:tcW w:w="349" w:type="dxa"/>
            <w:tcBorders>
              <w:top w:val="nil"/>
              <w:left w:val="nil"/>
              <w:bottom w:val="single" w:sz="4" w:space="0" w:color="auto"/>
              <w:right w:val="single" w:sz="4" w:space="0" w:color="auto"/>
            </w:tcBorders>
            <w:noWrap/>
            <w:vAlign w:val="center"/>
            <w:hideMark/>
          </w:tcPr>
          <w:p w14:paraId="16499A6F" w14:textId="77777777" w:rsidR="00F15C9A" w:rsidRDefault="00F15C9A" w:rsidP="00BC0D87">
            <w:pPr>
              <w:spacing w:after="0" w:line="240" w:lineRule="auto"/>
              <w:jc w:val="center"/>
              <w:rPr>
                <w:rFonts w:ascii="Arial" w:eastAsia="Times New Roman" w:hAnsi="Arial" w:cs="Arial"/>
                <w:b/>
                <w:bCs/>
                <w:sz w:val="16"/>
                <w:szCs w:val="16"/>
                <w:lang w:eastAsia="tr-TR"/>
              </w:rPr>
            </w:pPr>
            <w:r>
              <w:rPr>
                <w:rFonts w:ascii="Arial" w:eastAsia="Times New Roman" w:hAnsi="Arial" w:cs="Arial"/>
                <w:b/>
                <w:bCs/>
                <w:sz w:val="16"/>
                <w:szCs w:val="16"/>
                <w:lang w:eastAsia="tr-TR"/>
              </w:rPr>
              <w:t> </w:t>
            </w:r>
          </w:p>
        </w:tc>
        <w:tc>
          <w:tcPr>
            <w:tcW w:w="2542" w:type="dxa"/>
            <w:tcBorders>
              <w:top w:val="single" w:sz="4" w:space="0" w:color="auto"/>
              <w:left w:val="nil"/>
              <w:bottom w:val="single" w:sz="4" w:space="0" w:color="auto"/>
              <w:right w:val="single" w:sz="4" w:space="0" w:color="auto"/>
            </w:tcBorders>
            <w:noWrap/>
            <w:vAlign w:val="center"/>
            <w:hideMark/>
          </w:tcPr>
          <w:p w14:paraId="20B66267" w14:textId="77777777" w:rsidR="00F15C9A" w:rsidRDefault="00F15C9A" w:rsidP="00BC0D87">
            <w:pPr>
              <w:spacing w:after="0" w:line="240" w:lineRule="auto"/>
              <w:jc w:val="left"/>
              <w:rPr>
                <w:rFonts w:ascii="Arial" w:eastAsia="Times New Roman" w:hAnsi="Arial" w:cs="Arial"/>
                <w:b/>
                <w:bCs/>
                <w:sz w:val="16"/>
                <w:szCs w:val="16"/>
                <w:lang w:eastAsia="tr-TR"/>
              </w:rPr>
            </w:pPr>
            <w:r>
              <w:rPr>
                <w:rFonts w:ascii="Arial" w:eastAsia="Times New Roman" w:hAnsi="Arial" w:cs="Arial"/>
                <w:b/>
                <w:bCs/>
                <w:sz w:val="16"/>
                <w:szCs w:val="16"/>
                <w:lang w:eastAsia="tr-TR"/>
              </w:rPr>
              <w:t>Mal ve Hizmet Alım Giderleri</w:t>
            </w:r>
          </w:p>
        </w:tc>
        <w:tc>
          <w:tcPr>
            <w:tcW w:w="1340" w:type="dxa"/>
            <w:tcBorders>
              <w:top w:val="single" w:sz="4" w:space="0" w:color="auto"/>
              <w:left w:val="nil"/>
              <w:bottom w:val="single" w:sz="4" w:space="0" w:color="auto"/>
              <w:right w:val="single" w:sz="4" w:space="0" w:color="000000"/>
            </w:tcBorders>
            <w:noWrap/>
            <w:vAlign w:val="center"/>
            <w:hideMark/>
          </w:tcPr>
          <w:p w14:paraId="0FE9C73D" w14:textId="77777777" w:rsidR="00F15C9A" w:rsidRDefault="00F15C9A" w:rsidP="00BC0D87">
            <w:pPr>
              <w:spacing w:after="0" w:line="240" w:lineRule="auto"/>
              <w:jc w:val="right"/>
              <w:rPr>
                <w:rFonts w:ascii="Arial" w:eastAsia="Times New Roman" w:hAnsi="Arial" w:cs="Arial"/>
                <w:b/>
                <w:bCs/>
                <w:sz w:val="16"/>
                <w:szCs w:val="16"/>
                <w:lang w:eastAsia="tr-TR"/>
              </w:rPr>
            </w:pPr>
            <w:r>
              <w:rPr>
                <w:rFonts w:ascii="Arial" w:eastAsia="Times New Roman" w:hAnsi="Arial" w:cs="Arial"/>
                <w:b/>
                <w:bCs/>
                <w:sz w:val="16"/>
                <w:szCs w:val="16"/>
                <w:lang w:eastAsia="tr-TR"/>
              </w:rPr>
              <w:t>197.716.443,82</w:t>
            </w:r>
          </w:p>
        </w:tc>
        <w:tc>
          <w:tcPr>
            <w:tcW w:w="1386" w:type="dxa"/>
            <w:tcBorders>
              <w:top w:val="single" w:sz="4" w:space="0" w:color="auto"/>
              <w:left w:val="nil"/>
              <w:bottom w:val="single" w:sz="4" w:space="0" w:color="auto"/>
              <w:right w:val="single" w:sz="4" w:space="0" w:color="auto"/>
            </w:tcBorders>
            <w:noWrap/>
            <w:vAlign w:val="center"/>
            <w:hideMark/>
          </w:tcPr>
          <w:p w14:paraId="168D1D05" w14:textId="77777777" w:rsidR="00F15C9A" w:rsidRDefault="00F15C9A" w:rsidP="00BC0D87">
            <w:pPr>
              <w:spacing w:after="0" w:line="240" w:lineRule="auto"/>
              <w:jc w:val="right"/>
              <w:rPr>
                <w:rFonts w:ascii="Arial" w:eastAsia="Times New Roman" w:hAnsi="Arial" w:cs="Arial"/>
                <w:b/>
                <w:bCs/>
                <w:sz w:val="16"/>
                <w:szCs w:val="16"/>
                <w:lang w:eastAsia="tr-TR"/>
              </w:rPr>
            </w:pPr>
            <w:r>
              <w:rPr>
                <w:rFonts w:ascii="Arial" w:eastAsia="Times New Roman" w:hAnsi="Arial" w:cs="Arial"/>
                <w:b/>
                <w:bCs/>
                <w:sz w:val="16"/>
                <w:szCs w:val="16"/>
                <w:lang w:eastAsia="tr-TR"/>
              </w:rPr>
              <w:t>351.549.635,78</w:t>
            </w:r>
          </w:p>
        </w:tc>
        <w:tc>
          <w:tcPr>
            <w:tcW w:w="1464" w:type="dxa"/>
            <w:tcBorders>
              <w:top w:val="single" w:sz="4" w:space="0" w:color="auto"/>
              <w:left w:val="nil"/>
              <w:bottom w:val="single" w:sz="4" w:space="0" w:color="auto"/>
              <w:right w:val="single" w:sz="4" w:space="0" w:color="auto"/>
            </w:tcBorders>
            <w:noWrap/>
            <w:vAlign w:val="center"/>
            <w:hideMark/>
          </w:tcPr>
          <w:p w14:paraId="3E9F0296" w14:textId="77777777" w:rsidR="00F15C9A" w:rsidRDefault="00F15C9A" w:rsidP="00BC0D87">
            <w:pPr>
              <w:spacing w:after="0" w:line="240" w:lineRule="auto"/>
              <w:jc w:val="right"/>
              <w:rPr>
                <w:rFonts w:ascii="Arial" w:eastAsia="Times New Roman" w:hAnsi="Arial" w:cs="Arial"/>
                <w:b/>
                <w:bCs/>
                <w:sz w:val="16"/>
                <w:szCs w:val="16"/>
                <w:lang w:eastAsia="tr-TR"/>
              </w:rPr>
            </w:pPr>
            <w:r>
              <w:rPr>
                <w:rFonts w:ascii="Arial" w:eastAsia="Times New Roman" w:hAnsi="Arial" w:cs="Arial"/>
                <w:b/>
                <w:bCs/>
                <w:sz w:val="16"/>
                <w:szCs w:val="16"/>
                <w:lang w:eastAsia="tr-TR"/>
              </w:rPr>
              <w:t>958.648.495,73</w:t>
            </w:r>
          </w:p>
        </w:tc>
        <w:tc>
          <w:tcPr>
            <w:tcW w:w="169" w:type="dxa"/>
            <w:noWrap/>
            <w:vAlign w:val="center"/>
            <w:hideMark/>
          </w:tcPr>
          <w:p w14:paraId="7533100D" w14:textId="77777777" w:rsidR="00F15C9A" w:rsidRDefault="00F15C9A" w:rsidP="00BC0D87">
            <w:pPr>
              <w:rPr>
                <w:rFonts w:ascii="Arial" w:eastAsia="Times New Roman" w:hAnsi="Arial" w:cs="Arial"/>
                <w:b/>
                <w:bCs/>
                <w:sz w:val="16"/>
                <w:szCs w:val="16"/>
                <w:lang w:eastAsia="tr-TR"/>
              </w:rPr>
            </w:pPr>
          </w:p>
        </w:tc>
        <w:tc>
          <w:tcPr>
            <w:tcW w:w="417" w:type="dxa"/>
            <w:tcBorders>
              <w:top w:val="nil"/>
              <w:left w:val="single" w:sz="4" w:space="0" w:color="auto"/>
              <w:bottom w:val="single" w:sz="4" w:space="0" w:color="auto"/>
              <w:right w:val="single" w:sz="4" w:space="0" w:color="auto"/>
            </w:tcBorders>
            <w:noWrap/>
            <w:vAlign w:val="center"/>
            <w:hideMark/>
          </w:tcPr>
          <w:p w14:paraId="42FBC194" w14:textId="77777777" w:rsidR="00F15C9A" w:rsidRDefault="00F15C9A" w:rsidP="00BC0D87">
            <w:pPr>
              <w:spacing w:after="0" w:line="240" w:lineRule="auto"/>
              <w:jc w:val="center"/>
              <w:rPr>
                <w:rFonts w:ascii="Arial" w:eastAsia="Times New Roman" w:hAnsi="Arial" w:cs="Arial"/>
                <w:b/>
                <w:bCs/>
                <w:sz w:val="16"/>
                <w:szCs w:val="16"/>
                <w:lang w:eastAsia="tr-TR"/>
              </w:rPr>
            </w:pPr>
            <w:r>
              <w:rPr>
                <w:rFonts w:ascii="Arial" w:eastAsia="Times New Roman" w:hAnsi="Arial" w:cs="Arial"/>
                <w:b/>
                <w:bCs/>
                <w:sz w:val="16"/>
                <w:szCs w:val="16"/>
                <w:lang w:eastAsia="tr-TR"/>
              </w:rPr>
              <w:t>600</w:t>
            </w:r>
          </w:p>
        </w:tc>
        <w:tc>
          <w:tcPr>
            <w:tcW w:w="229" w:type="dxa"/>
            <w:tcBorders>
              <w:top w:val="nil"/>
              <w:left w:val="nil"/>
              <w:bottom w:val="single" w:sz="4" w:space="0" w:color="auto"/>
              <w:right w:val="single" w:sz="4" w:space="0" w:color="auto"/>
            </w:tcBorders>
            <w:noWrap/>
            <w:vAlign w:val="center"/>
            <w:hideMark/>
          </w:tcPr>
          <w:p w14:paraId="4F3E122C" w14:textId="77777777" w:rsidR="00F15C9A" w:rsidRDefault="00F15C9A" w:rsidP="00BC0D87">
            <w:pPr>
              <w:spacing w:after="0" w:line="240" w:lineRule="auto"/>
              <w:jc w:val="center"/>
              <w:rPr>
                <w:rFonts w:ascii="Arial" w:eastAsia="Times New Roman" w:hAnsi="Arial" w:cs="Arial"/>
                <w:b/>
                <w:bCs/>
                <w:sz w:val="16"/>
                <w:szCs w:val="16"/>
                <w:lang w:eastAsia="tr-TR"/>
              </w:rPr>
            </w:pPr>
            <w:r>
              <w:rPr>
                <w:rFonts w:ascii="Arial" w:eastAsia="Times New Roman" w:hAnsi="Arial" w:cs="Arial"/>
                <w:b/>
                <w:bCs/>
                <w:sz w:val="16"/>
                <w:szCs w:val="16"/>
                <w:lang w:eastAsia="tr-TR"/>
              </w:rPr>
              <w:t>5</w:t>
            </w:r>
          </w:p>
        </w:tc>
        <w:tc>
          <w:tcPr>
            <w:tcW w:w="229" w:type="dxa"/>
            <w:tcBorders>
              <w:top w:val="nil"/>
              <w:left w:val="nil"/>
              <w:bottom w:val="single" w:sz="4" w:space="0" w:color="auto"/>
              <w:right w:val="single" w:sz="4" w:space="0" w:color="auto"/>
            </w:tcBorders>
            <w:noWrap/>
            <w:vAlign w:val="center"/>
            <w:hideMark/>
          </w:tcPr>
          <w:p w14:paraId="1B4BFFCC"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 </w:t>
            </w:r>
          </w:p>
        </w:tc>
        <w:tc>
          <w:tcPr>
            <w:tcW w:w="229" w:type="dxa"/>
            <w:tcBorders>
              <w:top w:val="nil"/>
              <w:left w:val="nil"/>
              <w:bottom w:val="single" w:sz="4" w:space="0" w:color="auto"/>
              <w:right w:val="single" w:sz="4" w:space="0" w:color="auto"/>
            </w:tcBorders>
            <w:noWrap/>
            <w:vAlign w:val="center"/>
            <w:hideMark/>
          </w:tcPr>
          <w:p w14:paraId="4DA0F878"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 </w:t>
            </w:r>
          </w:p>
        </w:tc>
        <w:tc>
          <w:tcPr>
            <w:tcW w:w="318" w:type="dxa"/>
            <w:tcBorders>
              <w:top w:val="nil"/>
              <w:left w:val="nil"/>
              <w:bottom w:val="single" w:sz="4" w:space="0" w:color="auto"/>
              <w:right w:val="single" w:sz="4" w:space="0" w:color="auto"/>
            </w:tcBorders>
            <w:noWrap/>
            <w:vAlign w:val="center"/>
            <w:hideMark/>
          </w:tcPr>
          <w:p w14:paraId="3368F8BF"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 </w:t>
            </w:r>
          </w:p>
        </w:tc>
        <w:tc>
          <w:tcPr>
            <w:tcW w:w="2410" w:type="dxa"/>
            <w:gridSpan w:val="4"/>
            <w:tcBorders>
              <w:top w:val="single" w:sz="4" w:space="0" w:color="auto"/>
              <w:left w:val="nil"/>
              <w:bottom w:val="single" w:sz="4" w:space="0" w:color="auto"/>
              <w:right w:val="single" w:sz="4" w:space="0" w:color="auto"/>
            </w:tcBorders>
            <w:noWrap/>
            <w:vAlign w:val="center"/>
            <w:hideMark/>
          </w:tcPr>
          <w:p w14:paraId="5D1B9977" w14:textId="77777777" w:rsidR="00F15C9A" w:rsidRDefault="00F15C9A" w:rsidP="00BC0D87">
            <w:pPr>
              <w:spacing w:after="0" w:line="240" w:lineRule="auto"/>
              <w:jc w:val="left"/>
              <w:rPr>
                <w:rFonts w:ascii="Arial" w:eastAsia="Times New Roman" w:hAnsi="Arial" w:cs="Arial"/>
                <w:b/>
                <w:bCs/>
                <w:sz w:val="16"/>
                <w:szCs w:val="16"/>
                <w:lang w:eastAsia="tr-TR"/>
              </w:rPr>
            </w:pPr>
            <w:r>
              <w:rPr>
                <w:rFonts w:ascii="Arial" w:eastAsia="Times New Roman" w:hAnsi="Arial" w:cs="Arial"/>
                <w:b/>
                <w:bCs/>
                <w:sz w:val="16"/>
                <w:szCs w:val="16"/>
                <w:lang w:eastAsia="tr-TR"/>
              </w:rPr>
              <w:t>Diğer Gelirler</w:t>
            </w:r>
          </w:p>
        </w:tc>
        <w:tc>
          <w:tcPr>
            <w:tcW w:w="1346" w:type="dxa"/>
            <w:gridSpan w:val="2"/>
            <w:tcBorders>
              <w:top w:val="single" w:sz="4" w:space="0" w:color="auto"/>
              <w:left w:val="nil"/>
              <w:bottom w:val="single" w:sz="4" w:space="0" w:color="auto"/>
              <w:right w:val="single" w:sz="4" w:space="0" w:color="auto"/>
            </w:tcBorders>
            <w:noWrap/>
            <w:vAlign w:val="center"/>
            <w:hideMark/>
          </w:tcPr>
          <w:p w14:paraId="06DB6185" w14:textId="77777777" w:rsidR="00F15C9A" w:rsidRDefault="00F15C9A" w:rsidP="00BC0D87">
            <w:pPr>
              <w:spacing w:after="0" w:line="240" w:lineRule="auto"/>
              <w:jc w:val="right"/>
              <w:rPr>
                <w:rFonts w:ascii="Arial" w:eastAsia="Times New Roman" w:hAnsi="Arial" w:cs="Arial"/>
                <w:b/>
                <w:bCs/>
                <w:sz w:val="16"/>
                <w:szCs w:val="16"/>
                <w:lang w:eastAsia="tr-TR"/>
              </w:rPr>
            </w:pPr>
            <w:r>
              <w:rPr>
                <w:rFonts w:ascii="Arial" w:eastAsia="Times New Roman" w:hAnsi="Arial" w:cs="Arial"/>
                <w:b/>
                <w:bCs/>
                <w:sz w:val="16"/>
                <w:szCs w:val="16"/>
                <w:lang w:eastAsia="tr-TR"/>
              </w:rPr>
              <w:t>136.621.969,89</w:t>
            </w:r>
          </w:p>
        </w:tc>
        <w:tc>
          <w:tcPr>
            <w:tcW w:w="1386" w:type="dxa"/>
            <w:gridSpan w:val="2"/>
            <w:tcBorders>
              <w:top w:val="single" w:sz="4" w:space="0" w:color="auto"/>
              <w:left w:val="nil"/>
              <w:bottom w:val="single" w:sz="4" w:space="0" w:color="auto"/>
              <w:right w:val="single" w:sz="4" w:space="0" w:color="auto"/>
            </w:tcBorders>
            <w:noWrap/>
            <w:vAlign w:val="center"/>
            <w:hideMark/>
          </w:tcPr>
          <w:p w14:paraId="2938E563" w14:textId="77777777" w:rsidR="00F15C9A" w:rsidRDefault="00F15C9A" w:rsidP="00BC0D87">
            <w:pPr>
              <w:spacing w:after="0" w:line="240" w:lineRule="auto"/>
              <w:jc w:val="right"/>
              <w:rPr>
                <w:rFonts w:ascii="Arial" w:eastAsia="Times New Roman" w:hAnsi="Arial" w:cs="Arial"/>
                <w:b/>
                <w:bCs/>
                <w:sz w:val="16"/>
                <w:szCs w:val="16"/>
                <w:lang w:eastAsia="tr-TR"/>
              </w:rPr>
            </w:pPr>
            <w:r>
              <w:rPr>
                <w:rFonts w:ascii="Arial" w:eastAsia="Times New Roman" w:hAnsi="Arial" w:cs="Arial"/>
                <w:b/>
                <w:bCs/>
                <w:sz w:val="16"/>
                <w:szCs w:val="16"/>
                <w:lang w:eastAsia="tr-TR"/>
              </w:rPr>
              <w:t>305.748.250,50</w:t>
            </w:r>
          </w:p>
        </w:tc>
        <w:tc>
          <w:tcPr>
            <w:tcW w:w="1529" w:type="dxa"/>
            <w:gridSpan w:val="2"/>
            <w:tcBorders>
              <w:top w:val="single" w:sz="4" w:space="0" w:color="auto"/>
              <w:left w:val="nil"/>
              <w:bottom w:val="single" w:sz="4" w:space="0" w:color="auto"/>
              <w:right w:val="single" w:sz="4" w:space="0" w:color="auto"/>
            </w:tcBorders>
            <w:noWrap/>
            <w:vAlign w:val="center"/>
            <w:hideMark/>
          </w:tcPr>
          <w:p w14:paraId="06C4D80B" w14:textId="77777777" w:rsidR="00F15C9A" w:rsidRDefault="00F15C9A" w:rsidP="00BC0D87">
            <w:pPr>
              <w:spacing w:after="0" w:line="240" w:lineRule="auto"/>
              <w:jc w:val="right"/>
              <w:rPr>
                <w:rFonts w:ascii="Arial" w:eastAsia="Times New Roman" w:hAnsi="Arial" w:cs="Arial"/>
                <w:b/>
                <w:bCs/>
                <w:sz w:val="16"/>
                <w:szCs w:val="16"/>
                <w:lang w:eastAsia="tr-TR"/>
              </w:rPr>
            </w:pPr>
            <w:r>
              <w:rPr>
                <w:rFonts w:ascii="Arial" w:eastAsia="Times New Roman" w:hAnsi="Arial" w:cs="Arial"/>
                <w:b/>
                <w:bCs/>
                <w:sz w:val="16"/>
                <w:szCs w:val="16"/>
                <w:lang w:eastAsia="tr-TR"/>
              </w:rPr>
              <w:t>714.042.463,78</w:t>
            </w:r>
          </w:p>
        </w:tc>
      </w:tr>
      <w:tr w:rsidR="00F15C9A" w14:paraId="4A8862B9" w14:textId="77777777" w:rsidTr="00F15C9A">
        <w:trPr>
          <w:trHeight w:val="342"/>
        </w:trPr>
        <w:tc>
          <w:tcPr>
            <w:tcW w:w="438" w:type="dxa"/>
            <w:tcBorders>
              <w:top w:val="nil"/>
              <w:left w:val="single" w:sz="4" w:space="0" w:color="auto"/>
              <w:bottom w:val="single" w:sz="4" w:space="0" w:color="auto"/>
              <w:right w:val="single" w:sz="4" w:space="0" w:color="auto"/>
            </w:tcBorders>
            <w:noWrap/>
            <w:vAlign w:val="center"/>
            <w:hideMark/>
          </w:tcPr>
          <w:p w14:paraId="59E4BF68"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630</w:t>
            </w:r>
          </w:p>
        </w:tc>
        <w:tc>
          <w:tcPr>
            <w:tcW w:w="318" w:type="dxa"/>
            <w:tcBorders>
              <w:top w:val="nil"/>
              <w:left w:val="nil"/>
              <w:bottom w:val="single" w:sz="4" w:space="0" w:color="auto"/>
              <w:right w:val="single" w:sz="4" w:space="0" w:color="auto"/>
            </w:tcBorders>
            <w:noWrap/>
            <w:vAlign w:val="center"/>
            <w:hideMark/>
          </w:tcPr>
          <w:p w14:paraId="378FE7E7"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3</w:t>
            </w:r>
          </w:p>
        </w:tc>
        <w:tc>
          <w:tcPr>
            <w:tcW w:w="349" w:type="dxa"/>
            <w:tcBorders>
              <w:top w:val="nil"/>
              <w:left w:val="nil"/>
              <w:bottom w:val="single" w:sz="4" w:space="0" w:color="auto"/>
              <w:right w:val="single" w:sz="4" w:space="0" w:color="auto"/>
            </w:tcBorders>
            <w:noWrap/>
            <w:vAlign w:val="center"/>
            <w:hideMark/>
          </w:tcPr>
          <w:p w14:paraId="26C04AB5"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2</w:t>
            </w:r>
          </w:p>
        </w:tc>
        <w:tc>
          <w:tcPr>
            <w:tcW w:w="2542" w:type="dxa"/>
            <w:tcBorders>
              <w:top w:val="single" w:sz="4" w:space="0" w:color="auto"/>
              <w:left w:val="nil"/>
              <w:bottom w:val="single" w:sz="4" w:space="0" w:color="auto"/>
              <w:right w:val="single" w:sz="4" w:space="0" w:color="auto"/>
            </w:tcBorders>
            <w:noWrap/>
            <w:vAlign w:val="center"/>
            <w:hideMark/>
          </w:tcPr>
          <w:p w14:paraId="39FEC7AA" w14:textId="77777777" w:rsidR="00F15C9A" w:rsidRDefault="00F15C9A" w:rsidP="00BC0D87">
            <w:pPr>
              <w:spacing w:after="0" w:line="240" w:lineRule="auto"/>
              <w:jc w:val="left"/>
              <w:rPr>
                <w:rFonts w:ascii="Arial" w:eastAsia="Times New Roman" w:hAnsi="Arial" w:cs="Arial"/>
                <w:sz w:val="16"/>
                <w:szCs w:val="16"/>
                <w:lang w:eastAsia="tr-TR"/>
              </w:rPr>
            </w:pPr>
            <w:r>
              <w:rPr>
                <w:rFonts w:ascii="Arial" w:eastAsia="Times New Roman" w:hAnsi="Arial" w:cs="Arial"/>
                <w:sz w:val="16"/>
                <w:szCs w:val="16"/>
                <w:lang w:eastAsia="tr-TR"/>
              </w:rPr>
              <w:t>Tüketime Yönelik Mal ve Malzeme Alımları</w:t>
            </w:r>
          </w:p>
        </w:tc>
        <w:tc>
          <w:tcPr>
            <w:tcW w:w="1340" w:type="dxa"/>
            <w:tcBorders>
              <w:top w:val="single" w:sz="4" w:space="0" w:color="auto"/>
              <w:left w:val="nil"/>
              <w:bottom w:val="single" w:sz="4" w:space="0" w:color="auto"/>
              <w:right w:val="single" w:sz="4" w:space="0" w:color="000000"/>
            </w:tcBorders>
            <w:noWrap/>
            <w:vAlign w:val="center"/>
            <w:hideMark/>
          </w:tcPr>
          <w:p w14:paraId="7E3E8A4A"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14.614.136,92</w:t>
            </w:r>
          </w:p>
        </w:tc>
        <w:tc>
          <w:tcPr>
            <w:tcW w:w="1386" w:type="dxa"/>
            <w:tcBorders>
              <w:top w:val="single" w:sz="4" w:space="0" w:color="auto"/>
              <w:left w:val="nil"/>
              <w:bottom w:val="single" w:sz="4" w:space="0" w:color="auto"/>
              <w:right w:val="single" w:sz="4" w:space="0" w:color="auto"/>
            </w:tcBorders>
            <w:noWrap/>
            <w:vAlign w:val="center"/>
            <w:hideMark/>
          </w:tcPr>
          <w:p w14:paraId="404C284D"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22.152.167,48</w:t>
            </w:r>
          </w:p>
        </w:tc>
        <w:tc>
          <w:tcPr>
            <w:tcW w:w="1464" w:type="dxa"/>
            <w:tcBorders>
              <w:top w:val="single" w:sz="4" w:space="0" w:color="auto"/>
              <w:left w:val="nil"/>
              <w:bottom w:val="single" w:sz="4" w:space="0" w:color="auto"/>
              <w:right w:val="single" w:sz="4" w:space="0" w:color="auto"/>
            </w:tcBorders>
            <w:noWrap/>
            <w:vAlign w:val="center"/>
            <w:hideMark/>
          </w:tcPr>
          <w:p w14:paraId="44B2EFB5"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28.837.427,73</w:t>
            </w:r>
          </w:p>
        </w:tc>
        <w:tc>
          <w:tcPr>
            <w:tcW w:w="169" w:type="dxa"/>
            <w:noWrap/>
            <w:vAlign w:val="center"/>
            <w:hideMark/>
          </w:tcPr>
          <w:p w14:paraId="1FA2D583" w14:textId="77777777" w:rsidR="00F15C9A" w:rsidRDefault="00F15C9A" w:rsidP="00BC0D87">
            <w:pPr>
              <w:rPr>
                <w:rFonts w:ascii="Arial" w:eastAsia="Times New Roman" w:hAnsi="Arial" w:cs="Arial"/>
                <w:sz w:val="16"/>
                <w:szCs w:val="16"/>
                <w:lang w:eastAsia="tr-TR"/>
              </w:rPr>
            </w:pPr>
          </w:p>
        </w:tc>
        <w:tc>
          <w:tcPr>
            <w:tcW w:w="417" w:type="dxa"/>
            <w:tcBorders>
              <w:top w:val="nil"/>
              <w:left w:val="single" w:sz="4" w:space="0" w:color="auto"/>
              <w:bottom w:val="single" w:sz="4" w:space="0" w:color="auto"/>
              <w:right w:val="single" w:sz="4" w:space="0" w:color="auto"/>
            </w:tcBorders>
            <w:noWrap/>
            <w:vAlign w:val="center"/>
            <w:hideMark/>
          </w:tcPr>
          <w:p w14:paraId="44E5C580"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600</w:t>
            </w:r>
          </w:p>
        </w:tc>
        <w:tc>
          <w:tcPr>
            <w:tcW w:w="229" w:type="dxa"/>
            <w:tcBorders>
              <w:top w:val="nil"/>
              <w:left w:val="nil"/>
              <w:bottom w:val="single" w:sz="4" w:space="0" w:color="auto"/>
              <w:right w:val="single" w:sz="4" w:space="0" w:color="auto"/>
            </w:tcBorders>
            <w:noWrap/>
            <w:vAlign w:val="center"/>
            <w:hideMark/>
          </w:tcPr>
          <w:p w14:paraId="3DD6A135"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5</w:t>
            </w:r>
          </w:p>
        </w:tc>
        <w:tc>
          <w:tcPr>
            <w:tcW w:w="229" w:type="dxa"/>
            <w:tcBorders>
              <w:top w:val="nil"/>
              <w:left w:val="nil"/>
              <w:bottom w:val="single" w:sz="4" w:space="0" w:color="auto"/>
              <w:right w:val="single" w:sz="4" w:space="0" w:color="auto"/>
            </w:tcBorders>
            <w:noWrap/>
            <w:vAlign w:val="center"/>
            <w:hideMark/>
          </w:tcPr>
          <w:p w14:paraId="6DF342B2"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1</w:t>
            </w:r>
          </w:p>
        </w:tc>
        <w:tc>
          <w:tcPr>
            <w:tcW w:w="229" w:type="dxa"/>
            <w:tcBorders>
              <w:top w:val="nil"/>
              <w:left w:val="nil"/>
              <w:bottom w:val="single" w:sz="4" w:space="0" w:color="auto"/>
              <w:right w:val="single" w:sz="4" w:space="0" w:color="auto"/>
            </w:tcBorders>
            <w:noWrap/>
            <w:vAlign w:val="center"/>
            <w:hideMark/>
          </w:tcPr>
          <w:p w14:paraId="28529BB4"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 </w:t>
            </w:r>
          </w:p>
        </w:tc>
        <w:tc>
          <w:tcPr>
            <w:tcW w:w="318" w:type="dxa"/>
            <w:tcBorders>
              <w:top w:val="nil"/>
              <w:left w:val="nil"/>
              <w:bottom w:val="single" w:sz="4" w:space="0" w:color="auto"/>
              <w:right w:val="single" w:sz="4" w:space="0" w:color="auto"/>
            </w:tcBorders>
            <w:noWrap/>
            <w:vAlign w:val="center"/>
            <w:hideMark/>
          </w:tcPr>
          <w:p w14:paraId="042C17BE"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 </w:t>
            </w:r>
          </w:p>
        </w:tc>
        <w:tc>
          <w:tcPr>
            <w:tcW w:w="2410" w:type="dxa"/>
            <w:gridSpan w:val="4"/>
            <w:tcBorders>
              <w:top w:val="single" w:sz="4" w:space="0" w:color="auto"/>
              <w:left w:val="nil"/>
              <w:bottom w:val="single" w:sz="4" w:space="0" w:color="auto"/>
              <w:right w:val="single" w:sz="4" w:space="0" w:color="auto"/>
            </w:tcBorders>
            <w:noWrap/>
            <w:vAlign w:val="center"/>
            <w:hideMark/>
          </w:tcPr>
          <w:p w14:paraId="2A979536" w14:textId="77777777" w:rsidR="00F15C9A" w:rsidRDefault="00F15C9A" w:rsidP="00BC0D87">
            <w:pPr>
              <w:spacing w:after="0" w:line="240" w:lineRule="auto"/>
              <w:jc w:val="left"/>
              <w:rPr>
                <w:rFonts w:ascii="Arial" w:eastAsia="Times New Roman" w:hAnsi="Arial" w:cs="Arial"/>
                <w:sz w:val="16"/>
                <w:szCs w:val="16"/>
                <w:lang w:eastAsia="tr-TR"/>
              </w:rPr>
            </w:pPr>
            <w:r>
              <w:rPr>
                <w:rFonts w:ascii="Arial" w:eastAsia="Times New Roman" w:hAnsi="Arial" w:cs="Arial"/>
                <w:sz w:val="16"/>
                <w:szCs w:val="16"/>
                <w:lang w:eastAsia="tr-TR"/>
              </w:rPr>
              <w:t>Faiz Gelirleri</w:t>
            </w:r>
          </w:p>
        </w:tc>
        <w:tc>
          <w:tcPr>
            <w:tcW w:w="1346" w:type="dxa"/>
            <w:gridSpan w:val="2"/>
            <w:tcBorders>
              <w:top w:val="single" w:sz="4" w:space="0" w:color="auto"/>
              <w:left w:val="nil"/>
              <w:bottom w:val="single" w:sz="4" w:space="0" w:color="auto"/>
              <w:right w:val="single" w:sz="4" w:space="0" w:color="auto"/>
            </w:tcBorders>
            <w:noWrap/>
            <w:vAlign w:val="center"/>
            <w:hideMark/>
          </w:tcPr>
          <w:p w14:paraId="14441382"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0,00</w:t>
            </w:r>
          </w:p>
        </w:tc>
        <w:tc>
          <w:tcPr>
            <w:tcW w:w="1386" w:type="dxa"/>
            <w:gridSpan w:val="2"/>
            <w:tcBorders>
              <w:top w:val="single" w:sz="4" w:space="0" w:color="auto"/>
              <w:left w:val="nil"/>
              <w:bottom w:val="single" w:sz="4" w:space="0" w:color="auto"/>
              <w:right w:val="single" w:sz="4" w:space="0" w:color="auto"/>
            </w:tcBorders>
            <w:noWrap/>
            <w:vAlign w:val="center"/>
            <w:hideMark/>
          </w:tcPr>
          <w:p w14:paraId="12AD225E"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56,58</w:t>
            </w:r>
          </w:p>
        </w:tc>
        <w:tc>
          <w:tcPr>
            <w:tcW w:w="1529" w:type="dxa"/>
            <w:gridSpan w:val="2"/>
            <w:tcBorders>
              <w:top w:val="single" w:sz="4" w:space="0" w:color="auto"/>
              <w:left w:val="nil"/>
              <w:bottom w:val="single" w:sz="4" w:space="0" w:color="auto"/>
              <w:right w:val="single" w:sz="4" w:space="0" w:color="auto"/>
            </w:tcBorders>
            <w:noWrap/>
            <w:vAlign w:val="center"/>
            <w:hideMark/>
          </w:tcPr>
          <w:p w14:paraId="170C3636"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12.252,77</w:t>
            </w:r>
          </w:p>
        </w:tc>
      </w:tr>
      <w:tr w:rsidR="00F15C9A" w14:paraId="3B913E83" w14:textId="77777777" w:rsidTr="00F15C9A">
        <w:trPr>
          <w:trHeight w:val="342"/>
        </w:trPr>
        <w:tc>
          <w:tcPr>
            <w:tcW w:w="438" w:type="dxa"/>
            <w:tcBorders>
              <w:top w:val="nil"/>
              <w:left w:val="single" w:sz="4" w:space="0" w:color="auto"/>
              <w:bottom w:val="single" w:sz="4" w:space="0" w:color="auto"/>
              <w:right w:val="single" w:sz="4" w:space="0" w:color="auto"/>
            </w:tcBorders>
            <w:noWrap/>
            <w:vAlign w:val="center"/>
            <w:hideMark/>
          </w:tcPr>
          <w:p w14:paraId="6D403A61"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630</w:t>
            </w:r>
          </w:p>
        </w:tc>
        <w:tc>
          <w:tcPr>
            <w:tcW w:w="318" w:type="dxa"/>
            <w:tcBorders>
              <w:top w:val="nil"/>
              <w:left w:val="nil"/>
              <w:bottom w:val="single" w:sz="4" w:space="0" w:color="auto"/>
              <w:right w:val="single" w:sz="4" w:space="0" w:color="auto"/>
            </w:tcBorders>
            <w:noWrap/>
            <w:vAlign w:val="center"/>
            <w:hideMark/>
          </w:tcPr>
          <w:p w14:paraId="540CA003"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3</w:t>
            </w:r>
          </w:p>
        </w:tc>
        <w:tc>
          <w:tcPr>
            <w:tcW w:w="349" w:type="dxa"/>
            <w:tcBorders>
              <w:top w:val="nil"/>
              <w:left w:val="nil"/>
              <w:bottom w:val="single" w:sz="4" w:space="0" w:color="auto"/>
              <w:right w:val="single" w:sz="4" w:space="0" w:color="auto"/>
            </w:tcBorders>
            <w:noWrap/>
            <w:vAlign w:val="center"/>
            <w:hideMark/>
          </w:tcPr>
          <w:p w14:paraId="036367D6"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3</w:t>
            </w:r>
          </w:p>
        </w:tc>
        <w:tc>
          <w:tcPr>
            <w:tcW w:w="2542" w:type="dxa"/>
            <w:tcBorders>
              <w:top w:val="single" w:sz="4" w:space="0" w:color="auto"/>
              <w:left w:val="nil"/>
              <w:bottom w:val="single" w:sz="4" w:space="0" w:color="auto"/>
              <w:right w:val="single" w:sz="4" w:space="0" w:color="auto"/>
            </w:tcBorders>
            <w:noWrap/>
            <w:vAlign w:val="center"/>
            <w:hideMark/>
          </w:tcPr>
          <w:p w14:paraId="179340EE" w14:textId="77777777" w:rsidR="00F15C9A" w:rsidRDefault="00F15C9A" w:rsidP="00BC0D87">
            <w:pPr>
              <w:spacing w:after="0" w:line="240" w:lineRule="auto"/>
              <w:jc w:val="left"/>
              <w:rPr>
                <w:rFonts w:ascii="Arial" w:eastAsia="Times New Roman" w:hAnsi="Arial" w:cs="Arial"/>
                <w:sz w:val="16"/>
                <w:szCs w:val="16"/>
                <w:lang w:eastAsia="tr-TR"/>
              </w:rPr>
            </w:pPr>
            <w:r>
              <w:rPr>
                <w:rFonts w:ascii="Arial" w:eastAsia="Times New Roman" w:hAnsi="Arial" w:cs="Arial"/>
                <w:sz w:val="16"/>
                <w:szCs w:val="16"/>
                <w:lang w:eastAsia="tr-TR"/>
              </w:rPr>
              <w:t>Yolluklar</w:t>
            </w:r>
          </w:p>
        </w:tc>
        <w:tc>
          <w:tcPr>
            <w:tcW w:w="1340" w:type="dxa"/>
            <w:tcBorders>
              <w:top w:val="single" w:sz="4" w:space="0" w:color="auto"/>
              <w:left w:val="nil"/>
              <w:bottom w:val="single" w:sz="4" w:space="0" w:color="auto"/>
              <w:right w:val="single" w:sz="4" w:space="0" w:color="000000"/>
            </w:tcBorders>
            <w:noWrap/>
            <w:vAlign w:val="center"/>
            <w:hideMark/>
          </w:tcPr>
          <w:p w14:paraId="072EA92E"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3.949.541,55</w:t>
            </w:r>
          </w:p>
        </w:tc>
        <w:tc>
          <w:tcPr>
            <w:tcW w:w="1386" w:type="dxa"/>
            <w:tcBorders>
              <w:top w:val="single" w:sz="4" w:space="0" w:color="auto"/>
              <w:left w:val="nil"/>
              <w:bottom w:val="single" w:sz="4" w:space="0" w:color="auto"/>
              <w:right w:val="single" w:sz="4" w:space="0" w:color="auto"/>
            </w:tcBorders>
            <w:noWrap/>
            <w:vAlign w:val="center"/>
            <w:hideMark/>
          </w:tcPr>
          <w:p w14:paraId="241CFE76"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5.856.844,19</w:t>
            </w:r>
          </w:p>
        </w:tc>
        <w:tc>
          <w:tcPr>
            <w:tcW w:w="1464" w:type="dxa"/>
            <w:tcBorders>
              <w:top w:val="single" w:sz="4" w:space="0" w:color="auto"/>
              <w:left w:val="nil"/>
              <w:bottom w:val="single" w:sz="4" w:space="0" w:color="auto"/>
              <w:right w:val="single" w:sz="4" w:space="0" w:color="auto"/>
            </w:tcBorders>
            <w:noWrap/>
            <w:vAlign w:val="center"/>
            <w:hideMark/>
          </w:tcPr>
          <w:p w14:paraId="075AC9EA"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10.914.608,97</w:t>
            </w:r>
          </w:p>
        </w:tc>
        <w:tc>
          <w:tcPr>
            <w:tcW w:w="169" w:type="dxa"/>
            <w:noWrap/>
            <w:vAlign w:val="center"/>
            <w:hideMark/>
          </w:tcPr>
          <w:p w14:paraId="4100CFB4" w14:textId="77777777" w:rsidR="00F15C9A" w:rsidRDefault="00F15C9A" w:rsidP="00BC0D87">
            <w:pPr>
              <w:rPr>
                <w:rFonts w:ascii="Arial" w:eastAsia="Times New Roman" w:hAnsi="Arial" w:cs="Arial"/>
                <w:sz w:val="16"/>
                <w:szCs w:val="16"/>
                <w:lang w:eastAsia="tr-TR"/>
              </w:rPr>
            </w:pPr>
          </w:p>
        </w:tc>
        <w:tc>
          <w:tcPr>
            <w:tcW w:w="417" w:type="dxa"/>
            <w:tcBorders>
              <w:top w:val="nil"/>
              <w:left w:val="single" w:sz="4" w:space="0" w:color="auto"/>
              <w:bottom w:val="single" w:sz="4" w:space="0" w:color="auto"/>
              <w:right w:val="single" w:sz="4" w:space="0" w:color="auto"/>
            </w:tcBorders>
            <w:noWrap/>
            <w:vAlign w:val="center"/>
            <w:hideMark/>
          </w:tcPr>
          <w:p w14:paraId="572D00FC"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600</w:t>
            </w:r>
          </w:p>
        </w:tc>
        <w:tc>
          <w:tcPr>
            <w:tcW w:w="229" w:type="dxa"/>
            <w:tcBorders>
              <w:top w:val="nil"/>
              <w:left w:val="nil"/>
              <w:bottom w:val="single" w:sz="4" w:space="0" w:color="auto"/>
              <w:right w:val="single" w:sz="4" w:space="0" w:color="auto"/>
            </w:tcBorders>
            <w:noWrap/>
            <w:vAlign w:val="center"/>
            <w:hideMark/>
          </w:tcPr>
          <w:p w14:paraId="748BA028"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5</w:t>
            </w:r>
          </w:p>
        </w:tc>
        <w:tc>
          <w:tcPr>
            <w:tcW w:w="229" w:type="dxa"/>
            <w:tcBorders>
              <w:top w:val="nil"/>
              <w:left w:val="nil"/>
              <w:bottom w:val="single" w:sz="4" w:space="0" w:color="auto"/>
              <w:right w:val="single" w:sz="4" w:space="0" w:color="auto"/>
            </w:tcBorders>
            <w:noWrap/>
            <w:vAlign w:val="center"/>
            <w:hideMark/>
          </w:tcPr>
          <w:p w14:paraId="2B8C0BDA"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2</w:t>
            </w:r>
          </w:p>
        </w:tc>
        <w:tc>
          <w:tcPr>
            <w:tcW w:w="229" w:type="dxa"/>
            <w:tcBorders>
              <w:top w:val="nil"/>
              <w:left w:val="nil"/>
              <w:bottom w:val="single" w:sz="4" w:space="0" w:color="auto"/>
              <w:right w:val="single" w:sz="4" w:space="0" w:color="auto"/>
            </w:tcBorders>
            <w:noWrap/>
            <w:vAlign w:val="center"/>
            <w:hideMark/>
          </w:tcPr>
          <w:p w14:paraId="36AF84A2"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 </w:t>
            </w:r>
          </w:p>
        </w:tc>
        <w:tc>
          <w:tcPr>
            <w:tcW w:w="318" w:type="dxa"/>
            <w:tcBorders>
              <w:top w:val="nil"/>
              <w:left w:val="nil"/>
              <w:bottom w:val="single" w:sz="4" w:space="0" w:color="auto"/>
              <w:right w:val="single" w:sz="4" w:space="0" w:color="auto"/>
            </w:tcBorders>
            <w:noWrap/>
            <w:vAlign w:val="center"/>
            <w:hideMark/>
          </w:tcPr>
          <w:p w14:paraId="06801DE9"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 </w:t>
            </w:r>
          </w:p>
        </w:tc>
        <w:tc>
          <w:tcPr>
            <w:tcW w:w="2410" w:type="dxa"/>
            <w:gridSpan w:val="4"/>
            <w:tcBorders>
              <w:top w:val="single" w:sz="4" w:space="0" w:color="auto"/>
              <w:left w:val="nil"/>
              <w:bottom w:val="single" w:sz="4" w:space="0" w:color="auto"/>
              <w:right w:val="single" w:sz="4" w:space="0" w:color="auto"/>
            </w:tcBorders>
            <w:noWrap/>
            <w:vAlign w:val="center"/>
            <w:hideMark/>
          </w:tcPr>
          <w:p w14:paraId="7C082C10" w14:textId="77777777" w:rsidR="00F15C9A" w:rsidRDefault="00F15C9A" w:rsidP="00BC0D87">
            <w:pPr>
              <w:spacing w:after="0" w:line="240" w:lineRule="auto"/>
              <w:jc w:val="left"/>
              <w:rPr>
                <w:rFonts w:ascii="Arial" w:eastAsia="Times New Roman" w:hAnsi="Arial" w:cs="Arial"/>
                <w:sz w:val="16"/>
                <w:szCs w:val="16"/>
                <w:lang w:eastAsia="tr-TR"/>
              </w:rPr>
            </w:pPr>
            <w:r>
              <w:rPr>
                <w:rFonts w:ascii="Arial" w:eastAsia="Times New Roman" w:hAnsi="Arial" w:cs="Arial"/>
                <w:sz w:val="16"/>
                <w:szCs w:val="16"/>
                <w:lang w:eastAsia="tr-TR"/>
              </w:rPr>
              <w:t>Kişi ve Kurumlardan Alınan Paylar</w:t>
            </w:r>
          </w:p>
        </w:tc>
        <w:tc>
          <w:tcPr>
            <w:tcW w:w="1346" w:type="dxa"/>
            <w:gridSpan w:val="2"/>
            <w:tcBorders>
              <w:top w:val="single" w:sz="4" w:space="0" w:color="auto"/>
              <w:left w:val="nil"/>
              <w:bottom w:val="single" w:sz="4" w:space="0" w:color="auto"/>
              <w:right w:val="single" w:sz="4" w:space="0" w:color="auto"/>
            </w:tcBorders>
            <w:noWrap/>
            <w:vAlign w:val="center"/>
            <w:hideMark/>
          </w:tcPr>
          <w:p w14:paraId="608F5965"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108.800.728,13</w:t>
            </w:r>
          </w:p>
        </w:tc>
        <w:tc>
          <w:tcPr>
            <w:tcW w:w="1386" w:type="dxa"/>
            <w:gridSpan w:val="2"/>
            <w:tcBorders>
              <w:top w:val="single" w:sz="4" w:space="0" w:color="auto"/>
              <w:left w:val="nil"/>
              <w:bottom w:val="single" w:sz="4" w:space="0" w:color="auto"/>
              <w:right w:val="single" w:sz="4" w:space="0" w:color="auto"/>
            </w:tcBorders>
            <w:noWrap/>
            <w:vAlign w:val="center"/>
            <w:hideMark/>
          </w:tcPr>
          <w:p w14:paraId="766573FF"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289.268.170,87</w:t>
            </w:r>
          </w:p>
        </w:tc>
        <w:tc>
          <w:tcPr>
            <w:tcW w:w="1529" w:type="dxa"/>
            <w:gridSpan w:val="2"/>
            <w:tcBorders>
              <w:top w:val="single" w:sz="4" w:space="0" w:color="auto"/>
              <w:left w:val="nil"/>
              <w:bottom w:val="single" w:sz="4" w:space="0" w:color="auto"/>
              <w:right w:val="single" w:sz="4" w:space="0" w:color="auto"/>
            </w:tcBorders>
            <w:noWrap/>
            <w:vAlign w:val="center"/>
            <w:hideMark/>
          </w:tcPr>
          <w:p w14:paraId="2D1FE497"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604.898.401,86</w:t>
            </w:r>
          </w:p>
        </w:tc>
      </w:tr>
      <w:tr w:rsidR="00F15C9A" w14:paraId="3B394E89" w14:textId="77777777" w:rsidTr="00F15C9A">
        <w:trPr>
          <w:trHeight w:val="342"/>
        </w:trPr>
        <w:tc>
          <w:tcPr>
            <w:tcW w:w="438" w:type="dxa"/>
            <w:tcBorders>
              <w:top w:val="nil"/>
              <w:left w:val="single" w:sz="4" w:space="0" w:color="auto"/>
              <w:bottom w:val="single" w:sz="4" w:space="0" w:color="auto"/>
              <w:right w:val="single" w:sz="4" w:space="0" w:color="auto"/>
            </w:tcBorders>
            <w:noWrap/>
            <w:vAlign w:val="center"/>
            <w:hideMark/>
          </w:tcPr>
          <w:p w14:paraId="4E17F045"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630</w:t>
            </w:r>
          </w:p>
        </w:tc>
        <w:tc>
          <w:tcPr>
            <w:tcW w:w="318" w:type="dxa"/>
            <w:tcBorders>
              <w:top w:val="nil"/>
              <w:left w:val="nil"/>
              <w:bottom w:val="single" w:sz="4" w:space="0" w:color="auto"/>
              <w:right w:val="single" w:sz="4" w:space="0" w:color="auto"/>
            </w:tcBorders>
            <w:noWrap/>
            <w:vAlign w:val="center"/>
            <w:hideMark/>
          </w:tcPr>
          <w:p w14:paraId="07696841"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3</w:t>
            </w:r>
          </w:p>
        </w:tc>
        <w:tc>
          <w:tcPr>
            <w:tcW w:w="349" w:type="dxa"/>
            <w:tcBorders>
              <w:top w:val="nil"/>
              <w:left w:val="nil"/>
              <w:bottom w:val="single" w:sz="4" w:space="0" w:color="auto"/>
              <w:right w:val="single" w:sz="4" w:space="0" w:color="auto"/>
            </w:tcBorders>
            <w:noWrap/>
            <w:vAlign w:val="center"/>
            <w:hideMark/>
          </w:tcPr>
          <w:p w14:paraId="71D12947"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4</w:t>
            </w:r>
          </w:p>
        </w:tc>
        <w:tc>
          <w:tcPr>
            <w:tcW w:w="2542" w:type="dxa"/>
            <w:tcBorders>
              <w:top w:val="single" w:sz="4" w:space="0" w:color="auto"/>
              <w:left w:val="nil"/>
              <w:bottom w:val="single" w:sz="4" w:space="0" w:color="auto"/>
              <w:right w:val="single" w:sz="4" w:space="0" w:color="auto"/>
            </w:tcBorders>
            <w:noWrap/>
            <w:vAlign w:val="center"/>
            <w:hideMark/>
          </w:tcPr>
          <w:p w14:paraId="00297452" w14:textId="77777777" w:rsidR="00F15C9A" w:rsidRDefault="00F15C9A" w:rsidP="00BC0D87">
            <w:pPr>
              <w:spacing w:after="0" w:line="240" w:lineRule="auto"/>
              <w:jc w:val="left"/>
              <w:rPr>
                <w:rFonts w:ascii="Arial" w:eastAsia="Times New Roman" w:hAnsi="Arial" w:cs="Arial"/>
                <w:sz w:val="16"/>
                <w:szCs w:val="16"/>
                <w:lang w:eastAsia="tr-TR"/>
              </w:rPr>
            </w:pPr>
            <w:r>
              <w:rPr>
                <w:rFonts w:ascii="Arial" w:eastAsia="Times New Roman" w:hAnsi="Arial" w:cs="Arial"/>
                <w:sz w:val="16"/>
                <w:szCs w:val="16"/>
                <w:lang w:eastAsia="tr-TR"/>
              </w:rPr>
              <w:t>Görev Giderleri</w:t>
            </w:r>
          </w:p>
        </w:tc>
        <w:tc>
          <w:tcPr>
            <w:tcW w:w="1340" w:type="dxa"/>
            <w:tcBorders>
              <w:top w:val="single" w:sz="4" w:space="0" w:color="auto"/>
              <w:left w:val="nil"/>
              <w:bottom w:val="single" w:sz="4" w:space="0" w:color="auto"/>
              <w:right w:val="single" w:sz="4" w:space="0" w:color="000000"/>
            </w:tcBorders>
            <w:noWrap/>
            <w:vAlign w:val="center"/>
            <w:hideMark/>
          </w:tcPr>
          <w:p w14:paraId="51601414"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12.030.935,35</w:t>
            </w:r>
          </w:p>
        </w:tc>
        <w:tc>
          <w:tcPr>
            <w:tcW w:w="1386" w:type="dxa"/>
            <w:tcBorders>
              <w:top w:val="single" w:sz="4" w:space="0" w:color="auto"/>
              <w:left w:val="nil"/>
              <w:bottom w:val="single" w:sz="4" w:space="0" w:color="auto"/>
              <w:right w:val="single" w:sz="4" w:space="0" w:color="auto"/>
            </w:tcBorders>
            <w:noWrap/>
            <w:vAlign w:val="center"/>
            <w:hideMark/>
          </w:tcPr>
          <w:p w14:paraId="6DEF1623"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51.377.326,85</w:t>
            </w:r>
          </w:p>
        </w:tc>
        <w:tc>
          <w:tcPr>
            <w:tcW w:w="1464" w:type="dxa"/>
            <w:tcBorders>
              <w:top w:val="single" w:sz="4" w:space="0" w:color="auto"/>
              <w:left w:val="nil"/>
              <w:bottom w:val="single" w:sz="4" w:space="0" w:color="auto"/>
              <w:right w:val="single" w:sz="4" w:space="0" w:color="auto"/>
            </w:tcBorders>
            <w:noWrap/>
            <w:vAlign w:val="center"/>
            <w:hideMark/>
          </w:tcPr>
          <w:p w14:paraId="083120E6"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41.906.835,87</w:t>
            </w:r>
          </w:p>
        </w:tc>
        <w:tc>
          <w:tcPr>
            <w:tcW w:w="169" w:type="dxa"/>
            <w:noWrap/>
            <w:vAlign w:val="center"/>
            <w:hideMark/>
          </w:tcPr>
          <w:p w14:paraId="5FC7C57C" w14:textId="77777777" w:rsidR="00F15C9A" w:rsidRDefault="00F15C9A" w:rsidP="00BC0D87">
            <w:pPr>
              <w:rPr>
                <w:rFonts w:ascii="Arial" w:eastAsia="Times New Roman" w:hAnsi="Arial" w:cs="Arial"/>
                <w:sz w:val="16"/>
                <w:szCs w:val="16"/>
                <w:lang w:eastAsia="tr-TR"/>
              </w:rPr>
            </w:pPr>
          </w:p>
        </w:tc>
        <w:tc>
          <w:tcPr>
            <w:tcW w:w="417" w:type="dxa"/>
            <w:tcBorders>
              <w:top w:val="nil"/>
              <w:left w:val="single" w:sz="4" w:space="0" w:color="auto"/>
              <w:bottom w:val="single" w:sz="4" w:space="0" w:color="auto"/>
              <w:right w:val="single" w:sz="4" w:space="0" w:color="auto"/>
            </w:tcBorders>
            <w:noWrap/>
            <w:vAlign w:val="center"/>
            <w:hideMark/>
          </w:tcPr>
          <w:p w14:paraId="0DF00D27"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600</w:t>
            </w:r>
          </w:p>
        </w:tc>
        <w:tc>
          <w:tcPr>
            <w:tcW w:w="229" w:type="dxa"/>
            <w:tcBorders>
              <w:top w:val="nil"/>
              <w:left w:val="nil"/>
              <w:bottom w:val="single" w:sz="4" w:space="0" w:color="auto"/>
              <w:right w:val="single" w:sz="4" w:space="0" w:color="auto"/>
            </w:tcBorders>
            <w:noWrap/>
            <w:vAlign w:val="center"/>
            <w:hideMark/>
          </w:tcPr>
          <w:p w14:paraId="4D35423F"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5</w:t>
            </w:r>
          </w:p>
        </w:tc>
        <w:tc>
          <w:tcPr>
            <w:tcW w:w="229" w:type="dxa"/>
            <w:tcBorders>
              <w:top w:val="nil"/>
              <w:left w:val="nil"/>
              <w:bottom w:val="single" w:sz="4" w:space="0" w:color="auto"/>
              <w:right w:val="single" w:sz="4" w:space="0" w:color="auto"/>
            </w:tcBorders>
            <w:noWrap/>
            <w:vAlign w:val="center"/>
            <w:hideMark/>
          </w:tcPr>
          <w:p w14:paraId="0F3B43C1"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9</w:t>
            </w:r>
          </w:p>
        </w:tc>
        <w:tc>
          <w:tcPr>
            <w:tcW w:w="229" w:type="dxa"/>
            <w:tcBorders>
              <w:top w:val="nil"/>
              <w:left w:val="nil"/>
              <w:bottom w:val="single" w:sz="4" w:space="0" w:color="auto"/>
              <w:right w:val="nil"/>
            </w:tcBorders>
            <w:noWrap/>
            <w:vAlign w:val="center"/>
            <w:hideMark/>
          </w:tcPr>
          <w:p w14:paraId="6FA306EC"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 </w:t>
            </w:r>
          </w:p>
        </w:tc>
        <w:tc>
          <w:tcPr>
            <w:tcW w:w="318" w:type="dxa"/>
            <w:tcBorders>
              <w:top w:val="nil"/>
              <w:left w:val="nil"/>
              <w:bottom w:val="single" w:sz="4" w:space="0" w:color="auto"/>
              <w:right w:val="nil"/>
            </w:tcBorders>
            <w:noWrap/>
            <w:vAlign w:val="center"/>
            <w:hideMark/>
          </w:tcPr>
          <w:p w14:paraId="5C4D7455"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 </w:t>
            </w:r>
          </w:p>
        </w:tc>
        <w:tc>
          <w:tcPr>
            <w:tcW w:w="2410" w:type="dxa"/>
            <w:gridSpan w:val="4"/>
            <w:tcBorders>
              <w:top w:val="single" w:sz="4" w:space="0" w:color="auto"/>
              <w:left w:val="nil"/>
              <w:bottom w:val="single" w:sz="4" w:space="0" w:color="auto"/>
              <w:right w:val="single" w:sz="4" w:space="0" w:color="000000"/>
            </w:tcBorders>
            <w:noWrap/>
            <w:vAlign w:val="center"/>
            <w:hideMark/>
          </w:tcPr>
          <w:p w14:paraId="2274D099" w14:textId="77777777" w:rsidR="00F15C9A" w:rsidRDefault="00F15C9A" w:rsidP="00BC0D87">
            <w:pPr>
              <w:spacing w:after="0" w:line="240" w:lineRule="auto"/>
              <w:jc w:val="left"/>
              <w:rPr>
                <w:rFonts w:ascii="Arial" w:eastAsia="Times New Roman" w:hAnsi="Arial" w:cs="Arial"/>
                <w:sz w:val="16"/>
                <w:szCs w:val="16"/>
                <w:lang w:eastAsia="tr-TR"/>
              </w:rPr>
            </w:pPr>
            <w:r>
              <w:rPr>
                <w:rFonts w:ascii="Arial" w:eastAsia="Times New Roman" w:hAnsi="Arial" w:cs="Arial"/>
                <w:sz w:val="16"/>
                <w:szCs w:val="16"/>
                <w:lang w:eastAsia="tr-TR"/>
              </w:rPr>
              <w:t>Diğer Çesitli Gelirler</w:t>
            </w:r>
          </w:p>
        </w:tc>
        <w:tc>
          <w:tcPr>
            <w:tcW w:w="1346" w:type="dxa"/>
            <w:gridSpan w:val="2"/>
            <w:tcBorders>
              <w:top w:val="single" w:sz="4" w:space="0" w:color="auto"/>
              <w:left w:val="nil"/>
              <w:bottom w:val="single" w:sz="4" w:space="0" w:color="auto"/>
              <w:right w:val="single" w:sz="4" w:space="0" w:color="000000"/>
            </w:tcBorders>
            <w:noWrap/>
            <w:vAlign w:val="center"/>
            <w:hideMark/>
          </w:tcPr>
          <w:p w14:paraId="767350C0"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27.821.241,76</w:t>
            </w:r>
          </w:p>
        </w:tc>
        <w:tc>
          <w:tcPr>
            <w:tcW w:w="1386" w:type="dxa"/>
            <w:gridSpan w:val="2"/>
            <w:tcBorders>
              <w:top w:val="single" w:sz="4" w:space="0" w:color="auto"/>
              <w:left w:val="nil"/>
              <w:bottom w:val="single" w:sz="4" w:space="0" w:color="auto"/>
              <w:right w:val="single" w:sz="4" w:space="0" w:color="000000"/>
            </w:tcBorders>
            <w:noWrap/>
            <w:vAlign w:val="center"/>
            <w:hideMark/>
          </w:tcPr>
          <w:p w14:paraId="40EDC76B"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16.480.023,05</w:t>
            </w:r>
          </w:p>
        </w:tc>
        <w:tc>
          <w:tcPr>
            <w:tcW w:w="1529" w:type="dxa"/>
            <w:gridSpan w:val="2"/>
            <w:tcBorders>
              <w:top w:val="single" w:sz="4" w:space="0" w:color="auto"/>
              <w:left w:val="nil"/>
              <w:bottom w:val="single" w:sz="4" w:space="0" w:color="auto"/>
              <w:right w:val="single" w:sz="4" w:space="0" w:color="000000"/>
            </w:tcBorders>
            <w:noWrap/>
            <w:vAlign w:val="center"/>
            <w:hideMark/>
          </w:tcPr>
          <w:p w14:paraId="7D081C79"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109.131.809,15</w:t>
            </w:r>
          </w:p>
        </w:tc>
      </w:tr>
      <w:tr w:rsidR="00F15C9A" w14:paraId="0027D985" w14:textId="77777777" w:rsidTr="00F15C9A">
        <w:trPr>
          <w:trHeight w:val="342"/>
        </w:trPr>
        <w:tc>
          <w:tcPr>
            <w:tcW w:w="438" w:type="dxa"/>
            <w:tcBorders>
              <w:top w:val="nil"/>
              <w:left w:val="single" w:sz="4" w:space="0" w:color="auto"/>
              <w:bottom w:val="single" w:sz="4" w:space="0" w:color="auto"/>
              <w:right w:val="single" w:sz="4" w:space="0" w:color="auto"/>
            </w:tcBorders>
            <w:noWrap/>
            <w:vAlign w:val="center"/>
            <w:hideMark/>
          </w:tcPr>
          <w:p w14:paraId="2086ABEC"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630</w:t>
            </w:r>
          </w:p>
        </w:tc>
        <w:tc>
          <w:tcPr>
            <w:tcW w:w="318" w:type="dxa"/>
            <w:tcBorders>
              <w:top w:val="nil"/>
              <w:left w:val="nil"/>
              <w:bottom w:val="single" w:sz="4" w:space="0" w:color="auto"/>
              <w:right w:val="single" w:sz="4" w:space="0" w:color="auto"/>
            </w:tcBorders>
            <w:noWrap/>
            <w:vAlign w:val="center"/>
            <w:hideMark/>
          </w:tcPr>
          <w:p w14:paraId="697E4184"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3</w:t>
            </w:r>
          </w:p>
        </w:tc>
        <w:tc>
          <w:tcPr>
            <w:tcW w:w="349" w:type="dxa"/>
            <w:tcBorders>
              <w:top w:val="nil"/>
              <w:left w:val="nil"/>
              <w:bottom w:val="single" w:sz="4" w:space="0" w:color="auto"/>
              <w:right w:val="single" w:sz="4" w:space="0" w:color="auto"/>
            </w:tcBorders>
            <w:noWrap/>
            <w:vAlign w:val="center"/>
            <w:hideMark/>
          </w:tcPr>
          <w:p w14:paraId="2BA45B6B"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5</w:t>
            </w:r>
          </w:p>
        </w:tc>
        <w:tc>
          <w:tcPr>
            <w:tcW w:w="2542" w:type="dxa"/>
            <w:tcBorders>
              <w:top w:val="single" w:sz="4" w:space="0" w:color="auto"/>
              <w:left w:val="nil"/>
              <w:bottom w:val="single" w:sz="4" w:space="0" w:color="auto"/>
              <w:right w:val="single" w:sz="4" w:space="0" w:color="auto"/>
            </w:tcBorders>
            <w:noWrap/>
            <w:vAlign w:val="center"/>
            <w:hideMark/>
          </w:tcPr>
          <w:p w14:paraId="5B53D204" w14:textId="77777777" w:rsidR="00F15C9A" w:rsidRDefault="00F15C9A" w:rsidP="00BC0D87">
            <w:pPr>
              <w:spacing w:after="0" w:line="240" w:lineRule="auto"/>
              <w:jc w:val="left"/>
              <w:rPr>
                <w:rFonts w:ascii="Arial" w:eastAsia="Times New Roman" w:hAnsi="Arial" w:cs="Arial"/>
                <w:sz w:val="16"/>
                <w:szCs w:val="16"/>
                <w:lang w:eastAsia="tr-TR"/>
              </w:rPr>
            </w:pPr>
            <w:r>
              <w:rPr>
                <w:rFonts w:ascii="Arial" w:eastAsia="Times New Roman" w:hAnsi="Arial" w:cs="Arial"/>
                <w:sz w:val="16"/>
                <w:szCs w:val="16"/>
                <w:lang w:eastAsia="tr-TR"/>
              </w:rPr>
              <w:t>Hizmet Alımları</w:t>
            </w:r>
          </w:p>
        </w:tc>
        <w:tc>
          <w:tcPr>
            <w:tcW w:w="1340" w:type="dxa"/>
            <w:tcBorders>
              <w:top w:val="single" w:sz="4" w:space="0" w:color="auto"/>
              <w:left w:val="nil"/>
              <w:bottom w:val="single" w:sz="4" w:space="0" w:color="auto"/>
              <w:right w:val="single" w:sz="4" w:space="0" w:color="000000"/>
            </w:tcBorders>
            <w:noWrap/>
            <w:vAlign w:val="center"/>
            <w:hideMark/>
          </w:tcPr>
          <w:p w14:paraId="39ACBB7F"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165.534.459,82</w:t>
            </w:r>
          </w:p>
        </w:tc>
        <w:tc>
          <w:tcPr>
            <w:tcW w:w="1386" w:type="dxa"/>
            <w:tcBorders>
              <w:top w:val="single" w:sz="4" w:space="0" w:color="auto"/>
              <w:left w:val="nil"/>
              <w:bottom w:val="single" w:sz="4" w:space="0" w:color="auto"/>
              <w:right w:val="single" w:sz="4" w:space="0" w:color="auto"/>
            </w:tcBorders>
            <w:noWrap/>
            <w:vAlign w:val="center"/>
            <w:hideMark/>
          </w:tcPr>
          <w:p w14:paraId="32A1BB06"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264.927.464,64</w:t>
            </w:r>
          </w:p>
        </w:tc>
        <w:tc>
          <w:tcPr>
            <w:tcW w:w="1464" w:type="dxa"/>
            <w:tcBorders>
              <w:top w:val="single" w:sz="4" w:space="0" w:color="auto"/>
              <w:left w:val="nil"/>
              <w:bottom w:val="single" w:sz="4" w:space="0" w:color="auto"/>
              <w:right w:val="single" w:sz="4" w:space="0" w:color="auto"/>
            </w:tcBorders>
            <w:noWrap/>
            <w:vAlign w:val="center"/>
            <w:hideMark/>
          </w:tcPr>
          <w:p w14:paraId="01909E64"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856.883.210,61</w:t>
            </w:r>
          </w:p>
        </w:tc>
        <w:tc>
          <w:tcPr>
            <w:tcW w:w="169" w:type="dxa"/>
            <w:noWrap/>
            <w:vAlign w:val="center"/>
            <w:hideMark/>
          </w:tcPr>
          <w:p w14:paraId="24190133" w14:textId="77777777" w:rsidR="00F15C9A" w:rsidRDefault="00F15C9A" w:rsidP="00BC0D87">
            <w:pPr>
              <w:rPr>
                <w:rFonts w:ascii="Arial" w:eastAsia="Times New Roman" w:hAnsi="Arial" w:cs="Arial"/>
                <w:sz w:val="16"/>
                <w:szCs w:val="16"/>
                <w:lang w:eastAsia="tr-TR"/>
              </w:rPr>
            </w:pPr>
          </w:p>
        </w:tc>
        <w:tc>
          <w:tcPr>
            <w:tcW w:w="3832" w:type="dxa"/>
            <w:gridSpan w:val="9"/>
            <w:tcBorders>
              <w:top w:val="single" w:sz="4" w:space="0" w:color="auto"/>
              <w:left w:val="single" w:sz="4" w:space="0" w:color="auto"/>
              <w:bottom w:val="single" w:sz="4" w:space="0" w:color="auto"/>
              <w:right w:val="single" w:sz="4" w:space="0" w:color="auto"/>
            </w:tcBorders>
            <w:noWrap/>
            <w:vAlign w:val="center"/>
            <w:hideMark/>
          </w:tcPr>
          <w:p w14:paraId="6E4FD512" w14:textId="77777777" w:rsidR="00F15C9A" w:rsidRDefault="00F15C9A" w:rsidP="00BC0D87">
            <w:pPr>
              <w:spacing w:after="0" w:line="240" w:lineRule="auto"/>
              <w:jc w:val="left"/>
              <w:rPr>
                <w:rFonts w:ascii="Arial" w:eastAsia="Times New Roman" w:hAnsi="Arial" w:cs="Arial"/>
                <w:b/>
                <w:bCs/>
                <w:sz w:val="16"/>
                <w:szCs w:val="16"/>
                <w:lang w:eastAsia="tr-TR"/>
              </w:rPr>
            </w:pPr>
            <w:r>
              <w:rPr>
                <w:rFonts w:ascii="Arial" w:eastAsia="Times New Roman" w:hAnsi="Arial" w:cs="Arial"/>
                <w:b/>
                <w:bCs/>
                <w:sz w:val="16"/>
                <w:szCs w:val="16"/>
                <w:lang w:eastAsia="tr-TR"/>
              </w:rPr>
              <w:t>GELİRLER TOPLAMI (B)</w:t>
            </w:r>
          </w:p>
        </w:tc>
        <w:tc>
          <w:tcPr>
            <w:tcW w:w="1346" w:type="dxa"/>
            <w:gridSpan w:val="2"/>
            <w:tcBorders>
              <w:top w:val="single" w:sz="4" w:space="0" w:color="auto"/>
              <w:left w:val="nil"/>
              <w:bottom w:val="single" w:sz="4" w:space="0" w:color="auto"/>
              <w:right w:val="single" w:sz="4" w:space="0" w:color="auto"/>
            </w:tcBorders>
            <w:noWrap/>
            <w:vAlign w:val="center"/>
            <w:hideMark/>
          </w:tcPr>
          <w:p w14:paraId="07AE0D30" w14:textId="77777777" w:rsidR="00F15C9A" w:rsidRDefault="00F15C9A" w:rsidP="00BC0D87">
            <w:pPr>
              <w:spacing w:after="0" w:line="240" w:lineRule="auto"/>
              <w:jc w:val="right"/>
              <w:rPr>
                <w:rFonts w:ascii="Arial" w:eastAsia="Times New Roman" w:hAnsi="Arial" w:cs="Arial"/>
                <w:b/>
                <w:bCs/>
                <w:sz w:val="16"/>
                <w:szCs w:val="16"/>
                <w:lang w:eastAsia="tr-TR"/>
              </w:rPr>
            </w:pPr>
            <w:r>
              <w:rPr>
                <w:rFonts w:ascii="Arial" w:eastAsia="Times New Roman" w:hAnsi="Arial" w:cs="Arial"/>
                <w:b/>
                <w:bCs/>
                <w:sz w:val="16"/>
                <w:szCs w:val="16"/>
                <w:lang w:eastAsia="tr-TR"/>
              </w:rPr>
              <w:t>908.045.801,55</w:t>
            </w:r>
          </w:p>
        </w:tc>
        <w:tc>
          <w:tcPr>
            <w:tcW w:w="1386" w:type="dxa"/>
            <w:gridSpan w:val="2"/>
            <w:tcBorders>
              <w:top w:val="single" w:sz="4" w:space="0" w:color="auto"/>
              <w:left w:val="nil"/>
              <w:bottom w:val="single" w:sz="4" w:space="0" w:color="auto"/>
              <w:right w:val="single" w:sz="4" w:space="0" w:color="auto"/>
            </w:tcBorders>
            <w:noWrap/>
            <w:vAlign w:val="center"/>
            <w:hideMark/>
          </w:tcPr>
          <w:p w14:paraId="3B3CAD0D" w14:textId="77777777" w:rsidR="00F15C9A" w:rsidRDefault="00F15C9A" w:rsidP="00BC0D87">
            <w:pPr>
              <w:spacing w:after="0" w:line="240" w:lineRule="auto"/>
              <w:jc w:val="right"/>
              <w:rPr>
                <w:rFonts w:ascii="Arial" w:eastAsia="Times New Roman" w:hAnsi="Arial" w:cs="Arial"/>
                <w:b/>
                <w:bCs/>
                <w:sz w:val="16"/>
                <w:szCs w:val="16"/>
                <w:lang w:eastAsia="tr-TR"/>
              </w:rPr>
            </w:pPr>
            <w:r>
              <w:rPr>
                <w:rFonts w:ascii="Arial" w:eastAsia="Times New Roman" w:hAnsi="Arial" w:cs="Arial"/>
                <w:b/>
                <w:bCs/>
                <w:sz w:val="16"/>
                <w:szCs w:val="16"/>
                <w:lang w:eastAsia="tr-TR"/>
              </w:rPr>
              <w:t>1.633.012.210,54</w:t>
            </w:r>
          </w:p>
        </w:tc>
        <w:tc>
          <w:tcPr>
            <w:tcW w:w="1529" w:type="dxa"/>
            <w:gridSpan w:val="2"/>
            <w:tcBorders>
              <w:top w:val="single" w:sz="4" w:space="0" w:color="auto"/>
              <w:left w:val="nil"/>
              <w:bottom w:val="single" w:sz="4" w:space="0" w:color="auto"/>
              <w:right w:val="single" w:sz="4" w:space="0" w:color="auto"/>
            </w:tcBorders>
            <w:noWrap/>
            <w:vAlign w:val="center"/>
            <w:hideMark/>
          </w:tcPr>
          <w:p w14:paraId="21C7918F" w14:textId="77777777" w:rsidR="00F15C9A" w:rsidRDefault="00F15C9A" w:rsidP="00BC0D87">
            <w:pPr>
              <w:spacing w:after="0" w:line="240" w:lineRule="auto"/>
              <w:jc w:val="right"/>
              <w:rPr>
                <w:rFonts w:ascii="Arial" w:eastAsia="Times New Roman" w:hAnsi="Arial" w:cs="Arial"/>
                <w:b/>
                <w:bCs/>
                <w:sz w:val="16"/>
                <w:szCs w:val="16"/>
                <w:lang w:eastAsia="tr-TR"/>
              </w:rPr>
            </w:pPr>
            <w:r>
              <w:rPr>
                <w:rFonts w:ascii="Arial" w:eastAsia="Times New Roman" w:hAnsi="Arial" w:cs="Arial"/>
                <w:b/>
                <w:bCs/>
                <w:sz w:val="16"/>
                <w:szCs w:val="16"/>
                <w:lang w:eastAsia="tr-TR"/>
              </w:rPr>
              <w:t>2.791.328.473,39</w:t>
            </w:r>
          </w:p>
        </w:tc>
      </w:tr>
      <w:tr w:rsidR="00F15C9A" w14:paraId="5312D77F" w14:textId="77777777" w:rsidTr="00F15C9A">
        <w:trPr>
          <w:trHeight w:val="342"/>
        </w:trPr>
        <w:tc>
          <w:tcPr>
            <w:tcW w:w="438" w:type="dxa"/>
            <w:tcBorders>
              <w:top w:val="nil"/>
              <w:left w:val="single" w:sz="4" w:space="0" w:color="auto"/>
              <w:bottom w:val="single" w:sz="4" w:space="0" w:color="auto"/>
              <w:right w:val="single" w:sz="4" w:space="0" w:color="auto"/>
            </w:tcBorders>
            <w:noWrap/>
            <w:vAlign w:val="center"/>
            <w:hideMark/>
          </w:tcPr>
          <w:p w14:paraId="13D06A22"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630</w:t>
            </w:r>
          </w:p>
        </w:tc>
        <w:tc>
          <w:tcPr>
            <w:tcW w:w="318" w:type="dxa"/>
            <w:tcBorders>
              <w:top w:val="nil"/>
              <w:left w:val="nil"/>
              <w:bottom w:val="single" w:sz="4" w:space="0" w:color="auto"/>
              <w:right w:val="single" w:sz="4" w:space="0" w:color="auto"/>
            </w:tcBorders>
            <w:noWrap/>
            <w:vAlign w:val="center"/>
            <w:hideMark/>
          </w:tcPr>
          <w:p w14:paraId="3D845147"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3</w:t>
            </w:r>
          </w:p>
        </w:tc>
        <w:tc>
          <w:tcPr>
            <w:tcW w:w="349" w:type="dxa"/>
            <w:tcBorders>
              <w:top w:val="nil"/>
              <w:left w:val="nil"/>
              <w:bottom w:val="single" w:sz="4" w:space="0" w:color="auto"/>
              <w:right w:val="single" w:sz="4" w:space="0" w:color="auto"/>
            </w:tcBorders>
            <w:noWrap/>
            <w:vAlign w:val="center"/>
            <w:hideMark/>
          </w:tcPr>
          <w:p w14:paraId="182ED81C"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6</w:t>
            </w:r>
          </w:p>
        </w:tc>
        <w:tc>
          <w:tcPr>
            <w:tcW w:w="2542" w:type="dxa"/>
            <w:tcBorders>
              <w:top w:val="single" w:sz="4" w:space="0" w:color="auto"/>
              <w:left w:val="nil"/>
              <w:bottom w:val="single" w:sz="4" w:space="0" w:color="auto"/>
              <w:right w:val="single" w:sz="4" w:space="0" w:color="auto"/>
            </w:tcBorders>
            <w:noWrap/>
            <w:vAlign w:val="center"/>
            <w:hideMark/>
          </w:tcPr>
          <w:p w14:paraId="58256284" w14:textId="77777777" w:rsidR="00F15C9A" w:rsidRDefault="00F15C9A" w:rsidP="00BC0D87">
            <w:pPr>
              <w:spacing w:after="0" w:line="240" w:lineRule="auto"/>
              <w:jc w:val="left"/>
              <w:rPr>
                <w:rFonts w:ascii="Arial" w:eastAsia="Times New Roman" w:hAnsi="Arial" w:cs="Arial"/>
                <w:sz w:val="16"/>
                <w:szCs w:val="16"/>
                <w:lang w:eastAsia="tr-TR"/>
              </w:rPr>
            </w:pPr>
            <w:r>
              <w:rPr>
                <w:rFonts w:ascii="Arial" w:eastAsia="Times New Roman" w:hAnsi="Arial" w:cs="Arial"/>
                <w:sz w:val="16"/>
                <w:szCs w:val="16"/>
                <w:lang w:eastAsia="tr-TR"/>
              </w:rPr>
              <w:t>Temsil ve Tanıtma Giderleri</w:t>
            </w:r>
          </w:p>
        </w:tc>
        <w:tc>
          <w:tcPr>
            <w:tcW w:w="1340" w:type="dxa"/>
            <w:tcBorders>
              <w:top w:val="single" w:sz="4" w:space="0" w:color="auto"/>
              <w:left w:val="nil"/>
              <w:bottom w:val="single" w:sz="4" w:space="0" w:color="auto"/>
              <w:right w:val="single" w:sz="4" w:space="0" w:color="000000"/>
            </w:tcBorders>
            <w:noWrap/>
            <w:vAlign w:val="center"/>
            <w:hideMark/>
          </w:tcPr>
          <w:p w14:paraId="2D415292"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287.849,31</w:t>
            </w:r>
          </w:p>
        </w:tc>
        <w:tc>
          <w:tcPr>
            <w:tcW w:w="1386" w:type="dxa"/>
            <w:tcBorders>
              <w:top w:val="single" w:sz="4" w:space="0" w:color="auto"/>
              <w:left w:val="nil"/>
              <w:bottom w:val="single" w:sz="4" w:space="0" w:color="auto"/>
              <w:right w:val="single" w:sz="4" w:space="0" w:color="auto"/>
            </w:tcBorders>
            <w:noWrap/>
            <w:vAlign w:val="center"/>
            <w:hideMark/>
          </w:tcPr>
          <w:p w14:paraId="3E09851A"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543.175,88</w:t>
            </w:r>
          </w:p>
        </w:tc>
        <w:tc>
          <w:tcPr>
            <w:tcW w:w="1464" w:type="dxa"/>
            <w:tcBorders>
              <w:top w:val="single" w:sz="4" w:space="0" w:color="auto"/>
              <w:left w:val="nil"/>
              <w:bottom w:val="single" w:sz="4" w:space="0" w:color="auto"/>
              <w:right w:val="single" w:sz="4" w:space="0" w:color="auto"/>
            </w:tcBorders>
            <w:noWrap/>
            <w:vAlign w:val="center"/>
            <w:hideMark/>
          </w:tcPr>
          <w:p w14:paraId="0E441D07"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766.672,00</w:t>
            </w:r>
          </w:p>
        </w:tc>
        <w:tc>
          <w:tcPr>
            <w:tcW w:w="169" w:type="dxa"/>
            <w:noWrap/>
            <w:vAlign w:val="center"/>
            <w:hideMark/>
          </w:tcPr>
          <w:p w14:paraId="661A3C34" w14:textId="77777777" w:rsidR="00F15C9A" w:rsidRDefault="00F15C9A" w:rsidP="00BC0D87">
            <w:pPr>
              <w:rPr>
                <w:rFonts w:ascii="Arial" w:eastAsia="Times New Roman" w:hAnsi="Arial" w:cs="Arial"/>
                <w:sz w:val="16"/>
                <w:szCs w:val="16"/>
                <w:lang w:eastAsia="tr-TR"/>
              </w:rPr>
            </w:pPr>
          </w:p>
        </w:tc>
        <w:tc>
          <w:tcPr>
            <w:tcW w:w="8093" w:type="dxa"/>
            <w:gridSpan w:val="15"/>
            <w:tcBorders>
              <w:top w:val="single" w:sz="4" w:space="0" w:color="auto"/>
              <w:left w:val="nil"/>
              <w:bottom w:val="single" w:sz="4" w:space="0" w:color="auto"/>
              <w:right w:val="nil"/>
            </w:tcBorders>
            <w:noWrap/>
            <w:vAlign w:val="center"/>
          </w:tcPr>
          <w:p w14:paraId="17848C9B" w14:textId="77777777" w:rsidR="00F15C9A" w:rsidRDefault="00F15C9A" w:rsidP="00BC0D87">
            <w:pPr>
              <w:spacing w:after="0" w:line="240" w:lineRule="auto"/>
              <w:jc w:val="center"/>
              <w:rPr>
                <w:rFonts w:ascii="Arial" w:eastAsia="Times New Roman" w:hAnsi="Arial" w:cs="Arial"/>
                <w:b/>
                <w:bCs/>
                <w:sz w:val="16"/>
                <w:szCs w:val="16"/>
                <w:lang w:eastAsia="tr-TR"/>
              </w:rPr>
            </w:pPr>
          </w:p>
        </w:tc>
      </w:tr>
      <w:tr w:rsidR="00F15C9A" w14:paraId="14B2AC83" w14:textId="77777777" w:rsidTr="00F15C9A">
        <w:trPr>
          <w:trHeight w:val="369"/>
        </w:trPr>
        <w:tc>
          <w:tcPr>
            <w:tcW w:w="438" w:type="dxa"/>
            <w:tcBorders>
              <w:top w:val="nil"/>
              <w:left w:val="single" w:sz="4" w:space="0" w:color="auto"/>
              <w:bottom w:val="single" w:sz="4" w:space="0" w:color="auto"/>
              <w:right w:val="single" w:sz="4" w:space="0" w:color="auto"/>
            </w:tcBorders>
            <w:noWrap/>
            <w:vAlign w:val="center"/>
            <w:hideMark/>
          </w:tcPr>
          <w:p w14:paraId="14E1FE07"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630</w:t>
            </w:r>
          </w:p>
        </w:tc>
        <w:tc>
          <w:tcPr>
            <w:tcW w:w="318" w:type="dxa"/>
            <w:tcBorders>
              <w:top w:val="nil"/>
              <w:left w:val="nil"/>
              <w:bottom w:val="single" w:sz="4" w:space="0" w:color="auto"/>
              <w:right w:val="single" w:sz="4" w:space="0" w:color="auto"/>
            </w:tcBorders>
            <w:noWrap/>
            <w:vAlign w:val="center"/>
            <w:hideMark/>
          </w:tcPr>
          <w:p w14:paraId="3CDB12AF"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3</w:t>
            </w:r>
          </w:p>
        </w:tc>
        <w:tc>
          <w:tcPr>
            <w:tcW w:w="349" w:type="dxa"/>
            <w:tcBorders>
              <w:top w:val="nil"/>
              <w:left w:val="nil"/>
              <w:bottom w:val="single" w:sz="4" w:space="0" w:color="auto"/>
              <w:right w:val="single" w:sz="4" w:space="0" w:color="auto"/>
            </w:tcBorders>
            <w:noWrap/>
            <w:vAlign w:val="center"/>
            <w:hideMark/>
          </w:tcPr>
          <w:p w14:paraId="3B6889A2"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7</w:t>
            </w:r>
          </w:p>
        </w:tc>
        <w:tc>
          <w:tcPr>
            <w:tcW w:w="2542" w:type="dxa"/>
            <w:tcBorders>
              <w:top w:val="single" w:sz="4" w:space="0" w:color="auto"/>
              <w:left w:val="nil"/>
              <w:bottom w:val="single" w:sz="4" w:space="0" w:color="auto"/>
              <w:right w:val="single" w:sz="4" w:space="0" w:color="auto"/>
            </w:tcBorders>
            <w:vAlign w:val="center"/>
            <w:hideMark/>
          </w:tcPr>
          <w:p w14:paraId="3474DF53" w14:textId="77777777" w:rsidR="00F15C9A" w:rsidRDefault="00F15C9A" w:rsidP="00BC0D87">
            <w:pPr>
              <w:spacing w:after="0" w:line="240" w:lineRule="auto"/>
              <w:jc w:val="left"/>
              <w:rPr>
                <w:rFonts w:ascii="Arial" w:eastAsia="Times New Roman" w:hAnsi="Arial" w:cs="Arial"/>
                <w:sz w:val="16"/>
                <w:szCs w:val="16"/>
                <w:lang w:eastAsia="tr-TR"/>
              </w:rPr>
            </w:pPr>
            <w:r>
              <w:rPr>
                <w:rFonts w:ascii="Arial" w:eastAsia="Times New Roman" w:hAnsi="Arial" w:cs="Arial"/>
                <w:sz w:val="16"/>
                <w:szCs w:val="16"/>
                <w:lang w:eastAsia="tr-TR"/>
              </w:rPr>
              <w:t>Menkul Mal, Gayrimaddi Hak Alım, Bakım ve Onarım Gideri</w:t>
            </w:r>
          </w:p>
        </w:tc>
        <w:tc>
          <w:tcPr>
            <w:tcW w:w="1340" w:type="dxa"/>
            <w:tcBorders>
              <w:top w:val="single" w:sz="4" w:space="0" w:color="auto"/>
              <w:left w:val="nil"/>
              <w:bottom w:val="single" w:sz="4" w:space="0" w:color="auto"/>
              <w:right w:val="single" w:sz="4" w:space="0" w:color="000000"/>
            </w:tcBorders>
            <w:noWrap/>
            <w:vAlign w:val="center"/>
            <w:hideMark/>
          </w:tcPr>
          <w:p w14:paraId="02A833F8"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1.299.520,87</w:t>
            </w:r>
          </w:p>
        </w:tc>
        <w:tc>
          <w:tcPr>
            <w:tcW w:w="1386" w:type="dxa"/>
            <w:tcBorders>
              <w:top w:val="single" w:sz="4" w:space="0" w:color="auto"/>
              <w:left w:val="nil"/>
              <w:bottom w:val="single" w:sz="4" w:space="0" w:color="auto"/>
              <w:right w:val="single" w:sz="4" w:space="0" w:color="auto"/>
            </w:tcBorders>
            <w:noWrap/>
            <w:vAlign w:val="center"/>
            <w:hideMark/>
          </w:tcPr>
          <w:p w14:paraId="09DE6925"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6.452.812,74</w:t>
            </w:r>
          </w:p>
        </w:tc>
        <w:tc>
          <w:tcPr>
            <w:tcW w:w="1464" w:type="dxa"/>
            <w:tcBorders>
              <w:top w:val="single" w:sz="4" w:space="0" w:color="auto"/>
              <w:left w:val="nil"/>
              <w:bottom w:val="single" w:sz="4" w:space="0" w:color="auto"/>
              <w:right w:val="single" w:sz="4" w:space="0" w:color="auto"/>
            </w:tcBorders>
            <w:noWrap/>
            <w:vAlign w:val="center"/>
            <w:hideMark/>
          </w:tcPr>
          <w:p w14:paraId="34745ED3"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18.218.761,21</w:t>
            </w:r>
          </w:p>
        </w:tc>
        <w:tc>
          <w:tcPr>
            <w:tcW w:w="169" w:type="dxa"/>
            <w:noWrap/>
            <w:vAlign w:val="center"/>
            <w:hideMark/>
          </w:tcPr>
          <w:p w14:paraId="6F669FD4" w14:textId="77777777" w:rsidR="00F15C9A" w:rsidRDefault="00F15C9A" w:rsidP="00BC0D87">
            <w:pPr>
              <w:rPr>
                <w:rFonts w:ascii="Arial" w:eastAsia="Times New Roman" w:hAnsi="Arial" w:cs="Arial"/>
                <w:sz w:val="16"/>
                <w:szCs w:val="16"/>
                <w:lang w:eastAsia="tr-TR"/>
              </w:rPr>
            </w:pPr>
          </w:p>
        </w:tc>
        <w:tc>
          <w:tcPr>
            <w:tcW w:w="1422" w:type="dxa"/>
            <w:gridSpan w:val="5"/>
            <w:tcBorders>
              <w:top w:val="single" w:sz="4" w:space="0" w:color="auto"/>
              <w:left w:val="single" w:sz="4" w:space="0" w:color="auto"/>
              <w:bottom w:val="single" w:sz="4" w:space="0" w:color="auto"/>
              <w:right w:val="nil"/>
            </w:tcBorders>
            <w:noWrap/>
            <w:vAlign w:val="center"/>
            <w:hideMark/>
          </w:tcPr>
          <w:p w14:paraId="4F0E7B24" w14:textId="77777777" w:rsidR="00F15C9A" w:rsidRDefault="00F15C9A" w:rsidP="00BC0D87">
            <w:pPr>
              <w:spacing w:after="0" w:line="240" w:lineRule="auto"/>
              <w:jc w:val="center"/>
              <w:rPr>
                <w:rFonts w:ascii="Arial" w:eastAsia="Times New Roman" w:hAnsi="Arial" w:cs="Arial"/>
                <w:b/>
                <w:bCs/>
                <w:sz w:val="16"/>
                <w:szCs w:val="16"/>
                <w:lang w:eastAsia="tr-TR"/>
              </w:rPr>
            </w:pPr>
            <w:r>
              <w:rPr>
                <w:rFonts w:ascii="Arial" w:eastAsia="Times New Roman" w:hAnsi="Arial" w:cs="Arial"/>
                <w:b/>
                <w:bCs/>
                <w:sz w:val="16"/>
                <w:szCs w:val="16"/>
                <w:lang w:eastAsia="tr-TR"/>
              </w:rPr>
              <w:t>Hesap Kodu</w:t>
            </w:r>
          </w:p>
        </w:tc>
        <w:tc>
          <w:tcPr>
            <w:tcW w:w="2410" w:type="dxa"/>
            <w:gridSpan w:val="4"/>
            <w:tcBorders>
              <w:top w:val="single" w:sz="4" w:space="0" w:color="auto"/>
              <w:left w:val="nil"/>
              <w:bottom w:val="single" w:sz="4" w:space="0" w:color="auto"/>
              <w:right w:val="single" w:sz="4" w:space="0" w:color="000000"/>
            </w:tcBorders>
            <w:noWrap/>
            <w:vAlign w:val="center"/>
            <w:hideMark/>
          </w:tcPr>
          <w:p w14:paraId="799704B1" w14:textId="77777777" w:rsidR="00F15C9A" w:rsidRDefault="00F15C9A" w:rsidP="00BC0D87">
            <w:pPr>
              <w:spacing w:after="0" w:line="240" w:lineRule="auto"/>
              <w:jc w:val="center"/>
              <w:rPr>
                <w:rFonts w:ascii="Arial" w:eastAsia="Times New Roman" w:hAnsi="Arial" w:cs="Arial"/>
                <w:b/>
                <w:bCs/>
                <w:sz w:val="16"/>
                <w:szCs w:val="16"/>
                <w:lang w:eastAsia="tr-TR"/>
              </w:rPr>
            </w:pPr>
            <w:r>
              <w:rPr>
                <w:rFonts w:ascii="Arial" w:eastAsia="Times New Roman" w:hAnsi="Arial" w:cs="Arial"/>
                <w:b/>
                <w:bCs/>
                <w:sz w:val="16"/>
                <w:szCs w:val="16"/>
                <w:lang w:eastAsia="tr-TR"/>
              </w:rPr>
              <w:t>İNDİRİM, İADE VE İSKONTONUN TÜRÜ</w:t>
            </w:r>
          </w:p>
        </w:tc>
        <w:tc>
          <w:tcPr>
            <w:tcW w:w="1346" w:type="dxa"/>
            <w:gridSpan w:val="2"/>
            <w:tcBorders>
              <w:top w:val="single" w:sz="4" w:space="0" w:color="auto"/>
              <w:left w:val="nil"/>
              <w:bottom w:val="single" w:sz="4" w:space="0" w:color="auto"/>
              <w:right w:val="single" w:sz="4" w:space="0" w:color="000000"/>
            </w:tcBorders>
            <w:noWrap/>
            <w:vAlign w:val="center"/>
            <w:hideMark/>
          </w:tcPr>
          <w:p w14:paraId="319BFABB" w14:textId="77777777" w:rsidR="00F15C9A" w:rsidRDefault="00F15C9A" w:rsidP="00BC0D87">
            <w:pPr>
              <w:spacing w:after="0" w:line="240" w:lineRule="auto"/>
              <w:jc w:val="center"/>
              <w:rPr>
                <w:rFonts w:ascii="Arial" w:eastAsia="Times New Roman" w:hAnsi="Arial" w:cs="Arial"/>
                <w:b/>
                <w:bCs/>
                <w:sz w:val="18"/>
                <w:szCs w:val="18"/>
                <w:lang w:eastAsia="tr-TR"/>
              </w:rPr>
            </w:pPr>
            <w:r>
              <w:rPr>
                <w:rFonts w:ascii="Arial" w:eastAsia="Times New Roman" w:hAnsi="Arial" w:cs="Arial"/>
                <w:b/>
                <w:bCs/>
                <w:sz w:val="18"/>
                <w:szCs w:val="18"/>
                <w:lang w:eastAsia="tr-TR"/>
              </w:rPr>
              <w:t>2022 YILI</w:t>
            </w:r>
          </w:p>
        </w:tc>
        <w:tc>
          <w:tcPr>
            <w:tcW w:w="1386" w:type="dxa"/>
            <w:gridSpan w:val="2"/>
            <w:tcBorders>
              <w:top w:val="single" w:sz="4" w:space="0" w:color="auto"/>
              <w:left w:val="nil"/>
              <w:bottom w:val="single" w:sz="4" w:space="0" w:color="auto"/>
              <w:right w:val="single" w:sz="4" w:space="0" w:color="000000"/>
            </w:tcBorders>
            <w:noWrap/>
            <w:vAlign w:val="center"/>
            <w:hideMark/>
          </w:tcPr>
          <w:p w14:paraId="47EE984C" w14:textId="77777777" w:rsidR="00F15C9A" w:rsidRDefault="00F15C9A" w:rsidP="00BC0D87">
            <w:pPr>
              <w:spacing w:after="0" w:line="240" w:lineRule="auto"/>
              <w:jc w:val="center"/>
              <w:rPr>
                <w:rFonts w:ascii="Arial" w:eastAsia="Times New Roman" w:hAnsi="Arial" w:cs="Arial"/>
                <w:b/>
                <w:bCs/>
                <w:sz w:val="18"/>
                <w:szCs w:val="18"/>
                <w:lang w:eastAsia="tr-TR"/>
              </w:rPr>
            </w:pPr>
            <w:r>
              <w:rPr>
                <w:rFonts w:ascii="Arial" w:eastAsia="Times New Roman" w:hAnsi="Arial" w:cs="Arial"/>
                <w:b/>
                <w:bCs/>
                <w:sz w:val="18"/>
                <w:szCs w:val="18"/>
                <w:lang w:eastAsia="tr-TR"/>
              </w:rPr>
              <w:t>2023 YILI</w:t>
            </w:r>
          </w:p>
        </w:tc>
        <w:tc>
          <w:tcPr>
            <w:tcW w:w="1529" w:type="dxa"/>
            <w:gridSpan w:val="2"/>
            <w:tcBorders>
              <w:top w:val="single" w:sz="4" w:space="0" w:color="auto"/>
              <w:left w:val="nil"/>
              <w:bottom w:val="single" w:sz="4" w:space="0" w:color="auto"/>
              <w:right w:val="single" w:sz="4" w:space="0" w:color="000000"/>
            </w:tcBorders>
            <w:noWrap/>
            <w:vAlign w:val="center"/>
            <w:hideMark/>
          </w:tcPr>
          <w:p w14:paraId="27557693" w14:textId="77777777" w:rsidR="00F15C9A" w:rsidRDefault="00F15C9A" w:rsidP="00BC0D87">
            <w:pPr>
              <w:spacing w:after="0" w:line="240" w:lineRule="auto"/>
              <w:jc w:val="center"/>
              <w:rPr>
                <w:rFonts w:ascii="Arial" w:eastAsia="Times New Roman" w:hAnsi="Arial" w:cs="Arial"/>
                <w:b/>
                <w:bCs/>
                <w:sz w:val="18"/>
                <w:szCs w:val="18"/>
                <w:lang w:eastAsia="tr-TR"/>
              </w:rPr>
            </w:pPr>
            <w:r>
              <w:rPr>
                <w:rFonts w:ascii="Arial" w:eastAsia="Times New Roman" w:hAnsi="Arial" w:cs="Arial"/>
                <w:b/>
                <w:bCs/>
                <w:sz w:val="18"/>
                <w:szCs w:val="18"/>
                <w:lang w:eastAsia="tr-TR"/>
              </w:rPr>
              <w:t>2024 YILI</w:t>
            </w:r>
          </w:p>
        </w:tc>
      </w:tr>
      <w:tr w:rsidR="00F15C9A" w14:paraId="7AAEBBCE" w14:textId="77777777" w:rsidTr="00F15C9A">
        <w:trPr>
          <w:trHeight w:val="369"/>
        </w:trPr>
        <w:tc>
          <w:tcPr>
            <w:tcW w:w="438" w:type="dxa"/>
            <w:tcBorders>
              <w:top w:val="nil"/>
              <w:left w:val="single" w:sz="4" w:space="0" w:color="auto"/>
              <w:bottom w:val="single" w:sz="4" w:space="0" w:color="auto"/>
              <w:right w:val="single" w:sz="4" w:space="0" w:color="auto"/>
            </w:tcBorders>
            <w:noWrap/>
            <w:vAlign w:val="center"/>
            <w:hideMark/>
          </w:tcPr>
          <w:p w14:paraId="2590DF87"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630</w:t>
            </w:r>
          </w:p>
        </w:tc>
        <w:tc>
          <w:tcPr>
            <w:tcW w:w="318" w:type="dxa"/>
            <w:tcBorders>
              <w:top w:val="nil"/>
              <w:left w:val="nil"/>
              <w:bottom w:val="single" w:sz="4" w:space="0" w:color="auto"/>
              <w:right w:val="single" w:sz="4" w:space="0" w:color="auto"/>
            </w:tcBorders>
            <w:noWrap/>
            <w:vAlign w:val="center"/>
            <w:hideMark/>
          </w:tcPr>
          <w:p w14:paraId="41DC11E3"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3</w:t>
            </w:r>
          </w:p>
        </w:tc>
        <w:tc>
          <w:tcPr>
            <w:tcW w:w="349" w:type="dxa"/>
            <w:tcBorders>
              <w:top w:val="nil"/>
              <w:left w:val="nil"/>
              <w:bottom w:val="single" w:sz="4" w:space="0" w:color="auto"/>
              <w:right w:val="single" w:sz="4" w:space="0" w:color="auto"/>
            </w:tcBorders>
            <w:noWrap/>
            <w:vAlign w:val="center"/>
            <w:hideMark/>
          </w:tcPr>
          <w:p w14:paraId="32A7151F"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8</w:t>
            </w:r>
          </w:p>
        </w:tc>
        <w:tc>
          <w:tcPr>
            <w:tcW w:w="2542" w:type="dxa"/>
            <w:tcBorders>
              <w:top w:val="single" w:sz="4" w:space="0" w:color="auto"/>
              <w:left w:val="nil"/>
              <w:bottom w:val="single" w:sz="4" w:space="0" w:color="auto"/>
              <w:right w:val="single" w:sz="4" w:space="0" w:color="auto"/>
            </w:tcBorders>
            <w:noWrap/>
            <w:vAlign w:val="center"/>
            <w:hideMark/>
          </w:tcPr>
          <w:p w14:paraId="4EE21011" w14:textId="77777777" w:rsidR="00F15C9A" w:rsidRDefault="00F15C9A" w:rsidP="00BC0D87">
            <w:pPr>
              <w:spacing w:after="0" w:line="240" w:lineRule="auto"/>
              <w:jc w:val="left"/>
              <w:rPr>
                <w:rFonts w:ascii="Arial" w:eastAsia="Times New Roman" w:hAnsi="Arial" w:cs="Arial"/>
                <w:sz w:val="16"/>
                <w:szCs w:val="16"/>
                <w:lang w:eastAsia="tr-TR"/>
              </w:rPr>
            </w:pPr>
            <w:r>
              <w:rPr>
                <w:rFonts w:ascii="Arial" w:eastAsia="Times New Roman" w:hAnsi="Arial" w:cs="Arial"/>
                <w:sz w:val="16"/>
                <w:szCs w:val="16"/>
                <w:lang w:eastAsia="tr-TR"/>
              </w:rPr>
              <w:t>Gayrimenkul Mal Bakım ve Onarım Giderleri</w:t>
            </w:r>
          </w:p>
        </w:tc>
        <w:tc>
          <w:tcPr>
            <w:tcW w:w="1340" w:type="dxa"/>
            <w:tcBorders>
              <w:top w:val="single" w:sz="4" w:space="0" w:color="auto"/>
              <w:left w:val="nil"/>
              <w:bottom w:val="single" w:sz="4" w:space="0" w:color="auto"/>
              <w:right w:val="single" w:sz="4" w:space="0" w:color="000000"/>
            </w:tcBorders>
            <w:noWrap/>
            <w:vAlign w:val="center"/>
            <w:hideMark/>
          </w:tcPr>
          <w:p w14:paraId="518F32CB"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0,00</w:t>
            </w:r>
          </w:p>
        </w:tc>
        <w:tc>
          <w:tcPr>
            <w:tcW w:w="1386" w:type="dxa"/>
            <w:tcBorders>
              <w:top w:val="single" w:sz="4" w:space="0" w:color="auto"/>
              <w:left w:val="nil"/>
              <w:bottom w:val="single" w:sz="4" w:space="0" w:color="auto"/>
              <w:right w:val="single" w:sz="4" w:space="0" w:color="auto"/>
            </w:tcBorders>
            <w:noWrap/>
            <w:vAlign w:val="center"/>
            <w:hideMark/>
          </w:tcPr>
          <w:p w14:paraId="7D9C6EAF"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239.844,00</w:t>
            </w:r>
          </w:p>
        </w:tc>
        <w:tc>
          <w:tcPr>
            <w:tcW w:w="1464" w:type="dxa"/>
            <w:tcBorders>
              <w:top w:val="single" w:sz="4" w:space="0" w:color="auto"/>
              <w:left w:val="nil"/>
              <w:bottom w:val="single" w:sz="4" w:space="0" w:color="auto"/>
              <w:right w:val="single" w:sz="4" w:space="0" w:color="auto"/>
            </w:tcBorders>
            <w:noWrap/>
            <w:vAlign w:val="center"/>
            <w:hideMark/>
          </w:tcPr>
          <w:p w14:paraId="754F20B7"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1.120.979,34</w:t>
            </w:r>
          </w:p>
        </w:tc>
        <w:tc>
          <w:tcPr>
            <w:tcW w:w="169" w:type="dxa"/>
            <w:noWrap/>
            <w:vAlign w:val="center"/>
            <w:hideMark/>
          </w:tcPr>
          <w:p w14:paraId="77A6F11B" w14:textId="77777777" w:rsidR="00F15C9A" w:rsidRDefault="00F15C9A" w:rsidP="00BC0D87">
            <w:pPr>
              <w:rPr>
                <w:rFonts w:ascii="Arial" w:eastAsia="Times New Roman" w:hAnsi="Arial" w:cs="Arial"/>
                <w:sz w:val="16"/>
                <w:szCs w:val="16"/>
                <w:lang w:eastAsia="tr-TR"/>
              </w:rPr>
            </w:pPr>
          </w:p>
        </w:tc>
        <w:tc>
          <w:tcPr>
            <w:tcW w:w="417" w:type="dxa"/>
            <w:tcBorders>
              <w:top w:val="nil"/>
              <w:left w:val="single" w:sz="4" w:space="0" w:color="auto"/>
              <w:bottom w:val="single" w:sz="4" w:space="0" w:color="auto"/>
              <w:right w:val="single" w:sz="4" w:space="0" w:color="auto"/>
            </w:tcBorders>
            <w:noWrap/>
            <w:vAlign w:val="center"/>
            <w:hideMark/>
          </w:tcPr>
          <w:p w14:paraId="5A7C96E9" w14:textId="77777777" w:rsidR="00F15C9A" w:rsidRDefault="00F15C9A" w:rsidP="00BC0D87">
            <w:pPr>
              <w:spacing w:after="0" w:line="240" w:lineRule="auto"/>
              <w:jc w:val="center"/>
              <w:rPr>
                <w:rFonts w:ascii="Arial" w:eastAsia="Times New Roman" w:hAnsi="Arial" w:cs="Arial"/>
                <w:b/>
                <w:bCs/>
                <w:sz w:val="16"/>
                <w:szCs w:val="16"/>
                <w:lang w:eastAsia="tr-TR"/>
              </w:rPr>
            </w:pPr>
            <w:r>
              <w:rPr>
                <w:rFonts w:ascii="Arial" w:eastAsia="Times New Roman" w:hAnsi="Arial" w:cs="Arial"/>
                <w:b/>
                <w:bCs/>
                <w:sz w:val="16"/>
                <w:szCs w:val="16"/>
                <w:lang w:eastAsia="tr-TR"/>
              </w:rPr>
              <w:t>610</w:t>
            </w:r>
          </w:p>
        </w:tc>
        <w:tc>
          <w:tcPr>
            <w:tcW w:w="229" w:type="dxa"/>
            <w:tcBorders>
              <w:top w:val="nil"/>
              <w:left w:val="nil"/>
              <w:bottom w:val="single" w:sz="4" w:space="0" w:color="auto"/>
              <w:right w:val="single" w:sz="4" w:space="0" w:color="auto"/>
            </w:tcBorders>
            <w:noWrap/>
            <w:vAlign w:val="center"/>
            <w:hideMark/>
          </w:tcPr>
          <w:p w14:paraId="78B65D74" w14:textId="77777777" w:rsidR="00F15C9A" w:rsidRDefault="00F15C9A" w:rsidP="00BC0D87">
            <w:pPr>
              <w:spacing w:after="0" w:line="240" w:lineRule="auto"/>
              <w:jc w:val="center"/>
              <w:rPr>
                <w:rFonts w:ascii="Arial" w:eastAsia="Times New Roman" w:hAnsi="Arial" w:cs="Arial"/>
                <w:b/>
                <w:bCs/>
                <w:sz w:val="16"/>
                <w:szCs w:val="16"/>
                <w:lang w:eastAsia="tr-TR"/>
              </w:rPr>
            </w:pPr>
            <w:r>
              <w:rPr>
                <w:rFonts w:ascii="Arial" w:eastAsia="Times New Roman" w:hAnsi="Arial" w:cs="Arial"/>
                <w:b/>
                <w:bCs/>
                <w:sz w:val="16"/>
                <w:szCs w:val="16"/>
                <w:lang w:eastAsia="tr-TR"/>
              </w:rPr>
              <w:t> </w:t>
            </w:r>
          </w:p>
        </w:tc>
        <w:tc>
          <w:tcPr>
            <w:tcW w:w="229" w:type="dxa"/>
            <w:tcBorders>
              <w:top w:val="nil"/>
              <w:left w:val="nil"/>
              <w:bottom w:val="single" w:sz="4" w:space="0" w:color="auto"/>
              <w:right w:val="single" w:sz="4" w:space="0" w:color="auto"/>
            </w:tcBorders>
            <w:noWrap/>
            <w:vAlign w:val="center"/>
            <w:hideMark/>
          </w:tcPr>
          <w:p w14:paraId="072C322A" w14:textId="77777777" w:rsidR="00F15C9A" w:rsidRDefault="00F15C9A" w:rsidP="00BC0D87">
            <w:pPr>
              <w:spacing w:after="0" w:line="240" w:lineRule="auto"/>
              <w:jc w:val="center"/>
              <w:rPr>
                <w:rFonts w:ascii="Arial" w:eastAsia="Times New Roman" w:hAnsi="Arial" w:cs="Arial"/>
                <w:b/>
                <w:bCs/>
                <w:sz w:val="16"/>
                <w:szCs w:val="16"/>
                <w:lang w:eastAsia="tr-TR"/>
              </w:rPr>
            </w:pPr>
            <w:r>
              <w:rPr>
                <w:rFonts w:ascii="Arial" w:eastAsia="Times New Roman" w:hAnsi="Arial" w:cs="Arial"/>
                <w:b/>
                <w:bCs/>
                <w:sz w:val="16"/>
                <w:szCs w:val="16"/>
                <w:lang w:eastAsia="tr-TR"/>
              </w:rPr>
              <w:t> </w:t>
            </w:r>
          </w:p>
        </w:tc>
        <w:tc>
          <w:tcPr>
            <w:tcW w:w="229" w:type="dxa"/>
            <w:tcBorders>
              <w:top w:val="nil"/>
              <w:left w:val="nil"/>
              <w:bottom w:val="single" w:sz="4" w:space="0" w:color="auto"/>
              <w:right w:val="single" w:sz="4" w:space="0" w:color="auto"/>
            </w:tcBorders>
            <w:noWrap/>
            <w:vAlign w:val="center"/>
            <w:hideMark/>
          </w:tcPr>
          <w:p w14:paraId="458D3506" w14:textId="77777777" w:rsidR="00F15C9A" w:rsidRDefault="00F15C9A" w:rsidP="00BC0D87">
            <w:pPr>
              <w:spacing w:after="0" w:line="240" w:lineRule="auto"/>
              <w:jc w:val="center"/>
              <w:rPr>
                <w:rFonts w:ascii="Arial" w:eastAsia="Times New Roman" w:hAnsi="Arial" w:cs="Arial"/>
                <w:b/>
                <w:bCs/>
                <w:sz w:val="16"/>
                <w:szCs w:val="16"/>
                <w:lang w:eastAsia="tr-TR"/>
              </w:rPr>
            </w:pPr>
            <w:r>
              <w:rPr>
                <w:rFonts w:ascii="Arial" w:eastAsia="Times New Roman" w:hAnsi="Arial" w:cs="Arial"/>
                <w:b/>
                <w:bCs/>
                <w:sz w:val="16"/>
                <w:szCs w:val="16"/>
                <w:lang w:eastAsia="tr-TR"/>
              </w:rPr>
              <w:t> </w:t>
            </w:r>
          </w:p>
        </w:tc>
        <w:tc>
          <w:tcPr>
            <w:tcW w:w="318" w:type="dxa"/>
            <w:tcBorders>
              <w:top w:val="nil"/>
              <w:left w:val="nil"/>
              <w:bottom w:val="single" w:sz="4" w:space="0" w:color="auto"/>
              <w:right w:val="single" w:sz="4" w:space="0" w:color="auto"/>
            </w:tcBorders>
            <w:noWrap/>
            <w:vAlign w:val="center"/>
            <w:hideMark/>
          </w:tcPr>
          <w:p w14:paraId="5537F0C2" w14:textId="77777777" w:rsidR="00F15C9A" w:rsidRDefault="00F15C9A" w:rsidP="00BC0D87">
            <w:pPr>
              <w:spacing w:after="0" w:line="240" w:lineRule="auto"/>
              <w:jc w:val="center"/>
              <w:rPr>
                <w:rFonts w:ascii="Arial" w:eastAsia="Times New Roman" w:hAnsi="Arial" w:cs="Arial"/>
                <w:b/>
                <w:bCs/>
                <w:sz w:val="16"/>
                <w:szCs w:val="16"/>
                <w:lang w:eastAsia="tr-TR"/>
              </w:rPr>
            </w:pPr>
            <w:r>
              <w:rPr>
                <w:rFonts w:ascii="Arial" w:eastAsia="Times New Roman" w:hAnsi="Arial" w:cs="Arial"/>
                <w:b/>
                <w:bCs/>
                <w:sz w:val="16"/>
                <w:szCs w:val="16"/>
                <w:lang w:eastAsia="tr-TR"/>
              </w:rPr>
              <w:t> </w:t>
            </w:r>
          </w:p>
        </w:tc>
        <w:tc>
          <w:tcPr>
            <w:tcW w:w="2410" w:type="dxa"/>
            <w:gridSpan w:val="4"/>
            <w:tcBorders>
              <w:top w:val="single" w:sz="4" w:space="0" w:color="auto"/>
              <w:left w:val="nil"/>
              <w:bottom w:val="single" w:sz="4" w:space="0" w:color="auto"/>
              <w:right w:val="single" w:sz="4" w:space="0" w:color="auto"/>
            </w:tcBorders>
            <w:vAlign w:val="center"/>
            <w:hideMark/>
          </w:tcPr>
          <w:p w14:paraId="5E1C2A8D" w14:textId="77777777" w:rsidR="00F15C9A" w:rsidRDefault="00F15C9A" w:rsidP="00BC0D87">
            <w:pPr>
              <w:spacing w:after="0" w:line="240" w:lineRule="auto"/>
              <w:jc w:val="left"/>
              <w:rPr>
                <w:rFonts w:ascii="Arial" w:eastAsia="Times New Roman" w:hAnsi="Arial" w:cs="Arial"/>
                <w:b/>
                <w:bCs/>
                <w:sz w:val="16"/>
                <w:szCs w:val="16"/>
                <w:lang w:eastAsia="tr-TR"/>
              </w:rPr>
            </w:pPr>
            <w:r>
              <w:rPr>
                <w:rFonts w:ascii="Arial" w:eastAsia="Times New Roman" w:hAnsi="Arial" w:cs="Arial"/>
                <w:b/>
                <w:bCs/>
                <w:sz w:val="16"/>
                <w:szCs w:val="16"/>
                <w:lang w:eastAsia="tr-TR"/>
              </w:rPr>
              <w:t>İNDİRİM, İADE VE İSKONTOLAR HESABI</w:t>
            </w:r>
          </w:p>
        </w:tc>
        <w:tc>
          <w:tcPr>
            <w:tcW w:w="1346" w:type="dxa"/>
            <w:gridSpan w:val="2"/>
            <w:tcBorders>
              <w:top w:val="single" w:sz="4" w:space="0" w:color="auto"/>
              <w:left w:val="nil"/>
              <w:bottom w:val="single" w:sz="4" w:space="0" w:color="auto"/>
              <w:right w:val="single" w:sz="4" w:space="0" w:color="auto"/>
            </w:tcBorders>
            <w:noWrap/>
            <w:vAlign w:val="center"/>
            <w:hideMark/>
          </w:tcPr>
          <w:p w14:paraId="79994886" w14:textId="77777777" w:rsidR="00F15C9A" w:rsidRDefault="00F15C9A" w:rsidP="00BC0D87">
            <w:pPr>
              <w:spacing w:after="0" w:line="240" w:lineRule="auto"/>
              <w:jc w:val="right"/>
              <w:rPr>
                <w:rFonts w:ascii="Arial" w:eastAsia="Times New Roman" w:hAnsi="Arial" w:cs="Arial"/>
                <w:b/>
                <w:bCs/>
                <w:sz w:val="16"/>
                <w:szCs w:val="16"/>
                <w:lang w:eastAsia="tr-TR"/>
              </w:rPr>
            </w:pPr>
            <w:r>
              <w:rPr>
                <w:rFonts w:ascii="Arial" w:eastAsia="Times New Roman" w:hAnsi="Arial" w:cs="Arial"/>
                <w:b/>
                <w:bCs/>
                <w:sz w:val="16"/>
                <w:szCs w:val="16"/>
                <w:lang w:eastAsia="tr-TR"/>
              </w:rPr>
              <w:t>11.945.566,81</w:t>
            </w:r>
          </w:p>
        </w:tc>
        <w:tc>
          <w:tcPr>
            <w:tcW w:w="1386" w:type="dxa"/>
            <w:gridSpan w:val="2"/>
            <w:tcBorders>
              <w:top w:val="single" w:sz="4" w:space="0" w:color="auto"/>
              <w:left w:val="nil"/>
              <w:bottom w:val="single" w:sz="4" w:space="0" w:color="auto"/>
              <w:right w:val="single" w:sz="4" w:space="0" w:color="auto"/>
            </w:tcBorders>
            <w:noWrap/>
            <w:vAlign w:val="center"/>
            <w:hideMark/>
          </w:tcPr>
          <w:p w14:paraId="08802CB4" w14:textId="77777777" w:rsidR="00F15C9A" w:rsidRDefault="00F15C9A" w:rsidP="00BC0D87">
            <w:pPr>
              <w:spacing w:after="0" w:line="240" w:lineRule="auto"/>
              <w:jc w:val="right"/>
              <w:rPr>
                <w:rFonts w:ascii="Arial" w:eastAsia="Times New Roman" w:hAnsi="Arial" w:cs="Arial"/>
                <w:b/>
                <w:bCs/>
                <w:sz w:val="16"/>
                <w:szCs w:val="16"/>
                <w:lang w:eastAsia="tr-TR"/>
              </w:rPr>
            </w:pPr>
            <w:r>
              <w:rPr>
                <w:rFonts w:ascii="Arial" w:eastAsia="Times New Roman" w:hAnsi="Arial" w:cs="Arial"/>
                <w:b/>
                <w:bCs/>
                <w:sz w:val="16"/>
                <w:szCs w:val="16"/>
                <w:lang w:eastAsia="tr-TR"/>
              </w:rPr>
              <w:t>12.088.844,54</w:t>
            </w:r>
          </w:p>
        </w:tc>
        <w:tc>
          <w:tcPr>
            <w:tcW w:w="1529" w:type="dxa"/>
            <w:gridSpan w:val="2"/>
            <w:tcBorders>
              <w:top w:val="single" w:sz="4" w:space="0" w:color="auto"/>
              <w:left w:val="nil"/>
              <w:bottom w:val="single" w:sz="4" w:space="0" w:color="auto"/>
              <w:right w:val="single" w:sz="4" w:space="0" w:color="auto"/>
            </w:tcBorders>
            <w:noWrap/>
            <w:vAlign w:val="center"/>
            <w:hideMark/>
          </w:tcPr>
          <w:p w14:paraId="383F97C9" w14:textId="77777777" w:rsidR="00F15C9A" w:rsidRDefault="00F15C9A" w:rsidP="00BC0D87">
            <w:pPr>
              <w:spacing w:after="0" w:line="240" w:lineRule="auto"/>
              <w:jc w:val="right"/>
              <w:rPr>
                <w:rFonts w:ascii="Arial" w:eastAsia="Times New Roman" w:hAnsi="Arial" w:cs="Arial"/>
                <w:b/>
                <w:bCs/>
                <w:sz w:val="16"/>
                <w:szCs w:val="16"/>
                <w:lang w:eastAsia="tr-TR"/>
              </w:rPr>
            </w:pPr>
            <w:r>
              <w:rPr>
                <w:rFonts w:ascii="Arial" w:eastAsia="Times New Roman" w:hAnsi="Arial" w:cs="Arial"/>
                <w:b/>
                <w:bCs/>
                <w:sz w:val="16"/>
                <w:szCs w:val="16"/>
                <w:lang w:eastAsia="tr-TR"/>
              </w:rPr>
              <w:t>27.815.060,67</w:t>
            </w:r>
          </w:p>
        </w:tc>
      </w:tr>
      <w:tr w:rsidR="00F15C9A" w14:paraId="35E4000C" w14:textId="77777777" w:rsidTr="00F15C9A">
        <w:trPr>
          <w:trHeight w:val="369"/>
        </w:trPr>
        <w:tc>
          <w:tcPr>
            <w:tcW w:w="438" w:type="dxa"/>
            <w:tcBorders>
              <w:top w:val="nil"/>
              <w:left w:val="single" w:sz="4" w:space="0" w:color="auto"/>
              <w:bottom w:val="single" w:sz="4" w:space="0" w:color="auto"/>
              <w:right w:val="single" w:sz="4" w:space="0" w:color="auto"/>
            </w:tcBorders>
            <w:noWrap/>
            <w:vAlign w:val="center"/>
            <w:hideMark/>
          </w:tcPr>
          <w:p w14:paraId="1C67BA1C" w14:textId="77777777" w:rsidR="00F15C9A" w:rsidRDefault="00F15C9A" w:rsidP="00BC0D87">
            <w:pPr>
              <w:spacing w:after="0" w:line="240" w:lineRule="auto"/>
              <w:jc w:val="center"/>
              <w:rPr>
                <w:rFonts w:ascii="Arial" w:eastAsia="Times New Roman" w:hAnsi="Arial" w:cs="Arial"/>
                <w:b/>
                <w:bCs/>
                <w:sz w:val="16"/>
                <w:szCs w:val="16"/>
                <w:lang w:eastAsia="tr-TR"/>
              </w:rPr>
            </w:pPr>
            <w:r>
              <w:rPr>
                <w:rFonts w:ascii="Arial" w:eastAsia="Times New Roman" w:hAnsi="Arial" w:cs="Arial"/>
                <w:b/>
                <w:bCs/>
                <w:sz w:val="16"/>
                <w:szCs w:val="16"/>
                <w:lang w:eastAsia="tr-TR"/>
              </w:rPr>
              <w:t>630</w:t>
            </w:r>
          </w:p>
        </w:tc>
        <w:tc>
          <w:tcPr>
            <w:tcW w:w="318" w:type="dxa"/>
            <w:tcBorders>
              <w:top w:val="nil"/>
              <w:left w:val="nil"/>
              <w:bottom w:val="single" w:sz="4" w:space="0" w:color="auto"/>
              <w:right w:val="single" w:sz="4" w:space="0" w:color="auto"/>
            </w:tcBorders>
            <w:noWrap/>
            <w:vAlign w:val="center"/>
            <w:hideMark/>
          </w:tcPr>
          <w:p w14:paraId="525B89C8" w14:textId="77777777" w:rsidR="00F15C9A" w:rsidRDefault="00F15C9A" w:rsidP="00BC0D87">
            <w:pPr>
              <w:spacing w:after="0" w:line="240" w:lineRule="auto"/>
              <w:jc w:val="center"/>
              <w:rPr>
                <w:rFonts w:ascii="Arial" w:eastAsia="Times New Roman" w:hAnsi="Arial" w:cs="Arial"/>
                <w:b/>
                <w:bCs/>
                <w:sz w:val="16"/>
                <w:szCs w:val="16"/>
                <w:lang w:eastAsia="tr-TR"/>
              </w:rPr>
            </w:pPr>
            <w:r>
              <w:rPr>
                <w:rFonts w:ascii="Arial" w:eastAsia="Times New Roman" w:hAnsi="Arial" w:cs="Arial"/>
                <w:b/>
                <w:bCs/>
                <w:sz w:val="16"/>
                <w:szCs w:val="16"/>
                <w:lang w:eastAsia="tr-TR"/>
              </w:rPr>
              <w:t>5</w:t>
            </w:r>
          </w:p>
        </w:tc>
        <w:tc>
          <w:tcPr>
            <w:tcW w:w="349" w:type="dxa"/>
            <w:tcBorders>
              <w:top w:val="nil"/>
              <w:left w:val="nil"/>
              <w:bottom w:val="single" w:sz="4" w:space="0" w:color="auto"/>
              <w:right w:val="single" w:sz="4" w:space="0" w:color="auto"/>
            </w:tcBorders>
            <w:noWrap/>
            <w:vAlign w:val="center"/>
            <w:hideMark/>
          </w:tcPr>
          <w:p w14:paraId="1CC18DAF"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 </w:t>
            </w:r>
          </w:p>
        </w:tc>
        <w:tc>
          <w:tcPr>
            <w:tcW w:w="2542" w:type="dxa"/>
            <w:tcBorders>
              <w:top w:val="single" w:sz="4" w:space="0" w:color="auto"/>
              <w:left w:val="nil"/>
              <w:bottom w:val="single" w:sz="4" w:space="0" w:color="auto"/>
              <w:right w:val="single" w:sz="4" w:space="0" w:color="auto"/>
            </w:tcBorders>
            <w:noWrap/>
            <w:vAlign w:val="center"/>
            <w:hideMark/>
          </w:tcPr>
          <w:p w14:paraId="486525C0" w14:textId="77777777" w:rsidR="00F15C9A" w:rsidRDefault="00F15C9A" w:rsidP="00BC0D87">
            <w:pPr>
              <w:spacing w:after="0" w:line="240" w:lineRule="auto"/>
              <w:jc w:val="left"/>
              <w:rPr>
                <w:rFonts w:ascii="Arial" w:eastAsia="Times New Roman" w:hAnsi="Arial" w:cs="Arial"/>
                <w:b/>
                <w:bCs/>
                <w:sz w:val="16"/>
                <w:szCs w:val="16"/>
                <w:lang w:eastAsia="tr-TR"/>
              </w:rPr>
            </w:pPr>
            <w:r>
              <w:rPr>
                <w:rFonts w:ascii="Arial" w:eastAsia="Times New Roman" w:hAnsi="Arial" w:cs="Arial"/>
                <w:b/>
                <w:bCs/>
                <w:sz w:val="16"/>
                <w:szCs w:val="16"/>
                <w:lang w:eastAsia="tr-TR"/>
              </w:rPr>
              <w:t>Cari Transferler</w:t>
            </w:r>
          </w:p>
        </w:tc>
        <w:tc>
          <w:tcPr>
            <w:tcW w:w="1340" w:type="dxa"/>
            <w:tcBorders>
              <w:top w:val="single" w:sz="4" w:space="0" w:color="auto"/>
              <w:left w:val="nil"/>
              <w:bottom w:val="single" w:sz="4" w:space="0" w:color="auto"/>
              <w:right w:val="single" w:sz="4" w:space="0" w:color="000000"/>
            </w:tcBorders>
            <w:noWrap/>
            <w:vAlign w:val="center"/>
            <w:hideMark/>
          </w:tcPr>
          <w:p w14:paraId="6B6612E9" w14:textId="77777777" w:rsidR="00F15C9A" w:rsidRDefault="00F15C9A" w:rsidP="00BC0D87">
            <w:pPr>
              <w:spacing w:after="0" w:line="240" w:lineRule="auto"/>
              <w:jc w:val="right"/>
              <w:rPr>
                <w:rFonts w:ascii="Arial" w:eastAsia="Times New Roman" w:hAnsi="Arial" w:cs="Arial"/>
                <w:b/>
                <w:bCs/>
                <w:sz w:val="16"/>
                <w:szCs w:val="16"/>
                <w:lang w:eastAsia="tr-TR"/>
              </w:rPr>
            </w:pPr>
            <w:r>
              <w:rPr>
                <w:rFonts w:ascii="Arial" w:eastAsia="Times New Roman" w:hAnsi="Arial" w:cs="Arial"/>
                <w:b/>
                <w:bCs/>
                <w:sz w:val="16"/>
                <w:szCs w:val="16"/>
                <w:lang w:eastAsia="tr-TR"/>
              </w:rPr>
              <w:t>468.691.708,18</w:t>
            </w:r>
          </w:p>
        </w:tc>
        <w:tc>
          <w:tcPr>
            <w:tcW w:w="1386" w:type="dxa"/>
            <w:tcBorders>
              <w:top w:val="single" w:sz="4" w:space="0" w:color="auto"/>
              <w:left w:val="nil"/>
              <w:bottom w:val="single" w:sz="4" w:space="0" w:color="auto"/>
              <w:right w:val="single" w:sz="4" w:space="0" w:color="auto"/>
            </w:tcBorders>
            <w:noWrap/>
            <w:vAlign w:val="center"/>
            <w:hideMark/>
          </w:tcPr>
          <w:p w14:paraId="45F05E85" w14:textId="77777777" w:rsidR="00F15C9A" w:rsidRDefault="00F15C9A" w:rsidP="00BC0D87">
            <w:pPr>
              <w:spacing w:after="0" w:line="240" w:lineRule="auto"/>
              <w:jc w:val="right"/>
              <w:rPr>
                <w:rFonts w:ascii="Arial" w:eastAsia="Times New Roman" w:hAnsi="Arial" w:cs="Arial"/>
                <w:b/>
                <w:bCs/>
                <w:sz w:val="16"/>
                <w:szCs w:val="16"/>
                <w:lang w:eastAsia="tr-TR"/>
              </w:rPr>
            </w:pPr>
            <w:r>
              <w:rPr>
                <w:rFonts w:ascii="Arial" w:eastAsia="Times New Roman" w:hAnsi="Arial" w:cs="Arial"/>
                <w:b/>
                <w:bCs/>
                <w:sz w:val="16"/>
                <w:szCs w:val="16"/>
                <w:lang w:eastAsia="tr-TR"/>
              </w:rPr>
              <w:t>823.642.076,58</w:t>
            </w:r>
          </w:p>
        </w:tc>
        <w:tc>
          <w:tcPr>
            <w:tcW w:w="1464" w:type="dxa"/>
            <w:tcBorders>
              <w:top w:val="single" w:sz="4" w:space="0" w:color="auto"/>
              <w:left w:val="nil"/>
              <w:bottom w:val="single" w:sz="4" w:space="0" w:color="auto"/>
              <w:right w:val="single" w:sz="4" w:space="0" w:color="auto"/>
            </w:tcBorders>
            <w:noWrap/>
            <w:vAlign w:val="center"/>
            <w:hideMark/>
          </w:tcPr>
          <w:p w14:paraId="3166E11E" w14:textId="77777777" w:rsidR="00F15C9A" w:rsidRDefault="00F15C9A" w:rsidP="00BC0D87">
            <w:pPr>
              <w:spacing w:after="0" w:line="240" w:lineRule="auto"/>
              <w:jc w:val="right"/>
              <w:rPr>
                <w:rFonts w:ascii="Arial" w:eastAsia="Times New Roman" w:hAnsi="Arial" w:cs="Arial"/>
                <w:b/>
                <w:bCs/>
                <w:sz w:val="16"/>
                <w:szCs w:val="16"/>
                <w:lang w:eastAsia="tr-TR"/>
              </w:rPr>
            </w:pPr>
            <w:r>
              <w:rPr>
                <w:rFonts w:ascii="Arial" w:eastAsia="Times New Roman" w:hAnsi="Arial" w:cs="Arial"/>
                <w:b/>
                <w:bCs/>
                <w:sz w:val="16"/>
                <w:szCs w:val="16"/>
                <w:lang w:eastAsia="tr-TR"/>
              </w:rPr>
              <w:t>975.982.978,26</w:t>
            </w:r>
          </w:p>
        </w:tc>
        <w:tc>
          <w:tcPr>
            <w:tcW w:w="169" w:type="dxa"/>
            <w:noWrap/>
            <w:vAlign w:val="center"/>
            <w:hideMark/>
          </w:tcPr>
          <w:p w14:paraId="52D71CB4" w14:textId="77777777" w:rsidR="00F15C9A" w:rsidRDefault="00F15C9A" w:rsidP="00BC0D87">
            <w:pPr>
              <w:rPr>
                <w:rFonts w:ascii="Arial" w:eastAsia="Times New Roman" w:hAnsi="Arial" w:cs="Arial"/>
                <w:b/>
                <w:bCs/>
                <w:sz w:val="16"/>
                <w:szCs w:val="16"/>
                <w:lang w:eastAsia="tr-TR"/>
              </w:rPr>
            </w:pPr>
          </w:p>
        </w:tc>
        <w:tc>
          <w:tcPr>
            <w:tcW w:w="417" w:type="dxa"/>
            <w:tcBorders>
              <w:top w:val="nil"/>
              <w:left w:val="single" w:sz="4" w:space="0" w:color="auto"/>
              <w:bottom w:val="single" w:sz="4" w:space="0" w:color="auto"/>
              <w:right w:val="single" w:sz="4" w:space="0" w:color="auto"/>
            </w:tcBorders>
            <w:noWrap/>
            <w:vAlign w:val="center"/>
            <w:hideMark/>
          </w:tcPr>
          <w:p w14:paraId="2175194F" w14:textId="77777777" w:rsidR="00F15C9A" w:rsidRDefault="00F15C9A" w:rsidP="00BC0D87">
            <w:pPr>
              <w:spacing w:after="0" w:line="240" w:lineRule="auto"/>
              <w:jc w:val="center"/>
              <w:rPr>
                <w:rFonts w:ascii="Arial" w:eastAsia="Times New Roman" w:hAnsi="Arial" w:cs="Arial"/>
                <w:b/>
                <w:bCs/>
                <w:sz w:val="16"/>
                <w:szCs w:val="16"/>
                <w:lang w:eastAsia="tr-TR"/>
              </w:rPr>
            </w:pPr>
            <w:r>
              <w:rPr>
                <w:rFonts w:ascii="Arial" w:eastAsia="Times New Roman" w:hAnsi="Arial" w:cs="Arial"/>
                <w:b/>
                <w:bCs/>
                <w:sz w:val="16"/>
                <w:szCs w:val="16"/>
                <w:lang w:eastAsia="tr-TR"/>
              </w:rPr>
              <w:t>610</w:t>
            </w:r>
          </w:p>
        </w:tc>
        <w:tc>
          <w:tcPr>
            <w:tcW w:w="229" w:type="dxa"/>
            <w:tcBorders>
              <w:top w:val="nil"/>
              <w:left w:val="nil"/>
              <w:bottom w:val="single" w:sz="4" w:space="0" w:color="auto"/>
              <w:right w:val="single" w:sz="4" w:space="0" w:color="auto"/>
            </w:tcBorders>
            <w:noWrap/>
            <w:vAlign w:val="center"/>
            <w:hideMark/>
          </w:tcPr>
          <w:p w14:paraId="24589F1A" w14:textId="77777777" w:rsidR="00F15C9A" w:rsidRDefault="00F15C9A" w:rsidP="00BC0D87">
            <w:pPr>
              <w:spacing w:after="0" w:line="240" w:lineRule="auto"/>
              <w:jc w:val="center"/>
              <w:rPr>
                <w:rFonts w:ascii="Arial" w:eastAsia="Times New Roman" w:hAnsi="Arial" w:cs="Arial"/>
                <w:b/>
                <w:bCs/>
                <w:sz w:val="16"/>
                <w:szCs w:val="16"/>
                <w:lang w:eastAsia="tr-TR"/>
              </w:rPr>
            </w:pPr>
            <w:r>
              <w:rPr>
                <w:rFonts w:ascii="Arial" w:eastAsia="Times New Roman" w:hAnsi="Arial" w:cs="Arial"/>
                <w:b/>
                <w:bCs/>
                <w:sz w:val="16"/>
                <w:szCs w:val="16"/>
                <w:lang w:eastAsia="tr-TR"/>
              </w:rPr>
              <w:t>3</w:t>
            </w:r>
          </w:p>
        </w:tc>
        <w:tc>
          <w:tcPr>
            <w:tcW w:w="229" w:type="dxa"/>
            <w:tcBorders>
              <w:top w:val="nil"/>
              <w:left w:val="nil"/>
              <w:bottom w:val="single" w:sz="4" w:space="0" w:color="auto"/>
              <w:right w:val="single" w:sz="4" w:space="0" w:color="auto"/>
            </w:tcBorders>
            <w:noWrap/>
            <w:vAlign w:val="center"/>
            <w:hideMark/>
          </w:tcPr>
          <w:p w14:paraId="76DC7325" w14:textId="77777777" w:rsidR="00F15C9A" w:rsidRDefault="00F15C9A" w:rsidP="00BC0D87">
            <w:pPr>
              <w:spacing w:after="0" w:line="240" w:lineRule="auto"/>
              <w:jc w:val="center"/>
              <w:rPr>
                <w:rFonts w:ascii="Arial" w:eastAsia="Times New Roman" w:hAnsi="Arial" w:cs="Arial"/>
                <w:b/>
                <w:bCs/>
                <w:sz w:val="16"/>
                <w:szCs w:val="16"/>
                <w:lang w:eastAsia="tr-TR"/>
              </w:rPr>
            </w:pPr>
            <w:r>
              <w:rPr>
                <w:rFonts w:ascii="Arial" w:eastAsia="Times New Roman" w:hAnsi="Arial" w:cs="Arial"/>
                <w:b/>
                <w:bCs/>
                <w:sz w:val="16"/>
                <w:szCs w:val="16"/>
                <w:lang w:eastAsia="tr-TR"/>
              </w:rPr>
              <w:t> </w:t>
            </w:r>
          </w:p>
        </w:tc>
        <w:tc>
          <w:tcPr>
            <w:tcW w:w="229" w:type="dxa"/>
            <w:tcBorders>
              <w:top w:val="nil"/>
              <w:left w:val="nil"/>
              <w:bottom w:val="single" w:sz="4" w:space="0" w:color="auto"/>
              <w:right w:val="single" w:sz="4" w:space="0" w:color="auto"/>
            </w:tcBorders>
            <w:noWrap/>
            <w:vAlign w:val="center"/>
            <w:hideMark/>
          </w:tcPr>
          <w:p w14:paraId="023A5652" w14:textId="77777777" w:rsidR="00F15C9A" w:rsidRDefault="00F15C9A" w:rsidP="00BC0D87">
            <w:pPr>
              <w:spacing w:after="0" w:line="240" w:lineRule="auto"/>
              <w:jc w:val="center"/>
              <w:rPr>
                <w:rFonts w:ascii="Arial" w:eastAsia="Times New Roman" w:hAnsi="Arial" w:cs="Arial"/>
                <w:b/>
                <w:bCs/>
                <w:sz w:val="16"/>
                <w:szCs w:val="16"/>
                <w:lang w:eastAsia="tr-TR"/>
              </w:rPr>
            </w:pPr>
            <w:r>
              <w:rPr>
                <w:rFonts w:ascii="Arial" w:eastAsia="Times New Roman" w:hAnsi="Arial" w:cs="Arial"/>
                <w:b/>
                <w:bCs/>
                <w:sz w:val="16"/>
                <w:szCs w:val="16"/>
                <w:lang w:eastAsia="tr-TR"/>
              </w:rPr>
              <w:t> </w:t>
            </w:r>
          </w:p>
        </w:tc>
        <w:tc>
          <w:tcPr>
            <w:tcW w:w="318" w:type="dxa"/>
            <w:tcBorders>
              <w:top w:val="nil"/>
              <w:left w:val="nil"/>
              <w:bottom w:val="single" w:sz="4" w:space="0" w:color="auto"/>
              <w:right w:val="single" w:sz="4" w:space="0" w:color="auto"/>
            </w:tcBorders>
            <w:noWrap/>
            <w:vAlign w:val="center"/>
            <w:hideMark/>
          </w:tcPr>
          <w:p w14:paraId="130E2F48" w14:textId="77777777" w:rsidR="00F15C9A" w:rsidRDefault="00F15C9A" w:rsidP="00BC0D87">
            <w:pPr>
              <w:spacing w:after="0" w:line="240" w:lineRule="auto"/>
              <w:jc w:val="center"/>
              <w:rPr>
                <w:rFonts w:ascii="Arial" w:eastAsia="Times New Roman" w:hAnsi="Arial" w:cs="Arial"/>
                <w:b/>
                <w:bCs/>
                <w:sz w:val="16"/>
                <w:szCs w:val="16"/>
                <w:lang w:eastAsia="tr-TR"/>
              </w:rPr>
            </w:pPr>
            <w:r>
              <w:rPr>
                <w:rFonts w:ascii="Arial" w:eastAsia="Times New Roman" w:hAnsi="Arial" w:cs="Arial"/>
                <w:b/>
                <w:bCs/>
                <w:sz w:val="16"/>
                <w:szCs w:val="16"/>
                <w:lang w:eastAsia="tr-TR"/>
              </w:rPr>
              <w:t> </w:t>
            </w:r>
          </w:p>
        </w:tc>
        <w:tc>
          <w:tcPr>
            <w:tcW w:w="2410" w:type="dxa"/>
            <w:gridSpan w:val="4"/>
            <w:tcBorders>
              <w:top w:val="single" w:sz="4" w:space="0" w:color="auto"/>
              <w:left w:val="nil"/>
              <w:bottom w:val="single" w:sz="4" w:space="0" w:color="auto"/>
              <w:right w:val="single" w:sz="4" w:space="0" w:color="auto"/>
            </w:tcBorders>
            <w:noWrap/>
            <w:vAlign w:val="center"/>
            <w:hideMark/>
          </w:tcPr>
          <w:p w14:paraId="22388612" w14:textId="77777777" w:rsidR="00F15C9A" w:rsidRDefault="00F15C9A" w:rsidP="00BC0D87">
            <w:pPr>
              <w:spacing w:after="0" w:line="240" w:lineRule="auto"/>
              <w:jc w:val="left"/>
              <w:rPr>
                <w:rFonts w:ascii="Arial" w:eastAsia="Times New Roman" w:hAnsi="Arial" w:cs="Arial"/>
                <w:b/>
                <w:bCs/>
                <w:sz w:val="16"/>
                <w:szCs w:val="16"/>
                <w:lang w:eastAsia="tr-TR"/>
              </w:rPr>
            </w:pPr>
            <w:r>
              <w:rPr>
                <w:rFonts w:ascii="Arial" w:eastAsia="Times New Roman" w:hAnsi="Arial" w:cs="Arial"/>
                <w:b/>
                <w:bCs/>
                <w:sz w:val="16"/>
                <w:szCs w:val="16"/>
                <w:lang w:eastAsia="tr-TR"/>
              </w:rPr>
              <w:t>Teşebbüs ve Mülkiyet Gelirleri</w:t>
            </w:r>
          </w:p>
        </w:tc>
        <w:tc>
          <w:tcPr>
            <w:tcW w:w="1346" w:type="dxa"/>
            <w:gridSpan w:val="2"/>
            <w:tcBorders>
              <w:top w:val="single" w:sz="4" w:space="0" w:color="auto"/>
              <w:left w:val="nil"/>
              <w:bottom w:val="single" w:sz="4" w:space="0" w:color="auto"/>
              <w:right w:val="single" w:sz="4" w:space="0" w:color="auto"/>
            </w:tcBorders>
            <w:noWrap/>
            <w:vAlign w:val="center"/>
            <w:hideMark/>
          </w:tcPr>
          <w:p w14:paraId="6D7C31C2" w14:textId="77777777" w:rsidR="00F15C9A" w:rsidRDefault="00F15C9A" w:rsidP="00BC0D87">
            <w:pPr>
              <w:spacing w:after="0" w:line="240" w:lineRule="auto"/>
              <w:jc w:val="right"/>
              <w:rPr>
                <w:rFonts w:ascii="Arial" w:eastAsia="Times New Roman" w:hAnsi="Arial" w:cs="Arial"/>
                <w:b/>
                <w:bCs/>
                <w:sz w:val="16"/>
                <w:szCs w:val="16"/>
                <w:lang w:eastAsia="tr-TR"/>
              </w:rPr>
            </w:pPr>
            <w:r>
              <w:rPr>
                <w:rFonts w:ascii="Arial" w:eastAsia="Times New Roman" w:hAnsi="Arial" w:cs="Arial"/>
                <w:b/>
                <w:bCs/>
                <w:sz w:val="16"/>
                <w:szCs w:val="16"/>
                <w:lang w:eastAsia="tr-TR"/>
              </w:rPr>
              <w:t>8.578.377,62</w:t>
            </w:r>
          </w:p>
        </w:tc>
        <w:tc>
          <w:tcPr>
            <w:tcW w:w="1386" w:type="dxa"/>
            <w:gridSpan w:val="2"/>
            <w:tcBorders>
              <w:top w:val="single" w:sz="4" w:space="0" w:color="auto"/>
              <w:left w:val="nil"/>
              <w:bottom w:val="single" w:sz="4" w:space="0" w:color="auto"/>
              <w:right w:val="single" w:sz="4" w:space="0" w:color="auto"/>
            </w:tcBorders>
            <w:noWrap/>
            <w:vAlign w:val="center"/>
            <w:hideMark/>
          </w:tcPr>
          <w:p w14:paraId="508DDBC8" w14:textId="77777777" w:rsidR="00F15C9A" w:rsidRDefault="00F15C9A" w:rsidP="00BC0D87">
            <w:pPr>
              <w:spacing w:after="0" w:line="240" w:lineRule="auto"/>
              <w:jc w:val="right"/>
              <w:rPr>
                <w:rFonts w:ascii="Arial" w:eastAsia="Times New Roman" w:hAnsi="Arial" w:cs="Arial"/>
                <w:b/>
                <w:bCs/>
                <w:sz w:val="16"/>
                <w:szCs w:val="16"/>
                <w:lang w:eastAsia="tr-TR"/>
              </w:rPr>
            </w:pPr>
            <w:r>
              <w:rPr>
                <w:rFonts w:ascii="Arial" w:eastAsia="Times New Roman" w:hAnsi="Arial" w:cs="Arial"/>
                <w:b/>
                <w:bCs/>
                <w:sz w:val="16"/>
                <w:szCs w:val="16"/>
                <w:lang w:eastAsia="tr-TR"/>
              </w:rPr>
              <w:t>9.651.261,29</w:t>
            </w:r>
          </w:p>
        </w:tc>
        <w:tc>
          <w:tcPr>
            <w:tcW w:w="1529" w:type="dxa"/>
            <w:gridSpan w:val="2"/>
            <w:tcBorders>
              <w:top w:val="single" w:sz="4" w:space="0" w:color="auto"/>
              <w:left w:val="nil"/>
              <w:bottom w:val="single" w:sz="4" w:space="0" w:color="auto"/>
              <w:right w:val="single" w:sz="4" w:space="0" w:color="auto"/>
            </w:tcBorders>
            <w:noWrap/>
            <w:vAlign w:val="center"/>
            <w:hideMark/>
          </w:tcPr>
          <w:p w14:paraId="6D356EAE" w14:textId="77777777" w:rsidR="00F15C9A" w:rsidRDefault="00F15C9A" w:rsidP="00BC0D87">
            <w:pPr>
              <w:spacing w:after="0" w:line="240" w:lineRule="auto"/>
              <w:jc w:val="right"/>
              <w:rPr>
                <w:rFonts w:ascii="Arial" w:eastAsia="Times New Roman" w:hAnsi="Arial" w:cs="Arial"/>
                <w:b/>
                <w:bCs/>
                <w:sz w:val="16"/>
                <w:szCs w:val="16"/>
                <w:lang w:eastAsia="tr-TR"/>
              </w:rPr>
            </w:pPr>
            <w:r>
              <w:rPr>
                <w:rFonts w:ascii="Arial" w:eastAsia="Times New Roman" w:hAnsi="Arial" w:cs="Arial"/>
                <w:b/>
                <w:bCs/>
                <w:sz w:val="16"/>
                <w:szCs w:val="16"/>
                <w:lang w:eastAsia="tr-TR"/>
              </w:rPr>
              <w:t>17.787.741,01</w:t>
            </w:r>
          </w:p>
        </w:tc>
      </w:tr>
      <w:tr w:rsidR="00F15C9A" w14:paraId="5FC6AD50" w14:textId="77777777" w:rsidTr="00F15C9A">
        <w:trPr>
          <w:trHeight w:val="355"/>
        </w:trPr>
        <w:tc>
          <w:tcPr>
            <w:tcW w:w="438" w:type="dxa"/>
            <w:tcBorders>
              <w:top w:val="nil"/>
              <w:left w:val="single" w:sz="4" w:space="0" w:color="auto"/>
              <w:bottom w:val="single" w:sz="4" w:space="0" w:color="auto"/>
              <w:right w:val="single" w:sz="4" w:space="0" w:color="auto"/>
            </w:tcBorders>
            <w:noWrap/>
            <w:vAlign w:val="center"/>
            <w:hideMark/>
          </w:tcPr>
          <w:p w14:paraId="06E2A980"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630</w:t>
            </w:r>
          </w:p>
        </w:tc>
        <w:tc>
          <w:tcPr>
            <w:tcW w:w="318" w:type="dxa"/>
            <w:tcBorders>
              <w:top w:val="nil"/>
              <w:left w:val="nil"/>
              <w:bottom w:val="single" w:sz="4" w:space="0" w:color="auto"/>
              <w:right w:val="single" w:sz="4" w:space="0" w:color="auto"/>
            </w:tcBorders>
            <w:noWrap/>
            <w:vAlign w:val="center"/>
            <w:hideMark/>
          </w:tcPr>
          <w:p w14:paraId="408D3E82"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5</w:t>
            </w:r>
          </w:p>
        </w:tc>
        <w:tc>
          <w:tcPr>
            <w:tcW w:w="349" w:type="dxa"/>
            <w:tcBorders>
              <w:top w:val="nil"/>
              <w:left w:val="nil"/>
              <w:bottom w:val="single" w:sz="4" w:space="0" w:color="auto"/>
              <w:right w:val="single" w:sz="4" w:space="0" w:color="auto"/>
            </w:tcBorders>
            <w:noWrap/>
            <w:vAlign w:val="center"/>
            <w:hideMark/>
          </w:tcPr>
          <w:p w14:paraId="05A3E51C"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1</w:t>
            </w:r>
          </w:p>
        </w:tc>
        <w:tc>
          <w:tcPr>
            <w:tcW w:w="2542" w:type="dxa"/>
            <w:tcBorders>
              <w:top w:val="nil"/>
              <w:left w:val="nil"/>
              <w:bottom w:val="single" w:sz="4" w:space="0" w:color="auto"/>
              <w:right w:val="single" w:sz="4" w:space="0" w:color="auto"/>
            </w:tcBorders>
            <w:noWrap/>
            <w:vAlign w:val="center"/>
            <w:hideMark/>
          </w:tcPr>
          <w:p w14:paraId="7B991B84" w14:textId="77777777" w:rsidR="00F15C9A" w:rsidRDefault="00F15C9A" w:rsidP="00BC0D87">
            <w:pPr>
              <w:spacing w:after="0" w:line="240" w:lineRule="auto"/>
              <w:jc w:val="left"/>
              <w:rPr>
                <w:rFonts w:ascii="Arial" w:eastAsia="Times New Roman" w:hAnsi="Arial" w:cs="Arial"/>
                <w:sz w:val="16"/>
                <w:szCs w:val="16"/>
                <w:lang w:eastAsia="tr-TR"/>
              </w:rPr>
            </w:pPr>
            <w:r>
              <w:rPr>
                <w:rFonts w:ascii="Arial" w:eastAsia="Times New Roman" w:hAnsi="Arial" w:cs="Arial"/>
                <w:sz w:val="16"/>
                <w:szCs w:val="16"/>
                <w:lang w:eastAsia="tr-TR"/>
              </w:rPr>
              <w:t>Görevlendirme Giderleri</w:t>
            </w:r>
          </w:p>
        </w:tc>
        <w:tc>
          <w:tcPr>
            <w:tcW w:w="1340" w:type="dxa"/>
            <w:tcBorders>
              <w:top w:val="nil"/>
              <w:left w:val="nil"/>
              <w:bottom w:val="single" w:sz="4" w:space="0" w:color="auto"/>
              <w:right w:val="single" w:sz="4" w:space="0" w:color="000000"/>
            </w:tcBorders>
            <w:noWrap/>
            <w:vAlign w:val="center"/>
            <w:hideMark/>
          </w:tcPr>
          <w:p w14:paraId="3BC18792"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8.954.231,39</w:t>
            </w:r>
          </w:p>
        </w:tc>
        <w:tc>
          <w:tcPr>
            <w:tcW w:w="1386" w:type="dxa"/>
            <w:tcBorders>
              <w:top w:val="single" w:sz="4" w:space="0" w:color="auto"/>
              <w:left w:val="nil"/>
              <w:bottom w:val="single" w:sz="4" w:space="0" w:color="auto"/>
              <w:right w:val="single" w:sz="4" w:space="0" w:color="000000"/>
            </w:tcBorders>
            <w:noWrap/>
            <w:vAlign w:val="center"/>
            <w:hideMark/>
          </w:tcPr>
          <w:p w14:paraId="0A7AC62E"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21.739.457,78</w:t>
            </w:r>
          </w:p>
        </w:tc>
        <w:tc>
          <w:tcPr>
            <w:tcW w:w="1464" w:type="dxa"/>
            <w:tcBorders>
              <w:top w:val="single" w:sz="4" w:space="0" w:color="auto"/>
              <w:left w:val="nil"/>
              <w:bottom w:val="single" w:sz="4" w:space="0" w:color="auto"/>
              <w:right w:val="single" w:sz="4" w:space="0" w:color="000000"/>
            </w:tcBorders>
            <w:noWrap/>
            <w:vAlign w:val="center"/>
            <w:hideMark/>
          </w:tcPr>
          <w:p w14:paraId="231199E5"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33.794.475,37</w:t>
            </w:r>
          </w:p>
        </w:tc>
        <w:tc>
          <w:tcPr>
            <w:tcW w:w="169" w:type="dxa"/>
            <w:noWrap/>
            <w:vAlign w:val="center"/>
            <w:hideMark/>
          </w:tcPr>
          <w:p w14:paraId="7549AF18" w14:textId="77777777" w:rsidR="00F15C9A" w:rsidRDefault="00F15C9A" w:rsidP="00BC0D87">
            <w:pPr>
              <w:rPr>
                <w:rFonts w:ascii="Arial" w:eastAsia="Times New Roman" w:hAnsi="Arial" w:cs="Arial"/>
                <w:sz w:val="16"/>
                <w:szCs w:val="16"/>
                <w:lang w:eastAsia="tr-TR"/>
              </w:rPr>
            </w:pPr>
          </w:p>
        </w:tc>
        <w:tc>
          <w:tcPr>
            <w:tcW w:w="417" w:type="dxa"/>
            <w:tcBorders>
              <w:top w:val="nil"/>
              <w:left w:val="single" w:sz="4" w:space="0" w:color="auto"/>
              <w:bottom w:val="single" w:sz="4" w:space="0" w:color="auto"/>
              <w:right w:val="single" w:sz="4" w:space="0" w:color="auto"/>
            </w:tcBorders>
            <w:noWrap/>
            <w:vAlign w:val="center"/>
            <w:hideMark/>
          </w:tcPr>
          <w:p w14:paraId="26CF21CF"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610</w:t>
            </w:r>
          </w:p>
        </w:tc>
        <w:tc>
          <w:tcPr>
            <w:tcW w:w="229" w:type="dxa"/>
            <w:tcBorders>
              <w:top w:val="nil"/>
              <w:left w:val="nil"/>
              <w:bottom w:val="single" w:sz="4" w:space="0" w:color="auto"/>
              <w:right w:val="single" w:sz="4" w:space="0" w:color="auto"/>
            </w:tcBorders>
            <w:noWrap/>
            <w:vAlign w:val="center"/>
            <w:hideMark/>
          </w:tcPr>
          <w:p w14:paraId="7350BFDD"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3</w:t>
            </w:r>
          </w:p>
        </w:tc>
        <w:tc>
          <w:tcPr>
            <w:tcW w:w="229" w:type="dxa"/>
            <w:tcBorders>
              <w:top w:val="nil"/>
              <w:left w:val="nil"/>
              <w:bottom w:val="single" w:sz="4" w:space="0" w:color="auto"/>
              <w:right w:val="single" w:sz="4" w:space="0" w:color="auto"/>
            </w:tcBorders>
            <w:noWrap/>
            <w:vAlign w:val="center"/>
            <w:hideMark/>
          </w:tcPr>
          <w:p w14:paraId="7BDD6DEE"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2</w:t>
            </w:r>
          </w:p>
        </w:tc>
        <w:tc>
          <w:tcPr>
            <w:tcW w:w="229" w:type="dxa"/>
            <w:tcBorders>
              <w:top w:val="nil"/>
              <w:left w:val="nil"/>
              <w:bottom w:val="single" w:sz="4" w:space="0" w:color="auto"/>
              <w:right w:val="single" w:sz="4" w:space="0" w:color="auto"/>
            </w:tcBorders>
            <w:noWrap/>
            <w:vAlign w:val="center"/>
            <w:hideMark/>
          </w:tcPr>
          <w:p w14:paraId="78CF2BFC"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 </w:t>
            </w:r>
          </w:p>
        </w:tc>
        <w:tc>
          <w:tcPr>
            <w:tcW w:w="318" w:type="dxa"/>
            <w:tcBorders>
              <w:top w:val="nil"/>
              <w:left w:val="nil"/>
              <w:bottom w:val="single" w:sz="4" w:space="0" w:color="auto"/>
              <w:right w:val="single" w:sz="4" w:space="0" w:color="auto"/>
            </w:tcBorders>
            <w:noWrap/>
            <w:vAlign w:val="center"/>
            <w:hideMark/>
          </w:tcPr>
          <w:p w14:paraId="3ED74B5F"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 </w:t>
            </w:r>
          </w:p>
        </w:tc>
        <w:tc>
          <w:tcPr>
            <w:tcW w:w="2410" w:type="dxa"/>
            <w:gridSpan w:val="4"/>
            <w:tcBorders>
              <w:top w:val="single" w:sz="4" w:space="0" w:color="auto"/>
              <w:left w:val="nil"/>
              <w:bottom w:val="single" w:sz="4" w:space="0" w:color="auto"/>
              <w:right w:val="single" w:sz="4" w:space="0" w:color="auto"/>
            </w:tcBorders>
            <w:vAlign w:val="center"/>
            <w:hideMark/>
          </w:tcPr>
          <w:p w14:paraId="647359D8" w14:textId="77777777" w:rsidR="00F15C9A" w:rsidRDefault="00F15C9A" w:rsidP="00BC0D87">
            <w:pPr>
              <w:spacing w:after="0" w:line="240" w:lineRule="auto"/>
              <w:jc w:val="left"/>
              <w:rPr>
                <w:rFonts w:ascii="Arial" w:eastAsia="Times New Roman" w:hAnsi="Arial" w:cs="Arial"/>
                <w:sz w:val="16"/>
                <w:szCs w:val="16"/>
                <w:lang w:eastAsia="tr-TR"/>
              </w:rPr>
            </w:pPr>
            <w:r>
              <w:rPr>
                <w:rFonts w:ascii="Arial" w:eastAsia="Times New Roman" w:hAnsi="Arial" w:cs="Arial"/>
                <w:sz w:val="16"/>
                <w:szCs w:val="16"/>
                <w:lang w:eastAsia="tr-TR"/>
              </w:rPr>
              <w:t>Malların Kullanma veya Faaliyette Bulunma İzni Gelirleri</w:t>
            </w:r>
          </w:p>
        </w:tc>
        <w:tc>
          <w:tcPr>
            <w:tcW w:w="1346" w:type="dxa"/>
            <w:gridSpan w:val="2"/>
            <w:tcBorders>
              <w:top w:val="single" w:sz="4" w:space="0" w:color="auto"/>
              <w:left w:val="nil"/>
              <w:bottom w:val="single" w:sz="4" w:space="0" w:color="auto"/>
              <w:right w:val="single" w:sz="4" w:space="0" w:color="auto"/>
            </w:tcBorders>
            <w:noWrap/>
            <w:vAlign w:val="center"/>
            <w:hideMark/>
          </w:tcPr>
          <w:p w14:paraId="384AA79C"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8.578.377,62</w:t>
            </w:r>
          </w:p>
        </w:tc>
        <w:tc>
          <w:tcPr>
            <w:tcW w:w="1386" w:type="dxa"/>
            <w:gridSpan w:val="2"/>
            <w:tcBorders>
              <w:top w:val="single" w:sz="4" w:space="0" w:color="auto"/>
              <w:left w:val="nil"/>
              <w:bottom w:val="single" w:sz="4" w:space="0" w:color="auto"/>
              <w:right w:val="single" w:sz="4" w:space="0" w:color="auto"/>
            </w:tcBorders>
            <w:noWrap/>
            <w:vAlign w:val="center"/>
            <w:hideMark/>
          </w:tcPr>
          <w:p w14:paraId="230CD3FB"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9.651.261,29</w:t>
            </w:r>
          </w:p>
        </w:tc>
        <w:tc>
          <w:tcPr>
            <w:tcW w:w="1529" w:type="dxa"/>
            <w:gridSpan w:val="2"/>
            <w:tcBorders>
              <w:top w:val="single" w:sz="4" w:space="0" w:color="auto"/>
              <w:left w:val="nil"/>
              <w:bottom w:val="single" w:sz="4" w:space="0" w:color="auto"/>
              <w:right w:val="single" w:sz="4" w:space="0" w:color="auto"/>
            </w:tcBorders>
            <w:noWrap/>
            <w:vAlign w:val="center"/>
            <w:hideMark/>
          </w:tcPr>
          <w:p w14:paraId="3E2D0286"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17.787.741,01</w:t>
            </w:r>
          </w:p>
        </w:tc>
      </w:tr>
      <w:tr w:rsidR="00F15C9A" w14:paraId="31A9BA19" w14:textId="77777777" w:rsidTr="00F15C9A">
        <w:trPr>
          <w:trHeight w:val="369"/>
        </w:trPr>
        <w:tc>
          <w:tcPr>
            <w:tcW w:w="438" w:type="dxa"/>
            <w:tcBorders>
              <w:top w:val="nil"/>
              <w:left w:val="single" w:sz="4" w:space="0" w:color="auto"/>
              <w:bottom w:val="single" w:sz="4" w:space="0" w:color="auto"/>
              <w:right w:val="single" w:sz="4" w:space="0" w:color="auto"/>
            </w:tcBorders>
            <w:noWrap/>
            <w:vAlign w:val="center"/>
            <w:hideMark/>
          </w:tcPr>
          <w:p w14:paraId="63F3BFB6"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630</w:t>
            </w:r>
          </w:p>
        </w:tc>
        <w:tc>
          <w:tcPr>
            <w:tcW w:w="318" w:type="dxa"/>
            <w:tcBorders>
              <w:top w:val="nil"/>
              <w:left w:val="nil"/>
              <w:bottom w:val="single" w:sz="4" w:space="0" w:color="auto"/>
              <w:right w:val="single" w:sz="4" w:space="0" w:color="auto"/>
            </w:tcBorders>
            <w:noWrap/>
            <w:vAlign w:val="center"/>
            <w:hideMark/>
          </w:tcPr>
          <w:p w14:paraId="190E874E"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5</w:t>
            </w:r>
          </w:p>
        </w:tc>
        <w:tc>
          <w:tcPr>
            <w:tcW w:w="349" w:type="dxa"/>
            <w:tcBorders>
              <w:top w:val="nil"/>
              <w:left w:val="nil"/>
              <w:bottom w:val="single" w:sz="4" w:space="0" w:color="auto"/>
              <w:right w:val="single" w:sz="4" w:space="0" w:color="auto"/>
            </w:tcBorders>
            <w:noWrap/>
            <w:vAlign w:val="center"/>
            <w:hideMark/>
          </w:tcPr>
          <w:p w14:paraId="5D697B2C"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3</w:t>
            </w:r>
          </w:p>
        </w:tc>
        <w:tc>
          <w:tcPr>
            <w:tcW w:w="2542" w:type="dxa"/>
            <w:tcBorders>
              <w:top w:val="single" w:sz="4" w:space="0" w:color="auto"/>
              <w:left w:val="nil"/>
              <w:bottom w:val="single" w:sz="4" w:space="0" w:color="auto"/>
              <w:right w:val="single" w:sz="4" w:space="0" w:color="auto"/>
            </w:tcBorders>
            <w:vAlign w:val="center"/>
            <w:hideMark/>
          </w:tcPr>
          <w:p w14:paraId="32A73DE6" w14:textId="77777777" w:rsidR="00F15C9A" w:rsidRDefault="00F15C9A" w:rsidP="00BC0D87">
            <w:pPr>
              <w:spacing w:after="0" w:line="240" w:lineRule="auto"/>
              <w:jc w:val="left"/>
              <w:rPr>
                <w:rFonts w:ascii="Arial" w:eastAsia="Times New Roman" w:hAnsi="Arial" w:cs="Arial"/>
                <w:sz w:val="16"/>
                <w:szCs w:val="16"/>
                <w:lang w:eastAsia="tr-TR"/>
              </w:rPr>
            </w:pPr>
            <w:r>
              <w:rPr>
                <w:rFonts w:ascii="Arial" w:eastAsia="Times New Roman" w:hAnsi="Arial" w:cs="Arial"/>
                <w:sz w:val="16"/>
                <w:szCs w:val="16"/>
                <w:lang w:eastAsia="tr-TR"/>
              </w:rPr>
              <w:t>Kar Amacı Gütmeyen Kuruluşlara Yapılan Transferler</w:t>
            </w:r>
          </w:p>
        </w:tc>
        <w:tc>
          <w:tcPr>
            <w:tcW w:w="1340" w:type="dxa"/>
            <w:tcBorders>
              <w:top w:val="single" w:sz="4" w:space="0" w:color="auto"/>
              <w:left w:val="nil"/>
              <w:bottom w:val="single" w:sz="4" w:space="0" w:color="auto"/>
              <w:right w:val="single" w:sz="4" w:space="0" w:color="000000"/>
            </w:tcBorders>
            <w:noWrap/>
            <w:vAlign w:val="center"/>
            <w:hideMark/>
          </w:tcPr>
          <w:p w14:paraId="54FE5E25"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1.963.414,86</w:t>
            </w:r>
          </w:p>
        </w:tc>
        <w:tc>
          <w:tcPr>
            <w:tcW w:w="1386" w:type="dxa"/>
            <w:tcBorders>
              <w:top w:val="single" w:sz="4" w:space="0" w:color="auto"/>
              <w:left w:val="nil"/>
              <w:bottom w:val="single" w:sz="4" w:space="0" w:color="auto"/>
              <w:right w:val="single" w:sz="4" w:space="0" w:color="auto"/>
            </w:tcBorders>
            <w:noWrap/>
            <w:vAlign w:val="center"/>
            <w:hideMark/>
          </w:tcPr>
          <w:p w14:paraId="3D6E971F"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3.449.048,56</w:t>
            </w:r>
          </w:p>
        </w:tc>
        <w:tc>
          <w:tcPr>
            <w:tcW w:w="1464" w:type="dxa"/>
            <w:tcBorders>
              <w:top w:val="single" w:sz="4" w:space="0" w:color="auto"/>
              <w:left w:val="nil"/>
              <w:bottom w:val="single" w:sz="4" w:space="0" w:color="auto"/>
              <w:right w:val="single" w:sz="4" w:space="0" w:color="auto"/>
            </w:tcBorders>
            <w:noWrap/>
            <w:vAlign w:val="center"/>
            <w:hideMark/>
          </w:tcPr>
          <w:p w14:paraId="56A84665"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7.885.970,12</w:t>
            </w:r>
          </w:p>
        </w:tc>
        <w:tc>
          <w:tcPr>
            <w:tcW w:w="169" w:type="dxa"/>
            <w:noWrap/>
            <w:vAlign w:val="center"/>
            <w:hideMark/>
          </w:tcPr>
          <w:p w14:paraId="10A16B22" w14:textId="77777777" w:rsidR="00F15C9A" w:rsidRDefault="00F15C9A" w:rsidP="00BC0D87">
            <w:pPr>
              <w:rPr>
                <w:rFonts w:ascii="Arial" w:eastAsia="Times New Roman" w:hAnsi="Arial" w:cs="Arial"/>
                <w:sz w:val="16"/>
                <w:szCs w:val="16"/>
                <w:lang w:eastAsia="tr-TR"/>
              </w:rPr>
            </w:pPr>
          </w:p>
        </w:tc>
        <w:tc>
          <w:tcPr>
            <w:tcW w:w="417" w:type="dxa"/>
            <w:tcBorders>
              <w:top w:val="nil"/>
              <w:left w:val="single" w:sz="4" w:space="0" w:color="auto"/>
              <w:bottom w:val="single" w:sz="4" w:space="0" w:color="auto"/>
              <w:right w:val="single" w:sz="4" w:space="0" w:color="auto"/>
            </w:tcBorders>
            <w:noWrap/>
            <w:vAlign w:val="center"/>
            <w:hideMark/>
          </w:tcPr>
          <w:p w14:paraId="1B97B40C" w14:textId="77777777" w:rsidR="00F15C9A" w:rsidRDefault="00F15C9A" w:rsidP="00BC0D87">
            <w:pPr>
              <w:spacing w:after="0" w:line="240" w:lineRule="auto"/>
              <w:jc w:val="center"/>
              <w:rPr>
                <w:rFonts w:ascii="Arial" w:eastAsia="Times New Roman" w:hAnsi="Arial" w:cs="Arial"/>
                <w:b/>
                <w:bCs/>
                <w:sz w:val="16"/>
                <w:szCs w:val="16"/>
                <w:lang w:eastAsia="tr-TR"/>
              </w:rPr>
            </w:pPr>
            <w:r>
              <w:rPr>
                <w:rFonts w:ascii="Arial" w:eastAsia="Times New Roman" w:hAnsi="Arial" w:cs="Arial"/>
                <w:b/>
                <w:bCs/>
                <w:sz w:val="16"/>
                <w:szCs w:val="16"/>
                <w:lang w:eastAsia="tr-TR"/>
              </w:rPr>
              <w:t>610</w:t>
            </w:r>
          </w:p>
        </w:tc>
        <w:tc>
          <w:tcPr>
            <w:tcW w:w="229" w:type="dxa"/>
            <w:tcBorders>
              <w:top w:val="nil"/>
              <w:left w:val="nil"/>
              <w:bottom w:val="single" w:sz="4" w:space="0" w:color="auto"/>
              <w:right w:val="single" w:sz="4" w:space="0" w:color="auto"/>
            </w:tcBorders>
            <w:noWrap/>
            <w:vAlign w:val="center"/>
            <w:hideMark/>
          </w:tcPr>
          <w:p w14:paraId="25E2E8C8" w14:textId="77777777" w:rsidR="00F15C9A" w:rsidRDefault="00F15C9A" w:rsidP="00BC0D87">
            <w:pPr>
              <w:spacing w:after="0" w:line="240" w:lineRule="auto"/>
              <w:jc w:val="center"/>
              <w:rPr>
                <w:rFonts w:ascii="Arial" w:eastAsia="Times New Roman" w:hAnsi="Arial" w:cs="Arial"/>
                <w:b/>
                <w:bCs/>
                <w:sz w:val="16"/>
                <w:szCs w:val="16"/>
                <w:lang w:eastAsia="tr-TR"/>
              </w:rPr>
            </w:pPr>
            <w:r>
              <w:rPr>
                <w:rFonts w:ascii="Arial" w:eastAsia="Times New Roman" w:hAnsi="Arial" w:cs="Arial"/>
                <w:b/>
                <w:bCs/>
                <w:sz w:val="16"/>
                <w:szCs w:val="16"/>
                <w:lang w:eastAsia="tr-TR"/>
              </w:rPr>
              <w:t>5</w:t>
            </w:r>
          </w:p>
        </w:tc>
        <w:tc>
          <w:tcPr>
            <w:tcW w:w="229" w:type="dxa"/>
            <w:tcBorders>
              <w:top w:val="nil"/>
              <w:left w:val="nil"/>
              <w:bottom w:val="single" w:sz="4" w:space="0" w:color="auto"/>
              <w:right w:val="single" w:sz="4" w:space="0" w:color="auto"/>
            </w:tcBorders>
            <w:noWrap/>
            <w:vAlign w:val="center"/>
            <w:hideMark/>
          </w:tcPr>
          <w:p w14:paraId="0D0911E2" w14:textId="77777777" w:rsidR="00F15C9A" w:rsidRDefault="00F15C9A" w:rsidP="00BC0D87">
            <w:pPr>
              <w:spacing w:after="0" w:line="240" w:lineRule="auto"/>
              <w:jc w:val="center"/>
              <w:rPr>
                <w:rFonts w:ascii="Arial" w:eastAsia="Times New Roman" w:hAnsi="Arial" w:cs="Arial"/>
                <w:b/>
                <w:bCs/>
                <w:sz w:val="16"/>
                <w:szCs w:val="16"/>
                <w:lang w:eastAsia="tr-TR"/>
              </w:rPr>
            </w:pPr>
            <w:r>
              <w:rPr>
                <w:rFonts w:ascii="Arial" w:eastAsia="Times New Roman" w:hAnsi="Arial" w:cs="Arial"/>
                <w:b/>
                <w:bCs/>
                <w:sz w:val="16"/>
                <w:szCs w:val="16"/>
                <w:lang w:eastAsia="tr-TR"/>
              </w:rPr>
              <w:t> </w:t>
            </w:r>
          </w:p>
        </w:tc>
        <w:tc>
          <w:tcPr>
            <w:tcW w:w="229" w:type="dxa"/>
            <w:tcBorders>
              <w:top w:val="nil"/>
              <w:left w:val="nil"/>
              <w:bottom w:val="single" w:sz="4" w:space="0" w:color="auto"/>
              <w:right w:val="single" w:sz="4" w:space="0" w:color="auto"/>
            </w:tcBorders>
            <w:noWrap/>
            <w:vAlign w:val="center"/>
            <w:hideMark/>
          </w:tcPr>
          <w:p w14:paraId="2FFFBAAF" w14:textId="77777777" w:rsidR="00F15C9A" w:rsidRDefault="00F15C9A" w:rsidP="00BC0D87">
            <w:pPr>
              <w:spacing w:after="0" w:line="240" w:lineRule="auto"/>
              <w:jc w:val="center"/>
              <w:rPr>
                <w:rFonts w:ascii="Arial" w:eastAsia="Times New Roman" w:hAnsi="Arial" w:cs="Arial"/>
                <w:b/>
                <w:bCs/>
                <w:sz w:val="16"/>
                <w:szCs w:val="16"/>
                <w:lang w:eastAsia="tr-TR"/>
              </w:rPr>
            </w:pPr>
            <w:r>
              <w:rPr>
                <w:rFonts w:ascii="Arial" w:eastAsia="Times New Roman" w:hAnsi="Arial" w:cs="Arial"/>
                <w:b/>
                <w:bCs/>
                <w:sz w:val="16"/>
                <w:szCs w:val="16"/>
                <w:lang w:eastAsia="tr-TR"/>
              </w:rPr>
              <w:t> </w:t>
            </w:r>
          </w:p>
        </w:tc>
        <w:tc>
          <w:tcPr>
            <w:tcW w:w="318" w:type="dxa"/>
            <w:tcBorders>
              <w:top w:val="nil"/>
              <w:left w:val="nil"/>
              <w:bottom w:val="single" w:sz="4" w:space="0" w:color="auto"/>
              <w:right w:val="single" w:sz="4" w:space="0" w:color="auto"/>
            </w:tcBorders>
            <w:noWrap/>
            <w:vAlign w:val="center"/>
            <w:hideMark/>
          </w:tcPr>
          <w:p w14:paraId="00A98C2B" w14:textId="77777777" w:rsidR="00F15C9A" w:rsidRDefault="00F15C9A" w:rsidP="00BC0D87">
            <w:pPr>
              <w:spacing w:after="0" w:line="240" w:lineRule="auto"/>
              <w:jc w:val="center"/>
              <w:rPr>
                <w:rFonts w:ascii="Arial" w:eastAsia="Times New Roman" w:hAnsi="Arial" w:cs="Arial"/>
                <w:b/>
                <w:bCs/>
                <w:sz w:val="16"/>
                <w:szCs w:val="16"/>
                <w:lang w:eastAsia="tr-TR"/>
              </w:rPr>
            </w:pPr>
            <w:r>
              <w:rPr>
                <w:rFonts w:ascii="Arial" w:eastAsia="Times New Roman" w:hAnsi="Arial" w:cs="Arial"/>
                <w:b/>
                <w:bCs/>
                <w:sz w:val="16"/>
                <w:szCs w:val="16"/>
                <w:lang w:eastAsia="tr-TR"/>
              </w:rPr>
              <w:t> </w:t>
            </w:r>
          </w:p>
        </w:tc>
        <w:tc>
          <w:tcPr>
            <w:tcW w:w="2410" w:type="dxa"/>
            <w:gridSpan w:val="4"/>
            <w:tcBorders>
              <w:top w:val="single" w:sz="4" w:space="0" w:color="auto"/>
              <w:left w:val="nil"/>
              <w:bottom w:val="single" w:sz="4" w:space="0" w:color="auto"/>
              <w:right w:val="single" w:sz="4" w:space="0" w:color="auto"/>
            </w:tcBorders>
            <w:vAlign w:val="center"/>
            <w:hideMark/>
          </w:tcPr>
          <w:p w14:paraId="0372F0C4" w14:textId="77777777" w:rsidR="00F15C9A" w:rsidRDefault="00F15C9A" w:rsidP="00BC0D87">
            <w:pPr>
              <w:spacing w:after="0" w:line="240" w:lineRule="auto"/>
              <w:jc w:val="left"/>
              <w:rPr>
                <w:rFonts w:ascii="Arial" w:eastAsia="Times New Roman" w:hAnsi="Arial" w:cs="Arial"/>
                <w:b/>
                <w:bCs/>
                <w:sz w:val="16"/>
                <w:szCs w:val="16"/>
                <w:lang w:eastAsia="tr-TR"/>
              </w:rPr>
            </w:pPr>
            <w:r>
              <w:rPr>
                <w:rFonts w:ascii="Arial" w:eastAsia="Times New Roman" w:hAnsi="Arial" w:cs="Arial"/>
                <w:b/>
                <w:bCs/>
                <w:sz w:val="16"/>
                <w:szCs w:val="16"/>
                <w:lang w:eastAsia="tr-TR"/>
              </w:rPr>
              <w:t>Diğer Gelirler</w:t>
            </w:r>
          </w:p>
        </w:tc>
        <w:tc>
          <w:tcPr>
            <w:tcW w:w="1346" w:type="dxa"/>
            <w:gridSpan w:val="2"/>
            <w:tcBorders>
              <w:top w:val="single" w:sz="4" w:space="0" w:color="auto"/>
              <w:left w:val="nil"/>
              <w:bottom w:val="single" w:sz="4" w:space="0" w:color="auto"/>
              <w:right w:val="single" w:sz="4" w:space="0" w:color="auto"/>
            </w:tcBorders>
            <w:noWrap/>
            <w:vAlign w:val="center"/>
            <w:hideMark/>
          </w:tcPr>
          <w:p w14:paraId="6B8B49F2" w14:textId="77777777" w:rsidR="00F15C9A" w:rsidRDefault="00F15C9A" w:rsidP="00BC0D87">
            <w:pPr>
              <w:spacing w:after="0" w:line="240" w:lineRule="auto"/>
              <w:jc w:val="right"/>
              <w:rPr>
                <w:rFonts w:ascii="Arial" w:eastAsia="Times New Roman" w:hAnsi="Arial" w:cs="Arial"/>
                <w:b/>
                <w:bCs/>
                <w:sz w:val="16"/>
                <w:szCs w:val="16"/>
                <w:lang w:eastAsia="tr-TR"/>
              </w:rPr>
            </w:pPr>
            <w:r>
              <w:rPr>
                <w:rFonts w:ascii="Arial" w:eastAsia="Times New Roman" w:hAnsi="Arial" w:cs="Arial"/>
                <w:b/>
                <w:bCs/>
                <w:sz w:val="16"/>
                <w:szCs w:val="16"/>
                <w:lang w:eastAsia="tr-TR"/>
              </w:rPr>
              <w:t>3.367.189,19</w:t>
            </w:r>
          </w:p>
        </w:tc>
        <w:tc>
          <w:tcPr>
            <w:tcW w:w="1386" w:type="dxa"/>
            <w:gridSpan w:val="2"/>
            <w:tcBorders>
              <w:top w:val="single" w:sz="4" w:space="0" w:color="auto"/>
              <w:left w:val="nil"/>
              <w:bottom w:val="single" w:sz="4" w:space="0" w:color="auto"/>
              <w:right w:val="single" w:sz="4" w:space="0" w:color="auto"/>
            </w:tcBorders>
            <w:noWrap/>
            <w:vAlign w:val="center"/>
            <w:hideMark/>
          </w:tcPr>
          <w:p w14:paraId="59A0BDD5" w14:textId="77777777" w:rsidR="00F15C9A" w:rsidRDefault="00F15C9A" w:rsidP="00BC0D87">
            <w:pPr>
              <w:spacing w:after="0" w:line="240" w:lineRule="auto"/>
              <w:jc w:val="right"/>
              <w:rPr>
                <w:rFonts w:ascii="Arial" w:eastAsia="Times New Roman" w:hAnsi="Arial" w:cs="Arial"/>
                <w:b/>
                <w:bCs/>
                <w:sz w:val="16"/>
                <w:szCs w:val="16"/>
                <w:lang w:eastAsia="tr-TR"/>
              </w:rPr>
            </w:pPr>
            <w:r>
              <w:rPr>
                <w:rFonts w:ascii="Arial" w:eastAsia="Times New Roman" w:hAnsi="Arial" w:cs="Arial"/>
                <w:b/>
                <w:bCs/>
                <w:sz w:val="16"/>
                <w:szCs w:val="16"/>
                <w:lang w:eastAsia="tr-TR"/>
              </w:rPr>
              <w:t>2.437.583,25</w:t>
            </w:r>
          </w:p>
        </w:tc>
        <w:tc>
          <w:tcPr>
            <w:tcW w:w="1529" w:type="dxa"/>
            <w:gridSpan w:val="2"/>
            <w:tcBorders>
              <w:top w:val="single" w:sz="4" w:space="0" w:color="auto"/>
              <w:left w:val="nil"/>
              <w:bottom w:val="single" w:sz="4" w:space="0" w:color="auto"/>
              <w:right w:val="single" w:sz="4" w:space="0" w:color="auto"/>
            </w:tcBorders>
            <w:noWrap/>
            <w:vAlign w:val="center"/>
            <w:hideMark/>
          </w:tcPr>
          <w:p w14:paraId="069F8B25" w14:textId="77777777" w:rsidR="00F15C9A" w:rsidRDefault="00F15C9A" w:rsidP="00BC0D87">
            <w:pPr>
              <w:spacing w:after="0" w:line="240" w:lineRule="auto"/>
              <w:jc w:val="right"/>
              <w:rPr>
                <w:rFonts w:ascii="Arial" w:eastAsia="Times New Roman" w:hAnsi="Arial" w:cs="Arial"/>
                <w:b/>
                <w:bCs/>
                <w:sz w:val="16"/>
                <w:szCs w:val="16"/>
                <w:lang w:eastAsia="tr-TR"/>
              </w:rPr>
            </w:pPr>
            <w:r>
              <w:rPr>
                <w:rFonts w:ascii="Arial" w:eastAsia="Times New Roman" w:hAnsi="Arial" w:cs="Arial"/>
                <w:b/>
                <w:bCs/>
                <w:sz w:val="16"/>
                <w:szCs w:val="16"/>
                <w:lang w:eastAsia="tr-TR"/>
              </w:rPr>
              <w:t>10.027.319,66</w:t>
            </w:r>
          </w:p>
        </w:tc>
      </w:tr>
      <w:tr w:rsidR="00F15C9A" w14:paraId="0872B4BE" w14:textId="77777777" w:rsidTr="00F15C9A">
        <w:trPr>
          <w:trHeight w:val="369"/>
        </w:trPr>
        <w:tc>
          <w:tcPr>
            <w:tcW w:w="438" w:type="dxa"/>
            <w:tcBorders>
              <w:top w:val="nil"/>
              <w:left w:val="single" w:sz="4" w:space="0" w:color="auto"/>
              <w:bottom w:val="single" w:sz="4" w:space="0" w:color="auto"/>
              <w:right w:val="single" w:sz="4" w:space="0" w:color="auto"/>
            </w:tcBorders>
            <w:noWrap/>
            <w:vAlign w:val="center"/>
            <w:hideMark/>
          </w:tcPr>
          <w:p w14:paraId="575518A3"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630</w:t>
            </w:r>
          </w:p>
        </w:tc>
        <w:tc>
          <w:tcPr>
            <w:tcW w:w="318" w:type="dxa"/>
            <w:tcBorders>
              <w:top w:val="nil"/>
              <w:left w:val="nil"/>
              <w:bottom w:val="single" w:sz="4" w:space="0" w:color="auto"/>
              <w:right w:val="single" w:sz="4" w:space="0" w:color="auto"/>
            </w:tcBorders>
            <w:noWrap/>
            <w:vAlign w:val="center"/>
            <w:hideMark/>
          </w:tcPr>
          <w:p w14:paraId="769F10F5"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5</w:t>
            </w:r>
          </w:p>
        </w:tc>
        <w:tc>
          <w:tcPr>
            <w:tcW w:w="349" w:type="dxa"/>
            <w:tcBorders>
              <w:top w:val="nil"/>
              <w:left w:val="nil"/>
              <w:bottom w:val="single" w:sz="4" w:space="0" w:color="auto"/>
              <w:right w:val="single" w:sz="4" w:space="0" w:color="auto"/>
            </w:tcBorders>
            <w:noWrap/>
            <w:vAlign w:val="center"/>
            <w:hideMark/>
          </w:tcPr>
          <w:p w14:paraId="4F5A8ED9"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6</w:t>
            </w:r>
          </w:p>
        </w:tc>
        <w:tc>
          <w:tcPr>
            <w:tcW w:w="2542" w:type="dxa"/>
            <w:tcBorders>
              <w:top w:val="single" w:sz="4" w:space="0" w:color="auto"/>
              <w:left w:val="nil"/>
              <w:bottom w:val="single" w:sz="4" w:space="0" w:color="auto"/>
              <w:right w:val="single" w:sz="4" w:space="0" w:color="auto"/>
            </w:tcBorders>
            <w:noWrap/>
            <w:vAlign w:val="center"/>
            <w:hideMark/>
          </w:tcPr>
          <w:p w14:paraId="602700CF" w14:textId="77777777" w:rsidR="00F15C9A" w:rsidRDefault="00F15C9A" w:rsidP="00BC0D87">
            <w:pPr>
              <w:spacing w:after="0" w:line="240" w:lineRule="auto"/>
              <w:jc w:val="left"/>
              <w:rPr>
                <w:rFonts w:ascii="Arial" w:eastAsia="Times New Roman" w:hAnsi="Arial" w:cs="Arial"/>
                <w:sz w:val="16"/>
                <w:szCs w:val="16"/>
                <w:lang w:eastAsia="tr-TR"/>
              </w:rPr>
            </w:pPr>
            <w:r>
              <w:rPr>
                <w:rFonts w:ascii="Arial" w:eastAsia="Times New Roman" w:hAnsi="Arial" w:cs="Arial"/>
                <w:sz w:val="16"/>
                <w:szCs w:val="16"/>
                <w:lang w:eastAsia="tr-TR"/>
              </w:rPr>
              <w:t>Yurtdışına Yapılan Transferler</w:t>
            </w:r>
          </w:p>
        </w:tc>
        <w:tc>
          <w:tcPr>
            <w:tcW w:w="1340" w:type="dxa"/>
            <w:tcBorders>
              <w:top w:val="single" w:sz="4" w:space="0" w:color="auto"/>
              <w:left w:val="nil"/>
              <w:bottom w:val="single" w:sz="4" w:space="0" w:color="auto"/>
              <w:right w:val="single" w:sz="4" w:space="0" w:color="000000"/>
            </w:tcBorders>
            <w:noWrap/>
            <w:vAlign w:val="center"/>
            <w:hideMark/>
          </w:tcPr>
          <w:p w14:paraId="5356E734"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148.241,44</w:t>
            </w:r>
          </w:p>
        </w:tc>
        <w:tc>
          <w:tcPr>
            <w:tcW w:w="1386" w:type="dxa"/>
            <w:tcBorders>
              <w:top w:val="single" w:sz="4" w:space="0" w:color="auto"/>
              <w:left w:val="nil"/>
              <w:bottom w:val="single" w:sz="4" w:space="0" w:color="auto"/>
              <w:right w:val="single" w:sz="4" w:space="0" w:color="auto"/>
            </w:tcBorders>
            <w:noWrap/>
            <w:vAlign w:val="center"/>
            <w:hideMark/>
          </w:tcPr>
          <w:p w14:paraId="47F0A635"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194.341,33</w:t>
            </w:r>
          </w:p>
        </w:tc>
        <w:tc>
          <w:tcPr>
            <w:tcW w:w="1464" w:type="dxa"/>
            <w:tcBorders>
              <w:top w:val="single" w:sz="4" w:space="0" w:color="auto"/>
              <w:left w:val="nil"/>
              <w:bottom w:val="single" w:sz="4" w:space="0" w:color="auto"/>
              <w:right w:val="single" w:sz="4" w:space="0" w:color="auto"/>
            </w:tcBorders>
            <w:noWrap/>
            <w:vAlign w:val="center"/>
            <w:hideMark/>
          </w:tcPr>
          <w:p w14:paraId="762523CE"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527.200,20</w:t>
            </w:r>
          </w:p>
        </w:tc>
        <w:tc>
          <w:tcPr>
            <w:tcW w:w="169" w:type="dxa"/>
            <w:vMerge w:val="restart"/>
            <w:noWrap/>
            <w:vAlign w:val="center"/>
            <w:hideMark/>
          </w:tcPr>
          <w:p w14:paraId="09DB8CE7" w14:textId="77777777" w:rsidR="00F15C9A" w:rsidRDefault="00F15C9A" w:rsidP="00BC0D87">
            <w:pPr>
              <w:rPr>
                <w:rFonts w:ascii="Arial" w:eastAsia="Times New Roman" w:hAnsi="Arial" w:cs="Arial"/>
                <w:sz w:val="16"/>
                <w:szCs w:val="16"/>
                <w:lang w:eastAsia="tr-TR"/>
              </w:rPr>
            </w:pPr>
          </w:p>
        </w:tc>
        <w:tc>
          <w:tcPr>
            <w:tcW w:w="417" w:type="dxa"/>
            <w:tcBorders>
              <w:top w:val="nil"/>
              <w:left w:val="single" w:sz="4" w:space="0" w:color="auto"/>
              <w:bottom w:val="single" w:sz="4" w:space="0" w:color="auto"/>
              <w:right w:val="single" w:sz="4" w:space="0" w:color="auto"/>
            </w:tcBorders>
            <w:noWrap/>
            <w:vAlign w:val="center"/>
            <w:hideMark/>
          </w:tcPr>
          <w:p w14:paraId="46B91F28"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610</w:t>
            </w:r>
          </w:p>
        </w:tc>
        <w:tc>
          <w:tcPr>
            <w:tcW w:w="229" w:type="dxa"/>
            <w:tcBorders>
              <w:top w:val="nil"/>
              <w:left w:val="nil"/>
              <w:bottom w:val="single" w:sz="4" w:space="0" w:color="auto"/>
              <w:right w:val="single" w:sz="4" w:space="0" w:color="auto"/>
            </w:tcBorders>
            <w:noWrap/>
            <w:vAlign w:val="center"/>
            <w:hideMark/>
          </w:tcPr>
          <w:p w14:paraId="46ED25EF"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5</w:t>
            </w:r>
          </w:p>
        </w:tc>
        <w:tc>
          <w:tcPr>
            <w:tcW w:w="229" w:type="dxa"/>
            <w:tcBorders>
              <w:top w:val="nil"/>
              <w:left w:val="nil"/>
              <w:bottom w:val="single" w:sz="4" w:space="0" w:color="auto"/>
              <w:right w:val="single" w:sz="4" w:space="0" w:color="auto"/>
            </w:tcBorders>
            <w:noWrap/>
            <w:vAlign w:val="center"/>
            <w:hideMark/>
          </w:tcPr>
          <w:p w14:paraId="12D52AF4"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9</w:t>
            </w:r>
          </w:p>
        </w:tc>
        <w:tc>
          <w:tcPr>
            <w:tcW w:w="229" w:type="dxa"/>
            <w:tcBorders>
              <w:top w:val="nil"/>
              <w:left w:val="nil"/>
              <w:bottom w:val="single" w:sz="4" w:space="0" w:color="auto"/>
              <w:right w:val="single" w:sz="4" w:space="0" w:color="auto"/>
            </w:tcBorders>
            <w:noWrap/>
            <w:vAlign w:val="center"/>
            <w:hideMark/>
          </w:tcPr>
          <w:p w14:paraId="16DD800D"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 </w:t>
            </w:r>
          </w:p>
        </w:tc>
        <w:tc>
          <w:tcPr>
            <w:tcW w:w="318" w:type="dxa"/>
            <w:tcBorders>
              <w:top w:val="nil"/>
              <w:left w:val="nil"/>
              <w:bottom w:val="single" w:sz="4" w:space="0" w:color="auto"/>
              <w:right w:val="single" w:sz="4" w:space="0" w:color="auto"/>
            </w:tcBorders>
            <w:noWrap/>
            <w:vAlign w:val="center"/>
            <w:hideMark/>
          </w:tcPr>
          <w:p w14:paraId="4A86290C"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 </w:t>
            </w:r>
          </w:p>
        </w:tc>
        <w:tc>
          <w:tcPr>
            <w:tcW w:w="2410" w:type="dxa"/>
            <w:gridSpan w:val="4"/>
            <w:tcBorders>
              <w:top w:val="single" w:sz="4" w:space="0" w:color="auto"/>
              <w:left w:val="nil"/>
              <w:bottom w:val="single" w:sz="4" w:space="0" w:color="auto"/>
              <w:right w:val="single" w:sz="4" w:space="0" w:color="auto"/>
            </w:tcBorders>
            <w:vAlign w:val="center"/>
            <w:hideMark/>
          </w:tcPr>
          <w:p w14:paraId="17E17F4A" w14:textId="77777777" w:rsidR="00F15C9A" w:rsidRDefault="00F15C9A" w:rsidP="00BC0D87">
            <w:pPr>
              <w:spacing w:after="0" w:line="240" w:lineRule="auto"/>
              <w:jc w:val="left"/>
              <w:rPr>
                <w:rFonts w:ascii="Arial" w:eastAsia="Times New Roman" w:hAnsi="Arial" w:cs="Arial"/>
                <w:sz w:val="16"/>
                <w:szCs w:val="16"/>
                <w:lang w:eastAsia="tr-TR"/>
              </w:rPr>
            </w:pPr>
            <w:r>
              <w:rPr>
                <w:rFonts w:ascii="Arial" w:eastAsia="Times New Roman" w:hAnsi="Arial" w:cs="Arial"/>
                <w:sz w:val="16"/>
                <w:szCs w:val="16"/>
                <w:lang w:eastAsia="tr-TR"/>
              </w:rPr>
              <w:t>Diğer Çesitli Gelirler</w:t>
            </w:r>
          </w:p>
        </w:tc>
        <w:tc>
          <w:tcPr>
            <w:tcW w:w="1346" w:type="dxa"/>
            <w:gridSpan w:val="2"/>
            <w:tcBorders>
              <w:top w:val="single" w:sz="4" w:space="0" w:color="auto"/>
              <w:left w:val="nil"/>
              <w:bottom w:val="single" w:sz="4" w:space="0" w:color="auto"/>
              <w:right w:val="single" w:sz="4" w:space="0" w:color="auto"/>
            </w:tcBorders>
            <w:noWrap/>
            <w:vAlign w:val="center"/>
            <w:hideMark/>
          </w:tcPr>
          <w:p w14:paraId="40DCE9C3"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3.367.189,19</w:t>
            </w:r>
          </w:p>
        </w:tc>
        <w:tc>
          <w:tcPr>
            <w:tcW w:w="1386" w:type="dxa"/>
            <w:gridSpan w:val="2"/>
            <w:tcBorders>
              <w:top w:val="single" w:sz="4" w:space="0" w:color="auto"/>
              <w:left w:val="nil"/>
              <w:bottom w:val="single" w:sz="4" w:space="0" w:color="auto"/>
              <w:right w:val="single" w:sz="4" w:space="0" w:color="auto"/>
            </w:tcBorders>
            <w:noWrap/>
            <w:vAlign w:val="center"/>
            <w:hideMark/>
          </w:tcPr>
          <w:p w14:paraId="7600BA4C"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2.437.583,25</w:t>
            </w:r>
          </w:p>
        </w:tc>
        <w:tc>
          <w:tcPr>
            <w:tcW w:w="1529" w:type="dxa"/>
            <w:gridSpan w:val="2"/>
            <w:tcBorders>
              <w:top w:val="single" w:sz="4" w:space="0" w:color="auto"/>
              <w:left w:val="nil"/>
              <w:bottom w:val="single" w:sz="4" w:space="0" w:color="auto"/>
              <w:right w:val="single" w:sz="4" w:space="0" w:color="auto"/>
            </w:tcBorders>
            <w:noWrap/>
            <w:vAlign w:val="center"/>
            <w:hideMark/>
          </w:tcPr>
          <w:p w14:paraId="14F7FB5C"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10.027.319,66</w:t>
            </w:r>
          </w:p>
        </w:tc>
      </w:tr>
      <w:tr w:rsidR="00F15C9A" w14:paraId="2E5123B3" w14:textId="77777777" w:rsidTr="00F15C9A">
        <w:trPr>
          <w:trHeight w:val="342"/>
        </w:trPr>
        <w:tc>
          <w:tcPr>
            <w:tcW w:w="438" w:type="dxa"/>
            <w:tcBorders>
              <w:top w:val="nil"/>
              <w:left w:val="single" w:sz="4" w:space="0" w:color="auto"/>
              <w:bottom w:val="single" w:sz="4" w:space="0" w:color="auto"/>
              <w:right w:val="single" w:sz="4" w:space="0" w:color="auto"/>
            </w:tcBorders>
            <w:noWrap/>
            <w:vAlign w:val="center"/>
            <w:hideMark/>
          </w:tcPr>
          <w:p w14:paraId="338C98F8"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630</w:t>
            </w:r>
          </w:p>
        </w:tc>
        <w:tc>
          <w:tcPr>
            <w:tcW w:w="318" w:type="dxa"/>
            <w:tcBorders>
              <w:top w:val="nil"/>
              <w:left w:val="nil"/>
              <w:bottom w:val="single" w:sz="4" w:space="0" w:color="auto"/>
              <w:right w:val="single" w:sz="4" w:space="0" w:color="auto"/>
            </w:tcBorders>
            <w:noWrap/>
            <w:vAlign w:val="center"/>
            <w:hideMark/>
          </w:tcPr>
          <w:p w14:paraId="33D5218F"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5</w:t>
            </w:r>
          </w:p>
        </w:tc>
        <w:tc>
          <w:tcPr>
            <w:tcW w:w="349" w:type="dxa"/>
            <w:tcBorders>
              <w:top w:val="nil"/>
              <w:left w:val="nil"/>
              <w:bottom w:val="single" w:sz="4" w:space="0" w:color="auto"/>
              <w:right w:val="single" w:sz="4" w:space="0" w:color="auto"/>
            </w:tcBorders>
            <w:noWrap/>
            <w:vAlign w:val="center"/>
            <w:hideMark/>
          </w:tcPr>
          <w:p w14:paraId="12753F06"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8</w:t>
            </w:r>
          </w:p>
        </w:tc>
        <w:tc>
          <w:tcPr>
            <w:tcW w:w="2542" w:type="dxa"/>
            <w:tcBorders>
              <w:top w:val="single" w:sz="4" w:space="0" w:color="auto"/>
              <w:left w:val="nil"/>
              <w:bottom w:val="single" w:sz="4" w:space="0" w:color="auto"/>
              <w:right w:val="single" w:sz="4" w:space="0" w:color="auto"/>
            </w:tcBorders>
            <w:noWrap/>
            <w:vAlign w:val="center"/>
            <w:hideMark/>
          </w:tcPr>
          <w:p w14:paraId="36FF7503" w14:textId="77777777" w:rsidR="00F15C9A" w:rsidRDefault="00F15C9A" w:rsidP="00BC0D87">
            <w:pPr>
              <w:spacing w:after="0" w:line="240" w:lineRule="auto"/>
              <w:jc w:val="left"/>
              <w:rPr>
                <w:rFonts w:ascii="Arial" w:eastAsia="Times New Roman" w:hAnsi="Arial" w:cs="Arial"/>
                <w:sz w:val="16"/>
                <w:szCs w:val="16"/>
                <w:lang w:eastAsia="tr-TR"/>
              </w:rPr>
            </w:pPr>
            <w:r>
              <w:rPr>
                <w:rFonts w:ascii="Arial" w:eastAsia="Times New Roman" w:hAnsi="Arial" w:cs="Arial"/>
                <w:sz w:val="16"/>
                <w:szCs w:val="16"/>
                <w:lang w:eastAsia="tr-TR"/>
              </w:rPr>
              <w:t>Gelirden Ayrılan Paylar</w:t>
            </w:r>
          </w:p>
        </w:tc>
        <w:tc>
          <w:tcPr>
            <w:tcW w:w="1340" w:type="dxa"/>
            <w:tcBorders>
              <w:top w:val="single" w:sz="4" w:space="0" w:color="auto"/>
              <w:left w:val="nil"/>
              <w:bottom w:val="single" w:sz="4" w:space="0" w:color="auto"/>
              <w:right w:val="single" w:sz="4" w:space="0" w:color="000000"/>
            </w:tcBorders>
            <w:noWrap/>
            <w:vAlign w:val="center"/>
            <w:hideMark/>
          </w:tcPr>
          <w:p w14:paraId="0138D7E6"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457.625.820,49</w:t>
            </w:r>
          </w:p>
        </w:tc>
        <w:tc>
          <w:tcPr>
            <w:tcW w:w="1386" w:type="dxa"/>
            <w:tcBorders>
              <w:top w:val="single" w:sz="4" w:space="0" w:color="auto"/>
              <w:left w:val="nil"/>
              <w:bottom w:val="single" w:sz="4" w:space="0" w:color="auto"/>
              <w:right w:val="single" w:sz="4" w:space="0" w:color="auto"/>
            </w:tcBorders>
            <w:noWrap/>
            <w:vAlign w:val="center"/>
            <w:hideMark/>
          </w:tcPr>
          <w:p w14:paraId="7CBF43EE"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798.259.228,91</w:t>
            </w:r>
          </w:p>
        </w:tc>
        <w:tc>
          <w:tcPr>
            <w:tcW w:w="1464" w:type="dxa"/>
            <w:tcBorders>
              <w:top w:val="single" w:sz="4" w:space="0" w:color="auto"/>
              <w:left w:val="nil"/>
              <w:bottom w:val="single" w:sz="4" w:space="0" w:color="auto"/>
              <w:right w:val="single" w:sz="4" w:space="0" w:color="auto"/>
            </w:tcBorders>
            <w:noWrap/>
            <w:vAlign w:val="center"/>
            <w:hideMark/>
          </w:tcPr>
          <w:p w14:paraId="509DF633"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933.775.332,57</w:t>
            </w:r>
          </w:p>
        </w:tc>
        <w:tc>
          <w:tcPr>
            <w:tcW w:w="0" w:type="auto"/>
            <w:vMerge/>
            <w:vAlign w:val="center"/>
            <w:hideMark/>
          </w:tcPr>
          <w:p w14:paraId="56FAE7C1" w14:textId="77777777" w:rsidR="00F15C9A" w:rsidRDefault="00F15C9A" w:rsidP="00BC0D87">
            <w:pPr>
              <w:spacing w:after="0"/>
              <w:jc w:val="left"/>
              <w:rPr>
                <w:rFonts w:ascii="Arial" w:eastAsia="Times New Roman" w:hAnsi="Arial" w:cs="Arial"/>
                <w:sz w:val="16"/>
                <w:szCs w:val="16"/>
                <w:lang w:eastAsia="tr-TR"/>
              </w:rPr>
            </w:pPr>
          </w:p>
        </w:tc>
        <w:tc>
          <w:tcPr>
            <w:tcW w:w="3832" w:type="dxa"/>
            <w:gridSpan w:val="9"/>
            <w:tcBorders>
              <w:top w:val="single" w:sz="4" w:space="0" w:color="auto"/>
              <w:left w:val="single" w:sz="4" w:space="0" w:color="auto"/>
              <w:bottom w:val="single" w:sz="4" w:space="0" w:color="auto"/>
              <w:right w:val="single" w:sz="4" w:space="0" w:color="auto"/>
            </w:tcBorders>
            <w:noWrap/>
            <w:vAlign w:val="center"/>
            <w:hideMark/>
          </w:tcPr>
          <w:p w14:paraId="7299C029" w14:textId="77777777" w:rsidR="00F15C9A" w:rsidRDefault="00F15C9A" w:rsidP="00BC0D87">
            <w:pPr>
              <w:spacing w:after="0" w:line="240" w:lineRule="auto"/>
              <w:jc w:val="left"/>
              <w:rPr>
                <w:rFonts w:ascii="Arial" w:eastAsia="Times New Roman" w:hAnsi="Arial" w:cs="Arial"/>
                <w:b/>
                <w:bCs/>
                <w:sz w:val="16"/>
                <w:szCs w:val="16"/>
                <w:lang w:eastAsia="tr-TR"/>
              </w:rPr>
            </w:pPr>
            <w:r>
              <w:rPr>
                <w:rFonts w:ascii="Arial" w:eastAsia="Times New Roman" w:hAnsi="Arial" w:cs="Arial"/>
                <w:b/>
                <w:bCs/>
                <w:sz w:val="16"/>
                <w:szCs w:val="16"/>
                <w:lang w:eastAsia="tr-TR"/>
              </w:rPr>
              <w:t>İNDİRİM, İADE VE İSKONTO TOPLAMI (C)</w:t>
            </w:r>
          </w:p>
        </w:tc>
        <w:tc>
          <w:tcPr>
            <w:tcW w:w="1346" w:type="dxa"/>
            <w:gridSpan w:val="2"/>
            <w:tcBorders>
              <w:top w:val="single" w:sz="4" w:space="0" w:color="auto"/>
              <w:left w:val="nil"/>
              <w:bottom w:val="single" w:sz="4" w:space="0" w:color="auto"/>
              <w:right w:val="single" w:sz="4" w:space="0" w:color="auto"/>
            </w:tcBorders>
            <w:noWrap/>
            <w:vAlign w:val="center"/>
            <w:hideMark/>
          </w:tcPr>
          <w:p w14:paraId="0F6DD810" w14:textId="77777777" w:rsidR="00F15C9A" w:rsidRDefault="00F15C9A" w:rsidP="00BC0D87">
            <w:pPr>
              <w:spacing w:after="0" w:line="240" w:lineRule="auto"/>
              <w:jc w:val="right"/>
              <w:rPr>
                <w:rFonts w:ascii="Arial" w:eastAsia="Times New Roman" w:hAnsi="Arial" w:cs="Arial"/>
                <w:b/>
                <w:bCs/>
                <w:sz w:val="16"/>
                <w:szCs w:val="16"/>
                <w:lang w:eastAsia="tr-TR"/>
              </w:rPr>
            </w:pPr>
            <w:r>
              <w:rPr>
                <w:rFonts w:ascii="Arial" w:eastAsia="Times New Roman" w:hAnsi="Arial" w:cs="Arial"/>
                <w:b/>
                <w:bCs/>
                <w:sz w:val="16"/>
                <w:szCs w:val="16"/>
                <w:lang w:eastAsia="tr-TR"/>
              </w:rPr>
              <w:t>11.945.566,81</w:t>
            </w:r>
          </w:p>
        </w:tc>
        <w:tc>
          <w:tcPr>
            <w:tcW w:w="1386" w:type="dxa"/>
            <w:gridSpan w:val="2"/>
            <w:tcBorders>
              <w:top w:val="single" w:sz="4" w:space="0" w:color="auto"/>
              <w:left w:val="nil"/>
              <w:bottom w:val="single" w:sz="4" w:space="0" w:color="auto"/>
              <w:right w:val="single" w:sz="4" w:space="0" w:color="auto"/>
            </w:tcBorders>
            <w:noWrap/>
            <w:vAlign w:val="center"/>
            <w:hideMark/>
          </w:tcPr>
          <w:p w14:paraId="04069856" w14:textId="77777777" w:rsidR="00F15C9A" w:rsidRDefault="00F15C9A" w:rsidP="00BC0D87">
            <w:pPr>
              <w:spacing w:after="0" w:line="240" w:lineRule="auto"/>
              <w:jc w:val="right"/>
              <w:rPr>
                <w:rFonts w:ascii="Arial" w:eastAsia="Times New Roman" w:hAnsi="Arial" w:cs="Arial"/>
                <w:b/>
                <w:bCs/>
                <w:sz w:val="16"/>
                <w:szCs w:val="16"/>
                <w:lang w:eastAsia="tr-TR"/>
              </w:rPr>
            </w:pPr>
            <w:r>
              <w:rPr>
                <w:rFonts w:ascii="Arial" w:eastAsia="Times New Roman" w:hAnsi="Arial" w:cs="Arial"/>
                <w:b/>
                <w:bCs/>
                <w:sz w:val="16"/>
                <w:szCs w:val="16"/>
                <w:lang w:eastAsia="tr-TR"/>
              </w:rPr>
              <w:t>12.088.844,54</w:t>
            </w:r>
          </w:p>
        </w:tc>
        <w:tc>
          <w:tcPr>
            <w:tcW w:w="1529" w:type="dxa"/>
            <w:gridSpan w:val="2"/>
            <w:tcBorders>
              <w:top w:val="single" w:sz="4" w:space="0" w:color="auto"/>
              <w:left w:val="nil"/>
              <w:bottom w:val="single" w:sz="4" w:space="0" w:color="auto"/>
              <w:right w:val="single" w:sz="4" w:space="0" w:color="auto"/>
            </w:tcBorders>
            <w:noWrap/>
            <w:vAlign w:val="center"/>
            <w:hideMark/>
          </w:tcPr>
          <w:p w14:paraId="0C0EC967" w14:textId="77777777" w:rsidR="00F15C9A" w:rsidRDefault="00F15C9A" w:rsidP="00BC0D87">
            <w:pPr>
              <w:spacing w:after="0" w:line="240" w:lineRule="auto"/>
              <w:jc w:val="right"/>
              <w:rPr>
                <w:rFonts w:ascii="Arial" w:eastAsia="Times New Roman" w:hAnsi="Arial" w:cs="Arial"/>
                <w:b/>
                <w:bCs/>
                <w:sz w:val="16"/>
                <w:szCs w:val="16"/>
                <w:lang w:eastAsia="tr-TR"/>
              </w:rPr>
            </w:pPr>
            <w:r>
              <w:rPr>
                <w:rFonts w:ascii="Arial" w:eastAsia="Times New Roman" w:hAnsi="Arial" w:cs="Arial"/>
                <w:b/>
                <w:bCs/>
                <w:sz w:val="16"/>
                <w:szCs w:val="16"/>
                <w:lang w:eastAsia="tr-TR"/>
              </w:rPr>
              <w:t>27.815.060,67</w:t>
            </w:r>
          </w:p>
        </w:tc>
      </w:tr>
      <w:tr w:rsidR="00F15C9A" w14:paraId="6DE0851A" w14:textId="77777777" w:rsidTr="00F15C9A">
        <w:trPr>
          <w:trHeight w:val="342"/>
        </w:trPr>
        <w:tc>
          <w:tcPr>
            <w:tcW w:w="438" w:type="dxa"/>
            <w:tcBorders>
              <w:top w:val="nil"/>
              <w:left w:val="single" w:sz="4" w:space="0" w:color="auto"/>
              <w:bottom w:val="single" w:sz="4" w:space="0" w:color="auto"/>
              <w:right w:val="single" w:sz="4" w:space="0" w:color="auto"/>
            </w:tcBorders>
            <w:noWrap/>
            <w:vAlign w:val="center"/>
            <w:hideMark/>
          </w:tcPr>
          <w:p w14:paraId="79D3551A" w14:textId="77777777" w:rsidR="00F15C9A" w:rsidRDefault="00F15C9A" w:rsidP="00BC0D87">
            <w:pPr>
              <w:spacing w:after="0" w:line="240" w:lineRule="auto"/>
              <w:jc w:val="center"/>
              <w:rPr>
                <w:rFonts w:ascii="Arial" w:eastAsia="Times New Roman" w:hAnsi="Arial" w:cs="Arial"/>
                <w:b/>
                <w:bCs/>
                <w:sz w:val="16"/>
                <w:szCs w:val="16"/>
                <w:lang w:eastAsia="tr-TR"/>
              </w:rPr>
            </w:pPr>
            <w:r>
              <w:rPr>
                <w:rFonts w:ascii="Arial" w:eastAsia="Times New Roman" w:hAnsi="Arial" w:cs="Arial"/>
                <w:b/>
                <w:bCs/>
                <w:sz w:val="16"/>
                <w:szCs w:val="16"/>
                <w:lang w:eastAsia="tr-TR"/>
              </w:rPr>
              <w:t>630</w:t>
            </w:r>
          </w:p>
        </w:tc>
        <w:tc>
          <w:tcPr>
            <w:tcW w:w="318" w:type="dxa"/>
            <w:tcBorders>
              <w:top w:val="nil"/>
              <w:left w:val="nil"/>
              <w:bottom w:val="single" w:sz="4" w:space="0" w:color="auto"/>
              <w:right w:val="single" w:sz="4" w:space="0" w:color="auto"/>
            </w:tcBorders>
            <w:noWrap/>
            <w:vAlign w:val="center"/>
            <w:hideMark/>
          </w:tcPr>
          <w:p w14:paraId="3B74C6CC" w14:textId="77777777" w:rsidR="00F15C9A" w:rsidRDefault="00F15C9A" w:rsidP="00BC0D87">
            <w:pPr>
              <w:spacing w:after="0" w:line="240" w:lineRule="auto"/>
              <w:jc w:val="center"/>
              <w:rPr>
                <w:rFonts w:ascii="Arial" w:eastAsia="Times New Roman" w:hAnsi="Arial" w:cs="Arial"/>
                <w:b/>
                <w:bCs/>
                <w:sz w:val="16"/>
                <w:szCs w:val="16"/>
                <w:lang w:eastAsia="tr-TR"/>
              </w:rPr>
            </w:pPr>
            <w:r>
              <w:rPr>
                <w:rFonts w:ascii="Arial" w:eastAsia="Times New Roman" w:hAnsi="Arial" w:cs="Arial"/>
                <w:b/>
                <w:bCs/>
                <w:sz w:val="16"/>
                <w:szCs w:val="16"/>
                <w:lang w:eastAsia="tr-TR"/>
              </w:rPr>
              <w:t>13</w:t>
            </w:r>
          </w:p>
        </w:tc>
        <w:tc>
          <w:tcPr>
            <w:tcW w:w="349" w:type="dxa"/>
            <w:tcBorders>
              <w:top w:val="nil"/>
              <w:left w:val="nil"/>
              <w:bottom w:val="single" w:sz="4" w:space="0" w:color="auto"/>
              <w:right w:val="single" w:sz="4" w:space="0" w:color="auto"/>
            </w:tcBorders>
            <w:noWrap/>
            <w:vAlign w:val="center"/>
            <w:hideMark/>
          </w:tcPr>
          <w:p w14:paraId="09FB5FCC"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 </w:t>
            </w:r>
          </w:p>
        </w:tc>
        <w:tc>
          <w:tcPr>
            <w:tcW w:w="2542" w:type="dxa"/>
            <w:tcBorders>
              <w:top w:val="single" w:sz="4" w:space="0" w:color="auto"/>
              <w:left w:val="nil"/>
              <w:bottom w:val="single" w:sz="4" w:space="0" w:color="auto"/>
              <w:right w:val="single" w:sz="4" w:space="0" w:color="auto"/>
            </w:tcBorders>
            <w:noWrap/>
            <w:vAlign w:val="center"/>
            <w:hideMark/>
          </w:tcPr>
          <w:p w14:paraId="0B96C6DE" w14:textId="77777777" w:rsidR="00F15C9A" w:rsidRDefault="00F15C9A" w:rsidP="00BC0D87">
            <w:pPr>
              <w:spacing w:after="0" w:line="240" w:lineRule="auto"/>
              <w:jc w:val="left"/>
              <w:rPr>
                <w:rFonts w:ascii="Arial" w:eastAsia="Times New Roman" w:hAnsi="Arial" w:cs="Arial"/>
                <w:b/>
                <w:bCs/>
                <w:sz w:val="16"/>
                <w:szCs w:val="16"/>
                <w:lang w:eastAsia="tr-TR"/>
              </w:rPr>
            </w:pPr>
            <w:r>
              <w:rPr>
                <w:rFonts w:ascii="Arial" w:eastAsia="Times New Roman" w:hAnsi="Arial" w:cs="Arial"/>
                <w:b/>
                <w:bCs/>
                <w:sz w:val="16"/>
                <w:szCs w:val="16"/>
                <w:lang w:eastAsia="tr-TR"/>
              </w:rPr>
              <w:t>Amortisman Giderleri</w:t>
            </w:r>
          </w:p>
        </w:tc>
        <w:tc>
          <w:tcPr>
            <w:tcW w:w="1340" w:type="dxa"/>
            <w:tcBorders>
              <w:top w:val="single" w:sz="4" w:space="0" w:color="auto"/>
              <w:left w:val="nil"/>
              <w:bottom w:val="single" w:sz="4" w:space="0" w:color="auto"/>
              <w:right w:val="single" w:sz="4" w:space="0" w:color="auto"/>
            </w:tcBorders>
            <w:noWrap/>
            <w:vAlign w:val="center"/>
            <w:hideMark/>
          </w:tcPr>
          <w:p w14:paraId="3257D724" w14:textId="77777777" w:rsidR="00F15C9A" w:rsidRDefault="00F15C9A" w:rsidP="00BC0D87">
            <w:pPr>
              <w:spacing w:after="0" w:line="240" w:lineRule="auto"/>
              <w:jc w:val="right"/>
              <w:rPr>
                <w:rFonts w:ascii="Arial" w:eastAsia="Times New Roman" w:hAnsi="Arial" w:cs="Arial"/>
                <w:b/>
                <w:bCs/>
                <w:sz w:val="16"/>
                <w:szCs w:val="16"/>
                <w:lang w:eastAsia="tr-TR"/>
              </w:rPr>
            </w:pPr>
            <w:r>
              <w:rPr>
                <w:rFonts w:ascii="Arial" w:eastAsia="Times New Roman" w:hAnsi="Arial" w:cs="Arial"/>
                <w:b/>
                <w:bCs/>
                <w:sz w:val="16"/>
                <w:szCs w:val="16"/>
                <w:lang w:eastAsia="tr-TR"/>
              </w:rPr>
              <w:t>11.611.682,73</w:t>
            </w:r>
          </w:p>
        </w:tc>
        <w:tc>
          <w:tcPr>
            <w:tcW w:w="1386" w:type="dxa"/>
            <w:tcBorders>
              <w:top w:val="single" w:sz="4" w:space="0" w:color="auto"/>
              <w:left w:val="nil"/>
              <w:bottom w:val="single" w:sz="4" w:space="0" w:color="auto"/>
              <w:right w:val="single" w:sz="4" w:space="0" w:color="auto"/>
            </w:tcBorders>
            <w:noWrap/>
            <w:vAlign w:val="center"/>
            <w:hideMark/>
          </w:tcPr>
          <w:p w14:paraId="6EE54529" w14:textId="77777777" w:rsidR="00F15C9A" w:rsidRDefault="00F15C9A" w:rsidP="00BC0D87">
            <w:pPr>
              <w:spacing w:after="0" w:line="240" w:lineRule="auto"/>
              <w:jc w:val="right"/>
              <w:rPr>
                <w:rFonts w:ascii="Arial" w:eastAsia="Times New Roman" w:hAnsi="Arial" w:cs="Arial"/>
                <w:b/>
                <w:bCs/>
                <w:sz w:val="16"/>
                <w:szCs w:val="16"/>
                <w:lang w:eastAsia="tr-TR"/>
              </w:rPr>
            </w:pPr>
            <w:r>
              <w:rPr>
                <w:rFonts w:ascii="Arial" w:eastAsia="Times New Roman" w:hAnsi="Arial" w:cs="Arial"/>
                <w:b/>
                <w:bCs/>
                <w:sz w:val="16"/>
                <w:szCs w:val="16"/>
                <w:lang w:eastAsia="tr-TR"/>
              </w:rPr>
              <w:t>56.928.803,08</w:t>
            </w:r>
          </w:p>
        </w:tc>
        <w:tc>
          <w:tcPr>
            <w:tcW w:w="1464" w:type="dxa"/>
            <w:tcBorders>
              <w:top w:val="single" w:sz="4" w:space="0" w:color="auto"/>
              <w:left w:val="nil"/>
              <w:bottom w:val="single" w:sz="4" w:space="0" w:color="auto"/>
              <w:right w:val="single" w:sz="4" w:space="0" w:color="auto"/>
            </w:tcBorders>
            <w:noWrap/>
            <w:vAlign w:val="center"/>
            <w:hideMark/>
          </w:tcPr>
          <w:p w14:paraId="6C9B21DD" w14:textId="77777777" w:rsidR="00F15C9A" w:rsidRDefault="00F15C9A" w:rsidP="00BC0D87">
            <w:pPr>
              <w:spacing w:after="0" w:line="240" w:lineRule="auto"/>
              <w:jc w:val="right"/>
              <w:rPr>
                <w:rFonts w:ascii="Arial" w:eastAsia="Times New Roman" w:hAnsi="Arial" w:cs="Arial"/>
                <w:b/>
                <w:bCs/>
                <w:sz w:val="16"/>
                <w:szCs w:val="16"/>
                <w:lang w:eastAsia="tr-TR"/>
              </w:rPr>
            </w:pPr>
            <w:r>
              <w:rPr>
                <w:rFonts w:ascii="Arial" w:eastAsia="Times New Roman" w:hAnsi="Arial" w:cs="Arial"/>
                <w:b/>
                <w:bCs/>
                <w:sz w:val="16"/>
                <w:szCs w:val="16"/>
                <w:lang w:eastAsia="tr-TR"/>
              </w:rPr>
              <w:t>40.011.598,70</w:t>
            </w:r>
          </w:p>
        </w:tc>
        <w:tc>
          <w:tcPr>
            <w:tcW w:w="169" w:type="dxa"/>
            <w:noWrap/>
            <w:vAlign w:val="center"/>
            <w:hideMark/>
          </w:tcPr>
          <w:p w14:paraId="166F11C0" w14:textId="77777777" w:rsidR="00F15C9A" w:rsidRDefault="00F15C9A" w:rsidP="00BC0D87">
            <w:pPr>
              <w:rPr>
                <w:rFonts w:ascii="Arial" w:eastAsia="Times New Roman" w:hAnsi="Arial" w:cs="Arial"/>
                <w:b/>
                <w:bCs/>
                <w:sz w:val="16"/>
                <w:szCs w:val="16"/>
                <w:lang w:eastAsia="tr-TR"/>
              </w:rPr>
            </w:pPr>
          </w:p>
        </w:tc>
        <w:tc>
          <w:tcPr>
            <w:tcW w:w="8093" w:type="dxa"/>
            <w:gridSpan w:val="15"/>
            <w:tcBorders>
              <w:top w:val="single" w:sz="4" w:space="0" w:color="auto"/>
              <w:left w:val="nil"/>
              <w:bottom w:val="nil"/>
              <w:right w:val="nil"/>
            </w:tcBorders>
            <w:noWrap/>
            <w:vAlign w:val="center"/>
            <w:hideMark/>
          </w:tcPr>
          <w:p w14:paraId="3E08ACF8" w14:textId="77777777" w:rsidR="00F15C9A" w:rsidRDefault="00F15C9A" w:rsidP="00BC0D87">
            <w:pPr>
              <w:spacing w:after="0" w:line="240" w:lineRule="auto"/>
              <w:jc w:val="center"/>
              <w:rPr>
                <w:rFonts w:ascii="Arial" w:eastAsia="Times New Roman" w:hAnsi="Arial" w:cs="Arial"/>
                <w:b/>
                <w:bCs/>
                <w:sz w:val="16"/>
                <w:szCs w:val="16"/>
                <w:lang w:eastAsia="tr-TR"/>
              </w:rPr>
            </w:pPr>
            <w:r>
              <w:rPr>
                <w:rFonts w:ascii="Arial" w:eastAsia="Times New Roman" w:hAnsi="Arial" w:cs="Arial"/>
                <w:b/>
                <w:bCs/>
                <w:sz w:val="16"/>
                <w:szCs w:val="16"/>
                <w:lang w:eastAsia="tr-TR"/>
              </w:rPr>
              <w:t> </w:t>
            </w:r>
          </w:p>
        </w:tc>
      </w:tr>
      <w:tr w:rsidR="00F15C9A" w14:paraId="3C6B0100" w14:textId="77777777" w:rsidTr="00F15C9A">
        <w:trPr>
          <w:trHeight w:val="342"/>
        </w:trPr>
        <w:tc>
          <w:tcPr>
            <w:tcW w:w="438" w:type="dxa"/>
            <w:tcBorders>
              <w:top w:val="nil"/>
              <w:left w:val="single" w:sz="4" w:space="0" w:color="auto"/>
              <w:bottom w:val="single" w:sz="4" w:space="0" w:color="auto"/>
              <w:right w:val="single" w:sz="4" w:space="0" w:color="auto"/>
            </w:tcBorders>
            <w:noWrap/>
            <w:vAlign w:val="center"/>
            <w:hideMark/>
          </w:tcPr>
          <w:p w14:paraId="595F1C92"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630</w:t>
            </w:r>
          </w:p>
        </w:tc>
        <w:tc>
          <w:tcPr>
            <w:tcW w:w="318" w:type="dxa"/>
            <w:tcBorders>
              <w:top w:val="nil"/>
              <w:left w:val="nil"/>
              <w:bottom w:val="single" w:sz="4" w:space="0" w:color="auto"/>
              <w:right w:val="single" w:sz="4" w:space="0" w:color="auto"/>
            </w:tcBorders>
            <w:noWrap/>
            <w:vAlign w:val="center"/>
            <w:hideMark/>
          </w:tcPr>
          <w:p w14:paraId="30D7FD0F"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13</w:t>
            </w:r>
          </w:p>
        </w:tc>
        <w:tc>
          <w:tcPr>
            <w:tcW w:w="349" w:type="dxa"/>
            <w:tcBorders>
              <w:top w:val="nil"/>
              <w:left w:val="nil"/>
              <w:bottom w:val="single" w:sz="4" w:space="0" w:color="auto"/>
              <w:right w:val="single" w:sz="4" w:space="0" w:color="auto"/>
            </w:tcBorders>
            <w:noWrap/>
            <w:vAlign w:val="center"/>
            <w:hideMark/>
          </w:tcPr>
          <w:p w14:paraId="6913F121"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1</w:t>
            </w:r>
          </w:p>
        </w:tc>
        <w:tc>
          <w:tcPr>
            <w:tcW w:w="2542" w:type="dxa"/>
            <w:tcBorders>
              <w:top w:val="single" w:sz="4" w:space="0" w:color="auto"/>
              <w:left w:val="nil"/>
              <w:bottom w:val="single" w:sz="4" w:space="0" w:color="auto"/>
              <w:right w:val="single" w:sz="4" w:space="0" w:color="auto"/>
            </w:tcBorders>
            <w:vAlign w:val="center"/>
            <w:hideMark/>
          </w:tcPr>
          <w:p w14:paraId="3D16602C" w14:textId="77777777" w:rsidR="00F15C9A" w:rsidRDefault="00F15C9A" w:rsidP="00BC0D87">
            <w:pPr>
              <w:spacing w:after="0" w:line="240" w:lineRule="auto"/>
              <w:jc w:val="left"/>
              <w:rPr>
                <w:rFonts w:ascii="Arial" w:eastAsia="Times New Roman" w:hAnsi="Arial" w:cs="Arial"/>
                <w:sz w:val="16"/>
                <w:szCs w:val="16"/>
                <w:lang w:eastAsia="tr-TR"/>
              </w:rPr>
            </w:pPr>
            <w:r>
              <w:rPr>
                <w:rFonts w:ascii="Arial" w:eastAsia="Times New Roman" w:hAnsi="Arial" w:cs="Arial"/>
                <w:sz w:val="16"/>
                <w:szCs w:val="16"/>
                <w:lang w:eastAsia="tr-TR"/>
              </w:rPr>
              <w:t>Maddi Duran Varlıklar Amortisman Giderleri</w:t>
            </w:r>
          </w:p>
        </w:tc>
        <w:tc>
          <w:tcPr>
            <w:tcW w:w="1340" w:type="dxa"/>
            <w:tcBorders>
              <w:top w:val="single" w:sz="4" w:space="0" w:color="auto"/>
              <w:left w:val="nil"/>
              <w:bottom w:val="single" w:sz="4" w:space="0" w:color="auto"/>
              <w:right w:val="single" w:sz="4" w:space="0" w:color="000000"/>
            </w:tcBorders>
            <w:noWrap/>
            <w:vAlign w:val="center"/>
            <w:hideMark/>
          </w:tcPr>
          <w:p w14:paraId="1E744204"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5.276.330,50</w:t>
            </w:r>
          </w:p>
        </w:tc>
        <w:tc>
          <w:tcPr>
            <w:tcW w:w="1386" w:type="dxa"/>
            <w:tcBorders>
              <w:top w:val="single" w:sz="4" w:space="0" w:color="auto"/>
              <w:left w:val="nil"/>
              <w:bottom w:val="single" w:sz="4" w:space="0" w:color="auto"/>
              <w:right w:val="single" w:sz="4" w:space="0" w:color="000000"/>
            </w:tcBorders>
            <w:noWrap/>
            <w:vAlign w:val="center"/>
            <w:hideMark/>
          </w:tcPr>
          <w:p w14:paraId="6D15589C"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30.492.758,06</w:t>
            </w:r>
          </w:p>
        </w:tc>
        <w:tc>
          <w:tcPr>
            <w:tcW w:w="1464" w:type="dxa"/>
            <w:tcBorders>
              <w:top w:val="single" w:sz="4" w:space="0" w:color="auto"/>
              <w:left w:val="nil"/>
              <w:bottom w:val="single" w:sz="4" w:space="0" w:color="auto"/>
              <w:right w:val="single" w:sz="4" w:space="0" w:color="auto"/>
            </w:tcBorders>
            <w:noWrap/>
            <w:vAlign w:val="center"/>
            <w:hideMark/>
          </w:tcPr>
          <w:p w14:paraId="66F54B9C"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19.484.781,33</w:t>
            </w:r>
          </w:p>
        </w:tc>
        <w:tc>
          <w:tcPr>
            <w:tcW w:w="169" w:type="dxa"/>
            <w:noWrap/>
            <w:vAlign w:val="center"/>
            <w:hideMark/>
          </w:tcPr>
          <w:p w14:paraId="6B629216" w14:textId="77777777" w:rsidR="00F15C9A" w:rsidRDefault="00F15C9A" w:rsidP="00BC0D87">
            <w:pPr>
              <w:rPr>
                <w:rFonts w:ascii="Arial" w:eastAsia="Times New Roman" w:hAnsi="Arial" w:cs="Arial"/>
                <w:sz w:val="16"/>
                <w:szCs w:val="16"/>
                <w:lang w:eastAsia="tr-TR"/>
              </w:rPr>
            </w:pPr>
          </w:p>
        </w:tc>
        <w:tc>
          <w:tcPr>
            <w:tcW w:w="3832" w:type="dxa"/>
            <w:gridSpan w:val="9"/>
            <w:tcBorders>
              <w:top w:val="single" w:sz="4" w:space="0" w:color="auto"/>
              <w:left w:val="single" w:sz="4" w:space="0" w:color="auto"/>
              <w:bottom w:val="single" w:sz="4" w:space="0" w:color="auto"/>
              <w:right w:val="single" w:sz="4" w:space="0" w:color="auto"/>
            </w:tcBorders>
            <w:noWrap/>
            <w:vAlign w:val="center"/>
            <w:hideMark/>
          </w:tcPr>
          <w:p w14:paraId="3F8B3DD8" w14:textId="77777777" w:rsidR="00F15C9A" w:rsidRDefault="00F15C9A" w:rsidP="00BC0D87">
            <w:pPr>
              <w:spacing w:after="0" w:line="240" w:lineRule="auto"/>
              <w:jc w:val="center"/>
              <w:rPr>
                <w:rFonts w:ascii="Arial" w:eastAsia="Times New Roman" w:hAnsi="Arial" w:cs="Arial"/>
                <w:b/>
                <w:bCs/>
                <w:sz w:val="16"/>
                <w:szCs w:val="16"/>
                <w:lang w:eastAsia="tr-TR"/>
              </w:rPr>
            </w:pPr>
            <w:r>
              <w:rPr>
                <w:rFonts w:ascii="Arial" w:eastAsia="Times New Roman" w:hAnsi="Arial" w:cs="Arial"/>
                <w:b/>
                <w:bCs/>
                <w:sz w:val="16"/>
                <w:szCs w:val="16"/>
                <w:lang w:eastAsia="tr-TR"/>
              </w:rPr>
              <w:t> </w:t>
            </w:r>
          </w:p>
        </w:tc>
        <w:tc>
          <w:tcPr>
            <w:tcW w:w="1346" w:type="dxa"/>
            <w:gridSpan w:val="2"/>
            <w:tcBorders>
              <w:top w:val="single" w:sz="4" w:space="0" w:color="auto"/>
              <w:left w:val="nil"/>
              <w:bottom w:val="single" w:sz="4" w:space="0" w:color="auto"/>
              <w:right w:val="single" w:sz="4" w:space="0" w:color="000000"/>
            </w:tcBorders>
            <w:noWrap/>
            <w:vAlign w:val="center"/>
            <w:hideMark/>
          </w:tcPr>
          <w:p w14:paraId="5BD05804" w14:textId="77777777" w:rsidR="00F15C9A" w:rsidRDefault="00F15C9A" w:rsidP="00BC0D87">
            <w:pPr>
              <w:spacing w:after="0" w:line="240" w:lineRule="auto"/>
              <w:jc w:val="center"/>
              <w:rPr>
                <w:rFonts w:ascii="Arial" w:eastAsia="Times New Roman" w:hAnsi="Arial" w:cs="Arial"/>
                <w:b/>
                <w:bCs/>
                <w:sz w:val="18"/>
                <w:szCs w:val="18"/>
                <w:lang w:eastAsia="tr-TR"/>
              </w:rPr>
            </w:pPr>
            <w:r>
              <w:rPr>
                <w:rFonts w:ascii="Arial" w:eastAsia="Times New Roman" w:hAnsi="Arial" w:cs="Arial"/>
                <w:b/>
                <w:bCs/>
                <w:sz w:val="18"/>
                <w:szCs w:val="18"/>
                <w:lang w:eastAsia="tr-TR"/>
              </w:rPr>
              <w:t>2022 YILI</w:t>
            </w:r>
          </w:p>
        </w:tc>
        <w:tc>
          <w:tcPr>
            <w:tcW w:w="1386" w:type="dxa"/>
            <w:gridSpan w:val="2"/>
            <w:tcBorders>
              <w:top w:val="single" w:sz="4" w:space="0" w:color="auto"/>
              <w:left w:val="nil"/>
              <w:bottom w:val="single" w:sz="4" w:space="0" w:color="auto"/>
              <w:right w:val="single" w:sz="4" w:space="0" w:color="000000"/>
            </w:tcBorders>
            <w:noWrap/>
            <w:vAlign w:val="center"/>
            <w:hideMark/>
          </w:tcPr>
          <w:p w14:paraId="62CD7568" w14:textId="77777777" w:rsidR="00F15C9A" w:rsidRDefault="00F15C9A" w:rsidP="00BC0D87">
            <w:pPr>
              <w:spacing w:after="0" w:line="240" w:lineRule="auto"/>
              <w:jc w:val="center"/>
              <w:rPr>
                <w:rFonts w:ascii="Arial" w:eastAsia="Times New Roman" w:hAnsi="Arial" w:cs="Arial"/>
                <w:b/>
                <w:bCs/>
                <w:sz w:val="18"/>
                <w:szCs w:val="18"/>
                <w:lang w:eastAsia="tr-TR"/>
              </w:rPr>
            </w:pPr>
            <w:r>
              <w:rPr>
                <w:rFonts w:ascii="Arial" w:eastAsia="Times New Roman" w:hAnsi="Arial" w:cs="Arial"/>
                <w:b/>
                <w:bCs/>
                <w:sz w:val="18"/>
                <w:szCs w:val="18"/>
                <w:lang w:eastAsia="tr-TR"/>
              </w:rPr>
              <w:t>2023 YILI</w:t>
            </w:r>
          </w:p>
        </w:tc>
        <w:tc>
          <w:tcPr>
            <w:tcW w:w="1529" w:type="dxa"/>
            <w:gridSpan w:val="2"/>
            <w:tcBorders>
              <w:top w:val="single" w:sz="4" w:space="0" w:color="auto"/>
              <w:left w:val="nil"/>
              <w:bottom w:val="single" w:sz="4" w:space="0" w:color="auto"/>
              <w:right w:val="single" w:sz="4" w:space="0" w:color="000000"/>
            </w:tcBorders>
            <w:noWrap/>
            <w:vAlign w:val="center"/>
            <w:hideMark/>
          </w:tcPr>
          <w:p w14:paraId="7F1DFC75" w14:textId="77777777" w:rsidR="00F15C9A" w:rsidRDefault="00F15C9A" w:rsidP="00BC0D87">
            <w:pPr>
              <w:spacing w:after="0" w:line="240" w:lineRule="auto"/>
              <w:jc w:val="center"/>
              <w:rPr>
                <w:rFonts w:ascii="Arial" w:eastAsia="Times New Roman" w:hAnsi="Arial" w:cs="Arial"/>
                <w:b/>
                <w:bCs/>
                <w:sz w:val="18"/>
                <w:szCs w:val="18"/>
                <w:lang w:eastAsia="tr-TR"/>
              </w:rPr>
            </w:pPr>
            <w:r>
              <w:rPr>
                <w:rFonts w:ascii="Arial" w:eastAsia="Times New Roman" w:hAnsi="Arial" w:cs="Arial"/>
                <w:b/>
                <w:bCs/>
                <w:sz w:val="18"/>
                <w:szCs w:val="18"/>
                <w:lang w:eastAsia="tr-TR"/>
              </w:rPr>
              <w:t>2024 YILI</w:t>
            </w:r>
          </w:p>
        </w:tc>
      </w:tr>
      <w:tr w:rsidR="00F15C9A" w14:paraId="4C89011A" w14:textId="77777777" w:rsidTr="00F15C9A">
        <w:trPr>
          <w:trHeight w:val="369"/>
        </w:trPr>
        <w:tc>
          <w:tcPr>
            <w:tcW w:w="438" w:type="dxa"/>
            <w:tcBorders>
              <w:top w:val="nil"/>
              <w:left w:val="single" w:sz="4" w:space="0" w:color="auto"/>
              <w:bottom w:val="single" w:sz="4" w:space="0" w:color="auto"/>
              <w:right w:val="single" w:sz="4" w:space="0" w:color="auto"/>
            </w:tcBorders>
            <w:noWrap/>
            <w:vAlign w:val="center"/>
            <w:hideMark/>
          </w:tcPr>
          <w:p w14:paraId="70123770"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lastRenderedPageBreak/>
              <w:t>630</w:t>
            </w:r>
          </w:p>
        </w:tc>
        <w:tc>
          <w:tcPr>
            <w:tcW w:w="318" w:type="dxa"/>
            <w:tcBorders>
              <w:top w:val="nil"/>
              <w:left w:val="nil"/>
              <w:bottom w:val="single" w:sz="4" w:space="0" w:color="auto"/>
              <w:right w:val="single" w:sz="4" w:space="0" w:color="auto"/>
            </w:tcBorders>
            <w:noWrap/>
            <w:vAlign w:val="center"/>
            <w:hideMark/>
          </w:tcPr>
          <w:p w14:paraId="05E5A6BF"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13</w:t>
            </w:r>
          </w:p>
        </w:tc>
        <w:tc>
          <w:tcPr>
            <w:tcW w:w="349" w:type="dxa"/>
            <w:tcBorders>
              <w:top w:val="nil"/>
              <w:left w:val="nil"/>
              <w:bottom w:val="single" w:sz="4" w:space="0" w:color="auto"/>
              <w:right w:val="single" w:sz="4" w:space="0" w:color="auto"/>
            </w:tcBorders>
            <w:noWrap/>
            <w:vAlign w:val="center"/>
            <w:hideMark/>
          </w:tcPr>
          <w:p w14:paraId="563AA5F5"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2</w:t>
            </w:r>
          </w:p>
        </w:tc>
        <w:tc>
          <w:tcPr>
            <w:tcW w:w="2542" w:type="dxa"/>
            <w:tcBorders>
              <w:top w:val="single" w:sz="4" w:space="0" w:color="auto"/>
              <w:left w:val="nil"/>
              <w:bottom w:val="single" w:sz="4" w:space="0" w:color="auto"/>
              <w:right w:val="single" w:sz="4" w:space="0" w:color="auto"/>
            </w:tcBorders>
            <w:vAlign w:val="center"/>
            <w:hideMark/>
          </w:tcPr>
          <w:p w14:paraId="22FD872A" w14:textId="77777777" w:rsidR="00F15C9A" w:rsidRDefault="00F15C9A" w:rsidP="00BC0D87">
            <w:pPr>
              <w:spacing w:after="0" w:line="240" w:lineRule="auto"/>
              <w:jc w:val="left"/>
              <w:rPr>
                <w:rFonts w:ascii="Arial" w:eastAsia="Times New Roman" w:hAnsi="Arial" w:cs="Arial"/>
                <w:sz w:val="16"/>
                <w:szCs w:val="16"/>
                <w:lang w:eastAsia="tr-TR"/>
              </w:rPr>
            </w:pPr>
            <w:r>
              <w:rPr>
                <w:rFonts w:ascii="Arial" w:eastAsia="Times New Roman" w:hAnsi="Arial" w:cs="Arial"/>
                <w:sz w:val="16"/>
                <w:szCs w:val="16"/>
                <w:lang w:eastAsia="tr-TR"/>
              </w:rPr>
              <w:t>Maddi Olmayan Duran Varlıklar Amortisman Giderleri</w:t>
            </w:r>
          </w:p>
        </w:tc>
        <w:tc>
          <w:tcPr>
            <w:tcW w:w="1340" w:type="dxa"/>
            <w:tcBorders>
              <w:top w:val="single" w:sz="4" w:space="0" w:color="auto"/>
              <w:left w:val="nil"/>
              <w:bottom w:val="single" w:sz="4" w:space="0" w:color="auto"/>
              <w:right w:val="single" w:sz="4" w:space="0" w:color="000000"/>
            </w:tcBorders>
            <w:noWrap/>
            <w:vAlign w:val="center"/>
            <w:hideMark/>
          </w:tcPr>
          <w:p w14:paraId="733723F5"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6.335.352,23</w:t>
            </w:r>
          </w:p>
        </w:tc>
        <w:tc>
          <w:tcPr>
            <w:tcW w:w="1386" w:type="dxa"/>
            <w:tcBorders>
              <w:top w:val="single" w:sz="4" w:space="0" w:color="auto"/>
              <w:left w:val="nil"/>
              <w:bottom w:val="single" w:sz="4" w:space="0" w:color="auto"/>
              <w:right w:val="single" w:sz="4" w:space="0" w:color="000000"/>
            </w:tcBorders>
            <w:noWrap/>
            <w:vAlign w:val="center"/>
            <w:hideMark/>
          </w:tcPr>
          <w:p w14:paraId="256B55B5"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26.436.045,02</w:t>
            </w:r>
          </w:p>
        </w:tc>
        <w:tc>
          <w:tcPr>
            <w:tcW w:w="1464" w:type="dxa"/>
            <w:tcBorders>
              <w:top w:val="single" w:sz="4" w:space="0" w:color="auto"/>
              <w:left w:val="nil"/>
              <w:bottom w:val="single" w:sz="4" w:space="0" w:color="auto"/>
              <w:right w:val="single" w:sz="4" w:space="0" w:color="auto"/>
            </w:tcBorders>
            <w:noWrap/>
            <w:vAlign w:val="center"/>
            <w:hideMark/>
          </w:tcPr>
          <w:p w14:paraId="21C3C338" w14:textId="77777777" w:rsidR="00F15C9A" w:rsidRDefault="00F15C9A" w:rsidP="00BC0D87">
            <w:pPr>
              <w:spacing w:after="0" w:line="240" w:lineRule="auto"/>
              <w:jc w:val="right"/>
              <w:rPr>
                <w:rFonts w:ascii="Arial" w:eastAsia="Times New Roman" w:hAnsi="Arial" w:cs="Arial"/>
                <w:sz w:val="16"/>
                <w:szCs w:val="16"/>
                <w:lang w:eastAsia="tr-TR"/>
              </w:rPr>
            </w:pPr>
            <w:r>
              <w:rPr>
                <w:rFonts w:ascii="Tahoma" w:eastAsiaTheme="minorHAnsi" w:hAnsi="Tahoma" w:cs="Tahoma"/>
                <w:sz w:val="12"/>
                <w:szCs w:val="12"/>
              </w:rPr>
              <w:t>20.526.817,37</w:t>
            </w:r>
          </w:p>
        </w:tc>
        <w:tc>
          <w:tcPr>
            <w:tcW w:w="169" w:type="dxa"/>
            <w:noWrap/>
            <w:vAlign w:val="center"/>
            <w:hideMark/>
          </w:tcPr>
          <w:p w14:paraId="6E24F33D" w14:textId="77777777" w:rsidR="00F15C9A" w:rsidRDefault="00F15C9A" w:rsidP="00BC0D87">
            <w:pPr>
              <w:rPr>
                <w:rFonts w:ascii="Arial" w:eastAsia="Times New Roman" w:hAnsi="Arial" w:cs="Arial"/>
                <w:sz w:val="16"/>
                <w:szCs w:val="16"/>
                <w:lang w:eastAsia="tr-TR"/>
              </w:rPr>
            </w:pPr>
          </w:p>
        </w:tc>
        <w:tc>
          <w:tcPr>
            <w:tcW w:w="3832" w:type="dxa"/>
            <w:gridSpan w:val="9"/>
            <w:tcBorders>
              <w:top w:val="single" w:sz="4" w:space="0" w:color="auto"/>
              <w:left w:val="single" w:sz="4" w:space="0" w:color="auto"/>
              <w:bottom w:val="single" w:sz="4" w:space="0" w:color="auto"/>
              <w:right w:val="single" w:sz="4" w:space="0" w:color="auto"/>
            </w:tcBorders>
            <w:noWrap/>
            <w:vAlign w:val="center"/>
            <w:hideMark/>
          </w:tcPr>
          <w:p w14:paraId="1A945855" w14:textId="77777777" w:rsidR="00F15C9A" w:rsidRDefault="00F15C9A" w:rsidP="00BC0D87">
            <w:pPr>
              <w:spacing w:after="0" w:line="240" w:lineRule="auto"/>
              <w:jc w:val="left"/>
              <w:rPr>
                <w:rFonts w:ascii="Arial" w:eastAsia="Times New Roman" w:hAnsi="Arial" w:cs="Arial"/>
                <w:b/>
                <w:bCs/>
                <w:sz w:val="16"/>
                <w:szCs w:val="16"/>
                <w:lang w:eastAsia="tr-TR"/>
              </w:rPr>
            </w:pPr>
            <w:r>
              <w:rPr>
                <w:rFonts w:ascii="Arial" w:eastAsia="Times New Roman" w:hAnsi="Arial" w:cs="Arial"/>
                <w:b/>
                <w:bCs/>
                <w:sz w:val="16"/>
                <w:szCs w:val="16"/>
                <w:lang w:eastAsia="tr-TR"/>
              </w:rPr>
              <w:t>NET GELİR (D) = (</w:t>
            </w:r>
            <w:proofErr w:type="gramStart"/>
            <w:r>
              <w:rPr>
                <w:rFonts w:ascii="Arial" w:eastAsia="Times New Roman" w:hAnsi="Arial" w:cs="Arial"/>
                <w:b/>
                <w:bCs/>
                <w:sz w:val="16"/>
                <w:szCs w:val="16"/>
                <w:lang w:eastAsia="tr-TR"/>
              </w:rPr>
              <w:t>B -</w:t>
            </w:r>
            <w:proofErr w:type="gramEnd"/>
            <w:r>
              <w:rPr>
                <w:rFonts w:ascii="Arial" w:eastAsia="Times New Roman" w:hAnsi="Arial" w:cs="Arial"/>
                <w:b/>
                <w:bCs/>
                <w:sz w:val="16"/>
                <w:szCs w:val="16"/>
                <w:lang w:eastAsia="tr-TR"/>
              </w:rPr>
              <w:t xml:space="preserve"> C)</w:t>
            </w:r>
          </w:p>
        </w:tc>
        <w:tc>
          <w:tcPr>
            <w:tcW w:w="1346" w:type="dxa"/>
            <w:gridSpan w:val="2"/>
            <w:tcBorders>
              <w:top w:val="single" w:sz="4" w:space="0" w:color="auto"/>
              <w:left w:val="nil"/>
              <w:bottom w:val="single" w:sz="4" w:space="0" w:color="auto"/>
              <w:right w:val="single" w:sz="4" w:space="0" w:color="auto"/>
            </w:tcBorders>
            <w:noWrap/>
            <w:vAlign w:val="center"/>
            <w:hideMark/>
          </w:tcPr>
          <w:p w14:paraId="480D8161" w14:textId="77777777" w:rsidR="00F15C9A" w:rsidRDefault="00F15C9A" w:rsidP="00BC0D87">
            <w:pPr>
              <w:spacing w:after="0" w:line="240" w:lineRule="auto"/>
              <w:jc w:val="right"/>
              <w:rPr>
                <w:rFonts w:ascii="Arial" w:eastAsia="Times New Roman" w:hAnsi="Arial" w:cs="Arial"/>
                <w:b/>
                <w:bCs/>
                <w:sz w:val="16"/>
                <w:szCs w:val="16"/>
                <w:lang w:eastAsia="tr-TR"/>
              </w:rPr>
            </w:pPr>
            <w:r>
              <w:rPr>
                <w:rFonts w:ascii="Arial" w:eastAsia="Times New Roman" w:hAnsi="Arial" w:cs="Arial"/>
                <w:b/>
                <w:bCs/>
                <w:sz w:val="16"/>
                <w:szCs w:val="16"/>
                <w:lang w:eastAsia="tr-TR"/>
              </w:rPr>
              <w:t>896.100.234,74</w:t>
            </w:r>
          </w:p>
        </w:tc>
        <w:tc>
          <w:tcPr>
            <w:tcW w:w="1386" w:type="dxa"/>
            <w:gridSpan w:val="2"/>
            <w:tcBorders>
              <w:top w:val="single" w:sz="4" w:space="0" w:color="auto"/>
              <w:left w:val="nil"/>
              <w:bottom w:val="single" w:sz="4" w:space="0" w:color="auto"/>
              <w:right w:val="single" w:sz="4" w:space="0" w:color="auto"/>
            </w:tcBorders>
            <w:noWrap/>
            <w:vAlign w:val="center"/>
            <w:hideMark/>
          </w:tcPr>
          <w:p w14:paraId="49295189" w14:textId="77777777" w:rsidR="00F15C9A" w:rsidRDefault="00F15C9A" w:rsidP="00BC0D87">
            <w:pPr>
              <w:spacing w:after="0" w:line="240" w:lineRule="auto"/>
              <w:jc w:val="right"/>
              <w:rPr>
                <w:rFonts w:ascii="Arial" w:eastAsia="Times New Roman" w:hAnsi="Arial" w:cs="Arial"/>
                <w:b/>
                <w:bCs/>
                <w:sz w:val="16"/>
                <w:szCs w:val="16"/>
                <w:lang w:eastAsia="tr-TR"/>
              </w:rPr>
            </w:pPr>
            <w:r>
              <w:rPr>
                <w:rFonts w:ascii="Arial" w:eastAsia="Times New Roman" w:hAnsi="Arial" w:cs="Arial"/>
                <w:b/>
                <w:bCs/>
                <w:sz w:val="16"/>
                <w:szCs w:val="16"/>
                <w:lang w:eastAsia="tr-TR"/>
              </w:rPr>
              <w:t>1.620.923.366,00</w:t>
            </w:r>
          </w:p>
        </w:tc>
        <w:tc>
          <w:tcPr>
            <w:tcW w:w="1529" w:type="dxa"/>
            <w:gridSpan w:val="2"/>
            <w:tcBorders>
              <w:top w:val="single" w:sz="4" w:space="0" w:color="auto"/>
              <w:left w:val="nil"/>
              <w:bottom w:val="single" w:sz="4" w:space="0" w:color="auto"/>
              <w:right w:val="single" w:sz="4" w:space="0" w:color="auto"/>
            </w:tcBorders>
            <w:noWrap/>
            <w:vAlign w:val="center"/>
            <w:hideMark/>
          </w:tcPr>
          <w:p w14:paraId="5129D2CE" w14:textId="77777777" w:rsidR="00F15C9A" w:rsidRDefault="00F15C9A" w:rsidP="00BC0D87">
            <w:pPr>
              <w:spacing w:after="0" w:line="240" w:lineRule="auto"/>
              <w:jc w:val="right"/>
              <w:rPr>
                <w:rFonts w:ascii="Arial" w:eastAsia="Times New Roman" w:hAnsi="Arial" w:cs="Arial"/>
                <w:b/>
                <w:bCs/>
                <w:sz w:val="16"/>
                <w:szCs w:val="16"/>
                <w:lang w:eastAsia="tr-TR"/>
              </w:rPr>
            </w:pPr>
            <w:r>
              <w:rPr>
                <w:rFonts w:ascii="Arial" w:eastAsia="Times New Roman" w:hAnsi="Arial" w:cs="Arial"/>
                <w:b/>
                <w:bCs/>
                <w:sz w:val="16"/>
                <w:szCs w:val="16"/>
                <w:lang w:eastAsia="tr-TR"/>
              </w:rPr>
              <w:t>2.763.513.412,72</w:t>
            </w:r>
          </w:p>
        </w:tc>
      </w:tr>
      <w:tr w:rsidR="00F15C9A" w14:paraId="510DC691" w14:textId="77777777" w:rsidTr="00F15C9A">
        <w:trPr>
          <w:trHeight w:val="369"/>
        </w:trPr>
        <w:tc>
          <w:tcPr>
            <w:tcW w:w="438" w:type="dxa"/>
            <w:tcBorders>
              <w:top w:val="nil"/>
              <w:left w:val="single" w:sz="4" w:space="0" w:color="auto"/>
              <w:bottom w:val="single" w:sz="4" w:space="0" w:color="auto"/>
              <w:right w:val="single" w:sz="4" w:space="0" w:color="auto"/>
            </w:tcBorders>
            <w:noWrap/>
            <w:vAlign w:val="center"/>
            <w:hideMark/>
          </w:tcPr>
          <w:p w14:paraId="3EFC1B3C" w14:textId="77777777" w:rsidR="00F15C9A" w:rsidRDefault="00F15C9A" w:rsidP="00BC0D87">
            <w:pPr>
              <w:spacing w:after="0" w:line="240" w:lineRule="auto"/>
              <w:jc w:val="center"/>
              <w:rPr>
                <w:rFonts w:ascii="Arial" w:eastAsia="Times New Roman" w:hAnsi="Arial" w:cs="Arial"/>
                <w:b/>
                <w:bCs/>
                <w:sz w:val="16"/>
                <w:szCs w:val="16"/>
                <w:lang w:eastAsia="tr-TR"/>
              </w:rPr>
            </w:pPr>
            <w:r>
              <w:rPr>
                <w:rFonts w:ascii="Arial" w:eastAsia="Times New Roman" w:hAnsi="Arial" w:cs="Arial"/>
                <w:b/>
                <w:bCs/>
                <w:sz w:val="16"/>
                <w:szCs w:val="16"/>
                <w:lang w:eastAsia="tr-TR"/>
              </w:rPr>
              <w:t>630</w:t>
            </w:r>
          </w:p>
        </w:tc>
        <w:tc>
          <w:tcPr>
            <w:tcW w:w="318" w:type="dxa"/>
            <w:tcBorders>
              <w:top w:val="nil"/>
              <w:left w:val="nil"/>
              <w:bottom w:val="single" w:sz="4" w:space="0" w:color="auto"/>
              <w:right w:val="single" w:sz="4" w:space="0" w:color="auto"/>
            </w:tcBorders>
            <w:noWrap/>
            <w:vAlign w:val="center"/>
            <w:hideMark/>
          </w:tcPr>
          <w:p w14:paraId="68ADB000" w14:textId="77777777" w:rsidR="00F15C9A" w:rsidRDefault="00F15C9A" w:rsidP="00BC0D87">
            <w:pPr>
              <w:spacing w:after="0" w:line="240" w:lineRule="auto"/>
              <w:jc w:val="center"/>
              <w:rPr>
                <w:rFonts w:ascii="Arial" w:eastAsia="Times New Roman" w:hAnsi="Arial" w:cs="Arial"/>
                <w:b/>
                <w:bCs/>
                <w:sz w:val="16"/>
                <w:szCs w:val="16"/>
                <w:lang w:eastAsia="tr-TR"/>
              </w:rPr>
            </w:pPr>
            <w:r>
              <w:rPr>
                <w:rFonts w:ascii="Arial" w:eastAsia="Times New Roman" w:hAnsi="Arial" w:cs="Arial"/>
                <w:b/>
                <w:bCs/>
                <w:sz w:val="16"/>
                <w:szCs w:val="16"/>
                <w:lang w:eastAsia="tr-TR"/>
              </w:rPr>
              <w:t>30</w:t>
            </w:r>
          </w:p>
        </w:tc>
        <w:tc>
          <w:tcPr>
            <w:tcW w:w="349" w:type="dxa"/>
            <w:tcBorders>
              <w:top w:val="nil"/>
              <w:left w:val="nil"/>
              <w:bottom w:val="single" w:sz="4" w:space="0" w:color="auto"/>
              <w:right w:val="single" w:sz="4" w:space="0" w:color="auto"/>
            </w:tcBorders>
            <w:noWrap/>
            <w:vAlign w:val="center"/>
            <w:hideMark/>
          </w:tcPr>
          <w:p w14:paraId="6A45DCB8" w14:textId="77777777" w:rsidR="00F15C9A" w:rsidRDefault="00F15C9A" w:rsidP="00BC0D87">
            <w:pPr>
              <w:spacing w:after="0" w:line="240" w:lineRule="auto"/>
              <w:jc w:val="center"/>
              <w:rPr>
                <w:rFonts w:ascii="Arial" w:eastAsia="Times New Roman" w:hAnsi="Arial" w:cs="Arial"/>
                <w:b/>
                <w:bCs/>
                <w:sz w:val="16"/>
                <w:szCs w:val="16"/>
                <w:lang w:eastAsia="tr-TR"/>
              </w:rPr>
            </w:pPr>
            <w:r>
              <w:rPr>
                <w:rFonts w:ascii="Arial" w:eastAsia="Times New Roman" w:hAnsi="Arial" w:cs="Arial"/>
                <w:b/>
                <w:bCs/>
                <w:sz w:val="16"/>
                <w:szCs w:val="16"/>
                <w:lang w:eastAsia="tr-TR"/>
              </w:rPr>
              <w:t> </w:t>
            </w:r>
          </w:p>
        </w:tc>
        <w:tc>
          <w:tcPr>
            <w:tcW w:w="2542" w:type="dxa"/>
            <w:tcBorders>
              <w:top w:val="single" w:sz="4" w:space="0" w:color="auto"/>
              <w:left w:val="nil"/>
              <w:bottom w:val="single" w:sz="4" w:space="0" w:color="auto"/>
              <w:right w:val="single" w:sz="4" w:space="0" w:color="auto"/>
            </w:tcBorders>
            <w:vAlign w:val="center"/>
            <w:hideMark/>
          </w:tcPr>
          <w:p w14:paraId="15316E31" w14:textId="77777777" w:rsidR="00F15C9A" w:rsidRDefault="00F15C9A" w:rsidP="00BC0D87">
            <w:pPr>
              <w:spacing w:after="0" w:line="240" w:lineRule="auto"/>
              <w:jc w:val="left"/>
              <w:rPr>
                <w:rFonts w:ascii="Arial" w:eastAsia="Times New Roman" w:hAnsi="Arial" w:cs="Arial"/>
                <w:b/>
                <w:bCs/>
                <w:sz w:val="16"/>
                <w:szCs w:val="16"/>
                <w:lang w:eastAsia="tr-TR"/>
              </w:rPr>
            </w:pPr>
            <w:r>
              <w:rPr>
                <w:rFonts w:ascii="Arial" w:eastAsia="Times New Roman" w:hAnsi="Arial" w:cs="Arial"/>
                <w:b/>
                <w:bCs/>
                <w:sz w:val="16"/>
                <w:szCs w:val="16"/>
                <w:lang w:eastAsia="tr-TR"/>
              </w:rPr>
              <w:t>Proje Kapsamında Yapılan Cari Giderler</w:t>
            </w:r>
          </w:p>
        </w:tc>
        <w:tc>
          <w:tcPr>
            <w:tcW w:w="1340" w:type="dxa"/>
            <w:tcBorders>
              <w:top w:val="single" w:sz="4" w:space="0" w:color="auto"/>
              <w:left w:val="nil"/>
              <w:bottom w:val="single" w:sz="4" w:space="0" w:color="auto"/>
              <w:right w:val="single" w:sz="4" w:space="0" w:color="000000"/>
            </w:tcBorders>
            <w:noWrap/>
            <w:vAlign w:val="center"/>
            <w:hideMark/>
          </w:tcPr>
          <w:p w14:paraId="245CFE22" w14:textId="77777777" w:rsidR="00F15C9A" w:rsidRDefault="00F15C9A" w:rsidP="00BC0D87">
            <w:pPr>
              <w:spacing w:after="0" w:line="240" w:lineRule="auto"/>
              <w:jc w:val="right"/>
              <w:rPr>
                <w:rFonts w:ascii="Arial" w:eastAsia="Times New Roman" w:hAnsi="Arial" w:cs="Arial"/>
                <w:b/>
                <w:bCs/>
                <w:sz w:val="16"/>
                <w:szCs w:val="16"/>
                <w:lang w:eastAsia="tr-TR"/>
              </w:rPr>
            </w:pPr>
            <w:r>
              <w:rPr>
                <w:rFonts w:ascii="Arial" w:eastAsia="Times New Roman" w:hAnsi="Arial" w:cs="Arial"/>
                <w:b/>
                <w:bCs/>
                <w:sz w:val="16"/>
                <w:szCs w:val="16"/>
                <w:lang w:eastAsia="tr-TR"/>
              </w:rPr>
              <w:t>0,00</w:t>
            </w:r>
          </w:p>
        </w:tc>
        <w:tc>
          <w:tcPr>
            <w:tcW w:w="1386" w:type="dxa"/>
            <w:tcBorders>
              <w:top w:val="single" w:sz="4" w:space="0" w:color="auto"/>
              <w:left w:val="nil"/>
              <w:bottom w:val="single" w:sz="4" w:space="0" w:color="auto"/>
              <w:right w:val="single" w:sz="4" w:space="0" w:color="000000"/>
            </w:tcBorders>
            <w:noWrap/>
            <w:vAlign w:val="center"/>
            <w:hideMark/>
          </w:tcPr>
          <w:p w14:paraId="1E8E17E6" w14:textId="77777777" w:rsidR="00F15C9A" w:rsidRDefault="00F15C9A" w:rsidP="00BC0D87">
            <w:pPr>
              <w:spacing w:after="0" w:line="240" w:lineRule="auto"/>
              <w:jc w:val="right"/>
              <w:rPr>
                <w:rFonts w:ascii="Arial" w:eastAsia="Times New Roman" w:hAnsi="Arial" w:cs="Arial"/>
                <w:b/>
                <w:bCs/>
                <w:sz w:val="16"/>
                <w:szCs w:val="16"/>
                <w:lang w:eastAsia="tr-TR"/>
              </w:rPr>
            </w:pPr>
            <w:r>
              <w:rPr>
                <w:rFonts w:ascii="Arial" w:eastAsia="Times New Roman" w:hAnsi="Arial" w:cs="Arial"/>
                <w:b/>
                <w:bCs/>
                <w:sz w:val="16"/>
                <w:szCs w:val="16"/>
                <w:lang w:eastAsia="tr-TR"/>
              </w:rPr>
              <w:t>631.200,00</w:t>
            </w:r>
          </w:p>
        </w:tc>
        <w:tc>
          <w:tcPr>
            <w:tcW w:w="1464" w:type="dxa"/>
            <w:tcBorders>
              <w:top w:val="single" w:sz="4" w:space="0" w:color="auto"/>
              <w:left w:val="nil"/>
              <w:bottom w:val="single" w:sz="4" w:space="0" w:color="auto"/>
              <w:right w:val="single" w:sz="4" w:space="0" w:color="auto"/>
            </w:tcBorders>
            <w:noWrap/>
            <w:vAlign w:val="center"/>
            <w:hideMark/>
          </w:tcPr>
          <w:p w14:paraId="4C379936" w14:textId="77777777" w:rsidR="00F15C9A" w:rsidRDefault="00F15C9A" w:rsidP="00BC0D87">
            <w:pPr>
              <w:spacing w:after="0" w:line="240" w:lineRule="auto"/>
              <w:jc w:val="right"/>
              <w:rPr>
                <w:rFonts w:ascii="Arial" w:eastAsia="Times New Roman" w:hAnsi="Arial" w:cs="Arial"/>
                <w:b/>
                <w:bCs/>
                <w:sz w:val="16"/>
                <w:szCs w:val="16"/>
                <w:lang w:eastAsia="tr-TR"/>
              </w:rPr>
            </w:pPr>
            <w:r>
              <w:rPr>
                <w:rFonts w:ascii="Arial" w:eastAsia="Times New Roman" w:hAnsi="Arial" w:cs="Arial"/>
                <w:b/>
                <w:bCs/>
                <w:sz w:val="16"/>
                <w:szCs w:val="16"/>
                <w:lang w:eastAsia="tr-TR"/>
              </w:rPr>
              <w:t>648.000,00</w:t>
            </w:r>
          </w:p>
        </w:tc>
        <w:tc>
          <w:tcPr>
            <w:tcW w:w="169" w:type="dxa"/>
            <w:noWrap/>
            <w:vAlign w:val="center"/>
            <w:hideMark/>
          </w:tcPr>
          <w:p w14:paraId="0BFD9179" w14:textId="77777777" w:rsidR="00F15C9A" w:rsidRDefault="00F15C9A" w:rsidP="00BC0D87">
            <w:pPr>
              <w:rPr>
                <w:rFonts w:ascii="Arial" w:eastAsia="Times New Roman" w:hAnsi="Arial" w:cs="Arial"/>
                <w:b/>
                <w:bCs/>
                <w:sz w:val="16"/>
                <w:szCs w:val="16"/>
                <w:lang w:eastAsia="tr-TR"/>
              </w:rPr>
            </w:pPr>
          </w:p>
        </w:tc>
        <w:tc>
          <w:tcPr>
            <w:tcW w:w="3832" w:type="dxa"/>
            <w:gridSpan w:val="9"/>
            <w:tcBorders>
              <w:top w:val="single" w:sz="4" w:space="0" w:color="auto"/>
              <w:left w:val="single" w:sz="4" w:space="0" w:color="auto"/>
              <w:bottom w:val="single" w:sz="4" w:space="0" w:color="auto"/>
              <w:right w:val="single" w:sz="4" w:space="0" w:color="auto"/>
            </w:tcBorders>
            <w:noWrap/>
            <w:vAlign w:val="center"/>
            <w:hideMark/>
          </w:tcPr>
          <w:p w14:paraId="19C2952B" w14:textId="77777777" w:rsidR="00F15C9A" w:rsidRDefault="00F15C9A" w:rsidP="00BC0D87">
            <w:pPr>
              <w:spacing w:after="0" w:line="240" w:lineRule="auto"/>
              <w:jc w:val="left"/>
              <w:rPr>
                <w:rFonts w:ascii="Arial" w:eastAsia="Times New Roman" w:hAnsi="Arial" w:cs="Arial"/>
                <w:b/>
                <w:bCs/>
                <w:sz w:val="16"/>
                <w:szCs w:val="16"/>
                <w:lang w:eastAsia="tr-TR"/>
              </w:rPr>
            </w:pPr>
            <w:r>
              <w:rPr>
                <w:rFonts w:ascii="Arial" w:eastAsia="Times New Roman" w:hAnsi="Arial" w:cs="Arial"/>
                <w:b/>
                <w:bCs/>
                <w:sz w:val="16"/>
                <w:szCs w:val="16"/>
                <w:lang w:eastAsia="tr-TR"/>
              </w:rPr>
              <w:t>FAALİYET SONUCU (D-A) (+/-)</w:t>
            </w:r>
          </w:p>
        </w:tc>
        <w:tc>
          <w:tcPr>
            <w:tcW w:w="1346" w:type="dxa"/>
            <w:gridSpan w:val="2"/>
            <w:tcBorders>
              <w:top w:val="single" w:sz="4" w:space="0" w:color="auto"/>
              <w:left w:val="nil"/>
              <w:bottom w:val="single" w:sz="4" w:space="0" w:color="auto"/>
              <w:right w:val="single" w:sz="4" w:space="0" w:color="auto"/>
            </w:tcBorders>
            <w:noWrap/>
            <w:vAlign w:val="center"/>
            <w:hideMark/>
          </w:tcPr>
          <w:p w14:paraId="58E14DAA" w14:textId="77777777" w:rsidR="00F15C9A" w:rsidRDefault="00F15C9A" w:rsidP="00BC0D87">
            <w:pPr>
              <w:spacing w:after="0" w:line="240" w:lineRule="auto"/>
              <w:jc w:val="right"/>
              <w:rPr>
                <w:rFonts w:ascii="Arial" w:eastAsia="Times New Roman" w:hAnsi="Arial" w:cs="Arial"/>
                <w:b/>
                <w:bCs/>
                <w:sz w:val="16"/>
                <w:szCs w:val="16"/>
                <w:lang w:eastAsia="tr-TR"/>
              </w:rPr>
            </w:pPr>
            <w:r>
              <w:rPr>
                <w:rFonts w:ascii="Arial" w:eastAsia="Times New Roman" w:hAnsi="Arial" w:cs="Arial"/>
                <w:b/>
                <w:bCs/>
                <w:sz w:val="16"/>
                <w:szCs w:val="16"/>
                <w:lang w:eastAsia="tr-TR"/>
              </w:rPr>
              <w:t>9.344.167,45</w:t>
            </w:r>
          </w:p>
        </w:tc>
        <w:tc>
          <w:tcPr>
            <w:tcW w:w="1386" w:type="dxa"/>
            <w:gridSpan w:val="2"/>
            <w:tcBorders>
              <w:top w:val="single" w:sz="4" w:space="0" w:color="auto"/>
              <w:left w:val="nil"/>
              <w:bottom w:val="single" w:sz="4" w:space="0" w:color="auto"/>
              <w:right w:val="single" w:sz="4" w:space="0" w:color="auto"/>
            </w:tcBorders>
            <w:noWrap/>
            <w:vAlign w:val="center"/>
            <w:hideMark/>
          </w:tcPr>
          <w:p w14:paraId="566D51B1" w14:textId="77777777" w:rsidR="00F15C9A" w:rsidRDefault="00F15C9A" w:rsidP="00BC0D87">
            <w:pPr>
              <w:spacing w:after="0" w:line="240" w:lineRule="auto"/>
              <w:jc w:val="right"/>
              <w:rPr>
                <w:rFonts w:ascii="Arial" w:eastAsia="Times New Roman" w:hAnsi="Arial" w:cs="Arial"/>
                <w:b/>
                <w:bCs/>
                <w:sz w:val="16"/>
                <w:szCs w:val="16"/>
                <w:lang w:eastAsia="tr-TR"/>
              </w:rPr>
            </w:pPr>
            <w:r>
              <w:rPr>
                <w:rFonts w:ascii="Arial" w:eastAsia="Times New Roman" w:hAnsi="Arial" w:cs="Arial"/>
                <w:b/>
                <w:bCs/>
                <w:sz w:val="16"/>
                <w:szCs w:val="16"/>
                <w:lang w:eastAsia="tr-TR"/>
              </w:rPr>
              <w:t>-47.719.150,76</w:t>
            </w:r>
          </w:p>
        </w:tc>
        <w:tc>
          <w:tcPr>
            <w:tcW w:w="1529" w:type="dxa"/>
            <w:gridSpan w:val="2"/>
            <w:tcBorders>
              <w:top w:val="single" w:sz="4" w:space="0" w:color="auto"/>
              <w:left w:val="nil"/>
              <w:bottom w:val="single" w:sz="4" w:space="0" w:color="auto"/>
              <w:right w:val="single" w:sz="4" w:space="0" w:color="auto"/>
            </w:tcBorders>
            <w:noWrap/>
            <w:vAlign w:val="center"/>
            <w:hideMark/>
          </w:tcPr>
          <w:p w14:paraId="3AE3D276" w14:textId="77777777" w:rsidR="00F15C9A" w:rsidRDefault="00F15C9A" w:rsidP="00BC0D87">
            <w:pPr>
              <w:spacing w:after="0" w:line="240" w:lineRule="auto"/>
              <w:jc w:val="right"/>
              <w:rPr>
                <w:rFonts w:ascii="Arial" w:eastAsia="Times New Roman" w:hAnsi="Arial" w:cs="Arial"/>
                <w:b/>
                <w:bCs/>
                <w:sz w:val="16"/>
                <w:szCs w:val="16"/>
                <w:lang w:eastAsia="tr-TR"/>
              </w:rPr>
            </w:pPr>
            <w:r>
              <w:rPr>
                <w:rFonts w:ascii="Arial" w:eastAsia="Times New Roman" w:hAnsi="Arial" w:cs="Arial"/>
                <w:b/>
                <w:bCs/>
                <w:sz w:val="16"/>
                <w:szCs w:val="16"/>
                <w:lang w:eastAsia="tr-TR"/>
              </w:rPr>
              <w:t>-34.380.677,99</w:t>
            </w:r>
          </w:p>
        </w:tc>
      </w:tr>
      <w:tr w:rsidR="00F15C9A" w14:paraId="523E2725" w14:textId="77777777" w:rsidTr="00F15C9A">
        <w:trPr>
          <w:trHeight w:val="369"/>
        </w:trPr>
        <w:tc>
          <w:tcPr>
            <w:tcW w:w="438" w:type="dxa"/>
            <w:tcBorders>
              <w:top w:val="nil"/>
              <w:left w:val="single" w:sz="4" w:space="0" w:color="auto"/>
              <w:bottom w:val="single" w:sz="4" w:space="0" w:color="auto"/>
              <w:right w:val="single" w:sz="4" w:space="0" w:color="auto"/>
            </w:tcBorders>
            <w:noWrap/>
            <w:vAlign w:val="center"/>
            <w:hideMark/>
          </w:tcPr>
          <w:p w14:paraId="18879061"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630</w:t>
            </w:r>
          </w:p>
        </w:tc>
        <w:tc>
          <w:tcPr>
            <w:tcW w:w="318" w:type="dxa"/>
            <w:tcBorders>
              <w:top w:val="nil"/>
              <w:left w:val="nil"/>
              <w:bottom w:val="single" w:sz="4" w:space="0" w:color="auto"/>
              <w:right w:val="single" w:sz="4" w:space="0" w:color="auto"/>
            </w:tcBorders>
            <w:noWrap/>
            <w:vAlign w:val="center"/>
            <w:hideMark/>
          </w:tcPr>
          <w:p w14:paraId="23BA9BB4"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30</w:t>
            </w:r>
          </w:p>
        </w:tc>
        <w:tc>
          <w:tcPr>
            <w:tcW w:w="349" w:type="dxa"/>
            <w:tcBorders>
              <w:top w:val="nil"/>
              <w:left w:val="nil"/>
              <w:bottom w:val="single" w:sz="4" w:space="0" w:color="auto"/>
              <w:right w:val="single" w:sz="4" w:space="0" w:color="auto"/>
            </w:tcBorders>
            <w:noWrap/>
            <w:vAlign w:val="center"/>
            <w:hideMark/>
          </w:tcPr>
          <w:p w14:paraId="48F40049" w14:textId="77777777" w:rsidR="00F15C9A" w:rsidRDefault="00F15C9A" w:rsidP="00BC0D87">
            <w:pPr>
              <w:spacing w:after="0" w:line="240" w:lineRule="auto"/>
              <w:jc w:val="center"/>
              <w:rPr>
                <w:rFonts w:ascii="Arial" w:eastAsia="Times New Roman" w:hAnsi="Arial" w:cs="Arial"/>
                <w:sz w:val="16"/>
                <w:szCs w:val="16"/>
                <w:lang w:eastAsia="tr-TR"/>
              </w:rPr>
            </w:pPr>
            <w:r>
              <w:rPr>
                <w:rFonts w:ascii="Arial" w:eastAsia="Times New Roman" w:hAnsi="Arial" w:cs="Arial"/>
                <w:sz w:val="16"/>
                <w:szCs w:val="16"/>
                <w:lang w:eastAsia="tr-TR"/>
              </w:rPr>
              <w:t>6</w:t>
            </w:r>
          </w:p>
        </w:tc>
        <w:tc>
          <w:tcPr>
            <w:tcW w:w="2542" w:type="dxa"/>
            <w:tcBorders>
              <w:top w:val="single" w:sz="4" w:space="0" w:color="auto"/>
              <w:left w:val="nil"/>
              <w:bottom w:val="single" w:sz="4" w:space="0" w:color="auto"/>
              <w:right w:val="single" w:sz="4" w:space="0" w:color="auto"/>
            </w:tcBorders>
            <w:vAlign w:val="center"/>
            <w:hideMark/>
          </w:tcPr>
          <w:p w14:paraId="53BBDDB0" w14:textId="77777777" w:rsidR="00F15C9A" w:rsidRDefault="00F15C9A" w:rsidP="00BC0D87">
            <w:pPr>
              <w:spacing w:after="0" w:line="240" w:lineRule="auto"/>
              <w:jc w:val="left"/>
              <w:rPr>
                <w:rFonts w:ascii="Arial" w:eastAsia="Times New Roman" w:hAnsi="Arial" w:cs="Arial"/>
                <w:sz w:val="16"/>
                <w:szCs w:val="16"/>
                <w:lang w:eastAsia="tr-TR"/>
              </w:rPr>
            </w:pPr>
            <w:r>
              <w:rPr>
                <w:rFonts w:ascii="Arial" w:eastAsia="Times New Roman" w:hAnsi="Arial" w:cs="Arial"/>
                <w:sz w:val="16"/>
                <w:szCs w:val="16"/>
                <w:lang w:eastAsia="tr-TR"/>
              </w:rPr>
              <w:t>Proje Kapsamında Yapılan Cari Giderler</w:t>
            </w:r>
          </w:p>
        </w:tc>
        <w:tc>
          <w:tcPr>
            <w:tcW w:w="1340" w:type="dxa"/>
            <w:tcBorders>
              <w:top w:val="single" w:sz="4" w:space="0" w:color="auto"/>
              <w:left w:val="nil"/>
              <w:bottom w:val="single" w:sz="4" w:space="0" w:color="auto"/>
              <w:right w:val="single" w:sz="4" w:space="0" w:color="000000"/>
            </w:tcBorders>
            <w:noWrap/>
            <w:vAlign w:val="center"/>
            <w:hideMark/>
          </w:tcPr>
          <w:p w14:paraId="69349BBA"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0,00</w:t>
            </w:r>
          </w:p>
        </w:tc>
        <w:tc>
          <w:tcPr>
            <w:tcW w:w="1386" w:type="dxa"/>
            <w:tcBorders>
              <w:top w:val="single" w:sz="4" w:space="0" w:color="auto"/>
              <w:left w:val="nil"/>
              <w:bottom w:val="single" w:sz="4" w:space="0" w:color="auto"/>
              <w:right w:val="single" w:sz="4" w:space="0" w:color="000000"/>
            </w:tcBorders>
            <w:noWrap/>
            <w:vAlign w:val="center"/>
            <w:hideMark/>
          </w:tcPr>
          <w:p w14:paraId="224712E7"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631.200,00</w:t>
            </w:r>
          </w:p>
        </w:tc>
        <w:tc>
          <w:tcPr>
            <w:tcW w:w="1464" w:type="dxa"/>
            <w:tcBorders>
              <w:top w:val="single" w:sz="4" w:space="0" w:color="auto"/>
              <w:left w:val="nil"/>
              <w:bottom w:val="single" w:sz="4" w:space="0" w:color="auto"/>
              <w:right w:val="single" w:sz="4" w:space="0" w:color="auto"/>
            </w:tcBorders>
            <w:noWrap/>
            <w:vAlign w:val="center"/>
            <w:hideMark/>
          </w:tcPr>
          <w:p w14:paraId="1BACE3B7" w14:textId="77777777" w:rsidR="00F15C9A" w:rsidRDefault="00F15C9A" w:rsidP="00BC0D87">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648.000,00</w:t>
            </w:r>
          </w:p>
        </w:tc>
        <w:tc>
          <w:tcPr>
            <w:tcW w:w="169" w:type="dxa"/>
            <w:noWrap/>
            <w:vAlign w:val="center"/>
            <w:hideMark/>
          </w:tcPr>
          <w:p w14:paraId="52A89502" w14:textId="77777777" w:rsidR="00F15C9A" w:rsidRDefault="00F15C9A" w:rsidP="00BC0D87">
            <w:pPr>
              <w:rPr>
                <w:rFonts w:ascii="Arial" w:eastAsia="Times New Roman" w:hAnsi="Arial" w:cs="Arial"/>
                <w:sz w:val="16"/>
                <w:szCs w:val="16"/>
                <w:lang w:eastAsia="tr-TR"/>
              </w:rPr>
            </w:pPr>
          </w:p>
        </w:tc>
        <w:tc>
          <w:tcPr>
            <w:tcW w:w="417" w:type="dxa"/>
            <w:noWrap/>
            <w:vAlign w:val="center"/>
            <w:hideMark/>
          </w:tcPr>
          <w:p w14:paraId="28694A0A" w14:textId="77777777" w:rsidR="00F15C9A" w:rsidRDefault="00F15C9A" w:rsidP="00BC0D87">
            <w:pPr>
              <w:spacing w:after="0"/>
              <w:jc w:val="left"/>
              <w:rPr>
                <w:rFonts w:eastAsiaTheme="minorHAnsi" w:cstheme="minorBidi"/>
                <w:sz w:val="20"/>
                <w:szCs w:val="20"/>
                <w:lang w:eastAsia="tr-TR"/>
              </w:rPr>
            </w:pPr>
          </w:p>
        </w:tc>
        <w:tc>
          <w:tcPr>
            <w:tcW w:w="229" w:type="dxa"/>
            <w:noWrap/>
            <w:vAlign w:val="center"/>
            <w:hideMark/>
          </w:tcPr>
          <w:p w14:paraId="6A4A3314" w14:textId="77777777" w:rsidR="00F15C9A" w:rsidRDefault="00F15C9A" w:rsidP="00BC0D87">
            <w:pPr>
              <w:spacing w:after="0"/>
              <w:jc w:val="left"/>
              <w:rPr>
                <w:rFonts w:eastAsiaTheme="minorHAnsi" w:cstheme="minorBidi"/>
                <w:sz w:val="20"/>
                <w:szCs w:val="20"/>
                <w:lang w:eastAsia="tr-TR"/>
              </w:rPr>
            </w:pPr>
          </w:p>
        </w:tc>
        <w:tc>
          <w:tcPr>
            <w:tcW w:w="229" w:type="dxa"/>
            <w:noWrap/>
            <w:vAlign w:val="center"/>
            <w:hideMark/>
          </w:tcPr>
          <w:p w14:paraId="3B96711D" w14:textId="77777777" w:rsidR="00F15C9A" w:rsidRDefault="00F15C9A" w:rsidP="00BC0D87">
            <w:pPr>
              <w:spacing w:after="0"/>
              <w:jc w:val="left"/>
              <w:rPr>
                <w:rFonts w:eastAsiaTheme="minorHAnsi" w:cstheme="minorBidi"/>
                <w:sz w:val="20"/>
                <w:szCs w:val="20"/>
                <w:lang w:eastAsia="tr-TR"/>
              </w:rPr>
            </w:pPr>
          </w:p>
        </w:tc>
        <w:tc>
          <w:tcPr>
            <w:tcW w:w="229" w:type="dxa"/>
            <w:noWrap/>
            <w:vAlign w:val="center"/>
            <w:hideMark/>
          </w:tcPr>
          <w:p w14:paraId="157E4020" w14:textId="77777777" w:rsidR="00F15C9A" w:rsidRDefault="00F15C9A" w:rsidP="00BC0D87">
            <w:pPr>
              <w:spacing w:after="0"/>
              <w:jc w:val="left"/>
              <w:rPr>
                <w:rFonts w:eastAsiaTheme="minorHAnsi" w:cstheme="minorBidi"/>
                <w:sz w:val="20"/>
                <w:szCs w:val="20"/>
                <w:lang w:eastAsia="tr-TR"/>
              </w:rPr>
            </w:pPr>
          </w:p>
        </w:tc>
        <w:tc>
          <w:tcPr>
            <w:tcW w:w="318" w:type="dxa"/>
            <w:noWrap/>
            <w:vAlign w:val="center"/>
            <w:hideMark/>
          </w:tcPr>
          <w:p w14:paraId="276ED641" w14:textId="77777777" w:rsidR="00F15C9A" w:rsidRDefault="00F15C9A" w:rsidP="00BC0D87">
            <w:pPr>
              <w:spacing w:after="0"/>
              <w:jc w:val="left"/>
              <w:rPr>
                <w:rFonts w:eastAsiaTheme="minorHAnsi" w:cstheme="minorBidi"/>
                <w:sz w:val="20"/>
                <w:szCs w:val="20"/>
                <w:lang w:eastAsia="tr-TR"/>
              </w:rPr>
            </w:pPr>
          </w:p>
        </w:tc>
        <w:tc>
          <w:tcPr>
            <w:tcW w:w="621" w:type="dxa"/>
            <w:noWrap/>
            <w:vAlign w:val="center"/>
            <w:hideMark/>
          </w:tcPr>
          <w:p w14:paraId="621E5227" w14:textId="77777777" w:rsidR="00F15C9A" w:rsidRDefault="00F15C9A" w:rsidP="00BC0D87">
            <w:pPr>
              <w:spacing w:after="0"/>
              <w:jc w:val="left"/>
              <w:rPr>
                <w:rFonts w:eastAsiaTheme="minorHAnsi" w:cstheme="minorBidi"/>
                <w:sz w:val="20"/>
                <w:szCs w:val="20"/>
                <w:lang w:eastAsia="tr-TR"/>
              </w:rPr>
            </w:pPr>
          </w:p>
        </w:tc>
        <w:tc>
          <w:tcPr>
            <w:tcW w:w="621" w:type="dxa"/>
            <w:noWrap/>
            <w:vAlign w:val="center"/>
            <w:hideMark/>
          </w:tcPr>
          <w:p w14:paraId="40429A81" w14:textId="77777777" w:rsidR="00F15C9A" w:rsidRDefault="00F15C9A" w:rsidP="00BC0D87">
            <w:pPr>
              <w:spacing w:after="0"/>
              <w:jc w:val="left"/>
              <w:rPr>
                <w:rFonts w:eastAsiaTheme="minorHAnsi" w:cstheme="minorBidi"/>
                <w:sz w:val="20"/>
                <w:szCs w:val="20"/>
                <w:lang w:eastAsia="tr-TR"/>
              </w:rPr>
            </w:pPr>
          </w:p>
        </w:tc>
        <w:tc>
          <w:tcPr>
            <w:tcW w:w="621" w:type="dxa"/>
            <w:noWrap/>
            <w:vAlign w:val="center"/>
            <w:hideMark/>
          </w:tcPr>
          <w:p w14:paraId="562E15C3" w14:textId="77777777" w:rsidR="00F15C9A" w:rsidRDefault="00F15C9A" w:rsidP="00BC0D87">
            <w:pPr>
              <w:spacing w:after="0"/>
              <w:jc w:val="left"/>
              <w:rPr>
                <w:rFonts w:eastAsiaTheme="minorHAnsi" w:cstheme="minorBidi"/>
                <w:sz w:val="20"/>
                <w:szCs w:val="20"/>
                <w:lang w:eastAsia="tr-TR"/>
              </w:rPr>
            </w:pPr>
          </w:p>
        </w:tc>
        <w:tc>
          <w:tcPr>
            <w:tcW w:w="547" w:type="dxa"/>
            <w:noWrap/>
            <w:vAlign w:val="center"/>
            <w:hideMark/>
          </w:tcPr>
          <w:p w14:paraId="4105BDF2" w14:textId="77777777" w:rsidR="00F15C9A" w:rsidRDefault="00F15C9A" w:rsidP="00BC0D87">
            <w:pPr>
              <w:spacing w:after="0"/>
              <w:jc w:val="left"/>
              <w:rPr>
                <w:rFonts w:eastAsiaTheme="minorHAnsi" w:cstheme="minorBidi"/>
                <w:sz w:val="20"/>
                <w:szCs w:val="20"/>
                <w:lang w:eastAsia="tr-TR"/>
              </w:rPr>
            </w:pPr>
          </w:p>
        </w:tc>
        <w:tc>
          <w:tcPr>
            <w:tcW w:w="712" w:type="dxa"/>
            <w:noWrap/>
            <w:vAlign w:val="center"/>
            <w:hideMark/>
          </w:tcPr>
          <w:p w14:paraId="1454BA2B" w14:textId="77777777" w:rsidR="00F15C9A" w:rsidRDefault="00F15C9A" w:rsidP="00BC0D87">
            <w:pPr>
              <w:spacing w:after="0"/>
              <w:jc w:val="left"/>
              <w:rPr>
                <w:rFonts w:eastAsiaTheme="minorHAnsi" w:cstheme="minorBidi"/>
                <w:sz w:val="20"/>
                <w:szCs w:val="20"/>
                <w:lang w:eastAsia="tr-TR"/>
              </w:rPr>
            </w:pPr>
          </w:p>
        </w:tc>
        <w:tc>
          <w:tcPr>
            <w:tcW w:w="634" w:type="dxa"/>
            <w:noWrap/>
            <w:vAlign w:val="center"/>
            <w:hideMark/>
          </w:tcPr>
          <w:p w14:paraId="1176C184" w14:textId="77777777" w:rsidR="00F15C9A" w:rsidRDefault="00F15C9A" w:rsidP="00BC0D87">
            <w:pPr>
              <w:spacing w:after="0"/>
              <w:jc w:val="left"/>
              <w:rPr>
                <w:rFonts w:eastAsiaTheme="minorHAnsi" w:cstheme="minorBidi"/>
                <w:sz w:val="20"/>
                <w:szCs w:val="20"/>
                <w:lang w:eastAsia="tr-TR"/>
              </w:rPr>
            </w:pPr>
          </w:p>
        </w:tc>
        <w:tc>
          <w:tcPr>
            <w:tcW w:w="631" w:type="dxa"/>
            <w:noWrap/>
            <w:vAlign w:val="center"/>
            <w:hideMark/>
          </w:tcPr>
          <w:p w14:paraId="13EA99C8" w14:textId="77777777" w:rsidR="00F15C9A" w:rsidRDefault="00F15C9A" w:rsidP="00BC0D87">
            <w:pPr>
              <w:spacing w:after="0"/>
              <w:jc w:val="left"/>
              <w:rPr>
                <w:rFonts w:eastAsiaTheme="minorHAnsi" w:cstheme="minorBidi"/>
                <w:sz w:val="20"/>
                <w:szCs w:val="20"/>
                <w:lang w:eastAsia="tr-TR"/>
              </w:rPr>
            </w:pPr>
          </w:p>
        </w:tc>
        <w:tc>
          <w:tcPr>
            <w:tcW w:w="755" w:type="dxa"/>
            <w:noWrap/>
            <w:vAlign w:val="center"/>
            <w:hideMark/>
          </w:tcPr>
          <w:p w14:paraId="2A1A434E" w14:textId="77777777" w:rsidR="00F15C9A" w:rsidRDefault="00F15C9A" w:rsidP="00BC0D87">
            <w:pPr>
              <w:spacing w:after="0"/>
              <w:jc w:val="left"/>
              <w:rPr>
                <w:rFonts w:eastAsiaTheme="minorHAnsi" w:cstheme="minorBidi"/>
                <w:sz w:val="20"/>
                <w:szCs w:val="20"/>
                <w:lang w:eastAsia="tr-TR"/>
              </w:rPr>
            </w:pPr>
          </w:p>
        </w:tc>
        <w:tc>
          <w:tcPr>
            <w:tcW w:w="619" w:type="dxa"/>
            <w:noWrap/>
            <w:vAlign w:val="center"/>
            <w:hideMark/>
          </w:tcPr>
          <w:p w14:paraId="4C94E346" w14:textId="77777777" w:rsidR="00F15C9A" w:rsidRDefault="00F15C9A" w:rsidP="00BC0D87">
            <w:pPr>
              <w:spacing w:after="0"/>
              <w:jc w:val="left"/>
              <w:rPr>
                <w:rFonts w:eastAsiaTheme="minorHAnsi" w:cstheme="minorBidi"/>
                <w:sz w:val="20"/>
                <w:szCs w:val="20"/>
                <w:lang w:eastAsia="tr-TR"/>
              </w:rPr>
            </w:pPr>
          </w:p>
        </w:tc>
        <w:tc>
          <w:tcPr>
            <w:tcW w:w="910" w:type="dxa"/>
            <w:noWrap/>
            <w:vAlign w:val="center"/>
            <w:hideMark/>
          </w:tcPr>
          <w:p w14:paraId="06DFC967" w14:textId="77777777" w:rsidR="00F15C9A" w:rsidRDefault="00F15C9A" w:rsidP="00BC0D87">
            <w:pPr>
              <w:spacing w:after="0"/>
              <w:jc w:val="left"/>
              <w:rPr>
                <w:rFonts w:eastAsiaTheme="minorHAnsi" w:cstheme="minorBidi"/>
                <w:sz w:val="20"/>
                <w:szCs w:val="20"/>
                <w:lang w:eastAsia="tr-TR"/>
              </w:rPr>
            </w:pPr>
          </w:p>
        </w:tc>
      </w:tr>
      <w:tr w:rsidR="00F15C9A" w14:paraId="17EF36B4" w14:textId="77777777" w:rsidTr="00F15C9A">
        <w:trPr>
          <w:trHeight w:val="342"/>
        </w:trPr>
        <w:tc>
          <w:tcPr>
            <w:tcW w:w="3647" w:type="dxa"/>
            <w:gridSpan w:val="4"/>
            <w:tcBorders>
              <w:top w:val="single" w:sz="4" w:space="0" w:color="auto"/>
              <w:left w:val="single" w:sz="4" w:space="0" w:color="auto"/>
              <w:bottom w:val="single" w:sz="4" w:space="0" w:color="auto"/>
              <w:right w:val="single" w:sz="4" w:space="0" w:color="000000"/>
            </w:tcBorders>
            <w:noWrap/>
            <w:vAlign w:val="center"/>
            <w:hideMark/>
          </w:tcPr>
          <w:p w14:paraId="35708F28" w14:textId="77777777" w:rsidR="00F15C9A" w:rsidRDefault="00F15C9A" w:rsidP="00BC0D87">
            <w:pPr>
              <w:spacing w:after="0" w:line="240" w:lineRule="auto"/>
              <w:jc w:val="left"/>
              <w:rPr>
                <w:rFonts w:ascii="Arial" w:eastAsia="Times New Roman" w:hAnsi="Arial" w:cs="Arial"/>
                <w:b/>
                <w:bCs/>
                <w:sz w:val="16"/>
                <w:szCs w:val="16"/>
                <w:lang w:eastAsia="tr-TR"/>
              </w:rPr>
            </w:pPr>
            <w:r>
              <w:rPr>
                <w:rFonts w:ascii="Arial" w:eastAsia="Times New Roman" w:hAnsi="Arial" w:cs="Arial"/>
                <w:b/>
                <w:bCs/>
                <w:sz w:val="16"/>
                <w:szCs w:val="16"/>
                <w:lang w:eastAsia="tr-TR"/>
              </w:rPr>
              <w:t>GİDERLER TOPLAMI (A)</w:t>
            </w:r>
          </w:p>
        </w:tc>
        <w:tc>
          <w:tcPr>
            <w:tcW w:w="1340" w:type="dxa"/>
            <w:tcBorders>
              <w:top w:val="single" w:sz="4" w:space="0" w:color="auto"/>
              <w:left w:val="nil"/>
              <w:bottom w:val="single" w:sz="4" w:space="0" w:color="auto"/>
              <w:right w:val="single" w:sz="4" w:space="0" w:color="000000"/>
            </w:tcBorders>
            <w:noWrap/>
            <w:vAlign w:val="center"/>
            <w:hideMark/>
          </w:tcPr>
          <w:p w14:paraId="3A30CDC5" w14:textId="77777777" w:rsidR="00F15C9A" w:rsidRDefault="00F15C9A" w:rsidP="00BC0D87">
            <w:pPr>
              <w:spacing w:after="0" w:line="240" w:lineRule="auto"/>
              <w:jc w:val="right"/>
              <w:rPr>
                <w:rFonts w:ascii="Arial" w:eastAsia="Times New Roman" w:hAnsi="Arial" w:cs="Arial"/>
                <w:b/>
                <w:bCs/>
                <w:sz w:val="16"/>
                <w:szCs w:val="16"/>
                <w:lang w:eastAsia="tr-TR"/>
              </w:rPr>
            </w:pPr>
            <w:r>
              <w:rPr>
                <w:rFonts w:ascii="Arial" w:eastAsia="Times New Roman" w:hAnsi="Arial" w:cs="Arial"/>
                <w:b/>
                <w:bCs/>
                <w:sz w:val="16"/>
                <w:szCs w:val="16"/>
                <w:lang w:eastAsia="tr-TR"/>
              </w:rPr>
              <w:t>886.756.067,29</w:t>
            </w:r>
          </w:p>
        </w:tc>
        <w:tc>
          <w:tcPr>
            <w:tcW w:w="1386" w:type="dxa"/>
            <w:tcBorders>
              <w:top w:val="single" w:sz="4" w:space="0" w:color="auto"/>
              <w:left w:val="nil"/>
              <w:bottom w:val="single" w:sz="4" w:space="0" w:color="auto"/>
              <w:right w:val="single" w:sz="4" w:space="0" w:color="000000"/>
            </w:tcBorders>
            <w:noWrap/>
            <w:vAlign w:val="center"/>
            <w:hideMark/>
          </w:tcPr>
          <w:p w14:paraId="7D52C90B" w14:textId="77777777" w:rsidR="00F15C9A" w:rsidRDefault="00F15C9A" w:rsidP="00BC0D87">
            <w:pPr>
              <w:spacing w:after="0" w:line="240" w:lineRule="auto"/>
              <w:jc w:val="right"/>
              <w:rPr>
                <w:rFonts w:ascii="Arial" w:eastAsia="Times New Roman" w:hAnsi="Arial" w:cs="Arial"/>
                <w:b/>
                <w:bCs/>
                <w:sz w:val="16"/>
                <w:szCs w:val="16"/>
                <w:lang w:eastAsia="tr-TR"/>
              </w:rPr>
            </w:pPr>
            <w:r>
              <w:rPr>
                <w:rFonts w:ascii="Arial" w:eastAsia="Times New Roman" w:hAnsi="Arial" w:cs="Arial"/>
                <w:b/>
                <w:bCs/>
                <w:sz w:val="16"/>
                <w:szCs w:val="16"/>
                <w:lang w:eastAsia="tr-TR"/>
              </w:rPr>
              <w:t>1.668.642.516,76</w:t>
            </w:r>
          </w:p>
        </w:tc>
        <w:tc>
          <w:tcPr>
            <w:tcW w:w="1464" w:type="dxa"/>
            <w:tcBorders>
              <w:top w:val="single" w:sz="4" w:space="0" w:color="auto"/>
              <w:left w:val="nil"/>
              <w:bottom w:val="single" w:sz="4" w:space="0" w:color="auto"/>
              <w:right w:val="single" w:sz="4" w:space="0" w:color="000000"/>
            </w:tcBorders>
            <w:noWrap/>
            <w:vAlign w:val="center"/>
            <w:hideMark/>
          </w:tcPr>
          <w:p w14:paraId="6BF799F6" w14:textId="77777777" w:rsidR="00F15C9A" w:rsidRDefault="00F15C9A" w:rsidP="00BC0D87">
            <w:pPr>
              <w:spacing w:after="0" w:line="240" w:lineRule="auto"/>
              <w:jc w:val="right"/>
              <w:rPr>
                <w:rFonts w:ascii="Arial" w:eastAsia="Times New Roman" w:hAnsi="Arial" w:cs="Arial"/>
                <w:b/>
                <w:bCs/>
                <w:sz w:val="16"/>
                <w:szCs w:val="16"/>
                <w:lang w:eastAsia="tr-TR"/>
              </w:rPr>
            </w:pPr>
            <w:r>
              <w:rPr>
                <w:rFonts w:ascii="Arial" w:eastAsia="Times New Roman" w:hAnsi="Arial" w:cs="Arial"/>
                <w:b/>
                <w:bCs/>
                <w:sz w:val="16"/>
                <w:szCs w:val="16"/>
                <w:lang w:eastAsia="tr-TR"/>
              </w:rPr>
              <w:t>2.797.894.090,71</w:t>
            </w:r>
          </w:p>
        </w:tc>
        <w:tc>
          <w:tcPr>
            <w:tcW w:w="169" w:type="dxa"/>
            <w:noWrap/>
            <w:vAlign w:val="center"/>
            <w:hideMark/>
          </w:tcPr>
          <w:p w14:paraId="14DA7306" w14:textId="77777777" w:rsidR="00F15C9A" w:rsidRDefault="00F15C9A" w:rsidP="00BC0D87">
            <w:pPr>
              <w:rPr>
                <w:rFonts w:ascii="Arial" w:eastAsia="Times New Roman" w:hAnsi="Arial" w:cs="Arial"/>
                <w:b/>
                <w:bCs/>
                <w:sz w:val="16"/>
                <w:szCs w:val="16"/>
                <w:lang w:eastAsia="tr-TR"/>
              </w:rPr>
            </w:pPr>
          </w:p>
        </w:tc>
        <w:tc>
          <w:tcPr>
            <w:tcW w:w="417" w:type="dxa"/>
            <w:noWrap/>
            <w:vAlign w:val="center"/>
            <w:hideMark/>
          </w:tcPr>
          <w:p w14:paraId="1B7B5C03" w14:textId="77777777" w:rsidR="00F15C9A" w:rsidRDefault="00F15C9A" w:rsidP="00BC0D87">
            <w:pPr>
              <w:spacing w:after="0"/>
              <w:jc w:val="left"/>
              <w:rPr>
                <w:rFonts w:eastAsiaTheme="minorHAnsi" w:cstheme="minorBidi"/>
                <w:sz w:val="20"/>
                <w:szCs w:val="20"/>
                <w:lang w:eastAsia="tr-TR"/>
              </w:rPr>
            </w:pPr>
          </w:p>
        </w:tc>
        <w:tc>
          <w:tcPr>
            <w:tcW w:w="229" w:type="dxa"/>
            <w:noWrap/>
            <w:vAlign w:val="center"/>
            <w:hideMark/>
          </w:tcPr>
          <w:p w14:paraId="6685A6B8" w14:textId="77777777" w:rsidR="00F15C9A" w:rsidRDefault="00F15C9A" w:rsidP="00BC0D87">
            <w:pPr>
              <w:spacing w:after="0"/>
              <w:jc w:val="left"/>
              <w:rPr>
                <w:rFonts w:eastAsiaTheme="minorHAnsi" w:cstheme="minorBidi"/>
                <w:sz w:val="20"/>
                <w:szCs w:val="20"/>
                <w:lang w:eastAsia="tr-TR"/>
              </w:rPr>
            </w:pPr>
          </w:p>
        </w:tc>
        <w:tc>
          <w:tcPr>
            <w:tcW w:w="229" w:type="dxa"/>
            <w:noWrap/>
            <w:vAlign w:val="center"/>
            <w:hideMark/>
          </w:tcPr>
          <w:p w14:paraId="3059D38F" w14:textId="77777777" w:rsidR="00F15C9A" w:rsidRDefault="00F15C9A" w:rsidP="00BC0D87">
            <w:pPr>
              <w:spacing w:after="0"/>
              <w:jc w:val="left"/>
              <w:rPr>
                <w:rFonts w:eastAsiaTheme="minorHAnsi" w:cstheme="minorBidi"/>
                <w:sz w:val="20"/>
                <w:szCs w:val="20"/>
                <w:lang w:eastAsia="tr-TR"/>
              </w:rPr>
            </w:pPr>
          </w:p>
        </w:tc>
        <w:tc>
          <w:tcPr>
            <w:tcW w:w="229" w:type="dxa"/>
            <w:noWrap/>
            <w:vAlign w:val="center"/>
            <w:hideMark/>
          </w:tcPr>
          <w:p w14:paraId="0115F250" w14:textId="77777777" w:rsidR="00F15C9A" w:rsidRDefault="00F15C9A" w:rsidP="00BC0D87">
            <w:pPr>
              <w:spacing w:after="0"/>
              <w:jc w:val="left"/>
              <w:rPr>
                <w:rFonts w:eastAsiaTheme="minorHAnsi" w:cstheme="minorBidi"/>
                <w:sz w:val="20"/>
                <w:szCs w:val="20"/>
                <w:lang w:eastAsia="tr-TR"/>
              </w:rPr>
            </w:pPr>
          </w:p>
        </w:tc>
        <w:tc>
          <w:tcPr>
            <w:tcW w:w="318" w:type="dxa"/>
            <w:noWrap/>
            <w:vAlign w:val="center"/>
            <w:hideMark/>
          </w:tcPr>
          <w:p w14:paraId="41FDA6FA" w14:textId="77777777" w:rsidR="00F15C9A" w:rsidRDefault="00F15C9A" w:rsidP="00BC0D87">
            <w:pPr>
              <w:spacing w:after="0"/>
              <w:jc w:val="left"/>
              <w:rPr>
                <w:rFonts w:eastAsiaTheme="minorHAnsi" w:cstheme="minorBidi"/>
                <w:sz w:val="20"/>
                <w:szCs w:val="20"/>
                <w:lang w:eastAsia="tr-TR"/>
              </w:rPr>
            </w:pPr>
          </w:p>
        </w:tc>
        <w:tc>
          <w:tcPr>
            <w:tcW w:w="621" w:type="dxa"/>
            <w:noWrap/>
            <w:vAlign w:val="center"/>
            <w:hideMark/>
          </w:tcPr>
          <w:p w14:paraId="3AFB9C57" w14:textId="77777777" w:rsidR="00F15C9A" w:rsidRDefault="00F15C9A" w:rsidP="00BC0D87">
            <w:pPr>
              <w:spacing w:after="0"/>
              <w:jc w:val="left"/>
              <w:rPr>
                <w:rFonts w:eastAsiaTheme="minorHAnsi" w:cstheme="minorBidi"/>
                <w:sz w:val="20"/>
                <w:szCs w:val="20"/>
                <w:lang w:eastAsia="tr-TR"/>
              </w:rPr>
            </w:pPr>
          </w:p>
        </w:tc>
        <w:tc>
          <w:tcPr>
            <w:tcW w:w="621" w:type="dxa"/>
            <w:noWrap/>
            <w:vAlign w:val="center"/>
            <w:hideMark/>
          </w:tcPr>
          <w:p w14:paraId="61A97A8A" w14:textId="77777777" w:rsidR="00F15C9A" w:rsidRDefault="00F15C9A" w:rsidP="00BC0D87">
            <w:pPr>
              <w:spacing w:after="0"/>
              <w:jc w:val="left"/>
              <w:rPr>
                <w:rFonts w:eastAsiaTheme="minorHAnsi" w:cstheme="minorBidi"/>
                <w:sz w:val="20"/>
                <w:szCs w:val="20"/>
                <w:lang w:eastAsia="tr-TR"/>
              </w:rPr>
            </w:pPr>
          </w:p>
        </w:tc>
        <w:tc>
          <w:tcPr>
            <w:tcW w:w="621" w:type="dxa"/>
            <w:noWrap/>
            <w:vAlign w:val="center"/>
            <w:hideMark/>
          </w:tcPr>
          <w:p w14:paraId="3DCEDE2B" w14:textId="77777777" w:rsidR="00F15C9A" w:rsidRDefault="00F15C9A" w:rsidP="00BC0D87">
            <w:pPr>
              <w:spacing w:after="0"/>
              <w:jc w:val="left"/>
              <w:rPr>
                <w:rFonts w:eastAsiaTheme="minorHAnsi" w:cstheme="minorBidi"/>
                <w:sz w:val="20"/>
                <w:szCs w:val="20"/>
                <w:lang w:eastAsia="tr-TR"/>
              </w:rPr>
            </w:pPr>
          </w:p>
        </w:tc>
        <w:tc>
          <w:tcPr>
            <w:tcW w:w="547" w:type="dxa"/>
            <w:noWrap/>
            <w:vAlign w:val="center"/>
            <w:hideMark/>
          </w:tcPr>
          <w:p w14:paraId="442DEFE3" w14:textId="77777777" w:rsidR="00F15C9A" w:rsidRDefault="00F15C9A" w:rsidP="00BC0D87">
            <w:pPr>
              <w:spacing w:after="0"/>
              <w:jc w:val="left"/>
              <w:rPr>
                <w:rFonts w:eastAsiaTheme="minorHAnsi" w:cstheme="minorBidi"/>
                <w:sz w:val="20"/>
                <w:szCs w:val="20"/>
                <w:lang w:eastAsia="tr-TR"/>
              </w:rPr>
            </w:pPr>
          </w:p>
        </w:tc>
        <w:tc>
          <w:tcPr>
            <w:tcW w:w="712" w:type="dxa"/>
            <w:noWrap/>
            <w:vAlign w:val="center"/>
            <w:hideMark/>
          </w:tcPr>
          <w:p w14:paraId="3158B042" w14:textId="77777777" w:rsidR="00F15C9A" w:rsidRDefault="00F15C9A" w:rsidP="00BC0D87">
            <w:pPr>
              <w:spacing w:after="0"/>
              <w:jc w:val="left"/>
              <w:rPr>
                <w:rFonts w:eastAsiaTheme="minorHAnsi" w:cstheme="minorBidi"/>
                <w:sz w:val="20"/>
                <w:szCs w:val="20"/>
                <w:lang w:eastAsia="tr-TR"/>
              </w:rPr>
            </w:pPr>
          </w:p>
        </w:tc>
        <w:tc>
          <w:tcPr>
            <w:tcW w:w="634" w:type="dxa"/>
            <w:noWrap/>
            <w:vAlign w:val="center"/>
            <w:hideMark/>
          </w:tcPr>
          <w:p w14:paraId="326E90D2" w14:textId="77777777" w:rsidR="00F15C9A" w:rsidRDefault="00F15C9A" w:rsidP="00BC0D87">
            <w:pPr>
              <w:spacing w:after="0"/>
              <w:jc w:val="left"/>
              <w:rPr>
                <w:rFonts w:eastAsiaTheme="minorHAnsi" w:cstheme="minorBidi"/>
                <w:sz w:val="20"/>
                <w:szCs w:val="20"/>
                <w:lang w:eastAsia="tr-TR"/>
              </w:rPr>
            </w:pPr>
          </w:p>
        </w:tc>
        <w:tc>
          <w:tcPr>
            <w:tcW w:w="631" w:type="dxa"/>
            <w:noWrap/>
            <w:vAlign w:val="center"/>
            <w:hideMark/>
          </w:tcPr>
          <w:p w14:paraId="56B68EA5" w14:textId="77777777" w:rsidR="00F15C9A" w:rsidRDefault="00F15C9A" w:rsidP="00BC0D87">
            <w:pPr>
              <w:spacing w:after="0"/>
              <w:jc w:val="left"/>
              <w:rPr>
                <w:rFonts w:eastAsiaTheme="minorHAnsi" w:cstheme="minorBidi"/>
                <w:sz w:val="20"/>
                <w:szCs w:val="20"/>
                <w:lang w:eastAsia="tr-TR"/>
              </w:rPr>
            </w:pPr>
          </w:p>
        </w:tc>
        <w:tc>
          <w:tcPr>
            <w:tcW w:w="755" w:type="dxa"/>
            <w:noWrap/>
            <w:vAlign w:val="center"/>
            <w:hideMark/>
          </w:tcPr>
          <w:p w14:paraId="348B3F49" w14:textId="77777777" w:rsidR="00F15C9A" w:rsidRDefault="00F15C9A" w:rsidP="00BC0D87">
            <w:pPr>
              <w:spacing w:after="0"/>
              <w:jc w:val="left"/>
              <w:rPr>
                <w:rFonts w:eastAsiaTheme="minorHAnsi" w:cstheme="minorBidi"/>
                <w:sz w:val="20"/>
                <w:szCs w:val="20"/>
                <w:lang w:eastAsia="tr-TR"/>
              </w:rPr>
            </w:pPr>
          </w:p>
        </w:tc>
        <w:tc>
          <w:tcPr>
            <w:tcW w:w="619" w:type="dxa"/>
            <w:noWrap/>
            <w:vAlign w:val="center"/>
            <w:hideMark/>
          </w:tcPr>
          <w:p w14:paraId="5D07AA36" w14:textId="77777777" w:rsidR="00F15C9A" w:rsidRDefault="00F15C9A" w:rsidP="00BC0D87">
            <w:pPr>
              <w:spacing w:after="0"/>
              <w:jc w:val="left"/>
              <w:rPr>
                <w:rFonts w:eastAsiaTheme="minorHAnsi" w:cstheme="minorBidi"/>
                <w:sz w:val="20"/>
                <w:szCs w:val="20"/>
                <w:lang w:eastAsia="tr-TR"/>
              </w:rPr>
            </w:pPr>
          </w:p>
        </w:tc>
        <w:tc>
          <w:tcPr>
            <w:tcW w:w="910" w:type="dxa"/>
            <w:noWrap/>
            <w:vAlign w:val="center"/>
            <w:hideMark/>
          </w:tcPr>
          <w:p w14:paraId="0A19B987" w14:textId="77777777" w:rsidR="00F15C9A" w:rsidRDefault="00F15C9A" w:rsidP="00BC0D87">
            <w:pPr>
              <w:spacing w:after="0"/>
              <w:jc w:val="left"/>
              <w:rPr>
                <w:rFonts w:eastAsiaTheme="minorHAnsi" w:cstheme="minorBidi"/>
                <w:sz w:val="20"/>
                <w:szCs w:val="20"/>
                <w:lang w:eastAsia="tr-TR"/>
              </w:rPr>
            </w:pPr>
          </w:p>
        </w:tc>
      </w:tr>
    </w:tbl>
    <w:p w14:paraId="4F1255E1" w14:textId="77777777" w:rsidR="00933A6E" w:rsidRPr="002048A7" w:rsidRDefault="00F15C9A" w:rsidP="00F15C9A">
      <w:pPr>
        <w:jc w:val="center"/>
        <w:rPr>
          <w:b/>
          <w:sz w:val="18"/>
          <w:szCs w:val="18"/>
        </w:rPr>
      </w:pPr>
      <w:r w:rsidRPr="002048A7">
        <w:rPr>
          <w:b/>
          <w:sz w:val="18"/>
          <w:szCs w:val="18"/>
        </w:rPr>
        <w:t xml:space="preserve"> </w:t>
      </w:r>
    </w:p>
    <w:p w14:paraId="0D758550" w14:textId="77777777" w:rsidR="009A5906" w:rsidRPr="002048A7" w:rsidRDefault="009A5906" w:rsidP="00A959D5">
      <w:pPr>
        <w:jc w:val="center"/>
        <w:rPr>
          <w:b/>
          <w:sz w:val="18"/>
          <w:szCs w:val="18"/>
        </w:rPr>
      </w:pPr>
    </w:p>
    <w:p w14:paraId="7088091A" w14:textId="77777777" w:rsidR="00BE14D5" w:rsidRPr="002048A7" w:rsidRDefault="00BE14D5" w:rsidP="00A959D5">
      <w:pPr>
        <w:jc w:val="center"/>
        <w:rPr>
          <w:b/>
          <w:sz w:val="18"/>
          <w:szCs w:val="18"/>
        </w:rPr>
      </w:pPr>
    </w:p>
    <w:p w14:paraId="2DD22FBF" w14:textId="77777777" w:rsidR="00BE14D5" w:rsidRPr="002048A7" w:rsidRDefault="00BE14D5" w:rsidP="00A959D5">
      <w:pPr>
        <w:jc w:val="center"/>
        <w:rPr>
          <w:b/>
          <w:sz w:val="18"/>
          <w:szCs w:val="18"/>
        </w:rPr>
      </w:pPr>
    </w:p>
    <w:p w14:paraId="737E6B41" w14:textId="77777777" w:rsidR="00BE14D5" w:rsidRPr="002048A7" w:rsidRDefault="00BE14D5" w:rsidP="00A959D5">
      <w:pPr>
        <w:jc w:val="center"/>
        <w:rPr>
          <w:b/>
          <w:sz w:val="18"/>
          <w:szCs w:val="18"/>
        </w:rPr>
      </w:pPr>
    </w:p>
    <w:p w14:paraId="53E597A5" w14:textId="77777777" w:rsidR="00BE14D5" w:rsidRPr="002048A7" w:rsidRDefault="00BE14D5" w:rsidP="00A959D5">
      <w:pPr>
        <w:jc w:val="center"/>
        <w:rPr>
          <w:b/>
          <w:sz w:val="18"/>
          <w:szCs w:val="18"/>
        </w:rPr>
      </w:pPr>
    </w:p>
    <w:p w14:paraId="29F778AC" w14:textId="77777777" w:rsidR="00BE14D5" w:rsidRPr="002048A7" w:rsidRDefault="00BE14D5" w:rsidP="00A959D5">
      <w:pPr>
        <w:jc w:val="center"/>
        <w:rPr>
          <w:b/>
          <w:sz w:val="18"/>
          <w:szCs w:val="18"/>
        </w:rPr>
      </w:pPr>
    </w:p>
    <w:p w14:paraId="15DD2F43" w14:textId="77777777" w:rsidR="00BE14D5" w:rsidRPr="002048A7" w:rsidRDefault="00BE14D5" w:rsidP="00A959D5">
      <w:pPr>
        <w:jc w:val="center"/>
        <w:rPr>
          <w:b/>
          <w:sz w:val="18"/>
          <w:szCs w:val="18"/>
        </w:rPr>
      </w:pPr>
    </w:p>
    <w:p w14:paraId="616AC979" w14:textId="77777777" w:rsidR="00BE14D5" w:rsidRPr="002048A7" w:rsidRDefault="00BE14D5" w:rsidP="00A959D5">
      <w:pPr>
        <w:jc w:val="center"/>
        <w:rPr>
          <w:b/>
          <w:sz w:val="18"/>
          <w:szCs w:val="18"/>
        </w:rPr>
      </w:pPr>
    </w:p>
    <w:p w14:paraId="58C00045" w14:textId="77777777" w:rsidR="00BE14D5" w:rsidRPr="002048A7" w:rsidRDefault="00BE14D5" w:rsidP="00A959D5">
      <w:pPr>
        <w:jc w:val="center"/>
        <w:rPr>
          <w:b/>
          <w:sz w:val="18"/>
          <w:szCs w:val="18"/>
        </w:rPr>
      </w:pPr>
    </w:p>
    <w:p w14:paraId="58D744AF" w14:textId="77777777" w:rsidR="00BE14D5" w:rsidRPr="002048A7" w:rsidRDefault="00BE14D5" w:rsidP="00A959D5">
      <w:pPr>
        <w:jc w:val="center"/>
        <w:rPr>
          <w:b/>
          <w:sz w:val="18"/>
          <w:szCs w:val="18"/>
        </w:rPr>
      </w:pPr>
    </w:p>
    <w:p w14:paraId="5572E3CF" w14:textId="77777777" w:rsidR="00BE14D5" w:rsidRPr="002048A7" w:rsidRDefault="00BE14D5" w:rsidP="00A959D5">
      <w:pPr>
        <w:jc w:val="center"/>
        <w:rPr>
          <w:b/>
          <w:sz w:val="18"/>
          <w:szCs w:val="18"/>
        </w:rPr>
      </w:pPr>
    </w:p>
    <w:p w14:paraId="339A6E2B" w14:textId="77777777" w:rsidR="00BE14D5" w:rsidRPr="002048A7" w:rsidRDefault="00BE14D5" w:rsidP="00A959D5">
      <w:pPr>
        <w:jc w:val="center"/>
        <w:rPr>
          <w:b/>
          <w:sz w:val="18"/>
          <w:szCs w:val="18"/>
        </w:rPr>
      </w:pPr>
    </w:p>
    <w:p w14:paraId="468125A9" w14:textId="77777777" w:rsidR="00BE14D5" w:rsidRPr="002048A7" w:rsidRDefault="00BE14D5" w:rsidP="00A959D5">
      <w:pPr>
        <w:jc w:val="center"/>
        <w:rPr>
          <w:b/>
          <w:sz w:val="18"/>
          <w:szCs w:val="18"/>
        </w:rPr>
      </w:pPr>
    </w:p>
    <w:p w14:paraId="638EAD84" w14:textId="77777777" w:rsidR="00BE14D5" w:rsidRPr="002048A7" w:rsidRDefault="00BE14D5" w:rsidP="00A959D5">
      <w:pPr>
        <w:jc w:val="center"/>
        <w:rPr>
          <w:b/>
          <w:sz w:val="18"/>
          <w:szCs w:val="18"/>
        </w:rPr>
      </w:pPr>
    </w:p>
    <w:p w14:paraId="73A39B15" w14:textId="77777777" w:rsidR="00BE14D5" w:rsidRPr="002048A7" w:rsidRDefault="00BE14D5" w:rsidP="00A959D5">
      <w:pPr>
        <w:jc w:val="center"/>
        <w:rPr>
          <w:b/>
          <w:sz w:val="18"/>
          <w:szCs w:val="18"/>
        </w:rPr>
      </w:pPr>
    </w:p>
    <w:p w14:paraId="668177AD" w14:textId="77777777" w:rsidR="00BE14D5" w:rsidRPr="002048A7" w:rsidRDefault="00BE14D5" w:rsidP="00A959D5">
      <w:pPr>
        <w:jc w:val="center"/>
        <w:rPr>
          <w:b/>
          <w:sz w:val="18"/>
          <w:szCs w:val="18"/>
        </w:rPr>
      </w:pPr>
    </w:p>
    <w:p w14:paraId="0FD91C37" w14:textId="77777777" w:rsidR="00BE14D5" w:rsidRPr="002048A7" w:rsidRDefault="00BE14D5" w:rsidP="00A959D5">
      <w:pPr>
        <w:jc w:val="center"/>
        <w:rPr>
          <w:b/>
          <w:sz w:val="18"/>
          <w:szCs w:val="18"/>
        </w:rPr>
      </w:pPr>
    </w:p>
    <w:p w14:paraId="171C20D5" w14:textId="77777777" w:rsidR="00BE14D5" w:rsidRPr="002048A7" w:rsidRDefault="00BE14D5" w:rsidP="00A959D5">
      <w:pPr>
        <w:jc w:val="center"/>
        <w:rPr>
          <w:b/>
          <w:sz w:val="18"/>
          <w:szCs w:val="18"/>
        </w:rPr>
      </w:pPr>
    </w:p>
    <w:p w14:paraId="2D243D5C" w14:textId="77777777" w:rsidR="00BE14D5" w:rsidRPr="002048A7" w:rsidRDefault="00BE14D5" w:rsidP="00A959D5">
      <w:pPr>
        <w:jc w:val="center"/>
        <w:rPr>
          <w:b/>
          <w:sz w:val="18"/>
          <w:szCs w:val="18"/>
        </w:rPr>
      </w:pPr>
    </w:p>
    <w:p w14:paraId="6252ABD1" w14:textId="77777777" w:rsidR="00BE14D5" w:rsidRPr="002048A7" w:rsidRDefault="00BE14D5" w:rsidP="00A959D5">
      <w:pPr>
        <w:jc w:val="center"/>
        <w:rPr>
          <w:b/>
          <w:sz w:val="18"/>
          <w:szCs w:val="18"/>
        </w:rPr>
      </w:pPr>
    </w:p>
    <w:tbl>
      <w:tblPr>
        <w:tblW w:w="16020" w:type="dxa"/>
        <w:jc w:val="center"/>
        <w:tblLayout w:type="fixed"/>
        <w:tblCellMar>
          <w:left w:w="70" w:type="dxa"/>
          <w:right w:w="70" w:type="dxa"/>
        </w:tblCellMar>
        <w:tblLook w:val="04A0" w:firstRow="1" w:lastRow="0" w:firstColumn="1" w:lastColumn="0" w:noHBand="0" w:noVBand="1"/>
      </w:tblPr>
      <w:tblGrid>
        <w:gridCol w:w="206"/>
        <w:gridCol w:w="181"/>
        <w:gridCol w:w="2458"/>
        <w:gridCol w:w="1416"/>
        <w:gridCol w:w="1635"/>
        <w:gridCol w:w="1543"/>
        <w:gridCol w:w="160"/>
        <w:gridCol w:w="160"/>
        <w:gridCol w:w="3190"/>
        <w:gridCol w:w="1543"/>
        <w:gridCol w:w="1684"/>
        <w:gridCol w:w="1684"/>
        <w:gridCol w:w="160"/>
      </w:tblGrid>
      <w:tr w:rsidR="00F15C9A" w14:paraId="1597188C" w14:textId="77777777" w:rsidTr="00F15C9A">
        <w:trPr>
          <w:trHeight w:val="479"/>
          <w:jc w:val="center"/>
        </w:trPr>
        <w:tc>
          <w:tcPr>
            <w:tcW w:w="16018" w:type="dxa"/>
            <w:gridSpan w:val="12"/>
            <w:tcBorders>
              <w:top w:val="nil"/>
              <w:left w:val="nil"/>
              <w:bottom w:val="single" w:sz="8" w:space="0" w:color="auto"/>
              <w:right w:val="nil"/>
            </w:tcBorders>
            <w:noWrap/>
          </w:tcPr>
          <w:p w14:paraId="18965003" w14:textId="77777777" w:rsidR="00F15C9A" w:rsidRDefault="00F15C9A">
            <w:pPr>
              <w:spacing w:after="0" w:line="240" w:lineRule="auto"/>
              <w:jc w:val="center"/>
              <w:rPr>
                <w:b/>
                <w:sz w:val="18"/>
                <w:szCs w:val="18"/>
              </w:rPr>
            </w:pPr>
          </w:p>
          <w:p w14:paraId="598849D2" w14:textId="77777777" w:rsidR="00F15C9A" w:rsidRDefault="00F15C9A">
            <w:pPr>
              <w:spacing w:after="0" w:line="240" w:lineRule="auto"/>
              <w:jc w:val="center"/>
              <w:rPr>
                <w:b/>
                <w:sz w:val="18"/>
                <w:szCs w:val="18"/>
              </w:rPr>
            </w:pPr>
          </w:p>
          <w:p w14:paraId="5C84E91C" w14:textId="77777777" w:rsidR="00F15C9A" w:rsidRDefault="00F15C9A">
            <w:pPr>
              <w:spacing w:after="0" w:line="240" w:lineRule="auto"/>
              <w:jc w:val="center"/>
              <w:rPr>
                <w:rFonts w:ascii="Calibri" w:eastAsia="Times New Roman" w:hAnsi="Calibri" w:cs="Calibri"/>
                <w:b/>
                <w:bCs/>
                <w:color w:val="000000"/>
                <w:sz w:val="28"/>
                <w:szCs w:val="28"/>
                <w:lang w:eastAsia="tr-TR"/>
              </w:rPr>
            </w:pPr>
            <w:r>
              <w:rPr>
                <w:b/>
                <w:sz w:val="18"/>
                <w:szCs w:val="18"/>
              </w:rPr>
              <w:t>2022-2024 YILI ENERJİ PİYASASI DÜZENLEME KURUMU BİLANÇOSU</w:t>
            </w:r>
          </w:p>
        </w:tc>
        <w:tc>
          <w:tcPr>
            <w:tcW w:w="6" w:type="dxa"/>
            <w:tcBorders>
              <w:top w:val="nil"/>
              <w:left w:val="nil"/>
              <w:bottom w:val="nil"/>
              <w:right w:val="nil"/>
            </w:tcBorders>
            <w:vAlign w:val="center"/>
            <w:hideMark/>
          </w:tcPr>
          <w:p w14:paraId="71EFBF9F" w14:textId="77777777" w:rsidR="00F15C9A" w:rsidRDefault="00F15C9A">
            <w:pPr>
              <w:rPr>
                <w:rFonts w:ascii="Calibri" w:eastAsia="Times New Roman" w:hAnsi="Calibri" w:cs="Calibri"/>
                <w:b/>
                <w:bCs/>
                <w:color w:val="000000"/>
                <w:sz w:val="28"/>
                <w:szCs w:val="28"/>
                <w:lang w:eastAsia="tr-TR"/>
              </w:rPr>
            </w:pPr>
          </w:p>
        </w:tc>
      </w:tr>
      <w:tr w:rsidR="00F15C9A" w14:paraId="5BB10C8D" w14:textId="77777777" w:rsidTr="00F15C9A">
        <w:trPr>
          <w:trHeight w:val="319"/>
          <w:jc w:val="center"/>
        </w:trPr>
        <w:tc>
          <w:tcPr>
            <w:tcW w:w="207" w:type="dxa"/>
            <w:tcBorders>
              <w:top w:val="nil"/>
              <w:left w:val="single" w:sz="8" w:space="0" w:color="auto"/>
              <w:bottom w:val="nil"/>
              <w:right w:val="nil"/>
            </w:tcBorders>
            <w:shd w:val="clear" w:color="auto" w:fill="F2F2F2"/>
            <w:noWrap/>
            <w:vAlign w:val="center"/>
            <w:hideMark/>
          </w:tcPr>
          <w:p w14:paraId="609567FB" w14:textId="77777777" w:rsidR="00F15C9A" w:rsidRDefault="00F15C9A">
            <w:pPr>
              <w:spacing w:after="0" w:line="240" w:lineRule="auto"/>
              <w:jc w:val="center"/>
              <w:rPr>
                <w:rFonts w:ascii="Arial" w:eastAsia="Times New Roman" w:hAnsi="Arial" w:cs="Arial"/>
                <w:b/>
                <w:bCs/>
                <w:color w:val="000000"/>
                <w:sz w:val="24"/>
                <w:szCs w:val="24"/>
                <w:lang w:eastAsia="tr-TR"/>
              </w:rPr>
            </w:pPr>
            <w:r>
              <w:rPr>
                <w:rFonts w:ascii="Arial" w:eastAsia="Times New Roman" w:hAnsi="Arial" w:cs="Arial"/>
                <w:b/>
                <w:bCs/>
                <w:color w:val="000000"/>
                <w:sz w:val="24"/>
                <w:szCs w:val="24"/>
                <w:lang w:eastAsia="tr-TR"/>
              </w:rPr>
              <w:t> </w:t>
            </w:r>
          </w:p>
        </w:tc>
        <w:tc>
          <w:tcPr>
            <w:tcW w:w="2665" w:type="dxa"/>
            <w:gridSpan w:val="2"/>
            <w:tcBorders>
              <w:top w:val="single" w:sz="8" w:space="0" w:color="auto"/>
              <w:left w:val="nil"/>
              <w:bottom w:val="single" w:sz="8" w:space="0" w:color="auto"/>
              <w:right w:val="single" w:sz="8" w:space="0" w:color="000000"/>
            </w:tcBorders>
            <w:shd w:val="clear" w:color="auto" w:fill="F2F2F2"/>
            <w:noWrap/>
            <w:vAlign w:val="center"/>
            <w:hideMark/>
          </w:tcPr>
          <w:p w14:paraId="5EC30011" w14:textId="77777777" w:rsidR="00F15C9A" w:rsidRDefault="00F15C9A">
            <w:pPr>
              <w:spacing w:after="0" w:line="240" w:lineRule="auto"/>
              <w:jc w:val="center"/>
              <w:rPr>
                <w:rFonts w:ascii="Arial" w:eastAsia="Times New Roman" w:hAnsi="Arial" w:cs="Arial"/>
                <w:b/>
                <w:bCs/>
                <w:color w:val="000000"/>
                <w:sz w:val="20"/>
                <w:szCs w:val="20"/>
                <w:lang w:eastAsia="tr-TR"/>
              </w:rPr>
            </w:pPr>
            <w:r>
              <w:rPr>
                <w:rFonts w:ascii="Arial" w:eastAsia="Times New Roman" w:hAnsi="Arial" w:cs="Arial"/>
                <w:b/>
                <w:bCs/>
                <w:color w:val="000000"/>
                <w:sz w:val="20"/>
                <w:szCs w:val="20"/>
                <w:lang w:eastAsia="tr-TR"/>
              </w:rPr>
              <w:t>AKTİF HESAPLAR </w:t>
            </w:r>
          </w:p>
        </w:tc>
        <w:tc>
          <w:tcPr>
            <w:tcW w:w="1430" w:type="dxa"/>
            <w:tcBorders>
              <w:top w:val="nil"/>
              <w:left w:val="nil"/>
              <w:bottom w:val="single" w:sz="8" w:space="0" w:color="auto"/>
              <w:right w:val="single" w:sz="8" w:space="0" w:color="auto"/>
            </w:tcBorders>
            <w:shd w:val="clear" w:color="auto" w:fill="F2F2F2"/>
            <w:noWrap/>
            <w:vAlign w:val="center"/>
            <w:hideMark/>
          </w:tcPr>
          <w:p w14:paraId="79E67DFD" w14:textId="77777777" w:rsidR="00F15C9A" w:rsidRDefault="00F15C9A">
            <w:pPr>
              <w:spacing w:after="0" w:line="240" w:lineRule="auto"/>
              <w:jc w:val="center"/>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2022</w:t>
            </w:r>
          </w:p>
        </w:tc>
        <w:tc>
          <w:tcPr>
            <w:tcW w:w="1652" w:type="dxa"/>
            <w:tcBorders>
              <w:top w:val="nil"/>
              <w:left w:val="nil"/>
              <w:bottom w:val="single" w:sz="8" w:space="0" w:color="auto"/>
              <w:right w:val="nil"/>
            </w:tcBorders>
            <w:shd w:val="clear" w:color="auto" w:fill="F2F2F2"/>
            <w:noWrap/>
            <w:vAlign w:val="center"/>
            <w:hideMark/>
          </w:tcPr>
          <w:p w14:paraId="1A7C4FBE" w14:textId="77777777" w:rsidR="00F15C9A" w:rsidRDefault="00F15C9A">
            <w:pPr>
              <w:spacing w:after="0" w:line="240" w:lineRule="auto"/>
              <w:jc w:val="center"/>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2023</w:t>
            </w:r>
          </w:p>
        </w:tc>
        <w:tc>
          <w:tcPr>
            <w:tcW w:w="1559" w:type="dxa"/>
            <w:tcBorders>
              <w:top w:val="nil"/>
              <w:left w:val="single" w:sz="8" w:space="0" w:color="auto"/>
              <w:bottom w:val="single" w:sz="8" w:space="0" w:color="auto"/>
              <w:right w:val="single" w:sz="8" w:space="0" w:color="auto"/>
            </w:tcBorders>
            <w:shd w:val="clear" w:color="auto" w:fill="F2F2F2"/>
            <w:noWrap/>
            <w:vAlign w:val="center"/>
            <w:hideMark/>
          </w:tcPr>
          <w:p w14:paraId="2E0BF72E" w14:textId="77777777" w:rsidR="00F15C9A" w:rsidRDefault="00F15C9A">
            <w:pPr>
              <w:spacing w:after="0" w:line="240" w:lineRule="auto"/>
              <w:jc w:val="center"/>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2024</w:t>
            </w:r>
          </w:p>
        </w:tc>
        <w:tc>
          <w:tcPr>
            <w:tcW w:w="3544" w:type="dxa"/>
            <w:gridSpan w:val="3"/>
            <w:tcBorders>
              <w:top w:val="single" w:sz="8" w:space="0" w:color="auto"/>
              <w:left w:val="nil"/>
              <w:bottom w:val="single" w:sz="8" w:space="0" w:color="auto"/>
              <w:right w:val="single" w:sz="8" w:space="0" w:color="000000"/>
            </w:tcBorders>
            <w:shd w:val="clear" w:color="auto" w:fill="F2F2F2"/>
            <w:noWrap/>
            <w:vAlign w:val="center"/>
            <w:hideMark/>
          </w:tcPr>
          <w:p w14:paraId="1C165A4F" w14:textId="77777777" w:rsidR="00F15C9A" w:rsidRDefault="00F15C9A">
            <w:pPr>
              <w:spacing w:after="0" w:line="240" w:lineRule="auto"/>
              <w:jc w:val="center"/>
              <w:rPr>
                <w:rFonts w:ascii="Arial" w:eastAsia="Times New Roman" w:hAnsi="Arial" w:cs="Arial"/>
                <w:b/>
                <w:bCs/>
                <w:color w:val="000000"/>
                <w:sz w:val="20"/>
                <w:szCs w:val="20"/>
                <w:lang w:eastAsia="tr-TR"/>
              </w:rPr>
            </w:pPr>
            <w:r>
              <w:rPr>
                <w:rFonts w:ascii="Arial" w:eastAsia="Times New Roman" w:hAnsi="Arial" w:cs="Arial"/>
                <w:b/>
                <w:bCs/>
                <w:color w:val="000000"/>
                <w:sz w:val="20"/>
                <w:szCs w:val="20"/>
                <w:lang w:eastAsia="tr-TR"/>
              </w:rPr>
              <w:t>PASİF HESAPLAR </w:t>
            </w:r>
          </w:p>
        </w:tc>
        <w:tc>
          <w:tcPr>
            <w:tcW w:w="1559" w:type="dxa"/>
            <w:tcBorders>
              <w:top w:val="nil"/>
              <w:left w:val="nil"/>
              <w:bottom w:val="single" w:sz="8" w:space="0" w:color="auto"/>
              <w:right w:val="single" w:sz="8" w:space="0" w:color="auto"/>
            </w:tcBorders>
            <w:shd w:val="clear" w:color="auto" w:fill="F2F2F2"/>
            <w:noWrap/>
            <w:vAlign w:val="center"/>
            <w:hideMark/>
          </w:tcPr>
          <w:p w14:paraId="20933DD3" w14:textId="77777777" w:rsidR="00F15C9A" w:rsidRDefault="00F15C9A">
            <w:pPr>
              <w:spacing w:after="0" w:line="240" w:lineRule="auto"/>
              <w:jc w:val="center"/>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2022</w:t>
            </w:r>
          </w:p>
        </w:tc>
        <w:tc>
          <w:tcPr>
            <w:tcW w:w="1701" w:type="dxa"/>
            <w:tcBorders>
              <w:top w:val="nil"/>
              <w:left w:val="nil"/>
              <w:bottom w:val="single" w:sz="8" w:space="0" w:color="auto"/>
              <w:right w:val="nil"/>
            </w:tcBorders>
            <w:shd w:val="clear" w:color="auto" w:fill="F2F2F2"/>
            <w:noWrap/>
            <w:vAlign w:val="center"/>
            <w:hideMark/>
          </w:tcPr>
          <w:p w14:paraId="4BB7992D" w14:textId="77777777" w:rsidR="00F15C9A" w:rsidRDefault="00F15C9A">
            <w:pPr>
              <w:spacing w:after="0" w:line="240" w:lineRule="auto"/>
              <w:jc w:val="center"/>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2023</w:t>
            </w:r>
          </w:p>
        </w:tc>
        <w:tc>
          <w:tcPr>
            <w:tcW w:w="1701" w:type="dxa"/>
            <w:tcBorders>
              <w:top w:val="nil"/>
              <w:left w:val="single" w:sz="8" w:space="0" w:color="auto"/>
              <w:bottom w:val="single" w:sz="8" w:space="0" w:color="auto"/>
              <w:right w:val="single" w:sz="8" w:space="0" w:color="auto"/>
            </w:tcBorders>
            <w:shd w:val="clear" w:color="auto" w:fill="F2F2F2"/>
            <w:noWrap/>
            <w:vAlign w:val="center"/>
            <w:hideMark/>
          </w:tcPr>
          <w:p w14:paraId="5D7C1ECD" w14:textId="77777777" w:rsidR="00F15C9A" w:rsidRDefault="00F15C9A">
            <w:pPr>
              <w:spacing w:after="0" w:line="240" w:lineRule="auto"/>
              <w:jc w:val="center"/>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2024</w:t>
            </w:r>
          </w:p>
        </w:tc>
        <w:tc>
          <w:tcPr>
            <w:tcW w:w="6" w:type="dxa"/>
            <w:tcBorders>
              <w:top w:val="nil"/>
              <w:left w:val="nil"/>
              <w:bottom w:val="nil"/>
              <w:right w:val="nil"/>
            </w:tcBorders>
            <w:vAlign w:val="center"/>
            <w:hideMark/>
          </w:tcPr>
          <w:p w14:paraId="7DB674F0" w14:textId="77777777" w:rsidR="00F15C9A" w:rsidRDefault="00F15C9A">
            <w:pPr>
              <w:rPr>
                <w:rFonts w:ascii="Arial" w:eastAsia="Times New Roman" w:hAnsi="Arial" w:cs="Arial"/>
                <w:b/>
                <w:bCs/>
                <w:color w:val="000000"/>
                <w:sz w:val="18"/>
                <w:szCs w:val="18"/>
                <w:lang w:eastAsia="tr-TR"/>
              </w:rPr>
            </w:pPr>
          </w:p>
        </w:tc>
      </w:tr>
      <w:tr w:rsidR="00F15C9A" w14:paraId="26CC681D" w14:textId="77777777" w:rsidTr="00F15C9A">
        <w:trPr>
          <w:trHeight w:val="290"/>
          <w:jc w:val="center"/>
        </w:trPr>
        <w:tc>
          <w:tcPr>
            <w:tcW w:w="2872" w:type="dxa"/>
            <w:gridSpan w:val="3"/>
            <w:tcBorders>
              <w:top w:val="single" w:sz="8" w:space="0" w:color="auto"/>
              <w:left w:val="single" w:sz="8" w:space="0" w:color="auto"/>
              <w:bottom w:val="nil"/>
              <w:right w:val="single" w:sz="8" w:space="0" w:color="000000"/>
            </w:tcBorders>
            <w:noWrap/>
            <w:vAlign w:val="center"/>
            <w:hideMark/>
          </w:tcPr>
          <w:p w14:paraId="323B76AF" w14:textId="77777777" w:rsidR="00F15C9A" w:rsidRDefault="00F15C9A">
            <w:pPr>
              <w:spacing w:after="0" w:line="240" w:lineRule="auto"/>
              <w:jc w:val="left"/>
              <w:rPr>
                <w:rFonts w:ascii="Arial" w:eastAsia="Times New Roman" w:hAnsi="Arial" w:cs="Arial"/>
                <w:b/>
                <w:bCs/>
                <w:color w:val="000000"/>
                <w:sz w:val="18"/>
                <w:szCs w:val="18"/>
                <w:lang w:eastAsia="tr-TR"/>
              </w:rPr>
            </w:pPr>
            <w:bookmarkStart w:id="462" w:name="RANGE!A3"/>
            <w:r>
              <w:rPr>
                <w:rFonts w:ascii="Arial" w:eastAsia="Times New Roman" w:hAnsi="Arial" w:cs="Arial"/>
                <w:b/>
                <w:bCs/>
                <w:color w:val="000000"/>
                <w:sz w:val="18"/>
                <w:szCs w:val="18"/>
                <w:lang w:eastAsia="tr-TR"/>
              </w:rPr>
              <w:t>1-DÖNEN VARLIKLAR</w:t>
            </w:r>
            <w:bookmarkEnd w:id="462"/>
          </w:p>
        </w:tc>
        <w:tc>
          <w:tcPr>
            <w:tcW w:w="1430" w:type="dxa"/>
            <w:tcBorders>
              <w:top w:val="nil"/>
              <w:left w:val="nil"/>
              <w:bottom w:val="nil"/>
              <w:right w:val="single" w:sz="8" w:space="0" w:color="auto"/>
            </w:tcBorders>
            <w:noWrap/>
            <w:vAlign w:val="center"/>
            <w:hideMark/>
          </w:tcPr>
          <w:p w14:paraId="2E44DBE9" w14:textId="77777777" w:rsidR="00F15C9A" w:rsidRDefault="00F15C9A">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443.823.332,35</w:t>
            </w:r>
          </w:p>
        </w:tc>
        <w:tc>
          <w:tcPr>
            <w:tcW w:w="1652" w:type="dxa"/>
            <w:tcBorders>
              <w:top w:val="nil"/>
              <w:left w:val="nil"/>
              <w:bottom w:val="nil"/>
              <w:right w:val="single" w:sz="8" w:space="0" w:color="auto"/>
            </w:tcBorders>
            <w:noWrap/>
            <w:vAlign w:val="center"/>
            <w:hideMark/>
          </w:tcPr>
          <w:p w14:paraId="22B5464C" w14:textId="77777777" w:rsidR="00F15C9A" w:rsidRDefault="00F15C9A">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754.324.189,53</w:t>
            </w:r>
          </w:p>
        </w:tc>
        <w:tc>
          <w:tcPr>
            <w:tcW w:w="1559" w:type="dxa"/>
            <w:tcBorders>
              <w:top w:val="nil"/>
              <w:left w:val="nil"/>
              <w:bottom w:val="nil"/>
              <w:right w:val="single" w:sz="8" w:space="0" w:color="auto"/>
            </w:tcBorders>
            <w:noWrap/>
            <w:vAlign w:val="center"/>
            <w:hideMark/>
          </w:tcPr>
          <w:p w14:paraId="1F56A47B" w14:textId="77777777" w:rsidR="00F15C9A" w:rsidRDefault="00F15C9A">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1.059.461.578,98</w:t>
            </w:r>
          </w:p>
        </w:tc>
        <w:tc>
          <w:tcPr>
            <w:tcW w:w="3544" w:type="dxa"/>
            <w:gridSpan w:val="3"/>
            <w:tcBorders>
              <w:top w:val="single" w:sz="8" w:space="0" w:color="auto"/>
              <w:left w:val="nil"/>
              <w:bottom w:val="nil"/>
              <w:right w:val="single" w:sz="8" w:space="0" w:color="000000"/>
            </w:tcBorders>
            <w:noWrap/>
            <w:vAlign w:val="center"/>
            <w:hideMark/>
          </w:tcPr>
          <w:p w14:paraId="59F0D87A" w14:textId="77777777" w:rsidR="00F15C9A" w:rsidRDefault="00F15C9A">
            <w:pPr>
              <w:spacing w:after="0" w:line="240" w:lineRule="auto"/>
              <w:jc w:val="lef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3-KISA VADELİ YABANCI KAYNAKLAR</w:t>
            </w:r>
          </w:p>
        </w:tc>
        <w:tc>
          <w:tcPr>
            <w:tcW w:w="1559" w:type="dxa"/>
            <w:tcBorders>
              <w:top w:val="nil"/>
              <w:left w:val="nil"/>
              <w:bottom w:val="nil"/>
              <w:right w:val="single" w:sz="8" w:space="0" w:color="auto"/>
            </w:tcBorders>
            <w:noWrap/>
            <w:vAlign w:val="center"/>
            <w:hideMark/>
          </w:tcPr>
          <w:p w14:paraId="07AD9957" w14:textId="77777777" w:rsidR="00F15C9A" w:rsidRDefault="00F15C9A">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318.205.899,78</w:t>
            </w:r>
          </w:p>
        </w:tc>
        <w:tc>
          <w:tcPr>
            <w:tcW w:w="1701" w:type="dxa"/>
            <w:tcBorders>
              <w:top w:val="nil"/>
              <w:left w:val="nil"/>
              <w:bottom w:val="nil"/>
              <w:right w:val="single" w:sz="8" w:space="0" w:color="auto"/>
            </w:tcBorders>
            <w:noWrap/>
            <w:vAlign w:val="center"/>
            <w:hideMark/>
          </w:tcPr>
          <w:p w14:paraId="29E049FE" w14:textId="77777777" w:rsidR="00F15C9A" w:rsidRDefault="00F15C9A">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620.670.711,40</w:t>
            </w:r>
          </w:p>
        </w:tc>
        <w:tc>
          <w:tcPr>
            <w:tcW w:w="1701" w:type="dxa"/>
            <w:tcBorders>
              <w:top w:val="nil"/>
              <w:left w:val="nil"/>
              <w:bottom w:val="nil"/>
              <w:right w:val="single" w:sz="8" w:space="0" w:color="auto"/>
            </w:tcBorders>
            <w:noWrap/>
            <w:vAlign w:val="center"/>
            <w:hideMark/>
          </w:tcPr>
          <w:p w14:paraId="1C834F45" w14:textId="77777777" w:rsidR="00F15C9A" w:rsidRDefault="00F15C9A">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894.018.319,43</w:t>
            </w:r>
          </w:p>
        </w:tc>
        <w:tc>
          <w:tcPr>
            <w:tcW w:w="6" w:type="dxa"/>
            <w:tcBorders>
              <w:top w:val="nil"/>
              <w:left w:val="nil"/>
              <w:bottom w:val="nil"/>
              <w:right w:val="nil"/>
            </w:tcBorders>
            <w:vAlign w:val="center"/>
            <w:hideMark/>
          </w:tcPr>
          <w:p w14:paraId="7484D42B" w14:textId="77777777" w:rsidR="00F15C9A" w:rsidRDefault="00F15C9A">
            <w:pPr>
              <w:rPr>
                <w:rFonts w:ascii="Arial" w:eastAsia="Times New Roman" w:hAnsi="Arial" w:cs="Arial"/>
                <w:b/>
                <w:bCs/>
                <w:color w:val="000000"/>
                <w:sz w:val="18"/>
                <w:szCs w:val="18"/>
                <w:lang w:eastAsia="tr-TR"/>
              </w:rPr>
            </w:pPr>
          </w:p>
        </w:tc>
      </w:tr>
      <w:tr w:rsidR="00F15C9A" w14:paraId="563F6E3B" w14:textId="77777777" w:rsidTr="00F15C9A">
        <w:trPr>
          <w:trHeight w:val="290"/>
          <w:jc w:val="center"/>
        </w:trPr>
        <w:tc>
          <w:tcPr>
            <w:tcW w:w="207" w:type="dxa"/>
            <w:tcBorders>
              <w:top w:val="nil"/>
              <w:left w:val="single" w:sz="8" w:space="0" w:color="auto"/>
              <w:bottom w:val="nil"/>
              <w:right w:val="nil"/>
            </w:tcBorders>
            <w:noWrap/>
            <w:vAlign w:val="center"/>
            <w:hideMark/>
          </w:tcPr>
          <w:p w14:paraId="0AC2E8FF" w14:textId="77777777" w:rsidR="00F15C9A" w:rsidRDefault="00F15C9A">
            <w:pPr>
              <w:spacing w:after="0" w:line="240" w:lineRule="auto"/>
              <w:jc w:val="lef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 </w:t>
            </w:r>
          </w:p>
        </w:tc>
        <w:tc>
          <w:tcPr>
            <w:tcW w:w="2665" w:type="dxa"/>
            <w:gridSpan w:val="2"/>
            <w:tcBorders>
              <w:top w:val="nil"/>
              <w:left w:val="nil"/>
              <w:bottom w:val="nil"/>
              <w:right w:val="single" w:sz="8" w:space="0" w:color="000000"/>
            </w:tcBorders>
            <w:noWrap/>
            <w:vAlign w:val="center"/>
            <w:hideMark/>
          </w:tcPr>
          <w:p w14:paraId="7271248C" w14:textId="77777777" w:rsidR="00F15C9A" w:rsidRDefault="00F15C9A">
            <w:pPr>
              <w:spacing w:after="0" w:line="240" w:lineRule="auto"/>
              <w:jc w:val="lef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10-HAZIR DEĞERLER</w:t>
            </w:r>
          </w:p>
        </w:tc>
        <w:tc>
          <w:tcPr>
            <w:tcW w:w="1430" w:type="dxa"/>
            <w:tcBorders>
              <w:top w:val="nil"/>
              <w:left w:val="nil"/>
              <w:bottom w:val="nil"/>
              <w:right w:val="single" w:sz="8" w:space="0" w:color="auto"/>
            </w:tcBorders>
            <w:noWrap/>
            <w:vAlign w:val="center"/>
            <w:hideMark/>
          </w:tcPr>
          <w:p w14:paraId="79940B9D" w14:textId="77777777" w:rsidR="00F15C9A" w:rsidRDefault="00F15C9A">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2.726.978,44</w:t>
            </w:r>
          </w:p>
        </w:tc>
        <w:tc>
          <w:tcPr>
            <w:tcW w:w="1652" w:type="dxa"/>
            <w:noWrap/>
            <w:vAlign w:val="center"/>
            <w:hideMark/>
          </w:tcPr>
          <w:p w14:paraId="3F8E7082" w14:textId="77777777" w:rsidR="00F15C9A" w:rsidRDefault="00F15C9A">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1.099.005,10</w:t>
            </w:r>
          </w:p>
        </w:tc>
        <w:tc>
          <w:tcPr>
            <w:tcW w:w="1559" w:type="dxa"/>
            <w:tcBorders>
              <w:top w:val="nil"/>
              <w:left w:val="single" w:sz="8" w:space="0" w:color="auto"/>
              <w:bottom w:val="nil"/>
              <w:right w:val="single" w:sz="8" w:space="0" w:color="auto"/>
            </w:tcBorders>
            <w:noWrap/>
            <w:vAlign w:val="center"/>
            <w:hideMark/>
          </w:tcPr>
          <w:p w14:paraId="567F0969" w14:textId="77777777" w:rsidR="00F15C9A" w:rsidRDefault="00F15C9A">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9.796.536,46</w:t>
            </w:r>
          </w:p>
        </w:tc>
        <w:tc>
          <w:tcPr>
            <w:tcW w:w="160" w:type="dxa"/>
            <w:noWrap/>
            <w:vAlign w:val="center"/>
            <w:hideMark/>
          </w:tcPr>
          <w:p w14:paraId="6298E758" w14:textId="77777777" w:rsidR="00F15C9A" w:rsidRDefault="00F15C9A">
            <w:pPr>
              <w:rPr>
                <w:rFonts w:ascii="Arial" w:eastAsia="Times New Roman" w:hAnsi="Arial" w:cs="Arial"/>
                <w:b/>
                <w:bCs/>
                <w:color w:val="000000"/>
                <w:sz w:val="18"/>
                <w:szCs w:val="18"/>
                <w:lang w:eastAsia="tr-TR"/>
              </w:rPr>
            </w:pPr>
          </w:p>
        </w:tc>
        <w:tc>
          <w:tcPr>
            <w:tcW w:w="3384" w:type="dxa"/>
            <w:gridSpan w:val="2"/>
            <w:tcBorders>
              <w:top w:val="nil"/>
              <w:left w:val="nil"/>
              <w:bottom w:val="nil"/>
              <w:right w:val="single" w:sz="8" w:space="0" w:color="000000"/>
            </w:tcBorders>
            <w:noWrap/>
            <w:vAlign w:val="center"/>
            <w:hideMark/>
          </w:tcPr>
          <w:p w14:paraId="1EF011E2" w14:textId="77777777" w:rsidR="00F15C9A" w:rsidRDefault="00F15C9A">
            <w:pPr>
              <w:spacing w:after="0" w:line="240" w:lineRule="auto"/>
              <w:jc w:val="lef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33-EMANET YABANCI KAYNAKLAR</w:t>
            </w:r>
          </w:p>
        </w:tc>
        <w:tc>
          <w:tcPr>
            <w:tcW w:w="1559" w:type="dxa"/>
            <w:tcBorders>
              <w:top w:val="nil"/>
              <w:left w:val="nil"/>
              <w:bottom w:val="nil"/>
              <w:right w:val="single" w:sz="8" w:space="0" w:color="auto"/>
            </w:tcBorders>
            <w:noWrap/>
            <w:vAlign w:val="center"/>
            <w:hideMark/>
          </w:tcPr>
          <w:p w14:paraId="7AEAC8B0" w14:textId="77777777" w:rsidR="00F15C9A" w:rsidRDefault="00F15C9A">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14.392.225,13</w:t>
            </w:r>
          </w:p>
        </w:tc>
        <w:tc>
          <w:tcPr>
            <w:tcW w:w="1701" w:type="dxa"/>
            <w:tcBorders>
              <w:top w:val="nil"/>
              <w:left w:val="nil"/>
              <w:bottom w:val="nil"/>
              <w:right w:val="single" w:sz="8" w:space="0" w:color="auto"/>
            </w:tcBorders>
            <w:noWrap/>
            <w:vAlign w:val="center"/>
            <w:hideMark/>
          </w:tcPr>
          <w:p w14:paraId="1C2213FB" w14:textId="77777777" w:rsidR="00F15C9A" w:rsidRDefault="00F15C9A">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43.282.430,32</w:t>
            </w:r>
          </w:p>
        </w:tc>
        <w:tc>
          <w:tcPr>
            <w:tcW w:w="1701" w:type="dxa"/>
            <w:tcBorders>
              <w:top w:val="nil"/>
              <w:left w:val="nil"/>
              <w:bottom w:val="nil"/>
              <w:right w:val="single" w:sz="8" w:space="0" w:color="auto"/>
            </w:tcBorders>
            <w:noWrap/>
            <w:vAlign w:val="center"/>
            <w:hideMark/>
          </w:tcPr>
          <w:p w14:paraId="62654A64" w14:textId="77777777" w:rsidR="00F15C9A" w:rsidRDefault="00F15C9A">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49.459.254,40</w:t>
            </w:r>
          </w:p>
        </w:tc>
        <w:tc>
          <w:tcPr>
            <w:tcW w:w="6" w:type="dxa"/>
            <w:tcBorders>
              <w:top w:val="nil"/>
              <w:left w:val="nil"/>
              <w:bottom w:val="nil"/>
              <w:right w:val="nil"/>
            </w:tcBorders>
            <w:vAlign w:val="center"/>
            <w:hideMark/>
          </w:tcPr>
          <w:p w14:paraId="62E3BFBC" w14:textId="77777777" w:rsidR="00F15C9A" w:rsidRDefault="00F15C9A">
            <w:pPr>
              <w:rPr>
                <w:rFonts w:ascii="Arial" w:eastAsia="Times New Roman" w:hAnsi="Arial" w:cs="Arial"/>
                <w:b/>
                <w:bCs/>
                <w:color w:val="000000"/>
                <w:sz w:val="18"/>
                <w:szCs w:val="18"/>
                <w:lang w:eastAsia="tr-TR"/>
              </w:rPr>
            </w:pPr>
          </w:p>
        </w:tc>
      </w:tr>
      <w:tr w:rsidR="00F15C9A" w14:paraId="67E49475" w14:textId="77777777" w:rsidTr="00F15C9A">
        <w:trPr>
          <w:trHeight w:val="290"/>
          <w:jc w:val="center"/>
        </w:trPr>
        <w:tc>
          <w:tcPr>
            <w:tcW w:w="207" w:type="dxa"/>
            <w:tcBorders>
              <w:top w:val="nil"/>
              <w:left w:val="single" w:sz="8" w:space="0" w:color="auto"/>
              <w:bottom w:val="nil"/>
              <w:right w:val="nil"/>
            </w:tcBorders>
            <w:noWrap/>
            <w:vAlign w:val="center"/>
            <w:hideMark/>
          </w:tcPr>
          <w:p w14:paraId="5A74AC97" w14:textId="77777777" w:rsidR="00F15C9A" w:rsidRDefault="00F15C9A">
            <w:pPr>
              <w:spacing w:after="0" w:line="240" w:lineRule="auto"/>
              <w:jc w:val="lef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 </w:t>
            </w:r>
          </w:p>
        </w:tc>
        <w:tc>
          <w:tcPr>
            <w:tcW w:w="181" w:type="dxa"/>
            <w:noWrap/>
            <w:vAlign w:val="center"/>
            <w:hideMark/>
          </w:tcPr>
          <w:p w14:paraId="490E10EB" w14:textId="77777777" w:rsidR="00F15C9A" w:rsidRDefault="00F15C9A">
            <w:pPr>
              <w:rPr>
                <w:rFonts w:ascii="Arial" w:eastAsia="Times New Roman" w:hAnsi="Arial" w:cs="Arial"/>
                <w:color w:val="000000"/>
                <w:sz w:val="18"/>
                <w:szCs w:val="18"/>
                <w:lang w:eastAsia="tr-TR"/>
              </w:rPr>
            </w:pPr>
          </w:p>
        </w:tc>
        <w:tc>
          <w:tcPr>
            <w:tcW w:w="2484" w:type="dxa"/>
            <w:tcBorders>
              <w:top w:val="nil"/>
              <w:left w:val="nil"/>
              <w:bottom w:val="nil"/>
              <w:right w:val="single" w:sz="8" w:space="0" w:color="auto"/>
            </w:tcBorders>
            <w:noWrap/>
            <w:vAlign w:val="center"/>
            <w:hideMark/>
          </w:tcPr>
          <w:p w14:paraId="3BABEF13" w14:textId="77777777" w:rsidR="00F15C9A" w:rsidRDefault="00F15C9A">
            <w:pPr>
              <w:spacing w:after="0" w:line="240" w:lineRule="auto"/>
              <w:jc w:val="lef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102-Banka Hesabı</w:t>
            </w:r>
          </w:p>
        </w:tc>
        <w:tc>
          <w:tcPr>
            <w:tcW w:w="1430" w:type="dxa"/>
            <w:tcBorders>
              <w:top w:val="nil"/>
              <w:left w:val="nil"/>
              <w:bottom w:val="nil"/>
              <w:right w:val="single" w:sz="8" w:space="0" w:color="auto"/>
            </w:tcBorders>
            <w:noWrap/>
            <w:vAlign w:val="center"/>
            <w:hideMark/>
          </w:tcPr>
          <w:p w14:paraId="4DFF6E5D"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2.726.978,44</w:t>
            </w:r>
          </w:p>
        </w:tc>
        <w:tc>
          <w:tcPr>
            <w:tcW w:w="1652" w:type="dxa"/>
            <w:noWrap/>
            <w:vAlign w:val="center"/>
            <w:hideMark/>
          </w:tcPr>
          <w:p w14:paraId="5B39C40B"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1.099.005,10</w:t>
            </w:r>
          </w:p>
        </w:tc>
        <w:tc>
          <w:tcPr>
            <w:tcW w:w="1559" w:type="dxa"/>
            <w:tcBorders>
              <w:top w:val="nil"/>
              <w:left w:val="single" w:sz="8" w:space="0" w:color="auto"/>
              <w:bottom w:val="nil"/>
              <w:right w:val="single" w:sz="8" w:space="0" w:color="auto"/>
            </w:tcBorders>
            <w:noWrap/>
            <w:vAlign w:val="center"/>
            <w:hideMark/>
          </w:tcPr>
          <w:p w14:paraId="5222C72A"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9.796.536,46</w:t>
            </w:r>
          </w:p>
        </w:tc>
        <w:tc>
          <w:tcPr>
            <w:tcW w:w="160" w:type="dxa"/>
            <w:noWrap/>
            <w:vAlign w:val="center"/>
            <w:hideMark/>
          </w:tcPr>
          <w:p w14:paraId="1B3F890D" w14:textId="77777777" w:rsidR="00F15C9A" w:rsidRDefault="00F15C9A">
            <w:pPr>
              <w:rPr>
                <w:rFonts w:ascii="Arial" w:eastAsia="Times New Roman" w:hAnsi="Arial" w:cs="Arial"/>
                <w:color w:val="000000"/>
                <w:sz w:val="18"/>
                <w:szCs w:val="18"/>
                <w:lang w:eastAsia="tr-TR"/>
              </w:rPr>
            </w:pPr>
          </w:p>
        </w:tc>
        <w:tc>
          <w:tcPr>
            <w:tcW w:w="160" w:type="dxa"/>
            <w:noWrap/>
            <w:vAlign w:val="center"/>
            <w:hideMark/>
          </w:tcPr>
          <w:p w14:paraId="6F7975B0" w14:textId="77777777" w:rsidR="00F15C9A" w:rsidRDefault="00F15C9A">
            <w:pPr>
              <w:spacing w:after="0"/>
              <w:jc w:val="left"/>
              <w:rPr>
                <w:rFonts w:eastAsiaTheme="minorHAnsi" w:cstheme="minorBidi"/>
                <w:sz w:val="20"/>
                <w:szCs w:val="20"/>
                <w:lang w:eastAsia="tr-TR"/>
              </w:rPr>
            </w:pPr>
          </w:p>
        </w:tc>
        <w:tc>
          <w:tcPr>
            <w:tcW w:w="3224" w:type="dxa"/>
            <w:tcBorders>
              <w:top w:val="nil"/>
              <w:left w:val="nil"/>
              <w:bottom w:val="nil"/>
              <w:right w:val="single" w:sz="8" w:space="0" w:color="auto"/>
            </w:tcBorders>
            <w:noWrap/>
            <w:vAlign w:val="center"/>
            <w:hideMark/>
          </w:tcPr>
          <w:p w14:paraId="21A4C319" w14:textId="77777777" w:rsidR="00F15C9A" w:rsidRDefault="00F15C9A">
            <w:pPr>
              <w:spacing w:after="0" w:line="240" w:lineRule="auto"/>
              <w:jc w:val="lef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330-Alınan Depozito ve Teminatlar</w:t>
            </w:r>
          </w:p>
        </w:tc>
        <w:tc>
          <w:tcPr>
            <w:tcW w:w="1559" w:type="dxa"/>
            <w:tcBorders>
              <w:top w:val="nil"/>
              <w:left w:val="nil"/>
              <w:bottom w:val="nil"/>
              <w:right w:val="single" w:sz="8" w:space="0" w:color="auto"/>
            </w:tcBorders>
            <w:noWrap/>
            <w:vAlign w:val="center"/>
            <w:hideMark/>
          </w:tcPr>
          <w:p w14:paraId="48DD47C2"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14.045.114,80</w:t>
            </w:r>
          </w:p>
        </w:tc>
        <w:tc>
          <w:tcPr>
            <w:tcW w:w="1701" w:type="dxa"/>
            <w:tcBorders>
              <w:top w:val="nil"/>
              <w:left w:val="nil"/>
              <w:bottom w:val="nil"/>
              <w:right w:val="single" w:sz="8" w:space="0" w:color="auto"/>
            </w:tcBorders>
            <w:noWrap/>
            <w:vAlign w:val="center"/>
            <w:hideMark/>
          </w:tcPr>
          <w:p w14:paraId="6C16C7B9"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31.021.540,84</w:t>
            </w:r>
          </w:p>
        </w:tc>
        <w:tc>
          <w:tcPr>
            <w:tcW w:w="1701" w:type="dxa"/>
            <w:tcBorders>
              <w:top w:val="nil"/>
              <w:left w:val="nil"/>
              <w:bottom w:val="nil"/>
              <w:right w:val="single" w:sz="8" w:space="0" w:color="auto"/>
            </w:tcBorders>
            <w:noWrap/>
            <w:vAlign w:val="center"/>
            <w:hideMark/>
          </w:tcPr>
          <w:p w14:paraId="40F8F3C7"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8.260.897,90</w:t>
            </w:r>
          </w:p>
        </w:tc>
        <w:tc>
          <w:tcPr>
            <w:tcW w:w="6" w:type="dxa"/>
            <w:tcBorders>
              <w:top w:val="nil"/>
              <w:left w:val="nil"/>
              <w:bottom w:val="nil"/>
              <w:right w:val="nil"/>
            </w:tcBorders>
            <w:vAlign w:val="center"/>
            <w:hideMark/>
          </w:tcPr>
          <w:p w14:paraId="29ACDE9A" w14:textId="77777777" w:rsidR="00F15C9A" w:rsidRDefault="00F15C9A">
            <w:pPr>
              <w:rPr>
                <w:rFonts w:ascii="Arial" w:eastAsia="Times New Roman" w:hAnsi="Arial" w:cs="Arial"/>
                <w:color w:val="000000"/>
                <w:sz w:val="18"/>
                <w:szCs w:val="18"/>
                <w:lang w:eastAsia="tr-TR"/>
              </w:rPr>
            </w:pPr>
          </w:p>
        </w:tc>
      </w:tr>
      <w:tr w:rsidR="00F15C9A" w14:paraId="1EB69A45" w14:textId="77777777" w:rsidTr="00F15C9A">
        <w:trPr>
          <w:trHeight w:val="290"/>
          <w:jc w:val="center"/>
        </w:trPr>
        <w:tc>
          <w:tcPr>
            <w:tcW w:w="207" w:type="dxa"/>
            <w:tcBorders>
              <w:top w:val="nil"/>
              <w:left w:val="single" w:sz="8" w:space="0" w:color="auto"/>
              <w:bottom w:val="nil"/>
              <w:right w:val="nil"/>
            </w:tcBorders>
            <w:noWrap/>
            <w:vAlign w:val="center"/>
            <w:hideMark/>
          </w:tcPr>
          <w:p w14:paraId="47203687" w14:textId="77777777" w:rsidR="00F15C9A" w:rsidRDefault="00F15C9A">
            <w:pPr>
              <w:spacing w:after="0" w:line="240" w:lineRule="auto"/>
              <w:jc w:val="lef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 </w:t>
            </w:r>
          </w:p>
        </w:tc>
        <w:tc>
          <w:tcPr>
            <w:tcW w:w="181" w:type="dxa"/>
            <w:noWrap/>
            <w:vAlign w:val="center"/>
            <w:hideMark/>
          </w:tcPr>
          <w:p w14:paraId="39D8B3B5" w14:textId="77777777" w:rsidR="00F15C9A" w:rsidRDefault="00F15C9A">
            <w:pPr>
              <w:rPr>
                <w:rFonts w:ascii="Arial" w:eastAsia="Times New Roman" w:hAnsi="Arial" w:cs="Arial"/>
                <w:color w:val="000000"/>
                <w:sz w:val="18"/>
                <w:szCs w:val="18"/>
                <w:lang w:eastAsia="tr-TR"/>
              </w:rPr>
            </w:pPr>
          </w:p>
        </w:tc>
        <w:tc>
          <w:tcPr>
            <w:tcW w:w="2484" w:type="dxa"/>
            <w:tcBorders>
              <w:top w:val="nil"/>
              <w:left w:val="nil"/>
              <w:bottom w:val="nil"/>
              <w:right w:val="single" w:sz="8" w:space="0" w:color="auto"/>
            </w:tcBorders>
            <w:noWrap/>
            <w:vAlign w:val="center"/>
            <w:hideMark/>
          </w:tcPr>
          <w:p w14:paraId="4972F85A" w14:textId="77777777" w:rsidR="00F15C9A" w:rsidRDefault="00F15C9A">
            <w:pPr>
              <w:spacing w:after="0" w:line="240" w:lineRule="auto"/>
              <w:jc w:val="lef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 </w:t>
            </w:r>
          </w:p>
        </w:tc>
        <w:tc>
          <w:tcPr>
            <w:tcW w:w="1430" w:type="dxa"/>
            <w:tcBorders>
              <w:top w:val="nil"/>
              <w:left w:val="nil"/>
              <w:bottom w:val="nil"/>
              <w:right w:val="single" w:sz="8" w:space="0" w:color="auto"/>
            </w:tcBorders>
            <w:noWrap/>
            <w:vAlign w:val="center"/>
          </w:tcPr>
          <w:p w14:paraId="5AAE671D" w14:textId="77777777" w:rsidR="00F15C9A" w:rsidRDefault="00F15C9A">
            <w:pPr>
              <w:spacing w:after="0" w:line="240" w:lineRule="auto"/>
              <w:jc w:val="left"/>
              <w:rPr>
                <w:rFonts w:ascii="Arial" w:eastAsia="Times New Roman" w:hAnsi="Arial" w:cs="Arial"/>
                <w:color w:val="000000"/>
                <w:sz w:val="18"/>
                <w:szCs w:val="18"/>
                <w:lang w:eastAsia="tr-TR"/>
              </w:rPr>
            </w:pPr>
          </w:p>
        </w:tc>
        <w:tc>
          <w:tcPr>
            <w:tcW w:w="1652" w:type="dxa"/>
            <w:noWrap/>
            <w:vAlign w:val="center"/>
          </w:tcPr>
          <w:p w14:paraId="6FB6BC3E" w14:textId="77777777" w:rsidR="00F15C9A" w:rsidRDefault="00F15C9A">
            <w:pPr>
              <w:spacing w:after="0" w:line="240" w:lineRule="auto"/>
              <w:jc w:val="right"/>
              <w:rPr>
                <w:rFonts w:ascii="Arial" w:eastAsia="Times New Roman" w:hAnsi="Arial" w:cs="Arial"/>
                <w:color w:val="000000"/>
                <w:sz w:val="18"/>
                <w:szCs w:val="18"/>
                <w:lang w:eastAsia="tr-TR"/>
              </w:rPr>
            </w:pPr>
          </w:p>
        </w:tc>
        <w:tc>
          <w:tcPr>
            <w:tcW w:w="1559" w:type="dxa"/>
            <w:tcBorders>
              <w:top w:val="nil"/>
              <w:left w:val="single" w:sz="8" w:space="0" w:color="auto"/>
              <w:bottom w:val="nil"/>
              <w:right w:val="single" w:sz="8" w:space="0" w:color="auto"/>
            </w:tcBorders>
            <w:noWrap/>
            <w:vAlign w:val="center"/>
            <w:hideMark/>
          </w:tcPr>
          <w:p w14:paraId="50608844"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 </w:t>
            </w:r>
          </w:p>
        </w:tc>
        <w:tc>
          <w:tcPr>
            <w:tcW w:w="160" w:type="dxa"/>
            <w:noWrap/>
            <w:vAlign w:val="center"/>
            <w:hideMark/>
          </w:tcPr>
          <w:p w14:paraId="2258685B" w14:textId="77777777" w:rsidR="00F15C9A" w:rsidRDefault="00F15C9A">
            <w:pPr>
              <w:rPr>
                <w:rFonts w:ascii="Arial" w:eastAsia="Times New Roman" w:hAnsi="Arial" w:cs="Arial"/>
                <w:color w:val="000000"/>
                <w:sz w:val="18"/>
                <w:szCs w:val="18"/>
                <w:lang w:eastAsia="tr-TR"/>
              </w:rPr>
            </w:pPr>
          </w:p>
        </w:tc>
        <w:tc>
          <w:tcPr>
            <w:tcW w:w="160" w:type="dxa"/>
            <w:noWrap/>
            <w:vAlign w:val="center"/>
            <w:hideMark/>
          </w:tcPr>
          <w:p w14:paraId="34A821C2" w14:textId="77777777" w:rsidR="00F15C9A" w:rsidRDefault="00F15C9A">
            <w:pPr>
              <w:spacing w:after="0"/>
              <w:jc w:val="left"/>
              <w:rPr>
                <w:rFonts w:eastAsiaTheme="minorHAnsi" w:cstheme="minorBidi"/>
                <w:sz w:val="20"/>
                <w:szCs w:val="20"/>
                <w:lang w:eastAsia="tr-TR"/>
              </w:rPr>
            </w:pPr>
          </w:p>
        </w:tc>
        <w:tc>
          <w:tcPr>
            <w:tcW w:w="3224" w:type="dxa"/>
            <w:tcBorders>
              <w:top w:val="nil"/>
              <w:left w:val="nil"/>
              <w:bottom w:val="nil"/>
              <w:right w:val="single" w:sz="8" w:space="0" w:color="auto"/>
            </w:tcBorders>
            <w:noWrap/>
            <w:vAlign w:val="center"/>
            <w:hideMark/>
          </w:tcPr>
          <w:p w14:paraId="3123D9E2" w14:textId="77777777" w:rsidR="00F15C9A" w:rsidRDefault="00F15C9A">
            <w:pPr>
              <w:spacing w:after="0" w:line="240" w:lineRule="auto"/>
              <w:jc w:val="lef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333-Emanetler Hesabı</w:t>
            </w:r>
          </w:p>
        </w:tc>
        <w:tc>
          <w:tcPr>
            <w:tcW w:w="1559" w:type="dxa"/>
            <w:tcBorders>
              <w:top w:val="nil"/>
              <w:left w:val="nil"/>
              <w:bottom w:val="nil"/>
              <w:right w:val="single" w:sz="8" w:space="0" w:color="auto"/>
            </w:tcBorders>
            <w:noWrap/>
            <w:vAlign w:val="center"/>
            <w:hideMark/>
          </w:tcPr>
          <w:p w14:paraId="476A74BD"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347.110,33</w:t>
            </w:r>
          </w:p>
        </w:tc>
        <w:tc>
          <w:tcPr>
            <w:tcW w:w="1701" w:type="dxa"/>
            <w:tcBorders>
              <w:top w:val="nil"/>
              <w:left w:val="nil"/>
              <w:bottom w:val="nil"/>
              <w:right w:val="single" w:sz="8" w:space="0" w:color="auto"/>
            </w:tcBorders>
            <w:noWrap/>
            <w:vAlign w:val="center"/>
            <w:hideMark/>
          </w:tcPr>
          <w:p w14:paraId="5A0D54FE"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12.260.889,48</w:t>
            </w:r>
          </w:p>
        </w:tc>
        <w:tc>
          <w:tcPr>
            <w:tcW w:w="1701" w:type="dxa"/>
            <w:tcBorders>
              <w:top w:val="nil"/>
              <w:left w:val="nil"/>
              <w:bottom w:val="nil"/>
              <w:right w:val="single" w:sz="8" w:space="0" w:color="auto"/>
            </w:tcBorders>
            <w:noWrap/>
            <w:vAlign w:val="center"/>
            <w:hideMark/>
          </w:tcPr>
          <w:p w14:paraId="4C828869"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41.198.356,50</w:t>
            </w:r>
          </w:p>
        </w:tc>
        <w:tc>
          <w:tcPr>
            <w:tcW w:w="6" w:type="dxa"/>
            <w:tcBorders>
              <w:top w:val="nil"/>
              <w:left w:val="nil"/>
              <w:bottom w:val="nil"/>
              <w:right w:val="nil"/>
            </w:tcBorders>
            <w:vAlign w:val="center"/>
            <w:hideMark/>
          </w:tcPr>
          <w:p w14:paraId="46B812D0" w14:textId="77777777" w:rsidR="00F15C9A" w:rsidRDefault="00F15C9A">
            <w:pPr>
              <w:rPr>
                <w:rFonts w:ascii="Arial" w:eastAsia="Times New Roman" w:hAnsi="Arial" w:cs="Arial"/>
                <w:color w:val="000000"/>
                <w:sz w:val="18"/>
                <w:szCs w:val="18"/>
                <w:lang w:eastAsia="tr-TR"/>
              </w:rPr>
            </w:pPr>
          </w:p>
        </w:tc>
      </w:tr>
      <w:tr w:rsidR="00F15C9A" w14:paraId="0EE9CC61" w14:textId="77777777" w:rsidTr="00F15C9A">
        <w:trPr>
          <w:trHeight w:val="290"/>
          <w:jc w:val="center"/>
        </w:trPr>
        <w:tc>
          <w:tcPr>
            <w:tcW w:w="207" w:type="dxa"/>
            <w:tcBorders>
              <w:top w:val="nil"/>
              <w:left w:val="single" w:sz="8" w:space="0" w:color="auto"/>
              <w:bottom w:val="nil"/>
              <w:right w:val="nil"/>
            </w:tcBorders>
            <w:noWrap/>
            <w:vAlign w:val="center"/>
            <w:hideMark/>
          </w:tcPr>
          <w:p w14:paraId="5E490156" w14:textId="77777777" w:rsidR="00F15C9A" w:rsidRDefault="00F15C9A">
            <w:pPr>
              <w:spacing w:after="0" w:line="240" w:lineRule="auto"/>
              <w:jc w:val="lef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 </w:t>
            </w:r>
          </w:p>
        </w:tc>
        <w:tc>
          <w:tcPr>
            <w:tcW w:w="2665" w:type="dxa"/>
            <w:gridSpan w:val="2"/>
            <w:tcBorders>
              <w:top w:val="nil"/>
              <w:left w:val="nil"/>
              <w:bottom w:val="nil"/>
              <w:right w:val="single" w:sz="8" w:space="0" w:color="000000"/>
            </w:tcBorders>
            <w:noWrap/>
            <w:vAlign w:val="center"/>
            <w:hideMark/>
          </w:tcPr>
          <w:p w14:paraId="31C529E4" w14:textId="77777777" w:rsidR="00F15C9A" w:rsidRDefault="00F15C9A">
            <w:pPr>
              <w:spacing w:after="0" w:line="240" w:lineRule="auto"/>
              <w:jc w:val="lef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12-FAALİYET ALACAKLARI</w:t>
            </w:r>
          </w:p>
        </w:tc>
        <w:tc>
          <w:tcPr>
            <w:tcW w:w="1430" w:type="dxa"/>
            <w:tcBorders>
              <w:top w:val="nil"/>
              <w:left w:val="nil"/>
              <w:bottom w:val="nil"/>
              <w:right w:val="single" w:sz="8" w:space="0" w:color="auto"/>
            </w:tcBorders>
            <w:noWrap/>
            <w:vAlign w:val="center"/>
            <w:hideMark/>
          </w:tcPr>
          <w:p w14:paraId="73E4EE03" w14:textId="77777777" w:rsidR="00F15C9A" w:rsidRDefault="00F15C9A">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55.650.520,84</w:t>
            </w:r>
          </w:p>
        </w:tc>
        <w:tc>
          <w:tcPr>
            <w:tcW w:w="1652" w:type="dxa"/>
            <w:noWrap/>
            <w:vAlign w:val="center"/>
            <w:hideMark/>
          </w:tcPr>
          <w:p w14:paraId="308BCF4B" w14:textId="77777777" w:rsidR="00F15C9A" w:rsidRDefault="00F15C9A">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65.689.883,02</w:t>
            </w:r>
          </w:p>
        </w:tc>
        <w:tc>
          <w:tcPr>
            <w:tcW w:w="1559" w:type="dxa"/>
            <w:tcBorders>
              <w:top w:val="nil"/>
              <w:left w:val="single" w:sz="8" w:space="0" w:color="auto"/>
              <w:bottom w:val="nil"/>
              <w:right w:val="single" w:sz="8" w:space="0" w:color="auto"/>
            </w:tcBorders>
            <w:noWrap/>
            <w:vAlign w:val="center"/>
            <w:hideMark/>
          </w:tcPr>
          <w:p w14:paraId="7E9C40CA" w14:textId="77777777" w:rsidR="00F15C9A" w:rsidRDefault="00F15C9A">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67.640.492,91</w:t>
            </w:r>
          </w:p>
        </w:tc>
        <w:tc>
          <w:tcPr>
            <w:tcW w:w="160" w:type="dxa"/>
            <w:noWrap/>
            <w:vAlign w:val="center"/>
            <w:hideMark/>
          </w:tcPr>
          <w:p w14:paraId="4B6E8FB3" w14:textId="77777777" w:rsidR="00F15C9A" w:rsidRDefault="00F15C9A">
            <w:pPr>
              <w:rPr>
                <w:rFonts w:ascii="Arial" w:eastAsia="Times New Roman" w:hAnsi="Arial" w:cs="Arial"/>
                <w:b/>
                <w:bCs/>
                <w:color w:val="000000"/>
                <w:sz w:val="18"/>
                <w:szCs w:val="18"/>
                <w:lang w:eastAsia="tr-TR"/>
              </w:rPr>
            </w:pPr>
          </w:p>
        </w:tc>
        <w:tc>
          <w:tcPr>
            <w:tcW w:w="160" w:type="dxa"/>
            <w:noWrap/>
            <w:vAlign w:val="center"/>
            <w:hideMark/>
          </w:tcPr>
          <w:p w14:paraId="6B8BABDA" w14:textId="77777777" w:rsidR="00F15C9A" w:rsidRDefault="00F15C9A">
            <w:pPr>
              <w:spacing w:after="0"/>
              <w:jc w:val="left"/>
              <w:rPr>
                <w:rFonts w:eastAsiaTheme="minorHAnsi" w:cstheme="minorBidi"/>
                <w:sz w:val="20"/>
                <w:szCs w:val="20"/>
                <w:lang w:eastAsia="tr-TR"/>
              </w:rPr>
            </w:pPr>
          </w:p>
        </w:tc>
        <w:tc>
          <w:tcPr>
            <w:tcW w:w="3224" w:type="dxa"/>
            <w:tcBorders>
              <w:top w:val="nil"/>
              <w:left w:val="nil"/>
              <w:bottom w:val="nil"/>
              <w:right w:val="single" w:sz="8" w:space="0" w:color="auto"/>
            </w:tcBorders>
            <w:noWrap/>
            <w:vAlign w:val="center"/>
            <w:hideMark/>
          </w:tcPr>
          <w:p w14:paraId="684CC4A0" w14:textId="77777777" w:rsidR="00F15C9A" w:rsidRDefault="00F15C9A">
            <w:pPr>
              <w:spacing w:after="0" w:line="240" w:lineRule="auto"/>
              <w:jc w:val="lef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 </w:t>
            </w:r>
          </w:p>
        </w:tc>
        <w:tc>
          <w:tcPr>
            <w:tcW w:w="1559" w:type="dxa"/>
            <w:tcBorders>
              <w:top w:val="nil"/>
              <w:left w:val="nil"/>
              <w:bottom w:val="nil"/>
              <w:right w:val="single" w:sz="8" w:space="0" w:color="auto"/>
            </w:tcBorders>
            <w:noWrap/>
            <w:vAlign w:val="center"/>
          </w:tcPr>
          <w:p w14:paraId="642026D5" w14:textId="77777777" w:rsidR="00F15C9A" w:rsidRDefault="00F15C9A">
            <w:pPr>
              <w:spacing w:after="0" w:line="240" w:lineRule="auto"/>
              <w:jc w:val="right"/>
              <w:rPr>
                <w:rFonts w:ascii="Arial" w:eastAsia="Times New Roman" w:hAnsi="Arial" w:cs="Arial"/>
                <w:color w:val="000000"/>
                <w:sz w:val="18"/>
                <w:szCs w:val="18"/>
                <w:lang w:eastAsia="tr-TR"/>
              </w:rPr>
            </w:pPr>
          </w:p>
        </w:tc>
        <w:tc>
          <w:tcPr>
            <w:tcW w:w="1701" w:type="dxa"/>
            <w:tcBorders>
              <w:top w:val="nil"/>
              <w:left w:val="nil"/>
              <w:bottom w:val="nil"/>
              <w:right w:val="single" w:sz="8" w:space="0" w:color="auto"/>
            </w:tcBorders>
            <w:noWrap/>
            <w:vAlign w:val="center"/>
            <w:hideMark/>
          </w:tcPr>
          <w:p w14:paraId="407EAB1F"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 </w:t>
            </w:r>
          </w:p>
        </w:tc>
        <w:tc>
          <w:tcPr>
            <w:tcW w:w="1701" w:type="dxa"/>
            <w:tcBorders>
              <w:top w:val="nil"/>
              <w:left w:val="nil"/>
              <w:bottom w:val="nil"/>
              <w:right w:val="single" w:sz="8" w:space="0" w:color="auto"/>
            </w:tcBorders>
            <w:noWrap/>
            <w:vAlign w:val="center"/>
            <w:hideMark/>
          </w:tcPr>
          <w:p w14:paraId="567793C2"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 </w:t>
            </w:r>
          </w:p>
        </w:tc>
        <w:tc>
          <w:tcPr>
            <w:tcW w:w="6" w:type="dxa"/>
            <w:tcBorders>
              <w:top w:val="nil"/>
              <w:left w:val="nil"/>
              <w:bottom w:val="nil"/>
              <w:right w:val="nil"/>
            </w:tcBorders>
            <w:vAlign w:val="center"/>
            <w:hideMark/>
          </w:tcPr>
          <w:p w14:paraId="446C6EF7" w14:textId="77777777" w:rsidR="00F15C9A" w:rsidRDefault="00F15C9A">
            <w:pPr>
              <w:rPr>
                <w:rFonts w:ascii="Arial" w:eastAsia="Times New Roman" w:hAnsi="Arial" w:cs="Arial"/>
                <w:color w:val="000000"/>
                <w:sz w:val="18"/>
                <w:szCs w:val="18"/>
                <w:lang w:eastAsia="tr-TR"/>
              </w:rPr>
            </w:pPr>
          </w:p>
        </w:tc>
      </w:tr>
      <w:tr w:rsidR="00F15C9A" w14:paraId="60EA9368" w14:textId="77777777" w:rsidTr="00F15C9A">
        <w:trPr>
          <w:trHeight w:val="290"/>
          <w:jc w:val="center"/>
        </w:trPr>
        <w:tc>
          <w:tcPr>
            <w:tcW w:w="207" w:type="dxa"/>
            <w:tcBorders>
              <w:top w:val="nil"/>
              <w:left w:val="single" w:sz="8" w:space="0" w:color="auto"/>
              <w:bottom w:val="nil"/>
              <w:right w:val="nil"/>
            </w:tcBorders>
            <w:noWrap/>
            <w:vAlign w:val="center"/>
            <w:hideMark/>
          </w:tcPr>
          <w:p w14:paraId="3A526620" w14:textId="77777777" w:rsidR="00F15C9A" w:rsidRDefault="00F15C9A">
            <w:pPr>
              <w:spacing w:after="0" w:line="240" w:lineRule="auto"/>
              <w:jc w:val="lef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 </w:t>
            </w:r>
          </w:p>
        </w:tc>
        <w:tc>
          <w:tcPr>
            <w:tcW w:w="181" w:type="dxa"/>
            <w:noWrap/>
            <w:vAlign w:val="bottom"/>
            <w:hideMark/>
          </w:tcPr>
          <w:p w14:paraId="0624BF02" w14:textId="77777777" w:rsidR="00F15C9A" w:rsidRDefault="00F15C9A">
            <w:pPr>
              <w:rPr>
                <w:rFonts w:ascii="Arial" w:eastAsia="Times New Roman" w:hAnsi="Arial" w:cs="Arial"/>
                <w:color w:val="000000"/>
                <w:sz w:val="18"/>
                <w:szCs w:val="18"/>
                <w:lang w:eastAsia="tr-TR"/>
              </w:rPr>
            </w:pPr>
          </w:p>
        </w:tc>
        <w:tc>
          <w:tcPr>
            <w:tcW w:w="2484" w:type="dxa"/>
            <w:tcBorders>
              <w:top w:val="nil"/>
              <w:left w:val="nil"/>
              <w:bottom w:val="nil"/>
              <w:right w:val="single" w:sz="8" w:space="0" w:color="auto"/>
            </w:tcBorders>
            <w:noWrap/>
            <w:vAlign w:val="center"/>
            <w:hideMark/>
          </w:tcPr>
          <w:p w14:paraId="4AC059FC" w14:textId="77777777" w:rsidR="00F15C9A" w:rsidRDefault="00F15C9A">
            <w:pPr>
              <w:spacing w:after="0" w:line="240" w:lineRule="auto"/>
              <w:jc w:val="lef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120-Gelirlerden Alacaklar Hes.</w:t>
            </w:r>
          </w:p>
        </w:tc>
        <w:tc>
          <w:tcPr>
            <w:tcW w:w="1430" w:type="dxa"/>
            <w:tcBorders>
              <w:top w:val="nil"/>
              <w:left w:val="nil"/>
              <w:bottom w:val="nil"/>
              <w:right w:val="single" w:sz="8" w:space="0" w:color="auto"/>
            </w:tcBorders>
            <w:noWrap/>
            <w:vAlign w:val="center"/>
            <w:hideMark/>
          </w:tcPr>
          <w:p w14:paraId="50490378"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4.940.411,56</w:t>
            </w:r>
          </w:p>
        </w:tc>
        <w:tc>
          <w:tcPr>
            <w:tcW w:w="1652" w:type="dxa"/>
            <w:noWrap/>
            <w:vAlign w:val="center"/>
            <w:hideMark/>
          </w:tcPr>
          <w:p w14:paraId="1C16F427"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11.213.152,58</w:t>
            </w:r>
          </w:p>
        </w:tc>
        <w:tc>
          <w:tcPr>
            <w:tcW w:w="1559" w:type="dxa"/>
            <w:tcBorders>
              <w:top w:val="nil"/>
              <w:left w:val="single" w:sz="8" w:space="0" w:color="auto"/>
              <w:bottom w:val="nil"/>
              <w:right w:val="single" w:sz="8" w:space="0" w:color="auto"/>
            </w:tcBorders>
            <w:noWrap/>
            <w:vAlign w:val="center"/>
            <w:hideMark/>
          </w:tcPr>
          <w:p w14:paraId="37A142AD"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9.575.597,75</w:t>
            </w:r>
          </w:p>
        </w:tc>
        <w:tc>
          <w:tcPr>
            <w:tcW w:w="160" w:type="dxa"/>
            <w:noWrap/>
            <w:vAlign w:val="center"/>
            <w:hideMark/>
          </w:tcPr>
          <w:p w14:paraId="4087BDC4" w14:textId="77777777" w:rsidR="00F15C9A" w:rsidRDefault="00F15C9A">
            <w:pPr>
              <w:rPr>
                <w:rFonts w:ascii="Arial" w:eastAsia="Times New Roman" w:hAnsi="Arial" w:cs="Arial"/>
                <w:color w:val="000000"/>
                <w:sz w:val="18"/>
                <w:szCs w:val="18"/>
                <w:lang w:eastAsia="tr-TR"/>
              </w:rPr>
            </w:pPr>
          </w:p>
        </w:tc>
        <w:tc>
          <w:tcPr>
            <w:tcW w:w="3384" w:type="dxa"/>
            <w:gridSpan w:val="2"/>
            <w:tcBorders>
              <w:top w:val="nil"/>
              <w:left w:val="nil"/>
              <w:bottom w:val="nil"/>
              <w:right w:val="single" w:sz="8" w:space="0" w:color="000000"/>
            </w:tcBorders>
            <w:noWrap/>
            <w:vAlign w:val="center"/>
            <w:hideMark/>
          </w:tcPr>
          <w:p w14:paraId="3287D6A7" w14:textId="77777777" w:rsidR="00F15C9A" w:rsidRDefault="00F15C9A">
            <w:pPr>
              <w:spacing w:after="0" w:line="240" w:lineRule="auto"/>
              <w:jc w:val="lef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36-ÖDENECEK DİĞER YÜKÜMLÜLÜKLER</w:t>
            </w:r>
          </w:p>
        </w:tc>
        <w:tc>
          <w:tcPr>
            <w:tcW w:w="1559" w:type="dxa"/>
            <w:tcBorders>
              <w:top w:val="nil"/>
              <w:left w:val="nil"/>
              <w:bottom w:val="nil"/>
              <w:right w:val="single" w:sz="8" w:space="0" w:color="auto"/>
            </w:tcBorders>
            <w:noWrap/>
            <w:vAlign w:val="center"/>
            <w:hideMark/>
          </w:tcPr>
          <w:p w14:paraId="2042A554" w14:textId="77777777" w:rsidR="00F15C9A" w:rsidRDefault="00F15C9A">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303.070.885,28</w:t>
            </w:r>
          </w:p>
        </w:tc>
        <w:tc>
          <w:tcPr>
            <w:tcW w:w="1701" w:type="dxa"/>
            <w:tcBorders>
              <w:top w:val="nil"/>
              <w:left w:val="nil"/>
              <w:bottom w:val="nil"/>
              <w:right w:val="single" w:sz="8" w:space="0" w:color="auto"/>
            </w:tcBorders>
            <w:noWrap/>
            <w:vAlign w:val="center"/>
            <w:hideMark/>
          </w:tcPr>
          <w:p w14:paraId="37CD4721" w14:textId="77777777" w:rsidR="00F15C9A" w:rsidRDefault="00F15C9A">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577.388.281,08</w:t>
            </w:r>
          </w:p>
        </w:tc>
        <w:tc>
          <w:tcPr>
            <w:tcW w:w="1701" w:type="dxa"/>
            <w:tcBorders>
              <w:top w:val="nil"/>
              <w:left w:val="nil"/>
              <w:bottom w:val="nil"/>
              <w:right w:val="single" w:sz="8" w:space="0" w:color="auto"/>
            </w:tcBorders>
            <w:noWrap/>
            <w:vAlign w:val="center"/>
            <w:hideMark/>
          </w:tcPr>
          <w:p w14:paraId="592E9EFE" w14:textId="77777777" w:rsidR="00F15C9A" w:rsidRDefault="00F15C9A">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844.559.065,03</w:t>
            </w:r>
          </w:p>
        </w:tc>
        <w:tc>
          <w:tcPr>
            <w:tcW w:w="6" w:type="dxa"/>
            <w:tcBorders>
              <w:top w:val="nil"/>
              <w:left w:val="nil"/>
              <w:bottom w:val="nil"/>
              <w:right w:val="nil"/>
            </w:tcBorders>
            <w:vAlign w:val="center"/>
            <w:hideMark/>
          </w:tcPr>
          <w:p w14:paraId="6C966697" w14:textId="77777777" w:rsidR="00F15C9A" w:rsidRDefault="00F15C9A">
            <w:pPr>
              <w:rPr>
                <w:rFonts w:ascii="Arial" w:eastAsia="Times New Roman" w:hAnsi="Arial" w:cs="Arial"/>
                <w:b/>
                <w:bCs/>
                <w:color w:val="000000"/>
                <w:sz w:val="18"/>
                <w:szCs w:val="18"/>
                <w:lang w:eastAsia="tr-TR"/>
              </w:rPr>
            </w:pPr>
          </w:p>
        </w:tc>
      </w:tr>
      <w:tr w:rsidR="00F15C9A" w14:paraId="0F14004A" w14:textId="77777777" w:rsidTr="00F15C9A">
        <w:trPr>
          <w:trHeight w:val="290"/>
          <w:jc w:val="center"/>
        </w:trPr>
        <w:tc>
          <w:tcPr>
            <w:tcW w:w="207" w:type="dxa"/>
            <w:tcBorders>
              <w:top w:val="nil"/>
              <w:left w:val="single" w:sz="8" w:space="0" w:color="auto"/>
              <w:bottom w:val="nil"/>
              <w:right w:val="nil"/>
            </w:tcBorders>
            <w:noWrap/>
            <w:vAlign w:val="center"/>
            <w:hideMark/>
          </w:tcPr>
          <w:p w14:paraId="2225F3FF" w14:textId="77777777" w:rsidR="00F15C9A" w:rsidRDefault="00F15C9A">
            <w:pPr>
              <w:spacing w:after="0" w:line="240" w:lineRule="auto"/>
              <w:jc w:val="lef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 </w:t>
            </w:r>
          </w:p>
        </w:tc>
        <w:tc>
          <w:tcPr>
            <w:tcW w:w="181" w:type="dxa"/>
            <w:noWrap/>
            <w:vAlign w:val="bottom"/>
            <w:hideMark/>
          </w:tcPr>
          <w:p w14:paraId="250E30BD" w14:textId="77777777" w:rsidR="00F15C9A" w:rsidRDefault="00F15C9A">
            <w:pPr>
              <w:rPr>
                <w:rFonts w:ascii="Arial" w:eastAsia="Times New Roman" w:hAnsi="Arial" w:cs="Arial"/>
                <w:color w:val="000000"/>
                <w:sz w:val="18"/>
                <w:szCs w:val="18"/>
                <w:lang w:eastAsia="tr-TR"/>
              </w:rPr>
            </w:pPr>
          </w:p>
        </w:tc>
        <w:tc>
          <w:tcPr>
            <w:tcW w:w="2484" w:type="dxa"/>
            <w:tcBorders>
              <w:top w:val="nil"/>
              <w:left w:val="nil"/>
              <w:bottom w:val="nil"/>
              <w:right w:val="single" w:sz="8" w:space="0" w:color="auto"/>
            </w:tcBorders>
            <w:noWrap/>
            <w:vAlign w:val="center"/>
            <w:hideMark/>
          </w:tcPr>
          <w:p w14:paraId="2C7097DB" w14:textId="77777777" w:rsidR="00F15C9A" w:rsidRDefault="00F15C9A">
            <w:pPr>
              <w:spacing w:after="0" w:line="240" w:lineRule="auto"/>
              <w:jc w:val="lef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121-Gelirlerden Takipli Alacaklar</w:t>
            </w:r>
          </w:p>
        </w:tc>
        <w:tc>
          <w:tcPr>
            <w:tcW w:w="1430" w:type="dxa"/>
            <w:tcBorders>
              <w:top w:val="nil"/>
              <w:left w:val="nil"/>
              <w:bottom w:val="nil"/>
              <w:right w:val="single" w:sz="8" w:space="0" w:color="auto"/>
            </w:tcBorders>
            <w:noWrap/>
            <w:vAlign w:val="center"/>
            <w:hideMark/>
          </w:tcPr>
          <w:p w14:paraId="767E7430"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50.710.109,28</w:t>
            </w:r>
          </w:p>
        </w:tc>
        <w:tc>
          <w:tcPr>
            <w:tcW w:w="1652" w:type="dxa"/>
            <w:noWrap/>
            <w:vAlign w:val="center"/>
            <w:hideMark/>
          </w:tcPr>
          <w:p w14:paraId="6C3C4826"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54.476.730,44</w:t>
            </w:r>
          </w:p>
        </w:tc>
        <w:tc>
          <w:tcPr>
            <w:tcW w:w="1559" w:type="dxa"/>
            <w:tcBorders>
              <w:top w:val="nil"/>
              <w:left w:val="single" w:sz="8" w:space="0" w:color="auto"/>
              <w:bottom w:val="nil"/>
              <w:right w:val="single" w:sz="8" w:space="0" w:color="auto"/>
            </w:tcBorders>
            <w:noWrap/>
            <w:vAlign w:val="center"/>
            <w:hideMark/>
          </w:tcPr>
          <w:p w14:paraId="5FA8DD9A"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58.064.895,16</w:t>
            </w:r>
          </w:p>
        </w:tc>
        <w:tc>
          <w:tcPr>
            <w:tcW w:w="160" w:type="dxa"/>
            <w:noWrap/>
            <w:vAlign w:val="center"/>
            <w:hideMark/>
          </w:tcPr>
          <w:p w14:paraId="6C4A4A43" w14:textId="77777777" w:rsidR="00F15C9A" w:rsidRDefault="00F15C9A">
            <w:pPr>
              <w:rPr>
                <w:rFonts w:ascii="Arial" w:eastAsia="Times New Roman" w:hAnsi="Arial" w:cs="Arial"/>
                <w:color w:val="000000"/>
                <w:sz w:val="18"/>
                <w:szCs w:val="18"/>
                <w:lang w:eastAsia="tr-TR"/>
              </w:rPr>
            </w:pPr>
          </w:p>
        </w:tc>
        <w:tc>
          <w:tcPr>
            <w:tcW w:w="160" w:type="dxa"/>
            <w:noWrap/>
            <w:vAlign w:val="center"/>
            <w:hideMark/>
          </w:tcPr>
          <w:p w14:paraId="790FED10" w14:textId="77777777" w:rsidR="00F15C9A" w:rsidRDefault="00F15C9A">
            <w:pPr>
              <w:spacing w:after="0"/>
              <w:jc w:val="left"/>
              <w:rPr>
                <w:rFonts w:eastAsiaTheme="minorHAnsi" w:cstheme="minorBidi"/>
                <w:sz w:val="20"/>
                <w:szCs w:val="20"/>
                <w:lang w:eastAsia="tr-TR"/>
              </w:rPr>
            </w:pPr>
          </w:p>
        </w:tc>
        <w:tc>
          <w:tcPr>
            <w:tcW w:w="3224" w:type="dxa"/>
            <w:tcBorders>
              <w:top w:val="nil"/>
              <w:left w:val="nil"/>
              <w:bottom w:val="nil"/>
              <w:right w:val="single" w:sz="8" w:space="0" w:color="auto"/>
            </w:tcBorders>
            <w:noWrap/>
            <w:vAlign w:val="center"/>
            <w:hideMark/>
          </w:tcPr>
          <w:p w14:paraId="73068169" w14:textId="77777777" w:rsidR="00F15C9A" w:rsidRDefault="00F15C9A">
            <w:pPr>
              <w:spacing w:after="0" w:line="240" w:lineRule="auto"/>
              <w:jc w:val="lef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360-Ödenecek Vergi ve Fonlar Hesabı</w:t>
            </w:r>
          </w:p>
        </w:tc>
        <w:tc>
          <w:tcPr>
            <w:tcW w:w="1559" w:type="dxa"/>
            <w:tcBorders>
              <w:top w:val="nil"/>
              <w:left w:val="nil"/>
              <w:bottom w:val="nil"/>
              <w:right w:val="single" w:sz="8" w:space="0" w:color="auto"/>
            </w:tcBorders>
            <w:noWrap/>
            <w:vAlign w:val="center"/>
            <w:hideMark/>
          </w:tcPr>
          <w:p w14:paraId="5B9F8A0F"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4.976.320,86</w:t>
            </w:r>
          </w:p>
        </w:tc>
        <w:tc>
          <w:tcPr>
            <w:tcW w:w="1701" w:type="dxa"/>
            <w:tcBorders>
              <w:top w:val="nil"/>
              <w:left w:val="nil"/>
              <w:bottom w:val="nil"/>
              <w:right w:val="single" w:sz="8" w:space="0" w:color="auto"/>
            </w:tcBorders>
            <w:noWrap/>
            <w:vAlign w:val="center"/>
            <w:hideMark/>
          </w:tcPr>
          <w:p w14:paraId="12805777"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7.649.026,84</w:t>
            </w:r>
          </w:p>
        </w:tc>
        <w:tc>
          <w:tcPr>
            <w:tcW w:w="1701" w:type="dxa"/>
            <w:tcBorders>
              <w:top w:val="nil"/>
              <w:left w:val="nil"/>
              <w:bottom w:val="nil"/>
              <w:right w:val="single" w:sz="8" w:space="0" w:color="auto"/>
            </w:tcBorders>
            <w:noWrap/>
            <w:vAlign w:val="center"/>
            <w:hideMark/>
          </w:tcPr>
          <w:p w14:paraId="60A826ED"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10.783.732,46</w:t>
            </w:r>
          </w:p>
        </w:tc>
        <w:tc>
          <w:tcPr>
            <w:tcW w:w="6" w:type="dxa"/>
            <w:tcBorders>
              <w:top w:val="nil"/>
              <w:left w:val="nil"/>
              <w:bottom w:val="nil"/>
              <w:right w:val="nil"/>
            </w:tcBorders>
            <w:vAlign w:val="center"/>
            <w:hideMark/>
          </w:tcPr>
          <w:p w14:paraId="2DEA42DE" w14:textId="77777777" w:rsidR="00F15C9A" w:rsidRDefault="00F15C9A">
            <w:pPr>
              <w:rPr>
                <w:rFonts w:ascii="Arial" w:eastAsia="Times New Roman" w:hAnsi="Arial" w:cs="Arial"/>
                <w:color w:val="000000"/>
                <w:sz w:val="18"/>
                <w:szCs w:val="18"/>
                <w:lang w:eastAsia="tr-TR"/>
              </w:rPr>
            </w:pPr>
          </w:p>
        </w:tc>
      </w:tr>
      <w:tr w:rsidR="00F15C9A" w14:paraId="2D94C3A0" w14:textId="77777777" w:rsidTr="00F15C9A">
        <w:trPr>
          <w:trHeight w:val="290"/>
          <w:jc w:val="center"/>
        </w:trPr>
        <w:tc>
          <w:tcPr>
            <w:tcW w:w="207" w:type="dxa"/>
            <w:tcBorders>
              <w:top w:val="nil"/>
              <w:left w:val="single" w:sz="8" w:space="0" w:color="auto"/>
              <w:bottom w:val="nil"/>
              <w:right w:val="nil"/>
            </w:tcBorders>
            <w:noWrap/>
            <w:vAlign w:val="center"/>
            <w:hideMark/>
          </w:tcPr>
          <w:p w14:paraId="0D5BCEDC" w14:textId="77777777" w:rsidR="00F15C9A" w:rsidRDefault="00F15C9A">
            <w:pPr>
              <w:spacing w:after="0" w:line="240" w:lineRule="auto"/>
              <w:jc w:val="lef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 </w:t>
            </w:r>
          </w:p>
        </w:tc>
        <w:tc>
          <w:tcPr>
            <w:tcW w:w="181" w:type="dxa"/>
            <w:noWrap/>
            <w:vAlign w:val="bottom"/>
            <w:hideMark/>
          </w:tcPr>
          <w:p w14:paraId="161B7556" w14:textId="77777777" w:rsidR="00F15C9A" w:rsidRDefault="00F15C9A">
            <w:pPr>
              <w:rPr>
                <w:rFonts w:ascii="Arial" w:eastAsia="Times New Roman" w:hAnsi="Arial" w:cs="Arial"/>
                <w:color w:val="000000"/>
                <w:sz w:val="18"/>
                <w:szCs w:val="18"/>
                <w:lang w:eastAsia="tr-TR"/>
              </w:rPr>
            </w:pPr>
          </w:p>
        </w:tc>
        <w:tc>
          <w:tcPr>
            <w:tcW w:w="2484" w:type="dxa"/>
            <w:tcBorders>
              <w:top w:val="nil"/>
              <w:left w:val="nil"/>
              <w:bottom w:val="nil"/>
              <w:right w:val="single" w:sz="8" w:space="0" w:color="auto"/>
            </w:tcBorders>
            <w:noWrap/>
            <w:vAlign w:val="center"/>
            <w:hideMark/>
          </w:tcPr>
          <w:p w14:paraId="36712C8D" w14:textId="77777777" w:rsidR="00F15C9A" w:rsidRDefault="00F15C9A">
            <w:pPr>
              <w:spacing w:after="0" w:line="240" w:lineRule="auto"/>
              <w:jc w:val="lef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 </w:t>
            </w:r>
          </w:p>
        </w:tc>
        <w:tc>
          <w:tcPr>
            <w:tcW w:w="1430" w:type="dxa"/>
            <w:tcBorders>
              <w:top w:val="nil"/>
              <w:left w:val="nil"/>
              <w:bottom w:val="nil"/>
              <w:right w:val="single" w:sz="8" w:space="0" w:color="auto"/>
            </w:tcBorders>
            <w:noWrap/>
            <w:vAlign w:val="center"/>
          </w:tcPr>
          <w:p w14:paraId="2EC6DB90" w14:textId="77777777" w:rsidR="00F15C9A" w:rsidRDefault="00F15C9A">
            <w:pPr>
              <w:spacing w:after="0" w:line="240" w:lineRule="auto"/>
              <w:jc w:val="right"/>
              <w:rPr>
                <w:rFonts w:ascii="Arial" w:eastAsia="Times New Roman" w:hAnsi="Arial" w:cs="Arial"/>
                <w:color w:val="000000"/>
                <w:sz w:val="18"/>
                <w:szCs w:val="18"/>
                <w:lang w:eastAsia="tr-TR"/>
              </w:rPr>
            </w:pPr>
          </w:p>
        </w:tc>
        <w:tc>
          <w:tcPr>
            <w:tcW w:w="1652" w:type="dxa"/>
            <w:noWrap/>
            <w:vAlign w:val="center"/>
            <w:hideMark/>
          </w:tcPr>
          <w:p w14:paraId="1DE201F3" w14:textId="77777777" w:rsidR="00F15C9A" w:rsidRDefault="00F15C9A">
            <w:pPr>
              <w:rPr>
                <w:rFonts w:ascii="Arial" w:eastAsia="Times New Roman" w:hAnsi="Arial" w:cs="Arial"/>
                <w:color w:val="000000"/>
                <w:sz w:val="18"/>
                <w:szCs w:val="18"/>
                <w:lang w:eastAsia="tr-TR"/>
              </w:rPr>
            </w:pPr>
          </w:p>
        </w:tc>
        <w:tc>
          <w:tcPr>
            <w:tcW w:w="1559" w:type="dxa"/>
            <w:tcBorders>
              <w:top w:val="nil"/>
              <w:left w:val="single" w:sz="8" w:space="0" w:color="auto"/>
              <w:bottom w:val="nil"/>
              <w:right w:val="single" w:sz="8" w:space="0" w:color="auto"/>
            </w:tcBorders>
            <w:noWrap/>
            <w:vAlign w:val="center"/>
            <w:hideMark/>
          </w:tcPr>
          <w:p w14:paraId="02718A91"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 </w:t>
            </w:r>
          </w:p>
        </w:tc>
        <w:tc>
          <w:tcPr>
            <w:tcW w:w="160" w:type="dxa"/>
            <w:noWrap/>
            <w:vAlign w:val="center"/>
            <w:hideMark/>
          </w:tcPr>
          <w:p w14:paraId="58DD947F" w14:textId="77777777" w:rsidR="00F15C9A" w:rsidRDefault="00F15C9A">
            <w:pPr>
              <w:rPr>
                <w:rFonts w:ascii="Arial" w:eastAsia="Times New Roman" w:hAnsi="Arial" w:cs="Arial"/>
                <w:color w:val="000000"/>
                <w:sz w:val="18"/>
                <w:szCs w:val="18"/>
                <w:lang w:eastAsia="tr-TR"/>
              </w:rPr>
            </w:pPr>
          </w:p>
        </w:tc>
        <w:tc>
          <w:tcPr>
            <w:tcW w:w="160" w:type="dxa"/>
            <w:noWrap/>
            <w:vAlign w:val="center"/>
            <w:hideMark/>
          </w:tcPr>
          <w:p w14:paraId="4796B257" w14:textId="77777777" w:rsidR="00F15C9A" w:rsidRDefault="00F15C9A">
            <w:pPr>
              <w:spacing w:after="0"/>
              <w:jc w:val="left"/>
              <w:rPr>
                <w:rFonts w:eastAsiaTheme="minorHAnsi" w:cstheme="minorBidi"/>
                <w:sz w:val="20"/>
                <w:szCs w:val="20"/>
                <w:lang w:eastAsia="tr-TR"/>
              </w:rPr>
            </w:pPr>
          </w:p>
        </w:tc>
        <w:tc>
          <w:tcPr>
            <w:tcW w:w="3224" w:type="dxa"/>
            <w:tcBorders>
              <w:top w:val="nil"/>
              <w:left w:val="nil"/>
              <w:bottom w:val="nil"/>
              <w:right w:val="single" w:sz="8" w:space="0" w:color="auto"/>
            </w:tcBorders>
            <w:noWrap/>
            <w:vAlign w:val="center"/>
            <w:hideMark/>
          </w:tcPr>
          <w:p w14:paraId="7B449B27" w14:textId="77777777" w:rsidR="00F15C9A" w:rsidRDefault="00F15C9A">
            <w:pPr>
              <w:spacing w:after="0" w:line="240" w:lineRule="auto"/>
              <w:jc w:val="lef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361-Ödenecek Sosyal Güvenlik Kesintileri</w:t>
            </w:r>
          </w:p>
        </w:tc>
        <w:tc>
          <w:tcPr>
            <w:tcW w:w="1559" w:type="dxa"/>
            <w:tcBorders>
              <w:top w:val="nil"/>
              <w:left w:val="nil"/>
              <w:bottom w:val="nil"/>
              <w:right w:val="single" w:sz="8" w:space="0" w:color="auto"/>
            </w:tcBorders>
            <w:noWrap/>
            <w:vAlign w:val="center"/>
            <w:hideMark/>
          </w:tcPr>
          <w:p w14:paraId="1201286C"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285.401,96</w:t>
            </w:r>
          </w:p>
        </w:tc>
        <w:tc>
          <w:tcPr>
            <w:tcW w:w="1701" w:type="dxa"/>
            <w:tcBorders>
              <w:top w:val="nil"/>
              <w:left w:val="nil"/>
              <w:bottom w:val="nil"/>
              <w:right w:val="single" w:sz="8" w:space="0" w:color="auto"/>
            </w:tcBorders>
            <w:noWrap/>
            <w:vAlign w:val="center"/>
            <w:hideMark/>
          </w:tcPr>
          <w:p w14:paraId="51787772"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928.714,28</w:t>
            </w:r>
          </w:p>
        </w:tc>
        <w:tc>
          <w:tcPr>
            <w:tcW w:w="1701" w:type="dxa"/>
            <w:tcBorders>
              <w:top w:val="nil"/>
              <w:left w:val="nil"/>
              <w:bottom w:val="nil"/>
              <w:right w:val="single" w:sz="8" w:space="0" w:color="auto"/>
            </w:tcBorders>
            <w:noWrap/>
            <w:vAlign w:val="center"/>
            <w:hideMark/>
          </w:tcPr>
          <w:p w14:paraId="158B43CE"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0,00</w:t>
            </w:r>
          </w:p>
        </w:tc>
        <w:tc>
          <w:tcPr>
            <w:tcW w:w="6" w:type="dxa"/>
            <w:tcBorders>
              <w:top w:val="nil"/>
              <w:left w:val="nil"/>
              <w:bottom w:val="nil"/>
              <w:right w:val="nil"/>
            </w:tcBorders>
            <w:vAlign w:val="center"/>
            <w:hideMark/>
          </w:tcPr>
          <w:p w14:paraId="1AB50530" w14:textId="77777777" w:rsidR="00F15C9A" w:rsidRDefault="00F15C9A">
            <w:pPr>
              <w:rPr>
                <w:rFonts w:ascii="Arial" w:eastAsia="Times New Roman" w:hAnsi="Arial" w:cs="Arial"/>
                <w:color w:val="000000"/>
                <w:sz w:val="18"/>
                <w:szCs w:val="18"/>
                <w:lang w:eastAsia="tr-TR"/>
              </w:rPr>
            </w:pPr>
          </w:p>
        </w:tc>
      </w:tr>
      <w:tr w:rsidR="00F15C9A" w14:paraId="34C39685" w14:textId="77777777" w:rsidTr="00F15C9A">
        <w:trPr>
          <w:trHeight w:val="290"/>
          <w:jc w:val="center"/>
        </w:trPr>
        <w:tc>
          <w:tcPr>
            <w:tcW w:w="207" w:type="dxa"/>
            <w:tcBorders>
              <w:top w:val="nil"/>
              <w:left w:val="single" w:sz="8" w:space="0" w:color="auto"/>
              <w:bottom w:val="nil"/>
              <w:right w:val="nil"/>
            </w:tcBorders>
            <w:noWrap/>
            <w:vAlign w:val="center"/>
            <w:hideMark/>
          </w:tcPr>
          <w:p w14:paraId="3F21AC03" w14:textId="77777777" w:rsidR="00F15C9A" w:rsidRDefault="00F15C9A">
            <w:pPr>
              <w:spacing w:after="0" w:line="240" w:lineRule="auto"/>
              <w:jc w:val="lef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 </w:t>
            </w:r>
          </w:p>
        </w:tc>
        <w:tc>
          <w:tcPr>
            <w:tcW w:w="2665" w:type="dxa"/>
            <w:gridSpan w:val="2"/>
            <w:tcBorders>
              <w:top w:val="nil"/>
              <w:left w:val="nil"/>
              <w:bottom w:val="nil"/>
              <w:right w:val="single" w:sz="8" w:space="0" w:color="000000"/>
            </w:tcBorders>
            <w:noWrap/>
            <w:vAlign w:val="center"/>
            <w:hideMark/>
          </w:tcPr>
          <w:p w14:paraId="09D0D598" w14:textId="77777777" w:rsidR="00F15C9A" w:rsidRDefault="00F15C9A">
            <w:pPr>
              <w:spacing w:after="0" w:line="240" w:lineRule="auto"/>
              <w:jc w:val="lef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13-KURUM ALACAKLARI</w:t>
            </w:r>
          </w:p>
        </w:tc>
        <w:tc>
          <w:tcPr>
            <w:tcW w:w="1430" w:type="dxa"/>
            <w:tcBorders>
              <w:top w:val="nil"/>
              <w:left w:val="nil"/>
              <w:bottom w:val="nil"/>
              <w:right w:val="single" w:sz="8" w:space="0" w:color="auto"/>
            </w:tcBorders>
            <w:noWrap/>
            <w:vAlign w:val="center"/>
            <w:hideMark/>
          </w:tcPr>
          <w:p w14:paraId="2B9EEE47" w14:textId="77777777" w:rsidR="00F15C9A" w:rsidRDefault="00F15C9A">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376.906.315,29</w:t>
            </w:r>
          </w:p>
        </w:tc>
        <w:tc>
          <w:tcPr>
            <w:tcW w:w="1652" w:type="dxa"/>
            <w:noWrap/>
            <w:vAlign w:val="center"/>
            <w:hideMark/>
          </w:tcPr>
          <w:p w14:paraId="0B27ED44" w14:textId="77777777" w:rsidR="00F15C9A" w:rsidRDefault="00F15C9A">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672.832.013,94</w:t>
            </w:r>
          </w:p>
        </w:tc>
        <w:tc>
          <w:tcPr>
            <w:tcW w:w="1559" w:type="dxa"/>
            <w:tcBorders>
              <w:top w:val="nil"/>
              <w:left w:val="single" w:sz="8" w:space="0" w:color="auto"/>
              <w:bottom w:val="nil"/>
              <w:right w:val="single" w:sz="8" w:space="0" w:color="auto"/>
            </w:tcBorders>
            <w:noWrap/>
            <w:vAlign w:val="center"/>
            <w:hideMark/>
          </w:tcPr>
          <w:p w14:paraId="15C60A85" w14:textId="77777777" w:rsidR="00F15C9A" w:rsidRDefault="00F15C9A">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955.086.865,62</w:t>
            </w:r>
          </w:p>
        </w:tc>
        <w:tc>
          <w:tcPr>
            <w:tcW w:w="160" w:type="dxa"/>
            <w:noWrap/>
            <w:vAlign w:val="center"/>
            <w:hideMark/>
          </w:tcPr>
          <w:p w14:paraId="698E485C" w14:textId="77777777" w:rsidR="00F15C9A" w:rsidRDefault="00F15C9A">
            <w:pPr>
              <w:rPr>
                <w:rFonts w:ascii="Arial" w:eastAsia="Times New Roman" w:hAnsi="Arial" w:cs="Arial"/>
                <w:b/>
                <w:bCs/>
                <w:color w:val="000000"/>
                <w:sz w:val="18"/>
                <w:szCs w:val="18"/>
                <w:lang w:eastAsia="tr-TR"/>
              </w:rPr>
            </w:pPr>
          </w:p>
        </w:tc>
        <w:tc>
          <w:tcPr>
            <w:tcW w:w="160" w:type="dxa"/>
            <w:noWrap/>
            <w:vAlign w:val="center"/>
            <w:hideMark/>
          </w:tcPr>
          <w:p w14:paraId="127AEC88" w14:textId="77777777" w:rsidR="00F15C9A" w:rsidRDefault="00F15C9A">
            <w:pPr>
              <w:spacing w:after="0"/>
              <w:jc w:val="left"/>
              <w:rPr>
                <w:rFonts w:eastAsiaTheme="minorHAnsi" w:cstheme="minorBidi"/>
                <w:sz w:val="20"/>
                <w:szCs w:val="20"/>
                <w:lang w:eastAsia="tr-TR"/>
              </w:rPr>
            </w:pPr>
          </w:p>
        </w:tc>
        <w:tc>
          <w:tcPr>
            <w:tcW w:w="3224" w:type="dxa"/>
            <w:tcBorders>
              <w:top w:val="nil"/>
              <w:left w:val="nil"/>
              <w:bottom w:val="nil"/>
              <w:right w:val="single" w:sz="8" w:space="0" w:color="auto"/>
            </w:tcBorders>
            <w:noWrap/>
            <w:vAlign w:val="center"/>
            <w:hideMark/>
          </w:tcPr>
          <w:p w14:paraId="10D0E198" w14:textId="77777777" w:rsidR="00F15C9A" w:rsidRDefault="00F15C9A">
            <w:pPr>
              <w:spacing w:after="0" w:line="240" w:lineRule="auto"/>
              <w:jc w:val="lef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362-Fonlar veya Diğer Kamu İdareleri Adına Yapılan Tahsilat Hesabı</w:t>
            </w:r>
          </w:p>
        </w:tc>
        <w:tc>
          <w:tcPr>
            <w:tcW w:w="1559" w:type="dxa"/>
            <w:tcBorders>
              <w:top w:val="nil"/>
              <w:left w:val="nil"/>
              <w:bottom w:val="nil"/>
              <w:right w:val="single" w:sz="8" w:space="0" w:color="auto"/>
            </w:tcBorders>
            <w:noWrap/>
            <w:vAlign w:val="center"/>
            <w:hideMark/>
          </w:tcPr>
          <w:p w14:paraId="386B42EF"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24.786,90</w:t>
            </w:r>
          </w:p>
        </w:tc>
        <w:tc>
          <w:tcPr>
            <w:tcW w:w="1701" w:type="dxa"/>
            <w:tcBorders>
              <w:top w:val="nil"/>
              <w:left w:val="nil"/>
              <w:bottom w:val="nil"/>
              <w:right w:val="single" w:sz="8" w:space="0" w:color="auto"/>
            </w:tcBorders>
            <w:noWrap/>
            <w:vAlign w:val="center"/>
            <w:hideMark/>
          </w:tcPr>
          <w:p w14:paraId="05F3A5F1"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80.757,76</w:t>
            </w:r>
          </w:p>
        </w:tc>
        <w:tc>
          <w:tcPr>
            <w:tcW w:w="1701" w:type="dxa"/>
            <w:tcBorders>
              <w:top w:val="nil"/>
              <w:left w:val="nil"/>
              <w:bottom w:val="nil"/>
              <w:right w:val="single" w:sz="8" w:space="0" w:color="auto"/>
            </w:tcBorders>
            <w:noWrap/>
            <w:vAlign w:val="center"/>
            <w:hideMark/>
          </w:tcPr>
          <w:p w14:paraId="6F31BD3B"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0,00</w:t>
            </w:r>
          </w:p>
        </w:tc>
        <w:tc>
          <w:tcPr>
            <w:tcW w:w="6" w:type="dxa"/>
            <w:tcBorders>
              <w:top w:val="nil"/>
              <w:left w:val="nil"/>
              <w:bottom w:val="nil"/>
              <w:right w:val="nil"/>
            </w:tcBorders>
            <w:vAlign w:val="center"/>
            <w:hideMark/>
          </w:tcPr>
          <w:p w14:paraId="6235607D" w14:textId="77777777" w:rsidR="00F15C9A" w:rsidRDefault="00F15C9A">
            <w:pPr>
              <w:rPr>
                <w:rFonts w:ascii="Arial" w:eastAsia="Times New Roman" w:hAnsi="Arial" w:cs="Arial"/>
                <w:color w:val="000000"/>
                <w:sz w:val="18"/>
                <w:szCs w:val="18"/>
                <w:lang w:eastAsia="tr-TR"/>
              </w:rPr>
            </w:pPr>
          </w:p>
        </w:tc>
      </w:tr>
      <w:tr w:rsidR="00F15C9A" w14:paraId="544363C5" w14:textId="77777777" w:rsidTr="00F15C9A">
        <w:trPr>
          <w:trHeight w:val="290"/>
          <w:jc w:val="center"/>
        </w:trPr>
        <w:tc>
          <w:tcPr>
            <w:tcW w:w="207" w:type="dxa"/>
            <w:tcBorders>
              <w:top w:val="nil"/>
              <w:left w:val="single" w:sz="8" w:space="0" w:color="auto"/>
              <w:bottom w:val="nil"/>
              <w:right w:val="nil"/>
            </w:tcBorders>
            <w:noWrap/>
            <w:vAlign w:val="center"/>
            <w:hideMark/>
          </w:tcPr>
          <w:p w14:paraId="4E723080" w14:textId="77777777" w:rsidR="00F15C9A" w:rsidRDefault="00F15C9A">
            <w:pPr>
              <w:spacing w:after="0" w:line="240" w:lineRule="auto"/>
              <w:jc w:val="lef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 </w:t>
            </w:r>
          </w:p>
        </w:tc>
        <w:tc>
          <w:tcPr>
            <w:tcW w:w="181" w:type="dxa"/>
            <w:noWrap/>
            <w:vAlign w:val="bottom"/>
            <w:hideMark/>
          </w:tcPr>
          <w:p w14:paraId="0DBB8395" w14:textId="77777777" w:rsidR="00F15C9A" w:rsidRDefault="00F15C9A">
            <w:pPr>
              <w:rPr>
                <w:rFonts w:ascii="Arial" w:eastAsia="Times New Roman" w:hAnsi="Arial" w:cs="Arial"/>
                <w:color w:val="000000"/>
                <w:sz w:val="18"/>
                <w:szCs w:val="18"/>
                <w:lang w:eastAsia="tr-TR"/>
              </w:rPr>
            </w:pPr>
          </w:p>
        </w:tc>
        <w:tc>
          <w:tcPr>
            <w:tcW w:w="2484" w:type="dxa"/>
            <w:tcBorders>
              <w:top w:val="nil"/>
              <w:left w:val="nil"/>
              <w:bottom w:val="nil"/>
              <w:right w:val="single" w:sz="8" w:space="0" w:color="auto"/>
            </w:tcBorders>
            <w:noWrap/>
            <w:vAlign w:val="center"/>
            <w:hideMark/>
          </w:tcPr>
          <w:p w14:paraId="6DB39FE0" w14:textId="77777777" w:rsidR="00F15C9A" w:rsidRDefault="00F15C9A">
            <w:pPr>
              <w:spacing w:after="0" w:line="240" w:lineRule="auto"/>
              <w:jc w:val="lef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135-Tek Hazine Kurumlar Hes. Alacaklar</w:t>
            </w:r>
          </w:p>
        </w:tc>
        <w:tc>
          <w:tcPr>
            <w:tcW w:w="1430" w:type="dxa"/>
            <w:tcBorders>
              <w:top w:val="nil"/>
              <w:left w:val="nil"/>
              <w:bottom w:val="nil"/>
              <w:right w:val="single" w:sz="8" w:space="0" w:color="auto"/>
            </w:tcBorders>
            <w:noWrap/>
            <w:vAlign w:val="center"/>
            <w:hideMark/>
          </w:tcPr>
          <w:p w14:paraId="1F094FC9"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376.906.315,29</w:t>
            </w:r>
          </w:p>
        </w:tc>
        <w:tc>
          <w:tcPr>
            <w:tcW w:w="1652" w:type="dxa"/>
            <w:noWrap/>
            <w:vAlign w:val="center"/>
            <w:hideMark/>
          </w:tcPr>
          <w:p w14:paraId="43468BCA"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672.832.013,94</w:t>
            </w:r>
          </w:p>
        </w:tc>
        <w:tc>
          <w:tcPr>
            <w:tcW w:w="1559" w:type="dxa"/>
            <w:tcBorders>
              <w:top w:val="nil"/>
              <w:left w:val="single" w:sz="8" w:space="0" w:color="auto"/>
              <w:bottom w:val="nil"/>
              <w:right w:val="single" w:sz="8" w:space="0" w:color="auto"/>
            </w:tcBorders>
            <w:noWrap/>
            <w:vAlign w:val="center"/>
            <w:hideMark/>
          </w:tcPr>
          <w:p w14:paraId="046D9FF3" w14:textId="77777777" w:rsidR="00F15C9A" w:rsidRDefault="00F15C9A">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color w:val="000000"/>
                <w:sz w:val="18"/>
                <w:szCs w:val="18"/>
                <w:lang w:eastAsia="tr-TR"/>
              </w:rPr>
              <w:t>955.086.865,62</w:t>
            </w:r>
          </w:p>
        </w:tc>
        <w:tc>
          <w:tcPr>
            <w:tcW w:w="160" w:type="dxa"/>
            <w:noWrap/>
            <w:vAlign w:val="center"/>
            <w:hideMark/>
          </w:tcPr>
          <w:p w14:paraId="7C9DDF67" w14:textId="77777777" w:rsidR="00F15C9A" w:rsidRDefault="00F15C9A">
            <w:pPr>
              <w:rPr>
                <w:rFonts w:ascii="Arial" w:eastAsia="Times New Roman" w:hAnsi="Arial" w:cs="Arial"/>
                <w:b/>
                <w:bCs/>
                <w:color w:val="000000"/>
                <w:sz w:val="18"/>
                <w:szCs w:val="18"/>
                <w:lang w:eastAsia="tr-TR"/>
              </w:rPr>
            </w:pPr>
          </w:p>
        </w:tc>
        <w:tc>
          <w:tcPr>
            <w:tcW w:w="160" w:type="dxa"/>
            <w:noWrap/>
            <w:vAlign w:val="center"/>
            <w:hideMark/>
          </w:tcPr>
          <w:p w14:paraId="4F90601D" w14:textId="77777777" w:rsidR="00F15C9A" w:rsidRDefault="00F15C9A">
            <w:pPr>
              <w:spacing w:after="0"/>
              <w:jc w:val="left"/>
              <w:rPr>
                <w:rFonts w:eastAsiaTheme="minorHAnsi" w:cstheme="minorBidi"/>
                <w:sz w:val="20"/>
                <w:szCs w:val="20"/>
                <w:lang w:eastAsia="tr-TR"/>
              </w:rPr>
            </w:pPr>
          </w:p>
        </w:tc>
        <w:tc>
          <w:tcPr>
            <w:tcW w:w="3224" w:type="dxa"/>
            <w:tcBorders>
              <w:top w:val="nil"/>
              <w:left w:val="nil"/>
              <w:bottom w:val="nil"/>
              <w:right w:val="single" w:sz="8" w:space="0" w:color="auto"/>
            </w:tcBorders>
            <w:noWrap/>
            <w:vAlign w:val="center"/>
            <w:hideMark/>
          </w:tcPr>
          <w:p w14:paraId="70C40F60" w14:textId="77777777" w:rsidR="00F15C9A" w:rsidRDefault="00F15C9A">
            <w:pPr>
              <w:spacing w:after="0" w:line="240" w:lineRule="auto"/>
              <w:jc w:val="lef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363-Kamu İdareleri Payları</w:t>
            </w:r>
          </w:p>
        </w:tc>
        <w:tc>
          <w:tcPr>
            <w:tcW w:w="1559" w:type="dxa"/>
            <w:tcBorders>
              <w:top w:val="nil"/>
              <w:left w:val="nil"/>
              <w:bottom w:val="nil"/>
              <w:right w:val="single" w:sz="8" w:space="0" w:color="auto"/>
            </w:tcBorders>
            <w:noWrap/>
            <w:vAlign w:val="center"/>
            <w:hideMark/>
          </w:tcPr>
          <w:p w14:paraId="2C8EC3B9"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297.784.375,56</w:t>
            </w:r>
          </w:p>
        </w:tc>
        <w:tc>
          <w:tcPr>
            <w:tcW w:w="1701" w:type="dxa"/>
            <w:tcBorders>
              <w:top w:val="nil"/>
              <w:left w:val="nil"/>
              <w:bottom w:val="nil"/>
              <w:right w:val="single" w:sz="8" w:space="0" w:color="auto"/>
            </w:tcBorders>
            <w:noWrap/>
            <w:vAlign w:val="center"/>
            <w:hideMark/>
          </w:tcPr>
          <w:p w14:paraId="7BF74EC5"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568.729.782,20</w:t>
            </w:r>
          </w:p>
        </w:tc>
        <w:tc>
          <w:tcPr>
            <w:tcW w:w="1701" w:type="dxa"/>
            <w:tcBorders>
              <w:top w:val="nil"/>
              <w:left w:val="nil"/>
              <w:bottom w:val="nil"/>
              <w:right w:val="single" w:sz="8" w:space="0" w:color="auto"/>
            </w:tcBorders>
            <w:noWrap/>
            <w:vAlign w:val="center"/>
            <w:hideMark/>
          </w:tcPr>
          <w:p w14:paraId="5995CF1B"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833.775.332,57</w:t>
            </w:r>
          </w:p>
        </w:tc>
        <w:tc>
          <w:tcPr>
            <w:tcW w:w="6" w:type="dxa"/>
            <w:tcBorders>
              <w:top w:val="nil"/>
              <w:left w:val="nil"/>
              <w:bottom w:val="nil"/>
              <w:right w:val="nil"/>
            </w:tcBorders>
            <w:vAlign w:val="center"/>
            <w:hideMark/>
          </w:tcPr>
          <w:p w14:paraId="63371C3E" w14:textId="77777777" w:rsidR="00F15C9A" w:rsidRDefault="00F15C9A">
            <w:pPr>
              <w:rPr>
                <w:rFonts w:ascii="Arial" w:eastAsia="Times New Roman" w:hAnsi="Arial" w:cs="Arial"/>
                <w:color w:val="000000"/>
                <w:sz w:val="18"/>
                <w:szCs w:val="18"/>
                <w:lang w:eastAsia="tr-TR"/>
              </w:rPr>
            </w:pPr>
          </w:p>
        </w:tc>
      </w:tr>
      <w:tr w:rsidR="00F15C9A" w14:paraId="0304D7EF" w14:textId="77777777" w:rsidTr="00F15C9A">
        <w:trPr>
          <w:trHeight w:val="290"/>
          <w:jc w:val="center"/>
        </w:trPr>
        <w:tc>
          <w:tcPr>
            <w:tcW w:w="207" w:type="dxa"/>
            <w:tcBorders>
              <w:top w:val="nil"/>
              <w:left w:val="single" w:sz="8" w:space="0" w:color="auto"/>
              <w:bottom w:val="nil"/>
              <w:right w:val="nil"/>
            </w:tcBorders>
            <w:noWrap/>
            <w:vAlign w:val="center"/>
            <w:hideMark/>
          </w:tcPr>
          <w:p w14:paraId="38574FF6" w14:textId="77777777" w:rsidR="00F15C9A" w:rsidRDefault="00F15C9A">
            <w:pPr>
              <w:spacing w:after="0" w:line="240" w:lineRule="auto"/>
              <w:jc w:val="lef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 </w:t>
            </w:r>
          </w:p>
        </w:tc>
        <w:tc>
          <w:tcPr>
            <w:tcW w:w="181" w:type="dxa"/>
            <w:noWrap/>
            <w:vAlign w:val="bottom"/>
            <w:hideMark/>
          </w:tcPr>
          <w:p w14:paraId="08A37094" w14:textId="77777777" w:rsidR="00F15C9A" w:rsidRDefault="00F15C9A">
            <w:pPr>
              <w:rPr>
                <w:rFonts w:ascii="Arial" w:eastAsia="Times New Roman" w:hAnsi="Arial" w:cs="Arial"/>
                <w:color w:val="000000"/>
                <w:sz w:val="18"/>
                <w:szCs w:val="18"/>
                <w:lang w:eastAsia="tr-TR"/>
              </w:rPr>
            </w:pPr>
          </w:p>
        </w:tc>
        <w:tc>
          <w:tcPr>
            <w:tcW w:w="2484" w:type="dxa"/>
            <w:tcBorders>
              <w:top w:val="nil"/>
              <w:left w:val="nil"/>
              <w:bottom w:val="nil"/>
              <w:right w:val="single" w:sz="8" w:space="0" w:color="auto"/>
            </w:tcBorders>
            <w:noWrap/>
            <w:vAlign w:val="center"/>
            <w:hideMark/>
          </w:tcPr>
          <w:p w14:paraId="012299F0" w14:textId="77777777" w:rsidR="00F15C9A" w:rsidRDefault="00F15C9A">
            <w:pPr>
              <w:spacing w:after="0" w:line="240" w:lineRule="auto"/>
              <w:jc w:val="lef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 </w:t>
            </w:r>
          </w:p>
        </w:tc>
        <w:tc>
          <w:tcPr>
            <w:tcW w:w="1430" w:type="dxa"/>
            <w:tcBorders>
              <w:top w:val="nil"/>
              <w:left w:val="nil"/>
              <w:bottom w:val="nil"/>
              <w:right w:val="single" w:sz="8" w:space="0" w:color="auto"/>
            </w:tcBorders>
            <w:noWrap/>
            <w:vAlign w:val="center"/>
          </w:tcPr>
          <w:p w14:paraId="27783A32" w14:textId="77777777" w:rsidR="00F15C9A" w:rsidRDefault="00F15C9A">
            <w:pPr>
              <w:spacing w:after="0" w:line="240" w:lineRule="auto"/>
              <w:jc w:val="right"/>
              <w:rPr>
                <w:rFonts w:ascii="Arial" w:eastAsia="Times New Roman" w:hAnsi="Arial" w:cs="Arial"/>
                <w:color w:val="000000"/>
                <w:sz w:val="18"/>
                <w:szCs w:val="18"/>
                <w:lang w:eastAsia="tr-TR"/>
              </w:rPr>
            </w:pPr>
          </w:p>
        </w:tc>
        <w:tc>
          <w:tcPr>
            <w:tcW w:w="1652" w:type="dxa"/>
            <w:noWrap/>
            <w:vAlign w:val="center"/>
            <w:hideMark/>
          </w:tcPr>
          <w:p w14:paraId="4A5D57DF" w14:textId="77777777" w:rsidR="00F15C9A" w:rsidRDefault="00F15C9A">
            <w:pPr>
              <w:rPr>
                <w:rFonts w:ascii="Arial" w:eastAsia="Times New Roman" w:hAnsi="Arial" w:cs="Arial"/>
                <w:color w:val="000000"/>
                <w:sz w:val="18"/>
                <w:szCs w:val="18"/>
                <w:lang w:eastAsia="tr-TR"/>
              </w:rPr>
            </w:pPr>
          </w:p>
        </w:tc>
        <w:tc>
          <w:tcPr>
            <w:tcW w:w="1559" w:type="dxa"/>
            <w:tcBorders>
              <w:top w:val="nil"/>
              <w:left w:val="single" w:sz="8" w:space="0" w:color="auto"/>
              <w:bottom w:val="nil"/>
              <w:right w:val="single" w:sz="8" w:space="0" w:color="auto"/>
            </w:tcBorders>
            <w:noWrap/>
            <w:vAlign w:val="center"/>
            <w:hideMark/>
          </w:tcPr>
          <w:p w14:paraId="7A00E4D5"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 </w:t>
            </w:r>
          </w:p>
        </w:tc>
        <w:tc>
          <w:tcPr>
            <w:tcW w:w="160" w:type="dxa"/>
            <w:noWrap/>
            <w:vAlign w:val="center"/>
            <w:hideMark/>
          </w:tcPr>
          <w:p w14:paraId="0F57A73C" w14:textId="77777777" w:rsidR="00F15C9A" w:rsidRDefault="00F15C9A">
            <w:pPr>
              <w:rPr>
                <w:rFonts w:ascii="Arial" w:eastAsia="Times New Roman" w:hAnsi="Arial" w:cs="Arial"/>
                <w:color w:val="000000"/>
                <w:sz w:val="18"/>
                <w:szCs w:val="18"/>
                <w:lang w:eastAsia="tr-TR"/>
              </w:rPr>
            </w:pPr>
          </w:p>
        </w:tc>
        <w:tc>
          <w:tcPr>
            <w:tcW w:w="160" w:type="dxa"/>
            <w:noWrap/>
            <w:vAlign w:val="center"/>
            <w:hideMark/>
          </w:tcPr>
          <w:p w14:paraId="30B752FC" w14:textId="77777777" w:rsidR="00F15C9A" w:rsidRDefault="00F15C9A">
            <w:pPr>
              <w:spacing w:after="0"/>
              <w:jc w:val="left"/>
              <w:rPr>
                <w:rFonts w:eastAsiaTheme="minorHAnsi" w:cstheme="minorBidi"/>
                <w:sz w:val="20"/>
                <w:szCs w:val="20"/>
                <w:lang w:eastAsia="tr-TR"/>
              </w:rPr>
            </w:pPr>
          </w:p>
        </w:tc>
        <w:tc>
          <w:tcPr>
            <w:tcW w:w="3224" w:type="dxa"/>
            <w:tcBorders>
              <w:top w:val="nil"/>
              <w:left w:val="nil"/>
              <w:bottom w:val="nil"/>
              <w:right w:val="single" w:sz="8" w:space="0" w:color="auto"/>
            </w:tcBorders>
            <w:noWrap/>
            <w:vAlign w:val="bottom"/>
            <w:hideMark/>
          </w:tcPr>
          <w:p w14:paraId="03F74B24" w14:textId="77777777" w:rsidR="00F15C9A" w:rsidRDefault="00F15C9A">
            <w:pPr>
              <w:spacing w:after="0" w:line="240" w:lineRule="auto"/>
              <w:jc w:val="left"/>
              <w:rPr>
                <w:rFonts w:ascii="Calibri" w:eastAsia="Times New Roman" w:hAnsi="Calibri" w:cs="Calibri"/>
                <w:color w:val="000000"/>
                <w:sz w:val="18"/>
                <w:szCs w:val="18"/>
                <w:lang w:eastAsia="tr-TR"/>
              </w:rPr>
            </w:pPr>
            <w:r>
              <w:rPr>
                <w:rFonts w:ascii="Calibri" w:eastAsia="Times New Roman" w:hAnsi="Calibri" w:cs="Calibri"/>
                <w:color w:val="000000"/>
                <w:sz w:val="18"/>
                <w:szCs w:val="18"/>
                <w:lang w:eastAsia="tr-TR"/>
              </w:rPr>
              <w:t> </w:t>
            </w:r>
          </w:p>
        </w:tc>
        <w:tc>
          <w:tcPr>
            <w:tcW w:w="1559" w:type="dxa"/>
            <w:tcBorders>
              <w:top w:val="nil"/>
              <w:left w:val="nil"/>
              <w:bottom w:val="nil"/>
              <w:right w:val="single" w:sz="8" w:space="0" w:color="auto"/>
            </w:tcBorders>
            <w:noWrap/>
            <w:vAlign w:val="center"/>
          </w:tcPr>
          <w:p w14:paraId="410A6365" w14:textId="77777777" w:rsidR="00F15C9A" w:rsidRDefault="00F15C9A">
            <w:pPr>
              <w:spacing w:after="0" w:line="240" w:lineRule="auto"/>
              <w:jc w:val="right"/>
              <w:rPr>
                <w:rFonts w:ascii="Arial" w:eastAsia="Times New Roman" w:hAnsi="Arial" w:cs="Arial"/>
                <w:color w:val="000000"/>
                <w:sz w:val="18"/>
                <w:szCs w:val="18"/>
                <w:lang w:eastAsia="tr-TR"/>
              </w:rPr>
            </w:pPr>
          </w:p>
        </w:tc>
        <w:tc>
          <w:tcPr>
            <w:tcW w:w="1701" w:type="dxa"/>
            <w:tcBorders>
              <w:top w:val="nil"/>
              <w:left w:val="nil"/>
              <w:bottom w:val="nil"/>
              <w:right w:val="single" w:sz="8" w:space="0" w:color="auto"/>
            </w:tcBorders>
            <w:noWrap/>
            <w:vAlign w:val="center"/>
            <w:hideMark/>
          </w:tcPr>
          <w:p w14:paraId="4693DFD3"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 </w:t>
            </w:r>
          </w:p>
        </w:tc>
        <w:tc>
          <w:tcPr>
            <w:tcW w:w="1701" w:type="dxa"/>
            <w:tcBorders>
              <w:top w:val="nil"/>
              <w:left w:val="nil"/>
              <w:bottom w:val="nil"/>
              <w:right w:val="single" w:sz="8" w:space="0" w:color="auto"/>
            </w:tcBorders>
            <w:noWrap/>
            <w:vAlign w:val="center"/>
            <w:hideMark/>
          </w:tcPr>
          <w:p w14:paraId="31FE7C18"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 </w:t>
            </w:r>
          </w:p>
        </w:tc>
        <w:tc>
          <w:tcPr>
            <w:tcW w:w="6" w:type="dxa"/>
            <w:tcBorders>
              <w:top w:val="nil"/>
              <w:left w:val="nil"/>
              <w:bottom w:val="nil"/>
              <w:right w:val="nil"/>
            </w:tcBorders>
            <w:vAlign w:val="center"/>
            <w:hideMark/>
          </w:tcPr>
          <w:p w14:paraId="0AEB616A" w14:textId="77777777" w:rsidR="00F15C9A" w:rsidRDefault="00F15C9A">
            <w:pPr>
              <w:rPr>
                <w:rFonts w:ascii="Arial" w:eastAsia="Times New Roman" w:hAnsi="Arial" w:cs="Arial"/>
                <w:color w:val="000000"/>
                <w:sz w:val="18"/>
                <w:szCs w:val="18"/>
                <w:lang w:eastAsia="tr-TR"/>
              </w:rPr>
            </w:pPr>
          </w:p>
        </w:tc>
      </w:tr>
      <w:tr w:rsidR="00F15C9A" w14:paraId="7E410C20" w14:textId="77777777" w:rsidTr="00F15C9A">
        <w:trPr>
          <w:trHeight w:val="290"/>
          <w:jc w:val="center"/>
        </w:trPr>
        <w:tc>
          <w:tcPr>
            <w:tcW w:w="207" w:type="dxa"/>
            <w:tcBorders>
              <w:top w:val="nil"/>
              <w:left w:val="single" w:sz="8" w:space="0" w:color="auto"/>
              <w:bottom w:val="nil"/>
              <w:right w:val="nil"/>
            </w:tcBorders>
            <w:noWrap/>
            <w:vAlign w:val="center"/>
            <w:hideMark/>
          </w:tcPr>
          <w:p w14:paraId="6BDC96AE" w14:textId="77777777" w:rsidR="00F15C9A" w:rsidRDefault="00F15C9A">
            <w:pPr>
              <w:spacing w:after="0" w:line="240" w:lineRule="auto"/>
              <w:jc w:val="lef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 </w:t>
            </w:r>
          </w:p>
        </w:tc>
        <w:tc>
          <w:tcPr>
            <w:tcW w:w="2665" w:type="dxa"/>
            <w:gridSpan w:val="2"/>
            <w:tcBorders>
              <w:top w:val="nil"/>
              <w:left w:val="nil"/>
              <w:bottom w:val="nil"/>
              <w:right w:val="single" w:sz="8" w:space="0" w:color="000000"/>
            </w:tcBorders>
            <w:noWrap/>
            <w:vAlign w:val="center"/>
            <w:hideMark/>
          </w:tcPr>
          <w:p w14:paraId="088D8D86" w14:textId="77777777" w:rsidR="00F15C9A" w:rsidRDefault="00F15C9A">
            <w:pPr>
              <w:spacing w:after="0" w:line="240" w:lineRule="auto"/>
              <w:jc w:val="lef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14-DİĞER ALACAKLAR</w:t>
            </w:r>
          </w:p>
        </w:tc>
        <w:tc>
          <w:tcPr>
            <w:tcW w:w="1430" w:type="dxa"/>
            <w:tcBorders>
              <w:top w:val="nil"/>
              <w:left w:val="nil"/>
              <w:bottom w:val="nil"/>
              <w:right w:val="single" w:sz="8" w:space="0" w:color="auto"/>
            </w:tcBorders>
            <w:noWrap/>
            <w:vAlign w:val="center"/>
            <w:hideMark/>
          </w:tcPr>
          <w:p w14:paraId="397AFEE9" w14:textId="77777777" w:rsidR="00F15C9A" w:rsidRDefault="00F15C9A">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581.867,03</w:t>
            </w:r>
          </w:p>
        </w:tc>
        <w:tc>
          <w:tcPr>
            <w:tcW w:w="1652" w:type="dxa"/>
            <w:noWrap/>
            <w:vAlign w:val="center"/>
            <w:hideMark/>
          </w:tcPr>
          <w:p w14:paraId="3E91F115" w14:textId="77777777" w:rsidR="00F15C9A" w:rsidRDefault="00F15C9A">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570.286,16</w:t>
            </w:r>
          </w:p>
        </w:tc>
        <w:tc>
          <w:tcPr>
            <w:tcW w:w="1559" w:type="dxa"/>
            <w:tcBorders>
              <w:top w:val="nil"/>
              <w:left w:val="single" w:sz="8" w:space="0" w:color="auto"/>
              <w:bottom w:val="nil"/>
              <w:right w:val="single" w:sz="8" w:space="0" w:color="auto"/>
            </w:tcBorders>
            <w:noWrap/>
            <w:vAlign w:val="center"/>
            <w:hideMark/>
          </w:tcPr>
          <w:p w14:paraId="7FDA948E" w14:textId="77777777" w:rsidR="00F15C9A" w:rsidRDefault="00F15C9A">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1.029.473,69</w:t>
            </w:r>
          </w:p>
        </w:tc>
        <w:tc>
          <w:tcPr>
            <w:tcW w:w="160" w:type="dxa"/>
            <w:noWrap/>
            <w:vAlign w:val="bottom"/>
            <w:hideMark/>
          </w:tcPr>
          <w:p w14:paraId="7F821B4B" w14:textId="77777777" w:rsidR="00F15C9A" w:rsidRDefault="00F15C9A">
            <w:pPr>
              <w:rPr>
                <w:rFonts w:ascii="Arial" w:eastAsia="Times New Roman" w:hAnsi="Arial" w:cs="Arial"/>
                <w:b/>
                <w:bCs/>
                <w:color w:val="000000"/>
                <w:sz w:val="18"/>
                <w:szCs w:val="18"/>
                <w:lang w:eastAsia="tr-TR"/>
              </w:rPr>
            </w:pPr>
          </w:p>
        </w:tc>
        <w:tc>
          <w:tcPr>
            <w:tcW w:w="3384" w:type="dxa"/>
            <w:gridSpan w:val="2"/>
            <w:tcBorders>
              <w:top w:val="nil"/>
              <w:left w:val="nil"/>
              <w:bottom w:val="nil"/>
              <w:right w:val="single" w:sz="8" w:space="0" w:color="000000"/>
            </w:tcBorders>
            <w:noWrap/>
            <w:vAlign w:val="center"/>
            <w:hideMark/>
          </w:tcPr>
          <w:p w14:paraId="3D5E1B6F" w14:textId="77777777" w:rsidR="00F15C9A" w:rsidRDefault="00F15C9A">
            <w:pPr>
              <w:spacing w:after="0" w:line="240" w:lineRule="auto"/>
              <w:jc w:val="lef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37-BORÇ VE GİDER KARŞILIKLARI</w:t>
            </w:r>
          </w:p>
        </w:tc>
        <w:tc>
          <w:tcPr>
            <w:tcW w:w="1559" w:type="dxa"/>
            <w:tcBorders>
              <w:top w:val="nil"/>
              <w:left w:val="nil"/>
              <w:bottom w:val="nil"/>
              <w:right w:val="single" w:sz="8" w:space="0" w:color="auto"/>
            </w:tcBorders>
            <w:noWrap/>
            <w:vAlign w:val="center"/>
            <w:hideMark/>
          </w:tcPr>
          <w:p w14:paraId="5E4F4FA8" w14:textId="77777777" w:rsidR="00F15C9A" w:rsidRDefault="00F15C9A">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742.789,37</w:t>
            </w:r>
          </w:p>
        </w:tc>
        <w:tc>
          <w:tcPr>
            <w:tcW w:w="1701" w:type="dxa"/>
            <w:tcBorders>
              <w:top w:val="nil"/>
              <w:left w:val="nil"/>
              <w:bottom w:val="nil"/>
              <w:right w:val="single" w:sz="8" w:space="0" w:color="auto"/>
            </w:tcBorders>
            <w:noWrap/>
            <w:vAlign w:val="center"/>
            <w:hideMark/>
          </w:tcPr>
          <w:p w14:paraId="23AFD42C" w14:textId="77777777" w:rsidR="00F15C9A" w:rsidRDefault="00F15C9A">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0,00</w:t>
            </w:r>
          </w:p>
        </w:tc>
        <w:tc>
          <w:tcPr>
            <w:tcW w:w="1701" w:type="dxa"/>
            <w:tcBorders>
              <w:top w:val="nil"/>
              <w:left w:val="nil"/>
              <w:bottom w:val="nil"/>
              <w:right w:val="single" w:sz="8" w:space="0" w:color="auto"/>
            </w:tcBorders>
            <w:noWrap/>
            <w:vAlign w:val="center"/>
            <w:hideMark/>
          </w:tcPr>
          <w:p w14:paraId="2B6B644B" w14:textId="77777777" w:rsidR="00F15C9A" w:rsidRDefault="00F15C9A">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0,00</w:t>
            </w:r>
          </w:p>
        </w:tc>
        <w:tc>
          <w:tcPr>
            <w:tcW w:w="6" w:type="dxa"/>
            <w:tcBorders>
              <w:top w:val="nil"/>
              <w:left w:val="nil"/>
              <w:bottom w:val="nil"/>
              <w:right w:val="nil"/>
            </w:tcBorders>
            <w:vAlign w:val="center"/>
            <w:hideMark/>
          </w:tcPr>
          <w:p w14:paraId="51F34F96" w14:textId="77777777" w:rsidR="00F15C9A" w:rsidRDefault="00F15C9A">
            <w:pPr>
              <w:rPr>
                <w:rFonts w:ascii="Arial" w:eastAsia="Times New Roman" w:hAnsi="Arial" w:cs="Arial"/>
                <w:b/>
                <w:bCs/>
                <w:color w:val="000000"/>
                <w:sz w:val="18"/>
                <w:szCs w:val="18"/>
                <w:lang w:eastAsia="tr-TR"/>
              </w:rPr>
            </w:pPr>
          </w:p>
        </w:tc>
      </w:tr>
      <w:tr w:rsidR="00F15C9A" w14:paraId="26448923" w14:textId="77777777" w:rsidTr="00F15C9A">
        <w:trPr>
          <w:trHeight w:val="290"/>
          <w:jc w:val="center"/>
        </w:trPr>
        <w:tc>
          <w:tcPr>
            <w:tcW w:w="207" w:type="dxa"/>
            <w:tcBorders>
              <w:top w:val="nil"/>
              <w:left w:val="single" w:sz="8" w:space="0" w:color="auto"/>
              <w:bottom w:val="nil"/>
              <w:right w:val="nil"/>
            </w:tcBorders>
            <w:noWrap/>
            <w:vAlign w:val="center"/>
            <w:hideMark/>
          </w:tcPr>
          <w:p w14:paraId="207B1147" w14:textId="77777777" w:rsidR="00F15C9A" w:rsidRDefault="00F15C9A">
            <w:pPr>
              <w:spacing w:after="0" w:line="240" w:lineRule="auto"/>
              <w:jc w:val="lef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 </w:t>
            </w:r>
          </w:p>
        </w:tc>
        <w:tc>
          <w:tcPr>
            <w:tcW w:w="181" w:type="dxa"/>
            <w:noWrap/>
            <w:vAlign w:val="center"/>
            <w:hideMark/>
          </w:tcPr>
          <w:p w14:paraId="2C5288C4" w14:textId="77777777" w:rsidR="00F15C9A" w:rsidRDefault="00F15C9A">
            <w:pPr>
              <w:rPr>
                <w:rFonts w:ascii="Arial" w:eastAsia="Times New Roman" w:hAnsi="Arial" w:cs="Arial"/>
                <w:color w:val="000000"/>
                <w:sz w:val="18"/>
                <w:szCs w:val="18"/>
                <w:lang w:eastAsia="tr-TR"/>
              </w:rPr>
            </w:pPr>
          </w:p>
        </w:tc>
        <w:tc>
          <w:tcPr>
            <w:tcW w:w="2484" w:type="dxa"/>
            <w:tcBorders>
              <w:top w:val="nil"/>
              <w:left w:val="nil"/>
              <w:bottom w:val="nil"/>
              <w:right w:val="single" w:sz="8" w:space="0" w:color="auto"/>
            </w:tcBorders>
            <w:noWrap/>
            <w:vAlign w:val="center"/>
            <w:hideMark/>
          </w:tcPr>
          <w:p w14:paraId="755594FA" w14:textId="77777777" w:rsidR="00F15C9A" w:rsidRDefault="00F15C9A">
            <w:pPr>
              <w:spacing w:after="0" w:line="240" w:lineRule="auto"/>
              <w:jc w:val="lef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140-Kişilerden Alacaklar Hesabı</w:t>
            </w:r>
          </w:p>
        </w:tc>
        <w:tc>
          <w:tcPr>
            <w:tcW w:w="1430" w:type="dxa"/>
            <w:tcBorders>
              <w:top w:val="nil"/>
              <w:left w:val="nil"/>
              <w:bottom w:val="nil"/>
              <w:right w:val="single" w:sz="8" w:space="0" w:color="auto"/>
            </w:tcBorders>
            <w:noWrap/>
            <w:vAlign w:val="center"/>
            <w:hideMark/>
          </w:tcPr>
          <w:p w14:paraId="6F41297D"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581.867,03</w:t>
            </w:r>
          </w:p>
        </w:tc>
        <w:tc>
          <w:tcPr>
            <w:tcW w:w="1652" w:type="dxa"/>
            <w:noWrap/>
            <w:vAlign w:val="center"/>
            <w:hideMark/>
          </w:tcPr>
          <w:p w14:paraId="31E18531"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570.286,16</w:t>
            </w:r>
          </w:p>
        </w:tc>
        <w:tc>
          <w:tcPr>
            <w:tcW w:w="1559" w:type="dxa"/>
            <w:tcBorders>
              <w:top w:val="nil"/>
              <w:left w:val="single" w:sz="8" w:space="0" w:color="auto"/>
              <w:bottom w:val="nil"/>
              <w:right w:val="single" w:sz="8" w:space="0" w:color="auto"/>
            </w:tcBorders>
            <w:noWrap/>
            <w:vAlign w:val="center"/>
            <w:hideMark/>
          </w:tcPr>
          <w:p w14:paraId="33BF681E"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1.029.473,69</w:t>
            </w:r>
          </w:p>
        </w:tc>
        <w:tc>
          <w:tcPr>
            <w:tcW w:w="160" w:type="dxa"/>
            <w:noWrap/>
            <w:vAlign w:val="center"/>
            <w:hideMark/>
          </w:tcPr>
          <w:p w14:paraId="510A0D08" w14:textId="77777777" w:rsidR="00F15C9A" w:rsidRDefault="00F15C9A">
            <w:pPr>
              <w:spacing w:after="0" w:line="240" w:lineRule="auto"/>
              <w:jc w:val="lef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 xml:space="preserve">           </w:t>
            </w:r>
          </w:p>
        </w:tc>
        <w:tc>
          <w:tcPr>
            <w:tcW w:w="160" w:type="dxa"/>
            <w:noWrap/>
            <w:vAlign w:val="center"/>
            <w:hideMark/>
          </w:tcPr>
          <w:p w14:paraId="09A2C659" w14:textId="77777777" w:rsidR="00F15C9A" w:rsidRDefault="00F15C9A">
            <w:pPr>
              <w:rPr>
                <w:rFonts w:ascii="Arial" w:eastAsia="Times New Roman" w:hAnsi="Arial" w:cs="Arial"/>
                <w:color w:val="000000"/>
                <w:sz w:val="18"/>
                <w:szCs w:val="18"/>
                <w:lang w:eastAsia="tr-TR"/>
              </w:rPr>
            </w:pPr>
          </w:p>
        </w:tc>
        <w:tc>
          <w:tcPr>
            <w:tcW w:w="3224" w:type="dxa"/>
            <w:tcBorders>
              <w:top w:val="nil"/>
              <w:left w:val="nil"/>
              <w:bottom w:val="nil"/>
              <w:right w:val="single" w:sz="8" w:space="0" w:color="auto"/>
            </w:tcBorders>
            <w:noWrap/>
            <w:vAlign w:val="center"/>
            <w:hideMark/>
          </w:tcPr>
          <w:p w14:paraId="44A00106" w14:textId="77777777" w:rsidR="00F15C9A" w:rsidRDefault="00F15C9A">
            <w:pPr>
              <w:spacing w:after="0" w:line="240" w:lineRule="auto"/>
              <w:jc w:val="lef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372-Kıdem Tazminatı Karşılığı Hesabı</w:t>
            </w:r>
          </w:p>
        </w:tc>
        <w:tc>
          <w:tcPr>
            <w:tcW w:w="1559" w:type="dxa"/>
            <w:tcBorders>
              <w:top w:val="nil"/>
              <w:left w:val="nil"/>
              <w:bottom w:val="nil"/>
              <w:right w:val="single" w:sz="8" w:space="0" w:color="auto"/>
            </w:tcBorders>
            <w:noWrap/>
            <w:vAlign w:val="center"/>
            <w:hideMark/>
          </w:tcPr>
          <w:p w14:paraId="495421F7"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742.789,37</w:t>
            </w:r>
          </w:p>
        </w:tc>
        <w:tc>
          <w:tcPr>
            <w:tcW w:w="1701" w:type="dxa"/>
            <w:tcBorders>
              <w:top w:val="nil"/>
              <w:left w:val="nil"/>
              <w:bottom w:val="nil"/>
              <w:right w:val="single" w:sz="8" w:space="0" w:color="auto"/>
            </w:tcBorders>
            <w:noWrap/>
            <w:vAlign w:val="center"/>
            <w:hideMark/>
          </w:tcPr>
          <w:p w14:paraId="3BA7D1F4"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0,00</w:t>
            </w:r>
          </w:p>
        </w:tc>
        <w:tc>
          <w:tcPr>
            <w:tcW w:w="1701" w:type="dxa"/>
            <w:tcBorders>
              <w:top w:val="nil"/>
              <w:left w:val="nil"/>
              <w:bottom w:val="nil"/>
              <w:right w:val="single" w:sz="8" w:space="0" w:color="auto"/>
            </w:tcBorders>
            <w:noWrap/>
            <w:vAlign w:val="center"/>
            <w:hideMark/>
          </w:tcPr>
          <w:p w14:paraId="302E5396"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0,00</w:t>
            </w:r>
          </w:p>
        </w:tc>
        <w:tc>
          <w:tcPr>
            <w:tcW w:w="6" w:type="dxa"/>
            <w:tcBorders>
              <w:top w:val="nil"/>
              <w:left w:val="nil"/>
              <w:bottom w:val="nil"/>
              <w:right w:val="nil"/>
            </w:tcBorders>
            <w:vAlign w:val="center"/>
            <w:hideMark/>
          </w:tcPr>
          <w:p w14:paraId="7C496214" w14:textId="77777777" w:rsidR="00F15C9A" w:rsidRDefault="00F15C9A">
            <w:pPr>
              <w:rPr>
                <w:rFonts w:ascii="Arial" w:eastAsia="Times New Roman" w:hAnsi="Arial" w:cs="Arial"/>
                <w:color w:val="000000"/>
                <w:sz w:val="18"/>
                <w:szCs w:val="18"/>
                <w:lang w:eastAsia="tr-TR"/>
              </w:rPr>
            </w:pPr>
          </w:p>
        </w:tc>
      </w:tr>
      <w:tr w:rsidR="00F15C9A" w14:paraId="02E65698" w14:textId="77777777" w:rsidTr="00F15C9A">
        <w:trPr>
          <w:trHeight w:val="290"/>
          <w:jc w:val="center"/>
        </w:trPr>
        <w:tc>
          <w:tcPr>
            <w:tcW w:w="207" w:type="dxa"/>
            <w:tcBorders>
              <w:top w:val="nil"/>
              <w:left w:val="single" w:sz="8" w:space="0" w:color="auto"/>
              <w:bottom w:val="nil"/>
              <w:right w:val="nil"/>
            </w:tcBorders>
            <w:noWrap/>
            <w:vAlign w:val="center"/>
            <w:hideMark/>
          </w:tcPr>
          <w:p w14:paraId="2E4DBE89" w14:textId="77777777" w:rsidR="00F15C9A" w:rsidRDefault="00F15C9A">
            <w:pPr>
              <w:spacing w:after="0" w:line="240" w:lineRule="auto"/>
              <w:jc w:val="lef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 </w:t>
            </w:r>
          </w:p>
        </w:tc>
        <w:tc>
          <w:tcPr>
            <w:tcW w:w="181" w:type="dxa"/>
            <w:noWrap/>
            <w:vAlign w:val="center"/>
            <w:hideMark/>
          </w:tcPr>
          <w:p w14:paraId="779357CC" w14:textId="77777777" w:rsidR="00F15C9A" w:rsidRDefault="00F15C9A">
            <w:pPr>
              <w:rPr>
                <w:rFonts w:ascii="Arial" w:eastAsia="Times New Roman" w:hAnsi="Arial" w:cs="Arial"/>
                <w:color w:val="000000"/>
                <w:sz w:val="18"/>
                <w:szCs w:val="18"/>
                <w:lang w:eastAsia="tr-TR"/>
              </w:rPr>
            </w:pPr>
          </w:p>
        </w:tc>
        <w:tc>
          <w:tcPr>
            <w:tcW w:w="2484" w:type="dxa"/>
            <w:tcBorders>
              <w:top w:val="nil"/>
              <w:left w:val="nil"/>
              <w:bottom w:val="nil"/>
              <w:right w:val="single" w:sz="8" w:space="0" w:color="auto"/>
            </w:tcBorders>
            <w:noWrap/>
            <w:vAlign w:val="center"/>
            <w:hideMark/>
          </w:tcPr>
          <w:p w14:paraId="6A9C18A1" w14:textId="77777777" w:rsidR="00F15C9A" w:rsidRDefault="00F15C9A">
            <w:pPr>
              <w:spacing w:after="0" w:line="240" w:lineRule="auto"/>
              <w:jc w:val="lef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 </w:t>
            </w:r>
          </w:p>
        </w:tc>
        <w:tc>
          <w:tcPr>
            <w:tcW w:w="1430" w:type="dxa"/>
            <w:tcBorders>
              <w:top w:val="nil"/>
              <w:left w:val="nil"/>
              <w:bottom w:val="nil"/>
              <w:right w:val="single" w:sz="8" w:space="0" w:color="auto"/>
            </w:tcBorders>
            <w:noWrap/>
            <w:vAlign w:val="center"/>
          </w:tcPr>
          <w:p w14:paraId="0169CB82" w14:textId="77777777" w:rsidR="00F15C9A" w:rsidRDefault="00F15C9A">
            <w:pPr>
              <w:spacing w:after="0" w:line="240" w:lineRule="auto"/>
              <w:jc w:val="right"/>
              <w:rPr>
                <w:rFonts w:ascii="Arial" w:eastAsia="Times New Roman" w:hAnsi="Arial" w:cs="Arial"/>
                <w:color w:val="000000"/>
                <w:sz w:val="18"/>
                <w:szCs w:val="18"/>
                <w:lang w:eastAsia="tr-TR"/>
              </w:rPr>
            </w:pPr>
          </w:p>
        </w:tc>
        <w:tc>
          <w:tcPr>
            <w:tcW w:w="1652" w:type="dxa"/>
            <w:noWrap/>
            <w:vAlign w:val="center"/>
            <w:hideMark/>
          </w:tcPr>
          <w:p w14:paraId="52B0E6BC" w14:textId="77777777" w:rsidR="00F15C9A" w:rsidRDefault="00F15C9A">
            <w:pPr>
              <w:rPr>
                <w:rFonts w:ascii="Arial" w:eastAsia="Times New Roman" w:hAnsi="Arial" w:cs="Arial"/>
                <w:color w:val="000000"/>
                <w:sz w:val="18"/>
                <w:szCs w:val="18"/>
                <w:lang w:eastAsia="tr-TR"/>
              </w:rPr>
            </w:pPr>
          </w:p>
        </w:tc>
        <w:tc>
          <w:tcPr>
            <w:tcW w:w="1559" w:type="dxa"/>
            <w:tcBorders>
              <w:top w:val="nil"/>
              <w:left w:val="single" w:sz="8" w:space="0" w:color="auto"/>
              <w:bottom w:val="nil"/>
              <w:right w:val="single" w:sz="8" w:space="0" w:color="auto"/>
            </w:tcBorders>
            <w:noWrap/>
            <w:vAlign w:val="center"/>
            <w:hideMark/>
          </w:tcPr>
          <w:p w14:paraId="67909017"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 </w:t>
            </w:r>
          </w:p>
        </w:tc>
        <w:tc>
          <w:tcPr>
            <w:tcW w:w="160" w:type="dxa"/>
            <w:noWrap/>
            <w:vAlign w:val="center"/>
            <w:hideMark/>
          </w:tcPr>
          <w:p w14:paraId="2FF4A6D6" w14:textId="77777777" w:rsidR="00F15C9A" w:rsidRDefault="00F15C9A">
            <w:pPr>
              <w:rPr>
                <w:rFonts w:ascii="Arial" w:eastAsia="Times New Roman" w:hAnsi="Arial" w:cs="Arial"/>
                <w:color w:val="000000"/>
                <w:sz w:val="18"/>
                <w:szCs w:val="18"/>
                <w:lang w:eastAsia="tr-TR"/>
              </w:rPr>
            </w:pPr>
          </w:p>
        </w:tc>
        <w:tc>
          <w:tcPr>
            <w:tcW w:w="160" w:type="dxa"/>
            <w:noWrap/>
            <w:vAlign w:val="center"/>
            <w:hideMark/>
          </w:tcPr>
          <w:p w14:paraId="57B12978" w14:textId="77777777" w:rsidR="00F15C9A" w:rsidRDefault="00F15C9A">
            <w:pPr>
              <w:spacing w:after="0"/>
              <w:jc w:val="left"/>
              <w:rPr>
                <w:rFonts w:eastAsiaTheme="minorHAnsi" w:cstheme="minorBidi"/>
                <w:sz w:val="20"/>
                <w:szCs w:val="20"/>
                <w:lang w:eastAsia="tr-TR"/>
              </w:rPr>
            </w:pPr>
          </w:p>
        </w:tc>
        <w:tc>
          <w:tcPr>
            <w:tcW w:w="3224" w:type="dxa"/>
            <w:tcBorders>
              <w:top w:val="nil"/>
              <w:left w:val="nil"/>
              <w:bottom w:val="nil"/>
              <w:right w:val="single" w:sz="8" w:space="0" w:color="auto"/>
            </w:tcBorders>
            <w:noWrap/>
            <w:vAlign w:val="center"/>
            <w:hideMark/>
          </w:tcPr>
          <w:p w14:paraId="4290D69B" w14:textId="77777777" w:rsidR="00F15C9A" w:rsidRDefault="00F15C9A">
            <w:pPr>
              <w:spacing w:after="0" w:line="240" w:lineRule="auto"/>
              <w:jc w:val="lef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 </w:t>
            </w:r>
          </w:p>
        </w:tc>
        <w:tc>
          <w:tcPr>
            <w:tcW w:w="1559" w:type="dxa"/>
            <w:tcBorders>
              <w:top w:val="nil"/>
              <w:left w:val="nil"/>
              <w:bottom w:val="nil"/>
              <w:right w:val="single" w:sz="8" w:space="0" w:color="auto"/>
            </w:tcBorders>
            <w:noWrap/>
            <w:vAlign w:val="center"/>
          </w:tcPr>
          <w:p w14:paraId="4985D55F" w14:textId="77777777" w:rsidR="00F15C9A" w:rsidRDefault="00F15C9A">
            <w:pPr>
              <w:spacing w:after="0" w:line="240" w:lineRule="auto"/>
              <w:jc w:val="right"/>
              <w:rPr>
                <w:rFonts w:ascii="Arial" w:eastAsia="Times New Roman" w:hAnsi="Arial" w:cs="Arial"/>
                <w:b/>
                <w:bCs/>
                <w:color w:val="000000"/>
                <w:sz w:val="18"/>
                <w:szCs w:val="18"/>
                <w:lang w:eastAsia="tr-TR"/>
              </w:rPr>
            </w:pPr>
          </w:p>
        </w:tc>
        <w:tc>
          <w:tcPr>
            <w:tcW w:w="1701" w:type="dxa"/>
            <w:tcBorders>
              <w:top w:val="nil"/>
              <w:left w:val="nil"/>
              <w:bottom w:val="nil"/>
              <w:right w:val="single" w:sz="8" w:space="0" w:color="auto"/>
            </w:tcBorders>
            <w:noWrap/>
            <w:vAlign w:val="center"/>
            <w:hideMark/>
          </w:tcPr>
          <w:p w14:paraId="2E5767EB" w14:textId="77777777" w:rsidR="00F15C9A" w:rsidRDefault="00F15C9A">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 </w:t>
            </w:r>
          </w:p>
        </w:tc>
        <w:tc>
          <w:tcPr>
            <w:tcW w:w="1701" w:type="dxa"/>
            <w:tcBorders>
              <w:top w:val="nil"/>
              <w:left w:val="nil"/>
              <w:bottom w:val="nil"/>
              <w:right w:val="single" w:sz="8" w:space="0" w:color="auto"/>
            </w:tcBorders>
            <w:noWrap/>
            <w:vAlign w:val="center"/>
            <w:hideMark/>
          </w:tcPr>
          <w:p w14:paraId="6A3A6402" w14:textId="77777777" w:rsidR="00F15C9A" w:rsidRDefault="00F15C9A">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 </w:t>
            </w:r>
          </w:p>
        </w:tc>
        <w:tc>
          <w:tcPr>
            <w:tcW w:w="6" w:type="dxa"/>
            <w:tcBorders>
              <w:top w:val="nil"/>
              <w:left w:val="nil"/>
              <w:bottom w:val="nil"/>
              <w:right w:val="nil"/>
            </w:tcBorders>
            <w:vAlign w:val="center"/>
            <w:hideMark/>
          </w:tcPr>
          <w:p w14:paraId="5D1B7F0F" w14:textId="77777777" w:rsidR="00F15C9A" w:rsidRDefault="00F15C9A">
            <w:pPr>
              <w:rPr>
                <w:rFonts w:ascii="Arial" w:eastAsia="Times New Roman" w:hAnsi="Arial" w:cs="Arial"/>
                <w:b/>
                <w:bCs/>
                <w:color w:val="000000"/>
                <w:sz w:val="18"/>
                <w:szCs w:val="18"/>
                <w:lang w:eastAsia="tr-TR"/>
              </w:rPr>
            </w:pPr>
          </w:p>
        </w:tc>
      </w:tr>
      <w:tr w:rsidR="00F15C9A" w14:paraId="67BDCE46" w14:textId="77777777" w:rsidTr="00F15C9A">
        <w:trPr>
          <w:trHeight w:val="290"/>
          <w:jc w:val="center"/>
        </w:trPr>
        <w:tc>
          <w:tcPr>
            <w:tcW w:w="207" w:type="dxa"/>
            <w:tcBorders>
              <w:top w:val="nil"/>
              <w:left w:val="single" w:sz="8" w:space="0" w:color="auto"/>
              <w:bottom w:val="nil"/>
              <w:right w:val="nil"/>
            </w:tcBorders>
            <w:noWrap/>
            <w:vAlign w:val="center"/>
            <w:hideMark/>
          </w:tcPr>
          <w:p w14:paraId="5994A729" w14:textId="77777777" w:rsidR="00F15C9A" w:rsidRDefault="00F15C9A">
            <w:pPr>
              <w:spacing w:after="0" w:line="240" w:lineRule="auto"/>
              <w:jc w:val="lef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 </w:t>
            </w:r>
          </w:p>
        </w:tc>
        <w:tc>
          <w:tcPr>
            <w:tcW w:w="2665" w:type="dxa"/>
            <w:gridSpan w:val="2"/>
            <w:tcBorders>
              <w:top w:val="nil"/>
              <w:left w:val="nil"/>
              <w:bottom w:val="nil"/>
              <w:right w:val="single" w:sz="8" w:space="0" w:color="000000"/>
            </w:tcBorders>
            <w:noWrap/>
            <w:vAlign w:val="center"/>
            <w:hideMark/>
          </w:tcPr>
          <w:p w14:paraId="36DDB49A" w14:textId="77777777" w:rsidR="00F15C9A" w:rsidRDefault="00F15C9A">
            <w:pPr>
              <w:spacing w:after="0" w:line="240" w:lineRule="auto"/>
              <w:jc w:val="lef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16-ÖN ÖDEMELER</w:t>
            </w:r>
          </w:p>
        </w:tc>
        <w:tc>
          <w:tcPr>
            <w:tcW w:w="1430" w:type="dxa"/>
            <w:tcBorders>
              <w:top w:val="nil"/>
              <w:left w:val="nil"/>
              <w:bottom w:val="nil"/>
              <w:right w:val="single" w:sz="8" w:space="0" w:color="auto"/>
            </w:tcBorders>
            <w:noWrap/>
            <w:vAlign w:val="center"/>
            <w:hideMark/>
          </w:tcPr>
          <w:p w14:paraId="72664737" w14:textId="77777777" w:rsidR="00F15C9A" w:rsidRDefault="00F15C9A">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7.957.650,75</w:t>
            </w:r>
          </w:p>
        </w:tc>
        <w:tc>
          <w:tcPr>
            <w:tcW w:w="1652" w:type="dxa"/>
            <w:noWrap/>
            <w:vAlign w:val="center"/>
            <w:hideMark/>
          </w:tcPr>
          <w:p w14:paraId="58C70FED" w14:textId="77777777" w:rsidR="00F15C9A" w:rsidRDefault="00F15C9A">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14.133.001,31</w:t>
            </w:r>
          </w:p>
        </w:tc>
        <w:tc>
          <w:tcPr>
            <w:tcW w:w="1559" w:type="dxa"/>
            <w:tcBorders>
              <w:top w:val="nil"/>
              <w:left w:val="single" w:sz="8" w:space="0" w:color="auto"/>
              <w:bottom w:val="nil"/>
              <w:right w:val="single" w:sz="8" w:space="0" w:color="auto"/>
            </w:tcBorders>
            <w:noWrap/>
            <w:vAlign w:val="center"/>
            <w:hideMark/>
          </w:tcPr>
          <w:p w14:paraId="67BAD62E" w14:textId="77777777" w:rsidR="00F15C9A" w:rsidRDefault="00F15C9A">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25.908.210,30</w:t>
            </w:r>
          </w:p>
        </w:tc>
        <w:tc>
          <w:tcPr>
            <w:tcW w:w="3544" w:type="dxa"/>
            <w:gridSpan w:val="3"/>
            <w:tcBorders>
              <w:top w:val="nil"/>
              <w:left w:val="nil"/>
              <w:bottom w:val="nil"/>
              <w:right w:val="single" w:sz="8" w:space="0" w:color="000000"/>
            </w:tcBorders>
            <w:noWrap/>
            <w:vAlign w:val="center"/>
            <w:hideMark/>
          </w:tcPr>
          <w:p w14:paraId="05B78FCF" w14:textId="77777777" w:rsidR="00F15C9A" w:rsidRDefault="00F15C9A">
            <w:pPr>
              <w:spacing w:after="0" w:line="240" w:lineRule="auto"/>
              <w:jc w:val="lef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4-UZUN VADELİ YABANCI KAYNAKLAR</w:t>
            </w:r>
          </w:p>
        </w:tc>
        <w:tc>
          <w:tcPr>
            <w:tcW w:w="1559" w:type="dxa"/>
            <w:tcBorders>
              <w:top w:val="nil"/>
              <w:left w:val="nil"/>
              <w:bottom w:val="nil"/>
              <w:right w:val="single" w:sz="8" w:space="0" w:color="auto"/>
            </w:tcBorders>
            <w:noWrap/>
            <w:vAlign w:val="center"/>
            <w:hideMark/>
          </w:tcPr>
          <w:p w14:paraId="6E14BDA8" w14:textId="77777777" w:rsidR="00F15C9A" w:rsidRDefault="00F15C9A">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40.102.364,23</w:t>
            </w:r>
          </w:p>
        </w:tc>
        <w:tc>
          <w:tcPr>
            <w:tcW w:w="1701" w:type="dxa"/>
            <w:tcBorders>
              <w:top w:val="nil"/>
              <w:left w:val="nil"/>
              <w:bottom w:val="nil"/>
              <w:right w:val="single" w:sz="8" w:space="0" w:color="auto"/>
            </w:tcBorders>
            <w:noWrap/>
            <w:vAlign w:val="center"/>
            <w:hideMark/>
          </w:tcPr>
          <w:p w14:paraId="2CBCBE7C" w14:textId="77777777" w:rsidR="00F15C9A" w:rsidRDefault="00F15C9A">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73.566.760,48</w:t>
            </w:r>
          </w:p>
        </w:tc>
        <w:tc>
          <w:tcPr>
            <w:tcW w:w="1701" w:type="dxa"/>
            <w:tcBorders>
              <w:top w:val="nil"/>
              <w:left w:val="nil"/>
              <w:bottom w:val="nil"/>
              <w:right w:val="single" w:sz="8" w:space="0" w:color="auto"/>
            </w:tcBorders>
            <w:noWrap/>
            <w:vAlign w:val="center"/>
            <w:hideMark/>
          </w:tcPr>
          <w:p w14:paraId="5FE4569D" w14:textId="77777777" w:rsidR="00F15C9A" w:rsidRDefault="00F15C9A">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153.385.431,51</w:t>
            </w:r>
          </w:p>
        </w:tc>
        <w:tc>
          <w:tcPr>
            <w:tcW w:w="6" w:type="dxa"/>
            <w:tcBorders>
              <w:top w:val="nil"/>
              <w:left w:val="nil"/>
              <w:bottom w:val="nil"/>
              <w:right w:val="nil"/>
            </w:tcBorders>
            <w:vAlign w:val="center"/>
            <w:hideMark/>
          </w:tcPr>
          <w:p w14:paraId="55DBAE62" w14:textId="77777777" w:rsidR="00F15C9A" w:rsidRDefault="00F15C9A">
            <w:pPr>
              <w:rPr>
                <w:rFonts w:ascii="Arial" w:eastAsia="Times New Roman" w:hAnsi="Arial" w:cs="Arial"/>
                <w:b/>
                <w:bCs/>
                <w:color w:val="000000"/>
                <w:sz w:val="18"/>
                <w:szCs w:val="18"/>
                <w:lang w:eastAsia="tr-TR"/>
              </w:rPr>
            </w:pPr>
          </w:p>
        </w:tc>
      </w:tr>
      <w:tr w:rsidR="00F15C9A" w14:paraId="772622FC" w14:textId="77777777" w:rsidTr="00F15C9A">
        <w:trPr>
          <w:trHeight w:val="290"/>
          <w:jc w:val="center"/>
        </w:trPr>
        <w:tc>
          <w:tcPr>
            <w:tcW w:w="207" w:type="dxa"/>
            <w:tcBorders>
              <w:top w:val="nil"/>
              <w:left w:val="single" w:sz="8" w:space="0" w:color="auto"/>
              <w:bottom w:val="nil"/>
              <w:right w:val="nil"/>
            </w:tcBorders>
            <w:noWrap/>
            <w:vAlign w:val="center"/>
            <w:hideMark/>
          </w:tcPr>
          <w:p w14:paraId="779F4A1D" w14:textId="77777777" w:rsidR="00F15C9A" w:rsidRDefault="00F15C9A">
            <w:pPr>
              <w:spacing w:after="0" w:line="240" w:lineRule="auto"/>
              <w:jc w:val="lef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 </w:t>
            </w:r>
          </w:p>
        </w:tc>
        <w:tc>
          <w:tcPr>
            <w:tcW w:w="181" w:type="dxa"/>
            <w:noWrap/>
            <w:vAlign w:val="center"/>
            <w:hideMark/>
          </w:tcPr>
          <w:p w14:paraId="34EB2FF3" w14:textId="77777777" w:rsidR="00F15C9A" w:rsidRDefault="00F15C9A">
            <w:pPr>
              <w:rPr>
                <w:rFonts w:ascii="Arial" w:eastAsia="Times New Roman" w:hAnsi="Arial" w:cs="Arial"/>
                <w:color w:val="000000"/>
                <w:sz w:val="18"/>
                <w:szCs w:val="18"/>
                <w:lang w:eastAsia="tr-TR"/>
              </w:rPr>
            </w:pPr>
          </w:p>
        </w:tc>
        <w:tc>
          <w:tcPr>
            <w:tcW w:w="2484" w:type="dxa"/>
            <w:tcBorders>
              <w:top w:val="nil"/>
              <w:left w:val="nil"/>
              <w:bottom w:val="nil"/>
              <w:right w:val="single" w:sz="8" w:space="0" w:color="auto"/>
            </w:tcBorders>
            <w:noWrap/>
            <w:vAlign w:val="center"/>
            <w:hideMark/>
          </w:tcPr>
          <w:p w14:paraId="3D9B4908" w14:textId="77777777" w:rsidR="00F15C9A" w:rsidRDefault="00F15C9A">
            <w:pPr>
              <w:spacing w:after="0" w:line="240" w:lineRule="auto"/>
              <w:jc w:val="lef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162-Bütçe Dışı Avans ve Krediler Hesabı</w:t>
            </w:r>
          </w:p>
        </w:tc>
        <w:tc>
          <w:tcPr>
            <w:tcW w:w="1430" w:type="dxa"/>
            <w:tcBorders>
              <w:top w:val="nil"/>
              <w:left w:val="nil"/>
              <w:bottom w:val="nil"/>
              <w:right w:val="single" w:sz="8" w:space="0" w:color="auto"/>
            </w:tcBorders>
            <w:noWrap/>
            <w:vAlign w:val="center"/>
            <w:hideMark/>
          </w:tcPr>
          <w:p w14:paraId="094D83E3"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7.957.650,75</w:t>
            </w:r>
          </w:p>
        </w:tc>
        <w:tc>
          <w:tcPr>
            <w:tcW w:w="1652" w:type="dxa"/>
            <w:noWrap/>
            <w:vAlign w:val="center"/>
            <w:hideMark/>
          </w:tcPr>
          <w:p w14:paraId="7DC955FB"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14.133.001,31</w:t>
            </w:r>
          </w:p>
        </w:tc>
        <w:tc>
          <w:tcPr>
            <w:tcW w:w="1559" w:type="dxa"/>
            <w:tcBorders>
              <w:top w:val="nil"/>
              <w:left w:val="single" w:sz="8" w:space="0" w:color="auto"/>
              <w:bottom w:val="nil"/>
              <w:right w:val="single" w:sz="8" w:space="0" w:color="auto"/>
            </w:tcBorders>
            <w:noWrap/>
            <w:vAlign w:val="center"/>
            <w:hideMark/>
          </w:tcPr>
          <w:p w14:paraId="2FF47911"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25.908.210,30</w:t>
            </w:r>
          </w:p>
        </w:tc>
        <w:tc>
          <w:tcPr>
            <w:tcW w:w="160" w:type="dxa"/>
            <w:noWrap/>
            <w:vAlign w:val="bottom"/>
            <w:hideMark/>
          </w:tcPr>
          <w:p w14:paraId="50D556D1" w14:textId="77777777" w:rsidR="00F15C9A" w:rsidRDefault="00F15C9A">
            <w:pPr>
              <w:rPr>
                <w:rFonts w:ascii="Arial" w:eastAsia="Times New Roman" w:hAnsi="Arial" w:cs="Arial"/>
                <w:color w:val="000000"/>
                <w:sz w:val="18"/>
                <w:szCs w:val="18"/>
                <w:lang w:eastAsia="tr-TR"/>
              </w:rPr>
            </w:pPr>
          </w:p>
        </w:tc>
        <w:tc>
          <w:tcPr>
            <w:tcW w:w="3384" w:type="dxa"/>
            <w:gridSpan w:val="2"/>
            <w:tcBorders>
              <w:top w:val="nil"/>
              <w:left w:val="nil"/>
              <w:bottom w:val="nil"/>
              <w:right w:val="single" w:sz="8" w:space="0" w:color="000000"/>
            </w:tcBorders>
            <w:noWrap/>
            <w:vAlign w:val="center"/>
            <w:hideMark/>
          </w:tcPr>
          <w:p w14:paraId="2370815F" w14:textId="77777777" w:rsidR="00F15C9A" w:rsidRDefault="00F15C9A">
            <w:pPr>
              <w:spacing w:after="0" w:line="240" w:lineRule="auto"/>
              <w:jc w:val="lef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43-DİĞER BORÇLAR</w:t>
            </w:r>
          </w:p>
        </w:tc>
        <w:tc>
          <w:tcPr>
            <w:tcW w:w="1559" w:type="dxa"/>
            <w:tcBorders>
              <w:top w:val="nil"/>
              <w:left w:val="nil"/>
              <w:bottom w:val="nil"/>
              <w:right w:val="single" w:sz="8" w:space="0" w:color="auto"/>
            </w:tcBorders>
            <w:noWrap/>
            <w:vAlign w:val="center"/>
            <w:hideMark/>
          </w:tcPr>
          <w:p w14:paraId="2E1FCD24" w14:textId="77777777" w:rsidR="00F15C9A" w:rsidRDefault="00F15C9A">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5.586.447,40</w:t>
            </w:r>
          </w:p>
        </w:tc>
        <w:tc>
          <w:tcPr>
            <w:tcW w:w="1701" w:type="dxa"/>
            <w:tcBorders>
              <w:top w:val="nil"/>
              <w:left w:val="nil"/>
              <w:bottom w:val="nil"/>
              <w:right w:val="single" w:sz="8" w:space="0" w:color="auto"/>
            </w:tcBorders>
            <w:noWrap/>
            <w:vAlign w:val="center"/>
            <w:hideMark/>
          </w:tcPr>
          <w:p w14:paraId="150D9754" w14:textId="77777777" w:rsidR="00F15C9A" w:rsidRDefault="00F15C9A">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15.381.368,99</w:t>
            </w:r>
          </w:p>
        </w:tc>
        <w:tc>
          <w:tcPr>
            <w:tcW w:w="1701" w:type="dxa"/>
            <w:tcBorders>
              <w:top w:val="nil"/>
              <w:left w:val="nil"/>
              <w:bottom w:val="nil"/>
              <w:right w:val="single" w:sz="8" w:space="0" w:color="auto"/>
            </w:tcBorders>
            <w:noWrap/>
            <w:vAlign w:val="center"/>
            <w:hideMark/>
          </w:tcPr>
          <w:p w14:paraId="45731C4D" w14:textId="77777777" w:rsidR="00F15C9A" w:rsidRDefault="00F15C9A">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40.889.393,51</w:t>
            </w:r>
          </w:p>
        </w:tc>
        <w:tc>
          <w:tcPr>
            <w:tcW w:w="6" w:type="dxa"/>
            <w:tcBorders>
              <w:top w:val="nil"/>
              <w:left w:val="nil"/>
              <w:bottom w:val="nil"/>
              <w:right w:val="nil"/>
            </w:tcBorders>
            <w:vAlign w:val="center"/>
            <w:hideMark/>
          </w:tcPr>
          <w:p w14:paraId="6C1184F2" w14:textId="77777777" w:rsidR="00F15C9A" w:rsidRDefault="00F15C9A">
            <w:pPr>
              <w:rPr>
                <w:rFonts w:ascii="Arial" w:eastAsia="Times New Roman" w:hAnsi="Arial" w:cs="Arial"/>
                <w:b/>
                <w:bCs/>
                <w:color w:val="000000"/>
                <w:sz w:val="18"/>
                <w:szCs w:val="18"/>
                <w:lang w:eastAsia="tr-TR"/>
              </w:rPr>
            </w:pPr>
          </w:p>
        </w:tc>
      </w:tr>
      <w:tr w:rsidR="00F15C9A" w14:paraId="10550B27" w14:textId="77777777" w:rsidTr="00F15C9A">
        <w:trPr>
          <w:trHeight w:val="290"/>
          <w:jc w:val="center"/>
        </w:trPr>
        <w:tc>
          <w:tcPr>
            <w:tcW w:w="207" w:type="dxa"/>
            <w:tcBorders>
              <w:top w:val="nil"/>
              <w:left w:val="single" w:sz="8" w:space="0" w:color="auto"/>
              <w:bottom w:val="nil"/>
              <w:right w:val="nil"/>
            </w:tcBorders>
            <w:noWrap/>
            <w:vAlign w:val="center"/>
            <w:hideMark/>
          </w:tcPr>
          <w:p w14:paraId="0D190D1E" w14:textId="77777777" w:rsidR="00F15C9A" w:rsidRDefault="00F15C9A">
            <w:pPr>
              <w:spacing w:after="0" w:line="240" w:lineRule="auto"/>
              <w:jc w:val="lef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 </w:t>
            </w:r>
          </w:p>
        </w:tc>
        <w:tc>
          <w:tcPr>
            <w:tcW w:w="181" w:type="dxa"/>
            <w:noWrap/>
            <w:vAlign w:val="center"/>
            <w:hideMark/>
          </w:tcPr>
          <w:p w14:paraId="1518FD36" w14:textId="77777777" w:rsidR="00F15C9A" w:rsidRDefault="00F15C9A">
            <w:pPr>
              <w:rPr>
                <w:rFonts w:ascii="Arial" w:eastAsia="Times New Roman" w:hAnsi="Arial" w:cs="Arial"/>
                <w:color w:val="000000"/>
                <w:sz w:val="18"/>
                <w:szCs w:val="18"/>
                <w:lang w:eastAsia="tr-TR"/>
              </w:rPr>
            </w:pPr>
          </w:p>
        </w:tc>
        <w:tc>
          <w:tcPr>
            <w:tcW w:w="2484" w:type="dxa"/>
            <w:tcBorders>
              <w:top w:val="nil"/>
              <w:left w:val="nil"/>
              <w:bottom w:val="nil"/>
              <w:right w:val="single" w:sz="8" w:space="0" w:color="auto"/>
            </w:tcBorders>
            <w:noWrap/>
            <w:vAlign w:val="center"/>
            <w:hideMark/>
          </w:tcPr>
          <w:p w14:paraId="7AB6B4C4" w14:textId="77777777" w:rsidR="00F15C9A" w:rsidRDefault="00F15C9A">
            <w:pPr>
              <w:spacing w:after="0" w:line="240" w:lineRule="auto"/>
              <w:jc w:val="lef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 </w:t>
            </w:r>
          </w:p>
        </w:tc>
        <w:tc>
          <w:tcPr>
            <w:tcW w:w="1430" w:type="dxa"/>
            <w:tcBorders>
              <w:top w:val="nil"/>
              <w:left w:val="nil"/>
              <w:bottom w:val="nil"/>
              <w:right w:val="single" w:sz="8" w:space="0" w:color="auto"/>
            </w:tcBorders>
            <w:noWrap/>
            <w:vAlign w:val="center"/>
          </w:tcPr>
          <w:p w14:paraId="4E41AD3A" w14:textId="77777777" w:rsidR="00F15C9A" w:rsidRDefault="00F15C9A">
            <w:pPr>
              <w:spacing w:after="0" w:line="240" w:lineRule="auto"/>
              <w:jc w:val="right"/>
              <w:rPr>
                <w:rFonts w:ascii="Arial" w:eastAsia="Times New Roman" w:hAnsi="Arial" w:cs="Arial"/>
                <w:color w:val="000000"/>
                <w:sz w:val="18"/>
                <w:szCs w:val="18"/>
                <w:lang w:eastAsia="tr-TR"/>
              </w:rPr>
            </w:pPr>
          </w:p>
        </w:tc>
        <w:tc>
          <w:tcPr>
            <w:tcW w:w="1652" w:type="dxa"/>
            <w:noWrap/>
            <w:vAlign w:val="center"/>
            <w:hideMark/>
          </w:tcPr>
          <w:p w14:paraId="489F64CF" w14:textId="77777777" w:rsidR="00F15C9A" w:rsidRDefault="00F15C9A">
            <w:pPr>
              <w:rPr>
                <w:rFonts w:ascii="Arial" w:eastAsia="Times New Roman" w:hAnsi="Arial" w:cs="Arial"/>
                <w:color w:val="000000"/>
                <w:sz w:val="18"/>
                <w:szCs w:val="18"/>
                <w:lang w:eastAsia="tr-TR"/>
              </w:rPr>
            </w:pPr>
          </w:p>
        </w:tc>
        <w:tc>
          <w:tcPr>
            <w:tcW w:w="1559" w:type="dxa"/>
            <w:tcBorders>
              <w:top w:val="nil"/>
              <w:left w:val="single" w:sz="8" w:space="0" w:color="auto"/>
              <w:bottom w:val="nil"/>
              <w:right w:val="single" w:sz="8" w:space="0" w:color="auto"/>
            </w:tcBorders>
            <w:noWrap/>
            <w:vAlign w:val="center"/>
            <w:hideMark/>
          </w:tcPr>
          <w:p w14:paraId="25EB31C4"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 </w:t>
            </w:r>
          </w:p>
        </w:tc>
        <w:tc>
          <w:tcPr>
            <w:tcW w:w="160" w:type="dxa"/>
            <w:noWrap/>
            <w:vAlign w:val="bottom"/>
            <w:hideMark/>
          </w:tcPr>
          <w:p w14:paraId="4AE0FA81" w14:textId="77777777" w:rsidR="00F15C9A" w:rsidRDefault="00F15C9A">
            <w:pPr>
              <w:rPr>
                <w:rFonts w:ascii="Arial" w:eastAsia="Times New Roman" w:hAnsi="Arial" w:cs="Arial"/>
                <w:color w:val="000000"/>
                <w:sz w:val="18"/>
                <w:szCs w:val="18"/>
                <w:lang w:eastAsia="tr-TR"/>
              </w:rPr>
            </w:pPr>
          </w:p>
        </w:tc>
        <w:tc>
          <w:tcPr>
            <w:tcW w:w="160" w:type="dxa"/>
            <w:noWrap/>
            <w:vAlign w:val="bottom"/>
            <w:hideMark/>
          </w:tcPr>
          <w:p w14:paraId="33F6F996" w14:textId="77777777" w:rsidR="00F15C9A" w:rsidRDefault="00F15C9A">
            <w:pPr>
              <w:spacing w:after="0"/>
              <w:jc w:val="left"/>
              <w:rPr>
                <w:rFonts w:eastAsiaTheme="minorHAnsi" w:cstheme="minorBidi"/>
                <w:sz w:val="20"/>
                <w:szCs w:val="20"/>
                <w:lang w:eastAsia="tr-TR"/>
              </w:rPr>
            </w:pPr>
          </w:p>
        </w:tc>
        <w:tc>
          <w:tcPr>
            <w:tcW w:w="3224" w:type="dxa"/>
            <w:tcBorders>
              <w:top w:val="nil"/>
              <w:left w:val="nil"/>
              <w:bottom w:val="nil"/>
              <w:right w:val="single" w:sz="8" w:space="0" w:color="auto"/>
            </w:tcBorders>
            <w:noWrap/>
            <w:vAlign w:val="center"/>
            <w:hideMark/>
          </w:tcPr>
          <w:p w14:paraId="24D1B75A" w14:textId="77777777" w:rsidR="00F15C9A" w:rsidRDefault="00F15C9A">
            <w:pPr>
              <w:spacing w:after="0" w:line="240" w:lineRule="auto"/>
              <w:jc w:val="lef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430-Alınan Depozito ve Teminatlar</w:t>
            </w:r>
          </w:p>
        </w:tc>
        <w:tc>
          <w:tcPr>
            <w:tcW w:w="1559" w:type="dxa"/>
            <w:tcBorders>
              <w:top w:val="nil"/>
              <w:left w:val="nil"/>
              <w:bottom w:val="nil"/>
              <w:right w:val="single" w:sz="8" w:space="0" w:color="auto"/>
            </w:tcBorders>
            <w:noWrap/>
            <w:vAlign w:val="center"/>
            <w:hideMark/>
          </w:tcPr>
          <w:p w14:paraId="1C73B297"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5.586.447,40</w:t>
            </w:r>
          </w:p>
        </w:tc>
        <w:tc>
          <w:tcPr>
            <w:tcW w:w="1701" w:type="dxa"/>
            <w:tcBorders>
              <w:top w:val="nil"/>
              <w:left w:val="nil"/>
              <w:bottom w:val="nil"/>
              <w:right w:val="single" w:sz="8" w:space="0" w:color="auto"/>
            </w:tcBorders>
            <w:noWrap/>
            <w:vAlign w:val="center"/>
            <w:hideMark/>
          </w:tcPr>
          <w:p w14:paraId="1D971BDB"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15.381.368,99</w:t>
            </w:r>
          </w:p>
        </w:tc>
        <w:tc>
          <w:tcPr>
            <w:tcW w:w="1701" w:type="dxa"/>
            <w:tcBorders>
              <w:top w:val="nil"/>
              <w:left w:val="nil"/>
              <w:bottom w:val="nil"/>
              <w:right w:val="single" w:sz="8" w:space="0" w:color="auto"/>
            </w:tcBorders>
            <w:noWrap/>
            <w:vAlign w:val="center"/>
            <w:hideMark/>
          </w:tcPr>
          <w:p w14:paraId="49146199"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40.889.393,51</w:t>
            </w:r>
          </w:p>
        </w:tc>
        <w:tc>
          <w:tcPr>
            <w:tcW w:w="6" w:type="dxa"/>
            <w:tcBorders>
              <w:top w:val="nil"/>
              <w:left w:val="nil"/>
              <w:bottom w:val="nil"/>
              <w:right w:val="nil"/>
            </w:tcBorders>
            <w:vAlign w:val="center"/>
            <w:hideMark/>
          </w:tcPr>
          <w:p w14:paraId="2DF0F789" w14:textId="77777777" w:rsidR="00F15C9A" w:rsidRDefault="00F15C9A">
            <w:pPr>
              <w:rPr>
                <w:rFonts w:ascii="Arial" w:eastAsia="Times New Roman" w:hAnsi="Arial" w:cs="Arial"/>
                <w:color w:val="000000"/>
                <w:sz w:val="18"/>
                <w:szCs w:val="18"/>
                <w:lang w:eastAsia="tr-TR"/>
              </w:rPr>
            </w:pPr>
          </w:p>
        </w:tc>
      </w:tr>
      <w:tr w:rsidR="00F15C9A" w14:paraId="50A145DB" w14:textId="77777777" w:rsidTr="00F15C9A">
        <w:trPr>
          <w:trHeight w:val="305"/>
          <w:jc w:val="center"/>
        </w:trPr>
        <w:tc>
          <w:tcPr>
            <w:tcW w:w="2872" w:type="dxa"/>
            <w:gridSpan w:val="3"/>
            <w:tcBorders>
              <w:top w:val="nil"/>
              <w:left w:val="single" w:sz="8" w:space="0" w:color="auto"/>
              <w:bottom w:val="nil"/>
              <w:right w:val="single" w:sz="8" w:space="0" w:color="000000"/>
            </w:tcBorders>
            <w:noWrap/>
            <w:vAlign w:val="center"/>
            <w:hideMark/>
          </w:tcPr>
          <w:p w14:paraId="29999C7A" w14:textId="77777777" w:rsidR="00F15C9A" w:rsidRDefault="00F15C9A">
            <w:pPr>
              <w:spacing w:after="0" w:line="240" w:lineRule="auto"/>
              <w:jc w:val="lef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2-DURAN VARLIKLAR</w:t>
            </w:r>
          </w:p>
        </w:tc>
        <w:tc>
          <w:tcPr>
            <w:tcW w:w="1430" w:type="dxa"/>
            <w:tcBorders>
              <w:top w:val="nil"/>
              <w:left w:val="nil"/>
              <w:bottom w:val="nil"/>
              <w:right w:val="single" w:sz="8" w:space="0" w:color="auto"/>
            </w:tcBorders>
            <w:noWrap/>
            <w:vAlign w:val="center"/>
            <w:hideMark/>
          </w:tcPr>
          <w:p w14:paraId="0514CED6" w14:textId="77777777" w:rsidR="00F15C9A" w:rsidRDefault="00F15C9A">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343.082.154,46</w:t>
            </w:r>
          </w:p>
        </w:tc>
        <w:tc>
          <w:tcPr>
            <w:tcW w:w="1652" w:type="dxa"/>
            <w:noWrap/>
            <w:vAlign w:val="center"/>
            <w:hideMark/>
          </w:tcPr>
          <w:p w14:paraId="0A4FAB68" w14:textId="77777777" w:rsidR="00F15C9A" w:rsidRDefault="00F15C9A">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1.245.510.991,38</w:t>
            </w:r>
          </w:p>
        </w:tc>
        <w:tc>
          <w:tcPr>
            <w:tcW w:w="1559" w:type="dxa"/>
            <w:tcBorders>
              <w:top w:val="nil"/>
              <w:left w:val="single" w:sz="8" w:space="0" w:color="auto"/>
              <w:bottom w:val="nil"/>
              <w:right w:val="single" w:sz="8" w:space="0" w:color="auto"/>
            </w:tcBorders>
            <w:noWrap/>
            <w:vAlign w:val="center"/>
            <w:hideMark/>
          </w:tcPr>
          <w:p w14:paraId="2D6F6915" w14:textId="77777777" w:rsidR="00F15C9A" w:rsidRDefault="00F15C9A">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1.696.377.619,56</w:t>
            </w:r>
          </w:p>
        </w:tc>
        <w:tc>
          <w:tcPr>
            <w:tcW w:w="160" w:type="dxa"/>
            <w:noWrap/>
            <w:vAlign w:val="center"/>
            <w:hideMark/>
          </w:tcPr>
          <w:p w14:paraId="261F1C3A" w14:textId="77777777" w:rsidR="00F15C9A" w:rsidRDefault="00F15C9A">
            <w:pPr>
              <w:rPr>
                <w:rFonts w:ascii="Arial" w:eastAsia="Times New Roman" w:hAnsi="Arial" w:cs="Arial"/>
                <w:b/>
                <w:bCs/>
                <w:color w:val="000000"/>
                <w:sz w:val="18"/>
                <w:szCs w:val="18"/>
                <w:lang w:eastAsia="tr-TR"/>
              </w:rPr>
            </w:pPr>
          </w:p>
        </w:tc>
        <w:tc>
          <w:tcPr>
            <w:tcW w:w="160" w:type="dxa"/>
            <w:noWrap/>
            <w:vAlign w:val="center"/>
            <w:hideMark/>
          </w:tcPr>
          <w:p w14:paraId="128AAF7F" w14:textId="77777777" w:rsidR="00F15C9A" w:rsidRDefault="00F15C9A">
            <w:pPr>
              <w:spacing w:after="0"/>
              <w:jc w:val="left"/>
              <w:rPr>
                <w:rFonts w:eastAsiaTheme="minorHAnsi" w:cstheme="minorBidi"/>
                <w:sz w:val="20"/>
                <w:szCs w:val="20"/>
                <w:lang w:eastAsia="tr-TR"/>
              </w:rPr>
            </w:pPr>
          </w:p>
        </w:tc>
        <w:tc>
          <w:tcPr>
            <w:tcW w:w="3224" w:type="dxa"/>
            <w:tcBorders>
              <w:top w:val="nil"/>
              <w:left w:val="nil"/>
              <w:bottom w:val="nil"/>
              <w:right w:val="single" w:sz="8" w:space="0" w:color="auto"/>
            </w:tcBorders>
            <w:noWrap/>
            <w:vAlign w:val="center"/>
            <w:hideMark/>
          </w:tcPr>
          <w:p w14:paraId="6D7B471E" w14:textId="77777777" w:rsidR="00F15C9A" w:rsidRDefault="00F15C9A">
            <w:pPr>
              <w:spacing w:after="0" w:line="240" w:lineRule="auto"/>
              <w:jc w:val="lef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 </w:t>
            </w:r>
          </w:p>
        </w:tc>
        <w:tc>
          <w:tcPr>
            <w:tcW w:w="1559" w:type="dxa"/>
            <w:tcBorders>
              <w:top w:val="nil"/>
              <w:left w:val="nil"/>
              <w:bottom w:val="nil"/>
              <w:right w:val="single" w:sz="8" w:space="0" w:color="auto"/>
            </w:tcBorders>
            <w:noWrap/>
            <w:vAlign w:val="center"/>
          </w:tcPr>
          <w:p w14:paraId="2D643BA4" w14:textId="77777777" w:rsidR="00F15C9A" w:rsidRDefault="00F15C9A">
            <w:pPr>
              <w:spacing w:after="0" w:line="240" w:lineRule="auto"/>
              <w:jc w:val="right"/>
              <w:rPr>
                <w:rFonts w:ascii="Arial" w:eastAsia="Times New Roman" w:hAnsi="Arial" w:cs="Arial"/>
                <w:color w:val="000000"/>
                <w:sz w:val="18"/>
                <w:szCs w:val="18"/>
                <w:lang w:eastAsia="tr-TR"/>
              </w:rPr>
            </w:pPr>
          </w:p>
        </w:tc>
        <w:tc>
          <w:tcPr>
            <w:tcW w:w="1701" w:type="dxa"/>
            <w:tcBorders>
              <w:top w:val="nil"/>
              <w:left w:val="nil"/>
              <w:bottom w:val="nil"/>
              <w:right w:val="single" w:sz="8" w:space="0" w:color="auto"/>
            </w:tcBorders>
            <w:noWrap/>
            <w:vAlign w:val="center"/>
            <w:hideMark/>
          </w:tcPr>
          <w:p w14:paraId="7950D239"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 </w:t>
            </w:r>
          </w:p>
        </w:tc>
        <w:tc>
          <w:tcPr>
            <w:tcW w:w="1701" w:type="dxa"/>
            <w:tcBorders>
              <w:top w:val="nil"/>
              <w:left w:val="nil"/>
              <w:bottom w:val="nil"/>
              <w:right w:val="single" w:sz="8" w:space="0" w:color="auto"/>
            </w:tcBorders>
            <w:noWrap/>
            <w:vAlign w:val="center"/>
            <w:hideMark/>
          </w:tcPr>
          <w:p w14:paraId="2C9DD822"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 </w:t>
            </w:r>
          </w:p>
        </w:tc>
        <w:tc>
          <w:tcPr>
            <w:tcW w:w="6" w:type="dxa"/>
            <w:tcBorders>
              <w:top w:val="nil"/>
              <w:left w:val="nil"/>
              <w:bottom w:val="nil"/>
              <w:right w:val="nil"/>
            </w:tcBorders>
            <w:vAlign w:val="center"/>
            <w:hideMark/>
          </w:tcPr>
          <w:p w14:paraId="3E795AE8" w14:textId="77777777" w:rsidR="00F15C9A" w:rsidRDefault="00F15C9A">
            <w:pPr>
              <w:rPr>
                <w:rFonts w:ascii="Arial" w:eastAsia="Times New Roman" w:hAnsi="Arial" w:cs="Arial"/>
                <w:color w:val="000000"/>
                <w:sz w:val="18"/>
                <w:szCs w:val="18"/>
                <w:lang w:eastAsia="tr-TR"/>
              </w:rPr>
            </w:pPr>
          </w:p>
        </w:tc>
      </w:tr>
      <w:tr w:rsidR="00F15C9A" w14:paraId="7295DE3A" w14:textId="77777777" w:rsidTr="00F15C9A">
        <w:trPr>
          <w:trHeight w:val="290"/>
          <w:jc w:val="center"/>
        </w:trPr>
        <w:tc>
          <w:tcPr>
            <w:tcW w:w="207" w:type="dxa"/>
            <w:tcBorders>
              <w:top w:val="nil"/>
              <w:left w:val="single" w:sz="8" w:space="0" w:color="auto"/>
              <w:bottom w:val="nil"/>
              <w:right w:val="nil"/>
            </w:tcBorders>
            <w:noWrap/>
            <w:vAlign w:val="center"/>
            <w:hideMark/>
          </w:tcPr>
          <w:p w14:paraId="5601B8A6" w14:textId="77777777" w:rsidR="00F15C9A" w:rsidRDefault="00F15C9A">
            <w:pPr>
              <w:spacing w:after="0" w:line="240" w:lineRule="auto"/>
              <w:jc w:val="lef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 </w:t>
            </w:r>
          </w:p>
        </w:tc>
        <w:tc>
          <w:tcPr>
            <w:tcW w:w="2665" w:type="dxa"/>
            <w:gridSpan w:val="2"/>
            <w:tcBorders>
              <w:top w:val="nil"/>
              <w:left w:val="nil"/>
              <w:bottom w:val="nil"/>
              <w:right w:val="single" w:sz="8" w:space="0" w:color="000000"/>
            </w:tcBorders>
            <w:noWrap/>
            <w:vAlign w:val="center"/>
            <w:hideMark/>
          </w:tcPr>
          <w:p w14:paraId="1B15AD32" w14:textId="77777777" w:rsidR="00F15C9A" w:rsidRDefault="00F15C9A">
            <w:pPr>
              <w:spacing w:after="0" w:line="240" w:lineRule="auto"/>
              <w:jc w:val="lef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22-FAALİYET ALACAKLARI</w:t>
            </w:r>
          </w:p>
        </w:tc>
        <w:tc>
          <w:tcPr>
            <w:tcW w:w="1430" w:type="dxa"/>
            <w:tcBorders>
              <w:top w:val="nil"/>
              <w:left w:val="nil"/>
              <w:bottom w:val="nil"/>
              <w:right w:val="single" w:sz="8" w:space="0" w:color="auto"/>
            </w:tcBorders>
            <w:noWrap/>
            <w:vAlign w:val="center"/>
            <w:hideMark/>
          </w:tcPr>
          <w:p w14:paraId="29A2186E" w14:textId="77777777" w:rsidR="00F15C9A" w:rsidRDefault="00F15C9A">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300.000,00</w:t>
            </w:r>
          </w:p>
        </w:tc>
        <w:tc>
          <w:tcPr>
            <w:tcW w:w="1652" w:type="dxa"/>
            <w:noWrap/>
            <w:vAlign w:val="center"/>
            <w:hideMark/>
          </w:tcPr>
          <w:p w14:paraId="4A8FEF74" w14:textId="77777777" w:rsidR="00F15C9A" w:rsidRDefault="00F15C9A">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300.000,00</w:t>
            </w:r>
          </w:p>
        </w:tc>
        <w:tc>
          <w:tcPr>
            <w:tcW w:w="1559" w:type="dxa"/>
            <w:tcBorders>
              <w:top w:val="nil"/>
              <w:left w:val="single" w:sz="8" w:space="0" w:color="auto"/>
              <w:bottom w:val="nil"/>
              <w:right w:val="single" w:sz="8" w:space="0" w:color="auto"/>
            </w:tcBorders>
            <w:noWrap/>
            <w:vAlign w:val="center"/>
            <w:hideMark/>
          </w:tcPr>
          <w:p w14:paraId="0EE21786" w14:textId="77777777" w:rsidR="00F15C9A" w:rsidRDefault="00F15C9A">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300.000,00</w:t>
            </w:r>
          </w:p>
        </w:tc>
        <w:tc>
          <w:tcPr>
            <w:tcW w:w="160" w:type="dxa"/>
            <w:noWrap/>
            <w:vAlign w:val="center"/>
            <w:hideMark/>
          </w:tcPr>
          <w:p w14:paraId="12AD361E" w14:textId="77777777" w:rsidR="00F15C9A" w:rsidRDefault="00F15C9A">
            <w:pPr>
              <w:rPr>
                <w:rFonts w:ascii="Arial" w:eastAsia="Times New Roman" w:hAnsi="Arial" w:cs="Arial"/>
                <w:b/>
                <w:bCs/>
                <w:color w:val="000000"/>
                <w:sz w:val="18"/>
                <w:szCs w:val="18"/>
                <w:lang w:eastAsia="tr-TR"/>
              </w:rPr>
            </w:pPr>
          </w:p>
        </w:tc>
        <w:tc>
          <w:tcPr>
            <w:tcW w:w="3384" w:type="dxa"/>
            <w:gridSpan w:val="2"/>
            <w:tcBorders>
              <w:top w:val="nil"/>
              <w:left w:val="nil"/>
              <w:bottom w:val="nil"/>
              <w:right w:val="single" w:sz="8" w:space="0" w:color="000000"/>
            </w:tcBorders>
            <w:noWrap/>
            <w:vAlign w:val="center"/>
            <w:hideMark/>
          </w:tcPr>
          <w:p w14:paraId="1A01C67C" w14:textId="77777777" w:rsidR="00F15C9A" w:rsidRDefault="00F15C9A">
            <w:pPr>
              <w:spacing w:after="0" w:line="240" w:lineRule="auto"/>
              <w:jc w:val="lef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47-BORÇ VE GİDER KARŞILIKLARI</w:t>
            </w:r>
          </w:p>
        </w:tc>
        <w:tc>
          <w:tcPr>
            <w:tcW w:w="1559" w:type="dxa"/>
            <w:tcBorders>
              <w:top w:val="nil"/>
              <w:left w:val="nil"/>
              <w:bottom w:val="nil"/>
              <w:right w:val="single" w:sz="8" w:space="0" w:color="auto"/>
            </w:tcBorders>
            <w:noWrap/>
            <w:vAlign w:val="center"/>
            <w:hideMark/>
          </w:tcPr>
          <w:p w14:paraId="5128559E" w14:textId="77777777" w:rsidR="00F15C9A" w:rsidRDefault="00F15C9A">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34.515.916,83</w:t>
            </w:r>
          </w:p>
        </w:tc>
        <w:tc>
          <w:tcPr>
            <w:tcW w:w="1701" w:type="dxa"/>
            <w:tcBorders>
              <w:top w:val="nil"/>
              <w:left w:val="nil"/>
              <w:bottom w:val="nil"/>
              <w:right w:val="single" w:sz="8" w:space="0" w:color="auto"/>
            </w:tcBorders>
            <w:noWrap/>
            <w:vAlign w:val="center"/>
            <w:hideMark/>
          </w:tcPr>
          <w:p w14:paraId="13696EAF" w14:textId="77777777" w:rsidR="00F15C9A" w:rsidRDefault="00F15C9A">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58.185.391,49</w:t>
            </w:r>
          </w:p>
        </w:tc>
        <w:tc>
          <w:tcPr>
            <w:tcW w:w="1701" w:type="dxa"/>
            <w:tcBorders>
              <w:top w:val="nil"/>
              <w:left w:val="nil"/>
              <w:bottom w:val="nil"/>
              <w:right w:val="single" w:sz="8" w:space="0" w:color="auto"/>
            </w:tcBorders>
            <w:noWrap/>
            <w:vAlign w:val="center"/>
            <w:hideMark/>
          </w:tcPr>
          <w:p w14:paraId="4EC7F2B6" w14:textId="77777777" w:rsidR="00F15C9A" w:rsidRDefault="00F15C9A">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112.496.038,00</w:t>
            </w:r>
          </w:p>
        </w:tc>
        <w:tc>
          <w:tcPr>
            <w:tcW w:w="6" w:type="dxa"/>
            <w:tcBorders>
              <w:top w:val="nil"/>
              <w:left w:val="nil"/>
              <w:bottom w:val="nil"/>
              <w:right w:val="nil"/>
            </w:tcBorders>
            <w:vAlign w:val="center"/>
            <w:hideMark/>
          </w:tcPr>
          <w:p w14:paraId="67B7005D" w14:textId="77777777" w:rsidR="00F15C9A" w:rsidRDefault="00F15C9A">
            <w:pPr>
              <w:rPr>
                <w:rFonts w:ascii="Arial" w:eastAsia="Times New Roman" w:hAnsi="Arial" w:cs="Arial"/>
                <w:b/>
                <w:bCs/>
                <w:color w:val="000000"/>
                <w:sz w:val="18"/>
                <w:szCs w:val="18"/>
                <w:lang w:eastAsia="tr-TR"/>
              </w:rPr>
            </w:pPr>
          </w:p>
        </w:tc>
      </w:tr>
      <w:tr w:rsidR="00F15C9A" w14:paraId="75B737C4" w14:textId="77777777" w:rsidTr="00F15C9A">
        <w:trPr>
          <w:trHeight w:val="290"/>
          <w:jc w:val="center"/>
        </w:trPr>
        <w:tc>
          <w:tcPr>
            <w:tcW w:w="207" w:type="dxa"/>
            <w:tcBorders>
              <w:top w:val="nil"/>
              <w:left w:val="single" w:sz="8" w:space="0" w:color="auto"/>
              <w:bottom w:val="nil"/>
              <w:right w:val="nil"/>
            </w:tcBorders>
            <w:noWrap/>
            <w:vAlign w:val="center"/>
            <w:hideMark/>
          </w:tcPr>
          <w:p w14:paraId="7A7B4D3B" w14:textId="77777777" w:rsidR="00F15C9A" w:rsidRDefault="00F15C9A">
            <w:pPr>
              <w:spacing w:after="0" w:line="240" w:lineRule="auto"/>
              <w:jc w:val="lef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 </w:t>
            </w:r>
          </w:p>
        </w:tc>
        <w:tc>
          <w:tcPr>
            <w:tcW w:w="181" w:type="dxa"/>
            <w:noWrap/>
            <w:vAlign w:val="bottom"/>
            <w:hideMark/>
          </w:tcPr>
          <w:p w14:paraId="674EBB81" w14:textId="77777777" w:rsidR="00F15C9A" w:rsidRDefault="00F15C9A">
            <w:pPr>
              <w:rPr>
                <w:rFonts w:ascii="Arial" w:eastAsia="Times New Roman" w:hAnsi="Arial" w:cs="Arial"/>
                <w:color w:val="000000"/>
                <w:sz w:val="18"/>
                <w:szCs w:val="18"/>
                <w:lang w:eastAsia="tr-TR"/>
              </w:rPr>
            </w:pPr>
          </w:p>
        </w:tc>
        <w:tc>
          <w:tcPr>
            <w:tcW w:w="2484" w:type="dxa"/>
            <w:tcBorders>
              <w:top w:val="nil"/>
              <w:left w:val="nil"/>
              <w:bottom w:val="nil"/>
              <w:right w:val="single" w:sz="8" w:space="0" w:color="auto"/>
            </w:tcBorders>
            <w:noWrap/>
            <w:vAlign w:val="center"/>
            <w:hideMark/>
          </w:tcPr>
          <w:p w14:paraId="527C336E" w14:textId="77777777" w:rsidR="00F15C9A" w:rsidRDefault="00F15C9A">
            <w:pPr>
              <w:spacing w:after="0" w:line="240" w:lineRule="auto"/>
              <w:jc w:val="lef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226-Verilen Depozito ve Teminatlar</w:t>
            </w:r>
          </w:p>
        </w:tc>
        <w:tc>
          <w:tcPr>
            <w:tcW w:w="1430" w:type="dxa"/>
            <w:tcBorders>
              <w:top w:val="nil"/>
              <w:left w:val="nil"/>
              <w:bottom w:val="nil"/>
              <w:right w:val="single" w:sz="8" w:space="0" w:color="auto"/>
            </w:tcBorders>
            <w:noWrap/>
            <w:vAlign w:val="center"/>
            <w:hideMark/>
          </w:tcPr>
          <w:p w14:paraId="01CDEE90"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300.000,00</w:t>
            </w:r>
          </w:p>
        </w:tc>
        <w:tc>
          <w:tcPr>
            <w:tcW w:w="1652" w:type="dxa"/>
            <w:noWrap/>
            <w:vAlign w:val="center"/>
            <w:hideMark/>
          </w:tcPr>
          <w:p w14:paraId="5445B77E"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300.000,00</w:t>
            </w:r>
          </w:p>
        </w:tc>
        <w:tc>
          <w:tcPr>
            <w:tcW w:w="1559" w:type="dxa"/>
            <w:tcBorders>
              <w:top w:val="nil"/>
              <w:left w:val="single" w:sz="8" w:space="0" w:color="auto"/>
              <w:bottom w:val="nil"/>
              <w:right w:val="single" w:sz="8" w:space="0" w:color="auto"/>
            </w:tcBorders>
            <w:noWrap/>
            <w:vAlign w:val="center"/>
            <w:hideMark/>
          </w:tcPr>
          <w:p w14:paraId="119D4AEC"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300.000,00</w:t>
            </w:r>
          </w:p>
        </w:tc>
        <w:tc>
          <w:tcPr>
            <w:tcW w:w="160" w:type="dxa"/>
            <w:noWrap/>
            <w:vAlign w:val="bottom"/>
            <w:hideMark/>
          </w:tcPr>
          <w:p w14:paraId="5A500AA9" w14:textId="77777777" w:rsidR="00F15C9A" w:rsidRDefault="00F15C9A">
            <w:pPr>
              <w:rPr>
                <w:rFonts w:ascii="Arial" w:eastAsia="Times New Roman" w:hAnsi="Arial" w:cs="Arial"/>
                <w:color w:val="000000"/>
                <w:sz w:val="18"/>
                <w:szCs w:val="18"/>
                <w:lang w:eastAsia="tr-TR"/>
              </w:rPr>
            </w:pPr>
          </w:p>
        </w:tc>
        <w:tc>
          <w:tcPr>
            <w:tcW w:w="160" w:type="dxa"/>
            <w:noWrap/>
            <w:vAlign w:val="bottom"/>
            <w:hideMark/>
          </w:tcPr>
          <w:p w14:paraId="4BB5E7CF" w14:textId="77777777" w:rsidR="00F15C9A" w:rsidRDefault="00F15C9A">
            <w:pPr>
              <w:spacing w:after="0"/>
              <w:jc w:val="left"/>
              <w:rPr>
                <w:rFonts w:eastAsiaTheme="minorHAnsi" w:cstheme="minorBidi"/>
                <w:sz w:val="20"/>
                <w:szCs w:val="20"/>
                <w:lang w:eastAsia="tr-TR"/>
              </w:rPr>
            </w:pPr>
          </w:p>
        </w:tc>
        <w:tc>
          <w:tcPr>
            <w:tcW w:w="3224" w:type="dxa"/>
            <w:tcBorders>
              <w:top w:val="nil"/>
              <w:left w:val="nil"/>
              <w:bottom w:val="nil"/>
              <w:right w:val="single" w:sz="8" w:space="0" w:color="auto"/>
            </w:tcBorders>
            <w:noWrap/>
            <w:vAlign w:val="center"/>
            <w:hideMark/>
          </w:tcPr>
          <w:p w14:paraId="1C8AD80D" w14:textId="77777777" w:rsidR="00F15C9A" w:rsidRDefault="00F15C9A">
            <w:pPr>
              <w:spacing w:after="0" w:line="240" w:lineRule="auto"/>
              <w:jc w:val="lef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472-Kıdem Tazminatı karşılığı</w:t>
            </w:r>
          </w:p>
        </w:tc>
        <w:tc>
          <w:tcPr>
            <w:tcW w:w="1559" w:type="dxa"/>
            <w:tcBorders>
              <w:top w:val="nil"/>
              <w:left w:val="nil"/>
              <w:bottom w:val="nil"/>
              <w:right w:val="single" w:sz="8" w:space="0" w:color="auto"/>
            </w:tcBorders>
            <w:noWrap/>
            <w:vAlign w:val="center"/>
            <w:hideMark/>
          </w:tcPr>
          <w:p w14:paraId="158F3B20"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34.515.916,83</w:t>
            </w:r>
          </w:p>
        </w:tc>
        <w:tc>
          <w:tcPr>
            <w:tcW w:w="1701" w:type="dxa"/>
            <w:tcBorders>
              <w:top w:val="nil"/>
              <w:left w:val="nil"/>
              <w:bottom w:val="nil"/>
              <w:right w:val="single" w:sz="8" w:space="0" w:color="auto"/>
            </w:tcBorders>
            <w:noWrap/>
            <w:vAlign w:val="center"/>
            <w:hideMark/>
          </w:tcPr>
          <w:p w14:paraId="32DBEA48"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58.185.391,49</w:t>
            </w:r>
          </w:p>
        </w:tc>
        <w:tc>
          <w:tcPr>
            <w:tcW w:w="1701" w:type="dxa"/>
            <w:tcBorders>
              <w:top w:val="nil"/>
              <w:left w:val="nil"/>
              <w:bottom w:val="nil"/>
              <w:right w:val="single" w:sz="8" w:space="0" w:color="auto"/>
            </w:tcBorders>
            <w:noWrap/>
            <w:vAlign w:val="center"/>
            <w:hideMark/>
          </w:tcPr>
          <w:p w14:paraId="39B793B7"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112.496.038,00</w:t>
            </w:r>
          </w:p>
        </w:tc>
        <w:tc>
          <w:tcPr>
            <w:tcW w:w="6" w:type="dxa"/>
            <w:tcBorders>
              <w:top w:val="nil"/>
              <w:left w:val="nil"/>
              <w:bottom w:val="nil"/>
              <w:right w:val="nil"/>
            </w:tcBorders>
            <w:vAlign w:val="center"/>
            <w:hideMark/>
          </w:tcPr>
          <w:p w14:paraId="52AA98DD" w14:textId="77777777" w:rsidR="00F15C9A" w:rsidRDefault="00F15C9A">
            <w:pPr>
              <w:rPr>
                <w:rFonts w:ascii="Arial" w:eastAsia="Times New Roman" w:hAnsi="Arial" w:cs="Arial"/>
                <w:color w:val="000000"/>
                <w:sz w:val="18"/>
                <w:szCs w:val="18"/>
                <w:lang w:eastAsia="tr-TR"/>
              </w:rPr>
            </w:pPr>
          </w:p>
        </w:tc>
      </w:tr>
      <w:tr w:rsidR="00F15C9A" w14:paraId="6410BF48" w14:textId="77777777" w:rsidTr="00F15C9A">
        <w:trPr>
          <w:trHeight w:val="290"/>
          <w:jc w:val="center"/>
        </w:trPr>
        <w:tc>
          <w:tcPr>
            <w:tcW w:w="207" w:type="dxa"/>
            <w:tcBorders>
              <w:top w:val="nil"/>
              <w:left w:val="single" w:sz="8" w:space="0" w:color="auto"/>
              <w:bottom w:val="nil"/>
              <w:right w:val="nil"/>
            </w:tcBorders>
            <w:noWrap/>
            <w:vAlign w:val="center"/>
            <w:hideMark/>
          </w:tcPr>
          <w:p w14:paraId="10E3401C" w14:textId="77777777" w:rsidR="00F15C9A" w:rsidRDefault="00F15C9A">
            <w:pPr>
              <w:spacing w:after="0" w:line="240" w:lineRule="auto"/>
              <w:jc w:val="lef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 </w:t>
            </w:r>
          </w:p>
        </w:tc>
        <w:tc>
          <w:tcPr>
            <w:tcW w:w="181" w:type="dxa"/>
            <w:noWrap/>
            <w:vAlign w:val="bottom"/>
            <w:hideMark/>
          </w:tcPr>
          <w:p w14:paraId="791F26D8" w14:textId="77777777" w:rsidR="00F15C9A" w:rsidRDefault="00F15C9A">
            <w:pPr>
              <w:rPr>
                <w:rFonts w:ascii="Arial" w:eastAsia="Times New Roman" w:hAnsi="Arial" w:cs="Arial"/>
                <w:color w:val="000000"/>
                <w:sz w:val="18"/>
                <w:szCs w:val="18"/>
                <w:lang w:eastAsia="tr-TR"/>
              </w:rPr>
            </w:pPr>
          </w:p>
        </w:tc>
        <w:tc>
          <w:tcPr>
            <w:tcW w:w="2484" w:type="dxa"/>
            <w:tcBorders>
              <w:top w:val="nil"/>
              <w:left w:val="nil"/>
              <w:bottom w:val="nil"/>
              <w:right w:val="single" w:sz="8" w:space="0" w:color="auto"/>
            </w:tcBorders>
            <w:noWrap/>
            <w:vAlign w:val="center"/>
            <w:hideMark/>
          </w:tcPr>
          <w:p w14:paraId="3B2220E8" w14:textId="77777777" w:rsidR="00F15C9A" w:rsidRDefault="00F15C9A">
            <w:pPr>
              <w:spacing w:after="0" w:line="240" w:lineRule="auto"/>
              <w:jc w:val="lef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 </w:t>
            </w:r>
          </w:p>
        </w:tc>
        <w:tc>
          <w:tcPr>
            <w:tcW w:w="1430" w:type="dxa"/>
            <w:tcBorders>
              <w:top w:val="nil"/>
              <w:left w:val="nil"/>
              <w:bottom w:val="nil"/>
              <w:right w:val="single" w:sz="8" w:space="0" w:color="auto"/>
            </w:tcBorders>
            <w:noWrap/>
            <w:vAlign w:val="center"/>
          </w:tcPr>
          <w:p w14:paraId="2755489D" w14:textId="77777777" w:rsidR="00F15C9A" w:rsidRDefault="00F15C9A">
            <w:pPr>
              <w:spacing w:after="0" w:line="240" w:lineRule="auto"/>
              <w:jc w:val="left"/>
              <w:rPr>
                <w:rFonts w:ascii="Arial" w:eastAsia="Times New Roman" w:hAnsi="Arial" w:cs="Arial"/>
                <w:color w:val="000000"/>
                <w:sz w:val="18"/>
                <w:szCs w:val="18"/>
                <w:lang w:eastAsia="tr-TR"/>
              </w:rPr>
            </w:pPr>
          </w:p>
        </w:tc>
        <w:tc>
          <w:tcPr>
            <w:tcW w:w="1652" w:type="dxa"/>
            <w:noWrap/>
            <w:vAlign w:val="center"/>
            <w:hideMark/>
          </w:tcPr>
          <w:p w14:paraId="0DCF6AD5" w14:textId="77777777" w:rsidR="00F15C9A" w:rsidRDefault="00F15C9A">
            <w:pPr>
              <w:rPr>
                <w:rFonts w:ascii="Arial" w:eastAsia="Times New Roman" w:hAnsi="Arial" w:cs="Arial"/>
                <w:color w:val="000000"/>
                <w:sz w:val="18"/>
                <w:szCs w:val="18"/>
                <w:lang w:eastAsia="tr-TR"/>
              </w:rPr>
            </w:pPr>
          </w:p>
        </w:tc>
        <w:tc>
          <w:tcPr>
            <w:tcW w:w="1559" w:type="dxa"/>
            <w:tcBorders>
              <w:top w:val="nil"/>
              <w:left w:val="single" w:sz="8" w:space="0" w:color="auto"/>
              <w:bottom w:val="nil"/>
              <w:right w:val="single" w:sz="8" w:space="0" w:color="auto"/>
            </w:tcBorders>
            <w:noWrap/>
            <w:vAlign w:val="center"/>
            <w:hideMark/>
          </w:tcPr>
          <w:p w14:paraId="69421EE8"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 </w:t>
            </w:r>
          </w:p>
        </w:tc>
        <w:tc>
          <w:tcPr>
            <w:tcW w:w="160" w:type="dxa"/>
            <w:noWrap/>
            <w:vAlign w:val="center"/>
            <w:hideMark/>
          </w:tcPr>
          <w:p w14:paraId="28A88698" w14:textId="77777777" w:rsidR="00F15C9A" w:rsidRDefault="00F15C9A">
            <w:pPr>
              <w:rPr>
                <w:rFonts w:ascii="Arial" w:eastAsia="Times New Roman" w:hAnsi="Arial" w:cs="Arial"/>
                <w:color w:val="000000"/>
                <w:sz w:val="18"/>
                <w:szCs w:val="18"/>
                <w:lang w:eastAsia="tr-TR"/>
              </w:rPr>
            </w:pPr>
          </w:p>
        </w:tc>
        <w:tc>
          <w:tcPr>
            <w:tcW w:w="160" w:type="dxa"/>
            <w:noWrap/>
            <w:vAlign w:val="center"/>
            <w:hideMark/>
          </w:tcPr>
          <w:p w14:paraId="644046AA" w14:textId="77777777" w:rsidR="00F15C9A" w:rsidRDefault="00F15C9A">
            <w:pPr>
              <w:spacing w:after="0"/>
              <w:jc w:val="left"/>
              <w:rPr>
                <w:rFonts w:eastAsiaTheme="minorHAnsi" w:cstheme="minorBidi"/>
                <w:sz w:val="20"/>
                <w:szCs w:val="20"/>
                <w:lang w:eastAsia="tr-TR"/>
              </w:rPr>
            </w:pPr>
          </w:p>
        </w:tc>
        <w:tc>
          <w:tcPr>
            <w:tcW w:w="3224" w:type="dxa"/>
            <w:tcBorders>
              <w:top w:val="nil"/>
              <w:left w:val="nil"/>
              <w:bottom w:val="nil"/>
              <w:right w:val="single" w:sz="8" w:space="0" w:color="auto"/>
            </w:tcBorders>
            <w:noWrap/>
            <w:vAlign w:val="center"/>
            <w:hideMark/>
          </w:tcPr>
          <w:p w14:paraId="10E3D29C" w14:textId="77777777" w:rsidR="00F15C9A" w:rsidRDefault="00F15C9A">
            <w:pPr>
              <w:spacing w:after="0" w:line="240" w:lineRule="auto"/>
              <w:jc w:val="lef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 </w:t>
            </w:r>
          </w:p>
        </w:tc>
        <w:tc>
          <w:tcPr>
            <w:tcW w:w="1559" w:type="dxa"/>
            <w:tcBorders>
              <w:top w:val="nil"/>
              <w:left w:val="nil"/>
              <w:bottom w:val="nil"/>
              <w:right w:val="single" w:sz="8" w:space="0" w:color="auto"/>
            </w:tcBorders>
            <w:noWrap/>
            <w:vAlign w:val="center"/>
          </w:tcPr>
          <w:p w14:paraId="0F135EE6" w14:textId="77777777" w:rsidR="00F15C9A" w:rsidRDefault="00F15C9A">
            <w:pPr>
              <w:spacing w:after="0" w:line="240" w:lineRule="auto"/>
              <w:jc w:val="right"/>
              <w:rPr>
                <w:rFonts w:ascii="Arial" w:eastAsia="Times New Roman" w:hAnsi="Arial" w:cs="Arial"/>
                <w:color w:val="000000"/>
                <w:sz w:val="18"/>
                <w:szCs w:val="18"/>
                <w:lang w:eastAsia="tr-TR"/>
              </w:rPr>
            </w:pPr>
          </w:p>
        </w:tc>
        <w:tc>
          <w:tcPr>
            <w:tcW w:w="1701" w:type="dxa"/>
            <w:tcBorders>
              <w:top w:val="nil"/>
              <w:left w:val="nil"/>
              <w:bottom w:val="nil"/>
              <w:right w:val="single" w:sz="8" w:space="0" w:color="auto"/>
            </w:tcBorders>
            <w:noWrap/>
            <w:vAlign w:val="center"/>
            <w:hideMark/>
          </w:tcPr>
          <w:p w14:paraId="752C682E"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 </w:t>
            </w:r>
          </w:p>
        </w:tc>
        <w:tc>
          <w:tcPr>
            <w:tcW w:w="1701" w:type="dxa"/>
            <w:tcBorders>
              <w:top w:val="nil"/>
              <w:left w:val="nil"/>
              <w:bottom w:val="nil"/>
              <w:right w:val="single" w:sz="8" w:space="0" w:color="auto"/>
            </w:tcBorders>
            <w:noWrap/>
            <w:vAlign w:val="center"/>
            <w:hideMark/>
          </w:tcPr>
          <w:p w14:paraId="43A5A99E"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 </w:t>
            </w:r>
          </w:p>
        </w:tc>
        <w:tc>
          <w:tcPr>
            <w:tcW w:w="6" w:type="dxa"/>
            <w:tcBorders>
              <w:top w:val="nil"/>
              <w:left w:val="nil"/>
              <w:bottom w:val="nil"/>
              <w:right w:val="nil"/>
            </w:tcBorders>
            <w:vAlign w:val="center"/>
            <w:hideMark/>
          </w:tcPr>
          <w:p w14:paraId="4568E472" w14:textId="77777777" w:rsidR="00F15C9A" w:rsidRDefault="00F15C9A">
            <w:pPr>
              <w:rPr>
                <w:rFonts w:ascii="Arial" w:eastAsia="Times New Roman" w:hAnsi="Arial" w:cs="Arial"/>
                <w:color w:val="000000"/>
                <w:sz w:val="18"/>
                <w:szCs w:val="18"/>
                <w:lang w:eastAsia="tr-TR"/>
              </w:rPr>
            </w:pPr>
          </w:p>
        </w:tc>
      </w:tr>
      <w:tr w:rsidR="00F15C9A" w14:paraId="1783B8EF" w14:textId="77777777" w:rsidTr="00F15C9A">
        <w:trPr>
          <w:trHeight w:val="290"/>
          <w:jc w:val="center"/>
        </w:trPr>
        <w:tc>
          <w:tcPr>
            <w:tcW w:w="207" w:type="dxa"/>
            <w:tcBorders>
              <w:top w:val="nil"/>
              <w:left w:val="single" w:sz="8" w:space="0" w:color="auto"/>
              <w:bottom w:val="nil"/>
              <w:right w:val="nil"/>
            </w:tcBorders>
            <w:noWrap/>
            <w:vAlign w:val="center"/>
            <w:hideMark/>
          </w:tcPr>
          <w:p w14:paraId="71870D23" w14:textId="77777777" w:rsidR="00F15C9A" w:rsidRDefault="00F15C9A">
            <w:pPr>
              <w:spacing w:after="0" w:line="240" w:lineRule="auto"/>
              <w:jc w:val="lef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 </w:t>
            </w:r>
          </w:p>
        </w:tc>
        <w:tc>
          <w:tcPr>
            <w:tcW w:w="2665" w:type="dxa"/>
            <w:gridSpan w:val="2"/>
            <w:tcBorders>
              <w:top w:val="nil"/>
              <w:left w:val="nil"/>
              <w:bottom w:val="nil"/>
              <w:right w:val="single" w:sz="8" w:space="0" w:color="000000"/>
            </w:tcBorders>
            <w:noWrap/>
            <w:vAlign w:val="center"/>
            <w:hideMark/>
          </w:tcPr>
          <w:p w14:paraId="650FEBB4" w14:textId="77777777" w:rsidR="00F15C9A" w:rsidRDefault="00F15C9A">
            <w:pPr>
              <w:spacing w:after="0" w:line="240" w:lineRule="auto"/>
              <w:jc w:val="lef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25-MADDİ DURAN VARLIKLAR</w:t>
            </w:r>
          </w:p>
        </w:tc>
        <w:tc>
          <w:tcPr>
            <w:tcW w:w="1430" w:type="dxa"/>
            <w:tcBorders>
              <w:top w:val="nil"/>
              <w:left w:val="nil"/>
              <w:bottom w:val="nil"/>
              <w:right w:val="single" w:sz="8" w:space="0" w:color="auto"/>
            </w:tcBorders>
            <w:noWrap/>
            <w:vAlign w:val="center"/>
            <w:hideMark/>
          </w:tcPr>
          <w:p w14:paraId="2ED23920" w14:textId="77777777" w:rsidR="00F15C9A" w:rsidRDefault="00F15C9A">
            <w:pPr>
              <w:spacing w:after="0" w:line="240" w:lineRule="auto"/>
              <w:jc w:val="lef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342.782.154,46</w:t>
            </w:r>
          </w:p>
        </w:tc>
        <w:tc>
          <w:tcPr>
            <w:tcW w:w="1652" w:type="dxa"/>
            <w:noWrap/>
            <w:vAlign w:val="center"/>
            <w:hideMark/>
          </w:tcPr>
          <w:p w14:paraId="51E64735" w14:textId="77777777" w:rsidR="00F15C9A" w:rsidRDefault="00F15C9A">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1.245.210.991,38</w:t>
            </w:r>
          </w:p>
        </w:tc>
        <w:tc>
          <w:tcPr>
            <w:tcW w:w="1559" w:type="dxa"/>
            <w:tcBorders>
              <w:top w:val="nil"/>
              <w:left w:val="single" w:sz="8" w:space="0" w:color="auto"/>
              <w:bottom w:val="nil"/>
              <w:right w:val="single" w:sz="8" w:space="0" w:color="auto"/>
            </w:tcBorders>
            <w:noWrap/>
            <w:vAlign w:val="center"/>
            <w:hideMark/>
          </w:tcPr>
          <w:p w14:paraId="0A469A25" w14:textId="77777777" w:rsidR="00F15C9A" w:rsidRDefault="00F15C9A">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1.696.077.619,56</w:t>
            </w:r>
          </w:p>
        </w:tc>
        <w:tc>
          <w:tcPr>
            <w:tcW w:w="3544" w:type="dxa"/>
            <w:gridSpan w:val="3"/>
            <w:tcBorders>
              <w:top w:val="nil"/>
              <w:left w:val="nil"/>
              <w:bottom w:val="nil"/>
              <w:right w:val="single" w:sz="8" w:space="0" w:color="000000"/>
            </w:tcBorders>
            <w:noWrap/>
            <w:vAlign w:val="center"/>
            <w:hideMark/>
          </w:tcPr>
          <w:p w14:paraId="51942168" w14:textId="77777777" w:rsidR="00F15C9A" w:rsidRDefault="00F15C9A">
            <w:pPr>
              <w:spacing w:after="0" w:line="240" w:lineRule="auto"/>
              <w:jc w:val="lef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5-ÖZ KAYNAKLAR</w:t>
            </w:r>
          </w:p>
        </w:tc>
        <w:tc>
          <w:tcPr>
            <w:tcW w:w="1559" w:type="dxa"/>
            <w:tcBorders>
              <w:top w:val="nil"/>
              <w:left w:val="nil"/>
              <w:bottom w:val="nil"/>
              <w:right w:val="single" w:sz="8" w:space="0" w:color="auto"/>
            </w:tcBorders>
            <w:noWrap/>
            <w:vAlign w:val="center"/>
            <w:hideMark/>
          </w:tcPr>
          <w:p w14:paraId="3AD273D0" w14:textId="77777777" w:rsidR="00F15C9A" w:rsidRDefault="00F15C9A">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428.597.222,80</w:t>
            </w:r>
          </w:p>
        </w:tc>
        <w:tc>
          <w:tcPr>
            <w:tcW w:w="1701" w:type="dxa"/>
            <w:tcBorders>
              <w:top w:val="nil"/>
              <w:left w:val="nil"/>
              <w:bottom w:val="nil"/>
              <w:right w:val="single" w:sz="8" w:space="0" w:color="auto"/>
            </w:tcBorders>
            <w:noWrap/>
            <w:vAlign w:val="center"/>
            <w:hideMark/>
          </w:tcPr>
          <w:p w14:paraId="36B1D505" w14:textId="77777777" w:rsidR="00F15C9A" w:rsidRDefault="00F15C9A">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1.305.597.709,03</w:t>
            </w:r>
          </w:p>
        </w:tc>
        <w:tc>
          <w:tcPr>
            <w:tcW w:w="1701" w:type="dxa"/>
            <w:tcBorders>
              <w:top w:val="nil"/>
              <w:left w:val="nil"/>
              <w:bottom w:val="nil"/>
              <w:right w:val="single" w:sz="8" w:space="0" w:color="auto"/>
            </w:tcBorders>
            <w:noWrap/>
            <w:vAlign w:val="center"/>
            <w:hideMark/>
          </w:tcPr>
          <w:p w14:paraId="5F45EE37" w14:textId="77777777" w:rsidR="00F15C9A" w:rsidRDefault="00F15C9A">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1.708.435.447,60</w:t>
            </w:r>
          </w:p>
        </w:tc>
        <w:tc>
          <w:tcPr>
            <w:tcW w:w="6" w:type="dxa"/>
            <w:tcBorders>
              <w:top w:val="nil"/>
              <w:left w:val="nil"/>
              <w:bottom w:val="nil"/>
              <w:right w:val="nil"/>
            </w:tcBorders>
            <w:vAlign w:val="center"/>
            <w:hideMark/>
          </w:tcPr>
          <w:p w14:paraId="18D0A62D" w14:textId="77777777" w:rsidR="00F15C9A" w:rsidRDefault="00F15C9A">
            <w:pPr>
              <w:rPr>
                <w:rFonts w:ascii="Arial" w:eastAsia="Times New Roman" w:hAnsi="Arial" w:cs="Arial"/>
                <w:b/>
                <w:bCs/>
                <w:color w:val="000000"/>
                <w:sz w:val="18"/>
                <w:szCs w:val="18"/>
                <w:lang w:eastAsia="tr-TR"/>
              </w:rPr>
            </w:pPr>
          </w:p>
        </w:tc>
      </w:tr>
      <w:tr w:rsidR="00F15C9A" w14:paraId="62FA77A5" w14:textId="77777777" w:rsidTr="00F15C9A">
        <w:trPr>
          <w:trHeight w:val="290"/>
          <w:jc w:val="center"/>
        </w:trPr>
        <w:tc>
          <w:tcPr>
            <w:tcW w:w="207" w:type="dxa"/>
            <w:tcBorders>
              <w:top w:val="nil"/>
              <w:left w:val="single" w:sz="8" w:space="0" w:color="auto"/>
              <w:bottom w:val="nil"/>
              <w:right w:val="nil"/>
            </w:tcBorders>
            <w:noWrap/>
            <w:vAlign w:val="center"/>
            <w:hideMark/>
          </w:tcPr>
          <w:p w14:paraId="335A5F39" w14:textId="77777777" w:rsidR="00F15C9A" w:rsidRDefault="00F15C9A">
            <w:pPr>
              <w:spacing w:after="0" w:line="240" w:lineRule="auto"/>
              <w:jc w:val="lef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 </w:t>
            </w:r>
          </w:p>
        </w:tc>
        <w:tc>
          <w:tcPr>
            <w:tcW w:w="181" w:type="dxa"/>
            <w:noWrap/>
            <w:vAlign w:val="center"/>
            <w:hideMark/>
          </w:tcPr>
          <w:p w14:paraId="2D03E29A" w14:textId="77777777" w:rsidR="00F15C9A" w:rsidRDefault="00F15C9A">
            <w:pPr>
              <w:rPr>
                <w:rFonts w:ascii="Arial" w:eastAsia="Times New Roman" w:hAnsi="Arial" w:cs="Arial"/>
                <w:color w:val="000000"/>
                <w:sz w:val="18"/>
                <w:szCs w:val="18"/>
                <w:lang w:eastAsia="tr-TR"/>
              </w:rPr>
            </w:pPr>
          </w:p>
        </w:tc>
        <w:tc>
          <w:tcPr>
            <w:tcW w:w="2484" w:type="dxa"/>
            <w:tcBorders>
              <w:top w:val="nil"/>
              <w:left w:val="nil"/>
              <w:bottom w:val="nil"/>
              <w:right w:val="single" w:sz="8" w:space="0" w:color="auto"/>
            </w:tcBorders>
            <w:noWrap/>
            <w:vAlign w:val="center"/>
            <w:hideMark/>
          </w:tcPr>
          <w:p w14:paraId="09190012" w14:textId="77777777" w:rsidR="00F15C9A" w:rsidRDefault="00F15C9A">
            <w:pPr>
              <w:spacing w:after="0" w:line="240" w:lineRule="auto"/>
              <w:jc w:val="lef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250-Arazi ve Arsalar Hes.</w:t>
            </w:r>
          </w:p>
        </w:tc>
        <w:tc>
          <w:tcPr>
            <w:tcW w:w="1430" w:type="dxa"/>
            <w:tcBorders>
              <w:top w:val="nil"/>
              <w:left w:val="nil"/>
              <w:bottom w:val="nil"/>
              <w:right w:val="single" w:sz="8" w:space="0" w:color="auto"/>
            </w:tcBorders>
            <w:noWrap/>
            <w:vAlign w:val="center"/>
            <w:hideMark/>
          </w:tcPr>
          <w:p w14:paraId="1F246904"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96.310.000,00</w:t>
            </w:r>
          </w:p>
        </w:tc>
        <w:tc>
          <w:tcPr>
            <w:tcW w:w="1652" w:type="dxa"/>
            <w:noWrap/>
            <w:vAlign w:val="center"/>
            <w:hideMark/>
          </w:tcPr>
          <w:p w14:paraId="52DD73F3"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887.015.100,00</w:t>
            </w:r>
          </w:p>
        </w:tc>
        <w:tc>
          <w:tcPr>
            <w:tcW w:w="1559" w:type="dxa"/>
            <w:tcBorders>
              <w:top w:val="nil"/>
              <w:left w:val="single" w:sz="8" w:space="0" w:color="auto"/>
              <w:bottom w:val="nil"/>
              <w:right w:val="single" w:sz="8" w:space="0" w:color="auto"/>
            </w:tcBorders>
            <w:noWrap/>
            <w:vAlign w:val="center"/>
            <w:hideMark/>
          </w:tcPr>
          <w:p w14:paraId="14B625A5"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1.135.379.328,00</w:t>
            </w:r>
          </w:p>
        </w:tc>
        <w:tc>
          <w:tcPr>
            <w:tcW w:w="160" w:type="dxa"/>
            <w:noWrap/>
            <w:vAlign w:val="center"/>
            <w:hideMark/>
          </w:tcPr>
          <w:p w14:paraId="2ACEE1CA" w14:textId="77777777" w:rsidR="00F15C9A" w:rsidRDefault="00F15C9A">
            <w:pPr>
              <w:rPr>
                <w:rFonts w:ascii="Arial" w:eastAsia="Times New Roman" w:hAnsi="Arial" w:cs="Arial"/>
                <w:color w:val="000000"/>
                <w:sz w:val="18"/>
                <w:szCs w:val="18"/>
                <w:lang w:eastAsia="tr-TR"/>
              </w:rPr>
            </w:pPr>
          </w:p>
        </w:tc>
        <w:tc>
          <w:tcPr>
            <w:tcW w:w="3384" w:type="dxa"/>
            <w:gridSpan w:val="2"/>
            <w:tcBorders>
              <w:top w:val="nil"/>
              <w:left w:val="nil"/>
              <w:bottom w:val="nil"/>
              <w:right w:val="single" w:sz="8" w:space="0" w:color="000000"/>
            </w:tcBorders>
            <w:noWrap/>
            <w:vAlign w:val="center"/>
            <w:hideMark/>
          </w:tcPr>
          <w:p w14:paraId="5DB8DAB9" w14:textId="77777777" w:rsidR="00F15C9A" w:rsidRDefault="00F15C9A">
            <w:pPr>
              <w:spacing w:after="0" w:line="240" w:lineRule="auto"/>
              <w:jc w:val="lef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50-NET DEĞER</w:t>
            </w:r>
          </w:p>
        </w:tc>
        <w:tc>
          <w:tcPr>
            <w:tcW w:w="1559" w:type="dxa"/>
            <w:tcBorders>
              <w:top w:val="nil"/>
              <w:left w:val="nil"/>
              <w:bottom w:val="nil"/>
              <w:right w:val="single" w:sz="8" w:space="0" w:color="auto"/>
            </w:tcBorders>
            <w:noWrap/>
            <w:vAlign w:val="center"/>
            <w:hideMark/>
          </w:tcPr>
          <w:p w14:paraId="17ABCAF8" w14:textId="77777777" w:rsidR="00F15C9A" w:rsidRDefault="00F15C9A">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236.851.949,08</w:t>
            </w:r>
          </w:p>
        </w:tc>
        <w:tc>
          <w:tcPr>
            <w:tcW w:w="1701" w:type="dxa"/>
            <w:tcBorders>
              <w:top w:val="nil"/>
              <w:left w:val="nil"/>
              <w:bottom w:val="nil"/>
              <w:right w:val="single" w:sz="8" w:space="0" w:color="auto"/>
            </w:tcBorders>
            <w:noWrap/>
            <w:vAlign w:val="center"/>
            <w:hideMark/>
          </w:tcPr>
          <w:p w14:paraId="349644D1" w14:textId="77777777" w:rsidR="00F15C9A" w:rsidRDefault="00F15C9A">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282.344.332,87</w:t>
            </w:r>
          </w:p>
        </w:tc>
        <w:tc>
          <w:tcPr>
            <w:tcW w:w="1701" w:type="dxa"/>
            <w:tcBorders>
              <w:top w:val="nil"/>
              <w:left w:val="nil"/>
              <w:bottom w:val="nil"/>
              <w:right w:val="single" w:sz="8" w:space="0" w:color="auto"/>
            </w:tcBorders>
            <w:noWrap/>
            <w:vAlign w:val="center"/>
            <w:hideMark/>
          </w:tcPr>
          <w:p w14:paraId="03DACCA9" w14:textId="77777777" w:rsidR="00F15C9A" w:rsidRDefault="00F15C9A">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397.601.025,64</w:t>
            </w:r>
          </w:p>
        </w:tc>
        <w:tc>
          <w:tcPr>
            <w:tcW w:w="6" w:type="dxa"/>
            <w:tcBorders>
              <w:top w:val="nil"/>
              <w:left w:val="nil"/>
              <w:bottom w:val="nil"/>
              <w:right w:val="nil"/>
            </w:tcBorders>
            <w:vAlign w:val="center"/>
            <w:hideMark/>
          </w:tcPr>
          <w:p w14:paraId="7BEA34DA" w14:textId="77777777" w:rsidR="00F15C9A" w:rsidRDefault="00F15C9A">
            <w:pPr>
              <w:rPr>
                <w:rFonts w:ascii="Arial" w:eastAsia="Times New Roman" w:hAnsi="Arial" w:cs="Arial"/>
                <w:b/>
                <w:bCs/>
                <w:color w:val="000000"/>
                <w:sz w:val="18"/>
                <w:szCs w:val="18"/>
                <w:lang w:eastAsia="tr-TR"/>
              </w:rPr>
            </w:pPr>
          </w:p>
        </w:tc>
      </w:tr>
      <w:tr w:rsidR="00F15C9A" w14:paraId="516DE4DC" w14:textId="77777777" w:rsidTr="00F15C9A">
        <w:trPr>
          <w:trHeight w:val="290"/>
          <w:jc w:val="center"/>
        </w:trPr>
        <w:tc>
          <w:tcPr>
            <w:tcW w:w="207" w:type="dxa"/>
            <w:tcBorders>
              <w:top w:val="nil"/>
              <w:left w:val="single" w:sz="8" w:space="0" w:color="auto"/>
              <w:bottom w:val="nil"/>
              <w:right w:val="nil"/>
            </w:tcBorders>
            <w:noWrap/>
            <w:vAlign w:val="center"/>
            <w:hideMark/>
          </w:tcPr>
          <w:p w14:paraId="3DCCD6E0" w14:textId="77777777" w:rsidR="00F15C9A" w:rsidRDefault="00F15C9A">
            <w:pPr>
              <w:spacing w:after="0" w:line="240" w:lineRule="auto"/>
              <w:jc w:val="lef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 </w:t>
            </w:r>
          </w:p>
        </w:tc>
        <w:tc>
          <w:tcPr>
            <w:tcW w:w="181" w:type="dxa"/>
            <w:noWrap/>
            <w:vAlign w:val="center"/>
            <w:hideMark/>
          </w:tcPr>
          <w:p w14:paraId="765C125C" w14:textId="77777777" w:rsidR="00F15C9A" w:rsidRDefault="00F15C9A">
            <w:pPr>
              <w:rPr>
                <w:rFonts w:ascii="Arial" w:eastAsia="Times New Roman" w:hAnsi="Arial" w:cs="Arial"/>
                <w:color w:val="000000"/>
                <w:sz w:val="18"/>
                <w:szCs w:val="18"/>
                <w:lang w:eastAsia="tr-TR"/>
              </w:rPr>
            </w:pPr>
          </w:p>
        </w:tc>
        <w:tc>
          <w:tcPr>
            <w:tcW w:w="2484" w:type="dxa"/>
            <w:tcBorders>
              <w:top w:val="nil"/>
              <w:left w:val="nil"/>
              <w:bottom w:val="nil"/>
              <w:right w:val="single" w:sz="8" w:space="0" w:color="auto"/>
            </w:tcBorders>
            <w:noWrap/>
            <w:vAlign w:val="center"/>
            <w:hideMark/>
          </w:tcPr>
          <w:p w14:paraId="45393C19" w14:textId="77777777" w:rsidR="00F15C9A" w:rsidRDefault="00F15C9A">
            <w:pPr>
              <w:spacing w:after="0" w:line="240" w:lineRule="auto"/>
              <w:jc w:val="lef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252-Binalar Hesabı</w:t>
            </w:r>
          </w:p>
        </w:tc>
        <w:tc>
          <w:tcPr>
            <w:tcW w:w="1430" w:type="dxa"/>
            <w:tcBorders>
              <w:top w:val="nil"/>
              <w:left w:val="nil"/>
              <w:bottom w:val="nil"/>
              <w:right w:val="single" w:sz="8" w:space="0" w:color="auto"/>
            </w:tcBorders>
            <w:noWrap/>
            <w:vAlign w:val="center"/>
            <w:hideMark/>
          </w:tcPr>
          <w:p w14:paraId="3FC35B7B"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14.915.698,86</w:t>
            </w:r>
          </w:p>
        </w:tc>
        <w:tc>
          <w:tcPr>
            <w:tcW w:w="1652" w:type="dxa"/>
            <w:noWrap/>
            <w:vAlign w:val="center"/>
            <w:hideMark/>
          </w:tcPr>
          <w:p w14:paraId="449953B4"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14.915.698,86</w:t>
            </w:r>
          </w:p>
        </w:tc>
        <w:tc>
          <w:tcPr>
            <w:tcW w:w="1559" w:type="dxa"/>
            <w:tcBorders>
              <w:top w:val="nil"/>
              <w:left w:val="single" w:sz="8" w:space="0" w:color="auto"/>
              <w:bottom w:val="nil"/>
              <w:right w:val="single" w:sz="8" w:space="0" w:color="auto"/>
            </w:tcBorders>
            <w:noWrap/>
            <w:vAlign w:val="center"/>
            <w:hideMark/>
          </w:tcPr>
          <w:p w14:paraId="492CE7F2"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469.747.312,80</w:t>
            </w:r>
          </w:p>
        </w:tc>
        <w:tc>
          <w:tcPr>
            <w:tcW w:w="160" w:type="dxa"/>
            <w:noWrap/>
            <w:vAlign w:val="center"/>
            <w:hideMark/>
          </w:tcPr>
          <w:p w14:paraId="5ACB1AA9" w14:textId="77777777" w:rsidR="00F15C9A" w:rsidRDefault="00F15C9A">
            <w:pPr>
              <w:rPr>
                <w:rFonts w:ascii="Arial" w:eastAsia="Times New Roman" w:hAnsi="Arial" w:cs="Arial"/>
                <w:color w:val="000000"/>
                <w:sz w:val="18"/>
                <w:szCs w:val="18"/>
                <w:lang w:eastAsia="tr-TR"/>
              </w:rPr>
            </w:pPr>
          </w:p>
        </w:tc>
        <w:tc>
          <w:tcPr>
            <w:tcW w:w="160" w:type="dxa"/>
            <w:noWrap/>
            <w:vAlign w:val="bottom"/>
            <w:hideMark/>
          </w:tcPr>
          <w:p w14:paraId="3CCAA6E0" w14:textId="77777777" w:rsidR="00F15C9A" w:rsidRDefault="00F15C9A">
            <w:pPr>
              <w:spacing w:after="0"/>
              <w:jc w:val="left"/>
              <w:rPr>
                <w:rFonts w:eastAsiaTheme="minorHAnsi" w:cstheme="minorBidi"/>
                <w:sz w:val="20"/>
                <w:szCs w:val="20"/>
                <w:lang w:eastAsia="tr-TR"/>
              </w:rPr>
            </w:pPr>
          </w:p>
        </w:tc>
        <w:tc>
          <w:tcPr>
            <w:tcW w:w="3224" w:type="dxa"/>
            <w:tcBorders>
              <w:top w:val="nil"/>
              <w:left w:val="nil"/>
              <w:bottom w:val="nil"/>
              <w:right w:val="single" w:sz="8" w:space="0" w:color="auto"/>
            </w:tcBorders>
            <w:noWrap/>
            <w:vAlign w:val="center"/>
            <w:hideMark/>
          </w:tcPr>
          <w:p w14:paraId="4570C547" w14:textId="77777777" w:rsidR="00F15C9A" w:rsidRDefault="00F15C9A">
            <w:pPr>
              <w:spacing w:after="0" w:line="240" w:lineRule="auto"/>
              <w:jc w:val="lef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500-Net Değer Hesabı</w:t>
            </w:r>
          </w:p>
        </w:tc>
        <w:tc>
          <w:tcPr>
            <w:tcW w:w="1559" w:type="dxa"/>
            <w:tcBorders>
              <w:top w:val="nil"/>
              <w:left w:val="nil"/>
              <w:bottom w:val="nil"/>
              <w:right w:val="single" w:sz="8" w:space="0" w:color="auto"/>
            </w:tcBorders>
            <w:noWrap/>
            <w:vAlign w:val="center"/>
            <w:hideMark/>
          </w:tcPr>
          <w:p w14:paraId="124D0FD5"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236.851.949,08</w:t>
            </w:r>
          </w:p>
        </w:tc>
        <w:tc>
          <w:tcPr>
            <w:tcW w:w="1701" w:type="dxa"/>
            <w:tcBorders>
              <w:top w:val="nil"/>
              <w:left w:val="nil"/>
              <w:bottom w:val="nil"/>
              <w:right w:val="single" w:sz="8" w:space="0" w:color="auto"/>
            </w:tcBorders>
            <w:noWrap/>
            <w:vAlign w:val="center"/>
            <w:hideMark/>
          </w:tcPr>
          <w:p w14:paraId="31652C75"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282.628.091,72</w:t>
            </w:r>
          </w:p>
        </w:tc>
        <w:tc>
          <w:tcPr>
            <w:tcW w:w="1701" w:type="dxa"/>
            <w:tcBorders>
              <w:top w:val="nil"/>
              <w:left w:val="nil"/>
              <w:bottom w:val="nil"/>
              <w:right w:val="single" w:sz="8" w:space="0" w:color="auto"/>
            </w:tcBorders>
            <w:noWrap/>
            <w:vAlign w:val="center"/>
            <w:hideMark/>
          </w:tcPr>
          <w:p w14:paraId="11674253"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397.601.025,64</w:t>
            </w:r>
          </w:p>
        </w:tc>
        <w:tc>
          <w:tcPr>
            <w:tcW w:w="6" w:type="dxa"/>
            <w:tcBorders>
              <w:top w:val="nil"/>
              <w:left w:val="nil"/>
              <w:bottom w:val="nil"/>
              <w:right w:val="nil"/>
            </w:tcBorders>
            <w:vAlign w:val="center"/>
            <w:hideMark/>
          </w:tcPr>
          <w:p w14:paraId="41681802" w14:textId="77777777" w:rsidR="00F15C9A" w:rsidRDefault="00F15C9A">
            <w:pPr>
              <w:rPr>
                <w:rFonts w:ascii="Arial" w:eastAsia="Times New Roman" w:hAnsi="Arial" w:cs="Arial"/>
                <w:color w:val="000000"/>
                <w:sz w:val="18"/>
                <w:szCs w:val="18"/>
                <w:lang w:eastAsia="tr-TR"/>
              </w:rPr>
            </w:pPr>
          </w:p>
        </w:tc>
      </w:tr>
      <w:tr w:rsidR="00F15C9A" w14:paraId="752A4C42" w14:textId="77777777" w:rsidTr="00F15C9A">
        <w:trPr>
          <w:trHeight w:val="290"/>
          <w:jc w:val="center"/>
        </w:trPr>
        <w:tc>
          <w:tcPr>
            <w:tcW w:w="207" w:type="dxa"/>
            <w:tcBorders>
              <w:top w:val="nil"/>
              <w:left w:val="single" w:sz="8" w:space="0" w:color="auto"/>
              <w:bottom w:val="nil"/>
              <w:right w:val="nil"/>
            </w:tcBorders>
            <w:noWrap/>
            <w:vAlign w:val="center"/>
            <w:hideMark/>
          </w:tcPr>
          <w:p w14:paraId="7FF1A77B" w14:textId="77777777" w:rsidR="00F15C9A" w:rsidRDefault="00F15C9A">
            <w:pPr>
              <w:spacing w:after="0" w:line="240" w:lineRule="auto"/>
              <w:jc w:val="lef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 </w:t>
            </w:r>
          </w:p>
        </w:tc>
        <w:tc>
          <w:tcPr>
            <w:tcW w:w="181" w:type="dxa"/>
            <w:noWrap/>
            <w:vAlign w:val="center"/>
            <w:hideMark/>
          </w:tcPr>
          <w:p w14:paraId="74B31889" w14:textId="77777777" w:rsidR="00F15C9A" w:rsidRDefault="00F15C9A">
            <w:pPr>
              <w:rPr>
                <w:rFonts w:ascii="Arial" w:eastAsia="Times New Roman" w:hAnsi="Arial" w:cs="Arial"/>
                <w:color w:val="000000"/>
                <w:sz w:val="18"/>
                <w:szCs w:val="18"/>
                <w:lang w:eastAsia="tr-TR"/>
              </w:rPr>
            </w:pPr>
          </w:p>
        </w:tc>
        <w:tc>
          <w:tcPr>
            <w:tcW w:w="2484" w:type="dxa"/>
            <w:tcBorders>
              <w:top w:val="nil"/>
              <w:left w:val="nil"/>
              <w:bottom w:val="nil"/>
              <w:right w:val="single" w:sz="8" w:space="0" w:color="auto"/>
            </w:tcBorders>
            <w:noWrap/>
            <w:vAlign w:val="center"/>
            <w:hideMark/>
          </w:tcPr>
          <w:p w14:paraId="15C12D8B" w14:textId="77777777" w:rsidR="00F15C9A" w:rsidRDefault="00F15C9A">
            <w:pPr>
              <w:spacing w:after="0" w:line="240" w:lineRule="auto"/>
              <w:jc w:val="lef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253-Tesis, Makine ve Cihazlar</w:t>
            </w:r>
          </w:p>
        </w:tc>
        <w:tc>
          <w:tcPr>
            <w:tcW w:w="1430" w:type="dxa"/>
            <w:tcBorders>
              <w:top w:val="nil"/>
              <w:left w:val="nil"/>
              <w:bottom w:val="nil"/>
              <w:right w:val="single" w:sz="8" w:space="0" w:color="auto"/>
            </w:tcBorders>
            <w:noWrap/>
            <w:vAlign w:val="center"/>
            <w:hideMark/>
          </w:tcPr>
          <w:p w14:paraId="2EFCE505"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5.873.704,52</w:t>
            </w:r>
          </w:p>
        </w:tc>
        <w:tc>
          <w:tcPr>
            <w:tcW w:w="1652" w:type="dxa"/>
            <w:noWrap/>
            <w:vAlign w:val="center"/>
            <w:hideMark/>
          </w:tcPr>
          <w:p w14:paraId="36EABB25"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22.431.282,48</w:t>
            </w:r>
          </w:p>
        </w:tc>
        <w:tc>
          <w:tcPr>
            <w:tcW w:w="1559" w:type="dxa"/>
            <w:tcBorders>
              <w:top w:val="nil"/>
              <w:left w:val="single" w:sz="8" w:space="0" w:color="auto"/>
              <w:bottom w:val="nil"/>
              <w:right w:val="single" w:sz="8" w:space="0" w:color="auto"/>
            </w:tcBorders>
            <w:noWrap/>
            <w:vAlign w:val="center"/>
            <w:hideMark/>
          </w:tcPr>
          <w:p w14:paraId="661A5B79"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22.561.704,48</w:t>
            </w:r>
          </w:p>
        </w:tc>
        <w:tc>
          <w:tcPr>
            <w:tcW w:w="160" w:type="dxa"/>
            <w:noWrap/>
            <w:vAlign w:val="bottom"/>
            <w:hideMark/>
          </w:tcPr>
          <w:p w14:paraId="1C34136A" w14:textId="77777777" w:rsidR="00F15C9A" w:rsidRDefault="00F15C9A">
            <w:pPr>
              <w:rPr>
                <w:rFonts w:ascii="Arial" w:eastAsia="Times New Roman" w:hAnsi="Arial" w:cs="Arial"/>
                <w:color w:val="000000"/>
                <w:sz w:val="18"/>
                <w:szCs w:val="18"/>
                <w:lang w:eastAsia="tr-TR"/>
              </w:rPr>
            </w:pPr>
          </w:p>
        </w:tc>
        <w:tc>
          <w:tcPr>
            <w:tcW w:w="160" w:type="dxa"/>
            <w:noWrap/>
            <w:vAlign w:val="center"/>
            <w:hideMark/>
          </w:tcPr>
          <w:p w14:paraId="14D996E9" w14:textId="77777777" w:rsidR="00F15C9A" w:rsidRDefault="00F15C9A">
            <w:pPr>
              <w:spacing w:after="0"/>
              <w:jc w:val="left"/>
              <w:rPr>
                <w:rFonts w:eastAsiaTheme="minorHAnsi" w:cstheme="minorBidi"/>
                <w:sz w:val="20"/>
                <w:szCs w:val="20"/>
                <w:lang w:eastAsia="tr-TR"/>
              </w:rPr>
            </w:pPr>
          </w:p>
        </w:tc>
        <w:tc>
          <w:tcPr>
            <w:tcW w:w="3224" w:type="dxa"/>
            <w:tcBorders>
              <w:top w:val="nil"/>
              <w:left w:val="nil"/>
              <w:bottom w:val="nil"/>
              <w:right w:val="single" w:sz="8" w:space="0" w:color="auto"/>
            </w:tcBorders>
            <w:noWrap/>
            <w:vAlign w:val="center"/>
            <w:hideMark/>
          </w:tcPr>
          <w:p w14:paraId="7A7F3478" w14:textId="77777777" w:rsidR="00F15C9A" w:rsidRDefault="00F15C9A">
            <w:pPr>
              <w:spacing w:after="0" w:line="240" w:lineRule="auto"/>
              <w:jc w:val="lef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519-Değer Hareketleri Sonuç Hesabı</w:t>
            </w:r>
          </w:p>
        </w:tc>
        <w:tc>
          <w:tcPr>
            <w:tcW w:w="1559" w:type="dxa"/>
            <w:tcBorders>
              <w:top w:val="nil"/>
              <w:left w:val="nil"/>
              <w:bottom w:val="nil"/>
              <w:right w:val="single" w:sz="8" w:space="0" w:color="auto"/>
            </w:tcBorders>
            <w:noWrap/>
            <w:vAlign w:val="center"/>
            <w:hideMark/>
          </w:tcPr>
          <w:p w14:paraId="7D0CD8E6"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0,00</w:t>
            </w:r>
          </w:p>
        </w:tc>
        <w:tc>
          <w:tcPr>
            <w:tcW w:w="1701" w:type="dxa"/>
            <w:tcBorders>
              <w:top w:val="nil"/>
              <w:left w:val="nil"/>
              <w:bottom w:val="nil"/>
              <w:right w:val="single" w:sz="8" w:space="0" w:color="auto"/>
            </w:tcBorders>
            <w:noWrap/>
            <w:vAlign w:val="center"/>
            <w:hideMark/>
          </w:tcPr>
          <w:p w14:paraId="70E9F2C0"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-283.758,85</w:t>
            </w:r>
          </w:p>
        </w:tc>
        <w:tc>
          <w:tcPr>
            <w:tcW w:w="1701" w:type="dxa"/>
            <w:tcBorders>
              <w:top w:val="nil"/>
              <w:left w:val="nil"/>
              <w:bottom w:val="nil"/>
              <w:right w:val="single" w:sz="8" w:space="0" w:color="auto"/>
            </w:tcBorders>
            <w:noWrap/>
            <w:vAlign w:val="center"/>
            <w:hideMark/>
          </w:tcPr>
          <w:p w14:paraId="5A12B20D"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-283.758,85</w:t>
            </w:r>
          </w:p>
        </w:tc>
        <w:tc>
          <w:tcPr>
            <w:tcW w:w="6" w:type="dxa"/>
            <w:tcBorders>
              <w:top w:val="nil"/>
              <w:left w:val="nil"/>
              <w:bottom w:val="nil"/>
              <w:right w:val="nil"/>
            </w:tcBorders>
            <w:vAlign w:val="center"/>
            <w:hideMark/>
          </w:tcPr>
          <w:p w14:paraId="1A4571C5" w14:textId="77777777" w:rsidR="00F15C9A" w:rsidRDefault="00F15C9A">
            <w:pPr>
              <w:rPr>
                <w:rFonts w:ascii="Arial" w:eastAsia="Times New Roman" w:hAnsi="Arial" w:cs="Arial"/>
                <w:color w:val="000000"/>
                <w:sz w:val="18"/>
                <w:szCs w:val="18"/>
                <w:lang w:eastAsia="tr-TR"/>
              </w:rPr>
            </w:pPr>
          </w:p>
        </w:tc>
      </w:tr>
      <w:tr w:rsidR="00F15C9A" w14:paraId="13ADD320" w14:textId="77777777" w:rsidTr="00F15C9A">
        <w:trPr>
          <w:trHeight w:val="290"/>
          <w:jc w:val="center"/>
        </w:trPr>
        <w:tc>
          <w:tcPr>
            <w:tcW w:w="207" w:type="dxa"/>
            <w:tcBorders>
              <w:top w:val="nil"/>
              <w:left w:val="single" w:sz="8" w:space="0" w:color="auto"/>
              <w:bottom w:val="nil"/>
              <w:right w:val="nil"/>
            </w:tcBorders>
            <w:noWrap/>
            <w:vAlign w:val="center"/>
            <w:hideMark/>
          </w:tcPr>
          <w:p w14:paraId="72BC7AEE" w14:textId="77777777" w:rsidR="00F15C9A" w:rsidRDefault="00F15C9A">
            <w:pPr>
              <w:spacing w:after="0" w:line="240" w:lineRule="auto"/>
              <w:jc w:val="lef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 </w:t>
            </w:r>
          </w:p>
        </w:tc>
        <w:tc>
          <w:tcPr>
            <w:tcW w:w="181" w:type="dxa"/>
            <w:noWrap/>
            <w:vAlign w:val="center"/>
            <w:hideMark/>
          </w:tcPr>
          <w:p w14:paraId="43C4FF83" w14:textId="77777777" w:rsidR="00F15C9A" w:rsidRDefault="00F15C9A">
            <w:pPr>
              <w:rPr>
                <w:rFonts w:ascii="Arial" w:eastAsia="Times New Roman" w:hAnsi="Arial" w:cs="Arial"/>
                <w:color w:val="000000"/>
                <w:sz w:val="18"/>
                <w:szCs w:val="18"/>
                <w:lang w:eastAsia="tr-TR"/>
              </w:rPr>
            </w:pPr>
          </w:p>
        </w:tc>
        <w:tc>
          <w:tcPr>
            <w:tcW w:w="2484" w:type="dxa"/>
            <w:tcBorders>
              <w:top w:val="nil"/>
              <w:left w:val="nil"/>
              <w:bottom w:val="nil"/>
              <w:right w:val="single" w:sz="8" w:space="0" w:color="auto"/>
            </w:tcBorders>
            <w:noWrap/>
            <w:vAlign w:val="center"/>
            <w:hideMark/>
          </w:tcPr>
          <w:p w14:paraId="778B1296" w14:textId="77777777" w:rsidR="00F15C9A" w:rsidRDefault="00F15C9A">
            <w:pPr>
              <w:spacing w:after="0" w:line="240" w:lineRule="auto"/>
              <w:jc w:val="lef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254-Taşıtlar Hesabı</w:t>
            </w:r>
          </w:p>
        </w:tc>
        <w:tc>
          <w:tcPr>
            <w:tcW w:w="1430" w:type="dxa"/>
            <w:tcBorders>
              <w:top w:val="nil"/>
              <w:left w:val="nil"/>
              <w:bottom w:val="nil"/>
              <w:right w:val="single" w:sz="8" w:space="0" w:color="auto"/>
            </w:tcBorders>
            <w:noWrap/>
            <w:vAlign w:val="center"/>
            <w:hideMark/>
          </w:tcPr>
          <w:p w14:paraId="2D550811"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0,00</w:t>
            </w:r>
          </w:p>
        </w:tc>
        <w:tc>
          <w:tcPr>
            <w:tcW w:w="1652" w:type="dxa"/>
            <w:noWrap/>
            <w:vAlign w:val="center"/>
            <w:hideMark/>
          </w:tcPr>
          <w:p w14:paraId="32234C84"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1.697.983,03</w:t>
            </w:r>
          </w:p>
        </w:tc>
        <w:tc>
          <w:tcPr>
            <w:tcW w:w="1559" w:type="dxa"/>
            <w:tcBorders>
              <w:top w:val="nil"/>
              <w:left w:val="single" w:sz="8" w:space="0" w:color="auto"/>
              <w:bottom w:val="nil"/>
              <w:right w:val="single" w:sz="8" w:space="0" w:color="auto"/>
            </w:tcBorders>
            <w:noWrap/>
            <w:vAlign w:val="center"/>
            <w:hideMark/>
          </w:tcPr>
          <w:p w14:paraId="0F3B43B7"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17.356.417,03</w:t>
            </w:r>
          </w:p>
        </w:tc>
        <w:tc>
          <w:tcPr>
            <w:tcW w:w="160" w:type="dxa"/>
            <w:noWrap/>
            <w:vAlign w:val="bottom"/>
            <w:hideMark/>
          </w:tcPr>
          <w:p w14:paraId="6FA17C33" w14:textId="77777777" w:rsidR="00F15C9A" w:rsidRDefault="00F15C9A">
            <w:pPr>
              <w:rPr>
                <w:rFonts w:ascii="Arial" w:eastAsia="Times New Roman" w:hAnsi="Arial" w:cs="Arial"/>
                <w:color w:val="000000"/>
                <w:sz w:val="18"/>
                <w:szCs w:val="18"/>
                <w:lang w:eastAsia="tr-TR"/>
              </w:rPr>
            </w:pPr>
          </w:p>
        </w:tc>
        <w:tc>
          <w:tcPr>
            <w:tcW w:w="160" w:type="dxa"/>
            <w:noWrap/>
            <w:vAlign w:val="center"/>
            <w:hideMark/>
          </w:tcPr>
          <w:p w14:paraId="21269DA0" w14:textId="77777777" w:rsidR="00F15C9A" w:rsidRDefault="00F15C9A">
            <w:pPr>
              <w:spacing w:after="0"/>
              <w:jc w:val="left"/>
              <w:rPr>
                <w:rFonts w:eastAsiaTheme="minorHAnsi" w:cstheme="minorBidi"/>
                <w:sz w:val="20"/>
                <w:szCs w:val="20"/>
                <w:lang w:eastAsia="tr-TR"/>
              </w:rPr>
            </w:pPr>
          </w:p>
        </w:tc>
        <w:tc>
          <w:tcPr>
            <w:tcW w:w="3224" w:type="dxa"/>
            <w:tcBorders>
              <w:top w:val="nil"/>
              <w:left w:val="nil"/>
              <w:bottom w:val="nil"/>
              <w:right w:val="single" w:sz="8" w:space="0" w:color="auto"/>
            </w:tcBorders>
            <w:noWrap/>
            <w:vAlign w:val="center"/>
            <w:hideMark/>
          </w:tcPr>
          <w:p w14:paraId="6179C895" w14:textId="77777777" w:rsidR="00F15C9A" w:rsidRDefault="00F15C9A">
            <w:pPr>
              <w:spacing w:after="0" w:line="240" w:lineRule="auto"/>
              <w:jc w:val="lef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 </w:t>
            </w:r>
          </w:p>
        </w:tc>
        <w:tc>
          <w:tcPr>
            <w:tcW w:w="1559" w:type="dxa"/>
            <w:tcBorders>
              <w:top w:val="nil"/>
              <w:left w:val="nil"/>
              <w:bottom w:val="nil"/>
              <w:right w:val="single" w:sz="8" w:space="0" w:color="auto"/>
            </w:tcBorders>
            <w:noWrap/>
            <w:vAlign w:val="center"/>
          </w:tcPr>
          <w:p w14:paraId="1810E495" w14:textId="77777777" w:rsidR="00F15C9A" w:rsidRDefault="00F15C9A">
            <w:pPr>
              <w:spacing w:after="0" w:line="240" w:lineRule="auto"/>
              <w:jc w:val="right"/>
              <w:rPr>
                <w:rFonts w:ascii="Arial" w:eastAsia="Times New Roman" w:hAnsi="Arial" w:cs="Arial"/>
                <w:color w:val="000000"/>
                <w:sz w:val="18"/>
                <w:szCs w:val="18"/>
                <w:lang w:eastAsia="tr-TR"/>
              </w:rPr>
            </w:pPr>
          </w:p>
        </w:tc>
        <w:tc>
          <w:tcPr>
            <w:tcW w:w="1701" w:type="dxa"/>
            <w:tcBorders>
              <w:top w:val="nil"/>
              <w:left w:val="nil"/>
              <w:bottom w:val="nil"/>
              <w:right w:val="single" w:sz="8" w:space="0" w:color="auto"/>
            </w:tcBorders>
            <w:noWrap/>
            <w:vAlign w:val="center"/>
            <w:hideMark/>
          </w:tcPr>
          <w:p w14:paraId="5B1DE38C"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 </w:t>
            </w:r>
          </w:p>
        </w:tc>
        <w:tc>
          <w:tcPr>
            <w:tcW w:w="1701" w:type="dxa"/>
            <w:tcBorders>
              <w:top w:val="nil"/>
              <w:left w:val="nil"/>
              <w:bottom w:val="nil"/>
              <w:right w:val="single" w:sz="8" w:space="0" w:color="auto"/>
            </w:tcBorders>
            <w:noWrap/>
            <w:vAlign w:val="center"/>
            <w:hideMark/>
          </w:tcPr>
          <w:p w14:paraId="24AF4D46"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 </w:t>
            </w:r>
          </w:p>
        </w:tc>
        <w:tc>
          <w:tcPr>
            <w:tcW w:w="6" w:type="dxa"/>
            <w:tcBorders>
              <w:top w:val="nil"/>
              <w:left w:val="nil"/>
              <w:bottom w:val="nil"/>
              <w:right w:val="nil"/>
            </w:tcBorders>
            <w:vAlign w:val="center"/>
            <w:hideMark/>
          </w:tcPr>
          <w:p w14:paraId="743440FB" w14:textId="77777777" w:rsidR="00F15C9A" w:rsidRDefault="00F15C9A">
            <w:pPr>
              <w:rPr>
                <w:rFonts w:ascii="Arial" w:eastAsia="Times New Roman" w:hAnsi="Arial" w:cs="Arial"/>
                <w:color w:val="000000"/>
                <w:sz w:val="18"/>
                <w:szCs w:val="18"/>
                <w:lang w:eastAsia="tr-TR"/>
              </w:rPr>
            </w:pPr>
          </w:p>
        </w:tc>
      </w:tr>
      <w:tr w:rsidR="00F15C9A" w14:paraId="72AA65EB" w14:textId="77777777" w:rsidTr="00F15C9A">
        <w:trPr>
          <w:trHeight w:val="290"/>
          <w:jc w:val="center"/>
        </w:trPr>
        <w:tc>
          <w:tcPr>
            <w:tcW w:w="207" w:type="dxa"/>
            <w:tcBorders>
              <w:top w:val="nil"/>
              <w:left w:val="single" w:sz="8" w:space="0" w:color="auto"/>
              <w:bottom w:val="nil"/>
              <w:right w:val="nil"/>
            </w:tcBorders>
            <w:noWrap/>
            <w:vAlign w:val="center"/>
            <w:hideMark/>
          </w:tcPr>
          <w:p w14:paraId="0E892282" w14:textId="77777777" w:rsidR="00F15C9A" w:rsidRDefault="00F15C9A">
            <w:pPr>
              <w:spacing w:after="0" w:line="240" w:lineRule="auto"/>
              <w:jc w:val="lef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 </w:t>
            </w:r>
          </w:p>
        </w:tc>
        <w:tc>
          <w:tcPr>
            <w:tcW w:w="181" w:type="dxa"/>
            <w:noWrap/>
            <w:vAlign w:val="center"/>
            <w:hideMark/>
          </w:tcPr>
          <w:p w14:paraId="3DFD8B53" w14:textId="77777777" w:rsidR="00F15C9A" w:rsidRDefault="00F15C9A">
            <w:pPr>
              <w:rPr>
                <w:rFonts w:ascii="Arial" w:eastAsia="Times New Roman" w:hAnsi="Arial" w:cs="Arial"/>
                <w:color w:val="000000"/>
                <w:sz w:val="18"/>
                <w:szCs w:val="18"/>
                <w:lang w:eastAsia="tr-TR"/>
              </w:rPr>
            </w:pPr>
          </w:p>
        </w:tc>
        <w:tc>
          <w:tcPr>
            <w:tcW w:w="2484" w:type="dxa"/>
            <w:tcBorders>
              <w:top w:val="nil"/>
              <w:left w:val="nil"/>
              <w:bottom w:val="nil"/>
              <w:right w:val="single" w:sz="8" w:space="0" w:color="auto"/>
            </w:tcBorders>
            <w:noWrap/>
            <w:vAlign w:val="center"/>
            <w:hideMark/>
          </w:tcPr>
          <w:p w14:paraId="42D6CE89" w14:textId="77777777" w:rsidR="00F15C9A" w:rsidRDefault="00F15C9A">
            <w:pPr>
              <w:spacing w:after="0" w:line="240" w:lineRule="auto"/>
              <w:jc w:val="lef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255-Demirbaşlar Hesabı</w:t>
            </w:r>
          </w:p>
        </w:tc>
        <w:tc>
          <w:tcPr>
            <w:tcW w:w="1430" w:type="dxa"/>
            <w:tcBorders>
              <w:top w:val="nil"/>
              <w:left w:val="nil"/>
              <w:bottom w:val="nil"/>
              <w:right w:val="single" w:sz="8" w:space="0" w:color="auto"/>
            </w:tcBorders>
            <w:noWrap/>
            <w:vAlign w:val="center"/>
            <w:hideMark/>
          </w:tcPr>
          <w:p w14:paraId="45BE4060"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46.865.700,54</w:t>
            </w:r>
          </w:p>
        </w:tc>
        <w:tc>
          <w:tcPr>
            <w:tcW w:w="1652" w:type="dxa"/>
            <w:noWrap/>
            <w:vAlign w:val="center"/>
            <w:hideMark/>
          </w:tcPr>
          <w:p w14:paraId="2EB87E37"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152.079.518,58</w:t>
            </w:r>
          </w:p>
        </w:tc>
        <w:tc>
          <w:tcPr>
            <w:tcW w:w="1559" w:type="dxa"/>
            <w:tcBorders>
              <w:top w:val="nil"/>
              <w:left w:val="single" w:sz="8" w:space="0" w:color="auto"/>
              <w:bottom w:val="nil"/>
              <w:right w:val="single" w:sz="8" w:space="0" w:color="auto"/>
            </w:tcBorders>
            <w:noWrap/>
            <w:vAlign w:val="center"/>
            <w:hideMark/>
          </w:tcPr>
          <w:p w14:paraId="76CEC790"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155.464.245,05</w:t>
            </w:r>
          </w:p>
        </w:tc>
        <w:tc>
          <w:tcPr>
            <w:tcW w:w="160" w:type="dxa"/>
            <w:noWrap/>
            <w:vAlign w:val="bottom"/>
            <w:hideMark/>
          </w:tcPr>
          <w:p w14:paraId="75CAD95E" w14:textId="77777777" w:rsidR="00F15C9A" w:rsidRDefault="00F15C9A">
            <w:pPr>
              <w:rPr>
                <w:rFonts w:ascii="Arial" w:eastAsia="Times New Roman" w:hAnsi="Arial" w:cs="Arial"/>
                <w:color w:val="000000"/>
                <w:sz w:val="18"/>
                <w:szCs w:val="18"/>
                <w:lang w:eastAsia="tr-TR"/>
              </w:rPr>
            </w:pPr>
          </w:p>
        </w:tc>
        <w:tc>
          <w:tcPr>
            <w:tcW w:w="3384" w:type="dxa"/>
            <w:gridSpan w:val="2"/>
            <w:tcBorders>
              <w:top w:val="nil"/>
              <w:left w:val="nil"/>
              <w:bottom w:val="nil"/>
              <w:right w:val="single" w:sz="8" w:space="0" w:color="000000"/>
            </w:tcBorders>
            <w:noWrap/>
            <w:vAlign w:val="center"/>
            <w:hideMark/>
          </w:tcPr>
          <w:p w14:paraId="0201E74F" w14:textId="77777777" w:rsidR="00F15C9A" w:rsidRDefault="00F15C9A">
            <w:pPr>
              <w:spacing w:after="0" w:line="240" w:lineRule="auto"/>
              <w:jc w:val="lef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57-GEÇMİŞ YILLAR OLUMLU FAALİYET SONUCU</w:t>
            </w:r>
          </w:p>
        </w:tc>
        <w:tc>
          <w:tcPr>
            <w:tcW w:w="1559" w:type="dxa"/>
            <w:tcBorders>
              <w:top w:val="nil"/>
              <w:left w:val="nil"/>
              <w:bottom w:val="nil"/>
              <w:right w:val="single" w:sz="8" w:space="0" w:color="auto"/>
            </w:tcBorders>
            <w:noWrap/>
            <w:vAlign w:val="center"/>
            <w:hideMark/>
          </w:tcPr>
          <w:p w14:paraId="1E13746E" w14:textId="77777777" w:rsidR="00F15C9A" w:rsidRDefault="00F15C9A">
            <w:pPr>
              <w:spacing w:after="0" w:line="240" w:lineRule="auto"/>
              <w:jc w:val="lef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1.050.229.552,10</w:t>
            </w:r>
          </w:p>
        </w:tc>
        <w:tc>
          <w:tcPr>
            <w:tcW w:w="1701" w:type="dxa"/>
            <w:tcBorders>
              <w:top w:val="nil"/>
              <w:left w:val="nil"/>
              <w:bottom w:val="nil"/>
              <w:right w:val="single" w:sz="8" w:space="0" w:color="auto"/>
            </w:tcBorders>
            <w:noWrap/>
            <w:vAlign w:val="center"/>
            <w:hideMark/>
          </w:tcPr>
          <w:p w14:paraId="6B665250" w14:textId="77777777" w:rsidR="00F15C9A" w:rsidRDefault="00F15C9A">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2.760.954.402,34</w:t>
            </w:r>
          </w:p>
        </w:tc>
        <w:tc>
          <w:tcPr>
            <w:tcW w:w="1701" w:type="dxa"/>
            <w:tcBorders>
              <w:top w:val="nil"/>
              <w:left w:val="nil"/>
              <w:bottom w:val="nil"/>
              <w:right w:val="single" w:sz="8" w:space="0" w:color="auto"/>
            </w:tcBorders>
            <w:noWrap/>
            <w:vAlign w:val="center"/>
            <w:hideMark/>
          </w:tcPr>
          <w:p w14:paraId="4F70BA4D" w14:textId="77777777" w:rsidR="00F15C9A" w:rsidRDefault="00F15C9A">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4.153.038.460,01</w:t>
            </w:r>
          </w:p>
        </w:tc>
        <w:tc>
          <w:tcPr>
            <w:tcW w:w="6" w:type="dxa"/>
            <w:tcBorders>
              <w:top w:val="nil"/>
              <w:left w:val="nil"/>
              <w:bottom w:val="nil"/>
              <w:right w:val="nil"/>
            </w:tcBorders>
            <w:vAlign w:val="center"/>
            <w:hideMark/>
          </w:tcPr>
          <w:p w14:paraId="32A803E6" w14:textId="77777777" w:rsidR="00F15C9A" w:rsidRDefault="00F15C9A">
            <w:pPr>
              <w:rPr>
                <w:rFonts w:ascii="Arial" w:eastAsia="Times New Roman" w:hAnsi="Arial" w:cs="Arial"/>
                <w:b/>
                <w:bCs/>
                <w:color w:val="000000"/>
                <w:sz w:val="18"/>
                <w:szCs w:val="18"/>
                <w:lang w:eastAsia="tr-TR"/>
              </w:rPr>
            </w:pPr>
          </w:p>
        </w:tc>
      </w:tr>
      <w:tr w:rsidR="00F15C9A" w14:paraId="39E3CD70" w14:textId="77777777" w:rsidTr="00F15C9A">
        <w:trPr>
          <w:trHeight w:val="290"/>
          <w:jc w:val="center"/>
        </w:trPr>
        <w:tc>
          <w:tcPr>
            <w:tcW w:w="207" w:type="dxa"/>
            <w:tcBorders>
              <w:top w:val="nil"/>
              <w:left w:val="single" w:sz="8" w:space="0" w:color="auto"/>
              <w:bottom w:val="nil"/>
              <w:right w:val="nil"/>
            </w:tcBorders>
            <w:noWrap/>
            <w:vAlign w:val="center"/>
            <w:hideMark/>
          </w:tcPr>
          <w:p w14:paraId="0E14E0A2" w14:textId="77777777" w:rsidR="00F15C9A" w:rsidRDefault="00F15C9A">
            <w:pPr>
              <w:spacing w:after="0" w:line="240" w:lineRule="auto"/>
              <w:jc w:val="lef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lastRenderedPageBreak/>
              <w:t> </w:t>
            </w:r>
          </w:p>
        </w:tc>
        <w:tc>
          <w:tcPr>
            <w:tcW w:w="181" w:type="dxa"/>
            <w:noWrap/>
            <w:vAlign w:val="center"/>
            <w:hideMark/>
          </w:tcPr>
          <w:p w14:paraId="51FA6EDB" w14:textId="77777777" w:rsidR="00F15C9A" w:rsidRDefault="00F15C9A">
            <w:pPr>
              <w:rPr>
                <w:rFonts w:ascii="Arial" w:eastAsia="Times New Roman" w:hAnsi="Arial" w:cs="Arial"/>
                <w:color w:val="000000"/>
                <w:sz w:val="18"/>
                <w:szCs w:val="18"/>
                <w:lang w:eastAsia="tr-TR"/>
              </w:rPr>
            </w:pPr>
          </w:p>
        </w:tc>
        <w:tc>
          <w:tcPr>
            <w:tcW w:w="2484" w:type="dxa"/>
            <w:tcBorders>
              <w:top w:val="nil"/>
              <w:left w:val="nil"/>
              <w:bottom w:val="nil"/>
              <w:right w:val="single" w:sz="8" w:space="0" w:color="auto"/>
            </w:tcBorders>
            <w:noWrap/>
            <w:vAlign w:val="center"/>
            <w:hideMark/>
          </w:tcPr>
          <w:p w14:paraId="0F7BB6C1" w14:textId="77777777" w:rsidR="00F15C9A" w:rsidRDefault="00F15C9A">
            <w:pPr>
              <w:spacing w:after="0" w:line="240" w:lineRule="auto"/>
              <w:jc w:val="lef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257-Birikmiş Amortismanlar Hesabı (-)</w:t>
            </w:r>
          </w:p>
        </w:tc>
        <w:tc>
          <w:tcPr>
            <w:tcW w:w="1430" w:type="dxa"/>
            <w:tcBorders>
              <w:top w:val="nil"/>
              <w:left w:val="nil"/>
              <w:bottom w:val="nil"/>
              <w:right w:val="single" w:sz="8" w:space="0" w:color="auto"/>
            </w:tcBorders>
            <w:noWrap/>
            <w:vAlign w:val="center"/>
            <w:hideMark/>
          </w:tcPr>
          <w:p w14:paraId="181ED2DF"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-59.322.173,40</w:t>
            </w:r>
          </w:p>
        </w:tc>
        <w:tc>
          <w:tcPr>
            <w:tcW w:w="1652" w:type="dxa"/>
            <w:noWrap/>
            <w:vAlign w:val="center"/>
            <w:hideMark/>
          </w:tcPr>
          <w:p w14:paraId="718C76CC"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-174.610.482,91</w:t>
            </w:r>
          </w:p>
        </w:tc>
        <w:tc>
          <w:tcPr>
            <w:tcW w:w="1559" w:type="dxa"/>
            <w:tcBorders>
              <w:top w:val="nil"/>
              <w:left w:val="single" w:sz="8" w:space="0" w:color="auto"/>
              <w:bottom w:val="nil"/>
              <w:right w:val="single" w:sz="8" w:space="0" w:color="auto"/>
            </w:tcBorders>
            <w:noWrap/>
            <w:vAlign w:val="center"/>
            <w:hideMark/>
          </w:tcPr>
          <w:p w14:paraId="34B65C62"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-193.791.160,81</w:t>
            </w:r>
          </w:p>
        </w:tc>
        <w:tc>
          <w:tcPr>
            <w:tcW w:w="160" w:type="dxa"/>
            <w:noWrap/>
            <w:vAlign w:val="center"/>
            <w:hideMark/>
          </w:tcPr>
          <w:p w14:paraId="5302E136" w14:textId="77777777" w:rsidR="00F15C9A" w:rsidRDefault="00F15C9A">
            <w:pPr>
              <w:rPr>
                <w:rFonts w:ascii="Arial" w:eastAsia="Times New Roman" w:hAnsi="Arial" w:cs="Arial"/>
                <w:color w:val="000000"/>
                <w:sz w:val="18"/>
                <w:szCs w:val="18"/>
                <w:lang w:eastAsia="tr-TR"/>
              </w:rPr>
            </w:pPr>
          </w:p>
        </w:tc>
        <w:tc>
          <w:tcPr>
            <w:tcW w:w="160" w:type="dxa"/>
            <w:noWrap/>
            <w:vAlign w:val="bottom"/>
            <w:hideMark/>
          </w:tcPr>
          <w:p w14:paraId="3086A4A4" w14:textId="77777777" w:rsidR="00F15C9A" w:rsidRDefault="00F15C9A">
            <w:pPr>
              <w:spacing w:after="0"/>
              <w:jc w:val="left"/>
              <w:rPr>
                <w:rFonts w:eastAsiaTheme="minorHAnsi" w:cstheme="minorBidi"/>
                <w:sz w:val="20"/>
                <w:szCs w:val="20"/>
                <w:lang w:eastAsia="tr-TR"/>
              </w:rPr>
            </w:pPr>
          </w:p>
        </w:tc>
        <w:tc>
          <w:tcPr>
            <w:tcW w:w="3224" w:type="dxa"/>
            <w:tcBorders>
              <w:top w:val="nil"/>
              <w:left w:val="nil"/>
              <w:bottom w:val="nil"/>
              <w:right w:val="single" w:sz="8" w:space="0" w:color="auto"/>
            </w:tcBorders>
            <w:noWrap/>
            <w:vAlign w:val="center"/>
            <w:hideMark/>
          </w:tcPr>
          <w:p w14:paraId="3867011E" w14:textId="77777777" w:rsidR="00F15C9A" w:rsidRDefault="00F15C9A">
            <w:pPr>
              <w:spacing w:after="0" w:line="240" w:lineRule="auto"/>
              <w:jc w:val="lef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570-Geçmiş Yıllar Olumlu Faaliyet Sonuçları Hesabı</w:t>
            </w:r>
          </w:p>
        </w:tc>
        <w:tc>
          <w:tcPr>
            <w:tcW w:w="1559" w:type="dxa"/>
            <w:tcBorders>
              <w:top w:val="nil"/>
              <w:left w:val="nil"/>
              <w:bottom w:val="nil"/>
              <w:right w:val="single" w:sz="8" w:space="0" w:color="auto"/>
            </w:tcBorders>
            <w:noWrap/>
            <w:vAlign w:val="center"/>
            <w:hideMark/>
          </w:tcPr>
          <w:p w14:paraId="62A2B80F"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1.050.229.552,10</w:t>
            </w:r>
          </w:p>
        </w:tc>
        <w:tc>
          <w:tcPr>
            <w:tcW w:w="1701" w:type="dxa"/>
            <w:tcBorders>
              <w:top w:val="nil"/>
              <w:left w:val="nil"/>
              <w:bottom w:val="nil"/>
              <w:right w:val="single" w:sz="8" w:space="0" w:color="auto"/>
            </w:tcBorders>
            <w:noWrap/>
            <w:vAlign w:val="center"/>
            <w:hideMark/>
          </w:tcPr>
          <w:p w14:paraId="177C0153"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2.760.954.402,34</w:t>
            </w:r>
          </w:p>
        </w:tc>
        <w:tc>
          <w:tcPr>
            <w:tcW w:w="1701" w:type="dxa"/>
            <w:tcBorders>
              <w:top w:val="nil"/>
              <w:left w:val="nil"/>
              <w:bottom w:val="nil"/>
              <w:right w:val="single" w:sz="8" w:space="0" w:color="auto"/>
            </w:tcBorders>
            <w:noWrap/>
            <w:vAlign w:val="center"/>
            <w:hideMark/>
          </w:tcPr>
          <w:p w14:paraId="0B4B99E2"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4.153.038.460,01</w:t>
            </w:r>
          </w:p>
        </w:tc>
        <w:tc>
          <w:tcPr>
            <w:tcW w:w="6" w:type="dxa"/>
            <w:tcBorders>
              <w:top w:val="nil"/>
              <w:left w:val="nil"/>
              <w:bottom w:val="nil"/>
              <w:right w:val="nil"/>
            </w:tcBorders>
            <w:vAlign w:val="center"/>
            <w:hideMark/>
          </w:tcPr>
          <w:p w14:paraId="6E5B2693" w14:textId="77777777" w:rsidR="00F15C9A" w:rsidRDefault="00F15C9A">
            <w:pPr>
              <w:rPr>
                <w:rFonts w:ascii="Arial" w:eastAsia="Times New Roman" w:hAnsi="Arial" w:cs="Arial"/>
                <w:color w:val="000000"/>
                <w:sz w:val="18"/>
                <w:szCs w:val="18"/>
                <w:lang w:eastAsia="tr-TR"/>
              </w:rPr>
            </w:pPr>
          </w:p>
        </w:tc>
      </w:tr>
      <w:tr w:rsidR="00F15C9A" w14:paraId="355DD628" w14:textId="77777777" w:rsidTr="00F15C9A">
        <w:trPr>
          <w:trHeight w:val="568"/>
          <w:jc w:val="center"/>
        </w:trPr>
        <w:tc>
          <w:tcPr>
            <w:tcW w:w="207" w:type="dxa"/>
            <w:tcBorders>
              <w:top w:val="nil"/>
              <w:left w:val="single" w:sz="8" w:space="0" w:color="auto"/>
              <w:bottom w:val="nil"/>
              <w:right w:val="nil"/>
            </w:tcBorders>
            <w:noWrap/>
            <w:vAlign w:val="center"/>
            <w:hideMark/>
          </w:tcPr>
          <w:p w14:paraId="734D1B39" w14:textId="77777777" w:rsidR="00F15C9A" w:rsidRDefault="00F15C9A">
            <w:pPr>
              <w:spacing w:after="0" w:line="240" w:lineRule="auto"/>
              <w:jc w:val="lef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 </w:t>
            </w:r>
          </w:p>
        </w:tc>
        <w:tc>
          <w:tcPr>
            <w:tcW w:w="181" w:type="dxa"/>
            <w:noWrap/>
            <w:vAlign w:val="center"/>
            <w:hideMark/>
          </w:tcPr>
          <w:p w14:paraId="701A5C3B" w14:textId="77777777" w:rsidR="00F15C9A" w:rsidRDefault="00F15C9A">
            <w:pPr>
              <w:rPr>
                <w:rFonts w:ascii="Arial" w:eastAsia="Times New Roman" w:hAnsi="Arial" w:cs="Arial"/>
                <w:color w:val="000000"/>
                <w:sz w:val="18"/>
                <w:szCs w:val="18"/>
                <w:lang w:eastAsia="tr-TR"/>
              </w:rPr>
            </w:pPr>
          </w:p>
        </w:tc>
        <w:tc>
          <w:tcPr>
            <w:tcW w:w="2484" w:type="dxa"/>
            <w:tcBorders>
              <w:top w:val="nil"/>
              <w:left w:val="nil"/>
              <w:bottom w:val="nil"/>
              <w:right w:val="single" w:sz="8" w:space="0" w:color="auto"/>
            </w:tcBorders>
            <w:noWrap/>
            <w:vAlign w:val="center"/>
            <w:hideMark/>
          </w:tcPr>
          <w:p w14:paraId="3E512D75" w14:textId="77777777" w:rsidR="00F15C9A" w:rsidRDefault="00F15C9A">
            <w:pPr>
              <w:spacing w:after="0" w:line="240" w:lineRule="auto"/>
              <w:jc w:val="lef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258-Yapılmakta Olan Yatırımlar Hesabı</w:t>
            </w:r>
          </w:p>
        </w:tc>
        <w:tc>
          <w:tcPr>
            <w:tcW w:w="1430" w:type="dxa"/>
            <w:tcBorders>
              <w:top w:val="nil"/>
              <w:left w:val="nil"/>
              <w:bottom w:val="nil"/>
              <w:right w:val="single" w:sz="8" w:space="0" w:color="auto"/>
            </w:tcBorders>
            <w:noWrap/>
            <w:vAlign w:val="center"/>
            <w:hideMark/>
          </w:tcPr>
          <w:p w14:paraId="4B49BC3E"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234.267.264,46</w:t>
            </w:r>
          </w:p>
        </w:tc>
        <w:tc>
          <w:tcPr>
            <w:tcW w:w="1652" w:type="dxa"/>
            <w:noWrap/>
            <w:vAlign w:val="center"/>
            <w:hideMark/>
          </w:tcPr>
          <w:p w14:paraId="66C76F16"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337.809.931,86</w:t>
            </w:r>
          </w:p>
        </w:tc>
        <w:tc>
          <w:tcPr>
            <w:tcW w:w="1559" w:type="dxa"/>
            <w:tcBorders>
              <w:top w:val="nil"/>
              <w:left w:val="single" w:sz="8" w:space="0" w:color="auto"/>
              <w:bottom w:val="nil"/>
              <w:right w:val="single" w:sz="8" w:space="0" w:color="auto"/>
            </w:tcBorders>
            <w:noWrap/>
            <w:vAlign w:val="center"/>
            <w:hideMark/>
          </w:tcPr>
          <w:p w14:paraId="0BFD93A9"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89.359.773,01</w:t>
            </w:r>
          </w:p>
        </w:tc>
        <w:tc>
          <w:tcPr>
            <w:tcW w:w="160" w:type="dxa"/>
            <w:noWrap/>
            <w:vAlign w:val="center"/>
          </w:tcPr>
          <w:p w14:paraId="1A1666C1" w14:textId="77777777" w:rsidR="00F15C9A" w:rsidRDefault="00F15C9A">
            <w:pPr>
              <w:spacing w:after="0" w:line="240" w:lineRule="auto"/>
              <w:jc w:val="right"/>
              <w:rPr>
                <w:rFonts w:ascii="Arial" w:eastAsia="Times New Roman" w:hAnsi="Arial" w:cs="Arial"/>
                <w:color w:val="000000"/>
                <w:sz w:val="18"/>
                <w:szCs w:val="18"/>
                <w:lang w:eastAsia="tr-TR"/>
              </w:rPr>
            </w:pPr>
          </w:p>
        </w:tc>
        <w:tc>
          <w:tcPr>
            <w:tcW w:w="160" w:type="dxa"/>
            <w:noWrap/>
            <w:vAlign w:val="bottom"/>
            <w:hideMark/>
          </w:tcPr>
          <w:p w14:paraId="6870C1F8" w14:textId="77777777" w:rsidR="00F15C9A" w:rsidRDefault="00F15C9A">
            <w:pPr>
              <w:rPr>
                <w:rFonts w:ascii="Arial" w:eastAsia="Times New Roman" w:hAnsi="Arial" w:cs="Arial"/>
                <w:color w:val="000000"/>
                <w:sz w:val="18"/>
                <w:szCs w:val="18"/>
                <w:lang w:eastAsia="tr-TR"/>
              </w:rPr>
            </w:pPr>
          </w:p>
        </w:tc>
        <w:tc>
          <w:tcPr>
            <w:tcW w:w="3224" w:type="dxa"/>
            <w:tcBorders>
              <w:top w:val="nil"/>
              <w:left w:val="nil"/>
              <w:bottom w:val="nil"/>
              <w:right w:val="single" w:sz="8" w:space="0" w:color="auto"/>
            </w:tcBorders>
            <w:noWrap/>
            <w:vAlign w:val="center"/>
            <w:hideMark/>
          </w:tcPr>
          <w:p w14:paraId="48CE285A" w14:textId="77777777" w:rsidR="00F15C9A" w:rsidRDefault="00F15C9A">
            <w:pPr>
              <w:spacing w:after="0" w:line="240" w:lineRule="auto"/>
              <w:jc w:val="lef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 </w:t>
            </w:r>
          </w:p>
        </w:tc>
        <w:tc>
          <w:tcPr>
            <w:tcW w:w="1559" w:type="dxa"/>
            <w:tcBorders>
              <w:top w:val="nil"/>
              <w:left w:val="nil"/>
              <w:bottom w:val="nil"/>
              <w:right w:val="single" w:sz="8" w:space="0" w:color="auto"/>
            </w:tcBorders>
            <w:noWrap/>
            <w:vAlign w:val="center"/>
            <w:hideMark/>
          </w:tcPr>
          <w:p w14:paraId="27EED5B2" w14:textId="77777777" w:rsidR="00F15C9A" w:rsidRDefault="00F15C9A">
            <w:pPr>
              <w:spacing w:after="0" w:line="240" w:lineRule="auto"/>
              <w:jc w:val="lef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 </w:t>
            </w:r>
          </w:p>
        </w:tc>
        <w:tc>
          <w:tcPr>
            <w:tcW w:w="1701" w:type="dxa"/>
            <w:tcBorders>
              <w:top w:val="nil"/>
              <w:left w:val="nil"/>
              <w:bottom w:val="nil"/>
              <w:right w:val="single" w:sz="8" w:space="0" w:color="auto"/>
            </w:tcBorders>
            <w:noWrap/>
            <w:vAlign w:val="center"/>
            <w:hideMark/>
          </w:tcPr>
          <w:p w14:paraId="1088CEB4" w14:textId="77777777" w:rsidR="00F15C9A" w:rsidRDefault="00F15C9A">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 </w:t>
            </w:r>
          </w:p>
        </w:tc>
        <w:tc>
          <w:tcPr>
            <w:tcW w:w="1701" w:type="dxa"/>
            <w:tcBorders>
              <w:top w:val="nil"/>
              <w:left w:val="nil"/>
              <w:bottom w:val="nil"/>
              <w:right w:val="single" w:sz="8" w:space="0" w:color="auto"/>
            </w:tcBorders>
            <w:noWrap/>
            <w:vAlign w:val="center"/>
            <w:hideMark/>
          </w:tcPr>
          <w:p w14:paraId="6B6E9C57" w14:textId="77777777" w:rsidR="00F15C9A" w:rsidRDefault="00F15C9A">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 </w:t>
            </w:r>
          </w:p>
        </w:tc>
        <w:tc>
          <w:tcPr>
            <w:tcW w:w="6" w:type="dxa"/>
            <w:tcBorders>
              <w:top w:val="nil"/>
              <w:left w:val="nil"/>
              <w:bottom w:val="nil"/>
              <w:right w:val="nil"/>
            </w:tcBorders>
            <w:vAlign w:val="center"/>
            <w:hideMark/>
          </w:tcPr>
          <w:p w14:paraId="0D70A45A" w14:textId="77777777" w:rsidR="00F15C9A" w:rsidRDefault="00F15C9A">
            <w:pPr>
              <w:rPr>
                <w:rFonts w:ascii="Arial" w:eastAsia="Times New Roman" w:hAnsi="Arial" w:cs="Arial"/>
                <w:b/>
                <w:bCs/>
                <w:color w:val="000000"/>
                <w:sz w:val="18"/>
                <w:szCs w:val="18"/>
                <w:lang w:eastAsia="tr-TR"/>
              </w:rPr>
            </w:pPr>
          </w:p>
        </w:tc>
      </w:tr>
      <w:tr w:rsidR="00F15C9A" w14:paraId="32D3FC18" w14:textId="77777777" w:rsidTr="00F15C9A">
        <w:trPr>
          <w:trHeight w:val="290"/>
          <w:jc w:val="center"/>
        </w:trPr>
        <w:tc>
          <w:tcPr>
            <w:tcW w:w="207" w:type="dxa"/>
            <w:tcBorders>
              <w:top w:val="nil"/>
              <w:left w:val="single" w:sz="8" w:space="0" w:color="auto"/>
              <w:bottom w:val="nil"/>
              <w:right w:val="nil"/>
            </w:tcBorders>
            <w:noWrap/>
            <w:vAlign w:val="center"/>
            <w:hideMark/>
          </w:tcPr>
          <w:p w14:paraId="6BED7E9E" w14:textId="77777777" w:rsidR="00F15C9A" w:rsidRDefault="00F15C9A">
            <w:pPr>
              <w:spacing w:after="0" w:line="240" w:lineRule="auto"/>
              <w:jc w:val="lef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 </w:t>
            </w:r>
          </w:p>
        </w:tc>
        <w:tc>
          <w:tcPr>
            <w:tcW w:w="181" w:type="dxa"/>
            <w:noWrap/>
            <w:vAlign w:val="center"/>
            <w:hideMark/>
          </w:tcPr>
          <w:p w14:paraId="111F552F" w14:textId="77777777" w:rsidR="00F15C9A" w:rsidRDefault="00F15C9A">
            <w:pPr>
              <w:rPr>
                <w:rFonts w:ascii="Arial" w:eastAsia="Times New Roman" w:hAnsi="Arial" w:cs="Arial"/>
                <w:color w:val="000000"/>
                <w:sz w:val="18"/>
                <w:szCs w:val="18"/>
                <w:lang w:eastAsia="tr-TR"/>
              </w:rPr>
            </w:pPr>
          </w:p>
        </w:tc>
        <w:tc>
          <w:tcPr>
            <w:tcW w:w="2484" w:type="dxa"/>
            <w:tcBorders>
              <w:top w:val="nil"/>
              <w:left w:val="nil"/>
              <w:bottom w:val="nil"/>
              <w:right w:val="single" w:sz="8" w:space="0" w:color="auto"/>
            </w:tcBorders>
            <w:noWrap/>
            <w:vAlign w:val="center"/>
            <w:hideMark/>
          </w:tcPr>
          <w:p w14:paraId="7A13A132" w14:textId="77777777" w:rsidR="00F15C9A" w:rsidRDefault="00F15C9A">
            <w:pPr>
              <w:spacing w:after="0" w:line="240" w:lineRule="auto"/>
              <w:jc w:val="lef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259-Yatırım Avansları Hesabı</w:t>
            </w:r>
          </w:p>
        </w:tc>
        <w:tc>
          <w:tcPr>
            <w:tcW w:w="1430" w:type="dxa"/>
            <w:tcBorders>
              <w:top w:val="nil"/>
              <w:left w:val="nil"/>
              <w:bottom w:val="nil"/>
              <w:right w:val="single" w:sz="8" w:space="0" w:color="auto"/>
            </w:tcBorders>
            <w:noWrap/>
            <w:vAlign w:val="center"/>
            <w:hideMark/>
          </w:tcPr>
          <w:p w14:paraId="5E1BF30C"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3.871.959,48</w:t>
            </w:r>
          </w:p>
        </w:tc>
        <w:tc>
          <w:tcPr>
            <w:tcW w:w="1652" w:type="dxa"/>
            <w:noWrap/>
            <w:vAlign w:val="center"/>
            <w:hideMark/>
          </w:tcPr>
          <w:p w14:paraId="7148052C"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3.871.959,48</w:t>
            </w:r>
          </w:p>
        </w:tc>
        <w:tc>
          <w:tcPr>
            <w:tcW w:w="1559" w:type="dxa"/>
            <w:tcBorders>
              <w:top w:val="nil"/>
              <w:left w:val="single" w:sz="8" w:space="0" w:color="auto"/>
              <w:bottom w:val="nil"/>
              <w:right w:val="single" w:sz="8" w:space="0" w:color="auto"/>
            </w:tcBorders>
            <w:noWrap/>
            <w:vAlign w:val="center"/>
            <w:hideMark/>
          </w:tcPr>
          <w:p w14:paraId="72FB65D0"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0,00</w:t>
            </w:r>
          </w:p>
        </w:tc>
        <w:tc>
          <w:tcPr>
            <w:tcW w:w="160" w:type="dxa"/>
            <w:noWrap/>
            <w:vAlign w:val="center"/>
            <w:hideMark/>
          </w:tcPr>
          <w:p w14:paraId="317DCE15" w14:textId="77777777" w:rsidR="00F15C9A" w:rsidRDefault="00F15C9A">
            <w:pPr>
              <w:rPr>
                <w:rFonts w:ascii="Arial" w:eastAsia="Times New Roman" w:hAnsi="Arial" w:cs="Arial"/>
                <w:color w:val="000000"/>
                <w:sz w:val="18"/>
                <w:szCs w:val="18"/>
                <w:lang w:eastAsia="tr-TR"/>
              </w:rPr>
            </w:pPr>
          </w:p>
        </w:tc>
        <w:tc>
          <w:tcPr>
            <w:tcW w:w="3384" w:type="dxa"/>
            <w:gridSpan w:val="2"/>
            <w:tcBorders>
              <w:top w:val="nil"/>
              <w:left w:val="nil"/>
              <w:bottom w:val="nil"/>
              <w:right w:val="single" w:sz="8" w:space="0" w:color="000000"/>
            </w:tcBorders>
            <w:noWrap/>
            <w:vAlign w:val="center"/>
            <w:hideMark/>
          </w:tcPr>
          <w:p w14:paraId="4257B64C" w14:textId="77777777" w:rsidR="00F15C9A" w:rsidRDefault="00F15C9A">
            <w:pPr>
              <w:spacing w:after="0" w:line="240" w:lineRule="auto"/>
              <w:jc w:val="lef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58-GEÇMİŞ YILLAR OLUMSUZ FAALİYET SONUCU (-)</w:t>
            </w:r>
          </w:p>
        </w:tc>
        <w:tc>
          <w:tcPr>
            <w:tcW w:w="1559" w:type="dxa"/>
            <w:tcBorders>
              <w:top w:val="nil"/>
              <w:left w:val="nil"/>
              <w:bottom w:val="nil"/>
              <w:right w:val="single" w:sz="8" w:space="0" w:color="auto"/>
            </w:tcBorders>
            <w:noWrap/>
            <w:vAlign w:val="center"/>
            <w:hideMark/>
          </w:tcPr>
          <w:p w14:paraId="39F96411" w14:textId="77777777" w:rsidR="00F15C9A" w:rsidRDefault="00F15C9A">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-867.828.445,83</w:t>
            </w:r>
          </w:p>
        </w:tc>
        <w:tc>
          <w:tcPr>
            <w:tcW w:w="1701" w:type="dxa"/>
            <w:tcBorders>
              <w:top w:val="nil"/>
              <w:left w:val="nil"/>
              <w:bottom w:val="nil"/>
              <w:right w:val="single" w:sz="8" w:space="0" w:color="auto"/>
            </w:tcBorders>
            <w:noWrap/>
            <w:vAlign w:val="center"/>
            <w:hideMark/>
          </w:tcPr>
          <w:p w14:paraId="2F80AD94" w14:textId="77777777" w:rsidR="00F15C9A" w:rsidRDefault="00F15C9A">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-1.689.981.875,42</w:t>
            </w:r>
          </w:p>
        </w:tc>
        <w:tc>
          <w:tcPr>
            <w:tcW w:w="1701" w:type="dxa"/>
            <w:tcBorders>
              <w:top w:val="nil"/>
              <w:left w:val="nil"/>
              <w:bottom w:val="nil"/>
              <w:right w:val="single" w:sz="8" w:space="0" w:color="auto"/>
            </w:tcBorders>
            <w:noWrap/>
            <w:vAlign w:val="center"/>
            <w:hideMark/>
          </w:tcPr>
          <w:p w14:paraId="768FD297" w14:textId="77777777" w:rsidR="00F15C9A" w:rsidRDefault="00F15C9A">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-3.244.758.017,77</w:t>
            </w:r>
          </w:p>
        </w:tc>
        <w:tc>
          <w:tcPr>
            <w:tcW w:w="6" w:type="dxa"/>
            <w:tcBorders>
              <w:top w:val="nil"/>
              <w:left w:val="nil"/>
              <w:bottom w:val="nil"/>
              <w:right w:val="nil"/>
            </w:tcBorders>
            <w:vAlign w:val="center"/>
            <w:hideMark/>
          </w:tcPr>
          <w:p w14:paraId="068EE42B" w14:textId="77777777" w:rsidR="00F15C9A" w:rsidRDefault="00F15C9A">
            <w:pPr>
              <w:rPr>
                <w:rFonts w:ascii="Arial" w:eastAsia="Times New Roman" w:hAnsi="Arial" w:cs="Arial"/>
                <w:b/>
                <w:bCs/>
                <w:color w:val="000000"/>
                <w:sz w:val="18"/>
                <w:szCs w:val="18"/>
                <w:lang w:eastAsia="tr-TR"/>
              </w:rPr>
            </w:pPr>
          </w:p>
        </w:tc>
      </w:tr>
      <w:tr w:rsidR="00F15C9A" w14:paraId="1D7284DA" w14:textId="77777777" w:rsidTr="00F15C9A">
        <w:trPr>
          <w:trHeight w:val="290"/>
          <w:jc w:val="center"/>
        </w:trPr>
        <w:tc>
          <w:tcPr>
            <w:tcW w:w="207" w:type="dxa"/>
            <w:tcBorders>
              <w:top w:val="nil"/>
              <w:left w:val="single" w:sz="8" w:space="0" w:color="auto"/>
              <w:bottom w:val="nil"/>
              <w:right w:val="nil"/>
            </w:tcBorders>
            <w:noWrap/>
            <w:vAlign w:val="center"/>
            <w:hideMark/>
          </w:tcPr>
          <w:p w14:paraId="097B0096" w14:textId="77777777" w:rsidR="00F15C9A" w:rsidRDefault="00F15C9A">
            <w:pPr>
              <w:spacing w:after="0" w:line="240" w:lineRule="auto"/>
              <w:jc w:val="lef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 </w:t>
            </w:r>
          </w:p>
        </w:tc>
        <w:tc>
          <w:tcPr>
            <w:tcW w:w="181" w:type="dxa"/>
            <w:noWrap/>
            <w:vAlign w:val="center"/>
            <w:hideMark/>
          </w:tcPr>
          <w:p w14:paraId="4ED22221" w14:textId="77777777" w:rsidR="00F15C9A" w:rsidRDefault="00F15C9A">
            <w:pPr>
              <w:rPr>
                <w:rFonts w:ascii="Arial" w:eastAsia="Times New Roman" w:hAnsi="Arial" w:cs="Arial"/>
                <w:color w:val="000000"/>
                <w:sz w:val="18"/>
                <w:szCs w:val="18"/>
                <w:lang w:eastAsia="tr-TR"/>
              </w:rPr>
            </w:pPr>
          </w:p>
        </w:tc>
        <w:tc>
          <w:tcPr>
            <w:tcW w:w="2484" w:type="dxa"/>
            <w:tcBorders>
              <w:top w:val="nil"/>
              <w:left w:val="nil"/>
              <w:bottom w:val="nil"/>
              <w:right w:val="single" w:sz="8" w:space="0" w:color="auto"/>
            </w:tcBorders>
            <w:noWrap/>
            <w:vAlign w:val="center"/>
            <w:hideMark/>
          </w:tcPr>
          <w:p w14:paraId="6E742932" w14:textId="77777777" w:rsidR="00F15C9A" w:rsidRDefault="00F15C9A">
            <w:pPr>
              <w:spacing w:after="0" w:line="240" w:lineRule="auto"/>
              <w:jc w:val="lef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 </w:t>
            </w:r>
          </w:p>
        </w:tc>
        <w:tc>
          <w:tcPr>
            <w:tcW w:w="1430" w:type="dxa"/>
            <w:tcBorders>
              <w:top w:val="nil"/>
              <w:left w:val="nil"/>
              <w:bottom w:val="nil"/>
              <w:right w:val="single" w:sz="8" w:space="0" w:color="auto"/>
            </w:tcBorders>
            <w:noWrap/>
            <w:vAlign w:val="center"/>
          </w:tcPr>
          <w:p w14:paraId="795D61DD" w14:textId="77777777" w:rsidR="00F15C9A" w:rsidRDefault="00F15C9A">
            <w:pPr>
              <w:spacing w:after="0" w:line="240" w:lineRule="auto"/>
              <w:jc w:val="right"/>
              <w:rPr>
                <w:rFonts w:ascii="Arial" w:eastAsia="Times New Roman" w:hAnsi="Arial" w:cs="Arial"/>
                <w:color w:val="000000"/>
                <w:sz w:val="18"/>
                <w:szCs w:val="18"/>
                <w:lang w:eastAsia="tr-TR"/>
              </w:rPr>
            </w:pPr>
          </w:p>
        </w:tc>
        <w:tc>
          <w:tcPr>
            <w:tcW w:w="1652" w:type="dxa"/>
            <w:noWrap/>
            <w:vAlign w:val="center"/>
            <w:hideMark/>
          </w:tcPr>
          <w:p w14:paraId="0E80617C" w14:textId="77777777" w:rsidR="00F15C9A" w:rsidRDefault="00F15C9A">
            <w:pPr>
              <w:rPr>
                <w:rFonts w:ascii="Arial" w:eastAsia="Times New Roman" w:hAnsi="Arial" w:cs="Arial"/>
                <w:color w:val="000000"/>
                <w:sz w:val="18"/>
                <w:szCs w:val="18"/>
                <w:lang w:eastAsia="tr-TR"/>
              </w:rPr>
            </w:pPr>
          </w:p>
        </w:tc>
        <w:tc>
          <w:tcPr>
            <w:tcW w:w="1559" w:type="dxa"/>
            <w:tcBorders>
              <w:top w:val="nil"/>
              <w:left w:val="single" w:sz="8" w:space="0" w:color="auto"/>
              <w:bottom w:val="nil"/>
              <w:right w:val="single" w:sz="8" w:space="0" w:color="auto"/>
            </w:tcBorders>
            <w:noWrap/>
            <w:vAlign w:val="center"/>
            <w:hideMark/>
          </w:tcPr>
          <w:p w14:paraId="6E2891CF"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 </w:t>
            </w:r>
          </w:p>
        </w:tc>
        <w:tc>
          <w:tcPr>
            <w:tcW w:w="160" w:type="dxa"/>
            <w:noWrap/>
            <w:vAlign w:val="center"/>
            <w:hideMark/>
          </w:tcPr>
          <w:p w14:paraId="256EA225" w14:textId="77777777" w:rsidR="00F15C9A" w:rsidRDefault="00F15C9A">
            <w:pPr>
              <w:rPr>
                <w:rFonts w:ascii="Arial" w:eastAsia="Times New Roman" w:hAnsi="Arial" w:cs="Arial"/>
                <w:color w:val="000000"/>
                <w:sz w:val="18"/>
                <w:szCs w:val="18"/>
                <w:lang w:eastAsia="tr-TR"/>
              </w:rPr>
            </w:pPr>
          </w:p>
        </w:tc>
        <w:tc>
          <w:tcPr>
            <w:tcW w:w="160" w:type="dxa"/>
            <w:noWrap/>
            <w:vAlign w:val="center"/>
            <w:hideMark/>
          </w:tcPr>
          <w:p w14:paraId="204F274E" w14:textId="77777777" w:rsidR="00F15C9A" w:rsidRDefault="00F15C9A">
            <w:pPr>
              <w:spacing w:after="0" w:line="240" w:lineRule="auto"/>
              <w:jc w:val="lef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 xml:space="preserve">       </w:t>
            </w:r>
          </w:p>
        </w:tc>
        <w:tc>
          <w:tcPr>
            <w:tcW w:w="3224" w:type="dxa"/>
            <w:tcBorders>
              <w:top w:val="nil"/>
              <w:left w:val="nil"/>
              <w:bottom w:val="nil"/>
              <w:right w:val="single" w:sz="8" w:space="0" w:color="auto"/>
            </w:tcBorders>
            <w:noWrap/>
            <w:vAlign w:val="center"/>
            <w:hideMark/>
          </w:tcPr>
          <w:p w14:paraId="17A3A837" w14:textId="77777777" w:rsidR="00F15C9A" w:rsidRDefault="00F15C9A">
            <w:pPr>
              <w:spacing w:after="0" w:line="240" w:lineRule="auto"/>
              <w:ind w:left="-85"/>
              <w:jc w:val="lef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580-Geçmiş Yıllar Olumsuz Faaliyet Sonuçları Hesabı (-)</w:t>
            </w:r>
          </w:p>
        </w:tc>
        <w:tc>
          <w:tcPr>
            <w:tcW w:w="1559" w:type="dxa"/>
            <w:tcBorders>
              <w:top w:val="nil"/>
              <w:left w:val="nil"/>
              <w:bottom w:val="nil"/>
              <w:right w:val="single" w:sz="8" w:space="0" w:color="auto"/>
            </w:tcBorders>
            <w:noWrap/>
            <w:vAlign w:val="center"/>
            <w:hideMark/>
          </w:tcPr>
          <w:p w14:paraId="7C790764"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-867.828.445,83</w:t>
            </w:r>
          </w:p>
        </w:tc>
        <w:tc>
          <w:tcPr>
            <w:tcW w:w="1701" w:type="dxa"/>
            <w:tcBorders>
              <w:top w:val="nil"/>
              <w:left w:val="nil"/>
              <w:bottom w:val="nil"/>
              <w:right w:val="single" w:sz="8" w:space="0" w:color="auto"/>
            </w:tcBorders>
            <w:noWrap/>
            <w:vAlign w:val="center"/>
            <w:hideMark/>
          </w:tcPr>
          <w:p w14:paraId="4A1D771F"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-1.689.981.875,42</w:t>
            </w:r>
          </w:p>
        </w:tc>
        <w:tc>
          <w:tcPr>
            <w:tcW w:w="1701" w:type="dxa"/>
            <w:tcBorders>
              <w:top w:val="nil"/>
              <w:left w:val="nil"/>
              <w:bottom w:val="nil"/>
              <w:right w:val="single" w:sz="8" w:space="0" w:color="auto"/>
            </w:tcBorders>
            <w:noWrap/>
            <w:vAlign w:val="center"/>
            <w:hideMark/>
          </w:tcPr>
          <w:p w14:paraId="676FBA66"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-3.244.758.017,77</w:t>
            </w:r>
          </w:p>
        </w:tc>
        <w:tc>
          <w:tcPr>
            <w:tcW w:w="6" w:type="dxa"/>
            <w:tcBorders>
              <w:top w:val="nil"/>
              <w:left w:val="nil"/>
              <w:bottom w:val="nil"/>
              <w:right w:val="nil"/>
            </w:tcBorders>
            <w:vAlign w:val="center"/>
            <w:hideMark/>
          </w:tcPr>
          <w:p w14:paraId="444EC89A" w14:textId="77777777" w:rsidR="00F15C9A" w:rsidRDefault="00F15C9A">
            <w:pPr>
              <w:rPr>
                <w:rFonts w:ascii="Arial" w:eastAsia="Times New Roman" w:hAnsi="Arial" w:cs="Arial"/>
                <w:color w:val="000000"/>
                <w:sz w:val="18"/>
                <w:szCs w:val="18"/>
                <w:lang w:eastAsia="tr-TR"/>
              </w:rPr>
            </w:pPr>
          </w:p>
        </w:tc>
      </w:tr>
      <w:tr w:rsidR="00F15C9A" w14:paraId="6997E444" w14:textId="77777777" w:rsidTr="00F15C9A">
        <w:trPr>
          <w:trHeight w:val="290"/>
          <w:jc w:val="center"/>
        </w:trPr>
        <w:tc>
          <w:tcPr>
            <w:tcW w:w="207" w:type="dxa"/>
            <w:tcBorders>
              <w:top w:val="nil"/>
              <w:left w:val="single" w:sz="8" w:space="0" w:color="auto"/>
              <w:bottom w:val="nil"/>
              <w:right w:val="nil"/>
            </w:tcBorders>
            <w:noWrap/>
            <w:vAlign w:val="bottom"/>
            <w:hideMark/>
          </w:tcPr>
          <w:p w14:paraId="4D5F6EEB" w14:textId="77777777" w:rsidR="00F15C9A" w:rsidRDefault="00F15C9A">
            <w:pPr>
              <w:spacing w:after="0" w:line="240" w:lineRule="auto"/>
              <w:jc w:val="left"/>
              <w:rPr>
                <w:rFonts w:ascii="Calibri" w:eastAsia="Times New Roman" w:hAnsi="Calibri" w:cs="Calibri"/>
                <w:color w:val="000000"/>
                <w:sz w:val="18"/>
                <w:szCs w:val="18"/>
                <w:lang w:eastAsia="tr-TR"/>
              </w:rPr>
            </w:pPr>
            <w:r>
              <w:rPr>
                <w:rFonts w:ascii="Calibri" w:eastAsia="Times New Roman" w:hAnsi="Calibri" w:cs="Calibri"/>
                <w:color w:val="000000"/>
                <w:sz w:val="18"/>
                <w:szCs w:val="18"/>
                <w:lang w:eastAsia="tr-TR"/>
              </w:rPr>
              <w:t> </w:t>
            </w:r>
          </w:p>
        </w:tc>
        <w:tc>
          <w:tcPr>
            <w:tcW w:w="2665" w:type="dxa"/>
            <w:gridSpan w:val="2"/>
            <w:tcBorders>
              <w:top w:val="nil"/>
              <w:left w:val="nil"/>
              <w:bottom w:val="nil"/>
              <w:right w:val="single" w:sz="8" w:space="0" w:color="000000"/>
            </w:tcBorders>
            <w:noWrap/>
            <w:vAlign w:val="center"/>
            <w:hideMark/>
          </w:tcPr>
          <w:p w14:paraId="612F1166" w14:textId="77777777" w:rsidR="00F15C9A" w:rsidRDefault="00F15C9A">
            <w:pPr>
              <w:spacing w:after="0" w:line="240" w:lineRule="auto"/>
              <w:jc w:val="lef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26-MADDİ OLMAYAN DURAN VARLIKLAR</w:t>
            </w:r>
          </w:p>
        </w:tc>
        <w:tc>
          <w:tcPr>
            <w:tcW w:w="1430" w:type="dxa"/>
            <w:tcBorders>
              <w:top w:val="nil"/>
              <w:left w:val="nil"/>
              <w:bottom w:val="nil"/>
              <w:right w:val="single" w:sz="8" w:space="0" w:color="auto"/>
            </w:tcBorders>
            <w:noWrap/>
            <w:vAlign w:val="center"/>
            <w:hideMark/>
          </w:tcPr>
          <w:p w14:paraId="65BB62B3" w14:textId="77777777" w:rsidR="00F15C9A" w:rsidRDefault="00F15C9A">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0,00</w:t>
            </w:r>
          </w:p>
        </w:tc>
        <w:tc>
          <w:tcPr>
            <w:tcW w:w="1652" w:type="dxa"/>
            <w:noWrap/>
            <w:vAlign w:val="center"/>
            <w:hideMark/>
          </w:tcPr>
          <w:p w14:paraId="60C65567" w14:textId="77777777" w:rsidR="00F15C9A" w:rsidRDefault="00F15C9A">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0,00</w:t>
            </w:r>
          </w:p>
        </w:tc>
        <w:tc>
          <w:tcPr>
            <w:tcW w:w="1559" w:type="dxa"/>
            <w:tcBorders>
              <w:top w:val="nil"/>
              <w:left w:val="single" w:sz="8" w:space="0" w:color="auto"/>
              <w:bottom w:val="nil"/>
              <w:right w:val="single" w:sz="8" w:space="0" w:color="auto"/>
            </w:tcBorders>
            <w:noWrap/>
            <w:vAlign w:val="center"/>
            <w:hideMark/>
          </w:tcPr>
          <w:p w14:paraId="33C72B3B" w14:textId="77777777" w:rsidR="00F15C9A" w:rsidRDefault="00F15C9A">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0,00</w:t>
            </w:r>
          </w:p>
        </w:tc>
        <w:tc>
          <w:tcPr>
            <w:tcW w:w="160" w:type="dxa"/>
            <w:noWrap/>
            <w:vAlign w:val="center"/>
            <w:hideMark/>
          </w:tcPr>
          <w:p w14:paraId="7AD255F7" w14:textId="77777777" w:rsidR="00F15C9A" w:rsidRDefault="00F15C9A">
            <w:pPr>
              <w:rPr>
                <w:rFonts w:ascii="Arial" w:eastAsia="Times New Roman" w:hAnsi="Arial" w:cs="Arial"/>
                <w:b/>
                <w:bCs/>
                <w:color w:val="000000"/>
                <w:sz w:val="18"/>
                <w:szCs w:val="18"/>
                <w:lang w:eastAsia="tr-TR"/>
              </w:rPr>
            </w:pPr>
          </w:p>
        </w:tc>
        <w:tc>
          <w:tcPr>
            <w:tcW w:w="160" w:type="dxa"/>
            <w:noWrap/>
            <w:vAlign w:val="center"/>
            <w:hideMark/>
          </w:tcPr>
          <w:p w14:paraId="7238D545" w14:textId="77777777" w:rsidR="00F15C9A" w:rsidRDefault="00F15C9A">
            <w:pPr>
              <w:spacing w:after="0"/>
              <w:jc w:val="left"/>
              <w:rPr>
                <w:rFonts w:eastAsiaTheme="minorHAnsi" w:cstheme="minorBidi"/>
                <w:sz w:val="20"/>
                <w:szCs w:val="20"/>
                <w:lang w:eastAsia="tr-TR"/>
              </w:rPr>
            </w:pPr>
          </w:p>
        </w:tc>
        <w:tc>
          <w:tcPr>
            <w:tcW w:w="3224" w:type="dxa"/>
            <w:tcBorders>
              <w:top w:val="nil"/>
              <w:left w:val="nil"/>
              <w:bottom w:val="nil"/>
              <w:right w:val="single" w:sz="8" w:space="0" w:color="auto"/>
            </w:tcBorders>
            <w:noWrap/>
            <w:vAlign w:val="center"/>
            <w:hideMark/>
          </w:tcPr>
          <w:p w14:paraId="095AB1AE" w14:textId="77777777" w:rsidR="00F15C9A" w:rsidRDefault="00F15C9A">
            <w:pPr>
              <w:spacing w:after="0" w:line="240" w:lineRule="auto"/>
              <w:jc w:val="lef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 </w:t>
            </w:r>
          </w:p>
        </w:tc>
        <w:tc>
          <w:tcPr>
            <w:tcW w:w="1559" w:type="dxa"/>
            <w:tcBorders>
              <w:top w:val="nil"/>
              <w:left w:val="nil"/>
              <w:bottom w:val="nil"/>
              <w:right w:val="single" w:sz="8" w:space="0" w:color="auto"/>
            </w:tcBorders>
            <w:noWrap/>
            <w:vAlign w:val="center"/>
          </w:tcPr>
          <w:p w14:paraId="775F0C31" w14:textId="77777777" w:rsidR="00F15C9A" w:rsidRDefault="00F15C9A">
            <w:pPr>
              <w:spacing w:after="0" w:line="240" w:lineRule="auto"/>
              <w:jc w:val="right"/>
              <w:rPr>
                <w:rFonts w:ascii="Arial" w:eastAsia="Times New Roman" w:hAnsi="Arial" w:cs="Arial"/>
                <w:b/>
                <w:bCs/>
                <w:color w:val="000000"/>
                <w:sz w:val="18"/>
                <w:szCs w:val="18"/>
                <w:lang w:eastAsia="tr-TR"/>
              </w:rPr>
            </w:pPr>
          </w:p>
        </w:tc>
        <w:tc>
          <w:tcPr>
            <w:tcW w:w="1701" w:type="dxa"/>
            <w:tcBorders>
              <w:top w:val="nil"/>
              <w:left w:val="nil"/>
              <w:bottom w:val="nil"/>
              <w:right w:val="single" w:sz="8" w:space="0" w:color="auto"/>
            </w:tcBorders>
            <w:noWrap/>
            <w:vAlign w:val="center"/>
            <w:hideMark/>
          </w:tcPr>
          <w:p w14:paraId="1463A58C" w14:textId="77777777" w:rsidR="00F15C9A" w:rsidRDefault="00F15C9A">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 </w:t>
            </w:r>
          </w:p>
        </w:tc>
        <w:tc>
          <w:tcPr>
            <w:tcW w:w="1701" w:type="dxa"/>
            <w:tcBorders>
              <w:top w:val="nil"/>
              <w:left w:val="nil"/>
              <w:bottom w:val="nil"/>
              <w:right w:val="single" w:sz="8" w:space="0" w:color="auto"/>
            </w:tcBorders>
            <w:noWrap/>
            <w:vAlign w:val="center"/>
            <w:hideMark/>
          </w:tcPr>
          <w:p w14:paraId="4DD29525" w14:textId="77777777" w:rsidR="00F15C9A" w:rsidRDefault="00F15C9A">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 </w:t>
            </w:r>
          </w:p>
        </w:tc>
        <w:tc>
          <w:tcPr>
            <w:tcW w:w="6" w:type="dxa"/>
            <w:tcBorders>
              <w:top w:val="nil"/>
              <w:left w:val="nil"/>
              <w:bottom w:val="nil"/>
              <w:right w:val="nil"/>
            </w:tcBorders>
            <w:vAlign w:val="center"/>
            <w:hideMark/>
          </w:tcPr>
          <w:p w14:paraId="22B08981" w14:textId="77777777" w:rsidR="00F15C9A" w:rsidRDefault="00F15C9A">
            <w:pPr>
              <w:rPr>
                <w:rFonts w:ascii="Arial" w:eastAsia="Times New Roman" w:hAnsi="Arial" w:cs="Arial"/>
                <w:b/>
                <w:bCs/>
                <w:color w:val="000000"/>
                <w:sz w:val="18"/>
                <w:szCs w:val="18"/>
                <w:lang w:eastAsia="tr-TR"/>
              </w:rPr>
            </w:pPr>
          </w:p>
        </w:tc>
      </w:tr>
      <w:tr w:rsidR="00F15C9A" w14:paraId="0D4B00EB" w14:textId="77777777" w:rsidTr="00F15C9A">
        <w:trPr>
          <w:trHeight w:val="290"/>
          <w:jc w:val="center"/>
        </w:trPr>
        <w:tc>
          <w:tcPr>
            <w:tcW w:w="207" w:type="dxa"/>
            <w:tcBorders>
              <w:top w:val="nil"/>
              <w:left w:val="single" w:sz="8" w:space="0" w:color="auto"/>
              <w:bottom w:val="nil"/>
              <w:right w:val="nil"/>
            </w:tcBorders>
            <w:noWrap/>
            <w:vAlign w:val="center"/>
            <w:hideMark/>
          </w:tcPr>
          <w:p w14:paraId="031CECB5" w14:textId="77777777" w:rsidR="00F15C9A" w:rsidRDefault="00F15C9A">
            <w:pPr>
              <w:spacing w:after="0" w:line="240" w:lineRule="auto"/>
              <w:jc w:val="lef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 </w:t>
            </w:r>
          </w:p>
        </w:tc>
        <w:tc>
          <w:tcPr>
            <w:tcW w:w="181" w:type="dxa"/>
            <w:noWrap/>
            <w:vAlign w:val="bottom"/>
            <w:hideMark/>
          </w:tcPr>
          <w:p w14:paraId="07B193BB" w14:textId="77777777" w:rsidR="00F15C9A" w:rsidRDefault="00F15C9A">
            <w:pPr>
              <w:rPr>
                <w:rFonts w:ascii="Arial" w:eastAsia="Times New Roman" w:hAnsi="Arial" w:cs="Arial"/>
                <w:color w:val="000000"/>
                <w:sz w:val="18"/>
                <w:szCs w:val="18"/>
                <w:lang w:eastAsia="tr-TR"/>
              </w:rPr>
            </w:pPr>
          </w:p>
        </w:tc>
        <w:tc>
          <w:tcPr>
            <w:tcW w:w="2484" w:type="dxa"/>
            <w:tcBorders>
              <w:top w:val="nil"/>
              <w:left w:val="nil"/>
              <w:bottom w:val="nil"/>
              <w:right w:val="single" w:sz="8" w:space="0" w:color="auto"/>
            </w:tcBorders>
            <w:vAlign w:val="center"/>
            <w:hideMark/>
          </w:tcPr>
          <w:p w14:paraId="427D1459" w14:textId="77777777" w:rsidR="00F15C9A" w:rsidRDefault="00F15C9A">
            <w:pPr>
              <w:spacing w:after="0" w:line="240" w:lineRule="auto"/>
              <w:jc w:val="lef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260-Haklar Hesabı</w:t>
            </w:r>
          </w:p>
        </w:tc>
        <w:tc>
          <w:tcPr>
            <w:tcW w:w="1430" w:type="dxa"/>
            <w:tcBorders>
              <w:top w:val="nil"/>
              <w:left w:val="nil"/>
              <w:bottom w:val="nil"/>
              <w:right w:val="single" w:sz="8" w:space="0" w:color="auto"/>
            </w:tcBorders>
            <w:noWrap/>
            <w:vAlign w:val="center"/>
            <w:hideMark/>
          </w:tcPr>
          <w:p w14:paraId="538279A1"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28.582.461,66</w:t>
            </w:r>
          </w:p>
        </w:tc>
        <w:tc>
          <w:tcPr>
            <w:tcW w:w="1652" w:type="dxa"/>
            <w:noWrap/>
            <w:vAlign w:val="center"/>
            <w:hideMark/>
          </w:tcPr>
          <w:p w14:paraId="4F810834"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55.018.506,68</w:t>
            </w:r>
          </w:p>
        </w:tc>
        <w:tc>
          <w:tcPr>
            <w:tcW w:w="1559" w:type="dxa"/>
            <w:tcBorders>
              <w:top w:val="nil"/>
              <w:left w:val="single" w:sz="8" w:space="0" w:color="auto"/>
              <w:bottom w:val="nil"/>
              <w:right w:val="single" w:sz="8" w:space="0" w:color="auto"/>
            </w:tcBorders>
            <w:noWrap/>
            <w:vAlign w:val="center"/>
            <w:hideMark/>
          </w:tcPr>
          <w:p w14:paraId="24249041"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75.545.324,05</w:t>
            </w:r>
          </w:p>
        </w:tc>
        <w:tc>
          <w:tcPr>
            <w:tcW w:w="160" w:type="dxa"/>
            <w:noWrap/>
            <w:vAlign w:val="center"/>
            <w:hideMark/>
          </w:tcPr>
          <w:p w14:paraId="29BECD87" w14:textId="77777777" w:rsidR="00F15C9A" w:rsidRDefault="00F15C9A">
            <w:pPr>
              <w:rPr>
                <w:rFonts w:ascii="Arial" w:eastAsia="Times New Roman" w:hAnsi="Arial" w:cs="Arial"/>
                <w:color w:val="000000"/>
                <w:sz w:val="18"/>
                <w:szCs w:val="18"/>
                <w:lang w:eastAsia="tr-TR"/>
              </w:rPr>
            </w:pPr>
          </w:p>
        </w:tc>
        <w:tc>
          <w:tcPr>
            <w:tcW w:w="3384" w:type="dxa"/>
            <w:gridSpan w:val="2"/>
            <w:tcBorders>
              <w:top w:val="nil"/>
              <w:left w:val="nil"/>
              <w:bottom w:val="nil"/>
              <w:right w:val="single" w:sz="8" w:space="0" w:color="000000"/>
            </w:tcBorders>
            <w:noWrap/>
            <w:vAlign w:val="center"/>
            <w:hideMark/>
          </w:tcPr>
          <w:p w14:paraId="17DF8B90" w14:textId="77777777" w:rsidR="00F15C9A" w:rsidRDefault="00F15C9A">
            <w:pPr>
              <w:spacing w:after="0" w:line="240" w:lineRule="auto"/>
              <w:jc w:val="lef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 xml:space="preserve">59-DÖNEM FAALİYET SONUÇLARI </w:t>
            </w:r>
          </w:p>
        </w:tc>
        <w:tc>
          <w:tcPr>
            <w:tcW w:w="1559" w:type="dxa"/>
            <w:tcBorders>
              <w:top w:val="nil"/>
              <w:left w:val="nil"/>
              <w:bottom w:val="nil"/>
              <w:right w:val="single" w:sz="8" w:space="0" w:color="auto"/>
            </w:tcBorders>
            <w:noWrap/>
            <w:vAlign w:val="center"/>
            <w:hideMark/>
          </w:tcPr>
          <w:p w14:paraId="75F9CCC8" w14:textId="77777777" w:rsidR="00F15C9A" w:rsidRDefault="00F15C9A">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9.344.167,45</w:t>
            </w:r>
          </w:p>
        </w:tc>
        <w:tc>
          <w:tcPr>
            <w:tcW w:w="1701" w:type="dxa"/>
            <w:tcBorders>
              <w:top w:val="nil"/>
              <w:left w:val="nil"/>
              <w:bottom w:val="nil"/>
              <w:right w:val="single" w:sz="8" w:space="0" w:color="auto"/>
            </w:tcBorders>
            <w:noWrap/>
            <w:vAlign w:val="center"/>
            <w:hideMark/>
          </w:tcPr>
          <w:p w14:paraId="0B31FAB6" w14:textId="77777777" w:rsidR="00F15C9A" w:rsidRDefault="00F15C9A">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-47.719.150,76</w:t>
            </w:r>
          </w:p>
        </w:tc>
        <w:tc>
          <w:tcPr>
            <w:tcW w:w="1701" w:type="dxa"/>
            <w:tcBorders>
              <w:top w:val="nil"/>
              <w:left w:val="nil"/>
              <w:bottom w:val="nil"/>
              <w:right w:val="single" w:sz="8" w:space="0" w:color="auto"/>
            </w:tcBorders>
            <w:noWrap/>
            <w:vAlign w:val="center"/>
            <w:hideMark/>
          </w:tcPr>
          <w:p w14:paraId="176BDAE2" w14:textId="77777777" w:rsidR="00F15C9A" w:rsidRDefault="00F15C9A">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402.837.738,57</w:t>
            </w:r>
          </w:p>
        </w:tc>
        <w:tc>
          <w:tcPr>
            <w:tcW w:w="6" w:type="dxa"/>
            <w:tcBorders>
              <w:top w:val="nil"/>
              <w:left w:val="nil"/>
              <w:bottom w:val="nil"/>
              <w:right w:val="nil"/>
            </w:tcBorders>
            <w:vAlign w:val="center"/>
            <w:hideMark/>
          </w:tcPr>
          <w:p w14:paraId="1FB8BD83" w14:textId="77777777" w:rsidR="00F15C9A" w:rsidRDefault="00F15C9A">
            <w:pPr>
              <w:rPr>
                <w:rFonts w:ascii="Arial" w:eastAsia="Times New Roman" w:hAnsi="Arial" w:cs="Arial"/>
                <w:b/>
                <w:bCs/>
                <w:color w:val="000000"/>
                <w:sz w:val="18"/>
                <w:szCs w:val="18"/>
                <w:lang w:eastAsia="tr-TR"/>
              </w:rPr>
            </w:pPr>
          </w:p>
        </w:tc>
      </w:tr>
      <w:tr w:rsidR="00F15C9A" w14:paraId="10ECABC6" w14:textId="77777777" w:rsidTr="00F15C9A">
        <w:trPr>
          <w:trHeight w:val="290"/>
          <w:jc w:val="center"/>
        </w:trPr>
        <w:tc>
          <w:tcPr>
            <w:tcW w:w="207" w:type="dxa"/>
            <w:tcBorders>
              <w:top w:val="nil"/>
              <w:left w:val="single" w:sz="8" w:space="0" w:color="auto"/>
              <w:bottom w:val="nil"/>
              <w:right w:val="nil"/>
            </w:tcBorders>
            <w:noWrap/>
            <w:vAlign w:val="center"/>
            <w:hideMark/>
          </w:tcPr>
          <w:p w14:paraId="116EDEF0" w14:textId="77777777" w:rsidR="00F15C9A" w:rsidRDefault="00F15C9A">
            <w:pPr>
              <w:spacing w:after="0" w:line="240" w:lineRule="auto"/>
              <w:jc w:val="lef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 </w:t>
            </w:r>
          </w:p>
        </w:tc>
        <w:tc>
          <w:tcPr>
            <w:tcW w:w="181" w:type="dxa"/>
            <w:noWrap/>
            <w:vAlign w:val="bottom"/>
            <w:hideMark/>
          </w:tcPr>
          <w:p w14:paraId="656B4D11" w14:textId="77777777" w:rsidR="00F15C9A" w:rsidRDefault="00F15C9A">
            <w:pPr>
              <w:rPr>
                <w:rFonts w:ascii="Arial" w:eastAsia="Times New Roman" w:hAnsi="Arial" w:cs="Arial"/>
                <w:color w:val="000000"/>
                <w:sz w:val="18"/>
                <w:szCs w:val="18"/>
                <w:lang w:eastAsia="tr-TR"/>
              </w:rPr>
            </w:pPr>
          </w:p>
        </w:tc>
        <w:tc>
          <w:tcPr>
            <w:tcW w:w="2484" w:type="dxa"/>
            <w:tcBorders>
              <w:top w:val="nil"/>
              <w:left w:val="nil"/>
              <w:bottom w:val="nil"/>
              <w:right w:val="single" w:sz="8" w:space="0" w:color="auto"/>
            </w:tcBorders>
            <w:noWrap/>
            <w:vAlign w:val="center"/>
            <w:hideMark/>
          </w:tcPr>
          <w:p w14:paraId="607861A3" w14:textId="77777777" w:rsidR="00F15C9A" w:rsidRDefault="00F15C9A">
            <w:pPr>
              <w:spacing w:after="0" w:line="240" w:lineRule="auto"/>
              <w:jc w:val="lef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268-Birikmiş Amortismanlar Hesabı (-)</w:t>
            </w:r>
          </w:p>
        </w:tc>
        <w:tc>
          <w:tcPr>
            <w:tcW w:w="1430" w:type="dxa"/>
            <w:tcBorders>
              <w:top w:val="nil"/>
              <w:left w:val="nil"/>
              <w:bottom w:val="nil"/>
              <w:right w:val="single" w:sz="8" w:space="0" w:color="auto"/>
            </w:tcBorders>
            <w:noWrap/>
            <w:vAlign w:val="center"/>
            <w:hideMark/>
          </w:tcPr>
          <w:p w14:paraId="0546899A"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-28.582.461,66</w:t>
            </w:r>
          </w:p>
        </w:tc>
        <w:tc>
          <w:tcPr>
            <w:tcW w:w="1652" w:type="dxa"/>
            <w:noWrap/>
            <w:vAlign w:val="center"/>
            <w:hideMark/>
          </w:tcPr>
          <w:p w14:paraId="7E19952F"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-55.018.506,68</w:t>
            </w:r>
          </w:p>
        </w:tc>
        <w:tc>
          <w:tcPr>
            <w:tcW w:w="1559" w:type="dxa"/>
            <w:tcBorders>
              <w:top w:val="nil"/>
              <w:left w:val="single" w:sz="8" w:space="0" w:color="auto"/>
              <w:bottom w:val="nil"/>
              <w:right w:val="single" w:sz="8" w:space="0" w:color="auto"/>
            </w:tcBorders>
            <w:noWrap/>
            <w:vAlign w:val="center"/>
            <w:hideMark/>
          </w:tcPr>
          <w:p w14:paraId="367D2DC7"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-75.545.324,05</w:t>
            </w:r>
          </w:p>
        </w:tc>
        <w:tc>
          <w:tcPr>
            <w:tcW w:w="160" w:type="dxa"/>
            <w:noWrap/>
            <w:vAlign w:val="center"/>
            <w:hideMark/>
          </w:tcPr>
          <w:p w14:paraId="7B51EEF3" w14:textId="77777777" w:rsidR="00F15C9A" w:rsidRDefault="00F15C9A">
            <w:pPr>
              <w:rPr>
                <w:rFonts w:ascii="Arial" w:eastAsia="Times New Roman" w:hAnsi="Arial" w:cs="Arial"/>
                <w:color w:val="000000"/>
                <w:sz w:val="18"/>
                <w:szCs w:val="18"/>
                <w:lang w:eastAsia="tr-TR"/>
              </w:rPr>
            </w:pPr>
          </w:p>
        </w:tc>
        <w:tc>
          <w:tcPr>
            <w:tcW w:w="160" w:type="dxa"/>
            <w:noWrap/>
            <w:vAlign w:val="center"/>
            <w:hideMark/>
          </w:tcPr>
          <w:p w14:paraId="1148E14F" w14:textId="77777777" w:rsidR="00F15C9A" w:rsidRDefault="00F15C9A">
            <w:pPr>
              <w:spacing w:after="0"/>
              <w:jc w:val="left"/>
              <w:rPr>
                <w:rFonts w:eastAsiaTheme="minorHAnsi" w:cstheme="minorBidi"/>
                <w:sz w:val="20"/>
                <w:szCs w:val="20"/>
                <w:lang w:eastAsia="tr-TR"/>
              </w:rPr>
            </w:pPr>
          </w:p>
        </w:tc>
        <w:tc>
          <w:tcPr>
            <w:tcW w:w="3224" w:type="dxa"/>
            <w:tcBorders>
              <w:top w:val="nil"/>
              <w:left w:val="nil"/>
              <w:bottom w:val="nil"/>
              <w:right w:val="single" w:sz="8" w:space="0" w:color="auto"/>
            </w:tcBorders>
            <w:noWrap/>
            <w:vAlign w:val="center"/>
            <w:hideMark/>
          </w:tcPr>
          <w:p w14:paraId="33F83F15" w14:textId="77777777" w:rsidR="00F15C9A" w:rsidRDefault="00F15C9A">
            <w:pPr>
              <w:spacing w:after="0" w:line="240" w:lineRule="auto"/>
              <w:ind w:left="-85"/>
              <w:jc w:val="lef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590-Dönem Olumlu Faaliyet Sonucu Hesabı</w:t>
            </w:r>
          </w:p>
        </w:tc>
        <w:tc>
          <w:tcPr>
            <w:tcW w:w="1559" w:type="dxa"/>
            <w:tcBorders>
              <w:top w:val="nil"/>
              <w:left w:val="nil"/>
              <w:bottom w:val="nil"/>
              <w:right w:val="single" w:sz="8" w:space="0" w:color="auto"/>
            </w:tcBorders>
            <w:noWrap/>
            <w:vAlign w:val="center"/>
            <w:hideMark/>
          </w:tcPr>
          <w:p w14:paraId="5598E8FC"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9.344.167,45</w:t>
            </w:r>
          </w:p>
        </w:tc>
        <w:tc>
          <w:tcPr>
            <w:tcW w:w="1701" w:type="dxa"/>
            <w:tcBorders>
              <w:top w:val="nil"/>
              <w:left w:val="nil"/>
              <w:bottom w:val="nil"/>
              <w:right w:val="single" w:sz="8" w:space="0" w:color="auto"/>
            </w:tcBorders>
            <w:noWrap/>
            <w:vAlign w:val="center"/>
            <w:hideMark/>
          </w:tcPr>
          <w:p w14:paraId="662EFC03"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0,00</w:t>
            </w:r>
          </w:p>
        </w:tc>
        <w:tc>
          <w:tcPr>
            <w:tcW w:w="1701" w:type="dxa"/>
            <w:tcBorders>
              <w:top w:val="nil"/>
              <w:left w:val="nil"/>
              <w:bottom w:val="nil"/>
              <w:right w:val="single" w:sz="8" w:space="0" w:color="auto"/>
            </w:tcBorders>
            <w:noWrap/>
            <w:vAlign w:val="center"/>
            <w:hideMark/>
          </w:tcPr>
          <w:p w14:paraId="3386F195"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402.837.738,57</w:t>
            </w:r>
          </w:p>
        </w:tc>
        <w:tc>
          <w:tcPr>
            <w:tcW w:w="6" w:type="dxa"/>
            <w:tcBorders>
              <w:top w:val="nil"/>
              <w:left w:val="nil"/>
              <w:bottom w:val="nil"/>
              <w:right w:val="nil"/>
            </w:tcBorders>
            <w:vAlign w:val="center"/>
            <w:hideMark/>
          </w:tcPr>
          <w:p w14:paraId="5AEEA995" w14:textId="77777777" w:rsidR="00F15C9A" w:rsidRDefault="00F15C9A">
            <w:pPr>
              <w:rPr>
                <w:rFonts w:ascii="Arial" w:eastAsia="Times New Roman" w:hAnsi="Arial" w:cs="Arial"/>
                <w:color w:val="000000"/>
                <w:sz w:val="18"/>
                <w:szCs w:val="18"/>
                <w:lang w:eastAsia="tr-TR"/>
              </w:rPr>
            </w:pPr>
          </w:p>
        </w:tc>
      </w:tr>
      <w:tr w:rsidR="00F15C9A" w14:paraId="385D895B" w14:textId="77777777" w:rsidTr="00F15C9A">
        <w:trPr>
          <w:trHeight w:val="290"/>
          <w:jc w:val="center"/>
        </w:trPr>
        <w:tc>
          <w:tcPr>
            <w:tcW w:w="207" w:type="dxa"/>
            <w:tcBorders>
              <w:top w:val="nil"/>
              <w:left w:val="single" w:sz="8" w:space="0" w:color="auto"/>
              <w:bottom w:val="nil"/>
              <w:right w:val="nil"/>
            </w:tcBorders>
            <w:noWrap/>
            <w:vAlign w:val="center"/>
            <w:hideMark/>
          </w:tcPr>
          <w:p w14:paraId="62867AF5" w14:textId="77777777" w:rsidR="00F15C9A" w:rsidRDefault="00F15C9A">
            <w:pPr>
              <w:spacing w:after="0" w:line="240" w:lineRule="auto"/>
              <w:jc w:val="lef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 </w:t>
            </w:r>
          </w:p>
        </w:tc>
        <w:tc>
          <w:tcPr>
            <w:tcW w:w="181" w:type="dxa"/>
            <w:noWrap/>
            <w:vAlign w:val="bottom"/>
            <w:hideMark/>
          </w:tcPr>
          <w:p w14:paraId="5C27F367" w14:textId="77777777" w:rsidR="00F15C9A" w:rsidRDefault="00F15C9A">
            <w:pPr>
              <w:rPr>
                <w:rFonts w:ascii="Arial" w:eastAsia="Times New Roman" w:hAnsi="Arial" w:cs="Arial"/>
                <w:color w:val="000000"/>
                <w:sz w:val="18"/>
                <w:szCs w:val="18"/>
                <w:lang w:eastAsia="tr-TR"/>
              </w:rPr>
            </w:pPr>
          </w:p>
        </w:tc>
        <w:tc>
          <w:tcPr>
            <w:tcW w:w="2484" w:type="dxa"/>
            <w:tcBorders>
              <w:top w:val="nil"/>
              <w:left w:val="nil"/>
              <w:bottom w:val="nil"/>
              <w:right w:val="single" w:sz="8" w:space="0" w:color="auto"/>
            </w:tcBorders>
            <w:noWrap/>
            <w:vAlign w:val="center"/>
            <w:hideMark/>
          </w:tcPr>
          <w:p w14:paraId="03B18D90" w14:textId="77777777" w:rsidR="00F15C9A" w:rsidRDefault="00F15C9A">
            <w:pPr>
              <w:spacing w:after="0" w:line="240" w:lineRule="auto"/>
              <w:jc w:val="lef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 </w:t>
            </w:r>
          </w:p>
        </w:tc>
        <w:tc>
          <w:tcPr>
            <w:tcW w:w="1430" w:type="dxa"/>
            <w:tcBorders>
              <w:top w:val="nil"/>
              <w:left w:val="nil"/>
              <w:bottom w:val="nil"/>
              <w:right w:val="single" w:sz="8" w:space="0" w:color="auto"/>
            </w:tcBorders>
            <w:noWrap/>
            <w:vAlign w:val="center"/>
          </w:tcPr>
          <w:p w14:paraId="4D908A4E" w14:textId="77777777" w:rsidR="00F15C9A" w:rsidRDefault="00F15C9A">
            <w:pPr>
              <w:spacing w:after="0" w:line="240" w:lineRule="auto"/>
              <w:jc w:val="right"/>
              <w:rPr>
                <w:rFonts w:ascii="Arial" w:eastAsia="Times New Roman" w:hAnsi="Arial" w:cs="Arial"/>
                <w:color w:val="000000"/>
                <w:sz w:val="18"/>
                <w:szCs w:val="18"/>
                <w:lang w:eastAsia="tr-TR"/>
              </w:rPr>
            </w:pPr>
          </w:p>
        </w:tc>
        <w:tc>
          <w:tcPr>
            <w:tcW w:w="1652" w:type="dxa"/>
            <w:noWrap/>
            <w:vAlign w:val="center"/>
            <w:hideMark/>
          </w:tcPr>
          <w:p w14:paraId="3D16A6A1" w14:textId="77777777" w:rsidR="00F15C9A" w:rsidRDefault="00F15C9A">
            <w:pPr>
              <w:rPr>
                <w:rFonts w:ascii="Arial" w:eastAsia="Times New Roman" w:hAnsi="Arial" w:cs="Arial"/>
                <w:color w:val="000000"/>
                <w:sz w:val="18"/>
                <w:szCs w:val="18"/>
                <w:lang w:eastAsia="tr-TR"/>
              </w:rPr>
            </w:pPr>
          </w:p>
        </w:tc>
        <w:tc>
          <w:tcPr>
            <w:tcW w:w="1559" w:type="dxa"/>
            <w:tcBorders>
              <w:top w:val="nil"/>
              <w:left w:val="single" w:sz="8" w:space="0" w:color="auto"/>
              <w:bottom w:val="nil"/>
              <w:right w:val="single" w:sz="8" w:space="0" w:color="auto"/>
            </w:tcBorders>
            <w:noWrap/>
            <w:vAlign w:val="center"/>
            <w:hideMark/>
          </w:tcPr>
          <w:p w14:paraId="29035597"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 </w:t>
            </w:r>
          </w:p>
        </w:tc>
        <w:tc>
          <w:tcPr>
            <w:tcW w:w="160" w:type="dxa"/>
            <w:noWrap/>
            <w:vAlign w:val="center"/>
            <w:hideMark/>
          </w:tcPr>
          <w:p w14:paraId="7FF7594B" w14:textId="77777777" w:rsidR="00F15C9A" w:rsidRDefault="00F15C9A">
            <w:pPr>
              <w:rPr>
                <w:rFonts w:ascii="Arial" w:eastAsia="Times New Roman" w:hAnsi="Arial" w:cs="Arial"/>
                <w:color w:val="000000"/>
                <w:sz w:val="18"/>
                <w:szCs w:val="18"/>
                <w:lang w:eastAsia="tr-TR"/>
              </w:rPr>
            </w:pPr>
          </w:p>
        </w:tc>
        <w:tc>
          <w:tcPr>
            <w:tcW w:w="160" w:type="dxa"/>
            <w:noWrap/>
            <w:vAlign w:val="center"/>
            <w:hideMark/>
          </w:tcPr>
          <w:p w14:paraId="4F299179" w14:textId="77777777" w:rsidR="00F15C9A" w:rsidRDefault="00F15C9A">
            <w:pPr>
              <w:spacing w:after="0"/>
              <w:jc w:val="left"/>
              <w:rPr>
                <w:rFonts w:eastAsiaTheme="minorHAnsi" w:cstheme="minorBidi"/>
                <w:sz w:val="20"/>
                <w:szCs w:val="20"/>
                <w:lang w:eastAsia="tr-TR"/>
              </w:rPr>
            </w:pPr>
          </w:p>
        </w:tc>
        <w:tc>
          <w:tcPr>
            <w:tcW w:w="3224" w:type="dxa"/>
            <w:tcBorders>
              <w:top w:val="nil"/>
              <w:left w:val="nil"/>
              <w:bottom w:val="nil"/>
              <w:right w:val="single" w:sz="8" w:space="0" w:color="auto"/>
            </w:tcBorders>
            <w:noWrap/>
            <w:vAlign w:val="center"/>
            <w:hideMark/>
          </w:tcPr>
          <w:p w14:paraId="08BEB949" w14:textId="77777777" w:rsidR="00F15C9A" w:rsidRDefault="00F15C9A">
            <w:pPr>
              <w:spacing w:after="0" w:line="240" w:lineRule="auto"/>
              <w:ind w:left="-85"/>
              <w:jc w:val="lef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591-Dönem Olumsuz Faaliyet Sonucu (-)</w:t>
            </w:r>
          </w:p>
        </w:tc>
        <w:tc>
          <w:tcPr>
            <w:tcW w:w="1559" w:type="dxa"/>
            <w:tcBorders>
              <w:top w:val="nil"/>
              <w:left w:val="nil"/>
              <w:bottom w:val="nil"/>
              <w:right w:val="single" w:sz="8" w:space="0" w:color="auto"/>
            </w:tcBorders>
            <w:noWrap/>
            <w:vAlign w:val="center"/>
            <w:hideMark/>
          </w:tcPr>
          <w:p w14:paraId="17D6CF55"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0,00</w:t>
            </w:r>
          </w:p>
        </w:tc>
        <w:tc>
          <w:tcPr>
            <w:tcW w:w="1701" w:type="dxa"/>
            <w:tcBorders>
              <w:top w:val="nil"/>
              <w:left w:val="nil"/>
              <w:bottom w:val="nil"/>
              <w:right w:val="single" w:sz="8" w:space="0" w:color="auto"/>
            </w:tcBorders>
            <w:noWrap/>
            <w:vAlign w:val="center"/>
            <w:hideMark/>
          </w:tcPr>
          <w:p w14:paraId="26DCB0FE"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-47.719.150,76</w:t>
            </w:r>
          </w:p>
        </w:tc>
        <w:tc>
          <w:tcPr>
            <w:tcW w:w="1701" w:type="dxa"/>
            <w:tcBorders>
              <w:top w:val="nil"/>
              <w:left w:val="nil"/>
              <w:bottom w:val="nil"/>
              <w:right w:val="single" w:sz="8" w:space="0" w:color="auto"/>
            </w:tcBorders>
            <w:noWrap/>
            <w:vAlign w:val="center"/>
            <w:hideMark/>
          </w:tcPr>
          <w:p w14:paraId="7B7ED431"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0,00</w:t>
            </w:r>
          </w:p>
        </w:tc>
        <w:tc>
          <w:tcPr>
            <w:tcW w:w="6" w:type="dxa"/>
            <w:tcBorders>
              <w:top w:val="nil"/>
              <w:left w:val="nil"/>
              <w:bottom w:val="nil"/>
              <w:right w:val="nil"/>
            </w:tcBorders>
            <w:vAlign w:val="center"/>
            <w:hideMark/>
          </w:tcPr>
          <w:p w14:paraId="4B9F466C" w14:textId="77777777" w:rsidR="00F15C9A" w:rsidRDefault="00F15C9A">
            <w:pPr>
              <w:rPr>
                <w:rFonts w:ascii="Arial" w:eastAsia="Times New Roman" w:hAnsi="Arial" w:cs="Arial"/>
                <w:color w:val="000000"/>
                <w:sz w:val="18"/>
                <w:szCs w:val="18"/>
                <w:lang w:eastAsia="tr-TR"/>
              </w:rPr>
            </w:pPr>
          </w:p>
        </w:tc>
      </w:tr>
      <w:tr w:rsidR="00F15C9A" w14:paraId="215C786B" w14:textId="77777777" w:rsidTr="00F15C9A">
        <w:trPr>
          <w:trHeight w:val="305"/>
          <w:jc w:val="center"/>
        </w:trPr>
        <w:tc>
          <w:tcPr>
            <w:tcW w:w="207" w:type="dxa"/>
            <w:tcBorders>
              <w:top w:val="nil"/>
              <w:left w:val="single" w:sz="8" w:space="0" w:color="auto"/>
              <w:bottom w:val="single" w:sz="8" w:space="0" w:color="auto"/>
              <w:right w:val="nil"/>
            </w:tcBorders>
            <w:noWrap/>
            <w:vAlign w:val="center"/>
            <w:hideMark/>
          </w:tcPr>
          <w:p w14:paraId="776B4604" w14:textId="77777777" w:rsidR="00F15C9A" w:rsidRDefault="00F15C9A">
            <w:pPr>
              <w:spacing w:after="0" w:line="240" w:lineRule="auto"/>
              <w:jc w:val="lef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 </w:t>
            </w:r>
          </w:p>
        </w:tc>
        <w:tc>
          <w:tcPr>
            <w:tcW w:w="181" w:type="dxa"/>
            <w:tcBorders>
              <w:top w:val="nil"/>
              <w:left w:val="nil"/>
              <w:bottom w:val="single" w:sz="8" w:space="0" w:color="auto"/>
              <w:right w:val="nil"/>
            </w:tcBorders>
            <w:noWrap/>
            <w:vAlign w:val="bottom"/>
            <w:hideMark/>
          </w:tcPr>
          <w:p w14:paraId="6969FF1D" w14:textId="77777777" w:rsidR="00F15C9A" w:rsidRDefault="00F15C9A">
            <w:pPr>
              <w:spacing w:after="0" w:line="240" w:lineRule="auto"/>
              <w:jc w:val="left"/>
              <w:rPr>
                <w:rFonts w:ascii="Calibri" w:eastAsia="Times New Roman" w:hAnsi="Calibri" w:cs="Calibri"/>
                <w:color w:val="000000"/>
                <w:sz w:val="18"/>
                <w:szCs w:val="18"/>
                <w:lang w:eastAsia="tr-TR"/>
              </w:rPr>
            </w:pPr>
            <w:r>
              <w:rPr>
                <w:rFonts w:ascii="Calibri" w:eastAsia="Times New Roman" w:hAnsi="Calibri" w:cs="Calibri"/>
                <w:color w:val="000000"/>
                <w:sz w:val="18"/>
                <w:szCs w:val="18"/>
                <w:lang w:eastAsia="tr-TR"/>
              </w:rPr>
              <w:t> </w:t>
            </w:r>
          </w:p>
        </w:tc>
        <w:tc>
          <w:tcPr>
            <w:tcW w:w="2484" w:type="dxa"/>
            <w:tcBorders>
              <w:top w:val="nil"/>
              <w:left w:val="nil"/>
              <w:bottom w:val="single" w:sz="8" w:space="0" w:color="auto"/>
              <w:right w:val="single" w:sz="8" w:space="0" w:color="auto"/>
            </w:tcBorders>
            <w:noWrap/>
            <w:vAlign w:val="center"/>
            <w:hideMark/>
          </w:tcPr>
          <w:p w14:paraId="226CD886" w14:textId="77777777" w:rsidR="00F15C9A" w:rsidRDefault="00F15C9A">
            <w:pPr>
              <w:spacing w:after="0" w:line="240" w:lineRule="auto"/>
              <w:jc w:val="lef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 </w:t>
            </w:r>
          </w:p>
        </w:tc>
        <w:tc>
          <w:tcPr>
            <w:tcW w:w="1430" w:type="dxa"/>
            <w:tcBorders>
              <w:top w:val="nil"/>
              <w:left w:val="nil"/>
              <w:bottom w:val="nil"/>
              <w:right w:val="single" w:sz="8" w:space="0" w:color="auto"/>
            </w:tcBorders>
            <w:noWrap/>
            <w:vAlign w:val="center"/>
          </w:tcPr>
          <w:p w14:paraId="44BB501D" w14:textId="77777777" w:rsidR="00F15C9A" w:rsidRDefault="00F15C9A">
            <w:pPr>
              <w:spacing w:after="0" w:line="240" w:lineRule="auto"/>
              <w:jc w:val="right"/>
              <w:rPr>
                <w:rFonts w:ascii="Arial" w:eastAsia="Times New Roman" w:hAnsi="Arial" w:cs="Arial"/>
                <w:color w:val="000000"/>
                <w:sz w:val="18"/>
                <w:szCs w:val="18"/>
                <w:lang w:eastAsia="tr-TR"/>
              </w:rPr>
            </w:pPr>
          </w:p>
        </w:tc>
        <w:tc>
          <w:tcPr>
            <w:tcW w:w="1652" w:type="dxa"/>
            <w:noWrap/>
            <w:vAlign w:val="center"/>
            <w:hideMark/>
          </w:tcPr>
          <w:p w14:paraId="60FD54A8" w14:textId="77777777" w:rsidR="00F15C9A" w:rsidRDefault="00F15C9A">
            <w:pPr>
              <w:rPr>
                <w:rFonts w:ascii="Arial" w:eastAsia="Times New Roman" w:hAnsi="Arial" w:cs="Arial"/>
                <w:color w:val="000000"/>
                <w:sz w:val="18"/>
                <w:szCs w:val="18"/>
                <w:lang w:eastAsia="tr-TR"/>
              </w:rPr>
            </w:pPr>
          </w:p>
        </w:tc>
        <w:tc>
          <w:tcPr>
            <w:tcW w:w="1559" w:type="dxa"/>
            <w:tcBorders>
              <w:top w:val="nil"/>
              <w:left w:val="single" w:sz="8" w:space="0" w:color="auto"/>
              <w:bottom w:val="nil"/>
              <w:right w:val="single" w:sz="8" w:space="0" w:color="auto"/>
            </w:tcBorders>
            <w:noWrap/>
            <w:vAlign w:val="center"/>
            <w:hideMark/>
          </w:tcPr>
          <w:p w14:paraId="71A58EFD"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 </w:t>
            </w:r>
          </w:p>
        </w:tc>
        <w:tc>
          <w:tcPr>
            <w:tcW w:w="160" w:type="dxa"/>
            <w:noWrap/>
            <w:vAlign w:val="center"/>
            <w:hideMark/>
          </w:tcPr>
          <w:p w14:paraId="776B7791" w14:textId="77777777" w:rsidR="00F15C9A" w:rsidRDefault="00F15C9A">
            <w:pPr>
              <w:rPr>
                <w:rFonts w:ascii="Arial" w:eastAsia="Times New Roman" w:hAnsi="Arial" w:cs="Arial"/>
                <w:color w:val="000000"/>
                <w:sz w:val="18"/>
                <w:szCs w:val="18"/>
                <w:lang w:eastAsia="tr-TR"/>
              </w:rPr>
            </w:pPr>
          </w:p>
        </w:tc>
        <w:tc>
          <w:tcPr>
            <w:tcW w:w="160" w:type="dxa"/>
            <w:noWrap/>
            <w:vAlign w:val="center"/>
            <w:hideMark/>
          </w:tcPr>
          <w:p w14:paraId="70D6F906" w14:textId="77777777" w:rsidR="00F15C9A" w:rsidRDefault="00F15C9A">
            <w:pPr>
              <w:spacing w:after="0"/>
              <w:jc w:val="left"/>
              <w:rPr>
                <w:rFonts w:eastAsiaTheme="minorHAnsi" w:cstheme="minorBidi"/>
                <w:sz w:val="20"/>
                <w:szCs w:val="20"/>
                <w:lang w:eastAsia="tr-TR"/>
              </w:rPr>
            </w:pPr>
          </w:p>
        </w:tc>
        <w:tc>
          <w:tcPr>
            <w:tcW w:w="3224" w:type="dxa"/>
            <w:tcBorders>
              <w:top w:val="nil"/>
              <w:left w:val="nil"/>
              <w:bottom w:val="nil"/>
              <w:right w:val="single" w:sz="8" w:space="0" w:color="auto"/>
            </w:tcBorders>
            <w:noWrap/>
            <w:vAlign w:val="center"/>
            <w:hideMark/>
          </w:tcPr>
          <w:p w14:paraId="021C450F" w14:textId="77777777" w:rsidR="00F15C9A" w:rsidRDefault="00F15C9A">
            <w:pPr>
              <w:spacing w:after="0" w:line="240" w:lineRule="auto"/>
              <w:jc w:val="lef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 </w:t>
            </w:r>
          </w:p>
        </w:tc>
        <w:tc>
          <w:tcPr>
            <w:tcW w:w="1559" w:type="dxa"/>
            <w:tcBorders>
              <w:top w:val="nil"/>
              <w:left w:val="nil"/>
              <w:bottom w:val="nil"/>
              <w:right w:val="single" w:sz="8" w:space="0" w:color="auto"/>
            </w:tcBorders>
            <w:noWrap/>
            <w:vAlign w:val="center"/>
          </w:tcPr>
          <w:p w14:paraId="1191F6E4" w14:textId="77777777" w:rsidR="00F15C9A" w:rsidRDefault="00F15C9A">
            <w:pPr>
              <w:spacing w:after="0" w:line="240" w:lineRule="auto"/>
              <w:jc w:val="right"/>
              <w:rPr>
                <w:rFonts w:ascii="Arial" w:eastAsia="Times New Roman" w:hAnsi="Arial" w:cs="Arial"/>
                <w:color w:val="000000"/>
                <w:sz w:val="18"/>
                <w:szCs w:val="18"/>
                <w:lang w:eastAsia="tr-TR"/>
              </w:rPr>
            </w:pPr>
          </w:p>
        </w:tc>
        <w:tc>
          <w:tcPr>
            <w:tcW w:w="1701" w:type="dxa"/>
            <w:tcBorders>
              <w:top w:val="nil"/>
              <w:left w:val="nil"/>
              <w:bottom w:val="nil"/>
              <w:right w:val="single" w:sz="8" w:space="0" w:color="auto"/>
            </w:tcBorders>
            <w:noWrap/>
            <w:vAlign w:val="center"/>
            <w:hideMark/>
          </w:tcPr>
          <w:p w14:paraId="27B94347"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 </w:t>
            </w:r>
          </w:p>
        </w:tc>
        <w:tc>
          <w:tcPr>
            <w:tcW w:w="1701" w:type="dxa"/>
            <w:tcBorders>
              <w:top w:val="nil"/>
              <w:left w:val="nil"/>
              <w:bottom w:val="nil"/>
              <w:right w:val="single" w:sz="8" w:space="0" w:color="auto"/>
            </w:tcBorders>
            <w:noWrap/>
            <w:vAlign w:val="center"/>
            <w:hideMark/>
          </w:tcPr>
          <w:p w14:paraId="0956B8FD" w14:textId="77777777" w:rsidR="00F15C9A" w:rsidRDefault="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 </w:t>
            </w:r>
          </w:p>
        </w:tc>
        <w:tc>
          <w:tcPr>
            <w:tcW w:w="6" w:type="dxa"/>
            <w:tcBorders>
              <w:top w:val="nil"/>
              <w:left w:val="nil"/>
              <w:bottom w:val="nil"/>
              <w:right w:val="nil"/>
            </w:tcBorders>
            <w:vAlign w:val="center"/>
            <w:hideMark/>
          </w:tcPr>
          <w:p w14:paraId="5F036C3E" w14:textId="77777777" w:rsidR="00F15C9A" w:rsidRDefault="00F15C9A">
            <w:pPr>
              <w:rPr>
                <w:rFonts w:ascii="Arial" w:eastAsia="Times New Roman" w:hAnsi="Arial" w:cs="Arial"/>
                <w:color w:val="000000"/>
                <w:sz w:val="18"/>
                <w:szCs w:val="18"/>
                <w:lang w:eastAsia="tr-TR"/>
              </w:rPr>
            </w:pPr>
          </w:p>
        </w:tc>
      </w:tr>
      <w:tr w:rsidR="00F15C9A" w14:paraId="2AB90CCD" w14:textId="77777777" w:rsidTr="00F15C9A">
        <w:trPr>
          <w:trHeight w:val="509"/>
          <w:jc w:val="center"/>
        </w:trPr>
        <w:tc>
          <w:tcPr>
            <w:tcW w:w="2872" w:type="dxa"/>
            <w:gridSpan w:val="3"/>
            <w:vMerge w:val="restart"/>
            <w:tcBorders>
              <w:top w:val="nil"/>
              <w:left w:val="single" w:sz="8" w:space="0" w:color="auto"/>
              <w:bottom w:val="single" w:sz="8" w:space="0" w:color="000000"/>
              <w:right w:val="single" w:sz="8" w:space="0" w:color="000000"/>
            </w:tcBorders>
            <w:noWrap/>
            <w:vAlign w:val="center"/>
            <w:hideMark/>
          </w:tcPr>
          <w:p w14:paraId="738457F1" w14:textId="77777777" w:rsidR="00F15C9A" w:rsidRDefault="00F15C9A">
            <w:pPr>
              <w:spacing w:after="0" w:line="240" w:lineRule="auto"/>
              <w:jc w:val="lef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 xml:space="preserve">   AKTİF TOPLAMI</w:t>
            </w:r>
          </w:p>
        </w:tc>
        <w:tc>
          <w:tcPr>
            <w:tcW w:w="1430" w:type="dxa"/>
            <w:vMerge w:val="restart"/>
            <w:tcBorders>
              <w:top w:val="single" w:sz="8" w:space="0" w:color="auto"/>
              <w:left w:val="single" w:sz="8" w:space="0" w:color="auto"/>
              <w:bottom w:val="single" w:sz="8" w:space="0" w:color="000000"/>
              <w:right w:val="single" w:sz="8" w:space="0" w:color="auto"/>
            </w:tcBorders>
            <w:noWrap/>
            <w:vAlign w:val="center"/>
            <w:hideMark/>
          </w:tcPr>
          <w:p w14:paraId="372EA5CC" w14:textId="77777777" w:rsidR="00F15C9A" w:rsidRDefault="00F15C9A">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786.905.486,81</w:t>
            </w:r>
          </w:p>
        </w:tc>
        <w:tc>
          <w:tcPr>
            <w:tcW w:w="1652" w:type="dxa"/>
            <w:vMerge w:val="restart"/>
            <w:tcBorders>
              <w:top w:val="single" w:sz="8" w:space="0" w:color="auto"/>
              <w:left w:val="single" w:sz="8" w:space="0" w:color="auto"/>
              <w:bottom w:val="single" w:sz="8" w:space="0" w:color="000000"/>
              <w:right w:val="nil"/>
            </w:tcBorders>
            <w:noWrap/>
            <w:vAlign w:val="center"/>
            <w:hideMark/>
          </w:tcPr>
          <w:p w14:paraId="139B56A8" w14:textId="77777777" w:rsidR="00F15C9A" w:rsidRDefault="00F15C9A">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1.999.835.180,91</w:t>
            </w:r>
          </w:p>
        </w:tc>
        <w:tc>
          <w:tcPr>
            <w:tcW w:w="1559" w:type="dxa"/>
            <w:vMerge w:val="restart"/>
            <w:tcBorders>
              <w:top w:val="single" w:sz="8" w:space="0" w:color="auto"/>
              <w:left w:val="single" w:sz="8" w:space="0" w:color="auto"/>
              <w:bottom w:val="single" w:sz="8" w:space="0" w:color="000000"/>
              <w:right w:val="single" w:sz="8" w:space="0" w:color="auto"/>
            </w:tcBorders>
            <w:noWrap/>
            <w:vAlign w:val="center"/>
            <w:hideMark/>
          </w:tcPr>
          <w:p w14:paraId="495832D0" w14:textId="77777777" w:rsidR="00F15C9A" w:rsidRDefault="00F15C9A">
            <w:pPr>
              <w:spacing w:after="0" w:line="240" w:lineRule="auto"/>
              <w:jc w:val="right"/>
              <w:rPr>
                <w:rFonts w:ascii="Arial" w:eastAsia="Times New Roman" w:hAnsi="Arial" w:cs="Arial"/>
                <w:b/>
                <w:bCs/>
                <w:color w:val="000000"/>
                <w:sz w:val="18"/>
                <w:szCs w:val="18"/>
                <w:lang w:eastAsia="tr-TR"/>
              </w:rPr>
            </w:pPr>
            <w:r>
              <w:rPr>
                <w:rFonts w:ascii="Tahoma-Bold" w:eastAsiaTheme="minorHAnsi" w:cs="Tahoma-Bold" w:hint="cs"/>
                <w:b/>
                <w:bCs/>
                <w:sz w:val="16"/>
                <w:szCs w:val="16"/>
              </w:rPr>
              <w:t>2.755.839.198,54</w:t>
            </w:r>
          </w:p>
        </w:tc>
        <w:tc>
          <w:tcPr>
            <w:tcW w:w="3544" w:type="dxa"/>
            <w:gridSpan w:val="3"/>
            <w:vMerge w:val="restart"/>
            <w:tcBorders>
              <w:top w:val="single" w:sz="8" w:space="0" w:color="auto"/>
              <w:left w:val="nil"/>
              <w:bottom w:val="single" w:sz="8" w:space="0" w:color="000000"/>
              <w:right w:val="single" w:sz="8" w:space="0" w:color="000000"/>
            </w:tcBorders>
            <w:noWrap/>
            <w:vAlign w:val="center"/>
            <w:hideMark/>
          </w:tcPr>
          <w:p w14:paraId="57A22FDA" w14:textId="77777777" w:rsidR="00F15C9A" w:rsidRDefault="00F15C9A">
            <w:pPr>
              <w:spacing w:after="0" w:line="240" w:lineRule="auto"/>
              <w:jc w:val="lef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 xml:space="preserve">   PASİF TOPLAMI</w:t>
            </w:r>
          </w:p>
        </w:tc>
        <w:tc>
          <w:tcPr>
            <w:tcW w:w="1559" w:type="dxa"/>
            <w:vMerge w:val="restart"/>
            <w:tcBorders>
              <w:top w:val="single" w:sz="8" w:space="0" w:color="auto"/>
              <w:left w:val="single" w:sz="8" w:space="0" w:color="auto"/>
              <w:bottom w:val="single" w:sz="8" w:space="0" w:color="000000"/>
              <w:right w:val="single" w:sz="8" w:space="0" w:color="auto"/>
            </w:tcBorders>
            <w:noWrap/>
            <w:vAlign w:val="center"/>
            <w:hideMark/>
          </w:tcPr>
          <w:p w14:paraId="04129351" w14:textId="77777777" w:rsidR="00F15C9A" w:rsidRDefault="00F15C9A">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786.905.486,81</w:t>
            </w:r>
          </w:p>
        </w:tc>
        <w:tc>
          <w:tcPr>
            <w:tcW w:w="1701" w:type="dxa"/>
            <w:vMerge w:val="restart"/>
            <w:tcBorders>
              <w:top w:val="single" w:sz="8" w:space="0" w:color="auto"/>
              <w:left w:val="single" w:sz="8" w:space="0" w:color="auto"/>
              <w:bottom w:val="single" w:sz="8" w:space="0" w:color="000000"/>
              <w:right w:val="single" w:sz="8" w:space="0" w:color="auto"/>
            </w:tcBorders>
            <w:noWrap/>
            <w:vAlign w:val="center"/>
            <w:hideMark/>
          </w:tcPr>
          <w:p w14:paraId="57AA4B16" w14:textId="77777777" w:rsidR="00F15C9A" w:rsidRDefault="00F15C9A">
            <w:pPr>
              <w:spacing w:after="0" w:line="240" w:lineRule="auto"/>
              <w:jc w:val="right"/>
              <w:rPr>
                <w:rFonts w:ascii="Arial" w:eastAsia="Times New Roman" w:hAnsi="Arial" w:cs="Arial"/>
                <w:b/>
                <w:bCs/>
                <w:color w:val="000000"/>
                <w:sz w:val="18"/>
                <w:szCs w:val="18"/>
                <w:lang w:eastAsia="tr-TR"/>
              </w:rPr>
            </w:pPr>
            <w:r>
              <w:rPr>
                <w:rFonts w:ascii="Arial" w:eastAsia="Times New Roman" w:hAnsi="Arial" w:cs="Arial"/>
                <w:b/>
                <w:bCs/>
                <w:color w:val="000000"/>
                <w:sz w:val="18"/>
                <w:szCs w:val="18"/>
                <w:lang w:eastAsia="tr-TR"/>
              </w:rPr>
              <w:t>1.999.835.180,91</w:t>
            </w:r>
          </w:p>
        </w:tc>
        <w:tc>
          <w:tcPr>
            <w:tcW w:w="1701" w:type="dxa"/>
            <w:vMerge w:val="restart"/>
            <w:tcBorders>
              <w:top w:val="single" w:sz="8" w:space="0" w:color="auto"/>
              <w:left w:val="single" w:sz="8" w:space="0" w:color="auto"/>
              <w:bottom w:val="single" w:sz="8" w:space="0" w:color="000000"/>
              <w:right w:val="single" w:sz="8" w:space="0" w:color="auto"/>
            </w:tcBorders>
            <w:noWrap/>
            <w:vAlign w:val="center"/>
            <w:hideMark/>
          </w:tcPr>
          <w:p w14:paraId="3B0F81D4" w14:textId="77777777" w:rsidR="00F15C9A" w:rsidRDefault="00F15C9A">
            <w:pPr>
              <w:spacing w:after="0" w:line="240" w:lineRule="auto"/>
              <w:jc w:val="right"/>
              <w:rPr>
                <w:rFonts w:ascii="Arial" w:eastAsia="Times New Roman" w:hAnsi="Arial" w:cs="Arial"/>
                <w:b/>
                <w:bCs/>
                <w:color w:val="000000"/>
                <w:sz w:val="18"/>
                <w:szCs w:val="18"/>
                <w:lang w:eastAsia="tr-TR"/>
              </w:rPr>
            </w:pPr>
            <w:r>
              <w:rPr>
                <w:rFonts w:ascii="Tahoma-Bold" w:eastAsiaTheme="minorHAnsi" w:cs="Tahoma-Bold" w:hint="cs"/>
                <w:b/>
                <w:bCs/>
                <w:sz w:val="16"/>
                <w:szCs w:val="16"/>
              </w:rPr>
              <w:t>2.755.839.198,54</w:t>
            </w:r>
          </w:p>
        </w:tc>
        <w:tc>
          <w:tcPr>
            <w:tcW w:w="6" w:type="dxa"/>
            <w:tcBorders>
              <w:top w:val="nil"/>
              <w:left w:val="nil"/>
              <w:bottom w:val="nil"/>
              <w:right w:val="nil"/>
            </w:tcBorders>
            <w:vAlign w:val="center"/>
            <w:hideMark/>
          </w:tcPr>
          <w:p w14:paraId="5CF47F00" w14:textId="77777777" w:rsidR="00F15C9A" w:rsidRDefault="00F15C9A">
            <w:pPr>
              <w:rPr>
                <w:rFonts w:ascii="Arial" w:eastAsia="Times New Roman" w:hAnsi="Arial" w:cs="Arial"/>
                <w:b/>
                <w:bCs/>
                <w:color w:val="000000"/>
                <w:sz w:val="18"/>
                <w:szCs w:val="18"/>
                <w:lang w:eastAsia="tr-TR"/>
              </w:rPr>
            </w:pPr>
          </w:p>
        </w:tc>
      </w:tr>
      <w:tr w:rsidR="00F15C9A" w14:paraId="6F7CC2BB" w14:textId="77777777" w:rsidTr="00F15C9A">
        <w:trPr>
          <w:trHeight w:val="509"/>
          <w:jc w:val="center"/>
        </w:trPr>
        <w:tc>
          <w:tcPr>
            <w:tcW w:w="900" w:type="dxa"/>
            <w:gridSpan w:val="3"/>
            <w:vMerge/>
            <w:tcBorders>
              <w:top w:val="nil"/>
              <w:left w:val="single" w:sz="8" w:space="0" w:color="auto"/>
              <w:bottom w:val="single" w:sz="8" w:space="0" w:color="000000"/>
              <w:right w:val="single" w:sz="8" w:space="0" w:color="000000"/>
            </w:tcBorders>
            <w:vAlign w:val="center"/>
            <w:hideMark/>
          </w:tcPr>
          <w:p w14:paraId="182CDA3C" w14:textId="77777777" w:rsidR="00F15C9A" w:rsidRDefault="00F15C9A">
            <w:pPr>
              <w:spacing w:after="0"/>
              <w:jc w:val="left"/>
              <w:rPr>
                <w:rFonts w:ascii="Arial" w:eastAsia="Times New Roman" w:hAnsi="Arial" w:cs="Arial"/>
                <w:b/>
                <w:bCs/>
                <w:color w:val="000000"/>
                <w:sz w:val="18"/>
                <w:szCs w:val="18"/>
                <w:lang w:eastAsia="tr-TR"/>
              </w:rPr>
            </w:pPr>
          </w:p>
        </w:tc>
        <w:tc>
          <w:tcPr>
            <w:tcW w:w="300" w:type="dxa"/>
            <w:vMerge/>
            <w:tcBorders>
              <w:top w:val="single" w:sz="8" w:space="0" w:color="auto"/>
              <w:left w:val="single" w:sz="8" w:space="0" w:color="auto"/>
              <w:bottom w:val="single" w:sz="8" w:space="0" w:color="000000"/>
              <w:right w:val="single" w:sz="8" w:space="0" w:color="auto"/>
            </w:tcBorders>
            <w:vAlign w:val="center"/>
            <w:hideMark/>
          </w:tcPr>
          <w:p w14:paraId="0BBCE766" w14:textId="77777777" w:rsidR="00F15C9A" w:rsidRDefault="00F15C9A">
            <w:pPr>
              <w:spacing w:after="0"/>
              <w:jc w:val="left"/>
              <w:rPr>
                <w:rFonts w:ascii="Arial" w:eastAsia="Times New Roman" w:hAnsi="Arial" w:cs="Arial"/>
                <w:b/>
                <w:bCs/>
                <w:color w:val="000000"/>
                <w:sz w:val="18"/>
                <w:szCs w:val="18"/>
                <w:lang w:eastAsia="tr-TR"/>
              </w:rPr>
            </w:pPr>
          </w:p>
        </w:tc>
        <w:tc>
          <w:tcPr>
            <w:tcW w:w="300" w:type="dxa"/>
            <w:vMerge/>
            <w:tcBorders>
              <w:top w:val="single" w:sz="8" w:space="0" w:color="auto"/>
              <w:left w:val="single" w:sz="8" w:space="0" w:color="auto"/>
              <w:bottom w:val="single" w:sz="8" w:space="0" w:color="000000"/>
              <w:right w:val="nil"/>
            </w:tcBorders>
            <w:vAlign w:val="center"/>
            <w:hideMark/>
          </w:tcPr>
          <w:p w14:paraId="6905DEFD" w14:textId="77777777" w:rsidR="00F15C9A" w:rsidRDefault="00F15C9A">
            <w:pPr>
              <w:spacing w:after="0"/>
              <w:jc w:val="left"/>
              <w:rPr>
                <w:rFonts w:ascii="Arial" w:eastAsia="Times New Roman" w:hAnsi="Arial" w:cs="Arial"/>
                <w:b/>
                <w:bCs/>
                <w:color w:val="000000"/>
                <w:sz w:val="18"/>
                <w:szCs w:val="18"/>
                <w:lang w:eastAsia="tr-TR"/>
              </w:rPr>
            </w:pPr>
          </w:p>
        </w:tc>
        <w:tc>
          <w:tcPr>
            <w:tcW w:w="300" w:type="dxa"/>
            <w:vMerge/>
            <w:tcBorders>
              <w:top w:val="single" w:sz="8" w:space="0" w:color="auto"/>
              <w:left w:val="single" w:sz="8" w:space="0" w:color="auto"/>
              <w:bottom w:val="single" w:sz="8" w:space="0" w:color="000000"/>
              <w:right w:val="single" w:sz="8" w:space="0" w:color="auto"/>
            </w:tcBorders>
            <w:vAlign w:val="center"/>
            <w:hideMark/>
          </w:tcPr>
          <w:p w14:paraId="21486CD3" w14:textId="77777777" w:rsidR="00F15C9A" w:rsidRDefault="00F15C9A">
            <w:pPr>
              <w:spacing w:after="0"/>
              <w:jc w:val="left"/>
              <w:rPr>
                <w:rFonts w:ascii="Arial" w:eastAsia="Times New Roman" w:hAnsi="Arial" w:cs="Arial"/>
                <w:b/>
                <w:bCs/>
                <w:color w:val="000000"/>
                <w:sz w:val="18"/>
                <w:szCs w:val="18"/>
                <w:lang w:eastAsia="tr-TR"/>
              </w:rPr>
            </w:pPr>
          </w:p>
        </w:tc>
        <w:tc>
          <w:tcPr>
            <w:tcW w:w="7208" w:type="dxa"/>
            <w:gridSpan w:val="3"/>
            <w:vMerge/>
            <w:tcBorders>
              <w:top w:val="single" w:sz="8" w:space="0" w:color="auto"/>
              <w:left w:val="nil"/>
              <w:bottom w:val="single" w:sz="8" w:space="0" w:color="000000"/>
              <w:right w:val="single" w:sz="8" w:space="0" w:color="000000"/>
            </w:tcBorders>
            <w:vAlign w:val="center"/>
            <w:hideMark/>
          </w:tcPr>
          <w:p w14:paraId="7283971E" w14:textId="77777777" w:rsidR="00F15C9A" w:rsidRDefault="00F15C9A">
            <w:pPr>
              <w:spacing w:after="0"/>
              <w:jc w:val="left"/>
              <w:rPr>
                <w:rFonts w:ascii="Arial" w:eastAsia="Times New Roman" w:hAnsi="Arial" w:cs="Arial"/>
                <w:b/>
                <w:bCs/>
                <w:color w:val="000000"/>
                <w:sz w:val="18"/>
                <w:szCs w:val="18"/>
                <w:lang w:eastAsia="tr-TR"/>
              </w:rPr>
            </w:pPr>
          </w:p>
        </w:tc>
        <w:tc>
          <w:tcPr>
            <w:tcW w:w="1559" w:type="dxa"/>
            <w:vMerge/>
            <w:tcBorders>
              <w:top w:val="single" w:sz="8" w:space="0" w:color="auto"/>
              <w:left w:val="single" w:sz="8" w:space="0" w:color="auto"/>
              <w:bottom w:val="single" w:sz="8" w:space="0" w:color="000000"/>
              <w:right w:val="single" w:sz="8" w:space="0" w:color="auto"/>
            </w:tcBorders>
            <w:vAlign w:val="center"/>
            <w:hideMark/>
          </w:tcPr>
          <w:p w14:paraId="3D494A24" w14:textId="77777777" w:rsidR="00F15C9A" w:rsidRDefault="00F15C9A">
            <w:pPr>
              <w:spacing w:after="0"/>
              <w:jc w:val="left"/>
              <w:rPr>
                <w:rFonts w:ascii="Arial" w:eastAsia="Times New Roman" w:hAnsi="Arial" w:cs="Arial"/>
                <w:b/>
                <w:bCs/>
                <w:color w:val="000000"/>
                <w:sz w:val="18"/>
                <w:szCs w:val="18"/>
                <w:lang w:eastAsia="tr-TR"/>
              </w:rPr>
            </w:pPr>
          </w:p>
        </w:tc>
        <w:tc>
          <w:tcPr>
            <w:tcW w:w="1701" w:type="dxa"/>
            <w:vMerge/>
            <w:tcBorders>
              <w:top w:val="single" w:sz="8" w:space="0" w:color="auto"/>
              <w:left w:val="single" w:sz="8" w:space="0" w:color="auto"/>
              <w:bottom w:val="single" w:sz="8" w:space="0" w:color="000000"/>
              <w:right w:val="single" w:sz="8" w:space="0" w:color="auto"/>
            </w:tcBorders>
            <w:vAlign w:val="center"/>
            <w:hideMark/>
          </w:tcPr>
          <w:p w14:paraId="3FAE24D0" w14:textId="77777777" w:rsidR="00F15C9A" w:rsidRDefault="00F15C9A">
            <w:pPr>
              <w:spacing w:after="0"/>
              <w:jc w:val="left"/>
              <w:rPr>
                <w:rFonts w:ascii="Arial" w:eastAsia="Times New Roman" w:hAnsi="Arial" w:cs="Arial"/>
                <w:b/>
                <w:bCs/>
                <w:color w:val="000000"/>
                <w:sz w:val="18"/>
                <w:szCs w:val="18"/>
                <w:lang w:eastAsia="tr-TR"/>
              </w:rPr>
            </w:pPr>
          </w:p>
        </w:tc>
        <w:tc>
          <w:tcPr>
            <w:tcW w:w="1701" w:type="dxa"/>
            <w:vMerge/>
            <w:tcBorders>
              <w:top w:val="single" w:sz="8" w:space="0" w:color="auto"/>
              <w:left w:val="single" w:sz="8" w:space="0" w:color="auto"/>
              <w:bottom w:val="single" w:sz="8" w:space="0" w:color="000000"/>
              <w:right w:val="single" w:sz="8" w:space="0" w:color="auto"/>
            </w:tcBorders>
            <w:vAlign w:val="center"/>
            <w:hideMark/>
          </w:tcPr>
          <w:p w14:paraId="16C72252" w14:textId="77777777" w:rsidR="00F15C9A" w:rsidRDefault="00F15C9A">
            <w:pPr>
              <w:spacing w:after="0"/>
              <w:jc w:val="left"/>
              <w:rPr>
                <w:rFonts w:ascii="Arial" w:eastAsia="Times New Roman" w:hAnsi="Arial" w:cs="Arial"/>
                <w:b/>
                <w:bCs/>
                <w:color w:val="000000"/>
                <w:sz w:val="18"/>
                <w:szCs w:val="18"/>
                <w:lang w:eastAsia="tr-TR"/>
              </w:rPr>
            </w:pPr>
          </w:p>
        </w:tc>
        <w:tc>
          <w:tcPr>
            <w:tcW w:w="6" w:type="dxa"/>
            <w:tcBorders>
              <w:top w:val="nil"/>
              <w:left w:val="nil"/>
              <w:bottom w:val="nil"/>
              <w:right w:val="nil"/>
            </w:tcBorders>
            <w:vAlign w:val="center"/>
            <w:hideMark/>
          </w:tcPr>
          <w:p w14:paraId="707C66B3" w14:textId="77777777" w:rsidR="00F15C9A" w:rsidRDefault="00F15C9A">
            <w:pPr>
              <w:spacing w:after="0"/>
              <w:jc w:val="left"/>
              <w:rPr>
                <w:rFonts w:eastAsiaTheme="minorHAnsi" w:cstheme="minorBidi"/>
                <w:sz w:val="20"/>
                <w:szCs w:val="20"/>
                <w:lang w:eastAsia="tr-TR"/>
              </w:rPr>
            </w:pPr>
          </w:p>
        </w:tc>
      </w:tr>
      <w:tr w:rsidR="00F15C9A" w14:paraId="449291A5" w14:textId="77777777" w:rsidTr="00F15C9A">
        <w:trPr>
          <w:trHeight w:val="509"/>
          <w:jc w:val="center"/>
        </w:trPr>
        <w:tc>
          <w:tcPr>
            <w:tcW w:w="900" w:type="dxa"/>
            <w:gridSpan w:val="3"/>
            <w:vMerge/>
            <w:tcBorders>
              <w:top w:val="nil"/>
              <w:left w:val="single" w:sz="8" w:space="0" w:color="auto"/>
              <w:bottom w:val="single" w:sz="8" w:space="0" w:color="000000"/>
              <w:right w:val="single" w:sz="8" w:space="0" w:color="000000"/>
            </w:tcBorders>
            <w:vAlign w:val="center"/>
            <w:hideMark/>
          </w:tcPr>
          <w:p w14:paraId="20477ABE" w14:textId="77777777" w:rsidR="00F15C9A" w:rsidRDefault="00F15C9A">
            <w:pPr>
              <w:spacing w:after="0"/>
              <w:jc w:val="left"/>
              <w:rPr>
                <w:rFonts w:ascii="Arial" w:eastAsia="Times New Roman" w:hAnsi="Arial" w:cs="Arial"/>
                <w:b/>
                <w:bCs/>
                <w:color w:val="000000"/>
                <w:sz w:val="18"/>
                <w:szCs w:val="18"/>
                <w:lang w:eastAsia="tr-TR"/>
              </w:rPr>
            </w:pPr>
          </w:p>
        </w:tc>
        <w:tc>
          <w:tcPr>
            <w:tcW w:w="300" w:type="dxa"/>
            <w:vMerge/>
            <w:tcBorders>
              <w:top w:val="single" w:sz="8" w:space="0" w:color="auto"/>
              <w:left w:val="single" w:sz="8" w:space="0" w:color="auto"/>
              <w:bottom w:val="single" w:sz="8" w:space="0" w:color="000000"/>
              <w:right w:val="single" w:sz="8" w:space="0" w:color="auto"/>
            </w:tcBorders>
            <w:vAlign w:val="center"/>
            <w:hideMark/>
          </w:tcPr>
          <w:p w14:paraId="713C99C5" w14:textId="77777777" w:rsidR="00F15C9A" w:rsidRDefault="00F15C9A">
            <w:pPr>
              <w:spacing w:after="0"/>
              <w:jc w:val="left"/>
              <w:rPr>
                <w:rFonts w:ascii="Arial" w:eastAsia="Times New Roman" w:hAnsi="Arial" w:cs="Arial"/>
                <w:b/>
                <w:bCs/>
                <w:color w:val="000000"/>
                <w:sz w:val="18"/>
                <w:szCs w:val="18"/>
                <w:lang w:eastAsia="tr-TR"/>
              </w:rPr>
            </w:pPr>
          </w:p>
        </w:tc>
        <w:tc>
          <w:tcPr>
            <w:tcW w:w="300" w:type="dxa"/>
            <w:vMerge/>
            <w:tcBorders>
              <w:top w:val="single" w:sz="8" w:space="0" w:color="auto"/>
              <w:left w:val="single" w:sz="8" w:space="0" w:color="auto"/>
              <w:bottom w:val="single" w:sz="8" w:space="0" w:color="000000"/>
              <w:right w:val="nil"/>
            </w:tcBorders>
            <w:vAlign w:val="center"/>
            <w:hideMark/>
          </w:tcPr>
          <w:p w14:paraId="3CE41719" w14:textId="77777777" w:rsidR="00F15C9A" w:rsidRDefault="00F15C9A">
            <w:pPr>
              <w:spacing w:after="0"/>
              <w:jc w:val="left"/>
              <w:rPr>
                <w:rFonts w:ascii="Arial" w:eastAsia="Times New Roman" w:hAnsi="Arial" w:cs="Arial"/>
                <w:b/>
                <w:bCs/>
                <w:color w:val="000000"/>
                <w:sz w:val="18"/>
                <w:szCs w:val="18"/>
                <w:lang w:eastAsia="tr-TR"/>
              </w:rPr>
            </w:pPr>
          </w:p>
        </w:tc>
        <w:tc>
          <w:tcPr>
            <w:tcW w:w="300" w:type="dxa"/>
            <w:vMerge/>
            <w:tcBorders>
              <w:top w:val="single" w:sz="8" w:space="0" w:color="auto"/>
              <w:left w:val="single" w:sz="8" w:space="0" w:color="auto"/>
              <w:bottom w:val="single" w:sz="8" w:space="0" w:color="000000"/>
              <w:right w:val="single" w:sz="8" w:space="0" w:color="auto"/>
            </w:tcBorders>
            <w:vAlign w:val="center"/>
            <w:hideMark/>
          </w:tcPr>
          <w:p w14:paraId="1556EFBA" w14:textId="77777777" w:rsidR="00F15C9A" w:rsidRDefault="00F15C9A">
            <w:pPr>
              <w:spacing w:after="0"/>
              <w:jc w:val="left"/>
              <w:rPr>
                <w:rFonts w:ascii="Arial" w:eastAsia="Times New Roman" w:hAnsi="Arial" w:cs="Arial"/>
                <w:b/>
                <w:bCs/>
                <w:color w:val="000000"/>
                <w:sz w:val="18"/>
                <w:szCs w:val="18"/>
                <w:lang w:eastAsia="tr-TR"/>
              </w:rPr>
            </w:pPr>
          </w:p>
        </w:tc>
        <w:tc>
          <w:tcPr>
            <w:tcW w:w="7208" w:type="dxa"/>
            <w:gridSpan w:val="3"/>
            <w:vMerge/>
            <w:tcBorders>
              <w:top w:val="single" w:sz="8" w:space="0" w:color="auto"/>
              <w:left w:val="nil"/>
              <w:bottom w:val="single" w:sz="8" w:space="0" w:color="000000"/>
              <w:right w:val="single" w:sz="8" w:space="0" w:color="000000"/>
            </w:tcBorders>
            <w:vAlign w:val="center"/>
            <w:hideMark/>
          </w:tcPr>
          <w:p w14:paraId="43377DA6" w14:textId="77777777" w:rsidR="00F15C9A" w:rsidRDefault="00F15C9A">
            <w:pPr>
              <w:spacing w:after="0"/>
              <w:jc w:val="left"/>
              <w:rPr>
                <w:rFonts w:ascii="Arial" w:eastAsia="Times New Roman" w:hAnsi="Arial" w:cs="Arial"/>
                <w:b/>
                <w:bCs/>
                <w:color w:val="000000"/>
                <w:sz w:val="18"/>
                <w:szCs w:val="18"/>
                <w:lang w:eastAsia="tr-TR"/>
              </w:rPr>
            </w:pPr>
          </w:p>
        </w:tc>
        <w:tc>
          <w:tcPr>
            <w:tcW w:w="1559" w:type="dxa"/>
            <w:vMerge/>
            <w:tcBorders>
              <w:top w:val="single" w:sz="8" w:space="0" w:color="auto"/>
              <w:left w:val="single" w:sz="8" w:space="0" w:color="auto"/>
              <w:bottom w:val="single" w:sz="8" w:space="0" w:color="000000"/>
              <w:right w:val="single" w:sz="8" w:space="0" w:color="auto"/>
            </w:tcBorders>
            <w:vAlign w:val="center"/>
            <w:hideMark/>
          </w:tcPr>
          <w:p w14:paraId="42DC234B" w14:textId="77777777" w:rsidR="00F15C9A" w:rsidRDefault="00F15C9A">
            <w:pPr>
              <w:spacing w:after="0"/>
              <w:jc w:val="left"/>
              <w:rPr>
                <w:rFonts w:ascii="Arial" w:eastAsia="Times New Roman" w:hAnsi="Arial" w:cs="Arial"/>
                <w:b/>
                <w:bCs/>
                <w:color w:val="000000"/>
                <w:sz w:val="18"/>
                <w:szCs w:val="18"/>
                <w:lang w:eastAsia="tr-TR"/>
              </w:rPr>
            </w:pPr>
          </w:p>
        </w:tc>
        <w:tc>
          <w:tcPr>
            <w:tcW w:w="1701" w:type="dxa"/>
            <w:vMerge/>
            <w:tcBorders>
              <w:top w:val="single" w:sz="8" w:space="0" w:color="auto"/>
              <w:left w:val="single" w:sz="8" w:space="0" w:color="auto"/>
              <w:bottom w:val="single" w:sz="8" w:space="0" w:color="000000"/>
              <w:right w:val="single" w:sz="8" w:space="0" w:color="auto"/>
            </w:tcBorders>
            <w:vAlign w:val="center"/>
            <w:hideMark/>
          </w:tcPr>
          <w:p w14:paraId="1242D3DC" w14:textId="77777777" w:rsidR="00F15C9A" w:rsidRDefault="00F15C9A">
            <w:pPr>
              <w:spacing w:after="0"/>
              <w:jc w:val="left"/>
              <w:rPr>
                <w:rFonts w:ascii="Arial" w:eastAsia="Times New Roman" w:hAnsi="Arial" w:cs="Arial"/>
                <w:b/>
                <w:bCs/>
                <w:color w:val="000000"/>
                <w:sz w:val="18"/>
                <w:szCs w:val="18"/>
                <w:lang w:eastAsia="tr-TR"/>
              </w:rPr>
            </w:pPr>
          </w:p>
        </w:tc>
        <w:tc>
          <w:tcPr>
            <w:tcW w:w="1701" w:type="dxa"/>
            <w:vMerge/>
            <w:tcBorders>
              <w:top w:val="single" w:sz="8" w:space="0" w:color="auto"/>
              <w:left w:val="single" w:sz="8" w:space="0" w:color="auto"/>
              <w:bottom w:val="single" w:sz="8" w:space="0" w:color="000000"/>
              <w:right w:val="single" w:sz="8" w:space="0" w:color="auto"/>
            </w:tcBorders>
            <w:vAlign w:val="center"/>
            <w:hideMark/>
          </w:tcPr>
          <w:p w14:paraId="28C649B5" w14:textId="77777777" w:rsidR="00F15C9A" w:rsidRDefault="00F15C9A">
            <w:pPr>
              <w:spacing w:after="0"/>
              <w:jc w:val="left"/>
              <w:rPr>
                <w:rFonts w:ascii="Arial" w:eastAsia="Times New Roman" w:hAnsi="Arial" w:cs="Arial"/>
                <w:b/>
                <w:bCs/>
                <w:color w:val="000000"/>
                <w:sz w:val="18"/>
                <w:szCs w:val="18"/>
                <w:lang w:eastAsia="tr-TR"/>
              </w:rPr>
            </w:pPr>
          </w:p>
        </w:tc>
        <w:tc>
          <w:tcPr>
            <w:tcW w:w="6" w:type="dxa"/>
            <w:tcBorders>
              <w:top w:val="nil"/>
              <w:left w:val="nil"/>
              <w:bottom w:val="nil"/>
              <w:right w:val="nil"/>
            </w:tcBorders>
            <w:vAlign w:val="center"/>
            <w:hideMark/>
          </w:tcPr>
          <w:p w14:paraId="5A0673BA" w14:textId="77777777" w:rsidR="00F15C9A" w:rsidRDefault="00F15C9A">
            <w:pPr>
              <w:spacing w:after="0"/>
              <w:jc w:val="left"/>
              <w:rPr>
                <w:rFonts w:eastAsiaTheme="minorHAnsi" w:cstheme="minorBidi"/>
                <w:sz w:val="20"/>
                <w:szCs w:val="20"/>
                <w:lang w:eastAsia="tr-TR"/>
              </w:rPr>
            </w:pPr>
          </w:p>
        </w:tc>
      </w:tr>
    </w:tbl>
    <w:p w14:paraId="45EA3012" w14:textId="77777777" w:rsidR="00F15C9A" w:rsidRDefault="00F15C9A" w:rsidP="00F15C9A">
      <w:pPr>
        <w:jc w:val="center"/>
        <w:rPr>
          <w:b/>
          <w:sz w:val="18"/>
          <w:szCs w:val="18"/>
        </w:rPr>
      </w:pPr>
    </w:p>
    <w:p w14:paraId="4443072B" w14:textId="77777777" w:rsidR="00BE14D5" w:rsidRPr="002048A7" w:rsidRDefault="00BE14D5" w:rsidP="00BE14D5">
      <w:pPr>
        <w:pStyle w:val="ListeParagraf"/>
        <w:ind w:left="0"/>
        <w:rPr>
          <w:i/>
          <w:sz w:val="18"/>
          <w:szCs w:val="18"/>
        </w:rPr>
      </w:pPr>
      <w:r w:rsidRPr="002048A7">
        <w:rPr>
          <w:sz w:val="18"/>
          <w:szCs w:val="18"/>
        </w:rPr>
        <w:t>*</w:t>
      </w:r>
      <w:r w:rsidRPr="002048A7">
        <w:rPr>
          <w:i/>
          <w:sz w:val="18"/>
          <w:szCs w:val="18"/>
        </w:rPr>
        <w:t xml:space="preserve">Bu tablodaki Gelir-Gider tutarları ile Bütçe Uygulama Sonuçları kısmındaki Gelir-Gider tutarlarının farklı olmasının sebebi, Bütçe Uygulama Sonuçları kısmındaki tutarların tahsilat esaslı olmasıdır. </w:t>
      </w:r>
    </w:p>
    <w:tbl>
      <w:tblPr>
        <w:tblW w:w="10419" w:type="dxa"/>
        <w:tblCellMar>
          <w:left w:w="70" w:type="dxa"/>
          <w:right w:w="70" w:type="dxa"/>
        </w:tblCellMar>
        <w:tblLook w:val="04A0" w:firstRow="1" w:lastRow="0" w:firstColumn="1" w:lastColumn="0" w:noHBand="0" w:noVBand="1"/>
      </w:tblPr>
      <w:tblGrid>
        <w:gridCol w:w="181"/>
        <w:gridCol w:w="5538"/>
        <w:gridCol w:w="1560"/>
        <w:gridCol w:w="1560"/>
        <w:gridCol w:w="1580"/>
      </w:tblGrid>
      <w:tr w:rsidR="00BE14D5" w:rsidRPr="002048A7" w14:paraId="252A7969" w14:textId="77777777" w:rsidTr="00F15C9A">
        <w:trPr>
          <w:trHeight w:val="315"/>
        </w:trPr>
        <w:tc>
          <w:tcPr>
            <w:tcW w:w="5719"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5A76D449" w14:textId="77777777" w:rsidR="00BE14D5" w:rsidRPr="002048A7" w:rsidRDefault="00BE14D5" w:rsidP="00BE14D5">
            <w:pPr>
              <w:spacing w:after="0" w:line="240" w:lineRule="auto"/>
              <w:jc w:val="left"/>
              <w:rPr>
                <w:rFonts w:ascii="Arial" w:eastAsia="Times New Roman" w:hAnsi="Arial" w:cs="Arial"/>
                <w:b/>
                <w:bCs/>
                <w:color w:val="000000"/>
                <w:sz w:val="18"/>
                <w:szCs w:val="18"/>
                <w:u w:val="single"/>
                <w:lang w:eastAsia="tr-TR"/>
              </w:rPr>
            </w:pPr>
            <w:r w:rsidRPr="002048A7">
              <w:rPr>
                <w:rFonts w:ascii="Arial" w:eastAsia="Times New Roman" w:hAnsi="Arial" w:cs="Arial"/>
                <w:b/>
                <w:bCs/>
                <w:color w:val="000000"/>
                <w:sz w:val="18"/>
                <w:szCs w:val="18"/>
                <w:u w:val="single"/>
                <w:lang w:eastAsia="tr-TR"/>
              </w:rPr>
              <w:t>BİLANÇO DİPNOTLARI</w:t>
            </w:r>
          </w:p>
        </w:tc>
        <w:tc>
          <w:tcPr>
            <w:tcW w:w="1560" w:type="dxa"/>
            <w:tcBorders>
              <w:top w:val="single" w:sz="8" w:space="0" w:color="auto"/>
              <w:left w:val="nil"/>
              <w:bottom w:val="single" w:sz="8" w:space="0" w:color="auto"/>
              <w:right w:val="single" w:sz="8" w:space="0" w:color="auto"/>
            </w:tcBorders>
            <w:shd w:val="clear" w:color="auto" w:fill="auto"/>
            <w:noWrap/>
            <w:vAlign w:val="center"/>
            <w:hideMark/>
          </w:tcPr>
          <w:p w14:paraId="1BBAE24B" w14:textId="77777777" w:rsidR="00BE14D5" w:rsidRPr="002048A7" w:rsidRDefault="00BE14D5" w:rsidP="00BE14D5">
            <w:pPr>
              <w:spacing w:after="0" w:line="240" w:lineRule="auto"/>
              <w:jc w:val="center"/>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2021</w:t>
            </w:r>
          </w:p>
        </w:tc>
        <w:tc>
          <w:tcPr>
            <w:tcW w:w="1560" w:type="dxa"/>
            <w:tcBorders>
              <w:top w:val="single" w:sz="8" w:space="0" w:color="auto"/>
              <w:left w:val="nil"/>
              <w:bottom w:val="single" w:sz="8" w:space="0" w:color="auto"/>
              <w:right w:val="single" w:sz="8" w:space="0" w:color="auto"/>
            </w:tcBorders>
            <w:shd w:val="clear" w:color="auto" w:fill="auto"/>
            <w:noWrap/>
            <w:vAlign w:val="center"/>
            <w:hideMark/>
          </w:tcPr>
          <w:p w14:paraId="6B880EB1" w14:textId="77777777" w:rsidR="00BE14D5" w:rsidRPr="002048A7" w:rsidRDefault="00BE14D5" w:rsidP="00BE14D5">
            <w:pPr>
              <w:spacing w:after="0" w:line="240" w:lineRule="auto"/>
              <w:jc w:val="center"/>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2022</w:t>
            </w:r>
          </w:p>
        </w:tc>
        <w:tc>
          <w:tcPr>
            <w:tcW w:w="1580" w:type="dxa"/>
            <w:tcBorders>
              <w:top w:val="single" w:sz="8" w:space="0" w:color="auto"/>
              <w:left w:val="nil"/>
              <w:bottom w:val="single" w:sz="8" w:space="0" w:color="auto"/>
              <w:right w:val="single" w:sz="8" w:space="0" w:color="auto"/>
            </w:tcBorders>
            <w:shd w:val="clear" w:color="auto" w:fill="auto"/>
            <w:noWrap/>
            <w:vAlign w:val="center"/>
            <w:hideMark/>
          </w:tcPr>
          <w:p w14:paraId="5DA88606" w14:textId="77777777" w:rsidR="00BE14D5" w:rsidRPr="002048A7" w:rsidRDefault="00BE14D5" w:rsidP="00BE14D5">
            <w:pPr>
              <w:spacing w:after="0" w:line="240" w:lineRule="auto"/>
              <w:jc w:val="center"/>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202</w:t>
            </w:r>
            <w:r w:rsidR="00F15C9A">
              <w:rPr>
                <w:rFonts w:ascii="Arial" w:eastAsia="Times New Roman" w:hAnsi="Arial" w:cs="Arial"/>
                <w:b/>
                <w:bCs/>
                <w:color w:val="000000"/>
                <w:sz w:val="18"/>
                <w:szCs w:val="18"/>
                <w:lang w:eastAsia="tr-TR"/>
              </w:rPr>
              <w:t>4</w:t>
            </w:r>
          </w:p>
        </w:tc>
      </w:tr>
      <w:tr w:rsidR="00F15C9A" w:rsidRPr="002048A7" w14:paraId="7F46EE35" w14:textId="77777777" w:rsidTr="00F15C9A">
        <w:trPr>
          <w:trHeight w:val="300"/>
        </w:trPr>
        <w:tc>
          <w:tcPr>
            <w:tcW w:w="181" w:type="dxa"/>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14:paraId="698073D4" w14:textId="77777777" w:rsidR="00F15C9A" w:rsidRPr="002048A7" w:rsidRDefault="00F15C9A" w:rsidP="00F15C9A">
            <w:pPr>
              <w:spacing w:after="0" w:line="240" w:lineRule="auto"/>
              <w:jc w:val="center"/>
              <w:rPr>
                <w:rFonts w:ascii="Calibri" w:eastAsia="Times New Roman" w:hAnsi="Calibri" w:cs="Calibri"/>
                <w:color w:val="000000"/>
                <w:sz w:val="18"/>
                <w:szCs w:val="18"/>
                <w:lang w:eastAsia="tr-TR"/>
              </w:rPr>
            </w:pPr>
            <w:r w:rsidRPr="002048A7">
              <w:rPr>
                <w:rFonts w:ascii="Calibri" w:eastAsia="Times New Roman" w:hAnsi="Calibri" w:cs="Calibri"/>
                <w:color w:val="000000"/>
                <w:sz w:val="18"/>
                <w:szCs w:val="18"/>
                <w:lang w:eastAsia="tr-TR"/>
              </w:rPr>
              <w:t> </w:t>
            </w:r>
          </w:p>
        </w:tc>
        <w:tc>
          <w:tcPr>
            <w:tcW w:w="5538" w:type="dxa"/>
            <w:tcBorders>
              <w:top w:val="nil"/>
              <w:left w:val="nil"/>
              <w:bottom w:val="single" w:sz="8" w:space="0" w:color="auto"/>
              <w:right w:val="single" w:sz="8" w:space="0" w:color="auto"/>
            </w:tcBorders>
            <w:shd w:val="clear" w:color="auto" w:fill="auto"/>
            <w:noWrap/>
            <w:vAlign w:val="center"/>
            <w:hideMark/>
          </w:tcPr>
          <w:p w14:paraId="7FE87F2D" w14:textId="77777777" w:rsidR="00F15C9A" w:rsidRPr="002048A7" w:rsidRDefault="00F15C9A" w:rsidP="00F15C9A">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910-Alınan Teminat Mektupları Hesabı</w:t>
            </w:r>
          </w:p>
        </w:tc>
        <w:tc>
          <w:tcPr>
            <w:tcW w:w="1560" w:type="dxa"/>
            <w:tcBorders>
              <w:top w:val="nil"/>
              <w:left w:val="nil"/>
              <w:bottom w:val="single" w:sz="8" w:space="0" w:color="auto"/>
              <w:right w:val="single" w:sz="8" w:space="0" w:color="auto"/>
            </w:tcBorders>
            <w:shd w:val="clear" w:color="auto" w:fill="auto"/>
            <w:noWrap/>
            <w:vAlign w:val="center"/>
            <w:hideMark/>
          </w:tcPr>
          <w:p w14:paraId="1563E885" w14:textId="77777777" w:rsidR="00F15C9A" w:rsidRPr="002048A7" w:rsidRDefault="00F15C9A" w:rsidP="00F15C9A">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2.486.380.797,49</w:t>
            </w:r>
          </w:p>
        </w:tc>
        <w:tc>
          <w:tcPr>
            <w:tcW w:w="1560" w:type="dxa"/>
            <w:tcBorders>
              <w:top w:val="nil"/>
              <w:left w:val="nil"/>
              <w:bottom w:val="single" w:sz="8" w:space="0" w:color="auto"/>
              <w:right w:val="single" w:sz="8" w:space="0" w:color="auto"/>
            </w:tcBorders>
            <w:shd w:val="clear" w:color="auto" w:fill="auto"/>
            <w:noWrap/>
            <w:vAlign w:val="center"/>
            <w:hideMark/>
          </w:tcPr>
          <w:p w14:paraId="34DC03DE" w14:textId="77777777" w:rsidR="00F15C9A" w:rsidRPr="002048A7" w:rsidRDefault="00F15C9A" w:rsidP="00F15C9A">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3.815.662.154,91</w:t>
            </w:r>
          </w:p>
        </w:tc>
        <w:tc>
          <w:tcPr>
            <w:tcW w:w="1580" w:type="dxa"/>
            <w:tcBorders>
              <w:top w:val="nil"/>
              <w:left w:val="nil"/>
              <w:bottom w:val="single" w:sz="8" w:space="0" w:color="auto"/>
              <w:right w:val="single" w:sz="8" w:space="0" w:color="auto"/>
            </w:tcBorders>
            <w:shd w:val="clear" w:color="auto" w:fill="auto"/>
            <w:noWrap/>
            <w:vAlign w:val="center"/>
            <w:hideMark/>
          </w:tcPr>
          <w:p w14:paraId="778D3569" w14:textId="77777777" w:rsidR="00F15C9A" w:rsidRDefault="00F15C9A" w:rsidP="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5.283.575.336,41</w:t>
            </w:r>
          </w:p>
        </w:tc>
      </w:tr>
      <w:tr w:rsidR="00F15C9A" w:rsidRPr="002048A7" w14:paraId="037E912A" w14:textId="77777777" w:rsidTr="00F15C9A">
        <w:trPr>
          <w:trHeight w:val="285"/>
        </w:trPr>
        <w:tc>
          <w:tcPr>
            <w:tcW w:w="181" w:type="dxa"/>
            <w:vMerge/>
            <w:tcBorders>
              <w:top w:val="single" w:sz="8" w:space="0" w:color="auto"/>
              <w:left w:val="single" w:sz="8" w:space="0" w:color="auto"/>
              <w:bottom w:val="single" w:sz="8" w:space="0" w:color="000000"/>
              <w:right w:val="single" w:sz="8" w:space="0" w:color="000000"/>
            </w:tcBorders>
            <w:vAlign w:val="center"/>
            <w:hideMark/>
          </w:tcPr>
          <w:p w14:paraId="5F2D6B33" w14:textId="77777777" w:rsidR="00F15C9A" w:rsidRPr="002048A7" w:rsidRDefault="00F15C9A" w:rsidP="00F15C9A">
            <w:pPr>
              <w:spacing w:after="0" w:line="240" w:lineRule="auto"/>
              <w:jc w:val="left"/>
              <w:rPr>
                <w:rFonts w:ascii="Calibri" w:eastAsia="Times New Roman" w:hAnsi="Calibri" w:cs="Calibri"/>
                <w:color w:val="000000"/>
                <w:sz w:val="18"/>
                <w:szCs w:val="18"/>
                <w:lang w:eastAsia="tr-TR"/>
              </w:rPr>
            </w:pPr>
          </w:p>
        </w:tc>
        <w:tc>
          <w:tcPr>
            <w:tcW w:w="5538" w:type="dxa"/>
            <w:tcBorders>
              <w:top w:val="nil"/>
              <w:left w:val="nil"/>
              <w:bottom w:val="single" w:sz="8" w:space="0" w:color="auto"/>
              <w:right w:val="single" w:sz="8" w:space="0" w:color="auto"/>
            </w:tcBorders>
            <w:shd w:val="clear" w:color="auto" w:fill="auto"/>
            <w:noWrap/>
            <w:vAlign w:val="center"/>
            <w:hideMark/>
          </w:tcPr>
          <w:p w14:paraId="6C767EC8" w14:textId="77777777" w:rsidR="00F15C9A" w:rsidRPr="002048A7" w:rsidRDefault="00F15C9A" w:rsidP="00F15C9A">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18EAB725" w14:textId="77777777" w:rsidR="00F15C9A" w:rsidRPr="002048A7" w:rsidRDefault="00F15C9A" w:rsidP="00F15C9A">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7F80BCE9" w14:textId="77777777" w:rsidR="00F15C9A" w:rsidRPr="002048A7" w:rsidRDefault="00F15C9A" w:rsidP="00F15C9A">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580" w:type="dxa"/>
            <w:tcBorders>
              <w:top w:val="nil"/>
              <w:left w:val="nil"/>
              <w:bottom w:val="single" w:sz="8" w:space="0" w:color="auto"/>
              <w:right w:val="single" w:sz="8" w:space="0" w:color="auto"/>
            </w:tcBorders>
            <w:shd w:val="clear" w:color="auto" w:fill="auto"/>
            <w:noWrap/>
            <w:vAlign w:val="center"/>
            <w:hideMark/>
          </w:tcPr>
          <w:p w14:paraId="08DC38E0" w14:textId="77777777" w:rsidR="00F15C9A" w:rsidRDefault="00F15C9A" w:rsidP="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 </w:t>
            </w:r>
          </w:p>
        </w:tc>
      </w:tr>
      <w:tr w:rsidR="00F15C9A" w:rsidRPr="002048A7" w14:paraId="173E6171" w14:textId="77777777" w:rsidTr="00F15C9A">
        <w:trPr>
          <w:trHeight w:val="315"/>
        </w:trPr>
        <w:tc>
          <w:tcPr>
            <w:tcW w:w="181" w:type="dxa"/>
            <w:vMerge/>
            <w:tcBorders>
              <w:top w:val="single" w:sz="8" w:space="0" w:color="auto"/>
              <w:left w:val="single" w:sz="8" w:space="0" w:color="auto"/>
              <w:bottom w:val="single" w:sz="8" w:space="0" w:color="000000"/>
              <w:right w:val="single" w:sz="8" w:space="0" w:color="000000"/>
            </w:tcBorders>
            <w:vAlign w:val="center"/>
            <w:hideMark/>
          </w:tcPr>
          <w:p w14:paraId="2993BD0B" w14:textId="77777777" w:rsidR="00F15C9A" w:rsidRPr="002048A7" w:rsidRDefault="00F15C9A" w:rsidP="00F15C9A">
            <w:pPr>
              <w:spacing w:after="0" w:line="240" w:lineRule="auto"/>
              <w:jc w:val="left"/>
              <w:rPr>
                <w:rFonts w:ascii="Calibri" w:eastAsia="Times New Roman" w:hAnsi="Calibri" w:cs="Calibri"/>
                <w:color w:val="000000"/>
                <w:sz w:val="18"/>
                <w:szCs w:val="18"/>
                <w:lang w:eastAsia="tr-TR"/>
              </w:rPr>
            </w:pPr>
          </w:p>
        </w:tc>
        <w:tc>
          <w:tcPr>
            <w:tcW w:w="5538" w:type="dxa"/>
            <w:tcBorders>
              <w:top w:val="nil"/>
              <w:left w:val="nil"/>
              <w:bottom w:val="single" w:sz="8" w:space="0" w:color="auto"/>
              <w:right w:val="single" w:sz="8" w:space="0" w:color="auto"/>
            </w:tcBorders>
            <w:shd w:val="clear" w:color="auto" w:fill="auto"/>
            <w:noWrap/>
            <w:vAlign w:val="center"/>
            <w:hideMark/>
          </w:tcPr>
          <w:p w14:paraId="23C81F19" w14:textId="77777777" w:rsidR="00F15C9A" w:rsidRPr="002048A7" w:rsidRDefault="00F15C9A" w:rsidP="00F15C9A">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911-Alınan Teminat Mektupları Emanetleri Hesabı</w:t>
            </w:r>
          </w:p>
        </w:tc>
        <w:tc>
          <w:tcPr>
            <w:tcW w:w="1560" w:type="dxa"/>
            <w:tcBorders>
              <w:top w:val="nil"/>
              <w:left w:val="nil"/>
              <w:bottom w:val="nil"/>
              <w:right w:val="nil"/>
            </w:tcBorders>
            <w:shd w:val="clear" w:color="auto" w:fill="auto"/>
            <w:noWrap/>
            <w:vAlign w:val="center"/>
            <w:hideMark/>
          </w:tcPr>
          <w:p w14:paraId="4F5DBC3A" w14:textId="77777777" w:rsidR="00F15C9A" w:rsidRPr="002048A7" w:rsidRDefault="00F15C9A" w:rsidP="00F15C9A">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2.486.380.797,49</w:t>
            </w:r>
          </w:p>
        </w:tc>
        <w:tc>
          <w:tcPr>
            <w:tcW w:w="1560" w:type="dxa"/>
            <w:tcBorders>
              <w:top w:val="nil"/>
              <w:left w:val="single" w:sz="8" w:space="0" w:color="auto"/>
              <w:bottom w:val="single" w:sz="8" w:space="0" w:color="auto"/>
              <w:right w:val="single" w:sz="8" w:space="0" w:color="auto"/>
            </w:tcBorders>
            <w:shd w:val="clear" w:color="auto" w:fill="auto"/>
            <w:noWrap/>
            <w:vAlign w:val="center"/>
            <w:hideMark/>
          </w:tcPr>
          <w:p w14:paraId="5A0AD51C" w14:textId="77777777" w:rsidR="00F15C9A" w:rsidRPr="002048A7" w:rsidRDefault="00F15C9A" w:rsidP="00F15C9A">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3.815.662.154,91</w:t>
            </w:r>
          </w:p>
        </w:tc>
        <w:tc>
          <w:tcPr>
            <w:tcW w:w="1580" w:type="dxa"/>
            <w:tcBorders>
              <w:top w:val="nil"/>
              <w:left w:val="nil"/>
              <w:bottom w:val="single" w:sz="8" w:space="0" w:color="auto"/>
              <w:right w:val="single" w:sz="8" w:space="0" w:color="auto"/>
            </w:tcBorders>
            <w:shd w:val="clear" w:color="auto" w:fill="auto"/>
            <w:noWrap/>
            <w:vAlign w:val="center"/>
            <w:hideMark/>
          </w:tcPr>
          <w:p w14:paraId="6C9E7D6B" w14:textId="77777777" w:rsidR="00F15C9A" w:rsidRDefault="00F15C9A" w:rsidP="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5.283.575.336,41</w:t>
            </w:r>
          </w:p>
        </w:tc>
      </w:tr>
      <w:tr w:rsidR="00F15C9A" w:rsidRPr="002048A7" w14:paraId="21E23CB8" w14:textId="77777777" w:rsidTr="00F15C9A">
        <w:trPr>
          <w:trHeight w:val="315"/>
        </w:trPr>
        <w:tc>
          <w:tcPr>
            <w:tcW w:w="181" w:type="dxa"/>
            <w:vMerge/>
            <w:tcBorders>
              <w:top w:val="single" w:sz="8" w:space="0" w:color="auto"/>
              <w:left w:val="single" w:sz="8" w:space="0" w:color="auto"/>
              <w:bottom w:val="single" w:sz="8" w:space="0" w:color="000000"/>
              <w:right w:val="single" w:sz="8" w:space="0" w:color="000000"/>
            </w:tcBorders>
            <w:vAlign w:val="center"/>
            <w:hideMark/>
          </w:tcPr>
          <w:p w14:paraId="4F2CF15C" w14:textId="77777777" w:rsidR="00F15C9A" w:rsidRPr="002048A7" w:rsidRDefault="00F15C9A" w:rsidP="00F15C9A">
            <w:pPr>
              <w:spacing w:after="0" w:line="240" w:lineRule="auto"/>
              <w:jc w:val="left"/>
              <w:rPr>
                <w:rFonts w:ascii="Calibri" w:eastAsia="Times New Roman" w:hAnsi="Calibri" w:cs="Calibri"/>
                <w:color w:val="000000"/>
                <w:sz w:val="18"/>
                <w:szCs w:val="18"/>
                <w:lang w:eastAsia="tr-TR"/>
              </w:rPr>
            </w:pPr>
          </w:p>
        </w:tc>
        <w:tc>
          <w:tcPr>
            <w:tcW w:w="5538" w:type="dxa"/>
            <w:tcBorders>
              <w:top w:val="nil"/>
              <w:left w:val="nil"/>
              <w:bottom w:val="single" w:sz="8" w:space="0" w:color="auto"/>
              <w:right w:val="single" w:sz="8" w:space="0" w:color="auto"/>
            </w:tcBorders>
            <w:shd w:val="clear" w:color="auto" w:fill="auto"/>
            <w:noWrap/>
            <w:vAlign w:val="center"/>
            <w:hideMark/>
          </w:tcPr>
          <w:p w14:paraId="0A3430F0" w14:textId="77777777" w:rsidR="00F15C9A" w:rsidRPr="002048A7" w:rsidRDefault="00F15C9A" w:rsidP="00F15C9A">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560" w:type="dxa"/>
            <w:tcBorders>
              <w:top w:val="single" w:sz="8" w:space="0" w:color="auto"/>
              <w:left w:val="nil"/>
              <w:bottom w:val="single" w:sz="8" w:space="0" w:color="auto"/>
              <w:right w:val="single" w:sz="8" w:space="0" w:color="auto"/>
            </w:tcBorders>
            <w:shd w:val="clear" w:color="auto" w:fill="auto"/>
            <w:noWrap/>
            <w:vAlign w:val="center"/>
            <w:hideMark/>
          </w:tcPr>
          <w:p w14:paraId="0F462ADA" w14:textId="77777777" w:rsidR="00F15C9A" w:rsidRPr="002048A7" w:rsidRDefault="00F15C9A" w:rsidP="00F15C9A">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11E6A180" w14:textId="77777777" w:rsidR="00F15C9A" w:rsidRPr="002048A7" w:rsidRDefault="00F15C9A" w:rsidP="00F15C9A">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580" w:type="dxa"/>
            <w:tcBorders>
              <w:top w:val="nil"/>
              <w:left w:val="nil"/>
              <w:bottom w:val="single" w:sz="8" w:space="0" w:color="auto"/>
              <w:right w:val="single" w:sz="8" w:space="0" w:color="auto"/>
            </w:tcBorders>
            <w:shd w:val="clear" w:color="auto" w:fill="auto"/>
            <w:noWrap/>
            <w:vAlign w:val="center"/>
            <w:hideMark/>
          </w:tcPr>
          <w:p w14:paraId="57CE56BC" w14:textId="77777777" w:rsidR="00F15C9A" w:rsidRDefault="00F15C9A" w:rsidP="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 </w:t>
            </w:r>
          </w:p>
        </w:tc>
      </w:tr>
      <w:tr w:rsidR="00F15C9A" w:rsidRPr="002048A7" w14:paraId="0A0970C8" w14:textId="77777777" w:rsidTr="00F15C9A">
        <w:trPr>
          <w:trHeight w:val="315"/>
        </w:trPr>
        <w:tc>
          <w:tcPr>
            <w:tcW w:w="181" w:type="dxa"/>
            <w:vMerge/>
            <w:tcBorders>
              <w:top w:val="single" w:sz="8" w:space="0" w:color="auto"/>
              <w:left w:val="single" w:sz="8" w:space="0" w:color="auto"/>
              <w:bottom w:val="single" w:sz="8" w:space="0" w:color="000000"/>
              <w:right w:val="single" w:sz="8" w:space="0" w:color="000000"/>
            </w:tcBorders>
            <w:vAlign w:val="center"/>
            <w:hideMark/>
          </w:tcPr>
          <w:p w14:paraId="7F403130" w14:textId="77777777" w:rsidR="00F15C9A" w:rsidRPr="002048A7" w:rsidRDefault="00F15C9A" w:rsidP="00F15C9A">
            <w:pPr>
              <w:spacing w:after="0" w:line="240" w:lineRule="auto"/>
              <w:jc w:val="left"/>
              <w:rPr>
                <w:rFonts w:ascii="Calibri" w:eastAsia="Times New Roman" w:hAnsi="Calibri" w:cs="Calibri"/>
                <w:color w:val="000000"/>
                <w:sz w:val="18"/>
                <w:szCs w:val="18"/>
                <w:lang w:eastAsia="tr-TR"/>
              </w:rPr>
            </w:pPr>
          </w:p>
        </w:tc>
        <w:tc>
          <w:tcPr>
            <w:tcW w:w="5538" w:type="dxa"/>
            <w:tcBorders>
              <w:top w:val="nil"/>
              <w:left w:val="nil"/>
              <w:bottom w:val="single" w:sz="8" w:space="0" w:color="auto"/>
              <w:right w:val="single" w:sz="8" w:space="0" w:color="auto"/>
            </w:tcBorders>
            <w:shd w:val="clear" w:color="auto" w:fill="auto"/>
            <w:noWrap/>
            <w:vAlign w:val="center"/>
            <w:hideMark/>
          </w:tcPr>
          <w:p w14:paraId="5CABF02D" w14:textId="77777777" w:rsidR="00F15C9A" w:rsidRPr="002048A7" w:rsidRDefault="00F15C9A" w:rsidP="00F15C9A">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920-Gider Taahhütleri Hesabı</w:t>
            </w:r>
          </w:p>
        </w:tc>
        <w:tc>
          <w:tcPr>
            <w:tcW w:w="1560" w:type="dxa"/>
            <w:tcBorders>
              <w:top w:val="nil"/>
              <w:left w:val="nil"/>
              <w:bottom w:val="single" w:sz="8" w:space="0" w:color="auto"/>
              <w:right w:val="single" w:sz="8" w:space="0" w:color="auto"/>
            </w:tcBorders>
            <w:shd w:val="clear" w:color="auto" w:fill="auto"/>
            <w:noWrap/>
            <w:vAlign w:val="center"/>
            <w:hideMark/>
          </w:tcPr>
          <w:p w14:paraId="4B29E45C" w14:textId="77777777" w:rsidR="00F15C9A" w:rsidRPr="002048A7" w:rsidRDefault="00F15C9A" w:rsidP="00F15C9A">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0,00</w:t>
            </w:r>
          </w:p>
        </w:tc>
        <w:tc>
          <w:tcPr>
            <w:tcW w:w="1560" w:type="dxa"/>
            <w:tcBorders>
              <w:top w:val="nil"/>
              <w:left w:val="nil"/>
              <w:bottom w:val="single" w:sz="8" w:space="0" w:color="auto"/>
              <w:right w:val="single" w:sz="8" w:space="0" w:color="auto"/>
            </w:tcBorders>
            <w:shd w:val="clear" w:color="auto" w:fill="auto"/>
            <w:noWrap/>
            <w:vAlign w:val="center"/>
            <w:hideMark/>
          </w:tcPr>
          <w:p w14:paraId="212A7A7C" w14:textId="77777777" w:rsidR="00F15C9A" w:rsidRPr="002048A7" w:rsidRDefault="00F15C9A" w:rsidP="00F15C9A">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11.896.270,94</w:t>
            </w:r>
          </w:p>
        </w:tc>
        <w:tc>
          <w:tcPr>
            <w:tcW w:w="1580" w:type="dxa"/>
            <w:tcBorders>
              <w:top w:val="nil"/>
              <w:left w:val="nil"/>
              <w:bottom w:val="single" w:sz="8" w:space="0" w:color="auto"/>
              <w:right w:val="single" w:sz="8" w:space="0" w:color="auto"/>
            </w:tcBorders>
            <w:shd w:val="clear" w:color="auto" w:fill="auto"/>
            <w:noWrap/>
            <w:vAlign w:val="center"/>
            <w:hideMark/>
          </w:tcPr>
          <w:p w14:paraId="75A9B173" w14:textId="77777777" w:rsidR="00F15C9A" w:rsidRDefault="00F15C9A" w:rsidP="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4.504.992,34</w:t>
            </w:r>
          </w:p>
        </w:tc>
      </w:tr>
      <w:tr w:rsidR="00F15C9A" w:rsidRPr="002048A7" w14:paraId="4945E6F1" w14:textId="77777777" w:rsidTr="00F15C9A">
        <w:trPr>
          <w:trHeight w:val="315"/>
        </w:trPr>
        <w:tc>
          <w:tcPr>
            <w:tcW w:w="181" w:type="dxa"/>
            <w:vMerge/>
            <w:tcBorders>
              <w:top w:val="single" w:sz="8" w:space="0" w:color="auto"/>
              <w:left w:val="single" w:sz="8" w:space="0" w:color="auto"/>
              <w:bottom w:val="single" w:sz="8" w:space="0" w:color="000000"/>
              <w:right w:val="single" w:sz="8" w:space="0" w:color="000000"/>
            </w:tcBorders>
            <w:vAlign w:val="center"/>
            <w:hideMark/>
          </w:tcPr>
          <w:p w14:paraId="273860A1" w14:textId="77777777" w:rsidR="00F15C9A" w:rsidRPr="002048A7" w:rsidRDefault="00F15C9A" w:rsidP="00F15C9A">
            <w:pPr>
              <w:spacing w:after="0" w:line="240" w:lineRule="auto"/>
              <w:jc w:val="left"/>
              <w:rPr>
                <w:rFonts w:ascii="Calibri" w:eastAsia="Times New Roman" w:hAnsi="Calibri" w:cs="Calibri"/>
                <w:color w:val="000000"/>
                <w:sz w:val="18"/>
                <w:szCs w:val="18"/>
                <w:lang w:eastAsia="tr-TR"/>
              </w:rPr>
            </w:pPr>
          </w:p>
        </w:tc>
        <w:tc>
          <w:tcPr>
            <w:tcW w:w="5538" w:type="dxa"/>
            <w:tcBorders>
              <w:top w:val="nil"/>
              <w:left w:val="nil"/>
              <w:bottom w:val="single" w:sz="8" w:space="0" w:color="auto"/>
              <w:right w:val="single" w:sz="8" w:space="0" w:color="auto"/>
            </w:tcBorders>
            <w:shd w:val="clear" w:color="auto" w:fill="auto"/>
            <w:noWrap/>
            <w:vAlign w:val="center"/>
            <w:hideMark/>
          </w:tcPr>
          <w:p w14:paraId="38DFCE44" w14:textId="77777777" w:rsidR="00F15C9A" w:rsidRPr="002048A7" w:rsidRDefault="00F15C9A" w:rsidP="00F15C9A">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7CF8CF01" w14:textId="77777777" w:rsidR="00F15C9A" w:rsidRPr="002048A7" w:rsidRDefault="00F15C9A" w:rsidP="00F15C9A">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702A646D" w14:textId="77777777" w:rsidR="00F15C9A" w:rsidRPr="002048A7" w:rsidRDefault="00F15C9A" w:rsidP="00F15C9A">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580" w:type="dxa"/>
            <w:tcBorders>
              <w:top w:val="nil"/>
              <w:left w:val="nil"/>
              <w:bottom w:val="single" w:sz="8" w:space="0" w:color="auto"/>
              <w:right w:val="single" w:sz="8" w:space="0" w:color="auto"/>
            </w:tcBorders>
            <w:shd w:val="clear" w:color="auto" w:fill="auto"/>
            <w:noWrap/>
            <w:vAlign w:val="center"/>
            <w:hideMark/>
          </w:tcPr>
          <w:p w14:paraId="255BAE99" w14:textId="77777777" w:rsidR="00F15C9A" w:rsidRDefault="00F15C9A" w:rsidP="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 </w:t>
            </w:r>
          </w:p>
        </w:tc>
      </w:tr>
      <w:tr w:rsidR="00F15C9A" w:rsidRPr="002048A7" w14:paraId="2E5B5975" w14:textId="77777777" w:rsidTr="00F15C9A">
        <w:trPr>
          <w:trHeight w:val="315"/>
        </w:trPr>
        <w:tc>
          <w:tcPr>
            <w:tcW w:w="181" w:type="dxa"/>
            <w:vMerge/>
            <w:tcBorders>
              <w:top w:val="single" w:sz="8" w:space="0" w:color="auto"/>
              <w:left w:val="single" w:sz="8" w:space="0" w:color="auto"/>
              <w:bottom w:val="single" w:sz="8" w:space="0" w:color="000000"/>
              <w:right w:val="single" w:sz="8" w:space="0" w:color="000000"/>
            </w:tcBorders>
            <w:vAlign w:val="center"/>
            <w:hideMark/>
          </w:tcPr>
          <w:p w14:paraId="19B990B5" w14:textId="77777777" w:rsidR="00F15C9A" w:rsidRPr="002048A7" w:rsidRDefault="00F15C9A" w:rsidP="00F15C9A">
            <w:pPr>
              <w:spacing w:after="0" w:line="240" w:lineRule="auto"/>
              <w:jc w:val="left"/>
              <w:rPr>
                <w:rFonts w:ascii="Calibri" w:eastAsia="Times New Roman" w:hAnsi="Calibri" w:cs="Calibri"/>
                <w:color w:val="000000"/>
                <w:sz w:val="18"/>
                <w:szCs w:val="18"/>
                <w:lang w:eastAsia="tr-TR"/>
              </w:rPr>
            </w:pPr>
          </w:p>
        </w:tc>
        <w:tc>
          <w:tcPr>
            <w:tcW w:w="5538" w:type="dxa"/>
            <w:tcBorders>
              <w:top w:val="nil"/>
              <w:left w:val="nil"/>
              <w:bottom w:val="single" w:sz="8" w:space="0" w:color="auto"/>
              <w:right w:val="single" w:sz="8" w:space="0" w:color="auto"/>
            </w:tcBorders>
            <w:shd w:val="clear" w:color="auto" w:fill="auto"/>
            <w:noWrap/>
            <w:vAlign w:val="center"/>
            <w:hideMark/>
          </w:tcPr>
          <w:p w14:paraId="7EF12B78" w14:textId="77777777" w:rsidR="00F15C9A" w:rsidRPr="002048A7" w:rsidRDefault="00F15C9A" w:rsidP="00F15C9A">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921-</w:t>
            </w:r>
            <w:r w:rsidRPr="002048A7">
              <w:rPr>
                <w:rFonts w:ascii="Calibri" w:eastAsia="Times New Roman" w:hAnsi="Calibri" w:cs="Calibri"/>
                <w:color w:val="000000"/>
                <w:sz w:val="18"/>
                <w:szCs w:val="18"/>
                <w:lang w:eastAsia="tr-TR"/>
              </w:rPr>
              <w:t xml:space="preserve"> </w:t>
            </w:r>
            <w:r w:rsidRPr="002048A7">
              <w:rPr>
                <w:rFonts w:ascii="Arial" w:eastAsia="Times New Roman" w:hAnsi="Arial" w:cs="Arial"/>
                <w:color w:val="000000"/>
                <w:sz w:val="18"/>
                <w:szCs w:val="18"/>
                <w:lang w:eastAsia="tr-TR"/>
              </w:rPr>
              <w:t>Gider Taahhütleri Karşılığı Hesabı</w:t>
            </w:r>
          </w:p>
        </w:tc>
        <w:tc>
          <w:tcPr>
            <w:tcW w:w="1560" w:type="dxa"/>
            <w:tcBorders>
              <w:top w:val="nil"/>
              <w:left w:val="nil"/>
              <w:bottom w:val="single" w:sz="8" w:space="0" w:color="auto"/>
              <w:right w:val="single" w:sz="8" w:space="0" w:color="auto"/>
            </w:tcBorders>
            <w:shd w:val="clear" w:color="auto" w:fill="auto"/>
            <w:noWrap/>
            <w:vAlign w:val="center"/>
            <w:hideMark/>
          </w:tcPr>
          <w:p w14:paraId="051D91E2" w14:textId="77777777" w:rsidR="00F15C9A" w:rsidRPr="002048A7" w:rsidRDefault="00F15C9A" w:rsidP="00F15C9A">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0,00</w:t>
            </w:r>
          </w:p>
        </w:tc>
        <w:tc>
          <w:tcPr>
            <w:tcW w:w="1560" w:type="dxa"/>
            <w:tcBorders>
              <w:top w:val="nil"/>
              <w:left w:val="nil"/>
              <w:bottom w:val="single" w:sz="8" w:space="0" w:color="auto"/>
              <w:right w:val="single" w:sz="8" w:space="0" w:color="auto"/>
            </w:tcBorders>
            <w:shd w:val="clear" w:color="auto" w:fill="auto"/>
            <w:noWrap/>
            <w:vAlign w:val="center"/>
            <w:hideMark/>
          </w:tcPr>
          <w:p w14:paraId="5A72452B" w14:textId="77777777" w:rsidR="00F15C9A" w:rsidRPr="002048A7" w:rsidRDefault="00F15C9A" w:rsidP="00F15C9A">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11.896.270,94</w:t>
            </w:r>
          </w:p>
        </w:tc>
        <w:tc>
          <w:tcPr>
            <w:tcW w:w="1580" w:type="dxa"/>
            <w:tcBorders>
              <w:top w:val="nil"/>
              <w:left w:val="nil"/>
              <w:bottom w:val="single" w:sz="8" w:space="0" w:color="auto"/>
              <w:right w:val="single" w:sz="8" w:space="0" w:color="auto"/>
            </w:tcBorders>
            <w:shd w:val="clear" w:color="auto" w:fill="auto"/>
            <w:noWrap/>
            <w:vAlign w:val="center"/>
            <w:hideMark/>
          </w:tcPr>
          <w:p w14:paraId="6CD47A0E" w14:textId="77777777" w:rsidR="00F15C9A" w:rsidRDefault="00F15C9A" w:rsidP="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4.504.992,34</w:t>
            </w:r>
          </w:p>
        </w:tc>
      </w:tr>
      <w:tr w:rsidR="00F15C9A" w:rsidRPr="002048A7" w14:paraId="29B42EC6" w14:textId="77777777" w:rsidTr="00F15C9A">
        <w:trPr>
          <w:trHeight w:val="315"/>
        </w:trPr>
        <w:tc>
          <w:tcPr>
            <w:tcW w:w="181" w:type="dxa"/>
            <w:vMerge/>
            <w:tcBorders>
              <w:top w:val="single" w:sz="8" w:space="0" w:color="auto"/>
              <w:left w:val="single" w:sz="8" w:space="0" w:color="auto"/>
              <w:bottom w:val="single" w:sz="8" w:space="0" w:color="000000"/>
              <w:right w:val="single" w:sz="8" w:space="0" w:color="000000"/>
            </w:tcBorders>
            <w:vAlign w:val="center"/>
            <w:hideMark/>
          </w:tcPr>
          <w:p w14:paraId="0183A66A" w14:textId="77777777" w:rsidR="00F15C9A" w:rsidRPr="002048A7" w:rsidRDefault="00F15C9A" w:rsidP="00F15C9A">
            <w:pPr>
              <w:spacing w:after="0" w:line="240" w:lineRule="auto"/>
              <w:jc w:val="left"/>
              <w:rPr>
                <w:rFonts w:ascii="Calibri" w:eastAsia="Times New Roman" w:hAnsi="Calibri" w:cs="Calibri"/>
                <w:color w:val="000000"/>
                <w:sz w:val="18"/>
                <w:szCs w:val="18"/>
                <w:lang w:eastAsia="tr-TR"/>
              </w:rPr>
            </w:pPr>
          </w:p>
        </w:tc>
        <w:tc>
          <w:tcPr>
            <w:tcW w:w="5538" w:type="dxa"/>
            <w:tcBorders>
              <w:top w:val="nil"/>
              <w:left w:val="nil"/>
              <w:bottom w:val="single" w:sz="8" w:space="0" w:color="auto"/>
              <w:right w:val="single" w:sz="8" w:space="0" w:color="auto"/>
            </w:tcBorders>
            <w:shd w:val="clear" w:color="auto" w:fill="auto"/>
            <w:noWrap/>
            <w:vAlign w:val="center"/>
            <w:hideMark/>
          </w:tcPr>
          <w:p w14:paraId="3293D9DF" w14:textId="77777777" w:rsidR="00F15C9A" w:rsidRPr="002048A7" w:rsidRDefault="00F15C9A" w:rsidP="00F15C9A">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6D19FDAD" w14:textId="77777777" w:rsidR="00F15C9A" w:rsidRPr="002048A7" w:rsidRDefault="00F15C9A" w:rsidP="00F15C9A">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1925CDFF" w14:textId="77777777" w:rsidR="00F15C9A" w:rsidRPr="002048A7" w:rsidRDefault="00F15C9A" w:rsidP="00F15C9A">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580" w:type="dxa"/>
            <w:tcBorders>
              <w:top w:val="nil"/>
              <w:left w:val="nil"/>
              <w:bottom w:val="single" w:sz="8" w:space="0" w:color="auto"/>
              <w:right w:val="single" w:sz="8" w:space="0" w:color="auto"/>
            </w:tcBorders>
            <w:shd w:val="clear" w:color="auto" w:fill="auto"/>
            <w:noWrap/>
            <w:vAlign w:val="center"/>
            <w:hideMark/>
          </w:tcPr>
          <w:p w14:paraId="5A5C8055" w14:textId="77777777" w:rsidR="00F15C9A" w:rsidRDefault="00F15C9A" w:rsidP="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 </w:t>
            </w:r>
          </w:p>
        </w:tc>
      </w:tr>
      <w:tr w:rsidR="00F15C9A" w:rsidRPr="002048A7" w14:paraId="3B90FB11" w14:textId="77777777" w:rsidTr="00F15C9A">
        <w:trPr>
          <w:trHeight w:val="315"/>
        </w:trPr>
        <w:tc>
          <w:tcPr>
            <w:tcW w:w="181" w:type="dxa"/>
            <w:vMerge/>
            <w:tcBorders>
              <w:top w:val="single" w:sz="8" w:space="0" w:color="auto"/>
              <w:left w:val="single" w:sz="8" w:space="0" w:color="auto"/>
              <w:bottom w:val="single" w:sz="8" w:space="0" w:color="000000"/>
              <w:right w:val="single" w:sz="8" w:space="0" w:color="000000"/>
            </w:tcBorders>
            <w:vAlign w:val="center"/>
            <w:hideMark/>
          </w:tcPr>
          <w:p w14:paraId="00731902" w14:textId="77777777" w:rsidR="00F15C9A" w:rsidRPr="002048A7" w:rsidRDefault="00F15C9A" w:rsidP="00F15C9A">
            <w:pPr>
              <w:spacing w:after="0" w:line="240" w:lineRule="auto"/>
              <w:jc w:val="left"/>
              <w:rPr>
                <w:rFonts w:ascii="Calibri" w:eastAsia="Times New Roman" w:hAnsi="Calibri" w:cs="Calibri"/>
                <w:color w:val="000000"/>
                <w:sz w:val="18"/>
                <w:szCs w:val="18"/>
                <w:lang w:eastAsia="tr-TR"/>
              </w:rPr>
            </w:pPr>
          </w:p>
        </w:tc>
        <w:tc>
          <w:tcPr>
            <w:tcW w:w="5538" w:type="dxa"/>
            <w:tcBorders>
              <w:top w:val="nil"/>
              <w:left w:val="nil"/>
              <w:bottom w:val="single" w:sz="8" w:space="0" w:color="auto"/>
              <w:right w:val="single" w:sz="8" w:space="0" w:color="auto"/>
            </w:tcBorders>
            <w:shd w:val="clear" w:color="auto" w:fill="auto"/>
            <w:noWrap/>
            <w:vAlign w:val="center"/>
            <w:hideMark/>
          </w:tcPr>
          <w:p w14:paraId="5A93023F" w14:textId="77777777" w:rsidR="00F15C9A" w:rsidRPr="002048A7" w:rsidRDefault="00F15C9A" w:rsidP="00F15C9A">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948-Başka Birimler Adına İzlenen Alacaklar Hesabı</w:t>
            </w:r>
          </w:p>
        </w:tc>
        <w:tc>
          <w:tcPr>
            <w:tcW w:w="1560" w:type="dxa"/>
            <w:tcBorders>
              <w:top w:val="nil"/>
              <w:left w:val="nil"/>
              <w:bottom w:val="single" w:sz="8" w:space="0" w:color="auto"/>
              <w:right w:val="single" w:sz="8" w:space="0" w:color="auto"/>
            </w:tcBorders>
            <w:shd w:val="clear" w:color="auto" w:fill="auto"/>
            <w:noWrap/>
            <w:vAlign w:val="center"/>
            <w:hideMark/>
          </w:tcPr>
          <w:p w14:paraId="54C9FE48" w14:textId="77777777" w:rsidR="00F15C9A" w:rsidRPr="002048A7" w:rsidRDefault="00F15C9A" w:rsidP="00F15C9A">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457.633,28</w:t>
            </w:r>
          </w:p>
        </w:tc>
        <w:tc>
          <w:tcPr>
            <w:tcW w:w="1560" w:type="dxa"/>
            <w:tcBorders>
              <w:top w:val="nil"/>
              <w:left w:val="nil"/>
              <w:bottom w:val="single" w:sz="8" w:space="0" w:color="auto"/>
              <w:right w:val="single" w:sz="8" w:space="0" w:color="auto"/>
            </w:tcBorders>
            <w:shd w:val="clear" w:color="auto" w:fill="auto"/>
            <w:noWrap/>
            <w:vAlign w:val="center"/>
            <w:hideMark/>
          </w:tcPr>
          <w:p w14:paraId="642CFBD4" w14:textId="77777777" w:rsidR="00F15C9A" w:rsidRPr="002048A7" w:rsidRDefault="00F15C9A" w:rsidP="00F15C9A">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489.147,33</w:t>
            </w:r>
          </w:p>
        </w:tc>
        <w:tc>
          <w:tcPr>
            <w:tcW w:w="1580" w:type="dxa"/>
            <w:tcBorders>
              <w:top w:val="nil"/>
              <w:left w:val="nil"/>
              <w:bottom w:val="single" w:sz="8" w:space="0" w:color="auto"/>
              <w:right w:val="single" w:sz="8" w:space="0" w:color="auto"/>
            </w:tcBorders>
            <w:shd w:val="clear" w:color="auto" w:fill="auto"/>
            <w:noWrap/>
            <w:vAlign w:val="center"/>
            <w:hideMark/>
          </w:tcPr>
          <w:p w14:paraId="2CC5CE88" w14:textId="77777777" w:rsidR="00F15C9A" w:rsidRDefault="00F15C9A" w:rsidP="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1.308.008,30</w:t>
            </w:r>
          </w:p>
        </w:tc>
      </w:tr>
      <w:tr w:rsidR="00F15C9A" w:rsidRPr="002048A7" w14:paraId="34BDB9AE" w14:textId="77777777" w:rsidTr="00F15C9A">
        <w:trPr>
          <w:trHeight w:val="315"/>
        </w:trPr>
        <w:tc>
          <w:tcPr>
            <w:tcW w:w="181" w:type="dxa"/>
            <w:vMerge/>
            <w:tcBorders>
              <w:top w:val="single" w:sz="8" w:space="0" w:color="auto"/>
              <w:left w:val="single" w:sz="8" w:space="0" w:color="auto"/>
              <w:bottom w:val="single" w:sz="8" w:space="0" w:color="000000"/>
              <w:right w:val="single" w:sz="8" w:space="0" w:color="000000"/>
            </w:tcBorders>
            <w:vAlign w:val="center"/>
            <w:hideMark/>
          </w:tcPr>
          <w:p w14:paraId="43FC95D7" w14:textId="77777777" w:rsidR="00F15C9A" w:rsidRPr="002048A7" w:rsidRDefault="00F15C9A" w:rsidP="00F15C9A">
            <w:pPr>
              <w:spacing w:after="0" w:line="240" w:lineRule="auto"/>
              <w:jc w:val="left"/>
              <w:rPr>
                <w:rFonts w:ascii="Calibri" w:eastAsia="Times New Roman" w:hAnsi="Calibri" w:cs="Calibri"/>
                <w:color w:val="000000"/>
                <w:sz w:val="18"/>
                <w:szCs w:val="18"/>
                <w:lang w:eastAsia="tr-TR"/>
              </w:rPr>
            </w:pPr>
          </w:p>
        </w:tc>
        <w:tc>
          <w:tcPr>
            <w:tcW w:w="5538" w:type="dxa"/>
            <w:tcBorders>
              <w:top w:val="nil"/>
              <w:left w:val="nil"/>
              <w:bottom w:val="single" w:sz="8" w:space="0" w:color="auto"/>
              <w:right w:val="single" w:sz="8" w:space="0" w:color="auto"/>
            </w:tcBorders>
            <w:shd w:val="clear" w:color="auto" w:fill="auto"/>
            <w:noWrap/>
            <w:vAlign w:val="center"/>
            <w:hideMark/>
          </w:tcPr>
          <w:p w14:paraId="4C0D2AB4" w14:textId="77777777" w:rsidR="00F15C9A" w:rsidRPr="002048A7" w:rsidRDefault="00F15C9A" w:rsidP="00F15C9A">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302C0DD0" w14:textId="77777777" w:rsidR="00F15C9A" w:rsidRPr="002048A7" w:rsidRDefault="00F15C9A" w:rsidP="00F15C9A">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251AB6E9" w14:textId="77777777" w:rsidR="00F15C9A" w:rsidRPr="002048A7" w:rsidRDefault="00F15C9A" w:rsidP="00F15C9A">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580" w:type="dxa"/>
            <w:tcBorders>
              <w:top w:val="nil"/>
              <w:left w:val="nil"/>
              <w:bottom w:val="single" w:sz="8" w:space="0" w:color="auto"/>
              <w:right w:val="single" w:sz="8" w:space="0" w:color="auto"/>
            </w:tcBorders>
            <w:shd w:val="clear" w:color="auto" w:fill="auto"/>
            <w:noWrap/>
            <w:vAlign w:val="center"/>
            <w:hideMark/>
          </w:tcPr>
          <w:p w14:paraId="0CE7D407" w14:textId="77777777" w:rsidR="00F15C9A" w:rsidRDefault="00F15C9A" w:rsidP="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 </w:t>
            </w:r>
          </w:p>
        </w:tc>
      </w:tr>
      <w:tr w:rsidR="00F15C9A" w:rsidRPr="002048A7" w14:paraId="7E54F7B1" w14:textId="77777777" w:rsidTr="00F15C9A">
        <w:trPr>
          <w:trHeight w:val="315"/>
        </w:trPr>
        <w:tc>
          <w:tcPr>
            <w:tcW w:w="181" w:type="dxa"/>
            <w:vMerge/>
            <w:tcBorders>
              <w:top w:val="single" w:sz="8" w:space="0" w:color="auto"/>
              <w:left w:val="single" w:sz="8" w:space="0" w:color="auto"/>
              <w:bottom w:val="single" w:sz="8" w:space="0" w:color="000000"/>
              <w:right w:val="single" w:sz="8" w:space="0" w:color="000000"/>
            </w:tcBorders>
            <w:vAlign w:val="center"/>
            <w:hideMark/>
          </w:tcPr>
          <w:p w14:paraId="6D891755" w14:textId="77777777" w:rsidR="00F15C9A" w:rsidRPr="002048A7" w:rsidRDefault="00F15C9A" w:rsidP="00F15C9A">
            <w:pPr>
              <w:spacing w:after="0" w:line="240" w:lineRule="auto"/>
              <w:jc w:val="left"/>
              <w:rPr>
                <w:rFonts w:ascii="Calibri" w:eastAsia="Times New Roman" w:hAnsi="Calibri" w:cs="Calibri"/>
                <w:color w:val="000000"/>
                <w:sz w:val="18"/>
                <w:szCs w:val="18"/>
                <w:lang w:eastAsia="tr-TR"/>
              </w:rPr>
            </w:pPr>
          </w:p>
        </w:tc>
        <w:tc>
          <w:tcPr>
            <w:tcW w:w="5538" w:type="dxa"/>
            <w:tcBorders>
              <w:top w:val="nil"/>
              <w:left w:val="nil"/>
              <w:bottom w:val="single" w:sz="8" w:space="0" w:color="auto"/>
              <w:right w:val="single" w:sz="8" w:space="0" w:color="auto"/>
            </w:tcBorders>
            <w:shd w:val="clear" w:color="auto" w:fill="auto"/>
            <w:noWrap/>
            <w:vAlign w:val="center"/>
            <w:hideMark/>
          </w:tcPr>
          <w:p w14:paraId="3F5110E3" w14:textId="77777777" w:rsidR="00F15C9A" w:rsidRPr="002048A7" w:rsidRDefault="00F15C9A" w:rsidP="00F15C9A">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949-Başka Birimler Adına İzlenen Alacak Emanetleri Hesabı</w:t>
            </w:r>
          </w:p>
        </w:tc>
        <w:tc>
          <w:tcPr>
            <w:tcW w:w="1560" w:type="dxa"/>
            <w:tcBorders>
              <w:top w:val="nil"/>
              <w:left w:val="nil"/>
              <w:bottom w:val="single" w:sz="8" w:space="0" w:color="auto"/>
              <w:right w:val="single" w:sz="8" w:space="0" w:color="auto"/>
            </w:tcBorders>
            <w:shd w:val="clear" w:color="auto" w:fill="auto"/>
            <w:noWrap/>
            <w:vAlign w:val="center"/>
            <w:hideMark/>
          </w:tcPr>
          <w:p w14:paraId="2401BBCB" w14:textId="77777777" w:rsidR="00F15C9A" w:rsidRPr="002048A7" w:rsidRDefault="00F15C9A" w:rsidP="00F15C9A">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457.633,28</w:t>
            </w:r>
          </w:p>
        </w:tc>
        <w:tc>
          <w:tcPr>
            <w:tcW w:w="1560" w:type="dxa"/>
            <w:tcBorders>
              <w:top w:val="nil"/>
              <w:left w:val="nil"/>
              <w:bottom w:val="single" w:sz="8" w:space="0" w:color="auto"/>
              <w:right w:val="single" w:sz="8" w:space="0" w:color="auto"/>
            </w:tcBorders>
            <w:shd w:val="clear" w:color="auto" w:fill="auto"/>
            <w:noWrap/>
            <w:vAlign w:val="center"/>
            <w:hideMark/>
          </w:tcPr>
          <w:p w14:paraId="718E20BA" w14:textId="77777777" w:rsidR="00F15C9A" w:rsidRPr="002048A7" w:rsidRDefault="00F15C9A" w:rsidP="00F15C9A">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489.147,33</w:t>
            </w:r>
          </w:p>
        </w:tc>
        <w:tc>
          <w:tcPr>
            <w:tcW w:w="1580" w:type="dxa"/>
            <w:tcBorders>
              <w:top w:val="nil"/>
              <w:left w:val="nil"/>
              <w:bottom w:val="single" w:sz="8" w:space="0" w:color="auto"/>
              <w:right w:val="single" w:sz="8" w:space="0" w:color="auto"/>
            </w:tcBorders>
            <w:shd w:val="clear" w:color="auto" w:fill="auto"/>
            <w:noWrap/>
            <w:vAlign w:val="center"/>
            <w:hideMark/>
          </w:tcPr>
          <w:p w14:paraId="748A726F" w14:textId="77777777" w:rsidR="00F15C9A" w:rsidRDefault="00F15C9A" w:rsidP="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1.308.008,30</w:t>
            </w:r>
          </w:p>
        </w:tc>
      </w:tr>
      <w:tr w:rsidR="00F15C9A" w:rsidRPr="002048A7" w14:paraId="58F060C4" w14:textId="77777777" w:rsidTr="00F15C9A">
        <w:trPr>
          <w:trHeight w:val="315"/>
        </w:trPr>
        <w:tc>
          <w:tcPr>
            <w:tcW w:w="181" w:type="dxa"/>
            <w:vMerge/>
            <w:tcBorders>
              <w:top w:val="single" w:sz="8" w:space="0" w:color="auto"/>
              <w:left w:val="single" w:sz="8" w:space="0" w:color="auto"/>
              <w:bottom w:val="single" w:sz="8" w:space="0" w:color="000000"/>
              <w:right w:val="single" w:sz="8" w:space="0" w:color="000000"/>
            </w:tcBorders>
            <w:vAlign w:val="center"/>
            <w:hideMark/>
          </w:tcPr>
          <w:p w14:paraId="1CAF4CBF" w14:textId="77777777" w:rsidR="00F15C9A" w:rsidRPr="002048A7" w:rsidRDefault="00F15C9A" w:rsidP="00F15C9A">
            <w:pPr>
              <w:spacing w:after="0" w:line="240" w:lineRule="auto"/>
              <w:jc w:val="left"/>
              <w:rPr>
                <w:rFonts w:ascii="Calibri" w:eastAsia="Times New Roman" w:hAnsi="Calibri" w:cs="Calibri"/>
                <w:color w:val="000000"/>
                <w:sz w:val="18"/>
                <w:szCs w:val="18"/>
                <w:lang w:eastAsia="tr-TR"/>
              </w:rPr>
            </w:pPr>
          </w:p>
        </w:tc>
        <w:tc>
          <w:tcPr>
            <w:tcW w:w="5538" w:type="dxa"/>
            <w:tcBorders>
              <w:top w:val="nil"/>
              <w:left w:val="nil"/>
              <w:bottom w:val="single" w:sz="8" w:space="0" w:color="auto"/>
              <w:right w:val="single" w:sz="8" w:space="0" w:color="auto"/>
            </w:tcBorders>
            <w:shd w:val="clear" w:color="auto" w:fill="auto"/>
            <w:noWrap/>
            <w:vAlign w:val="center"/>
            <w:hideMark/>
          </w:tcPr>
          <w:p w14:paraId="0C1FF037" w14:textId="77777777" w:rsidR="00F15C9A" w:rsidRPr="002048A7" w:rsidRDefault="00F15C9A" w:rsidP="00F15C9A">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404F23A1" w14:textId="77777777" w:rsidR="00F15C9A" w:rsidRPr="002048A7" w:rsidRDefault="00F15C9A" w:rsidP="00F15C9A">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3716B36D" w14:textId="77777777" w:rsidR="00F15C9A" w:rsidRPr="002048A7" w:rsidRDefault="00F15C9A" w:rsidP="00F15C9A">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580" w:type="dxa"/>
            <w:tcBorders>
              <w:top w:val="nil"/>
              <w:left w:val="nil"/>
              <w:bottom w:val="single" w:sz="8" w:space="0" w:color="auto"/>
              <w:right w:val="single" w:sz="8" w:space="0" w:color="auto"/>
            </w:tcBorders>
            <w:shd w:val="clear" w:color="auto" w:fill="auto"/>
            <w:noWrap/>
            <w:vAlign w:val="center"/>
            <w:hideMark/>
          </w:tcPr>
          <w:p w14:paraId="7CEE3190" w14:textId="77777777" w:rsidR="00F15C9A" w:rsidRDefault="00F15C9A" w:rsidP="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 </w:t>
            </w:r>
          </w:p>
        </w:tc>
      </w:tr>
      <w:tr w:rsidR="00F15C9A" w:rsidRPr="002048A7" w14:paraId="7DB28F7F" w14:textId="77777777" w:rsidTr="00F15C9A">
        <w:trPr>
          <w:trHeight w:val="495"/>
        </w:trPr>
        <w:tc>
          <w:tcPr>
            <w:tcW w:w="181" w:type="dxa"/>
            <w:vMerge/>
            <w:tcBorders>
              <w:top w:val="single" w:sz="8" w:space="0" w:color="auto"/>
              <w:left w:val="single" w:sz="8" w:space="0" w:color="auto"/>
              <w:bottom w:val="single" w:sz="8" w:space="0" w:color="000000"/>
              <w:right w:val="single" w:sz="8" w:space="0" w:color="000000"/>
            </w:tcBorders>
            <w:vAlign w:val="center"/>
            <w:hideMark/>
          </w:tcPr>
          <w:p w14:paraId="18BD17FF" w14:textId="77777777" w:rsidR="00F15C9A" w:rsidRPr="002048A7" w:rsidRDefault="00F15C9A" w:rsidP="00F15C9A">
            <w:pPr>
              <w:spacing w:after="0" w:line="240" w:lineRule="auto"/>
              <w:jc w:val="left"/>
              <w:rPr>
                <w:rFonts w:ascii="Calibri" w:eastAsia="Times New Roman" w:hAnsi="Calibri" w:cs="Calibri"/>
                <w:color w:val="000000"/>
                <w:sz w:val="18"/>
                <w:szCs w:val="18"/>
                <w:lang w:eastAsia="tr-TR"/>
              </w:rPr>
            </w:pPr>
          </w:p>
        </w:tc>
        <w:tc>
          <w:tcPr>
            <w:tcW w:w="5538" w:type="dxa"/>
            <w:tcBorders>
              <w:top w:val="nil"/>
              <w:left w:val="nil"/>
              <w:bottom w:val="single" w:sz="8" w:space="0" w:color="auto"/>
              <w:right w:val="single" w:sz="8" w:space="0" w:color="auto"/>
            </w:tcBorders>
            <w:shd w:val="clear" w:color="auto" w:fill="auto"/>
            <w:vAlign w:val="center"/>
            <w:hideMark/>
          </w:tcPr>
          <w:p w14:paraId="294E4E7B" w14:textId="77777777" w:rsidR="00F15C9A" w:rsidRPr="002048A7" w:rsidRDefault="00F15C9A" w:rsidP="00F15C9A">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993-Maddi Duran Varlıkların Kira ve İrtifak Hakkı Gelirleri Hesabı</w:t>
            </w:r>
          </w:p>
        </w:tc>
        <w:tc>
          <w:tcPr>
            <w:tcW w:w="1560" w:type="dxa"/>
            <w:tcBorders>
              <w:top w:val="nil"/>
              <w:left w:val="nil"/>
              <w:bottom w:val="single" w:sz="8" w:space="0" w:color="auto"/>
              <w:right w:val="single" w:sz="8" w:space="0" w:color="auto"/>
            </w:tcBorders>
            <w:shd w:val="clear" w:color="auto" w:fill="auto"/>
            <w:noWrap/>
            <w:vAlign w:val="center"/>
            <w:hideMark/>
          </w:tcPr>
          <w:p w14:paraId="3C258B0B" w14:textId="77777777" w:rsidR="00F15C9A" w:rsidRPr="002048A7" w:rsidRDefault="00F15C9A" w:rsidP="00F15C9A">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0,00</w:t>
            </w:r>
          </w:p>
        </w:tc>
        <w:tc>
          <w:tcPr>
            <w:tcW w:w="1560" w:type="dxa"/>
            <w:tcBorders>
              <w:top w:val="nil"/>
              <w:left w:val="nil"/>
              <w:bottom w:val="single" w:sz="8" w:space="0" w:color="auto"/>
              <w:right w:val="single" w:sz="8" w:space="0" w:color="auto"/>
            </w:tcBorders>
            <w:shd w:val="clear" w:color="auto" w:fill="auto"/>
            <w:noWrap/>
            <w:vAlign w:val="center"/>
            <w:hideMark/>
          </w:tcPr>
          <w:p w14:paraId="0753EDFB" w14:textId="77777777" w:rsidR="00F15C9A" w:rsidRPr="002048A7" w:rsidRDefault="00F15C9A" w:rsidP="00F15C9A">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110.597,20</w:t>
            </w:r>
          </w:p>
        </w:tc>
        <w:tc>
          <w:tcPr>
            <w:tcW w:w="1580" w:type="dxa"/>
            <w:tcBorders>
              <w:top w:val="nil"/>
              <w:left w:val="nil"/>
              <w:bottom w:val="single" w:sz="8" w:space="0" w:color="auto"/>
              <w:right w:val="single" w:sz="8" w:space="0" w:color="auto"/>
            </w:tcBorders>
            <w:shd w:val="clear" w:color="auto" w:fill="auto"/>
            <w:noWrap/>
            <w:vAlign w:val="center"/>
            <w:hideMark/>
          </w:tcPr>
          <w:p w14:paraId="39DD6683" w14:textId="77777777" w:rsidR="00F15C9A" w:rsidRDefault="00F15C9A" w:rsidP="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14.021,22</w:t>
            </w:r>
          </w:p>
        </w:tc>
      </w:tr>
      <w:tr w:rsidR="00F15C9A" w:rsidRPr="002048A7" w14:paraId="084377DF" w14:textId="77777777" w:rsidTr="00F15C9A">
        <w:trPr>
          <w:trHeight w:val="315"/>
        </w:trPr>
        <w:tc>
          <w:tcPr>
            <w:tcW w:w="181" w:type="dxa"/>
            <w:vMerge/>
            <w:tcBorders>
              <w:top w:val="single" w:sz="8" w:space="0" w:color="auto"/>
              <w:left w:val="single" w:sz="8" w:space="0" w:color="auto"/>
              <w:bottom w:val="single" w:sz="8" w:space="0" w:color="000000"/>
              <w:right w:val="single" w:sz="8" w:space="0" w:color="000000"/>
            </w:tcBorders>
            <w:vAlign w:val="center"/>
            <w:hideMark/>
          </w:tcPr>
          <w:p w14:paraId="4637E828" w14:textId="77777777" w:rsidR="00F15C9A" w:rsidRPr="002048A7" w:rsidRDefault="00F15C9A" w:rsidP="00F15C9A">
            <w:pPr>
              <w:spacing w:after="0" w:line="240" w:lineRule="auto"/>
              <w:jc w:val="left"/>
              <w:rPr>
                <w:rFonts w:ascii="Calibri" w:eastAsia="Times New Roman" w:hAnsi="Calibri" w:cs="Calibri"/>
                <w:color w:val="000000"/>
                <w:sz w:val="18"/>
                <w:szCs w:val="18"/>
                <w:lang w:eastAsia="tr-TR"/>
              </w:rPr>
            </w:pPr>
          </w:p>
        </w:tc>
        <w:tc>
          <w:tcPr>
            <w:tcW w:w="5538" w:type="dxa"/>
            <w:tcBorders>
              <w:top w:val="nil"/>
              <w:left w:val="nil"/>
              <w:bottom w:val="single" w:sz="8" w:space="0" w:color="auto"/>
              <w:right w:val="single" w:sz="8" w:space="0" w:color="auto"/>
            </w:tcBorders>
            <w:shd w:val="clear" w:color="auto" w:fill="auto"/>
            <w:noWrap/>
            <w:vAlign w:val="center"/>
            <w:hideMark/>
          </w:tcPr>
          <w:p w14:paraId="69D22B75" w14:textId="77777777" w:rsidR="00F15C9A" w:rsidRPr="002048A7" w:rsidRDefault="00F15C9A" w:rsidP="00F15C9A">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3EDA1B0B" w14:textId="77777777" w:rsidR="00F15C9A" w:rsidRPr="002048A7" w:rsidRDefault="00F15C9A" w:rsidP="00F15C9A">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504C5248" w14:textId="77777777" w:rsidR="00F15C9A" w:rsidRPr="002048A7" w:rsidRDefault="00F15C9A" w:rsidP="00F15C9A">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580" w:type="dxa"/>
            <w:tcBorders>
              <w:top w:val="nil"/>
              <w:left w:val="nil"/>
              <w:bottom w:val="single" w:sz="8" w:space="0" w:color="auto"/>
              <w:right w:val="single" w:sz="8" w:space="0" w:color="auto"/>
            </w:tcBorders>
            <w:shd w:val="clear" w:color="auto" w:fill="auto"/>
            <w:noWrap/>
            <w:vAlign w:val="center"/>
            <w:hideMark/>
          </w:tcPr>
          <w:p w14:paraId="1AFD7378" w14:textId="77777777" w:rsidR="00F15C9A" w:rsidRDefault="00F15C9A" w:rsidP="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 </w:t>
            </w:r>
          </w:p>
        </w:tc>
      </w:tr>
      <w:tr w:rsidR="00F15C9A" w:rsidRPr="002048A7" w14:paraId="03A433B7" w14:textId="77777777" w:rsidTr="00F15C9A">
        <w:trPr>
          <w:trHeight w:val="315"/>
        </w:trPr>
        <w:tc>
          <w:tcPr>
            <w:tcW w:w="181" w:type="dxa"/>
            <w:vMerge/>
            <w:tcBorders>
              <w:top w:val="single" w:sz="8" w:space="0" w:color="auto"/>
              <w:left w:val="single" w:sz="8" w:space="0" w:color="auto"/>
              <w:bottom w:val="single" w:sz="8" w:space="0" w:color="000000"/>
              <w:right w:val="single" w:sz="8" w:space="0" w:color="000000"/>
            </w:tcBorders>
            <w:vAlign w:val="center"/>
            <w:hideMark/>
          </w:tcPr>
          <w:p w14:paraId="1F5A5F1C" w14:textId="77777777" w:rsidR="00F15C9A" w:rsidRPr="002048A7" w:rsidRDefault="00F15C9A" w:rsidP="00F15C9A">
            <w:pPr>
              <w:spacing w:after="0" w:line="240" w:lineRule="auto"/>
              <w:jc w:val="left"/>
              <w:rPr>
                <w:rFonts w:ascii="Calibri" w:eastAsia="Times New Roman" w:hAnsi="Calibri" w:cs="Calibri"/>
                <w:color w:val="000000"/>
                <w:sz w:val="18"/>
                <w:szCs w:val="18"/>
                <w:lang w:eastAsia="tr-TR"/>
              </w:rPr>
            </w:pPr>
          </w:p>
        </w:tc>
        <w:tc>
          <w:tcPr>
            <w:tcW w:w="5538" w:type="dxa"/>
            <w:tcBorders>
              <w:top w:val="nil"/>
              <w:left w:val="nil"/>
              <w:bottom w:val="single" w:sz="8" w:space="0" w:color="auto"/>
              <w:right w:val="single" w:sz="8" w:space="0" w:color="auto"/>
            </w:tcBorders>
            <w:shd w:val="clear" w:color="auto" w:fill="auto"/>
            <w:noWrap/>
            <w:vAlign w:val="center"/>
            <w:hideMark/>
          </w:tcPr>
          <w:p w14:paraId="68FF7861" w14:textId="77777777" w:rsidR="00F15C9A" w:rsidRPr="002048A7" w:rsidRDefault="00F15C9A" w:rsidP="00F15C9A">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998-Diğer Nazım Hesaplar</w:t>
            </w:r>
          </w:p>
        </w:tc>
        <w:tc>
          <w:tcPr>
            <w:tcW w:w="1560" w:type="dxa"/>
            <w:tcBorders>
              <w:top w:val="nil"/>
              <w:left w:val="nil"/>
              <w:bottom w:val="single" w:sz="8" w:space="0" w:color="auto"/>
              <w:right w:val="single" w:sz="8" w:space="0" w:color="auto"/>
            </w:tcBorders>
            <w:shd w:val="clear" w:color="auto" w:fill="auto"/>
            <w:noWrap/>
            <w:vAlign w:val="center"/>
            <w:hideMark/>
          </w:tcPr>
          <w:p w14:paraId="2BBA1ED2" w14:textId="77777777" w:rsidR="00F15C9A" w:rsidRPr="002048A7" w:rsidRDefault="00F15C9A" w:rsidP="00F15C9A">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5.250.977.158,03</w:t>
            </w:r>
          </w:p>
        </w:tc>
        <w:tc>
          <w:tcPr>
            <w:tcW w:w="1560" w:type="dxa"/>
            <w:tcBorders>
              <w:top w:val="nil"/>
              <w:left w:val="nil"/>
              <w:bottom w:val="single" w:sz="8" w:space="0" w:color="auto"/>
              <w:right w:val="single" w:sz="8" w:space="0" w:color="auto"/>
            </w:tcBorders>
            <w:shd w:val="clear" w:color="auto" w:fill="auto"/>
            <w:noWrap/>
            <w:vAlign w:val="center"/>
            <w:hideMark/>
          </w:tcPr>
          <w:p w14:paraId="1E3D2240" w14:textId="77777777" w:rsidR="00F15C9A" w:rsidRPr="002048A7" w:rsidRDefault="00F15C9A" w:rsidP="00F15C9A">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5.810.976.464,22</w:t>
            </w:r>
          </w:p>
        </w:tc>
        <w:tc>
          <w:tcPr>
            <w:tcW w:w="1580" w:type="dxa"/>
            <w:tcBorders>
              <w:top w:val="nil"/>
              <w:left w:val="nil"/>
              <w:bottom w:val="single" w:sz="8" w:space="0" w:color="auto"/>
              <w:right w:val="single" w:sz="8" w:space="0" w:color="auto"/>
            </w:tcBorders>
            <w:shd w:val="clear" w:color="auto" w:fill="auto"/>
            <w:noWrap/>
            <w:vAlign w:val="center"/>
            <w:hideMark/>
          </w:tcPr>
          <w:p w14:paraId="2A57C16D" w14:textId="77777777" w:rsidR="00F15C9A" w:rsidRDefault="00F15C9A" w:rsidP="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5.957.150.070,43</w:t>
            </w:r>
          </w:p>
        </w:tc>
      </w:tr>
      <w:tr w:rsidR="00F15C9A" w:rsidRPr="002048A7" w14:paraId="5269CC36" w14:textId="77777777" w:rsidTr="00F15C9A">
        <w:trPr>
          <w:trHeight w:val="315"/>
        </w:trPr>
        <w:tc>
          <w:tcPr>
            <w:tcW w:w="181" w:type="dxa"/>
            <w:vMerge/>
            <w:tcBorders>
              <w:top w:val="single" w:sz="8" w:space="0" w:color="auto"/>
              <w:left w:val="single" w:sz="8" w:space="0" w:color="auto"/>
              <w:bottom w:val="single" w:sz="8" w:space="0" w:color="000000"/>
              <w:right w:val="single" w:sz="8" w:space="0" w:color="000000"/>
            </w:tcBorders>
            <w:vAlign w:val="center"/>
            <w:hideMark/>
          </w:tcPr>
          <w:p w14:paraId="4D60A109" w14:textId="77777777" w:rsidR="00F15C9A" w:rsidRPr="002048A7" w:rsidRDefault="00F15C9A" w:rsidP="00F15C9A">
            <w:pPr>
              <w:spacing w:after="0" w:line="240" w:lineRule="auto"/>
              <w:jc w:val="left"/>
              <w:rPr>
                <w:rFonts w:ascii="Calibri" w:eastAsia="Times New Roman" w:hAnsi="Calibri" w:cs="Calibri"/>
                <w:color w:val="000000"/>
                <w:sz w:val="18"/>
                <w:szCs w:val="18"/>
                <w:lang w:eastAsia="tr-TR"/>
              </w:rPr>
            </w:pPr>
          </w:p>
        </w:tc>
        <w:tc>
          <w:tcPr>
            <w:tcW w:w="5538" w:type="dxa"/>
            <w:tcBorders>
              <w:top w:val="nil"/>
              <w:left w:val="nil"/>
              <w:bottom w:val="single" w:sz="8" w:space="0" w:color="auto"/>
              <w:right w:val="single" w:sz="8" w:space="0" w:color="auto"/>
            </w:tcBorders>
            <w:shd w:val="clear" w:color="auto" w:fill="auto"/>
            <w:noWrap/>
            <w:vAlign w:val="center"/>
            <w:hideMark/>
          </w:tcPr>
          <w:p w14:paraId="0F0EC0E5" w14:textId="77777777" w:rsidR="00F15C9A" w:rsidRPr="002048A7" w:rsidRDefault="00F15C9A" w:rsidP="00F15C9A">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440AD6E0" w14:textId="77777777" w:rsidR="00F15C9A" w:rsidRPr="002048A7" w:rsidRDefault="00F15C9A" w:rsidP="00F15C9A">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6EE2265D" w14:textId="77777777" w:rsidR="00F15C9A" w:rsidRPr="002048A7" w:rsidRDefault="00F15C9A" w:rsidP="00F15C9A">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580" w:type="dxa"/>
            <w:tcBorders>
              <w:top w:val="nil"/>
              <w:left w:val="nil"/>
              <w:bottom w:val="single" w:sz="8" w:space="0" w:color="auto"/>
              <w:right w:val="single" w:sz="8" w:space="0" w:color="auto"/>
            </w:tcBorders>
            <w:shd w:val="clear" w:color="auto" w:fill="auto"/>
            <w:noWrap/>
            <w:vAlign w:val="center"/>
            <w:hideMark/>
          </w:tcPr>
          <w:p w14:paraId="74E6B990" w14:textId="77777777" w:rsidR="00F15C9A" w:rsidRDefault="00F15C9A" w:rsidP="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 </w:t>
            </w:r>
          </w:p>
        </w:tc>
      </w:tr>
      <w:tr w:rsidR="00F15C9A" w:rsidRPr="002048A7" w14:paraId="24C83E9B" w14:textId="77777777" w:rsidTr="00F15C9A">
        <w:trPr>
          <w:trHeight w:val="315"/>
        </w:trPr>
        <w:tc>
          <w:tcPr>
            <w:tcW w:w="181" w:type="dxa"/>
            <w:vMerge/>
            <w:tcBorders>
              <w:top w:val="single" w:sz="8" w:space="0" w:color="auto"/>
              <w:left w:val="single" w:sz="8" w:space="0" w:color="auto"/>
              <w:bottom w:val="single" w:sz="8" w:space="0" w:color="000000"/>
              <w:right w:val="single" w:sz="8" w:space="0" w:color="000000"/>
            </w:tcBorders>
            <w:vAlign w:val="center"/>
            <w:hideMark/>
          </w:tcPr>
          <w:p w14:paraId="3FCC1A0B" w14:textId="77777777" w:rsidR="00F15C9A" w:rsidRPr="002048A7" w:rsidRDefault="00F15C9A" w:rsidP="00F15C9A">
            <w:pPr>
              <w:spacing w:after="0" w:line="240" w:lineRule="auto"/>
              <w:jc w:val="left"/>
              <w:rPr>
                <w:rFonts w:ascii="Calibri" w:eastAsia="Times New Roman" w:hAnsi="Calibri" w:cs="Calibri"/>
                <w:color w:val="000000"/>
                <w:sz w:val="18"/>
                <w:szCs w:val="18"/>
                <w:lang w:eastAsia="tr-TR"/>
              </w:rPr>
            </w:pPr>
          </w:p>
        </w:tc>
        <w:tc>
          <w:tcPr>
            <w:tcW w:w="5538" w:type="dxa"/>
            <w:tcBorders>
              <w:top w:val="nil"/>
              <w:left w:val="nil"/>
              <w:bottom w:val="single" w:sz="8" w:space="0" w:color="auto"/>
              <w:right w:val="single" w:sz="8" w:space="0" w:color="auto"/>
            </w:tcBorders>
            <w:shd w:val="clear" w:color="auto" w:fill="auto"/>
            <w:noWrap/>
            <w:vAlign w:val="center"/>
            <w:hideMark/>
          </w:tcPr>
          <w:p w14:paraId="140FFD74" w14:textId="77777777" w:rsidR="00F15C9A" w:rsidRPr="002048A7" w:rsidRDefault="00F15C9A" w:rsidP="00F15C9A">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999-Diğer Nazım Hes. Karşılığı Hesabı</w:t>
            </w:r>
          </w:p>
        </w:tc>
        <w:tc>
          <w:tcPr>
            <w:tcW w:w="1560" w:type="dxa"/>
            <w:tcBorders>
              <w:top w:val="nil"/>
              <w:left w:val="nil"/>
              <w:bottom w:val="single" w:sz="8" w:space="0" w:color="auto"/>
              <w:right w:val="single" w:sz="8" w:space="0" w:color="auto"/>
            </w:tcBorders>
            <w:shd w:val="clear" w:color="auto" w:fill="auto"/>
            <w:noWrap/>
            <w:vAlign w:val="center"/>
            <w:hideMark/>
          </w:tcPr>
          <w:p w14:paraId="447AFC5E" w14:textId="77777777" w:rsidR="00F15C9A" w:rsidRPr="002048A7" w:rsidRDefault="00F15C9A" w:rsidP="00F15C9A">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5.250.977.158,03</w:t>
            </w:r>
          </w:p>
        </w:tc>
        <w:tc>
          <w:tcPr>
            <w:tcW w:w="1560" w:type="dxa"/>
            <w:tcBorders>
              <w:top w:val="nil"/>
              <w:left w:val="nil"/>
              <w:bottom w:val="single" w:sz="8" w:space="0" w:color="auto"/>
              <w:right w:val="single" w:sz="8" w:space="0" w:color="auto"/>
            </w:tcBorders>
            <w:shd w:val="clear" w:color="auto" w:fill="auto"/>
            <w:noWrap/>
            <w:vAlign w:val="center"/>
            <w:hideMark/>
          </w:tcPr>
          <w:p w14:paraId="3D3088F3" w14:textId="77777777" w:rsidR="00F15C9A" w:rsidRPr="002048A7" w:rsidRDefault="00F15C9A" w:rsidP="00F15C9A">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5.811.087.061,42</w:t>
            </w:r>
          </w:p>
        </w:tc>
        <w:tc>
          <w:tcPr>
            <w:tcW w:w="1580" w:type="dxa"/>
            <w:tcBorders>
              <w:top w:val="nil"/>
              <w:left w:val="nil"/>
              <w:bottom w:val="single" w:sz="8" w:space="0" w:color="auto"/>
              <w:right w:val="single" w:sz="8" w:space="0" w:color="auto"/>
            </w:tcBorders>
            <w:shd w:val="clear" w:color="auto" w:fill="auto"/>
            <w:noWrap/>
            <w:vAlign w:val="center"/>
            <w:hideMark/>
          </w:tcPr>
          <w:p w14:paraId="0A02B436" w14:textId="77777777" w:rsidR="00F15C9A" w:rsidRDefault="00F15C9A" w:rsidP="00F15C9A">
            <w:pPr>
              <w:spacing w:after="0" w:line="240" w:lineRule="auto"/>
              <w:jc w:val="right"/>
              <w:rPr>
                <w:rFonts w:ascii="Arial" w:eastAsia="Times New Roman" w:hAnsi="Arial" w:cs="Arial"/>
                <w:color w:val="000000"/>
                <w:sz w:val="18"/>
                <w:szCs w:val="18"/>
                <w:lang w:eastAsia="tr-TR"/>
              </w:rPr>
            </w:pPr>
            <w:r>
              <w:rPr>
                <w:rFonts w:ascii="Arial" w:eastAsia="Times New Roman" w:hAnsi="Arial" w:cs="Arial"/>
                <w:color w:val="000000"/>
                <w:sz w:val="18"/>
                <w:szCs w:val="18"/>
                <w:lang w:eastAsia="tr-TR"/>
              </w:rPr>
              <w:t>5.957.164.091,65</w:t>
            </w:r>
          </w:p>
        </w:tc>
      </w:tr>
    </w:tbl>
    <w:p w14:paraId="3116829F" w14:textId="77777777" w:rsidR="001C3349" w:rsidRPr="002048A7" w:rsidRDefault="001C3349" w:rsidP="00A959D5">
      <w:pPr>
        <w:jc w:val="center"/>
        <w:rPr>
          <w:b/>
          <w:sz w:val="18"/>
          <w:szCs w:val="18"/>
        </w:rPr>
      </w:pPr>
    </w:p>
    <w:p w14:paraId="479DDE16" w14:textId="77777777" w:rsidR="001E4B05" w:rsidRPr="002048A7" w:rsidRDefault="001E4B05" w:rsidP="009A5906">
      <w:pPr>
        <w:rPr>
          <w:sz w:val="12"/>
          <w:szCs w:val="12"/>
        </w:rPr>
      </w:pPr>
    </w:p>
    <w:sectPr w:rsidR="001E4B05" w:rsidRPr="002048A7" w:rsidSect="00865E80">
      <w:pgSz w:w="16838" w:h="11906" w:orient="landscape"/>
      <w:pgMar w:top="113" w:right="249" w:bottom="113"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3EC494" w14:textId="77777777" w:rsidR="00F3277D" w:rsidRDefault="00F3277D" w:rsidP="00297FE1">
      <w:pPr>
        <w:spacing w:after="0" w:line="240" w:lineRule="auto"/>
      </w:pPr>
      <w:r>
        <w:separator/>
      </w:r>
    </w:p>
  </w:endnote>
  <w:endnote w:type="continuationSeparator" w:id="0">
    <w:p w14:paraId="3FF2B3E2" w14:textId="77777777" w:rsidR="00F3277D" w:rsidRDefault="00F3277D" w:rsidP="00297F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New York">
    <w:panose1 w:val="02040503060506020304"/>
    <w:charset w:val="00"/>
    <w:family w:val="roman"/>
    <w:notTrueType/>
    <w:pitch w:val="variable"/>
    <w:sig w:usb0="00000003" w:usb1="00000000" w:usb2="00000000" w:usb3="00000000" w:csb0="00000001" w:csb1="00000000"/>
  </w:font>
  <w:font w:name="Arial">
    <w:panose1 w:val="020B0604020202020204"/>
    <w:charset w:val="A2"/>
    <w:family w:val="swiss"/>
    <w:pitch w:val="variable"/>
    <w:sig w:usb0="E0002EFF" w:usb1="C000785B" w:usb2="00000009" w:usb3="00000000" w:csb0="000001FF" w:csb1="00000000"/>
  </w:font>
  <w:font w:name="ヒラギノ明朝 Pro W3">
    <w:altName w:val="MS Gothic"/>
    <w:charset w:val="80"/>
    <w:family w:val="auto"/>
    <w:pitch w:val="variable"/>
    <w:sig w:usb0="00000001" w:usb1="00000000" w:usb2="01000407" w:usb3="00000000" w:csb0="00020000" w:csb1="00000000"/>
  </w:font>
  <w:font w:name="Times">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TR Arial">
    <w:altName w:val="Times New Roman"/>
    <w:panose1 w:val="00000000000000000000"/>
    <w:charset w:val="00"/>
    <w:family w:val="roman"/>
    <w:notTrueType/>
    <w:pitch w:val="variable"/>
    <w:sig w:usb0="00000003" w:usb1="00000000" w:usb2="00000000" w:usb3="00000000" w:csb0="00000001" w:csb1="00000000"/>
  </w:font>
  <w:font w:name="Consolas">
    <w:panose1 w:val="020B0609020204030204"/>
    <w:charset w:val="A2"/>
    <w:family w:val="modern"/>
    <w:pitch w:val="fixed"/>
    <w:sig w:usb0="E00006FF" w:usb1="0000FCFF" w:usb2="00000001" w:usb3="00000000" w:csb0="0000019F" w:csb1="00000000"/>
  </w:font>
  <w:font w:name="Segoe UI">
    <w:panose1 w:val="020B0502040204020203"/>
    <w:charset w:val="A2"/>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Bold">
    <w:altName w:val="Arial"/>
    <w:panose1 w:val="00000000000000000000"/>
    <w:charset w:val="B2"/>
    <w:family w:val="swiss"/>
    <w:notTrueType/>
    <w:pitch w:val="default"/>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4372141"/>
      <w:docPartObj>
        <w:docPartGallery w:val="Page Numbers (Bottom of Page)"/>
        <w:docPartUnique/>
      </w:docPartObj>
    </w:sdtPr>
    <w:sdtContent>
      <w:p w14:paraId="7ACE5C8C" w14:textId="77777777" w:rsidR="0032505C" w:rsidRDefault="0032505C">
        <w:pPr>
          <w:pStyle w:val="AltBilgi"/>
          <w:jc w:val="center"/>
        </w:pPr>
        <w:r>
          <w:fldChar w:fldCharType="begin"/>
        </w:r>
        <w:r>
          <w:instrText>PAGE   \* MERGEFORMAT</w:instrText>
        </w:r>
        <w:r>
          <w:fldChar w:fldCharType="separate"/>
        </w:r>
        <w:r>
          <w:rPr>
            <w:noProof/>
          </w:rPr>
          <w:t>6</w:t>
        </w:r>
        <w:r>
          <w:rPr>
            <w:noProof/>
          </w:rPr>
          <w:fldChar w:fldCharType="end"/>
        </w:r>
      </w:p>
    </w:sdtContent>
  </w:sdt>
  <w:p w14:paraId="59C167E2" w14:textId="77777777" w:rsidR="0032505C" w:rsidRDefault="0032505C">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C194FB" w14:textId="77777777" w:rsidR="0032505C" w:rsidRDefault="0032505C">
    <w:pPr>
      <w:pStyle w:val="AltBilgi"/>
      <w:jc w:val="center"/>
      <w:rPr>
        <w:noProof/>
      </w:rPr>
    </w:pPr>
  </w:p>
  <w:p w14:paraId="627D0513" w14:textId="77777777" w:rsidR="0032505C" w:rsidRDefault="0032505C">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2B814F" w14:textId="77777777" w:rsidR="0032505C" w:rsidRDefault="0032505C">
    <w:pPr>
      <w:pStyle w:val="AltBilgi"/>
      <w:jc w:val="center"/>
      <w:rPr>
        <w:noProof/>
      </w:rPr>
    </w:pPr>
    <w:r>
      <w:rPr>
        <w:noProof/>
      </w:rPr>
      <w:t>i</w:t>
    </w:r>
  </w:p>
  <w:p w14:paraId="400C80CD" w14:textId="77777777" w:rsidR="0032505C" w:rsidRDefault="0032505C">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623ECF" w14:textId="77777777" w:rsidR="0032505C" w:rsidRDefault="0032505C" w:rsidP="00357653">
    <w:pPr>
      <w:pStyle w:val="AltBilgi"/>
      <w:jc w:val="center"/>
    </w:pPr>
    <w:r>
      <w:rPr>
        <w:noProof/>
      </w:rPr>
      <w:t>1</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12971724"/>
      <w:docPartObj>
        <w:docPartGallery w:val="Page Numbers (Bottom of Page)"/>
        <w:docPartUnique/>
      </w:docPartObj>
    </w:sdtPr>
    <w:sdtContent>
      <w:p w14:paraId="76F75DC8" w14:textId="77777777" w:rsidR="0032505C" w:rsidRDefault="0032505C" w:rsidP="00F12D15">
        <w:pPr>
          <w:pStyle w:val="AltBilgi"/>
          <w:jc w:val="center"/>
        </w:pPr>
        <w:r>
          <w:fldChar w:fldCharType="begin"/>
        </w:r>
        <w:r>
          <w:instrText>PAGE   \* MERGEFORMAT</w:instrText>
        </w:r>
        <w:r>
          <w:fldChar w:fldCharType="separate"/>
        </w:r>
        <w:r>
          <w:rPr>
            <w:noProof/>
          </w:rPr>
          <w:t>139</w:t>
        </w:r>
        <w:r>
          <w:rPr>
            <w:noProof/>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843465" w14:textId="77777777" w:rsidR="0032505C" w:rsidRDefault="0032505C" w:rsidP="007650B8">
    <w:pPr>
      <w:pStyle w:val="AltBilgi"/>
      <w:tabs>
        <w:tab w:val="left" w:pos="4725"/>
        <w:tab w:val="center" w:pos="4961"/>
      </w:tabs>
      <w:jc w:val="center"/>
      <w:rPr>
        <w:noProof/>
      </w:rPr>
    </w:pPr>
    <w:r>
      <w:rPr>
        <w:noProof/>
      </w:rPr>
      <w:t>44</w:t>
    </w:r>
  </w:p>
  <w:p w14:paraId="07DAEAF3" w14:textId="77777777" w:rsidR="0032505C" w:rsidRDefault="0032505C">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CE9A21" w14:textId="77777777" w:rsidR="00F3277D" w:rsidRDefault="00F3277D" w:rsidP="00297FE1">
      <w:pPr>
        <w:spacing w:after="0" w:line="240" w:lineRule="auto"/>
      </w:pPr>
      <w:r>
        <w:separator/>
      </w:r>
    </w:p>
  </w:footnote>
  <w:footnote w:type="continuationSeparator" w:id="0">
    <w:p w14:paraId="0C01C773" w14:textId="77777777" w:rsidR="00F3277D" w:rsidRDefault="00F3277D" w:rsidP="00297F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982E00"/>
    <w:multiLevelType w:val="hybridMultilevel"/>
    <w:tmpl w:val="021A0D5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8875FC0"/>
    <w:multiLevelType w:val="hybridMultilevel"/>
    <w:tmpl w:val="2D2EC23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89F6C01"/>
    <w:multiLevelType w:val="hybridMultilevel"/>
    <w:tmpl w:val="D8E4517C"/>
    <w:lvl w:ilvl="0" w:tplc="C8B8BB96">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3" w15:restartNumberingAfterBreak="0">
    <w:nsid w:val="09A11A07"/>
    <w:multiLevelType w:val="hybridMultilevel"/>
    <w:tmpl w:val="50588EB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0FB7231A"/>
    <w:multiLevelType w:val="hybridMultilevel"/>
    <w:tmpl w:val="31B0A896"/>
    <w:lvl w:ilvl="0" w:tplc="93D82B52">
      <w:start w:val="10"/>
      <w:numFmt w:val="bullet"/>
      <w:lvlText w:val="-"/>
      <w:lvlJc w:val="left"/>
      <w:pPr>
        <w:ind w:left="1068" w:hanging="360"/>
      </w:pPr>
      <w:rPr>
        <w:rFonts w:ascii="Calibri" w:eastAsia="Calibri" w:hAnsi="Calibri" w:cs="Calibri" w:hint="default"/>
      </w:rPr>
    </w:lvl>
    <w:lvl w:ilvl="1" w:tplc="041F0003">
      <w:start w:val="1"/>
      <w:numFmt w:val="bullet"/>
      <w:lvlText w:val="o"/>
      <w:lvlJc w:val="left"/>
      <w:pPr>
        <w:ind w:left="1788" w:hanging="360"/>
      </w:pPr>
      <w:rPr>
        <w:rFonts w:ascii="Courier New" w:hAnsi="Courier New" w:cs="Courier New" w:hint="default"/>
      </w:rPr>
    </w:lvl>
    <w:lvl w:ilvl="2" w:tplc="041F0005">
      <w:start w:val="1"/>
      <w:numFmt w:val="bullet"/>
      <w:lvlText w:val=""/>
      <w:lvlJc w:val="left"/>
      <w:pPr>
        <w:ind w:left="2508" w:hanging="360"/>
      </w:pPr>
      <w:rPr>
        <w:rFonts w:ascii="Wingdings" w:hAnsi="Wingdings" w:hint="default"/>
      </w:rPr>
    </w:lvl>
    <w:lvl w:ilvl="3" w:tplc="041F0001">
      <w:start w:val="1"/>
      <w:numFmt w:val="bullet"/>
      <w:lvlText w:val=""/>
      <w:lvlJc w:val="left"/>
      <w:pPr>
        <w:ind w:left="3228" w:hanging="360"/>
      </w:pPr>
      <w:rPr>
        <w:rFonts w:ascii="Symbol" w:hAnsi="Symbol" w:hint="default"/>
      </w:rPr>
    </w:lvl>
    <w:lvl w:ilvl="4" w:tplc="041F0003">
      <w:start w:val="1"/>
      <w:numFmt w:val="bullet"/>
      <w:lvlText w:val="o"/>
      <w:lvlJc w:val="left"/>
      <w:pPr>
        <w:ind w:left="3948" w:hanging="360"/>
      </w:pPr>
      <w:rPr>
        <w:rFonts w:ascii="Courier New" w:hAnsi="Courier New" w:cs="Courier New" w:hint="default"/>
      </w:rPr>
    </w:lvl>
    <w:lvl w:ilvl="5" w:tplc="041F0005">
      <w:start w:val="1"/>
      <w:numFmt w:val="bullet"/>
      <w:lvlText w:val=""/>
      <w:lvlJc w:val="left"/>
      <w:pPr>
        <w:ind w:left="4668" w:hanging="360"/>
      </w:pPr>
      <w:rPr>
        <w:rFonts w:ascii="Wingdings" w:hAnsi="Wingdings" w:hint="default"/>
      </w:rPr>
    </w:lvl>
    <w:lvl w:ilvl="6" w:tplc="041F0001">
      <w:start w:val="1"/>
      <w:numFmt w:val="bullet"/>
      <w:lvlText w:val=""/>
      <w:lvlJc w:val="left"/>
      <w:pPr>
        <w:ind w:left="5388" w:hanging="360"/>
      </w:pPr>
      <w:rPr>
        <w:rFonts w:ascii="Symbol" w:hAnsi="Symbol" w:hint="default"/>
      </w:rPr>
    </w:lvl>
    <w:lvl w:ilvl="7" w:tplc="041F0003">
      <w:start w:val="1"/>
      <w:numFmt w:val="bullet"/>
      <w:lvlText w:val="o"/>
      <w:lvlJc w:val="left"/>
      <w:pPr>
        <w:ind w:left="6108" w:hanging="360"/>
      </w:pPr>
      <w:rPr>
        <w:rFonts w:ascii="Courier New" w:hAnsi="Courier New" w:cs="Courier New" w:hint="default"/>
      </w:rPr>
    </w:lvl>
    <w:lvl w:ilvl="8" w:tplc="041F0005">
      <w:start w:val="1"/>
      <w:numFmt w:val="bullet"/>
      <w:lvlText w:val=""/>
      <w:lvlJc w:val="left"/>
      <w:pPr>
        <w:ind w:left="6828" w:hanging="360"/>
      </w:pPr>
      <w:rPr>
        <w:rFonts w:ascii="Wingdings" w:hAnsi="Wingdings" w:hint="default"/>
      </w:rPr>
    </w:lvl>
  </w:abstractNum>
  <w:abstractNum w:abstractNumId="5" w15:restartNumberingAfterBreak="0">
    <w:nsid w:val="16C36676"/>
    <w:multiLevelType w:val="hybridMultilevel"/>
    <w:tmpl w:val="1BAE60F0"/>
    <w:lvl w:ilvl="0" w:tplc="C8B8BB96">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27604A4C"/>
    <w:multiLevelType w:val="multilevel"/>
    <w:tmpl w:val="4742167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B9102EE"/>
    <w:multiLevelType w:val="multilevel"/>
    <w:tmpl w:val="88E09D4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asciiTheme="minorHAnsi" w:hAnsiTheme="minorHAnsi" w:cstheme="minorHAnsi" w:hint="default"/>
        <w:b/>
        <w:i w:val="0"/>
        <w:color w:val="000000" w:themeColor="text1"/>
        <w:sz w:val="22"/>
        <w:szCs w:val="22"/>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E2453B2"/>
    <w:multiLevelType w:val="hybridMultilevel"/>
    <w:tmpl w:val="D59C62BC"/>
    <w:lvl w:ilvl="0" w:tplc="C8B8BB96">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9" w15:restartNumberingAfterBreak="0">
    <w:nsid w:val="32D66CDE"/>
    <w:multiLevelType w:val="multilevel"/>
    <w:tmpl w:val="75943E8A"/>
    <w:lvl w:ilvl="0">
      <w:start w:val="1"/>
      <w:numFmt w:val="none"/>
      <w:pStyle w:val="SectionText"/>
      <w:lvlText w:val=""/>
      <w:lvlJc w:val="left"/>
      <w:pPr>
        <w:tabs>
          <w:tab w:val="num" w:pos="360"/>
        </w:tabs>
        <w:ind w:left="0" w:firstLine="0"/>
      </w:pPr>
      <w:rPr>
        <w:rFonts w:hint="default"/>
      </w:rPr>
    </w:lvl>
    <w:lvl w:ilvl="1">
      <w:start w:val="1"/>
      <w:numFmt w:val="none"/>
      <w:suff w:val="nothing"/>
      <w:lvlText w:val=""/>
      <w:lvlJc w:val="left"/>
      <w:pPr>
        <w:ind w:left="0" w:firstLine="0"/>
      </w:pPr>
      <w:rPr>
        <w:rFonts w:hint="default"/>
      </w:rPr>
    </w:lvl>
    <w:lvl w:ilvl="2">
      <w:start w:val="1"/>
      <w:numFmt w:val="none"/>
      <w:lvlText w:val=""/>
      <w:lvlJc w:val="left"/>
      <w:pPr>
        <w:tabs>
          <w:tab w:val="num" w:pos="360"/>
        </w:tabs>
        <w:ind w:left="0" w:firstLine="0"/>
      </w:pPr>
      <w:rPr>
        <w:rFonts w:hint="default"/>
      </w:rPr>
    </w:lvl>
    <w:lvl w:ilvl="3">
      <w:start w:val="6"/>
      <w:numFmt w:val="none"/>
      <w:pStyle w:val="SectionText"/>
      <w:suff w:val="nothing"/>
      <w:lvlText w:val="%4"/>
      <w:lvlJc w:val="left"/>
      <w:pPr>
        <w:ind w:left="0" w:firstLine="0"/>
      </w:pPr>
      <w:rPr>
        <w:rFonts w:hint="default"/>
      </w:rPr>
    </w:lvl>
    <w:lvl w:ilvl="4">
      <w:start w:val="3"/>
      <w:numFmt w:val="decimal"/>
      <w:lvlRestart w:val="0"/>
      <w:pStyle w:val="parheading"/>
      <w:lvlText w:val="%5"/>
      <w:lvlJc w:val="left"/>
      <w:pPr>
        <w:tabs>
          <w:tab w:val="num" w:pos="1080"/>
        </w:tabs>
        <w:ind w:left="720" w:firstLine="0"/>
      </w:pPr>
      <w:rPr>
        <w:rFonts w:hint="default"/>
      </w:rPr>
    </w:lvl>
    <w:lvl w:ilvl="5">
      <w:start w:val="7"/>
      <w:numFmt w:val="none"/>
      <w:lvlRestart w:val="2"/>
      <w:pStyle w:val="SectionText"/>
      <w:lvlText w:val="Madde 13 -"/>
      <w:lvlJc w:val="left"/>
      <w:pPr>
        <w:tabs>
          <w:tab w:val="num" w:pos="1800"/>
        </w:tabs>
        <w:ind w:left="0" w:firstLine="720"/>
      </w:pPr>
      <w:rPr>
        <w:rFonts w:hint="default"/>
        <w:b/>
        <w:strike w:val="0"/>
      </w:rPr>
    </w:lvl>
    <w:lvl w:ilvl="6">
      <w:start w:val="1"/>
      <w:numFmt w:val="lowerLetter"/>
      <w:lvlText w:val="%7)"/>
      <w:lvlJc w:val="left"/>
      <w:pPr>
        <w:tabs>
          <w:tab w:val="num" w:pos="1353"/>
        </w:tabs>
        <w:ind w:left="273" w:firstLine="720"/>
      </w:pPr>
      <w:rPr>
        <w:rFonts w:hint="default"/>
        <w:strike w:val="0"/>
      </w:rPr>
    </w:lvl>
    <w:lvl w:ilvl="7">
      <w:start w:val="1"/>
      <w:numFmt w:val="decimal"/>
      <w:lvlText w:val="%8)"/>
      <w:lvlJc w:val="left"/>
      <w:pPr>
        <w:tabs>
          <w:tab w:val="num" w:pos="720"/>
        </w:tabs>
        <w:ind w:left="720" w:hanging="720"/>
      </w:pPr>
      <w:rPr>
        <w:rFonts w:hint="default"/>
        <w:color w:val="auto"/>
        <w:lang w:val="tr-TR"/>
      </w:rPr>
    </w:lvl>
    <w:lvl w:ilvl="8">
      <w:start w:val="1"/>
      <w:numFmt w:val="none"/>
      <w:pStyle w:val="parheading"/>
      <w:suff w:val="nothing"/>
      <w:lvlText w:val=""/>
      <w:lvlJc w:val="left"/>
      <w:pPr>
        <w:ind w:left="0" w:firstLine="0"/>
      </w:pPr>
      <w:rPr>
        <w:rFonts w:hint="default"/>
      </w:rPr>
    </w:lvl>
  </w:abstractNum>
  <w:abstractNum w:abstractNumId="10" w15:restartNumberingAfterBreak="0">
    <w:nsid w:val="34293903"/>
    <w:multiLevelType w:val="hybridMultilevel"/>
    <w:tmpl w:val="6E28917E"/>
    <w:lvl w:ilvl="0" w:tplc="4314A66E">
      <w:start w:val="1"/>
      <w:numFmt w:val="upp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38F71A4C"/>
    <w:multiLevelType w:val="hybridMultilevel"/>
    <w:tmpl w:val="ACCC901E"/>
    <w:lvl w:ilvl="0" w:tplc="0E36851A">
      <w:start w:val="2024"/>
      <w:numFmt w:val="decimal"/>
      <w:lvlText w:val="%1"/>
      <w:lvlJc w:val="left"/>
      <w:pPr>
        <w:ind w:left="780" w:hanging="4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3D7A20C6"/>
    <w:multiLevelType w:val="hybridMultilevel"/>
    <w:tmpl w:val="303A78E0"/>
    <w:lvl w:ilvl="0" w:tplc="13D8842C">
      <w:numFmt w:val="bullet"/>
      <w:lvlText w:val="-"/>
      <w:lvlJc w:val="left"/>
      <w:pPr>
        <w:ind w:left="720" w:hanging="360"/>
      </w:pPr>
      <w:rPr>
        <w:rFonts w:ascii="Calibri" w:eastAsia="Times New Roman" w:hAnsi="Calibri" w:cs="Calibr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40EE2764"/>
    <w:multiLevelType w:val="hybridMultilevel"/>
    <w:tmpl w:val="821CD5D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45EC3DAA"/>
    <w:multiLevelType w:val="hybridMultilevel"/>
    <w:tmpl w:val="5AA49ED2"/>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488260EB"/>
    <w:multiLevelType w:val="hybridMultilevel"/>
    <w:tmpl w:val="6406D16E"/>
    <w:lvl w:ilvl="0" w:tplc="8D56A91A">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15:restartNumberingAfterBreak="0">
    <w:nsid w:val="4A2A7B65"/>
    <w:multiLevelType w:val="hybridMultilevel"/>
    <w:tmpl w:val="45EA871A"/>
    <w:lvl w:ilvl="0" w:tplc="8F705C7A">
      <w:start w:val="28"/>
      <w:numFmt w:val="bullet"/>
      <w:lvlText w:val="•"/>
      <w:lvlJc w:val="left"/>
      <w:pPr>
        <w:ind w:left="1068" w:hanging="708"/>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15:restartNumberingAfterBreak="0">
    <w:nsid w:val="4B2E597C"/>
    <w:multiLevelType w:val="hybridMultilevel"/>
    <w:tmpl w:val="4E8A986A"/>
    <w:lvl w:ilvl="0" w:tplc="08726FBE">
      <w:numFmt w:val="bullet"/>
      <w:lvlText w:val="-"/>
      <w:lvlJc w:val="left"/>
      <w:pPr>
        <w:ind w:left="720" w:hanging="360"/>
      </w:pPr>
      <w:rPr>
        <w:rFonts w:ascii="Times New Roman" w:eastAsiaTheme="minorHAnsi" w:hAnsi="Times New Roman" w:cs="Times New Roman"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8" w15:restartNumberingAfterBreak="0">
    <w:nsid w:val="4B9852B2"/>
    <w:multiLevelType w:val="hybridMultilevel"/>
    <w:tmpl w:val="7B88923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15:restartNumberingAfterBreak="0">
    <w:nsid w:val="4D7E1DCB"/>
    <w:multiLevelType w:val="hybridMultilevel"/>
    <w:tmpl w:val="378EAFE4"/>
    <w:lvl w:ilvl="0" w:tplc="5D32B5F0">
      <w:start w:val="1"/>
      <w:numFmt w:val="decimal"/>
      <w:lvlText w:val="%1."/>
      <w:lvlJc w:val="left"/>
      <w:pPr>
        <w:ind w:left="1068" w:hanging="708"/>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15:restartNumberingAfterBreak="0">
    <w:nsid w:val="4E030BDC"/>
    <w:multiLevelType w:val="hybridMultilevel"/>
    <w:tmpl w:val="FF341A9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1" w15:restartNumberingAfterBreak="0">
    <w:nsid w:val="5AA24BA8"/>
    <w:multiLevelType w:val="hybridMultilevel"/>
    <w:tmpl w:val="59128DE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15:restartNumberingAfterBreak="0">
    <w:nsid w:val="5DD030FB"/>
    <w:multiLevelType w:val="hybridMultilevel"/>
    <w:tmpl w:val="1D1E5E8C"/>
    <w:lvl w:ilvl="0" w:tplc="DA44DF2E">
      <w:numFmt w:val="bullet"/>
      <w:lvlText w:val="•"/>
      <w:lvlJc w:val="left"/>
      <w:pPr>
        <w:ind w:left="1065" w:hanging="705"/>
      </w:pPr>
      <w:rPr>
        <w:rFonts w:ascii="Calibri" w:eastAsia="Calibri" w:hAnsi="Calibri" w:cs="Times New Roman" w:hint="default"/>
        <w:color w:val="000000" w:themeColor="text1"/>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3" w15:restartNumberingAfterBreak="0">
    <w:nsid w:val="63475CC1"/>
    <w:multiLevelType w:val="hybridMultilevel"/>
    <w:tmpl w:val="4B9AEB9E"/>
    <w:lvl w:ilvl="0" w:tplc="E4784AD4">
      <w:start w:val="3403"/>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24" w15:restartNumberingAfterBreak="0">
    <w:nsid w:val="64A733A9"/>
    <w:multiLevelType w:val="hybridMultilevel"/>
    <w:tmpl w:val="6C5C677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5" w15:restartNumberingAfterBreak="0">
    <w:nsid w:val="65D90D20"/>
    <w:multiLevelType w:val="hybridMultilevel"/>
    <w:tmpl w:val="2AC658A6"/>
    <w:lvl w:ilvl="0" w:tplc="E4784AD4">
      <w:start w:val="3403"/>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26" w15:restartNumberingAfterBreak="0">
    <w:nsid w:val="6AAF0B66"/>
    <w:multiLevelType w:val="hybridMultilevel"/>
    <w:tmpl w:val="5B10D330"/>
    <w:lvl w:ilvl="0" w:tplc="C8B8BB96">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27" w15:restartNumberingAfterBreak="0">
    <w:nsid w:val="6E2B2449"/>
    <w:multiLevelType w:val="hybridMultilevel"/>
    <w:tmpl w:val="75A0204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8" w15:restartNumberingAfterBreak="0">
    <w:nsid w:val="6EE81476"/>
    <w:multiLevelType w:val="hybridMultilevel"/>
    <w:tmpl w:val="65FE3B3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29" w15:restartNumberingAfterBreak="0">
    <w:nsid w:val="704C52F4"/>
    <w:multiLevelType w:val="hybridMultilevel"/>
    <w:tmpl w:val="2916974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0" w15:restartNumberingAfterBreak="0">
    <w:nsid w:val="714C3A94"/>
    <w:multiLevelType w:val="hybridMultilevel"/>
    <w:tmpl w:val="17D6F226"/>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1" w15:restartNumberingAfterBreak="0">
    <w:nsid w:val="71AB7069"/>
    <w:multiLevelType w:val="hybridMultilevel"/>
    <w:tmpl w:val="0DB2A77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2" w15:restartNumberingAfterBreak="0">
    <w:nsid w:val="72CD04FB"/>
    <w:multiLevelType w:val="hybridMultilevel"/>
    <w:tmpl w:val="2B7ED7F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3" w15:restartNumberingAfterBreak="0">
    <w:nsid w:val="791D14FC"/>
    <w:multiLevelType w:val="hybridMultilevel"/>
    <w:tmpl w:val="70FCD6F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4" w15:restartNumberingAfterBreak="0">
    <w:nsid w:val="7A82276C"/>
    <w:multiLevelType w:val="hybridMultilevel"/>
    <w:tmpl w:val="3662990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5" w15:restartNumberingAfterBreak="0">
    <w:nsid w:val="7B78715F"/>
    <w:multiLevelType w:val="hybridMultilevel"/>
    <w:tmpl w:val="29D411B0"/>
    <w:lvl w:ilvl="0" w:tplc="041F000B">
      <w:start w:val="1"/>
      <w:numFmt w:val="bullet"/>
      <w:lvlText w:val=""/>
      <w:lvlJc w:val="left"/>
      <w:pPr>
        <w:ind w:left="1428" w:hanging="360"/>
      </w:pPr>
      <w:rPr>
        <w:rFonts w:ascii="Wingdings" w:hAnsi="Wingdings"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36" w15:restartNumberingAfterBreak="0">
    <w:nsid w:val="7F2625CE"/>
    <w:multiLevelType w:val="hybridMultilevel"/>
    <w:tmpl w:val="16AADBE2"/>
    <w:lvl w:ilvl="0" w:tplc="041F0001">
      <w:start w:val="1"/>
      <w:numFmt w:val="bullet"/>
      <w:lvlText w:val=""/>
      <w:lvlJc w:val="left"/>
      <w:pPr>
        <w:ind w:left="770" w:hanging="360"/>
      </w:pPr>
      <w:rPr>
        <w:rFonts w:ascii="Symbol" w:hAnsi="Symbol" w:hint="default"/>
      </w:rPr>
    </w:lvl>
    <w:lvl w:ilvl="1" w:tplc="041F0003" w:tentative="1">
      <w:start w:val="1"/>
      <w:numFmt w:val="bullet"/>
      <w:lvlText w:val="o"/>
      <w:lvlJc w:val="left"/>
      <w:pPr>
        <w:ind w:left="1490" w:hanging="360"/>
      </w:pPr>
      <w:rPr>
        <w:rFonts w:ascii="Courier New" w:hAnsi="Courier New" w:cs="Courier New" w:hint="default"/>
      </w:rPr>
    </w:lvl>
    <w:lvl w:ilvl="2" w:tplc="041F0005" w:tentative="1">
      <w:start w:val="1"/>
      <w:numFmt w:val="bullet"/>
      <w:lvlText w:val=""/>
      <w:lvlJc w:val="left"/>
      <w:pPr>
        <w:ind w:left="2210" w:hanging="360"/>
      </w:pPr>
      <w:rPr>
        <w:rFonts w:ascii="Wingdings" w:hAnsi="Wingdings" w:hint="default"/>
      </w:rPr>
    </w:lvl>
    <w:lvl w:ilvl="3" w:tplc="041F0001" w:tentative="1">
      <w:start w:val="1"/>
      <w:numFmt w:val="bullet"/>
      <w:lvlText w:val=""/>
      <w:lvlJc w:val="left"/>
      <w:pPr>
        <w:ind w:left="2930" w:hanging="360"/>
      </w:pPr>
      <w:rPr>
        <w:rFonts w:ascii="Symbol" w:hAnsi="Symbol" w:hint="default"/>
      </w:rPr>
    </w:lvl>
    <w:lvl w:ilvl="4" w:tplc="041F0003" w:tentative="1">
      <w:start w:val="1"/>
      <w:numFmt w:val="bullet"/>
      <w:lvlText w:val="o"/>
      <w:lvlJc w:val="left"/>
      <w:pPr>
        <w:ind w:left="3650" w:hanging="360"/>
      </w:pPr>
      <w:rPr>
        <w:rFonts w:ascii="Courier New" w:hAnsi="Courier New" w:cs="Courier New" w:hint="default"/>
      </w:rPr>
    </w:lvl>
    <w:lvl w:ilvl="5" w:tplc="041F0005" w:tentative="1">
      <w:start w:val="1"/>
      <w:numFmt w:val="bullet"/>
      <w:lvlText w:val=""/>
      <w:lvlJc w:val="left"/>
      <w:pPr>
        <w:ind w:left="4370" w:hanging="360"/>
      </w:pPr>
      <w:rPr>
        <w:rFonts w:ascii="Wingdings" w:hAnsi="Wingdings" w:hint="default"/>
      </w:rPr>
    </w:lvl>
    <w:lvl w:ilvl="6" w:tplc="041F0001" w:tentative="1">
      <w:start w:val="1"/>
      <w:numFmt w:val="bullet"/>
      <w:lvlText w:val=""/>
      <w:lvlJc w:val="left"/>
      <w:pPr>
        <w:ind w:left="5090" w:hanging="360"/>
      </w:pPr>
      <w:rPr>
        <w:rFonts w:ascii="Symbol" w:hAnsi="Symbol" w:hint="default"/>
      </w:rPr>
    </w:lvl>
    <w:lvl w:ilvl="7" w:tplc="041F0003" w:tentative="1">
      <w:start w:val="1"/>
      <w:numFmt w:val="bullet"/>
      <w:lvlText w:val="o"/>
      <w:lvlJc w:val="left"/>
      <w:pPr>
        <w:ind w:left="5810" w:hanging="360"/>
      </w:pPr>
      <w:rPr>
        <w:rFonts w:ascii="Courier New" w:hAnsi="Courier New" w:cs="Courier New" w:hint="default"/>
      </w:rPr>
    </w:lvl>
    <w:lvl w:ilvl="8" w:tplc="041F0005" w:tentative="1">
      <w:start w:val="1"/>
      <w:numFmt w:val="bullet"/>
      <w:lvlText w:val=""/>
      <w:lvlJc w:val="left"/>
      <w:pPr>
        <w:ind w:left="6530" w:hanging="360"/>
      </w:pPr>
      <w:rPr>
        <w:rFonts w:ascii="Wingdings" w:hAnsi="Wingdings" w:hint="default"/>
      </w:rPr>
    </w:lvl>
  </w:abstractNum>
  <w:abstractNum w:abstractNumId="37" w15:restartNumberingAfterBreak="0">
    <w:nsid w:val="7FBD4E60"/>
    <w:multiLevelType w:val="hybridMultilevel"/>
    <w:tmpl w:val="A884587A"/>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14"/>
  </w:num>
  <w:num w:numId="2">
    <w:abstractNumId w:val="22"/>
  </w:num>
  <w:num w:numId="3">
    <w:abstractNumId w:val="15"/>
  </w:num>
  <w:num w:numId="4">
    <w:abstractNumId w:val="5"/>
  </w:num>
  <w:num w:numId="5">
    <w:abstractNumId w:val="35"/>
  </w:num>
  <w:num w:numId="6">
    <w:abstractNumId w:val="30"/>
  </w:num>
  <w:num w:numId="7">
    <w:abstractNumId w:val="19"/>
  </w:num>
  <w:num w:numId="8">
    <w:abstractNumId w:val="32"/>
  </w:num>
  <w:num w:numId="9">
    <w:abstractNumId w:val="31"/>
  </w:num>
  <w:num w:numId="10">
    <w:abstractNumId w:val="13"/>
  </w:num>
  <w:num w:numId="11">
    <w:abstractNumId w:val="7"/>
  </w:num>
  <w:num w:numId="12">
    <w:abstractNumId w:val="6"/>
  </w:num>
  <w:num w:numId="13">
    <w:abstractNumId w:val="21"/>
  </w:num>
  <w:num w:numId="14">
    <w:abstractNumId w:val="24"/>
  </w:num>
  <w:num w:numId="15">
    <w:abstractNumId w:val="9"/>
  </w:num>
  <w:num w:numId="16">
    <w:abstractNumId w:val="20"/>
  </w:num>
  <w:num w:numId="17">
    <w:abstractNumId w:val="10"/>
  </w:num>
  <w:num w:numId="18">
    <w:abstractNumId w:val="0"/>
  </w:num>
  <w:num w:numId="19">
    <w:abstractNumId w:val="37"/>
  </w:num>
  <w:num w:numId="20">
    <w:abstractNumId w:val="34"/>
  </w:num>
  <w:num w:numId="21">
    <w:abstractNumId w:val="23"/>
  </w:num>
  <w:num w:numId="22">
    <w:abstractNumId w:val="3"/>
  </w:num>
  <w:num w:numId="23">
    <w:abstractNumId w:val="36"/>
  </w:num>
  <w:num w:numId="24">
    <w:abstractNumId w:val="1"/>
  </w:num>
  <w:num w:numId="25">
    <w:abstractNumId w:val="25"/>
  </w:num>
  <w:num w:numId="26">
    <w:abstractNumId w:val="18"/>
  </w:num>
  <w:num w:numId="27">
    <w:abstractNumId w:val="29"/>
  </w:num>
  <w:num w:numId="28">
    <w:abstractNumId w:val="27"/>
  </w:num>
  <w:num w:numId="29">
    <w:abstractNumId w:val="2"/>
  </w:num>
  <w:num w:numId="30">
    <w:abstractNumId w:val="26"/>
  </w:num>
  <w:num w:numId="31">
    <w:abstractNumId w:val="8"/>
  </w:num>
  <w:num w:numId="32">
    <w:abstractNumId w:val="33"/>
  </w:num>
  <w:num w:numId="33">
    <w:abstractNumId w:val="16"/>
  </w:num>
  <w:num w:numId="34">
    <w:abstractNumId w:val="12"/>
  </w:num>
  <w:num w:numId="35">
    <w:abstractNumId w:val="17"/>
  </w:num>
  <w:num w:numId="36">
    <w:abstractNumId w:val="28"/>
  </w:num>
  <w:num w:numId="37">
    <w:abstractNumId w:val="4"/>
  </w:num>
  <w:num w:numId="38">
    <w:abstractNumId w:val="3"/>
  </w:num>
  <w:num w:numId="39">
    <w:abstractNumId w:val="23"/>
  </w:num>
  <w:num w:numId="40">
    <w:abstractNumId w:val="11"/>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de-DE" w:vendorID="64" w:dllVersion="6" w:nlCheck="1" w:checkStyle="0"/>
  <w:activeWritingStyle w:appName="MSWord" w:lang="en-US" w:vendorID="64" w:dllVersion="6" w:nlCheck="1" w:checkStyle="0"/>
  <w:activeWritingStyle w:appName="MSWord" w:lang="tr-TR" w:vendorID="64" w:dllVersion="4096" w:nlCheck="1" w:checkStyle="0"/>
  <w:activeWritingStyle w:appName="MSWord" w:lang="en-US" w:vendorID="64" w:dllVersion="4096" w:nlCheck="1" w:checkStyle="0"/>
  <w:activeWritingStyle w:appName="MSWord" w:lang="en-GB" w:vendorID="64" w:dllVersion="4096" w:nlCheck="1" w:checkStyle="0"/>
  <w:proofState w:grammar="clean"/>
  <w:documentProtection w:edit="trackedChanges" w:enforcement="0"/>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67E4"/>
    <w:rsid w:val="000000A5"/>
    <w:rsid w:val="00000835"/>
    <w:rsid w:val="00000968"/>
    <w:rsid w:val="00001076"/>
    <w:rsid w:val="00001229"/>
    <w:rsid w:val="0000123A"/>
    <w:rsid w:val="0000140F"/>
    <w:rsid w:val="00001426"/>
    <w:rsid w:val="00001479"/>
    <w:rsid w:val="000018C3"/>
    <w:rsid w:val="000019FB"/>
    <w:rsid w:val="00001A2A"/>
    <w:rsid w:val="00001E36"/>
    <w:rsid w:val="000020BB"/>
    <w:rsid w:val="000024E4"/>
    <w:rsid w:val="00002A7F"/>
    <w:rsid w:val="00003053"/>
    <w:rsid w:val="000030AD"/>
    <w:rsid w:val="000036BF"/>
    <w:rsid w:val="00003860"/>
    <w:rsid w:val="000038A4"/>
    <w:rsid w:val="000038BD"/>
    <w:rsid w:val="0000400D"/>
    <w:rsid w:val="00004B10"/>
    <w:rsid w:val="00004F76"/>
    <w:rsid w:val="00005066"/>
    <w:rsid w:val="00005680"/>
    <w:rsid w:val="0000585A"/>
    <w:rsid w:val="0000661F"/>
    <w:rsid w:val="00006795"/>
    <w:rsid w:val="00006A0D"/>
    <w:rsid w:val="000074B5"/>
    <w:rsid w:val="00007983"/>
    <w:rsid w:val="000079C1"/>
    <w:rsid w:val="00007D6C"/>
    <w:rsid w:val="00010DDB"/>
    <w:rsid w:val="00010EE2"/>
    <w:rsid w:val="00012040"/>
    <w:rsid w:val="000122C8"/>
    <w:rsid w:val="00012426"/>
    <w:rsid w:val="00012FCF"/>
    <w:rsid w:val="00013DC2"/>
    <w:rsid w:val="00014201"/>
    <w:rsid w:val="00014B87"/>
    <w:rsid w:val="00014BAF"/>
    <w:rsid w:val="00014F58"/>
    <w:rsid w:val="000152E9"/>
    <w:rsid w:val="00016114"/>
    <w:rsid w:val="00016190"/>
    <w:rsid w:val="00016365"/>
    <w:rsid w:val="00016500"/>
    <w:rsid w:val="00016A9F"/>
    <w:rsid w:val="000173EC"/>
    <w:rsid w:val="000174DF"/>
    <w:rsid w:val="0001777C"/>
    <w:rsid w:val="00017A98"/>
    <w:rsid w:val="0002067F"/>
    <w:rsid w:val="00020706"/>
    <w:rsid w:val="0002166D"/>
    <w:rsid w:val="000226B3"/>
    <w:rsid w:val="00022C12"/>
    <w:rsid w:val="000230C8"/>
    <w:rsid w:val="000232E6"/>
    <w:rsid w:val="00023780"/>
    <w:rsid w:val="000239FF"/>
    <w:rsid w:val="000243C0"/>
    <w:rsid w:val="000244C2"/>
    <w:rsid w:val="0002480D"/>
    <w:rsid w:val="000248CD"/>
    <w:rsid w:val="00024D0C"/>
    <w:rsid w:val="00025110"/>
    <w:rsid w:val="0002539D"/>
    <w:rsid w:val="0002564D"/>
    <w:rsid w:val="000256CF"/>
    <w:rsid w:val="0002596E"/>
    <w:rsid w:val="00025A2C"/>
    <w:rsid w:val="00026B35"/>
    <w:rsid w:val="000276C9"/>
    <w:rsid w:val="000279E8"/>
    <w:rsid w:val="000306B4"/>
    <w:rsid w:val="00030C2B"/>
    <w:rsid w:val="000315EA"/>
    <w:rsid w:val="0003197C"/>
    <w:rsid w:val="00031DFC"/>
    <w:rsid w:val="000323C5"/>
    <w:rsid w:val="0003241E"/>
    <w:rsid w:val="00032431"/>
    <w:rsid w:val="000324EF"/>
    <w:rsid w:val="000324F5"/>
    <w:rsid w:val="00032640"/>
    <w:rsid w:val="0003285A"/>
    <w:rsid w:val="00033973"/>
    <w:rsid w:val="00033E32"/>
    <w:rsid w:val="00033FFE"/>
    <w:rsid w:val="00034468"/>
    <w:rsid w:val="000348AE"/>
    <w:rsid w:val="000349E1"/>
    <w:rsid w:val="00034DE5"/>
    <w:rsid w:val="00035752"/>
    <w:rsid w:val="00035898"/>
    <w:rsid w:val="00035C70"/>
    <w:rsid w:val="00035D5B"/>
    <w:rsid w:val="00035D83"/>
    <w:rsid w:val="00036E47"/>
    <w:rsid w:val="00036EA4"/>
    <w:rsid w:val="000375F1"/>
    <w:rsid w:val="00040372"/>
    <w:rsid w:val="00040B6A"/>
    <w:rsid w:val="00041598"/>
    <w:rsid w:val="00042CFB"/>
    <w:rsid w:val="0004311F"/>
    <w:rsid w:val="000431D9"/>
    <w:rsid w:val="00043437"/>
    <w:rsid w:val="000438D2"/>
    <w:rsid w:val="00043DEB"/>
    <w:rsid w:val="00044327"/>
    <w:rsid w:val="00044652"/>
    <w:rsid w:val="000454E9"/>
    <w:rsid w:val="000455FC"/>
    <w:rsid w:val="000456AD"/>
    <w:rsid w:val="000459DB"/>
    <w:rsid w:val="00045A80"/>
    <w:rsid w:val="00045E55"/>
    <w:rsid w:val="000469C3"/>
    <w:rsid w:val="00046C87"/>
    <w:rsid w:val="000471B5"/>
    <w:rsid w:val="0004784A"/>
    <w:rsid w:val="00047C88"/>
    <w:rsid w:val="0005083C"/>
    <w:rsid w:val="00050ADE"/>
    <w:rsid w:val="00051439"/>
    <w:rsid w:val="00051D88"/>
    <w:rsid w:val="00051E63"/>
    <w:rsid w:val="00052B53"/>
    <w:rsid w:val="00052C51"/>
    <w:rsid w:val="00052EEA"/>
    <w:rsid w:val="00053C33"/>
    <w:rsid w:val="000542ED"/>
    <w:rsid w:val="0005491A"/>
    <w:rsid w:val="000552D9"/>
    <w:rsid w:val="0005536B"/>
    <w:rsid w:val="00055410"/>
    <w:rsid w:val="000554AE"/>
    <w:rsid w:val="0005599F"/>
    <w:rsid w:val="00055A98"/>
    <w:rsid w:val="00056159"/>
    <w:rsid w:val="00056173"/>
    <w:rsid w:val="00056634"/>
    <w:rsid w:val="00056C40"/>
    <w:rsid w:val="00056D1A"/>
    <w:rsid w:val="00056EF5"/>
    <w:rsid w:val="00056FEA"/>
    <w:rsid w:val="00057117"/>
    <w:rsid w:val="0005712A"/>
    <w:rsid w:val="00057138"/>
    <w:rsid w:val="0005773E"/>
    <w:rsid w:val="00057AC7"/>
    <w:rsid w:val="00057C84"/>
    <w:rsid w:val="0006018D"/>
    <w:rsid w:val="0006019A"/>
    <w:rsid w:val="0006026E"/>
    <w:rsid w:val="00060831"/>
    <w:rsid w:val="00060CED"/>
    <w:rsid w:val="00061190"/>
    <w:rsid w:val="000612B4"/>
    <w:rsid w:val="00061520"/>
    <w:rsid w:val="000618FD"/>
    <w:rsid w:val="00061AD9"/>
    <w:rsid w:val="00061C27"/>
    <w:rsid w:val="00061E36"/>
    <w:rsid w:val="00061F9B"/>
    <w:rsid w:val="00062D77"/>
    <w:rsid w:val="00062DC1"/>
    <w:rsid w:val="00062E31"/>
    <w:rsid w:val="00062F9F"/>
    <w:rsid w:val="000630DD"/>
    <w:rsid w:val="000631B1"/>
    <w:rsid w:val="000643BD"/>
    <w:rsid w:val="00065BBD"/>
    <w:rsid w:val="00066908"/>
    <w:rsid w:val="00066D3A"/>
    <w:rsid w:val="0006719B"/>
    <w:rsid w:val="00067BB9"/>
    <w:rsid w:val="000709AA"/>
    <w:rsid w:val="00070CEA"/>
    <w:rsid w:val="00070D7A"/>
    <w:rsid w:val="000712E3"/>
    <w:rsid w:val="00071686"/>
    <w:rsid w:val="0007174E"/>
    <w:rsid w:val="00071A8F"/>
    <w:rsid w:val="00072A80"/>
    <w:rsid w:val="000730C6"/>
    <w:rsid w:val="00073260"/>
    <w:rsid w:val="000732CA"/>
    <w:rsid w:val="000735C9"/>
    <w:rsid w:val="000738A5"/>
    <w:rsid w:val="00074352"/>
    <w:rsid w:val="00074ECA"/>
    <w:rsid w:val="00074EF2"/>
    <w:rsid w:val="00075022"/>
    <w:rsid w:val="000756F6"/>
    <w:rsid w:val="0007594C"/>
    <w:rsid w:val="00075A3F"/>
    <w:rsid w:val="00075A43"/>
    <w:rsid w:val="000762A4"/>
    <w:rsid w:val="00076409"/>
    <w:rsid w:val="000767AB"/>
    <w:rsid w:val="000769CC"/>
    <w:rsid w:val="000770AD"/>
    <w:rsid w:val="00077185"/>
    <w:rsid w:val="00077245"/>
    <w:rsid w:val="00077A3F"/>
    <w:rsid w:val="00080239"/>
    <w:rsid w:val="000803DF"/>
    <w:rsid w:val="000804B7"/>
    <w:rsid w:val="00080C51"/>
    <w:rsid w:val="000814E8"/>
    <w:rsid w:val="00081A65"/>
    <w:rsid w:val="0008285C"/>
    <w:rsid w:val="00082B50"/>
    <w:rsid w:val="00082F2B"/>
    <w:rsid w:val="000842F4"/>
    <w:rsid w:val="00085082"/>
    <w:rsid w:val="000852BD"/>
    <w:rsid w:val="00085E29"/>
    <w:rsid w:val="000862EE"/>
    <w:rsid w:val="000869D0"/>
    <w:rsid w:val="0008743C"/>
    <w:rsid w:val="000875F4"/>
    <w:rsid w:val="00087FEE"/>
    <w:rsid w:val="0009014C"/>
    <w:rsid w:val="00090153"/>
    <w:rsid w:val="000905EC"/>
    <w:rsid w:val="0009060A"/>
    <w:rsid w:val="00090EFD"/>
    <w:rsid w:val="00090F1C"/>
    <w:rsid w:val="0009152A"/>
    <w:rsid w:val="0009188B"/>
    <w:rsid w:val="000918FE"/>
    <w:rsid w:val="00091E8B"/>
    <w:rsid w:val="00092407"/>
    <w:rsid w:val="0009260D"/>
    <w:rsid w:val="00092967"/>
    <w:rsid w:val="00092B30"/>
    <w:rsid w:val="00092ED4"/>
    <w:rsid w:val="000937D1"/>
    <w:rsid w:val="00093E77"/>
    <w:rsid w:val="000940FF"/>
    <w:rsid w:val="000943F3"/>
    <w:rsid w:val="000951F7"/>
    <w:rsid w:val="0009547B"/>
    <w:rsid w:val="0009579B"/>
    <w:rsid w:val="00097575"/>
    <w:rsid w:val="00097791"/>
    <w:rsid w:val="00097796"/>
    <w:rsid w:val="00097839"/>
    <w:rsid w:val="000978D6"/>
    <w:rsid w:val="000A02ED"/>
    <w:rsid w:val="000A02FC"/>
    <w:rsid w:val="000A03EB"/>
    <w:rsid w:val="000A052B"/>
    <w:rsid w:val="000A109B"/>
    <w:rsid w:val="000A1AB6"/>
    <w:rsid w:val="000A1FA3"/>
    <w:rsid w:val="000A1FD8"/>
    <w:rsid w:val="000A258C"/>
    <w:rsid w:val="000A27F3"/>
    <w:rsid w:val="000A28F2"/>
    <w:rsid w:val="000A29A5"/>
    <w:rsid w:val="000A333E"/>
    <w:rsid w:val="000A369E"/>
    <w:rsid w:val="000A3A5E"/>
    <w:rsid w:val="000A4047"/>
    <w:rsid w:val="000A4EAA"/>
    <w:rsid w:val="000A572B"/>
    <w:rsid w:val="000A5790"/>
    <w:rsid w:val="000A5A56"/>
    <w:rsid w:val="000A5E9B"/>
    <w:rsid w:val="000A5FB6"/>
    <w:rsid w:val="000A6021"/>
    <w:rsid w:val="000A6393"/>
    <w:rsid w:val="000A6BEB"/>
    <w:rsid w:val="000A73CF"/>
    <w:rsid w:val="000A77AD"/>
    <w:rsid w:val="000A7861"/>
    <w:rsid w:val="000A7864"/>
    <w:rsid w:val="000B0648"/>
    <w:rsid w:val="000B08EE"/>
    <w:rsid w:val="000B0FFE"/>
    <w:rsid w:val="000B1340"/>
    <w:rsid w:val="000B13C1"/>
    <w:rsid w:val="000B16A5"/>
    <w:rsid w:val="000B1873"/>
    <w:rsid w:val="000B1AAA"/>
    <w:rsid w:val="000B2070"/>
    <w:rsid w:val="000B24A1"/>
    <w:rsid w:val="000B2963"/>
    <w:rsid w:val="000B2B43"/>
    <w:rsid w:val="000B3327"/>
    <w:rsid w:val="000B36A2"/>
    <w:rsid w:val="000B3D2B"/>
    <w:rsid w:val="000B3EAC"/>
    <w:rsid w:val="000B4E5B"/>
    <w:rsid w:val="000B5057"/>
    <w:rsid w:val="000B50EF"/>
    <w:rsid w:val="000B5167"/>
    <w:rsid w:val="000B5240"/>
    <w:rsid w:val="000B542C"/>
    <w:rsid w:val="000B5701"/>
    <w:rsid w:val="000B5A0E"/>
    <w:rsid w:val="000B64F2"/>
    <w:rsid w:val="000B6539"/>
    <w:rsid w:val="000B7659"/>
    <w:rsid w:val="000B7717"/>
    <w:rsid w:val="000B7791"/>
    <w:rsid w:val="000B796D"/>
    <w:rsid w:val="000B7B7C"/>
    <w:rsid w:val="000C0874"/>
    <w:rsid w:val="000C11F6"/>
    <w:rsid w:val="000C14D2"/>
    <w:rsid w:val="000C289A"/>
    <w:rsid w:val="000C2BB0"/>
    <w:rsid w:val="000C2D59"/>
    <w:rsid w:val="000C2F8A"/>
    <w:rsid w:val="000C2FF2"/>
    <w:rsid w:val="000C33B0"/>
    <w:rsid w:val="000C342C"/>
    <w:rsid w:val="000C3656"/>
    <w:rsid w:val="000C39D5"/>
    <w:rsid w:val="000C3BEE"/>
    <w:rsid w:val="000C3F15"/>
    <w:rsid w:val="000C43B2"/>
    <w:rsid w:val="000C4D85"/>
    <w:rsid w:val="000C56CB"/>
    <w:rsid w:val="000C5F74"/>
    <w:rsid w:val="000C601F"/>
    <w:rsid w:val="000C6581"/>
    <w:rsid w:val="000C706E"/>
    <w:rsid w:val="000C7213"/>
    <w:rsid w:val="000C72E1"/>
    <w:rsid w:val="000C7717"/>
    <w:rsid w:val="000C7BA0"/>
    <w:rsid w:val="000C7D26"/>
    <w:rsid w:val="000D005D"/>
    <w:rsid w:val="000D043C"/>
    <w:rsid w:val="000D058F"/>
    <w:rsid w:val="000D0C4C"/>
    <w:rsid w:val="000D0C8A"/>
    <w:rsid w:val="000D0DBD"/>
    <w:rsid w:val="000D0E03"/>
    <w:rsid w:val="000D18F6"/>
    <w:rsid w:val="000D1AD8"/>
    <w:rsid w:val="000D1C5C"/>
    <w:rsid w:val="000D2262"/>
    <w:rsid w:val="000D26E4"/>
    <w:rsid w:val="000D284E"/>
    <w:rsid w:val="000D2B66"/>
    <w:rsid w:val="000D2F33"/>
    <w:rsid w:val="000D304D"/>
    <w:rsid w:val="000D3346"/>
    <w:rsid w:val="000D33A6"/>
    <w:rsid w:val="000D35F9"/>
    <w:rsid w:val="000D3911"/>
    <w:rsid w:val="000D3AB1"/>
    <w:rsid w:val="000D3B44"/>
    <w:rsid w:val="000D49CD"/>
    <w:rsid w:val="000D4A53"/>
    <w:rsid w:val="000D554F"/>
    <w:rsid w:val="000D5697"/>
    <w:rsid w:val="000D57AC"/>
    <w:rsid w:val="000D5A41"/>
    <w:rsid w:val="000D61EF"/>
    <w:rsid w:val="000D6A3E"/>
    <w:rsid w:val="000D6D3A"/>
    <w:rsid w:val="000D7226"/>
    <w:rsid w:val="000D775A"/>
    <w:rsid w:val="000D7B91"/>
    <w:rsid w:val="000D7C55"/>
    <w:rsid w:val="000E06BE"/>
    <w:rsid w:val="000E0722"/>
    <w:rsid w:val="000E0852"/>
    <w:rsid w:val="000E14AD"/>
    <w:rsid w:val="000E1526"/>
    <w:rsid w:val="000E161D"/>
    <w:rsid w:val="000E168A"/>
    <w:rsid w:val="000E19E7"/>
    <w:rsid w:val="000E254D"/>
    <w:rsid w:val="000E2647"/>
    <w:rsid w:val="000E274F"/>
    <w:rsid w:val="000E2BD3"/>
    <w:rsid w:val="000E3BCA"/>
    <w:rsid w:val="000E3BE3"/>
    <w:rsid w:val="000E3EA2"/>
    <w:rsid w:val="000E3EFA"/>
    <w:rsid w:val="000E400B"/>
    <w:rsid w:val="000E4215"/>
    <w:rsid w:val="000E4C94"/>
    <w:rsid w:val="000E4D74"/>
    <w:rsid w:val="000E54D7"/>
    <w:rsid w:val="000E5A01"/>
    <w:rsid w:val="000E649D"/>
    <w:rsid w:val="000E6554"/>
    <w:rsid w:val="000E66BC"/>
    <w:rsid w:val="000E6E45"/>
    <w:rsid w:val="000E6F7E"/>
    <w:rsid w:val="000E723D"/>
    <w:rsid w:val="000E7543"/>
    <w:rsid w:val="000E75F0"/>
    <w:rsid w:val="000E767F"/>
    <w:rsid w:val="000E7C37"/>
    <w:rsid w:val="000E7D9C"/>
    <w:rsid w:val="000E7FB3"/>
    <w:rsid w:val="000F0CC1"/>
    <w:rsid w:val="000F0D68"/>
    <w:rsid w:val="000F14C8"/>
    <w:rsid w:val="000F167F"/>
    <w:rsid w:val="000F1C1B"/>
    <w:rsid w:val="000F2021"/>
    <w:rsid w:val="000F2232"/>
    <w:rsid w:val="000F2466"/>
    <w:rsid w:val="000F2772"/>
    <w:rsid w:val="000F2A02"/>
    <w:rsid w:val="000F3122"/>
    <w:rsid w:val="000F34AC"/>
    <w:rsid w:val="000F378E"/>
    <w:rsid w:val="000F37A6"/>
    <w:rsid w:val="000F3D47"/>
    <w:rsid w:val="000F3FA9"/>
    <w:rsid w:val="000F3FC0"/>
    <w:rsid w:val="000F453B"/>
    <w:rsid w:val="000F480C"/>
    <w:rsid w:val="000F4FEB"/>
    <w:rsid w:val="000F5759"/>
    <w:rsid w:val="000F5D79"/>
    <w:rsid w:val="000F6005"/>
    <w:rsid w:val="000F7059"/>
    <w:rsid w:val="000F710B"/>
    <w:rsid w:val="000F72D1"/>
    <w:rsid w:val="000F769E"/>
    <w:rsid w:val="001009E1"/>
    <w:rsid w:val="00101392"/>
    <w:rsid w:val="001013E4"/>
    <w:rsid w:val="00101E48"/>
    <w:rsid w:val="001031C3"/>
    <w:rsid w:val="00103205"/>
    <w:rsid w:val="00103238"/>
    <w:rsid w:val="0010376A"/>
    <w:rsid w:val="00103887"/>
    <w:rsid w:val="00104067"/>
    <w:rsid w:val="0010591A"/>
    <w:rsid w:val="00105C6F"/>
    <w:rsid w:val="00106DBC"/>
    <w:rsid w:val="00106F1E"/>
    <w:rsid w:val="00107333"/>
    <w:rsid w:val="001074C6"/>
    <w:rsid w:val="001079E3"/>
    <w:rsid w:val="00110C9B"/>
    <w:rsid w:val="0011102C"/>
    <w:rsid w:val="00111290"/>
    <w:rsid w:val="00111C9D"/>
    <w:rsid w:val="00111EF0"/>
    <w:rsid w:val="0011210D"/>
    <w:rsid w:val="0011255C"/>
    <w:rsid w:val="00112A7D"/>
    <w:rsid w:val="0011314E"/>
    <w:rsid w:val="001133ED"/>
    <w:rsid w:val="001133FF"/>
    <w:rsid w:val="001134BE"/>
    <w:rsid w:val="00113ACB"/>
    <w:rsid w:val="00113DBA"/>
    <w:rsid w:val="001140CB"/>
    <w:rsid w:val="001142D0"/>
    <w:rsid w:val="00114A1F"/>
    <w:rsid w:val="00115A37"/>
    <w:rsid w:val="001167ED"/>
    <w:rsid w:val="00116EBD"/>
    <w:rsid w:val="00116F74"/>
    <w:rsid w:val="00117046"/>
    <w:rsid w:val="00117332"/>
    <w:rsid w:val="001173BD"/>
    <w:rsid w:val="001175EF"/>
    <w:rsid w:val="001176C5"/>
    <w:rsid w:val="00117739"/>
    <w:rsid w:val="001177E7"/>
    <w:rsid w:val="001179F5"/>
    <w:rsid w:val="00117E60"/>
    <w:rsid w:val="001204A8"/>
    <w:rsid w:val="00120502"/>
    <w:rsid w:val="0012092F"/>
    <w:rsid w:val="00120988"/>
    <w:rsid w:val="001210FA"/>
    <w:rsid w:val="0012177C"/>
    <w:rsid w:val="00121A8D"/>
    <w:rsid w:val="00121BA4"/>
    <w:rsid w:val="00121CBC"/>
    <w:rsid w:val="00122119"/>
    <w:rsid w:val="001222ED"/>
    <w:rsid w:val="001229C4"/>
    <w:rsid w:val="00122B04"/>
    <w:rsid w:val="00122BE0"/>
    <w:rsid w:val="00122E34"/>
    <w:rsid w:val="001230BA"/>
    <w:rsid w:val="00123830"/>
    <w:rsid w:val="00124A6F"/>
    <w:rsid w:val="00124BFC"/>
    <w:rsid w:val="0012526C"/>
    <w:rsid w:val="00125620"/>
    <w:rsid w:val="00125713"/>
    <w:rsid w:val="00125991"/>
    <w:rsid w:val="00125B2F"/>
    <w:rsid w:val="00125BE7"/>
    <w:rsid w:val="00125D44"/>
    <w:rsid w:val="00125E1D"/>
    <w:rsid w:val="0012644A"/>
    <w:rsid w:val="00126686"/>
    <w:rsid w:val="00127768"/>
    <w:rsid w:val="00127883"/>
    <w:rsid w:val="00127EAE"/>
    <w:rsid w:val="00127FC0"/>
    <w:rsid w:val="001300E8"/>
    <w:rsid w:val="0013020E"/>
    <w:rsid w:val="001308E8"/>
    <w:rsid w:val="00130C90"/>
    <w:rsid w:val="00130CE7"/>
    <w:rsid w:val="0013200A"/>
    <w:rsid w:val="0013234F"/>
    <w:rsid w:val="00132411"/>
    <w:rsid w:val="001324FC"/>
    <w:rsid w:val="00132CF1"/>
    <w:rsid w:val="0013417D"/>
    <w:rsid w:val="0013459C"/>
    <w:rsid w:val="00134610"/>
    <w:rsid w:val="00134838"/>
    <w:rsid w:val="00134944"/>
    <w:rsid w:val="00134954"/>
    <w:rsid w:val="00135B03"/>
    <w:rsid w:val="00135CE5"/>
    <w:rsid w:val="0013668A"/>
    <w:rsid w:val="00136F81"/>
    <w:rsid w:val="0013742A"/>
    <w:rsid w:val="001376B5"/>
    <w:rsid w:val="001376BB"/>
    <w:rsid w:val="00137B2D"/>
    <w:rsid w:val="00140136"/>
    <w:rsid w:val="001407C3"/>
    <w:rsid w:val="00140D42"/>
    <w:rsid w:val="00141348"/>
    <w:rsid w:val="00141AF3"/>
    <w:rsid w:val="00141E49"/>
    <w:rsid w:val="0014219E"/>
    <w:rsid w:val="00142461"/>
    <w:rsid w:val="00142BB7"/>
    <w:rsid w:val="00142FE2"/>
    <w:rsid w:val="001431DC"/>
    <w:rsid w:val="00143445"/>
    <w:rsid w:val="001435A7"/>
    <w:rsid w:val="001439A7"/>
    <w:rsid w:val="00143BC6"/>
    <w:rsid w:val="00143DA7"/>
    <w:rsid w:val="00143E18"/>
    <w:rsid w:val="001440B2"/>
    <w:rsid w:val="00145030"/>
    <w:rsid w:val="001450F3"/>
    <w:rsid w:val="0014585B"/>
    <w:rsid w:val="00145A74"/>
    <w:rsid w:val="0014603E"/>
    <w:rsid w:val="00146671"/>
    <w:rsid w:val="001470FB"/>
    <w:rsid w:val="0014755C"/>
    <w:rsid w:val="0014794B"/>
    <w:rsid w:val="001501C6"/>
    <w:rsid w:val="0015037C"/>
    <w:rsid w:val="00151125"/>
    <w:rsid w:val="0015135A"/>
    <w:rsid w:val="00151702"/>
    <w:rsid w:val="00151CF9"/>
    <w:rsid w:val="001524A2"/>
    <w:rsid w:val="001531EA"/>
    <w:rsid w:val="001542D3"/>
    <w:rsid w:val="0015469F"/>
    <w:rsid w:val="00154911"/>
    <w:rsid w:val="001550AB"/>
    <w:rsid w:val="001556D1"/>
    <w:rsid w:val="00155CE3"/>
    <w:rsid w:val="00156164"/>
    <w:rsid w:val="001567C5"/>
    <w:rsid w:val="00157197"/>
    <w:rsid w:val="001573F6"/>
    <w:rsid w:val="0015746B"/>
    <w:rsid w:val="00157AA2"/>
    <w:rsid w:val="00157DCB"/>
    <w:rsid w:val="0016003D"/>
    <w:rsid w:val="0016009E"/>
    <w:rsid w:val="00160842"/>
    <w:rsid w:val="001614E6"/>
    <w:rsid w:val="001619F0"/>
    <w:rsid w:val="00162A75"/>
    <w:rsid w:val="00162ACE"/>
    <w:rsid w:val="00162B0C"/>
    <w:rsid w:val="00163024"/>
    <w:rsid w:val="00163151"/>
    <w:rsid w:val="0016318B"/>
    <w:rsid w:val="00163807"/>
    <w:rsid w:val="00163DC1"/>
    <w:rsid w:val="001644A4"/>
    <w:rsid w:val="00164766"/>
    <w:rsid w:val="0016479C"/>
    <w:rsid w:val="00165419"/>
    <w:rsid w:val="00165FD3"/>
    <w:rsid w:val="001667B3"/>
    <w:rsid w:val="00166F31"/>
    <w:rsid w:val="001672A5"/>
    <w:rsid w:val="00167A62"/>
    <w:rsid w:val="00167BB4"/>
    <w:rsid w:val="00167BCA"/>
    <w:rsid w:val="00170052"/>
    <w:rsid w:val="0017060C"/>
    <w:rsid w:val="00170BF7"/>
    <w:rsid w:val="00170D5E"/>
    <w:rsid w:val="001712EC"/>
    <w:rsid w:val="00171438"/>
    <w:rsid w:val="001716C5"/>
    <w:rsid w:val="00171818"/>
    <w:rsid w:val="00171A5B"/>
    <w:rsid w:val="00171B65"/>
    <w:rsid w:val="00172B07"/>
    <w:rsid w:val="00172E74"/>
    <w:rsid w:val="00173651"/>
    <w:rsid w:val="00173986"/>
    <w:rsid w:val="00173C8A"/>
    <w:rsid w:val="00175B39"/>
    <w:rsid w:val="00175D72"/>
    <w:rsid w:val="00175DF4"/>
    <w:rsid w:val="0017665A"/>
    <w:rsid w:val="00176AAE"/>
    <w:rsid w:val="00176CD3"/>
    <w:rsid w:val="001775F8"/>
    <w:rsid w:val="0017770B"/>
    <w:rsid w:val="00177A2B"/>
    <w:rsid w:val="00180052"/>
    <w:rsid w:val="0018028A"/>
    <w:rsid w:val="00180628"/>
    <w:rsid w:val="00180699"/>
    <w:rsid w:val="00180CDB"/>
    <w:rsid w:val="00181C6C"/>
    <w:rsid w:val="001823C5"/>
    <w:rsid w:val="001824F1"/>
    <w:rsid w:val="0018258B"/>
    <w:rsid w:val="00182BDD"/>
    <w:rsid w:val="00183024"/>
    <w:rsid w:val="0018332D"/>
    <w:rsid w:val="001839A2"/>
    <w:rsid w:val="001839CA"/>
    <w:rsid w:val="00183D40"/>
    <w:rsid w:val="001853AE"/>
    <w:rsid w:val="001853D3"/>
    <w:rsid w:val="00185636"/>
    <w:rsid w:val="00185879"/>
    <w:rsid w:val="00187181"/>
    <w:rsid w:val="001872C8"/>
    <w:rsid w:val="0019125E"/>
    <w:rsid w:val="0019143B"/>
    <w:rsid w:val="00191F53"/>
    <w:rsid w:val="00192003"/>
    <w:rsid w:val="00192A0A"/>
    <w:rsid w:val="00192F73"/>
    <w:rsid w:val="001936DC"/>
    <w:rsid w:val="00194644"/>
    <w:rsid w:val="001946AD"/>
    <w:rsid w:val="00194A3C"/>
    <w:rsid w:val="00194B78"/>
    <w:rsid w:val="00194DB0"/>
    <w:rsid w:val="00194DED"/>
    <w:rsid w:val="001952C4"/>
    <w:rsid w:val="001952DD"/>
    <w:rsid w:val="0019548A"/>
    <w:rsid w:val="00195CD5"/>
    <w:rsid w:val="00195F23"/>
    <w:rsid w:val="001965F1"/>
    <w:rsid w:val="00196918"/>
    <w:rsid w:val="00196DA2"/>
    <w:rsid w:val="001974C5"/>
    <w:rsid w:val="001976B7"/>
    <w:rsid w:val="001978FE"/>
    <w:rsid w:val="001A04B0"/>
    <w:rsid w:val="001A0619"/>
    <w:rsid w:val="001A1424"/>
    <w:rsid w:val="001A18DE"/>
    <w:rsid w:val="001A1908"/>
    <w:rsid w:val="001A217D"/>
    <w:rsid w:val="001A2529"/>
    <w:rsid w:val="001A2D09"/>
    <w:rsid w:val="001A2F40"/>
    <w:rsid w:val="001A2FB1"/>
    <w:rsid w:val="001A340C"/>
    <w:rsid w:val="001A3AD7"/>
    <w:rsid w:val="001A3E9A"/>
    <w:rsid w:val="001A3F7E"/>
    <w:rsid w:val="001A402F"/>
    <w:rsid w:val="001A416F"/>
    <w:rsid w:val="001A4552"/>
    <w:rsid w:val="001A507A"/>
    <w:rsid w:val="001A5127"/>
    <w:rsid w:val="001A5189"/>
    <w:rsid w:val="001A56A8"/>
    <w:rsid w:val="001A583A"/>
    <w:rsid w:val="001A5DD5"/>
    <w:rsid w:val="001A6A64"/>
    <w:rsid w:val="001A6AF2"/>
    <w:rsid w:val="001A6DDF"/>
    <w:rsid w:val="001A756B"/>
    <w:rsid w:val="001A7617"/>
    <w:rsid w:val="001B05E1"/>
    <w:rsid w:val="001B0CDB"/>
    <w:rsid w:val="001B14BE"/>
    <w:rsid w:val="001B1AF6"/>
    <w:rsid w:val="001B1CD0"/>
    <w:rsid w:val="001B1D32"/>
    <w:rsid w:val="001B1ECD"/>
    <w:rsid w:val="001B23B1"/>
    <w:rsid w:val="001B36BA"/>
    <w:rsid w:val="001B4019"/>
    <w:rsid w:val="001B4143"/>
    <w:rsid w:val="001B49F5"/>
    <w:rsid w:val="001B5728"/>
    <w:rsid w:val="001B58A9"/>
    <w:rsid w:val="001B590F"/>
    <w:rsid w:val="001B6113"/>
    <w:rsid w:val="001B62D5"/>
    <w:rsid w:val="001B6300"/>
    <w:rsid w:val="001B73C4"/>
    <w:rsid w:val="001B7C1D"/>
    <w:rsid w:val="001C02AE"/>
    <w:rsid w:val="001C02DE"/>
    <w:rsid w:val="001C0851"/>
    <w:rsid w:val="001C1359"/>
    <w:rsid w:val="001C16A4"/>
    <w:rsid w:val="001C189C"/>
    <w:rsid w:val="001C18E2"/>
    <w:rsid w:val="001C1CE0"/>
    <w:rsid w:val="001C2126"/>
    <w:rsid w:val="001C257C"/>
    <w:rsid w:val="001C2BBC"/>
    <w:rsid w:val="001C2BE8"/>
    <w:rsid w:val="001C2FAA"/>
    <w:rsid w:val="001C3349"/>
    <w:rsid w:val="001C350A"/>
    <w:rsid w:val="001C3568"/>
    <w:rsid w:val="001C47C9"/>
    <w:rsid w:val="001C4B1B"/>
    <w:rsid w:val="001C4B7A"/>
    <w:rsid w:val="001C4B84"/>
    <w:rsid w:val="001C5890"/>
    <w:rsid w:val="001C5E9C"/>
    <w:rsid w:val="001C5F6B"/>
    <w:rsid w:val="001C6551"/>
    <w:rsid w:val="001C686E"/>
    <w:rsid w:val="001C6AF7"/>
    <w:rsid w:val="001C6CB5"/>
    <w:rsid w:val="001C7876"/>
    <w:rsid w:val="001C7885"/>
    <w:rsid w:val="001C79C3"/>
    <w:rsid w:val="001C7A37"/>
    <w:rsid w:val="001C7D38"/>
    <w:rsid w:val="001D0016"/>
    <w:rsid w:val="001D077F"/>
    <w:rsid w:val="001D08CC"/>
    <w:rsid w:val="001D0AE6"/>
    <w:rsid w:val="001D1042"/>
    <w:rsid w:val="001D13EF"/>
    <w:rsid w:val="001D1494"/>
    <w:rsid w:val="001D1BC9"/>
    <w:rsid w:val="001D1C98"/>
    <w:rsid w:val="001D1FAB"/>
    <w:rsid w:val="001D2131"/>
    <w:rsid w:val="001D25EF"/>
    <w:rsid w:val="001D2DA2"/>
    <w:rsid w:val="001D3BA1"/>
    <w:rsid w:val="001D4D93"/>
    <w:rsid w:val="001D4FAC"/>
    <w:rsid w:val="001D52A6"/>
    <w:rsid w:val="001D5FC1"/>
    <w:rsid w:val="001D6515"/>
    <w:rsid w:val="001D713A"/>
    <w:rsid w:val="001E0C3E"/>
    <w:rsid w:val="001E18EA"/>
    <w:rsid w:val="001E266C"/>
    <w:rsid w:val="001E2AB6"/>
    <w:rsid w:val="001E2F17"/>
    <w:rsid w:val="001E372A"/>
    <w:rsid w:val="001E38B6"/>
    <w:rsid w:val="001E3BE0"/>
    <w:rsid w:val="001E4392"/>
    <w:rsid w:val="001E4901"/>
    <w:rsid w:val="001E4B05"/>
    <w:rsid w:val="001E4EA8"/>
    <w:rsid w:val="001E4F7C"/>
    <w:rsid w:val="001E52CE"/>
    <w:rsid w:val="001E52D0"/>
    <w:rsid w:val="001E61B6"/>
    <w:rsid w:val="001E74D5"/>
    <w:rsid w:val="001E75D9"/>
    <w:rsid w:val="001E7C9E"/>
    <w:rsid w:val="001F0804"/>
    <w:rsid w:val="001F0872"/>
    <w:rsid w:val="001F0D30"/>
    <w:rsid w:val="001F0E73"/>
    <w:rsid w:val="001F12FF"/>
    <w:rsid w:val="001F14C3"/>
    <w:rsid w:val="001F2410"/>
    <w:rsid w:val="001F2637"/>
    <w:rsid w:val="001F2722"/>
    <w:rsid w:val="001F27F6"/>
    <w:rsid w:val="001F336D"/>
    <w:rsid w:val="001F35BC"/>
    <w:rsid w:val="001F39FB"/>
    <w:rsid w:val="001F3F80"/>
    <w:rsid w:val="001F4FDB"/>
    <w:rsid w:val="001F50C0"/>
    <w:rsid w:val="001F541D"/>
    <w:rsid w:val="001F55A3"/>
    <w:rsid w:val="001F5913"/>
    <w:rsid w:val="001F5ADE"/>
    <w:rsid w:val="001F5E6F"/>
    <w:rsid w:val="001F751B"/>
    <w:rsid w:val="00201160"/>
    <w:rsid w:val="0020161D"/>
    <w:rsid w:val="00201872"/>
    <w:rsid w:val="00201AA7"/>
    <w:rsid w:val="00201B49"/>
    <w:rsid w:val="00201F35"/>
    <w:rsid w:val="00202797"/>
    <w:rsid w:val="00202F2B"/>
    <w:rsid w:val="00202FC1"/>
    <w:rsid w:val="0020302F"/>
    <w:rsid w:val="0020327A"/>
    <w:rsid w:val="00203A18"/>
    <w:rsid w:val="00203B42"/>
    <w:rsid w:val="00204240"/>
    <w:rsid w:val="00204299"/>
    <w:rsid w:val="002048A7"/>
    <w:rsid w:val="0020515F"/>
    <w:rsid w:val="0020516A"/>
    <w:rsid w:val="0020517B"/>
    <w:rsid w:val="0020537C"/>
    <w:rsid w:val="00205A7C"/>
    <w:rsid w:val="002060AD"/>
    <w:rsid w:val="00206F52"/>
    <w:rsid w:val="00210716"/>
    <w:rsid w:val="00210929"/>
    <w:rsid w:val="00211403"/>
    <w:rsid w:val="0021143C"/>
    <w:rsid w:val="00211B2C"/>
    <w:rsid w:val="00211D78"/>
    <w:rsid w:val="00211E80"/>
    <w:rsid w:val="00211F18"/>
    <w:rsid w:val="002125B1"/>
    <w:rsid w:val="002127E5"/>
    <w:rsid w:val="00212910"/>
    <w:rsid w:val="00212B4C"/>
    <w:rsid w:val="002130CB"/>
    <w:rsid w:val="002133D4"/>
    <w:rsid w:val="002133E5"/>
    <w:rsid w:val="00213A59"/>
    <w:rsid w:val="00213ADE"/>
    <w:rsid w:val="00213D53"/>
    <w:rsid w:val="00214E11"/>
    <w:rsid w:val="00214E9E"/>
    <w:rsid w:val="0021556A"/>
    <w:rsid w:val="00215B1E"/>
    <w:rsid w:val="00215BA7"/>
    <w:rsid w:val="00215CEF"/>
    <w:rsid w:val="002164FC"/>
    <w:rsid w:val="00216636"/>
    <w:rsid w:val="00217064"/>
    <w:rsid w:val="00217737"/>
    <w:rsid w:val="00217F5D"/>
    <w:rsid w:val="002200EC"/>
    <w:rsid w:val="00220C2A"/>
    <w:rsid w:val="00220F21"/>
    <w:rsid w:val="002212BF"/>
    <w:rsid w:val="00221A82"/>
    <w:rsid w:val="002232A2"/>
    <w:rsid w:val="002233DB"/>
    <w:rsid w:val="00223CE6"/>
    <w:rsid w:val="002240F1"/>
    <w:rsid w:val="00224168"/>
    <w:rsid w:val="0022422F"/>
    <w:rsid w:val="002242D7"/>
    <w:rsid w:val="0022475D"/>
    <w:rsid w:val="002249D2"/>
    <w:rsid w:val="0022561A"/>
    <w:rsid w:val="00225782"/>
    <w:rsid w:val="00225FA6"/>
    <w:rsid w:val="00226442"/>
    <w:rsid w:val="00226EE2"/>
    <w:rsid w:val="00227DB0"/>
    <w:rsid w:val="00227EE8"/>
    <w:rsid w:val="00227EED"/>
    <w:rsid w:val="0023029E"/>
    <w:rsid w:val="00230358"/>
    <w:rsid w:val="002309A2"/>
    <w:rsid w:val="00230FF9"/>
    <w:rsid w:val="00231A12"/>
    <w:rsid w:val="00231CC8"/>
    <w:rsid w:val="002321D8"/>
    <w:rsid w:val="0023238D"/>
    <w:rsid w:val="00232507"/>
    <w:rsid w:val="00232805"/>
    <w:rsid w:val="00233347"/>
    <w:rsid w:val="00233B53"/>
    <w:rsid w:val="00233FBD"/>
    <w:rsid w:val="0023426B"/>
    <w:rsid w:val="0023444B"/>
    <w:rsid w:val="002344C8"/>
    <w:rsid w:val="002348F8"/>
    <w:rsid w:val="002357C3"/>
    <w:rsid w:val="00236107"/>
    <w:rsid w:val="0023623C"/>
    <w:rsid w:val="00236E43"/>
    <w:rsid w:val="00236F4A"/>
    <w:rsid w:val="00237791"/>
    <w:rsid w:val="00237A91"/>
    <w:rsid w:val="00237BCB"/>
    <w:rsid w:val="00237DFB"/>
    <w:rsid w:val="002402BD"/>
    <w:rsid w:val="002408E7"/>
    <w:rsid w:val="00241675"/>
    <w:rsid w:val="00241954"/>
    <w:rsid w:val="00242396"/>
    <w:rsid w:val="002424C2"/>
    <w:rsid w:val="002426B5"/>
    <w:rsid w:val="00242D92"/>
    <w:rsid w:val="0024304E"/>
    <w:rsid w:val="002432B3"/>
    <w:rsid w:val="00243392"/>
    <w:rsid w:val="0024339C"/>
    <w:rsid w:val="002435D9"/>
    <w:rsid w:val="00243B7C"/>
    <w:rsid w:val="0024468A"/>
    <w:rsid w:val="00244C32"/>
    <w:rsid w:val="00244F6A"/>
    <w:rsid w:val="00244F77"/>
    <w:rsid w:val="0024543B"/>
    <w:rsid w:val="0024602F"/>
    <w:rsid w:val="00246179"/>
    <w:rsid w:val="002463DA"/>
    <w:rsid w:val="0024710A"/>
    <w:rsid w:val="00247484"/>
    <w:rsid w:val="002476A4"/>
    <w:rsid w:val="00247D93"/>
    <w:rsid w:val="002503D6"/>
    <w:rsid w:val="002504D2"/>
    <w:rsid w:val="0025080A"/>
    <w:rsid w:val="00250FE8"/>
    <w:rsid w:val="00251642"/>
    <w:rsid w:val="00251693"/>
    <w:rsid w:val="00251C24"/>
    <w:rsid w:val="00252026"/>
    <w:rsid w:val="0025202F"/>
    <w:rsid w:val="00252E21"/>
    <w:rsid w:val="00252EE1"/>
    <w:rsid w:val="002530D7"/>
    <w:rsid w:val="00253509"/>
    <w:rsid w:val="00253782"/>
    <w:rsid w:val="002537C0"/>
    <w:rsid w:val="00253FAB"/>
    <w:rsid w:val="002544BD"/>
    <w:rsid w:val="00254982"/>
    <w:rsid w:val="00255323"/>
    <w:rsid w:val="0025690D"/>
    <w:rsid w:val="002569F3"/>
    <w:rsid w:val="00256C28"/>
    <w:rsid w:val="0025712C"/>
    <w:rsid w:val="002571B8"/>
    <w:rsid w:val="00257422"/>
    <w:rsid w:val="0025747A"/>
    <w:rsid w:val="00257B95"/>
    <w:rsid w:val="00260412"/>
    <w:rsid w:val="00260469"/>
    <w:rsid w:val="00260771"/>
    <w:rsid w:val="0026085E"/>
    <w:rsid w:val="00260D9F"/>
    <w:rsid w:val="0026102E"/>
    <w:rsid w:val="002614CA"/>
    <w:rsid w:val="00261932"/>
    <w:rsid w:val="00261AE0"/>
    <w:rsid w:val="00261EDD"/>
    <w:rsid w:val="00262454"/>
    <w:rsid w:val="0026246D"/>
    <w:rsid w:val="00262F1A"/>
    <w:rsid w:val="0026321F"/>
    <w:rsid w:val="00263255"/>
    <w:rsid w:val="00263DC6"/>
    <w:rsid w:val="002644EA"/>
    <w:rsid w:val="0026453E"/>
    <w:rsid w:val="002645C0"/>
    <w:rsid w:val="002649D6"/>
    <w:rsid w:val="00264E99"/>
    <w:rsid w:val="002652A3"/>
    <w:rsid w:val="00265576"/>
    <w:rsid w:val="00265BEB"/>
    <w:rsid w:val="00265C20"/>
    <w:rsid w:val="002661ED"/>
    <w:rsid w:val="0026729D"/>
    <w:rsid w:val="00267456"/>
    <w:rsid w:val="002700C0"/>
    <w:rsid w:val="00270371"/>
    <w:rsid w:val="002708CF"/>
    <w:rsid w:val="00270CA3"/>
    <w:rsid w:val="00271033"/>
    <w:rsid w:val="0027117B"/>
    <w:rsid w:val="0027136F"/>
    <w:rsid w:val="00272468"/>
    <w:rsid w:val="0027266E"/>
    <w:rsid w:val="00272959"/>
    <w:rsid w:val="002729AE"/>
    <w:rsid w:val="0027341F"/>
    <w:rsid w:val="00273F9A"/>
    <w:rsid w:val="00274939"/>
    <w:rsid w:val="00274A9E"/>
    <w:rsid w:val="00274B95"/>
    <w:rsid w:val="00274C76"/>
    <w:rsid w:val="00274D04"/>
    <w:rsid w:val="00274D08"/>
    <w:rsid w:val="002750DB"/>
    <w:rsid w:val="002752A0"/>
    <w:rsid w:val="00275388"/>
    <w:rsid w:val="00275770"/>
    <w:rsid w:val="002765D1"/>
    <w:rsid w:val="002765EE"/>
    <w:rsid w:val="00276BD4"/>
    <w:rsid w:val="00276CD5"/>
    <w:rsid w:val="00276F27"/>
    <w:rsid w:val="00276F3D"/>
    <w:rsid w:val="00276F90"/>
    <w:rsid w:val="002772DD"/>
    <w:rsid w:val="002774C4"/>
    <w:rsid w:val="002774C6"/>
    <w:rsid w:val="0027766B"/>
    <w:rsid w:val="002800A9"/>
    <w:rsid w:val="002802F2"/>
    <w:rsid w:val="002802F3"/>
    <w:rsid w:val="002806A0"/>
    <w:rsid w:val="002810D7"/>
    <w:rsid w:val="00281A64"/>
    <w:rsid w:val="00281FC8"/>
    <w:rsid w:val="00282569"/>
    <w:rsid w:val="002835C9"/>
    <w:rsid w:val="002836FB"/>
    <w:rsid w:val="00283B5A"/>
    <w:rsid w:val="00283DB3"/>
    <w:rsid w:val="00283F9B"/>
    <w:rsid w:val="002846B0"/>
    <w:rsid w:val="00285B32"/>
    <w:rsid w:val="00285DA3"/>
    <w:rsid w:val="0028618D"/>
    <w:rsid w:val="00286576"/>
    <w:rsid w:val="00286C67"/>
    <w:rsid w:val="00286F82"/>
    <w:rsid w:val="00287E36"/>
    <w:rsid w:val="00291A78"/>
    <w:rsid w:val="0029225F"/>
    <w:rsid w:val="0029334D"/>
    <w:rsid w:val="00293711"/>
    <w:rsid w:val="00294356"/>
    <w:rsid w:val="00294C9B"/>
    <w:rsid w:val="00296002"/>
    <w:rsid w:val="00296389"/>
    <w:rsid w:val="002966DA"/>
    <w:rsid w:val="002967D4"/>
    <w:rsid w:val="002978D3"/>
    <w:rsid w:val="00297FE1"/>
    <w:rsid w:val="002A0256"/>
    <w:rsid w:val="002A0BC0"/>
    <w:rsid w:val="002A11E3"/>
    <w:rsid w:val="002A12D8"/>
    <w:rsid w:val="002A1509"/>
    <w:rsid w:val="002A197D"/>
    <w:rsid w:val="002A1C87"/>
    <w:rsid w:val="002A222D"/>
    <w:rsid w:val="002A22A9"/>
    <w:rsid w:val="002A23FE"/>
    <w:rsid w:val="002A2649"/>
    <w:rsid w:val="002A2D17"/>
    <w:rsid w:val="002A2E4C"/>
    <w:rsid w:val="002A361B"/>
    <w:rsid w:val="002A3734"/>
    <w:rsid w:val="002A4101"/>
    <w:rsid w:val="002A46DA"/>
    <w:rsid w:val="002A47F1"/>
    <w:rsid w:val="002A4A82"/>
    <w:rsid w:val="002A4B8E"/>
    <w:rsid w:val="002A5282"/>
    <w:rsid w:val="002A5BF8"/>
    <w:rsid w:val="002A646F"/>
    <w:rsid w:val="002A76D2"/>
    <w:rsid w:val="002A78FD"/>
    <w:rsid w:val="002A7A43"/>
    <w:rsid w:val="002A7E33"/>
    <w:rsid w:val="002A7E9C"/>
    <w:rsid w:val="002B0258"/>
    <w:rsid w:val="002B0BE0"/>
    <w:rsid w:val="002B0DAE"/>
    <w:rsid w:val="002B1AEC"/>
    <w:rsid w:val="002B1D88"/>
    <w:rsid w:val="002B2058"/>
    <w:rsid w:val="002B269C"/>
    <w:rsid w:val="002B2758"/>
    <w:rsid w:val="002B335A"/>
    <w:rsid w:val="002B3553"/>
    <w:rsid w:val="002B37B1"/>
    <w:rsid w:val="002B3C41"/>
    <w:rsid w:val="002B3D00"/>
    <w:rsid w:val="002B3DD9"/>
    <w:rsid w:val="002B3E8B"/>
    <w:rsid w:val="002B401C"/>
    <w:rsid w:val="002B41E0"/>
    <w:rsid w:val="002B4FB6"/>
    <w:rsid w:val="002B57E9"/>
    <w:rsid w:val="002B5833"/>
    <w:rsid w:val="002B60C7"/>
    <w:rsid w:val="002B6174"/>
    <w:rsid w:val="002B61E6"/>
    <w:rsid w:val="002B737F"/>
    <w:rsid w:val="002B798C"/>
    <w:rsid w:val="002B799F"/>
    <w:rsid w:val="002C00F9"/>
    <w:rsid w:val="002C013E"/>
    <w:rsid w:val="002C0394"/>
    <w:rsid w:val="002C048D"/>
    <w:rsid w:val="002C0C22"/>
    <w:rsid w:val="002C1149"/>
    <w:rsid w:val="002C13EC"/>
    <w:rsid w:val="002C1908"/>
    <w:rsid w:val="002C1A5A"/>
    <w:rsid w:val="002C1E62"/>
    <w:rsid w:val="002C29B2"/>
    <w:rsid w:val="002C2BCA"/>
    <w:rsid w:val="002C3099"/>
    <w:rsid w:val="002C4207"/>
    <w:rsid w:val="002C430A"/>
    <w:rsid w:val="002C4559"/>
    <w:rsid w:val="002C4C2E"/>
    <w:rsid w:val="002C4F47"/>
    <w:rsid w:val="002C5397"/>
    <w:rsid w:val="002C62A0"/>
    <w:rsid w:val="002C658C"/>
    <w:rsid w:val="002C7981"/>
    <w:rsid w:val="002C7C56"/>
    <w:rsid w:val="002C7C86"/>
    <w:rsid w:val="002C7E9C"/>
    <w:rsid w:val="002D079B"/>
    <w:rsid w:val="002D0E38"/>
    <w:rsid w:val="002D1794"/>
    <w:rsid w:val="002D1B91"/>
    <w:rsid w:val="002D1BFD"/>
    <w:rsid w:val="002D1E78"/>
    <w:rsid w:val="002D2363"/>
    <w:rsid w:val="002D2913"/>
    <w:rsid w:val="002D29C9"/>
    <w:rsid w:val="002D2C09"/>
    <w:rsid w:val="002D2C59"/>
    <w:rsid w:val="002D2FB6"/>
    <w:rsid w:val="002D33BD"/>
    <w:rsid w:val="002D3703"/>
    <w:rsid w:val="002D37D7"/>
    <w:rsid w:val="002D482D"/>
    <w:rsid w:val="002D4866"/>
    <w:rsid w:val="002D4D82"/>
    <w:rsid w:val="002D5002"/>
    <w:rsid w:val="002D5178"/>
    <w:rsid w:val="002D52F9"/>
    <w:rsid w:val="002D5A35"/>
    <w:rsid w:val="002D5FD0"/>
    <w:rsid w:val="002D626D"/>
    <w:rsid w:val="002D64A5"/>
    <w:rsid w:val="002D64F8"/>
    <w:rsid w:val="002D67D9"/>
    <w:rsid w:val="002D6B73"/>
    <w:rsid w:val="002D6E78"/>
    <w:rsid w:val="002D73D1"/>
    <w:rsid w:val="002D73F1"/>
    <w:rsid w:val="002D7780"/>
    <w:rsid w:val="002D7AE1"/>
    <w:rsid w:val="002D7BD5"/>
    <w:rsid w:val="002D7E38"/>
    <w:rsid w:val="002E0637"/>
    <w:rsid w:val="002E0F10"/>
    <w:rsid w:val="002E0F36"/>
    <w:rsid w:val="002E11D2"/>
    <w:rsid w:val="002E15C6"/>
    <w:rsid w:val="002E1600"/>
    <w:rsid w:val="002E1FF6"/>
    <w:rsid w:val="002E216A"/>
    <w:rsid w:val="002E2CF5"/>
    <w:rsid w:val="002E2D17"/>
    <w:rsid w:val="002E3201"/>
    <w:rsid w:val="002E36C1"/>
    <w:rsid w:val="002E3859"/>
    <w:rsid w:val="002E39B8"/>
    <w:rsid w:val="002E42C7"/>
    <w:rsid w:val="002E50B9"/>
    <w:rsid w:val="002E54F6"/>
    <w:rsid w:val="002E5724"/>
    <w:rsid w:val="002E5945"/>
    <w:rsid w:val="002E5A70"/>
    <w:rsid w:val="002E6439"/>
    <w:rsid w:val="002E6569"/>
    <w:rsid w:val="002E6BA6"/>
    <w:rsid w:val="002E701D"/>
    <w:rsid w:val="002E771F"/>
    <w:rsid w:val="002E7E27"/>
    <w:rsid w:val="002F0989"/>
    <w:rsid w:val="002F1C23"/>
    <w:rsid w:val="002F1C3B"/>
    <w:rsid w:val="002F29A8"/>
    <w:rsid w:val="002F2FD3"/>
    <w:rsid w:val="002F3171"/>
    <w:rsid w:val="002F3320"/>
    <w:rsid w:val="002F3577"/>
    <w:rsid w:val="002F3D41"/>
    <w:rsid w:val="002F480A"/>
    <w:rsid w:val="002F69FE"/>
    <w:rsid w:val="002F6BC3"/>
    <w:rsid w:val="002F6D7E"/>
    <w:rsid w:val="0030024B"/>
    <w:rsid w:val="0030074A"/>
    <w:rsid w:val="00300EE2"/>
    <w:rsid w:val="0030100F"/>
    <w:rsid w:val="00301211"/>
    <w:rsid w:val="0030242A"/>
    <w:rsid w:val="003025B3"/>
    <w:rsid w:val="003026DF"/>
    <w:rsid w:val="00302B73"/>
    <w:rsid w:val="003030D3"/>
    <w:rsid w:val="003030F7"/>
    <w:rsid w:val="00304314"/>
    <w:rsid w:val="00304AD6"/>
    <w:rsid w:val="00306B74"/>
    <w:rsid w:val="00306D72"/>
    <w:rsid w:val="00307663"/>
    <w:rsid w:val="00307809"/>
    <w:rsid w:val="0031006B"/>
    <w:rsid w:val="003100A3"/>
    <w:rsid w:val="0031010A"/>
    <w:rsid w:val="0031083E"/>
    <w:rsid w:val="00310900"/>
    <w:rsid w:val="003109A4"/>
    <w:rsid w:val="00310FB9"/>
    <w:rsid w:val="00311025"/>
    <w:rsid w:val="00311296"/>
    <w:rsid w:val="00311777"/>
    <w:rsid w:val="0031226D"/>
    <w:rsid w:val="003122F7"/>
    <w:rsid w:val="00313354"/>
    <w:rsid w:val="00313A98"/>
    <w:rsid w:val="00313CFE"/>
    <w:rsid w:val="00313F06"/>
    <w:rsid w:val="003141FD"/>
    <w:rsid w:val="003146CE"/>
    <w:rsid w:val="003146EF"/>
    <w:rsid w:val="00314CEA"/>
    <w:rsid w:val="00314D39"/>
    <w:rsid w:val="00314FC7"/>
    <w:rsid w:val="00315101"/>
    <w:rsid w:val="00315964"/>
    <w:rsid w:val="00315C8C"/>
    <w:rsid w:val="00316017"/>
    <w:rsid w:val="00316032"/>
    <w:rsid w:val="00316359"/>
    <w:rsid w:val="00316BE9"/>
    <w:rsid w:val="00317036"/>
    <w:rsid w:val="003178B1"/>
    <w:rsid w:val="00317D68"/>
    <w:rsid w:val="00320135"/>
    <w:rsid w:val="0032061B"/>
    <w:rsid w:val="003210D5"/>
    <w:rsid w:val="003214AA"/>
    <w:rsid w:val="00321EE7"/>
    <w:rsid w:val="00322412"/>
    <w:rsid w:val="00322841"/>
    <w:rsid w:val="0032372F"/>
    <w:rsid w:val="003237E9"/>
    <w:rsid w:val="00323912"/>
    <w:rsid w:val="00323BBB"/>
    <w:rsid w:val="0032468F"/>
    <w:rsid w:val="0032471A"/>
    <w:rsid w:val="0032494F"/>
    <w:rsid w:val="00324B1E"/>
    <w:rsid w:val="0032505C"/>
    <w:rsid w:val="00325BB9"/>
    <w:rsid w:val="00325C7B"/>
    <w:rsid w:val="00326D96"/>
    <w:rsid w:val="00327127"/>
    <w:rsid w:val="00330B87"/>
    <w:rsid w:val="00330EBF"/>
    <w:rsid w:val="00331245"/>
    <w:rsid w:val="00331486"/>
    <w:rsid w:val="00331EA0"/>
    <w:rsid w:val="003323F5"/>
    <w:rsid w:val="003326E3"/>
    <w:rsid w:val="003332A5"/>
    <w:rsid w:val="00333317"/>
    <w:rsid w:val="003334A7"/>
    <w:rsid w:val="003334E8"/>
    <w:rsid w:val="0033367C"/>
    <w:rsid w:val="00333724"/>
    <w:rsid w:val="00333848"/>
    <w:rsid w:val="003339B4"/>
    <w:rsid w:val="003341D4"/>
    <w:rsid w:val="003342D4"/>
    <w:rsid w:val="00334300"/>
    <w:rsid w:val="003343BB"/>
    <w:rsid w:val="00334696"/>
    <w:rsid w:val="00334A71"/>
    <w:rsid w:val="003354DC"/>
    <w:rsid w:val="003360B6"/>
    <w:rsid w:val="003362A4"/>
    <w:rsid w:val="0033739D"/>
    <w:rsid w:val="00337C8A"/>
    <w:rsid w:val="003402BD"/>
    <w:rsid w:val="00340477"/>
    <w:rsid w:val="003404C5"/>
    <w:rsid w:val="00340B23"/>
    <w:rsid w:val="00340D9C"/>
    <w:rsid w:val="00340FE9"/>
    <w:rsid w:val="00341340"/>
    <w:rsid w:val="0034224C"/>
    <w:rsid w:val="00342745"/>
    <w:rsid w:val="003427EB"/>
    <w:rsid w:val="00342B3D"/>
    <w:rsid w:val="0034385B"/>
    <w:rsid w:val="00343CF8"/>
    <w:rsid w:val="00343E37"/>
    <w:rsid w:val="00344300"/>
    <w:rsid w:val="003448B2"/>
    <w:rsid w:val="00345246"/>
    <w:rsid w:val="00345754"/>
    <w:rsid w:val="00345884"/>
    <w:rsid w:val="00345FD7"/>
    <w:rsid w:val="00346538"/>
    <w:rsid w:val="00347666"/>
    <w:rsid w:val="00347C81"/>
    <w:rsid w:val="00350658"/>
    <w:rsid w:val="0035089D"/>
    <w:rsid w:val="00350973"/>
    <w:rsid w:val="00350D54"/>
    <w:rsid w:val="0035231C"/>
    <w:rsid w:val="00352792"/>
    <w:rsid w:val="003528E3"/>
    <w:rsid w:val="003536C3"/>
    <w:rsid w:val="003536D1"/>
    <w:rsid w:val="003542DB"/>
    <w:rsid w:val="003543E9"/>
    <w:rsid w:val="00354D34"/>
    <w:rsid w:val="00354E06"/>
    <w:rsid w:val="00354EBA"/>
    <w:rsid w:val="00354F03"/>
    <w:rsid w:val="0035523B"/>
    <w:rsid w:val="00355421"/>
    <w:rsid w:val="00355500"/>
    <w:rsid w:val="00355A4D"/>
    <w:rsid w:val="00355B96"/>
    <w:rsid w:val="0035604B"/>
    <w:rsid w:val="0035605D"/>
    <w:rsid w:val="00356CFB"/>
    <w:rsid w:val="0035716A"/>
    <w:rsid w:val="00357653"/>
    <w:rsid w:val="003576CC"/>
    <w:rsid w:val="0035787B"/>
    <w:rsid w:val="0035799E"/>
    <w:rsid w:val="00357FD6"/>
    <w:rsid w:val="003608F9"/>
    <w:rsid w:val="00360A4A"/>
    <w:rsid w:val="003612F6"/>
    <w:rsid w:val="00362C9E"/>
    <w:rsid w:val="0036307C"/>
    <w:rsid w:val="003631BB"/>
    <w:rsid w:val="0036361E"/>
    <w:rsid w:val="00363B2F"/>
    <w:rsid w:val="00364770"/>
    <w:rsid w:val="00364B40"/>
    <w:rsid w:val="00364BDD"/>
    <w:rsid w:val="00365CCA"/>
    <w:rsid w:val="0036648D"/>
    <w:rsid w:val="0036667C"/>
    <w:rsid w:val="00366DDE"/>
    <w:rsid w:val="003701CD"/>
    <w:rsid w:val="00370427"/>
    <w:rsid w:val="00370688"/>
    <w:rsid w:val="00370877"/>
    <w:rsid w:val="00370D27"/>
    <w:rsid w:val="00370F02"/>
    <w:rsid w:val="003716B1"/>
    <w:rsid w:val="00371A7E"/>
    <w:rsid w:val="00372319"/>
    <w:rsid w:val="00372350"/>
    <w:rsid w:val="003723B7"/>
    <w:rsid w:val="00372E9A"/>
    <w:rsid w:val="003732EA"/>
    <w:rsid w:val="003739E6"/>
    <w:rsid w:val="0037460F"/>
    <w:rsid w:val="00374A05"/>
    <w:rsid w:val="00374AD6"/>
    <w:rsid w:val="0037506B"/>
    <w:rsid w:val="00375179"/>
    <w:rsid w:val="0037517C"/>
    <w:rsid w:val="0037554B"/>
    <w:rsid w:val="003757AF"/>
    <w:rsid w:val="00376418"/>
    <w:rsid w:val="003771DC"/>
    <w:rsid w:val="00377CB1"/>
    <w:rsid w:val="00380788"/>
    <w:rsid w:val="00381603"/>
    <w:rsid w:val="00382BA0"/>
    <w:rsid w:val="00382EB1"/>
    <w:rsid w:val="003832C8"/>
    <w:rsid w:val="003834DE"/>
    <w:rsid w:val="003835F5"/>
    <w:rsid w:val="0038372E"/>
    <w:rsid w:val="00383A0F"/>
    <w:rsid w:val="00383C8D"/>
    <w:rsid w:val="003843EA"/>
    <w:rsid w:val="0038447E"/>
    <w:rsid w:val="003845E8"/>
    <w:rsid w:val="003846E2"/>
    <w:rsid w:val="00384FAA"/>
    <w:rsid w:val="00385219"/>
    <w:rsid w:val="003857D4"/>
    <w:rsid w:val="00385BC4"/>
    <w:rsid w:val="003863AF"/>
    <w:rsid w:val="00386C0F"/>
    <w:rsid w:val="00386D06"/>
    <w:rsid w:val="00391333"/>
    <w:rsid w:val="00393398"/>
    <w:rsid w:val="0039346B"/>
    <w:rsid w:val="003947C6"/>
    <w:rsid w:val="00394E17"/>
    <w:rsid w:val="00394F4A"/>
    <w:rsid w:val="003950FF"/>
    <w:rsid w:val="00395DCF"/>
    <w:rsid w:val="00395E06"/>
    <w:rsid w:val="00395E15"/>
    <w:rsid w:val="003963BA"/>
    <w:rsid w:val="003967C4"/>
    <w:rsid w:val="00396E8C"/>
    <w:rsid w:val="003971F6"/>
    <w:rsid w:val="003972C0"/>
    <w:rsid w:val="0039768F"/>
    <w:rsid w:val="0039795A"/>
    <w:rsid w:val="00397BAD"/>
    <w:rsid w:val="003A0348"/>
    <w:rsid w:val="003A0653"/>
    <w:rsid w:val="003A087D"/>
    <w:rsid w:val="003A17CD"/>
    <w:rsid w:val="003A18AD"/>
    <w:rsid w:val="003A21AE"/>
    <w:rsid w:val="003A2AEA"/>
    <w:rsid w:val="003A354D"/>
    <w:rsid w:val="003A368F"/>
    <w:rsid w:val="003A3EE5"/>
    <w:rsid w:val="003A5304"/>
    <w:rsid w:val="003A61B4"/>
    <w:rsid w:val="003A63DE"/>
    <w:rsid w:val="003A690A"/>
    <w:rsid w:val="003A733C"/>
    <w:rsid w:val="003A74B4"/>
    <w:rsid w:val="003A7AA3"/>
    <w:rsid w:val="003A7B50"/>
    <w:rsid w:val="003A7FDD"/>
    <w:rsid w:val="003B0159"/>
    <w:rsid w:val="003B08A0"/>
    <w:rsid w:val="003B099D"/>
    <w:rsid w:val="003B0F76"/>
    <w:rsid w:val="003B191B"/>
    <w:rsid w:val="003B1AF6"/>
    <w:rsid w:val="003B2348"/>
    <w:rsid w:val="003B3003"/>
    <w:rsid w:val="003B371D"/>
    <w:rsid w:val="003B399E"/>
    <w:rsid w:val="003B3B05"/>
    <w:rsid w:val="003B3D08"/>
    <w:rsid w:val="003B3D5A"/>
    <w:rsid w:val="003B3EE0"/>
    <w:rsid w:val="003B4757"/>
    <w:rsid w:val="003B4CBD"/>
    <w:rsid w:val="003B4D34"/>
    <w:rsid w:val="003B55A1"/>
    <w:rsid w:val="003B5C91"/>
    <w:rsid w:val="003B5E89"/>
    <w:rsid w:val="003B60E3"/>
    <w:rsid w:val="003B77BF"/>
    <w:rsid w:val="003B78CD"/>
    <w:rsid w:val="003B7B70"/>
    <w:rsid w:val="003C0778"/>
    <w:rsid w:val="003C084F"/>
    <w:rsid w:val="003C0C6F"/>
    <w:rsid w:val="003C0D0F"/>
    <w:rsid w:val="003C1342"/>
    <w:rsid w:val="003C1379"/>
    <w:rsid w:val="003C14E0"/>
    <w:rsid w:val="003C1696"/>
    <w:rsid w:val="003C18B1"/>
    <w:rsid w:val="003C2635"/>
    <w:rsid w:val="003C2EB9"/>
    <w:rsid w:val="003C330F"/>
    <w:rsid w:val="003C3D2A"/>
    <w:rsid w:val="003C3FA1"/>
    <w:rsid w:val="003C4554"/>
    <w:rsid w:val="003C5033"/>
    <w:rsid w:val="003C5589"/>
    <w:rsid w:val="003C55D7"/>
    <w:rsid w:val="003C56A2"/>
    <w:rsid w:val="003C5725"/>
    <w:rsid w:val="003C59FC"/>
    <w:rsid w:val="003C62B5"/>
    <w:rsid w:val="003C6441"/>
    <w:rsid w:val="003C67E1"/>
    <w:rsid w:val="003C72D7"/>
    <w:rsid w:val="003C7568"/>
    <w:rsid w:val="003D0877"/>
    <w:rsid w:val="003D0DD5"/>
    <w:rsid w:val="003D0E00"/>
    <w:rsid w:val="003D1167"/>
    <w:rsid w:val="003D116C"/>
    <w:rsid w:val="003D1328"/>
    <w:rsid w:val="003D1919"/>
    <w:rsid w:val="003D24D6"/>
    <w:rsid w:val="003D2F7D"/>
    <w:rsid w:val="003D306E"/>
    <w:rsid w:val="003D3125"/>
    <w:rsid w:val="003D3663"/>
    <w:rsid w:val="003D38CA"/>
    <w:rsid w:val="003D43AE"/>
    <w:rsid w:val="003D4B33"/>
    <w:rsid w:val="003D5034"/>
    <w:rsid w:val="003D55AA"/>
    <w:rsid w:val="003D5932"/>
    <w:rsid w:val="003D5B32"/>
    <w:rsid w:val="003D5F2A"/>
    <w:rsid w:val="003D60DB"/>
    <w:rsid w:val="003D66C9"/>
    <w:rsid w:val="003D6B7E"/>
    <w:rsid w:val="003D6E95"/>
    <w:rsid w:val="003D7CFF"/>
    <w:rsid w:val="003E0425"/>
    <w:rsid w:val="003E0555"/>
    <w:rsid w:val="003E0739"/>
    <w:rsid w:val="003E083E"/>
    <w:rsid w:val="003E08D8"/>
    <w:rsid w:val="003E11F7"/>
    <w:rsid w:val="003E17CB"/>
    <w:rsid w:val="003E18DC"/>
    <w:rsid w:val="003E245F"/>
    <w:rsid w:val="003E2579"/>
    <w:rsid w:val="003E2969"/>
    <w:rsid w:val="003E386E"/>
    <w:rsid w:val="003E3920"/>
    <w:rsid w:val="003E3BFF"/>
    <w:rsid w:val="003E3D33"/>
    <w:rsid w:val="003E4324"/>
    <w:rsid w:val="003E462C"/>
    <w:rsid w:val="003E4710"/>
    <w:rsid w:val="003E4E31"/>
    <w:rsid w:val="003E54B2"/>
    <w:rsid w:val="003E575E"/>
    <w:rsid w:val="003E6787"/>
    <w:rsid w:val="003E6FB0"/>
    <w:rsid w:val="003E7268"/>
    <w:rsid w:val="003E728D"/>
    <w:rsid w:val="003E74DA"/>
    <w:rsid w:val="003E7ACC"/>
    <w:rsid w:val="003E7E4F"/>
    <w:rsid w:val="003E7E66"/>
    <w:rsid w:val="003F00A0"/>
    <w:rsid w:val="003F03A6"/>
    <w:rsid w:val="003F05DC"/>
    <w:rsid w:val="003F062E"/>
    <w:rsid w:val="003F0825"/>
    <w:rsid w:val="003F0C6A"/>
    <w:rsid w:val="003F0DC1"/>
    <w:rsid w:val="003F0DE1"/>
    <w:rsid w:val="003F0E3B"/>
    <w:rsid w:val="003F0E65"/>
    <w:rsid w:val="003F0FF4"/>
    <w:rsid w:val="003F1E81"/>
    <w:rsid w:val="003F223E"/>
    <w:rsid w:val="003F29D4"/>
    <w:rsid w:val="003F36B7"/>
    <w:rsid w:val="003F36C4"/>
    <w:rsid w:val="003F3C8C"/>
    <w:rsid w:val="003F40C0"/>
    <w:rsid w:val="003F417F"/>
    <w:rsid w:val="003F5513"/>
    <w:rsid w:val="003F5BB7"/>
    <w:rsid w:val="003F5D54"/>
    <w:rsid w:val="003F5DDD"/>
    <w:rsid w:val="003F5E09"/>
    <w:rsid w:val="003F614D"/>
    <w:rsid w:val="003F64C3"/>
    <w:rsid w:val="003F67DB"/>
    <w:rsid w:val="003F6843"/>
    <w:rsid w:val="003F6883"/>
    <w:rsid w:val="004001B7"/>
    <w:rsid w:val="00400250"/>
    <w:rsid w:val="00400499"/>
    <w:rsid w:val="00400FEE"/>
    <w:rsid w:val="0040160E"/>
    <w:rsid w:val="00401670"/>
    <w:rsid w:val="00402331"/>
    <w:rsid w:val="00402434"/>
    <w:rsid w:val="00402635"/>
    <w:rsid w:val="004026EE"/>
    <w:rsid w:val="00402E32"/>
    <w:rsid w:val="004036DC"/>
    <w:rsid w:val="00403CB8"/>
    <w:rsid w:val="0040416E"/>
    <w:rsid w:val="00404BAD"/>
    <w:rsid w:val="00404D83"/>
    <w:rsid w:val="00405189"/>
    <w:rsid w:val="00405388"/>
    <w:rsid w:val="004054C9"/>
    <w:rsid w:val="004059B8"/>
    <w:rsid w:val="00405C95"/>
    <w:rsid w:val="00406156"/>
    <w:rsid w:val="00406F87"/>
    <w:rsid w:val="0040724A"/>
    <w:rsid w:val="004075B0"/>
    <w:rsid w:val="00407654"/>
    <w:rsid w:val="00407E06"/>
    <w:rsid w:val="0041074E"/>
    <w:rsid w:val="00410A18"/>
    <w:rsid w:val="00410B0D"/>
    <w:rsid w:val="00410C2E"/>
    <w:rsid w:val="0041189E"/>
    <w:rsid w:val="00411E0F"/>
    <w:rsid w:val="004121FF"/>
    <w:rsid w:val="0041266A"/>
    <w:rsid w:val="00412671"/>
    <w:rsid w:val="00412DC2"/>
    <w:rsid w:val="004131F5"/>
    <w:rsid w:val="004132BA"/>
    <w:rsid w:val="00413849"/>
    <w:rsid w:val="00413B61"/>
    <w:rsid w:val="00414047"/>
    <w:rsid w:val="00414580"/>
    <w:rsid w:val="004146B1"/>
    <w:rsid w:val="004146F2"/>
    <w:rsid w:val="004148F8"/>
    <w:rsid w:val="00414920"/>
    <w:rsid w:val="0041685B"/>
    <w:rsid w:val="00416EFD"/>
    <w:rsid w:val="004172A5"/>
    <w:rsid w:val="0041794E"/>
    <w:rsid w:val="00417994"/>
    <w:rsid w:val="00417EBA"/>
    <w:rsid w:val="00417F98"/>
    <w:rsid w:val="004204E6"/>
    <w:rsid w:val="00420770"/>
    <w:rsid w:val="00420F73"/>
    <w:rsid w:val="0042129F"/>
    <w:rsid w:val="00421531"/>
    <w:rsid w:val="00421558"/>
    <w:rsid w:val="00421898"/>
    <w:rsid w:val="00421A19"/>
    <w:rsid w:val="00422204"/>
    <w:rsid w:val="004233A8"/>
    <w:rsid w:val="00423BED"/>
    <w:rsid w:val="00423F5E"/>
    <w:rsid w:val="00424198"/>
    <w:rsid w:val="0042421D"/>
    <w:rsid w:val="00424F06"/>
    <w:rsid w:val="004253BE"/>
    <w:rsid w:val="004255EA"/>
    <w:rsid w:val="0042570B"/>
    <w:rsid w:val="004259C8"/>
    <w:rsid w:val="00425E79"/>
    <w:rsid w:val="00426354"/>
    <w:rsid w:val="0042643A"/>
    <w:rsid w:val="004264CB"/>
    <w:rsid w:val="004271AF"/>
    <w:rsid w:val="00427220"/>
    <w:rsid w:val="0042791A"/>
    <w:rsid w:val="004307C8"/>
    <w:rsid w:val="00430FCA"/>
    <w:rsid w:val="00431A5C"/>
    <w:rsid w:val="00431BD8"/>
    <w:rsid w:val="0043238C"/>
    <w:rsid w:val="0043266E"/>
    <w:rsid w:val="00432797"/>
    <w:rsid w:val="00432F18"/>
    <w:rsid w:val="004333B8"/>
    <w:rsid w:val="00433407"/>
    <w:rsid w:val="00433536"/>
    <w:rsid w:val="00433748"/>
    <w:rsid w:val="004339BC"/>
    <w:rsid w:val="00433EF3"/>
    <w:rsid w:val="004346B2"/>
    <w:rsid w:val="00434CCE"/>
    <w:rsid w:val="00434E71"/>
    <w:rsid w:val="00435307"/>
    <w:rsid w:val="00435384"/>
    <w:rsid w:val="00435B91"/>
    <w:rsid w:val="00435BFC"/>
    <w:rsid w:val="004367E4"/>
    <w:rsid w:val="004371D0"/>
    <w:rsid w:val="00437E68"/>
    <w:rsid w:val="004403ED"/>
    <w:rsid w:val="00440979"/>
    <w:rsid w:val="00440C17"/>
    <w:rsid w:val="00440F27"/>
    <w:rsid w:val="004417A9"/>
    <w:rsid w:val="004417E9"/>
    <w:rsid w:val="00441B33"/>
    <w:rsid w:val="00441BE9"/>
    <w:rsid w:val="00441D56"/>
    <w:rsid w:val="00442123"/>
    <w:rsid w:val="00442F9A"/>
    <w:rsid w:val="004432E4"/>
    <w:rsid w:val="0044365D"/>
    <w:rsid w:val="004436F7"/>
    <w:rsid w:val="00443A47"/>
    <w:rsid w:val="00443B37"/>
    <w:rsid w:val="00443BAB"/>
    <w:rsid w:val="00443E59"/>
    <w:rsid w:val="00443F47"/>
    <w:rsid w:val="00443F83"/>
    <w:rsid w:val="0044489F"/>
    <w:rsid w:val="00444B0D"/>
    <w:rsid w:val="00445098"/>
    <w:rsid w:val="004454E7"/>
    <w:rsid w:val="004458D2"/>
    <w:rsid w:val="00445B4E"/>
    <w:rsid w:val="00445C36"/>
    <w:rsid w:val="00445DC3"/>
    <w:rsid w:val="004463A4"/>
    <w:rsid w:val="00446554"/>
    <w:rsid w:val="00446608"/>
    <w:rsid w:val="004469F3"/>
    <w:rsid w:val="00447198"/>
    <w:rsid w:val="00447DEC"/>
    <w:rsid w:val="00450ECF"/>
    <w:rsid w:val="004517D2"/>
    <w:rsid w:val="00451B4E"/>
    <w:rsid w:val="0045259B"/>
    <w:rsid w:val="004529E5"/>
    <w:rsid w:val="00452B04"/>
    <w:rsid w:val="004533B8"/>
    <w:rsid w:val="0045497F"/>
    <w:rsid w:val="00454D21"/>
    <w:rsid w:val="00454F20"/>
    <w:rsid w:val="00454F95"/>
    <w:rsid w:val="00454FEA"/>
    <w:rsid w:val="0045577F"/>
    <w:rsid w:val="00455E5D"/>
    <w:rsid w:val="00456863"/>
    <w:rsid w:val="00456BC4"/>
    <w:rsid w:val="00456D09"/>
    <w:rsid w:val="00457CD0"/>
    <w:rsid w:val="00460602"/>
    <w:rsid w:val="00460DB0"/>
    <w:rsid w:val="00461ACA"/>
    <w:rsid w:val="00462ED1"/>
    <w:rsid w:val="00463548"/>
    <w:rsid w:val="0046491D"/>
    <w:rsid w:val="00464A30"/>
    <w:rsid w:val="00464D2C"/>
    <w:rsid w:val="00464E8C"/>
    <w:rsid w:val="0046531B"/>
    <w:rsid w:val="004657E0"/>
    <w:rsid w:val="00465948"/>
    <w:rsid w:val="00465F86"/>
    <w:rsid w:val="004661F3"/>
    <w:rsid w:val="00466EFF"/>
    <w:rsid w:val="00466FB6"/>
    <w:rsid w:val="00466FCB"/>
    <w:rsid w:val="0046759C"/>
    <w:rsid w:val="00467CC7"/>
    <w:rsid w:val="00467DA8"/>
    <w:rsid w:val="00470095"/>
    <w:rsid w:val="00470DEC"/>
    <w:rsid w:val="0047107E"/>
    <w:rsid w:val="00471588"/>
    <w:rsid w:val="0047175C"/>
    <w:rsid w:val="0047229D"/>
    <w:rsid w:val="00472418"/>
    <w:rsid w:val="00472665"/>
    <w:rsid w:val="00472C66"/>
    <w:rsid w:val="004738AE"/>
    <w:rsid w:val="00473968"/>
    <w:rsid w:val="00473BE9"/>
    <w:rsid w:val="00474386"/>
    <w:rsid w:val="0047448F"/>
    <w:rsid w:val="0047466E"/>
    <w:rsid w:val="00474AD0"/>
    <w:rsid w:val="00475E83"/>
    <w:rsid w:val="00475F5C"/>
    <w:rsid w:val="0047674E"/>
    <w:rsid w:val="004770C6"/>
    <w:rsid w:val="00477760"/>
    <w:rsid w:val="00480270"/>
    <w:rsid w:val="004802FA"/>
    <w:rsid w:val="004810D5"/>
    <w:rsid w:val="0048161E"/>
    <w:rsid w:val="004822F8"/>
    <w:rsid w:val="00483083"/>
    <w:rsid w:val="0048340C"/>
    <w:rsid w:val="004834C9"/>
    <w:rsid w:val="0048364B"/>
    <w:rsid w:val="00483A17"/>
    <w:rsid w:val="00483F7F"/>
    <w:rsid w:val="0048410C"/>
    <w:rsid w:val="00484123"/>
    <w:rsid w:val="00484191"/>
    <w:rsid w:val="004863D2"/>
    <w:rsid w:val="00486952"/>
    <w:rsid w:val="00486BA6"/>
    <w:rsid w:val="004878A1"/>
    <w:rsid w:val="004878C6"/>
    <w:rsid w:val="00487CDC"/>
    <w:rsid w:val="00487D18"/>
    <w:rsid w:val="00490984"/>
    <w:rsid w:val="00491336"/>
    <w:rsid w:val="00491400"/>
    <w:rsid w:val="0049153D"/>
    <w:rsid w:val="0049175B"/>
    <w:rsid w:val="00491B93"/>
    <w:rsid w:val="004925E2"/>
    <w:rsid w:val="00493343"/>
    <w:rsid w:val="0049386F"/>
    <w:rsid w:val="00493910"/>
    <w:rsid w:val="00493A28"/>
    <w:rsid w:val="004945CE"/>
    <w:rsid w:val="004945F0"/>
    <w:rsid w:val="00494A08"/>
    <w:rsid w:val="00495016"/>
    <w:rsid w:val="00495438"/>
    <w:rsid w:val="00495A05"/>
    <w:rsid w:val="00495EC8"/>
    <w:rsid w:val="00496144"/>
    <w:rsid w:val="00496211"/>
    <w:rsid w:val="0049654F"/>
    <w:rsid w:val="00496599"/>
    <w:rsid w:val="004970BE"/>
    <w:rsid w:val="0049771C"/>
    <w:rsid w:val="00497810"/>
    <w:rsid w:val="004A0912"/>
    <w:rsid w:val="004A0D58"/>
    <w:rsid w:val="004A0F57"/>
    <w:rsid w:val="004A1960"/>
    <w:rsid w:val="004A1CB9"/>
    <w:rsid w:val="004A25BD"/>
    <w:rsid w:val="004A2F9A"/>
    <w:rsid w:val="004A32C1"/>
    <w:rsid w:val="004A3FBF"/>
    <w:rsid w:val="004A4FC7"/>
    <w:rsid w:val="004A51C4"/>
    <w:rsid w:val="004A53A0"/>
    <w:rsid w:val="004A5A6F"/>
    <w:rsid w:val="004A5CCF"/>
    <w:rsid w:val="004A5D8F"/>
    <w:rsid w:val="004A615A"/>
    <w:rsid w:val="004A6605"/>
    <w:rsid w:val="004A6C99"/>
    <w:rsid w:val="004A782F"/>
    <w:rsid w:val="004A791B"/>
    <w:rsid w:val="004B05C7"/>
    <w:rsid w:val="004B06BE"/>
    <w:rsid w:val="004B0BB3"/>
    <w:rsid w:val="004B0D6B"/>
    <w:rsid w:val="004B104D"/>
    <w:rsid w:val="004B12EC"/>
    <w:rsid w:val="004B1751"/>
    <w:rsid w:val="004B1BD6"/>
    <w:rsid w:val="004B3718"/>
    <w:rsid w:val="004B3DA9"/>
    <w:rsid w:val="004B46F8"/>
    <w:rsid w:val="004B48A7"/>
    <w:rsid w:val="004B4EBD"/>
    <w:rsid w:val="004B59B8"/>
    <w:rsid w:val="004B64C3"/>
    <w:rsid w:val="004B64F3"/>
    <w:rsid w:val="004B665D"/>
    <w:rsid w:val="004B668E"/>
    <w:rsid w:val="004B6AA2"/>
    <w:rsid w:val="004B72F3"/>
    <w:rsid w:val="004B7B42"/>
    <w:rsid w:val="004C03A3"/>
    <w:rsid w:val="004C15AC"/>
    <w:rsid w:val="004C1900"/>
    <w:rsid w:val="004C1B2A"/>
    <w:rsid w:val="004C2E62"/>
    <w:rsid w:val="004C349B"/>
    <w:rsid w:val="004C391E"/>
    <w:rsid w:val="004C439E"/>
    <w:rsid w:val="004C4E00"/>
    <w:rsid w:val="004C4E36"/>
    <w:rsid w:val="004C4E38"/>
    <w:rsid w:val="004C55A0"/>
    <w:rsid w:val="004C5FCB"/>
    <w:rsid w:val="004C5FFF"/>
    <w:rsid w:val="004C6196"/>
    <w:rsid w:val="004C63B0"/>
    <w:rsid w:val="004C63CC"/>
    <w:rsid w:val="004C65CB"/>
    <w:rsid w:val="004C696D"/>
    <w:rsid w:val="004C6AF7"/>
    <w:rsid w:val="004C6D64"/>
    <w:rsid w:val="004C6E1D"/>
    <w:rsid w:val="004C7A0A"/>
    <w:rsid w:val="004C7F20"/>
    <w:rsid w:val="004D07B7"/>
    <w:rsid w:val="004D141C"/>
    <w:rsid w:val="004D1C02"/>
    <w:rsid w:val="004D32F8"/>
    <w:rsid w:val="004D3A7D"/>
    <w:rsid w:val="004D479C"/>
    <w:rsid w:val="004D4F02"/>
    <w:rsid w:val="004D549E"/>
    <w:rsid w:val="004D5A70"/>
    <w:rsid w:val="004D5E64"/>
    <w:rsid w:val="004D60CA"/>
    <w:rsid w:val="004D6390"/>
    <w:rsid w:val="004D63E0"/>
    <w:rsid w:val="004D66B2"/>
    <w:rsid w:val="004D73E8"/>
    <w:rsid w:val="004D7AC7"/>
    <w:rsid w:val="004E03B6"/>
    <w:rsid w:val="004E0C2A"/>
    <w:rsid w:val="004E0CF3"/>
    <w:rsid w:val="004E2204"/>
    <w:rsid w:val="004E2C12"/>
    <w:rsid w:val="004E2DE2"/>
    <w:rsid w:val="004E2ED5"/>
    <w:rsid w:val="004E32A7"/>
    <w:rsid w:val="004E3315"/>
    <w:rsid w:val="004E356C"/>
    <w:rsid w:val="004E384B"/>
    <w:rsid w:val="004E3894"/>
    <w:rsid w:val="004E38F0"/>
    <w:rsid w:val="004E399D"/>
    <w:rsid w:val="004E39D2"/>
    <w:rsid w:val="004E3EBF"/>
    <w:rsid w:val="004E422F"/>
    <w:rsid w:val="004E43EC"/>
    <w:rsid w:val="004E4572"/>
    <w:rsid w:val="004E47E8"/>
    <w:rsid w:val="004E4A8C"/>
    <w:rsid w:val="004E4C98"/>
    <w:rsid w:val="004E5165"/>
    <w:rsid w:val="004E52C1"/>
    <w:rsid w:val="004E5694"/>
    <w:rsid w:val="004E5987"/>
    <w:rsid w:val="004E6613"/>
    <w:rsid w:val="004E6944"/>
    <w:rsid w:val="004E756C"/>
    <w:rsid w:val="004E7CFC"/>
    <w:rsid w:val="004F0AB0"/>
    <w:rsid w:val="004F0C5F"/>
    <w:rsid w:val="004F0E20"/>
    <w:rsid w:val="004F1BCE"/>
    <w:rsid w:val="004F1BD5"/>
    <w:rsid w:val="004F1E82"/>
    <w:rsid w:val="004F1FBF"/>
    <w:rsid w:val="004F1FCC"/>
    <w:rsid w:val="004F2361"/>
    <w:rsid w:val="004F237E"/>
    <w:rsid w:val="004F2451"/>
    <w:rsid w:val="004F27ED"/>
    <w:rsid w:val="004F2AF4"/>
    <w:rsid w:val="004F2C65"/>
    <w:rsid w:val="004F2ECD"/>
    <w:rsid w:val="004F32D4"/>
    <w:rsid w:val="004F3B93"/>
    <w:rsid w:val="004F3C69"/>
    <w:rsid w:val="004F3EA1"/>
    <w:rsid w:val="004F453F"/>
    <w:rsid w:val="004F4623"/>
    <w:rsid w:val="004F485F"/>
    <w:rsid w:val="004F4A9F"/>
    <w:rsid w:val="004F4DC0"/>
    <w:rsid w:val="004F6C26"/>
    <w:rsid w:val="004F717C"/>
    <w:rsid w:val="004F7862"/>
    <w:rsid w:val="004F7EE6"/>
    <w:rsid w:val="005003C8"/>
    <w:rsid w:val="0050093F"/>
    <w:rsid w:val="00500ABA"/>
    <w:rsid w:val="00500BA8"/>
    <w:rsid w:val="00500E13"/>
    <w:rsid w:val="00500F0D"/>
    <w:rsid w:val="00501763"/>
    <w:rsid w:val="00501EC5"/>
    <w:rsid w:val="0050212C"/>
    <w:rsid w:val="00502294"/>
    <w:rsid w:val="00502832"/>
    <w:rsid w:val="0050284D"/>
    <w:rsid w:val="005030E7"/>
    <w:rsid w:val="005030EB"/>
    <w:rsid w:val="005031A2"/>
    <w:rsid w:val="0050338E"/>
    <w:rsid w:val="00504BFF"/>
    <w:rsid w:val="00504F0C"/>
    <w:rsid w:val="0050584E"/>
    <w:rsid w:val="005058F1"/>
    <w:rsid w:val="00505E98"/>
    <w:rsid w:val="00505EE2"/>
    <w:rsid w:val="00505F31"/>
    <w:rsid w:val="0050607E"/>
    <w:rsid w:val="00506325"/>
    <w:rsid w:val="00506522"/>
    <w:rsid w:val="00506A07"/>
    <w:rsid w:val="005072CA"/>
    <w:rsid w:val="00507515"/>
    <w:rsid w:val="00510281"/>
    <w:rsid w:val="00511628"/>
    <w:rsid w:val="005117E5"/>
    <w:rsid w:val="00511D4D"/>
    <w:rsid w:val="00512059"/>
    <w:rsid w:val="00512686"/>
    <w:rsid w:val="005126C9"/>
    <w:rsid w:val="00512AC6"/>
    <w:rsid w:val="00512BB5"/>
    <w:rsid w:val="005138DA"/>
    <w:rsid w:val="005153D1"/>
    <w:rsid w:val="00515871"/>
    <w:rsid w:val="00515C0A"/>
    <w:rsid w:val="0051663D"/>
    <w:rsid w:val="005167D9"/>
    <w:rsid w:val="00516AED"/>
    <w:rsid w:val="005179A3"/>
    <w:rsid w:val="00521103"/>
    <w:rsid w:val="005213BD"/>
    <w:rsid w:val="005215C8"/>
    <w:rsid w:val="00523738"/>
    <w:rsid w:val="005237A3"/>
    <w:rsid w:val="00523849"/>
    <w:rsid w:val="00524130"/>
    <w:rsid w:val="0052464C"/>
    <w:rsid w:val="0052479E"/>
    <w:rsid w:val="00524AA6"/>
    <w:rsid w:val="00525158"/>
    <w:rsid w:val="005259E6"/>
    <w:rsid w:val="005264B4"/>
    <w:rsid w:val="00526564"/>
    <w:rsid w:val="00526572"/>
    <w:rsid w:val="00526A9C"/>
    <w:rsid w:val="00527281"/>
    <w:rsid w:val="00527766"/>
    <w:rsid w:val="005277A6"/>
    <w:rsid w:val="0052786C"/>
    <w:rsid w:val="00527936"/>
    <w:rsid w:val="00530194"/>
    <w:rsid w:val="00530298"/>
    <w:rsid w:val="005304E8"/>
    <w:rsid w:val="00530651"/>
    <w:rsid w:val="00530C14"/>
    <w:rsid w:val="00530DE4"/>
    <w:rsid w:val="00531085"/>
    <w:rsid w:val="005317C7"/>
    <w:rsid w:val="00531F11"/>
    <w:rsid w:val="00532BBE"/>
    <w:rsid w:val="00532C3B"/>
    <w:rsid w:val="0053390A"/>
    <w:rsid w:val="00534FB4"/>
    <w:rsid w:val="005351DC"/>
    <w:rsid w:val="005356D4"/>
    <w:rsid w:val="00535854"/>
    <w:rsid w:val="00535B26"/>
    <w:rsid w:val="00535C9D"/>
    <w:rsid w:val="00536097"/>
    <w:rsid w:val="005363DC"/>
    <w:rsid w:val="0053670D"/>
    <w:rsid w:val="00536C13"/>
    <w:rsid w:val="00537252"/>
    <w:rsid w:val="0053732E"/>
    <w:rsid w:val="00537FF1"/>
    <w:rsid w:val="00540509"/>
    <w:rsid w:val="0054062F"/>
    <w:rsid w:val="00540857"/>
    <w:rsid w:val="0054096B"/>
    <w:rsid w:val="00540D59"/>
    <w:rsid w:val="00541917"/>
    <w:rsid w:val="005419BC"/>
    <w:rsid w:val="0054222F"/>
    <w:rsid w:val="005422EE"/>
    <w:rsid w:val="00542C14"/>
    <w:rsid w:val="00542CEF"/>
    <w:rsid w:val="0054379B"/>
    <w:rsid w:val="00543DE2"/>
    <w:rsid w:val="00544036"/>
    <w:rsid w:val="00544805"/>
    <w:rsid w:val="00544B93"/>
    <w:rsid w:val="00544D42"/>
    <w:rsid w:val="0054511A"/>
    <w:rsid w:val="00545362"/>
    <w:rsid w:val="00545BC2"/>
    <w:rsid w:val="00545D63"/>
    <w:rsid w:val="00545E1B"/>
    <w:rsid w:val="00546AB4"/>
    <w:rsid w:val="005476EA"/>
    <w:rsid w:val="00547866"/>
    <w:rsid w:val="00547BB3"/>
    <w:rsid w:val="0055050A"/>
    <w:rsid w:val="00550774"/>
    <w:rsid w:val="00551243"/>
    <w:rsid w:val="00551710"/>
    <w:rsid w:val="00551E83"/>
    <w:rsid w:val="00551FBC"/>
    <w:rsid w:val="00552038"/>
    <w:rsid w:val="00552306"/>
    <w:rsid w:val="00552917"/>
    <w:rsid w:val="00552C92"/>
    <w:rsid w:val="00553290"/>
    <w:rsid w:val="00553626"/>
    <w:rsid w:val="0055413B"/>
    <w:rsid w:val="00554515"/>
    <w:rsid w:val="0055462A"/>
    <w:rsid w:val="00554C63"/>
    <w:rsid w:val="005551D8"/>
    <w:rsid w:val="0055561D"/>
    <w:rsid w:val="00555DE1"/>
    <w:rsid w:val="005566F0"/>
    <w:rsid w:val="0055678B"/>
    <w:rsid w:val="00556A80"/>
    <w:rsid w:val="005573DE"/>
    <w:rsid w:val="005579E2"/>
    <w:rsid w:val="0056009F"/>
    <w:rsid w:val="00560771"/>
    <w:rsid w:val="00560B9F"/>
    <w:rsid w:val="00561206"/>
    <w:rsid w:val="005618C1"/>
    <w:rsid w:val="00561D09"/>
    <w:rsid w:val="00562362"/>
    <w:rsid w:val="0056353C"/>
    <w:rsid w:val="00563BEF"/>
    <w:rsid w:val="005640FA"/>
    <w:rsid w:val="005646B5"/>
    <w:rsid w:val="005649B5"/>
    <w:rsid w:val="00564BDA"/>
    <w:rsid w:val="00564F2C"/>
    <w:rsid w:val="005655FA"/>
    <w:rsid w:val="00565D95"/>
    <w:rsid w:val="00566252"/>
    <w:rsid w:val="00566415"/>
    <w:rsid w:val="00566EF3"/>
    <w:rsid w:val="005671F0"/>
    <w:rsid w:val="00567345"/>
    <w:rsid w:val="00567708"/>
    <w:rsid w:val="00567BBC"/>
    <w:rsid w:val="00567D1E"/>
    <w:rsid w:val="00570276"/>
    <w:rsid w:val="0057038A"/>
    <w:rsid w:val="005706C2"/>
    <w:rsid w:val="00570A7A"/>
    <w:rsid w:val="005720F4"/>
    <w:rsid w:val="00572EF1"/>
    <w:rsid w:val="00572F04"/>
    <w:rsid w:val="00573292"/>
    <w:rsid w:val="005736E6"/>
    <w:rsid w:val="005747D2"/>
    <w:rsid w:val="00574804"/>
    <w:rsid w:val="005748C0"/>
    <w:rsid w:val="00574C6C"/>
    <w:rsid w:val="00574CA3"/>
    <w:rsid w:val="00574EB9"/>
    <w:rsid w:val="00574ED0"/>
    <w:rsid w:val="005755B2"/>
    <w:rsid w:val="00575B9F"/>
    <w:rsid w:val="00575C9F"/>
    <w:rsid w:val="00575D6C"/>
    <w:rsid w:val="00576673"/>
    <w:rsid w:val="00576742"/>
    <w:rsid w:val="00577844"/>
    <w:rsid w:val="00577883"/>
    <w:rsid w:val="005779F9"/>
    <w:rsid w:val="00577AAF"/>
    <w:rsid w:val="00577E47"/>
    <w:rsid w:val="00577FD5"/>
    <w:rsid w:val="00580751"/>
    <w:rsid w:val="0058105A"/>
    <w:rsid w:val="005811A6"/>
    <w:rsid w:val="00581258"/>
    <w:rsid w:val="005816EB"/>
    <w:rsid w:val="00581939"/>
    <w:rsid w:val="0058225D"/>
    <w:rsid w:val="00582BC3"/>
    <w:rsid w:val="00582ED7"/>
    <w:rsid w:val="00583032"/>
    <w:rsid w:val="00584700"/>
    <w:rsid w:val="005851DD"/>
    <w:rsid w:val="005852AA"/>
    <w:rsid w:val="00585879"/>
    <w:rsid w:val="00585BA5"/>
    <w:rsid w:val="005862DC"/>
    <w:rsid w:val="005868E2"/>
    <w:rsid w:val="00586D7E"/>
    <w:rsid w:val="0058735A"/>
    <w:rsid w:val="00587A69"/>
    <w:rsid w:val="00587B42"/>
    <w:rsid w:val="00587C71"/>
    <w:rsid w:val="00587FA7"/>
    <w:rsid w:val="00590286"/>
    <w:rsid w:val="0059066B"/>
    <w:rsid w:val="00591217"/>
    <w:rsid w:val="00591D5D"/>
    <w:rsid w:val="005920AA"/>
    <w:rsid w:val="00592130"/>
    <w:rsid w:val="0059225F"/>
    <w:rsid w:val="005928F4"/>
    <w:rsid w:val="00592C02"/>
    <w:rsid w:val="00593B1F"/>
    <w:rsid w:val="00593C17"/>
    <w:rsid w:val="00593D29"/>
    <w:rsid w:val="0059425B"/>
    <w:rsid w:val="0059470F"/>
    <w:rsid w:val="005947D6"/>
    <w:rsid w:val="00594917"/>
    <w:rsid w:val="00594DA8"/>
    <w:rsid w:val="0059538C"/>
    <w:rsid w:val="005958B6"/>
    <w:rsid w:val="005958E5"/>
    <w:rsid w:val="00595978"/>
    <w:rsid w:val="00595C8E"/>
    <w:rsid w:val="005962AF"/>
    <w:rsid w:val="0059674B"/>
    <w:rsid w:val="00597300"/>
    <w:rsid w:val="00597B0A"/>
    <w:rsid w:val="00597E57"/>
    <w:rsid w:val="005A003E"/>
    <w:rsid w:val="005A0084"/>
    <w:rsid w:val="005A0361"/>
    <w:rsid w:val="005A07F2"/>
    <w:rsid w:val="005A084A"/>
    <w:rsid w:val="005A123D"/>
    <w:rsid w:val="005A128A"/>
    <w:rsid w:val="005A1BC7"/>
    <w:rsid w:val="005A1C72"/>
    <w:rsid w:val="005A2077"/>
    <w:rsid w:val="005A2166"/>
    <w:rsid w:val="005A276C"/>
    <w:rsid w:val="005A2830"/>
    <w:rsid w:val="005A2C27"/>
    <w:rsid w:val="005A2F76"/>
    <w:rsid w:val="005A5806"/>
    <w:rsid w:val="005A59A0"/>
    <w:rsid w:val="005A5B1A"/>
    <w:rsid w:val="005A6A63"/>
    <w:rsid w:val="005A6A75"/>
    <w:rsid w:val="005A6B8C"/>
    <w:rsid w:val="005A6CC1"/>
    <w:rsid w:val="005A6EA1"/>
    <w:rsid w:val="005A73A8"/>
    <w:rsid w:val="005A75A3"/>
    <w:rsid w:val="005A78C6"/>
    <w:rsid w:val="005A7DFB"/>
    <w:rsid w:val="005B0211"/>
    <w:rsid w:val="005B071B"/>
    <w:rsid w:val="005B0B6E"/>
    <w:rsid w:val="005B1313"/>
    <w:rsid w:val="005B1782"/>
    <w:rsid w:val="005B1B46"/>
    <w:rsid w:val="005B1E65"/>
    <w:rsid w:val="005B2170"/>
    <w:rsid w:val="005B2229"/>
    <w:rsid w:val="005B22EF"/>
    <w:rsid w:val="005B261E"/>
    <w:rsid w:val="005B2B5F"/>
    <w:rsid w:val="005B2E8B"/>
    <w:rsid w:val="005B2EBC"/>
    <w:rsid w:val="005B330E"/>
    <w:rsid w:val="005B331A"/>
    <w:rsid w:val="005B3C08"/>
    <w:rsid w:val="005B400C"/>
    <w:rsid w:val="005B426F"/>
    <w:rsid w:val="005B4435"/>
    <w:rsid w:val="005B446D"/>
    <w:rsid w:val="005B475D"/>
    <w:rsid w:val="005B570B"/>
    <w:rsid w:val="005B626D"/>
    <w:rsid w:val="005B63CD"/>
    <w:rsid w:val="005B6DE0"/>
    <w:rsid w:val="005B7C28"/>
    <w:rsid w:val="005B7CC6"/>
    <w:rsid w:val="005B7DED"/>
    <w:rsid w:val="005C00D7"/>
    <w:rsid w:val="005C00FE"/>
    <w:rsid w:val="005C01DC"/>
    <w:rsid w:val="005C0EDA"/>
    <w:rsid w:val="005C192F"/>
    <w:rsid w:val="005C1AA8"/>
    <w:rsid w:val="005C25AA"/>
    <w:rsid w:val="005C26A3"/>
    <w:rsid w:val="005C287E"/>
    <w:rsid w:val="005C2C49"/>
    <w:rsid w:val="005C3E81"/>
    <w:rsid w:val="005C3FD0"/>
    <w:rsid w:val="005C4066"/>
    <w:rsid w:val="005C452F"/>
    <w:rsid w:val="005C459F"/>
    <w:rsid w:val="005C4A9C"/>
    <w:rsid w:val="005C4B9E"/>
    <w:rsid w:val="005C4F00"/>
    <w:rsid w:val="005C5A5B"/>
    <w:rsid w:val="005C6257"/>
    <w:rsid w:val="005C6402"/>
    <w:rsid w:val="005C6676"/>
    <w:rsid w:val="005C69D1"/>
    <w:rsid w:val="005C6A95"/>
    <w:rsid w:val="005C6E5D"/>
    <w:rsid w:val="005C7009"/>
    <w:rsid w:val="005C79BA"/>
    <w:rsid w:val="005C7E41"/>
    <w:rsid w:val="005C7E97"/>
    <w:rsid w:val="005D0429"/>
    <w:rsid w:val="005D05B2"/>
    <w:rsid w:val="005D0A86"/>
    <w:rsid w:val="005D0F2E"/>
    <w:rsid w:val="005D10D2"/>
    <w:rsid w:val="005D1222"/>
    <w:rsid w:val="005D16A6"/>
    <w:rsid w:val="005D1882"/>
    <w:rsid w:val="005D1B24"/>
    <w:rsid w:val="005D1C68"/>
    <w:rsid w:val="005D1D81"/>
    <w:rsid w:val="005D2A13"/>
    <w:rsid w:val="005D2C30"/>
    <w:rsid w:val="005D2CB5"/>
    <w:rsid w:val="005D30CF"/>
    <w:rsid w:val="005D3D71"/>
    <w:rsid w:val="005D3D80"/>
    <w:rsid w:val="005D4216"/>
    <w:rsid w:val="005D42FA"/>
    <w:rsid w:val="005D4344"/>
    <w:rsid w:val="005D462B"/>
    <w:rsid w:val="005D4954"/>
    <w:rsid w:val="005D49E0"/>
    <w:rsid w:val="005D5122"/>
    <w:rsid w:val="005D558E"/>
    <w:rsid w:val="005D57E4"/>
    <w:rsid w:val="005D5AC8"/>
    <w:rsid w:val="005D5AD7"/>
    <w:rsid w:val="005D65ED"/>
    <w:rsid w:val="005D6A00"/>
    <w:rsid w:val="005D72AA"/>
    <w:rsid w:val="005E01EA"/>
    <w:rsid w:val="005E03A1"/>
    <w:rsid w:val="005E03E9"/>
    <w:rsid w:val="005E12B8"/>
    <w:rsid w:val="005E189E"/>
    <w:rsid w:val="005E1999"/>
    <w:rsid w:val="005E1D8D"/>
    <w:rsid w:val="005E202C"/>
    <w:rsid w:val="005E2512"/>
    <w:rsid w:val="005E28BB"/>
    <w:rsid w:val="005E2D8B"/>
    <w:rsid w:val="005E39D4"/>
    <w:rsid w:val="005E402D"/>
    <w:rsid w:val="005E4BFF"/>
    <w:rsid w:val="005E4E90"/>
    <w:rsid w:val="005E5567"/>
    <w:rsid w:val="005E5C86"/>
    <w:rsid w:val="005E5D2F"/>
    <w:rsid w:val="005E5FEB"/>
    <w:rsid w:val="005E66DC"/>
    <w:rsid w:val="005E6CB7"/>
    <w:rsid w:val="005E71FD"/>
    <w:rsid w:val="005F067C"/>
    <w:rsid w:val="005F067E"/>
    <w:rsid w:val="005F14D3"/>
    <w:rsid w:val="005F1AE0"/>
    <w:rsid w:val="005F1B28"/>
    <w:rsid w:val="005F24D3"/>
    <w:rsid w:val="005F2521"/>
    <w:rsid w:val="005F2C1A"/>
    <w:rsid w:val="005F31FA"/>
    <w:rsid w:val="005F3A40"/>
    <w:rsid w:val="005F3DD8"/>
    <w:rsid w:val="005F3E52"/>
    <w:rsid w:val="005F3EE6"/>
    <w:rsid w:val="005F4004"/>
    <w:rsid w:val="005F460F"/>
    <w:rsid w:val="005F52B6"/>
    <w:rsid w:val="005F5F65"/>
    <w:rsid w:val="005F61DD"/>
    <w:rsid w:val="005F64DA"/>
    <w:rsid w:val="005F6989"/>
    <w:rsid w:val="005F6AA8"/>
    <w:rsid w:val="005F6D1A"/>
    <w:rsid w:val="005F78F5"/>
    <w:rsid w:val="006006E6"/>
    <w:rsid w:val="0060084D"/>
    <w:rsid w:val="00600993"/>
    <w:rsid w:val="00600D0C"/>
    <w:rsid w:val="00600EA8"/>
    <w:rsid w:val="00601027"/>
    <w:rsid w:val="00601061"/>
    <w:rsid w:val="0060149C"/>
    <w:rsid w:val="006018C7"/>
    <w:rsid w:val="00601C53"/>
    <w:rsid w:val="00601DB9"/>
    <w:rsid w:val="00601EAA"/>
    <w:rsid w:val="00602267"/>
    <w:rsid w:val="00602E3F"/>
    <w:rsid w:val="006032B2"/>
    <w:rsid w:val="00603494"/>
    <w:rsid w:val="00603C1D"/>
    <w:rsid w:val="00603FCC"/>
    <w:rsid w:val="00604359"/>
    <w:rsid w:val="006043F0"/>
    <w:rsid w:val="006047C7"/>
    <w:rsid w:val="006048B0"/>
    <w:rsid w:val="00604E82"/>
    <w:rsid w:val="0060563D"/>
    <w:rsid w:val="006056E4"/>
    <w:rsid w:val="0060598F"/>
    <w:rsid w:val="00605BF3"/>
    <w:rsid w:val="00606192"/>
    <w:rsid w:val="00606282"/>
    <w:rsid w:val="00606847"/>
    <w:rsid w:val="0060743D"/>
    <w:rsid w:val="0061024B"/>
    <w:rsid w:val="00610372"/>
    <w:rsid w:val="0061061A"/>
    <w:rsid w:val="0061065E"/>
    <w:rsid w:val="006110F9"/>
    <w:rsid w:val="00611189"/>
    <w:rsid w:val="006112B7"/>
    <w:rsid w:val="00612061"/>
    <w:rsid w:val="0061299E"/>
    <w:rsid w:val="00613219"/>
    <w:rsid w:val="006138ED"/>
    <w:rsid w:val="006148D2"/>
    <w:rsid w:val="00614E53"/>
    <w:rsid w:val="00614EE0"/>
    <w:rsid w:val="00614FA5"/>
    <w:rsid w:val="00615519"/>
    <w:rsid w:val="00615614"/>
    <w:rsid w:val="00615754"/>
    <w:rsid w:val="006157EC"/>
    <w:rsid w:val="006166F0"/>
    <w:rsid w:val="00616AE0"/>
    <w:rsid w:val="00616AF5"/>
    <w:rsid w:val="00617458"/>
    <w:rsid w:val="00617F97"/>
    <w:rsid w:val="006202D5"/>
    <w:rsid w:val="00620D4E"/>
    <w:rsid w:val="00621191"/>
    <w:rsid w:val="00621E7A"/>
    <w:rsid w:val="00622086"/>
    <w:rsid w:val="00622946"/>
    <w:rsid w:val="00622AFE"/>
    <w:rsid w:val="00623687"/>
    <w:rsid w:val="006237A2"/>
    <w:rsid w:val="00623B28"/>
    <w:rsid w:val="00624589"/>
    <w:rsid w:val="00624DD1"/>
    <w:rsid w:val="0062570A"/>
    <w:rsid w:val="00625F01"/>
    <w:rsid w:val="00626504"/>
    <w:rsid w:val="00626708"/>
    <w:rsid w:val="00630733"/>
    <w:rsid w:val="00631005"/>
    <w:rsid w:val="00631314"/>
    <w:rsid w:val="00631F71"/>
    <w:rsid w:val="00632316"/>
    <w:rsid w:val="00632432"/>
    <w:rsid w:val="00632494"/>
    <w:rsid w:val="0063279B"/>
    <w:rsid w:val="00632951"/>
    <w:rsid w:val="00633721"/>
    <w:rsid w:val="006338CE"/>
    <w:rsid w:val="00633961"/>
    <w:rsid w:val="00633B0C"/>
    <w:rsid w:val="00633C2D"/>
    <w:rsid w:val="006343EC"/>
    <w:rsid w:val="006344CF"/>
    <w:rsid w:val="00634A2D"/>
    <w:rsid w:val="00634CF2"/>
    <w:rsid w:val="00634DF4"/>
    <w:rsid w:val="0063513D"/>
    <w:rsid w:val="00635379"/>
    <w:rsid w:val="006353BC"/>
    <w:rsid w:val="0063575F"/>
    <w:rsid w:val="0063585C"/>
    <w:rsid w:val="00636C39"/>
    <w:rsid w:val="00636CC0"/>
    <w:rsid w:val="00636E05"/>
    <w:rsid w:val="00637273"/>
    <w:rsid w:val="0063730C"/>
    <w:rsid w:val="006373A5"/>
    <w:rsid w:val="0063778F"/>
    <w:rsid w:val="00637F26"/>
    <w:rsid w:val="00640915"/>
    <w:rsid w:val="00640C19"/>
    <w:rsid w:val="00640D0B"/>
    <w:rsid w:val="006412F3"/>
    <w:rsid w:val="006419AC"/>
    <w:rsid w:val="00641CCF"/>
    <w:rsid w:val="00641FF5"/>
    <w:rsid w:val="006426AB"/>
    <w:rsid w:val="00642B5D"/>
    <w:rsid w:val="00643689"/>
    <w:rsid w:val="006438AC"/>
    <w:rsid w:val="00643C80"/>
    <w:rsid w:val="00644979"/>
    <w:rsid w:val="00644AD0"/>
    <w:rsid w:val="00644E4F"/>
    <w:rsid w:val="00645163"/>
    <w:rsid w:val="00645379"/>
    <w:rsid w:val="00646056"/>
    <w:rsid w:val="006463BB"/>
    <w:rsid w:val="00646CAA"/>
    <w:rsid w:val="006473AD"/>
    <w:rsid w:val="006476BB"/>
    <w:rsid w:val="006479BB"/>
    <w:rsid w:val="00647BEA"/>
    <w:rsid w:val="006500FE"/>
    <w:rsid w:val="006503E5"/>
    <w:rsid w:val="00650E7F"/>
    <w:rsid w:val="00651390"/>
    <w:rsid w:val="00651566"/>
    <w:rsid w:val="00651B2F"/>
    <w:rsid w:val="00651B9B"/>
    <w:rsid w:val="00651FC7"/>
    <w:rsid w:val="00652326"/>
    <w:rsid w:val="006526F7"/>
    <w:rsid w:val="00652702"/>
    <w:rsid w:val="00652928"/>
    <w:rsid w:val="0065317A"/>
    <w:rsid w:val="006536C1"/>
    <w:rsid w:val="006538DB"/>
    <w:rsid w:val="00653E39"/>
    <w:rsid w:val="006540F6"/>
    <w:rsid w:val="00654813"/>
    <w:rsid w:val="00655059"/>
    <w:rsid w:val="00657DBF"/>
    <w:rsid w:val="00660089"/>
    <w:rsid w:val="00660385"/>
    <w:rsid w:val="006608BA"/>
    <w:rsid w:val="00661105"/>
    <w:rsid w:val="0066117C"/>
    <w:rsid w:val="00661973"/>
    <w:rsid w:val="00661C51"/>
    <w:rsid w:val="00661E36"/>
    <w:rsid w:val="00661F67"/>
    <w:rsid w:val="00662627"/>
    <w:rsid w:val="00662F59"/>
    <w:rsid w:val="00662FBE"/>
    <w:rsid w:val="00663241"/>
    <w:rsid w:val="00663374"/>
    <w:rsid w:val="00663FB1"/>
    <w:rsid w:val="006647AB"/>
    <w:rsid w:val="00664B37"/>
    <w:rsid w:val="00665020"/>
    <w:rsid w:val="006658AA"/>
    <w:rsid w:val="006662F0"/>
    <w:rsid w:val="006668BA"/>
    <w:rsid w:val="00666C0D"/>
    <w:rsid w:val="00666C27"/>
    <w:rsid w:val="00666FA5"/>
    <w:rsid w:val="006674E4"/>
    <w:rsid w:val="006678AD"/>
    <w:rsid w:val="00667BF2"/>
    <w:rsid w:val="00667D33"/>
    <w:rsid w:val="00667D6D"/>
    <w:rsid w:val="00667FA7"/>
    <w:rsid w:val="00670A17"/>
    <w:rsid w:val="00670B31"/>
    <w:rsid w:val="00671C63"/>
    <w:rsid w:val="0067211A"/>
    <w:rsid w:val="006725C7"/>
    <w:rsid w:val="00672CF8"/>
    <w:rsid w:val="00673A87"/>
    <w:rsid w:val="00674ADC"/>
    <w:rsid w:val="00674E45"/>
    <w:rsid w:val="00675669"/>
    <w:rsid w:val="006770B7"/>
    <w:rsid w:val="0067762E"/>
    <w:rsid w:val="00677A49"/>
    <w:rsid w:val="0068019E"/>
    <w:rsid w:val="0068032E"/>
    <w:rsid w:val="0068033C"/>
    <w:rsid w:val="00680446"/>
    <w:rsid w:val="00680A47"/>
    <w:rsid w:val="006818D1"/>
    <w:rsid w:val="00681B15"/>
    <w:rsid w:val="00681F56"/>
    <w:rsid w:val="006822C0"/>
    <w:rsid w:val="00682742"/>
    <w:rsid w:val="00682DC8"/>
    <w:rsid w:val="00682DE9"/>
    <w:rsid w:val="006831C9"/>
    <w:rsid w:val="006836C6"/>
    <w:rsid w:val="006836D7"/>
    <w:rsid w:val="00683B2D"/>
    <w:rsid w:val="00683EA0"/>
    <w:rsid w:val="0068426E"/>
    <w:rsid w:val="00685039"/>
    <w:rsid w:val="00685A52"/>
    <w:rsid w:val="0068608A"/>
    <w:rsid w:val="006861CE"/>
    <w:rsid w:val="00686363"/>
    <w:rsid w:val="00686A7F"/>
    <w:rsid w:val="00686B18"/>
    <w:rsid w:val="006875C5"/>
    <w:rsid w:val="006900F0"/>
    <w:rsid w:val="00690270"/>
    <w:rsid w:val="006903BF"/>
    <w:rsid w:val="0069090B"/>
    <w:rsid w:val="00691065"/>
    <w:rsid w:val="006911BE"/>
    <w:rsid w:val="00691961"/>
    <w:rsid w:val="006919C5"/>
    <w:rsid w:val="00691F0D"/>
    <w:rsid w:val="00692D18"/>
    <w:rsid w:val="006931AC"/>
    <w:rsid w:val="00693C58"/>
    <w:rsid w:val="00694416"/>
    <w:rsid w:val="00695513"/>
    <w:rsid w:val="006956FE"/>
    <w:rsid w:val="006960E8"/>
    <w:rsid w:val="0069634B"/>
    <w:rsid w:val="00696508"/>
    <w:rsid w:val="00696DE7"/>
    <w:rsid w:val="00697366"/>
    <w:rsid w:val="00697BA6"/>
    <w:rsid w:val="00697C02"/>
    <w:rsid w:val="00697FE7"/>
    <w:rsid w:val="006A0790"/>
    <w:rsid w:val="006A0D84"/>
    <w:rsid w:val="006A0E1F"/>
    <w:rsid w:val="006A11E1"/>
    <w:rsid w:val="006A1561"/>
    <w:rsid w:val="006A2E5D"/>
    <w:rsid w:val="006A3473"/>
    <w:rsid w:val="006A3EF9"/>
    <w:rsid w:val="006A4844"/>
    <w:rsid w:val="006A4DE1"/>
    <w:rsid w:val="006A4ED1"/>
    <w:rsid w:val="006A5290"/>
    <w:rsid w:val="006A5388"/>
    <w:rsid w:val="006A5683"/>
    <w:rsid w:val="006A58E1"/>
    <w:rsid w:val="006A5D51"/>
    <w:rsid w:val="006A5ECE"/>
    <w:rsid w:val="006A6635"/>
    <w:rsid w:val="006A6BF0"/>
    <w:rsid w:val="006A6E17"/>
    <w:rsid w:val="006A73CD"/>
    <w:rsid w:val="006A7BCB"/>
    <w:rsid w:val="006A7C74"/>
    <w:rsid w:val="006A7D64"/>
    <w:rsid w:val="006B09F9"/>
    <w:rsid w:val="006B0D12"/>
    <w:rsid w:val="006B0E0B"/>
    <w:rsid w:val="006B106A"/>
    <w:rsid w:val="006B10C2"/>
    <w:rsid w:val="006B1294"/>
    <w:rsid w:val="006B15E7"/>
    <w:rsid w:val="006B1C41"/>
    <w:rsid w:val="006B2569"/>
    <w:rsid w:val="006B27CD"/>
    <w:rsid w:val="006B2E37"/>
    <w:rsid w:val="006B3378"/>
    <w:rsid w:val="006B3696"/>
    <w:rsid w:val="006B4709"/>
    <w:rsid w:val="006B517E"/>
    <w:rsid w:val="006B5273"/>
    <w:rsid w:val="006B5600"/>
    <w:rsid w:val="006B5DDF"/>
    <w:rsid w:val="006B632D"/>
    <w:rsid w:val="006B655C"/>
    <w:rsid w:val="006B72D4"/>
    <w:rsid w:val="006B7474"/>
    <w:rsid w:val="006B7E15"/>
    <w:rsid w:val="006B7F3C"/>
    <w:rsid w:val="006C02D3"/>
    <w:rsid w:val="006C0526"/>
    <w:rsid w:val="006C09B4"/>
    <w:rsid w:val="006C0CD4"/>
    <w:rsid w:val="006C1094"/>
    <w:rsid w:val="006C1255"/>
    <w:rsid w:val="006C145F"/>
    <w:rsid w:val="006C1B52"/>
    <w:rsid w:val="006C20DB"/>
    <w:rsid w:val="006C2A21"/>
    <w:rsid w:val="006C3691"/>
    <w:rsid w:val="006C397E"/>
    <w:rsid w:val="006C411D"/>
    <w:rsid w:val="006C4988"/>
    <w:rsid w:val="006C50E4"/>
    <w:rsid w:val="006C5142"/>
    <w:rsid w:val="006C5183"/>
    <w:rsid w:val="006C51F8"/>
    <w:rsid w:val="006C522A"/>
    <w:rsid w:val="006C56FF"/>
    <w:rsid w:val="006C57C9"/>
    <w:rsid w:val="006C621C"/>
    <w:rsid w:val="006C65EC"/>
    <w:rsid w:val="006C670B"/>
    <w:rsid w:val="006C6D34"/>
    <w:rsid w:val="006C77B1"/>
    <w:rsid w:val="006D01E4"/>
    <w:rsid w:val="006D0C03"/>
    <w:rsid w:val="006D0D29"/>
    <w:rsid w:val="006D0DD8"/>
    <w:rsid w:val="006D17D9"/>
    <w:rsid w:val="006D1A4B"/>
    <w:rsid w:val="006D225E"/>
    <w:rsid w:val="006D263F"/>
    <w:rsid w:val="006D2AE6"/>
    <w:rsid w:val="006D2BF6"/>
    <w:rsid w:val="006D2D18"/>
    <w:rsid w:val="006D2E93"/>
    <w:rsid w:val="006D3096"/>
    <w:rsid w:val="006D30BE"/>
    <w:rsid w:val="006D3682"/>
    <w:rsid w:val="006D4C7F"/>
    <w:rsid w:val="006D4F27"/>
    <w:rsid w:val="006D5091"/>
    <w:rsid w:val="006D548E"/>
    <w:rsid w:val="006D600E"/>
    <w:rsid w:val="006D60C6"/>
    <w:rsid w:val="006D7302"/>
    <w:rsid w:val="006E0095"/>
    <w:rsid w:val="006E0858"/>
    <w:rsid w:val="006E09FB"/>
    <w:rsid w:val="006E0B58"/>
    <w:rsid w:val="006E1269"/>
    <w:rsid w:val="006E18CB"/>
    <w:rsid w:val="006E2539"/>
    <w:rsid w:val="006E27AF"/>
    <w:rsid w:val="006E29CA"/>
    <w:rsid w:val="006E2BD8"/>
    <w:rsid w:val="006E3472"/>
    <w:rsid w:val="006E368F"/>
    <w:rsid w:val="006E3F01"/>
    <w:rsid w:val="006E43C3"/>
    <w:rsid w:val="006E48D3"/>
    <w:rsid w:val="006E4CE3"/>
    <w:rsid w:val="006E4D55"/>
    <w:rsid w:val="006E4DD4"/>
    <w:rsid w:val="006E52CA"/>
    <w:rsid w:val="006E5BBE"/>
    <w:rsid w:val="006E5D93"/>
    <w:rsid w:val="006E5DF5"/>
    <w:rsid w:val="006E6561"/>
    <w:rsid w:val="006E6571"/>
    <w:rsid w:val="006E6866"/>
    <w:rsid w:val="006E7029"/>
    <w:rsid w:val="006E7CD3"/>
    <w:rsid w:val="006F00AF"/>
    <w:rsid w:val="006F052B"/>
    <w:rsid w:val="006F0829"/>
    <w:rsid w:val="006F0E17"/>
    <w:rsid w:val="006F0F92"/>
    <w:rsid w:val="006F1050"/>
    <w:rsid w:val="006F129C"/>
    <w:rsid w:val="006F16AB"/>
    <w:rsid w:val="006F17EA"/>
    <w:rsid w:val="006F2266"/>
    <w:rsid w:val="006F22CB"/>
    <w:rsid w:val="006F2C03"/>
    <w:rsid w:val="006F36F5"/>
    <w:rsid w:val="006F4435"/>
    <w:rsid w:val="006F4722"/>
    <w:rsid w:val="006F4D49"/>
    <w:rsid w:val="006F4D7C"/>
    <w:rsid w:val="006F527D"/>
    <w:rsid w:val="006F5729"/>
    <w:rsid w:val="006F5A5E"/>
    <w:rsid w:val="006F5BF6"/>
    <w:rsid w:val="006F62A9"/>
    <w:rsid w:val="006F6BA8"/>
    <w:rsid w:val="006F6C96"/>
    <w:rsid w:val="006F74D3"/>
    <w:rsid w:val="006F75F0"/>
    <w:rsid w:val="006F77C1"/>
    <w:rsid w:val="006F7CB3"/>
    <w:rsid w:val="006F7CEC"/>
    <w:rsid w:val="006F7E98"/>
    <w:rsid w:val="00700DB9"/>
    <w:rsid w:val="0070186E"/>
    <w:rsid w:val="007023EC"/>
    <w:rsid w:val="00702486"/>
    <w:rsid w:val="00702902"/>
    <w:rsid w:val="00702C5C"/>
    <w:rsid w:val="00702CE4"/>
    <w:rsid w:val="00702D0D"/>
    <w:rsid w:val="00702E2C"/>
    <w:rsid w:val="00703660"/>
    <w:rsid w:val="00703D23"/>
    <w:rsid w:val="00704712"/>
    <w:rsid w:val="00705029"/>
    <w:rsid w:val="007057E5"/>
    <w:rsid w:val="00705F7C"/>
    <w:rsid w:val="007064CA"/>
    <w:rsid w:val="0070655F"/>
    <w:rsid w:val="0070684A"/>
    <w:rsid w:val="00706DB9"/>
    <w:rsid w:val="00707108"/>
    <w:rsid w:val="007073AF"/>
    <w:rsid w:val="00707EDE"/>
    <w:rsid w:val="00707FD0"/>
    <w:rsid w:val="00710355"/>
    <w:rsid w:val="00710826"/>
    <w:rsid w:val="00710C4D"/>
    <w:rsid w:val="00710E8A"/>
    <w:rsid w:val="0071148E"/>
    <w:rsid w:val="00711603"/>
    <w:rsid w:val="0071161B"/>
    <w:rsid w:val="00711823"/>
    <w:rsid w:val="00711911"/>
    <w:rsid w:val="007135AE"/>
    <w:rsid w:val="0071384A"/>
    <w:rsid w:val="00713FA9"/>
    <w:rsid w:val="007147B8"/>
    <w:rsid w:val="00714AF1"/>
    <w:rsid w:val="00714B7C"/>
    <w:rsid w:val="00714F65"/>
    <w:rsid w:val="007151BF"/>
    <w:rsid w:val="00715294"/>
    <w:rsid w:val="00715657"/>
    <w:rsid w:val="00716A3A"/>
    <w:rsid w:val="00717003"/>
    <w:rsid w:val="0071728A"/>
    <w:rsid w:val="007176B0"/>
    <w:rsid w:val="0071770A"/>
    <w:rsid w:val="00717ECA"/>
    <w:rsid w:val="00717F36"/>
    <w:rsid w:val="00720469"/>
    <w:rsid w:val="00720C82"/>
    <w:rsid w:val="007211D0"/>
    <w:rsid w:val="00721398"/>
    <w:rsid w:val="007214A7"/>
    <w:rsid w:val="007215A3"/>
    <w:rsid w:val="00721B3F"/>
    <w:rsid w:val="0072201B"/>
    <w:rsid w:val="007225D0"/>
    <w:rsid w:val="00722A9F"/>
    <w:rsid w:val="00723590"/>
    <w:rsid w:val="0072375D"/>
    <w:rsid w:val="00723D3F"/>
    <w:rsid w:val="00723D90"/>
    <w:rsid w:val="007242D8"/>
    <w:rsid w:val="00724388"/>
    <w:rsid w:val="007245E4"/>
    <w:rsid w:val="00724612"/>
    <w:rsid w:val="00724AFB"/>
    <w:rsid w:val="00724BD9"/>
    <w:rsid w:val="00724ECF"/>
    <w:rsid w:val="007251C5"/>
    <w:rsid w:val="007257E2"/>
    <w:rsid w:val="00725B87"/>
    <w:rsid w:val="00726398"/>
    <w:rsid w:val="007270BC"/>
    <w:rsid w:val="0072774A"/>
    <w:rsid w:val="007278A8"/>
    <w:rsid w:val="00727E8D"/>
    <w:rsid w:val="00727FBC"/>
    <w:rsid w:val="007301E3"/>
    <w:rsid w:val="00730BA5"/>
    <w:rsid w:val="00730DC9"/>
    <w:rsid w:val="00730E6D"/>
    <w:rsid w:val="007313A7"/>
    <w:rsid w:val="00731A00"/>
    <w:rsid w:val="00731B29"/>
    <w:rsid w:val="00731CAB"/>
    <w:rsid w:val="00731EF6"/>
    <w:rsid w:val="00731FB4"/>
    <w:rsid w:val="007323A2"/>
    <w:rsid w:val="007326ED"/>
    <w:rsid w:val="00732FA4"/>
    <w:rsid w:val="00732FC5"/>
    <w:rsid w:val="00734006"/>
    <w:rsid w:val="00734202"/>
    <w:rsid w:val="00734247"/>
    <w:rsid w:val="0073427E"/>
    <w:rsid w:val="00734295"/>
    <w:rsid w:val="00734645"/>
    <w:rsid w:val="00734EC7"/>
    <w:rsid w:val="00735338"/>
    <w:rsid w:val="00735373"/>
    <w:rsid w:val="00735859"/>
    <w:rsid w:val="00735B0D"/>
    <w:rsid w:val="00735ED4"/>
    <w:rsid w:val="007360D9"/>
    <w:rsid w:val="007364AC"/>
    <w:rsid w:val="0073650B"/>
    <w:rsid w:val="007369A5"/>
    <w:rsid w:val="00736FC0"/>
    <w:rsid w:val="00737164"/>
    <w:rsid w:val="007371FB"/>
    <w:rsid w:val="00737643"/>
    <w:rsid w:val="0074078E"/>
    <w:rsid w:val="007411AA"/>
    <w:rsid w:val="007418F9"/>
    <w:rsid w:val="00742F71"/>
    <w:rsid w:val="007441CB"/>
    <w:rsid w:val="00744E2C"/>
    <w:rsid w:val="00745081"/>
    <w:rsid w:val="007456FF"/>
    <w:rsid w:val="0074587E"/>
    <w:rsid w:val="00745A79"/>
    <w:rsid w:val="007460C3"/>
    <w:rsid w:val="007466E7"/>
    <w:rsid w:val="00746B96"/>
    <w:rsid w:val="007471EC"/>
    <w:rsid w:val="00747287"/>
    <w:rsid w:val="007477CF"/>
    <w:rsid w:val="00747C91"/>
    <w:rsid w:val="00750015"/>
    <w:rsid w:val="00750274"/>
    <w:rsid w:val="0075039A"/>
    <w:rsid w:val="00750B8D"/>
    <w:rsid w:val="00750BCC"/>
    <w:rsid w:val="00750D7E"/>
    <w:rsid w:val="00750EA4"/>
    <w:rsid w:val="00750ED5"/>
    <w:rsid w:val="007513C1"/>
    <w:rsid w:val="007519B3"/>
    <w:rsid w:val="00751D17"/>
    <w:rsid w:val="00751FB6"/>
    <w:rsid w:val="007522DD"/>
    <w:rsid w:val="00752713"/>
    <w:rsid w:val="00752E5F"/>
    <w:rsid w:val="00752E69"/>
    <w:rsid w:val="00752F88"/>
    <w:rsid w:val="007534C1"/>
    <w:rsid w:val="00753513"/>
    <w:rsid w:val="00753AC2"/>
    <w:rsid w:val="00754092"/>
    <w:rsid w:val="007541B4"/>
    <w:rsid w:val="00754450"/>
    <w:rsid w:val="00754878"/>
    <w:rsid w:val="00754B05"/>
    <w:rsid w:val="0075500C"/>
    <w:rsid w:val="007556F3"/>
    <w:rsid w:val="00755A89"/>
    <w:rsid w:val="00755E53"/>
    <w:rsid w:val="00755E75"/>
    <w:rsid w:val="007569B2"/>
    <w:rsid w:val="00757434"/>
    <w:rsid w:val="00757582"/>
    <w:rsid w:val="0075790E"/>
    <w:rsid w:val="0076042F"/>
    <w:rsid w:val="007609E5"/>
    <w:rsid w:val="00760BA0"/>
    <w:rsid w:val="00760F3E"/>
    <w:rsid w:val="00761762"/>
    <w:rsid w:val="00761D11"/>
    <w:rsid w:val="00761D90"/>
    <w:rsid w:val="007625FD"/>
    <w:rsid w:val="007628A5"/>
    <w:rsid w:val="007628D4"/>
    <w:rsid w:val="00762C1E"/>
    <w:rsid w:val="00763188"/>
    <w:rsid w:val="007636B4"/>
    <w:rsid w:val="007639AC"/>
    <w:rsid w:val="00763C32"/>
    <w:rsid w:val="00763F59"/>
    <w:rsid w:val="00763FB0"/>
    <w:rsid w:val="007647D3"/>
    <w:rsid w:val="0076484C"/>
    <w:rsid w:val="00764B09"/>
    <w:rsid w:val="00764B76"/>
    <w:rsid w:val="00764F26"/>
    <w:rsid w:val="007650B8"/>
    <w:rsid w:val="0076517A"/>
    <w:rsid w:val="00765270"/>
    <w:rsid w:val="007658C2"/>
    <w:rsid w:val="00765D92"/>
    <w:rsid w:val="00766963"/>
    <w:rsid w:val="00767472"/>
    <w:rsid w:val="007675C6"/>
    <w:rsid w:val="007677C9"/>
    <w:rsid w:val="00767CF3"/>
    <w:rsid w:val="007707FF"/>
    <w:rsid w:val="00771960"/>
    <w:rsid w:val="00771D29"/>
    <w:rsid w:val="00772169"/>
    <w:rsid w:val="007723C8"/>
    <w:rsid w:val="00772499"/>
    <w:rsid w:val="007725AD"/>
    <w:rsid w:val="00772862"/>
    <w:rsid w:val="00772A4E"/>
    <w:rsid w:val="00772A85"/>
    <w:rsid w:val="00772B1D"/>
    <w:rsid w:val="00772BD5"/>
    <w:rsid w:val="00773395"/>
    <w:rsid w:val="0077386E"/>
    <w:rsid w:val="00773CF1"/>
    <w:rsid w:val="007745A4"/>
    <w:rsid w:val="00774789"/>
    <w:rsid w:val="00774896"/>
    <w:rsid w:val="00774D75"/>
    <w:rsid w:val="00775802"/>
    <w:rsid w:val="007759CB"/>
    <w:rsid w:val="00775C25"/>
    <w:rsid w:val="00775CDB"/>
    <w:rsid w:val="00776563"/>
    <w:rsid w:val="00776894"/>
    <w:rsid w:val="0077738F"/>
    <w:rsid w:val="00777B61"/>
    <w:rsid w:val="00777C0E"/>
    <w:rsid w:val="00777C5A"/>
    <w:rsid w:val="00777CBD"/>
    <w:rsid w:val="007800D4"/>
    <w:rsid w:val="007804E9"/>
    <w:rsid w:val="00780986"/>
    <w:rsid w:val="0078130C"/>
    <w:rsid w:val="007814EC"/>
    <w:rsid w:val="00781EB7"/>
    <w:rsid w:val="00782DC6"/>
    <w:rsid w:val="0078392F"/>
    <w:rsid w:val="00783B7E"/>
    <w:rsid w:val="00783F34"/>
    <w:rsid w:val="00784AC5"/>
    <w:rsid w:val="00784AE1"/>
    <w:rsid w:val="007851F9"/>
    <w:rsid w:val="00785337"/>
    <w:rsid w:val="00785701"/>
    <w:rsid w:val="007858B3"/>
    <w:rsid w:val="00785AB2"/>
    <w:rsid w:val="00785F2C"/>
    <w:rsid w:val="00786221"/>
    <w:rsid w:val="0078671F"/>
    <w:rsid w:val="00786908"/>
    <w:rsid w:val="00787078"/>
    <w:rsid w:val="007870D5"/>
    <w:rsid w:val="007871B8"/>
    <w:rsid w:val="00787954"/>
    <w:rsid w:val="00790668"/>
    <w:rsid w:val="00790D29"/>
    <w:rsid w:val="00790D76"/>
    <w:rsid w:val="00790F50"/>
    <w:rsid w:val="00791959"/>
    <w:rsid w:val="0079270A"/>
    <w:rsid w:val="007929EC"/>
    <w:rsid w:val="0079381A"/>
    <w:rsid w:val="00794543"/>
    <w:rsid w:val="007945C2"/>
    <w:rsid w:val="00794633"/>
    <w:rsid w:val="00794A7D"/>
    <w:rsid w:val="00794C92"/>
    <w:rsid w:val="0079588F"/>
    <w:rsid w:val="00795E4E"/>
    <w:rsid w:val="00795F70"/>
    <w:rsid w:val="00796211"/>
    <w:rsid w:val="007967DB"/>
    <w:rsid w:val="00797507"/>
    <w:rsid w:val="00797745"/>
    <w:rsid w:val="007977F8"/>
    <w:rsid w:val="00797973"/>
    <w:rsid w:val="00797A06"/>
    <w:rsid w:val="00797BD2"/>
    <w:rsid w:val="00797FEB"/>
    <w:rsid w:val="007A0225"/>
    <w:rsid w:val="007A0606"/>
    <w:rsid w:val="007A0923"/>
    <w:rsid w:val="007A0D8D"/>
    <w:rsid w:val="007A1231"/>
    <w:rsid w:val="007A141E"/>
    <w:rsid w:val="007A14D7"/>
    <w:rsid w:val="007A16E7"/>
    <w:rsid w:val="007A1D44"/>
    <w:rsid w:val="007A1E2A"/>
    <w:rsid w:val="007A25BC"/>
    <w:rsid w:val="007A25FB"/>
    <w:rsid w:val="007A38C5"/>
    <w:rsid w:val="007A40E6"/>
    <w:rsid w:val="007A4344"/>
    <w:rsid w:val="007A4593"/>
    <w:rsid w:val="007A45AE"/>
    <w:rsid w:val="007A46F9"/>
    <w:rsid w:val="007A5078"/>
    <w:rsid w:val="007A50EF"/>
    <w:rsid w:val="007A5157"/>
    <w:rsid w:val="007A5A94"/>
    <w:rsid w:val="007A5E0F"/>
    <w:rsid w:val="007A5FD5"/>
    <w:rsid w:val="007A6343"/>
    <w:rsid w:val="007A69AA"/>
    <w:rsid w:val="007A6CDB"/>
    <w:rsid w:val="007A6D01"/>
    <w:rsid w:val="007A6E3A"/>
    <w:rsid w:val="007A755B"/>
    <w:rsid w:val="007A7736"/>
    <w:rsid w:val="007A79AC"/>
    <w:rsid w:val="007A7BE0"/>
    <w:rsid w:val="007B0694"/>
    <w:rsid w:val="007B0776"/>
    <w:rsid w:val="007B0A34"/>
    <w:rsid w:val="007B0BF1"/>
    <w:rsid w:val="007B0C74"/>
    <w:rsid w:val="007B19FF"/>
    <w:rsid w:val="007B1CB9"/>
    <w:rsid w:val="007B21E3"/>
    <w:rsid w:val="007B2696"/>
    <w:rsid w:val="007B3E22"/>
    <w:rsid w:val="007B4008"/>
    <w:rsid w:val="007B43CD"/>
    <w:rsid w:val="007B450E"/>
    <w:rsid w:val="007B4711"/>
    <w:rsid w:val="007B47C3"/>
    <w:rsid w:val="007B48EC"/>
    <w:rsid w:val="007B4A7B"/>
    <w:rsid w:val="007B52FE"/>
    <w:rsid w:val="007B5598"/>
    <w:rsid w:val="007B56DE"/>
    <w:rsid w:val="007B5F33"/>
    <w:rsid w:val="007B61F6"/>
    <w:rsid w:val="007B628E"/>
    <w:rsid w:val="007B6344"/>
    <w:rsid w:val="007B647D"/>
    <w:rsid w:val="007B677F"/>
    <w:rsid w:val="007B6DBE"/>
    <w:rsid w:val="007B7129"/>
    <w:rsid w:val="007B7273"/>
    <w:rsid w:val="007B72E6"/>
    <w:rsid w:val="007B7FFB"/>
    <w:rsid w:val="007C0546"/>
    <w:rsid w:val="007C0D0D"/>
    <w:rsid w:val="007C0E31"/>
    <w:rsid w:val="007C1195"/>
    <w:rsid w:val="007C12F6"/>
    <w:rsid w:val="007C22BD"/>
    <w:rsid w:val="007C2E4F"/>
    <w:rsid w:val="007C34DC"/>
    <w:rsid w:val="007C357D"/>
    <w:rsid w:val="007C40C1"/>
    <w:rsid w:val="007C4160"/>
    <w:rsid w:val="007C459B"/>
    <w:rsid w:val="007C45C3"/>
    <w:rsid w:val="007C4943"/>
    <w:rsid w:val="007C4B97"/>
    <w:rsid w:val="007C5BBD"/>
    <w:rsid w:val="007C5EAE"/>
    <w:rsid w:val="007C67C6"/>
    <w:rsid w:val="007C68CB"/>
    <w:rsid w:val="007C6AC8"/>
    <w:rsid w:val="007C6B71"/>
    <w:rsid w:val="007C7557"/>
    <w:rsid w:val="007D0763"/>
    <w:rsid w:val="007D0AD2"/>
    <w:rsid w:val="007D0E86"/>
    <w:rsid w:val="007D1140"/>
    <w:rsid w:val="007D11CE"/>
    <w:rsid w:val="007D184A"/>
    <w:rsid w:val="007D1DE5"/>
    <w:rsid w:val="007D227A"/>
    <w:rsid w:val="007D314C"/>
    <w:rsid w:val="007D3384"/>
    <w:rsid w:val="007D3D51"/>
    <w:rsid w:val="007D4798"/>
    <w:rsid w:val="007D4F40"/>
    <w:rsid w:val="007D5087"/>
    <w:rsid w:val="007D5119"/>
    <w:rsid w:val="007D5333"/>
    <w:rsid w:val="007D54D6"/>
    <w:rsid w:val="007D58A9"/>
    <w:rsid w:val="007D59DD"/>
    <w:rsid w:val="007D5CA6"/>
    <w:rsid w:val="007D66D9"/>
    <w:rsid w:val="007D6784"/>
    <w:rsid w:val="007D683D"/>
    <w:rsid w:val="007D73BB"/>
    <w:rsid w:val="007D77BF"/>
    <w:rsid w:val="007D7C51"/>
    <w:rsid w:val="007E0019"/>
    <w:rsid w:val="007E0ADA"/>
    <w:rsid w:val="007E1094"/>
    <w:rsid w:val="007E1FA4"/>
    <w:rsid w:val="007E2391"/>
    <w:rsid w:val="007E3629"/>
    <w:rsid w:val="007E38DC"/>
    <w:rsid w:val="007E4989"/>
    <w:rsid w:val="007E590A"/>
    <w:rsid w:val="007E5AE9"/>
    <w:rsid w:val="007E5E11"/>
    <w:rsid w:val="007E5E99"/>
    <w:rsid w:val="007E5FBA"/>
    <w:rsid w:val="007E5FE2"/>
    <w:rsid w:val="007E6074"/>
    <w:rsid w:val="007E64C1"/>
    <w:rsid w:val="007E6EA5"/>
    <w:rsid w:val="007E7375"/>
    <w:rsid w:val="007E749E"/>
    <w:rsid w:val="007E7F0A"/>
    <w:rsid w:val="007F0164"/>
    <w:rsid w:val="007F01CB"/>
    <w:rsid w:val="007F037C"/>
    <w:rsid w:val="007F0544"/>
    <w:rsid w:val="007F069E"/>
    <w:rsid w:val="007F076F"/>
    <w:rsid w:val="007F16A9"/>
    <w:rsid w:val="007F16F5"/>
    <w:rsid w:val="007F3129"/>
    <w:rsid w:val="007F3AB0"/>
    <w:rsid w:val="007F3C49"/>
    <w:rsid w:val="007F4367"/>
    <w:rsid w:val="007F53C5"/>
    <w:rsid w:val="007F557C"/>
    <w:rsid w:val="007F5946"/>
    <w:rsid w:val="007F64B8"/>
    <w:rsid w:val="007F6D94"/>
    <w:rsid w:val="007F7084"/>
    <w:rsid w:val="007F79FE"/>
    <w:rsid w:val="007F7C80"/>
    <w:rsid w:val="008002BD"/>
    <w:rsid w:val="0080071C"/>
    <w:rsid w:val="008009A7"/>
    <w:rsid w:val="00800A9A"/>
    <w:rsid w:val="00801036"/>
    <w:rsid w:val="008011A0"/>
    <w:rsid w:val="0080153B"/>
    <w:rsid w:val="008015A2"/>
    <w:rsid w:val="008016CC"/>
    <w:rsid w:val="00801B8B"/>
    <w:rsid w:val="00801E2F"/>
    <w:rsid w:val="00801E87"/>
    <w:rsid w:val="00803084"/>
    <w:rsid w:val="008040EF"/>
    <w:rsid w:val="00804D6F"/>
    <w:rsid w:val="00804E34"/>
    <w:rsid w:val="0080555E"/>
    <w:rsid w:val="008056A5"/>
    <w:rsid w:val="00805AA8"/>
    <w:rsid w:val="00806083"/>
    <w:rsid w:val="0080637B"/>
    <w:rsid w:val="00806E9A"/>
    <w:rsid w:val="00806EC1"/>
    <w:rsid w:val="00807055"/>
    <w:rsid w:val="008071B4"/>
    <w:rsid w:val="0080720B"/>
    <w:rsid w:val="00807445"/>
    <w:rsid w:val="00807553"/>
    <w:rsid w:val="00807933"/>
    <w:rsid w:val="00807B4A"/>
    <w:rsid w:val="00807F60"/>
    <w:rsid w:val="008102B6"/>
    <w:rsid w:val="00810B44"/>
    <w:rsid w:val="008112CF"/>
    <w:rsid w:val="00811FA6"/>
    <w:rsid w:val="008123BF"/>
    <w:rsid w:val="008128D2"/>
    <w:rsid w:val="00814001"/>
    <w:rsid w:val="0081452A"/>
    <w:rsid w:val="008151C2"/>
    <w:rsid w:val="008157FE"/>
    <w:rsid w:val="008167B2"/>
    <w:rsid w:val="00816BB5"/>
    <w:rsid w:val="00817668"/>
    <w:rsid w:val="00817C3E"/>
    <w:rsid w:val="00821096"/>
    <w:rsid w:val="008215C6"/>
    <w:rsid w:val="008215E0"/>
    <w:rsid w:val="008217B5"/>
    <w:rsid w:val="00821DDB"/>
    <w:rsid w:val="008222A6"/>
    <w:rsid w:val="00822782"/>
    <w:rsid w:val="00823523"/>
    <w:rsid w:val="0082383B"/>
    <w:rsid w:val="00824503"/>
    <w:rsid w:val="008247AE"/>
    <w:rsid w:val="00824806"/>
    <w:rsid w:val="00824D6B"/>
    <w:rsid w:val="00824EEA"/>
    <w:rsid w:val="00824F1F"/>
    <w:rsid w:val="008254D0"/>
    <w:rsid w:val="00825AE8"/>
    <w:rsid w:val="00825C87"/>
    <w:rsid w:val="00825DB6"/>
    <w:rsid w:val="00826094"/>
    <w:rsid w:val="00826513"/>
    <w:rsid w:val="00826CCE"/>
    <w:rsid w:val="00826E93"/>
    <w:rsid w:val="00827052"/>
    <w:rsid w:val="0082756B"/>
    <w:rsid w:val="00827761"/>
    <w:rsid w:val="00830304"/>
    <w:rsid w:val="00830DCC"/>
    <w:rsid w:val="00831057"/>
    <w:rsid w:val="0083125B"/>
    <w:rsid w:val="00831727"/>
    <w:rsid w:val="00831B3A"/>
    <w:rsid w:val="00832616"/>
    <w:rsid w:val="00832C62"/>
    <w:rsid w:val="00832E4C"/>
    <w:rsid w:val="008336F6"/>
    <w:rsid w:val="0083497E"/>
    <w:rsid w:val="008354F9"/>
    <w:rsid w:val="00840043"/>
    <w:rsid w:val="00840288"/>
    <w:rsid w:val="00840313"/>
    <w:rsid w:val="0084058A"/>
    <w:rsid w:val="00840714"/>
    <w:rsid w:val="008407B8"/>
    <w:rsid w:val="00840B76"/>
    <w:rsid w:val="00841C4F"/>
    <w:rsid w:val="00841E14"/>
    <w:rsid w:val="00842089"/>
    <w:rsid w:val="008426B5"/>
    <w:rsid w:val="00842AD6"/>
    <w:rsid w:val="00842C3E"/>
    <w:rsid w:val="008433B2"/>
    <w:rsid w:val="0084366E"/>
    <w:rsid w:val="00843A13"/>
    <w:rsid w:val="00843AA9"/>
    <w:rsid w:val="00843F23"/>
    <w:rsid w:val="00843FE6"/>
    <w:rsid w:val="00844071"/>
    <w:rsid w:val="00844263"/>
    <w:rsid w:val="00844704"/>
    <w:rsid w:val="008449DB"/>
    <w:rsid w:val="00844C43"/>
    <w:rsid w:val="00844D86"/>
    <w:rsid w:val="00844F16"/>
    <w:rsid w:val="00844FB7"/>
    <w:rsid w:val="00845BB9"/>
    <w:rsid w:val="008461E4"/>
    <w:rsid w:val="008466CA"/>
    <w:rsid w:val="00846A82"/>
    <w:rsid w:val="00846BC1"/>
    <w:rsid w:val="00846C19"/>
    <w:rsid w:val="00846E68"/>
    <w:rsid w:val="00847083"/>
    <w:rsid w:val="008473D5"/>
    <w:rsid w:val="00847A81"/>
    <w:rsid w:val="00847DDF"/>
    <w:rsid w:val="00850140"/>
    <w:rsid w:val="00850327"/>
    <w:rsid w:val="00850A01"/>
    <w:rsid w:val="00850B5D"/>
    <w:rsid w:val="00851128"/>
    <w:rsid w:val="008517CF"/>
    <w:rsid w:val="00851E63"/>
    <w:rsid w:val="0085216E"/>
    <w:rsid w:val="008525DE"/>
    <w:rsid w:val="00852741"/>
    <w:rsid w:val="008531E3"/>
    <w:rsid w:val="00853256"/>
    <w:rsid w:val="008539B4"/>
    <w:rsid w:val="00853E2C"/>
    <w:rsid w:val="00855235"/>
    <w:rsid w:val="008554C9"/>
    <w:rsid w:val="00855A66"/>
    <w:rsid w:val="00855B96"/>
    <w:rsid w:val="00856D8D"/>
    <w:rsid w:val="00856DE8"/>
    <w:rsid w:val="0085700D"/>
    <w:rsid w:val="00857AF6"/>
    <w:rsid w:val="00857B43"/>
    <w:rsid w:val="00857B67"/>
    <w:rsid w:val="00857D20"/>
    <w:rsid w:val="008607ED"/>
    <w:rsid w:val="0086098E"/>
    <w:rsid w:val="00860B3D"/>
    <w:rsid w:val="00860F1B"/>
    <w:rsid w:val="00861E39"/>
    <w:rsid w:val="008627FA"/>
    <w:rsid w:val="00862C03"/>
    <w:rsid w:val="00862DA6"/>
    <w:rsid w:val="008631F8"/>
    <w:rsid w:val="008633F1"/>
    <w:rsid w:val="00863943"/>
    <w:rsid w:val="008639AD"/>
    <w:rsid w:val="00863BB3"/>
    <w:rsid w:val="00863FBD"/>
    <w:rsid w:val="0086470A"/>
    <w:rsid w:val="00864F04"/>
    <w:rsid w:val="00865E80"/>
    <w:rsid w:val="00866212"/>
    <w:rsid w:val="00866688"/>
    <w:rsid w:val="00866BB4"/>
    <w:rsid w:val="00866E14"/>
    <w:rsid w:val="00867626"/>
    <w:rsid w:val="00867967"/>
    <w:rsid w:val="0086798D"/>
    <w:rsid w:val="00867BFD"/>
    <w:rsid w:val="00870442"/>
    <w:rsid w:val="00870E4C"/>
    <w:rsid w:val="008712B5"/>
    <w:rsid w:val="00871A59"/>
    <w:rsid w:val="00871E67"/>
    <w:rsid w:val="00871FBD"/>
    <w:rsid w:val="0087217F"/>
    <w:rsid w:val="008722D3"/>
    <w:rsid w:val="008722F1"/>
    <w:rsid w:val="0087285E"/>
    <w:rsid w:val="00872D69"/>
    <w:rsid w:val="008736C8"/>
    <w:rsid w:val="00873EA8"/>
    <w:rsid w:val="0087417F"/>
    <w:rsid w:val="00874658"/>
    <w:rsid w:val="00875846"/>
    <w:rsid w:val="0087589F"/>
    <w:rsid w:val="008766CB"/>
    <w:rsid w:val="00876C5D"/>
    <w:rsid w:val="00880043"/>
    <w:rsid w:val="00880102"/>
    <w:rsid w:val="00880111"/>
    <w:rsid w:val="00880C2E"/>
    <w:rsid w:val="00880ED3"/>
    <w:rsid w:val="0088114E"/>
    <w:rsid w:val="00881A32"/>
    <w:rsid w:val="00881DA9"/>
    <w:rsid w:val="008824FD"/>
    <w:rsid w:val="00884755"/>
    <w:rsid w:val="00884A7E"/>
    <w:rsid w:val="00884AEA"/>
    <w:rsid w:val="00884B40"/>
    <w:rsid w:val="00884DE7"/>
    <w:rsid w:val="0088522E"/>
    <w:rsid w:val="008867BB"/>
    <w:rsid w:val="00886996"/>
    <w:rsid w:val="00886D11"/>
    <w:rsid w:val="00886EF1"/>
    <w:rsid w:val="0089031F"/>
    <w:rsid w:val="0089088E"/>
    <w:rsid w:val="00891000"/>
    <w:rsid w:val="00892049"/>
    <w:rsid w:val="00892250"/>
    <w:rsid w:val="00892360"/>
    <w:rsid w:val="00892508"/>
    <w:rsid w:val="00892C9F"/>
    <w:rsid w:val="00893063"/>
    <w:rsid w:val="00893DB0"/>
    <w:rsid w:val="00894161"/>
    <w:rsid w:val="00894A3C"/>
    <w:rsid w:val="00894FB0"/>
    <w:rsid w:val="00895026"/>
    <w:rsid w:val="00895572"/>
    <w:rsid w:val="008961E1"/>
    <w:rsid w:val="00896894"/>
    <w:rsid w:val="00896C4C"/>
    <w:rsid w:val="00896CEC"/>
    <w:rsid w:val="0089744F"/>
    <w:rsid w:val="00897E2F"/>
    <w:rsid w:val="00897EB3"/>
    <w:rsid w:val="008A074C"/>
    <w:rsid w:val="008A0883"/>
    <w:rsid w:val="008A0A74"/>
    <w:rsid w:val="008A0B5E"/>
    <w:rsid w:val="008A1A3D"/>
    <w:rsid w:val="008A2035"/>
    <w:rsid w:val="008A2167"/>
    <w:rsid w:val="008A257C"/>
    <w:rsid w:val="008A25CF"/>
    <w:rsid w:val="008A2891"/>
    <w:rsid w:val="008A2954"/>
    <w:rsid w:val="008A2C23"/>
    <w:rsid w:val="008A2C96"/>
    <w:rsid w:val="008A3144"/>
    <w:rsid w:val="008A3456"/>
    <w:rsid w:val="008A34A2"/>
    <w:rsid w:val="008A3580"/>
    <w:rsid w:val="008A3AC7"/>
    <w:rsid w:val="008A3B4D"/>
    <w:rsid w:val="008A3EAA"/>
    <w:rsid w:val="008A4529"/>
    <w:rsid w:val="008A56B1"/>
    <w:rsid w:val="008A599E"/>
    <w:rsid w:val="008A5A5E"/>
    <w:rsid w:val="008A6275"/>
    <w:rsid w:val="008A627B"/>
    <w:rsid w:val="008A672F"/>
    <w:rsid w:val="008A6871"/>
    <w:rsid w:val="008A6A95"/>
    <w:rsid w:val="008A6CBF"/>
    <w:rsid w:val="008A6E00"/>
    <w:rsid w:val="008A6E21"/>
    <w:rsid w:val="008A6E55"/>
    <w:rsid w:val="008A71D6"/>
    <w:rsid w:val="008A7740"/>
    <w:rsid w:val="008A79E7"/>
    <w:rsid w:val="008A7BB6"/>
    <w:rsid w:val="008B0270"/>
    <w:rsid w:val="008B02BE"/>
    <w:rsid w:val="008B0B30"/>
    <w:rsid w:val="008B1516"/>
    <w:rsid w:val="008B19BA"/>
    <w:rsid w:val="008B1AC0"/>
    <w:rsid w:val="008B1B37"/>
    <w:rsid w:val="008B1C2D"/>
    <w:rsid w:val="008B300B"/>
    <w:rsid w:val="008B38B6"/>
    <w:rsid w:val="008B39A2"/>
    <w:rsid w:val="008B5135"/>
    <w:rsid w:val="008B53C0"/>
    <w:rsid w:val="008B5848"/>
    <w:rsid w:val="008B58CE"/>
    <w:rsid w:val="008B5949"/>
    <w:rsid w:val="008B5A90"/>
    <w:rsid w:val="008B6167"/>
    <w:rsid w:val="008B688D"/>
    <w:rsid w:val="008B6D6C"/>
    <w:rsid w:val="008B6FD2"/>
    <w:rsid w:val="008B71E9"/>
    <w:rsid w:val="008B73E1"/>
    <w:rsid w:val="008B75EA"/>
    <w:rsid w:val="008B7BA6"/>
    <w:rsid w:val="008C0785"/>
    <w:rsid w:val="008C0BA4"/>
    <w:rsid w:val="008C0C13"/>
    <w:rsid w:val="008C0C45"/>
    <w:rsid w:val="008C16CF"/>
    <w:rsid w:val="008C2286"/>
    <w:rsid w:val="008C24FE"/>
    <w:rsid w:val="008C320F"/>
    <w:rsid w:val="008C3BA9"/>
    <w:rsid w:val="008C40F5"/>
    <w:rsid w:val="008C48A9"/>
    <w:rsid w:val="008C53D0"/>
    <w:rsid w:val="008C5ABC"/>
    <w:rsid w:val="008C5FCE"/>
    <w:rsid w:val="008C7200"/>
    <w:rsid w:val="008C7464"/>
    <w:rsid w:val="008C74CA"/>
    <w:rsid w:val="008C756D"/>
    <w:rsid w:val="008C7657"/>
    <w:rsid w:val="008C7897"/>
    <w:rsid w:val="008C79F2"/>
    <w:rsid w:val="008D0881"/>
    <w:rsid w:val="008D0CD8"/>
    <w:rsid w:val="008D0D4D"/>
    <w:rsid w:val="008D0D89"/>
    <w:rsid w:val="008D128D"/>
    <w:rsid w:val="008D19D1"/>
    <w:rsid w:val="008D245B"/>
    <w:rsid w:val="008D28F9"/>
    <w:rsid w:val="008D33C5"/>
    <w:rsid w:val="008D359A"/>
    <w:rsid w:val="008D3811"/>
    <w:rsid w:val="008D3ABB"/>
    <w:rsid w:val="008D44EC"/>
    <w:rsid w:val="008D4565"/>
    <w:rsid w:val="008D49AB"/>
    <w:rsid w:val="008D4A69"/>
    <w:rsid w:val="008D4F10"/>
    <w:rsid w:val="008D5630"/>
    <w:rsid w:val="008D56ED"/>
    <w:rsid w:val="008D594C"/>
    <w:rsid w:val="008D5BAE"/>
    <w:rsid w:val="008D5E9D"/>
    <w:rsid w:val="008D5F4F"/>
    <w:rsid w:val="008D61DF"/>
    <w:rsid w:val="008D6255"/>
    <w:rsid w:val="008D64A5"/>
    <w:rsid w:val="008D6553"/>
    <w:rsid w:val="008D6C5A"/>
    <w:rsid w:val="008D733E"/>
    <w:rsid w:val="008D756A"/>
    <w:rsid w:val="008D7A34"/>
    <w:rsid w:val="008D7EDA"/>
    <w:rsid w:val="008E05B2"/>
    <w:rsid w:val="008E1000"/>
    <w:rsid w:val="008E106B"/>
    <w:rsid w:val="008E1C4B"/>
    <w:rsid w:val="008E257E"/>
    <w:rsid w:val="008E2722"/>
    <w:rsid w:val="008E28FD"/>
    <w:rsid w:val="008E3058"/>
    <w:rsid w:val="008E3215"/>
    <w:rsid w:val="008E381C"/>
    <w:rsid w:val="008E3BE2"/>
    <w:rsid w:val="008E3C25"/>
    <w:rsid w:val="008E498A"/>
    <w:rsid w:val="008E4D1C"/>
    <w:rsid w:val="008E51E5"/>
    <w:rsid w:val="008E521A"/>
    <w:rsid w:val="008E55D9"/>
    <w:rsid w:val="008E58E9"/>
    <w:rsid w:val="008E5FC9"/>
    <w:rsid w:val="008E603B"/>
    <w:rsid w:val="008E6464"/>
    <w:rsid w:val="008E682C"/>
    <w:rsid w:val="008E6CB6"/>
    <w:rsid w:val="008E71C1"/>
    <w:rsid w:val="008E7554"/>
    <w:rsid w:val="008E7CD9"/>
    <w:rsid w:val="008E7E27"/>
    <w:rsid w:val="008F05F4"/>
    <w:rsid w:val="008F07AB"/>
    <w:rsid w:val="008F141A"/>
    <w:rsid w:val="008F1742"/>
    <w:rsid w:val="008F17DF"/>
    <w:rsid w:val="008F1AF7"/>
    <w:rsid w:val="008F2766"/>
    <w:rsid w:val="008F2A61"/>
    <w:rsid w:val="008F2AF5"/>
    <w:rsid w:val="008F3309"/>
    <w:rsid w:val="008F3742"/>
    <w:rsid w:val="008F391D"/>
    <w:rsid w:val="008F3EC5"/>
    <w:rsid w:val="008F406B"/>
    <w:rsid w:val="008F4995"/>
    <w:rsid w:val="008F4A49"/>
    <w:rsid w:val="008F51E7"/>
    <w:rsid w:val="008F5245"/>
    <w:rsid w:val="008F5502"/>
    <w:rsid w:val="008F5564"/>
    <w:rsid w:val="008F5658"/>
    <w:rsid w:val="008F601F"/>
    <w:rsid w:val="008F6316"/>
    <w:rsid w:val="008F6440"/>
    <w:rsid w:val="008F6A61"/>
    <w:rsid w:val="008F6E3E"/>
    <w:rsid w:val="008F71B1"/>
    <w:rsid w:val="008F7FE8"/>
    <w:rsid w:val="00900608"/>
    <w:rsid w:val="00900854"/>
    <w:rsid w:val="00900A12"/>
    <w:rsid w:val="00900C1F"/>
    <w:rsid w:val="009016F1"/>
    <w:rsid w:val="00901B41"/>
    <w:rsid w:val="009022B3"/>
    <w:rsid w:val="009022B8"/>
    <w:rsid w:val="009023C1"/>
    <w:rsid w:val="009029CC"/>
    <w:rsid w:val="00903602"/>
    <w:rsid w:val="00903E2A"/>
    <w:rsid w:val="00904391"/>
    <w:rsid w:val="00904557"/>
    <w:rsid w:val="00904661"/>
    <w:rsid w:val="00904D3B"/>
    <w:rsid w:val="00905089"/>
    <w:rsid w:val="009056FF"/>
    <w:rsid w:val="00905AC2"/>
    <w:rsid w:val="00905C34"/>
    <w:rsid w:val="009067D4"/>
    <w:rsid w:val="009068DD"/>
    <w:rsid w:val="00906972"/>
    <w:rsid w:val="00906D5F"/>
    <w:rsid w:val="0090752B"/>
    <w:rsid w:val="00907C63"/>
    <w:rsid w:val="00907F26"/>
    <w:rsid w:val="009101E4"/>
    <w:rsid w:val="00910825"/>
    <w:rsid w:val="00910C35"/>
    <w:rsid w:val="009110D8"/>
    <w:rsid w:val="00911381"/>
    <w:rsid w:val="00911CA4"/>
    <w:rsid w:val="00911F69"/>
    <w:rsid w:val="00912587"/>
    <w:rsid w:val="00912985"/>
    <w:rsid w:val="00912AC3"/>
    <w:rsid w:val="00913506"/>
    <w:rsid w:val="00913D76"/>
    <w:rsid w:val="009142AC"/>
    <w:rsid w:val="0091442C"/>
    <w:rsid w:val="00914720"/>
    <w:rsid w:val="009155CF"/>
    <w:rsid w:val="00915769"/>
    <w:rsid w:val="00915983"/>
    <w:rsid w:val="00915E23"/>
    <w:rsid w:val="0091643A"/>
    <w:rsid w:val="0091699D"/>
    <w:rsid w:val="009169BB"/>
    <w:rsid w:val="00916E06"/>
    <w:rsid w:val="0091742D"/>
    <w:rsid w:val="009174CB"/>
    <w:rsid w:val="00917BAB"/>
    <w:rsid w:val="00917BEA"/>
    <w:rsid w:val="00917E4C"/>
    <w:rsid w:val="00917FFC"/>
    <w:rsid w:val="0092015A"/>
    <w:rsid w:val="0092066A"/>
    <w:rsid w:val="009208DD"/>
    <w:rsid w:val="0092099F"/>
    <w:rsid w:val="00920B43"/>
    <w:rsid w:val="0092100B"/>
    <w:rsid w:val="009213F9"/>
    <w:rsid w:val="009214C1"/>
    <w:rsid w:val="009214FC"/>
    <w:rsid w:val="009217C3"/>
    <w:rsid w:val="0092189E"/>
    <w:rsid w:val="009218C8"/>
    <w:rsid w:val="009221DB"/>
    <w:rsid w:val="009228EA"/>
    <w:rsid w:val="00922ABA"/>
    <w:rsid w:val="009232D0"/>
    <w:rsid w:val="009234D1"/>
    <w:rsid w:val="0092376C"/>
    <w:rsid w:val="0092377E"/>
    <w:rsid w:val="00923886"/>
    <w:rsid w:val="009239A7"/>
    <w:rsid w:val="00923C6E"/>
    <w:rsid w:val="00924B1C"/>
    <w:rsid w:val="00924CA2"/>
    <w:rsid w:val="00925097"/>
    <w:rsid w:val="00925669"/>
    <w:rsid w:val="00925766"/>
    <w:rsid w:val="009259C1"/>
    <w:rsid w:val="00925A08"/>
    <w:rsid w:val="00925FA1"/>
    <w:rsid w:val="009260B7"/>
    <w:rsid w:val="00926676"/>
    <w:rsid w:val="00927094"/>
    <w:rsid w:val="009270D4"/>
    <w:rsid w:val="00927175"/>
    <w:rsid w:val="009271CC"/>
    <w:rsid w:val="00927430"/>
    <w:rsid w:val="009274FD"/>
    <w:rsid w:val="00927660"/>
    <w:rsid w:val="00927BF5"/>
    <w:rsid w:val="00927CDC"/>
    <w:rsid w:val="0093020C"/>
    <w:rsid w:val="00930585"/>
    <w:rsid w:val="00930B9E"/>
    <w:rsid w:val="0093121E"/>
    <w:rsid w:val="00931D26"/>
    <w:rsid w:val="00931DEA"/>
    <w:rsid w:val="00932F44"/>
    <w:rsid w:val="00933463"/>
    <w:rsid w:val="00933A6E"/>
    <w:rsid w:val="00933C8D"/>
    <w:rsid w:val="00934D54"/>
    <w:rsid w:val="00935229"/>
    <w:rsid w:val="009358AF"/>
    <w:rsid w:val="009364F6"/>
    <w:rsid w:val="00936AED"/>
    <w:rsid w:val="00936C1E"/>
    <w:rsid w:val="00936E7E"/>
    <w:rsid w:val="00936EE1"/>
    <w:rsid w:val="00937326"/>
    <w:rsid w:val="00937382"/>
    <w:rsid w:val="00937813"/>
    <w:rsid w:val="00940CB5"/>
    <w:rsid w:val="0094100F"/>
    <w:rsid w:val="009410A4"/>
    <w:rsid w:val="0094139C"/>
    <w:rsid w:val="00941893"/>
    <w:rsid w:val="009419A6"/>
    <w:rsid w:val="00941A18"/>
    <w:rsid w:val="00941B2B"/>
    <w:rsid w:val="00941B4A"/>
    <w:rsid w:val="00942179"/>
    <w:rsid w:val="00942361"/>
    <w:rsid w:val="00942786"/>
    <w:rsid w:val="00942DA7"/>
    <w:rsid w:val="00942F21"/>
    <w:rsid w:val="00943155"/>
    <w:rsid w:val="009431EB"/>
    <w:rsid w:val="00943F68"/>
    <w:rsid w:val="009448AE"/>
    <w:rsid w:val="009448D9"/>
    <w:rsid w:val="00945970"/>
    <w:rsid w:val="00946191"/>
    <w:rsid w:val="009464A5"/>
    <w:rsid w:val="00946DC4"/>
    <w:rsid w:val="009471A9"/>
    <w:rsid w:val="00947380"/>
    <w:rsid w:val="00950154"/>
    <w:rsid w:val="009503E0"/>
    <w:rsid w:val="00950A4E"/>
    <w:rsid w:val="00950D4A"/>
    <w:rsid w:val="00951047"/>
    <w:rsid w:val="00951128"/>
    <w:rsid w:val="0095114C"/>
    <w:rsid w:val="00951C08"/>
    <w:rsid w:val="00951E22"/>
    <w:rsid w:val="00951E64"/>
    <w:rsid w:val="00952638"/>
    <w:rsid w:val="009526E3"/>
    <w:rsid w:val="0095298C"/>
    <w:rsid w:val="00952AF4"/>
    <w:rsid w:val="00952E9C"/>
    <w:rsid w:val="00953303"/>
    <w:rsid w:val="00953387"/>
    <w:rsid w:val="0095347F"/>
    <w:rsid w:val="009538C9"/>
    <w:rsid w:val="00954097"/>
    <w:rsid w:val="009540BB"/>
    <w:rsid w:val="00954201"/>
    <w:rsid w:val="009543A0"/>
    <w:rsid w:val="009544E0"/>
    <w:rsid w:val="00954586"/>
    <w:rsid w:val="00954674"/>
    <w:rsid w:val="00954AFF"/>
    <w:rsid w:val="00954BC0"/>
    <w:rsid w:val="00954CC1"/>
    <w:rsid w:val="00955CAD"/>
    <w:rsid w:val="009560DD"/>
    <w:rsid w:val="009562E7"/>
    <w:rsid w:val="00956B4A"/>
    <w:rsid w:val="009572DC"/>
    <w:rsid w:val="00957325"/>
    <w:rsid w:val="0095770F"/>
    <w:rsid w:val="009600A9"/>
    <w:rsid w:val="00960452"/>
    <w:rsid w:val="00960737"/>
    <w:rsid w:val="0096074C"/>
    <w:rsid w:val="00960C38"/>
    <w:rsid w:val="00960EEB"/>
    <w:rsid w:val="00961154"/>
    <w:rsid w:val="009615C3"/>
    <w:rsid w:val="00961767"/>
    <w:rsid w:val="00961B27"/>
    <w:rsid w:val="0096250A"/>
    <w:rsid w:val="00962AD1"/>
    <w:rsid w:val="00962BDF"/>
    <w:rsid w:val="00962C78"/>
    <w:rsid w:val="0096345C"/>
    <w:rsid w:val="0096363E"/>
    <w:rsid w:val="0096364A"/>
    <w:rsid w:val="00963A08"/>
    <w:rsid w:val="00963B49"/>
    <w:rsid w:val="009649E7"/>
    <w:rsid w:val="009653D7"/>
    <w:rsid w:val="009658AA"/>
    <w:rsid w:val="00967A7E"/>
    <w:rsid w:val="00970527"/>
    <w:rsid w:val="00970BA3"/>
    <w:rsid w:val="00970C59"/>
    <w:rsid w:val="00970FA8"/>
    <w:rsid w:val="00971CD8"/>
    <w:rsid w:val="00971DB4"/>
    <w:rsid w:val="00971E96"/>
    <w:rsid w:val="00972709"/>
    <w:rsid w:val="009731B8"/>
    <w:rsid w:val="00973615"/>
    <w:rsid w:val="0097393D"/>
    <w:rsid w:val="00973D31"/>
    <w:rsid w:val="0097439D"/>
    <w:rsid w:val="00974AAA"/>
    <w:rsid w:val="00974D25"/>
    <w:rsid w:val="009751A5"/>
    <w:rsid w:val="0097543A"/>
    <w:rsid w:val="00975699"/>
    <w:rsid w:val="00975929"/>
    <w:rsid w:val="009770F8"/>
    <w:rsid w:val="009772D1"/>
    <w:rsid w:val="00977411"/>
    <w:rsid w:val="00977AA7"/>
    <w:rsid w:val="009802D1"/>
    <w:rsid w:val="00980AB6"/>
    <w:rsid w:val="00980F6D"/>
    <w:rsid w:val="009822DC"/>
    <w:rsid w:val="009824D9"/>
    <w:rsid w:val="009825F6"/>
    <w:rsid w:val="00983252"/>
    <w:rsid w:val="009833F3"/>
    <w:rsid w:val="00983492"/>
    <w:rsid w:val="0098367E"/>
    <w:rsid w:val="00983708"/>
    <w:rsid w:val="009837C5"/>
    <w:rsid w:val="009839AB"/>
    <w:rsid w:val="00983A73"/>
    <w:rsid w:val="00983AC9"/>
    <w:rsid w:val="00983D83"/>
    <w:rsid w:val="00983D97"/>
    <w:rsid w:val="00983DD5"/>
    <w:rsid w:val="009840E2"/>
    <w:rsid w:val="00984AE3"/>
    <w:rsid w:val="00984DD4"/>
    <w:rsid w:val="00984FAE"/>
    <w:rsid w:val="0098530F"/>
    <w:rsid w:val="009854BC"/>
    <w:rsid w:val="00985B78"/>
    <w:rsid w:val="00985D45"/>
    <w:rsid w:val="00985D48"/>
    <w:rsid w:val="00986371"/>
    <w:rsid w:val="00986A70"/>
    <w:rsid w:val="00986ACF"/>
    <w:rsid w:val="00987314"/>
    <w:rsid w:val="00990061"/>
    <w:rsid w:val="009900FC"/>
    <w:rsid w:val="00990721"/>
    <w:rsid w:val="0099108B"/>
    <w:rsid w:val="009911B1"/>
    <w:rsid w:val="009915AF"/>
    <w:rsid w:val="009919FC"/>
    <w:rsid w:val="00992142"/>
    <w:rsid w:val="009926D3"/>
    <w:rsid w:val="00992C22"/>
    <w:rsid w:val="009936EF"/>
    <w:rsid w:val="00993CCD"/>
    <w:rsid w:val="009946C5"/>
    <w:rsid w:val="00994789"/>
    <w:rsid w:val="00994CA4"/>
    <w:rsid w:val="009951C0"/>
    <w:rsid w:val="00995424"/>
    <w:rsid w:val="00995D85"/>
    <w:rsid w:val="009963A2"/>
    <w:rsid w:val="0099715C"/>
    <w:rsid w:val="0099776F"/>
    <w:rsid w:val="00997D3F"/>
    <w:rsid w:val="00997E58"/>
    <w:rsid w:val="009A034C"/>
    <w:rsid w:val="009A0A29"/>
    <w:rsid w:val="009A0F09"/>
    <w:rsid w:val="009A18C9"/>
    <w:rsid w:val="009A2537"/>
    <w:rsid w:val="009A2AAB"/>
    <w:rsid w:val="009A3034"/>
    <w:rsid w:val="009A3518"/>
    <w:rsid w:val="009A39D9"/>
    <w:rsid w:val="009A428B"/>
    <w:rsid w:val="009A4392"/>
    <w:rsid w:val="009A46A7"/>
    <w:rsid w:val="009A54E9"/>
    <w:rsid w:val="009A5906"/>
    <w:rsid w:val="009A599F"/>
    <w:rsid w:val="009A6671"/>
    <w:rsid w:val="009A6905"/>
    <w:rsid w:val="009A6A57"/>
    <w:rsid w:val="009A6B0E"/>
    <w:rsid w:val="009A7719"/>
    <w:rsid w:val="009B01BD"/>
    <w:rsid w:val="009B020A"/>
    <w:rsid w:val="009B04EE"/>
    <w:rsid w:val="009B1414"/>
    <w:rsid w:val="009B1FE2"/>
    <w:rsid w:val="009B3336"/>
    <w:rsid w:val="009B3A43"/>
    <w:rsid w:val="009B3C1E"/>
    <w:rsid w:val="009B3F07"/>
    <w:rsid w:val="009B4A8B"/>
    <w:rsid w:val="009B4F4A"/>
    <w:rsid w:val="009B64F4"/>
    <w:rsid w:val="009B66A4"/>
    <w:rsid w:val="009B6BE4"/>
    <w:rsid w:val="009B706D"/>
    <w:rsid w:val="009B7289"/>
    <w:rsid w:val="009C0693"/>
    <w:rsid w:val="009C0C2E"/>
    <w:rsid w:val="009C115B"/>
    <w:rsid w:val="009C11D0"/>
    <w:rsid w:val="009C1209"/>
    <w:rsid w:val="009C1808"/>
    <w:rsid w:val="009C1AAE"/>
    <w:rsid w:val="009C1B59"/>
    <w:rsid w:val="009C1D8D"/>
    <w:rsid w:val="009C22E5"/>
    <w:rsid w:val="009C249E"/>
    <w:rsid w:val="009C291C"/>
    <w:rsid w:val="009C3528"/>
    <w:rsid w:val="009C4628"/>
    <w:rsid w:val="009C491E"/>
    <w:rsid w:val="009C4FE0"/>
    <w:rsid w:val="009C50C4"/>
    <w:rsid w:val="009C511E"/>
    <w:rsid w:val="009C633F"/>
    <w:rsid w:val="009C6BA9"/>
    <w:rsid w:val="009C74CA"/>
    <w:rsid w:val="009C7FAD"/>
    <w:rsid w:val="009D017D"/>
    <w:rsid w:val="009D0A56"/>
    <w:rsid w:val="009D1A52"/>
    <w:rsid w:val="009D20D3"/>
    <w:rsid w:val="009D215A"/>
    <w:rsid w:val="009D2516"/>
    <w:rsid w:val="009D27E5"/>
    <w:rsid w:val="009D2956"/>
    <w:rsid w:val="009D2FF4"/>
    <w:rsid w:val="009D309C"/>
    <w:rsid w:val="009D3193"/>
    <w:rsid w:val="009D38DD"/>
    <w:rsid w:val="009D42D1"/>
    <w:rsid w:val="009D4360"/>
    <w:rsid w:val="009D4BD0"/>
    <w:rsid w:val="009D4F68"/>
    <w:rsid w:val="009D5357"/>
    <w:rsid w:val="009D5495"/>
    <w:rsid w:val="009D550A"/>
    <w:rsid w:val="009D575D"/>
    <w:rsid w:val="009D5A40"/>
    <w:rsid w:val="009D5C63"/>
    <w:rsid w:val="009D5F4B"/>
    <w:rsid w:val="009D6D70"/>
    <w:rsid w:val="009D70B0"/>
    <w:rsid w:val="009D720A"/>
    <w:rsid w:val="009D79C2"/>
    <w:rsid w:val="009D7A33"/>
    <w:rsid w:val="009E02D5"/>
    <w:rsid w:val="009E1166"/>
    <w:rsid w:val="009E1437"/>
    <w:rsid w:val="009E1688"/>
    <w:rsid w:val="009E1BC5"/>
    <w:rsid w:val="009E22EB"/>
    <w:rsid w:val="009E23F5"/>
    <w:rsid w:val="009E251F"/>
    <w:rsid w:val="009E2635"/>
    <w:rsid w:val="009E2A32"/>
    <w:rsid w:val="009E2A4B"/>
    <w:rsid w:val="009E2CA1"/>
    <w:rsid w:val="009E3DF3"/>
    <w:rsid w:val="009E3EFC"/>
    <w:rsid w:val="009E3F6A"/>
    <w:rsid w:val="009E408C"/>
    <w:rsid w:val="009E4445"/>
    <w:rsid w:val="009E49A1"/>
    <w:rsid w:val="009E5618"/>
    <w:rsid w:val="009E581A"/>
    <w:rsid w:val="009E5A80"/>
    <w:rsid w:val="009E5E07"/>
    <w:rsid w:val="009E6287"/>
    <w:rsid w:val="009E6451"/>
    <w:rsid w:val="009E75EC"/>
    <w:rsid w:val="009E7735"/>
    <w:rsid w:val="009E7F3D"/>
    <w:rsid w:val="009E7F93"/>
    <w:rsid w:val="009F0562"/>
    <w:rsid w:val="009F0619"/>
    <w:rsid w:val="009F07A8"/>
    <w:rsid w:val="009F08FD"/>
    <w:rsid w:val="009F0E99"/>
    <w:rsid w:val="009F1364"/>
    <w:rsid w:val="009F19C6"/>
    <w:rsid w:val="009F1BC7"/>
    <w:rsid w:val="009F28DC"/>
    <w:rsid w:val="009F3273"/>
    <w:rsid w:val="009F3F0E"/>
    <w:rsid w:val="009F44E0"/>
    <w:rsid w:val="009F4528"/>
    <w:rsid w:val="009F4B0C"/>
    <w:rsid w:val="009F5196"/>
    <w:rsid w:val="009F58E0"/>
    <w:rsid w:val="009F5F1A"/>
    <w:rsid w:val="009F6467"/>
    <w:rsid w:val="009F67A7"/>
    <w:rsid w:val="009F6B4A"/>
    <w:rsid w:val="009F6F06"/>
    <w:rsid w:val="009F7069"/>
    <w:rsid w:val="009F7628"/>
    <w:rsid w:val="009F78D8"/>
    <w:rsid w:val="009F7DA6"/>
    <w:rsid w:val="00A00407"/>
    <w:rsid w:val="00A00E1C"/>
    <w:rsid w:val="00A0193D"/>
    <w:rsid w:val="00A01AF4"/>
    <w:rsid w:val="00A02187"/>
    <w:rsid w:val="00A024D9"/>
    <w:rsid w:val="00A026E8"/>
    <w:rsid w:val="00A026EF"/>
    <w:rsid w:val="00A02BC4"/>
    <w:rsid w:val="00A02EDE"/>
    <w:rsid w:val="00A036E1"/>
    <w:rsid w:val="00A037E1"/>
    <w:rsid w:val="00A03BB7"/>
    <w:rsid w:val="00A03C92"/>
    <w:rsid w:val="00A03DD7"/>
    <w:rsid w:val="00A04978"/>
    <w:rsid w:val="00A04B1E"/>
    <w:rsid w:val="00A04C2B"/>
    <w:rsid w:val="00A052AA"/>
    <w:rsid w:val="00A05338"/>
    <w:rsid w:val="00A05737"/>
    <w:rsid w:val="00A06107"/>
    <w:rsid w:val="00A062B6"/>
    <w:rsid w:val="00A062D0"/>
    <w:rsid w:val="00A0687A"/>
    <w:rsid w:val="00A06C6A"/>
    <w:rsid w:val="00A06D31"/>
    <w:rsid w:val="00A06DA1"/>
    <w:rsid w:val="00A06FF8"/>
    <w:rsid w:val="00A0707B"/>
    <w:rsid w:val="00A0799E"/>
    <w:rsid w:val="00A07DC6"/>
    <w:rsid w:val="00A10247"/>
    <w:rsid w:val="00A105FA"/>
    <w:rsid w:val="00A1062D"/>
    <w:rsid w:val="00A108C9"/>
    <w:rsid w:val="00A10B3E"/>
    <w:rsid w:val="00A10FCF"/>
    <w:rsid w:val="00A116EB"/>
    <w:rsid w:val="00A11ED0"/>
    <w:rsid w:val="00A120D0"/>
    <w:rsid w:val="00A12354"/>
    <w:rsid w:val="00A128CA"/>
    <w:rsid w:val="00A12CD5"/>
    <w:rsid w:val="00A136FB"/>
    <w:rsid w:val="00A13AFA"/>
    <w:rsid w:val="00A13C53"/>
    <w:rsid w:val="00A143D7"/>
    <w:rsid w:val="00A148E9"/>
    <w:rsid w:val="00A14E12"/>
    <w:rsid w:val="00A1518D"/>
    <w:rsid w:val="00A1585E"/>
    <w:rsid w:val="00A1621F"/>
    <w:rsid w:val="00A16307"/>
    <w:rsid w:val="00A16C82"/>
    <w:rsid w:val="00A17854"/>
    <w:rsid w:val="00A178C2"/>
    <w:rsid w:val="00A2018D"/>
    <w:rsid w:val="00A201E7"/>
    <w:rsid w:val="00A201EC"/>
    <w:rsid w:val="00A20C4D"/>
    <w:rsid w:val="00A20D2A"/>
    <w:rsid w:val="00A21CFA"/>
    <w:rsid w:val="00A21D07"/>
    <w:rsid w:val="00A22095"/>
    <w:rsid w:val="00A229D5"/>
    <w:rsid w:val="00A237EE"/>
    <w:rsid w:val="00A24457"/>
    <w:rsid w:val="00A24726"/>
    <w:rsid w:val="00A24817"/>
    <w:rsid w:val="00A249E7"/>
    <w:rsid w:val="00A24C34"/>
    <w:rsid w:val="00A24C69"/>
    <w:rsid w:val="00A25034"/>
    <w:rsid w:val="00A25A21"/>
    <w:rsid w:val="00A25FA8"/>
    <w:rsid w:val="00A26956"/>
    <w:rsid w:val="00A26B7F"/>
    <w:rsid w:val="00A27064"/>
    <w:rsid w:val="00A270C1"/>
    <w:rsid w:val="00A2754A"/>
    <w:rsid w:val="00A27A4D"/>
    <w:rsid w:val="00A302DE"/>
    <w:rsid w:val="00A3031C"/>
    <w:rsid w:val="00A303A9"/>
    <w:rsid w:val="00A308D8"/>
    <w:rsid w:val="00A309BB"/>
    <w:rsid w:val="00A31625"/>
    <w:rsid w:val="00A31756"/>
    <w:rsid w:val="00A319FC"/>
    <w:rsid w:val="00A31F88"/>
    <w:rsid w:val="00A3249E"/>
    <w:rsid w:val="00A32A82"/>
    <w:rsid w:val="00A336D0"/>
    <w:rsid w:val="00A3399D"/>
    <w:rsid w:val="00A341D7"/>
    <w:rsid w:val="00A3508B"/>
    <w:rsid w:val="00A35DB2"/>
    <w:rsid w:val="00A35DC9"/>
    <w:rsid w:val="00A361AE"/>
    <w:rsid w:val="00A3634F"/>
    <w:rsid w:val="00A3663B"/>
    <w:rsid w:val="00A36939"/>
    <w:rsid w:val="00A37161"/>
    <w:rsid w:val="00A375AD"/>
    <w:rsid w:val="00A37E04"/>
    <w:rsid w:val="00A40D94"/>
    <w:rsid w:val="00A41710"/>
    <w:rsid w:val="00A41797"/>
    <w:rsid w:val="00A41BE0"/>
    <w:rsid w:val="00A422AA"/>
    <w:rsid w:val="00A426C7"/>
    <w:rsid w:val="00A42726"/>
    <w:rsid w:val="00A43184"/>
    <w:rsid w:val="00A43A2B"/>
    <w:rsid w:val="00A44256"/>
    <w:rsid w:val="00A44665"/>
    <w:rsid w:val="00A448CA"/>
    <w:rsid w:val="00A449EE"/>
    <w:rsid w:val="00A4545B"/>
    <w:rsid w:val="00A45684"/>
    <w:rsid w:val="00A4589F"/>
    <w:rsid w:val="00A45B41"/>
    <w:rsid w:val="00A45CBC"/>
    <w:rsid w:val="00A45E5F"/>
    <w:rsid w:val="00A46050"/>
    <w:rsid w:val="00A46131"/>
    <w:rsid w:val="00A46D74"/>
    <w:rsid w:val="00A46DF7"/>
    <w:rsid w:val="00A47443"/>
    <w:rsid w:val="00A47B80"/>
    <w:rsid w:val="00A503D5"/>
    <w:rsid w:val="00A506F9"/>
    <w:rsid w:val="00A5084E"/>
    <w:rsid w:val="00A50A65"/>
    <w:rsid w:val="00A50B94"/>
    <w:rsid w:val="00A51005"/>
    <w:rsid w:val="00A51572"/>
    <w:rsid w:val="00A51B57"/>
    <w:rsid w:val="00A521FC"/>
    <w:rsid w:val="00A52521"/>
    <w:rsid w:val="00A528A1"/>
    <w:rsid w:val="00A538C3"/>
    <w:rsid w:val="00A54B01"/>
    <w:rsid w:val="00A54CE2"/>
    <w:rsid w:val="00A555CD"/>
    <w:rsid w:val="00A556A5"/>
    <w:rsid w:val="00A56376"/>
    <w:rsid w:val="00A569F9"/>
    <w:rsid w:val="00A56EDD"/>
    <w:rsid w:val="00A5704C"/>
    <w:rsid w:val="00A57CBC"/>
    <w:rsid w:val="00A57CBF"/>
    <w:rsid w:val="00A60280"/>
    <w:rsid w:val="00A6035F"/>
    <w:rsid w:val="00A60ADB"/>
    <w:rsid w:val="00A60B8A"/>
    <w:rsid w:val="00A60E33"/>
    <w:rsid w:val="00A60F1C"/>
    <w:rsid w:val="00A61EA2"/>
    <w:rsid w:val="00A62EB7"/>
    <w:rsid w:val="00A62F40"/>
    <w:rsid w:val="00A63278"/>
    <w:rsid w:val="00A634EF"/>
    <w:rsid w:val="00A643BC"/>
    <w:rsid w:val="00A646D6"/>
    <w:rsid w:val="00A64F93"/>
    <w:rsid w:val="00A662D9"/>
    <w:rsid w:val="00A664CC"/>
    <w:rsid w:val="00A666E8"/>
    <w:rsid w:val="00A66E26"/>
    <w:rsid w:val="00A673DB"/>
    <w:rsid w:val="00A67A5A"/>
    <w:rsid w:val="00A67DF6"/>
    <w:rsid w:val="00A67EC5"/>
    <w:rsid w:val="00A700EB"/>
    <w:rsid w:val="00A70430"/>
    <w:rsid w:val="00A70B24"/>
    <w:rsid w:val="00A70C2C"/>
    <w:rsid w:val="00A713CD"/>
    <w:rsid w:val="00A71AAC"/>
    <w:rsid w:val="00A71F5D"/>
    <w:rsid w:val="00A727E0"/>
    <w:rsid w:val="00A72F20"/>
    <w:rsid w:val="00A72FBE"/>
    <w:rsid w:val="00A738DF"/>
    <w:rsid w:val="00A74317"/>
    <w:rsid w:val="00A74FD9"/>
    <w:rsid w:val="00A75220"/>
    <w:rsid w:val="00A75787"/>
    <w:rsid w:val="00A7617F"/>
    <w:rsid w:val="00A76D63"/>
    <w:rsid w:val="00A771C7"/>
    <w:rsid w:val="00A7738D"/>
    <w:rsid w:val="00A777BD"/>
    <w:rsid w:val="00A7797F"/>
    <w:rsid w:val="00A77D1E"/>
    <w:rsid w:val="00A77E92"/>
    <w:rsid w:val="00A80837"/>
    <w:rsid w:val="00A80EF7"/>
    <w:rsid w:val="00A81688"/>
    <w:rsid w:val="00A818FB"/>
    <w:rsid w:val="00A81A50"/>
    <w:rsid w:val="00A82177"/>
    <w:rsid w:val="00A827CD"/>
    <w:rsid w:val="00A827D0"/>
    <w:rsid w:val="00A83482"/>
    <w:rsid w:val="00A83DA5"/>
    <w:rsid w:val="00A83EEC"/>
    <w:rsid w:val="00A843EA"/>
    <w:rsid w:val="00A8444B"/>
    <w:rsid w:val="00A84847"/>
    <w:rsid w:val="00A849B2"/>
    <w:rsid w:val="00A849E3"/>
    <w:rsid w:val="00A84E28"/>
    <w:rsid w:val="00A850D9"/>
    <w:rsid w:val="00A85311"/>
    <w:rsid w:val="00A85D6F"/>
    <w:rsid w:val="00A85F15"/>
    <w:rsid w:val="00A86BD7"/>
    <w:rsid w:val="00A86DD1"/>
    <w:rsid w:val="00A87583"/>
    <w:rsid w:val="00A902C1"/>
    <w:rsid w:val="00A90762"/>
    <w:rsid w:val="00A90DAC"/>
    <w:rsid w:val="00A90ECF"/>
    <w:rsid w:val="00A911A0"/>
    <w:rsid w:val="00A913D4"/>
    <w:rsid w:val="00A91661"/>
    <w:rsid w:val="00A91BC1"/>
    <w:rsid w:val="00A920AC"/>
    <w:rsid w:val="00A928FF"/>
    <w:rsid w:val="00A92DB0"/>
    <w:rsid w:val="00A93735"/>
    <w:rsid w:val="00A93A98"/>
    <w:rsid w:val="00A9405B"/>
    <w:rsid w:val="00A941F0"/>
    <w:rsid w:val="00A942B8"/>
    <w:rsid w:val="00A94367"/>
    <w:rsid w:val="00A94379"/>
    <w:rsid w:val="00A9503D"/>
    <w:rsid w:val="00A9507E"/>
    <w:rsid w:val="00A959D5"/>
    <w:rsid w:val="00A95C99"/>
    <w:rsid w:val="00A95D52"/>
    <w:rsid w:val="00A9659C"/>
    <w:rsid w:val="00A965C0"/>
    <w:rsid w:val="00A96C0F"/>
    <w:rsid w:val="00A9710E"/>
    <w:rsid w:val="00A971BC"/>
    <w:rsid w:val="00A97653"/>
    <w:rsid w:val="00A97DB2"/>
    <w:rsid w:val="00AA00C9"/>
    <w:rsid w:val="00AA1232"/>
    <w:rsid w:val="00AA1CDB"/>
    <w:rsid w:val="00AA1E27"/>
    <w:rsid w:val="00AA1EAA"/>
    <w:rsid w:val="00AA2607"/>
    <w:rsid w:val="00AA282A"/>
    <w:rsid w:val="00AA28DA"/>
    <w:rsid w:val="00AA292A"/>
    <w:rsid w:val="00AA360F"/>
    <w:rsid w:val="00AA386B"/>
    <w:rsid w:val="00AA55FC"/>
    <w:rsid w:val="00AA57BE"/>
    <w:rsid w:val="00AA5EE4"/>
    <w:rsid w:val="00AA63E7"/>
    <w:rsid w:val="00AA68A5"/>
    <w:rsid w:val="00AA6919"/>
    <w:rsid w:val="00AA6AAD"/>
    <w:rsid w:val="00AA6AB4"/>
    <w:rsid w:val="00AA6E25"/>
    <w:rsid w:val="00AA725F"/>
    <w:rsid w:val="00AA732E"/>
    <w:rsid w:val="00AA769A"/>
    <w:rsid w:val="00AA77D3"/>
    <w:rsid w:val="00AA787F"/>
    <w:rsid w:val="00AA79A1"/>
    <w:rsid w:val="00AA7F6B"/>
    <w:rsid w:val="00AB055A"/>
    <w:rsid w:val="00AB11D1"/>
    <w:rsid w:val="00AB1FAE"/>
    <w:rsid w:val="00AB21FD"/>
    <w:rsid w:val="00AB2A27"/>
    <w:rsid w:val="00AB3665"/>
    <w:rsid w:val="00AB377C"/>
    <w:rsid w:val="00AB38D6"/>
    <w:rsid w:val="00AB49CD"/>
    <w:rsid w:val="00AB4C73"/>
    <w:rsid w:val="00AB4FBC"/>
    <w:rsid w:val="00AB5125"/>
    <w:rsid w:val="00AB537C"/>
    <w:rsid w:val="00AB660C"/>
    <w:rsid w:val="00AB6864"/>
    <w:rsid w:val="00AB6D93"/>
    <w:rsid w:val="00AC0042"/>
    <w:rsid w:val="00AC025F"/>
    <w:rsid w:val="00AC1710"/>
    <w:rsid w:val="00AC1805"/>
    <w:rsid w:val="00AC19C3"/>
    <w:rsid w:val="00AC239B"/>
    <w:rsid w:val="00AC2B2C"/>
    <w:rsid w:val="00AC30FD"/>
    <w:rsid w:val="00AC3504"/>
    <w:rsid w:val="00AC3C0E"/>
    <w:rsid w:val="00AC45E8"/>
    <w:rsid w:val="00AC4D29"/>
    <w:rsid w:val="00AC4EE6"/>
    <w:rsid w:val="00AC552C"/>
    <w:rsid w:val="00AC570E"/>
    <w:rsid w:val="00AC5C30"/>
    <w:rsid w:val="00AC64E4"/>
    <w:rsid w:val="00AC6767"/>
    <w:rsid w:val="00AC69D6"/>
    <w:rsid w:val="00AC788C"/>
    <w:rsid w:val="00AC7FF2"/>
    <w:rsid w:val="00AD04AF"/>
    <w:rsid w:val="00AD06E1"/>
    <w:rsid w:val="00AD0810"/>
    <w:rsid w:val="00AD0ABC"/>
    <w:rsid w:val="00AD0C1D"/>
    <w:rsid w:val="00AD11E6"/>
    <w:rsid w:val="00AD1249"/>
    <w:rsid w:val="00AD19C1"/>
    <w:rsid w:val="00AD204A"/>
    <w:rsid w:val="00AD2140"/>
    <w:rsid w:val="00AD239F"/>
    <w:rsid w:val="00AD258F"/>
    <w:rsid w:val="00AD296D"/>
    <w:rsid w:val="00AD29CB"/>
    <w:rsid w:val="00AD37A6"/>
    <w:rsid w:val="00AD3E70"/>
    <w:rsid w:val="00AD42D1"/>
    <w:rsid w:val="00AD44CE"/>
    <w:rsid w:val="00AD4C18"/>
    <w:rsid w:val="00AD4C37"/>
    <w:rsid w:val="00AD4C87"/>
    <w:rsid w:val="00AD4CEF"/>
    <w:rsid w:val="00AD5F80"/>
    <w:rsid w:val="00AD610E"/>
    <w:rsid w:val="00AD654C"/>
    <w:rsid w:val="00AD687F"/>
    <w:rsid w:val="00AD6CB2"/>
    <w:rsid w:val="00AD6F25"/>
    <w:rsid w:val="00AD7268"/>
    <w:rsid w:val="00AD76D7"/>
    <w:rsid w:val="00AD7D50"/>
    <w:rsid w:val="00AE01B3"/>
    <w:rsid w:val="00AE0367"/>
    <w:rsid w:val="00AE05AF"/>
    <w:rsid w:val="00AE0620"/>
    <w:rsid w:val="00AE078B"/>
    <w:rsid w:val="00AE0B88"/>
    <w:rsid w:val="00AE0C03"/>
    <w:rsid w:val="00AE0CC4"/>
    <w:rsid w:val="00AE0EE5"/>
    <w:rsid w:val="00AE1182"/>
    <w:rsid w:val="00AE19FB"/>
    <w:rsid w:val="00AE2381"/>
    <w:rsid w:val="00AE2496"/>
    <w:rsid w:val="00AE2789"/>
    <w:rsid w:val="00AE3612"/>
    <w:rsid w:val="00AE38A1"/>
    <w:rsid w:val="00AE4245"/>
    <w:rsid w:val="00AE43A5"/>
    <w:rsid w:val="00AE4A26"/>
    <w:rsid w:val="00AE58D4"/>
    <w:rsid w:val="00AE5BED"/>
    <w:rsid w:val="00AE5DFB"/>
    <w:rsid w:val="00AE5F0B"/>
    <w:rsid w:val="00AE6414"/>
    <w:rsid w:val="00AE649F"/>
    <w:rsid w:val="00AE67B6"/>
    <w:rsid w:val="00AE6D23"/>
    <w:rsid w:val="00AE6D95"/>
    <w:rsid w:val="00AE6FA4"/>
    <w:rsid w:val="00AE6FB7"/>
    <w:rsid w:val="00AF010F"/>
    <w:rsid w:val="00AF0239"/>
    <w:rsid w:val="00AF07CB"/>
    <w:rsid w:val="00AF1273"/>
    <w:rsid w:val="00AF1E7D"/>
    <w:rsid w:val="00AF2044"/>
    <w:rsid w:val="00AF2085"/>
    <w:rsid w:val="00AF20EF"/>
    <w:rsid w:val="00AF2591"/>
    <w:rsid w:val="00AF2974"/>
    <w:rsid w:val="00AF2E34"/>
    <w:rsid w:val="00AF2EBE"/>
    <w:rsid w:val="00AF3252"/>
    <w:rsid w:val="00AF3B37"/>
    <w:rsid w:val="00AF3D0A"/>
    <w:rsid w:val="00AF3F00"/>
    <w:rsid w:val="00AF3F79"/>
    <w:rsid w:val="00AF46E6"/>
    <w:rsid w:val="00AF5233"/>
    <w:rsid w:val="00AF56E5"/>
    <w:rsid w:val="00AF5904"/>
    <w:rsid w:val="00AF5922"/>
    <w:rsid w:val="00AF6E1E"/>
    <w:rsid w:val="00AF7284"/>
    <w:rsid w:val="00AF7707"/>
    <w:rsid w:val="00AF7BB0"/>
    <w:rsid w:val="00AF7F46"/>
    <w:rsid w:val="00B002A2"/>
    <w:rsid w:val="00B00534"/>
    <w:rsid w:val="00B01C03"/>
    <w:rsid w:val="00B01D33"/>
    <w:rsid w:val="00B02047"/>
    <w:rsid w:val="00B02119"/>
    <w:rsid w:val="00B021BC"/>
    <w:rsid w:val="00B02773"/>
    <w:rsid w:val="00B02F30"/>
    <w:rsid w:val="00B0326A"/>
    <w:rsid w:val="00B03446"/>
    <w:rsid w:val="00B03B27"/>
    <w:rsid w:val="00B04300"/>
    <w:rsid w:val="00B0431F"/>
    <w:rsid w:val="00B04380"/>
    <w:rsid w:val="00B04895"/>
    <w:rsid w:val="00B0491E"/>
    <w:rsid w:val="00B04936"/>
    <w:rsid w:val="00B04E51"/>
    <w:rsid w:val="00B04F37"/>
    <w:rsid w:val="00B059FE"/>
    <w:rsid w:val="00B05BF2"/>
    <w:rsid w:val="00B05E16"/>
    <w:rsid w:val="00B05EC5"/>
    <w:rsid w:val="00B066B0"/>
    <w:rsid w:val="00B0753D"/>
    <w:rsid w:val="00B0754E"/>
    <w:rsid w:val="00B078EC"/>
    <w:rsid w:val="00B07A3F"/>
    <w:rsid w:val="00B07C61"/>
    <w:rsid w:val="00B1027E"/>
    <w:rsid w:val="00B11190"/>
    <w:rsid w:val="00B1136E"/>
    <w:rsid w:val="00B115A9"/>
    <w:rsid w:val="00B118FE"/>
    <w:rsid w:val="00B119A0"/>
    <w:rsid w:val="00B12283"/>
    <w:rsid w:val="00B126C0"/>
    <w:rsid w:val="00B13AF5"/>
    <w:rsid w:val="00B13CB7"/>
    <w:rsid w:val="00B14107"/>
    <w:rsid w:val="00B145AA"/>
    <w:rsid w:val="00B146F0"/>
    <w:rsid w:val="00B147FF"/>
    <w:rsid w:val="00B14B21"/>
    <w:rsid w:val="00B14B80"/>
    <w:rsid w:val="00B15896"/>
    <w:rsid w:val="00B159C8"/>
    <w:rsid w:val="00B15B9E"/>
    <w:rsid w:val="00B1606B"/>
    <w:rsid w:val="00B165A1"/>
    <w:rsid w:val="00B16C07"/>
    <w:rsid w:val="00B16E34"/>
    <w:rsid w:val="00B16F92"/>
    <w:rsid w:val="00B173E4"/>
    <w:rsid w:val="00B17462"/>
    <w:rsid w:val="00B20230"/>
    <w:rsid w:val="00B206FD"/>
    <w:rsid w:val="00B208BC"/>
    <w:rsid w:val="00B20C7B"/>
    <w:rsid w:val="00B20FCD"/>
    <w:rsid w:val="00B211C1"/>
    <w:rsid w:val="00B2149C"/>
    <w:rsid w:val="00B21B6D"/>
    <w:rsid w:val="00B2284D"/>
    <w:rsid w:val="00B22AB6"/>
    <w:rsid w:val="00B22B1A"/>
    <w:rsid w:val="00B22D13"/>
    <w:rsid w:val="00B22DEF"/>
    <w:rsid w:val="00B230BC"/>
    <w:rsid w:val="00B231B4"/>
    <w:rsid w:val="00B2355D"/>
    <w:rsid w:val="00B23690"/>
    <w:rsid w:val="00B23DEA"/>
    <w:rsid w:val="00B23F56"/>
    <w:rsid w:val="00B2435F"/>
    <w:rsid w:val="00B244EB"/>
    <w:rsid w:val="00B2468B"/>
    <w:rsid w:val="00B24AD2"/>
    <w:rsid w:val="00B2562C"/>
    <w:rsid w:val="00B25782"/>
    <w:rsid w:val="00B26352"/>
    <w:rsid w:val="00B274AF"/>
    <w:rsid w:val="00B27F48"/>
    <w:rsid w:val="00B30723"/>
    <w:rsid w:val="00B30CFC"/>
    <w:rsid w:val="00B3238D"/>
    <w:rsid w:val="00B326D2"/>
    <w:rsid w:val="00B32A66"/>
    <w:rsid w:val="00B32C14"/>
    <w:rsid w:val="00B32DD7"/>
    <w:rsid w:val="00B337AC"/>
    <w:rsid w:val="00B33BBA"/>
    <w:rsid w:val="00B33EB6"/>
    <w:rsid w:val="00B34157"/>
    <w:rsid w:val="00B3435F"/>
    <w:rsid w:val="00B34566"/>
    <w:rsid w:val="00B34A8E"/>
    <w:rsid w:val="00B34AAD"/>
    <w:rsid w:val="00B34FA4"/>
    <w:rsid w:val="00B351DD"/>
    <w:rsid w:val="00B355AA"/>
    <w:rsid w:val="00B35CF1"/>
    <w:rsid w:val="00B35DE1"/>
    <w:rsid w:val="00B360BB"/>
    <w:rsid w:val="00B362D7"/>
    <w:rsid w:val="00B36356"/>
    <w:rsid w:val="00B36621"/>
    <w:rsid w:val="00B36CC1"/>
    <w:rsid w:val="00B37221"/>
    <w:rsid w:val="00B37A2E"/>
    <w:rsid w:val="00B37FFE"/>
    <w:rsid w:val="00B40020"/>
    <w:rsid w:val="00B400D3"/>
    <w:rsid w:val="00B41055"/>
    <w:rsid w:val="00B41860"/>
    <w:rsid w:val="00B41D5B"/>
    <w:rsid w:val="00B424A1"/>
    <w:rsid w:val="00B42A68"/>
    <w:rsid w:val="00B42CB2"/>
    <w:rsid w:val="00B42D67"/>
    <w:rsid w:val="00B43134"/>
    <w:rsid w:val="00B43367"/>
    <w:rsid w:val="00B433CA"/>
    <w:rsid w:val="00B4399A"/>
    <w:rsid w:val="00B43D34"/>
    <w:rsid w:val="00B445E8"/>
    <w:rsid w:val="00B44AB8"/>
    <w:rsid w:val="00B44CFD"/>
    <w:rsid w:val="00B4581C"/>
    <w:rsid w:val="00B45D10"/>
    <w:rsid w:val="00B464FC"/>
    <w:rsid w:val="00B47751"/>
    <w:rsid w:val="00B47FA1"/>
    <w:rsid w:val="00B50F71"/>
    <w:rsid w:val="00B5125C"/>
    <w:rsid w:val="00B51C46"/>
    <w:rsid w:val="00B51CCC"/>
    <w:rsid w:val="00B52055"/>
    <w:rsid w:val="00B520A8"/>
    <w:rsid w:val="00B546D6"/>
    <w:rsid w:val="00B54BE2"/>
    <w:rsid w:val="00B54D90"/>
    <w:rsid w:val="00B550B4"/>
    <w:rsid w:val="00B558A9"/>
    <w:rsid w:val="00B55AF1"/>
    <w:rsid w:val="00B56B1F"/>
    <w:rsid w:val="00B5761C"/>
    <w:rsid w:val="00B5783E"/>
    <w:rsid w:val="00B5798A"/>
    <w:rsid w:val="00B57A8A"/>
    <w:rsid w:val="00B57ADD"/>
    <w:rsid w:val="00B604C9"/>
    <w:rsid w:val="00B60B1C"/>
    <w:rsid w:val="00B6106A"/>
    <w:rsid w:val="00B613A5"/>
    <w:rsid w:val="00B61A61"/>
    <w:rsid w:val="00B61AA0"/>
    <w:rsid w:val="00B61C5D"/>
    <w:rsid w:val="00B6221F"/>
    <w:rsid w:val="00B627C9"/>
    <w:rsid w:val="00B62D9A"/>
    <w:rsid w:val="00B637BC"/>
    <w:rsid w:val="00B6410F"/>
    <w:rsid w:val="00B6417B"/>
    <w:rsid w:val="00B644AF"/>
    <w:rsid w:val="00B64523"/>
    <w:rsid w:val="00B65C7F"/>
    <w:rsid w:val="00B662E2"/>
    <w:rsid w:val="00B66CFE"/>
    <w:rsid w:val="00B66F0A"/>
    <w:rsid w:val="00B66F9B"/>
    <w:rsid w:val="00B670B8"/>
    <w:rsid w:val="00B671F2"/>
    <w:rsid w:val="00B67D8B"/>
    <w:rsid w:val="00B704F8"/>
    <w:rsid w:val="00B71727"/>
    <w:rsid w:val="00B72010"/>
    <w:rsid w:val="00B720FE"/>
    <w:rsid w:val="00B7233B"/>
    <w:rsid w:val="00B725D6"/>
    <w:rsid w:val="00B72B1D"/>
    <w:rsid w:val="00B732E3"/>
    <w:rsid w:val="00B73428"/>
    <w:rsid w:val="00B73B97"/>
    <w:rsid w:val="00B73BF1"/>
    <w:rsid w:val="00B73C52"/>
    <w:rsid w:val="00B745DF"/>
    <w:rsid w:val="00B74979"/>
    <w:rsid w:val="00B74C3F"/>
    <w:rsid w:val="00B7558D"/>
    <w:rsid w:val="00B75BBC"/>
    <w:rsid w:val="00B76069"/>
    <w:rsid w:val="00B76C7D"/>
    <w:rsid w:val="00B778CF"/>
    <w:rsid w:val="00B77CA9"/>
    <w:rsid w:val="00B77E3E"/>
    <w:rsid w:val="00B77F8E"/>
    <w:rsid w:val="00B77FEB"/>
    <w:rsid w:val="00B80DF8"/>
    <w:rsid w:val="00B81F1F"/>
    <w:rsid w:val="00B82372"/>
    <w:rsid w:val="00B82693"/>
    <w:rsid w:val="00B8278A"/>
    <w:rsid w:val="00B8357F"/>
    <w:rsid w:val="00B83D23"/>
    <w:rsid w:val="00B84342"/>
    <w:rsid w:val="00B846DA"/>
    <w:rsid w:val="00B847A3"/>
    <w:rsid w:val="00B84D18"/>
    <w:rsid w:val="00B859D9"/>
    <w:rsid w:val="00B85DAD"/>
    <w:rsid w:val="00B85FAB"/>
    <w:rsid w:val="00B86D15"/>
    <w:rsid w:val="00B87327"/>
    <w:rsid w:val="00B874CC"/>
    <w:rsid w:val="00B87EAB"/>
    <w:rsid w:val="00B90066"/>
    <w:rsid w:val="00B9037B"/>
    <w:rsid w:val="00B908A5"/>
    <w:rsid w:val="00B90EAE"/>
    <w:rsid w:val="00B9104C"/>
    <w:rsid w:val="00B914CA"/>
    <w:rsid w:val="00B9185B"/>
    <w:rsid w:val="00B91A3F"/>
    <w:rsid w:val="00B91AC0"/>
    <w:rsid w:val="00B91AF2"/>
    <w:rsid w:val="00B91B70"/>
    <w:rsid w:val="00B91F37"/>
    <w:rsid w:val="00B921E5"/>
    <w:rsid w:val="00B92D0C"/>
    <w:rsid w:val="00B93F3B"/>
    <w:rsid w:val="00B943A3"/>
    <w:rsid w:val="00B945CD"/>
    <w:rsid w:val="00B94727"/>
    <w:rsid w:val="00B947AE"/>
    <w:rsid w:val="00B94AF2"/>
    <w:rsid w:val="00B95291"/>
    <w:rsid w:val="00B9545F"/>
    <w:rsid w:val="00B962CC"/>
    <w:rsid w:val="00B968E8"/>
    <w:rsid w:val="00B96F8B"/>
    <w:rsid w:val="00B97AAB"/>
    <w:rsid w:val="00BA0411"/>
    <w:rsid w:val="00BA04B6"/>
    <w:rsid w:val="00BA0C1C"/>
    <w:rsid w:val="00BA0C97"/>
    <w:rsid w:val="00BA0D57"/>
    <w:rsid w:val="00BA0EEB"/>
    <w:rsid w:val="00BA13C3"/>
    <w:rsid w:val="00BA1749"/>
    <w:rsid w:val="00BA1F64"/>
    <w:rsid w:val="00BA2078"/>
    <w:rsid w:val="00BA2311"/>
    <w:rsid w:val="00BA2552"/>
    <w:rsid w:val="00BA3988"/>
    <w:rsid w:val="00BA3B20"/>
    <w:rsid w:val="00BA4ADA"/>
    <w:rsid w:val="00BA4B13"/>
    <w:rsid w:val="00BA5869"/>
    <w:rsid w:val="00BA757F"/>
    <w:rsid w:val="00BA76E0"/>
    <w:rsid w:val="00BA7BFE"/>
    <w:rsid w:val="00BA7DC0"/>
    <w:rsid w:val="00BA7F57"/>
    <w:rsid w:val="00BB0072"/>
    <w:rsid w:val="00BB073E"/>
    <w:rsid w:val="00BB0953"/>
    <w:rsid w:val="00BB1184"/>
    <w:rsid w:val="00BB1396"/>
    <w:rsid w:val="00BB1792"/>
    <w:rsid w:val="00BB1A21"/>
    <w:rsid w:val="00BB1EE7"/>
    <w:rsid w:val="00BB1F7F"/>
    <w:rsid w:val="00BB2472"/>
    <w:rsid w:val="00BB280F"/>
    <w:rsid w:val="00BB2F27"/>
    <w:rsid w:val="00BB3CAC"/>
    <w:rsid w:val="00BB3F58"/>
    <w:rsid w:val="00BB42F9"/>
    <w:rsid w:val="00BB44C4"/>
    <w:rsid w:val="00BB45C8"/>
    <w:rsid w:val="00BB4F05"/>
    <w:rsid w:val="00BB59CA"/>
    <w:rsid w:val="00BB5D3A"/>
    <w:rsid w:val="00BB60DC"/>
    <w:rsid w:val="00BB627C"/>
    <w:rsid w:val="00BB6392"/>
    <w:rsid w:val="00BB70DB"/>
    <w:rsid w:val="00BB75E8"/>
    <w:rsid w:val="00BB7B42"/>
    <w:rsid w:val="00BB7F26"/>
    <w:rsid w:val="00BC0424"/>
    <w:rsid w:val="00BC0A35"/>
    <w:rsid w:val="00BC0BF1"/>
    <w:rsid w:val="00BC0D87"/>
    <w:rsid w:val="00BC16C7"/>
    <w:rsid w:val="00BC1F45"/>
    <w:rsid w:val="00BC2070"/>
    <w:rsid w:val="00BC3490"/>
    <w:rsid w:val="00BC373B"/>
    <w:rsid w:val="00BC37CF"/>
    <w:rsid w:val="00BC3899"/>
    <w:rsid w:val="00BC39C2"/>
    <w:rsid w:val="00BC3A3F"/>
    <w:rsid w:val="00BC3B5B"/>
    <w:rsid w:val="00BC3B86"/>
    <w:rsid w:val="00BC3DA0"/>
    <w:rsid w:val="00BC420D"/>
    <w:rsid w:val="00BC4571"/>
    <w:rsid w:val="00BC457B"/>
    <w:rsid w:val="00BC4904"/>
    <w:rsid w:val="00BC4A75"/>
    <w:rsid w:val="00BC524F"/>
    <w:rsid w:val="00BC5321"/>
    <w:rsid w:val="00BC5605"/>
    <w:rsid w:val="00BC5E36"/>
    <w:rsid w:val="00BC6D92"/>
    <w:rsid w:val="00BC70DF"/>
    <w:rsid w:val="00BC7128"/>
    <w:rsid w:val="00BC72B2"/>
    <w:rsid w:val="00BC753B"/>
    <w:rsid w:val="00BC7822"/>
    <w:rsid w:val="00BC786B"/>
    <w:rsid w:val="00BD0035"/>
    <w:rsid w:val="00BD0415"/>
    <w:rsid w:val="00BD049C"/>
    <w:rsid w:val="00BD0573"/>
    <w:rsid w:val="00BD0842"/>
    <w:rsid w:val="00BD1247"/>
    <w:rsid w:val="00BD1BFE"/>
    <w:rsid w:val="00BD220C"/>
    <w:rsid w:val="00BD25FF"/>
    <w:rsid w:val="00BD3790"/>
    <w:rsid w:val="00BD3F44"/>
    <w:rsid w:val="00BD50D9"/>
    <w:rsid w:val="00BD53B3"/>
    <w:rsid w:val="00BD54FB"/>
    <w:rsid w:val="00BD5ABD"/>
    <w:rsid w:val="00BD627F"/>
    <w:rsid w:val="00BD6454"/>
    <w:rsid w:val="00BD6B32"/>
    <w:rsid w:val="00BD7898"/>
    <w:rsid w:val="00BD7B5D"/>
    <w:rsid w:val="00BE08D0"/>
    <w:rsid w:val="00BE0D7E"/>
    <w:rsid w:val="00BE14D5"/>
    <w:rsid w:val="00BE1665"/>
    <w:rsid w:val="00BE1772"/>
    <w:rsid w:val="00BE17E4"/>
    <w:rsid w:val="00BE183D"/>
    <w:rsid w:val="00BE1896"/>
    <w:rsid w:val="00BE25CE"/>
    <w:rsid w:val="00BE2A9F"/>
    <w:rsid w:val="00BE3621"/>
    <w:rsid w:val="00BE3705"/>
    <w:rsid w:val="00BE390B"/>
    <w:rsid w:val="00BE3C5C"/>
    <w:rsid w:val="00BE3E02"/>
    <w:rsid w:val="00BE3E17"/>
    <w:rsid w:val="00BE4CED"/>
    <w:rsid w:val="00BE4FD4"/>
    <w:rsid w:val="00BE5156"/>
    <w:rsid w:val="00BE58F7"/>
    <w:rsid w:val="00BE5E93"/>
    <w:rsid w:val="00BE61BE"/>
    <w:rsid w:val="00BE7217"/>
    <w:rsid w:val="00BE725F"/>
    <w:rsid w:val="00BE7304"/>
    <w:rsid w:val="00BE75A4"/>
    <w:rsid w:val="00BE7709"/>
    <w:rsid w:val="00BE7FE4"/>
    <w:rsid w:val="00BF0124"/>
    <w:rsid w:val="00BF013E"/>
    <w:rsid w:val="00BF07ED"/>
    <w:rsid w:val="00BF0B61"/>
    <w:rsid w:val="00BF0F5D"/>
    <w:rsid w:val="00BF1ABF"/>
    <w:rsid w:val="00BF1DEE"/>
    <w:rsid w:val="00BF255A"/>
    <w:rsid w:val="00BF3120"/>
    <w:rsid w:val="00BF3494"/>
    <w:rsid w:val="00BF366B"/>
    <w:rsid w:val="00BF3694"/>
    <w:rsid w:val="00BF388A"/>
    <w:rsid w:val="00BF3AB1"/>
    <w:rsid w:val="00BF3C26"/>
    <w:rsid w:val="00BF3CD9"/>
    <w:rsid w:val="00BF4660"/>
    <w:rsid w:val="00BF46A1"/>
    <w:rsid w:val="00BF49C3"/>
    <w:rsid w:val="00BF4E02"/>
    <w:rsid w:val="00BF4FCE"/>
    <w:rsid w:val="00BF5A25"/>
    <w:rsid w:val="00BF60F1"/>
    <w:rsid w:val="00BF6701"/>
    <w:rsid w:val="00BF6980"/>
    <w:rsid w:val="00BF7947"/>
    <w:rsid w:val="00BF7FD3"/>
    <w:rsid w:val="00C007CC"/>
    <w:rsid w:val="00C024DF"/>
    <w:rsid w:val="00C0276C"/>
    <w:rsid w:val="00C0286D"/>
    <w:rsid w:val="00C03069"/>
    <w:rsid w:val="00C030D9"/>
    <w:rsid w:val="00C04417"/>
    <w:rsid w:val="00C04806"/>
    <w:rsid w:val="00C05928"/>
    <w:rsid w:val="00C05D64"/>
    <w:rsid w:val="00C079ED"/>
    <w:rsid w:val="00C07CB5"/>
    <w:rsid w:val="00C1021C"/>
    <w:rsid w:val="00C10739"/>
    <w:rsid w:val="00C107B6"/>
    <w:rsid w:val="00C11003"/>
    <w:rsid w:val="00C111E9"/>
    <w:rsid w:val="00C11251"/>
    <w:rsid w:val="00C12578"/>
    <w:rsid w:val="00C1340A"/>
    <w:rsid w:val="00C13514"/>
    <w:rsid w:val="00C13A17"/>
    <w:rsid w:val="00C13B8E"/>
    <w:rsid w:val="00C13CD5"/>
    <w:rsid w:val="00C13F3C"/>
    <w:rsid w:val="00C13FA9"/>
    <w:rsid w:val="00C14EEA"/>
    <w:rsid w:val="00C14F1C"/>
    <w:rsid w:val="00C16253"/>
    <w:rsid w:val="00C166AD"/>
    <w:rsid w:val="00C16C9C"/>
    <w:rsid w:val="00C16EC8"/>
    <w:rsid w:val="00C17316"/>
    <w:rsid w:val="00C2006A"/>
    <w:rsid w:val="00C20BD8"/>
    <w:rsid w:val="00C20BF0"/>
    <w:rsid w:val="00C20EDC"/>
    <w:rsid w:val="00C21794"/>
    <w:rsid w:val="00C2284B"/>
    <w:rsid w:val="00C22874"/>
    <w:rsid w:val="00C229D2"/>
    <w:rsid w:val="00C22DF8"/>
    <w:rsid w:val="00C22F2F"/>
    <w:rsid w:val="00C234B4"/>
    <w:rsid w:val="00C235E2"/>
    <w:rsid w:val="00C23DA5"/>
    <w:rsid w:val="00C23E1D"/>
    <w:rsid w:val="00C240DA"/>
    <w:rsid w:val="00C242FF"/>
    <w:rsid w:val="00C24330"/>
    <w:rsid w:val="00C2480B"/>
    <w:rsid w:val="00C249E5"/>
    <w:rsid w:val="00C25631"/>
    <w:rsid w:val="00C25A4F"/>
    <w:rsid w:val="00C25F76"/>
    <w:rsid w:val="00C26450"/>
    <w:rsid w:val="00C26F21"/>
    <w:rsid w:val="00C274AD"/>
    <w:rsid w:val="00C30236"/>
    <w:rsid w:val="00C30849"/>
    <w:rsid w:val="00C309A5"/>
    <w:rsid w:val="00C30A1B"/>
    <w:rsid w:val="00C310AC"/>
    <w:rsid w:val="00C31842"/>
    <w:rsid w:val="00C31904"/>
    <w:rsid w:val="00C31C94"/>
    <w:rsid w:val="00C31CDD"/>
    <w:rsid w:val="00C31F9A"/>
    <w:rsid w:val="00C321AA"/>
    <w:rsid w:val="00C322CB"/>
    <w:rsid w:val="00C327A5"/>
    <w:rsid w:val="00C32E5C"/>
    <w:rsid w:val="00C33077"/>
    <w:rsid w:val="00C334CB"/>
    <w:rsid w:val="00C33D11"/>
    <w:rsid w:val="00C348D5"/>
    <w:rsid w:val="00C34B49"/>
    <w:rsid w:val="00C34DEC"/>
    <w:rsid w:val="00C34FBC"/>
    <w:rsid w:val="00C352DB"/>
    <w:rsid w:val="00C3546A"/>
    <w:rsid w:val="00C359D6"/>
    <w:rsid w:val="00C35C11"/>
    <w:rsid w:val="00C36650"/>
    <w:rsid w:val="00C402F2"/>
    <w:rsid w:val="00C40595"/>
    <w:rsid w:val="00C40A05"/>
    <w:rsid w:val="00C40A1C"/>
    <w:rsid w:val="00C4150F"/>
    <w:rsid w:val="00C418F0"/>
    <w:rsid w:val="00C4211B"/>
    <w:rsid w:val="00C421B8"/>
    <w:rsid w:val="00C428DB"/>
    <w:rsid w:val="00C42C84"/>
    <w:rsid w:val="00C43E9B"/>
    <w:rsid w:val="00C43ED0"/>
    <w:rsid w:val="00C44049"/>
    <w:rsid w:val="00C44111"/>
    <w:rsid w:val="00C44AB2"/>
    <w:rsid w:val="00C4506D"/>
    <w:rsid w:val="00C450A8"/>
    <w:rsid w:val="00C45CE9"/>
    <w:rsid w:val="00C466F8"/>
    <w:rsid w:val="00C46FA4"/>
    <w:rsid w:val="00C46FE3"/>
    <w:rsid w:val="00C47092"/>
    <w:rsid w:val="00C47E12"/>
    <w:rsid w:val="00C50BD6"/>
    <w:rsid w:val="00C51F96"/>
    <w:rsid w:val="00C52257"/>
    <w:rsid w:val="00C52322"/>
    <w:rsid w:val="00C52538"/>
    <w:rsid w:val="00C525F5"/>
    <w:rsid w:val="00C52A2B"/>
    <w:rsid w:val="00C52E8F"/>
    <w:rsid w:val="00C52F08"/>
    <w:rsid w:val="00C5317F"/>
    <w:rsid w:val="00C5379F"/>
    <w:rsid w:val="00C54309"/>
    <w:rsid w:val="00C54BCB"/>
    <w:rsid w:val="00C5517B"/>
    <w:rsid w:val="00C553AB"/>
    <w:rsid w:val="00C553B9"/>
    <w:rsid w:val="00C55401"/>
    <w:rsid w:val="00C5557C"/>
    <w:rsid w:val="00C557E1"/>
    <w:rsid w:val="00C55924"/>
    <w:rsid w:val="00C561E5"/>
    <w:rsid w:val="00C56263"/>
    <w:rsid w:val="00C56A29"/>
    <w:rsid w:val="00C56B3A"/>
    <w:rsid w:val="00C57104"/>
    <w:rsid w:val="00C5792C"/>
    <w:rsid w:val="00C60E61"/>
    <w:rsid w:val="00C612B6"/>
    <w:rsid w:val="00C6171A"/>
    <w:rsid w:val="00C6175D"/>
    <w:rsid w:val="00C61BF9"/>
    <w:rsid w:val="00C61DFD"/>
    <w:rsid w:val="00C6215F"/>
    <w:rsid w:val="00C62561"/>
    <w:rsid w:val="00C62AB2"/>
    <w:rsid w:val="00C62C5D"/>
    <w:rsid w:val="00C62DB3"/>
    <w:rsid w:val="00C635B7"/>
    <w:rsid w:val="00C64205"/>
    <w:rsid w:val="00C64A1B"/>
    <w:rsid w:val="00C65079"/>
    <w:rsid w:val="00C652E8"/>
    <w:rsid w:val="00C65479"/>
    <w:rsid w:val="00C659E3"/>
    <w:rsid w:val="00C65A05"/>
    <w:rsid w:val="00C65BF6"/>
    <w:rsid w:val="00C66064"/>
    <w:rsid w:val="00C66591"/>
    <w:rsid w:val="00C66820"/>
    <w:rsid w:val="00C66A2C"/>
    <w:rsid w:val="00C672F7"/>
    <w:rsid w:val="00C675F6"/>
    <w:rsid w:val="00C701C1"/>
    <w:rsid w:val="00C70659"/>
    <w:rsid w:val="00C70A2C"/>
    <w:rsid w:val="00C70CCD"/>
    <w:rsid w:val="00C72A62"/>
    <w:rsid w:val="00C72F3F"/>
    <w:rsid w:val="00C7315D"/>
    <w:rsid w:val="00C73172"/>
    <w:rsid w:val="00C738CB"/>
    <w:rsid w:val="00C73F6E"/>
    <w:rsid w:val="00C74103"/>
    <w:rsid w:val="00C74672"/>
    <w:rsid w:val="00C7509F"/>
    <w:rsid w:val="00C753D5"/>
    <w:rsid w:val="00C75C52"/>
    <w:rsid w:val="00C765E8"/>
    <w:rsid w:val="00C77892"/>
    <w:rsid w:val="00C80790"/>
    <w:rsid w:val="00C809C9"/>
    <w:rsid w:val="00C80ABF"/>
    <w:rsid w:val="00C8151C"/>
    <w:rsid w:val="00C81E91"/>
    <w:rsid w:val="00C8228B"/>
    <w:rsid w:val="00C82485"/>
    <w:rsid w:val="00C83589"/>
    <w:rsid w:val="00C839EE"/>
    <w:rsid w:val="00C839FD"/>
    <w:rsid w:val="00C83C93"/>
    <w:rsid w:val="00C83EDA"/>
    <w:rsid w:val="00C84B12"/>
    <w:rsid w:val="00C84C82"/>
    <w:rsid w:val="00C84FA8"/>
    <w:rsid w:val="00C8506C"/>
    <w:rsid w:val="00C85164"/>
    <w:rsid w:val="00C851E2"/>
    <w:rsid w:val="00C85230"/>
    <w:rsid w:val="00C854AB"/>
    <w:rsid w:val="00C8561A"/>
    <w:rsid w:val="00C858E1"/>
    <w:rsid w:val="00C8615F"/>
    <w:rsid w:val="00C864F1"/>
    <w:rsid w:val="00C867F7"/>
    <w:rsid w:val="00C86F78"/>
    <w:rsid w:val="00C86FA7"/>
    <w:rsid w:val="00C87007"/>
    <w:rsid w:val="00C878BB"/>
    <w:rsid w:val="00C87B3F"/>
    <w:rsid w:val="00C87FB4"/>
    <w:rsid w:val="00C901CF"/>
    <w:rsid w:val="00C90794"/>
    <w:rsid w:val="00C90BC4"/>
    <w:rsid w:val="00C90BEB"/>
    <w:rsid w:val="00C90D99"/>
    <w:rsid w:val="00C91631"/>
    <w:rsid w:val="00C9195D"/>
    <w:rsid w:val="00C91DD8"/>
    <w:rsid w:val="00C923CC"/>
    <w:rsid w:val="00C924B1"/>
    <w:rsid w:val="00C9259B"/>
    <w:rsid w:val="00C9271D"/>
    <w:rsid w:val="00C92C4F"/>
    <w:rsid w:val="00C9301C"/>
    <w:rsid w:val="00C930B7"/>
    <w:rsid w:val="00C932D7"/>
    <w:rsid w:val="00C93520"/>
    <w:rsid w:val="00C936BC"/>
    <w:rsid w:val="00C937FC"/>
    <w:rsid w:val="00C93883"/>
    <w:rsid w:val="00C940DB"/>
    <w:rsid w:val="00C9483C"/>
    <w:rsid w:val="00C94F55"/>
    <w:rsid w:val="00C95720"/>
    <w:rsid w:val="00C95BEE"/>
    <w:rsid w:val="00C95F2B"/>
    <w:rsid w:val="00C96197"/>
    <w:rsid w:val="00C96A99"/>
    <w:rsid w:val="00C96C23"/>
    <w:rsid w:val="00C97024"/>
    <w:rsid w:val="00C97CB9"/>
    <w:rsid w:val="00CA0A6D"/>
    <w:rsid w:val="00CA13AF"/>
    <w:rsid w:val="00CA176B"/>
    <w:rsid w:val="00CA17C9"/>
    <w:rsid w:val="00CA1DA8"/>
    <w:rsid w:val="00CA1EF2"/>
    <w:rsid w:val="00CA21FA"/>
    <w:rsid w:val="00CA2947"/>
    <w:rsid w:val="00CA2B94"/>
    <w:rsid w:val="00CA2FD6"/>
    <w:rsid w:val="00CA3083"/>
    <w:rsid w:val="00CA313B"/>
    <w:rsid w:val="00CA332B"/>
    <w:rsid w:val="00CA36A4"/>
    <w:rsid w:val="00CA3876"/>
    <w:rsid w:val="00CA3BA6"/>
    <w:rsid w:val="00CA4849"/>
    <w:rsid w:val="00CA4BD7"/>
    <w:rsid w:val="00CA5375"/>
    <w:rsid w:val="00CA59CC"/>
    <w:rsid w:val="00CA5FD7"/>
    <w:rsid w:val="00CA62D9"/>
    <w:rsid w:val="00CA6560"/>
    <w:rsid w:val="00CA6D1E"/>
    <w:rsid w:val="00CA6E46"/>
    <w:rsid w:val="00CA705C"/>
    <w:rsid w:val="00CA71F7"/>
    <w:rsid w:val="00CA7469"/>
    <w:rsid w:val="00CA780E"/>
    <w:rsid w:val="00CA7F0F"/>
    <w:rsid w:val="00CB066A"/>
    <w:rsid w:val="00CB068B"/>
    <w:rsid w:val="00CB0731"/>
    <w:rsid w:val="00CB0AB1"/>
    <w:rsid w:val="00CB0C42"/>
    <w:rsid w:val="00CB0F5B"/>
    <w:rsid w:val="00CB1200"/>
    <w:rsid w:val="00CB1748"/>
    <w:rsid w:val="00CB1B23"/>
    <w:rsid w:val="00CB1BB4"/>
    <w:rsid w:val="00CB2A1A"/>
    <w:rsid w:val="00CB2D78"/>
    <w:rsid w:val="00CB3033"/>
    <w:rsid w:val="00CB3464"/>
    <w:rsid w:val="00CB3A27"/>
    <w:rsid w:val="00CB3B32"/>
    <w:rsid w:val="00CB3CA6"/>
    <w:rsid w:val="00CB3DC7"/>
    <w:rsid w:val="00CB4161"/>
    <w:rsid w:val="00CB43F6"/>
    <w:rsid w:val="00CB4530"/>
    <w:rsid w:val="00CB47DF"/>
    <w:rsid w:val="00CB49BD"/>
    <w:rsid w:val="00CB4B7F"/>
    <w:rsid w:val="00CB4C37"/>
    <w:rsid w:val="00CB4D42"/>
    <w:rsid w:val="00CB55C7"/>
    <w:rsid w:val="00CB5826"/>
    <w:rsid w:val="00CB590D"/>
    <w:rsid w:val="00CB59F9"/>
    <w:rsid w:val="00CB5DA0"/>
    <w:rsid w:val="00CB62D2"/>
    <w:rsid w:val="00CB646E"/>
    <w:rsid w:val="00CB68EF"/>
    <w:rsid w:val="00CB73EB"/>
    <w:rsid w:val="00CB7B59"/>
    <w:rsid w:val="00CB7D33"/>
    <w:rsid w:val="00CB7EC8"/>
    <w:rsid w:val="00CC0200"/>
    <w:rsid w:val="00CC038C"/>
    <w:rsid w:val="00CC0992"/>
    <w:rsid w:val="00CC0DEB"/>
    <w:rsid w:val="00CC1A9A"/>
    <w:rsid w:val="00CC219F"/>
    <w:rsid w:val="00CC2333"/>
    <w:rsid w:val="00CC2A23"/>
    <w:rsid w:val="00CC2BD6"/>
    <w:rsid w:val="00CC2CAD"/>
    <w:rsid w:val="00CC2DC9"/>
    <w:rsid w:val="00CC2E19"/>
    <w:rsid w:val="00CC310C"/>
    <w:rsid w:val="00CC3519"/>
    <w:rsid w:val="00CC3B21"/>
    <w:rsid w:val="00CC41CF"/>
    <w:rsid w:val="00CC438D"/>
    <w:rsid w:val="00CC465E"/>
    <w:rsid w:val="00CC49F8"/>
    <w:rsid w:val="00CC52E4"/>
    <w:rsid w:val="00CC5CAC"/>
    <w:rsid w:val="00CC5E57"/>
    <w:rsid w:val="00CC6158"/>
    <w:rsid w:val="00CC61D9"/>
    <w:rsid w:val="00CC63A3"/>
    <w:rsid w:val="00CC68C2"/>
    <w:rsid w:val="00CC6976"/>
    <w:rsid w:val="00CC7891"/>
    <w:rsid w:val="00CC791F"/>
    <w:rsid w:val="00CC7C7E"/>
    <w:rsid w:val="00CD00A6"/>
    <w:rsid w:val="00CD02D9"/>
    <w:rsid w:val="00CD09B9"/>
    <w:rsid w:val="00CD0D7B"/>
    <w:rsid w:val="00CD0F84"/>
    <w:rsid w:val="00CD14E7"/>
    <w:rsid w:val="00CD1854"/>
    <w:rsid w:val="00CD2931"/>
    <w:rsid w:val="00CD2AA1"/>
    <w:rsid w:val="00CD2D91"/>
    <w:rsid w:val="00CD2F37"/>
    <w:rsid w:val="00CD3401"/>
    <w:rsid w:val="00CD340C"/>
    <w:rsid w:val="00CD3A90"/>
    <w:rsid w:val="00CD407D"/>
    <w:rsid w:val="00CD4416"/>
    <w:rsid w:val="00CD44E9"/>
    <w:rsid w:val="00CD466A"/>
    <w:rsid w:val="00CD4A28"/>
    <w:rsid w:val="00CD4F8D"/>
    <w:rsid w:val="00CD5694"/>
    <w:rsid w:val="00CD5B00"/>
    <w:rsid w:val="00CD5D4A"/>
    <w:rsid w:val="00CD652D"/>
    <w:rsid w:val="00CD7D2A"/>
    <w:rsid w:val="00CD7D57"/>
    <w:rsid w:val="00CD7DDF"/>
    <w:rsid w:val="00CD7E64"/>
    <w:rsid w:val="00CE018B"/>
    <w:rsid w:val="00CE065C"/>
    <w:rsid w:val="00CE07B9"/>
    <w:rsid w:val="00CE0CCB"/>
    <w:rsid w:val="00CE1146"/>
    <w:rsid w:val="00CE1360"/>
    <w:rsid w:val="00CE19B6"/>
    <w:rsid w:val="00CE1A86"/>
    <w:rsid w:val="00CE2672"/>
    <w:rsid w:val="00CE2EC2"/>
    <w:rsid w:val="00CE3227"/>
    <w:rsid w:val="00CE37C1"/>
    <w:rsid w:val="00CE4178"/>
    <w:rsid w:val="00CE45A2"/>
    <w:rsid w:val="00CE4DB4"/>
    <w:rsid w:val="00CE5479"/>
    <w:rsid w:val="00CE55AA"/>
    <w:rsid w:val="00CE65BA"/>
    <w:rsid w:val="00CE7096"/>
    <w:rsid w:val="00CE70A3"/>
    <w:rsid w:val="00CE73F3"/>
    <w:rsid w:val="00CE78DF"/>
    <w:rsid w:val="00CF0177"/>
    <w:rsid w:val="00CF0AB9"/>
    <w:rsid w:val="00CF0C58"/>
    <w:rsid w:val="00CF0D6B"/>
    <w:rsid w:val="00CF10A2"/>
    <w:rsid w:val="00CF12CE"/>
    <w:rsid w:val="00CF1310"/>
    <w:rsid w:val="00CF1473"/>
    <w:rsid w:val="00CF15A5"/>
    <w:rsid w:val="00CF1C59"/>
    <w:rsid w:val="00CF1E8A"/>
    <w:rsid w:val="00CF226A"/>
    <w:rsid w:val="00CF2283"/>
    <w:rsid w:val="00CF2AE8"/>
    <w:rsid w:val="00CF2D17"/>
    <w:rsid w:val="00CF3B06"/>
    <w:rsid w:val="00CF3D99"/>
    <w:rsid w:val="00CF408B"/>
    <w:rsid w:val="00CF4834"/>
    <w:rsid w:val="00CF4AE7"/>
    <w:rsid w:val="00CF5479"/>
    <w:rsid w:val="00CF55C6"/>
    <w:rsid w:val="00CF55DC"/>
    <w:rsid w:val="00CF56CC"/>
    <w:rsid w:val="00CF5938"/>
    <w:rsid w:val="00CF644E"/>
    <w:rsid w:val="00CF6D0C"/>
    <w:rsid w:val="00CF75EE"/>
    <w:rsid w:val="00CF76EB"/>
    <w:rsid w:val="00CF7B03"/>
    <w:rsid w:val="00CF7C93"/>
    <w:rsid w:val="00CF7F73"/>
    <w:rsid w:val="00D00151"/>
    <w:rsid w:val="00D0031A"/>
    <w:rsid w:val="00D008A6"/>
    <w:rsid w:val="00D011DE"/>
    <w:rsid w:val="00D012E7"/>
    <w:rsid w:val="00D02FF9"/>
    <w:rsid w:val="00D03671"/>
    <w:rsid w:val="00D039E6"/>
    <w:rsid w:val="00D03D87"/>
    <w:rsid w:val="00D03E7A"/>
    <w:rsid w:val="00D03F3A"/>
    <w:rsid w:val="00D0443E"/>
    <w:rsid w:val="00D045F0"/>
    <w:rsid w:val="00D04615"/>
    <w:rsid w:val="00D04ADE"/>
    <w:rsid w:val="00D0515C"/>
    <w:rsid w:val="00D0588A"/>
    <w:rsid w:val="00D06174"/>
    <w:rsid w:val="00D0656C"/>
    <w:rsid w:val="00D0696E"/>
    <w:rsid w:val="00D06EF3"/>
    <w:rsid w:val="00D07AC3"/>
    <w:rsid w:val="00D102F6"/>
    <w:rsid w:val="00D104D8"/>
    <w:rsid w:val="00D10C2C"/>
    <w:rsid w:val="00D10C81"/>
    <w:rsid w:val="00D11707"/>
    <w:rsid w:val="00D1189D"/>
    <w:rsid w:val="00D11F65"/>
    <w:rsid w:val="00D12598"/>
    <w:rsid w:val="00D126C4"/>
    <w:rsid w:val="00D12E0C"/>
    <w:rsid w:val="00D13AE1"/>
    <w:rsid w:val="00D13CA4"/>
    <w:rsid w:val="00D145E0"/>
    <w:rsid w:val="00D14728"/>
    <w:rsid w:val="00D14FDF"/>
    <w:rsid w:val="00D1519F"/>
    <w:rsid w:val="00D152DB"/>
    <w:rsid w:val="00D15E43"/>
    <w:rsid w:val="00D16166"/>
    <w:rsid w:val="00D16262"/>
    <w:rsid w:val="00D1660C"/>
    <w:rsid w:val="00D16DDF"/>
    <w:rsid w:val="00D1781D"/>
    <w:rsid w:val="00D200AE"/>
    <w:rsid w:val="00D20898"/>
    <w:rsid w:val="00D2093B"/>
    <w:rsid w:val="00D20BC9"/>
    <w:rsid w:val="00D20E34"/>
    <w:rsid w:val="00D21520"/>
    <w:rsid w:val="00D217EA"/>
    <w:rsid w:val="00D221A1"/>
    <w:rsid w:val="00D22724"/>
    <w:rsid w:val="00D232CB"/>
    <w:rsid w:val="00D234A7"/>
    <w:rsid w:val="00D24554"/>
    <w:rsid w:val="00D2549D"/>
    <w:rsid w:val="00D25B34"/>
    <w:rsid w:val="00D25B7A"/>
    <w:rsid w:val="00D2674D"/>
    <w:rsid w:val="00D27066"/>
    <w:rsid w:val="00D27A3D"/>
    <w:rsid w:val="00D30697"/>
    <w:rsid w:val="00D306F8"/>
    <w:rsid w:val="00D30ABD"/>
    <w:rsid w:val="00D31662"/>
    <w:rsid w:val="00D31846"/>
    <w:rsid w:val="00D31A56"/>
    <w:rsid w:val="00D31B73"/>
    <w:rsid w:val="00D3228B"/>
    <w:rsid w:val="00D32439"/>
    <w:rsid w:val="00D3267D"/>
    <w:rsid w:val="00D32EC9"/>
    <w:rsid w:val="00D32F84"/>
    <w:rsid w:val="00D3384C"/>
    <w:rsid w:val="00D33AAE"/>
    <w:rsid w:val="00D3422D"/>
    <w:rsid w:val="00D34412"/>
    <w:rsid w:val="00D34E39"/>
    <w:rsid w:val="00D353C5"/>
    <w:rsid w:val="00D35B05"/>
    <w:rsid w:val="00D35C41"/>
    <w:rsid w:val="00D36495"/>
    <w:rsid w:val="00D36C8C"/>
    <w:rsid w:val="00D37167"/>
    <w:rsid w:val="00D37349"/>
    <w:rsid w:val="00D37867"/>
    <w:rsid w:val="00D402DE"/>
    <w:rsid w:val="00D40482"/>
    <w:rsid w:val="00D40624"/>
    <w:rsid w:val="00D4132F"/>
    <w:rsid w:val="00D414D7"/>
    <w:rsid w:val="00D41B09"/>
    <w:rsid w:val="00D42084"/>
    <w:rsid w:val="00D42089"/>
    <w:rsid w:val="00D429A1"/>
    <w:rsid w:val="00D429E3"/>
    <w:rsid w:val="00D4305A"/>
    <w:rsid w:val="00D43CB0"/>
    <w:rsid w:val="00D43CD3"/>
    <w:rsid w:val="00D448F7"/>
    <w:rsid w:val="00D44B16"/>
    <w:rsid w:val="00D44BCC"/>
    <w:rsid w:val="00D44F80"/>
    <w:rsid w:val="00D4531C"/>
    <w:rsid w:val="00D45371"/>
    <w:rsid w:val="00D4612D"/>
    <w:rsid w:val="00D4613C"/>
    <w:rsid w:val="00D46968"/>
    <w:rsid w:val="00D46E16"/>
    <w:rsid w:val="00D470E6"/>
    <w:rsid w:val="00D47307"/>
    <w:rsid w:val="00D47534"/>
    <w:rsid w:val="00D4756F"/>
    <w:rsid w:val="00D47BEA"/>
    <w:rsid w:val="00D47E28"/>
    <w:rsid w:val="00D47FD8"/>
    <w:rsid w:val="00D50389"/>
    <w:rsid w:val="00D519F5"/>
    <w:rsid w:val="00D51AA2"/>
    <w:rsid w:val="00D51C6F"/>
    <w:rsid w:val="00D52205"/>
    <w:rsid w:val="00D526D9"/>
    <w:rsid w:val="00D52720"/>
    <w:rsid w:val="00D53320"/>
    <w:rsid w:val="00D537FA"/>
    <w:rsid w:val="00D53852"/>
    <w:rsid w:val="00D541E5"/>
    <w:rsid w:val="00D5423A"/>
    <w:rsid w:val="00D550A1"/>
    <w:rsid w:val="00D550A9"/>
    <w:rsid w:val="00D55139"/>
    <w:rsid w:val="00D55DBB"/>
    <w:rsid w:val="00D55ED7"/>
    <w:rsid w:val="00D56350"/>
    <w:rsid w:val="00D568D1"/>
    <w:rsid w:val="00D56F9B"/>
    <w:rsid w:val="00D5713B"/>
    <w:rsid w:val="00D6030E"/>
    <w:rsid w:val="00D6073A"/>
    <w:rsid w:val="00D60A46"/>
    <w:rsid w:val="00D60D50"/>
    <w:rsid w:val="00D617B3"/>
    <w:rsid w:val="00D6188F"/>
    <w:rsid w:val="00D62E15"/>
    <w:rsid w:val="00D6338E"/>
    <w:rsid w:val="00D636F0"/>
    <w:rsid w:val="00D639D6"/>
    <w:rsid w:val="00D640F2"/>
    <w:rsid w:val="00D646F2"/>
    <w:rsid w:val="00D64A6F"/>
    <w:rsid w:val="00D64E99"/>
    <w:rsid w:val="00D65351"/>
    <w:rsid w:val="00D65B87"/>
    <w:rsid w:val="00D65BB2"/>
    <w:rsid w:val="00D65CDF"/>
    <w:rsid w:val="00D6636C"/>
    <w:rsid w:val="00D66634"/>
    <w:rsid w:val="00D666DD"/>
    <w:rsid w:val="00D66E56"/>
    <w:rsid w:val="00D6764F"/>
    <w:rsid w:val="00D70769"/>
    <w:rsid w:val="00D71122"/>
    <w:rsid w:val="00D71155"/>
    <w:rsid w:val="00D7134C"/>
    <w:rsid w:val="00D717E9"/>
    <w:rsid w:val="00D71C1C"/>
    <w:rsid w:val="00D71E27"/>
    <w:rsid w:val="00D71FC0"/>
    <w:rsid w:val="00D7219F"/>
    <w:rsid w:val="00D72422"/>
    <w:rsid w:val="00D72ADD"/>
    <w:rsid w:val="00D730CF"/>
    <w:rsid w:val="00D734B9"/>
    <w:rsid w:val="00D73B5B"/>
    <w:rsid w:val="00D73F53"/>
    <w:rsid w:val="00D748DC"/>
    <w:rsid w:val="00D74ABC"/>
    <w:rsid w:val="00D74BC9"/>
    <w:rsid w:val="00D74C6E"/>
    <w:rsid w:val="00D756FE"/>
    <w:rsid w:val="00D75A00"/>
    <w:rsid w:val="00D76174"/>
    <w:rsid w:val="00D76625"/>
    <w:rsid w:val="00D76AC2"/>
    <w:rsid w:val="00D7706F"/>
    <w:rsid w:val="00D7719E"/>
    <w:rsid w:val="00D777E2"/>
    <w:rsid w:val="00D77A63"/>
    <w:rsid w:val="00D77EE3"/>
    <w:rsid w:val="00D8076F"/>
    <w:rsid w:val="00D807E5"/>
    <w:rsid w:val="00D80C47"/>
    <w:rsid w:val="00D8108C"/>
    <w:rsid w:val="00D81316"/>
    <w:rsid w:val="00D81DF8"/>
    <w:rsid w:val="00D82809"/>
    <w:rsid w:val="00D837D7"/>
    <w:rsid w:val="00D83E40"/>
    <w:rsid w:val="00D841B5"/>
    <w:rsid w:val="00D84586"/>
    <w:rsid w:val="00D84759"/>
    <w:rsid w:val="00D84978"/>
    <w:rsid w:val="00D85144"/>
    <w:rsid w:val="00D8587A"/>
    <w:rsid w:val="00D8589A"/>
    <w:rsid w:val="00D859DC"/>
    <w:rsid w:val="00D85BCB"/>
    <w:rsid w:val="00D860F2"/>
    <w:rsid w:val="00D9013A"/>
    <w:rsid w:val="00D90209"/>
    <w:rsid w:val="00D906E9"/>
    <w:rsid w:val="00D91298"/>
    <w:rsid w:val="00D91308"/>
    <w:rsid w:val="00D91488"/>
    <w:rsid w:val="00D91F2E"/>
    <w:rsid w:val="00D921C7"/>
    <w:rsid w:val="00D92D87"/>
    <w:rsid w:val="00D92E09"/>
    <w:rsid w:val="00D92E99"/>
    <w:rsid w:val="00D94954"/>
    <w:rsid w:val="00D94BB6"/>
    <w:rsid w:val="00D95342"/>
    <w:rsid w:val="00D9535C"/>
    <w:rsid w:val="00D95B47"/>
    <w:rsid w:val="00D95BB2"/>
    <w:rsid w:val="00D95DE5"/>
    <w:rsid w:val="00D97311"/>
    <w:rsid w:val="00D97545"/>
    <w:rsid w:val="00D977A8"/>
    <w:rsid w:val="00D97B02"/>
    <w:rsid w:val="00DA013F"/>
    <w:rsid w:val="00DA0FB6"/>
    <w:rsid w:val="00DA0FDF"/>
    <w:rsid w:val="00DA0FED"/>
    <w:rsid w:val="00DA1023"/>
    <w:rsid w:val="00DA11AB"/>
    <w:rsid w:val="00DA11DA"/>
    <w:rsid w:val="00DA142F"/>
    <w:rsid w:val="00DA1A85"/>
    <w:rsid w:val="00DA1BAD"/>
    <w:rsid w:val="00DA1BB8"/>
    <w:rsid w:val="00DA1D9D"/>
    <w:rsid w:val="00DA2EFC"/>
    <w:rsid w:val="00DA31A9"/>
    <w:rsid w:val="00DA31F7"/>
    <w:rsid w:val="00DA36B3"/>
    <w:rsid w:val="00DA3926"/>
    <w:rsid w:val="00DA39B1"/>
    <w:rsid w:val="00DA4214"/>
    <w:rsid w:val="00DA43C5"/>
    <w:rsid w:val="00DA48C3"/>
    <w:rsid w:val="00DA4B4C"/>
    <w:rsid w:val="00DA4C22"/>
    <w:rsid w:val="00DA4C59"/>
    <w:rsid w:val="00DA506A"/>
    <w:rsid w:val="00DA508A"/>
    <w:rsid w:val="00DA5944"/>
    <w:rsid w:val="00DA5B99"/>
    <w:rsid w:val="00DA5D83"/>
    <w:rsid w:val="00DA6562"/>
    <w:rsid w:val="00DA6574"/>
    <w:rsid w:val="00DA6F10"/>
    <w:rsid w:val="00DA74D0"/>
    <w:rsid w:val="00DB0057"/>
    <w:rsid w:val="00DB00CA"/>
    <w:rsid w:val="00DB011B"/>
    <w:rsid w:val="00DB08AD"/>
    <w:rsid w:val="00DB0B88"/>
    <w:rsid w:val="00DB0F73"/>
    <w:rsid w:val="00DB0F8F"/>
    <w:rsid w:val="00DB16CA"/>
    <w:rsid w:val="00DB179E"/>
    <w:rsid w:val="00DB1ABE"/>
    <w:rsid w:val="00DB1BF7"/>
    <w:rsid w:val="00DB1D44"/>
    <w:rsid w:val="00DB34C2"/>
    <w:rsid w:val="00DB3544"/>
    <w:rsid w:val="00DB3716"/>
    <w:rsid w:val="00DB4B84"/>
    <w:rsid w:val="00DB4CBB"/>
    <w:rsid w:val="00DB504A"/>
    <w:rsid w:val="00DB569D"/>
    <w:rsid w:val="00DB5ED8"/>
    <w:rsid w:val="00DB62D1"/>
    <w:rsid w:val="00DB64E1"/>
    <w:rsid w:val="00DB6CC3"/>
    <w:rsid w:val="00DB7855"/>
    <w:rsid w:val="00DC06F0"/>
    <w:rsid w:val="00DC09F5"/>
    <w:rsid w:val="00DC0F56"/>
    <w:rsid w:val="00DC110E"/>
    <w:rsid w:val="00DC1210"/>
    <w:rsid w:val="00DC14F4"/>
    <w:rsid w:val="00DC1ADE"/>
    <w:rsid w:val="00DC36FA"/>
    <w:rsid w:val="00DC3993"/>
    <w:rsid w:val="00DC3A9D"/>
    <w:rsid w:val="00DC3D70"/>
    <w:rsid w:val="00DC4FF4"/>
    <w:rsid w:val="00DC6441"/>
    <w:rsid w:val="00DC6745"/>
    <w:rsid w:val="00DC67FA"/>
    <w:rsid w:val="00DC690D"/>
    <w:rsid w:val="00DC7478"/>
    <w:rsid w:val="00DC783D"/>
    <w:rsid w:val="00DC7A06"/>
    <w:rsid w:val="00DD0572"/>
    <w:rsid w:val="00DD09F2"/>
    <w:rsid w:val="00DD1BB0"/>
    <w:rsid w:val="00DD27E2"/>
    <w:rsid w:val="00DD2BD1"/>
    <w:rsid w:val="00DD3061"/>
    <w:rsid w:val="00DD34C6"/>
    <w:rsid w:val="00DD350B"/>
    <w:rsid w:val="00DD3613"/>
    <w:rsid w:val="00DD3691"/>
    <w:rsid w:val="00DD4E1C"/>
    <w:rsid w:val="00DD54C3"/>
    <w:rsid w:val="00DD54CA"/>
    <w:rsid w:val="00DD572F"/>
    <w:rsid w:val="00DD5E14"/>
    <w:rsid w:val="00DD6D2E"/>
    <w:rsid w:val="00DD6E87"/>
    <w:rsid w:val="00DD7084"/>
    <w:rsid w:val="00DD73D3"/>
    <w:rsid w:val="00DD7F39"/>
    <w:rsid w:val="00DD7FC6"/>
    <w:rsid w:val="00DE08D4"/>
    <w:rsid w:val="00DE0D83"/>
    <w:rsid w:val="00DE1193"/>
    <w:rsid w:val="00DE121D"/>
    <w:rsid w:val="00DE1223"/>
    <w:rsid w:val="00DE16CA"/>
    <w:rsid w:val="00DE1AC4"/>
    <w:rsid w:val="00DE1E2F"/>
    <w:rsid w:val="00DE1E8B"/>
    <w:rsid w:val="00DE21D9"/>
    <w:rsid w:val="00DE2450"/>
    <w:rsid w:val="00DE2860"/>
    <w:rsid w:val="00DE2AE6"/>
    <w:rsid w:val="00DE2E6F"/>
    <w:rsid w:val="00DE415C"/>
    <w:rsid w:val="00DE4F59"/>
    <w:rsid w:val="00DE597D"/>
    <w:rsid w:val="00DE60D2"/>
    <w:rsid w:val="00DE6365"/>
    <w:rsid w:val="00DE6646"/>
    <w:rsid w:val="00DE6B09"/>
    <w:rsid w:val="00DE6BD9"/>
    <w:rsid w:val="00DE7537"/>
    <w:rsid w:val="00DE796A"/>
    <w:rsid w:val="00DE7982"/>
    <w:rsid w:val="00DE7EF5"/>
    <w:rsid w:val="00DF0459"/>
    <w:rsid w:val="00DF0A80"/>
    <w:rsid w:val="00DF126F"/>
    <w:rsid w:val="00DF1582"/>
    <w:rsid w:val="00DF1B4F"/>
    <w:rsid w:val="00DF1C11"/>
    <w:rsid w:val="00DF1EC8"/>
    <w:rsid w:val="00DF20DA"/>
    <w:rsid w:val="00DF22AB"/>
    <w:rsid w:val="00DF24BF"/>
    <w:rsid w:val="00DF2801"/>
    <w:rsid w:val="00DF2CBC"/>
    <w:rsid w:val="00DF2E6A"/>
    <w:rsid w:val="00DF39F3"/>
    <w:rsid w:val="00DF44C5"/>
    <w:rsid w:val="00DF4C9F"/>
    <w:rsid w:val="00DF4EC8"/>
    <w:rsid w:val="00DF50AF"/>
    <w:rsid w:val="00DF52B5"/>
    <w:rsid w:val="00DF530A"/>
    <w:rsid w:val="00DF5344"/>
    <w:rsid w:val="00DF53AD"/>
    <w:rsid w:val="00DF56DD"/>
    <w:rsid w:val="00DF5CA1"/>
    <w:rsid w:val="00DF652B"/>
    <w:rsid w:val="00DF6670"/>
    <w:rsid w:val="00DF7059"/>
    <w:rsid w:val="00DF72D3"/>
    <w:rsid w:val="00DF771C"/>
    <w:rsid w:val="00E00625"/>
    <w:rsid w:val="00E00780"/>
    <w:rsid w:val="00E00BC1"/>
    <w:rsid w:val="00E00C72"/>
    <w:rsid w:val="00E00D0A"/>
    <w:rsid w:val="00E00F08"/>
    <w:rsid w:val="00E019C2"/>
    <w:rsid w:val="00E01C20"/>
    <w:rsid w:val="00E023F7"/>
    <w:rsid w:val="00E028A6"/>
    <w:rsid w:val="00E032D8"/>
    <w:rsid w:val="00E03744"/>
    <w:rsid w:val="00E03B2D"/>
    <w:rsid w:val="00E04329"/>
    <w:rsid w:val="00E04AE7"/>
    <w:rsid w:val="00E04C2F"/>
    <w:rsid w:val="00E04C95"/>
    <w:rsid w:val="00E0520D"/>
    <w:rsid w:val="00E05AA4"/>
    <w:rsid w:val="00E060EC"/>
    <w:rsid w:val="00E068BB"/>
    <w:rsid w:val="00E0725D"/>
    <w:rsid w:val="00E07B9F"/>
    <w:rsid w:val="00E1001D"/>
    <w:rsid w:val="00E102D0"/>
    <w:rsid w:val="00E10578"/>
    <w:rsid w:val="00E10E0F"/>
    <w:rsid w:val="00E10E64"/>
    <w:rsid w:val="00E11B45"/>
    <w:rsid w:val="00E11ED2"/>
    <w:rsid w:val="00E1230D"/>
    <w:rsid w:val="00E12CDC"/>
    <w:rsid w:val="00E12CFF"/>
    <w:rsid w:val="00E12EF4"/>
    <w:rsid w:val="00E13F29"/>
    <w:rsid w:val="00E14A45"/>
    <w:rsid w:val="00E1505A"/>
    <w:rsid w:val="00E15828"/>
    <w:rsid w:val="00E15955"/>
    <w:rsid w:val="00E15B8B"/>
    <w:rsid w:val="00E1617D"/>
    <w:rsid w:val="00E16A58"/>
    <w:rsid w:val="00E16B2E"/>
    <w:rsid w:val="00E16B85"/>
    <w:rsid w:val="00E173E7"/>
    <w:rsid w:val="00E17954"/>
    <w:rsid w:val="00E1799F"/>
    <w:rsid w:val="00E17D4A"/>
    <w:rsid w:val="00E17E35"/>
    <w:rsid w:val="00E17FC2"/>
    <w:rsid w:val="00E203A9"/>
    <w:rsid w:val="00E2072A"/>
    <w:rsid w:val="00E21364"/>
    <w:rsid w:val="00E218F5"/>
    <w:rsid w:val="00E21AB4"/>
    <w:rsid w:val="00E227A2"/>
    <w:rsid w:val="00E229BB"/>
    <w:rsid w:val="00E22F84"/>
    <w:rsid w:val="00E23133"/>
    <w:rsid w:val="00E234E5"/>
    <w:rsid w:val="00E23C4B"/>
    <w:rsid w:val="00E23FA8"/>
    <w:rsid w:val="00E249CF"/>
    <w:rsid w:val="00E24E84"/>
    <w:rsid w:val="00E25CBA"/>
    <w:rsid w:val="00E25DEE"/>
    <w:rsid w:val="00E26338"/>
    <w:rsid w:val="00E2687F"/>
    <w:rsid w:val="00E26D63"/>
    <w:rsid w:val="00E2735B"/>
    <w:rsid w:val="00E278A4"/>
    <w:rsid w:val="00E27A49"/>
    <w:rsid w:val="00E27CD8"/>
    <w:rsid w:val="00E27F02"/>
    <w:rsid w:val="00E301E5"/>
    <w:rsid w:val="00E30233"/>
    <w:rsid w:val="00E30291"/>
    <w:rsid w:val="00E30301"/>
    <w:rsid w:val="00E30641"/>
    <w:rsid w:val="00E31154"/>
    <w:rsid w:val="00E3119F"/>
    <w:rsid w:val="00E3125C"/>
    <w:rsid w:val="00E3142F"/>
    <w:rsid w:val="00E315B1"/>
    <w:rsid w:val="00E319E5"/>
    <w:rsid w:val="00E31D62"/>
    <w:rsid w:val="00E321A5"/>
    <w:rsid w:val="00E3241C"/>
    <w:rsid w:val="00E32938"/>
    <w:rsid w:val="00E32AED"/>
    <w:rsid w:val="00E32E96"/>
    <w:rsid w:val="00E32F1B"/>
    <w:rsid w:val="00E332E0"/>
    <w:rsid w:val="00E3363F"/>
    <w:rsid w:val="00E342F5"/>
    <w:rsid w:val="00E347CA"/>
    <w:rsid w:val="00E34969"/>
    <w:rsid w:val="00E34BE6"/>
    <w:rsid w:val="00E34D80"/>
    <w:rsid w:val="00E34F0B"/>
    <w:rsid w:val="00E35362"/>
    <w:rsid w:val="00E3593C"/>
    <w:rsid w:val="00E35EB4"/>
    <w:rsid w:val="00E35F4F"/>
    <w:rsid w:val="00E3618E"/>
    <w:rsid w:val="00E36693"/>
    <w:rsid w:val="00E36B8C"/>
    <w:rsid w:val="00E36F0D"/>
    <w:rsid w:val="00E376C9"/>
    <w:rsid w:val="00E377AE"/>
    <w:rsid w:val="00E37FEB"/>
    <w:rsid w:val="00E40093"/>
    <w:rsid w:val="00E40280"/>
    <w:rsid w:val="00E40C4E"/>
    <w:rsid w:val="00E40D03"/>
    <w:rsid w:val="00E411DD"/>
    <w:rsid w:val="00E415EF"/>
    <w:rsid w:val="00E41857"/>
    <w:rsid w:val="00E41FA5"/>
    <w:rsid w:val="00E4260E"/>
    <w:rsid w:val="00E4263E"/>
    <w:rsid w:val="00E42987"/>
    <w:rsid w:val="00E43005"/>
    <w:rsid w:val="00E43027"/>
    <w:rsid w:val="00E431C5"/>
    <w:rsid w:val="00E431E3"/>
    <w:rsid w:val="00E43486"/>
    <w:rsid w:val="00E43566"/>
    <w:rsid w:val="00E43794"/>
    <w:rsid w:val="00E43B71"/>
    <w:rsid w:val="00E43C51"/>
    <w:rsid w:val="00E44360"/>
    <w:rsid w:val="00E44A8D"/>
    <w:rsid w:val="00E44A9F"/>
    <w:rsid w:val="00E44B04"/>
    <w:rsid w:val="00E4533D"/>
    <w:rsid w:val="00E4539B"/>
    <w:rsid w:val="00E45E33"/>
    <w:rsid w:val="00E45E91"/>
    <w:rsid w:val="00E464D3"/>
    <w:rsid w:val="00E46A86"/>
    <w:rsid w:val="00E46B29"/>
    <w:rsid w:val="00E473DE"/>
    <w:rsid w:val="00E476DD"/>
    <w:rsid w:val="00E47FE4"/>
    <w:rsid w:val="00E5030D"/>
    <w:rsid w:val="00E50346"/>
    <w:rsid w:val="00E503B6"/>
    <w:rsid w:val="00E504EB"/>
    <w:rsid w:val="00E5180F"/>
    <w:rsid w:val="00E5194E"/>
    <w:rsid w:val="00E51B0B"/>
    <w:rsid w:val="00E51D2E"/>
    <w:rsid w:val="00E52603"/>
    <w:rsid w:val="00E52FC2"/>
    <w:rsid w:val="00E53722"/>
    <w:rsid w:val="00E53A21"/>
    <w:rsid w:val="00E53AC5"/>
    <w:rsid w:val="00E540BD"/>
    <w:rsid w:val="00E542B3"/>
    <w:rsid w:val="00E548F6"/>
    <w:rsid w:val="00E54B08"/>
    <w:rsid w:val="00E55409"/>
    <w:rsid w:val="00E5543E"/>
    <w:rsid w:val="00E5549D"/>
    <w:rsid w:val="00E55C99"/>
    <w:rsid w:val="00E56409"/>
    <w:rsid w:val="00E566A5"/>
    <w:rsid w:val="00E56806"/>
    <w:rsid w:val="00E56D72"/>
    <w:rsid w:val="00E57D42"/>
    <w:rsid w:val="00E60177"/>
    <w:rsid w:val="00E602B7"/>
    <w:rsid w:val="00E60669"/>
    <w:rsid w:val="00E60B35"/>
    <w:rsid w:val="00E60D2A"/>
    <w:rsid w:val="00E6177D"/>
    <w:rsid w:val="00E61F9A"/>
    <w:rsid w:val="00E61FDB"/>
    <w:rsid w:val="00E61FF8"/>
    <w:rsid w:val="00E62049"/>
    <w:rsid w:val="00E620E4"/>
    <w:rsid w:val="00E63447"/>
    <w:rsid w:val="00E636B7"/>
    <w:rsid w:val="00E63738"/>
    <w:rsid w:val="00E639F7"/>
    <w:rsid w:val="00E63C49"/>
    <w:rsid w:val="00E64748"/>
    <w:rsid w:val="00E64F0D"/>
    <w:rsid w:val="00E65275"/>
    <w:rsid w:val="00E65CD3"/>
    <w:rsid w:val="00E65EAD"/>
    <w:rsid w:val="00E660AD"/>
    <w:rsid w:val="00E66485"/>
    <w:rsid w:val="00E66E6A"/>
    <w:rsid w:val="00E70172"/>
    <w:rsid w:val="00E709F5"/>
    <w:rsid w:val="00E70CE2"/>
    <w:rsid w:val="00E71564"/>
    <w:rsid w:val="00E71A02"/>
    <w:rsid w:val="00E71B45"/>
    <w:rsid w:val="00E725FC"/>
    <w:rsid w:val="00E7267F"/>
    <w:rsid w:val="00E72779"/>
    <w:rsid w:val="00E745EC"/>
    <w:rsid w:val="00E748FA"/>
    <w:rsid w:val="00E749D4"/>
    <w:rsid w:val="00E74BAF"/>
    <w:rsid w:val="00E750A3"/>
    <w:rsid w:val="00E75243"/>
    <w:rsid w:val="00E7546D"/>
    <w:rsid w:val="00E759D7"/>
    <w:rsid w:val="00E765EE"/>
    <w:rsid w:val="00E76E71"/>
    <w:rsid w:val="00E77281"/>
    <w:rsid w:val="00E77663"/>
    <w:rsid w:val="00E776D2"/>
    <w:rsid w:val="00E77C07"/>
    <w:rsid w:val="00E80024"/>
    <w:rsid w:val="00E803B5"/>
    <w:rsid w:val="00E8066E"/>
    <w:rsid w:val="00E80962"/>
    <w:rsid w:val="00E81389"/>
    <w:rsid w:val="00E815ED"/>
    <w:rsid w:val="00E81B3F"/>
    <w:rsid w:val="00E81C6E"/>
    <w:rsid w:val="00E82845"/>
    <w:rsid w:val="00E82CD9"/>
    <w:rsid w:val="00E834B9"/>
    <w:rsid w:val="00E83955"/>
    <w:rsid w:val="00E83AAF"/>
    <w:rsid w:val="00E83C59"/>
    <w:rsid w:val="00E83E64"/>
    <w:rsid w:val="00E845A6"/>
    <w:rsid w:val="00E846D5"/>
    <w:rsid w:val="00E84886"/>
    <w:rsid w:val="00E85044"/>
    <w:rsid w:val="00E85070"/>
    <w:rsid w:val="00E85199"/>
    <w:rsid w:val="00E851A3"/>
    <w:rsid w:val="00E85352"/>
    <w:rsid w:val="00E85B2A"/>
    <w:rsid w:val="00E86150"/>
    <w:rsid w:val="00E867D7"/>
    <w:rsid w:val="00E86CE6"/>
    <w:rsid w:val="00E87A69"/>
    <w:rsid w:val="00E90290"/>
    <w:rsid w:val="00E904E4"/>
    <w:rsid w:val="00E90A7A"/>
    <w:rsid w:val="00E90AB1"/>
    <w:rsid w:val="00E90ED1"/>
    <w:rsid w:val="00E91171"/>
    <w:rsid w:val="00E914F0"/>
    <w:rsid w:val="00E916A6"/>
    <w:rsid w:val="00E91E48"/>
    <w:rsid w:val="00E91FEE"/>
    <w:rsid w:val="00E92180"/>
    <w:rsid w:val="00E924F5"/>
    <w:rsid w:val="00E9291A"/>
    <w:rsid w:val="00E92B01"/>
    <w:rsid w:val="00E92CE8"/>
    <w:rsid w:val="00E935FA"/>
    <w:rsid w:val="00E93C78"/>
    <w:rsid w:val="00E9458E"/>
    <w:rsid w:val="00E94B14"/>
    <w:rsid w:val="00E95B8F"/>
    <w:rsid w:val="00E96045"/>
    <w:rsid w:val="00E96284"/>
    <w:rsid w:val="00E9683D"/>
    <w:rsid w:val="00E968E3"/>
    <w:rsid w:val="00E96B47"/>
    <w:rsid w:val="00E96C89"/>
    <w:rsid w:val="00E97864"/>
    <w:rsid w:val="00E97A38"/>
    <w:rsid w:val="00EA010D"/>
    <w:rsid w:val="00EA0729"/>
    <w:rsid w:val="00EA0F63"/>
    <w:rsid w:val="00EA1330"/>
    <w:rsid w:val="00EA166B"/>
    <w:rsid w:val="00EA196A"/>
    <w:rsid w:val="00EA20D8"/>
    <w:rsid w:val="00EA266D"/>
    <w:rsid w:val="00EA29DC"/>
    <w:rsid w:val="00EA2C52"/>
    <w:rsid w:val="00EA2E0A"/>
    <w:rsid w:val="00EA3763"/>
    <w:rsid w:val="00EA3D71"/>
    <w:rsid w:val="00EA44ED"/>
    <w:rsid w:val="00EA4821"/>
    <w:rsid w:val="00EA4C02"/>
    <w:rsid w:val="00EA5044"/>
    <w:rsid w:val="00EA523C"/>
    <w:rsid w:val="00EA5334"/>
    <w:rsid w:val="00EA5490"/>
    <w:rsid w:val="00EA5783"/>
    <w:rsid w:val="00EA5984"/>
    <w:rsid w:val="00EA59F7"/>
    <w:rsid w:val="00EA5BE1"/>
    <w:rsid w:val="00EA6552"/>
    <w:rsid w:val="00EA6586"/>
    <w:rsid w:val="00EA6A41"/>
    <w:rsid w:val="00EA6D7A"/>
    <w:rsid w:val="00EA726B"/>
    <w:rsid w:val="00EA79A9"/>
    <w:rsid w:val="00EA7ADF"/>
    <w:rsid w:val="00EA7C2C"/>
    <w:rsid w:val="00EB00AD"/>
    <w:rsid w:val="00EB0331"/>
    <w:rsid w:val="00EB05B7"/>
    <w:rsid w:val="00EB0733"/>
    <w:rsid w:val="00EB0A0D"/>
    <w:rsid w:val="00EB0B68"/>
    <w:rsid w:val="00EB0F5D"/>
    <w:rsid w:val="00EB0FFA"/>
    <w:rsid w:val="00EB12AD"/>
    <w:rsid w:val="00EB1AD2"/>
    <w:rsid w:val="00EB1FCF"/>
    <w:rsid w:val="00EB27C5"/>
    <w:rsid w:val="00EB333C"/>
    <w:rsid w:val="00EB3DA9"/>
    <w:rsid w:val="00EB3F99"/>
    <w:rsid w:val="00EB4504"/>
    <w:rsid w:val="00EB4D95"/>
    <w:rsid w:val="00EB53E0"/>
    <w:rsid w:val="00EB573A"/>
    <w:rsid w:val="00EB5EF0"/>
    <w:rsid w:val="00EB6334"/>
    <w:rsid w:val="00EB6413"/>
    <w:rsid w:val="00EB661F"/>
    <w:rsid w:val="00EB681F"/>
    <w:rsid w:val="00EB696B"/>
    <w:rsid w:val="00EB6B6C"/>
    <w:rsid w:val="00EB6C35"/>
    <w:rsid w:val="00EB7130"/>
    <w:rsid w:val="00EB7253"/>
    <w:rsid w:val="00EB7255"/>
    <w:rsid w:val="00EB7427"/>
    <w:rsid w:val="00EB7631"/>
    <w:rsid w:val="00EB77D4"/>
    <w:rsid w:val="00EC070D"/>
    <w:rsid w:val="00EC1B6B"/>
    <w:rsid w:val="00EC205E"/>
    <w:rsid w:val="00EC24DE"/>
    <w:rsid w:val="00EC278C"/>
    <w:rsid w:val="00EC27C6"/>
    <w:rsid w:val="00EC28F3"/>
    <w:rsid w:val="00EC2946"/>
    <w:rsid w:val="00EC2958"/>
    <w:rsid w:val="00EC31FF"/>
    <w:rsid w:val="00EC403B"/>
    <w:rsid w:val="00EC5432"/>
    <w:rsid w:val="00EC58E4"/>
    <w:rsid w:val="00EC59D2"/>
    <w:rsid w:val="00EC5CF4"/>
    <w:rsid w:val="00EC5F06"/>
    <w:rsid w:val="00EC613F"/>
    <w:rsid w:val="00EC63BF"/>
    <w:rsid w:val="00EC6AC7"/>
    <w:rsid w:val="00EC6CEF"/>
    <w:rsid w:val="00EC7414"/>
    <w:rsid w:val="00ED007D"/>
    <w:rsid w:val="00ED00D2"/>
    <w:rsid w:val="00ED08D5"/>
    <w:rsid w:val="00ED098A"/>
    <w:rsid w:val="00ED09EF"/>
    <w:rsid w:val="00ED0D97"/>
    <w:rsid w:val="00ED0DD7"/>
    <w:rsid w:val="00ED1099"/>
    <w:rsid w:val="00ED1AF3"/>
    <w:rsid w:val="00ED2251"/>
    <w:rsid w:val="00ED22F3"/>
    <w:rsid w:val="00ED2A7E"/>
    <w:rsid w:val="00ED2F6D"/>
    <w:rsid w:val="00ED3296"/>
    <w:rsid w:val="00ED32C1"/>
    <w:rsid w:val="00ED32DB"/>
    <w:rsid w:val="00ED3C2B"/>
    <w:rsid w:val="00ED3DFD"/>
    <w:rsid w:val="00ED3F8A"/>
    <w:rsid w:val="00ED4009"/>
    <w:rsid w:val="00ED44E4"/>
    <w:rsid w:val="00ED45DF"/>
    <w:rsid w:val="00ED4FED"/>
    <w:rsid w:val="00ED5A0B"/>
    <w:rsid w:val="00ED6048"/>
    <w:rsid w:val="00ED6516"/>
    <w:rsid w:val="00ED661E"/>
    <w:rsid w:val="00ED6FD2"/>
    <w:rsid w:val="00ED715C"/>
    <w:rsid w:val="00ED7796"/>
    <w:rsid w:val="00ED7A0F"/>
    <w:rsid w:val="00ED7E48"/>
    <w:rsid w:val="00EE18EC"/>
    <w:rsid w:val="00EE1E39"/>
    <w:rsid w:val="00EE2313"/>
    <w:rsid w:val="00EE246C"/>
    <w:rsid w:val="00EE3616"/>
    <w:rsid w:val="00EE3654"/>
    <w:rsid w:val="00EE36C8"/>
    <w:rsid w:val="00EE4478"/>
    <w:rsid w:val="00EE5134"/>
    <w:rsid w:val="00EE5189"/>
    <w:rsid w:val="00EE59CF"/>
    <w:rsid w:val="00EE5DCC"/>
    <w:rsid w:val="00EE6475"/>
    <w:rsid w:val="00EE6539"/>
    <w:rsid w:val="00EE69AF"/>
    <w:rsid w:val="00EE6C6C"/>
    <w:rsid w:val="00EE6D63"/>
    <w:rsid w:val="00EF000F"/>
    <w:rsid w:val="00EF015E"/>
    <w:rsid w:val="00EF081F"/>
    <w:rsid w:val="00EF0D2E"/>
    <w:rsid w:val="00EF0EBE"/>
    <w:rsid w:val="00EF13AC"/>
    <w:rsid w:val="00EF20BB"/>
    <w:rsid w:val="00EF20FA"/>
    <w:rsid w:val="00EF2114"/>
    <w:rsid w:val="00EF268B"/>
    <w:rsid w:val="00EF2850"/>
    <w:rsid w:val="00EF2D44"/>
    <w:rsid w:val="00EF313F"/>
    <w:rsid w:val="00EF40E2"/>
    <w:rsid w:val="00EF40EB"/>
    <w:rsid w:val="00EF4478"/>
    <w:rsid w:val="00EF448F"/>
    <w:rsid w:val="00EF4541"/>
    <w:rsid w:val="00EF47D3"/>
    <w:rsid w:val="00EF4836"/>
    <w:rsid w:val="00EF594F"/>
    <w:rsid w:val="00EF59A4"/>
    <w:rsid w:val="00EF5C36"/>
    <w:rsid w:val="00EF5D69"/>
    <w:rsid w:val="00EF5FFE"/>
    <w:rsid w:val="00EF602D"/>
    <w:rsid w:val="00EF6DEF"/>
    <w:rsid w:val="00EF71E6"/>
    <w:rsid w:val="00EF7A93"/>
    <w:rsid w:val="00EF7B11"/>
    <w:rsid w:val="00EF7CFB"/>
    <w:rsid w:val="00F0033B"/>
    <w:rsid w:val="00F011A6"/>
    <w:rsid w:val="00F01580"/>
    <w:rsid w:val="00F018C6"/>
    <w:rsid w:val="00F01AB5"/>
    <w:rsid w:val="00F01ACD"/>
    <w:rsid w:val="00F0245D"/>
    <w:rsid w:val="00F03D04"/>
    <w:rsid w:val="00F03FBD"/>
    <w:rsid w:val="00F044C4"/>
    <w:rsid w:val="00F04B35"/>
    <w:rsid w:val="00F056E6"/>
    <w:rsid w:val="00F05A55"/>
    <w:rsid w:val="00F05C40"/>
    <w:rsid w:val="00F0611F"/>
    <w:rsid w:val="00F06200"/>
    <w:rsid w:val="00F06B52"/>
    <w:rsid w:val="00F07157"/>
    <w:rsid w:val="00F07769"/>
    <w:rsid w:val="00F078B2"/>
    <w:rsid w:val="00F07B6B"/>
    <w:rsid w:val="00F07CB8"/>
    <w:rsid w:val="00F105BC"/>
    <w:rsid w:val="00F11C21"/>
    <w:rsid w:val="00F12B10"/>
    <w:rsid w:val="00F12D15"/>
    <w:rsid w:val="00F12E23"/>
    <w:rsid w:val="00F1350A"/>
    <w:rsid w:val="00F13523"/>
    <w:rsid w:val="00F13B2A"/>
    <w:rsid w:val="00F13C8E"/>
    <w:rsid w:val="00F14D94"/>
    <w:rsid w:val="00F1583B"/>
    <w:rsid w:val="00F1598B"/>
    <w:rsid w:val="00F15C9A"/>
    <w:rsid w:val="00F15D99"/>
    <w:rsid w:val="00F16069"/>
    <w:rsid w:val="00F164D7"/>
    <w:rsid w:val="00F16BC0"/>
    <w:rsid w:val="00F16D46"/>
    <w:rsid w:val="00F17508"/>
    <w:rsid w:val="00F179DD"/>
    <w:rsid w:val="00F17ADC"/>
    <w:rsid w:val="00F17B78"/>
    <w:rsid w:val="00F200E0"/>
    <w:rsid w:val="00F20149"/>
    <w:rsid w:val="00F20699"/>
    <w:rsid w:val="00F21AAB"/>
    <w:rsid w:val="00F21AD2"/>
    <w:rsid w:val="00F21EBF"/>
    <w:rsid w:val="00F21EF8"/>
    <w:rsid w:val="00F223DC"/>
    <w:rsid w:val="00F223F6"/>
    <w:rsid w:val="00F2265B"/>
    <w:rsid w:val="00F227BE"/>
    <w:rsid w:val="00F22901"/>
    <w:rsid w:val="00F22A2D"/>
    <w:rsid w:val="00F22D18"/>
    <w:rsid w:val="00F2349E"/>
    <w:rsid w:val="00F23540"/>
    <w:rsid w:val="00F23E20"/>
    <w:rsid w:val="00F23EE3"/>
    <w:rsid w:val="00F24181"/>
    <w:rsid w:val="00F24190"/>
    <w:rsid w:val="00F241B0"/>
    <w:rsid w:val="00F242B2"/>
    <w:rsid w:val="00F24316"/>
    <w:rsid w:val="00F24430"/>
    <w:rsid w:val="00F246CD"/>
    <w:rsid w:val="00F24C21"/>
    <w:rsid w:val="00F24CFD"/>
    <w:rsid w:val="00F25C0A"/>
    <w:rsid w:val="00F262AD"/>
    <w:rsid w:val="00F26467"/>
    <w:rsid w:val="00F265A3"/>
    <w:rsid w:val="00F26684"/>
    <w:rsid w:val="00F26738"/>
    <w:rsid w:val="00F26A81"/>
    <w:rsid w:val="00F26ED7"/>
    <w:rsid w:val="00F26FA2"/>
    <w:rsid w:val="00F2776D"/>
    <w:rsid w:val="00F277A6"/>
    <w:rsid w:val="00F27A6B"/>
    <w:rsid w:val="00F30120"/>
    <w:rsid w:val="00F30204"/>
    <w:rsid w:val="00F3020B"/>
    <w:rsid w:val="00F305F8"/>
    <w:rsid w:val="00F307FA"/>
    <w:rsid w:val="00F30EB8"/>
    <w:rsid w:val="00F312DD"/>
    <w:rsid w:val="00F31737"/>
    <w:rsid w:val="00F324AA"/>
    <w:rsid w:val="00F3277D"/>
    <w:rsid w:val="00F32871"/>
    <w:rsid w:val="00F33BF4"/>
    <w:rsid w:val="00F33D2D"/>
    <w:rsid w:val="00F34594"/>
    <w:rsid w:val="00F345DC"/>
    <w:rsid w:val="00F34E9C"/>
    <w:rsid w:val="00F34F01"/>
    <w:rsid w:val="00F35B1A"/>
    <w:rsid w:val="00F35DF7"/>
    <w:rsid w:val="00F364B5"/>
    <w:rsid w:val="00F36B87"/>
    <w:rsid w:val="00F36E46"/>
    <w:rsid w:val="00F3709C"/>
    <w:rsid w:val="00F3741E"/>
    <w:rsid w:val="00F37540"/>
    <w:rsid w:val="00F37596"/>
    <w:rsid w:val="00F37839"/>
    <w:rsid w:val="00F40094"/>
    <w:rsid w:val="00F4024E"/>
    <w:rsid w:val="00F4032A"/>
    <w:rsid w:val="00F403C0"/>
    <w:rsid w:val="00F404F2"/>
    <w:rsid w:val="00F40565"/>
    <w:rsid w:val="00F4079B"/>
    <w:rsid w:val="00F4087E"/>
    <w:rsid w:val="00F40978"/>
    <w:rsid w:val="00F40A2E"/>
    <w:rsid w:val="00F40C09"/>
    <w:rsid w:val="00F40D6C"/>
    <w:rsid w:val="00F41362"/>
    <w:rsid w:val="00F41715"/>
    <w:rsid w:val="00F417DC"/>
    <w:rsid w:val="00F41F0E"/>
    <w:rsid w:val="00F422AF"/>
    <w:rsid w:val="00F425D2"/>
    <w:rsid w:val="00F426DB"/>
    <w:rsid w:val="00F43485"/>
    <w:rsid w:val="00F43496"/>
    <w:rsid w:val="00F43587"/>
    <w:rsid w:val="00F435AE"/>
    <w:rsid w:val="00F44309"/>
    <w:rsid w:val="00F449EA"/>
    <w:rsid w:val="00F45277"/>
    <w:rsid w:val="00F452B7"/>
    <w:rsid w:val="00F454E9"/>
    <w:rsid w:val="00F45504"/>
    <w:rsid w:val="00F456E7"/>
    <w:rsid w:val="00F4582D"/>
    <w:rsid w:val="00F45A5B"/>
    <w:rsid w:val="00F45D81"/>
    <w:rsid w:val="00F45E28"/>
    <w:rsid w:val="00F45E83"/>
    <w:rsid w:val="00F46180"/>
    <w:rsid w:val="00F46692"/>
    <w:rsid w:val="00F470DB"/>
    <w:rsid w:val="00F4712F"/>
    <w:rsid w:val="00F47C14"/>
    <w:rsid w:val="00F50255"/>
    <w:rsid w:val="00F502E2"/>
    <w:rsid w:val="00F5096A"/>
    <w:rsid w:val="00F50E0B"/>
    <w:rsid w:val="00F51638"/>
    <w:rsid w:val="00F51761"/>
    <w:rsid w:val="00F51A3E"/>
    <w:rsid w:val="00F5218B"/>
    <w:rsid w:val="00F52B5A"/>
    <w:rsid w:val="00F52C09"/>
    <w:rsid w:val="00F5325F"/>
    <w:rsid w:val="00F53D84"/>
    <w:rsid w:val="00F540CE"/>
    <w:rsid w:val="00F5485F"/>
    <w:rsid w:val="00F54A42"/>
    <w:rsid w:val="00F54FB6"/>
    <w:rsid w:val="00F5580D"/>
    <w:rsid w:val="00F55BEC"/>
    <w:rsid w:val="00F55D72"/>
    <w:rsid w:val="00F56291"/>
    <w:rsid w:val="00F563E4"/>
    <w:rsid w:val="00F56698"/>
    <w:rsid w:val="00F568F5"/>
    <w:rsid w:val="00F573CA"/>
    <w:rsid w:val="00F57DE7"/>
    <w:rsid w:val="00F601FA"/>
    <w:rsid w:val="00F602BD"/>
    <w:rsid w:val="00F602CA"/>
    <w:rsid w:val="00F606FF"/>
    <w:rsid w:val="00F61652"/>
    <w:rsid w:val="00F61FC5"/>
    <w:rsid w:val="00F621AA"/>
    <w:rsid w:val="00F62FF2"/>
    <w:rsid w:val="00F6311E"/>
    <w:rsid w:val="00F63BA6"/>
    <w:rsid w:val="00F63C54"/>
    <w:rsid w:val="00F63EEC"/>
    <w:rsid w:val="00F64AC2"/>
    <w:rsid w:val="00F64DD1"/>
    <w:rsid w:val="00F65283"/>
    <w:rsid w:val="00F66182"/>
    <w:rsid w:val="00F6634E"/>
    <w:rsid w:val="00F66B7B"/>
    <w:rsid w:val="00F66D4F"/>
    <w:rsid w:val="00F6781E"/>
    <w:rsid w:val="00F70B71"/>
    <w:rsid w:val="00F70C00"/>
    <w:rsid w:val="00F70D7E"/>
    <w:rsid w:val="00F7108A"/>
    <w:rsid w:val="00F715C0"/>
    <w:rsid w:val="00F723E4"/>
    <w:rsid w:val="00F728A8"/>
    <w:rsid w:val="00F728DB"/>
    <w:rsid w:val="00F72B18"/>
    <w:rsid w:val="00F72FA5"/>
    <w:rsid w:val="00F7423E"/>
    <w:rsid w:val="00F74AEE"/>
    <w:rsid w:val="00F74C1B"/>
    <w:rsid w:val="00F74C9F"/>
    <w:rsid w:val="00F74FEC"/>
    <w:rsid w:val="00F751F4"/>
    <w:rsid w:val="00F754CD"/>
    <w:rsid w:val="00F75529"/>
    <w:rsid w:val="00F7562A"/>
    <w:rsid w:val="00F75CEC"/>
    <w:rsid w:val="00F76143"/>
    <w:rsid w:val="00F76269"/>
    <w:rsid w:val="00F76378"/>
    <w:rsid w:val="00F768E7"/>
    <w:rsid w:val="00F76B15"/>
    <w:rsid w:val="00F77357"/>
    <w:rsid w:val="00F80620"/>
    <w:rsid w:val="00F80CA8"/>
    <w:rsid w:val="00F811D7"/>
    <w:rsid w:val="00F817DF"/>
    <w:rsid w:val="00F819FC"/>
    <w:rsid w:val="00F81AA1"/>
    <w:rsid w:val="00F822FF"/>
    <w:rsid w:val="00F8242C"/>
    <w:rsid w:val="00F825CA"/>
    <w:rsid w:val="00F82B4F"/>
    <w:rsid w:val="00F82CD3"/>
    <w:rsid w:val="00F82DA0"/>
    <w:rsid w:val="00F82EF0"/>
    <w:rsid w:val="00F83172"/>
    <w:rsid w:val="00F833AA"/>
    <w:rsid w:val="00F8384E"/>
    <w:rsid w:val="00F84300"/>
    <w:rsid w:val="00F84CF3"/>
    <w:rsid w:val="00F853E9"/>
    <w:rsid w:val="00F85453"/>
    <w:rsid w:val="00F859B0"/>
    <w:rsid w:val="00F86CF7"/>
    <w:rsid w:val="00F86DC9"/>
    <w:rsid w:val="00F87879"/>
    <w:rsid w:val="00F90C02"/>
    <w:rsid w:val="00F90CFC"/>
    <w:rsid w:val="00F9112A"/>
    <w:rsid w:val="00F91931"/>
    <w:rsid w:val="00F91F93"/>
    <w:rsid w:val="00F922DE"/>
    <w:rsid w:val="00F929CC"/>
    <w:rsid w:val="00F933F2"/>
    <w:rsid w:val="00F935B0"/>
    <w:rsid w:val="00F93C2B"/>
    <w:rsid w:val="00F93C98"/>
    <w:rsid w:val="00F93E5E"/>
    <w:rsid w:val="00F93F48"/>
    <w:rsid w:val="00F93F59"/>
    <w:rsid w:val="00F94240"/>
    <w:rsid w:val="00F94D31"/>
    <w:rsid w:val="00F952F0"/>
    <w:rsid w:val="00F9593B"/>
    <w:rsid w:val="00F95ACC"/>
    <w:rsid w:val="00F962D9"/>
    <w:rsid w:val="00F9658C"/>
    <w:rsid w:val="00F96644"/>
    <w:rsid w:val="00F96A31"/>
    <w:rsid w:val="00F9729C"/>
    <w:rsid w:val="00F9731E"/>
    <w:rsid w:val="00F97350"/>
    <w:rsid w:val="00F97580"/>
    <w:rsid w:val="00F97EF2"/>
    <w:rsid w:val="00FA09CB"/>
    <w:rsid w:val="00FA09E1"/>
    <w:rsid w:val="00FA0A5F"/>
    <w:rsid w:val="00FA0CC1"/>
    <w:rsid w:val="00FA1354"/>
    <w:rsid w:val="00FA1943"/>
    <w:rsid w:val="00FA4572"/>
    <w:rsid w:val="00FA50F1"/>
    <w:rsid w:val="00FA598D"/>
    <w:rsid w:val="00FA6184"/>
    <w:rsid w:val="00FA6226"/>
    <w:rsid w:val="00FA631B"/>
    <w:rsid w:val="00FA690F"/>
    <w:rsid w:val="00FA69BD"/>
    <w:rsid w:val="00FA6ACE"/>
    <w:rsid w:val="00FA6D21"/>
    <w:rsid w:val="00FA6F6F"/>
    <w:rsid w:val="00FA7202"/>
    <w:rsid w:val="00FA7579"/>
    <w:rsid w:val="00FA7792"/>
    <w:rsid w:val="00FA77B5"/>
    <w:rsid w:val="00FA77CC"/>
    <w:rsid w:val="00FA7B65"/>
    <w:rsid w:val="00FB00D3"/>
    <w:rsid w:val="00FB0848"/>
    <w:rsid w:val="00FB0DA8"/>
    <w:rsid w:val="00FB11EE"/>
    <w:rsid w:val="00FB1924"/>
    <w:rsid w:val="00FB1D4E"/>
    <w:rsid w:val="00FB256B"/>
    <w:rsid w:val="00FB27B6"/>
    <w:rsid w:val="00FB30D4"/>
    <w:rsid w:val="00FB3453"/>
    <w:rsid w:val="00FB362C"/>
    <w:rsid w:val="00FB3708"/>
    <w:rsid w:val="00FB37EF"/>
    <w:rsid w:val="00FB3F9D"/>
    <w:rsid w:val="00FB5D20"/>
    <w:rsid w:val="00FB6CB7"/>
    <w:rsid w:val="00FB6EAC"/>
    <w:rsid w:val="00FB72DB"/>
    <w:rsid w:val="00FB7A54"/>
    <w:rsid w:val="00FC07C7"/>
    <w:rsid w:val="00FC08CD"/>
    <w:rsid w:val="00FC0B92"/>
    <w:rsid w:val="00FC0D7E"/>
    <w:rsid w:val="00FC113A"/>
    <w:rsid w:val="00FC1275"/>
    <w:rsid w:val="00FC19FC"/>
    <w:rsid w:val="00FC1EA6"/>
    <w:rsid w:val="00FC2252"/>
    <w:rsid w:val="00FC272A"/>
    <w:rsid w:val="00FC2758"/>
    <w:rsid w:val="00FC2CB1"/>
    <w:rsid w:val="00FC3495"/>
    <w:rsid w:val="00FC382F"/>
    <w:rsid w:val="00FC3C79"/>
    <w:rsid w:val="00FC415C"/>
    <w:rsid w:val="00FC4269"/>
    <w:rsid w:val="00FC4B1A"/>
    <w:rsid w:val="00FC5AB9"/>
    <w:rsid w:val="00FC5B2F"/>
    <w:rsid w:val="00FC6845"/>
    <w:rsid w:val="00FC6ED4"/>
    <w:rsid w:val="00FC706C"/>
    <w:rsid w:val="00FC758B"/>
    <w:rsid w:val="00FC7749"/>
    <w:rsid w:val="00FC7D75"/>
    <w:rsid w:val="00FC7E4D"/>
    <w:rsid w:val="00FD003D"/>
    <w:rsid w:val="00FD03BE"/>
    <w:rsid w:val="00FD052B"/>
    <w:rsid w:val="00FD105F"/>
    <w:rsid w:val="00FD1434"/>
    <w:rsid w:val="00FD158E"/>
    <w:rsid w:val="00FD1D60"/>
    <w:rsid w:val="00FD1E9F"/>
    <w:rsid w:val="00FD1F5C"/>
    <w:rsid w:val="00FD2388"/>
    <w:rsid w:val="00FD2B51"/>
    <w:rsid w:val="00FD2C95"/>
    <w:rsid w:val="00FD337E"/>
    <w:rsid w:val="00FD33D8"/>
    <w:rsid w:val="00FD3B66"/>
    <w:rsid w:val="00FD3DB1"/>
    <w:rsid w:val="00FD3DF6"/>
    <w:rsid w:val="00FD406C"/>
    <w:rsid w:val="00FD454C"/>
    <w:rsid w:val="00FD4600"/>
    <w:rsid w:val="00FD467E"/>
    <w:rsid w:val="00FD50A0"/>
    <w:rsid w:val="00FD59BF"/>
    <w:rsid w:val="00FD61C5"/>
    <w:rsid w:val="00FD6659"/>
    <w:rsid w:val="00FD73CF"/>
    <w:rsid w:val="00FD7557"/>
    <w:rsid w:val="00FD7D22"/>
    <w:rsid w:val="00FE043D"/>
    <w:rsid w:val="00FE0C67"/>
    <w:rsid w:val="00FE1458"/>
    <w:rsid w:val="00FE1A21"/>
    <w:rsid w:val="00FE1A4C"/>
    <w:rsid w:val="00FE2198"/>
    <w:rsid w:val="00FE2820"/>
    <w:rsid w:val="00FE29E7"/>
    <w:rsid w:val="00FE2A3F"/>
    <w:rsid w:val="00FE2C2D"/>
    <w:rsid w:val="00FE2FC0"/>
    <w:rsid w:val="00FE3918"/>
    <w:rsid w:val="00FE3B51"/>
    <w:rsid w:val="00FE3B54"/>
    <w:rsid w:val="00FE3F1C"/>
    <w:rsid w:val="00FE4483"/>
    <w:rsid w:val="00FE4BF2"/>
    <w:rsid w:val="00FE60B2"/>
    <w:rsid w:val="00FE6243"/>
    <w:rsid w:val="00FE6AB3"/>
    <w:rsid w:val="00FE6FEA"/>
    <w:rsid w:val="00FE73DC"/>
    <w:rsid w:val="00FE7DD1"/>
    <w:rsid w:val="00FE7F14"/>
    <w:rsid w:val="00FF0ED0"/>
    <w:rsid w:val="00FF1867"/>
    <w:rsid w:val="00FF20E5"/>
    <w:rsid w:val="00FF2168"/>
    <w:rsid w:val="00FF24CA"/>
    <w:rsid w:val="00FF2D6F"/>
    <w:rsid w:val="00FF308B"/>
    <w:rsid w:val="00FF3398"/>
    <w:rsid w:val="00FF3729"/>
    <w:rsid w:val="00FF3D89"/>
    <w:rsid w:val="00FF4530"/>
    <w:rsid w:val="00FF4582"/>
    <w:rsid w:val="00FF4915"/>
    <w:rsid w:val="00FF49AF"/>
    <w:rsid w:val="00FF51E1"/>
    <w:rsid w:val="00FF5721"/>
    <w:rsid w:val="00FF587C"/>
    <w:rsid w:val="00FF5D69"/>
    <w:rsid w:val="00FF5DB0"/>
    <w:rsid w:val="00FF6231"/>
    <w:rsid w:val="00FF641B"/>
    <w:rsid w:val="00FF6485"/>
    <w:rsid w:val="00FF73EE"/>
    <w:rsid w:val="00FF7982"/>
    <w:rsid w:val="00FF7F19"/>
    <w:rsid w:val="00FF7F61"/>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50B61C0"/>
  <w15:docId w15:val="{2D2AECBF-A8AF-4D0B-A9E9-483BE8754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qFormat="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E36C8"/>
    <w:pPr>
      <w:jc w:val="both"/>
    </w:pPr>
    <w:rPr>
      <w:rFonts w:eastAsia="Calibri" w:cs="Times New Roman"/>
    </w:rPr>
  </w:style>
  <w:style w:type="paragraph" w:styleId="Balk1">
    <w:name w:val="heading 1"/>
    <w:basedOn w:val="Normal"/>
    <w:next w:val="Normal"/>
    <w:link w:val="Balk1Char"/>
    <w:uiPriority w:val="9"/>
    <w:qFormat/>
    <w:rsid w:val="004367E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4367E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4367E4"/>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unhideWhenUsed/>
    <w:qFormat/>
    <w:rsid w:val="006861CE"/>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unhideWhenUsed/>
    <w:qFormat/>
    <w:rsid w:val="006725C7"/>
    <w:pPr>
      <w:keepNext/>
      <w:keepLines/>
      <w:spacing w:before="200" w:after="0"/>
      <w:outlineLvl w:val="4"/>
    </w:pPr>
    <w:rPr>
      <w:rFonts w:asciiTheme="majorHAnsi" w:eastAsiaTheme="majorEastAsia" w:hAnsiTheme="majorHAnsi" w:cstheme="majorBidi"/>
      <w:color w:val="243F60" w:themeColor="accent1" w:themeShade="7F"/>
    </w:rPr>
  </w:style>
  <w:style w:type="paragraph" w:styleId="Balk8">
    <w:name w:val="heading 8"/>
    <w:basedOn w:val="Normal"/>
    <w:next w:val="Normal"/>
    <w:link w:val="Balk8Char"/>
    <w:uiPriority w:val="9"/>
    <w:unhideWhenUsed/>
    <w:qFormat/>
    <w:rsid w:val="00603C1D"/>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Balk9">
    <w:name w:val="heading 9"/>
    <w:basedOn w:val="Normal"/>
    <w:next w:val="Normal"/>
    <w:link w:val="Balk9Char"/>
    <w:uiPriority w:val="9"/>
    <w:semiHidden/>
    <w:unhideWhenUsed/>
    <w:qFormat/>
    <w:rsid w:val="00903602"/>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4367E4"/>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4367E4"/>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4367E4"/>
    <w:rPr>
      <w:rFonts w:asciiTheme="majorHAnsi" w:eastAsiaTheme="majorEastAsia" w:hAnsiTheme="majorHAnsi" w:cstheme="majorBidi"/>
      <w:b/>
      <w:bCs/>
      <w:color w:val="4F81BD" w:themeColor="accent1"/>
    </w:rPr>
  </w:style>
  <w:style w:type="character" w:customStyle="1" w:styleId="Balk4Char">
    <w:name w:val="Başlık 4 Char"/>
    <w:basedOn w:val="VarsaylanParagrafYazTipi"/>
    <w:link w:val="Balk4"/>
    <w:uiPriority w:val="9"/>
    <w:rsid w:val="006861CE"/>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rsid w:val="006725C7"/>
    <w:rPr>
      <w:rFonts w:asciiTheme="majorHAnsi" w:eastAsiaTheme="majorEastAsia" w:hAnsiTheme="majorHAnsi" w:cstheme="majorBidi"/>
      <w:color w:val="243F60" w:themeColor="accent1" w:themeShade="7F"/>
    </w:rPr>
  </w:style>
  <w:style w:type="character" w:customStyle="1" w:styleId="Balk8Char">
    <w:name w:val="Başlık 8 Char"/>
    <w:basedOn w:val="VarsaylanParagrafYazTipi"/>
    <w:link w:val="Balk8"/>
    <w:uiPriority w:val="9"/>
    <w:rsid w:val="00603C1D"/>
    <w:rPr>
      <w:rFonts w:asciiTheme="majorHAnsi" w:eastAsiaTheme="majorEastAsia" w:hAnsiTheme="majorHAnsi" w:cstheme="majorBidi"/>
      <w:color w:val="272727" w:themeColor="text1" w:themeTint="D8"/>
      <w:sz w:val="21"/>
      <w:szCs w:val="21"/>
    </w:rPr>
  </w:style>
  <w:style w:type="character" w:customStyle="1" w:styleId="Balk9Char">
    <w:name w:val="Başlık 9 Char"/>
    <w:basedOn w:val="VarsaylanParagrafYazTipi"/>
    <w:link w:val="Balk9"/>
    <w:uiPriority w:val="9"/>
    <w:semiHidden/>
    <w:rsid w:val="00903602"/>
    <w:rPr>
      <w:rFonts w:asciiTheme="majorHAnsi" w:eastAsiaTheme="majorEastAsia" w:hAnsiTheme="majorHAnsi" w:cstheme="majorBidi"/>
      <w:i/>
      <w:iCs/>
      <w:color w:val="404040" w:themeColor="text1" w:themeTint="BF"/>
      <w:sz w:val="20"/>
      <w:szCs w:val="20"/>
    </w:rPr>
  </w:style>
  <w:style w:type="paragraph" w:styleId="AralkYok">
    <w:name w:val="No Spacing"/>
    <w:link w:val="AralkYokChar"/>
    <w:uiPriority w:val="1"/>
    <w:qFormat/>
    <w:rsid w:val="004367E4"/>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4367E4"/>
    <w:rPr>
      <w:rFonts w:eastAsiaTheme="minorEastAsia"/>
      <w:lang w:eastAsia="tr-TR"/>
    </w:rPr>
  </w:style>
  <w:style w:type="paragraph" w:styleId="BalonMetni">
    <w:name w:val="Balloon Text"/>
    <w:basedOn w:val="Normal"/>
    <w:link w:val="BalonMetniChar"/>
    <w:uiPriority w:val="99"/>
    <w:semiHidden/>
    <w:unhideWhenUsed/>
    <w:rsid w:val="004367E4"/>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367E4"/>
    <w:rPr>
      <w:rFonts w:ascii="Tahoma" w:hAnsi="Tahoma" w:cs="Tahoma"/>
      <w:sz w:val="16"/>
      <w:szCs w:val="16"/>
    </w:rPr>
  </w:style>
  <w:style w:type="character" w:styleId="KitapBal">
    <w:name w:val="Book Title"/>
    <w:basedOn w:val="VarsaylanParagrafYazTipi"/>
    <w:uiPriority w:val="33"/>
    <w:qFormat/>
    <w:rsid w:val="004367E4"/>
    <w:rPr>
      <w:b/>
      <w:bCs/>
      <w:smallCaps/>
      <w:spacing w:val="5"/>
    </w:rPr>
  </w:style>
  <w:style w:type="paragraph" w:styleId="ListeParagraf">
    <w:name w:val="List Paragraph"/>
    <w:aliases w:val="1.1.1. Turkish MERCADOS,UEDAŞ Bullet,abc siralı,List Paragraph,List Paragraph_0"/>
    <w:basedOn w:val="Normal"/>
    <w:link w:val="ListeParagrafChar"/>
    <w:uiPriority w:val="34"/>
    <w:qFormat/>
    <w:rsid w:val="004367E4"/>
    <w:pPr>
      <w:ind w:left="720"/>
      <w:contextualSpacing/>
    </w:pPr>
  </w:style>
  <w:style w:type="character" w:customStyle="1" w:styleId="ListeParagrafChar">
    <w:name w:val="Liste Paragraf Char"/>
    <w:aliases w:val="1.1.1. Turkish MERCADOS Char,UEDAŞ Bullet Char,abc siralı Char,List Paragraph Char,List Paragraph_0 Char"/>
    <w:link w:val="ListeParagraf"/>
    <w:uiPriority w:val="34"/>
    <w:locked/>
    <w:rsid w:val="00615519"/>
    <w:rPr>
      <w:rFonts w:eastAsia="Calibri" w:cs="Times New Roman"/>
    </w:rPr>
  </w:style>
  <w:style w:type="paragraph" w:styleId="ResimYazs">
    <w:name w:val="caption"/>
    <w:basedOn w:val="Normal"/>
    <w:next w:val="Normal"/>
    <w:uiPriority w:val="99"/>
    <w:qFormat/>
    <w:rsid w:val="004367E4"/>
    <w:pPr>
      <w:spacing w:line="240" w:lineRule="auto"/>
    </w:pPr>
    <w:rPr>
      <w:rFonts w:eastAsia="Times New Roman"/>
      <w:b/>
      <w:bCs/>
      <w:color w:val="4F81BD"/>
      <w:sz w:val="18"/>
      <w:szCs w:val="18"/>
      <w:lang w:eastAsia="tr-TR"/>
    </w:rPr>
  </w:style>
  <w:style w:type="table" w:styleId="TabloKlavuzu">
    <w:name w:val="Table Grid"/>
    <w:basedOn w:val="NormalTablo"/>
    <w:rsid w:val="00297F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aliases w:val="Üstbilgi Char Char Char Char,Üstbilgi Char Char Char Char Char Char Char,Üstbilgi2 Char,Üstbilgi Char Char Char Char Char Char Char Char Char Char,Üstbilgi Char Char Char Char Char Char Char Char Char C Char"/>
    <w:basedOn w:val="Normal"/>
    <w:link w:val="stBilgiChar"/>
    <w:uiPriority w:val="99"/>
    <w:unhideWhenUsed/>
    <w:qFormat/>
    <w:rsid w:val="00297FE1"/>
    <w:pPr>
      <w:tabs>
        <w:tab w:val="center" w:pos="4536"/>
        <w:tab w:val="right" w:pos="9072"/>
      </w:tabs>
      <w:spacing w:after="0" w:line="240" w:lineRule="auto"/>
    </w:pPr>
  </w:style>
  <w:style w:type="character" w:customStyle="1" w:styleId="stBilgiChar">
    <w:name w:val="Üst Bilgi Char"/>
    <w:aliases w:val="Üstbilgi Char Char Char Char Char,Üstbilgi Char Char Char Char Char Char Char Char,Üstbilgi2 Char Char,Üstbilgi Char Char Char Char Char Char Char Char Char Char Char,Üstbilgi Char Char Char Char Char Char Char Char Char C Char Char"/>
    <w:basedOn w:val="VarsaylanParagrafYazTipi"/>
    <w:link w:val="stBilgi"/>
    <w:uiPriority w:val="99"/>
    <w:rsid w:val="00297FE1"/>
    <w:rPr>
      <w:rFonts w:ascii="Calibri" w:eastAsia="Calibri" w:hAnsi="Calibri" w:cs="Times New Roman"/>
    </w:rPr>
  </w:style>
  <w:style w:type="paragraph" w:styleId="AltBilgi">
    <w:name w:val="footer"/>
    <w:basedOn w:val="Normal"/>
    <w:link w:val="AltBilgiChar"/>
    <w:uiPriority w:val="99"/>
    <w:unhideWhenUsed/>
    <w:rsid w:val="00297FE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297FE1"/>
    <w:rPr>
      <w:rFonts w:ascii="Calibri" w:eastAsia="Calibri" w:hAnsi="Calibri" w:cs="Times New Roman"/>
    </w:rPr>
  </w:style>
  <w:style w:type="character" w:styleId="AklamaBavurusu">
    <w:name w:val="annotation reference"/>
    <w:semiHidden/>
    <w:rsid w:val="00DC7478"/>
    <w:rPr>
      <w:sz w:val="16"/>
      <w:szCs w:val="16"/>
    </w:rPr>
  </w:style>
  <w:style w:type="paragraph" w:styleId="AklamaMetni">
    <w:name w:val="annotation text"/>
    <w:basedOn w:val="Normal"/>
    <w:link w:val="AklamaMetniChar"/>
    <w:semiHidden/>
    <w:rsid w:val="00DC7478"/>
    <w:rPr>
      <w:sz w:val="20"/>
      <w:szCs w:val="20"/>
    </w:rPr>
  </w:style>
  <w:style w:type="character" w:customStyle="1" w:styleId="AklamaMetniChar">
    <w:name w:val="Açıklama Metni Char"/>
    <w:basedOn w:val="VarsaylanParagrafYazTipi"/>
    <w:link w:val="AklamaMetni"/>
    <w:semiHidden/>
    <w:rsid w:val="00DC7478"/>
    <w:rPr>
      <w:rFonts w:ascii="Calibri" w:eastAsia="Calibri" w:hAnsi="Calibri" w:cs="Times New Roman"/>
      <w:sz w:val="20"/>
      <w:szCs w:val="20"/>
    </w:rPr>
  </w:style>
  <w:style w:type="paragraph" w:styleId="AklamaKonusu">
    <w:name w:val="annotation subject"/>
    <w:basedOn w:val="AklamaMetni"/>
    <w:next w:val="AklamaMetni"/>
    <w:link w:val="AklamaKonusuChar"/>
    <w:uiPriority w:val="99"/>
    <w:semiHidden/>
    <w:unhideWhenUsed/>
    <w:rsid w:val="00DC7478"/>
    <w:pPr>
      <w:spacing w:line="240" w:lineRule="auto"/>
    </w:pPr>
    <w:rPr>
      <w:b/>
      <w:bCs/>
    </w:rPr>
  </w:style>
  <w:style w:type="character" w:customStyle="1" w:styleId="AklamaKonusuChar">
    <w:name w:val="Açıklama Konusu Char"/>
    <w:basedOn w:val="AklamaMetniChar"/>
    <w:link w:val="AklamaKonusu"/>
    <w:uiPriority w:val="99"/>
    <w:semiHidden/>
    <w:rsid w:val="00DC7478"/>
    <w:rPr>
      <w:rFonts w:ascii="Calibri" w:eastAsia="Calibri" w:hAnsi="Calibri" w:cs="Times New Roman"/>
      <w:b/>
      <w:bCs/>
      <w:sz w:val="20"/>
      <w:szCs w:val="20"/>
    </w:rPr>
  </w:style>
  <w:style w:type="paragraph" w:styleId="T1">
    <w:name w:val="toc 1"/>
    <w:basedOn w:val="Normal"/>
    <w:next w:val="Normal"/>
    <w:autoRedefine/>
    <w:uiPriority w:val="39"/>
    <w:unhideWhenUsed/>
    <w:rsid w:val="009F08FD"/>
    <w:pPr>
      <w:tabs>
        <w:tab w:val="right" w:leader="dot" w:pos="9060"/>
      </w:tabs>
      <w:spacing w:after="0"/>
    </w:pPr>
    <w:rPr>
      <w:b/>
    </w:rPr>
  </w:style>
  <w:style w:type="paragraph" w:styleId="T2">
    <w:name w:val="toc 2"/>
    <w:basedOn w:val="Normal"/>
    <w:next w:val="Normal"/>
    <w:autoRedefine/>
    <w:uiPriority w:val="39"/>
    <w:unhideWhenUsed/>
    <w:rsid w:val="009D3193"/>
    <w:pPr>
      <w:tabs>
        <w:tab w:val="left" w:pos="851"/>
        <w:tab w:val="right" w:leader="dot" w:pos="9060"/>
      </w:tabs>
      <w:spacing w:after="0"/>
      <w:ind w:left="220"/>
    </w:pPr>
    <w:rPr>
      <w:rFonts w:eastAsia="Times New Roman"/>
      <w:bCs/>
      <w:noProof/>
    </w:rPr>
  </w:style>
  <w:style w:type="paragraph" w:styleId="T3">
    <w:name w:val="toc 3"/>
    <w:basedOn w:val="Normal"/>
    <w:next w:val="Normal"/>
    <w:autoRedefine/>
    <w:uiPriority w:val="39"/>
    <w:unhideWhenUsed/>
    <w:rsid w:val="00B400D3"/>
    <w:pPr>
      <w:tabs>
        <w:tab w:val="left" w:pos="1320"/>
        <w:tab w:val="right" w:leader="dot" w:pos="9072"/>
      </w:tabs>
      <w:spacing w:after="0" w:line="23" w:lineRule="atLeast"/>
    </w:pPr>
  </w:style>
  <w:style w:type="paragraph" w:styleId="T4">
    <w:name w:val="toc 4"/>
    <w:basedOn w:val="Normal"/>
    <w:next w:val="Normal"/>
    <w:autoRedefine/>
    <w:uiPriority w:val="39"/>
    <w:unhideWhenUsed/>
    <w:rsid w:val="007675C6"/>
    <w:pPr>
      <w:spacing w:after="100"/>
      <w:ind w:left="660"/>
    </w:pPr>
  </w:style>
  <w:style w:type="paragraph" w:styleId="KonuBal">
    <w:name w:val="Title"/>
    <w:basedOn w:val="Normal"/>
    <w:next w:val="Normal"/>
    <w:link w:val="KonuBalChar"/>
    <w:uiPriority w:val="10"/>
    <w:qFormat/>
    <w:rsid w:val="007675C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7675C6"/>
    <w:rPr>
      <w:rFonts w:asciiTheme="majorHAnsi" w:eastAsiaTheme="majorEastAsia" w:hAnsiTheme="majorHAnsi" w:cstheme="majorBidi"/>
      <w:color w:val="17365D" w:themeColor="text2" w:themeShade="BF"/>
      <w:spacing w:val="5"/>
      <w:kern w:val="28"/>
      <w:sz w:val="52"/>
      <w:szCs w:val="52"/>
    </w:rPr>
  </w:style>
  <w:style w:type="character" w:styleId="Kpr">
    <w:name w:val="Hyperlink"/>
    <w:basedOn w:val="VarsaylanParagrafYazTipi"/>
    <w:uiPriority w:val="99"/>
    <w:unhideWhenUsed/>
    <w:rsid w:val="007675C6"/>
    <w:rPr>
      <w:color w:val="0000FF" w:themeColor="hyperlink"/>
      <w:u w:val="single"/>
    </w:rPr>
  </w:style>
  <w:style w:type="paragraph" w:styleId="T5">
    <w:name w:val="toc 5"/>
    <w:basedOn w:val="Normal"/>
    <w:next w:val="Normal"/>
    <w:autoRedefine/>
    <w:uiPriority w:val="39"/>
    <w:unhideWhenUsed/>
    <w:rsid w:val="00F56291"/>
    <w:pPr>
      <w:spacing w:after="100"/>
      <w:ind w:left="880"/>
    </w:pPr>
    <w:rPr>
      <w:rFonts w:eastAsiaTheme="minorEastAsia" w:cstheme="minorBidi"/>
      <w:lang w:eastAsia="tr-TR"/>
    </w:rPr>
  </w:style>
  <w:style w:type="paragraph" w:styleId="T6">
    <w:name w:val="toc 6"/>
    <w:basedOn w:val="Normal"/>
    <w:next w:val="Normal"/>
    <w:autoRedefine/>
    <w:uiPriority w:val="39"/>
    <w:unhideWhenUsed/>
    <w:rsid w:val="00F56291"/>
    <w:pPr>
      <w:spacing w:after="100"/>
      <w:ind w:left="1100"/>
    </w:pPr>
    <w:rPr>
      <w:rFonts w:eastAsiaTheme="minorEastAsia" w:cstheme="minorBidi"/>
      <w:lang w:eastAsia="tr-TR"/>
    </w:rPr>
  </w:style>
  <w:style w:type="paragraph" w:styleId="T7">
    <w:name w:val="toc 7"/>
    <w:basedOn w:val="Normal"/>
    <w:next w:val="Normal"/>
    <w:autoRedefine/>
    <w:uiPriority w:val="39"/>
    <w:unhideWhenUsed/>
    <w:rsid w:val="00F56291"/>
    <w:pPr>
      <w:spacing w:after="100"/>
      <w:ind w:left="1320"/>
    </w:pPr>
    <w:rPr>
      <w:rFonts w:eastAsiaTheme="minorEastAsia" w:cstheme="minorBidi"/>
      <w:lang w:eastAsia="tr-TR"/>
    </w:rPr>
  </w:style>
  <w:style w:type="paragraph" w:styleId="T8">
    <w:name w:val="toc 8"/>
    <w:basedOn w:val="Normal"/>
    <w:next w:val="Normal"/>
    <w:autoRedefine/>
    <w:uiPriority w:val="39"/>
    <w:unhideWhenUsed/>
    <w:rsid w:val="00F56291"/>
    <w:pPr>
      <w:spacing w:after="100"/>
      <w:ind w:left="1540"/>
    </w:pPr>
    <w:rPr>
      <w:rFonts w:eastAsiaTheme="minorEastAsia" w:cstheme="minorBidi"/>
      <w:lang w:eastAsia="tr-TR"/>
    </w:rPr>
  </w:style>
  <w:style w:type="paragraph" w:styleId="T9">
    <w:name w:val="toc 9"/>
    <w:basedOn w:val="Normal"/>
    <w:next w:val="Normal"/>
    <w:autoRedefine/>
    <w:uiPriority w:val="39"/>
    <w:unhideWhenUsed/>
    <w:rsid w:val="00F56291"/>
    <w:pPr>
      <w:spacing w:after="100"/>
      <w:ind w:left="1760"/>
    </w:pPr>
    <w:rPr>
      <w:rFonts w:eastAsiaTheme="minorEastAsia" w:cstheme="minorBidi"/>
      <w:lang w:eastAsia="tr-TR"/>
    </w:rPr>
  </w:style>
  <w:style w:type="paragraph" w:styleId="Dzeltme">
    <w:name w:val="Revision"/>
    <w:hidden/>
    <w:uiPriority w:val="99"/>
    <w:semiHidden/>
    <w:rsid w:val="008E3058"/>
    <w:pPr>
      <w:spacing w:after="0" w:line="240" w:lineRule="auto"/>
    </w:pPr>
    <w:rPr>
      <w:rFonts w:ascii="Calibri" w:eastAsia="Calibri" w:hAnsi="Calibri" w:cs="Times New Roman"/>
    </w:rPr>
  </w:style>
  <w:style w:type="paragraph" w:customStyle="1" w:styleId="baslk">
    <w:name w:val="baslk"/>
    <w:basedOn w:val="Normal"/>
    <w:rsid w:val="005F64DA"/>
    <w:pPr>
      <w:spacing w:after="0" w:line="240" w:lineRule="auto"/>
    </w:pPr>
    <w:rPr>
      <w:rFonts w:ascii="New York" w:eastAsia="Times New Roman" w:hAnsi="New York"/>
      <w:b/>
      <w:bCs/>
      <w:sz w:val="24"/>
      <w:szCs w:val="24"/>
      <w:lang w:eastAsia="tr-TR"/>
    </w:rPr>
  </w:style>
  <w:style w:type="paragraph" w:styleId="NormalWeb">
    <w:name w:val="Normal (Web)"/>
    <w:aliases w:val="Normal (Web) Char Char,Normal (Web) Char Char Char Char,Normal (Web) Char Char Char,Char Char Char Char Char Char,Char"/>
    <w:basedOn w:val="Normal"/>
    <w:link w:val="NormalWebChar"/>
    <w:uiPriority w:val="99"/>
    <w:unhideWhenUsed/>
    <w:rsid w:val="00C75C52"/>
    <w:pPr>
      <w:spacing w:before="100" w:beforeAutospacing="1" w:after="100" w:afterAutospacing="1" w:line="240" w:lineRule="auto"/>
    </w:pPr>
    <w:rPr>
      <w:rFonts w:ascii="Times New Roman" w:eastAsia="Times New Roman" w:hAnsi="Times New Roman"/>
      <w:sz w:val="24"/>
      <w:szCs w:val="24"/>
      <w:lang w:eastAsia="tr-TR"/>
    </w:rPr>
  </w:style>
  <w:style w:type="character" w:customStyle="1" w:styleId="NormalWebChar">
    <w:name w:val="Normal (Web) Char"/>
    <w:aliases w:val="Normal (Web) Char Char Char1,Normal (Web) Char Char Char Char Char,Normal (Web) Char Char Char Char1,Char Char Char Char Char Char Char,Char Char"/>
    <w:link w:val="NormalWeb"/>
    <w:uiPriority w:val="99"/>
    <w:locked/>
    <w:rsid w:val="00603C1D"/>
    <w:rPr>
      <w:rFonts w:ascii="Times New Roman" w:eastAsia="Times New Roman" w:hAnsi="Times New Roman" w:cs="Times New Roman"/>
      <w:sz w:val="24"/>
      <w:szCs w:val="24"/>
      <w:lang w:eastAsia="tr-TR"/>
    </w:rPr>
  </w:style>
  <w:style w:type="paragraph" w:styleId="DipnotMetni">
    <w:name w:val="footnote text"/>
    <w:basedOn w:val="Normal"/>
    <w:link w:val="DipnotMetniChar"/>
    <w:uiPriority w:val="99"/>
    <w:semiHidden/>
    <w:unhideWhenUsed/>
    <w:rsid w:val="001F55A3"/>
    <w:pPr>
      <w:spacing w:after="0" w:line="240" w:lineRule="auto"/>
    </w:pPr>
    <w:rPr>
      <w:sz w:val="20"/>
      <w:szCs w:val="20"/>
    </w:rPr>
  </w:style>
  <w:style w:type="character" w:customStyle="1" w:styleId="DipnotMetniChar">
    <w:name w:val="Dipnot Metni Char"/>
    <w:basedOn w:val="VarsaylanParagrafYazTipi"/>
    <w:link w:val="DipnotMetni"/>
    <w:uiPriority w:val="99"/>
    <w:semiHidden/>
    <w:rsid w:val="001F55A3"/>
    <w:rPr>
      <w:rFonts w:ascii="Calibri" w:eastAsia="Calibri" w:hAnsi="Calibri" w:cs="Times New Roman"/>
      <w:sz w:val="20"/>
      <w:szCs w:val="20"/>
    </w:rPr>
  </w:style>
  <w:style w:type="character" w:styleId="DipnotBavurusu">
    <w:name w:val="footnote reference"/>
    <w:basedOn w:val="VarsaylanParagrafYazTipi"/>
    <w:uiPriority w:val="99"/>
    <w:semiHidden/>
    <w:unhideWhenUsed/>
    <w:rsid w:val="001F55A3"/>
    <w:rPr>
      <w:vertAlign w:val="superscript"/>
    </w:rPr>
  </w:style>
  <w:style w:type="character" w:customStyle="1" w:styleId="grame">
    <w:name w:val="grame"/>
    <w:basedOn w:val="VarsaylanParagrafYazTipi"/>
    <w:rsid w:val="007C22BD"/>
  </w:style>
  <w:style w:type="character" w:customStyle="1" w:styleId="spelle">
    <w:name w:val="spelle"/>
    <w:basedOn w:val="VarsaylanParagrafYazTipi"/>
    <w:rsid w:val="00663374"/>
  </w:style>
  <w:style w:type="paragraph" w:customStyle="1" w:styleId="Style3">
    <w:name w:val="Style3"/>
    <w:basedOn w:val="Normal"/>
    <w:uiPriority w:val="99"/>
    <w:rsid w:val="00663374"/>
    <w:pPr>
      <w:widowControl w:val="0"/>
      <w:autoSpaceDE w:val="0"/>
      <w:autoSpaceDN w:val="0"/>
      <w:adjustRightInd w:val="0"/>
      <w:spacing w:after="0" w:line="274" w:lineRule="exact"/>
      <w:ind w:firstLine="710"/>
    </w:pPr>
    <w:rPr>
      <w:rFonts w:ascii="Times New Roman" w:eastAsia="Times New Roman" w:hAnsi="Times New Roman"/>
      <w:sz w:val="24"/>
      <w:szCs w:val="24"/>
      <w:lang w:eastAsia="tr-TR"/>
    </w:rPr>
  </w:style>
  <w:style w:type="character" w:customStyle="1" w:styleId="FontStyle12">
    <w:name w:val="Font Style12"/>
    <w:basedOn w:val="VarsaylanParagrafYazTipi"/>
    <w:uiPriority w:val="99"/>
    <w:rsid w:val="009448D9"/>
    <w:rPr>
      <w:rFonts w:ascii="Arial" w:hAnsi="Arial" w:cs="Arial"/>
      <w:sz w:val="22"/>
      <w:szCs w:val="22"/>
    </w:rPr>
  </w:style>
  <w:style w:type="character" w:customStyle="1" w:styleId="FontStyle21">
    <w:name w:val="Font Style21"/>
    <w:uiPriority w:val="99"/>
    <w:rsid w:val="00AB6864"/>
    <w:rPr>
      <w:rFonts w:ascii="Times New Roman" w:hAnsi="Times New Roman" w:cs="Times New Roman"/>
      <w:color w:val="000000"/>
      <w:sz w:val="22"/>
      <w:szCs w:val="22"/>
    </w:rPr>
  </w:style>
  <w:style w:type="paragraph" w:customStyle="1" w:styleId="3-NormalYaz">
    <w:name w:val="3-Normal Yazı"/>
    <w:rsid w:val="00BD50D9"/>
    <w:pPr>
      <w:tabs>
        <w:tab w:val="left" w:pos="566"/>
      </w:tabs>
      <w:spacing w:after="0" w:line="240" w:lineRule="auto"/>
      <w:jc w:val="both"/>
    </w:pPr>
    <w:rPr>
      <w:rFonts w:ascii="Times New Roman" w:eastAsia="ヒラギノ明朝 Pro W3" w:hAnsi="Times" w:cs="Times New Roman"/>
      <w:sz w:val="19"/>
      <w:szCs w:val="20"/>
    </w:rPr>
  </w:style>
  <w:style w:type="character" w:customStyle="1" w:styleId="apple-converted-space">
    <w:name w:val="apple-converted-space"/>
    <w:rsid w:val="00BD50D9"/>
  </w:style>
  <w:style w:type="character" w:styleId="Gl">
    <w:name w:val="Strong"/>
    <w:basedOn w:val="VarsaylanParagrafYazTipi"/>
    <w:uiPriority w:val="22"/>
    <w:qFormat/>
    <w:rsid w:val="000A1FA3"/>
    <w:rPr>
      <w:rFonts w:asciiTheme="minorHAnsi" w:hAnsiTheme="minorHAnsi"/>
      <w:b/>
      <w:bCs/>
      <w:sz w:val="22"/>
    </w:rPr>
  </w:style>
  <w:style w:type="character" w:customStyle="1" w:styleId="hilite">
    <w:name w:val="hilite"/>
    <w:basedOn w:val="VarsaylanParagrafYazTipi"/>
    <w:rsid w:val="00D617B3"/>
  </w:style>
  <w:style w:type="paragraph" w:customStyle="1" w:styleId="Varsaylan">
    <w:name w:val="Varsayılan"/>
    <w:rsid w:val="00D860F2"/>
    <w:pPr>
      <w:tabs>
        <w:tab w:val="left" w:pos="708"/>
      </w:tabs>
      <w:suppressAutoHyphens/>
    </w:pPr>
    <w:rPr>
      <w:rFonts w:ascii="Times New Roman" w:eastAsia="Times New Roman" w:hAnsi="Times New Roman" w:cs="Times New Roman"/>
      <w:sz w:val="24"/>
      <w:szCs w:val="24"/>
      <w:lang w:eastAsia="zh-CN"/>
    </w:rPr>
  </w:style>
  <w:style w:type="paragraph" w:customStyle="1" w:styleId="3-normalyaz0">
    <w:name w:val="3-normalyaz"/>
    <w:basedOn w:val="Normal"/>
    <w:rsid w:val="00F621AA"/>
    <w:pPr>
      <w:spacing w:before="100" w:beforeAutospacing="1" w:after="100" w:afterAutospacing="1" w:line="240" w:lineRule="auto"/>
    </w:pPr>
    <w:rPr>
      <w:rFonts w:ascii="Times New Roman" w:eastAsia="Times New Roman" w:hAnsi="Times New Roman"/>
      <w:sz w:val="24"/>
      <w:szCs w:val="24"/>
      <w:lang w:eastAsia="tr-TR"/>
    </w:rPr>
  </w:style>
  <w:style w:type="table" w:customStyle="1" w:styleId="TabloKlavuzu1">
    <w:name w:val="Tablo Kılavuzu1"/>
    <w:basedOn w:val="NormalTablo"/>
    <w:next w:val="TabloKlavuzu"/>
    <w:rsid w:val="00E3125C"/>
    <w:pPr>
      <w:spacing w:after="0" w:line="240" w:lineRule="auto"/>
    </w:pPr>
    <w:rPr>
      <w:rFonts w:ascii="Symbol" w:eastAsia="Times New Roman" w:hAnsi="Symbol"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Klavuz-Vurgu6">
    <w:name w:val="Light Grid Accent 6"/>
    <w:basedOn w:val="NormalTablo"/>
    <w:uiPriority w:val="62"/>
    <w:rsid w:val="004F485F"/>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paragraph" w:styleId="BelgeBalantlar">
    <w:name w:val="Document Map"/>
    <w:basedOn w:val="Normal"/>
    <w:link w:val="BelgeBalantlarChar"/>
    <w:uiPriority w:val="99"/>
    <w:semiHidden/>
    <w:unhideWhenUsed/>
    <w:rsid w:val="001D5FC1"/>
    <w:pPr>
      <w:spacing w:after="0" w:line="240" w:lineRule="auto"/>
    </w:pPr>
    <w:rPr>
      <w:rFonts w:ascii="Tahoma" w:hAnsi="Tahoma" w:cs="Tahoma"/>
      <w:sz w:val="16"/>
      <w:szCs w:val="16"/>
    </w:rPr>
  </w:style>
  <w:style w:type="character" w:customStyle="1" w:styleId="BelgeBalantlarChar">
    <w:name w:val="Belge Bağlantıları Char"/>
    <w:basedOn w:val="VarsaylanParagrafYazTipi"/>
    <w:link w:val="BelgeBalantlar"/>
    <w:uiPriority w:val="99"/>
    <w:semiHidden/>
    <w:rsid w:val="001D5FC1"/>
    <w:rPr>
      <w:rFonts w:ascii="Tahoma" w:eastAsia="Calibri" w:hAnsi="Tahoma" w:cs="Tahoma"/>
      <w:sz w:val="16"/>
      <w:szCs w:val="16"/>
    </w:rPr>
  </w:style>
  <w:style w:type="paragraph" w:styleId="ekillerTablosu">
    <w:name w:val="table of figures"/>
    <w:basedOn w:val="Normal"/>
    <w:next w:val="Normal"/>
    <w:uiPriority w:val="99"/>
    <w:unhideWhenUsed/>
    <w:rsid w:val="00F4087E"/>
    <w:pPr>
      <w:spacing w:after="0"/>
    </w:pPr>
  </w:style>
  <w:style w:type="character" w:styleId="Vurgu">
    <w:name w:val="Emphasis"/>
    <w:basedOn w:val="VarsaylanParagrafYazTipi"/>
    <w:uiPriority w:val="20"/>
    <w:qFormat/>
    <w:rsid w:val="005C0EDA"/>
    <w:rPr>
      <w:i/>
      <w:iCs/>
    </w:rPr>
  </w:style>
  <w:style w:type="paragraph" w:styleId="Alnt">
    <w:name w:val="Quote"/>
    <w:basedOn w:val="Normal"/>
    <w:next w:val="Normal"/>
    <w:link w:val="AlntChar"/>
    <w:uiPriority w:val="29"/>
    <w:qFormat/>
    <w:rsid w:val="005C0EDA"/>
    <w:rPr>
      <w:i/>
      <w:iCs/>
      <w:color w:val="000000" w:themeColor="text1"/>
    </w:rPr>
  </w:style>
  <w:style w:type="character" w:customStyle="1" w:styleId="AlntChar">
    <w:name w:val="Alıntı Char"/>
    <w:basedOn w:val="VarsaylanParagrafYazTipi"/>
    <w:link w:val="Alnt"/>
    <w:uiPriority w:val="29"/>
    <w:rsid w:val="005C0EDA"/>
    <w:rPr>
      <w:rFonts w:ascii="Calibri" w:eastAsia="Calibri" w:hAnsi="Calibri" w:cs="Times New Roman"/>
      <w:i/>
      <w:iCs/>
      <w:color w:val="000000" w:themeColor="text1"/>
    </w:rPr>
  </w:style>
  <w:style w:type="paragraph" w:styleId="GlAlnt">
    <w:name w:val="Intense Quote"/>
    <w:basedOn w:val="Normal"/>
    <w:next w:val="Normal"/>
    <w:link w:val="GlAlntChar"/>
    <w:uiPriority w:val="30"/>
    <w:qFormat/>
    <w:rsid w:val="005C0EDA"/>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5C0EDA"/>
    <w:rPr>
      <w:rFonts w:ascii="Calibri" w:eastAsia="Calibri" w:hAnsi="Calibri" w:cs="Times New Roman"/>
      <w:b/>
      <w:bCs/>
      <w:i/>
      <w:iCs/>
      <w:color w:val="4F81BD" w:themeColor="accent1"/>
    </w:rPr>
  </w:style>
  <w:style w:type="paragraph" w:customStyle="1" w:styleId="Metin">
    <w:name w:val="Metin"/>
    <w:rsid w:val="00661E36"/>
    <w:pPr>
      <w:tabs>
        <w:tab w:val="left" w:pos="566"/>
      </w:tabs>
      <w:spacing w:after="0" w:line="240" w:lineRule="auto"/>
      <w:ind w:firstLine="566"/>
      <w:jc w:val="both"/>
    </w:pPr>
    <w:rPr>
      <w:rFonts w:ascii="Times New Roman" w:eastAsia="Times New Roman" w:hAnsi="Times New Roman" w:cs="Times New Roman"/>
      <w:sz w:val="19"/>
      <w:szCs w:val="20"/>
      <w:lang w:eastAsia="tr-TR"/>
    </w:rPr>
  </w:style>
  <w:style w:type="paragraph" w:customStyle="1" w:styleId="nor">
    <w:name w:val="nor"/>
    <w:basedOn w:val="Normal"/>
    <w:rsid w:val="009A2537"/>
    <w:pPr>
      <w:spacing w:after="0" w:line="240" w:lineRule="auto"/>
    </w:pPr>
    <w:rPr>
      <w:rFonts w:ascii="New York" w:eastAsia="Times New Roman" w:hAnsi="New York"/>
      <w:sz w:val="18"/>
      <w:szCs w:val="18"/>
      <w:lang w:eastAsia="tr-TR"/>
    </w:rPr>
  </w:style>
  <w:style w:type="paragraph" w:customStyle="1" w:styleId="Default">
    <w:name w:val="Default"/>
    <w:rsid w:val="000276C9"/>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Gvdemetni5talikdeil">
    <w:name w:val="Gövde metni (5) + İtalik değil"/>
    <w:basedOn w:val="VarsaylanParagrafYazTipi"/>
    <w:rsid w:val="005A07F2"/>
    <w:rPr>
      <w:rFonts w:ascii="Times New Roman" w:eastAsia="Times New Roman" w:hAnsi="Times New Roman" w:cs="Times New Roman" w:hint="default"/>
      <w:b w:val="0"/>
      <w:bCs w:val="0"/>
      <w:i/>
      <w:iCs/>
      <w:smallCaps w:val="0"/>
      <w:strike w:val="0"/>
      <w:dstrike w:val="0"/>
      <w:color w:val="000000"/>
      <w:spacing w:val="0"/>
      <w:w w:val="100"/>
      <w:position w:val="0"/>
      <w:sz w:val="18"/>
      <w:szCs w:val="18"/>
      <w:u w:val="none"/>
      <w:effect w:val="none"/>
      <w:lang w:val="tr-TR" w:eastAsia="tr-TR" w:bidi="tr-TR"/>
    </w:rPr>
  </w:style>
  <w:style w:type="paragraph" w:styleId="SonNotMetni">
    <w:name w:val="endnote text"/>
    <w:basedOn w:val="Normal"/>
    <w:link w:val="SonNotMetniChar"/>
    <w:uiPriority w:val="99"/>
    <w:semiHidden/>
    <w:unhideWhenUsed/>
    <w:rsid w:val="005E03A1"/>
    <w:pPr>
      <w:spacing w:after="0" w:line="240" w:lineRule="auto"/>
    </w:pPr>
    <w:rPr>
      <w:sz w:val="20"/>
      <w:szCs w:val="20"/>
    </w:rPr>
  </w:style>
  <w:style w:type="character" w:customStyle="1" w:styleId="SonNotMetniChar">
    <w:name w:val="Son Not Metni Char"/>
    <w:basedOn w:val="VarsaylanParagrafYazTipi"/>
    <w:link w:val="SonNotMetni"/>
    <w:uiPriority w:val="99"/>
    <w:semiHidden/>
    <w:rsid w:val="005E03A1"/>
    <w:rPr>
      <w:rFonts w:ascii="Calibri" w:eastAsia="Calibri" w:hAnsi="Calibri" w:cs="Times New Roman"/>
      <w:sz w:val="20"/>
      <w:szCs w:val="20"/>
    </w:rPr>
  </w:style>
  <w:style w:type="character" w:styleId="SonNotBavurusu">
    <w:name w:val="endnote reference"/>
    <w:basedOn w:val="VarsaylanParagrafYazTipi"/>
    <w:uiPriority w:val="99"/>
    <w:semiHidden/>
    <w:unhideWhenUsed/>
    <w:rsid w:val="005E03A1"/>
    <w:rPr>
      <w:vertAlign w:val="superscript"/>
    </w:rPr>
  </w:style>
  <w:style w:type="paragraph" w:styleId="GvdeMetni">
    <w:name w:val="Body Text"/>
    <w:basedOn w:val="Normal"/>
    <w:link w:val="GvdeMetniChar"/>
    <w:uiPriority w:val="1"/>
    <w:qFormat/>
    <w:rsid w:val="00BC3B5B"/>
    <w:pPr>
      <w:widowControl w:val="0"/>
      <w:spacing w:before="1" w:after="0" w:line="240" w:lineRule="auto"/>
      <w:ind w:left="123"/>
    </w:pPr>
    <w:rPr>
      <w:rFonts w:ascii="Times New Roman" w:eastAsia="Times New Roman" w:hAnsi="Times New Roman" w:cstheme="minorBidi"/>
      <w:sz w:val="19"/>
      <w:szCs w:val="19"/>
      <w:lang w:val="en-US"/>
    </w:rPr>
  </w:style>
  <w:style w:type="character" w:customStyle="1" w:styleId="GvdeMetniChar">
    <w:name w:val="Gövde Metni Char"/>
    <w:basedOn w:val="VarsaylanParagrafYazTipi"/>
    <w:link w:val="GvdeMetni"/>
    <w:uiPriority w:val="1"/>
    <w:rsid w:val="00BC3B5B"/>
    <w:rPr>
      <w:rFonts w:ascii="Times New Roman" w:eastAsia="Times New Roman" w:hAnsi="Times New Roman"/>
      <w:sz w:val="19"/>
      <w:szCs w:val="19"/>
      <w:lang w:val="en-US"/>
    </w:rPr>
  </w:style>
  <w:style w:type="paragraph" w:customStyle="1" w:styleId="2">
    <w:name w:val="2"/>
    <w:basedOn w:val="Normal"/>
    <w:next w:val="Normal"/>
    <w:qFormat/>
    <w:rsid w:val="006F00AF"/>
    <w:pPr>
      <w:spacing w:after="60" w:line="240" w:lineRule="auto"/>
      <w:jc w:val="center"/>
      <w:outlineLvl w:val="1"/>
    </w:pPr>
    <w:rPr>
      <w:rFonts w:ascii="Calibri Light" w:eastAsia="Times New Roman" w:hAnsi="Calibri Light"/>
      <w:sz w:val="24"/>
      <w:szCs w:val="24"/>
      <w:lang w:eastAsia="tr-TR"/>
    </w:rPr>
  </w:style>
  <w:style w:type="character" w:customStyle="1" w:styleId="AltyazChar">
    <w:name w:val="Altyazı Char"/>
    <w:link w:val="Altyaz"/>
    <w:rsid w:val="006F00AF"/>
    <w:rPr>
      <w:rFonts w:ascii="Calibri Light" w:eastAsia="Times New Roman" w:hAnsi="Calibri Light" w:cs="Times New Roman"/>
      <w:sz w:val="24"/>
      <w:szCs w:val="24"/>
    </w:rPr>
  </w:style>
  <w:style w:type="paragraph" w:styleId="Altyaz">
    <w:name w:val="Subtitle"/>
    <w:basedOn w:val="Normal"/>
    <w:next w:val="Normal"/>
    <w:link w:val="AltyazChar"/>
    <w:qFormat/>
    <w:rsid w:val="006F00AF"/>
    <w:pPr>
      <w:numPr>
        <w:ilvl w:val="1"/>
      </w:numPr>
    </w:pPr>
    <w:rPr>
      <w:rFonts w:ascii="Calibri Light" w:eastAsia="Times New Roman" w:hAnsi="Calibri Light"/>
      <w:sz w:val="24"/>
      <w:szCs w:val="24"/>
    </w:rPr>
  </w:style>
  <w:style w:type="character" w:customStyle="1" w:styleId="AltKonuBalChar">
    <w:name w:val="Alt Konu Başlığı Char"/>
    <w:basedOn w:val="VarsaylanParagrafYazTipi"/>
    <w:uiPriority w:val="11"/>
    <w:rsid w:val="006F00AF"/>
    <w:rPr>
      <w:rFonts w:asciiTheme="majorHAnsi" w:eastAsiaTheme="majorEastAsia" w:hAnsiTheme="majorHAnsi" w:cstheme="majorBidi"/>
      <w:i/>
      <w:iCs/>
      <w:color w:val="4F81BD" w:themeColor="accent1"/>
      <w:spacing w:val="15"/>
      <w:sz w:val="24"/>
      <w:szCs w:val="24"/>
    </w:rPr>
  </w:style>
  <w:style w:type="paragraph" w:customStyle="1" w:styleId="metin0">
    <w:name w:val="metin"/>
    <w:basedOn w:val="Normal"/>
    <w:rsid w:val="00D95DE5"/>
    <w:pPr>
      <w:spacing w:before="100" w:beforeAutospacing="1" w:after="100" w:afterAutospacing="1" w:line="240" w:lineRule="auto"/>
    </w:pPr>
    <w:rPr>
      <w:rFonts w:ascii="Times New Roman" w:eastAsia="Times New Roman" w:hAnsi="Times New Roman"/>
      <w:sz w:val="24"/>
      <w:szCs w:val="24"/>
      <w:lang w:eastAsia="tr-TR"/>
    </w:rPr>
  </w:style>
  <w:style w:type="table" w:customStyle="1" w:styleId="TabloKlavuzu2">
    <w:name w:val="Tablo Kılavuzu2"/>
    <w:basedOn w:val="NormalTablo"/>
    <w:next w:val="TabloKlavuzu"/>
    <w:uiPriority w:val="59"/>
    <w:rsid w:val="00140D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ltyazChar1">
    <w:name w:val="Altyazı Char1"/>
    <w:basedOn w:val="VarsaylanParagrafYazTipi"/>
    <w:uiPriority w:val="11"/>
    <w:rsid w:val="00AE0C03"/>
    <w:rPr>
      <w:rFonts w:eastAsiaTheme="minorEastAsia"/>
      <w:color w:val="5A5A5A" w:themeColor="text1" w:themeTint="A5"/>
      <w:spacing w:val="15"/>
    </w:rPr>
  </w:style>
  <w:style w:type="paragraph" w:customStyle="1" w:styleId="ortabalkbold">
    <w:name w:val="ortabalkbold"/>
    <w:basedOn w:val="Normal"/>
    <w:rsid w:val="00E21364"/>
    <w:pPr>
      <w:spacing w:before="100" w:beforeAutospacing="1" w:after="100" w:afterAutospacing="1" w:line="240" w:lineRule="auto"/>
    </w:pPr>
    <w:rPr>
      <w:rFonts w:ascii="Times New Roman" w:eastAsia="Times New Roman" w:hAnsi="Times New Roman"/>
      <w:sz w:val="24"/>
      <w:szCs w:val="24"/>
      <w:lang w:eastAsia="tr-TR"/>
    </w:rPr>
  </w:style>
  <w:style w:type="character" w:customStyle="1" w:styleId="normal1">
    <w:name w:val="normal1"/>
    <w:rsid w:val="009D309C"/>
    <w:rPr>
      <w:rFonts w:ascii="TR Arial" w:hAnsi="TR Arial" w:hint="default"/>
    </w:rPr>
  </w:style>
  <w:style w:type="character" w:customStyle="1" w:styleId="Normal10">
    <w:name w:val="Normal1"/>
    <w:rsid w:val="009D309C"/>
    <w:rPr>
      <w:rFonts w:ascii="Times New Roman" w:eastAsia="Times New Roman" w:hAnsi="Times New Roman" w:cs="Times New Roman" w:hint="default"/>
      <w:noProof w:val="0"/>
      <w:sz w:val="24"/>
      <w:lang w:val="en-GB"/>
    </w:rPr>
  </w:style>
  <w:style w:type="paragraph" w:customStyle="1" w:styleId="SectionText">
    <w:name w:val="Section Text"/>
    <w:basedOn w:val="Normal"/>
    <w:uiPriority w:val="99"/>
    <w:rsid w:val="00E30641"/>
    <w:pPr>
      <w:numPr>
        <w:ilvl w:val="3"/>
        <w:numId w:val="15"/>
      </w:numPr>
      <w:spacing w:before="120" w:after="480" w:line="240" w:lineRule="auto"/>
      <w:jc w:val="center"/>
    </w:pPr>
    <w:rPr>
      <w:rFonts w:ascii="Times New Roman" w:eastAsia="Times New Roman" w:hAnsi="Times New Roman"/>
      <w:b/>
      <w:w w:val="105"/>
      <w:sz w:val="28"/>
      <w:szCs w:val="24"/>
      <w:lang w:eastAsia="tr-TR"/>
    </w:rPr>
  </w:style>
  <w:style w:type="paragraph" w:customStyle="1" w:styleId="parheading">
    <w:name w:val="par heading"/>
    <w:basedOn w:val="Normal"/>
    <w:uiPriority w:val="99"/>
    <w:rsid w:val="00E30641"/>
    <w:pPr>
      <w:keepNext/>
      <w:numPr>
        <w:ilvl w:val="4"/>
        <w:numId w:val="15"/>
      </w:numPr>
      <w:tabs>
        <w:tab w:val="left" w:pos="720"/>
      </w:tabs>
      <w:spacing w:before="240" w:after="60" w:line="240" w:lineRule="auto"/>
    </w:pPr>
    <w:rPr>
      <w:rFonts w:ascii="Times New Roman" w:eastAsia="Times New Roman" w:hAnsi="Times New Roman"/>
      <w:b/>
      <w:w w:val="105"/>
      <w:sz w:val="24"/>
      <w:szCs w:val="24"/>
      <w:lang w:eastAsia="tr-TR"/>
    </w:rPr>
  </w:style>
  <w:style w:type="paragraph" w:customStyle="1" w:styleId="ChapterText">
    <w:name w:val="Chapter Text"/>
    <w:basedOn w:val="partext"/>
    <w:uiPriority w:val="99"/>
    <w:rsid w:val="00E30641"/>
    <w:pPr>
      <w:numPr>
        <w:ilvl w:val="1"/>
      </w:numPr>
      <w:tabs>
        <w:tab w:val="clear" w:pos="1985"/>
        <w:tab w:val="clear" w:pos="2880"/>
      </w:tabs>
      <w:spacing w:before="240" w:after="240"/>
      <w:ind w:left="1650" w:hanging="360"/>
      <w:jc w:val="center"/>
    </w:pPr>
    <w:rPr>
      <w:b/>
      <w:sz w:val="28"/>
    </w:rPr>
  </w:style>
  <w:style w:type="paragraph" w:customStyle="1" w:styleId="partext">
    <w:name w:val="par text"/>
    <w:basedOn w:val="DzMetin"/>
    <w:rsid w:val="00E30641"/>
    <w:pPr>
      <w:tabs>
        <w:tab w:val="left" w:pos="1440"/>
        <w:tab w:val="left" w:pos="1985"/>
        <w:tab w:val="left" w:pos="2880"/>
      </w:tabs>
      <w:spacing w:before="120" w:after="120"/>
      <w:ind w:left="4530" w:hanging="180"/>
    </w:pPr>
    <w:rPr>
      <w:rFonts w:ascii="Times New Roman" w:eastAsia="Times New Roman" w:hAnsi="Times New Roman" w:cs="Times New Roman"/>
      <w:w w:val="105"/>
      <w:sz w:val="24"/>
      <w:szCs w:val="20"/>
      <w:lang w:val="x-none" w:eastAsia="x-none"/>
    </w:rPr>
  </w:style>
  <w:style w:type="paragraph" w:styleId="DzMetin">
    <w:name w:val="Plain Text"/>
    <w:basedOn w:val="Normal"/>
    <w:link w:val="DzMetinChar"/>
    <w:uiPriority w:val="99"/>
    <w:unhideWhenUsed/>
    <w:rsid w:val="00E30641"/>
    <w:pPr>
      <w:spacing w:after="0" w:line="240" w:lineRule="auto"/>
    </w:pPr>
    <w:rPr>
      <w:rFonts w:ascii="Consolas" w:hAnsi="Consolas" w:cs="Consolas"/>
      <w:sz w:val="21"/>
      <w:szCs w:val="21"/>
    </w:rPr>
  </w:style>
  <w:style w:type="character" w:customStyle="1" w:styleId="DzMetinChar">
    <w:name w:val="Düz Metin Char"/>
    <w:basedOn w:val="VarsaylanParagrafYazTipi"/>
    <w:link w:val="DzMetin"/>
    <w:uiPriority w:val="99"/>
    <w:rsid w:val="00E30641"/>
    <w:rPr>
      <w:rFonts w:ascii="Consolas" w:eastAsia="Calibri" w:hAnsi="Consolas" w:cs="Consolas"/>
      <w:sz w:val="21"/>
      <w:szCs w:val="21"/>
    </w:rPr>
  </w:style>
  <w:style w:type="paragraph" w:customStyle="1" w:styleId="SectionHeading">
    <w:name w:val="Section Heading"/>
    <w:basedOn w:val="SectionText"/>
    <w:uiPriority w:val="99"/>
    <w:rsid w:val="00E30641"/>
    <w:pPr>
      <w:keepNext/>
      <w:numPr>
        <w:ilvl w:val="0"/>
        <w:numId w:val="0"/>
      </w:numPr>
      <w:spacing w:after="240"/>
    </w:pPr>
  </w:style>
  <w:style w:type="paragraph" w:customStyle="1" w:styleId="Subpartext">
    <w:name w:val="Sub par text"/>
    <w:basedOn w:val="partext"/>
    <w:uiPriority w:val="99"/>
    <w:rsid w:val="00E30641"/>
    <w:pPr>
      <w:numPr>
        <w:ilvl w:val="6"/>
      </w:numPr>
      <w:tabs>
        <w:tab w:val="clear" w:pos="1985"/>
        <w:tab w:val="clear" w:pos="2880"/>
        <w:tab w:val="left" w:pos="720"/>
      </w:tabs>
      <w:ind w:left="5250" w:hanging="360"/>
    </w:pPr>
  </w:style>
  <w:style w:type="paragraph" w:customStyle="1" w:styleId="1">
    <w:name w:val="1"/>
    <w:basedOn w:val="Normal"/>
    <w:next w:val="AltBilgi"/>
    <w:link w:val="AltbilgiChar0"/>
    <w:uiPriority w:val="99"/>
    <w:rsid w:val="00535B26"/>
    <w:pPr>
      <w:tabs>
        <w:tab w:val="center" w:pos="4536"/>
        <w:tab w:val="right" w:pos="9072"/>
      </w:tabs>
      <w:spacing w:after="0" w:line="240" w:lineRule="auto"/>
    </w:pPr>
    <w:rPr>
      <w:rFonts w:ascii="Times New Roman" w:eastAsia="Times New Roman" w:hAnsi="Times New Roman"/>
      <w:sz w:val="24"/>
      <w:szCs w:val="24"/>
      <w:lang w:eastAsia="tr-TR"/>
    </w:rPr>
  </w:style>
  <w:style w:type="character" w:customStyle="1" w:styleId="AltbilgiChar0">
    <w:name w:val="Altbilgi Char"/>
    <w:link w:val="1"/>
    <w:uiPriority w:val="99"/>
    <w:rsid w:val="00535B26"/>
    <w:rPr>
      <w:rFonts w:ascii="Times New Roman" w:eastAsia="Times New Roman" w:hAnsi="Times New Roman" w:cs="Times New Roman"/>
      <w:sz w:val="24"/>
      <w:szCs w:val="24"/>
      <w:lang w:eastAsia="tr-TR"/>
    </w:rPr>
  </w:style>
  <w:style w:type="paragraph" w:customStyle="1" w:styleId="Madde">
    <w:name w:val="Madde"/>
    <w:basedOn w:val="Normal"/>
    <w:rsid w:val="00CB62D2"/>
    <w:pPr>
      <w:tabs>
        <w:tab w:val="left" w:pos="369"/>
      </w:tabs>
      <w:spacing w:before="360" w:after="0" w:line="240" w:lineRule="auto"/>
      <w:ind w:firstLine="720"/>
    </w:pPr>
    <w:rPr>
      <w:rFonts w:ascii="Times New Roman" w:eastAsia="Times New Roman" w:hAnsi="Times New Roman"/>
      <w:b/>
      <w:bCs/>
      <w:color w:val="000000"/>
      <w:sz w:val="24"/>
      <w:szCs w:val="24"/>
    </w:rPr>
  </w:style>
  <w:style w:type="character" w:customStyle="1" w:styleId="komperdodano">
    <w:name w:val="komperdodano"/>
    <w:basedOn w:val="VarsaylanParagrafYazTipi"/>
    <w:rsid w:val="00173986"/>
  </w:style>
  <w:style w:type="character" w:customStyle="1" w:styleId="komperzbrisano">
    <w:name w:val="komperzbrisano"/>
    <w:basedOn w:val="VarsaylanParagrafYazTipi"/>
    <w:rsid w:val="00BE183D"/>
  </w:style>
  <w:style w:type="paragraph" w:customStyle="1" w:styleId="article-paragraph">
    <w:name w:val="article-paragraph"/>
    <w:basedOn w:val="Normal"/>
    <w:rsid w:val="00F922DE"/>
    <w:pPr>
      <w:spacing w:before="100" w:beforeAutospacing="1" w:after="100" w:afterAutospacing="1" w:line="240" w:lineRule="auto"/>
      <w:jc w:val="left"/>
    </w:pPr>
    <w:rPr>
      <w:rFonts w:ascii="Times New Roman" w:eastAsia="Times New Roman" w:hAnsi="Times New Roman"/>
      <w:sz w:val="24"/>
      <w:szCs w:val="24"/>
      <w:lang w:eastAsia="tr-TR"/>
    </w:rPr>
  </w:style>
  <w:style w:type="character" w:customStyle="1" w:styleId="highlighted">
    <w:name w:val="highlighted"/>
    <w:basedOn w:val="VarsaylanParagrafYazTipi"/>
    <w:rsid w:val="007B72E6"/>
  </w:style>
  <w:style w:type="paragraph" w:customStyle="1" w:styleId="article-alinea">
    <w:name w:val="article-alinea"/>
    <w:basedOn w:val="Normal"/>
    <w:rsid w:val="007B72E6"/>
    <w:pPr>
      <w:spacing w:before="100" w:beforeAutospacing="1" w:after="100" w:afterAutospacing="1" w:line="240" w:lineRule="auto"/>
      <w:jc w:val="left"/>
    </w:pPr>
    <w:rPr>
      <w:rFonts w:ascii="Times New Roman" w:eastAsia="Times New Roman" w:hAnsi="Times New Roman"/>
      <w:sz w:val="24"/>
      <w:szCs w:val="24"/>
      <w:lang w:eastAsia="tr-TR"/>
    </w:rPr>
  </w:style>
  <w:style w:type="table" w:customStyle="1" w:styleId="TableNormal">
    <w:name w:val="Table Normal"/>
    <w:uiPriority w:val="2"/>
    <w:semiHidden/>
    <w:unhideWhenUsed/>
    <w:qFormat/>
    <w:rsid w:val="002C3099"/>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C3099"/>
    <w:pPr>
      <w:widowControl w:val="0"/>
      <w:spacing w:after="0" w:line="240" w:lineRule="auto"/>
      <w:jc w:val="left"/>
    </w:pPr>
    <w:rPr>
      <w:rFonts w:eastAsiaTheme="minorHAnsi" w:cstheme="minorBidi"/>
      <w:lang w:val="en-US"/>
    </w:rPr>
  </w:style>
  <w:style w:type="table" w:customStyle="1" w:styleId="TableNormal2">
    <w:name w:val="Table Normal2"/>
    <w:uiPriority w:val="2"/>
    <w:semiHidden/>
    <w:unhideWhenUsed/>
    <w:qFormat/>
    <w:rsid w:val="002C3099"/>
    <w:pPr>
      <w:widowControl w:val="0"/>
      <w:spacing w:after="0" w:line="240" w:lineRule="auto"/>
    </w:pPr>
    <w:rPr>
      <w:lang w:val="en-US"/>
    </w:rPr>
    <w:tblPr>
      <w:tblInd w:w="0" w:type="dxa"/>
      <w:tblCellMar>
        <w:top w:w="0" w:type="dxa"/>
        <w:left w:w="0" w:type="dxa"/>
        <w:bottom w:w="0" w:type="dxa"/>
        <w:right w:w="0" w:type="dxa"/>
      </w:tblCellMar>
    </w:tblPr>
  </w:style>
  <w:style w:type="character" w:customStyle="1" w:styleId="zmlenmeyenBahsetme1">
    <w:name w:val="Çözümlenmeyen Bahsetme1"/>
    <w:basedOn w:val="VarsaylanParagrafYazTipi"/>
    <w:uiPriority w:val="99"/>
    <w:semiHidden/>
    <w:unhideWhenUsed/>
    <w:rsid w:val="00DB1D44"/>
    <w:rPr>
      <w:color w:val="605E5C"/>
      <w:shd w:val="clear" w:color="auto" w:fill="E1DFDD"/>
    </w:rPr>
  </w:style>
  <w:style w:type="character" w:customStyle="1" w:styleId="zmlenmeyenBahsetme2">
    <w:name w:val="Çözümlenmeyen Bahsetme2"/>
    <w:basedOn w:val="VarsaylanParagrafYazTipi"/>
    <w:uiPriority w:val="99"/>
    <w:semiHidden/>
    <w:unhideWhenUsed/>
    <w:rsid w:val="00850B5D"/>
    <w:rPr>
      <w:color w:val="605E5C"/>
      <w:shd w:val="clear" w:color="auto" w:fill="E1DFDD"/>
    </w:rPr>
  </w:style>
  <w:style w:type="table" w:customStyle="1" w:styleId="TabloKlavuzu3">
    <w:name w:val="Tablo Kılavuzu3"/>
    <w:basedOn w:val="NormalTablo"/>
    <w:next w:val="TabloKlavuzu"/>
    <w:uiPriority w:val="39"/>
    <w:rsid w:val="00D810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
    <w:name w:val="Tablo Kılavuzu4"/>
    <w:basedOn w:val="NormalTablo"/>
    <w:next w:val="TabloKlavuzu"/>
    <w:uiPriority w:val="39"/>
    <w:rsid w:val="00D810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1C2BBC"/>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7E7375"/>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oKlavuzu41">
    <w:name w:val="Tablo Kılavuzu41"/>
    <w:basedOn w:val="NormalTablo"/>
    <w:next w:val="TabloKlavuzu"/>
    <w:uiPriority w:val="39"/>
    <w:rsid w:val="00F57D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
    <w:name w:val="Tablo Kılavuzu31"/>
    <w:basedOn w:val="NormalTablo"/>
    <w:next w:val="TabloKlavuzu"/>
    <w:uiPriority w:val="39"/>
    <w:rsid w:val="00F57D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0">
    <w:name w:val="Tablo Kılavuzu120"/>
    <w:basedOn w:val="NormalTablo"/>
    <w:next w:val="TabloKlavuzu"/>
    <w:uiPriority w:val="59"/>
    <w:rsid w:val="00AE58D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mlenmeyenBahsetme3">
    <w:name w:val="Çözümlenmeyen Bahsetme3"/>
    <w:basedOn w:val="VarsaylanParagrafYazTipi"/>
    <w:uiPriority w:val="99"/>
    <w:semiHidden/>
    <w:unhideWhenUsed/>
    <w:rsid w:val="00A12CD5"/>
    <w:rPr>
      <w:color w:val="605E5C"/>
      <w:shd w:val="clear" w:color="auto" w:fill="E1DFDD"/>
    </w:rPr>
  </w:style>
  <w:style w:type="character" w:customStyle="1" w:styleId="zmlenmeyenBahsetme4">
    <w:name w:val="Çözümlenmeyen Bahsetme4"/>
    <w:basedOn w:val="VarsaylanParagrafYazTipi"/>
    <w:uiPriority w:val="99"/>
    <w:semiHidden/>
    <w:unhideWhenUsed/>
    <w:rsid w:val="00E15B8B"/>
    <w:rPr>
      <w:color w:val="605E5C"/>
      <w:shd w:val="clear" w:color="auto" w:fill="E1DFDD"/>
    </w:rPr>
  </w:style>
  <w:style w:type="character" w:styleId="zmlenmeyenBahsetme">
    <w:name w:val="Unresolved Mention"/>
    <w:basedOn w:val="VarsaylanParagrafYazTipi"/>
    <w:uiPriority w:val="99"/>
    <w:semiHidden/>
    <w:unhideWhenUsed/>
    <w:rsid w:val="00B35DE1"/>
    <w:rPr>
      <w:color w:val="605E5C"/>
      <w:shd w:val="clear" w:color="auto" w:fill="E1DFDD"/>
    </w:rPr>
  </w:style>
  <w:style w:type="table" w:customStyle="1" w:styleId="TabloKlavuzu127">
    <w:name w:val="Tablo Kılavuzu127"/>
    <w:basedOn w:val="NormalTablo"/>
    <w:next w:val="TabloKlavuzu"/>
    <w:uiPriority w:val="59"/>
    <w:rsid w:val="008A289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
    <w:name w:val="Tablo Kılavuzu11"/>
    <w:basedOn w:val="NormalTablo"/>
    <w:uiPriority w:val="59"/>
    <w:rsid w:val="000A369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
    <w:name w:val="Table Normal32"/>
    <w:uiPriority w:val="2"/>
    <w:semiHidden/>
    <w:unhideWhenUsed/>
    <w:qFormat/>
    <w:rsid w:val="00CA62D9"/>
    <w:pPr>
      <w:widowControl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508">
      <w:bodyDiv w:val="1"/>
      <w:marLeft w:val="0"/>
      <w:marRight w:val="0"/>
      <w:marTop w:val="0"/>
      <w:marBottom w:val="0"/>
      <w:divBdr>
        <w:top w:val="none" w:sz="0" w:space="0" w:color="auto"/>
        <w:left w:val="none" w:sz="0" w:space="0" w:color="auto"/>
        <w:bottom w:val="none" w:sz="0" w:space="0" w:color="auto"/>
        <w:right w:val="none" w:sz="0" w:space="0" w:color="auto"/>
      </w:divBdr>
    </w:div>
    <w:div w:id="2979035">
      <w:bodyDiv w:val="1"/>
      <w:marLeft w:val="0"/>
      <w:marRight w:val="0"/>
      <w:marTop w:val="0"/>
      <w:marBottom w:val="0"/>
      <w:divBdr>
        <w:top w:val="none" w:sz="0" w:space="0" w:color="auto"/>
        <w:left w:val="none" w:sz="0" w:space="0" w:color="auto"/>
        <w:bottom w:val="none" w:sz="0" w:space="0" w:color="auto"/>
        <w:right w:val="none" w:sz="0" w:space="0" w:color="auto"/>
      </w:divBdr>
    </w:div>
    <w:div w:id="5909618">
      <w:bodyDiv w:val="1"/>
      <w:marLeft w:val="0"/>
      <w:marRight w:val="0"/>
      <w:marTop w:val="0"/>
      <w:marBottom w:val="0"/>
      <w:divBdr>
        <w:top w:val="none" w:sz="0" w:space="0" w:color="auto"/>
        <w:left w:val="none" w:sz="0" w:space="0" w:color="auto"/>
        <w:bottom w:val="none" w:sz="0" w:space="0" w:color="auto"/>
        <w:right w:val="none" w:sz="0" w:space="0" w:color="auto"/>
      </w:divBdr>
    </w:div>
    <w:div w:id="12463620">
      <w:bodyDiv w:val="1"/>
      <w:marLeft w:val="0"/>
      <w:marRight w:val="0"/>
      <w:marTop w:val="0"/>
      <w:marBottom w:val="0"/>
      <w:divBdr>
        <w:top w:val="none" w:sz="0" w:space="0" w:color="auto"/>
        <w:left w:val="none" w:sz="0" w:space="0" w:color="auto"/>
        <w:bottom w:val="none" w:sz="0" w:space="0" w:color="auto"/>
        <w:right w:val="none" w:sz="0" w:space="0" w:color="auto"/>
      </w:divBdr>
    </w:div>
    <w:div w:id="18707683">
      <w:bodyDiv w:val="1"/>
      <w:marLeft w:val="0"/>
      <w:marRight w:val="0"/>
      <w:marTop w:val="0"/>
      <w:marBottom w:val="0"/>
      <w:divBdr>
        <w:top w:val="none" w:sz="0" w:space="0" w:color="auto"/>
        <w:left w:val="none" w:sz="0" w:space="0" w:color="auto"/>
        <w:bottom w:val="none" w:sz="0" w:space="0" w:color="auto"/>
        <w:right w:val="none" w:sz="0" w:space="0" w:color="auto"/>
      </w:divBdr>
    </w:div>
    <w:div w:id="20059412">
      <w:bodyDiv w:val="1"/>
      <w:marLeft w:val="0"/>
      <w:marRight w:val="0"/>
      <w:marTop w:val="0"/>
      <w:marBottom w:val="0"/>
      <w:divBdr>
        <w:top w:val="none" w:sz="0" w:space="0" w:color="auto"/>
        <w:left w:val="none" w:sz="0" w:space="0" w:color="auto"/>
        <w:bottom w:val="none" w:sz="0" w:space="0" w:color="auto"/>
        <w:right w:val="none" w:sz="0" w:space="0" w:color="auto"/>
      </w:divBdr>
    </w:div>
    <w:div w:id="23142999">
      <w:bodyDiv w:val="1"/>
      <w:marLeft w:val="0"/>
      <w:marRight w:val="0"/>
      <w:marTop w:val="0"/>
      <w:marBottom w:val="0"/>
      <w:divBdr>
        <w:top w:val="none" w:sz="0" w:space="0" w:color="auto"/>
        <w:left w:val="none" w:sz="0" w:space="0" w:color="auto"/>
        <w:bottom w:val="none" w:sz="0" w:space="0" w:color="auto"/>
        <w:right w:val="none" w:sz="0" w:space="0" w:color="auto"/>
      </w:divBdr>
      <w:divsChild>
        <w:div w:id="457993327">
          <w:marLeft w:val="547"/>
          <w:marRight w:val="0"/>
          <w:marTop w:val="96"/>
          <w:marBottom w:val="0"/>
          <w:divBdr>
            <w:top w:val="none" w:sz="0" w:space="0" w:color="auto"/>
            <w:left w:val="none" w:sz="0" w:space="0" w:color="auto"/>
            <w:bottom w:val="none" w:sz="0" w:space="0" w:color="auto"/>
            <w:right w:val="none" w:sz="0" w:space="0" w:color="auto"/>
          </w:divBdr>
        </w:div>
      </w:divsChild>
    </w:div>
    <w:div w:id="27725066">
      <w:bodyDiv w:val="1"/>
      <w:marLeft w:val="0"/>
      <w:marRight w:val="0"/>
      <w:marTop w:val="0"/>
      <w:marBottom w:val="0"/>
      <w:divBdr>
        <w:top w:val="none" w:sz="0" w:space="0" w:color="auto"/>
        <w:left w:val="none" w:sz="0" w:space="0" w:color="auto"/>
        <w:bottom w:val="none" w:sz="0" w:space="0" w:color="auto"/>
        <w:right w:val="none" w:sz="0" w:space="0" w:color="auto"/>
      </w:divBdr>
    </w:div>
    <w:div w:id="29457766">
      <w:bodyDiv w:val="1"/>
      <w:marLeft w:val="0"/>
      <w:marRight w:val="0"/>
      <w:marTop w:val="0"/>
      <w:marBottom w:val="0"/>
      <w:divBdr>
        <w:top w:val="none" w:sz="0" w:space="0" w:color="auto"/>
        <w:left w:val="none" w:sz="0" w:space="0" w:color="auto"/>
        <w:bottom w:val="none" w:sz="0" w:space="0" w:color="auto"/>
        <w:right w:val="none" w:sz="0" w:space="0" w:color="auto"/>
      </w:divBdr>
      <w:divsChild>
        <w:div w:id="29696009">
          <w:marLeft w:val="0"/>
          <w:marRight w:val="0"/>
          <w:marTop w:val="0"/>
          <w:marBottom w:val="0"/>
          <w:divBdr>
            <w:top w:val="none" w:sz="0" w:space="0" w:color="auto"/>
            <w:left w:val="none" w:sz="0" w:space="0" w:color="auto"/>
            <w:bottom w:val="none" w:sz="0" w:space="0" w:color="auto"/>
            <w:right w:val="none" w:sz="0" w:space="0" w:color="auto"/>
          </w:divBdr>
        </w:div>
        <w:div w:id="217514604">
          <w:marLeft w:val="0"/>
          <w:marRight w:val="0"/>
          <w:marTop w:val="0"/>
          <w:marBottom w:val="0"/>
          <w:divBdr>
            <w:top w:val="none" w:sz="0" w:space="0" w:color="auto"/>
            <w:left w:val="none" w:sz="0" w:space="0" w:color="auto"/>
            <w:bottom w:val="none" w:sz="0" w:space="0" w:color="auto"/>
            <w:right w:val="none" w:sz="0" w:space="0" w:color="auto"/>
          </w:divBdr>
        </w:div>
        <w:div w:id="326833954">
          <w:marLeft w:val="0"/>
          <w:marRight w:val="0"/>
          <w:marTop w:val="0"/>
          <w:marBottom w:val="0"/>
          <w:divBdr>
            <w:top w:val="none" w:sz="0" w:space="0" w:color="auto"/>
            <w:left w:val="none" w:sz="0" w:space="0" w:color="auto"/>
            <w:bottom w:val="none" w:sz="0" w:space="0" w:color="auto"/>
            <w:right w:val="none" w:sz="0" w:space="0" w:color="auto"/>
          </w:divBdr>
        </w:div>
        <w:div w:id="775565092">
          <w:marLeft w:val="0"/>
          <w:marRight w:val="0"/>
          <w:marTop w:val="0"/>
          <w:marBottom w:val="0"/>
          <w:divBdr>
            <w:top w:val="none" w:sz="0" w:space="0" w:color="auto"/>
            <w:left w:val="none" w:sz="0" w:space="0" w:color="auto"/>
            <w:bottom w:val="none" w:sz="0" w:space="0" w:color="auto"/>
            <w:right w:val="none" w:sz="0" w:space="0" w:color="auto"/>
          </w:divBdr>
        </w:div>
        <w:div w:id="1080323742">
          <w:marLeft w:val="0"/>
          <w:marRight w:val="0"/>
          <w:marTop w:val="0"/>
          <w:marBottom w:val="0"/>
          <w:divBdr>
            <w:top w:val="none" w:sz="0" w:space="0" w:color="auto"/>
            <w:left w:val="none" w:sz="0" w:space="0" w:color="auto"/>
            <w:bottom w:val="none" w:sz="0" w:space="0" w:color="auto"/>
            <w:right w:val="none" w:sz="0" w:space="0" w:color="auto"/>
          </w:divBdr>
        </w:div>
        <w:div w:id="1597135349">
          <w:marLeft w:val="0"/>
          <w:marRight w:val="0"/>
          <w:marTop w:val="0"/>
          <w:marBottom w:val="0"/>
          <w:divBdr>
            <w:top w:val="none" w:sz="0" w:space="0" w:color="auto"/>
            <w:left w:val="none" w:sz="0" w:space="0" w:color="auto"/>
            <w:bottom w:val="none" w:sz="0" w:space="0" w:color="auto"/>
            <w:right w:val="none" w:sz="0" w:space="0" w:color="auto"/>
          </w:divBdr>
        </w:div>
      </w:divsChild>
    </w:div>
    <w:div w:id="30081600">
      <w:bodyDiv w:val="1"/>
      <w:marLeft w:val="0"/>
      <w:marRight w:val="0"/>
      <w:marTop w:val="0"/>
      <w:marBottom w:val="0"/>
      <w:divBdr>
        <w:top w:val="none" w:sz="0" w:space="0" w:color="auto"/>
        <w:left w:val="none" w:sz="0" w:space="0" w:color="auto"/>
        <w:bottom w:val="none" w:sz="0" w:space="0" w:color="auto"/>
        <w:right w:val="none" w:sz="0" w:space="0" w:color="auto"/>
      </w:divBdr>
    </w:div>
    <w:div w:id="32779621">
      <w:bodyDiv w:val="1"/>
      <w:marLeft w:val="0"/>
      <w:marRight w:val="0"/>
      <w:marTop w:val="0"/>
      <w:marBottom w:val="0"/>
      <w:divBdr>
        <w:top w:val="none" w:sz="0" w:space="0" w:color="auto"/>
        <w:left w:val="none" w:sz="0" w:space="0" w:color="auto"/>
        <w:bottom w:val="none" w:sz="0" w:space="0" w:color="auto"/>
        <w:right w:val="none" w:sz="0" w:space="0" w:color="auto"/>
      </w:divBdr>
      <w:divsChild>
        <w:div w:id="1041247635">
          <w:marLeft w:val="0"/>
          <w:marRight w:val="0"/>
          <w:marTop w:val="120"/>
          <w:marBottom w:val="120"/>
          <w:divBdr>
            <w:top w:val="none" w:sz="0" w:space="0" w:color="auto"/>
            <w:left w:val="none" w:sz="0" w:space="0" w:color="auto"/>
            <w:bottom w:val="none" w:sz="0" w:space="0" w:color="auto"/>
            <w:right w:val="none" w:sz="0" w:space="0" w:color="auto"/>
          </w:divBdr>
        </w:div>
      </w:divsChild>
    </w:div>
    <w:div w:id="43603126">
      <w:bodyDiv w:val="1"/>
      <w:marLeft w:val="0"/>
      <w:marRight w:val="0"/>
      <w:marTop w:val="0"/>
      <w:marBottom w:val="0"/>
      <w:divBdr>
        <w:top w:val="none" w:sz="0" w:space="0" w:color="auto"/>
        <w:left w:val="none" w:sz="0" w:space="0" w:color="auto"/>
        <w:bottom w:val="none" w:sz="0" w:space="0" w:color="auto"/>
        <w:right w:val="none" w:sz="0" w:space="0" w:color="auto"/>
      </w:divBdr>
    </w:div>
    <w:div w:id="44647851">
      <w:bodyDiv w:val="1"/>
      <w:marLeft w:val="0"/>
      <w:marRight w:val="0"/>
      <w:marTop w:val="0"/>
      <w:marBottom w:val="0"/>
      <w:divBdr>
        <w:top w:val="none" w:sz="0" w:space="0" w:color="auto"/>
        <w:left w:val="none" w:sz="0" w:space="0" w:color="auto"/>
        <w:bottom w:val="none" w:sz="0" w:space="0" w:color="auto"/>
        <w:right w:val="none" w:sz="0" w:space="0" w:color="auto"/>
      </w:divBdr>
      <w:divsChild>
        <w:div w:id="50156789">
          <w:marLeft w:val="-225"/>
          <w:marRight w:val="-225"/>
          <w:marTop w:val="0"/>
          <w:marBottom w:val="0"/>
          <w:divBdr>
            <w:top w:val="none" w:sz="0" w:space="0" w:color="auto"/>
            <w:left w:val="none" w:sz="0" w:space="0" w:color="auto"/>
            <w:bottom w:val="none" w:sz="0" w:space="0" w:color="auto"/>
            <w:right w:val="none" w:sz="0" w:space="0" w:color="auto"/>
          </w:divBdr>
        </w:div>
        <w:div w:id="453209655">
          <w:marLeft w:val="-225"/>
          <w:marRight w:val="-225"/>
          <w:marTop w:val="0"/>
          <w:marBottom w:val="0"/>
          <w:divBdr>
            <w:top w:val="none" w:sz="0" w:space="0" w:color="auto"/>
            <w:left w:val="none" w:sz="0" w:space="0" w:color="auto"/>
            <w:bottom w:val="none" w:sz="0" w:space="0" w:color="auto"/>
            <w:right w:val="none" w:sz="0" w:space="0" w:color="auto"/>
          </w:divBdr>
        </w:div>
        <w:div w:id="497623380">
          <w:marLeft w:val="-225"/>
          <w:marRight w:val="-225"/>
          <w:marTop w:val="0"/>
          <w:marBottom w:val="0"/>
          <w:divBdr>
            <w:top w:val="none" w:sz="0" w:space="0" w:color="auto"/>
            <w:left w:val="none" w:sz="0" w:space="0" w:color="auto"/>
            <w:bottom w:val="none" w:sz="0" w:space="0" w:color="auto"/>
            <w:right w:val="none" w:sz="0" w:space="0" w:color="auto"/>
          </w:divBdr>
        </w:div>
        <w:div w:id="924724278">
          <w:marLeft w:val="-225"/>
          <w:marRight w:val="-225"/>
          <w:marTop w:val="0"/>
          <w:marBottom w:val="0"/>
          <w:divBdr>
            <w:top w:val="none" w:sz="0" w:space="0" w:color="auto"/>
            <w:left w:val="none" w:sz="0" w:space="0" w:color="auto"/>
            <w:bottom w:val="none" w:sz="0" w:space="0" w:color="auto"/>
            <w:right w:val="none" w:sz="0" w:space="0" w:color="auto"/>
          </w:divBdr>
        </w:div>
        <w:div w:id="983924565">
          <w:marLeft w:val="-225"/>
          <w:marRight w:val="-225"/>
          <w:marTop w:val="0"/>
          <w:marBottom w:val="0"/>
          <w:divBdr>
            <w:top w:val="none" w:sz="0" w:space="0" w:color="auto"/>
            <w:left w:val="none" w:sz="0" w:space="0" w:color="auto"/>
            <w:bottom w:val="none" w:sz="0" w:space="0" w:color="auto"/>
            <w:right w:val="none" w:sz="0" w:space="0" w:color="auto"/>
          </w:divBdr>
        </w:div>
        <w:div w:id="1279607875">
          <w:marLeft w:val="-225"/>
          <w:marRight w:val="-225"/>
          <w:marTop w:val="0"/>
          <w:marBottom w:val="0"/>
          <w:divBdr>
            <w:top w:val="none" w:sz="0" w:space="0" w:color="auto"/>
            <w:left w:val="none" w:sz="0" w:space="0" w:color="auto"/>
            <w:bottom w:val="none" w:sz="0" w:space="0" w:color="auto"/>
            <w:right w:val="none" w:sz="0" w:space="0" w:color="auto"/>
          </w:divBdr>
        </w:div>
        <w:div w:id="1551915536">
          <w:marLeft w:val="-225"/>
          <w:marRight w:val="-225"/>
          <w:marTop w:val="0"/>
          <w:marBottom w:val="0"/>
          <w:divBdr>
            <w:top w:val="none" w:sz="0" w:space="0" w:color="auto"/>
            <w:left w:val="none" w:sz="0" w:space="0" w:color="auto"/>
            <w:bottom w:val="none" w:sz="0" w:space="0" w:color="auto"/>
            <w:right w:val="none" w:sz="0" w:space="0" w:color="auto"/>
          </w:divBdr>
        </w:div>
        <w:div w:id="1778672140">
          <w:marLeft w:val="-225"/>
          <w:marRight w:val="-225"/>
          <w:marTop w:val="0"/>
          <w:marBottom w:val="0"/>
          <w:divBdr>
            <w:top w:val="none" w:sz="0" w:space="0" w:color="auto"/>
            <w:left w:val="none" w:sz="0" w:space="0" w:color="auto"/>
            <w:bottom w:val="none" w:sz="0" w:space="0" w:color="auto"/>
            <w:right w:val="none" w:sz="0" w:space="0" w:color="auto"/>
          </w:divBdr>
        </w:div>
      </w:divsChild>
    </w:div>
    <w:div w:id="48725397">
      <w:bodyDiv w:val="1"/>
      <w:marLeft w:val="0"/>
      <w:marRight w:val="0"/>
      <w:marTop w:val="0"/>
      <w:marBottom w:val="0"/>
      <w:divBdr>
        <w:top w:val="none" w:sz="0" w:space="0" w:color="auto"/>
        <w:left w:val="none" w:sz="0" w:space="0" w:color="auto"/>
        <w:bottom w:val="none" w:sz="0" w:space="0" w:color="auto"/>
        <w:right w:val="none" w:sz="0" w:space="0" w:color="auto"/>
      </w:divBdr>
      <w:divsChild>
        <w:div w:id="17897012">
          <w:marLeft w:val="0"/>
          <w:marRight w:val="0"/>
          <w:marTop w:val="0"/>
          <w:marBottom w:val="0"/>
          <w:divBdr>
            <w:top w:val="none" w:sz="0" w:space="0" w:color="auto"/>
            <w:left w:val="none" w:sz="0" w:space="0" w:color="auto"/>
            <w:bottom w:val="none" w:sz="0" w:space="0" w:color="auto"/>
            <w:right w:val="none" w:sz="0" w:space="0" w:color="auto"/>
          </w:divBdr>
        </w:div>
        <w:div w:id="331954858">
          <w:marLeft w:val="0"/>
          <w:marRight w:val="0"/>
          <w:marTop w:val="0"/>
          <w:marBottom w:val="0"/>
          <w:divBdr>
            <w:top w:val="none" w:sz="0" w:space="0" w:color="auto"/>
            <w:left w:val="none" w:sz="0" w:space="0" w:color="auto"/>
            <w:bottom w:val="none" w:sz="0" w:space="0" w:color="auto"/>
            <w:right w:val="none" w:sz="0" w:space="0" w:color="auto"/>
          </w:divBdr>
        </w:div>
        <w:div w:id="522017464">
          <w:marLeft w:val="0"/>
          <w:marRight w:val="0"/>
          <w:marTop w:val="0"/>
          <w:marBottom w:val="0"/>
          <w:divBdr>
            <w:top w:val="none" w:sz="0" w:space="0" w:color="auto"/>
            <w:left w:val="none" w:sz="0" w:space="0" w:color="auto"/>
            <w:bottom w:val="none" w:sz="0" w:space="0" w:color="auto"/>
            <w:right w:val="none" w:sz="0" w:space="0" w:color="auto"/>
          </w:divBdr>
        </w:div>
        <w:div w:id="540098768">
          <w:marLeft w:val="0"/>
          <w:marRight w:val="0"/>
          <w:marTop w:val="0"/>
          <w:marBottom w:val="0"/>
          <w:divBdr>
            <w:top w:val="none" w:sz="0" w:space="0" w:color="auto"/>
            <w:left w:val="none" w:sz="0" w:space="0" w:color="auto"/>
            <w:bottom w:val="none" w:sz="0" w:space="0" w:color="auto"/>
            <w:right w:val="none" w:sz="0" w:space="0" w:color="auto"/>
          </w:divBdr>
        </w:div>
        <w:div w:id="626590287">
          <w:marLeft w:val="0"/>
          <w:marRight w:val="0"/>
          <w:marTop w:val="0"/>
          <w:marBottom w:val="0"/>
          <w:divBdr>
            <w:top w:val="none" w:sz="0" w:space="0" w:color="auto"/>
            <w:left w:val="none" w:sz="0" w:space="0" w:color="auto"/>
            <w:bottom w:val="none" w:sz="0" w:space="0" w:color="auto"/>
            <w:right w:val="none" w:sz="0" w:space="0" w:color="auto"/>
          </w:divBdr>
        </w:div>
        <w:div w:id="658117769">
          <w:marLeft w:val="0"/>
          <w:marRight w:val="0"/>
          <w:marTop w:val="0"/>
          <w:marBottom w:val="0"/>
          <w:divBdr>
            <w:top w:val="none" w:sz="0" w:space="0" w:color="auto"/>
            <w:left w:val="none" w:sz="0" w:space="0" w:color="auto"/>
            <w:bottom w:val="none" w:sz="0" w:space="0" w:color="auto"/>
            <w:right w:val="none" w:sz="0" w:space="0" w:color="auto"/>
          </w:divBdr>
        </w:div>
        <w:div w:id="678508136">
          <w:marLeft w:val="0"/>
          <w:marRight w:val="0"/>
          <w:marTop w:val="0"/>
          <w:marBottom w:val="0"/>
          <w:divBdr>
            <w:top w:val="none" w:sz="0" w:space="0" w:color="auto"/>
            <w:left w:val="none" w:sz="0" w:space="0" w:color="auto"/>
            <w:bottom w:val="none" w:sz="0" w:space="0" w:color="auto"/>
            <w:right w:val="none" w:sz="0" w:space="0" w:color="auto"/>
          </w:divBdr>
        </w:div>
        <w:div w:id="770709892">
          <w:marLeft w:val="0"/>
          <w:marRight w:val="0"/>
          <w:marTop w:val="0"/>
          <w:marBottom w:val="0"/>
          <w:divBdr>
            <w:top w:val="none" w:sz="0" w:space="0" w:color="auto"/>
            <w:left w:val="none" w:sz="0" w:space="0" w:color="auto"/>
            <w:bottom w:val="none" w:sz="0" w:space="0" w:color="auto"/>
            <w:right w:val="none" w:sz="0" w:space="0" w:color="auto"/>
          </w:divBdr>
        </w:div>
        <w:div w:id="929853830">
          <w:marLeft w:val="0"/>
          <w:marRight w:val="0"/>
          <w:marTop w:val="0"/>
          <w:marBottom w:val="0"/>
          <w:divBdr>
            <w:top w:val="none" w:sz="0" w:space="0" w:color="auto"/>
            <w:left w:val="none" w:sz="0" w:space="0" w:color="auto"/>
            <w:bottom w:val="none" w:sz="0" w:space="0" w:color="auto"/>
            <w:right w:val="none" w:sz="0" w:space="0" w:color="auto"/>
          </w:divBdr>
        </w:div>
        <w:div w:id="995911016">
          <w:marLeft w:val="0"/>
          <w:marRight w:val="0"/>
          <w:marTop w:val="0"/>
          <w:marBottom w:val="0"/>
          <w:divBdr>
            <w:top w:val="none" w:sz="0" w:space="0" w:color="auto"/>
            <w:left w:val="none" w:sz="0" w:space="0" w:color="auto"/>
            <w:bottom w:val="none" w:sz="0" w:space="0" w:color="auto"/>
            <w:right w:val="none" w:sz="0" w:space="0" w:color="auto"/>
          </w:divBdr>
        </w:div>
        <w:div w:id="1103066094">
          <w:marLeft w:val="0"/>
          <w:marRight w:val="0"/>
          <w:marTop w:val="0"/>
          <w:marBottom w:val="0"/>
          <w:divBdr>
            <w:top w:val="none" w:sz="0" w:space="0" w:color="auto"/>
            <w:left w:val="none" w:sz="0" w:space="0" w:color="auto"/>
            <w:bottom w:val="none" w:sz="0" w:space="0" w:color="auto"/>
            <w:right w:val="none" w:sz="0" w:space="0" w:color="auto"/>
          </w:divBdr>
        </w:div>
        <w:div w:id="1154298921">
          <w:marLeft w:val="0"/>
          <w:marRight w:val="0"/>
          <w:marTop w:val="0"/>
          <w:marBottom w:val="0"/>
          <w:divBdr>
            <w:top w:val="none" w:sz="0" w:space="0" w:color="auto"/>
            <w:left w:val="none" w:sz="0" w:space="0" w:color="auto"/>
            <w:bottom w:val="none" w:sz="0" w:space="0" w:color="auto"/>
            <w:right w:val="none" w:sz="0" w:space="0" w:color="auto"/>
          </w:divBdr>
        </w:div>
        <w:div w:id="1217863589">
          <w:marLeft w:val="0"/>
          <w:marRight w:val="0"/>
          <w:marTop w:val="0"/>
          <w:marBottom w:val="0"/>
          <w:divBdr>
            <w:top w:val="none" w:sz="0" w:space="0" w:color="auto"/>
            <w:left w:val="none" w:sz="0" w:space="0" w:color="auto"/>
            <w:bottom w:val="none" w:sz="0" w:space="0" w:color="auto"/>
            <w:right w:val="none" w:sz="0" w:space="0" w:color="auto"/>
          </w:divBdr>
        </w:div>
        <w:div w:id="1292860134">
          <w:marLeft w:val="0"/>
          <w:marRight w:val="0"/>
          <w:marTop w:val="0"/>
          <w:marBottom w:val="0"/>
          <w:divBdr>
            <w:top w:val="none" w:sz="0" w:space="0" w:color="auto"/>
            <w:left w:val="none" w:sz="0" w:space="0" w:color="auto"/>
            <w:bottom w:val="none" w:sz="0" w:space="0" w:color="auto"/>
            <w:right w:val="none" w:sz="0" w:space="0" w:color="auto"/>
          </w:divBdr>
        </w:div>
        <w:div w:id="1416895851">
          <w:marLeft w:val="0"/>
          <w:marRight w:val="0"/>
          <w:marTop w:val="0"/>
          <w:marBottom w:val="0"/>
          <w:divBdr>
            <w:top w:val="none" w:sz="0" w:space="0" w:color="auto"/>
            <w:left w:val="none" w:sz="0" w:space="0" w:color="auto"/>
            <w:bottom w:val="none" w:sz="0" w:space="0" w:color="auto"/>
            <w:right w:val="none" w:sz="0" w:space="0" w:color="auto"/>
          </w:divBdr>
        </w:div>
        <w:div w:id="1451585719">
          <w:marLeft w:val="0"/>
          <w:marRight w:val="0"/>
          <w:marTop w:val="0"/>
          <w:marBottom w:val="0"/>
          <w:divBdr>
            <w:top w:val="none" w:sz="0" w:space="0" w:color="auto"/>
            <w:left w:val="none" w:sz="0" w:space="0" w:color="auto"/>
            <w:bottom w:val="none" w:sz="0" w:space="0" w:color="auto"/>
            <w:right w:val="none" w:sz="0" w:space="0" w:color="auto"/>
          </w:divBdr>
        </w:div>
        <w:div w:id="1575505378">
          <w:marLeft w:val="0"/>
          <w:marRight w:val="0"/>
          <w:marTop w:val="0"/>
          <w:marBottom w:val="0"/>
          <w:divBdr>
            <w:top w:val="none" w:sz="0" w:space="0" w:color="auto"/>
            <w:left w:val="none" w:sz="0" w:space="0" w:color="auto"/>
            <w:bottom w:val="none" w:sz="0" w:space="0" w:color="auto"/>
            <w:right w:val="none" w:sz="0" w:space="0" w:color="auto"/>
          </w:divBdr>
        </w:div>
        <w:div w:id="1702125174">
          <w:marLeft w:val="0"/>
          <w:marRight w:val="0"/>
          <w:marTop w:val="0"/>
          <w:marBottom w:val="0"/>
          <w:divBdr>
            <w:top w:val="none" w:sz="0" w:space="0" w:color="auto"/>
            <w:left w:val="none" w:sz="0" w:space="0" w:color="auto"/>
            <w:bottom w:val="none" w:sz="0" w:space="0" w:color="auto"/>
            <w:right w:val="none" w:sz="0" w:space="0" w:color="auto"/>
          </w:divBdr>
        </w:div>
        <w:div w:id="1826168597">
          <w:marLeft w:val="0"/>
          <w:marRight w:val="0"/>
          <w:marTop w:val="0"/>
          <w:marBottom w:val="0"/>
          <w:divBdr>
            <w:top w:val="none" w:sz="0" w:space="0" w:color="auto"/>
            <w:left w:val="none" w:sz="0" w:space="0" w:color="auto"/>
            <w:bottom w:val="none" w:sz="0" w:space="0" w:color="auto"/>
            <w:right w:val="none" w:sz="0" w:space="0" w:color="auto"/>
          </w:divBdr>
        </w:div>
        <w:div w:id="1838644158">
          <w:marLeft w:val="0"/>
          <w:marRight w:val="0"/>
          <w:marTop w:val="0"/>
          <w:marBottom w:val="0"/>
          <w:divBdr>
            <w:top w:val="none" w:sz="0" w:space="0" w:color="auto"/>
            <w:left w:val="none" w:sz="0" w:space="0" w:color="auto"/>
            <w:bottom w:val="none" w:sz="0" w:space="0" w:color="auto"/>
            <w:right w:val="none" w:sz="0" w:space="0" w:color="auto"/>
          </w:divBdr>
        </w:div>
        <w:div w:id="1869291826">
          <w:marLeft w:val="0"/>
          <w:marRight w:val="0"/>
          <w:marTop w:val="0"/>
          <w:marBottom w:val="0"/>
          <w:divBdr>
            <w:top w:val="none" w:sz="0" w:space="0" w:color="auto"/>
            <w:left w:val="none" w:sz="0" w:space="0" w:color="auto"/>
            <w:bottom w:val="none" w:sz="0" w:space="0" w:color="auto"/>
            <w:right w:val="none" w:sz="0" w:space="0" w:color="auto"/>
          </w:divBdr>
        </w:div>
        <w:div w:id="1925994395">
          <w:marLeft w:val="0"/>
          <w:marRight w:val="0"/>
          <w:marTop w:val="0"/>
          <w:marBottom w:val="0"/>
          <w:divBdr>
            <w:top w:val="none" w:sz="0" w:space="0" w:color="auto"/>
            <w:left w:val="none" w:sz="0" w:space="0" w:color="auto"/>
            <w:bottom w:val="none" w:sz="0" w:space="0" w:color="auto"/>
            <w:right w:val="none" w:sz="0" w:space="0" w:color="auto"/>
          </w:divBdr>
        </w:div>
        <w:div w:id="1946384702">
          <w:marLeft w:val="0"/>
          <w:marRight w:val="0"/>
          <w:marTop w:val="0"/>
          <w:marBottom w:val="0"/>
          <w:divBdr>
            <w:top w:val="none" w:sz="0" w:space="0" w:color="auto"/>
            <w:left w:val="none" w:sz="0" w:space="0" w:color="auto"/>
            <w:bottom w:val="none" w:sz="0" w:space="0" w:color="auto"/>
            <w:right w:val="none" w:sz="0" w:space="0" w:color="auto"/>
          </w:divBdr>
        </w:div>
        <w:div w:id="1948076172">
          <w:marLeft w:val="0"/>
          <w:marRight w:val="0"/>
          <w:marTop w:val="0"/>
          <w:marBottom w:val="0"/>
          <w:divBdr>
            <w:top w:val="none" w:sz="0" w:space="0" w:color="auto"/>
            <w:left w:val="none" w:sz="0" w:space="0" w:color="auto"/>
            <w:bottom w:val="none" w:sz="0" w:space="0" w:color="auto"/>
            <w:right w:val="none" w:sz="0" w:space="0" w:color="auto"/>
          </w:divBdr>
        </w:div>
        <w:div w:id="1988431674">
          <w:marLeft w:val="0"/>
          <w:marRight w:val="0"/>
          <w:marTop w:val="0"/>
          <w:marBottom w:val="0"/>
          <w:divBdr>
            <w:top w:val="none" w:sz="0" w:space="0" w:color="auto"/>
            <w:left w:val="none" w:sz="0" w:space="0" w:color="auto"/>
            <w:bottom w:val="none" w:sz="0" w:space="0" w:color="auto"/>
            <w:right w:val="none" w:sz="0" w:space="0" w:color="auto"/>
          </w:divBdr>
        </w:div>
        <w:div w:id="2041201240">
          <w:marLeft w:val="0"/>
          <w:marRight w:val="0"/>
          <w:marTop w:val="0"/>
          <w:marBottom w:val="0"/>
          <w:divBdr>
            <w:top w:val="none" w:sz="0" w:space="0" w:color="auto"/>
            <w:left w:val="none" w:sz="0" w:space="0" w:color="auto"/>
            <w:bottom w:val="none" w:sz="0" w:space="0" w:color="auto"/>
            <w:right w:val="none" w:sz="0" w:space="0" w:color="auto"/>
          </w:divBdr>
        </w:div>
        <w:div w:id="2094156705">
          <w:marLeft w:val="0"/>
          <w:marRight w:val="0"/>
          <w:marTop w:val="0"/>
          <w:marBottom w:val="0"/>
          <w:divBdr>
            <w:top w:val="none" w:sz="0" w:space="0" w:color="auto"/>
            <w:left w:val="none" w:sz="0" w:space="0" w:color="auto"/>
            <w:bottom w:val="none" w:sz="0" w:space="0" w:color="auto"/>
            <w:right w:val="none" w:sz="0" w:space="0" w:color="auto"/>
          </w:divBdr>
        </w:div>
        <w:div w:id="2101902084">
          <w:marLeft w:val="0"/>
          <w:marRight w:val="0"/>
          <w:marTop w:val="0"/>
          <w:marBottom w:val="0"/>
          <w:divBdr>
            <w:top w:val="none" w:sz="0" w:space="0" w:color="auto"/>
            <w:left w:val="none" w:sz="0" w:space="0" w:color="auto"/>
            <w:bottom w:val="none" w:sz="0" w:space="0" w:color="auto"/>
            <w:right w:val="none" w:sz="0" w:space="0" w:color="auto"/>
          </w:divBdr>
        </w:div>
      </w:divsChild>
    </w:div>
    <w:div w:id="60913550">
      <w:bodyDiv w:val="1"/>
      <w:marLeft w:val="0"/>
      <w:marRight w:val="0"/>
      <w:marTop w:val="0"/>
      <w:marBottom w:val="0"/>
      <w:divBdr>
        <w:top w:val="none" w:sz="0" w:space="0" w:color="auto"/>
        <w:left w:val="none" w:sz="0" w:space="0" w:color="auto"/>
        <w:bottom w:val="none" w:sz="0" w:space="0" w:color="auto"/>
        <w:right w:val="none" w:sz="0" w:space="0" w:color="auto"/>
      </w:divBdr>
    </w:div>
    <w:div w:id="62721943">
      <w:bodyDiv w:val="1"/>
      <w:marLeft w:val="0"/>
      <w:marRight w:val="0"/>
      <w:marTop w:val="0"/>
      <w:marBottom w:val="0"/>
      <w:divBdr>
        <w:top w:val="none" w:sz="0" w:space="0" w:color="auto"/>
        <w:left w:val="none" w:sz="0" w:space="0" w:color="auto"/>
        <w:bottom w:val="none" w:sz="0" w:space="0" w:color="auto"/>
        <w:right w:val="none" w:sz="0" w:space="0" w:color="auto"/>
      </w:divBdr>
    </w:div>
    <w:div w:id="64186853">
      <w:bodyDiv w:val="1"/>
      <w:marLeft w:val="0"/>
      <w:marRight w:val="0"/>
      <w:marTop w:val="0"/>
      <w:marBottom w:val="0"/>
      <w:divBdr>
        <w:top w:val="none" w:sz="0" w:space="0" w:color="auto"/>
        <w:left w:val="none" w:sz="0" w:space="0" w:color="auto"/>
        <w:bottom w:val="none" w:sz="0" w:space="0" w:color="auto"/>
        <w:right w:val="none" w:sz="0" w:space="0" w:color="auto"/>
      </w:divBdr>
    </w:div>
    <w:div w:id="81683659">
      <w:bodyDiv w:val="1"/>
      <w:marLeft w:val="0"/>
      <w:marRight w:val="0"/>
      <w:marTop w:val="0"/>
      <w:marBottom w:val="0"/>
      <w:divBdr>
        <w:top w:val="none" w:sz="0" w:space="0" w:color="auto"/>
        <w:left w:val="none" w:sz="0" w:space="0" w:color="auto"/>
        <w:bottom w:val="none" w:sz="0" w:space="0" w:color="auto"/>
        <w:right w:val="none" w:sz="0" w:space="0" w:color="auto"/>
      </w:divBdr>
    </w:div>
    <w:div w:id="89745698">
      <w:bodyDiv w:val="1"/>
      <w:marLeft w:val="0"/>
      <w:marRight w:val="0"/>
      <w:marTop w:val="0"/>
      <w:marBottom w:val="0"/>
      <w:divBdr>
        <w:top w:val="none" w:sz="0" w:space="0" w:color="auto"/>
        <w:left w:val="none" w:sz="0" w:space="0" w:color="auto"/>
        <w:bottom w:val="none" w:sz="0" w:space="0" w:color="auto"/>
        <w:right w:val="none" w:sz="0" w:space="0" w:color="auto"/>
      </w:divBdr>
    </w:div>
    <w:div w:id="96994900">
      <w:bodyDiv w:val="1"/>
      <w:marLeft w:val="0"/>
      <w:marRight w:val="0"/>
      <w:marTop w:val="0"/>
      <w:marBottom w:val="0"/>
      <w:divBdr>
        <w:top w:val="none" w:sz="0" w:space="0" w:color="auto"/>
        <w:left w:val="none" w:sz="0" w:space="0" w:color="auto"/>
        <w:bottom w:val="none" w:sz="0" w:space="0" w:color="auto"/>
        <w:right w:val="none" w:sz="0" w:space="0" w:color="auto"/>
      </w:divBdr>
    </w:div>
    <w:div w:id="98262947">
      <w:bodyDiv w:val="1"/>
      <w:marLeft w:val="0"/>
      <w:marRight w:val="0"/>
      <w:marTop w:val="0"/>
      <w:marBottom w:val="0"/>
      <w:divBdr>
        <w:top w:val="none" w:sz="0" w:space="0" w:color="auto"/>
        <w:left w:val="none" w:sz="0" w:space="0" w:color="auto"/>
        <w:bottom w:val="none" w:sz="0" w:space="0" w:color="auto"/>
        <w:right w:val="none" w:sz="0" w:space="0" w:color="auto"/>
      </w:divBdr>
    </w:div>
    <w:div w:id="100036291">
      <w:bodyDiv w:val="1"/>
      <w:marLeft w:val="0"/>
      <w:marRight w:val="0"/>
      <w:marTop w:val="0"/>
      <w:marBottom w:val="0"/>
      <w:divBdr>
        <w:top w:val="none" w:sz="0" w:space="0" w:color="auto"/>
        <w:left w:val="none" w:sz="0" w:space="0" w:color="auto"/>
        <w:bottom w:val="none" w:sz="0" w:space="0" w:color="auto"/>
        <w:right w:val="none" w:sz="0" w:space="0" w:color="auto"/>
      </w:divBdr>
    </w:div>
    <w:div w:id="101998899">
      <w:bodyDiv w:val="1"/>
      <w:marLeft w:val="0"/>
      <w:marRight w:val="0"/>
      <w:marTop w:val="0"/>
      <w:marBottom w:val="0"/>
      <w:divBdr>
        <w:top w:val="none" w:sz="0" w:space="0" w:color="auto"/>
        <w:left w:val="none" w:sz="0" w:space="0" w:color="auto"/>
        <w:bottom w:val="none" w:sz="0" w:space="0" w:color="auto"/>
        <w:right w:val="none" w:sz="0" w:space="0" w:color="auto"/>
      </w:divBdr>
    </w:div>
    <w:div w:id="110784801">
      <w:bodyDiv w:val="1"/>
      <w:marLeft w:val="0"/>
      <w:marRight w:val="0"/>
      <w:marTop w:val="0"/>
      <w:marBottom w:val="0"/>
      <w:divBdr>
        <w:top w:val="none" w:sz="0" w:space="0" w:color="auto"/>
        <w:left w:val="none" w:sz="0" w:space="0" w:color="auto"/>
        <w:bottom w:val="none" w:sz="0" w:space="0" w:color="auto"/>
        <w:right w:val="none" w:sz="0" w:space="0" w:color="auto"/>
      </w:divBdr>
    </w:div>
    <w:div w:id="116262427">
      <w:bodyDiv w:val="1"/>
      <w:marLeft w:val="0"/>
      <w:marRight w:val="0"/>
      <w:marTop w:val="0"/>
      <w:marBottom w:val="0"/>
      <w:divBdr>
        <w:top w:val="none" w:sz="0" w:space="0" w:color="auto"/>
        <w:left w:val="none" w:sz="0" w:space="0" w:color="auto"/>
        <w:bottom w:val="none" w:sz="0" w:space="0" w:color="auto"/>
        <w:right w:val="none" w:sz="0" w:space="0" w:color="auto"/>
      </w:divBdr>
    </w:div>
    <w:div w:id="120390161">
      <w:bodyDiv w:val="1"/>
      <w:marLeft w:val="0"/>
      <w:marRight w:val="0"/>
      <w:marTop w:val="0"/>
      <w:marBottom w:val="0"/>
      <w:divBdr>
        <w:top w:val="none" w:sz="0" w:space="0" w:color="auto"/>
        <w:left w:val="none" w:sz="0" w:space="0" w:color="auto"/>
        <w:bottom w:val="none" w:sz="0" w:space="0" w:color="auto"/>
        <w:right w:val="none" w:sz="0" w:space="0" w:color="auto"/>
      </w:divBdr>
    </w:div>
    <w:div w:id="122311219">
      <w:bodyDiv w:val="1"/>
      <w:marLeft w:val="0"/>
      <w:marRight w:val="0"/>
      <w:marTop w:val="0"/>
      <w:marBottom w:val="0"/>
      <w:divBdr>
        <w:top w:val="none" w:sz="0" w:space="0" w:color="auto"/>
        <w:left w:val="none" w:sz="0" w:space="0" w:color="auto"/>
        <w:bottom w:val="none" w:sz="0" w:space="0" w:color="auto"/>
        <w:right w:val="none" w:sz="0" w:space="0" w:color="auto"/>
      </w:divBdr>
    </w:div>
    <w:div w:id="140390838">
      <w:bodyDiv w:val="1"/>
      <w:marLeft w:val="0"/>
      <w:marRight w:val="0"/>
      <w:marTop w:val="0"/>
      <w:marBottom w:val="0"/>
      <w:divBdr>
        <w:top w:val="none" w:sz="0" w:space="0" w:color="auto"/>
        <w:left w:val="none" w:sz="0" w:space="0" w:color="auto"/>
        <w:bottom w:val="none" w:sz="0" w:space="0" w:color="auto"/>
        <w:right w:val="none" w:sz="0" w:space="0" w:color="auto"/>
      </w:divBdr>
    </w:div>
    <w:div w:id="141773628">
      <w:bodyDiv w:val="1"/>
      <w:marLeft w:val="0"/>
      <w:marRight w:val="0"/>
      <w:marTop w:val="0"/>
      <w:marBottom w:val="0"/>
      <w:divBdr>
        <w:top w:val="none" w:sz="0" w:space="0" w:color="auto"/>
        <w:left w:val="none" w:sz="0" w:space="0" w:color="auto"/>
        <w:bottom w:val="none" w:sz="0" w:space="0" w:color="auto"/>
        <w:right w:val="none" w:sz="0" w:space="0" w:color="auto"/>
      </w:divBdr>
    </w:div>
    <w:div w:id="142740234">
      <w:bodyDiv w:val="1"/>
      <w:marLeft w:val="0"/>
      <w:marRight w:val="0"/>
      <w:marTop w:val="0"/>
      <w:marBottom w:val="0"/>
      <w:divBdr>
        <w:top w:val="none" w:sz="0" w:space="0" w:color="auto"/>
        <w:left w:val="none" w:sz="0" w:space="0" w:color="auto"/>
        <w:bottom w:val="none" w:sz="0" w:space="0" w:color="auto"/>
        <w:right w:val="none" w:sz="0" w:space="0" w:color="auto"/>
      </w:divBdr>
    </w:div>
    <w:div w:id="143356600">
      <w:bodyDiv w:val="1"/>
      <w:marLeft w:val="0"/>
      <w:marRight w:val="0"/>
      <w:marTop w:val="0"/>
      <w:marBottom w:val="0"/>
      <w:divBdr>
        <w:top w:val="none" w:sz="0" w:space="0" w:color="auto"/>
        <w:left w:val="none" w:sz="0" w:space="0" w:color="auto"/>
        <w:bottom w:val="none" w:sz="0" w:space="0" w:color="auto"/>
        <w:right w:val="none" w:sz="0" w:space="0" w:color="auto"/>
      </w:divBdr>
    </w:div>
    <w:div w:id="145896308">
      <w:bodyDiv w:val="1"/>
      <w:marLeft w:val="0"/>
      <w:marRight w:val="0"/>
      <w:marTop w:val="0"/>
      <w:marBottom w:val="0"/>
      <w:divBdr>
        <w:top w:val="none" w:sz="0" w:space="0" w:color="auto"/>
        <w:left w:val="none" w:sz="0" w:space="0" w:color="auto"/>
        <w:bottom w:val="none" w:sz="0" w:space="0" w:color="auto"/>
        <w:right w:val="none" w:sz="0" w:space="0" w:color="auto"/>
      </w:divBdr>
      <w:divsChild>
        <w:div w:id="405342746">
          <w:marLeft w:val="0"/>
          <w:marRight w:val="0"/>
          <w:marTop w:val="0"/>
          <w:marBottom w:val="0"/>
          <w:divBdr>
            <w:top w:val="none" w:sz="0" w:space="0" w:color="auto"/>
            <w:left w:val="none" w:sz="0" w:space="0" w:color="auto"/>
            <w:bottom w:val="none" w:sz="0" w:space="0" w:color="auto"/>
            <w:right w:val="none" w:sz="0" w:space="0" w:color="auto"/>
          </w:divBdr>
        </w:div>
      </w:divsChild>
    </w:div>
    <w:div w:id="150411370">
      <w:bodyDiv w:val="1"/>
      <w:marLeft w:val="0"/>
      <w:marRight w:val="0"/>
      <w:marTop w:val="0"/>
      <w:marBottom w:val="0"/>
      <w:divBdr>
        <w:top w:val="none" w:sz="0" w:space="0" w:color="auto"/>
        <w:left w:val="none" w:sz="0" w:space="0" w:color="auto"/>
        <w:bottom w:val="none" w:sz="0" w:space="0" w:color="auto"/>
        <w:right w:val="none" w:sz="0" w:space="0" w:color="auto"/>
      </w:divBdr>
    </w:div>
    <w:div w:id="151222855">
      <w:bodyDiv w:val="1"/>
      <w:marLeft w:val="0"/>
      <w:marRight w:val="0"/>
      <w:marTop w:val="0"/>
      <w:marBottom w:val="0"/>
      <w:divBdr>
        <w:top w:val="none" w:sz="0" w:space="0" w:color="auto"/>
        <w:left w:val="none" w:sz="0" w:space="0" w:color="auto"/>
        <w:bottom w:val="none" w:sz="0" w:space="0" w:color="auto"/>
        <w:right w:val="none" w:sz="0" w:space="0" w:color="auto"/>
      </w:divBdr>
    </w:div>
    <w:div w:id="163671075">
      <w:bodyDiv w:val="1"/>
      <w:marLeft w:val="0"/>
      <w:marRight w:val="0"/>
      <w:marTop w:val="0"/>
      <w:marBottom w:val="0"/>
      <w:divBdr>
        <w:top w:val="none" w:sz="0" w:space="0" w:color="auto"/>
        <w:left w:val="none" w:sz="0" w:space="0" w:color="auto"/>
        <w:bottom w:val="none" w:sz="0" w:space="0" w:color="auto"/>
        <w:right w:val="none" w:sz="0" w:space="0" w:color="auto"/>
      </w:divBdr>
    </w:div>
    <w:div w:id="179007842">
      <w:bodyDiv w:val="1"/>
      <w:marLeft w:val="0"/>
      <w:marRight w:val="0"/>
      <w:marTop w:val="0"/>
      <w:marBottom w:val="0"/>
      <w:divBdr>
        <w:top w:val="none" w:sz="0" w:space="0" w:color="auto"/>
        <w:left w:val="none" w:sz="0" w:space="0" w:color="auto"/>
        <w:bottom w:val="none" w:sz="0" w:space="0" w:color="auto"/>
        <w:right w:val="none" w:sz="0" w:space="0" w:color="auto"/>
      </w:divBdr>
    </w:div>
    <w:div w:id="188491622">
      <w:bodyDiv w:val="1"/>
      <w:marLeft w:val="0"/>
      <w:marRight w:val="0"/>
      <w:marTop w:val="0"/>
      <w:marBottom w:val="0"/>
      <w:divBdr>
        <w:top w:val="none" w:sz="0" w:space="0" w:color="auto"/>
        <w:left w:val="none" w:sz="0" w:space="0" w:color="auto"/>
        <w:bottom w:val="none" w:sz="0" w:space="0" w:color="auto"/>
        <w:right w:val="none" w:sz="0" w:space="0" w:color="auto"/>
      </w:divBdr>
    </w:div>
    <w:div w:id="193619430">
      <w:bodyDiv w:val="1"/>
      <w:marLeft w:val="0"/>
      <w:marRight w:val="0"/>
      <w:marTop w:val="0"/>
      <w:marBottom w:val="0"/>
      <w:divBdr>
        <w:top w:val="none" w:sz="0" w:space="0" w:color="auto"/>
        <w:left w:val="none" w:sz="0" w:space="0" w:color="auto"/>
        <w:bottom w:val="none" w:sz="0" w:space="0" w:color="auto"/>
        <w:right w:val="none" w:sz="0" w:space="0" w:color="auto"/>
      </w:divBdr>
      <w:divsChild>
        <w:div w:id="406999193">
          <w:marLeft w:val="-225"/>
          <w:marRight w:val="-225"/>
          <w:marTop w:val="0"/>
          <w:marBottom w:val="0"/>
          <w:divBdr>
            <w:top w:val="none" w:sz="0" w:space="0" w:color="auto"/>
            <w:left w:val="none" w:sz="0" w:space="0" w:color="auto"/>
            <w:bottom w:val="none" w:sz="0" w:space="0" w:color="auto"/>
            <w:right w:val="none" w:sz="0" w:space="0" w:color="auto"/>
          </w:divBdr>
        </w:div>
        <w:div w:id="410009204">
          <w:marLeft w:val="-225"/>
          <w:marRight w:val="-225"/>
          <w:marTop w:val="0"/>
          <w:marBottom w:val="0"/>
          <w:divBdr>
            <w:top w:val="none" w:sz="0" w:space="0" w:color="auto"/>
            <w:left w:val="none" w:sz="0" w:space="0" w:color="auto"/>
            <w:bottom w:val="none" w:sz="0" w:space="0" w:color="auto"/>
            <w:right w:val="none" w:sz="0" w:space="0" w:color="auto"/>
          </w:divBdr>
        </w:div>
        <w:div w:id="543955308">
          <w:marLeft w:val="-225"/>
          <w:marRight w:val="-225"/>
          <w:marTop w:val="0"/>
          <w:marBottom w:val="0"/>
          <w:divBdr>
            <w:top w:val="none" w:sz="0" w:space="0" w:color="auto"/>
            <w:left w:val="none" w:sz="0" w:space="0" w:color="auto"/>
            <w:bottom w:val="none" w:sz="0" w:space="0" w:color="auto"/>
            <w:right w:val="none" w:sz="0" w:space="0" w:color="auto"/>
          </w:divBdr>
        </w:div>
        <w:div w:id="725881453">
          <w:marLeft w:val="-225"/>
          <w:marRight w:val="-225"/>
          <w:marTop w:val="0"/>
          <w:marBottom w:val="0"/>
          <w:divBdr>
            <w:top w:val="none" w:sz="0" w:space="0" w:color="auto"/>
            <w:left w:val="none" w:sz="0" w:space="0" w:color="auto"/>
            <w:bottom w:val="none" w:sz="0" w:space="0" w:color="auto"/>
            <w:right w:val="none" w:sz="0" w:space="0" w:color="auto"/>
          </w:divBdr>
        </w:div>
        <w:div w:id="881134661">
          <w:marLeft w:val="-225"/>
          <w:marRight w:val="-225"/>
          <w:marTop w:val="0"/>
          <w:marBottom w:val="0"/>
          <w:divBdr>
            <w:top w:val="none" w:sz="0" w:space="0" w:color="auto"/>
            <w:left w:val="none" w:sz="0" w:space="0" w:color="auto"/>
            <w:bottom w:val="none" w:sz="0" w:space="0" w:color="auto"/>
            <w:right w:val="none" w:sz="0" w:space="0" w:color="auto"/>
          </w:divBdr>
        </w:div>
        <w:div w:id="1152334592">
          <w:marLeft w:val="-225"/>
          <w:marRight w:val="-225"/>
          <w:marTop w:val="0"/>
          <w:marBottom w:val="0"/>
          <w:divBdr>
            <w:top w:val="none" w:sz="0" w:space="0" w:color="auto"/>
            <w:left w:val="none" w:sz="0" w:space="0" w:color="auto"/>
            <w:bottom w:val="none" w:sz="0" w:space="0" w:color="auto"/>
            <w:right w:val="none" w:sz="0" w:space="0" w:color="auto"/>
          </w:divBdr>
        </w:div>
        <w:div w:id="1357658777">
          <w:marLeft w:val="-225"/>
          <w:marRight w:val="-225"/>
          <w:marTop w:val="0"/>
          <w:marBottom w:val="0"/>
          <w:divBdr>
            <w:top w:val="none" w:sz="0" w:space="0" w:color="auto"/>
            <w:left w:val="none" w:sz="0" w:space="0" w:color="auto"/>
            <w:bottom w:val="none" w:sz="0" w:space="0" w:color="auto"/>
            <w:right w:val="none" w:sz="0" w:space="0" w:color="auto"/>
          </w:divBdr>
        </w:div>
        <w:div w:id="1375153190">
          <w:marLeft w:val="-225"/>
          <w:marRight w:val="-225"/>
          <w:marTop w:val="0"/>
          <w:marBottom w:val="0"/>
          <w:divBdr>
            <w:top w:val="none" w:sz="0" w:space="0" w:color="auto"/>
            <w:left w:val="none" w:sz="0" w:space="0" w:color="auto"/>
            <w:bottom w:val="none" w:sz="0" w:space="0" w:color="auto"/>
            <w:right w:val="none" w:sz="0" w:space="0" w:color="auto"/>
          </w:divBdr>
        </w:div>
        <w:div w:id="1787580824">
          <w:marLeft w:val="-225"/>
          <w:marRight w:val="-225"/>
          <w:marTop w:val="0"/>
          <w:marBottom w:val="0"/>
          <w:divBdr>
            <w:top w:val="none" w:sz="0" w:space="0" w:color="auto"/>
            <w:left w:val="none" w:sz="0" w:space="0" w:color="auto"/>
            <w:bottom w:val="none" w:sz="0" w:space="0" w:color="auto"/>
            <w:right w:val="none" w:sz="0" w:space="0" w:color="auto"/>
          </w:divBdr>
        </w:div>
        <w:div w:id="2014527103">
          <w:marLeft w:val="-225"/>
          <w:marRight w:val="-225"/>
          <w:marTop w:val="0"/>
          <w:marBottom w:val="0"/>
          <w:divBdr>
            <w:top w:val="none" w:sz="0" w:space="0" w:color="auto"/>
            <w:left w:val="none" w:sz="0" w:space="0" w:color="auto"/>
            <w:bottom w:val="none" w:sz="0" w:space="0" w:color="auto"/>
            <w:right w:val="none" w:sz="0" w:space="0" w:color="auto"/>
          </w:divBdr>
        </w:div>
      </w:divsChild>
    </w:div>
    <w:div w:id="199629756">
      <w:bodyDiv w:val="1"/>
      <w:marLeft w:val="0"/>
      <w:marRight w:val="0"/>
      <w:marTop w:val="0"/>
      <w:marBottom w:val="0"/>
      <w:divBdr>
        <w:top w:val="none" w:sz="0" w:space="0" w:color="auto"/>
        <w:left w:val="none" w:sz="0" w:space="0" w:color="auto"/>
        <w:bottom w:val="none" w:sz="0" w:space="0" w:color="auto"/>
        <w:right w:val="none" w:sz="0" w:space="0" w:color="auto"/>
      </w:divBdr>
    </w:div>
    <w:div w:id="205334456">
      <w:bodyDiv w:val="1"/>
      <w:marLeft w:val="0"/>
      <w:marRight w:val="0"/>
      <w:marTop w:val="0"/>
      <w:marBottom w:val="0"/>
      <w:divBdr>
        <w:top w:val="none" w:sz="0" w:space="0" w:color="auto"/>
        <w:left w:val="none" w:sz="0" w:space="0" w:color="auto"/>
        <w:bottom w:val="none" w:sz="0" w:space="0" w:color="auto"/>
        <w:right w:val="none" w:sz="0" w:space="0" w:color="auto"/>
      </w:divBdr>
    </w:div>
    <w:div w:id="216596700">
      <w:bodyDiv w:val="1"/>
      <w:marLeft w:val="0"/>
      <w:marRight w:val="0"/>
      <w:marTop w:val="0"/>
      <w:marBottom w:val="0"/>
      <w:divBdr>
        <w:top w:val="none" w:sz="0" w:space="0" w:color="auto"/>
        <w:left w:val="none" w:sz="0" w:space="0" w:color="auto"/>
        <w:bottom w:val="none" w:sz="0" w:space="0" w:color="auto"/>
        <w:right w:val="none" w:sz="0" w:space="0" w:color="auto"/>
      </w:divBdr>
    </w:div>
    <w:div w:id="220798946">
      <w:bodyDiv w:val="1"/>
      <w:marLeft w:val="0"/>
      <w:marRight w:val="0"/>
      <w:marTop w:val="0"/>
      <w:marBottom w:val="0"/>
      <w:divBdr>
        <w:top w:val="none" w:sz="0" w:space="0" w:color="auto"/>
        <w:left w:val="none" w:sz="0" w:space="0" w:color="auto"/>
        <w:bottom w:val="none" w:sz="0" w:space="0" w:color="auto"/>
        <w:right w:val="none" w:sz="0" w:space="0" w:color="auto"/>
      </w:divBdr>
    </w:div>
    <w:div w:id="221336261">
      <w:bodyDiv w:val="1"/>
      <w:marLeft w:val="0"/>
      <w:marRight w:val="0"/>
      <w:marTop w:val="0"/>
      <w:marBottom w:val="0"/>
      <w:divBdr>
        <w:top w:val="none" w:sz="0" w:space="0" w:color="auto"/>
        <w:left w:val="none" w:sz="0" w:space="0" w:color="auto"/>
        <w:bottom w:val="none" w:sz="0" w:space="0" w:color="auto"/>
        <w:right w:val="none" w:sz="0" w:space="0" w:color="auto"/>
      </w:divBdr>
      <w:divsChild>
        <w:div w:id="14499420">
          <w:marLeft w:val="0"/>
          <w:marRight w:val="0"/>
          <w:marTop w:val="0"/>
          <w:marBottom w:val="0"/>
          <w:divBdr>
            <w:top w:val="none" w:sz="0" w:space="0" w:color="auto"/>
            <w:left w:val="none" w:sz="0" w:space="0" w:color="auto"/>
            <w:bottom w:val="none" w:sz="0" w:space="0" w:color="auto"/>
            <w:right w:val="none" w:sz="0" w:space="0" w:color="auto"/>
          </w:divBdr>
        </w:div>
        <w:div w:id="177935552">
          <w:marLeft w:val="0"/>
          <w:marRight w:val="0"/>
          <w:marTop w:val="0"/>
          <w:marBottom w:val="0"/>
          <w:divBdr>
            <w:top w:val="none" w:sz="0" w:space="0" w:color="auto"/>
            <w:left w:val="none" w:sz="0" w:space="0" w:color="auto"/>
            <w:bottom w:val="none" w:sz="0" w:space="0" w:color="auto"/>
            <w:right w:val="none" w:sz="0" w:space="0" w:color="auto"/>
          </w:divBdr>
        </w:div>
        <w:div w:id="207031580">
          <w:marLeft w:val="0"/>
          <w:marRight w:val="0"/>
          <w:marTop w:val="0"/>
          <w:marBottom w:val="0"/>
          <w:divBdr>
            <w:top w:val="none" w:sz="0" w:space="0" w:color="auto"/>
            <w:left w:val="none" w:sz="0" w:space="0" w:color="auto"/>
            <w:bottom w:val="none" w:sz="0" w:space="0" w:color="auto"/>
            <w:right w:val="none" w:sz="0" w:space="0" w:color="auto"/>
          </w:divBdr>
        </w:div>
        <w:div w:id="672950733">
          <w:marLeft w:val="0"/>
          <w:marRight w:val="0"/>
          <w:marTop w:val="0"/>
          <w:marBottom w:val="0"/>
          <w:divBdr>
            <w:top w:val="none" w:sz="0" w:space="0" w:color="auto"/>
            <w:left w:val="none" w:sz="0" w:space="0" w:color="auto"/>
            <w:bottom w:val="none" w:sz="0" w:space="0" w:color="auto"/>
            <w:right w:val="none" w:sz="0" w:space="0" w:color="auto"/>
          </w:divBdr>
        </w:div>
        <w:div w:id="851845486">
          <w:marLeft w:val="0"/>
          <w:marRight w:val="0"/>
          <w:marTop w:val="0"/>
          <w:marBottom w:val="0"/>
          <w:divBdr>
            <w:top w:val="none" w:sz="0" w:space="0" w:color="auto"/>
            <w:left w:val="none" w:sz="0" w:space="0" w:color="auto"/>
            <w:bottom w:val="none" w:sz="0" w:space="0" w:color="auto"/>
            <w:right w:val="none" w:sz="0" w:space="0" w:color="auto"/>
          </w:divBdr>
        </w:div>
        <w:div w:id="993797776">
          <w:marLeft w:val="0"/>
          <w:marRight w:val="0"/>
          <w:marTop w:val="0"/>
          <w:marBottom w:val="0"/>
          <w:divBdr>
            <w:top w:val="none" w:sz="0" w:space="0" w:color="auto"/>
            <w:left w:val="none" w:sz="0" w:space="0" w:color="auto"/>
            <w:bottom w:val="none" w:sz="0" w:space="0" w:color="auto"/>
            <w:right w:val="none" w:sz="0" w:space="0" w:color="auto"/>
          </w:divBdr>
        </w:div>
        <w:div w:id="999775157">
          <w:marLeft w:val="0"/>
          <w:marRight w:val="0"/>
          <w:marTop w:val="0"/>
          <w:marBottom w:val="0"/>
          <w:divBdr>
            <w:top w:val="none" w:sz="0" w:space="0" w:color="auto"/>
            <w:left w:val="none" w:sz="0" w:space="0" w:color="auto"/>
            <w:bottom w:val="none" w:sz="0" w:space="0" w:color="auto"/>
            <w:right w:val="none" w:sz="0" w:space="0" w:color="auto"/>
          </w:divBdr>
        </w:div>
        <w:div w:id="1053314389">
          <w:marLeft w:val="0"/>
          <w:marRight w:val="0"/>
          <w:marTop w:val="0"/>
          <w:marBottom w:val="0"/>
          <w:divBdr>
            <w:top w:val="none" w:sz="0" w:space="0" w:color="auto"/>
            <w:left w:val="none" w:sz="0" w:space="0" w:color="auto"/>
            <w:bottom w:val="none" w:sz="0" w:space="0" w:color="auto"/>
            <w:right w:val="none" w:sz="0" w:space="0" w:color="auto"/>
          </w:divBdr>
        </w:div>
        <w:div w:id="1342003766">
          <w:marLeft w:val="0"/>
          <w:marRight w:val="0"/>
          <w:marTop w:val="0"/>
          <w:marBottom w:val="0"/>
          <w:divBdr>
            <w:top w:val="none" w:sz="0" w:space="0" w:color="auto"/>
            <w:left w:val="none" w:sz="0" w:space="0" w:color="auto"/>
            <w:bottom w:val="none" w:sz="0" w:space="0" w:color="auto"/>
            <w:right w:val="none" w:sz="0" w:space="0" w:color="auto"/>
          </w:divBdr>
        </w:div>
        <w:div w:id="1444571068">
          <w:marLeft w:val="0"/>
          <w:marRight w:val="0"/>
          <w:marTop w:val="0"/>
          <w:marBottom w:val="0"/>
          <w:divBdr>
            <w:top w:val="none" w:sz="0" w:space="0" w:color="auto"/>
            <w:left w:val="none" w:sz="0" w:space="0" w:color="auto"/>
            <w:bottom w:val="none" w:sz="0" w:space="0" w:color="auto"/>
            <w:right w:val="none" w:sz="0" w:space="0" w:color="auto"/>
          </w:divBdr>
        </w:div>
        <w:div w:id="1484615869">
          <w:marLeft w:val="0"/>
          <w:marRight w:val="0"/>
          <w:marTop w:val="0"/>
          <w:marBottom w:val="0"/>
          <w:divBdr>
            <w:top w:val="none" w:sz="0" w:space="0" w:color="auto"/>
            <w:left w:val="none" w:sz="0" w:space="0" w:color="auto"/>
            <w:bottom w:val="none" w:sz="0" w:space="0" w:color="auto"/>
            <w:right w:val="none" w:sz="0" w:space="0" w:color="auto"/>
          </w:divBdr>
        </w:div>
        <w:div w:id="1675254578">
          <w:marLeft w:val="0"/>
          <w:marRight w:val="0"/>
          <w:marTop w:val="0"/>
          <w:marBottom w:val="0"/>
          <w:divBdr>
            <w:top w:val="none" w:sz="0" w:space="0" w:color="auto"/>
            <w:left w:val="none" w:sz="0" w:space="0" w:color="auto"/>
            <w:bottom w:val="none" w:sz="0" w:space="0" w:color="auto"/>
            <w:right w:val="none" w:sz="0" w:space="0" w:color="auto"/>
          </w:divBdr>
        </w:div>
        <w:div w:id="1722703386">
          <w:marLeft w:val="0"/>
          <w:marRight w:val="0"/>
          <w:marTop w:val="0"/>
          <w:marBottom w:val="0"/>
          <w:divBdr>
            <w:top w:val="none" w:sz="0" w:space="0" w:color="auto"/>
            <w:left w:val="none" w:sz="0" w:space="0" w:color="auto"/>
            <w:bottom w:val="none" w:sz="0" w:space="0" w:color="auto"/>
            <w:right w:val="none" w:sz="0" w:space="0" w:color="auto"/>
          </w:divBdr>
        </w:div>
        <w:div w:id="1802386011">
          <w:marLeft w:val="0"/>
          <w:marRight w:val="0"/>
          <w:marTop w:val="0"/>
          <w:marBottom w:val="0"/>
          <w:divBdr>
            <w:top w:val="none" w:sz="0" w:space="0" w:color="auto"/>
            <w:left w:val="none" w:sz="0" w:space="0" w:color="auto"/>
            <w:bottom w:val="none" w:sz="0" w:space="0" w:color="auto"/>
            <w:right w:val="none" w:sz="0" w:space="0" w:color="auto"/>
          </w:divBdr>
        </w:div>
      </w:divsChild>
    </w:div>
    <w:div w:id="226231149">
      <w:bodyDiv w:val="1"/>
      <w:marLeft w:val="0"/>
      <w:marRight w:val="0"/>
      <w:marTop w:val="0"/>
      <w:marBottom w:val="0"/>
      <w:divBdr>
        <w:top w:val="none" w:sz="0" w:space="0" w:color="auto"/>
        <w:left w:val="none" w:sz="0" w:space="0" w:color="auto"/>
        <w:bottom w:val="none" w:sz="0" w:space="0" w:color="auto"/>
        <w:right w:val="none" w:sz="0" w:space="0" w:color="auto"/>
      </w:divBdr>
    </w:div>
    <w:div w:id="244606589">
      <w:bodyDiv w:val="1"/>
      <w:marLeft w:val="0"/>
      <w:marRight w:val="0"/>
      <w:marTop w:val="0"/>
      <w:marBottom w:val="0"/>
      <w:divBdr>
        <w:top w:val="none" w:sz="0" w:space="0" w:color="auto"/>
        <w:left w:val="none" w:sz="0" w:space="0" w:color="auto"/>
        <w:bottom w:val="none" w:sz="0" w:space="0" w:color="auto"/>
        <w:right w:val="none" w:sz="0" w:space="0" w:color="auto"/>
      </w:divBdr>
    </w:div>
    <w:div w:id="249120843">
      <w:bodyDiv w:val="1"/>
      <w:marLeft w:val="0"/>
      <w:marRight w:val="0"/>
      <w:marTop w:val="0"/>
      <w:marBottom w:val="0"/>
      <w:divBdr>
        <w:top w:val="none" w:sz="0" w:space="0" w:color="auto"/>
        <w:left w:val="none" w:sz="0" w:space="0" w:color="auto"/>
        <w:bottom w:val="none" w:sz="0" w:space="0" w:color="auto"/>
        <w:right w:val="none" w:sz="0" w:space="0" w:color="auto"/>
      </w:divBdr>
    </w:div>
    <w:div w:id="253709172">
      <w:bodyDiv w:val="1"/>
      <w:marLeft w:val="0"/>
      <w:marRight w:val="0"/>
      <w:marTop w:val="0"/>
      <w:marBottom w:val="0"/>
      <w:divBdr>
        <w:top w:val="none" w:sz="0" w:space="0" w:color="auto"/>
        <w:left w:val="none" w:sz="0" w:space="0" w:color="auto"/>
        <w:bottom w:val="none" w:sz="0" w:space="0" w:color="auto"/>
        <w:right w:val="none" w:sz="0" w:space="0" w:color="auto"/>
      </w:divBdr>
    </w:div>
    <w:div w:id="256140913">
      <w:bodyDiv w:val="1"/>
      <w:marLeft w:val="0"/>
      <w:marRight w:val="0"/>
      <w:marTop w:val="0"/>
      <w:marBottom w:val="0"/>
      <w:divBdr>
        <w:top w:val="none" w:sz="0" w:space="0" w:color="auto"/>
        <w:left w:val="none" w:sz="0" w:space="0" w:color="auto"/>
        <w:bottom w:val="none" w:sz="0" w:space="0" w:color="auto"/>
        <w:right w:val="none" w:sz="0" w:space="0" w:color="auto"/>
      </w:divBdr>
    </w:div>
    <w:div w:id="259140029">
      <w:bodyDiv w:val="1"/>
      <w:marLeft w:val="0"/>
      <w:marRight w:val="0"/>
      <w:marTop w:val="0"/>
      <w:marBottom w:val="0"/>
      <w:divBdr>
        <w:top w:val="none" w:sz="0" w:space="0" w:color="auto"/>
        <w:left w:val="none" w:sz="0" w:space="0" w:color="auto"/>
        <w:bottom w:val="none" w:sz="0" w:space="0" w:color="auto"/>
        <w:right w:val="none" w:sz="0" w:space="0" w:color="auto"/>
      </w:divBdr>
    </w:div>
    <w:div w:id="262689884">
      <w:bodyDiv w:val="1"/>
      <w:marLeft w:val="0"/>
      <w:marRight w:val="0"/>
      <w:marTop w:val="0"/>
      <w:marBottom w:val="0"/>
      <w:divBdr>
        <w:top w:val="none" w:sz="0" w:space="0" w:color="auto"/>
        <w:left w:val="none" w:sz="0" w:space="0" w:color="auto"/>
        <w:bottom w:val="none" w:sz="0" w:space="0" w:color="auto"/>
        <w:right w:val="none" w:sz="0" w:space="0" w:color="auto"/>
      </w:divBdr>
    </w:div>
    <w:div w:id="264117527">
      <w:bodyDiv w:val="1"/>
      <w:marLeft w:val="0"/>
      <w:marRight w:val="0"/>
      <w:marTop w:val="0"/>
      <w:marBottom w:val="0"/>
      <w:divBdr>
        <w:top w:val="none" w:sz="0" w:space="0" w:color="auto"/>
        <w:left w:val="none" w:sz="0" w:space="0" w:color="auto"/>
        <w:bottom w:val="none" w:sz="0" w:space="0" w:color="auto"/>
        <w:right w:val="none" w:sz="0" w:space="0" w:color="auto"/>
      </w:divBdr>
    </w:div>
    <w:div w:id="264774124">
      <w:bodyDiv w:val="1"/>
      <w:marLeft w:val="0"/>
      <w:marRight w:val="0"/>
      <w:marTop w:val="0"/>
      <w:marBottom w:val="0"/>
      <w:divBdr>
        <w:top w:val="none" w:sz="0" w:space="0" w:color="auto"/>
        <w:left w:val="none" w:sz="0" w:space="0" w:color="auto"/>
        <w:bottom w:val="none" w:sz="0" w:space="0" w:color="auto"/>
        <w:right w:val="none" w:sz="0" w:space="0" w:color="auto"/>
      </w:divBdr>
    </w:div>
    <w:div w:id="272253320">
      <w:bodyDiv w:val="1"/>
      <w:marLeft w:val="0"/>
      <w:marRight w:val="0"/>
      <w:marTop w:val="0"/>
      <w:marBottom w:val="0"/>
      <w:divBdr>
        <w:top w:val="none" w:sz="0" w:space="0" w:color="auto"/>
        <w:left w:val="none" w:sz="0" w:space="0" w:color="auto"/>
        <w:bottom w:val="none" w:sz="0" w:space="0" w:color="auto"/>
        <w:right w:val="none" w:sz="0" w:space="0" w:color="auto"/>
      </w:divBdr>
    </w:div>
    <w:div w:id="273750680">
      <w:bodyDiv w:val="1"/>
      <w:marLeft w:val="0"/>
      <w:marRight w:val="0"/>
      <w:marTop w:val="0"/>
      <w:marBottom w:val="0"/>
      <w:divBdr>
        <w:top w:val="none" w:sz="0" w:space="0" w:color="auto"/>
        <w:left w:val="none" w:sz="0" w:space="0" w:color="auto"/>
        <w:bottom w:val="none" w:sz="0" w:space="0" w:color="auto"/>
        <w:right w:val="none" w:sz="0" w:space="0" w:color="auto"/>
      </w:divBdr>
    </w:div>
    <w:div w:id="277033445">
      <w:bodyDiv w:val="1"/>
      <w:marLeft w:val="0"/>
      <w:marRight w:val="0"/>
      <w:marTop w:val="0"/>
      <w:marBottom w:val="0"/>
      <w:divBdr>
        <w:top w:val="none" w:sz="0" w:space="0" w:color="auto"/>
        <w:left w:val="none" w:sz="0" w:space="0" w:color="auto"/>
        <w:bottom w:val="none" w:sz="0" w:space="0" w:color="auto"/>
        <w:right w:val="none" w:sz="0" w:space="0" w:color="auto"/>
      </w:divBdr>
    </w:div>
    <w:div w:id="277642824">
      <w:bodyDiv w:val="1"/>
      <w:marLeft w:val="0"/>
      <w:marRight w:val="0"/>
      <w:marTop w:val="0"/>
      <w:marBottom w:val="0"/>
      <w:divBdr>
        <w:top w:val="none" w:sz="0" w:space="0" w:color="auto"/>
        <w:left w:val="none" w:sz="0" w:space="0" w:color="auto"/>
        <w:bottom w:val="none" w:sz="0" w:space="0" w:color="auto"/>
        <w:right w:val="none" w:sz="0" w:space="0" w:color="auto"/>
      </w:divBdr>
    </w:div>
    <w:div w:id="279604442">
      <w:bodyDiv w:val="1"/>
      <w:marLeft w:val="0"/>
      <w:marRight w:val="0"/>
      <w:marTop w:val="0"/>
      <w:marBottom w:val="0"/>
      <w:divBdr>
        <w:top w:val="none" w:sz="0" w:space="0" w:color="auto"/>
        <w:left w:val="none" w:sz="0" w:space="0" w:color="auto"/>
        <w:bottom w:val="none" w:sz="0" w:space="0" w:color="auto"/>
        <w:right w:val="none" w:sz="0" w:space="0" w:color="auto"/>
      </w:divBdr>
    </w:div>
    <w:div w:id="282925838">
      <w:bodyDiv w:val="1"/>
      <w:marLeft w:val="0"/>
      <w:marRight w:val="0"/>
      <w:marTop w:val="0"/>
      <w:marBottom w:val="0"/>
      <w:divBdr>
        <w:top w:val="none" w:sz="0" w:space="0" w:color="auto"/>
        <w:left w:val="none" w:sz="0" w:space="0" w:color="auto"/>
        <w:bottom w:val="none" w:sz="0" w:space="0" w:color="auto"/>
        <w:right w:val="none" w:sz="0" w:space="0" w:color="auto"/>
      </w:divBdr>
    </w:div>
    <w:div w:id="295064558">
      <w:bodyDiv w:val="1"/>
      <w:marLeft w:val="0"/>
      <w:marRight w:val="0"/>
      <w:marTop w:val="0"/>
      <w:marBottom w:val="0"/>
      <w:divBdr>
        <w:top w:val="none" w:sz="0" w:space="0" w:color="auto"/>
        <w:left w:val="none" w:sz="0" w:space="0" w:color="auto"/>
        <w:bottom w:val="none" w:sz="0" w:space="0" w:color="auto"/>
        <w:right w:val="none" w:sz="0" w:space="0" w:color="auto"/>
      </w:divBdr>
      <w:divsChild>
        <w:div w:id="125664005">
          <w:marLeft w:val="0"/>
          <w:marRight w:val="0"/>
          <w:marTop w:val="0"/>
          <w:marBottom w:val="0"/>
          <w:divBdr>
            <w:top w:val="none" w:sz="0" w:space="0" w:color="auto"/>
            <w:left w:val="none" w:sz="0" w:space="0" w:color="auto"/>
            <w:bottom w:val="none" w:sz="0" w:space="0" w:color="auto"/>
            <w:right w:val="none" w:sz="0" w:space="0" w:color="auto"/>
          </w:divBdr>
        </w:div>
      </w:divsChild>
    </w:div>
    <w:div w:id="305864429">
      <w:bodyDiv w:val="1"/>
      <w:marLeft w:val="0"/>
      <w:marRight w:val="0"/>
      <w:marTop w:val="0"/>
      <w:marBottom w:val="0"/>
      <w:divBdr>
        <w:top w:val="none" w:sz="0" w:space="0" w:color="auto"/>
        <w:left w:val="none" w:sz="0" w:space="0" w:color="auto"/>
        <w:bottom w:val="none" w:sz="0" w:space="0" w:color="auto"/>
        <w:right w:val="none" w:sz="0" w:space="0" w:color="auto"/>
      </w:divBdr>
    </w:div>
    <w:div w:id="308751722">
      <w:bodyDiv w:val="1"/>
      <w:marLeft w:val="0"/>
      <w:marRight w:val="0"/>
      <w:marTop w:val="0"/>
      <w:marBottom w:val="0"/>
      <w:divBdr>
        <w:top w:val="none" w:sz="0" w:space="0" w:color="auto"/>
        <w:left w:val="none" w:sz="0" w:space="0" w:color="auto"/>
        <w:bottom w:val="none" w:sz="0" w:space="0" w:color="auto"/>
        <w:right w:val="none" w:sz="0" w:space="0" w:color="auto"/>
      </w:divBdr>
    </w:div>
    <w:div w:id="311757807">
      <w:bodyDiv w:val="1"/>
      <w:marLeft w:val="0"/>
      <w:marRight w:val="0"/>
      <w:marTop w:val="0"/>
      <w:marBottom w:val="0"/>
      <w:divBdr>
        <w:top w:val="none" w:sz="0" w:space="0" w:color="auto"/>
        <w:left w:val="none" w:sz="0" w:space="0" w:color="auto"/>
        <w:bottom w:val="none" w:sz="0" w:space="0" w:color="auto"/>
        <w:right w:val="none" w:sz="0" w:space="0" w:color="auto"/>
      </w:divBdr>
    </w:div>
    <w:div w:id="320038258">
      <w:bodyDiv w:val="1"/>
      <w:marLeft w:val="0"/>
      <w:marRight w:val="0"/>
      <w:marTop w:val="0"/>
      <w:marBottom w:val="0"/>
      <w:divBdr>
        <w:top w:val="none" w:sz="0" w:space="0" w:color="auto"/>
        <w:left w:val="none" w:sz="0" w:space="0" w:color="auto"/>
        <w:bottom w:val="none" w:sz="0" w:space="0" w:color="auto"/>
        <w:right w:val="none" w:sz="0" w:space="0" w:color="auto"/>
      </w:divBdr>
    </w:div>
    <w:div w:id="322440798">
      <w:bodyDiv w:val="1"/>
      <w:marLeft w:val="0"/>
      <w:marRight w:val="0"/>
      <w:marTop w:val="0"/>
      <w:marBottom w:val="0"/>
      <w:divBdr>
        <w:top w:val="none" w:sz="0" w:space="0" w:color="auto"/>
        <w:left w:val="none" w:sz="0" w:space="0" w:color="auto"/>
        <w:bottom w:val="none" w:sz="0" w:space="0" w:color="auto"/>
        <w:right w:val="none" w:sz="0" w:space="0" w:color="auto"/>
      </w:divBdr>
    </w:div>
    <w:div w:id="326053461">
      <w:bodyDiv w:val="1"/>
      <w:marLeft w:val="0"/>
      <w:marRight w:val="0"/>
      <w:marTop w:val="0"/>
      <w:marBottom w:val="0"/>
      <w:divBdr>
        <w:top w:val="none" w:sz="0" w:space="0" w:color="auto"/>
        <w:left w:val="none" w:sz="0" w:space="0" w:color="auto"/>
        <w:bottom w:val="none" w:sz="0" w:space="0" w:color="auto"/>
        <w:right w:val="none" w:sz="0" w:space="0" w:color="auto"/>
      </w:divBdr>
    </w:div>
    <w:div w:id="326246543">
      <w:bodyDiv w:val="1"/>
      <w:marLeft w:val="0"/>
      <w:marRight w:val="0"/>
      <w:marTop w:val="0"/>
      <w:marBottom w:val="0"/>
      <w:divBdr>
        <w:top w:val="none" w:sz="0" w:space="0" w:color="auto"/>
        <w:left w:val="none" w:sz="0" w:space="0" w:color="auto"/>
        <w:bottom w:val="none" w:sz="0" w:space="0" w:color="auto"/>
        <w:right w:val="none" w:sz="0" w:space="0" w:color="auto"/>
      </w:divBdr>
    </w:div>
    <w:div w:id="326329634">
      <w:bodyDiv w:val="1"/>
      <w:marLeft w:val="0"/>
      <w:marRight w:val="0"/>
      <w:marTop w:val="0"/>
      <w:marBottom w:val="0"/>
      <w:divBdr>
        <w:top w:val="none" w:sz="0" w:space="0" w:color="auto"/>
        <w:left w:val="none" w:sz="0" w:space="0" w:color="auto"/>
        <w:bottom w:val="none" w:sz="0" w:space="0" w:color="auto"/>
        <w:right w:val="none" w:sz="0" w:space="0" w:color="auto"/>
      </w:divBdr>
    </w:div>
    <w:div w:id="327439460">
      <w:bodyDiv w:val="1"/>
      <w:marLeft w:val="0"/>
      <w:marRight w:val="0"/>
      <w:marTop w:val="0"/>
      <w:marBottom w:val="0"/>
      <w:divBdr>
        <w:top w:val="none" w:sz="0" w:space="0" w:color="auto"/>
        <w:left w:val="none" w:sz="0" w:space="0" w:color="auto"/>
        <w:bottom w:val="none" w:sz="0" w:space="0" w:color="auto"/>
        <w:right w:val="none" w:sz="0" w:space="0" w:color="auto"/>
      </w:divBdr>
    </w:div>
    <w:div w:id="328756957">
      <w:bodyDiv w:val="1"/>
      <w:marLeft w:val="0"/>
      <w:marRight w:val="0"/>
      <w:marTop w:val="0"/>
      <w:marBottom w:val="0"/>
      <w:divBdr>
        <w:top w:val="none" w:sz="0" w:space="0" w:color="auto"/>
        <w:left w:val="none" w:sz="0" w:space="0" w:color="auto"/>
        <w:bottom w:val="none" w:sz="0" w:space="0" w:color="auto"/>
        <w:right w:val="none" w:sz="0" w:space="0" w:color="auto"/>
      </w:divBdr>
    </w:div>
    <w:div w:id="330839262">
      <w:bodyDiv w:val="1"/>
      <w:marLeft w:val="0"/>
      <w:marRight w:val="0"/>
      <w:marTop w:val="0"/>
      <w:marBottom w:val="0"/>
      <w:divBdr>
        <w:top w:val="none" w:sz="0" w:space="0" w:color="auto"/>
        <w:left w:val="none" w:sz="0" w:space="0" w:color="auto"/>
        <w:bottom w:val="none" w:sz="0" w:space="0" w:color="auto"/>
        <w:right w:val="none" w:sz="0" w:space="0" w:color="auto"/>
      </w:divBdr>
    </w:div>
    <w:div w:id="333656095">
      <w:bodyDiv w:val="1"/>
      <w:marLeft w:val="0"/>
      <w:marRight w:val="0"/>
      <w:marTop w:val="0"/>
      <w:marBottom w:val="0"/>
      <w:divBdr>
        <w:top w:val="none" w:sz="0" w:space="0" w:color="auto"/>
        <w:left w:val="none" w:sz="0" w:space="0" w:color="auto"/>
        <w:bottom w:val="none" w:sz="0" w:space="0" w:color="auto"/>
        <w:right w:val="none" w:sz="0" w:space="0" w:color="auto"/>
      </w:divBdr>
    </w:div>
    <w:div w:id="341974247">
      <w:bodyDiv w:val="1"/>
      <w:marLeft w:val="0"/>
      <w:marRight w:val="0"/>
      <w:marTop w:val="0"/>
      <w:marBottom w:val="0"/>
      <w:divBdr>
        <w:top w:val="none" w:sz="0" w:space="0" w:color="auto"/>
        <w:left w:val="none" w:sz="0" w:space="0" w:color="auto"/>
        <w:bottom w:val="none" w:sz="0" w:space="0" w:color="auto"/>
        <w:right w:val="none" w:sz="0" w:space="0" w:color="auto"/>
      </w:divBdr>
    </w:div>
    <w:div w:id="346953421">
      <w:bodyDiv w:val="1"/>
      <w:marLeft w:val="0"/>
      <w:marRight w:val="0"/>
      <w:marTop w:val="0"/>
      <w:marBottom w:val="0"/>
      <w:divBdr>
        <w:top w:val="none" w:sz="0" w:space="0" w:color="auto"/>
        <w:left w:val="none" w:sz="0" w:space="0" w:color="auto"/>
        <w:bottom w:val="none" w:sz="0" w:space="0" w:color="auto"/>
        <w:right w:val="none" w:sz="0" w:space="0" w:color="auto"/>
      </w:divBdr>
    </w:div>
    <w:div w:id="348217135">
      <w:bodyDiv w:val="1"/>
      <w:marLeft w:val="0"/>
      <w:marRight w:val="0"/>
      <w:marTop w:val="0"/>
      <w:marBottom w:val="0"/>
      <w:divBdr>
        <w:top w:val="none" w:sz="0" w:space="0" w:color="auto"/>
        <w:left w:val="none" w:sz="0" w:space="0" w:color="auto"/>
        <w:bottom w:val="none" w:sz="0" w:space="0" w:color="auto"/>
        <w:right w:val="none" w:sz="0" w:space="0" w:color="auto"/>
      </w:divBdr>
    </w:div>
    <w:div w:id="348870843">
      <w:bodyDiv w:val="1"/>
      <w:marLeft w:val="0"/>
      <w:marRight w:val="0"/>
      <w:marTop w:val="0"/>
      <w:marBottom w:val="0"/>
      <w:divBdr>
        <w:top w:val="none" w:sz="0" w:space="0" w:color="auto"/>
        <w:left w:val="none" w:sz="0" w:space="0" w:color="auto"/>
        <w:bottom w:val="none" w:sz="0" w:space="0" w:color="auto"/>
        <w:right w:val="none" w:sz="0" w:space="0" w:color="auto"/>
      </w:divBdr>
    </w:div>
    <w:div w:id="352725926">
      <w:bodyDiv w:val="1"/>
      <w:marLeft w:val="0"/>
      <w:marRight w:val="0"/>
      <w:marTop w:val="0"/>
      <w:marBottom w:val="0"/>
      <w:divBdr>
        <w:top w:val="none" w:sz="0" w:space="0" w:color="auto"/>
        <w:left w:val="none" w:sz="0" w:space="0" w:color="auto"/>
        <w:bottom w:val="none" w:sz="0" w:space="0" w:color="auto"/>
        <w:right w:val="none" w:sz="0" w:space="0" w:color="auto"/>
      </w:divBdr>
    </w:div>
    <w:div w:id="362169308">
      <w:bodyDiv w:val="1"/>
      <w:marLeft w:val="0"/>
      <w:marRight w:val="0"/>
      <w:marTop w:val="0"/>
      <w:marBottom w:val="0"/>
      <w:divBdr>
        <w:top w:val="none" w:sz="0" w:space="0" w:color="auto"/>
        <w:left w:val="none" w:sz="0" w:space="0" w:color="auto"/>
        <w:bottom w:val="none" w:sz="0" w:space="0" w:color="auto"/>
        <w:right w:val="none" w:sz="0" w:space="0" w:color="auto"/>
      </w:divBdr>
    </w:div>
    <w:div w:id="363332152">
      <w:bodyDiv w:val="1"/>
      <w:marLeft w:val="0"/>
      <w:marRight w:val="0"/>
      <w:marTop w:val="0"/>
      <w:marBottom w:val="0"/>
      <w:divBdr>
        <w:top w:val="none" w:sz="0" w:space="0" w:color="auto"/>
        <w:left w:val="none" w:sz="0" w:space="0" w:color="auto"/>
        <w:bottom w:val="none" w:sz="0" w:space="0" w:color="auto"/>
        <w:right w:val="none" w:sz="0" w:space="0" w:color="auto"/>
      </w:divBdr>
    </w:div>
    <w:div w:id="374158235">
      <w:bodyDiv w:val="1"/>
      <w:marLeft w:val="0"/>
      <w:marRight w:val="0"/>
      <w:marTop w:val="0"/>
      <w:marBottom w:val="0"/>
      <w:divBdr>
        <w:top w:val="none" w:sz="0" w:space="0" w:color="auto"/>
        <w:left w:val="none" w:sz="0" w:space="0" w:color="auto"/>
        <w:bottom w:val="none" w:sz="0" w:space="0" w:color="auto"/>
        <w:right w:val="none" w:sz="0" w:space="0" w:color="auto"/>
      </w:divBdr>
    </w:div>
    <w:div w:id="379942273">
      <w:bodyDiv w:val="1"/>
      <w:marLeft w:val="0"/>
      <w:marRight w:val="0"/>
      <w:marTop w:val="0"/>
      <w:marBottom w:val="0"/>
      <w:divBdr>
        <w:top w:val="none" w:sz="0" w:space="0" w:color="auto"/>
        <w:left w:val="none" w:sz="0" w:space="0" w:color="auto"/>
        <w:bottom w:val="none" w:sz="0" w:space="0" w:color="auto"/>
        <w:right w:val="none" w:sz="0" w:space="0" w:color="auto"/>
      </w:divBdr>
      <w:divsChild>
        <w:div w:id="609557283">
          <w:marLeft w:val="-225"/>
          <w:marRight w:val="-225"/>
          <w:marTop w:val="0"/>
          <w:marBottom w:val="0"/>
          <w:divBdr>
            <w:top w:val="none" w:sz="0" w:space="0" w:color="auto"/>
            <w:left w:val="none" w:sz="0" w:space="0" w:color="auto"/>
            <w:bottom w:val="none" w:sz="0" w:space="0" w:color="auto"/>
            <w:right w:val="none" w:sz="0" w:space="0" w:color="auto"/>
          </w:divBdr>
        </w:div>
        <w:div w:id="645859876">
          <w:marLeft w:val="-225"/>
          <w:marRight w:val="-225"/>
          <w:marTop w:val="0"/>
          <w:marBottom w:val="0"/>
          <w:divBdr>
            <w:top w:val="none" w:sz="0" w:space="0" w:color="auto"/>
            <w:left w:val="none" w:sz="0" w:space="0" w:color="auto"/>
            <w:bottom w:val="none" w:sz="0" w:space="0" w:color="auto"/>
            <w:right w:val="none" w:sz="0" w:space="0" w:color="auto"/>
          </w:divBdr>
        </w:div>
      </w:divsChild>
    </w:div>
    <w:div w:id="381370253">
      <w:bodyDiv w:val="1"/>
      <w:marLeft w:val="0"/>
      <w:marRight w:val="0"/>
      <w:marTop w:val="0"/>
      <w:marBottom w:val="0"/>
      <w:divBdr>
        <w:top w:val="none" w:sz="0" w:space="0" w:color="auto"/>
        <w:left w:val="none" w:sz="0" w:space="0" w:color="auto"/>
        <w:bottom w:val="none" w:sz="0" w:space="0" w:color="auto"/>
        <w:right w:val="none" w:sz="0" w:space="0" w:color="auto"/>
      </w:divBdr>
    </w:div>
    <w:div w:id="386073293">
      <w:bodyDiv w:val="1"/>
      <w:marLeft w:val="0"/>
      <w:marRight w:val="0"/>
      <w:marTop w:val="0"/>
      <w:marBottom w:val="0"/>
      <w:divBdr>
        <w:top w:val="none" w:sz="0" w:space="0" w:color="auto"/>
        <w:left w:val="none" w:sz="0" w:space="0" w:color="auto"/>
        <w:bottom w:val="none" w:sz="0" w:space="0" w:color="auto"/>
        <w:right w:val="none" w:sz="0" w:space="0" w:color="auto"/>
      </w:divBdr>
    </w:div>
    <w:div w:id="388114029">
      <w:bodyDiv w:val="1"/>
      <w:marLeft w:val="0"/>
      <w:marRight w:val="0"/>
      <w:marTop w:val="0"/>
      <w:marBottom w:val="0"/>
      <w:divBdr>
        <w:top w:val="none" w:sz="0" w:space="0" w:color="auto"/>
        <w:left w:val="none" w:sz="0" w:space="0" w:color="auto"/>
        <w:bottom w:val="none" w:sz="0" w:space="0" w:color="auto"/>
        <w:right w:val="none" w:sz="0" w:space="0" w:color="auto"/>
      </w:divBdr>
    </w:div>
    <w:div w:id="388499390">
      <w:bodyDiv w:val="1"/>
      <w:marLeft w:val="0"/>
      <w:marRight w:val="0"/>
      <w:marTop w:val="0"/>
      <w:marBottom w:val="0"/>
      <w:divBdr>
        <w:top w:val="none" w:sz="0" w:space="0" w:color="auto"/>
        <w:left w:val="none" w:sz="0" w:space="0" w:color="auto"/>
        <w:bottom w:val="none" w:sz="0" w:space="0" w:color="auto"/>
        <w:right w:val="none" w:sz="0" w:space="0" w:color="auto"/>
      </w:divBdr>
    </w:div>
    <w:div w:id="389039667">
      <w:bodyDiv w:val="1"/>
      <w:marLeft w:val="0"/>
      <w:marRight w:val="0"/>
      <w:marTop w:val="0"/>
      <w:marBottom w:val="0"/>
      <w:divBdr>
        <w:top w:val="none" w:sz="0" w:space="0" w:color="auto"/>
        <w:left w:val="none" w:sz="0" w:space="0" w:color="auto"/>
        <w:bottom w:val="none" w:sz="0" w:space="0" w:color="auto"/>
        <w:right w:val="none" w:sz="0" w:space="0" w:color="auto"/>
      </w:divBdr>
      <w:divsChild>
        <w:div w:id="11733574">
          <w:marLeft w:val="0"/>
          <w:marRight w:val="0"/>
          <w:marTop w:val="0"/>
          <w:marBottom w:val="0"/>
          <w:divBdr>
            <w:top w:val="none" w:sz="0" w:space="0" w:color="auto"/>
            <w:left w:val="none" w:sz="0" w:space="0" w:color="auto"/>
            <w:bottom w:val="none" w:sz="0" w:space="0" w:color="auto"/>
            <w:right w:val="none" w:sz="0" w:space="0" w:color="auto"/>
          </w:divBdr>
        </w:div>
        <w:div w:id="185606146">
          <w:marLeft w:val="0"/>
          <w:marRight w:val="0"/>
          <w:marTop w:val="0"/>
          <w:marBottom w:val="0"/>
          <w:divBdr>
            <w:top w:val="none" w:sz="0" w:space="0" w:color="auto"/>
            <w:left w:val="none" w:sz="0" w:space="0" w:color="auto"/>
            <w:bottom w:val="none" w:sz="0" w:space="0" w:color="auto"/>
            <w:right w:val="none" w:sz="0" w:space="0" w:color="auto"/>
          </w:divBdr>
        </w:div>
        <w:div w:id="322010970">
          <w:marLeft w:val="0"/>
          <w:marRight w:val="0"/>
          <w:marTop w:val="0"/>
          <w:marBottom w:val="0"/>
          <w:divBdr>
            <w:top w:val="none" w:sz="0" w:space="0" w:color="auto"/>
            <w:left w:val="none" w:sz="0" w:space="0" w:color="auto"/>
            <w:bottom w:val="none" w:sz="0" w:space="0" w:color="auto"/>
            <w:right w:val="none" w:sz="0" w:space="0" w:color="auto"/>
          </w:divBdr>
        </w:div>
        <w:div w:id="334263315">
          <w:marLeft w:val="0"/>
          <w:marRight w:val="0"/>
          <w:marTop w:val="0"/>
          <w:marBottom w:val="0"/>
          <w:divBdr>
            <w:top w:val="none" w:sz="0" w:space="0" w:color="auto"/>
            <w:left w:val="none" w:sz="0" w:space="0" w:color="auto"/>
            <w:bottom w:val="none" w:sz="0" w:space="0" w:color="auto"/>
            <w:right w:val="none" w:sz="0" w:space="0" w:color="auto"/>
          </w:divBdr>
        </w:div>
        <w:div w:id="374619675">
          <w:marLeft w:val="0"/>
          <w:marRight w:val="0"/>
          <w:marTop w:val="0"/>
          <w:marBottom w:val="0"/>
          <w:divBdr>
            <w:top w:val="none" w:sz="0" w:space="0" w:color="auto"/>
            <w:left w:val="none" w:sz="0" w:space="0" w:color="auto"/>
            <w:bottom w:val="none" w:sz="0" w:space="0" w:color="auto"/>
            <w:right w:val="none" w:sz="0" w:space="0" w:color="auto"/>
          </w:divBdr>
        </w:div>
        <w:div w:id="396242671">
          <w:marLeft w:val="0"/>
          <w:marRight w:val="0"/>
          <w:marTop w:val="0"/>
          <w:marBottom w:val="0"/>
          <w:divBdr>
            <w:top w:val="none" w:sz="0" w:space="0" w:color="auto"/>
            <w:left w:val="none" w:sz="0" w:space="0" w:color="auto"/>
            <w:bottom w:val="none" w:sz="0" w:space="0" w:color="auto"/>
            <w:right w:val="none" w:sz="0" w:space="0" w:color="auto"/>
          </w:divBdr>
        </w:div>
        <w:div w:id="502862081">
          <w:marLeft w:val="0"/>
          <w:marRight w:val="0"/>
          <w:marTop w:val="0"/>
          <w:marBottom w:val="0"/>
          <w:divBdr>
            <w:top w:val="none" w:sz="0" w:space="0" w:color="auto"/>
            <w:left w:val="none" w:sz="0" w:space="0" w:color="auto"/>
            <w:bottom w:val="none" w:sz="0" w:space="0" w:color="auto"/>
            <w:right w:val="none" w:sz="0" w:space="0" w:color="auto"/>
          </w:divBdr>
        </w:div>
        <w:div w:id="701780554">
          <w:marLeft w:val="0"/>
          <w:marRight w:val="0"/>
          <w:marTop w:val="0"/>
          <w:marBottom w:val="0"/>
          <w:divBdr>
            <w:top w:val="none" w:sz="0" w:space="0" w:color="auto"/>
            <w:left w:val="none" w:sz="0" w:space="0" w:color="auto"/>
            <w:bottom w:val="none" w:sz="0" w:space="0" w:color="auto"/>
            <w:right w:val="none" w:sz="0" w:space="0" w:color="auto"/>
          </w:divBdr>
        </w:div>
        <w:div w:id="773794052">
          <w:marLeft w:val="0"/>
          <w:marRight w:val="0"/>
          <w:marTop w:val="0"/>
          <w:marBottom w:val="0"/>
          <w:divBdr>
            <w:top w:val="none" w:sz="0" w:space="0" w:color="auto"/>
            <w:left w:val="none" w:sz="0" w:space="0" w:color="auto"/>
            <w:bottom w:val="none" w:sz="0" w:space="0" w:color="auto"/>
            <w:right w:val="none" w:sz="0" w:space="0" w:color="auto"/>
          </w:divBdr>
        </w:div>
        <w:div w:id="813913331">
          <w:marLeft w:val="0"/>
          <w:marRight w:val="0"/>
          <w:marTop w:val="0"/>
          <w:marBottom w:val="0"/>
          <w:divBdr>
            <w:top w:val="none" w:sz="0" w:space="0" w:color="auto"/>
            <w:left w:val="none" w:sz="0" w:space="0" w:color="auto"/>
            <w:bottom w:val="none" w:sz="0" w:space="0" w:color="auto"/>
            <w:right w:val="none" w:sz="0" w:space="0" w:color="auto"/>
          </w:divBdr>
        </w:div>
        <w:div w:id="816530902">
          <w:marLeft w:val="0"/>
          <w:marRight w:val="0"/>
          <w:marTop w:val="0"/>
          <w:marBottom w:val="0"/>
          <w:divBdr>
            <w:top w:val="none" w:sz="0" w:space="0" w:color="auto"/>
            <w:left w:val="none" w:sz="0" w:space="0" w:color="auto"/>
            <w:bottom w:val="none" w:sz="0" w:space="0" w:color="auto"/>
            <w:right w:val="none" w:sz="0" w:space="0" w:color="auto"/>
          </w:divBdr>
        </w:div>
        <w:div w:id="963386722">
          <w:marLeft w:val="0"/>
          <w:marRight w:val="0"/>
          <w:marTop w:val="0"/>
          <w:marBottom w:val="0"/>
          <w:divBdr>
            <w:top w:val="none" w:sz="0" w:space="0" w:color="auto"/>
            <w:left w:val="none" w:sz="0" w:space="0" w:color="auto"/>
            <w:bottom w:val="none" w:sz="0" w:space="0" w:color="auto"/>
            <w:right w:val="none" w:sz="0" w:space="0" w:color="auto"/>
          </w:divBdr>
        </w:div>
        <w:div w:id="999119950">
          <w:marLeft w:val="0"/>
          <w:marRight w:val="0"/>
          <w:marTop w:val="0"/>
          <w:marBottom w:val="0"/>
          <w:divBdr>
            <w:top w:val="none" w:sz="0" w:space="0" w:color="auto"/>
            <w:left w:val="none" w:sz="0" w:space="0" w:color="auto"/>
            <w:bottom w:val="none" w:sz="0" w:space="0" w:color="auto"/>
            <w:right w:val="none" w:sz="0" w:space="0" w:color="auto"/>
          </w:divBdr>
        </w:div>
        <w:div w:id="1121024850">
          <w:marLeft w:val="0"/>
          <w:marRight w:val="0"/>
          <w:marTop w:val="0"/>
          <w:marBottom w:val="0"/>
          <w:divBdr>
            <w:top w:val="none" w:sz="0" w:space="0" w:color="auto"/>
            <w:left w:val="none" w:sz="0" w:space="0" w:color="auto"/>
            <w:bottom w:val="none" w:sz="0" w:space="0" w:color="auto"/>
            <w:right w:val="none" w:sz="0" w:space="0" w:color="auto"/>
          </w:divBdr>
        </w:div>
        <w:div w:id="1138642683">
          <w:marLeft w:val="0"/>
          <w:marRight w:val="0"/>
          <w:marTop w:val="0"/>
          <w:marBottom w:val="0"/>
          <w:divBdr>
            <w:top w:val="none" w:sz="0" w:space="0" w:color="auto"/>
            <w:left w:val="none" w:sz="0" w:space="0" w:color="auto"/>
            <w:bottom w:val="none" w:sz="0" w:space="0" w:color="auto"/>
            <w:right w:val="none" w:sz="0" w:space="0" w:color="auto"/>
          </w:divBdr>
        </w:div>
        <w:div w:id="1152330148">
          <w:marLeft w:val="0"/>
          <w:marRight w:val="0"/>
          <w:marTop w:val="0"/>
          <w:marBottom w:val="0"/>
          <w:divBdr>
            <w:top w:val="none" w:sz="0" w:space="0" w:color="auto"/>
            <w:left w:val="none" w:sz="0" w:space="0" w:color="auto"/>
            <w:bottom w:val="none" w:sz="0" w:space="0" w:color="auto"/>
            <w:right w:val="none" w:sz="0" w:space="0" w:color="auto"/>
          </w:divBdr>
        </w:div>
        <w:div w:id="1232957850">
          <w:marLeft w:val="0"/>
          <w:marRight w:val="0"/>
          <w:marTop w:val="0"/>
          <w:marBottom w:val="0"/>
          <w:divBdr>
            <w:top w:val="none" w:sz="0" w:space="0" w:color="auto"/>
            <w:left w:val="none" w:sz="0" w:space="0" w:color="auto"/>
            <w:bottom w:val="none" w:sz="0" w:space="0" w:color="auto"/>
            <w:right w:val="none" w:sz="0" w:space="0" w:color="auto"/>
          </w:divBdr>
        </w:div>
        <w:div w:id="1308824460">
          <w:marLeft w:val="0"/>
          <w:marRight w:val="0"/>
          <w:marTop w:val="0"/>
          <w:marBottom w:val="0"/>
          <w:divBdr>
            <w:top w:val="none" w:sz="0" w:space="0" w:color="auto"/>
            <w:left w:val="none" w:sz="0" w:space="0" w:color="auto"/>
            <w:bottom w:val="none" w:sz="0" w:space="0" w:color="auto"/>
            <w:right w:val="none" w:sz="0" w:space="0" w:color="auto"/>
          </w:divBdr>
        </w:div>
        <w:div w:id="1533955989">
          <w:marLeft w:val="0"/>
          <w:marRight w:val="0"/>
          <w:marTop w:val="0"/>
          <w:marBottom w:val="0"/>
          <w:divBdr>
            <w:top w:val="none" w:sz="0" w:space="0" w:color="auto"/>
            <w:left w:val="none" w:sz="0" w:space="0" w:color="auto"/>
            <w:bottom w:val="none" w:sz="0" w:space="0" w:color="auto"/>
            <w:right w:val="none" w:sz="0" w:space="0" w:color="auto"/>
          </w:divBdr>
        </w:div>
        <w:div w:id="1620142340">
          <w:marLeft w:val="0"/>
          <w:marRight w:val="0"/>
          <w:marTop w:val="0"/>
          <w:marBottom w:val="0"/>
          <w:divBdr>
            <w:top w:val="none" w:sz="0" w:space="0" w:color="auto"/>
            <w:left w:val="none" w:sz="0" w:space="0" w:color="auto"/>
            <w:bottom w:val="none" w:sz="0" w:space="0" w:color="auto"/>
            <w:right w:val="none" w:sz="0" w:space="0" w:color="auto"/>
          </w:divBdr>
        </w:div>
        <w:div w:id="1621951746">
          <w:marLeft w:val="0"/>
          <w:marRight w:val="0"/>
          <w:marTop w:val="0"/>
          <w:marBottom w:val="0"/>
          <w:divBdr>
            <w:top w:val="none" w:sz="0" w:space="0" w:color="auto"/>
            <w:left w:val="none" w:sz="0" w:space="0" w:color="auto"/>
            <w:bottom w:val="none" w:sz="0" w:space="0" w:color="auto"/>
            <w:right w:val="none" w:sz="0" w:space="0" w:color="auto"/>
          </w:divBdr>
        </w:div>
        <w:div w:id="1739133848">
          <w:marLeft w:val="0"/>
          <w:marRight w:val="0"/>
          <w:marTop w:val="0"/>
          <w:marBottom w:val="0"/>
          <w:divBdr>
            <w:top w:val="none" w:sz="0" w:space="0" w:color="auto"/>
            <w:left w:val="none" w:sz="0" w:space="0" w:color="auto"/>
            <w:bottom w:val="none" w:sz="0" w:space="0" w:color="auto"/>
            <w:right w:val="none" w:sz="0" w:space="0" w:color="auto"/>
          </w:divBdr>
        </w:div>
        <w:div w:id="1881748473">
          <w:marLeft w:val="0"/>
          <w:marRight w:val="0"/>
          <w:marTop w:val="0"/>
          <w:marBottom w:val="0"/>
          <w:divBdr>
            <w:top w:val="none" w:sz="0" w:space="0" w:color="auto"/>
            <w:left w:val="none" w:sz="0" w:space="0" w:color="auto"/>
            <w:bottom w:val="none" w:sz="0" w:space="0" w:color="auto"/>
            <w:right w:val="none" w:sz="0" w:space="0" w:color="auto"/>
          </w:divBdr>
        </w:div>
        <w:div w:id="1896043389">
          <w:marLeft w:val="0"/>
          <w:marRight w:val="0"/>
          <w:marTop w:val="0"/>
          <w:marBottom w:val="0"/>
          <w:divBdr>
            <w:top w:val="none" w:sz="0" w:space="0" w:color="auto"/>
            <w:left w:val="none" w:sz="0" w:space="0" w:color="auto"/>
            <w:bottom w:val="none" w:sz="0" w:space="0" w:color="auto"/>
            <w:right w:val="none" w:sz="0" w:space="0" w:color="auto"/>
          </w:divBdr>
        </w:div>
        <w:div w:id="1928222408">
          <w:marLeft w:val="0"/>
          <w:marRight w:val="0"/>
          <w:marTop w:val="0"/>
          <w:marBottom w:val="0"/>
          <w:divBdr>
            <w:top w:val="none" w:sz="0" w:space="0" w:color="auto"/>
            <w:left w:val="none" w:sz="0" w:space="0" w:color="auto"/>
            <w:bottom w:val="none" w:sz="0" w:space="0" w:color="auto"/>
            <w:right w:val="none" w:sz="0" w:space="0" w:color="auto"/>
          </w:divBdr>
        </w:div>
        <w:div w:id="2017536916">
          <w:marLeft w:val="0"/>
          <w:marRight w:val="0"/>
          <w:marTop w:val="0"/>
          <w:marBottom w:val="0"/>
          <w:divBdr>
            <w:top w:val="none" w:sz="0" w:space="0" w:color="auto"/>
            <w:left w:val="none" w:sz="0" w:space="0" w:color="auto"/>
            <w:bottom w:val="none" w:sz="0" w:space="0" w:color="auto"/>
            <w:right w:val="none" w:sz="0" w:space="0" w:color="auto"/>
          </w:divBdr>
        </w:div>
        <w:div w:id="2103717871">
          <w:marLeft w:val="0"/>
          <w:marRight w:val="0"/>
          <w:marTop w:val="0"/>
          <w:marBottom w:val="0"/>
          <w:divBdr>
            <w:top w:val="none" w:sz="0" w:space="0" w:color="auto"/>
            <w:left w:val="none" w:sz="0" w:space="0" w:color="auto"/>
            <w:bottom w:val="none" w:sz="0" w:space="0" w:color="auto"/>
            <w:right w:val="none" w:sz="0" w:space="0" w:color="auto"/>
          </w:divBdr>
        </w:div>
      </w:divsChild>
    </w:div>
    <w:div w:id="391733080">
      <w:bodyDiv w:val="1"/>
      <w:marLeft w:val="0"/>
      <w:marRight w:val="0"/>
      <w:marTop w:val="0"/>
      <w:marBottom w:val="0"/>
      <w:divBdr>
        <w:top w:val="none" w:sz="0" w:space="0" w:color="auto"/>
        <w:left w:val="none" w:sz="0" w:space="0" w:color="auto"/>
        <w:bottom w:val="none" w:sz="0" w:space="0" w:color="auto"/>
        <w:right w:val="none" w:sz="0" w:space="0" w:color="auto"/>
      </w:divBdr>
      <w:divsChild>
        <w:div w:id="707532769">
          <w:marLeft w:val="0"/>
          <w:marRight w:val="0"/>
          <w:marTop w:val="120"/>
          <w:marBottom w:val="120"/>
          <w:divBdr>
            <w:top w:val="none" w:sz="0" w:space="0" w:color="auto"/>
            <w:left w:val="none" w:sz="0" w:space="0" w:color="auto"/>
            <w:bottom w:val="none" w:sz="0" w:space="0" w:color="auto"/>
            <w:right w:val="none" w:sz="0" w:space="0" w:color="auto"/>
          </w:divBdr>
        </w:div>
      </w:divsChild>
    </w:div>
    <w:div w:id="392628238">
      <w:bodyDiv w:val="1"/>
      <w:marLeft w:val="0"/>
      <w:marRight w:val="0"/>
      <w:marTop w:val="0"/>
      <w:marBottom w:val="0"/>
      <w:divBdr>
        <w:top w:val="none" w:sz="0" w:space="0" w:color="auto"/>
        <w:left w:val="none" w:sz="0" w:space="0" w:color="auto"/>
        <w:bottom w:val="none" w:sz="0" w:space="0" w:color="auto"/>
        <w:right w:val="none" w:sz="0" w:space="0" w:color="auto"/>
      </w:divBdr>
      <w:divsChild>
        <w:div w:id="44645850">
          <w:marLeft w:val="0"/>
          <w:marRight w:val="0"/>
          <w:marTop w:val="0"/>
          <w:marBottom w:val="0"/>
          <w:divBdr>
            <w:top w:val="none" w:sz="0" w:space="0" w:color="auto"/>
            <w:left w:val="none" w:sz="0" w:space="0" w:color="auto"/>
            <w:bottom w:val="none" w:sz="0" w:space="0" w:color="auto"/>
            <w:right w:val="none" w:sz="0" w:space="0" w:color="auto"/>
          </w:divBdr>
        </w:div>
        <w:div w:id="463281754">
          <w:marLeft w:val="0"/>
          <w:marRight w:val="0"/>
          <w:marTop w:val="0"/>
          <w:marBottom w:val="0"/>
          <w:divBdr>
            <w:top w:val="none" w:sz="0" w:space="0" w:color="auto"/>
            <w:left w:val="none" w:sz="0" w:space="0" w:color="auto"/>
            <w:bottom w:val="none" w:sz="0" w:space="0" w:color="auto"/>
            <w:right w:val="none" w:sz="0" w:space="0" w:color="auto"/>
          </w:divBdr>
        </w:div>
        <w:div w:id="888539031">
          <w:marLeft w:val="0"/>
          <w:marRight w:val="0"/>
          <w:marTop w:val="0"/>
          <w:marBottom w:val="0"/>
          <w:divBdr>
            <w:top w:val="none" w:sz="0" w:space="0" w:color="auto"/>
            <w:left w:val="none" w:sz="0" w:space="0" w:color="auto"/>
            <w:bottom w:val="none" w:sz="0" w:space="0" w:color="auto"/>
            <w:right w:val="none" w:sz="0" w:space="0" w:color="auto"/>
          </w:divBdr>
        </w:div>
        <w:div w:id="1326783262">
          <w:marLeft w:val="0"/>
          <w:marRight w:val="0"/>
          <w:marTop w:val="0"/>
          <w:marBottom w:val="0"/>
          <w:divBdr>
            <w:top w:val="none" w:sz="0" w:space="0" w:color="auto"/>
            <w:left w:val="none" w:sz="0" w:space="0" w:color="auto"/>
            <w:bottom w:val="none" w:sz="0" w:space="0" w:color="auto"/>
            <w:right w:val="none" w:sz="0" w:space="0" w:color="auto"/>
          </w:divBdr>
        </w:div>
        <w:div w:id="1626691186">
          <w:marLeft w:val="0"/>
          <w:marRight w:val="0"/>
          <w:marTop w:val="0"/>
          <w:marBottom w:val="0"/>
          <w:divBdr>
            <w:top w:val="none" w:sz="0" w:space="0" w:color="auto"/>
            <w:left w:val="none" w:sz="0" w:space="0" w:color="auto"/>
            <w:bottom w:val="none" w:sz="0" w:space="0" w:color="auto"/>
            <w:right w:val="none" w:sz="0" w:space="0" w:color="auto"/>
          </w:divBdr>
        </w:div>
        <w:div w:id="1848783841">
          <w:marLeft w:val="0"/>
          <w:marRight w:val="0"/>
          <w:marTop w:val="0"/>
          <w:marBottom w:val="0"/>
          <w:divBdr>
            <w:top w:val="none" w:sz="0" w:space="0" w:color="auto"/>
            <w:left w:val="none" w:sz="0" w:space="0" w:color="auto"/>
            <w:bottom w:val="none" w:sz="0" w:space="0" w:color="auto"/>
            <w:right w:val="none" w:sz="0" w:space="0" w:color="auto"/>
          </w:divBdr>
        </w:div>
        <w:div w:id="1925336598">
          <w:marLeft w:val="0"/>
          <w:marRight w:val="0"/>
          <w:marTop w:val="0"/>
          <w:marBottom w:val="0"/>
          <w:divBdr>
            <w:top w:val="none" w:sz="0" w:space="0" w:color="auto"/>
            <w:left w:val="none" w:sz="0" w:space="0" w:color="auto"/>
            <w:bottom w:val="none" w:sz="0" w:space="0" w:color="auto"/>
            <w:right w:val="none" w:sz="0" w:space="0" w:color="auto"/>
          </w:divBdr>
        </w:div>
      </w:divsChild>
    </w:div>
    <w:div w:id="394356504">
      <w:bodyDiv w:val="1"/>
      <w:marLeft w:val="0"/>
      <w:marRight w:val="0"/>
      <w:marTop w:val="0"/>
      <w:marBottom w:val="0"/>
      <w:divBdr>
        <w:top w:val="none" w:sz="0" w:space="0" w:color="auto"/>
        <w:left w:val="none" w:sz="0" w:space="0" w:color="auto"/>
        <w:bottom w:val="none" w:sz="0" w:space="0" w:color="auto"/>
        <w:right w:val="none" w:sz="0" w:space="0" w:color="auto"/>
      </w:divBdr>
    </w:div>
    <w:div w:id="397436469">
      <w:bodyDiv w:val="1"/>
      <w:marLeft w:val="0"/>
      <w:marRight w:val="0"/>
      <w:marTop w:val="0"/>
      <w:marBottom w:val="0"/>
      <w:divBdr>
        <w:top w:val="none" w:sz="0" w:space="0" w:color="auto"/>
        <w:left w:val="none" w:sz="0" w:space="0" w:color="auto"/>
        <w:bottom w:val="none" w:sz="0" w:space="0" w:color="auto"/>
        <w:right w:val="none" w:sz="0" w:space="0" w:color="auto"/>
      </w:divBdr>
    </w:div>
    <w:div w:id="402146265">
      <w:bodyDiv w:val="1"/>
      <w:marLeft w:val="0"/>
      <w:marRight w:val="0"/>
      <w:marTop w:val="0"/>
      <w:marBottom w:val="0"/>
      <w:divBdr>
        <w:top w:val="none" w:sz="0" w:space="0" w:color="auto"/>
        <w:left w:val="none" w:sz="0" w:space="0" w:color="auto"/>
        <w:bottom w:val="none" w:sz="0" w:space="0" w:color="auto"/>
        <w:right w:val="none" w:sz="0" w:space="0" w:color="auto"/>
      </w:divBdr>
    </w:div>
    <w:div w:id="406728284">
      <w:bodyDiv w:val="1"/>
      <w:marLeft w:val="0"/>
      <w:marRight w:val="0"/>
      <w:marTop w:val="0"/>
      <w:marBottom w:val="0"/>
      <w:divBdr>
        <w:top w:val="none" w:sz="0" w:space="0" w:color="auto"/>
        <w:left w:val="none" w:sz="0" w:space="0" w:color="auto"/>
        <w:bottom w:val="none" w:sz="0" w:space="0" w:color="auto"/>
        <w:right w:val="none" w:sz="0" w:space="0" w:color="auto"/>
      </w:divBdr>
    </w:div>
    <w:div w:id="407966104">
      <w:bodyDiv w:val="1"/>
      <w:marLeft w:val="0"/>
      <w:marRight w:val="0"/>
      <w:marTop w:val="0"/>
      <w:marBottom w:val="0"/>
      <w:divBdr>
        <w:top w:val="none" w:sz="0" w:space="0" w:color="auto"/>
        <w:left w:val="none" w:sz="0" w:space="0" w:color="auto"/>
        <w:bottom w:val="none" w:sz="0" w:space="0" w:color="auto"/>
        <w:right w:val="none" w:sz="0" w:space="0" w:color="auto"/>
      </w:divBdr>
    </w:div>
    <w:div w:id="408115912">
      <w:bodyDiv w:val="1"/>
      <w:marLeft w:val="0"/>
      <w:marRight w:val="0"/>
      <w:marTop w:val="0"/>
      <w:marBottom w:val="0"/>
      <w:divBdr>
        <w:top w:val="none" w:sz="0" w:space="0" w:color="auto"/>
        <w:left w:val="none" w:sz="0" w:space="0" w:color="auto"/>
        <w:bottom w:val="none" w:sz="0" w:space="0" w:color="auto"/>
        <w:right w:val="none" w:sz="0" w:space="0" w:color="auto"/>
      </w:divBdr>
    </w:div>
    <w:div w:id="408622058">
      <w:bodyDiv w:val="1"/>
      <w:marLeft w:val="0"/>
      <w:marRight w:val="0"/>
      <w:marTop w:val="0"/>
      <w:marBottom w:val="0"/>
      <w:divBdr>
        <w:top w:val="none" w:sz="0" w:space="0" w:color="auto"/>
        <w:left w:val="none" w:sz="0" w:space="0" w:color="auto"/>
        <w:bottom w:val="none" w:sz="0" w:space="0" w:color="auto"/>
        <w:right w:val="none" w:sz="0" w:space="0" w:color="auto"/>
      </w:divBdr>
    </w:div>
    <w:div w:id="420101151">
      <w:bodyDiv w:val="1"/>
      <w:marLeft w:val="0"/>
      <w:marRight w:val="0"/>
      <w:marTop w:val="0"/>
      <w:marBottom w:val="0"/>
      <w:divBdr>
        <w:top w:val="none" w:sz="0" w:space="0" w:color="auto"/>
        <w:left w:val="none" w:sz="0" w:space="0" w:color="auto"/>
        <w:bottom w:val="none" w:sz="0" w:space="0" w:color="auto"/>
        <w:right w:val="none" w:sz="0" w:space="0" w:color="auto"/>
      </w:divBdr>
    </w:div>
    <w:div w:id="421680758">
      <w:bodyDiv w:val="1"/>
      <w:marLeft w:val="0"/>
      <w:marRight w:val="0"/>
      <w:marTop w:val="0"/>
      <w:marBottom w:val="0"/>
      <w:divBdr>
        <w:top w:val="none" w:sz="0" w:space="0" w:color="auto"/>
        <w:left w:val="none" w:sz="0" w:space="0" w:color="auto"/>
        <w:bottom w:val="none" w:sz="0" w:space="0" w:color="auto"/>
        <w:right w:val="none" w:sz="0" w:space="0" w:color="auto"/>
      </w:divBdr>
    </w:div>
    <w:div w:id="424888702">
      <w:bodyDiv w:val="1"/>
      <w:marLeft w:val="0"/>
      <w:marRight w:val="0"/>
      <w:marTop w:val="0"/>
      <w:marBottom w:val="0"/>
      <w:divBdr>
        <w:top w:val="none" w:sz="0" w:space="0" w:color="auto"/>
        <w:left w:val="none" w:sz="0" w:space="0" w:color="auto"/>
        <w:bottom w:val="none" w:sz="0" w:space="0" w:color="auto"/>
        <w:right w:val="none" w:sz="0" w:space="0" w:color="auto"/>
      </w:divBdr>
    </w:div>
    <w:div w:id="428238696">
      <w:bodyDiv w:val="1"/>
      <w:marLeft w:val="0"/>
      <w:marRight w:val="0"/>
      <w:marTop w:val="0"/>
      <w:marBottom w:val="0"/>
      <w:divBdr>
        <w:top w:val="none" w:sz="0" w:space="0" w:color="auto"/>
        <w:left w:val="none" w:sz="0" w:space="0" w:color="auto"/>
        <w:bottom w:val="none" w:sz="0" w:space="0" w:color="auto"/>
        <w:right w:val="none" w:sz="0" w:space="0" w:color="auto"/>
      </w:divBdr>
    </w:div>
    <w:div w:id="431781176">
      <w:bodyDiv w:val="1"/>
      <w:marLeft w:val="0"/>
      <w:marRight w:val="0"/>
      <w:marTop w:val="0"/>
      <w:marBottom w:val="0"/>
      <w:divBdr>
        <w:top w:val="none" w:sz="0" w:space="0" w:color="auto"/>
        <w:left w:val="none" w:sz="0" w:space="0" w:color="auto"/>
        <w:bottom w:val="none" w:sz="0" w:space="0" w:color="auto"/>
        <w:right w:val="none" w:sz="0" w:space="0" w:color="auto"/>
      </w:divBdr>
    </w:div>
    <w:div w:id="433136690">
      <w:bodyDiv w:val="1"/>
      <w:marLeft w:val="0"/>
      <w:marRight w:val="0"/>
      <w:marTop w:val="0"/>
      <w:marBottom w:val="0"/>
      <w:divBdr>
        <w:top w:val="none" w:sz="0" w:space="0" w:color="auto"/>
        <w:left w:val="none" w:sz="0" w:space="0" w:color="auto"/>
        <w:bottom w:val="none" w:sz="0" w:space="0" w:color="auto"/>
        <w:right w:val="none" w:sz="0" w:space="0" w:color="auto"/>
      </w:divBdr>
    </w:div>
    <w:div w:id="435978227">
      <w:bodyDiv w:val="1"/>
      <w:marLeft w:val="0"/>
      <w:marRight w:val="0"/>
      <w:marTop w:val="0"/>
      <w:marBottom w:val="0"/>
      <w:divBdr>
        <w:top w:val="none" w:sz="0" w:space="0" w:color="auto"/>
        <w:left w:val="none" w:sz="0" w:space="0" w:color="auto"/>
        <w:bottom w:val="none" w:sz="0" w:space="0" w:color="auto"/>
        <w:right w:val="none" w:sz="0" w:space="0" w:color="auto"/>
      </w:divBdr>
    </w:div>
    <w:div w:id="443304292">
      <w:bodyDiv w:val="1"/>
      <w:marLeft w:val="0"/>
      <w:marRight w:val="0"/>
      <w:marTop w:val="0"/>
      <w:marBottom w:val="0"/>
      <w:divBdr>
        <w:top w:val="none" w:sz="0" w:space="0" w:color="auto"/>
        <w:left w:val="none" w:sz="0" w:space="0" w:color="auto"/>
        <w:bottom w:val="none" w:sz="0" w:space="0" w:color="auto"/>
        <w:right w:val="none" w:sz="0" w:space="0" w:color="auto"/>
      </w:divBdr>
    </w:div>
    <w:div w:id="449129546">
      <w:bodyDiv w:val="1"/>
      <w:marLeft w:val="0"/>
      <w:marRight w:val="0"/>
      <w:marTop w:val="0"/>
      <w:marBottom w:val="0"/>
      <w:divBdr>
        <w:top w:val="none" w:sz="0" w:space="0" w:color="auto"/>
        <w:left w:val="none" w:sz="0" w:space="0" w:color="auto"/>
        <w:bottom w:val="none" w:sz="0" w:space="0" w:color="auto"/>
        <w:right w:val="none" w:sz="0" w:space="0" w:color="auto"/>
      </w:divBdr>
    </w:div>
    <w:div w:id="453788049">
      <w:bodyDiv w:val="1"/>
      <w:marLeft w:val="0"/>
      <w:marRight w:val="0"/>
      <w:marTop w:val="0"/>
      <w:marBottom w:val="0"/>
      <w:divBdr>
        <w:top w:val="none" w:sz="0" w:space="0" w:color="auto"/>
        <w:left w:val="none" w:sz="0" w:space="0" w:color="auto"/>
        <w:bottom w:val="none" w:sz="0" w:space="0" w:color="auto"/>
        <w:right w:val="none" w:sz="0" w:space="0" w:color="auto"/>
      </w:divBdr>
    </w:div>
    <w:div w:id="457264361">
      <w:bodyDiv w:val="1"/>
      <w:marLeft w:val="0"/>
      <w:marRight w:val="0"/>
      <w:marTop w:val="0"/>
      <w:marBottom w:val="0"/>
      <w:divBdr>
        <w:top w:val="none" w:sz="0" w:space="0" w:color="auto"/>
        <w:left w:val="none" w:sz="0" w:space="0" w:color="auto"/>
        <w:bottom w:val="none" w:sz="0" w:space="0" w:color="auto"/>
        <w:right w:val="none" w:sz="0" w:space="0" w:color="auto"/>
      </w:divBdr>
    </w:div>
    <w:div w:id="459543456">
      <w:bodyDiv w:val="1"/>
      <w:marLeft w:val="0"/>
      <w:marRight w:val="0"/>
      <w:marTop w:val="0"/>
      <w:marBottom w:val="0"/>
      <w:divBdr>
        <w:top w:val="none" w:sz="0" w:space="0" w:color="auto"/>
        <w:left w:val="none" w:sz="0" w:space="0" w:color="auto"/>
        <w:bottom w:val="none" w:sz="0" w:space="0" w:color="auto"/>
        <w:right w:val="none" w:sz="0" w:space="0" w:color="auto"/>
      </w:divBdr>
    </w:div>
    <w:div w:id="461535770">
      <w:bodyDiv w:val="1"/>
      <w:marLeft w:val="0"/>
      <w:marRight w:val="0"/>
      <w:marTop w:val="0"/>
      <w:marBottom w:val="0"/>
      <w:divBdr>
        <w:top w:val="none" w:sz="0" w:space="0" w:color="auto"/>
        <w:left w:val="none" w:sz="0" w:space="0" w:color="auto"/>
        <w:bottom w:val="none" w:sz="0" w:space="0" w:color="auto"/>
        <w:right w:val="none" w:sz="0" w:space="0" w:color="auto"/>
      </w:divBdr>
    </w:div>
    <w:div w:id="464205391">
      <w:bodyDiv w:val="1"/>
      <w:marLeft w:val="0"/>
      <w:marRight w:val="0"/>
      <w:marTop w:val="0"/>
      <w:marBottom w:val="0"/>
      <w:divBdr>
        <w:top w:val="none" w:sz="0" w:space="0" w:color="auto"/>
        <w:left w:val="none" w:sz="0" w:space="0" w:color="auto"/>
        <w:bottom w:val="none" w:sz="0" w:space="0" w:color="auto"/>
        <w:right w:val="none" w:sz="0" w:space="0" w:color="auto"/>
      </w:divBdr>
    </w:div>
    <w:div w:id="464548490">
      <w:bodyDiv w:val="1"/>
      <w:marLeft w:val="0"/>
      <w:marRight w:val="0"/>
      <w:marTop w:val="0"/>
      <w:marBottom w:val="0"/>
      <w:divBdr>
        <w:top w:val="none" w:sz="0" w:space="0" w:color="auto"/>
        <w:left w:val="none" w:sz="0" w:space="0" w:color="auto"/>
        <w:bottom w:val="none" w:sz="0" w:space="0" w:color="auto"/>
        <w:right w:val="none" w:sz="0" w:space="0" w:color="auto"/>
      </w:divBdr>
    </w:div>
    <w:div w:id="467473624">
      <w:bodyDiv w:val="1"/>
      <w:marLeft w:val="0"/>
      <w:marRight w:val="0"/>
      <w:marTop w:val="0"/>
      <w:marBottom w:val="0"/>
      <w:divBdr>
        <w:top w:val="none" w:sz="0" w:space="0" w:color="auto"/>
        <w:left w:val="none" w:sz="0" w:space="0" w:color="auto"/>
        <w:bottom w:val="none" w:sz="0" w:space="0" w:color="auto"/>
        <w:right w:val="none" w:sz="0" w:space="0" w:color="auto"/>
      </w:divBdr>
    </w:div>
    <w:div w:id="467817836">
      <w:bodyDiv w:val="1"/>
      <w:marLeft w:val="0"/>
      <w:marRight w:val="0"/>
      <w:marTop w:val="0"/>
      <w:marBottom w:val="0"/>
      <w:divBdr>
        <w:top w:val="none" w:sz="0" w:space="0" w:color="auto"/>
        <w:left w:val="none" w:sz="0" w:space="0" w:color="auto"/>
        <w:bottom w:val="none" w:sz="0" w:space="0" w:color="auto"/>
        <w:right w:val="none" w:sz="0" w:space="0" w:color="auto"/>
      </w:divBdr>
    </w:div>
    <w:div w:id="484669608">
      <w:bodyDiv w:val="1"/>
      <w:marLeft w:val="0"/>
      <w:marRight w:val="0"/>
      <w:marTop w:val="0"/>
      <w:marBottom w:val="0"/>
      <w:divBdr>
        <w:top w:val="none" w:sz="0" w:space="0" w:color="auto"/>
        <w:left w:val="none" w:sz="0" w:space="0" w:color="auto"/>
        <w:bottom w:val="none" w:sz="0" w:space="0" w:color="auto"/>
        <w:right w:val="none" w:sz="0" w:space="0" w:color="auto"/>
      </w:divBdr>
    </w:div>
    <w:div w:id="486364148">
      <w:bodyDiv w:val="1"/>
      <w:marLeft w:val="0"/>
      <w:marRight w:val="0"/>
      <w:marTop w:val="0"/>
      <w:marBottom w:val="0"/>
      <w:divBdr>
        <w:top w:val="none" w:sz="0" w:space="0" w:color="auto"/>
        <w:left w:val="none" w:sz="0" w:space="0" w:color="auto"/>
        <w:bottom w:val="none" w:sz="0" w:space="0" w:color="auto"/>
        <w:right w:val="none" w:sz="0" w:space="0" w:color="auto"/>
      </w:divBdr>
    </w:div>
    <w:div w:id="500971971">
      <w:bodyDiv w:val="1"/>
      <w:marLeft w:val="0"/>
      <w:marRight w:val="0"/>
      <w:marTop w:val="0"/>
      <w:marBottom w:val="0"/>
      <w:divBdr>
        <w:top w:val="none" w:sz="0" w:space="0" w:color="auto"/>
        <w:left w:val="none" w:sz="0" w:space="0" w:color="auto"/>
        <w:bottom w:val="none" w:sz="0" w:space="0" w:color="auto"/>
        <w:right w:val="none" w:sz="0" w:space="0" w:color="auto"/>
      </w:divBdr>
    </w:div>
    <w:div w:id="509221810">
      <w:bodyDiv w:val="1"/>
      <w:marLeft w:val="0"/>
      <w:marRight w:val="0"/>
      <w:marTop w:val="0"/>
      <w:marBottom w:val="0"/>
      <w:divBdr>
        <w:top w:val="none" w:sz="0" w:space="0" w:color="auto"/>
        <w:left w:val="none" w:sz="0" w:space="0" w:color="auto"/>
        <w:bottom w:val="none" w:sz="0" w:space="0" w:color="auto"/>
        <w:right w:val="none" w:sz="0" w:space="0" w:color="auto"/>
      </w:divBdr>
    </w:div>
    <w:div w:id="521280089">
      <w:bodyDiv w:val="1"/>
      <w:marLeft w:val="0"/>
      <w:marRight w:val="0"/>
      <w:marTop w:val="0"/>
      <w:marBottom w:val="0"/>
      <w:divBdr>
        <w:top w:val="none" w:sz="0" w:space="0" w:color="auto"/>
        <w:left w:val="none" w:sz="0" w:space="0" w:color="auto"/>
        <w:bottom w:val="none" w:sz="0" w:space="0" w:color="auto"/>
        <w:right w:val="none" w:sz="0" w:space="0" w:color="auto"/>
      </w:divBdr>
    </w:div>
    <w:div w:id="525748965">
      <w:bodyDiv w:val="1"/>
      <w:marLeft w:val="0"/>
      <w:marRight w:val="0"/>
      <w:marTop w:val="0"/>
      <w:marBottom w:val="0"/>
      <w:divBdr>
        <w:top w:val="none" w:sz="0" w:space="0" w:color="auto"/>
        <w:left w:val="none" w:sz="0" w:space="0" w:color="auto"/>
        <w:bottom w:val="none" w:sz="0" w:space="0" w:color="auto"/>
        <w:right w:val="none" w:sz="0" w:space="0" w:color="auto"/>
      </w:divBdr>
    </w:div>
    <w:div w:id="528756797">
      <w:bodyDiv w:val="1"/>
      <w:marLeft w:val="0"/>
      <w:marRight w:val="0"/>
      <w:marTop w:val="0"/>
      <w:marBottom w:val="0"/>
      <w:divBdr>
        <w:top w:val="none" w:sz="0" w:space="0" w:color="auto"/>
        <w:left w:val="none" w:sz="0" w:space="0" w:color="auto"/>
        <w:bottom w:val="none" w:sz="0" w:space="0" w:color="auto"/>
        <w:right w:val="none" w:sz="0" w:space="0" w:color="auto"/>
      </w:divBdr>
    </w:div>
    <w:div w:id="529756587">
      <w:bodyDiv w:val="1"/>
      <w:marLeft w:val="0"/>
      <w:marRight w:val="0"/>
      <w:marTop w:val="0"/>
      <w:marBottom w:val="0"/>
      <w:divBdr>
        <w:top w:val="none" w:sz="0" w:space="0" w:color="auto"/>
        <w:left w:val="none" w:sz="0" w:space="0" w:color="auto"/>
        <w:bottom w:val="none" w:sz="0" w:space="0" w:color="auto"/>
        <w:right w:val="none" w:sz="0" w:space="0" w:color="auto"/>
      </w:divBdr>
    </w:div>
    <w:div w:id="532807998">
      <w:bodyDiv w:val="1"/>
      <w:marLeft w:val="0"/>
      <w:marRight w:val="0"/>
      <w:marTop w:val="0"/>
      <w:marBottom w:val="0"/>
      <w:divBdr>
        <w:top w:val="none" w:sz="0" w:space="0" w:color="auto"/>
        <w:left w:val="none" w:sz="0" w:space="0" w:color="auto"/>
        <w:bottom w:val="none" w:sz="0" w:space="0" w:color="auto"/>
        <w:right w:val="none" w:sz="0" w:space="0" w:color="auto"/>
      </w:divBdr>
    </w:div>
    <w:div w:id="534857089">
      <w:bodyDiv w:val="1"/>
      <w:marLeft w:val="0"/>
      <w:marRight w:val="0"/>
      <w:marTop w:val="0"/>
      <w:marBottom w:val="0"/>
      <w:divBdr>
        <w:top w:val="none" w:sz="0" w:space="0" w:color="auto"/>
        <w:left w:val="none" w:sz="0" w:space="0" w:color="auto"/>
        <w:bottom w:val="none" w:sz="0" w:space="0" w:color="auto"/>
        <w:right w:val="none" w:sz="0" w:space="0" w:color="auto"/>
      </w:divBdr>
    </w:div>
    <w:div w:id="535854168">
      <w:bodyDiv w:val="1"/>
      <w:marLeft w:val="0"/>
      <w:marRight w:val="0"/>
      <w:marTop w:val="0"/>
      <w:marBottom w:val="0"/>
      <w:divBdr>
        <w:top w:val="none" w:sz="0" w:space="0" w:color="auto"/>
        <w:left w:val="none" w:sz="0" w:space="0" w:color="auto"/>
        <w:bottom w:val="none" w:sz="0" w:space="0" w:color="auto"/>
        <w:right w:val="none" w:sz="0" w:space="0" w:color="auto"/>
      </w:divBdr>
    </w:div>
    <w:div w:id="535971903">
      <w:bodyDiv w:val="1"/>
      <w:marLeft w:val="0"/>
      <w:marRight w:val="0"/>
      <w:marTop w:val="0"/>
      <w:marBottom w:val="0"/>
      <w:divBdr>
        <w:top w:val="none" w:sz="0" w:space="0" w:color="auto"/>
        <w:left w:val="none" w:sz="0" w:space="0" w:color="auto"/>
        <w:bottom w:val="none" w:sz="0" w:space="0" w:color="auto"/>
        <w:right w:val="none" w:sz="0" w:space="0" w:color="auto"/>
      </w:divBdr>
      <w:divsChild>
        <w:div w:id="5332828">
          <w:marLeft w:val="0"/>
          <w:marRight w:val="0"/>
          <w:marTop w:val="0"/>
          <w:marBottom w:val="0"/>
          <w:divBdr>
            <w:top w:val="none" w:sz="0" w:space="0" w:color="auto"/>
            <w:left w:val="none" w:sz="0" w:space="0" w:color="auto"/>
            <w:bottom w:val="none" w:sz="0" w:space="0" w:color="auto"/>
            <w:right w:val="none" w:sz="0" w:space="0" w:color="auto"/>
          </w:divBdr>
        </w:div>
        <w:div w:id="175510125">
          <w:marLeft w:val="0"/>
          <w:marRight w:val="0"/>
          <w:marTop w:val="0"/>
          <w:marBottom w:val="0"/>
          <w:divBdr>
            <w:top w:val="none" w:sz="0" w:space="0" w:color="auto"/>
            <w:left w:val="none" w:sz="0" w:space="0" w:color="auto"/>
            <w:bottom w:val="none" w:sz="0" w:space="0" w:color="auto"/>
            <w:right w:val="none" w:sz="0" w:space="0" w:color="auto"/>
          </w:divBdr>
        </w:div>
        <w:div w:id="381557716">
          <w:marLeft w:val="0"/>
          <w:marRight w:val="0"/>
          <w:marTop w:val="0"/>
          <w:marBottom w:val="0"/>
          <w:divBdr>
            <w:top w:val="none" w:sz="0" w:space="0" w:color="auto"/>
            <w:left w:val="none" w:sz="0" w:space="0" w:color="auto"/>
            <w:bottom w:val="none" w:sz="0" w:space="0" w:color="auto"/>
            <w:right w:val="none" w:sz="0" w:space="0" w:color="auto"/>
          </w:divBdr>
        </w:div>
        <w:div w:id="452332343">
          <w:marLeft w:val="0"/>
          <w:marRight w:val="0"/>
          <w:marTop w:val="0"/>
          <w:marBottom w:val="0"/>
          <w:divBdr>
            <w:top w:val="none" w:sz="0" w:space="0" w:color="auto"/>
            <w:left w:val="none" w:sz="0" w:space="0" w:color="auto"/>
            <w:bottom w:val="none" w:sz="0" w:space="0" w:color="auto"/>
            <w:right w:val="none" w:sz="0" w:space="0" w:color="auto"/>
          </w:divBdr>
        </w:div>
        <w:div w:id="468598581">
          <w:marLeft w:val="0"/>
          <w:marRight w:val="0"/>
          <w:marTop w:val="0"/>
          <w:marBottom w:val="0"/>
          <w:divBdr>
            <w:top w:val="none" w:sz="0" w:space="0" w:color="auto"/>
            <w:left w:val="none" w:sz="0" w:space="0" w:color="auto"/>
            <w:bottom w:val="none" w:sz="0" w:space="0" w:color="auto"/>
            <w:right w:val="none" w:sz="0" w:space="0" w:color="auto"/>
          </w:divBdr>
        </w:div>
        <w:div w:id="535851270">
          <w:marLeft w:val="0"/>
          <w:marRight w:val="0"/>
          <w:marTop w:val="0"/>
          <w:marBottom w:val="0"/>
          <w:divBdr>
            <w:top w:val="none" w:sz="0" w:space="0" w:color="auto"/>
            <w:left w:val="none" w:sz="0" w:space="0" w:color="auto"/>
            <w:bottom w:val="none" w:sz="0" w:space="0" w:color="auto"/>
            <w:right w:val="none" w:sz="0" w:space="0" w:color="auto"/>
          </w:divBdr>
        </w:div>
        <w:div w:id="547183107">
          <w:marLeft w:val="0"/>
          <w:marRight w:val="0"/>
          <w:marTop w:val="0"/>
          <w:marBottom w:val="0"/>
          <w:divBdr>
            <w:top w:val="none" w:sz="0" w:space="0" w:color="auto"/>
            <w:left w:val="none" w:sz="0" w:space="0" w:color="auto"/>
            <w:bottom w:val="none" w:sz="0" w:space="0" w:color="auto"/>
            <w:right w:val="none" w:sz="0" w:space="0" w:color="auto"/>
          </w:divBdr>
        </w:div>
        <w:div w:id="566957603">
          <w:marLeft w:val="0"/>
          <w:marRight w:val="0"/>
          <w:marTop w:val="0"/>
          <w:marBottom w:val="0"/>
          <w:divBdr>
            <w:top w:val="none" w:sz="0" w:space="0" w:color="auto"/>
            <w:left w:val="none" w:sz="0" w:space="0" w:color="auto"/>
            <w:bottom w:val="none" w:sz="0" w:space="0" w:color="auto"/>
            <w:right w:val="none" w:sz="0" w:space="0" w:color="auto"/>
          </w:divBdr>
        </w:div>
        <w:div w:id="797720388">
          <w:marLeft w:val="0"/>
          <w:marRight w:val="0"/>
          <w:marTop w:val="0"/>
          <w:marBottom w:val="0"/>
          <w:divBdr>
            <w:top w:val="none" w:sz="0" w:space="0" w:color="auto"/>
            <w:left w:val="none" w:sz="0" w:space="0" w:color="auto"/>
            <w:bottom w:val="none" w:sz="0" w:space="0" w:color="auto"/>
            <w:right w:val="none" w:sz="0" w:space="0" w:color="auto"/>
          </w:divBdr>
        </w:div>
        <w:div w:id="844053415">
          <w:marLeft w:val="0"/>
          <w:marRight w:val="0"/>
          <w:marTop w:val="0"/>
          <w:marBottom w:val="0"/>
          <w:divBdr>
            <w:top w:val="none" w:sz="0" w:space="0" w:color="auto"/>
            <w:left w:val="none" w:sz="0" w:space="0" w:color="auto"/>
            <w:bottom w:val="none" w:sz="0" w:space="0" w:color="auto"/>
            <w:right w:val="none" w:sz="0" w:space="0" w:color="auto"/>
          </w:divBdr>
        </w:div>
        <w:div w:id="852500717">
          <w:marLeft w:val="0"/>
          <w:marRight w:val="0"/>
          <w:marTop w:val="0"/>
          <w:marBottom w:val="0"/>
          <w:divBdr>
            <w:top w:val="none" w:sz="0" w:space="0" w:color="auto"/>
            <w:left w:val="none" w:sz="0" w:space="0" w:color="auto"/>
            <w:bottom w:val="none" w:sz="0" w:space="0" w:color="auto"/>
            <w:right w:val="none" w:sz="0" w:space="0" w:color="auto"/>
          </w:divBdr>
        </w:div>
        <w:div w:id="1049181482">
          <w:marLeft w:val="0"/>
          <w:marRight w:val="0"/>
          <w:marTop w:val="0"/>
          <w:marBottom w:val="0"/>
          <w:divBdr>
            <w:top w:val="none" w:sz="0" w:space="0" w:color="auto"/>
            <w:left w:val="none" w:sz="0" w:space="0" w:color="auto"/>
            <w:bottom w:val="none" w:sz="0" w:space="0" w:color="auto"/>
            <w:right w:val="none" w:sz="0" w:space="0" w:color="auto"/>
          </w:divBdr>
        </w:div>
        <w:div w:id="1072310152">
          <w:marLeft w:val="0"/>
          <w:marRight w:val="0"/>
          <w:marTop w:val="0"/>
          <w:marBottom w:val="0"/>
          <w:divBdr>
            <w:top w:val="none" w:sz="0" w:space="0" w:color="auto"/>
            <w:left w:val="none" w:sz="0" w:space="0" w:color="auto"/>
            <w:bottom w:val="none" w:sz="0" w:space="0" w:color="auto"/>
            <w:right w:val="none" w:sz="0" w:space="0" w:color="auto"/>
          </w:divBdr>
        </w:div>
        <w:div w:id="1098792235">
          <w:marLeft w:val="0"/>
          <w:marRight w:val="0"/>
          <w:marTop w:val="0"/>
          <w:marBottom w:val="0"/>
          <w:divBdr>
            <w:top w:val="none" w:sz="0" w:space="0" w:color="auto"/>
            <w:left w:val="none" w:sz="0" w:space="0" w:color="auto"/>
            <w:bottom w:val="none" w:sz="0" w:space="0" w:color="auto"/>
            <w:right w:val="none" w:sz="0" w:space="0" w:color="auto"/>
          </w:divBdr>
        </w:div>
        <w:div w:id="1110660475">
          <w:marLeft w:val="0"/>
          <w:marRight w:val="0"/>
          <w:marTop w:val="0"/>
          <w:marBottom w:val="0"/>
          <w:divBdr>
            <w:top w:val="none" w:sz="0" w:space="0" w:color="auto"/>
            <w:left w:val="none" w:sz="0" w:space="0" w:color="auto"/>
            <w:bottom w:val="none" w:sz="0" w:space="0" w:color="auto"/>
            <w:right w:val="none" w:sz="0" w:space="0" w:color="auto"/>
          </w:divBdr>
        </w:div>
        <w:div w:id="1160541574">
          <w:marLeft w:val="0"/>
          <w:marRight w:val="0"/>
          <w:marTop w:val="0"/>
          <w:marBottom w:val="0"/>
          <w:divBdr>
            <w:top w:val="none" w:sz="0" w:space="0" w:color="auto"/>
            <w:left w:val="none" w:sz="0" w:space="0" w:color="auto"/>
            <w:bottom w:val="none" w:sz="0" w:space="0" w:color="auto"/>
            <w:right w:val="none" w:sz="0" w:space="0" w:color="auto"/>
          </w:divBdr>
        </w:div>
        <w:div w:id="1225220587">
          <w:marLeft w:val="0"/>
          <w:marRight w:val="0"/>
          <w:marTop w:val="0"/>
          <w:marBottom w:val="0"/>
          <w:divBdr>
            <w:top w:val="none" w:sz="0" w:space="0" w:color="auto"/>
            <w:left w:val="none" w:sz="0" w:space="0" w:color="auto"/>
            <w:bottom w:val="none" w:sz="0" w:space="0" w:color="auto"/>
            <w:right w:val="none" w:sz="0" w:space="0" w:color="auto"/>
          </w:divBdr>
        </w:div>
        <w:div w:id="1339845384">
          <w:marLeft w:val="0"/>
          <w:marRight w:val="0"/>
          <w:marTop w:val="0"/>
          <w:marBottom w:val="0"/>
          <w:divBdr>
            <w:top w:val="none" w:sz="0" w:space="0" w:color="auto"/>
            <w:left w:val="none" w:sz="0" w:space="0" w:color="auto"/>
            <w:bottom w:val="none" w:sz="0" w:space="0" w:color="auto"/>
            <w:right w:val="none" w:sz="0" w:space="0" w:color="auto"/>
          </w:divBdr>
        </w:div>
        <w:div w:id="1392147907">
          <w:marLeft w:val="0"/>
          <w:marRight w:val="0"/>
          <w:marTop w:val="0"/>
          <w:marBottom w:val="0"/>
          <w:divBdr>
            <w:top w:val="none" w:sz="0" w:space="0" w:color="auto"/>
            <w:left w:val="none" w:sz="0" w:space="0" w:color="auto"/>
            <w:bottom w:val="none" w:sz="0" w:space="0" w:color="auto"/>
            <w:right w:val="none" w:sz="0" w:space="0" w:color="auto"/>
          </w:divBdr>
        </w:div>
        <w:div w:id="1440488061">
          <w:marLeft w:val="0"/>
          <w:marRight w:val="0"/>
          <w:marTop w:val="0"/>
          <w:marBottom w:val="0"/>
          <w:divBdr>
            <w:top w:val="none" w:sz="0" w:space="0" w:color="auto"/>
            <w:left w:val="none" w:sz="0" w:space="0" w:color="auto"/>
            <w:bottom w:val="none" w:sz="0" w:space="0" w:color="auto"/>
            <w:right w:val="none" w:sz="0" w:space="0" w:color="auto"/>
          </w:divBdr>
        </w:div>
        <w:div w:id="1630739274">
          <w:marLeft w:val="0"/>
          <w:marRight w:val="0"/>
          <w:marTop w:val="0"/>
          <w:marBottom w:val="0"/>
          <w:divBdr>
            <w:top w:val="none" w:sz="0" w:space="0" w:color="auto"/>
            <w:left w:val="none" w:sz="0" w:space="0" w:color="auto"/>
            <w:bottom w:val="none" w:sz="0" w:space="0" w:color="auto"/>
            <w:right w:val="none" w:sz="0" w:space="0" w:color="auto"/>
          </w:divBdr>
        </w:div>
        <w:div w:id="1659268506">
          <w:marLeft w:val="0"/>
          <w:marRight w:val="0"/>
          <w:marTop w:val="0"/>
          <w:marBottom w:val="0"/>
          <w:divBdr>
            <w:top w:val="none" w:sz="0" w:space="0" w:color="auto"/>
            <w:left w:val="none" w:sz="0" w:space="0" w:color="auto"/>
            <w:bottom w:val="none" w:sz="0" w:space="0" w:color="auto"/>
            <w:right w:val="none" w:sz="0" w:space="0" w:color="auto"/>
          </w:divBdr>
        </w:div>
        <w:div w:id="1684163019">
          <w:marLeft w:val="0"/>
          <w:marRight w:val="0"/>
          <w:marTop w:val="0"/>
          <w:marBottom w:val="0"/>
          <w:divBdr>
            <w:top w:val="none" w:sz="0" w:space="0" w:color="auto"/>
            <w:left w:val="none" w:sz="0" w:space="0" w:color="auto"/>
            <w:bottom w:val="none" w:sz="0" w:space="0" w:color="auto"/>
            <w:right w:val="none" w:sz="0" w:space="0" w:color="auto"/>
          </w:divBdr>
        </w:div>
        <w:div w:id="1741827125">
          <w:marLeft w:val="0"/>
          <w:marRight w:val="0"/>
          <w:marTop w:val="0"/>
          <w:marBottom w:val="0"/>
          <w:divBdr>
            <w:top w:val="none" w:sz="0" w:space="0" w:color="auto"/>
            <w:left w:val="none" w:sz="0" w:space="0" w:color="auto"/>
            <w:bottom w:val="none" w:sz="0" w:space="0" w:color="auto"/>
            <w:right w:val="none" w:sz="0" w:space="0" w:color="auto"/>
          </w:divBdr>
        </w:div>
        <w:div w:id="1783644088">
          <w:marLeft w:val="0"/>
          <w:marRight w:val="0"/>
          <w:marTop w:val="0"/>
          <w:marBottom w:val="0"/>
          <w:divBdr>
            <w:top w:val="none" w:sz="0" w:space="0" w:color="auto"/>
            <w:left w:val="none" w:sz="0" w:space="0" w:color="auto"/>
            <w:bottom w:val="none" w:sz="0" w:space="0" w:color="auto"/>
            <w:right w:val="none" w:sz="0" w:space="0" w:color="auto"/>
          </w:divBdr>
        </w:div>
        <w:div w:id="2097093750">
          <w:marLeft w:val="0"/>
          <w:marRight w:val="0"/>
          <w:marTop w:val="0"/>
          <w:marBottom w:val="0"/>
          <w:divBdr>
            <w:top w:val="none" w:sz="0" w:space="0" w:color="auto"/>
            <w:left w:val="none" w:sz="0" w:space="0" w:color="auto"/>
            <w:bottom w:val="none" w:sz="0" w:space="0" w:color="auto"/>
            <w:right w:val="none" w:sz="0" w:space="0" w:color="auto"/>
          </w:divBdr>
        </w:div>
        <w:div w:id="2144081596">
          <w:marLeft w:val="0"/>
          <w:marRight w:val="0"/>
          <w:marTop w:val="0"/>
          <w:marBottom w:val="0"/>
          <w:divBdr>
            <w:top w:val="none" w:sz="0" w:space="0" w:color="auto"/>
            <w:left w:val="none" w:sz="0" w:space="0" w:color="auto"/>
            <w:bottom w:val="none" w:sz="0" w:space="0" w:color="auto"/>
            <w:right w:val="none" w:sz="0" w:space="0" w:color="auto"/>
          </w:divBdr>
        </w:div>
      </w:divsChild>
    </w:div>
    <w:div w:id="536627679">
      <w:bodyDiv w:val="1"/>
      <w:marLeft w:val="0"/>
      <w:marRight w:val="0"/>
      <w:marTop w:val="0"/>
      <w:marBottom w:val="0"/>
      <w:divBdr>
        <w:top w:val="none" w:sz="0" w:space="0" w:color="auto"/>
        <w:left w:val="none" w:sz="0" w:space="0" w:color="auto"/>
        <w:bottom w:val="none" w:sz="0" w:space="0" w:color="auto"/>
        <w:right w:val="none" w:sz="0" w:space="0" w:color="auto"/>
      </w:divBdr>
    </w:div>
    <w:div w:id="541987266">
      <w:bodyDiv w:val="1"/>
      <w:marLeft w:val="0"/>
      <w:marRight w:val="0"/>
      <w:marTop w:val="0"/>
      <w:marBottom w:val="0"/>
      <w:divBdr>
        <w:top w:val="none" w:sz="0" w:space="0" w:color="auto"/>
        <w:left w:val="none" w:sz="0" w:space="0" w:color="auto"/>
        <w:bottom w:val="none" w:sz="0" w:space="0" w:color="auto"/>
        <w:right w:val="none" w:sz="0" w:space="0" w:color="auto"/>
      </w:divBdr>
    </w:div>
    <w:div w:id="544021516">
      <w:bodyDiv w:val="1"/>
      <w:marLeft w:val="0"/>
      <w:marRight w:val="0"/>
      <w:marTop w:val="0"/>
      <w:marBottom w:val="0"/>
      <w:divBdr>
        <w:top w:val="none" w:sz="0" w:space="0" w:color="auto"/>
        <w:left w:val="none" w:sz="0" w:space="0" w:color="auto"/>
        <w:bottom w:val="none" w:sz="0" w:space="0" w:color="auto"/>
        <w:right w:val="none" w:sz="0" w:space="0" w:color="auto"/>
      </w:divBdr>
    </w:div>
    <w:div w:id="546064784">
      <w:bodyDiv w:val="1"/>
      <w:marLeft w:val="0"/>
      <w:marRight w:val="0"/>
      <w:marTop w:val="0"/>
      <w:marBottom w:val="0"/>
      <w:divBdr>
        <w:top w:val="none" w:sz="0" w:space="0" w:color="auto"/>
        <w:left w:val="none" w:sz="0" w:space="0" w:color="auto"/>
        <w:bottom w:val="none" w:sz="0" w:space="0" w:color="auto"/>
        <w:right w:val="none" w:sz="0" w:space="0" w:color="auto"/>
      </w:divBdr>
    </w:div>
    <w:div w:id="565264531">
      <w:bodyDiv w:val="1"/>
      <w:marLeft w:val="0"/>
      <w:marRight w:val="0"/>
      <w:marTop w:val="0"/>
      <w:marBottom w:val="0"/>
      <w:divBdr>
        <w:top w:val="none" w:sz="0" w:space="0" w:color="auto"/>
        <w:left w:val="none" w:sz="0" w:space="0" w:color="auto"/>
        <w:bottom w:val="none" w:sz="0" w:space="0" w:color="auto"/>
        <w:right w:val="none" w:sz="0" w:space="0" w:color="auto"/>
      </w:divBdr>
    </w:div>
    <w:div w:id="570048256">
      <w:bodyDiv w:val="1"/>
      <w:marLeft w:val="0"/>
      <w:marRight w:val="0"/>
      <w:marTop w:val="0"/>
      <w:marBottom w:val="0"/>
      <w:divBdr>
        <w:top w:val="none" w:sz="0" w:space="0" w:color="auto"/>
        <w:left w:val="none" w:sz="0" w:space="0" w:color="auto"/>
        <w:bottom w:val="none" w:sz="0" w:space="0" w:color="auto"/>
        <w:right w:val="none" w:sz="0" w:space="0" w:color="auto"/>
      </w:divBdr>
    </w:div>
    <w:div w:id="571085137">
      <w:bodyDiv w:val="1"/>
      <w:marLeft w:val="0"/>
      <w:marRight w:val="0"/>
      <w:marTop w:val="0"/>
      <w:marBottom w:val="0"/>
      <w:divBdr>
        <w:top w:val="none" w:sz="0" w:space="0" w:color="auto"/>
        <w:left w:val="none" w:sz="0" w:space="0" w:color="auto"/>
        <w:bottom w:val="none" w:sz="0" w:space="0" w:color="auto"/>
        <w:right w:val="none" w:sz="0" w:space="0" w:color="auto"/>
      </w:divBdr>
      <w:divsChild>
        <w:div w:id="7021957">
          <w:marLeft w:val="0"/>
          <w:marRight w:val="0"/>
          <w:marTop w:val="0"/>
          <w:marBottom w:val="0"/>
          <w:divBdr>
            <w:top w:val="none" w:sz="0" w:space="0" w:color="auto"/>
            <w:left w:val="none" w:sz="0" w:space="0" w:color="auto"/>
            <w:bottom w:val="none" w:sz="0" w:space="0" w:color="auto"/>
            <w:right w:val="none" w:sz="0" w:space="0" w:color="auto"/>
          </w:divBdr>
        </w:div>
        <w:div w:id="52704705">
          <w:marLeft w:val="0"/>
          <w:marRight w:val="0"/>
          <w:marTop w:val="0"/>
          <w:marBottom w:val="0"/>
          <w:divBdr>
            <w:top w:val="none" w:sz="0" w:space="0" w:color="auto"/>
            <w:left w:val="none" w:sz="0" w:space="0" w:color="auto"/>
            <w:bottom w:val="none" w:sz="0" w:space="0" w:color="auto"/>
            <w:right w:val="none" w:sz="0" w:space="0" w:color="auto"/>
          </w:divBdr>
        </w:div>
        <w:div w:id="76444021">
          <w:marLeft w:val="0"/>
          <w:marRight w:val="0"/>
          <w:marTop w:val="0"/>
          <w:marBottom w:val="0"/>
          <w:divBdr>
            <w:top w:val="none" w:sz="0" w:space="0" w:color="auto"/>
            <w:left w:val="none" w:sz="0" w:space="0" w:color="auto"/>
            <w:bottom w:val="none" w:sz="0" w:space="0" w:color="auto"/>
            <w:right w:val="none" w:sz="0" w:space="0" w:color="auto"/>
          </w:divBdr>
        </w:div>
        <w:div w:id="85804631">
          <w:marLeft w:val="0"/>
          <w:marRight w:val="0"/>
          <w:marTop w:val="0"/>
          <w:marBottom w:val="0"/>
          <w:divBdr>
            <w:top w:val="none" w:sz="0" w:space="0" w:color="auto"/>
            <w:left w:val="none" w:sz="0" w:space="0" w:color="auto"/>
            <w:bottom w:val="none" w:sz="0" w:space="0" w:color="auto"/>
            <w:right w:val="none" w:sz="0" w:space="0" w:color="auto"/>
          </w:divBdr>
        </w:div>
        <w:div w:id="125709325">
          <w:marLeft w:val="0"/>
          <w:marRight w:val="0"/>
          <w:marTop w:val="0"/>
          <w:marBottom w:val="0"/>
          <w:divBdr>
            <w:top w:val="none" w:sz="0" w:space="0" w:color="auto"/>
            <w:left w:val="none" w:sz="0" w:space="0" w:color="auto"/>
            <w:bottom w:val="none" w:sz="0" w:space="0" w:color="auto"/>
            <w:right w:val="none" w:sz="0" w:space="0" w:color="auto"/>
          </w:divBdr>
        </w:div>
        <w:div w:id="133570739">
          <w:marLeft w:val="0"/>
          <w:marRight w:val="0"/>
          <w:marTop w:val="0"/>
          <w:marBottom w:val="0"/>
          <w:divBdr>
            <w:top w:val="none" w:sz="0" w:space="0" w:color="auto"/>
            <w:left w:val="none" w:sz="0" w:space="0" w:color="auto"/>
            <w:bottom w:val="none" w:sz="0" w:space="0" w:color="auto"/>
            <w:right w:val="none" w:sz="0" w:space="0" w:color="auto"/>
          </w:divBdr>
        </w:div>
        <w:div w:id="289019580">
          <w:marLeft w:val="0"/>
          <w:marRight w:val="0"/>
          <w:marTop w:val="0"/>
          <w:marBottom w:val="0"/>
          <w:divBdr>
            <w:top w:val="none" w:sz="0" w:space="0" w:color="auto"/>
            <w:left w:val="none" w:sz="0" w:space="0" w:color="auto"/>
            <w:bottom w:val="none" w:sz="0" w:space="0" w:color="auto"/>
            <w:right w:val="none" w:sz="0" w:space="0" w:color="auto"/>
          </w:divBdr>
        </w:div>
        <w:div w:id="289870799">
          <w:marLeft w:val="0"/>
          <w:marRight w:val="0"/>
          <w:marTop w:val="0"/>
          <w:marBottom w:val="0"/>
          <w:divBdr>
            <w:top w:val="none" w:sz="0" w:space="0" w:color="auto"/>
            <w:left w:val="none" w:sz="0" w:space="0" w:color="auto"/>
            <w:bottom w:val="none" w:sz="0" w:space="0" w:color="auto"/>
            <w:right w:val="none" w:sz="0" w:space="0" w:color="auto"/>
          </w:divBdr>
        </w:div>
        <w:div w:id="296422423">
          <w:marLeft w:val="0"/>
          <w:marRight w:val="0"/>
          <w:marTop w:val="0"/>
          <w:marBottom w:val="0"/>
          <w:divBdr>
            <w:top w:val="none" w:sz="0" w:space="0" w:color="auto"/>
            <w:left w:val="none" w:sz="0" w:space="0" w:color="auto"/>
            <w:bottom w:val="none" w:sz="0" w:space="0" w:color="auto"/>
            <w:right w:val="none" w:sz="0" w:space="0" w:color="auto"/>
          </w:divBdr>
        </w:div>
        <w:div w:id="301741780">
          <w:marLeft w:val="0"/>
          <w:marRight w:val="0"/>
          <w:marTop w:val="0"/>
          <w:marBottom w:val="0"/>
          <w:divBdr>
            <w:top w:val="none" w:sz="0" w:space="0" w:color="auto"/>
            <w:left w:val="none" w:sz="0" w:space="0" w:color="auto"/>
            <w:bottom w:val="none" w:sz="0" w:space="0" w:color="auto"/>
            <w:right w:val="none" w:sz="0" w:space="0" w:color="auto"/>
          </w:divBdr>
        </w:div>
        <w:div w:id="317808660">
          <w:marLeft w:val="0"/>
          <w:marRight w:val="0"/>
          <w:marTop w:val="0"/>
          <w:marBottom w:val="0"/>
          <w:divBdr>
            <w:top w:val="none" w:sz="0" w:space="0" w:color="auto"/>
            <w:left w:val="none" w:sz="0" w:space="0" w:color="auto"/>
            <w:bottom w:val="none" w:sz="0" w:space="0" w:color="auto"/>
            <w:right w:val="none" w:sz="0" w:space="0" w:color="auto"/>
          </w:divBdr>
        </w:div>
        <w:div w:id="361563784">
          <w:marLeft w:val="0"/>
          <w:marRight w:val="0"/>
          <w:marTop w:val="0"/>
          <w:marBottom w:val="0"/>
          <w:divBdr>
            <w:top w:val="none" w:sz="0" w:space="0" w:color="auto"/>
            <w:left w:val="none" w:sz="0" w:space="0" w:color="auto"/>
            <w:bottom w:val="none" w:sz="0" w:space="0" w:color="auto"/>
            <w:right w:val="none" w:sz="0" w:space="0" w:color="auto"/>
          </w:divBdr>
        </w:div>
        <w:div w:id="400182160">
          <w:marLeft w:val="0"/>
          <w:marRight w:val="0"/>
          <w:marTop w:val="0"/>
          <w:marBottom w:val="0"/>
          <w:divBdr>
            <w:top w:val="none" w:sz="0" w:space="0" w:color="auto"/>
            <w:left w:val="none" w:sz="0" w:space="0" w:color="auto"/>
            <w:bottom w:val="none" w:sz="0" w:space="0" w:color="auto"/>
            <w:right w:val="none" w:sz="0" w:space="0" w:color="auto"/>
          </w:divBdr>
        </w:div>
        <w:div w:id="461659780">
          <w:marLeft w:val="0"/>
          <w:marRight w:val="0"/>
          <w:marTop w:val="0"/>
          <w:marBottom w:val="0"/>
          <w:divBdr>
            <w:top w:val="none" w:sz="0" w:space="0" w:color="auto"/>
            <w:left w:val="none" w:sz="0" w:space="0" w:color="auto"/>
            <w:bottom w:val="none" w:sz="0" w:space="0" w:color="auto"/>
            <w:right w:val="none" w:sz="0" w:space="0" w:color="auto"/>
          </w:divBdr>
        </w:div>
        <w:div w:id="467357948">
          <w:marLeft w:val="0"/>
          <w:marRight w:val="0"/>
          <w:marTop w:val="0"/>
          <w:marBottom w:val="0"/>
          <w:divBdr>
            <w:top w:val="none" w:sz="0" w:space="0" w:color="auto"/>
            <w:left w:val="none" w:sz="0" w:space="0" w:color="auto"/>
            <w:bottom w:val="none" w:sz="0" w:space="0" w:color="auto"/>
            <w:right w:val="none" w:sz="0" w:space="0" w:color="auto"/>
          </w:divBdr>
        </w:div>
        <w:div w:id="484929344">
          <w:marLeft w:val="0"/>
          <w:marRight w:val="0"/>
          <w:marTop w:val="0"/>
          <w:marBottom w:val="0"/>
          <w:divBdr>
            <w:top w:val="none" w:sz="0" w:space="0" w:color="auto"/>
            <w:left w:val="none" w:sz="0" w:space="0" w:color="auto"/>
            <w:bottom w:val="none" w:sz="0" w:space="0" w:color="auto"/>
            <w:right w:val="none" w:sz="0" w:space="0" w:color="auto"/>
          </w:divBdr>
        </w:div>
        <w:div w:id="527841031">
          <w:marLeft w:val="0"/>
          <w:marRight w:val="0"/>
          <w:marTop w:val="0"/>
          <w:marBottom w:val="0"/>
          <w:divBdr>
            <w:top w:val="none" w:sz="0" w:space="0" w:color="auto"/>
            <w:left w:val="none" w:sz="0" w:space="0" w:color="auto"/>
            <w:bottom w:val="none" w:sz="0" w:space="0" w:color="auto"/>
            <w:right w:val="none" w:sz="0" w:space="0" w:color="auto"/>
          </w:divBdr>
        </w:div>
        <w:div w:id="628164716">
          <w:marLeft w:val="0"/>
          <w:marRight w:val="0"/>
          <w:marTop w:val="0"/>
          <w:marBottom w:val="0"/>
          <w:divBdr>
            <w:top w:val="none" w:sz="0" w:space="0" w:color="auto"/>
            <w:left w:val="none" w:sz="0" w:space="0" w:color="auto"/>
            <w:bottom w:val="none" w:sz="0" w:space="0" w:color="auto"/>
            <w:right w:val="none" w:sz="0" w:space="0" w:color="auto"/>
          </w:divBdr>
        </w:div>
        <w:div w:id="685909580">
          <w:marLeft w:val="0"/>
          <w:marRight w:val="0"/>
          <w:marTop w:val="0"/>
          <w:marBottom w:val="0"/>
          <w:divBdr>
            <w:top w:val="none" w:sz="0" w:space="0" w:color="auto"/>
            <w:left w:val="none" w:sz="0" w:space="0" w:color="auto"/>
            <w:bottom w:val="none" w:sz="0" w:space="0" w:color="auto"/>
            <w:right w:val="none" w:sz="0" w:space="0" w:color="auto"/>
          </w:divBdr>
        </w:div>
        <w:div w:id="691805507">
          <w:marLeft w:val="0"/>
          <w:marRight w:val="0"/>
          <w:marTop w:val="0"/>
          <w:marBottom w:val="0"/>
          <w:divBdr>
            <w:top w:val="none" w:sz="0" w:space="0" w:color="auto"/>
            <w:left w:val="none" w:sz="0" w:space="0" w:color="auto"/>
            <w:bottom w:val="none" w:sz="0" w:space="0" w:color="auto"/>
            <w:right w:val="none" w:sz="0" w:space="0" w:color="auto"/>
          </w:divBdr>
        </w:div>
        <w:div w:id="747313189">
          <w:marLeft w:val="0"/>
          <w:marRight w:val="0"/>
          <w:marTop w:val="0"/>
          <w:marBottom w:val="0"/>
          <w:divBdr>
            <w:top w:val="none" w:sz="0" w:space="0" w:color="auto"/>
            <w:left w:val="none" w:sz="0" w:space="0" w:color="auto"/>
            <w:bottom w:val="none" w:sz="0" w:space="0" w:color="auto"/>
            <w:right w:val="none" w:sz="0" w:space="0" w:color="auto"/>
          </w:divBdr>
        </w:div>
        <w:div w:id="801850999">
          <w:marLeft w:val="0"/>
          <w:marRight w:val="0"/>
          <w:marTop w:val="0"/>
          <w:marBottom w:val="0"/>
          <w:divBdr>
            <w:top w:val="none" w:sz="0" w:space="0" w:color="auto"/>
            <w:left w:val="none" w:sz="0" w:space="0" w:color="auto"/>
            <w:bottom w:val="none" w:sz="0" w:space="0" w:color="auto"/>
            <w:right w:val="none" w:sz="0" w:space="0" w:color="auto"/>
          </w:divBdr>
        </w:div>
        <w:div w:id="807478964">
          <w:marLeft w:val="0"/>
          <w:marRight w:val="0"/>
          <w:marTop w:val="0"/>
          <w:marBottom w:val="0"/>
          <w:divBdr>
            <w:top w:val="none" w:sz="0" w:space="0" w:color="auto"/>
            <w:left w:val="none" w:sz="0" w:space="0" w:color="auto"/>
            <w:bottom w:val="none" w:sz="0" w:space="0" w:color="auto"/>
            <w:right w:val="none" w:sz="0" w:space="0" w:color="auto"/>
          </w:divBdr>
        </w:div>
        <w:div w:id="844133731">
          <w:marLeft w:val="0"/>
          <w:marRight w:val="0"/>
          <w:marTop w:val="0"/>
          <w:marBottom w:val="0"/>
          <w:divBdr>
            <w:top w:val="none" w:sz="0" w:space="0" w:color="auto"/>
            <w:left w:val="none" w:sz="0" w:space="0" w:color="auto"/>
            <w:bottom w:val="none" w:sz="0" w:space="0" w:color="auto"/>
            <w:right w:val="none" w:sz="0" w:space="0" w:color="auto"/>
          </w:divBdr>
        </w:div>
        <w:div w:id="846869653">
          <w:marLeft w:val="0"/>
          <w:marRight w:val="0"/>
          <w:marTop w:val="0"/>
          <w:marBottom w:val="0"/>
          <w:divBdr>
            <w:top w:val="none" w:sz="0" w:space="0" w:color="auto"/>
            <w:left w:val="none" w:sz="0" w:space="0" w:color="auto"/>
            <w:bottom w:val="none" w:sz="0" w:space="0" w:color="auto"/>
            <w:right w:val="none" w:sz="0" w:space="0" w:color="auto"/>
          </w:divBdr>
        </w:div>
        <w:div w:id="858010509">
          <w:marLeft w:val="0"/>
          <w:marRight w:val="0"/>
          <w:marTop w:val="0"/>
          <w:marBottom w:val="0"/>
          <w:divBdr>
            <w:top w:val="none" w:sz="0" w:space="0" w:color="auto"/>
            <w:left w:val="none" w:sz="0" w:space="0" w:color="auto"/>
            <w:bottom w:val="none" w:sz="0" w:space="0" w:color="auto"/>
            <w:right w:val="none" w:sz="0" w:space="0" w:color="auto"/>
          </w:divBdr>
        </w:div>
        <w:div w:id="894120897">
          <w:marLeft w:val="0"/>
          <w:marRight w:val="0"/>
          <w:marTop w:val="0"/>
          <w:marBottom w:val="0"/>
          <w:divBdr>
            <w:top w:val="none" w:sz="0" w:space="0" w:color="auto"/>
            <w:left w:val="none" w:sz="0" w:space="0" w:color="auto"/>
            <w:bottom w:val="none" w:sz="0" w:space="0" w:color="auto"/>
            <w:right w:val="none" w:sz="0" w:space="0" w:color="auto"/>
          </w:divBdr>
        </w:div>
        <w:div w:id="991832233">
          <w:marLeft w:val="0"/>
          <w:marRight w:val="0"/>
          <w:marTop w:val="0"/>
          <w:marBottom w:val="0"/>
          <w:divBdr>
            <w:top w:val="none" w:sz="0" w:space="0" w:color="auto"/>
            <w:left w:val="none" w:sz="0" w:space="0" w:color="auto"/>
            <w:bottom w:val="none" w:sz="0" w:space="0" w:color="auto"/>
            <w:right w:val="none" w:sz="0" w:space="0" w:color="auto"/>
          </w:divBdr>
        </w:div>
        <w:div w:id="1004937894">
          <w:marLeft w:val="0"/>
          <w:marRight w:val="0"/>
          <w:marTop w:val="0"/>
          <w:marBottom w:val="0"/>
          <w:divBdr>
            <w:top w:val="none" w:sz="0" w:space="0" w:color="auto"/>
            <w:left w:val="none" w:sz="0" w:space="0" w:color="auto"/>
            <w:bottom w:val="none" w:sz="0" w:space="0" w:color="auto"/>
            <w:right w:val="none" w:sz="0" w:space="0" w:color="auto"/>
          </w:divBdr>
        </w:div>
        <w:div w:id="1031805570">
          <w:marLeft w:val="0"/>
          <w:marRight w:val="0"/>
          <w:marTop w:val="0"/>
          <w:marBottom w:val="0"/>
          <w:divBdr>
            <w:top w:val="none" w:sz="0" w:space="0" w:color="auto"/>
            <w:left w:val="none" w:sz="0" w:space="0" w:color="auto"/>
            <w:bottom w:val="none" w:sz="0" w:space="0" w:color="auto"/>
            <w:right w:val="none" w:sz="0" w:space="0" w:color="auto"/>
          </w:divBdr>
        </w:div>
        <w:div w:id="1034421791">
          <w:marLeft w:val="0"/>
          <w:marRight w:val="0"/>
          <w:marTop w:val="0"/>
          <w:marBottom w:val="0"/>
          <w:divBdr>
            <w:top w:val="none" w:sz="0" w:space="0" w:color="auto"/>
            <w:left w:val="none" w:sz="0" w:space="0" w:color="auto"/>
            <w:bottom w:val="none" w:sz="0" w:space="0" w:color="auto"/>
            <w:right w:val="none" w:sz="0" w:space="0" w:color="auto"/>
          </w:divBdr>
        </w:div>
        <w:div w:id="1064597147">
          <w:marLeft w:val="0"/>
          <w:marRight w:val="0"/>
          <w:marTop w:val="0"/>
          <w:marBottom w:val="0"/>
          <w:divBdr>
            <w:top w:val="none" w:sz="0" w:space="0" w:color="auto"/>
            <w:left w:val="none" w:sz="0" w:space="0" w:color="auto"/>
            <w:bottom w:val="none" w:sz="0" w:space="0" w:color="auto"/>
            <w:right w:val="none" w:sz="0" w:space="0" w:color="auto"/>
          </w:divBdr>
        </w:div>
        <w:div w:id="1087076062">
          <w:marLeft w:val="0"/>
          <w:marRight w:val="0"/>
          <w:marTop w:val="0"/>
          <w:marBottom w:val="0"/>
          <w:divBdr>
            <w:top w:val="none" w:sz="0" w:space="0" w:color="auto"/>
            <w:left w:val="none" w:sz="0" w:space="0" w:color="auto"/>
            <w:bottom w:val="none" w:sz="0" w:space="0" w:color="auto"/>
            <w:right w:val="none" w:sz="0" w:space="0" w:color="auto"/>
          </w:divBdr>
        </w:div>
        <w:div w:id="1147357639">
          <w:marLeft w:val="0"/>
          <w:marRight w:val="0"/>
          <w:marTop w:val="0"/>
          <w:marBottom w:val="0"/>
          <w:divBdr>
            <w:top w:val="none" w:sz="0" w:space="0" w:color="auto"/>
            <w:left w:val="none" w:sz="0" w:space="0" w:color="auto"/>
            <w:bottom w:val="none" w:sz="0" w:space="0" w:color="auto"/>
            <w:right w:val="none" w:sz="0" w:space="0" w:color="auto"/>
          </w:divBdr>
        </w:div>
        <w:div w:id="1155488819">
          <w:marLeft w:val="0"/>
          <w:marRight w:val="0"/>
          <w:marTop w:val="0"/>
          <w:marBottom w:val="0"/>
          <w:divBdr>
            <w:top w:val="none" w:sz="0" w:space="0" w:color="auto"/>
            <w:left w:val="none" w:sz="0" w:space="0" w:color="auto"/>
            <w:bottom w:val="none" w:sz="0" w:space="0" w:color="auto"/>
            <w:right w:val="none" w:sz="0" w:space="0" w:color="auto"/>
          </w:divBdr>
        </w:div>
        <w:div w:id="1202206894">
          <w:marLeft w:val="0"/>
          <w:marRight w:val="0"/>
          <w:marTop w:val="0"/>
          <w:marBottom w:val="0"/>
          <w:divBdr>
            <w:top w:val="none" w:sz="0" w:space="0" w:color="auto"/>
            <w:left w:val="none" w:sz="0" w:space="0" w:color="auto"/>
            <w:bottom w:val="none" w:sz="0" w:space="0" w:color="auto"/>
            <w:right w:val="none" w:sz="0" w:space="0" w:color="auto"/>
          </w:divBdr>
        </w:div>
        <w:div w:id="1242519840">
          <w:marLeft w:val="0"/>
          <w:marRight w:val="0"/>
          <w:marTop w:val="0"/>
          <w:marBottom w:val="0"/>
          <w:divBdr>
            <w:top w:val="none" w:sz="0" w:space="0" w:color="auto"/>
            <w:left w:val="none" w:sz="0" w:space="0" w:color="auto"/>
            <w:bottom w:val="none" w:sz="0" w:space="0" w:color="auto"/>
            <w:right w:val="none" w:sz="0" w:space="0" w:color="auto"/>
          </w:divBdr>
        </w:div>
        <w:div w:id="1267541744">
          <w:marLeft w:val="0"/>
          <w:marRight w:val="0"/>
          <w:marTop w:val="0"/>
          <w:marBottom w:val="0"/>
          <w:divBdr>
            <w:top w:val="none" w:sz="0" w:space="0" w:color="auto"/>
            <w:left w:val="none" w:sz="0" w:space="0" w:color="auto"/>
            <w:bottom w:val="none" w:sz="0" w:space="0" w:color="auto"/>
            <w:right w:val="none" w:sz="0" w:space="0" w:color="auto"/>
          </w:divBdr>
        </w:div>
        <w:div w:id="1274022935">
          <w:marLeft w:val="0"/>
          <w:marRight w:val="0"/>
          <w:marTop w:val="0"/>
          <w:marBottom w:val="0"/>
          <w:divBdr>
            <w:top w:val="none" w:sz="0" w:space="0" w:color="auto"/>
            <w:left w:val="none" w:sz="0" w:space="0" w:color="auto"/>
            <w:bottom w:val="none" w:sz="0" w:space="0" w:color="auto"/>
            <w:right w:val="none" w:sz="0" w:space="0" w:color="auto"/>
          </w:divBdr>
        </w:div>
        <w:div w:id="1308048815">
          <w:marLeft w:val="0"/>
          <w:marRight w:val="0"/>
          <w:marTop w:val="0"/>
          <w:marBottom w:val="0"/>
          <w:divBdr>
            <w:top w:val="none" w:sz="0" w:space="0" w:color="auto"/>
            <w:left w:val="none" w:sz="0" w:space="0" w:color="auto"/>
            <w:bottom w:val="none" w:sz="0" w:space="0" w:color="auto"/>
            <w:right w:val="none" w:sz="0" w:space="0" w:color="auto"/>
          </w:divBdr>
        </w:div>
        <w:div w:id="1354574469">
          <w:marLeft w:val="0"/>
          <w:marRight w:val="0"/>
          <w:marTop w:val="0"/>
          <w:marBottom w:val="0"/>
          <w:divBdr>
            <w:top w:val="none" w:sz="0" w:space="0" w:color="auto"/>
            <w:left w:val="none" w:sz="0" w:space="0" w:color="auto"/>
            <w:bottom w:val="none" w:sz="0" w:space="0" w:color="auto"/>
            <w:right w:val="none" w:sz="0" w:space="0" w:color="auto"/>
          </w:divBdr>
        </w:div>
        <w:div w:id="1356615470">
          <w:marLeft w:val="0"/>
          <w:marRight w:val="0"/>
          <w:marTop w:val="0"/>
          <w:marBottom w:val="0"/>
          <w:divBdr>
            <w:top w:val="none" w:sz="0" w:space="0" w:color="auto"/>
            <w:left w:val="none" w:sz="0" w:space="0" w:color="auto"/>
            <w:bottom w:val="none" w:sz="0" w:space="0" w:color="auto"/>
            <w:right w:val="none" w:sz="0" w:space="0" w:color="auto"/>
          </w:divBdr>
        </w:div>
        <w:div w:id="1389571458">
          <w:marLeft w:val="0"/>
          <w:marRight w:val="0"/>
          <w:marTop w:val="0"/>
          <w:marBottom w:val="0"/>
          <w:divBdr>
            <w:top w:val="none" w:sz="0" w:space="0" w:color="auto"/>
            <w:left w:val="none" w:sz="0" w:space="0" w:color="auto"/>
            <w:bottom w:val="none" w:sz="0" w:space="0" w:color="auto"/>
            <w:right w:val="none" w:sz="0" w:space="0" w:color="auto"/>
          </w:divBdr>
        </w:div>
        <w:div w:id="1410349238">
          <w:marLeft w:val="0"/>
          <w:marRight w:val="0"/>
          <w:marTop w:val="0"/>
          <w:marBottom w:val="0"/>
          <w:divBdr>
            <w:top w:val="none" w:sz="0" w:space="0" w:color="auto"/>
            <w:left w:val="none" w:sz="0" w:space="0" w:color="auto"/>
            <w:bottom w:val="none" w:sz="0" w:space="0" w:color="auto"/>
            <w:right w:val="none" w:sz="0" w:space="0" w:color="auto"/>
          </w:divBdr>
        </w:div>
        <w:div w:id="1516724633">
          <w:marLeft w:val="0"/>
          <w:marRight w:val="0"/>
          <w:marTop w:val="0"/>
          <w:marBottom w:val="0"/>
          <w:divBdr>
            <w:top w:val="none" w:sz="0" w:space="0" w:color="auto"/>
            <w:left w:val="none" w:sz="0" w:space="0" w:color="auto"/>
            <w:bottom w:val="none" w:sz="0" w:space="0" w:color="auto"/>
            <w:right w:val="none" w:sz="0" w:space="0" w:color="auto"/>
          </w:divBdr>
        </w:div>
        <w:div w:id="1559242292">
          <w:marLeft w:val="0"/>
          <w:marRight w:val="0"/>
          <w:marTop w:val="0"/>
          <w:marBottom w:val="0"/>
          <w:divBdr>
            <w:top w:val="none" w:sz="0" w:space="0" w:color="auto"/>
            <w:left w:val="none" w:sz="0" w:space="0" w:color="auto"/>
            <w:bottom w:val="none" w:sz="0" w:space="0" w:color="auto"/>
            <w:right w:val="none" w:sz="0" w:space="0" w:color="auto"/>
          </w:divBdr>
        </w:div>
        <w:div w:id="1586382447">
          <w:marLeft w:val="0"/>
          <w:marRight w:val="0"/>
          <w:marTop w:val="0"/>
          <w:marBottom w:val="0"/>
          <w:divBdr>
            <w:top w:val="none" w:sz="0" w:space="0" w:color="auto"/>
            <w:left w:val="none" w:sz="0" w:space="0" w:color="auto"/>
            <w:bottom w:val="none" w:sz="0" w:space="0" w:color="auto"/>
            <w:right w:val="none" w:sz="0" w:space="0" w:color="auto"/>
          </w:divBdr>
        </w:div>
        <w:div w:id="1625765449">
          <w:marLeft w:val="0"/>
          <w:marRight w:val="0"/>
          <w:marTop w:val="0"/>
          <w:marBottom w:val="0"/>
          <w:divBdr>
            <w:top w:val="none" w:sz="0" w:space="0" w:color="auto"/>
            <w:left w:val="none" w:sz="0" w:space="0" w:color="auto"/>
            <w:bottom w:val="none" w:sz="0" w:space="0" w:color="auto"/>
            <w:right w:val="none" w:sz="0" w:space="0" w:color="auto"/>
          </w:divBdr>
        </w:div>
        <w:div w:id="1632442627">
          <w:marLeft w:val="0"/>
          <w:marRight w:val="0"/>
          <w:marTop w:val="0"/>
          <w:marBottom w:val="0"/>
          <w:divBdr>
            <w:top w:val="none" w:sz="0" w:space="0" w:color="auto"/>
            <w:left w:val="none" w:sz="0" w:space="0" w:color="auto"/>
            <w:bottom w:val="none" w:sz="0" w:space="0" w:color="auto"/>
            <w:right w:val="none" w:sz="0" w:space="0" w:color="auto"/>
          </w:divBdr>
        </w:div>
        <w:div w:id="1652980970">
          <w:marLeft w:val="0"/>
          <w:marRight w:val="0"/>
          <w:marTop w:val="0"/>
          <w:marBottom w:val="0"/>
          <w:divBdr>
            <w:top w:val="none" w:sz="0" w:space="0" w:color="auto"/>
            <w:left w:val="none" w:sz="0" w:space="0" w:color="auto"/>
            <w:bottom w:val="none" w:sz="0" w:space="0" w:color="auto"/>
            <w:right w:val="none" w:sz="0" w:space="0" w:color="auto"/>
          </w:divBdr>
        </w:div>
        <w:div w:id="1719546390">
          <w:marLeft w:val="0"/>
          <w:marRight w:val="0"/>
          <w:marTop w:val="0"/>
          <w:marBottom w:val="0"/>
          <w:divBdr>
            <w:top w:val="none" w:sz="0" w:space="0" w:color="auto"/>
            <w:left w:val="none" w:sz="0" w:space="0" w:color="auto"/>
            <w:bottom w:val="none" w:sz="0" w:space="0" w:color="auto"/>
            <w:right w:val="none" w:sz="0" w:space="0" w:color="auto"/>
          </w:divBdr>
        </w:div>
        <w:div w:id="1753308278">
          <w:marLeft w:val="0"/>
          <w:marRight w:val="0"/>
          <w:marTop w:val="0"/>
          <w:marBottom w:val="0"/>
          <w:divBdr>
            <w:top w:val="none" w:sz="0" w:space="0" w:color="auto"/>
            <w:left w:val="none" w:sz="0" w:space="0" w:color="auto"/>
            <w:bottom w:val="none" w:sz="0" w:space="0" w:color="auto"/>
            <w:right w:val="none" w:sz="0" w:space="0" w:color="auto"/>
          </w:divBdr>
        </w:div>
        <w:div w:id="1773550425">
          <w:marLeft w:val="0"/>
          <w:marRight w:val="0"/>
          <w:marTop w:val="0"/>
          <w:marBottom w:val="0"/>
          <w:divBdr>
            <w:top w:val="none" w:sz="0" w:space="0" w:color="auto"/>
            <w:left w:val="none" w:sz="0" w:space="0" w:color="auto"/>
            <w:bottom w:val="none" w:sz="0" w:space="0" w:color="auto"/>
            <w:right w:val="none" w:sz="0" w:space="0" w:color="auto"/>
          </w:divBdr>
        </w:div>
        <w:div w:id="1875578822">
          <w:marLeft w:val="0"/>
          <w:marRight w:val="0"/>
          <w:marTop w:val="0"/>
          <w:marBottom w:val="0"/>
          <w:divBdr>
            <w:top w:val="none" w:sz="0" w:space="0" w:color="auto"/>
            <w:left w:val="none" w:sz="0" w:space="0" w:color="auto"/>
            <w:bottom w:val="none" w:sz="0" w:space="0" w:color="auto"/>
            <w:right w:val="none" w:sz="0" w:space="0" w:color="auto"/>
          </w:divBdr>
        </w:div>
        <w:div w:id="1938367289">
          <w:marLeft w:val="0"/>
          <w:marRight w:val="0"/>
          <w:marTop w:val="0"/>
          <w:marBottom w:val="0"/>
          <w:divBdr>
            <w:top w:val="none" w:sz="0" w:space="0" w:color="auto"/>
            <w:left w:val="none" w:sz="0" w:space="0" w:color="auto"/>
            <w:bottom w:val="none" w:sz="0" w:space="0" w:color="auto"/>
            <w:right w:val="none" w:sz="0" w:space="0" w:color="auto"/>
          </w:divBdr>
        </w:div>
        <w:div w:id="1978996102">
          <w:marLeft w:val="0"/>
          <w:marRight w:val="0"/>
          <w:marTop w:val="0"/>
          <w:marBottom w:val="0"/>
          <w:divBdr>
            <w:top w:val="none" w:sz="0" w:space="0" w:color="auto"/>
            <w:left w:val="none" w:sz="0" w:space="0" w:color="auto"/>
            <w:bottom w:val="none" w:sz="0" w:space="0" w:color="auto"/>
            <w:right w:val="none" w:sz="0" w:space="0" w:color="auto"/>
          </w:divBdr>
        </w:div>
        <w:div w:id="1980763210">
          <w:marLeft w:val="0"/>
          <w:marRight w:val="0"/>
          <w:marTop w:val="0"/>
          <w:marBottom w:val="0"/>
          <w:divBdr>
            <w:top w:val="none" w:sz="0" w:space="0" w:color="auto"/>
            <w:left w:val="none" w:sz="0" w:space="0" w:color="auto"/>
            <w:bottom w:val="none" w:sz="0" w:space="0" w:color="auto"/>
            <w:right w:val="none" w:sz="0" w:space="0" w:color="auto"/>
          </w:divBdr>
        </w:div>
        <w:div w:id="1983730943">
          <w:marLeft w:val="0"/>
          <w:marRight w:val="0"/>
          <w:marTop w:val="0"/>
          <w:marBottom w:val="0"/>
          <w:divBdr>
            <w:top w:val="none" w:sz="0" w:space="0" w:color="auto"/>
            <w:left w:val="none" w:sz="0" w:space="0" w:color="auto"/>
            <w:bottom w:val="none" w:sz="0" w:space="0" w:color="auto"/>
            <w:right w:val="none" w:sz="0" w:space="0" w:color="auto"/>
          </w:divBdr>
        </w:div>
        <w:div w:id="2016491252">
          <w:marLeft w:val="0"/>
          <w:marRight w:val="0"/>
          <w:marTop w:val="0"/>
          <w:marBottom w:val="0"/>
          <w:divBdr>
            <w:top w:val="none" w:sz="0" w:space="0" w:color="auto"/>
            <w:left w:val="none" w:sz="0" w:space="0" w:color="auto"/>
            <w:bottom w:val="none" w:sz="0" w:space="0" w:color="auto"/>
            <w:right w:val="none" w:sz="0" w:space="0" w:color="auto"/>
          </w:divBdr>
        </w:div>
        <w:div w:id="2046367823">
          <w:marLeft w:val="0"/>
          <w:marRight w:val="0"/>
          <w:marTop w:val="0"/>
          <w:marBottom w:val="0"/>
          <w:divBdr>
            <w:top w:val="none" w:sz="0" w:space="0" w:color="auto"/>
            <w:left w:val="none" w:sz="0" w:space="0" w:color="auto"/>
            <w:bottom w:val="none" w:sz="0" w:space="0" w:color="auto"/>
            <w:right w:val="none" w:sz="0" w:space="0" w:color="auto"/>
          </w:divBdr>
        </w:div>
        <w:div w:id="2071877730">
          <w:marLeft w:val="0"/>
          <w:marRight w:val="0"/>
          <w:marTop w:val="0"/>
          <w:marBottom w:val="0"/>
          <w:divBdr>
            <w:top w:val="none" w:sz="0" w:space="0" w:color="auto"/>
            <w:left w:val="none" w:sz="0" w:space="0" w:color="auto"/>
            <w:bottom w:val="none" w:sz="0" w:space="0" w:color="auto"/>
            <w:right w:val="none" w:sz="0" w:space="0" w:color="auto"/>
          </w:divBdr>
        </w:div>
      </w:divsChild>
    </w:div>
    <w:div w:id="571426978">
      <w:bodyDiv w:val="1"/>
      <w:marLeft w:val="0"/>
      <w:marRight w:val="0"/>
      <w:marTop w:val="0"/>
      <w:marBottom w:val="0"/>
      <w:divBdr>
        <w:top w:val="none" w:sz="0" w:space="0" w:color="auto"/>
        <w:left w:val="none" w:sz="0" w:space="0" w:color="auto"/>
        <w:bottom w:val="none" w:sz="0" w:space="0" w:color="auto"/>
        <w:right w:val="none" w:sz="0" w:space="0" w:color="auto"/>
      </w:divBdr>
    </w:div>
    <w:div w:id="572736584">
      <w:bodyDiv w:val="1"/>
      <w:marLeft w:val="0"/>
      <w:marRight w:val="0"/>
      <w:marTop w:val="0"/>
      <w:marBottom w:val="0"/>
      <w:divBdr>
        <w:top w:val="none" w:sz="0" w:space="0" w:color="auto"/>
        <w:left w:val="none" w:sz="0" w:space="0" w:color="auto"/>
        <w:bottom w:val="none" w:sz="0" w:space="0" w:color="auto"/>
        <w:right w:val="none" w:sz="0" w:space="0" w:color="auto"/>
      </w:divBdr>
    </w:div>
    <w:div w:id="576212194">
      <w:bodyDiv w:val="1"/>
      <w:marLeft w:val="0"/>
      <w:marRight w:val="0"/>
      <w:marTop w:val="0"/>
      <w:marBottom w:val="0"/>
      <w:divBdr>
        <w:top w:val="none" w:sz="0" w:space="0" w:color="auto"/>
        <w:left w:val="none" w:sz="0" w:space="0" w:color="auto"/>
        <w:bottom w:val="none" w:sz="0" w:space="0" w:color="auto"/>
        <w:right w:val="none" w:sz="0" w:space="0" w:color="auto"/>
      </w:divBdr>
    </w:div>
    <w:div w:id="577784851">
      <w:bodyDiv w:val="1"/>
      <w:marLeft w:val="0"/>
      <w:marRight w:val="0"/>
      <w:marTop w:val="0"/>
      <w:marBottom w:val="0"/>
      <w:divBdr>
        <w:top w:val="none" w:sz="0" w:space="0" w:color="auto"/>
        <w:left w:val="none" w:sz="0" w:space="0" w:color="auto"/>
        <w:bottom w:val="none" w:sz="0" w:space="0" w:color="auto"/>
        <w:right w:val="none" w:sz="0" w:space="0" w:color="auto"/>
      </w:divBdr>
    </w:div>
    <w:div w:id="583420039">
      <w:bodyDiv w:val="1"/>
      <w:marLeft w:val="0"/>
      <w:marRight w:val="0"/>
      <w:marTop w:val="0"/>
      <w:marBottom w:val="0"/>
      <w:divBdr>
        <w:top w:val="none" w:sz="0" w:space="0" w:color="auto"/>
        <w:left w:val="none" w:sz="0" w:space="0" w:color="auto"/>
        <w:bottom w:val="none" w:sz="0" w:space="0" w:color="auto"/>
        <w:right w:val="none" w:sz="0" w:space="0" w:color="auto"/>
      </w:divBdr>
    </w:div>
    <w:div w:id="585268493">
      <w:bodyDiv w:val="1"/>
      <w:marLeft w:val="0"/>
      <w:marRight w:val="0"/>
      <w:marTop w:val="0"/>
      <w:marBottom w:val="0"/>
      <w:divBdr>
        <w:top w:val="none" w:sz="0" w:space="0" w:color="auto"/>
        <w:left w:val="none" w:sz="0" w:space="0" w:color="auto"/>
        <w:bottom w:val="none" w:sz="0" w:space="0" w:color="auto"/>
        <w:right w:val="none" w:sz="0" w:space="0" w:color="auto"/>
      </w:divBdr>
    </w:div>
    <w:div w:id="587345004">
      <w:bodyDiv w:val="1"/>
      <w:marLeft w:val="0"/>
      <w:marRight w:val="0"/>
      <w:marTop w:val="0"/>
      <w:marBottom w:val="0"/>
      <w:divBdr>
        <w:top w:val="none" w:sz="0" w:space="0" w:color="auto"/>
        <w:left w:val="none" w:sz="0" w:space="0" w:color="auto"/>
        <w:bottom w:val="none" w:sz="0" w:space="0" w:color="auto"/>
        <w:right w:val="none" w:sz="0" w:space="0" w:color="auto"/>
      </w:divBdr>
    </w:div>
    <w:div w:id="592278217">
      <w:bodyDiv w:val="1"/>
      <w:marLeft w:val="0"/>
      <w:marRight w:val="0"/>
      <w:marTop w:val="0"/>
      <w:marBottom w:val="0"/>
      <w:divBdr>
        <w:top w:val="none" w:sz="0" w:space="0" w:color="auto"/>
        <w:left w:val="none" w:sz="0" w:space="0" w:color="auto"/>
        <w:bottom w:val="none" w:sz="0" w:space="0" w:color="auto"/>
        <w:right w:val="none" w:sz="0" w:space="0" w:color="auto"/>
      </w:divBdr>
    </w:div>
    <w:div w:id="594898876">
      <w:bodyDiv w:val="1"/>
      <w:marLeft w:val="0"/>
      <w:marRight w:val="0"/>
      <w:marTop w:val="0"/>
      <w:marBottom w:val="0"/>
      <w:divBdr>
        <w:top w:val="none" w:sz="0" w:space="0" w:color="auto"/>
        <w:left w:val="none" w:sz="0" w:space="0" w:color="auto"/>
        <w:bottom w:val="none" w:sz="0" w:space="0" w:color="auto"/>
        <w:right w:val="none" w:sz="0" w:space="0" w:color="auto"/>
      </w:divBdr>
    </w:div>
    <w:div w:id="596981988">
      <w:bodyDiv w:val="1"/>
      <w:marLeft w:val="0"/>
      <w:marRight w:val="0"/>
      <w:marTop w:val="0"/>
      <w:marBottom w:val="0"/>
      <w:divBdr>
        <w:top w:val="none" w:sz="0" w:space="0" w:color="auto"/>
        <w:left w:val="none" w:sz="0" w:space="0" w:color="auto"/>
        <w:bottom w:val="none" w:sz="0" w:space="0" w:color="auto"/>
        <w:right w:val="none" w:sz="0" w:space="0" w:color="auto"/>
      </w:divBdr>
    </w:div>
    <w:div w:id="598217050">
      <w:bodyDiv w:val="1"/>
      <w:marLeft w:val="0"/>
      <w:marRight w:val="0"/>
      <w:marTop w:val="0"/>
      <w:marBottom w:val="0"/>
      <w:divBdr>
        <w:top w:val="none" w:sz="0" w:space="0" w:color="auto"/>
        <w:left w:val="none" w:sz="0" w:space="0" w:color="auto"/>
        <w:bottom w:val="none" w:sz="0" w:space="0" w:color="auto"/>
        <w:right w:val="none" w:sz="0" w:space="0" w:color="auto"/>
      </w:divBdr>
    </w:div>
    <w:div w:id="607396017">
      <w:bodyDiv w:val="1"/>
      <w:marLeft w:val="0"/>
      <w:marRight w:val="0"/>
      <w:marTop w:val="0"/>
      <w:marBottom w:val="0"/>
      <w:divBdr>
        <w:top w:val="none" w:sz="0" w:space="0" w:color="auto"/>
        <w:left w:val="none" w:sz="0" w:space="0" w:color="auto"/>
        <w:bottom w:val="none" w:sz="0" w:space="0" w:color="auto"/>
        <w:right w:val="none" w:sz="0" w:space="0" w:color="auto"/>
      </w:divBdr>
    </w:div>
    <w:div w:id="611549143">
      <w:bodyDiv w:val="1"/>
      <w:marLeft w:val="0"/>
      <w:marRight w:val="0"/>
      <w:marTop w:val="0"/>
      <w:marBottom w:val="0"/>
      <w:divBdr>
        <w:top w:val="none" w:sz="0" w:space="0" w:color="auto"/>
        <w:left w:val="none" w:sz="0" w:space="0" w:color="auto"/>
        <w:bottom w:val="none" w:sz="0" w:space="0" w:color="auto"/>
        <w:right w:val="none" w:sz="0" w:space="0" w:color="auto"/>
      </w:divBdr>
    </w:div>
    <w:div w:id="613634601">
      <w:bodyDiv w:val="1"/>
      <w:marLeft w:val="0"/>
      <w:marRight w:val="0"/>
      <w:marTop w:val="0"/>
      <w:marBottom w:val="0"/>
      <w:divBdr>
        <w:top w:val="none" w:sz="0" w:space="0" w:color="auto"/>
        <w:left w:val="none" w:sz="0" w:space="0" w:color="auto"/>
        <w:bottom w:val="none" w:sz="0" w:space="0" w:color="auto"/>
        <w:right w:val="none" w:sz="0" w:space="0" w:color="auto"/>
      </w:divBdr>
    </w:div>
    <w:div w:id="614017421">
      <w:bodyDiv w:val="1"/>
      <w:marLeft w:val="0"/>
      <w:marRight w:val="0"/>
      <w:marTop w:val="0"/>
      <w:marBottom w:val="0"/>
      <w:divBdr>
        <w:top w:val="none" w:sz="0" w:space="0" w:color="auto"/>
        <w:left w:val="none" w:sz="0" w:space="0" w:color="auto"/>
        <w:bottom w:val="none" w:sz="0" w:space="0" w:color="auto"/>
        <w:right w:val="none" w:sz="0" w:space="0" w:color="auto"/>
      </w:divBdr>
    </w:div>
    <w:div w:id="615448930">
      <w:bodyDiv w:val="1"/>
      <w:marLeft w:val="0"/>
      <w:marRight w:val="0"/>
      <w:marTop w:val="0"/>
      <w:marBottom w:val="0"/>
      <w:divBdr>
        <w:top w:val="none" w:sz="0" w:space="0" w:color="auto"/>
        <w:left w:val="none" w:sz="0" w:space="0" w:color="auto"/>
        <w:bottom w:val="none" w:sz="0" w:space="0" w:color="auto"/>
        <w:right w:val="none" w:sz="0" w:space="0" w:color="auto"/>
      </w:divBdr>
    </w:div>
    <w:div w:id="616764957">
      <w:bodyDiv w:val="1"/>
      <w:marLeft w:val="0"/>
      <w:marRight w:val="0"/>
      <w:marTop w:val="0"/>
      <w:marBottom w:val="0"/>
      <w:divBdr>
        <w:top w:val="none" w:sz="0" w:space="0" w:color="auto"/>
        <w:left w:val="none" w:sz="0" w:space="0" w:color="auto"/>
        <w:bottom w:val="none" w:sz="0" w:space="0" w:color="auto"/>
        <w:right w:val="none" w:sz="0" w:space="0" w:color="auto"/>
      </w:divBdr>
    </w:div>
    <w:div w:id="618485921">
      <w:bodyDiv w:val="1"/>
      <w:marLeft w:val="0"/>
      <w:marRight w:val="0"/>
      <w:marTop w:val="0"/>
      <w:marBottom w:val="0"/>
      <w:divBdr>
        <w:top w:val="none" w:sz="0" w:space="0" w:color="auto"/>
        <w:left w:val="none" w:sz="0" w:space="0" w:color="auto"/>
        <w:bottom w:val="none" w:sz="0" w:space="0" w:color="auto"/>
        <w:right w:val="none" w:sz="0" w:space="0" w:color="auto"/>
      </w:divBdr>
    </w:div>
    <w:div w:id="618948781">
      <w:bodyDiv w:val="1"/>
      <w:marLeft w:val="0"/>
      <w:marRight w:val="0"/>
      <w:marTop w:val="0"/>
      <w:marBottom w:val="0"/>
      <w:divBdr>
        <w:top w:val="none" w:sz="0" w:space="0" w:color="auto"/>
        <w:left w:val="none" w:sz="0" w:space="0" w:color="auto"/>
        <w:bottom w:val="none" w:sz="0" w:space="0" w:color="auto"/>
        <w:right w:val="none" w:sz="0" w:space="0" w:color="auto"/>
      </w:divBdr>
      <w:divsChild>
        <w:div w:id="460004172">
          <w:marLeft w:val="-225"/>
          <w:marRight w:val="-225"/>
          <w:marTop w:val="0"/>
          <w:marBottom w:val="0"/>
          <w:divBdr>
            <w:top w:val="none" w:sz="0" w:space="0" w:color="auto"/>
            <w:left w:val="none" w:sz="0" w:space="0" w:color="auto"/>
            <w:bottom w:val="none" w:sz="0" w:space="0" w:color="auto"/>
            <w:right w:val="none" w:sz="0" w:space="0" w:color="auto"/>
          </w:divBdr>
        </w:div>
        <w:div w:id="777527688">
          <w:marLeft w:val="-225"/>
          <w:marRight w:val="-225"/>
          <w:marTop w:val="0"/>
          <w:marBottom w:val="0"/>
          <w:divBdr>
            <w:top w:val="none" w:sz="0" w:space="0" w:color="auto"/>
            <w:left w:val="none" w:sz="0" w:space="0" w:color="auto"/>
            <w:bottom w:val="none" w:sz="0" w:space="0" w:color="auto"/>
            <w:right w:val="none" w:sz="0" w:space="0" w:color="auto"/>
          </w:divBdr>
        </w:div>
        <w:div w:id="1092162933">
          <w:marLeft w:val="-225"/>
          <w:marRight w:val="-225"/>
          <w:marTop w:val="0"/>
          <w:marBottom w:val="0"/>
          <w:divBdr>
            <w:top w:val="none" w:sz="0" w:space="0" w:color="auto"/>
            <w:left w:val="none" w:sz="0" w:space="0" w:color="auto"/>
            <w:bottom w:val="none" w:sz="0" w:space="0" w:color="auto"/>
            <w:right w:val="none" w:sz="0" w:space="0" w:color="auto"/>
          </w:divBdr>
        </w:div>
        <w:div w:id="1678576798">
          <w:marLeft w:val="-225"/>
          <w:marRight w:val="-225"/>
          <w:marTop w:val="0"/>
          <w:marBottom w:val="0"/>
          <w:divBdr>
            <w:top w:val="none" w:sz="0" w:space="0" w:color="auto"/>
            <w:left w:val="none" w:sz="0" w:space="0" w:color="auto"/>
            <w:bottom w:val="none" w:sz="0" w:space="0" w:color="auto"/>
            <w:right w:val="none" w:sz="0" w:space="0" w:color="auto"/>
          </w:divBdr>
        </w:div>
      </w:divsChild>
    </w:div>
    <w:div w:id="619800606">
      <w:bodyDiv w:val="1"/>
      <w:marLeft w:val="0"/>
      <w:marRight w:val="0"/>
      <w:marTop w:val="0"/>
      <w:marBottom w:val="0"/>
      <w:divBdr>
        <w:top w:val="none" w:sz="0" w:space="0" w:color="auto"/>
        <w:left w:val="none" w:sz="0" w:space="0" w:color="auto"/>
        <w:bottom w:val="none" w:sz="0" w:space="0" w:color="auto"/>
        <w:right w:val="none" w:sz="0" w:space="0" w:color="auto"/>
      </w:divBdr>
    </w:div>
    <w:div w:id="625887345">
      <w:bodyDiv w:val="1"/>
      <w:marLeft w:val="0"/>
      <w:marRight w:val="0"/>
      <w:marTop w:val="0"/>
      <w:marBottom w:val="0"/>
      <w:divBdr>
        <w:top w:val="none" w:sz="0" w:space="0" w:color="auto"/>
        <w:left w:val="none" w:sz="0" w:space="0" w:color="auto"/>
        <w:bottom w:val="none" w:sz="0" w:space="0" w:color="auto"/>
        <w:right w:val="none" w:sz="0" w:space="0" w:color="auto"/>
      </w:divBdr>
    </w:div>
    <w:div w:id="626930443">
      <w:bodyDiv w:val="1"/>
      <w:marLeft w:val="0"/>
      <w:marRight w:val="0"/>
      <w:marTop w:val="0"/>
      <w:marBottom w:val="0"/>
      <w:divBdr>
        <w:top w:val="none" w:sz="0" w:space="0" w:color="auto"/>
        <w:left w:val="none" w:sz="0" w:space="0" w:color="auto"/>
        <w:bottom w:val="none" w:sz="0" w:space="0" w:color="auto"/>
        <w:right w:val="none" w:sz="0" w:space="0" w:color="auto"/>
      </w:divBdr>
    </w:div>
    <w:div w:id="630523191">
      <w:bodyDiv w:val="1"/>
      <w:marLeft w:val="0"/>
      <w:marRight w:val="0"/>
      <w:marTop w:val="0"/>
      <w:marBottom w:val="0"/>
      <w:divBdr>
        <w:top w:val="none" w:sz="0" w:space="0" w:color="auto"/>
        <w:left w:val="none" w:sz="0" w:space="0" w:color="auto"/>
        <w:bottom w:val="none" w:sz="0" w:space="0" w:color="auto"/>
        <w:right w:val="none" w:sz="0" w:space="0" w:color="auto"/>
      </w:divBdr>
    </w:div>
    <w:div w:id="641076436">
      <w:bodyDiv w:val="1"/>
      <w:marLeft w:val="0"/>
      <w:marRight w:val="0"/>
      <w:marTop w:val="0"/>
      <w:marBottom w:val="0"/>
      <w:divBdr>
        <w:top w:val="none" w:sz="0" w:space="0" w:color="auto"/>
        <w:left w:val="none" w:sz="0" w:space="0" w:color="auto"/>
        <w:bottom w:val="none" w:sz="0" w:space="0" w:color="auto"/>
        <w:right w:val="none" w:sz="0" w:space="0" w:color="auto"/>
      </w:divBdr>
    </w:div>
    <w:div w:id="641736129">
      <w:bodyDiv w:val="1"/>
      <w:marLeft w:val="0"/>
      <w:marRight w:val="0"/>
      <w:marTop w:val="0"/>
      <w:marBottom w:val="0"/>
      <w:divBdr>
        <w:top w:val="none" w:sz="0" w:space="0" w:color="auto"/>
        <w:left w:val="none" w:sz="0" w:space="0" w:color="auto"/>
        <w:bottom w:val="none" w:sz="0" w:space="0" w:color="auto"/>
        <w:right w:val="none" w:sz="0" w:space="0" w:color="auto"/>
      </w:divBdr>
    </w:div>
    <w:div w:id="658776122">
      <w:bodyDiv w:val="1"/>
      <w:marLeft w:val="0"/>
      <w:marRight w:val="0"/>
      <w:marTop w:val="0"/>
      <w:marBottom w:val="0"/>
      <w:divBdr>
        <w:top w:val="none" w:sz="0" w:space="0" w:color="auto"/>
        <w:left w:val="none" w:sz="0" w:space="0" w:color="auto"/>
        <w:bottom w:val="none" w:sz="0" w:space="0" w:color="auto"/>
        <w:right w:val="none" w:sz="0" w:space="0" w:color="auto"/>
      </w:divBdr>
    </w:div>
    <w:div w:id="659116460">
      <w:bodyDiv w:val="1"/>
      <w:marLeft w:val="0"/>
      <w:marRight w:val="0"/>
      <w:marTop w:val="0"/>
      <w:marBottom w:val="0"/>
      <w:divBdr>
        <w:top w:val="none" w:sz="0" w:space="0" w:color="auto"/>
        <w:left w:val="none" w:sz="0" w:space="0" w:color="auto"/>
        <w:bottom w:val="none" w:sz="0" w:space="0" w:color="auto"/>
        <w:right w:val="none" w:sz="0" w:space="0" w:color="auto"/>
      </w:divBdr>
    </w:div>
    <w:div w:id="661158310">
      <w:bodyDiv w:val="1"/>
      <w:marLeft w:val="0"/>
      <w:marRight w:val="0"/>
      <w:marTop w:val="0"/>
      <w:marBottom w:val="0"/>
      <w:divBdr>
        <w:top w:val="none" w:sz="0" w:space="0" w:color="auto"/>
        <w:left w:val="none" w:sz="0" w:space="0" w:color="auto"/>
        <w:bottom w:val="none" w:sz="0" w:space="0" w:color="auto"/>
        <w:right w:val="none" w:sz="0" w:space="0" w:color="auto"/>
      </w:divBdr>
      <w:divsChild>
        <w:div w:id="596671044">
          <w:marLeft w:val="-225"/>
          <w:marRight w:val="-225"/>
          <w:marTop w:val="0"/>
          <w:marBottom w:val="0"/>
          <w:divBdr>
            <w:top w:val="none" w:sz="0" w:space="0" w:color="auto"/>
            <w:left w:val="none" w:sz="0" w:space="0" w:color="auto"/>
            <w:bottom w:val="none" w:sz="0" w:space="0" w:color="auto"/>
            <w:right w:val="none" w:sz="0" w:space="0" w:color="auto"/>
          </w:divBdr>
        </w:div>
        <w:div w:id="1505165473">
          <w:marLeft w:val="-225"/>
          <w:marRight w:val="-225"/>
          <w:marTop w:val="0"/>
          <w:marBottom w:val="0"/>
          <w:divBdr>
            <w:top w:val="none" w:sz="0" w:space="0" w:color="auto"/>
            <w:left w:val="none" w:sz="0" w:space="0" w:color="auto"/>
            <w:bottom w:val="none" w:sz="0" w:space="0" w:color="auto"/>
            <w:right w:val="none" w:sz="0" w:space="0" w:color="auto"/>
          </w:divBdr>
        </w:div>
      </w:divsChild>
    </w:div>
    <w:div w:id="661395380">
      <w:bodyDiv w:val="1"/>
      <w:marLeft w:val="0"/>
      <w:marRight w:val="0"/>
      <w:marTop w:val="0"/>
      <w:marBottom w:val="0"/>
      <w:divBdr>
        <w:top w:val="none" w:sz="0" w:space="0" w:color="auto"/>
        <w:left w:val="none" w:sz="0" w:space="0" w:color="auto"/>
        <w:bottom w:val="none" w:sz="0" w:space="0" w:color="auto"/>
        <w:right w:val="none" w:sz="0" w:space="0" w:color="auto"/>
      </w:divBdr>
    </w:div>
    <w:div w:id="662858537">
      <w:bodyDiv w:val="1"/>
      <w:marLeft w:val="0"/>
      <w:marRight w:val="0"/>
      <w:marTop w:val="0"/>
      <w:marBottom w:val="0"/>
      <w:divBdr>
        <w:top w:val="none" w:sz="0" w:space="0" w:color="auto"/>
        <w:left w:val="none" w:sz="0" w:space="0" w:color="auto"/>
        <w:bottom w:val="none" w:sz="0" w:space="0" w:color="auto"/>
        <w:right w:val="none" w:sz="0" w:space="0" w:color="auto"/>
      </w:divBdr>
      <w:divsChild>
        <w:div w:id="305281126">
          <w:marLeft w:val="-225"/>
          <w:marRight w:val="-225"/>
          <w:marTop w:val="0"/>
          <w:marBottom w:val="0"/>
          <w:divBdr>
            <w:top w:val="none" w:sz="0" w:space="0" w:color="auto"/>
            <w:left w:val="none" w:sz="0" w:space="0" w:color="auto"/>
            <w:bottom w:val="none" w:sz="0" w:space="0" w:color="auto"/>
            <w:right w:val="none" w:sz="0" w:space="0" w:color="auto"/>
          </w:divBdr>
        </w:div>
        <w:div w:id="503975293">
          <w:marLeft w:val="-225"/>
          <w:marRight w:val="-225"/>
          <w:marTop w:val="0"/>
          <w:marBottom w:val="0"/>
          <w:divBdr>
            <w:top w:val="none" w:sz="0" w:space="0" w:color="auto"/>
            <w:left w:val="none" w:sz="0" w:space="0" w:color="auto"/>
            <w:bottom w:val="none" w:sz="0" w:space="0" w:color="auto"/>
            <w:right w:val="none" w:sz="0" w:space="0" w:color="auto"/>
          </w:divBdr>
        </w:div>
      </w:divsChild>
    </w:div>
    <w:div w:id="669407331">
      <w:bodyDiv w:val="1"/>
      <w:marLeft w:val="0"/>
      <w:marRight w:val="0"/>
      <w:marTop w:val="0"/>
      <w:marBottom w:val="0"/>
      <w:divBdr>
        <w:top w:val="none" w:sz="0" w:space="0" w:color="auto"/>
        <w:left w:val="none" w:sz="0" w:space="0" w:color="auto"/>
        <w:bottom w:val="none" w:sz="0" w:space="0" w:color="auto"/>
        <w:right w:val="none" w:sz="0" w:space="0" w:color="auto"/>
      </w:divBdr>
    </w:div>
    <w:div w:id="684018726">
      <w:bodyDiv w:val="1"/>
      <w:marLeft w:val="0"/>
      <w:marRight w:val="0"/>
      <w:marTop w:val="0"/>
      <w:marBottom w:val="0"/>
      <w:divBdr>
        <w:top w:val="none" w:sz="0" w:space="0" w:color="auto"/>
        <w:left w:val="none" w:sz="0" w:space="0" w:color="auto"/>
        <w:bottom w:val="none" w:sz="0" w:space="0" w:color="auto"/>
        <w:right w:val="none" w:sz="0" w:space="0" w:color="auto"/>
      </w:divBdr>
    </w:div>
    <w:div w:id="685013090">
      <w:bodyDiv w:val="1"/>
      <w:marLeft w:val="0"/>
      <w:marRight w:val="0"/>
      <w:marTop w:val="0"/>
      <w:marBottom w:val="0"/>
      <w:divBdr>
        <w:top w:val="none" w:sz="0" w:space="0" w:color="auto"/>
        <w:left w:val="none" w:sz="0" w:space="0" w:color="auto"/>
        <w:bottom w:val="none" w:sz="0" w:space="0" w:color="auto"/>
        <w:right w:val="none" w:sz="0" w:space="0" w:color="auto"/>
      </w:divBdr>
    </w:div>
    <w:div w:id="688289336">
      <w:bodyDiv w:val="1"/>
      <w:marLeft w:val="0"/>
      <w:marRight w:val="0"/>
      <w:marTop w:val="0"/>
      <w:marBottom w:val="0"/>
      <w:divBdr>
        <w:top w:val="none" w:sz="0" w:space="0" w:color="auto"/>
        <w:left w:val="none" w:sz="0" w:space="0" w:color="auto"/>
        <w:bottom w:val="none" w:sz="0" w:space="0" w:color="auto"/>
        <w:right w:val="none" w:sz="0" w:space="0" w:color="auto"/>
      </w:divBdr>
    </w:div>
    <w:div w:id="696080456">
      <w:bodyDiv w:val="1"/>
      <w:marLeft w:val="0"/>
      <w:marRight w:val="0"/>
      <w:marTop w:val="0"/>
      <w:marBottom w:val="0"/>
      <w:divBdr>
        <w:top w:val="none" w:sz="0" w:space="0" w:color="auto"/>
        <w:left w:val="none" w:sz="0" w:space="0" w:color="auto"/>
        <w:bottom w:val="none" w:sz="0" w:space="0" w:color="auto"/>
        <w:right w:val="none" w:sz="0" w:space="0" w:color="auto"/>
      </w:divBdr>
    </w:div>
    <w:div w:id="699890105">
      <w:bodyDiv w:val="1"/>
      <w:marLeft w:val="0"/>
      <w:marRight w:val="0"/>
      <w:marTop w:val="0"/>
      <w:marBottom w:val="0"/>
      <w:divBdr>
        <w:top w:val="none" w:sz="0" w:space="0" w:color="auto"/>
        <w:left w:val="none" w:sz="0" w:space="0" w:color="auto"/>
        <w:bottom w:val="none" w:sz="0" w:space="0" w:color="auto"/>
        <w:right w:val="none" w:sz="0" w:space="0" w:color="auto"/>
      </w:divBdr>
    </w:div>
    <w:div w:id="703209924">
      <w:bodyDiv w:val="1"/>
      <w:marLeft w:val="0"/>
      <w:marRight w:val="0"/>
      <w:marTop w:val="0"/>
      <w:marBottom w:val="0"/>
      <w:divBdr>
        <w:top w:val="none" w:sz="0" w:space="0" w:color="auto"/>
        <w:left w:val="none" w:sz="0" w:space="0" w:color="auto"/>
        <w:bottom w:val="none" w:sz="0" w:space="0" w:color="auto"/>
        <w:right w:val="none" w:sz="0" w:space="0" w:color="auto"/>
      </w:divBdr>
    </w:div>
    <w:div w:id="703478015">
      <w:bodyDiv w:val="1"/>
      <w:marLeft w:val="0"/>
      <w:marRight w:val="0"/>
      <w:marTop w:val="0"/>
      <w:marBottom w:val="0"/>
      <w:divBdr>
        <w:top w:val="none" w:sz="0" w:space="0" w:color="auto"/>
        <w:left w:val="none" w:sz="0" w:space="0" w:color="auto"/>
        <w:bottom w:val="none" w:sz="0" w:space="0" w:color="auto"/>
        <w:right w:val="none" w:sz="0" w:space="0" w:color="auto"/>
      </w:divBdr>
      <w:divsChild>
        <w:div w:id="9844506">
          <w:marLeft w:val="0"/>
          <w:marRight w:val="0"/>
          <w:marTop w:val="0"/>
          <w:marBottom w:val="0"/>
          <w:divBdr>
            <w:top w:val="none" w:sz="0" w:space="0" w:color="auto"/>
            <w:left w:val="none" w:sz="0" w:space="0" w:color="auto"/>
            <w:bottom w:val="none" w:sz="0" w:space="0" w:color="auto"/>
            <w:right w:val="none" w:sz="0" w:space="0" w:color="auto"/>
          </w:divBdr>
        </w:div>
        <w:div w:id="62608648">
          <w:marLeft w:val="0"/>
          <w:marRight w:val="0"/>
          <w:marTop w:val="0"/>
          <w:marBottom w:val="0"/>
          <w:divBdr>
            <w:top w:val="none" w:sz="0" w:space="0" w:color="auto"/>
            <w:left w:val="none" w:sz="0" w:space="0" w:color="auto"/>
            <w:bottom w:val="none" w:sz="0" w:space="0" w:color="auto"/>
            <w:right w:val="none" w:sz="0" w:space="0" w:color="auto"/>
          </w:divBdr>
        </w:div>
        <w:div w:id="83770076">
          <w:marLeft w:val="0"/>
          <w:marRight w:val="0"/>
          <w:marTop w:val="0"/>
          <w:marBottom w:val="0"/>
          <w:divBdr>
            <w:top w:val="none" w:sz="0" w:space="0" w:color="auto"/>
            <w:left w:val="none" w:sz="0" w:space="0" w:color="auto"/>
            <w:bottom w:val="none" w:sz="0" w:space="0" w:color="auto"/>
            <w:right w:val="none" w:sz="0" w:space="0" w:color="auto"/>
          </w:divBdr>
        </w:div>
        <w:div w:id="106581605">
          <w:marLeft w:val="0"/>
          <w:marRight w:val="0"/>
          <w:marTop w:val="0"/>
          <w:marBottom w:val="0"/>
          <w:divBdr>
            <w:top w:val="none" w:sz="0" w:space="0" w:color="auto"/>
            <w:left w:val="none" w:sz="0" w:space="0" w:color="auto"/>
            <w:bottom w:val="none" w:sz="0" w:space="0" w:color="auto"/>
            <w:right w:val="none" w:sz="0" w:space="0" w:color="auto"/>
          </w:divBdr>
        </w:div>
        <w:div w:id="210119974">
          <w:marLeft w:val="0"/>
          <w:marRight w:val="0"/>
          <w:marTop w:val="0"/>
          <w:marBottom w:val="0"/>
          <w:divBdr>
            <w:top w:val="none" w:sz="0" w:space="0" w:color="auto"/>
            <w:left w:val="none" w:sz="0" w:space="0" w:color="auto"/>
            <w:bottom w:val="none" w:sz="0" w:space="0" w:color="auto"/>
            <w:right w:val="none" w:sz="0" w:space="0" w:color="auto"/>
          </w:divBdr>
        </w:div>
        <w:div w:id="226958863">
          <w:marLeft w:val="0"/>
          <w:marRight w:val="0"/>
          <w:marTop w:val="0"/>
          <w:marBottom w:val="0"/>
          <w:divBdr>
            <w:top w:val="none" w:sz="0" w:space="0" w:color="auto"/>
            <w:left w:val="none" w:sz="0" w:space="0" w:color="auto"/>
            <w:bottom w:val="none" w:sz="0" w:space="0" w:color="auto"/>
            <w:right w:val="none" w:sz="0" w:space="0" w:color="auto"/>
          </w:divBdr>
        </w:div>
        <w:div w:id="259140040">
          <w:marLeft w:val="0"/>
          <w:marRight w:val="0"/>
          <w:marTop w:val="0"/>
          <w:marBottom w:val="0"/>
          <w:divBdr>
            <w:top w:val="none" w:sz="0" w:space="0" w:color="auto"/>
            <w:left w:val="none" w:sz="0" w:space="0" w:color="auto"/>
            <w:bottom w:val="none" w:sz="0" w:space="0" w:color="auto"/>
            <w:right w:val="none" w:sz="0" w:space="0" w:color="auto"/>
          </w:divBdr>
        </w:div>
        <w:div w:id="262307602">
          <w:marLeft w:val="0"/>
          <w:marRight w:val="0"/>
          <w:marTop w:val="0"/>
          <w:marBottom w:val="0"/>
          <w:divBdr>
            <w:top w:val="none" w:sz="0" w:space="0" w:color="auto"/>
            <w:left w:val="none" w:sz="0" w:space="0" w:color="auto"/>
            <w:bottom w:val="none" w:sz="0" w:space="0" w:color="auto"/>
            <w:right w:val="none" w:sz="0" w:space="0" w:color="auto"/>
          </w:divBdr>
        </w:div>
        <w:div w:id="372265861">
          <w:marLeft w:val="0"/>
          <w:marRight w:val="0"/>
          <w:marTop w:val="0"/>
          <w:marBottom w:val="0"/>
          <w:divBdr>
            <w:top w:val="none" w:sz="0" w:space="0" w:color="auto"/>
            <w:left w:val="none" w:sz="0" w:space="0" w:color="auto"/>
            <w:bottom w:val="none" w:sz="0" w:space="0" w:color="auto"/>
            <w:right w:val="none" w:sz="0" w:space="0" w:color="auto"/>
          </w:divBdr>
        </w:div>
        <w:div w:id="373121587">
          <w:marLeft w:val="0"/>
          <w:marRight w:val="0"/>
          <w:marTop w:val="0"/>
          <w:marBottom w:val="0"/>
          <w:divBdr>
            <w:top w:val="none" w:sz="0" w:space="0" w:color="auto"/>
            <w:left w:val="none" w:sz="0" w:space="0" w:color="auto"/>
            <w:bottom w:val="none" w:sz="0" w:space="0" w:color="auto"/>
            <w:right w:val="none" w:sz="0" w:space="0" w:color="auto"/>
          </w:divBdr>
        </w:div>
        <w:div w:id="381056226">
          <w:marLeft w:val="0"/>
          <w:marRight w:val="0"/>
          <w:marTop w:val="0"/>
          <w:marBottom w:val="0"/>
          <w:divBdr>
            <w:top w:val="none" w:sz="0" w:space="0" w:color="auto"/>
            <w:left w:val="none" w:sz="0" w:space="0" w:color="auto"/>
            <w:bottom w:val="none" w:sz="0" w:space="0" w:color="auto"/>
            <w:right w:val="none" w:sz="0" w:space="0" w:color="auto"/>
          </w:divBdr>
        </w:div>
        <w:div w:id="386103910">
          <w:marLeft w:val="0"/>
          <w:marRight w:val="0"/>
          <w:marTop w:val="0"/>
          <w:marBottom w:val="0"/>
          <w:divBdr>
            <w:top w:val="none" w:sz="0" w:space="0" w:color="auto"/>
            <w:left w:val="none" w:sz="0" w:space="0" w:color="auto"/>
            <w:bottom w:val="none" w:sz="0" w:space="0" w:color="auto"/>
            <w:right w:val="none" w:sz="0" w:space="0" w:color="auto"/>
          </w:divBdr>
        </w:div>
        <w:div w:id="430786990">
          <w:marLeft w:val="0"/>
          <w:marRight w:val="0"/>
          <w:marTop w:val="0"/>
          <w:marBottom w:val="0"/>
          <w:divBdr>
            <w:top w:val="none" w:sz="0" w:space="0" w:color="auto"/>
            <w:left w:val="none" w:sz="0" w:space="0" w:color="auto"/>
            <w:bottom w:val="none" w:sz="0" w:space="0" w:color="auto"/>
            <w:right w:val="none" w:sz="0" w:space="0" w:color="auto"/>
          </w:divBdr>
        </w:div>
        <w:div w:id="443427622">
          <w:marLeft w:val="0"/>
          <w:marRight w:val="0"/>
          <w:marTop w:val="0"/>
          <w:marBottom w:val="0"/>
          <w:divBdr>
            <w:top w:val="none" w:sz="0" w:space="0" w:color="auto"/>
            <w:left w:val="none" w:sz="0" w:space="0" w:color="auto"/>
            <w:bottom w:val="none" w:sz="0" w:space="0" w:color="auto"/>
            <w:right w:val="none" w:sz="0" w:space="0" w:color="auto"/>
          </w:divBdr>
        </w:div>
        <w:div w:id="457602025">
          <w:marLeft w:val="0"/>
          <w:marRight w:val="0"/>
          <w:marTop w:val="0"/>
          <w:marBottom w:val="0"/>
          <w:divBdr>
            <w:top w:val="none" w:sz="0" w:space="0" w:color="auto"/>
            <w:left w:val="none" w:sz="0" w:space="0" w:color="auto"/>
            <w:bottom w:val="none" w:sz="0" w:space="0" w:color="auto"/>
            <w:right w:val="none" w:sz="0" w:space="0" w:color="auto"/>
          </w:divBdr>
        </w:div>
        <w:div w:id="480073938">
          <w:marLeft w:val="0"/>
          <w:marRight w:val="0"/>
          <w:marTop w:val="0"/>
          <w:marBottom w:val="0"/>
          <w:divBdr>
            <w:top w:val="none" w:sz="0" w:space="0" w:color="auto"/>
            <w:left w:val="none" w:sz="0" w:space="0" w:color="auto"/>
            <w:bottom w:val="none" w:sz="0" w:space="0" w:color="auto"/>
            <w:right w:val="none" w:sz="0" w:space="0" w:color="auto"/>
          </w:divBdr>
        </w:div>
        <w:div w:id="537744424">
          <w:marLeft w:val="0"/>
          <w:marRight w:val="0"/>
          <w:marTop w:val="0"/>
          <w:marBottom w:val="0"/>
          <w:divBdr>
            <w:top w:val="none" w:sz="0" w:space="0" w:color="auto"/>
            <w:left w:val="none" w:sz="0" w:space="0" w:color="auto"/>
            <w:bottom w:val="none" w:sz="0" w:space="0" w:color="auto"/>
            <w:right w:val="none" w:sz="0" w:space="0" w:color="auto"/>
          </w:divBdr>
        </w:div>
        <w:div w:id="566262116">
          <w:marLeft w:val="0"/>
          <w:marRight w:val="0"/>
          <w:marTop w:val="0"/>
          <w:marBottom w:val="0"/>
          <w:divBdr>
            <w:top w:val="none" w:sz="0" w:space="0" w:color="auto"/>
            <w:left w:val="none" w:sz="0" w:space="0" w:color="auto"/>
            <w:bottom w:val="none" w:sz="0" w:space="0" w:color="auto"/>
            <w:right w:val="none" w:sz="0" w:space="0" w:color="auto"/>
          </w:divBdr>
        </w:div>
        <w:div w:id="606280128">
          <w:marLeft w:val="0"/>
          <w:marRight w:val="0"/>
          <w:marTop w:val="0"/>
          <w:marBottom w:val="0"/>
          <w:divBdr>
            <w:top w:val="none" w:sz="0" w:space="0" w:color="auto"/>
            <w:left w:val="none" w:sz="0" w:space="0" w:color="auto"/>
            <w:bottom w:val="none" w:sz="0" w:space="0" w:color="auto"/>
            <w:right w:val="none" w:sz="0" w:space="0" w:color="auto"/>
          </w:divBdr>
        </w:div>
        <w:div w:id="697582754">
          <w:marLeft w:val="0"/>
          <w:marRight w:val="0"/>
          <w:marTop w:val="0"/>
          <w:marBottom w:val="0"/>
          <w:divBdr>
            <w:top w:val="none" w:sz="0" w:space="0" w:color="auto"/>
            <w:left w:val="none" w:sz="0" w:space="0" w:color="auto"/>
            <w:bottom w:val="none" w:sz="0" w:space="0" w:color="auto"/>
            <w:right w:val="none" w:sz="0" w:space="0" w:color="auto"/>
          </w:divBdr>
        </w:div>
        <w:div w:id="739131106">
          <w:marLeft w:val="0"/>
          <w:marRight w:val="0"/>
          <w:marTop w:val="0"/>
          <w:marBottom w:val="0"/>
          <w:divBdr>
            <w:top w:val="none" w:sz="0" w:space="0" w:color="auto"/>
            <w:left w:val="none" w:sz="0" w:space="0" w:color="auto"/>
            <w:bottom w:val="none" w:sz="0" w:space="0" w:color="auto"/>
            <w:right w:val="none" w:sz="0" w:space="0" w:color="auto"/>
          </w:divBdr>
        </w:div>
        <w:div w:id="764615660">
          <w:marLeft w:val="0"/>
          <w:marRight w:val="0"/>
          <w:marTop w:val="0"/>
          <w:marBottom w:val="0"/>
          <w:divBdr>
            <w:top w:val="none" w:sz="0" w:space="0" w:color="auto"/>
            <w:left w:val="none" w:sz="0" w:space="0" w:color="auto"/>
            <w:bottom w:val="none" w:sz="0" w:space="0" w:color="auto"/>
            <w:right w:val="none" w:sz="0" w:space="0" w:color="auto"/>
          </w:divBdr>
        </w:div>
        <w:div w:id="767122596">
          <w:marLeft w:val="0"/>
          <w:marRight w:val="0"/>
          <w:marTop w:val="0"/>
          <w:marBottom w:val="0"/>
          <w:divBdr>
            <w:top w:val="none" w:sz="0" w:space="0" w:color="auto"/>
            <w:left w:val="none" w:sz="0" w:space="0" w:color="auto"/>
            <w:bottom w:val="none" w:sz="0" w:space="0" w:color="auto"/>
            <w:right w:val="none" w:sz="0" w:space="0" w:color="auto"/>
          </w:divBdr>
        </w:div>
        <w:div w:id="770469867">
          <w:marLeft w:val="0"/>
          <w:marRight w:val="0"/>
          <w:marTop w:val="0"/>
          <w:marBottom w:val="0"/>
          <w:divBdr>
            <w:top w:val="none" w:sz="0" w:space="0" w:color="auto"/>
            <w:left w:val="none" w:sz="0" w:space="0" w:color="auto"/>
            <w:bottom w:val="none" w:sz="0" w:space="0" w:color="auto"/>
            <w:right w:val="none" w:sz="0" w:space="0" w:color="auto"/>
          </w:divBdr>
        </w:div>
        <w:div w:id="810441894">
          <w:marLeft w:val="0"/>
          <w:marRight w:val="0"/>
          <w:marTop w:val="0"/>
          <w:marBottom w:val="0"/>
          <w:divBdr>
            <w:top w:val="none" w:sz="0" w:space="0" w:color="auto"/>
            <w:left w:val="none" w:sz="0" w:space="0" w:color="auto"/>
            <w:bottom w:val="none" w:sz="0" w:space="0" w:color="auto"/>
            <w:right w:val="none" w:sz="0" w:space="0" w:color="auto"/>
          </w:divBdr>
        </w:div>
        <w:div w:id="887423605">
          <w:marLeft w:val="0"/>
          <w:marRight w:val="0"/>
          <w:marTop w:val="0"/>
          <w:marBottom w:val="0"/>
          <w:divBdr>
            <w:top w:val="none" w:sz="0" w:space="0" w:color="auto"/>
            <w:left w:val="none" w:sz="0" w:space="0" w:color="auto"/>
            <w:bottom w:val="none" w:sz="0" w:space="0" w:color="auto"/>
            <w:right w:val="none" w:sz="0" w:space="0" w:color="auto"/>
          </w:divBdr>
        </w:div>
        <w:div w:id="903175326">
          <w:marLeft w:val="0"/>
          <w:marRight w:val="0"/>
          <w:marTop w:val="0"/>
          <w:marBottom w:val="0"/>
          <w:divBdr>
            <w:top w:val="none" w:sz="0" w:space="0" w:color="auto"/>
            <w:left w:val="none" w:sz="0" w:space="0" w:color="auto"/>
            <w:bottom w:val="none" w:sz="0" w:space="0" w:color="auto"/>
            <w:right w:val="none" w:sz="0" w:space="0" w:color="auto"/>
          </w:divBdr>
        </w:div>
        <w:div w:id="904072209">
          <w:marLeft w:val="0"/>
          <w:marRight w:val="0"/>
          <w:marTop w:val="0"/>
          <w:marBottom w:val="0"/>
          <w:divBdr>
            <w:top w:val="none" w:sz="0" w:space="0" w:color="auto"/>
            <w:left w:val="none" w:sz="0" w:space="0" w:color="auto"/>
            <w:bottom w:val="none" w:sz="0" w:space="0" w:color="auto"/>
            <w:right w:val="none" w:sz="0" w:space="0" w:color="auto"/>
          </w:divBdr>
        </w:div>
        <w:div w:id="911626890">
          <w:marLeft w:val="0"/>
          <w:marRight w:val="0"/>
          <w:marTop w:val="0"/>
          <w:marBottom w:val="0"/>
          <w:divBdr>
            <w:top w:val="none" w:sz="0" w:space="0" w:color="auto"/>
            <w:left w:val="none" w:sz="0" w:space="0" w:color="auto"/>
            <w:bottom w:val="none" w:sz="0" w:space="0" w:color="auto"/>
            <w:right w:val="none" w:sz="0" w:space="0" w:color="auto"/>
          </w:divBdr>
        </w:div>
        <w:div w:id="918371934">
          <w:marLeft w:val="0"/>
          <w:marRight w:val="0"/>
          <w:marTop w:val="0"/>
          <w:marBottom w:val="0"/>
          <w:divBdr>
            <w:top w:val="none" w:sz="0" w:space="0" w:color="auto"/>
            <w:left w:val="none" w:sz="0" w:space="0" w:color="auto"/>
            <w:bottom w:val="none" w:sz="0" w:space="0" w:color="auto"/>
            <w:right w:val="none" w:sz="0" w:space="0" w:color="auto"/>
          </w:divBdr>
        </w:div>
        <w:div w:id="926380110">
          <w:marLeft w:val="0"/>
          <w:marRight w:val="0"/>
          <w:marTop w:val="0"/>
          <w:marBottom w:val="0"/>
          <w:divBdr>
            <w:top w:val="none" w:sz="0" w:space="0" w:color="auto"/>
            <w:left w:val="none" w:sz="0" w:space="0" w:color="auto"/>
            <w:bottom w:val="none" w:sz="0" w:space="0" w:color="auto"/>
            <w:right w:val="none" w:sz="0" w:space="0" w:color="auto"/>
          </w:divBdr>
        </w:div>
        <w:div w:id="964702123">
          <w:marLeft w:val="0"/>
          <w:marRight w:val="0"/>
          <w:marTop w:val="0"/>
          <w:marBottom w:val="0"/>
          <w:divBdr>
            <w:top w:val="none" w:sz="0" w:space="0" w:color="auto"/>
            <w:left w:val="none" w:sz="0" w:space="0" w:color="auto"/>
            <w:bottom w:val="none" w:sz="0" w:space="0" w:color="auto"/>
            <w:right w:val="none" w:sz="0" w:space="0" w:color="auto"/>
          </w:divBdr>
        </w:div>
        <w:div w:id="999188625">
          <w:marLeft w:val="0"/>
          <w:marRight w:val="0"/>
          <w:marTop w:val="0"/>
          <w:marBottom w:val="0"/>
          <w:divBdr>
            <w:top w:val="none" w:sz="0" w:space="0" w:color="auto"/>
            <w:left w:val="none" w:sz="0" w:space="0" w:color="auto"/>
            <w:bottom w:val="none" w:sz="0" w:space="0" w:color="auto"/>
            <w:right w:val="none" w:sz="0" w:space="0" w:color="auto"/>
          </w:divBdr>
        </w:div>
        <w:div w:id="1021277620">
          <w:marLeft w:val="0"/>
          <w:marRight w:val="0"/>
          <w:marTop w:val="0"/>
          <w:marBottom w:val="0"/>
          <w:divBdr>
            <w:top w:val="none" w:sz="0" w:space="0" w:color="auto"/>
            <w:left w:val="none" w:sz="0" w:space="0" w:color="auto"/>
            <w:bottom w:val="none" w:sz="0" w:space="0" w:color="auto"/>
            <w:right w:val="none" w:sz="0" w:space="0" w:color="auto"/>
          </w:divBdr>
        </w:div>
        <w:div w:id="1061945691">
          <w:marLeft w:val="0"/>
          <w:marRight w:val="0"/>
          <w:marTop w:val="0"/>
          <w:marBottom w:val="0"/>
          <w:divBdr>
            <w:top w:val="none" w:sz="0" w:space="0" w:color="auto"/>
            <w:left w:val="none" w:sz="0" w:space="0" w:color="auto"/>
            <w:bottom w:val="none" w:sz="0" w:space="0" w:color="auto"/>
            <w:right w:val="none" w:sz="0" w:space="0" w:color="auto"/>
          </w:divBdr>
        </w:div>
        <w:div w:id="1147209409">
          <w:marLeft w:val="0"/>
          <w:marRight w:val="0"/>
          <w:marTop w:val="0"/>
          <w:marBottom w:val="0"/>
          <w:divBdr>
            <w:top w:val="none" w:sz="0" w:space="0" w:color="auto"/>
            <w:left w:val="none" w:sz="0" w:space="0" w:color="auto"/>
            <w:bottom w:val="none" w:sz="0" w:space="0" w:color="auto"/>
            <w:right w:val="none" w:sz="0" w:space="0" w:color="auto"/>
          </w:divBdr>
        </w:div>
        <w:div w:id="1168908521">
          <w:marLeft w:val="0"/>
          <w:marRight w:val="0"/>
          <w:marTop w:val="0"/>
          <w:marBottom w:val="0"/>
          <w:divBdr>
            <w:top w:val="none" w:sz="0" w:space="0" w:color="auto"/>
            <w:left w:val="none" w:sz="0" w:space="0" w:color="auto"/>
            <w:bottom w:val="none" w:sz="0" w:space="0" w:color="auto"/>
            <w:right w:val="none" w:sz="0" w:space="0" w:color="auto"/>
          </w:divBdr>
        </w:div>
        <w:div w:id="1259019281">
          <w:marLeft w:val="0"/>
          <w:marRight w:val="0"/>
          <w:marTop w:val="0"/>
          <w:marBottom w:val="0"/>
          <w:divBdr>
            <w:top w:val="none" w:sz="0" w:space="0" w:color="auto"/>
            <w:left w:val="none" w:sz="0" w:space="0" w:color="auto"/>
            <w:bottom w:val="none" w:sz="0" w:space="0" w:color="auto"/>
            <w:right w:val="none" w:sz="0" w:space="0" w:color="auto"/>
          </w:divBdr>
        </w:div>
        <w:div w:id="1291597138">
          <w:marLeft w:val="0"/>
          <w:marRight w:val="0"/>
          <w:marTop w:val="0"/>
          <w:marBottom w:val="0"/>
          <w:divBdr>
            <w:top w:val="none" w:sz="0" w:space="0" w:color="auto"/>
            <w:left w:val="none" w:sz="0" w:space="0" w:color="auto"/>
            <w:bottom w:val="none" w:sz="0" w:space="0" w:color="auto"/>
            <w:right w:val="none" w:sz="0" w:space="0" w:color="auto"/>
          </w:divBdr>
        </w:div>
        <w:div w:id="1302734666">
          <w:marLeft w:val="0"/>
          <w:marRight w:val="0"/>
          <w:marTop w:val="0"/>
          <w:marBottom w:val="0"/>
          <w:divBdr>
            <w:top w:val="none" w:sz="0" w:space="0" w:color="auto"/>
            <w:left w:val="none" w:sz="0" w:space="0" w:color="auto"/>
            <w:bottom w:val="none" w:sz="0" w:space="0" w:color="auto"/>
            <w:right w:val="none" w:sz="0" w:space="0" w:color="auto"/>
          </w:divBdr>
        </w:div>
        <w:div w:id="1392265585">
          <w:marLeft w:val="0"/>
          <w:marRight w:val="0"/>
          <w:marTop w:val="0"/>
          <w:marBottom w:val="0"/>
          <w:divBdr>
            <w:top w:val="none" w:sz="0" w:space="0" w:color="auto"/>
            <w:left w:val="none" w:sz="0" w:space="0" w:color="auto"/>
            <w:bottom w:val="none" w:sz="0" w:space="0" w:color="auto"/>
            <w:right w:val="none" w:sz="0" w:space="0" w:color="auto"/>
          </w:divBdr>
        </w:div>
        <w:div w:id="1475295285">
          <w:marLeft w:val="0"/>
          <w:marRight w:val="0"/>
          <w:marTop w:val="0"/>
          <w:marBottom w:val="0"/>
          <w:divBdr>
            <w:top w:val="none" w:sz="0" w:space="0" w:color="auto"/>
            <w:left w:val="none" w:sz="0" w:space="0" w:color="auto"/>
            <w:bottom w:val="none" w:sz="0" w:space="0" w:color="auto"/>
            <w:right w:val="none" w:sz="0" w:space="0" w:color="auto"/>
          </w:divBdr>
        </w:div>
        <w:div w:id="1498882841">
          <w:marLeft w:val="0"/>
          <w:marRight w:val="0"/>
          <w:marTop w:val="0"/>
          <w:marBottom w:val="0"/>
          <w:divBdr>
            <w:top w:val="none" w:sz="0" w:space="0" w:color="auto"/>
            <w:left w:val="none" w:sz="0" w:space="0" w:color="auto"/>
            <w:bottom w:val="none" w:sz="0" w:space="0" w:color="auto"/>
            <w:right w:val="none" w:sz="0" w:space="0" w:color="auto"/>
          </w:divBdr>
        </w:div>
        <w:div w:id="1578398724">
          <w:marLeft w:val="0"/>
          <w:marRight w:val="0"/>
          <w:marTop w:val="0"/>
          <w:marBottom w:val="0"/>
          <w:divBdr>
            <w:top w:val="none" w:sz="0" w:space="0" w:color="auto"/>
            <w:left w:val="none" w:sz="0" w:space="0" w:color="auto"/>
            <w:bottom w:val="none" w:sz="0" w:space="0" w:color="auto"/>
            <w:right w:val="none" w:sz="0" w:space="0" w:color="auto"/>
          </w:divBdr>
        </w:div>
        <w:div w:id="1582716324">
          <w:marLeft w:val="0"/>
          <w:marRight w:val="0"/>
          <w:marTop w:val="0"/>
          <w:marBottom w:val="0"/>
          <w:divBdr>
            <w:top w:val="none" w:sz="0" w:space="0" w:color="auto"/>
            <w:left w:val="none" w:sz="0" w:space="0" w:color="auto"/>
            <w:bottom w:val="none" w:sz="0" w:space="0" w:color="auto"/>
            <w:right w:val="none" w:sz="0" w:space="0" w:color="auto"/>
          </w:divBdr>
        </w:div>
        <w:div w:id="1639871379">
          <w:marLeft w:val="0"/>
          <w:marRight w:val="0"/>
          <w:marTop w:val="0"/>
          <w:marBottom w:val="0"/>
          <w:divBdr>
            <w:top w:val="none" w:sz="0" w:space="0" w:color="auto"/>
            <w:left w:val="none" w:sz="0" w:space="0" w:color="auto"/>
            <w:bottom w:val="none" w:sz="0" w:space="0" w:color="auto"/>
            <w:right w:val="none" w:sz="0" w:space="0" w:color="auto"/>
          </w:divBdr>
        </w:div>
        <w:div w:id="1674144918">
          <w:marLeft w:val="0"/>
          <w:marRight w:val="0"/>
          <w:marTop w:val="0"/>
          <w:marBottom w:val="0"/>
          <w:divBdr>
            <w:top w:val="none" w:sz="0" w:space="0" w:color="auto"/>
            <w:left w:val="none" w:sz="0" w:space="0" w:color="auto"/>
            <w:bottom w:val="none" w:sz="0" w:space="0" w:color="auto"/>
            <w:right w:val="none" w:sz="0" w:space="0" w:color="auto"/>
          </w:divBdr>
        </w:div>
        <w:div w:id="1795561452">
          <w:marLeft w:val="0"/>
          <w:marRight w:val="0"/>
          <w:marTop w:val="0"/>
          <w:marBottom w:val="0"/>
          <w:divBdr>
            <w:top w:val="none" w:sz="0" w:space="0" w:color="auto"/>
            <w:left w:val="none" w:sz="0" w:space="0" w:color="auto"/>
            <w:bottom w:val="none" w:sz="0" w:space="0" w:color="auto"/>
            <w:right w:val="none" w:sz="0" w:space="0" w:color="auto"/>
          </w:divBdr>
        </w:div>
        <w:div w:id="1864856074">
          <w:marLeft w:val="0"/>
          <w:marRight w:val="0"/>
          <w:marTop w:val="0"/>
          <w:marBottom w:val="0"/>
          <w:divBdr>
            <w:top w:val="none" w:sz="0" w:space="0" w:color="auto"/>
            <w:left w:val="none" w:sz="0" w:space="0" w:color="auto"/>
            <w:bottom w:val="none" w:sz="0" w:space="0" w:color="auto"/>
            <w:right w:val="none" w:sz="0" w:space="0" w:color="auto"/>
          </w:divBdr>
        </w:div>
        <w:div w:id="1908417153">
          <w:marLeft w:val="0"/>
          <w:marRight w:val="0"/>
          <w:marTop w:val="0"/>
          <w:marBottom w:val="0"/>
          <w:divBdr>
            <w:top w:val="none" w:sz="0" w:space="0" w:color="auto"/>
            <w:left w:val="none" w:sz="0" w:space="0" w:color="auto"/>
            <w:bottom w:val="none" w:sz="0" w:space="0" w:color="auto"/>
            <w:right w:val="none" w:sz="0" w:space="0" w:color="auto"/>
          </w:divBdr>
        </w:div>
        <w:div w:id="1913194534">
          <w:marLeft w:val="0"/>
          <w:marRight w:val="0"/>
          <w:marTop w:val="0"/>
          <w:marBottom w:val="0"/>
          <w:divBdr>
            <w:top w:val="none" w:sz="0" w:space="0" w:color="auto"/>
            <w:left w:val="none" w:sz="0" w:space="0" w:color="auto"/>
            <w:bottom w:val="none" w:sz="0" w:space="0" w:color="auto"/>
            <w:right w:val="none" w:sz="0" w:space="0" w:color="auto"/>
          </w:divBdr>
        </w:div>
        <w:div w:id="1928953000">
          <w:marLeft w:val="0"/>
          <w:marRight w:val="0"/>
          <w:marTop w:val="0"/>
          <w:marBottom w:val="0"/>
          <w:divBdr>
            <w:top w:val="none" w:sz="0" w:space="0" w:color="auto"/>
            <w:left w:val="none" w:sz="0" w:space="0" w:color="auto"/>
            <w:bottom w:val="none" w:sz="0" w:space="0" w:color="auto"/>
            <w:right w:val="none" w:sz="0" w:space="0" w:color="auto"/>
          </w:divBdr>
        </w:div>
        <w:div w:id="1971521008">
          <w:marLeft w:val="0"/>
          <w:marRight w:val="0"/>
          <w:marTop w:val="0"/>
          <w:marBottom w:val="0"/>
          <w:divBdr>
            <w:top w:val="none" w:sz="0" w:space="0" w:color="auto"/>
            <w:left w:val="none" w:sz="0" w:space="0" w:color="auto"/>
            <w:bottom w:val="none" w:sz="0" w:space="0" w:color="auto"/>
            <w:right w:val="none" w:sz="0" w:space="0" w:color="auto"/>
          </w:divBdr>
        </w:div>
        <w:div w:id="2032950790">
          <w:marLeft w:val="0"/>
          <w:marRight w:val="0"/>
          <w:marTop w:val="0"/>
          <w:marBottom w:val="0"/>
          <w:divBdr>
            <w:top w:val="none" w:sz="0" w:space="0" w:color="auto"/>
            <w:left w:val="none" w:sz="0" w:space="0" w:color="auto"/>
            <w:bottom w:val="none" w:sz="0" w:space="0" w:color="auto"/>
            <w:right w:val="none" w:sz="0" w:space="0" w:color="auto"/>
          </w:divBdr>
        </w:div>
        <w:div w:id="2038315428">
          <w:marLeft w:val="0"/>
          <w:marRight w:val="0"/>
          <w:marTop w:val="0"/>
          <w:marBottom w:val="0"/>
          <w:divBdr>
            <w:top w:val="none" w:sz="0" w:space="0" w:color="auto"/>
            <w:left w:val="none" w:sz="0" w:space="0" w:color="auto"/>
            <w:bottom w:val="none" w:sz="0" w:space="0" w:color="auto"/>
            <w:right w:val="none" w:sz="0" w:space="0" w:color="auto"/>
          </w:divBdr>
        </w:div>
        <w:div w:id="2046326372">
          <w:marLeft w:val="0"/>
          <w:marRight w:val="0"/>
          <w:marTop w:val="0"/>
          <w:marBottom w:val="0"/>
          <w:divBdr>
            <w:top w:val="none" w:sz="0" w:space="0" w:color="auto"/>
            <w:left w:val="none" w:sz="0" w:space="0" w:color="auto"/>
            <w:bottom w:val="none" w:sz="0" w:space="0" w:color="auto"/>
            <w:right w:val="none" w:sz="0" w:space="0" w:color="auto"/>
          </w:divBdr>
        </w:div>
        <w:div w:id="2050759832">
          <w:marLeft w:val="0"/>
          <w:marRight w:val="0"/>
          <w:marTop w:val="0"/>
          <w:marBottom w:val="0"/>
          <w:divBdr>
            <w:top w:val="none" w:sz="0" w:space="0" w:color="auto"/>
            <w:left w:val="none" w:sz="0" w:space="0" w:color="auto"/>
            <w:bottom w:val="none" w:sz="0" w:space="0" w:color="auto"/>
            <w:right w:val="none" w:sz="0" w:space="0" w:color="auto"/>
          </w:divBdr>
        </w:div>
        <w:div w:id="2102141020">
          <w:marLeft w:val="0"/>
          <w:marRight w:val="0"/>
          <w:marTop w:val="0"/>
          <w:marBottom w:val="0"/>
          <w:divBdr>
            <w:top w:val="none" w:sz="0" w:space="0" w:color="auto"/>
            <w:left w:val="none" w:sz="0" w:space="0" w:color="auto"/>
            <w:bottom w:val="none" w:sz="0" w:space="0" w:color="auto"/>
            <w:right w:val="none" w:sz="0" w:space="0" w:color="auto"/>
          </w:divBdr>
        </w:div>
        <w:div w:id="2139101614">
          <w:marLeft w:val="0"/>
          <w:marRight w:val="0"/>
          <w:marTop w:val="0"/>
          <w:marBottom w:val="0"/>
          <w:divBdr>
            <w:top w:val="none" w:sz="0" w:space="0" w:color="auto"/>
            <w:left w:val="none" w:sz="0" w:space="0" w:color="auto"/>
            <w:bottom w:val="none" w:sz="0" w:space="0" w:color="auto"/>
            <w:right w:val="none" w:sz="0" w:space="0" w:color="auto"/>
          </w:divBdr>
        </w:div>
      </w:divsChild>
    </w:div>
    <w:div w:id="706371745">
      <w:bodyDiv w:val="1"/>
      <w:marLeft w:val="0"/>
      <w:marRight w:val="0"/>
      <w:marTop w:val="0"/>
      <w:marBottom w:val="0"/>
      <w:divBdr>
        <w:top w:val="none" w:sz="0" w:space="0" w:color="auto"/>
        <w:left w:val="none" w:sz="0" w:space="0" w:color="auto"/>
        <w:bottom w:val="none" w:sz="0" w:space="0" w:color="auto"/>
        <w:right w:val="none" w:sz="0" w:space="0" w:color="auto"/>
      </w:divBdr>
    </w:div>
    <w:div w:id="708996080">
      <w:bodyDiv w:val="1"/>
      <w:marLeft w:val="0"/>
      <w:marRight w:val="0"/>
      <w:marTop w:val="0"/>
      <w:marBottom w:val="0"/>
      <w:divBdr>
        <w:top w:val="none" w:sz="0" w:space="0" w:color="auto"/>
        <w:left w:val="none" w:sz="0" w:space="0" w:color="auto"/>
        <w:bottom w:val="none" w:sz="0" w:space="0" w:color="auto"/>
        <w:right w:val="none" w:sz="0" w:space="0" w:color="auto"/>
      </w:divBdr>
    </w:div>
    <w:div w:id="723674076">
      <w:bodyDiv w:val="1"/>
      <w:marLeft w:val="0"/>
      <w:marRight w:val="0"/>
      <w:marTop w:val="0"/>
      <w:marBottom w:val="0"/>
      <w:divBdr>
        <w:top w:val="none" w:sz="0" w:space="0" w:color="auto"/>
        <w:left w:val="none" w:sz="0" w:space="0" w:color="auto"/>
        <w:bottom w:val="none" w:sz="0" w:space="0" w:color="auto"/>
        <w:right w:val="none" w:sz="0" w:space="0" w:color="auto"/>
      </w:divBdr>
    </w:div>
    <w:div w:id="733745662">
      <w:bodyDiv w:val="1"/>
      <w:marLeft w:val="0"/>
      <w:marRight w:val="0"/>
      <w:marTop w:val="0"/>
      <w:marBottom w:val="0"/>
      <w:divBdr>
        <w:top w:val="none" w:sz="0" w:space="0" w:color="auto"/>
        <w:left w:val="none" w:sz="0" w:space="0" w:color="auto"/>
        <w:bottom w:val="none" w:sz="0" w:space="0" w:color="auto"/>
        <w:right w:val="none" w:sz="0" w:space="0" w:color="auto"/>
      </w:divBdr>
    </w:div>
    <w:div w:id="739720200">
      <w:bodyDiv w:val="1"/>
      <w:marLeft w:val="0"/>
      <w:marRight w:val="0"/>
      <w:marTop w:val="0"/>
      <w:marBottom w:val="0"/>
      <w:divBdr>
        <w:top w:val="none" w:sz="0" w:space="0" w:color="auto"/>
        <w:left w:val="none" w:sz="0" w:space="0" w:color="auto"/>
        <w:bottom w:val="none" w:sz="0" w:space="0" w:color="auto"/>
        <w:right w:val="none" w:sz="0" w:space="0" w:color="auto"/>
      </w:divBdr>
      <w:divsChild>
        <w:div w:id="848905424">
          <w:marLeft w:val="0"/>
          <w:marRight w:val="0"/>
          <w:marTop w:val="0"/>
          <w:marBottom w:val="0"/>
          <w:divBdr>
            <w:top w:val="none" w:sz="0" w:space="0" w:color="auto"/>
            <w:left w:val="none" w:sz="0" w:space="0" w:color="auto"/>
            <w:bottom w:val="none" w:sz="0" w:space="0" w:color="auto"/>
            <w:right w:val="none" w:sz="0" w:space="0" w:color="auto"/>
          </w:divBdr>
        </w:div>
        <w:div w:id="1347363044">
          <w:marLeft w:val="0"/>
          <w:marRight w:val="0"/>
          <w:marTop w:val="0"/>
          <w:marBottom w:val="0"/>
          <w:divBdr>
            <w:top w:val="none" w:sz="0" w:space="0" w:color="auto"/>
            <w:left w:val="none" w:sz="0" w:space="0" w:color="auto"/>
            <w:bottom w:val="none" w:sz="0" w:space="0" w:color="auto"/>
            <w:right w:val="none" w:sz="0" w:space="0" w:color="auto"/>
          </w:divBdr>
        </w:div>
        <w:div w:id="1352486835">
          <w:marLeft w:val="0"/>
          <w:marRight w:val="0"/>
          <w:marTop w:val="0"/>
          <w:marBottom w:val="0"/>
          <w:divBdr>
            <w:top w:val="none" w:sz="0" w:space="0" w:color="auto"/>
            <w:left w:val="none" w:sz="0" w:space="0" w:color="auto"/>
            <w:bottom w:val="none" w:sz="0" w:space="0" w:color="auto"/>
            <w:right w:val="none" w:sz="0" w:space="0" w:color="auto"/>
          </w:divBdr>
        </w:div>
        <w:div w:id="1549534829">
          <w:marLeft w:val="0"/>
          <w:marRight w:val="0"/>
          <w:marTop w:val="0"/>
          <w:marBottom w:val="0"/>
          <w:divBdr>
            <w:top w:val="none" w:sz="0" w:space="0" w:color="auto"/>
            <w:left w:val="none" w:sz="0" w:space="0" w:color="auto"/>
            <w:bottom w:val="none" w:sz="0" w:space="0" w:color="auto"/>
            <w:right w:val="none" w:sz="0" w:space="0" w:color="auto"/>
          </w:divBdr>
        </w:div>
        <w:div w:id="1743679429">
          <w:marLeft w:val="0"/>
          <w:marRight w:val="0"/>
          <w:marTop w:val="0"/>
          <w:marBottom w:val="0"/>
          <w:divBdr>
            <w:top w:val="none" w:sz="0" w:space="0" w:color="auto"/>
            <w:left w:val="none" w:sz="0" w:space="0" w:color="auto"/>
            <w:bottom w:val="none" w:sz="0" w:space="0" w:color="auto"/>
            <w:right w:val="none" w:sz="0" w:space="0" w:color="auto"/>
          </w:divBdr>
        </w:div>
        <w:div w:id="2027749545">
          <w:marLeft w:val="0"/>
          <w:marRight w:val="0"/>
          <w:marTop w:val="0"/>
          <w:marBottom w:val="0"/>
          <w:divBdr>
            <w:top w:val="none" w:sz="0" w:space="0" w:color="auto"/>
            <w:left w:val="none" w:sz="0" w:space="0" w:color="auto"/>
            <w:bottom w:val="none" w:sz="0" w:space="0" w:color="auto"/>
            <w:right w:val="none" w:sz="0" w:space="0" w:color="auto"/>
          </w:divBdr>
        </w:div>
        <w:div w:id="2057390198">
          <w:marLeft w:val="0"/>
          <w:marRight w:val="0"/>
          <w:marTop w:val="0"/>
          <w:marBottom w:val="0"/>
          <w:divBdr>
            <w:top w:val="none" w:sz="0" w:space="0" w:color="auto"/>
            <w:left w:val="none" w:sz="0" w:space="0" w:color="auto"/>
            <w:bottom w:val="none" w:sz="0" w:space="0" w:color="auto"/>
            <w:right w:val="none" w:sz="0" w:space="0" w:color="auto"/>
          </w:divBdr>
        </w:div>
        <w:div w:id="2109152825">
          <w:marLeft w:val="0"/>
          <w:marRight w:val="0"/>
          <w:marTop w:val="0"/>
          <w:marBottom w:val="0"/>
          <w:divBdr>
            <w:top w:val="none" w:sz="0" w:space="0" w:color="auto"/>
            <w:left w:val="none" w:sz="0" w:space="0" w:color="auto"/>
            <w:bottom w:val="none" w:sz="0" w:space="0" w:color="auto"/>
            <w:right w:val="none" w:sz="0" w:space="0" w:color="auto"/>
          </w:divBdr>
        </w:div>
      </w:divsChild>
    </w:div>
    <w:div w:id="744038019">
      <w:bodyDiv w:val="1"/>
      <w:marLeft w:val="0"/>
      <w:marRight w:val="0"/>
      <w:marTop w:val="0"/>
      <w:marBottom w:val="0"/>
      <w:divBdr>
        <w:top w:val="none" w:sz="0" w:space="0" w:color="auto"/>
        <w:left w:val="none" w:sz="0" w:space="0" w:color="auto"/>
        <w:bottom w:val="none" w:sz="0" w:space="0" w:color="auto"/>
        <w:right w:val="none" w:sz="0" w:space="0" w:color="auto"/>
      </w:divBdr>
    </w:div>
    <w:div w:id="746078127">
      <w:bodyDiv w:val="1"/>
      <w:marLeft w:val="0"/>
      <w:marRight w:val="0"/>
      <w:marTop w:val="0"/>
      <w:marBottom w:val="0"/>
      <w:divBdr>
        <w:top w:val="none" w:sz="0" w:space="0" w:color="auto"/>
        <w:left w:val="none" w:sz="0" w:space="0" w:color="auto"/>
        <w:bottom w:val="none" w:sz="0" w:space="0" w:color="auto"/>
        <w:right w:val="none" w:sz="0" w:space="0" w:color="auto"/>
      </w:divBdr>
    </w:div>
    <w:div w:id="750196197">
      <w:bodyDiv w:val="1"/>
      <w:marLeft w:val="0"/>
      <w:marRight w:val="0"/>
      <w:marTop w:val="0"/>
      <w:marBottom w:val="0"/>
      <w:divBdr>
        <w:top w:val="none" w:sz="0" w:space="0" w:color="auto"/>
        <w:left w:val="none" w:sz="0" w:space="0" w:color="auto"/>
        <w:bottom w:val="none" w:sz="0" w:space="0" w:color="auto"/>
        <w:right w:val="none" w:sz="0" w:space="0" w:color="auto"/>
      </w:divBdr>
    </w:div>
    <w:div w:id="753670672">
      <w:bodyDiv w:val="1"/>
      <w:marLeft w:val="0"/>
      <w:marRight w:val="0"/>
      <w:marTop w:val="0"/>
      <w:marBottom w:val="0"/>
      <w:divBdr>
        <w:top w:val="none" w:sz="0" w:space="0" w:color="auto"/>
        <w:left w:val="none" w:sz="0" w:space="0" w:color="auto"/>
        <w:bottom w:val="none" w:sz="0" w:space="0" w:color="auto"/>
        <w:right w:val="none" w:sz="0" w:space="0" w:color="auto"/>
      </w:divBdr>
    </w:div>
    <w:div w:id="753672277">
      <w:bodyDiv w:val="1"/>
      <w:marLeft w:val="0"/>
      <w:marRight w:val="0"/>
      <w:marTop w:val="0"/>
      <w:marBottom w:val="0"/>
      <w:divBdr>
        <w:top w:val="none" w:sz="0" w:space="0" w:color="auto"/>
        <w:left w:val="none" w:sz="0" w:space="0" w:color="auto"/>
        <w:bottom w:val="none" w:sz="0" w:space="0" w:color="auto"/>
        <w:right w:val="none" w:sz="0" w:space="0" w:color="auto"/>
      </w:divBdr>
    </w:div>
    <w:div w:id="755592969">
      <w:bodyDiv w:val="1"/>
      <w:marLeft w:val="0"/>
      <w:marRight w:val="0"/>
      <w:marTop w:val="0"/>
      <w:marBottom w:val="0"/>
      <w:divBdr>
        <w:top w:val="none" w:sz="0" w:space="0" w:color="auto"/>
        <w:left w:val="none" w:sz="0" w:space="0" w:color="auto"/>
        <w:bottom w:val="none" w:sz="0" w:space="0" w:color="auto"/>
        <w:right w:val="none" w:sz="0" w:space="0" w:color="auto"/>
      </w:divBdr>
    </w:div>
    <w:div w:id="757596822">
      <w:bodyDiv w:val="1"/>
      <w:marLeft w:val="0"/>
      <w:marRight w:val="0"/>
      <w:marTop w:val="0"/>
      <w:marBottom w:val="0"/>
      <w:divBdr>
        <w:top w:val="none" w:sz="0" w:space="0" w:color="auto"/>
        <w:left w:val="none" w:sz="0" w:space="0" w:color="auto"/>
        <w:bottom w:val="none" w:sz="0" w:space="0" w:color="auto"/>
        <w:right w:val="none" w:sz="0" w:space="0" w:color="auto"/>
      </w:divBdr>
    </w:div>
    <w:div w:id="768888788">
      <w:bodyDiv w:val="1"/>
      <w:marLeft w:val="0"/>
      <w:marRight w:val="0"/>
      <w:marTop w:val="0"/>
      <w:marBottom w:val="0"/>
      <w:divBdr>
        <w:top w:val="none" w:sz="0" w:space="0" w:color="auto"/>
        <w:left w:val="none" w:sz="0" w:space="0" w:color="auto"/>
        <w:bottom w:val="none" w:sz="0" w:space="0" w:color="auto"/>
        <w:right w:val="none" w:sz="0" w:space="0" w:color="auto"/>
      </w:divBdr>
      <w:divsChild>
        <w:div w:id="645817446">
          <w:marLeft w:val="0"/>
          <w:marRight w:val="0"/>
          <w:marTop w:val="0"/>
          <w:marBottom w:val="0"/>
          <w:divBdr>
            <w:top w:val="none" w:sz="0" w:space="0" w:color="auto"/>
            <w:left w:val="none" w:sz="0" w:space="0" w:color="auto"/>
            <w:bottom w:val="none" w:sz="0" w:space="0" w:color="auto"/>
            <w:right w:val="none" w:sz="0" w:space="0" w:color="auto"/>
          </w:divBdr>
        </w:div>
        <w:div w:id="732002470">
          <w:marLeft w:val="0"/>
          <w:marRight w:val="0"/>
          <w:marTop w:val="0"/>
          <w:marBottom w:val="0"/>
          <w:divBdr>
            <w:top w:val="none" w:sz="0" w:space="0" w:color="auto"/>
            <w:left w:val="none" w:sz="0" w:space="0" w:color="auto"/>
            <w:bottom w:val="none" w:sz="0" w:space="0" w:color="auto"/>
            <w:right w:val="none" w:sz="0" w:space="0" w:color="auto"/>
          </w:divBdr>
        </w:div>
        <w:div w:id="842940307">
          <w:marLeft w:val="0"/>
          <w:marRight w:val="0"/>
          <w:marTop w:val="0"/>
          <w:marBottom w:val="0"/>
          <w:divBdr>
            <w:top w:val="none" w:sz="0" w:space="0" w:color="auto"/>
            <w:left w:val="none" w:sz="0" w:space="0" w:color="auto"/>
            <w:bottom w:val="none" w:sz="0" w:space="0" w:color="auto"/>
            <w:right w:val="none" w:sz="0" w:space="0" w:color="auto"/>
          </w:divBdr>
        </w:div>
        <w:div w:id="1012220147">
          <w:marLeft w:val="0"/>
          <w:marRight w:val="0"/>
          <w:marTop w:val="0"/>
          <w:marBottom w:val="0"/>
          <w:divBdr>
            <w:top w:val="none" w:sz="0" w:space="0" w:color="auto"/>
            <w:left w:val="none" w:sz="0" w:space="0" w:color="auto"/>
            <w:bottom w:val="none" w:sz="0" w:space="0" w:color="auto"/>
            <w:right w:val="none" w:sz="0" w:space="0" w:color="auto"/>
          </w:divBdr>
        </w:div>
        <w:div w:id="1225339875">
          <w:marLeft w:val="0"/>
          <w:marRight w:val="0"/>
          <w:marTop w:val="0"/>
          <w:marBottom w:val="0"/>
          <w:divBdr>
            <w:top w:val="none" w:sz="0" w:space="0" w:color="auto"/>
            <w:left w:val="none" w:sz="0" w:space="0" w:color="auto"/>
            <w:bottom w:val="none" w:sz="0" w:space="0" w:color="auto"/>
            <w:right w:val="none" w:sz="0" w:space="0" w:color="auto"/>
          </w:divBdr>
        </w:div>
        <w:div w:id="1444038395">
          <w:marLeft w:val="0"/>
          <w:marRight w:val="0"/>
          <w:marTop w:val="0"/>
          <w:marBottom w:val="0"/>
          <w:divBdr>
            <w:top w:val="none" w:sz="0" w:space="0" w:color="auto"/>
            <w:left w:val="none" w:sz="0" w:space="0" w:color="auto"/>
            <w:bottom w:val="none" w:sz="0" w:space="0" w:color="auto"/>
            <w:right w:val="none" w:sz="0" w:space="0" w:color="auto"/>
          </w:divBdr>
        </w:div>
        <w:div w:id="2003316120">
          <w:marLeft w:val="0"/>
          <w:marRight w:val="0"/>
          <w:marTop w:val="0"/>
          <w:marBottom w:val="0"/>
          <w:divBdr>
            <w:top w:val="none" w:sz="0" w:space="0" w:color="auto"/>
            <w:left w:val="none" w:sz="0" w:space="0" w:color="auto"/>
            <w:bottom w:val="none" w:sz="0" w:space="0" w:color="auto"/>
            <w:right w:val="none" w:sz="0" w:space="0" w:color="auto"/>
          </w:divBdr>
        </w:div>
      </w:divsChild>
    </w:div>
    <w:div w:id="780564526">
      <w:bodyDiv w:val="1"/>
      <w:marLeft w:val="0"/>
      <w:marRight w:val="0"/>
      <w:marTop w:val="0"/>
      <w:marBottom w:val="0"/>
      <w:divBdr>
        <w:top w:val="none" w:sz="0" w:space="0" w:color="auto"/>
        <w:left w:val="none" w:sz="0" w:space="0" w:color="auto"/>
        <w:bottom w:val="none" w:sz="0" w:space="0" w:color="auto"/>
        <w:right w:val="none" w:sz="0" w:space="0" w:color="auto"/>
      </w:divBdr>
    </w:div>
    <w:div w:id="781077322">
      <w:bodyDiv w:val="1"/>
      <w:marLeft w:val="0"/>
      <w:marRight w:val="0"/>
      <w:marTop w:val="0"/>
      <w:marBottom w:val="0"/>
      <w:divBdr>
        <w:top w:val="none" w:sz="0" w:space="0" w:color="auto"/>
        <w:left w:val="none" w:sz="0" w:space="0" w:color="auto"/>
        <w:bottom w:val="none" w:sz="0" w:space="0" w:color="auto"/>
        <w:right w:val="none" w:sz="0" w:space="0" w:color="auto"/>
      </w:divBdr>
    </w:div>
    <w:div w:id="781342522">
      <w:bodyDiv w:val="1"/>
      <w:marLeft w:val="0"/>
      <w:marRight w:val="0"/>
      <w:marTop w:val="0"/>
      <w:marBottom w:val="0"/>
      <w:divBdr>
        <w:top w:val="none" w:sz="0" w:space="0" w:color="auto"/>
        <w:left w:val="none" w:sz="0" w:space="0" w:color="auto"/>
        <w:bottom w:val="none" w:sz="0" w:space="0" w:color="auto"/>
        <w:right w:val="none" w:sz="0" w:space="0" w:color="auto"/>
      </w:divBdr>
    </w:div>
    <w:div w:id="784036922">
      <w:bodyDiv w:val="1"/>
      <w:marLeft w:val="0"/>
      <w:marRight w:val="0"/>
      <w:marTop w:val="0"/>
      <w:marBottom w:val="0"/>
      <w:divBdr>
        <w:top w:val="none" w:sz="0" w:space="0" w:color="auto"/>
        <w:left w:val="none" w:sz="0" w:space="0" w:color="auto"/>
        <w:bottom w:val="none" w:sz="0" w:space="0" w:color="auto"/>
        <w:right w:val="none" w:sz="0" w:space="0" w:color="auto"/>
      </w:divBdr>
    </w:div>
    <w:div w:id="787116095">
      <w:bodyDiv w:val="1"/>
      <w:marLeft w:val="0"/>
      <w:marRight w:val="0"/>
      <w:marTop w:val="0"/>
      <w:marBottom w:val="0"/>
      <w:divBdr>
        <w:top w:val="none" w:sz="0" w:space="0" w:color="auto"/>
        <w:left w:val="none" w:sz="0" w:space="0" w:color="auto"/>
        <w:bottom w:val="none" w:sz="0" w:space="0" w:color="auto"/>
        <w:right w:val="none" w:sz="0" w:space="0" w:color="auto"/>
      </w:divBdr>
    </w:div>
    <w:div w:id="790712401">
      <w:bodyDiv w:val="1"/>
      <w:marLeft w:val="0"/>
      <w:marRight w:val="0"/>
      <w:marTop w:val="0"/>
      <w:marBottom w:val="0"/>
      <w:divBdr>
        <w:top w:val="none" w:sz="0" w:space="0" w:color="auto"/>
        <w:left w:val="none" w:sz="0" w:space="0" w:color="auto"/>
        <w:bottom w:val="none" w:sz="0" w:space="0" w:color="auto"/>
        <w:right w:val="none" w:sz="0" w:space="0" w:color="auto"/>
      </w:divBdr>
    </w:div>
    <w:div w:id="792091542">
      <w:bodyDiv w:val="1"/>
      <w:marLeft w:val="0"/>
      <w:marRight w:val="0"/>
      <w:marTop w:val="0"/>
      <w:marBottom w:val="0"/>
      <w:divBdr>
        <w:top w:val="none" w:sz="0" w:space="0" w:color="auto"/>
        <w:left w:val="none" w:sz="0" w:space="0" w:color="auto"/>
        <w:bottom w:val="none" w:sz="0" w:space="0" w:color="auto"/>
        <w:right w:val="none" w:sz="0" w:space="0" w:color="auto"/>
      </w:divBdr>
    </w:div>
    <w:div w:id="792094442">
      <w:bodyDiv w:val="1"/>
      <w:marLeft w:val="0"/>
      <w:marRight w:val="0"/>
      <w:marTop w:val="0"/>
      <w:marBottom w:val="0"/>
      <w:divBdr>
        <w:top w:val="none" w:sz="0" w:space="0" w:color="auto"/>
        <w:left w:val="none" w:sz="0" w:space="0" w:color="auto"/>
        <w:bottom w:val="none" w:sz="0" w:space="0" w:color="auto"/>
        <w:right w:val="none" w:sz="0" w:space="0" w:color="auto"/>
      </w:divBdr>
    </w:div>
    <w:div w:id="792360763">
      <w:bodyDiv w:val="1"/>
      <w:marLeft w:val="0"/>
      <w:marRight w:val="0"/>
      <w:marTop w:val="0"/>
      <w:marBottom w:val="0"/>
      <w:divBdr>
        <w:top w:val="none" w:sz="0" w:space="0" w:color="auto"/>
        <w:left w:val="none" w:sz="0" w:space="0" w:color="auto"/>
        <w:bottom w:val="none" w:sz="0" w:space="0" w:color="auto"/>
        <w:right w:val="none" w:sz="0" w:space="0" w:color="auto"/>
      </w:divBdr>
    </w:div>
    <w:div w:id="796023028">
      <w:bodyDiv w:val="1"/>
      <w:marLeft w:val="0"/>
      <w:marRight w:val="0"/>
      <w:marTop w:val="0"/>
      <w:marBottom w:val="0"/>
      <w:divBdr>
        <w:top w:val="none" w:sz="0" w:space="0" w:color="auto"/>
        <w:left w:val="none" w:sz="0" w:space="0" w:color="auto"/>
        <w:bottom w:val="none" w:sz="0" w:space="0" w:color="auto"/>
        <w:right w:val="none" w:sz="0" w:space="0" w:color="auto"/>
      </w:divBdr>
    </w:div>
    <w:div w:id="799961732">
      <w:bodyDiv w:val="1"/>
      <w:marLeft w:val="0"/>
      <w:marRight w:val="0"/>
      <w:marTop w:val="0"/>
      <w:marBottom w:val="0"/>
      <w:divBdr>
        <w:top w:val="none" w:sz="0" w:space="0" w:color="auto"/>
        <w:left w:val="none" w:sz="0" w:space="0" w:color="auto"/>
        <w:bottom w:val="none" w:sz="0" w:space="0" w:color="auto"/>
        <w:right w:val="none" w:sz="0" w:space="0" w:color="auto"/>
      </w:divBdr>
    </w:div>
    <w:div w:id="804935913">
      <w:bodyDiv w:val="1"/>
      <w:marLeft w:val="0"/>
      <w:marRight w:val="0"/>
      <w:marTop w:val="0"/>
      <w:marBottom w:val="0"/>
      <w:divBdr>
        <w:top w:val="none" w:sz="0" w:space="0" w:color="auto"/>
        <w:left w:val="none" w:sz="0" w:space="0" w:color="auto"/>
        <w:bottom w:val="none" w:sz="0" w:space="0" w:color="auto"/>
        <w:right w:val="none" w:sz="0" w:space="0" w:color="auto"/>
      </w:divBdr>
    </w:div>
    <w:div w:id="809830041">
      <w:bodyDiv w:val="1"/>
      <w:marLeft w:val="0"/>
      <w:marRight w:val="0"/>
      <w:marTop w:val="0"/>
      <w:marBottom w:val="0"/>
      <w:divBdr>
        <w:top w:val="none" w:sz="0" w:space="0" w:color="auto"/>
        <w:left w:val="none" w:sz="0" w:space="0" w:color="auto"/>
        <w:bottom w:val="none" w:sz="0" w:space="0" w:color="auto"/>
        <w:right w:val="none" w:sz="0" w:space="0" w:color="auto"/>
      </w:divBdr>
    </w:div>
    <w:div w:id="818032218">
      <w:bodyDiv w:val="1"/>
      <w:marLeft w:val="0"/>
      <w:marRight w:val="0"/>
      <w:marTop w:val="0"/>
      <w:marBottom w:val="0"/>
      <w:divBdr>
        <w:top w:val="none" w:sz="0" w:space="0" w:color="auto"/>
        <w:left w:val="none" w:sz="0" w:space="0" w:color="auto"/>
        <w:bottom w:val="none" w:sz="0" w:space="0" w:color="auto"/>
        <w:right w:val="none" w:sz="0" w:space="0" w:color="auto"/>
      </w:divBdr>
    </w:div>
    <w:div w:id="819226755">
      <w:bodyDiv w:val="1"/>
      <w:marLeft w:val="0"/>
      <w:marRight w:val="0"/>
      <w:marTop w:val="0"/>
      <w:marBottom w:val="0"/>
      <w:divBdr>
        <w:top w:val="none" w:sz="0" w:space="0" w:color="auto"/>
        <w:left w:val="none" w:sz="0" w:space="0" w:color="auto"/>
        <w:bottom w:val="none" w:sz="0" w:space="0" w:color="auto"/>
        <w:right w:val="none" w:sz="0" w:space="0" w:color="auto"/>
      </w:divBdr>
    </w:div>
    <w:div w:id="820541266">
      <w:bodyDiv w:val="1"/>
      <w:marLeft w:val="0"/>
      <w:marRight w:val="0"/>
      <w:marTop w:val="0"/>
      <w:marBottom w:val="0"/>
      <w:divBdr>
        <w:top w:val="none" w:sz="0" w:space="0" w:color="auto"/>
        <w:left w:val="none" w:sz="0" w:space="0" w:color="auto"/>
        <w:bottom w:val="none" w:sz="0" w:space="0" w:color="auto"/>
        <w:right w:val="none" w:sz="0" w:space="0" w:color="auto"/>
      </w:divBdr>
    </w:div>
    <w:div w:id="820972099">
      <w:bodyDiv w:val="1"/>
      <w:marLeft w:val="0"/>
      <w:marRight w:val="0"/>
      <w:marTop w:val="0"/>
      <w:marBottom w:val="0"/>
      <w:divBdr>
        <w:top w:val="none" w:sz="0" w:space="0" w:color="auto"/>
        <w:left w:val="none" w:sz="0" w:space="0" w:color="auto"/>
        <w:bottom w:val="none" w:sz="0" w:space="0" w:color="auto"/>
        <w:right w:val="none" w:sz="0" w:space="0" w:color="auto"/>
      </w:divBdr>
    </w:div>
    <w:div w:id="821770244">
      <w:bodyDiv w:val="1"/>
      <w:marLeft w:val="0"/>
      <w:marRight w:val="0"/>
      <w:marTop w:val="0"/>
      <w:marBottom w:val="0"/>
      <w:divBdr>
        <w:top w:val="none" w:sz="0" w:space="0" w:color="auto"/>
        <w:left w:val="none" w:sz="0" w:space="0" w:color="auto"/>
        <w:bottom w:val="none" w:sz="0" w:space="0" w:color="auto"/>
        <w:right w:val="none" w:sz="0" w:space="0" w:color="auto"/>
      </w:divBdr>
    </w:div>
    <w:div w:id="823088729">
      <w:bodyDiv w:val="1"/>
      <w:marLeft w:val="0"/>
      <w:marRight w:val="0"/>
      <w:marTop w:val="0"/>
      <w:marBottom w:val="0"/>
      <w:divBdr>
        <w:top w:val="none" w:sz="0" w:space="0" w:color="auto"/>
        <w:left w:val="none" w:sz="0" w:space="0" w:color="auto"/>
        <w:bottom w:val="none" w:sz="0" w:space="0" w:color="auto"/>
        <w:right w:val="none" w:sz="0" w:space="0" w:color="auto"/>
      </w:divBdr>
      <w:divsChild>
        <w:div w:id="474838922">
          <w:marLeft w:val="0"/>
          <w:marRight w:val="0"/>
          <w:marTop w:val="0"/>
          <w:marBottom w:val="0"/>
          <w:divBdr>
            <w:top w:val="none" w:sz="0" w:space="0" w:color="auto"/>
            <w:left w:val="none" w:sz="0" w:space="0" w:color="auto"/>
            <w:bottom w:val="none" w:sz="0" w:space="0" w:color="auto"/>
            <w:right w:val="none" w:sz="0" w:space="0" w:color="auto"/>
          </w:divBdr>
        </w:div>
        <w:div w:id="1402483215">
          <w:marLeft w:val="0"/>
          <w:marRight w:val="0"/>
          <w:marTop w:val="0"/>
          <w:marBottom w:val="0"/>
          <w:divBdr>
            <w:top w:val="none" w:sz="0" w:space="0" w:color="auto"/>
            <w:left w:val="none" w:sz="0" w:space="0" w:color="auto"/>
            <w:bottom w:val="none" w:sz="0" w:space="0" w:color="auto"/>
            <w:right w:val="none" w:sz="0" w:space="0" w:color="auto"/>
          </w:divBdr>
        </w:div>
        <w:div w:id="1474525322">
          <w:marLeft w:val="0"/>
          <w:marRight w:val="0"/>
          <w:marTop w:val="0"/>
          <w:marBottom w:val="0"/>
          <w:divBdr>
            <w:top w:val="none" w:sz="0" w:space="0" w:color="auto"/>
            <w:left w:val="none" w:sz="0" w:space="0" w:color="auto"/>
            <w:bottom w:val="none" w:sz="0" w:space="0" w:color="auto"/>
            <w:right w:val="none" w:sz="0" w:space="0" w:color="auto"/>
          </w:divBdr>
        </w:div>
        <w:div w:id="1487356758">
          <w:marLeft w:val="0"/>
          <w:marRight w:val="0"/>
          <w:marTop w:val="0"/>
          <w:marBottom w:val="0"/>
          <w:divBdr>
            <w:top w:val="none" w:sz="0" w:space="0" w:color="auto"/>
            <w:left w:val="none" w:sz="0" w:space="0" w:color="auto"/>
            <w:bottom w:val="none" w:sz="0" w:space="0" w:color="auto"/>
            <w:right w:val="none" w:sz="0" w:space="0" w:color="auto"/>
          </w:divBdr>
        </w:div>
        <w:div w:id="1916551141">
          <w:marLeft w:val="0"/>
          <w:marRight w:val="0"/>
          <w:marTop w:val="0"/>
          <w:marBottom w:val="0"/>
          <w:divBdr>
            <w:top w:val="none" w:sz="0" w:space="0" w:color="auto"/>
            <w:left w:val="none" w:sz="0" w:space="0" w:color="auto"/>
            <w:bottom w:val="none" w:sz="0" w:space="0" w:color="auto"/>
            <w:right w:val="none" w:sz="0" w:space="0" w:color="auto"/>
          </w:divBdr>
        </w:div>
        <w:div w:id="2107193222">
          <w:marLeft w:val="0"/>
          <w:marRight w:val="0"/>
          <w:marTop w:val="0"/>
          <w:marBottom w:val="0"/>
          <w:divBdr>
            <w:top w:val="none" w:sz="0" w:space="0" w:color="auto"/>
            <w:left w:val="none" w:sz="0" w:space="0" w:color="auto"/>
            <w:bottom w:val="none" w:sz="0" w:space="0" w:color="auto"/>
            <w:right w:val="none" w:sz="0" w:space="0" w:color="auto"/>
          </w:divBdr>
        </w:div>
        <w:div w:id="2120446784">
          <w:marLeft w:val="0"/>
          <w:marRight w:val="0"/>
          <w:marTop w:val="0"/>
          <w:marBottom w:val="0"/>
          <w:divBdr>
            <w:top w:val="none" w:sz="0" w:space="0" w:color="auto"/>
            <w:left w:val="none" w:sz="0" w:space="0" w:color="auto"/>
            <w:bottom w:val="none" w:sz="0" w:space="0" w:color="auto"/>
            <w:right w:val="none" w:sz="0" w:space="0" w:color="auto"/>
          </w:divBdr>
        </w:div>
      </w:divsChild>
    </w:div>
    <w:div w:id="823476847">
      <w:bodyDiv w:val="1"/>
      <w:marLeft w:val="0"/>
      <w:marRight w:val="0"/>
      <w:marTop w:val="0"/>
      <w:marBottom w:val="0"/>
      <w:divBdr>
        <w:top w:val="none" w:sz="0" w:space="0" w:color="auto"/>
        <w:left w:val="none" w:sz="0" w:space="0" w:color="auto"/>
        <w:bottom w:val="none" w:sz="0" w:space="0" w:color="auto"/>
        <w:right w:val="none" w:sz="0" w:space="0" w:color="auto"/>
      </w:divBdr>
    </w:div>
    <w:div w:id="836579717">
      <w:bodyDiv w:val="1"/>
      <w:marLeft w:val="0"/>
      <w:marRight w:val="0"/>
      <w:marTop w:val="0"/>
      <w:marBottom w:val="0"/>
      <w:divBdr>
        <w:top w:val="none" w:sz="0" w:space="0" w:color="auto"/>
        <w:left w:val="none" w:sz="0" w:space="0" w:color="auto"/>
        <w:bottom w:val="none" w:sz="0" w:space="0" w:color="auto"/>
        <w:right w:val="none" w:sz="0" w:space="0" w:color="auto"/>
      </w:divBdr>
    </w:div>
    <w:div w:id="839126986">
      <w:bodyDiv w:val="1"/>
      <w:marLeft w:val="0"/>
      <w:marRight w:val="0"/>
      <w:marTop w:val="0"/>
      <w:marBottom w:val="0"/>
      <w:divBdr>
        <w:top w:val="none" w:sz="0" w:space="0" w:color="auto"/>
        <w:left w:val="none" w:sz="0" w:space="0" w:color="auto"/>
        <w:bottom w:val="none" w:sz="0" w:space="0" w:color="auto"/>
        <w:right w:val="none" w:sz="0" w:space="0" w:color="auto"/>
      </w:divBdr>
    </w:div>
    <w:div w:id="847673605">
      <w:bodyDiv w:val="1"/>
      <w:marLeft w:val="0"/>
      <w:marRight w:val="0"/>
      <w:marTop w:val="0"/>
      <w:marBottom w:val="0"/>
      <w:divBdr>
        <w:top w:val="none" w:sz="0" w:space="0" w:color="auto"/>
        <w:left w:val="none" w:sz="0" w:space="0" w:color="auto"/>
        <w:bottom w:val="none" w:sz="0" w:space="0" w:color="auto"/>
        <w:right w:val="none" w:sz="0" w:space="0" w:color="auto"/>
      </w:divBdr>
    </w:div>
    <w:div w:id="851257197">
      <w:bodyDiv w:val="1"/>
      <w:marLeft w:val="0"/>
      <w:marRight w:val="0"/>
      <w:marTop w:val="0"/>
      <w:marBottom w:val="0"/>
      <w:divBdr>
        <w:top w:val="none" w:sz="0" w:space="0" w:color="auto"/>
        <w:left w:val="none" w:sz="0" w:space="0" w:color="auto"/>
        <w:bottom w:val="none" w:sz="0" w:space="0" w:color="auto"/>
        <w:right w:val="none" w:sz="0" w:space="0" w:color="auto"/>
      </w:divBdr>
    </w:div>
    <w:div w:id="858814343">
      <w:bodyDiv w:val="1"/>
      <w:marLeft w:val="0"/>
      <w:marRight w:val="0"/>
      <w:marTop w:val="0"/>
      <w:marBottom w:val="0"/>
      <w:divBdr>
        <w:top w:val="none" w:sz="0" w:space="0" w:color="auto"/>
        <w:left w:val="none" w:sz="0" w:space="0" w:color="auto"/>
        <w:bottom w:val="none" w:sz="0" w:space="0" w:color="auto"/>
        <w:right w:val="none" w:sz="0" w:space="0" w:color="auto"/>
      </w:divBdr>
    </w:div>
    <w:div w:id="861433475">
      <w:bodyDiv w:val="1"/>
      <w:marLeft w:val="0"/>
      <w:marRight w:val="0"/>
      <w:marTop w:val="0"/>
      <w:marBottom w:val="0"/>
      <w:divBdr>
        <w:top w:val="none" w:sz="0" w:space="0" w:color="auto"/>
        <w:left w:val="none" w:sz="0" w:space="0" w:color="auto"/>
        <w:bottom w:val="none" w:sz="0" w:space="0" w:color="auto"/>
        <w:right w:val="none" w:sz="0" w:space="0" w:color="auto"/>
      </w:divBdr>
    </w:div>
    <w:div w:id="861553576">
      <w:bodyDiv w:val="1"/>
      <w:marLeft w:val="0"/>
      <w:marRight w:val="0"/>
      <w:marTop w:val="0"/>
      <w:marBottom w:val="0"/>
      <w:divBdr>
        <w:top w:val="none" w:sz="0" w:space="0" w:color="auto"/>
        <w:left w:val="none" w:sz="0" w:space="0" w:color="auto"/>
        <w:bottom w:val="none" w:sz="0" w:space="0" w:color="auto"/>
        <w:right w:val="none" w:sz="0" w:space="0" w:color="auto"/>
      </w:divBdr>
    </w:div>
    <w:div w:id="868834230">
      <w:bodyDiv w:val="1"/>
      <w:marLeft w:val="0"/>
      <w:marRight w:val="0"/>
      <w:marTop w:val="0"/>
      <w:marBottom w:val="0"/>
      <w:divBdr>
        <w:top w:val="none" w:sz="0" w:space="0" w:color="auto"/>
        <w:left w:val="none" w:sz="0" w:space="0" w:color="auto"/>
        <w:bottom w:val="none" w:sz="0" w:space="0" w:color="auto"/>
        <w:right w:val="none" w:sz="0" w:space="0" w:color="auto"/>
      </w:divBdr>
    </w:div>
    <w:div w:id="870653640">
      <w:bodyDiv w:val="1"/>
      <w:marLeft w:val="0"/>
      <w:marRight w:val="0"/>
      <w:marTop w:val="0"/>
      <w:marBottom w:val="0"/>
      <w:divBdr>
        <w:top w:val="none" w:sz="0" w:space="0" w:color="auto"/>
        <w:left w:val="none" w:sz="0" w:space="0" w:color="auto"/>
        <w:bottom w:val="none" w:sz="0" w:space="0" w:color="auto"/>
        <w:right w:val="none" w:sz="0" w:space="0" w:color="auto"/>
      </w:divBdr>
    </w:div>
    <w:div w:id="871109420">
      <w:bodyDiv w:val="1"/>
      <w:marLeft w:val="0"/>
      <w:marRight w:val="0"/>
      <w:marTop w:val="0"/>
      <w:marBottom w:val="0"/>
      <w:divBdr>
        <w:top w:val="none" w:sz="0" w:space="0" w:color="auto"/>
        <w:left w:val="none" w:sz="0" w:space="0" w:color="auto"/>
        <w:bottom w:val="none" w:sz="0" w:space="0" w:color="auto"/>
        <w:right w:val="none" w:sz="0" w:space="0" w:color="auto"/>
      </w:divBdr>
    </w:div>
    <w:div w:id="872304289">
      <w:bodyDiv w:val="1"/>
      <w:marLeft w:val="0"/>
      <w:marRight w:val="0"/>
      <w:marTop w:val="0"/>
      <w:marBottom w:val="0"/>
      <w:divBdr>
        <w:top w:val="none" w:sz="0" w:space="0" w:color="auto"/>
        <w:left w:val="none" w:sz="0" w:space="0" w:color="auto"/>
        <w:bottom w:val="none" w:sz="0" w:space="0" w:color="auto"/>
        <w:right w:val="none" w:sz="0" w:space="0" w:color="auto"/>
      </w:divBdr>
    </w:div>
    <w:div w:id="873733880">
      <w:bodyDiv w:val="1"/>
      <w:marLeft w:val="0"/>
      <w:marRight w:val="0"/>
      <w:marTop w:val="0"/>
      <w:marBottom w:val="0"/>
      <w:divBdr>
        <w:top w:val="none" w:sz="0" w:space="0" w:color="auto"/>
        <w:left w:val="none" w:sz="0" w:space="0" w:color="auto"/>
        <w:bottom w:val="none" w:sz="0" w:space="0" w:color="auto"/>
        <w:right w:val="none" w:sz="0" w:space="0" w:color="auto"/>
      </w:divBdr>
    </w:div>
    <w:div w:id="874082891">
      <w:bodyDiv w:val="1"/>
      <w:marLeft w:val="0"/>
      <w:marRight w:val="0"/>
      <w:marTop w:val="0"/>
      <w:marBottom w:val="0"/>
      <w:divBdr>
        <w:top w:val="none" w:sz="0" w:space="0" w:color="auto"/>
        <w:left w:val="none" w:sz="0" w:space="0" w:color="auto"/>
        <w:bottom w:val="none" w:sz="0" w:space="0" w:color="auto"/>
        <w:right w:val="none" w:sz="0" w:space="0" w:color="auto"/>
      </w:divBdr>
    </w:div>
    <w:div w:id="874781060">
      <w:bodyDiv w:val="1"/>
      <w:marLeft w:val="0"/>
      <w:marRight w:val="0"/>
      <w:marTop w:val="0"/>
      <w:marBottom w:val="0"/>
      <w:divBdr>
        <w:top w:val="none" w:sz="0" w:space="0" w:color="auto"/>
        <w:left w:val="none" w:sz="0" w:space="0" w:color="auto"/>
        <w:bottom w:val="none" w:sz="0" w:space="0" w:color="auto"/>
        <w:right w:val="none" w:sz="0" w:space="0" w:color="auto"/>
      </w:divBdr>
    </w:div>
    <w:div w:id="882211109">
      <w:bodyDiv w:val="1"/>
      <w:marLeft w:val="0"/>
      <w:marRight w:val="0"/>
      <w:marTop w:val="0"/>
      <w:marBottom w:val="0"/>
      <w:divBdr>
        <w:top w:val="none" w:sz="0" w:space="0" w:color="auto"/>
        <w:left w:val="none" w:sz="0" w:space="0" w:color="auto"/>
        <w:bottom w:val="none" w:sz="0" w:space="0" w:color="auto"/>
        <w:right w:val="none" w:sz="0" w:space="0" w:color="auto"/>
      </w:divBdr>
      <w:divsChild>
        <w:div w:id="54279464">
          <w:marLeft w:val="0"/>
          <w:marRight w:val="0"/>
          <w:marTop w:val="0"/>
          <w:marBottom w:val="0"/>
          <w:divBdr>
            <w:top w:val="none" w:sz="0" w:space="0" w:color="auto"/>
            <w:left w:val="none" w:sz="0" w:space="0" w:color="auto"/>
            <w:bottom w:val="none" w:sz="0" w:space="0" w:color="auto"/>
            <w:right w:val="none" w:sz="0" w:space="0" w:color="auto"/>
          </w:divBdr>
        </w:div>
        <w:div w:id="127169524">
          <w:marLeft w:val="0"/>
          <w:marRight w:val="0"/>
          <w:marTop w:val="0"/>
          <w:marBottom w:val="0"/>
          <w:divBdr>
            <w:top w:val="none" w:sz="0" w:space="0" w:color="auto"/>
            <w:left w:val="none" w:sz="0" w:space="0" w:color="auto"/>
            <w:bottom w:val="none" w:sz="0" w:space="0" w:color="auto"/>
            <w:right w:val="none" w:sz="0" w:space="0" w:color="auto"/>
          </w:divBdr>
        </w:div>
        <w:div w:id="180706101">
          <w:marLeft w:val="0"/>
          <w:marRight w:val="0"/>
          <w:marTop w:val="0"/>
          <w:marBottom w:val="0"/>
          <w:divBdr>
            <w:top w:val="none" w:sz="0" w:space="0" w:color="auto"/>
            <w:left w:val="none" w:sz="0" w:space="0" w:color="auto"/>
            <w:bottom w:val="none" w:sz="0" w:space="0" w:color="auto"/>
            <w:right w:val="none" w:sz="0" w:space="0" w:color="auto"/>
          </w:divBdr>
        </w:div>
        <w:div w:id="573512657">
          <w:marLeft w:val="0"/>
          <w:marRight w:val="0"/>
          <w:marTop w:val="0"/>
          <w:marBottom w:val="0"/>
          <w:divBdr>
            <w:top w:val="none" w:sz="0" w:space="0" w:color="auto"/>
            <w:left w:val="none" w:sz="0" w:space="0" w:color="auto"/>
            <w:bottom w:val="none" w:sz="0" w:space="0" w:color="auto"/>
            <w:right w:val="none" w:sz="0" w:space="0" w:color="auto"/>
          </w:divBdr>
        </w:div>
        <w:div w:id="761611054">
          <w:marLeft w:val="0"/>
          <w:marRight w:val="0"/>
          <w:marTop w:val="0"/>
          <w:marBottom w:val="0"/>
          <w:divBdr>
            <w:top w:val="none" w:sz="0" w:space="0" w:color="auto"/>
            <w:left w:val="none" w:sz="0" w:space="0" w:color="auto"/>
            <w:bottom w:val="none" w:sz="0" w:space="0" w:color="auto"/>
            <w:right w:val="none" w:sz="0" w:space="0" w:color="auto"/>
          </w:divBdr>
        </w:div>
        <w:div w:id="960189603">
          <w:marLeft w:val="0"/>
          <w:marRight w:val="0"/>
          <w:marTop w:val="0"/>
          <w:marBottom w:val="0"/>
          <w:divBdr>
            <w:top w:val="none" w:sz="0" w:space="0" w:color="auto"/>
            <w:left w:val="none" w:sz="0" w:space="0" w:color="auto"/>
            <w:bottom w:val="none" w:sz="0" w:space="0" w:color="auto"/>
            <w:right w:val="none" w:sz="0" w:space="0" w:color="auto"/>
          </w:divBdr>
        </w:div>
        <w:div w:id="975186348">
          <w:marLeft w:val="0"/>
          <w:marRight w:val="0"/>
          <w:marTop w:val="0"/>
          <w:marBottom w:val="0"/>
          <w:divBdr>
            <w:top w:val="none" w:sz="0" w:space="0" w:color="auto"/>
            <w:left w:val="none" w:sz="0" w:space="0" w:color="auto"/>
            <w:bottom w:val="none" w:sz="0" w:space="0" w:color="auto"/>
            <w:right w:val="none" w:sz="0" w:space="0" w:color="auto"/>
          </w:divBdr>
        </w:div>
        <w:div w:id="1233085220">
          <w:marLeft w:val="0"/>
          <w:marRight w:val="0"/>
          <w:marTop w:val="0"/>
          <w:marBottom w:val="0"/>
          <w:divBdr>
            <w:top w:val="none" w:sz="0" w:space="0" w:color="auto"/>
            <w:left w:val="none" w:sz="0" w:space="0" w:color="auto"/>
            <w:bottom w:val="none" w:sz="0" w:space="0" w:color="auto"/>
            <w:right w:val="none" w:sz="0" w:space="0" w:color="auto"/>
          </w:divBdr>
        </w:div>
      </w:divsChild>
    </w:div>
    <w:div w:id="885289164">
      <w:bodyDiv w:val="1"/>
      <w:marLeft w:val="0"/>
      <w:marRight w:val="0"/>
      <w:marTop w:val="0"/>
      <w:marBottom w:val="0"/>
      <w:divBdr>
        <w:top w:val="none" w:sz="0" w:space="0" w:color="auto"/>
        <w:left w:val="none" w:sz="0" w:space="0" w:color="auto"/>
        <w:bottom w:val="none" w:sz="0" w:space="0" w:color="auto"/>
        <w:right w:val="none" w:sz="0" w:space="0" w:color="auto"/>
      </w:divBdr>
    </w:div>
    <w:div w:id="887641367">
      <w:bodyDiv w:val="1"/>
      <w:marLeft w:val="0"/>
      <w:marRight w:val="0"/>
      <w:marTop w:val="0"/>
      <w:marBottom w:val="0"/>
      <w:divBdr>
        <w:top w:val="none" w:sz="0" w:space="0" w:color="auto"/>
        <w:left w:val="none" w:sz="0" w:space="0" w:color="auto"/>
        <w:bottom w:val="none" w:sz="0" w:space="0" w:color="auto"/>
        <w:right w:val="none" w:sz="0" w:space="0" w:color="auto"/>
      </w:divBdr>
    </w:div>
    <w:div w:id="894044825">
      <w:bodyDiv w:val="1"/>
      <w:marLeft w:val="0"/>
      <w:marRight w:val="0"/>
      <w:marTop w:val="0"/>
      <w:marBottom w:val="0"/>
      <w:divBdr>
        <w:top w:val="none" w:sz="0" w:space="0" w:color="auto"/>
        <w:left w:val="none" w:sz="0" w:space="0" w:color="auto"/>
        <w:bottom w:val="none" w:sz="0" w:space="0" w:color="auto"/>
        <w:right w:val="none" w:sz="0" w:space="0" w:color="auto"/>
      </w:divBdr>
    </w:div>
    <w:div w:id="894199676">
      <w:bodyDiv w:val="1"/>
      <w:marLeft w:val="0"/>
      <w:marRight w:val="0"/>
      <w:marTop w:val="0"/>
      <w:marBottom w:val="0"/>
      <w:divBdr>
        <w:top w:val="none" w:sz="0" w:space="0" w:color="auto"/>
        <w:left w:val="none" w:sz="0" w:space="0" w:color="auto"/>
        <w:bottom w:val="none" w:sz="0" w:space="0" w:color="auto"/>
        <w:right w:val="none" w:sz="0" w:space="0" w:color="auto"/>
      </w:divBdr>
      <w:divsChild>
        <w:div w:id="116071535">
          <w:marLeft w:val="0"/>
          <w:marRight w:val="0"/>
          <w:marTop w:val="0"/>
          <w:marBottom w:val="0"/>
          <w:divBdr>
            <w:top w:val="none" w:sz="0" w:space="0" w:color="auto"/>
            <w:left w:val="none" w:sz="0" w:space="0" w:color="auto"/>
            <w:bottom w:val="none" w:sz="0" w:space="0" w:color="auto"/>
            <w:right w:val="none" w:sz="0" w:space="0" w:color="auto"/>
          </w:divBdr>
        </w:div>
        <w:div w:id="151525242">
          <w:marLeft w:val="0"/>
          <w:marRight w:val="0"/>
          <w:marTop w:val="0"/>
          <w:marBottom w:val="0"/>
          <w:divBdr>
            <w:top w:val="none" w:sz="0" w:space="0" w:color="auto"/>
            <w:left w:val="none" w:sz="0" w:space="0" w:color="auto"/>
            <w:bottom w:val="none" w:sz="0" w:space="0" w:color="auto"/>
            <w:right w:val="none" w:sz="0" w:space="0" w:color="auto"/>
          </w:divBdr>
        </w:div>
        <w:div w:id="198474749">
          <w:marLeft w:val="0"/>
          <w:marRight w:val="0"/>
          <w:marTop w:val="0"/>
          <w:marBottom w:val="0"/>
          <w:divBdr>
            <w:top w:val="none" w:sz="0" w:space="0" w:color="auto"/>
            <w:left w:val="none" w:sz="0" w:space="0" w:color="auto"/>
            <w:bottom w:val="none" w:sz="0" w:space="0" w:color="auto"/>
            <w:right w:val="none" w:sz="0" w:space="0" w:color="auto"/>
          </w:divBdr>
        </w:div>
        <w:div w:id="478964036">
          <w:marLeft w:val="0"/>
          <w:marRight w:val="0"/>
          <w:marTop w:val="0"/>
          <w:marBottom w:val="0"/>
          <w:divBdr>
            <w:top w:val="none" w:sz="0" w:space="0" w:color="auto"/>
            <w:left w:val="none" w:sz="0" w:space="0" w:color="auto"/>
            <w:bottom w:val="none" w:sz="0" w:space="0" w:color="auto"/>
            <w:right w:val="none" w:sz="0" w:space="0" w:color="auto"/>
          </w:divBdr>
        </w:div>
        <w:div w:id="585236909">
          <w:marLeft w:val="0"/>
          <w:marRight w:val="0"/>
          <w:marTop w:val="0"/>
          <w:marBottom w:val="0"/>
          <w:divBdr>
            <w:top w:val="none" w:sz="0" w:space="0" w:color="auto"/>
            <w:left w:val="none" w:sz="0" w:space="0" w:color="auto"/>
            <w:bottom w:val="none" w:sz="0" w:space="0" w:color="auto"/>
            <w:right w:val="none" w:sz="0" w:space="0" w:color="auto"/>
          </w:divBdr>
        </w:div>
        <w:div w:id="730421241">
          <w:marLeft w:val="0"/>
          <w:marRight w:val="0"/>
          <w:marTop w:val="0"/>
          <w:marBottom w:val="0"/>
          <w:divBdr>
            <w:top w:val="none" w:sz="0" w:space="0" w:color="auto"/>
            <w:left w:val="none" w:sz="0" w:space="0" w:color="auto"/>
            <w:bottom w:val="none" w:sz="0" w:space="0" w:color="auto"/>
            <w:right w:val="none" w:sz="0" w:space="0" w:color="auto"/>
          </w:divBdr>
        </w:div>
        <w:div w:id="1029381642">
          <w:marLeft w:val="0"/>
          <w:marRight w:val="0"/>
          <w:marTop w:val="0"/>
          <w:marBottom w:val="0"/>
          <w:divBdr>
            <w:top w:val="none" w:sz="0" w:space="0" w:color="auto"/>
            <w:left w:val="none" w:sz="0" w:space="0" w:color="auto"/>
            <w:bottom w:val="none" w:sz="0" w:space="0" w:color="auto"/>
            <w:right w:val="none" w:sz="0" w:space="0" w:color="auto"/>
          </w:divBdr>
        </w:div>
        <w:div w:id="1073041415">
          <w:marLeft w:val="0"/>
          <w:marRight w:val="0"/>
          <w:marTop w:val="0"/>
          <w:marBottom w:val="0"/>
          <w:divBdr>
            <w:top w:val="none" w:sz="0" w:space="0" w:color="auto"/>
            <w:left w:val="none" w:sz="0" w:space="0" w:color="auto"/>
            <w:bottom w:val="none" w:sz="0" w:space="0" w:color="auto"/>
            <w:right w:val="none" w:sz="0" w:space="0" w:color="auto"/>
          </w:divBdr>
        </w:div>
        <w:div w:id="1098645749">
          <w:marLeft w:val="0"/>
          <w:marRight w:val="0"/>
          <w:marTop w:val="0"/>
          <w:marBottom w:val="0"/>
          <w:divBdr>
            <w:top w:val="none" w:sz="0" w:space="0" w:color="auto"/>
            <w:left w:val="none" w:sz="0" w:space="0" w:color="auto"/>
            <w:bottom w:val="none" w:sz="0" w:space="0" w:color="auto"/>
            <w:right w:val="none" w:sz="0" w:space="0" w:color="auto"/>
          </w:divBdr>
        </w:div>
        <w:div w:id="1128008391">
          <w:marLeft w:val="0"/>
          <w:marRight w:val="0"/>
          <w:marTop w:val="0"/>
          <w:marBottom w:val="0"/>
          <w:divBdr>
            <w:top w:val="none" w:sz="0" w:space="0" w:color="auto"/>
            <w:left w:val="none" w:sz="0" w:space="0" w:color="auto"/>
            <w:bottom w:val="none" w:sz="0" w:space="0" w:color="auto"/>
            <w:right w:val="none" w:sz="0" w:space="0" w:color="auto"/>
          </w:divBdr>
        </w:div>
        <w:div w:id="1277760939">
          <w:marLeft w:val="0"/>
          <w:marRight w:val="0"/>
          <w:marTop w:val="0"/>
          <w:marBottom w:val="0"/>
          <w:divBdr>
            <w:top w:val="none" w:sz="0" w:space="0" w:color="auto"/>
            <w:left w:val="none" w:sz="0" w:space="0" w:color="auto"/>
            <w:bottom w:val="none" w:sz="0" w:space="0" w:color="auto"/>
            <w:right w:val="none" w:sz="0" w:space="0" w:color="auto"/>
          </w:divBdr>
        </w:div>
        <w:div w:id="1315529333">
          <w:marLeft w:val="0"/>
          <w:marRight w:val="0"/>
          <w:marTop w:val="0"/>
          <w:marBottom w:val="0"/>
          <w:divBdr>
            <w:top w:val="none" w:sz="0" w:space="0" w:color="auto"/>
            <w:left w:val="none" w:sz="0" w:space="0" w:color="auto"/>
            <w:bottom w:val="none" w:sz="0" w:space="0" w:color="auto"/>
            <w:right w:val="none" w:sz="0" w:space="0" w:color="auto"/>
          </w:divBdr>
        </w:div>
        <w:div w:id="1574468811">
          <w:marLeft w:val="0"/>
          <w:marRight w:val="0"/>
          <w:marTop w:val="0"/>
          <w:marBottom w:val="0"/>
          <w:divBdr>
            <w:top w:val="none" w:sz="0" w:space="0" w:color="auto"/>
            <w:left w:val="none" w:sz="0" w:space="0" w:color="auto"/>
            <w:bottom w:val="none" w:sz="0" w:space="0" w:color="auto"/>
            <w:right w:val="none" w:sz="0" w:space="0" w:color="auto"/>
          </w:divBdr>
        </w:div>
        <w:div w:id="1692533639">
          <w:marLeft w:val="0"/>
          <w:marRight w:val="0"/>
          <w:marTop w:val="0"/>
          <w:marBottom w:val="0"/>
          <w:divBdr>
            <w:top w:val="none" w:sz="0" w:space="0" w:color="auto"/>
            <w:left w:val="none" w:sz="0" w:space="0" w:color="auto"/>
            <w:bottom w:val="none" w:sz="0" w:space="0" w:color="auto"/>
            <w:right w:val="none" w:sz="0" w:space="0" w:color="auto"/>
          </w:divBdr>
        </w:div>
      </w:divsChild>
    </w:div>
    <w:div w:id="898130080">
      <w:bodyDiv w:val="1"/>
      <w:marLeft w:val="0"/>
      <w:marRight w:val="0"/>
      <w:marTop w:val="0"/>
      <w:marBottom w:val="0"/>
      <w:divBdr>
        <w:top w:val="none" w:sz="0" w:space="0" w:color="auto"/>
        <w:left w:val="none" w:sz="0" w:space="0" w:color="auto"/>
        <w:bottom w:val="none" w:sz="0" w:space="0" w:color="auto"/>
        <w:right w:val="none" w:sz="0" w:space="0" w:color="auto"/>
      </w:divBdr>
    </w:div>
    <w:div w:id="905846745">
      <w:bodyDiv w:val="1"/>
      <w:marLeft w:val="0"/>
      <w:marRight w:val="0"/>
      <w:marTop w:val="0"/>
      <w:marBottom w:val="0"/>
      <w:divBdr>
        <w:top w:val="none" w:sz="0" w:space="0" w:color="auto"/>
        <w:left w:val="none" w:sz="0" w:space="0" w:color="auto"/>
        <w:bottom w:val="none" w:sz="0" w:space="0" w:color="auto"/>
        <w:right w:val="none" w:sz="0" w:space="0" w:color="auto"/>
      </w:divBdr>
    </w:div>
    <w:div w:id="915167002">
      <w:bodyDiv w:val="1"/>
      <w:marLeft w:val="0"/>
      <w:marRight w:val="0"/>
      <w:marTop w:val="0"/>
      <w:marBottom w:val="0"/>
      <w:divBdr>
        <w:top w:val="none" w:sz="0" w:space="0" w:color="auto"/>
        <w:left w:val="none" w:sz="0" w:space="0" w:color="auto"/>
        <w:bottom w:val="none" w:sz="0" w:space="0" w:color="auto"/>
        <w:right w:val="none" w:sz="0" w:space="0" w:color="auto"/>
      </w:divBdr>
    </w:div>
    <w:div w:id="916667899">
      <w:bodyDiv w:val="1"/>
      <w:marLeft w:val="0"/>
      <w:marRight w:val="0"/>
      <w:marTop w:val="0"/>
      <w:marBottom w:val="0"/>
      <w:divBdr>
        <w:top w:val="none" w:sz="0" w:space="0" w:color="auto"/>
        <w:left w:val="none" w:sz="0" w:space="0" w:color="auto"/>
        <w:bottom w:val="none" w:sz="0" w:space="0" w:color="auto"/>
        <w:right w:val="none" w:sz="0" w:space="0" w:color="auto"/>
      </w:divBdr>
    </w:div>
    <w:div w:id="917325238">
      <w:bodyDiv w:val="1"/>
      <w:marLeft w:val="0"/>
      <w:marRight w:val="0"/>
      <w:marTop w:val="0"/>
      <w:marBottom w:val="0"/>
      <w:divBdr>
        <w:top w:val="none" w:sz="0" w:space="0" w:color="auto"/>
        <w:left w:val="none" w:sz="0" w:space="0" w:color="auto"/>
        <w:bottom w:val="none" w:sz="0" w:space="0" w:color="auto"/>
        <w:right w:val="none" w:sz="0" w:space="0" w:color="auto"/>
      </w:divBdr>
    </w:div>
    <w:div w:id="925458454">
      <w:bodyDiv w:val="1"/>
      <w:marLeft w:val="0"/>
      <w:marRight w:val="0"/>
      <w:marTop w:val="0"/>
      <w:marBottom w:val="0"/>
      <w:divBdr>
        <w:top w:val="none" w:sz="0" w:space="0" w:color="auto"/>
        <w:left w:val="none" w:sz="0" w:space="0" w:color="auto"/>
        <w:bottom w:val="none" w:sz="0" w:space="0" w:color="auto"/>
        <w:right w:val="none" w:sz="0" w:space="0" w:color="auto"/>
      </w:divBdr>
    </w:div>
    <w:div w:id="926816123">
      <w:bodyDiv w:val="1"/>
      <w:marLeft w:val="0"/>
      <w:marRight w:val="0"/>
      <w:marTop w:val="0"/>
      <w:marBottom w:val="0"/>
      <w:divBdr>
        <w:top w:val="none" w:sz="0" w:space="0" w:color="auto"/>
        <w:left w:val="none" w:sz="0" w:space="0" w:color="auto"/>
        <w:bottom w:val="none" w:sz="0" w:space="0" w:color="auto"/>
        <w:right w:val="none" w:sz="0" w:space="0" w:color="auto"/>
      </w:divBdr>
    </w:div>
    <w:div w:id="930359306">
      <w:bodyDiv w:val="1"/>
      <w:marLeft w:val="0"/>
      <w:marRight w:val="0"/>
      <w:marTop w:val="0"/>
      <w:marBottom w:val="0"/>
      <w:divBdr>
        <w:top w:val="none" w:sz="0" w:space="0" w:color="auto"/>
        <w:left w:val="none" w:sz="0" w:space="0" w:color="auto"/>
        <w:bottom w:val="none" w:sz="0" w:space="0" w:color="auto"/>
        <w:right w:val="none" w:sz="0" w:space="0" w:color="auto"/>
      </w:divBdr>
    </w:div>
    <w:div w:id="934940509">
      <w:bodyDiv w:val="1"/>
      <w:marLeft w:val="0"/>
      <w:marRight w:val="0"/>
      <w:marTop w:val="0"/>
      <w:marBottom w:val="0"/>
      <w:divBdr>
        <w:top w:val="none" w:sz="0" w:space="0" w:color="auto"/>
        <w:left w:val="none" w:sz="0" w:space="0" w:color="auto"/>
        <w:bottom w:val="none" w:sz="0" w:space="0" w:color="auto"/>
        <w:right w:val="none" w:sz="0" w:space="0" w:color="auto"/>
      </w:divBdr>
    </w:div>
    <w:div w:id="935938504">
      <w:bodyDiv w:val="1"/>
      <w:marLeft w:val="0"/>
      <w:marRight w:val="0"/>
      <w:marTop w:val="0"/>
      <w:marBottom w:val="0"/>
      <w:divBdr>
        <w:top w:val="none" w:sz="0" w:space="0" w:color="auto"/>
        <w:left w:val="none" w:sz="0" w:space="0" w:color="auto"/>
        <w:bottom w:val="none" w:sz="0" w:space="0" w:color="auto"/>
        <w:right w:val="none" w:sz="0" w:space="0" w:color="auto"/>
      </w:divBdr>
    </w:div>
    <w:div w:id="938367955">
      <w:bodyDiv w:val="1"/>
      <w:marLeft w:val="0"/>
      <w:marRight w:val="0"/>
      <w:marTop w:val="0"/>
      <w:marBottom w:val="0"/>
      <w:divBdr>
        <w:top w:val="none" w:sz="0" w:space="0" w:color="auto"/>
        <w:left w:val="none" w:sz="0" w:space="0" w:color="auto"/>
        <w:bottom w:val="none" w:sz="0" w:space="0" w:color="auto"/>
        <w:right w:val="none" w:sz="0" w:space="0" w:color="auto"/>
      </w:divBdr>
    </w:div>
    <w:div w:id="941186503">
      <w:bodyDiv w:val="1"/>
      <w:marLeft w:val="0"/>
      <w:marRight w:val="0"/>
      <w:marTop w:val="0"/>
      <w:marBottom w:val="0"/>
      <w:divBdr>
        <w:top w:val="none" w:sz="0" w:space="0" w:color="auto"/>
        <w:left w:val="none" w:sz="0" w:space="0" w:color="auto"/>
        <w:bottom w:val="none" w:sz="0" w:space="0" w:color="auto"/>
        <w:right w:val="none" w:sz="0" w:space="0" w:color="auto"/>
      </w:divBdr>
    </w:div>
    <w:div w:id="943268265">
      <w:bodyDiv w:val="1"/>
      <w:marLeft w:val="0"/>
      <w:marRight w:val="0"/>
      <w:marTop w:val="0"/>
      <w:marBottom w:val="0"/>
      <w:divBdr>
        <w:top w:val="none" w:sz="0" w:space="0" w:color="auto"/>
        <w:left w:val="none" w:sz="0" w:space="0" w:color="auto"/>
        <w:bottom w:val="none" w:sz="0" w:space="0" w:color="auto"/>
        <w:right w:val="none" w:sz="0" w:space="0" w:color="auto"/>
      </w:divBdr>
    </w:div>
    <w:div w:id="947616466">
      <w:bodyDiv w:val="1"/>
      <w:marLeft w:val="0"/>
      <w:marRight w:val="0"/>
      <w:marTop w:val="0"/>
      <w:marBottom w:val="0"/>
      <w:divBdr>
        <w:top w:val="none" w:sz="0" w:space="0" w:color="auto"/>
        <w:left w:val="none" w:sz="0" w:space="0" w:color="auto"/>
        <w:bottom w:val="none" w:sz="0" w:space="0" w:color="auto"/>
        <w:right w:val="none" w:sz="0" w:space="0" w:color="auto"/>
      </w:divBdr>
      <w:divsChild>
        <w:div w:id="267542498">
          <w:marLeft w:val="0"/>
          <w:marRight w:val="0"/>
          <w:marTop w:val="0"/>
          <w:marBottom w:val="0"/>
          <w:divBdr>
            <w:top w:val="none" w:sz="0" w:space="0" w:color="auto"/>
            <w:left w:val="none" w:sz="0" w:space="0" w:color="auto"/>
            <w:bottom w:val="none" w:sz="0" w:space="0" w:color="auto"/>
            <w:right w:val="none" w:sz="0" w:space="0" w:color="auto"/>
          </w:divBdr>
        </w:div>
        <w:div w:id="315113270">
          <w:marLeft w:val="0"/>
          <w:marRight w:val="0"/>
          <w:marTop w:val="0"/>
          <w:marBottom w:val="0"/>
          <w:divBdr>
            <w:top w:val="none" w:sz="0" w:space="0" w:color="auto"/>
            <w:left w:val="none" w:sz="0" w:space="0" w:color="auto"/>
            <w:bottom w:val="none" w:sz="0" w:space="0" w:color="auto"/>
            <w:right w:val="none" w:sz="0" w:space="0" w:color="auto"/>
          </w:divBdr>
        </w:div>
        <w:div w:id="389036054">
          <w:marLeft w:val="0"/>
          <w:marRight w:val="0"/>
          <w:marTop w:val="0"/>
          <w:marBottom w:val="0"/>
          <w:divBdr>
            <w:top w:val="none" w:sz="0" w:space="0" w:color="auto"/>
            <w:left w:val="none" w:sz="0" w:space="0" w:color="auto"/>
            <w:bottom w:val="none" w:sz="0" w:space="0" w:color="auto"/>
            <w:right w:val="none" w:sz="0" w:space="0" w:color="auto"/>
          </w:divBdr>
        </w:div>
        <w:div w:id="1000616947">
          <w:marLeft w:val="0"/>
          <w:marRight w:val="0"/>
          <w:marTop w:val="0"/>
          <w:marBottom w:val="0"/>
          <w:divBdr>
            <w:top w:val="none" w:sz="0" w:space="0" w:color="auto"/>
            <w:left w:val="none" w:sz="0" w:space="0" w:color="auto"/>
            <w:bottom w:val="none" w:sz="0" w:space="0" w:color="auto"/>
            <w:right w:val="none" w:sz="0" w:space="0" w:color="auto"/>
          </w:divBdr>
        </w:div>
      </w:divsChild>
    </w:div>
    <w:div w:id="947928737">
      <w:bodyDiv w:val="1"/>
      <w:marLeft w:val="0"/>
      <w:marRight w:val="0"/>
      <w:marTop w:val="0"/>
      <w:marBottom w:val="0"/>
      <w:divBdr>
        <w:top w:val="none" w:sz="0" w:space="0" w:color="auto"/>
        <w:left w:val="none" w:sz="0" w:space="0" w:color="auto"/>
        <w:bottom w:val="none" w:sz="0" w:space="0" w:color="auto"/>
        <w:right w:val="none" w:sz="0" w:space="0" w:color="auto"/>
      </w:divBdr>
    </w:div>
    <w:div w:id="948581838">
      <w:bodyDiv w:val="1"/>
      <w:marLeft w:val="0"/>
      <w:marRight w:val="0"/>
      <w:marTop w:val="0"/>
      <w:marBottom w:val="0"/>
      <w:divBdr>
        <w:top w:val="none" w:sz="0" w:space="0" w:color="auto"/>
        <w:left w:val="none" w:sz="0" w:space="0" w:color="auto"/>
        <w:bottom w:val="none" w:sz="0" w:space="0" w:color="auto"/>
        <w:right w:val="none" w:sz="0" w:space="0" w:color="auto"/>
      </w:divBdr>
    </w:div>
    <w:div w:id="955720187">
      <w:bodyDiv w:val="1"/>
      <w:marLeft w:val="0"/>
      <w:marRight w:val="0"/>
      <w:marTop w:val="0"/>
      <w:marBottom w:val="0"/>
      <w:divBdr>
        <w:top w:val="none" w:sz="0" w:space="0" w:color="auto"/>
        <w:left w:val="none" w:sz="0" w:space="0" w:color="auto"/>
        <w:bottom w:val="none" w:sz="0" w:space="0" w:color="auto"/>
        <w:right w:val="none" w:sz="0" w:space="0" w:color="auto"/>
      </w:divBdr>
    </w:div>
    <w:div w:id="957494581">
      <w:bodyDiv w:val="1"/>
      <w:marLeft w:val="0"/>
      <w:marRight w:val="0"/>
      <w:marTop w:val="0"/>
      <w:marBottom w:val="0"/>
      <w:divBdr>
        <w:top w:val="none" w:sz="0" w:space="0" w:color="auto"/>
        <w:left w:val="none" w:sz="0" w:space="0" w:color="auto"/>
        <w:bottom w:val="none" w:sz="0" w:space="0" w:color="auto"/>
        <w:right w:val="none" w:sz="0" w:space="0" w:color="auto"/>
      </w:divBdr>
    </w:div>
    <w:div w:id="959072566">
      <w:bodyDiv w:val="1"/>
      <w:marLeft w:val="0"/>
      <w:marRight w:val="0"/>
      <w:marTop w:val="0"/>
      <w:marBottom w:val="0"/>
      <w:divBdr>
        <w:top w:val="none" w:sz="0" w:space="0" w:color="auto"/>
        <w:left w:val="none" w:sz="0" w:space="0" w:color="auto"/>
        <w:bottom w:val="none" w:sz="0" w:space="0" w:color="auto"/>
        <w:right w:val="none" w:sz="0" w:space="0" w:color="auto"/>
      </w:divBdr>
    </w:div>
    <w:div w:id="963198477">
      <w:bodyDiv w:val="1"/>
      <w:marLeft w:val="0"/>
      <w:marRight w:val="0"/>
      <w:marTop w:val="0"/>
      <w:marBottom w:val="0"/>
      <w:divBdr>
        <w:top w:val="none" w:sz="0" w:space="0" w:color="auto"/>
        <w:left w:val="none" w:sz="0" w:space="0" w:color="auto"/>
        <w:bottom w:val="none" w:sz="0" w:space="0" w:color="auto"/>
        <w:right w:val="none" w:sz="0" w:space="0" w:color="auto"/>
      </w:divBdr>
    </w:div>
    <w:div w:id="965238187">
      <w:bodyDiv w:val="1"/>
      <w:marLeft w:val="0"/>
      <w:marRight w:val="0"/>
      <w:marTop w:val="0"/>
      <w:marBottom w:val="0"/>
      <w:divBdr>
        <w:top w:val="none" w:sz="0" w:space="0" w:color="auto"/>
        <w:left w:val="none" w:sz="0" w:space="0" w:color="auto"/>
        <w:bottom w:val="none" w:sz="0" w:space="0" w:color="auto"/>
        <w:right w:val="none" w:sz="0" w:space="0" w:color="auto"/>
      </w:divBdr>
    </w:div>
    <w:div w:id="965548242">
      <w:bodyDiv w:val="1"/>
      <w:marLeft w:val="0"/>
      <w:marRight w:val="0"/>
      <w:marTop w:val="0"/>
      <w:marBottom w:val="0"/>
      <w:divBdr>
        <w:top w:val="none" w:sz="0" w:space="0" w:color="auto"/>
        <w:left w:val="none" w:sz="0" w:space="0" w:color="auto"/>
        <w:bottom w:val="none" w:sz="0" w:space="0" w:color="auto"/>
        <w:right w:val="none" w:sz="0" w:space="0" w:color="auto"/>
      </w:divBdr>
      <w:divsChild>
        <w:div w:id="634414743">
          <w:marLeft w:val="-225"/>
          <w:marRight w:val="-225"/>
          <w:marTop w:val="0"/>
          <w:marBottom w:val="0"/>
          <w:divBdr>
            <w:top w:val="none" w:sz="0" w:space="0" w:color="auto"/>
            <w:left w:val="none" w:sz="0" w:space="0" w:color="auto"/>
            <w:bottom w:val="none" w:sz="0" w:space="0" w:color="auto"/>
            <w:right w:val="none" w:sz="0" w:space="0" w:color="auto"/>
          </w:divBdr>
        </w:div>
        <w:div w:id="784084646">
          <w:marLeft w:val="-225"/>
          <w:marRight w:val="-225"/>
          <w:marTop w:val="0"/>
          <w:marBottom w:val="0"/>
          <w:divBdr>
            <w:top w:val="none" w:sz="0" w:space="0" w:color="auto"/>
            <w:left w:val="none" w:sz="0" w:space="0" w:color="auto"/>
            <w:bottom w:val="none" w:sz="0" w:space="0" w:color="auto"/>
            <w:right w:val="none" w:sz="0" w:space="0" w:color="auto"/>
          </w:divBdr>
        </w:div>
        <w:div w:id="1017847020">
          <w:marLeft w:val="-225"/>
          <w:marRight w:val="-225"/>
          <w:marTop w:val="0"/>
          <w:marBottom w:val="0"/>
          <w:divBdr>
            <w:top w:val="none" w:sz="0" w:space="0" w:color="auto"/>
            <w:left w:val="none" w:sz="0" w:space="0" w:color="auto"/>
            <w:bottom w:val="none" w:sz="0" w:space="0" w:color="auto"/>
            <w:right w:val="none" w:sz="0" w:space="0" w:color="auto"/>
          </w:divBdr>
        </w:div>
        <w:div w:id="1050685041">
          <w:marLeft w:val="-225"/>
          <w:marRight w:val="-225"/>
          <w:marTop w:val="0"/>
          <w:marBottom w:val="0"/>
          <w:divBdr>
            <w:top w:val="none" w:sz="0" w:space="0" w:color="auto"/>
            <w:left w:val="none" w:sz="0" w:space="0" w:color="auto"/>
            <w:bottom w:val="none" w:sz="0" w:space="0" w:color="auto"/>
            <w:right w:val="none" w:sz="0" w:space="0" w:color="auto"/>
          </w:divBdr>
        </w:div>
        <w:div w:id="1149982054">
          <w:marLeft w:val="-225"/>
          <w:marRight w:val="-225"/>
          <w:marTop w:val="0"/>
          <w:marBottom w:val="0"/>
          <w:divBdr>
            <w:top w:val="none" w:sz="0" w:space="0" w:color="auto"/>
            <w:left w:val="none" w:sz="0" w:space="0" w:color="auto"/>
            <w:bottom w:val="none" w:sz="0" w:space="0" w:color="auto"/>
            <w:right w:val="none" w:sz="0" w:space="0" w:color="auto"/>
          </w:divBdr>
        </w:div>
        <w:div w:id="1360623082">
          <w:marLeft w:val="-225"/>
          <w:marRight w:val="-225"/>
          <w:marTop w:val="0"/>
          <w:marBottom w:val="0"/>
          <w:divBdr>
            <w:top w:val="none" w:sz="0" w:space="0" w:color="auto"/>
            <w:left w:val="none" w:sz="0" w:space="0" w:color="auto"/>
            <w:bottom w:val="none" w:sz="0" w:space="0" w:color="auto"/>
            <w:right w:val="none" w:sz="0" w:space="0" w:color="auto"/>
          </w:divBdr>
        </w:div>
        <w:div w:id="1664703936">
          <w:marLeft w:val="-225"/>
          <w:marRight w:val="-225"/>
          <w:marTop w:val="0"/>
          <w:marBottom w:val="0"/>
          <w:divBdr>
            <w:top w:val="none" w:sz="0" w:space="0" w:color="auto"/>
            <w:left w:val="none" w:sz="0" w:space="0" w:color="auto"/>
            <w:bottom w:val="none" w:sz="0" w:space="0" w:color="auto"/>
            <w:right w:val="none" w:sz="0" w:space="0" w:color="auto"/>
          </w:divBdr>
        </w:div>
      </w:divsChild>
    </w:div>
    <w:div w:id="965938809">
      <w:bodyDiv w:val="1"/>
      <w:marLeft w:val="0"/>
      <w:marRight w:val="0"/>
      <w:marTop w:val="0"/>
      <w:marBottom w:val="0"/>
      <w:divBdr>
        <w:top w:val="none" w:sz="0" w:space="0" w:color="auto"/>
        <w:left w:val="none" w:sz="0" w:space="0" w:color="auto"/>
        <w:bottom w:val="none" w:sz="0" w:space="0" w:color="auto"/>
        <w:right w:val="none" w:sz="0" w:space="0" w:color="auto"/>
      </w:divBdr>
    </w:div>
    <w:div w:id="966273720">
      <w:bodyDiv w:val="1"/>
      <w:marLeft w:val="0"/>
      <w:marRight w:val="0"/>
      <w:marTop w:val="0"/>
      <w:marBottom w:val="0"/>
      <w:divBdr>
        <w:top w:val="none" w:sz="0" w:space="0" w:color="auto"/>
        <w:left w:val="none" w:sz="0" w:space="0" w:color="auto"/>
        <w:bottom w:val="none" w:sz="0" w:space="0" w:color="auto"/>
        <w:right w:val="none" w:sz="0" w:space="0" w:color="auto"/>
      </w:divBdr>
    </w:div>
    <w:div w:id="974258974">
      <w:bodyDiv w:val="1"/>
      <w:marLeft w:val="0"/>
      <w:marRight w:val="0"/>
      <w:marTop w:val="0"/>
      <w:marBottom w:val="0"/>
      <w:divBdr>
        <w:top w:val="none" w:sz="0" w:space="0" w:color="auto"/>
        <w:left w:val="none" w:sz="0" w:space="0" w:color="auto"/>
        <w:bottom w:val="none" w:sz="0" w:space="0" w:color="auto"/>
        <w:right w:val="none" w:sz="0" w:space="0" w:color="auto"/>
      </w:divBdr>
    </w:div>
    <w:div w:id="984773402">
      <w:bodyDiv w:val="1"/>
      <w:marLeft w:val="0"/>
      <w:marRight w:val="0"/>
      <w:marTop w:val="0"/>
      <w:marBottom w:val="0"/>
      <w:divBdr>
        <w:top w:val="none" w:sz="0" w:space="0" w:color="auto"/>
        <w:left w:val="none" w:sz="0" w:space="0" w:color="auto"/>
        <w:bottom w:val="none" w:sz="0" w:space="0" w:color="auto"/>
        <w:right w:val="none" w:sz="0" w:space="0" w:color="auto"/>
      </w:divBdr>
    </w:div>
    <w:div w:id="985277413">
      <w:bodyDiv w:val="1"/>
      <w:marLeft w:val="0"/>
      <w:marRight w:val="0"/>
      <w:marTop w:val="0"/>
      <w:marBottom w:val="0"/>
      <w:divBdr>
        <w:top w:val="none" w:sz="0" w:space="0" w:color="auto"/>
        <w:left w:val="none" w:sz="0" w:space="0" w:color="auto"/>
        <w:bottom w:val="none" w:sz="0" w:space="0" w:color="auto"/>
        <w:right w:val="none" w:sz="0" w:space="0" w:color="auto"/>
      </w:divBdr>
    </w:div>
    <w:div w:id="986399056">
      <w:bodyDiv w:val="1"/>
      <w:marLeft w:val="0"/>
      <w:marRight w:val="0"/>
      <w:marTop w:val="0"/>
      <w:marBottom w:val="0"/>
      <w:divBdr>
        <w:top w:val="none" w:sz="0" w:space="0" w:color="auto"/>
        <w:left w:val="none" w:sz="0" w:space="0" w:color="auto"/>
        <w:bottom w:val="none" w:sz="0" w:space="0" w:color="auto"/>
        <w:right w:val="none" w:sz="0" w:space="0" w:color="auto"/>
      </w:divBdr>
    </w:div>
    <w:div w:id="1001660319">
      <w:bodyDiv w:val="1"/>
      <w:marLeft w:val="0"/>
      <w:marRight w:val="0"/>
      <w:marTop w:val="0"/>
      <w:marBottom w:val="0"/>
      <w:divBdr>
        <w:top w:val="none" w:sz="0" w:space="0" w:color="auto"/>
        <w:left w:val="none" w:sz="0" w:space="0" w:color="auto"/>
        <w:bottom w:val="none" w:sz="0" w:space="0" w:color="auto"/>
        <w:right w:val="none" w:sz="0" w:space="0" w:color="auto"/>
      </w:divBdr>
    </w:div>
    <w:div w:id="1018190127">
      <w:bodyDiv w:val="1"/>
      <w:marLeft w:val="0"/>
      <w:marRight w:val="0"/>
      <w:marTop w:val="0"/>
      <w:marBottom w:val="0"/>
      <w:divBdr>
        <w:top w:val="none" w:sz="0" w:space="0" w:color="auto"/>
        <w:left w:val="none" w:sz="0" w:space="0" w:color="auto"/>
        <w:bottom w:val="none" w:sz="0" w:space="0" w:color="auto"/>
        <w:right w:val="none" w:sz="0" w:space="0" w:color="auto"/>
      </w:divBdr>
    </w:div>
    <w:div w:id="1018199412">
      <w:bodyDiv w:val="1"/>
      <w:marLeft w:val="0"/>
      <w:marRight w:val="0"/>
      <w:marTop w:val="0"/>
      <w:marBottom w:val="0"/>
      <w:divBdr>
        <w:top w:val="none" w:sz="0" w:space="0" w:color="auto"/>
        <w:left w:val="none" w:sz="0" w:space="0" w:color="auto"/>
        <w:bottom w:val="none" w:sz="0" w:space="0" w:color="auto"/>
        <w:right w:val="none" w:sz="0" w:space="0" w:color="auto"/>
      </w:divBdr>
    </w:div>
    <w:div w:id="1027877919">
      <w:bodyDiv w:val="1"/>
      <w:marLeft w:val="0"/>
      <w:marRight w:val="0"/>
      <w:marTop w:val="0"/>
      <w:marBottom w:val="0"/>
      <w:divBdr>
        <w:top w:val="none" w:sz="0" w:space="0" w:color="auto"/>
        <w:left w:val="none" w:sz="0" w:space="0" w:color="auto"/>
        <w:bottom w:val="none" w:sz="0" w:space="0" w:color="auto"/>
        <w:right w:val="none" w:sz="0" w:space="0" w:color="auto"/>
      </w:divBdr>
    </w:div>
    <w:div w:id="1029797204">
      <w:bodyDiv w:val="1"/>
      <w:marLeft w:val="0"/>
      <w:marRight w:val="0"/>
      <w:marTop w:val="0"/>
      <w:marBottom w:val="0"/>
      <w:divBdr>
        <w:top w:val="none" w:sz="0" w:space="0" w:color="auto"/>
        <w:left w:val="none" w:sz="0" w:space="0" w:color="auto"/>
        <w:bottom w:val="none" w:sz="0" w:space="0" w:color="auto"/>
        <w:right w:val="none" w:sz="0" w:space="0" w:color="auto"/>
      </w:divBdr>
    </w:div>
    <w:div w:id="1038509581">
      <w:bodyDiv w:val="1"/>
      <w:marLeft w:val="0"/>
      <w:marRight w:val="0"/>
      <w:marTop w:val="0"/>
      <w:marBottom w:val="0"/>
      <w:divBdr>
        <w:top w:val="none" w:sz="0" w:space="0" w:color="auto"/>
        <w:left w:val="none" w:sz="0" w:space="0" w:color="auto"/>
        <w:bottom w:val="none" w:sz="0" w:space="0" w:color="auto"/>
        <w:right w:val="none" w:sz="0" w:space="0" w:color="auto"/>
      </w:divBdr>
    </w:div>
    <w:div w:id="1041519247">
      <w:bodyDiv w:val="1"/>
      <w:marLeft w:val="0"/>
      <w:marRight w:val="0"/>
      <w:marTop w:val="0"/>
      <w:marBottom w:val="0"/>
      <w:divBdr>
        <w:top w:val="none" w:sz="0" w:space="0" w:color="auto"/>
        <w:left w:val="none" w:sz="0" w:space="0" w:color="auto"/>
        <w:bottom w:val="none" w:sz="0" w:space="0" w:color="auto"/>
        <w:right w:val="none" w:sz="0" w:space="0" w:color="auto"/>
      </w:divBdr>
    </w:div>
    <w:div w:id="1048603677">
      <w:bodyDiv w:val="1"/>
      <w:marLeft w:val="0"/>
      <w:marRight w:val="0"/>
      <w:marTop w:val="0"/>
      <w:marBottom w:val="0"/>
      <w:divBdr>
        <w:top w:val="none" w:sz="0" w:space="0" w:color="auto"/>
        <w:left w:val="none" w:sz="0" w:space="0" w:color="auto"/>
        <w:bottom w:val="none" w:sz="0" w:space="0" w:color="auto"/>
        <w:right w:val="none" w:sz="0" w:space="0" w:color="auto"/>
      </w:divBdr>
    </w:div>
    <w:div w:id="1048842044">
      <w:bodyDiv w:val="1"/>
      <w:marLeft w:val="0"/>
      <w:marRight w:val="0"/>
      <w:marTop w:val="0"/>
      <w:marBottom w:val="0"/>
      <w:divBdr>
        <w:top w:val="none" w:sz="0" w:space="0" w:color="auto"/>
        <w:left w:val="none" w:sz="0" w:space="0" w:color="auto"/>
        <w:bottom w:val="none" w:sz="0" w:space="0" w:color="auto"/>
        <w:right w:val="none" w:sz="0" w:space="0" w:color="auto"/>
      </w:divBdr>
    </w:div>
    <w:div w:id="1059010764">
      <w:bodyDiv w:val="1"/>
      <w:marLeft w:val="0"/>
      <w:marRight w:val="0"/>
      <w:marTop w:val="0"/>
      <w:marBottom w:val="0"/>
      <w:divBdr>
        <w:top w:val="none" w:sz="0" w:space="0" w:color="auto"/>
        <w:left w:val="none" w:sz="0" w:space="0" w:color="auto"/>
        <w:bottom w:val="none" w:sz="0" w:space="0" w:color="auto"/>
        <w:right w:val="none" w:sz="0" w:space="0" w:color="auto"/>
      </w:divBdr>
    </w:div>
    <w:div w:id="1067339985">
      <w:bodyDiv w:val="1"/>
      <w:marLeft w:val="0"/>
      <w:marRight w:val="0"/>
      <w:marTop w:val="0"/>
      <w:marBottom w:val="0"/>
      <w:divBdr>
        <w:top w:val="none" w:sz="0" w:space="0" w:color="auto"/>
        <w:left w:val="none" w:sz="0" w:space="0" w:color="auto"/>
        <w:bottom w:val="none" w:sz="0" w:space="0" w:color="auto"/>
        <w:right w:val="none" w:sz="0" w:space="0" w:color="auto"/>
      </w:divBdr>
    </w:div>
    <w:div w:id="1070076706">
      <w:bodyDiv w:val="1"/>
      <w:marLeft w:val="0"/>
      <w:marRight w:val="0"/>
      <w:marTop w:val="0"/>
      <w:marBottom w:val="0"/>
      <w:divBdr>
        <w:top w:val="none" w:sz="0" w:space="0" w:color="auto"/>
        <w:left w:val="none" w:sz="0" w:space="0" w:color="auto"/>
        <w:bottom w:val="none" w:sz="0" w:space="0" w:color="auto"/>
        <w:right w:val="none" w:sz="0" w:space="0" w:color="auto"/>
      </w:divBdr>
    </w:div>
    <w:div w:id="1072971747">
      <w:bodyDiv w:val="1"/>
      <w:marLeft w:val="0"/>
      <w:marRight w:val="0"/>
      <w:marTop w:val="0"/>
      <w:marBottom w:val="0"/>
      <w:divBdr>
        <w:top w:val="none" w:sz="0" w:space="0" w:color="auto"/>
        <w:left w:val="none" w:sz="0" w:space="0" w:color="auto"/>
        <w:bottom w:val="none" w:sz="0" w:space="0" w:color="auto"/>
        <w:right w:val="none" w:sz="0" w:space="0" w:color="auto"/>
      </w:divBdr>
    </w:div>
    <w:div w:id="1075592784">
      <w:bodyDiv w:val="1"/>
      <w:marLeft w:val="0"/>
      <w:marRight w:val="0"/>
      <w:marTop w:val="0"/>
      <w:marBottom w:val="0"/>
      <w:divBdr>
        <w:top w:val="none" w:sz="0" w:space="0" w:color="auto"/>
        <w:left w:val="none" w:sz="0" w:space="0" w:color="auto"/>
        <w:bottom w:val="none" w:sz="0" w:space="0" w:color="auto"/>
        <w:right w:val="none" w:sz="0" w:space="0" w:color="auto"/>
      </w:divBdr>
    </w:div>
    <w:div w:id="1077357672">
      <w:bodyDiv w:val="1"/>
      <w:marLeft w:val="0"/>
      <w:marRight w:val="0"/>
      <w:marTop w:val="0"/>
      <w:marBottom w:val="0"/>
      <w:divBdr>
        <w:top w:val="none" w:sz="0" w:space="0" w:color="auto"/>
        <w:left w:val="none" w:sz="0" w:space="0" w:color="auto"/>
        <w:bottom w:val="none" w:sz="0" w:space="0" w:color="auto"/>
        <w:right w:val="none" w:sz="0" w:space="0" w:color="auto"/>
      </w:divBdr>
    </w:div>
    <w:div w:id="1082725876">
      <w:bodyDiv w:val="1"/>
      <w:marLeft w:val="0"/>
      <w:marRight w:val="0"/>
      <w:marTop w:val="0"/>
      <w:marBottom w:val="0"/>
      <w:divBdr>
        <w:top w:val="none" w:sz="0" w:space="0" w:color="auto"/>
        <w:left w:val="none" w:sz="0" w:space="0" w:color="auto"/>
        <w:bottom w:val="none" w:sz="0" w:space="0" w:color="auto"/>
        <w:right w:val="none" w:sz="0" w:space="0" w:color="auto"/>
      </w:divBdr>
    </w:div>
    <w:div w:id="1083572322">
      <w:bodyDiv w:val="1"/>
      <w:marLeft w:val="0"/>
      <w:marRight w:val="0"/>
      <w:marTop w:val="0"/>
      <w:marBottom w:val="0"/>
      <w:divBdr>
        <w:top w:val="none" w:sz="0" w:space="0" w:color="auto"/>
        <w:left w:val="none" w:sz="0" w:space="0" w:color="auto"/>
        <w:bottom w:val="none" w:sz="0" w:space="0" w:color="auto"/>
        <w:right w:val="none" w:sz="0" w:space="0" w:color="auto"/>
      </w:divBdr>
    </w:div>
    <w:div w:id="1085765072">
      <w:bodyDiv w:val="1"/>
      <w:marLeft w:val="0"/>
      <w:marRight w:val="0"/>
      <w:marTop w:val="0"/>
      <w:marBottom w:val="0"/>
      <w:divBdr>
        <w:top w:val="none" w:sz="0" w:space="0" w:color="auto"/>
        <w:left w:val="none" w:sz="0" w:space="0" w:color="auto"/>
        <w:bottom w:val="none" w:sz="0" w:space="0" w:color="auto"/>
        <w:right w:val="none" w:sz="0" w:space="0" w:color="auto"/>
      </w:divBdr>
    </w:div>
    <w:div w:id="1096680890">
      <w:bodyDiv w:val="1"/>
      <w:marLeft w:val="0"/>
      <w:marRight w:val="0"/>
      <w:marTop w:val="0"/>
      <w:marBottom w:val="0"/>
      <w:divBdr>
        <w:top w:val="none" w:sz="0" w:space="0" w:color="auto"/>
        <w:left w:val="none" w:sz="0" w:space="0" w:color="auto"/>
        <w:bottom w:val="none" w:sz="0" w:space="0" w:color="auto"/>
        <w:right w:val="none" w:sz="0" w:space="0" w:color="auto"/>
      </w:divBdr>
    </w:div>
    <w:div w:id="1104617321">
      <w:bodyDiv w:val="1"/>
      <w:marLeft w:val="0"/>
      <w:marRight w:val="0"/>
      <w:marTop w:val="0"/>
      <w:marBottom w:val="0"/>
      <w:divBdr>
        <w:top w:val="none" w:sz="0" w:space="0" w:color="auto"/>
        <w:left w:val="none" w:sz="0" w:space="0" w:color="auto"/>
        <w:bottom w:val="none" w:sz="0" w:space="0" w:color="auto"/>
        <w:right w:val="none" w:sz="0" w:space="0" w:color="auto"/>
      </w:divBdr>
    </w:div>
    <w:div w:id="1108625161">
      <w:bodyDiv w:val="1"/>
      <w:marLeft w:val="0"/>
      <w:marRight w:val="0"/>
      <w:marTop w:val="0"/>
      <w:marBottom w:val="0"/>
      <w:divBdr>
        <w:top w:val="none" w:sz="0" w:space="0" w:color="auto"/>
        <w:left w:val="none" w:sz="0" w:space="0" w:color="auto"/>
        <w:bottom w:val="none" w:sz="0" w:space="0" w:color="auto"/>
        <w:right w:val="none" w:sz="0" w:space="0" w:color="auto"/>
      </w:divBdr>
    </w:div>
    <w:div w:id="1113134196">
      <w:bodyDiv w:val="1"/>
      <w:marLeft w:val="0"/>
      <w:marRight w:val="0"/>
      <w:marTop w:val="0"/>
      <w:marBottom w:val="0"/>
      <w:divBdr>
        <w:top w:val="none" w:sz="0" w:space="0" w:color="auto"/>
        <w:left w:val="none" w:sz="0" w:space="0" w:color="auto"/>
        <w:bottom w:val="none" w:sz="0" w:space="0" w:color="auto"/>
        <w:right w:val="none" w:sz="0" w:space="0" w:color="auto"/>
      </w:divBdr>
    </w:div>
    <w:div w:id="1117214278">
      <w:bodyDiv w:val="1"/>
      <w:marLeft w:val="0"/>
      <w:marRight w:val="0"/>
      <w:marTop w:val="0"/>
      <w:marBottom w:val="0"/>
      <w:divBdr>
        <w:top w:val="none" w:sz="0" w:space="0" w:color="auto"/>
        <w:left w:val="none" w:sz="0" w:space="0" w:color="auto"/>
        <w:bottom w:val="none" w:sz="0" w:space="0" w:color="auto"/>
        <w:right w:val="none" w:sz="0" w:space="0" w:color="auto"/>
      </w:divBdr>
    </w:div>
    <w:div w:id="1122453943">
      <w:bodyDiv w:val="1"/>
      <w:marLeft w:val="0"/>
      <w:marRight w:val="0"/>
      <w:marTop w:val="0"/>
      <w:marBottom w:val="0"/>
      <w:divBdr>
        <w:top w:val="none" w:sz="0" w:space="0" w:color="auto"/>
        <w:left w:val="none" w:sz="0" w:space="0" w:color="auto"/>
        <w:bottom w:val="none" w:sz="0" w:space="0" w:color="auto"/>
        <w:right w:val="none" w:sz="0" w:space="0" w:color="auto"/>
      </w:divBdr>
    </w:div>
    <w:div w:id="1130437253">
      <w:bodyDiv w:val="1"/>
      <w:marLeft w:val="0"/>
      <w:marRight w:val="0"/>
      <w:marTop w:val="0"/>
      <w:marBottom w:val="0"/>
      <w:divBdr>
        <w:top w:val="none" w:sz="0" w:space="0" w:color="auto"/>
        <w:left w:val="none" w:sz="0" w:space="0" w:color="auto"/>
        <w:bottom w:val="none" w:sz="0" w:space="0" w:color="auto"/>
        <w:right w:val="none" w:sz="0" w:space="0" w:color="auto"/>
      </w:divBdr>
    </w:div>
    <w:div w:id="1146431736">
      <w:bodyDiv w:val="1"/>
      <w:marLeft w:val="0"/>
      <w:marRight w:val="0"/>
      <w:marTop w:val="0"/>
      <w:marBottom w:val="0"/>
      <w:divBdr>
        <w:top w:val="none" w:sz="0" w:space="0" w:color="auto"/>
        <w:left w:val="none" w:sz="0" w:space="0" w:color="auto"/>
        <w:bottom w:val="none" w:sz="0" w:space="0" w:color="auto"/>
        <w:right w:val="none" w:sz="0" w:space="0" w:color="auto"/>
      </w:divBdr>
    </w:div>
    <w:div w:id="1153595166">
      <w:bodyDiv w:val="1"/>
      <w:marLeft w:val="0"/>
      <w:marRight w:val="0"/>
      <w:marTop w:val="0"/>
      <w:marBottom w:val="0"/>
      <w:divBdr>
        <w:top w:val="none" w:sz="0" w:space="0" w:color="auto"/>
        <w:left w:val="none" w:sz="0" w:space="0" w:color="auto"/>
        <w:bottom w:val="none" w:sz="0" w:space="0" w:color="auto"/>
        <w:right w:val="none" w:sz="0" w:space="0" w:color="auto"/>
      </w:divBdr>
    </w:div>
    <w:div w:id="1157572708">
      <w:bodyDiv w:val="1"/>
      <w:marLeft w:val="0"/>
      <w:marRight w:val="0"/>
      <w:marTop w:val="0"/>
      <w:marBottom w:val="0"/>
      <w:divBdr>
        <w:top w:val="none" w:sz="0" w:space="0" w:color="auto"/>
        <w:left w:val="none" w:sz="0" w:space="0" w:color="auto"/>
        <w:bottom w:val="none" w:sz="0" w:space="0" w:color="auto"/>
        <w:right w:val="none" w:sz="0" w:space="0" w:color="auto"/>
      </w:divBdr>
    </w:div>
    <w:div w:id="1173571664">
      <w:bodyDiv w:val="1"/>
      <w:marLeft w:val="0"/>
      <w:marRight w:val="0"/>
      <w:marTop w:val="0"/>
      <w:marBottom w:val="0"/>
      <w:divBdr>
        <w:top w:val="none" w:sz="0" w:space="0" w:color="auto"/>
        <w:left w:val="none" w:sz="0" w:space="0" w:color="auto"/>
        <w:bottom w:val="none" w:sz="0" w:space="0" w:color="auto"/>
        <w:right w:val="none" w:sz="0" w:space="0" w:color="auto"/>
      </w:divBdr>
    </w:div>
    <w:div w:id="1173639948">
      <w:bodyDiv w:val="1"/>
      <w:marLeft w:val="0"/>
      <w:marRight w:val="0"/>
      <w:marTop w:val="0"/>
      <w:marBottom w:val="0"/>
      <w:divBdr>
        <w:top w:val="none" w:sz="0" w:space="0" w:color="auto"/>
        <w:left w:val="none" w:sz="0" w:space="0" w:color="auto"/>
        <w:bottom w:val="none" w:sz="0" w:space="0" w:color="auto"/>
        <w:right w:val="none" w:sz="0" w:space="0" w:color="auto"/>
      </w:divBdr>
    </w:div>
    <w:div w:id="1176112864">
      <w:bodyDiv w:val="1"/>
      <w:marLeft w:val="0"/>
      <w:marRight w:val="0"/>
      <w:marTop w:val="0"/>
      <w:marBottom w:val="0"/>
      <w:divBdr>
        <w:top w:val="none" w:sz="0" w:space="0" w:color="auto"/>
        <w:left w:val="none" w:sz="0" w:space="0" w:color="auto"/>
        <w:bottom w:val="none" w:sz="0" w:space="0" w:color="auto"/>
        <w:right w:val="none" w:sz="0" w:space="0" w:color="auto"/>
      </w:divBdr>
    </w:div>
    <w:div w:id="1176337837">
      <w:bodyDiv w:val="1"/>
      <w:marLeft w:val="0"/>
      <w:marRight w:val="0"/>
      <w:marTop w:val="0"/>
      <w:marBottom w:val="0"/>
      <w:divBdr>
        <w:top w:val="none" w:sz="0" w:space="0" w:color="auto"/>
        <w:left w:val="none" w:sz="0" w:space="0" w:color="auto"/>
        <w:bottom w:val="none" w:sz="0" w:space="0" w:color="auto"/>
        <w:right w:val="none" w:sz="0" w:space="0" w:color="auto"/>
      </w:divBdr>
    </w:div>
    <w:div w:id="1180199405">
      <w:bodyDiv w:val="1"/>
      <w:marLeft w:val="0"/>
      <w:marRight w:val="0"/>
      <w:marTop w:val="0"/>
      <w:marBottom w:val="0"/>
      <w:divBdr>
        <w:top w:val="none" w:sz="0" w:space="0" w:color="auto"/>
        <w:left w:val="none" w:sz="0" w:space="0" w:color="auto"/>
        <w:bottom w:val="none" w:sz="0" w:space="0" w:color="auto"/>
        <w:right w:val="none" w:sz="0" w:space="0" w:color="auto"/>
      </w:divBdr>
    </w:div>
    <w:div w:id="1182629598">
      <w:bodyDiv w:val="1"/>
      <w:marLeft w:val="0"/>
      <w:marRight w:val="0"/>
      <w:marTop w:val="0"/>
      <w:marBottom w:val="0"/>
      <w:divBdr>
        <w:top w:val="none" w:sz="0" w:space="0" w:color="auto"/>
        <w:left w:val="none" w:sz="0" w:space="0" w:color="auto"/>
        <w:bottom w:val="none" w:sz="0" w:space="0" w:color="auto"/>
        <w:right w:val="none" w:sz="0" w:space="0" w:color="auto"/>
      </w:divBdr>
    </w:div>
    <w:div w:id="1183977405">
      <w:bodyDiv w:val="1"/>
      <w:marLeft w:val="0"/>
      <w:marRight w:val="0"/>
      <w:marTop w:val="0"/>
      <w:marBottom w:val="0"/>
      <w:divBdr>
        <w:top w:val="none" w:sz="0" w:space="0" w:color="auto"/>
        <w:left w:val="none" w:sz="0" w:space="0" w:color="auto"/>
        <w:bottom w:val="none" w:sz="0" w:space="0" w:color="auto"/>
        <w:right w:val="none" w:sz="0" w:space="0" w:color="auto"/>
      </w:divBdr>
    </w:div>
    <w:div w:id="1184978813">
      <w:bodyDiv w:val="1"/>
      <w:marLeft w:val="0"/>
      <w:marRight w:val="0"/>
      <w:marTop w:val="0"/>
      <w:marBottom w:val="0"/>
      <w:divBdr>
        <w:top w:val="none" w:sz="0" w:space="0" w:color="auto"/>
        <w:left w:val="none" w:sz="0" w:space="0" w:color="auto"/>
        <w:bottom w:val="none" w:sz="0" w:space="0" w:color="auto"/>
        <w:right w:val="none" w:sz="0" w:space="0" w:color="auto"/>
      </w:divBdr>
    </w:div>
    <w:div w:id="1185168832">
      <w:bodyDiv w:val="1"/>
      <w:marLeft w:val="0"/>
      <w:marRight w:val="0"/>
      <w:marTop w:val="0"/>
      <w:marBottom w:val="0"/>
      <w:divBdr>
        <w:top w:val="none" w:sz="0" w:space="0" w:color="auto"/>
        <w:left w:val="none" w:sz="0" w:space="0" w:color="auto"/>
        <w:bottom w:val="none" w:sz="0" w:space="0" w:color="auto"/>
        <w:right w:val="none" w:sz="0" w:space="0" w:color="auto"/>
      </w:divBdr>
    </w:div>
    <w:div w:id="1185246326">
      <w:bodyDiv w:val="1"/>
      <w:marLeft w:val="0"/>
      <w:marRight w:val="0"/>
      <w:marTop w:val="0"/>
      <w:marBottom w:val="0"/>
      <w:divBdr>
        <w:top w:val="none" w:sz="0" w:space="0" w:color="auto"/>
        <w:left w:val="none" w:sz="0" w:space="0" w:color="auto"/>
        <w:bottom w:val="none" w:sz="0" w:space="0" w:color="auto"/>
        <w:right w:val="none" w:sz="0" w:space="0" w:color="auto"/>
      </w:divBdr>
    </w:div>
    <w:div w:id="1191869486">
      <w:bodyDiv w:val="1"/>
      <w:marLeft w:val="0"/>
      <w:marRight w:val="0"/>
      <w:marTop w:val="0"/>
      <w:marBottom w:val="0"/>
      <w:divBdr>
        <w:top w:val="none" w:sz="0" w:space="0" w:color="auto"/>
        <w:left w:val="none" w:sz="0" w:space="0" w:color="auto"/>
        <w:bottom w:val="none" w:sz="0" w:space="0" w:color="auto"/>
        <w:right w:val="none" w:sz="0" w:space="0" w:color="auto"/>
      </w:divBdr>
    </w:div>
    <w:div w:id="1199318983">
      <w:bodyDiv w:val="1"/>
      <w:marLeft w:val="0"/>
      <w:marRight w:val="0"/>
      <w:marTop w:val="0"/>
      <w:marBottom w:val="0"/>
      <w:divBdr>
        <w:top w:val="none" w:sz="0" w:space="0" w:color="auto"/>
        <w:left w:val="none" w:sz="0" w:space="0" w:color="auto"/>
        <w:bottom w:val="none" w:sz="0" w:space="0" w:color="auto"/>
        <w:right w:val="none" w:sz="0" w:space="0" w:color="auto"/>
      </w:divBdr>
    </w:div>
    <w:div w:id="1204635058">
      <w:bodyDiv w:val="1"/>
      <w:marLeft w:val="0"/>
      <w:marRight w:val="0"/>
      <w:marTop w:val="0"/>
      <w:marBottom w:val="0"/>
      <w:divBdr>
        <w:top w:val="none" w:sz="0" w:space="0" w:color="auto"/>
        <w:left w:val="none" w:sz="0" w:space="0" w:color="auto"/>
        <w:bottom w:val="none" w:sz="0" w:space="0" w:color="auto"/>
        <w:right w:val="none" w:sz="0" w:space="0" w:color="auto"/>
      </w:divBdr>
    </w:div>
    <w:div w:id="1208760406">
      <w:bodyDiv w:val="1"/>
      <w:marLeft w:val="0"/>
      <w:marRight w:val="0"/>
      <w:marTop w:val="0"/>
      <w:marBottom w:val="0"/>
      <w:divBdr>
        <w:top w:val="none" w:sz="0" w:space="0" w:color="auto"/>
        <w:left w:val="none" w:sz="0" w:space="0" w:color="auto"/>
        <w:bottom w:val="none" w:sz="0" w:space="0" w:color="auto"/>
        <w:right w:val="none" w:sz="0" w:space="0" w:color="auto"/>
      </w:divBdr>
    </w:div>
    <w:div w:id="1211651638">
      <w:bodyDiv w:val="1"/>
      <w:marLeft w:val="0"/>
      <w:marRight w:val="0"/>
      <w:marTop w:val="0"/>
      <w:marBottom w:val="0"/>
      <w:divBdr>
        <w:top w:val="none" w:sz="0" w:space="0" w:color="auto"/>
        <w:left w:val="none" w:sz="0" w:space="0" w:color="auto"/>
        <w:bottom w:val="none" w:sz="0" w:space="0" w:color="auto"/>
        <w:right w:val="none" w:sz="0" w:space="0" w:color="auto"/>
      </w:divBdr>
    </w:div>
    <w:div w:id="1215116458">
      <w:bodyDiv w:val="1"/>
      <w:marLeft w:val="0"/>
      <w:marRight w:val="0"/>
      <w:marTop w:val="0"/>
      <w:marBottom w:val="0"/>
      <w:divBdr>
        <w:top w:val="none" w:sz="0" w:space="0" w:color="auto"/>
        <w:left w:val="none" w:sz="0" w:space="0" w:color="auto"/>
        <w:bottom w:val="none" w:sz="0" w:space="0" w:color="auto"/>
        <w:right w:val="none" w:sz="0" w:space="0" w:color="auto"/>
      </w:divBdr>
    </w:div>
    <w:div w:id="1222325677">
      <w:bodyDiv w:val="1"/>
      <w:marLeft w:val="0"/>
      <w:marRight w:val="0"/>
      <w:marTop w:val="0"/>
      <w:marBottom w:val="0"/>
      <w:divBdr>
        <w:top w:val="none" w:sz="0" w:space="0" w:color="auto"/>
        <w:left w:val="none" w:sz="0" w:space="0" w:color="auto"/>
        <w:bottom w:val="none" w:sz="0" w:space="0" w:color="auto"/>
        <w:right w:val="none" w:sz="0" w:space="0" w:color="auto"/>
      </w:divBdr>
    </w:div>
    <w:div w:id="1238053425">
      <w:bodyDiv w:val="1"/>
      <w:marLeft w:val="0"/>
      <w:marRight w:val="0"/>
      <w:marTop w:val="0"/>
      <w:marBottom w:val="0"/>
      <w:divBdr>
        <w:top w:val="none" w:sz="0" w:space="0" w:color="auto"/>
        <w:left w:val="none" w:sz="0" w:space="0" w:color="auto"/>
        <w:bottom w:val="none" w:sz="0" w:space="0" w:color="auto"/>
        <w:right w:val="none" w:sz="0" w:space="0" w:color="auto"/>
      </w:divBdr>
    </w:div>
    <w:div w:id="1241019872">
      <w:bodyDiv w:val="1"/>
      <w:marLeft w:val="0"/>
      <w:marRight w:val="0"/>
      <w:marTop w:val="0"/>
      <w:marBottom w:val="0"/>
      <w:divBdr>
        <w:top w:val="none" w:sz="0" w:space="0" w:color="auto"/>
        <w:left w:val="none" w:sz="0" w:space="0" w:color="auto"/>
        <w:bottom w:val="none" w:sz="0" w:space="0" w:color="auto"/>
        <w:right w:val="none" w:sz="0" w:space="0" w:color="auto"/>
      </w:divBdr>
    </w:div>
    <w:div w:id="1243176846">
      <w:bodyDiv w:val="1"/>
      <w:marLeft w:val="0"/>
      <w:marRight w:val="0"/>
      <w:marTop w:val="0"/>
      <w:marBottom w:val="0"/>
      <w:divBdr>
        <w:top w:val="none" w:sz="0" w:space="0" w:color="auto"/>
        <w:left w:val="none" w:sz="0" w:space="0" w:color="auto"/>
        <w:bottom w:val="none" w:sz="0" w:space="0" w:color="auto"/>
        <w:right w:val="none" w:sz="0" w:space="0" w:color="auto"/>
      </w:divBdr>
    </w:div>
    <w:div w:id="1244609543">
      <w:bodyDiv w:val="1"/>
      <w:marLeft w:val="0"/>
      <w:marRight w:val="0"/>
      <w:marTop w:val="0"/>
      <w:marBottom w:val="0"/>
      <w:divBdr>
        <w:top w:val="none" w:sz="0" w:space="0" w:color="auto"/>
        <w:left w:val="none" w:sz="0" w:space="0" w:color="auto"/>
        <w:bottom w:val="none" w:sz="0" w:space="0" w:color="auto"/>
        <w:right w:val="none" w:sz="0" w:space="0" w:color="auto"/>
      </w:divBdr>
    </w:div>
    <w:div w:id="1246110962">
      <w:bodyDiv w:val="1"/>
      <w:marLeft w:val="0"/>
      <w:marRight w:val="0"/>
      <w:marTop w:val="0"/>
      <w:marBottom w:val="0"/>
      <w:divBdr>
        <w:top w:val="none" w:sz="0" w:space="0" w:color="auto"/>
        <w:left w:val="none" w:sz="0" w:space="0" w:color="auto"/>
        <w:bottom w:val="none" w:sz="0" w:space="0" w:color="auto"/>
        <w:right w:val="none" w:sz="0" w:space="0" w:color="auto"/>
      </w:divBdr>
    </w:div>
    <w:div w:id="1249656145">
      <w:bodyDiv w:val="1"/>
      <w:marLeft w:val="0"/>
      <w:marRight w:val="0"/>
      <w:marTop w:val="0"/>
      <w:marBottom w:val="0"/>
      <w:divBdr>
        <w:top w:val="none" w:sz="0" w:space="0" w:color="auto"/>
        <w:left w:val="none" w:sz="0" w:space="0" w:color="auto"/>
        <w:bottom w:val="none" w:sz="0" w:space="0" w:color="auto"/>
        <w:right w:val="none" w:sz="0" w:space="0" w:color="auto"/>
      </w:divBdr>
    </w:div>
    <w:div w:id="1250235234">
      <w:bodyDiv w:val="1"/>
      <w:marLeft w:val="0"/>
      <w:marRight w:val="0"/>
      <w:marTop w:val="0"/>
      <w:marBottom w:val="0"/>
      <w:divBdr>
        <w:top w:val="none" w:sz="0" w:space="0" w:color="auto"/>
        <w:left w:val="none" w:sz="0" w:space="0" w:color="auto"/>
        <w:bottom w:val="none" w:sz="0" w:space="0" w:color="auto"/>
        <w:right w:val="none" w:sz="0" w:space="0" w:color="auto"/>
      </w:divBdr>
    </w:div>
    <w:div w:id="1250236631">
      <w:bodyDiv w:val="1"/>
      <w:marLeft w:val="0"/>
      <w:marRight w:val="0"/>
      <w:marTop w:val="0"/>
      <w:marBottom w:val="0"/>
      <w:divBdr>
        <w:top w:val="none" w:sz="0" w:space="0" w:color="auto"/>
        <w:left w:val="none" w:sz="0" w:space="0" w:color="auto"/>
        <w:bottom w:val="none" w:sz="0" w:space="0" w:color="auto"/>
        <w:right w:val="none" w:sz="0" w:space="0" w:color="auto"/>
      </w:divBdr>
      <w:divsChild>
        <w:div w:id="67575071">
          <w:marLeft w:val="0"/>
          <w:marRight w:val="0"/>
          <w:marTop w:val="0"/>
          <w:marBottom w:val="0"/>
          <w:divBdr>
            <w:top w:val="none" w:sz="0" w:space="0" w:color="auto"/>
            <w:left w:val="none" w:sz="0" w:space="0" w:color="auto"/>
            <w:bottom w:val="none" w:sz="0" w:space="0" w:color="auto"/>
            <w:right w:val="none" w:sz="0" w:space="0" w:color="auto"/>
          </w:divBdr>
        </w:div>
        <w:div w:id="142426874">
          <w:marLeft w:val="0"/>
          <w:marRight w:val="0"/>
          <w:marTop w:val="0"/>
          <w:marBottom w:val="0"/>
          <w:divBdr>
            <w:top w:val="none" w:sz="0" w:space="0" w:color="auto"/>
            <w:left w:val="none" w:sz="0" w:space="0" w:color="auto"/>
            <w:bottom w:val="none" w:sz="0" w:space="0" w:color="auto"/>
            <w:right w:val="none" w:sz="0" w:space="0" w:color="auto"/>
          </w:divBdr>
        </w:div>
        <w:div w:id="170682782">
          <w:marLeft w:val="0"/>
          <w:marRight w:val="0"/>
          <w:marTop w:val="0"/>
          <w:marBottom w:val="0"/>
          <w:divBdr>
            <w:top w:val="none" w:sz="0" w:space="0" w:color="auto"/>
            <w:left w:val="none" w:sz="0" w:space="0" w:color="auto"/>
            <w:bottom w:val="none" w:sz="0" w:space="0" w:color="auto"/>
            <w:right w:val="none" w:sz="0" w:space="0" w:color="auto"/>
          </w:divBdr>
        </w:div>
        <w:div w:id="190924363">
          <w:marLeft w:val="0"/>
          <w:marRight w:val="0"/>
          <w:marTop w:val="0"/>
          <w:marBottom w:val="0"/>
          <w:divBdr>
            <w:top w:val="none" w:sz="0" w:space="0" w:color="auto"/>
            <w:left w:val="none" w:sz="0" w:space="0" w:color="auto"/>
            <w:bottom w:val="none" w:sz="0" w:space="0" w:color="auto"/>
            <w:right w:val="none" w:sz="0" w:space="0" w:color="auto"/>
          </w:divBdr>
        </w:div>
        <w:div w:id="212617370">
          <w:marLeft w:val="0"/>
          <w:marRight w:val="0"/>
          <w:marTop w:val="0"/>
          <w:marBottom w:val="0"/>
          <w:divBdr>
            <w:top w:val="none" w:sz="0" w:space="0" w:color="auto"/>
            <w:left w:val="none" w:sz="0" w:space="0" w:color="auto"/>
            <w:bottom w:val="none" w:sz="0" w:space="0" w:color="auto"/>
            <w:right w:val="none" w:sz="0" w:space="0" w:color="auto"/>
          </w:divBdr>
        </w:div>
        <w:div w:id="243994415">
          <w:marLeft w:val="0"/>
          <w:marRight w:val="0"/>
          <w:marTop w:val="0"/>
          <w:marBottom w:val="0"/>
          <w:divBdr>
            <w:top w:val="none" w:sz="0" w:space="0" w:color="auto"/>
            <w:left w:val="none" w:sz="0" w:space="0" w:color="auto"/>
            <w:bottom w:val="none" w:sz="0" w:space="0" w:color="auto"/>
            <w:right w:val="none" w:sz="0" w:space="0" w:color="auto"/>
          </w:divBdr>
        </w:div>
        <w:div w:id="249586740">
          <w:marLeft w:val="0"/>
          <w:marRight w:val="0"/>
          <w:marTop w:val="0"/>
          <w:marBottom w:val="0"/>
          <w:divBdr>
            <w:top w:val="none" w:sz="0" w:space="0" w:color="auto"/>
            <w:left w:val="none" w:sz="0" w:space="0" w:color="auto"/>
            <w:bottom w:val="none" w:sz="0" w:space="0" w:color="auto"/>
            <w:right w:val="none" w:sz="0" w:space="0" w:color="auto"/>
          </w:divBdr>
        </w:div>
        <w:div w:id="342319966">
          <w:marLeft w:val="0"/>
          <w:marRight w:val="0"/>
          <w:marTop w:val="0"/>
          <w:marBottom w:val="0"/>
          <w:divBdr>
            <w:top w:val="none" w:sz="0" w:space="0" w:color="auto"/>
            <w:left w:val="none" w:sz="0" w:space="0" w:color="auto"/>
            <w:bottom w:val="none" w:sz="0" w:space="0" w:color="auto"/>
            <w:right w:val="none" w:sz="0" w:space="0" w:color="auto"/>
          </w:divBdr>
        </w:div>
        <w:div w:id="521744818">
          <w:marLeft w:val="0"/>
          <w:marRight w:val="0"/>
          <w:marTop w:val="0"/>
          <w:marBottom w:val="0"/>
          <w:divBdr>
            <w:top w:val="none" w:sz="0" w:space="0" w:color="auto"/>
            <w:left w:val="none" w:sz="0" w:space="0" w:color="auto"/>
            <w:bottom w:val="none" w:sz="0" w:space="0" w:color="auto"/>
            <w:right w:val="none" w:sz="0" w:space="0" w:color="auto"/>
          </w:divBdr>
        </w:div>
        <w:div w:id="526677872">
          <w:marLeft w:val="0"/>
          <w:marRight w:val="0"/>
          <w:marTop w:val="0"/>
          <w:marBottom w:val="0"/>
          <w:divBdr>
            <w:top w:val="none" w:sz="0" w:space="0" w:color="auto"/>
            <w:left w:val="none" w:sz="0" w:space="0" w:color="auto"/>
            <w:bottom w:val="none" w:sz="0" w:space="0" w:color="auto"/>
            <w:right w:val="none" w:sz="0" w:space="0" w:color="auto"/>
          </w:divBdr>
        </w:div>
        <w:div w:id="548297245">
          <w:marLeft w:val="0"/>
          <w:marRight w:val="0"/>
          <w:marTop w:val="0"/>
          <w:marBottom w:val="0"/>
          <w:divBdr>
            <w:top w:val="none" w:sz="0" w:space="0" w:color="auto"/>
            <w:left w:val="none" w:sz="0" w:space="0" w:color="auto"/>
            <w:bottom w:val="none" w:sz="0" w:space="0" w:color="auto"/>
            <w:right w:val="none" w:sz="0" w:space="0" w:color="auto"/>
          </w:divBdr>
        </w:div>
        <w:div w:id="557519530">
          <w:marLeft w:val="0"/>
          <w:marRight w:val="0"/>
          <w:marTop w:val="0"/>
          <w:marBottom w:val="0"/>
          <w:divBdr>
            <w:top w:val="none" w:sz="0" w:space="0" w:color="auto"/>
            <w:left w:val="none" w:sz="0" w:space="0" w:color="auto"/>
            <w:bottom w:val="none" w:sz="0" w:space="0" w:color="auto"/>
            <w:right w:val="none" w:sz="0" w:space="0" w:color="auto"/>
          </w:divBdr>
        </w:div>
        <w:div w:id="711614577">
          <w:marLeft w:val="0"/>
          <w:marRight w:val="0"/>
          <w:marTop w:val="0"/>
          <w:marBottom w:val="0"/>
          <w:divBdr>
            <w:top w:val="none" w:sz="0" w:space="0" w:color="auto"/>
            <w:left w:val="none" w:sz="0" w:space="0" w:color="auto"/>
            <w:bottom w:val="none" w:sz="0" w:space="0" w:color="auto"/>
            <w:right w:val="none" w:sz="0" w:space="0" w:color="auto"/>
          </w:divBdr>
        </w:div>
        <w:div w:id="731079038">
          <w:marLeft w:val="0"/>
          <w:marRight w:val="0"/>
          <w:marTop w:val="0"/>
          <w:marBottom w:val="0"/>
          <w:divBdr>
            <w:top w:val="none" w:sz="0" w:space="0" w:color="auto"/>
            <w:left w:val="none" w:sz="0" w:space="0" w:color="auto"/>
            <w:bottom w:val="none" w:sz="0" w:space="0" w:color="auto"/>
            <w:right w:val="none" w:sz="0" w:space="0" w:color="auto"/>
          </w:divBdr>
        </w:div>
        <w:div w:id="743257297">
          <w:marLeft w:val="0"/>
          <w:marRight w:val="0"/>
          <w:marTop w:val="0"/>
          <w:marBottom w:val="0"/>
          <w:divBdr>
            <w:top w:val="none" w:sz="0" w:space="0" w:color="auto"/>
            <w:left w:val="none" w:sz="0" w:space="0" w:color="auto"/>
            <w:bottom w:val="none" w:sz="0" w:space="0" w:color="auto"/>
            <w:right w:val="none" w:sz="0" w:space="0" w:color="auto"/>
          </w:divBdr>
        </w:div>
        <w:div w:id="834996089">
          <w:marLeft w:val="0"/>
          <w:marRight w:val="0"/>
          <w:marTop w:val="0"/>
          <w:marBottom w:val="0"/>
          <w:divBdr>
            <w:top w:val="none" w:sz="0" w:space="0" w:color="auto"/>
            <w:left w:val="none" w:sz="0" w:space="0" w:color="auto"/>
            <w:bottom w:val="none" w:sz="0" w:space="0" w:color="auto"/>
            <w:right w:val="none" w:sz="0" w:space="0" w:color="auto"/>
          </w:divBdr>
        </w:div>
        <w:div w:id="848639685">
          <w:marLeft w:val="0"/>
          <w:marRight w:val="0"/>
          <w:marTop w:val="0"/>
          <w:marBottom w:val="0"/>
          <w:divBdr>
            <w:top w:val="none" w:sz="0" w:space="0" w:color="auto"/>
            <w:left w:val="none" w:sz="0" w:space="0" w:color="auto"/>
            <w:bottom w:val="none" w:sz="0" w:space="0" w:color="auto"/>
            <w:right w:val="none" w:sz="0" w:space="0" w:color="auto"/>
          </w:divBdr>
        </w:div>
        <w:div w:id="882447924">
          <w:marLeft w:val="0"/>
          <w:marRight w:val="0"/>
          <w:marTop w:val="0"/>
          <w:marBottom w:val="0"/>
          <w:divBdr>
            <w:top w:val="none" w:sz="0" w:space="0" w:color="auto"/>
            <w:left w:val="none" w:sz="0" w:space="0" w:color="auto"/>
            <w:bottom w:val="none" w:sz="0" w:space="0" w:color="auto"/>
            <w:right w:val="none" w:sz="0" w:space="0" w:color="auto"/>
          </w:divBdr>
        </w:div>
        <w:div w:id="887688663">
          <w:marLeft w:val="0"/>
          <w:marRight w:val="0"/>
          <w:marTop w:val="0"/>
          <w:marBottom w:val="0"/>
          <w:divBdr>
            <w:top w:val="none" w:sz="0" w:space="0" w:color="auto"/>
            <w:left w:val="none" w:sz="0" w:space="0" w:color="auto"/>
            <w:bottom w:val="none" w:sz="0" w:space="0" w:color="auto"/>
            <w:right w:val="none" w:sz="0" w:space="0" w:color="auto"/>
          </w:divBdr>
        </w:div>
        <w:div w:id="910652500">
          <w:marLeft w:val="0"/>
          <w:marRight w:val="0"/>
          <w:marTop w:val="0"/>
          <w:marBottom w:val="0"/>
          <w:divBdr>
            <w:top w:val="none" w:sz="0" w:space="0" w:color="auto"/>
            <w:left w:val="none" w:sz="0" w:space="0" w:color="auto"/>
            <w:bottom w:val="none" w:sz="0" w:space="0" w:color="auto"/>
            <w:right w:val="none" w:sz="0" w:space="0" w:color="auto"/>
          </w:divBdr>
        </w:div>
        <w:div w:id="951202239">
          <w:marLeft w:val="0"/>
          <w:marRight w:val="0"/>
          <w:marTop w:val="0"/>
          <w:marBottom w:val="0"/>
          <w:divBdr>
            <w:top w:val="none" w:sz="0" w:space="0" w:color="auto"/>
            <w:left w:val="none" w:sz="0" w:space="0" w:color="auto"/>
            <w:bottom w:val="none" w:sz="0" w:space="0" w:color="auto"/>
            <w:right w:val="none" w:sz="0" w:space="0" w:color="auto"/>
          </w:divBdr>
        </w:div>
        <w:div w:id="1000306811">
          <w:marLeft w:val="0"/>
          <w:marRight w:val="0"/>
          <w:marTop w:val="0"/>
          <w:marBottom w:val="0"/>
          <w:divBdr>
            <w:top w:val="none" w:sz="0" w:space="0" w:color="auto"/>
            <w:left w:val="none" w:sz="0" w:space="0" w:color="auto"/>
            <w:bottom w:val="none" w:sz="0" w:space="0" w:color="auto"/>
            <w:right w:val="none" w:sz="0" w:space="0" w:color="auto"/>
          </w:divBdr>
        </w:div>
        <w:div w:id="1005665555">
          <w:marLeft w:val="0"/>
          <w:marRight w:val="0"/>
          <w:marTop w:val="0"/>
          <w:marBottom w:val="0"/>
          <w:divBdr>
            <w:top w:val="none" w:sz="0" w:space="0" w:color="auto"/>
            <w:left w:val="none" w:sz="0" w:space="0" w:color="auto"/>
            <w:bottom w:val="none" w:sz="0" w:space="0" w:color="auto"/>
            <w:right w:val="none" w:sz="0" w:space="0" w:color="auto"/>
          </w:divBdr>
        </w:div>
        <w:div w:id="1017077708">
          <w:marLeft w:val="0"/>
          <w:marRight w:val="0"/>
          <w:marTop w:val="0"/>
          <w:marBottom w:val="0"/>
          <w:divBdr>
            <w:top w:val="none" w:sz="0" w:space="0" w:color="auto"/>
            <w:left w:val="none" w:sz="0" w:space="0" w:color="auto"/>
            <w:bottom w:val="none" w:sz="0" w:space="0" w:color="auto"/>
            <w:right w:val="none" w:sz="0" w:space="0" w:color="auto"/>
          </w:divBdr>
        </w:div>
        <w:div w:id="1035231219">
          <w:marLeft w:val="0"/>
          <w:marRight w:val="0"/>
          <w:marTop w:val="0"/>
          <w:marBottom w:val="0"/>
          <w:divBdr>
            <w:top w:val="none" w:sz="0" w:space="0" w:color="auto"/>
            <w:left w:val="none" w:sz="0" w:space="0" w:color="auto"/>
            <w:bottom w:val="none" w:sz="0" w:space="0" w:color="auto"/>
            <w:right w:val="none" w:sz="0" w:space="0" w:color="auto"/>
          </w:divBdr>
        </w:div>
        <w:div w:id="1035499271">
          <w:marLeft w:val="0"/>
          <w:marRight w:val="0"/>
          <w:marTop w:val="0"/>
          <w:marBottom w:val="0"/>
          <w:divBdr>
            <w:top w:val="none" w:sz="0" w:space="0" w:color="auto"/>
            <w:left w:val="none" w:sz="0" w:space="0" w:color="auto"/>
            <w:bottom w:val="none" w:sz="0" w:space="0" w:color="auto"/>
            <w:right w:val="none" w:sz="0" w:space="0" w:color="auto"/>
          </w:divBdr>
        </w:div>
        <w:div w:id="1068190970">
          <w:marLeft w:val="0"/>
          <w:marRight w:val="0"/>
          <w:marTop w:val="0"/>
          <w:marBottom w:val="0"/>
          <w:divBdr>
            <w:top w:val="none" w:sz="0" w:space="0" w:color="auto"/>
            <w:left w:val="none" w:sz="0" w:space="0" w:color="auto"/>
            <w:bottom w:val="none" w:sz="0" w:space="0" w:color="auto"/>
            <w:right w:val="none" w:sz="0" w:space="0" w:color="auto"/>
          </w:divBdr>
        </w:div>
        <w:div w:id="1132820300">
          <w:marLeft w:val="0"/>
          <w:marRight w:val="0"/>
          <w:marTop w:val="0"/>
          <w:marBottom w:val="0"/>
          <w:divBdr>
            <w:top w:val="none" w:sz="0" w:space="0" w:color="auto"/>
            <w:left w:val="none" w:sz="0" w:space="0" w:color="auto"/>
            <w:bottom w:val="none" w:sz="0" w:space="0" w:color="auto"/>
            <w:right w:val="none" w:sz="0" w:space="0" w:color="auto"/>
          </w:divBdr>
        </w:div>
        <w:div w:id="1173759034">
          <w:marLeft w:val="0"/>
          <w:marRight w:val="0"/>
          <w:marTop w:val="0"/>
          <w:marBottom w:val="0"/>
          <w:divBdr>
            <w:top w:val="none" w:sz="0" w:space="0" w:color="auto"/>
            <w:left w:val="none" w:sz="0" w:space="0" w:color="auto"/>
            <w:bottom w:val="none" w:sz="0" w:space="0" w:color="auto"/>
            <w:right w:val="none" w:sz="0" w:space="0" w:color="auto"/>
          </w:divBdr>
        </w:div>
        <w:div w:id="1184438369">
          <w:marLeft w:val="0"/>
          <w:marRight w:val="0"/>
          <w:marTop w:val="0"/>
          <w:marBottom w:val="0"/>
          <w:divBdr>
            <w:top w:val="none" w:sz="0" w:space="0" w:color="auto"/>
            <w:left w:val="none" w:sz="0" w:space="0" w:color="auto"/>
            <w:bottom w:val="none" w:sz="0" w:space="0" w:color="auto"/>
            <w:right w:val="none" w:sz="0" w:space="0" w:color="auto"/>
          </w:divBdr>
        </w:div>
        <w:div w:id="1188909198">
          <w:marLeft w:val="0"/>
          <w:marRight w:val="0"/>
          <w:marTop w:val="0"/>
          <w:marBottom w:val="0"/>
          <w:divBdr>
            <w:top w:val="none" w:sz="0" w:space="0" w:color="auto"/>
            <w:left w:val="none" w:sz="0" w:space="0" w:color="auto"/>
            <w:bottom w:val="none" w:sz="0" w:space="0" w:color="auto"/>
            <w:right w:val="none" w:sz="0" w:space="0" w:color="auto"/>
          </w:divBdr>
        </w:div>
        <w:div w:id="1255700526">
          <w:marLeft w:val="0"/>
          <w:marRight w:val="0"/>
          <w:marTop w:val="0"/>
          <w:marBottom w:val="0"/>
          <w:divBdr>
            <w:top w:val="none" w:sz="0" w:space="0" w:color="auto"/>
            <w:left w:val="none" w:sz="0" w:space="0" w:color="auto"/>
            <w:bottom w:val="none" w:sz="0" w:space="0" w:color="auto"/>
            <w:right w:val="none" w:sz="0" w:space="0" w:color="auto"/>
          </w:divBdr>
        </w:div>
        <w:div w:id="1292517573">
          <w:marLeft w:val="0"/>
          <w:marRight w:val="0"/>
          <w:marTop w:val="0"/>
          <w:marBottom w:val="0"/>
          <w:divBdr>
            <w:top w:val="none" w:sz="0" w:space="0" w:color="auto"/>
            <w:left w:val="none" w:sz="0" w:space="0" w:color="auto"/>
            <w:bottom w:val="none" w:sz="0" w:space="0" w:color="auto"/>
            <w:right w:val="none" w:sz="0" w:space="0" w:color="auto"/>
          </w:divBdr>
        </w:div>
        <w:div w:id="1347250315">
          <w:marLeft w:val="0"/>
          <w:marRight w:val="0"/>
          <w:marTop w:val="0"/>
          <w:marBottom w:val="0"/>
          <w:divBdr>
            <w:top w:val="none" w:sz="0" w:space="0" w:color="auto"/>
            <w:left w:val="none" w:sz="0" w:space="0" w:color="auto"/>
            <w:bottom w:val="none" w:sz="0" w:space="0" w:color="auto"/>
            <w:right w:val="none" w:sz="0" w:space="0" w:color="auto"/>
          </w:divBdr>
        </w:div>
        <w:div w:id="1490092307">
          <w:marLeft w:val="0"/>
          <w:marRight w:val="0"/>
          <w:marTop w:val="0"/>
          <w:marBottom w:val="0"/>
          <w:divBdr>
            <w:top w:val="none" w:sz="0" w:space="0" w:color="auto"/>
            <w:left w:val="none" w:sz="0" w:space="0" w:color="auto"/>
            <w:bottom w:val="none" w:sz="0" w:space="0" w:color="auto"/>
            <w:right w:val="none" w:sz="0" w:space="0" w:color="auto"/>
          </w:divBdr>
        </w:div>
        <w:div w:id="1509712999">
          <w:marLeft w:val="0"/>
          <w:marRight w:val="0"/>
          <w:marTop w:val="0"/>
          <w:marBottom w:val="0"/>
          <w:divBdr>
            <w:top w:val="none" w:sz="0" w:space="0" w:color="auto"/>
            <w:left w:val="none" w:sz="0" w:space="0" w:color="auto"/>
            <w:bottom w:val="none" w:sz="0" w:space="0" w:color="auto"/>
            <w:right w:val="none" w:sz="0" w:space="0" w:color="auto"/>
          </w:divBdr>
        </w:div>
        <w:div w:id="1511065859">
          <w:marLeft w:val="0"/>
          <w:marRight w:val="0"/>
          <w:marTop w:val="0"/>
          <w:marBottom w:val="0"/>
          <w:divBdr>
            <w:top w:val="none" w:sz="0" w:space="0" w:color="auto"/>
            <w:left w:val="none" w:sz="0" w:space="0" w:color="auto"/>
            <w:bottom w:val="none" w:sz="0" w:space="0" w:color="auto"/>
            <w:right w:val="none" w:sz="0" w:space="0" w:color="auto"/>
          </w:divBdr>
        </w:div>
        <w:div w:id="1538808535">
          <w:marLeft w:val="0"/>
          <w:marRight w:val="0"/>
          <w:marTop w:val="0"/>
          <w:marBottom w:val="0"/>
          <w:divBdr>
            <w:top w:val="none" w:sz="0" w:space="0" w:color="auto"/>
            <w:left w:val="none" w:sz="0" w:space="0" w:color="auto"/>
            <w:bottom w:val="none" w:sz="0" w:space="0" w:color="auto"/>
            <w:right w:val="none" w:sz="0" w:space="0" w:color="auto"/>
          </w:divBdr>
        </w:div>
        <w:div w:id="1549487360">
          <w:marLeft w:val="0"/>
          <w:marRight w:val="0"/>
          <w:marTop w:val="0"/>
          <w:marBottom w:val="0"/>
          <w:divBdr>
            <w:top w:val="none" w:sz="0" w:space="0" w:color="auto"/>
            <w:left w:val="none" w:sz="0" w:space="0" w:color="auto"/>
            <w:bottom w:val="none" w:sz="0" w:space="0" w:color="auto"/>
            <w:right w:val="none" w:sz="0" w:space="0" w:color="auto"/>
          </w:divBdr>
        </w:div>
        <w:div w:id="1553999997">
          <w:marLeft w:val="0"/>
          <w:marRight w:val="0"/>
          <w:marTop w:val="0"/>
          <w:marBottom w:val="0"/>
          <w:divBdr>
            <w:top w:val="none" w:sz="0" w:space="0" w:color="auto"/>
            <w:left w:val="none" w:sz="0" w:space="0" w:color="auto"/>
            <w:bottom w:val="none" w:sz="0" w:space="0" w:color="auto"/>
            <w:right w:val="none" w:sz="0" w:space="0" w:color="auto"/>
          </w:divBdr>
        </w:div>
        <w:div w:id="1671836319">
          <w:marLeft w:val="0"/>
          <w:marRight w:val="0"/>
          <w:marTop w:val="0"/>
          <w:marBottom w:val="0"/>
          <w:divBdr>
            <w:top w:val="none" w:sz="0" w:space="0" w:color="auto"/>
            <w:left w:val="none" w:sz="0" w:space="0" w:color="auto"/>
            <w:bottom w:val="none" w:sz="0" w:space="0" w:color="auto"/>
            <w:right w:val="none" w:sz="0" w:space="0" w:color="auto"/>
          </w:divBdr>
        </w:div>
        <w:div w:id="1724208946">
          <w:marLeft w:val="0"/>
          <w:marRight w:val="0"/>
          <w:marTop w:val="0"/>
          <w:marBottom w:val="0"/>
          <w:divBdr>
            <w:top w:val="none" w:sz="0" w:space="0" w:color="auto"/>
            <w:left w:val="none" w:sz="0" w:space="0" w:color="auto"/>
            <w:bottom w:val="none" w:sz="0" w:space="0" w:color="auto"/>
            <w:right w:val="none" w:sz="0" w:space="0" w:color="auto"/>
          </w:divBdr>
        </w:div>
        <w:div w:id="1778673288">
          <w:marLeft w:val="0"/>
          <w:marRight w:val="0"/>
          <w:marTop w:val="0"/>
          <w:marBottom w:val="0"/>
          <w:divBdr>
            <w:top w:val="none" w:sz="0" w:space="0" w:color="auto"/>
            <w:left w:val="none" w:sz="0" w:space="0" w:color="auto"/>
            <w:bottom w:val="none" w:sz="0" w:space="0" w:color="auto"/>
            <w:right w:val="none" w:sz="0" w:space="0" w:color="auto"/>
          </w:divBdr>
        </w:div>
        <w:div w:id="1847279938">
          <w:marLeft w:val="0"/>
          <w:marRight w:val="0"/>
          <w:marTop w:val="0"/>
          <w:marBottom w:val="0"/>
          <w:divBdr>
            <w:top w:val="none" w:sz="0" w:space="0" w:color="auto"/>
            <w:left w:val="none" w:sz="0" w:space="0" w:color="auto"/>
            <w:bottom w:val="none" w:sz="0" w:space="0" w:color="auto"/>
            <w:right w:val="none" w:sz="0" w:space="0" w:color="auto"/>
          </w:divBdr>
        </w:div>
        <w:div w:id="1890143452">
          <w:marLeft w:val="0"/>
          <w:marRight w:val="0"/>
          <w:marTop w:val="0"/>
          <w:marBottom w:val="0"/>
          <w:divBdr>
            <w:top w:val="none" w:sz="0" w:space="0" w:color="auto"/>
            <w:left w:val="none" w:sz="0" w:space="0" w:color="auto"/>
            <w:bottom w:val="none" w:sz="0" w:space="0" w:color="auto"/>
            <w:right w:val="none" w:sz="0" w:space="0" w:color="auto"/>
          </w:divBdr>
        </w:div>
        <w:div w:id="1903440333">
          <w:marLeft w:val="0"/>
          <w:marRight w:val="0"/>
          <w:marTop w:val="0"/>
          <w:marBottom w:val="0"/>
          <w:divBdr>
            <w:top w:val="none" w:sz="0" w:space="0" w:color="auto"/>
            <w:left w:val="none" w:sz="0" w:space="0" w:color="auto"/>
            <w:bottom w:val="none" w:sz="0" w:space="0" w:color="auto"/>
            <w:right w:val="none" w:sz="0" w:space="0" w:color="auto"/>
          </w:divBdr>
        </w:div>
        <w:div w:id="1955289146">
          <w:marLeft w:val="0"/>
          <w:marRight w:val="0"/>
          <w:marTop w:val="0"/>
          <w:marBottom w:val="0"/>
          <w:divBdr>
            <w:top w:val="none" w:sz="0" w:space="0" w:color="auto"/>
            <w:left w:val="none" w:sz="0" w:space="0" w:color="auto"/>
            <w:bottom w:val="none" w:sz="0" w:space="0" w:color="auto"/>
            <w:right w:val="none" w:sz="0" w:space="0" w:color="auto"/>
          </w:divBdr>
        </w:div>
        <w:div w:id="1994211672">
          <w:marLeft w:val="0"/>
          <w:marRight w:val="0"/>
          <w:marTop w:val="0"/>
          <w:marBottom w:val="0"/>
          <w:divBdr>
            <w:top w:val="none" w:sz="0" w:space="0" w:color="auto"/>
            <w:left w:val="none" w:sz="0" w:space="0" w:color="auto"/>
            <w:bottom w:val="none" w:sz="0" w:space="0" w:color="auto"/>
            <w:right w:val="none" w:sz="0" w:space="0" w:color="auto"/>
          </w:divBdr>
        </w:div>
        <w:div w:id="1997957473">
          <w:marLeft w:val="0"/>
          <w:marRight w:val="0"/>
          <w:marTop w:val="0"/>
          <w:marBottom w:val="0"/>
          <w:divBdr>
            <w:top w:val="none" w:sz="0" w:space="0" w:color="auto"/>
            <w:left w:val="none" w:sz="0" w:space="0" w:color="auto"/>
            <w:bottom w:val="none" w:sz="0" w:space="0" w:color="auto"/>
            <w:right w:val="none" w:sz="0" w:space="0" w:color="auto"/>
          </w:divBdr>
        </w:div>
        <w:div w:id="2009282540">
          <w:marLeft w:val="0"/>
          <w:marRight w:val="0"/>
          <w:marTop w:val="0"/>
          <w:marBottom w:val="0"/>
          <w:divBdr>
            <w:top w:val="none" w:sz="0" w:space="0" w:color="auto"/>
            <w:left w:val="none" w:sz="0" w:space="0" w:color="auto"/>
            <w:bottom w:val="none" w:sz="0" w:space="0" w:color="auto"/>
            <w:right w:val="none" w:sz="0" w:space="0" w:color="auto"/>
          </w:divBdr>
        </w:div>
        <w:div w:id="2011445854">
          <w:marLeft w:val="0"/>
          <w:marRight w:val="0"/>
          <w:marTop w:val="0"/>
          <w:marBottom w:val="0"/>
          <w:divBdr>
            <w:top w:val="none" w:sz="0" w:space="0" w:color="auto"/>
            <w:left w:val="none" w:sz="0" w:space="0" w:color="auto"/>
            <w:bottom w:val="none" w:sz="0" w:space="0" w:color="auto"/>
            <w:right w:val="none" w:sz="0" w:space="0" w:color="auto"/>
          </w:divBdr>
        </w:div>
        <w:div w:id="2031569403">
          <w:marLeft w:val="0"/>
          <w:marRight w:val="0"/>
          <w:marTop w:val="0"/>
          <w:marBottom w:val="0"/>
          <w:divBdr>
            <w:top w:val="none" w:sz="0" w:space="0" w:color="auto"/>
            <w:left w:val="none" w:sz="0" w:space="0" w:color="auto"/>
            <w:bottom w:val="none" w:sz="0" w:space="0" w:color="auto"/>
            <w:right w:val="none" w:sz="0" w:space="0" w:color="auto"/>
          </w:divBdr>
        </w:div>
        <w:div w:id="2097048593">
          <w:marLeft w:val="0"/>
          <w:marRight w:val="0"/>
          <w:marTop w:val="0"/>
          <w:marBottom w:val="0"/>
          <w:divBdr>
            <w:top w:val="none" w:sz="0" w:space="0" w:color="auto"/>
            <w:left w:val="none" w:sz="0" w:space="0" w:color="auto"/>
            <w:bottom w:val="none" w:sz="0" w:space="0" w:color="auto"/>
            <w:right w:val="none" w:sz="0" w:space="0" w:color="auto"/>
          </w:divBdr>
        </w:div>
        <w:div w:id="2097358731">
          <w:marLeft w:val="0"/>
          <w:marRight w:val="0"/>
          <w:marTop w:val="0"/>
          <w:marBottom w:val="0"/>
          <w:divBdr>
            <w:top w:val="none" w:sz="0" w:space="0" w:color="auto"/>
            <w:left w:val="none" w:sz="0" w:space="0" w:color="auto"/>
            <w:bottom w:val="none" w:sz="0" w:space="0" w:color="auto"/>
            <w:right w:val="none" w:sz="0" w:space="0" w:color="auto"/>
          </w:divBdr>
        </w:div>
        <w:div w:id="2144540509">
          <w:marLeft w:val="0"/>
          <w:marRight w:val="0"/>
          <w:marTop w:val="0"/>
          <w:marBottom w:val="0"/>
          <w:divBdr>
            <w:top w:val="none" w:sz="0" w:space="0" w:color="auto"/>
            <w:left w:val="none" w:sz="0" w:space="0" w:color="auto"/>
            <w:bottom w:val="none" w:sz="0" w:space="0" w:color="auto"/>
            <w:right w:val="none" w:sz="0" w:space="0" w:color="auto"/>
          </w:divBdr>
        </w:div>
      </w:divsChild>
    </w:div>
    <w:div w:id="1255095274">
      <w:bodyDiv w:val="1"/>
      <w:marLeft w:val="0"/>
      <w:marRight w:val="0"/>
      <w:marTop w:val="0"/>
      <w:marBottom w:val="0"/>
      <w:divBdr>
        <w:top w:val="none" w:sz="0" w:space="0" w:color="auto"/>
        <w:left w:val="none" w:sz="0" w:space="0" w:color="auto"/>
        <w:bottom w:val="none" w:sz="0" w:space="0" w:color="auto"/>
        <w:right w:val="none" w:sz="0" w:space="0" w:color="auto"/>
      </w:divBdr>
    </w:div>
    <w:div w:id="1259946161">
      <w:bodyDiv w:val="1"/>
      <w:marLeft w:val="0"/>
      <w:marRight w:val="0"/>
      <w:marTop w:val="0"/>
      <w:marBottom w:val="0"/>
      <w:divBdr>
        <w:top w:val="none" w:sz="0" w:space="0" w:color="auto"/>
        <w:left w:val="none" w:sz="0" w:space="0" w:color="auto"/>
        <w:bottom w:val="none" w:sz="0" w:space="0" w:color="auto"/>
        <w:right w:val="none" w:sz="0" w:space="0" w:color="auto"/>
      </w:divBdr>
    </w:div>
    <w:div w:id="1264925048">
      <w:bodyDiv w:val="1"/>
      <w:marLeft w:val="0"/>
      <w:marRight w:val="0"/>
      <w:marTop w:val="0"/>
      <w:marBottom w:val="0"/>
      <w:divBdr>
        <w:top w:val="none" w:sz="0" w:space="0" w:color="auto"/>
        <w:left w:val="none" w:sz="0" w:space="0" w:color="auto"/>
        <w:bottom w:val="none" w:sz="0" w:space="0" w:color="auto"/>
        <w:right w:val="none" w:sz="0" w:space="0" w:color="auto"/>
      </w:divBdr>
    </w:div>
    <w:div w:id="1267350721">
      <w:bodyDiv w:val="1"/>
      <w:marLeft w:val="0"/>
      <w:marRight w:val="0"/>
      <w:marTop w:val="0"/>
      <w:marBottom w:val="0"/>
      <w:divBdr>
        <w:top w:val="none" w:sz="0" w:space="0" w:color="auto"/>
        <w:left w:val="none" w:sz="0" w:space="0" w:color="auto"/>
        <w:bottom w:val="none" w:sz="0" w:space="0" w:color="auto"/>
        <w:right w:val="none" w:sz="0" w:space="0" w:color="auto"/>
      </w:divBdr>
    </w:div>
    <w:div w:id="1275862343">
      <w:bodyDiv w:val="1"/>
      <w:marLeft w:val="0"/>
      <w:marRight w:val="0"/>
      <w:marTop w:val="0"/>
      <w:marBottom w:val="0"/>
      <w:divBdr>
        <w:top w:val="none" w:sz="0" w:space="0" w:color="auto"/>
        <w:left w:val="none" w:sz="0" w:space="0" w:color="auto"/>
        <w:bottom w:val="none" w:sz="0" w:space="0" w:color="auto"/>
        <w:right w:val="none" w:sz="0" w:space="0" w:color="auto"/>
      </w:divBdr>
    </w:div>
    <w:div w:id="1294360589">
      <w:bodyDiv w:val="1"/>
      <w:marLeft w:val="0"/>
      <w:marRight w:val="0"/>
      <w:marTop w:val="0"/>
      <w:marBottom w:val="0"/>
      <w:divBdr>
        <w:top w:val="none" w:sz="0" w:space="0" w:color="auto"/>
        <w:left w:val="none" w:sz="0" w:space="0" w:color="auto"/>
        <w:bottom w:val="none" w:sz="0" w:space="0" w:color="auto"/>
        <w:right w:val="none" w:sz="0" w:space="0" w:color="auto"/>
      </w:divBdr>
    </w:div>
    <w:div w:id="1298990454">
      <w:bodyDiv w:val="1"/>
      <w:marLeft w:val="0"/>
      <w:marRight w:val="0"/>
      <w:marTop w:val="0"/>
      <w:marBottom w:val="0"/>
      <w:divBdr>
        <w:top w:val="none" w:sz="0" w:space="0" w:color="auto"/>
        <w:left w:val="none" w:sz="0" w:space="0" w:color="auto"/>
        <w:bottom w:val="none" w:sz="0" w:space="0" w:color="auto"/>
        <w:right w:val="none" w:sz="0" w:space="0" w:color="auto"/>
      </w:divBdr>
    </w:div>
    <w:div w:id="1308822080">
      <w:bodyDiv w:val="1"/>
      <w:marLeft w:val="0"/>
      <w:marRight w:val="0"/>
      <w:marTop w:val="0"/>
      <w:marBottom w:val="0"/>
      <w:divBdr>
        <w:top w:val="none" w:sz="0" w:space="0" w:color="auto"/>
        <w:left w:val="none" w:sz="0" w:space="0" w:color="auto"/>
        <w:bottom w:val="none" w:sz="0" w:space="0" w:color="auto"/>
        <w:right w:val="none" w:sz="0" w:space="0" w:color="auto"/>
      </w:divBdr>
    </w:div>
    <w:div w:id="1318651005">
      <w:bodyDiv w:val="1"/>
      <w:marLeft w:val="0"/>
      <w:marRight w:val="0"/>
      <w:marTop w:val="0"/>
      <w:marBottom w:val="0"/>
      <w:divBdr>
        <w:top w:val="none" w:sz="0" w:space="0" w:color="auto"/>
        <w:left w:val="none" w:sz="0" w:space="0" w:color="auto"/>
        <w:bottom w:val="none" w:sz="0" w:space="0" w:color="auto"/>
        <w:right w:val="none" w:sz="0" w:space="0" w:color="auto"/>
      </w:divBdr>
    </w:div>
    <w:div w:id="1319117418">
      <w:bodyDiv w:val="1"/>
      <w:marLeft w:val="0"/>
      <w:marRight w:val="0"/>
      <w:marTop w:val="0"/>
      <w:marBottom w:val="0"/>
      <w:divBdr>
        <w:top w:val="none" w:sz="0" w:space="0" w:color="auto"/>
        <w:left w:val="none" w:sz="0" w:space="0" w:color="auto"/>
        <w:bottom w:val="none" w:sz="0" w:space="0" w:color="auto"/>
        <w:right w:val="none" w:sz="0" w:space="0" w:color="auto"/>
      </w:divBdr>
    </w:div>
    <w:div w:id="1319504896">
      <w:bodyDiv w:val="1"/>
      <w:marLeft w:val="0"/>
      <w:marRight w:val="0"/>
      <w:marTop w:val="0"/>
      <w:marBottom w:val="0"/>
      <w:divBdr>
        <w:top w:val="none" w:sz="0" w:space="0" w:color="auto"/>
        <w:left w:val="none" w:sz="0" w:space="0" w:color="auto"/>
        <w:bottom w:val="none" w:sz="0" w:space="0" w:color="auto"/>
        <w:right w:val="none" w:sz="0" w:space="0" w:color="auto"/>
      </w:divBdr>
    </w:div>
    <w:div w:id="1326013634">
      <w:bodyDiv w:val="1"/>
      <w:marLeft w:val="0"/>
      <w:marRight w:val="0"/>
      <w:marTop w:val="0"/>
      <w:marBottom w:val="0"/>
      <w:divBdr>
        <w:top w:val="none" w:sz="0" w:space="0" w:color="auto"/>
        <w:left w:val="none" w:sz="0" w:space="0" w:color="auto"/>
        <w:bottom w:val="none" w:sz="0" w:space="0" w:color="auto"/>
        <w:right w:val="none" w:sz="0" w:space="0" w:color="auto"/>
      </w:divBdr>
    </w:div>
    <w:div w:id="1329794471">
      <w:bodyDiv w:val="1"/>
      <w:marLeft w:val="0"/>
      <w:marRight w:val="0"/>
      <w:marTop w:val="0"/>
      <w:marBottom w:val="0"/>
      <w:divBdr>
        <w:top w:val="none" w:sz="0" w:space="0" w:color="auto"/>
        <w:left w:val="none" w:sz="0" w:space="0" w:color="auto"/>
        <w:bottom w:val="none" w:sz="0" w:space="0" w:color="auto"/>
        <w:right w:val="none" w:sz="0" w:space="0" w:color="auto"/>
      </w:divBdr>
    </w:div>
    <w:div w:id="1340893172">
      <w:bodyDiv w:val="1"/>
      <w:marLeft w:val="0"/>
      <w:marRight w:val="0"/>
      <w:marTop w:val="0"/>
      <w:marBottom w:val="0"/>
      <w:divBdr>
        <w:top w:val="none" w:sz="0" w:space="0" w:color="auto"/>
        <w:left w:val="none" w:sz="0" w:space="0" w:color="auto"/>
        <w:bottom w:val="none" w:sz="0" w:space="0" w:color="auto"/>
        <w:right w:val="none" w:sz="0" w:space="0" w:color="auto"/>
      </w:divBdr>
    </w:div>
    <w:div w:id="1356005771">
      <w:bodyDiv w:val="1"/>
      <w:marLeft w:val="0"/>
      <w:marRight w:val="0"/>
      <w:marTop w:val="0"/>
      <w:marBottom w:val="0"/>
      <w:divBdr>
        <w:top w:val="none" w:sz="0" w:space="0" w:color="auto"/>
        <w:left w:val="none" w:sz="0" w:space="0" w:color="auto"/>
        <w:bottom w:val="none" w:sz="0" w:space="0" w:color="auto"/>
        <w:right w:val="none" w:sz="0" w:space="0" w:color="auto"/>
      </w:divBdr>
    </w:div>
    <w:div w:id="1359431233">
      <w:bodyDiv w:val="1"/>
      <w:marLeft w:val="0"/>
      <w:marRight w:val="0"/>
      <w:marTop w:val="0"/>
      <w:marBottom w:val="0"/>
      <w:divBdr>
        <w:top w:val="none" w:sz="0" w:space="0" w:color="auto"/>
        <w:left w:val="none" w:sz="0" w:space="0" w:color="auto"/>
        <w:bottom w:val="none" w:sz="0" w:space="0" w:color="auto"/>
        <w:right w:val="none" w:sz="0" w:space="0" w:color="auto"/>
      </w:divBdr>
    </w:div>
    <w:div w:id="1362054491">
      <w:bodyDiv w:val="1"/>
      <w:marLeft w:val="0"/>
      <w:marRight w:val="0"/>
      <w:marTop w:val="0"/>
      <w:marBottom w:val="0"/>
      <w:divBdr>
        <w:top w:val="none" w:sz="0" w:space="0" w:color="auto"/>
        <w:left w:val="none" w:sz="0" w:space="0" w:color="auto"/>
        <w:bottom w:val="none" w:sz="0" w:space="0" w:color="auto"/>
        <w:right w:val="none" w:sz="0" w:space="0" w:color="auto"/>
      </w:divBdr>
    </w:div>
    <w:div w:id="1362515998">
      <w:bodyDiv w:val="1"/>
      <w:marLeft w:val="0"/>
      <w:marRight w:val="0"/>
      <w:marTop w:val="0"/>
      <w:marBottom w:val="0"/>
      <w:divBdr>
        <w:top w:val="none" w:sz="0" w:space="0" w:color="auto"/>
        <w:left w:val="none" w:sz="0" w:space="0" w:color="auto"/>
        <w:bottom w:val="none" w:sz="0" w:space="0" w:color="auto"/>
        <w:right w:val="none" w:sz="0" w:space="0" w:color="auto"/>
      </w:divBdr>
    </w:div>
    <w:div w:id="1367683557">
      <w:bodyDiv w:val="1"/>
      <w:marLeft w:val="0"/>
      <w:marRight w:val="0"/>
      <w:marTop w:val="0"/>
      <w:marBottom w:val="0"/>
      <w:divBdr>
        <w:top w:val="none" w:sz="0" w:space="0" w:color="auto"/>
        <w:left w:val="none" w:sz="0" w:space="0" w:color="auto"/>
        <w:bottom w:val="none" w:sz="0" w:space="0" w:color="auto"/>
        <w:right w:val="none" w:sz="0" w:space="0" w:color="auto"/>
      </w:divBdr>
    </w:div>
    <w:div w:id="1372076531">
      <w:bodyDiv w:val="1"/>
      <w:marLeft w:val="0"/>
      <w:marRight w:val="0"/>
      <w:marTop w:val="0"/>
      <w:marBottom w:val="0"/>
      <w:divBdr>
        <w:top w:val="none" w:sz="0" w:space="0" w:color="auto"/>
        <w:left w:val="none" w:sz="0" w:space="0" w:color="auto"/>
        <w:bottom w:val="none" w:sz="0" w:space="0" w:color="auto"/>
        <w:right w:val="none" w:sz="0" w:space="0" w:color="auto"/>
      </w:divBdr>
    </w:div>
    <w:div w:id="1374619657">
      <w:bodyDiv w:val="1"/>
      <w:marLeft w:val="0"/>
      <w:marRight w:val="0"/>
      <w:marTop w:val="0"/>
      <w:marBottom w:val="0"/>
      <w:divBdr>
        <w:top w:val="none" w:sz="0" w:space="0" w:color="auto"/>
        <w:left w:val="none" w:sz="0" w:space="0" w:color="auto"/>
        <w:bottom w:val="none" w:sz="0" w:space="0" w:color="auto"/>
        <w:right w:val="none" w:sz="0" w:space="0" w:color="auto"/>
      </w:divBdr>
    </w:div>
    <w:div w:id="1376734204">
      <w:bodyDiv w:val="1"/>
      <w:marLeft w:val="0"/>
      <w:marRight w:val="0"/>
      <w:marTop w:val="0"/>
      <w:marBottom w:val="0"/>
      <w:divBdr>
        <w:top w:val="none" w:sz="0" w:space="0" w:color="auto"/>
        <w:left w:val="none" w:sz="0" w:space="0" w:color="auto"/>
        <w:bottom w:val="none" w:sz="0" w:space="0" w:color="auto"/>
        <w:right w:val="none" w:sz="0" w:space="0" w:color="auto"/>
      </w:divBdr>
    </w:div>
    <w:div w:id="1382438013">
      <w:bodyDiv w:val="1"/>
      <w:marLeft w:val="0"/>
      <w:marRight w:val="0"/>
      <w:marTop w:val="0"/>
      <w:marBottom w:val="0"/>
      <w:divBdr>
        <w:top w:val="none" w:sz="0" w:space="0" w:color="auto"/>
        <w:left w:val="none" w:sz="0" w:space="0" w:color="auto"/>
        <w:bottom w:val="none" w:sz="0" w:space="0" w:color="auto"/>
        <w:right w:val="none" w:sz="0" w:space="0" w:color="auto"/>
      </w:divBdr>
    </w:div>
    <w:div w:id="1384983407">
      <w:bodyDiv w:val="1"/>
      <w:marLeft w:val="0"/>
      <w:marRight w:val="0"/>
      <w:marTop w:val="0"/>
      <w:marBottom w:val="0"/>
      <w:divBdr>
        <w:top w:val="none" w:sz="0" w:space="0" w:color="auto"/>
        <w:left w:val="none" w:sz="0" w:space="0" w:color="auto"/>
        <w:bottom w:val="none" w:sz="0" w:space="0" w:color="auto"/>
        <w:right w:val="none" w:sz="0" w:space="0" w:color="auto"/>
      </w:divBdr>
    </w:div>
    <w:div w:id="1386300136">
      <w:bodyDiv w:val="1"/>
      <w:marLeft w:val="0"/>
      <w:marRight w:val="0"/>
      <w:marTop w:val="0"/>
      <w:marBottom w:val="0"/>
      <w:divBdr>
        <w:top w:val="none" w:sz="0" w:space="0" w:color="auto"/>
        <w:left w:val="none" w:sz="0" w:space="0" w:color="auto"/>
        <w:bottom w:val="none" w:sz="0" w:space="0" w:color="auto"/>
        <w:right w:val="none" w:sz="0" w:space="0" w:color="auto"/>
      </w:divBdr>
    </w:div>
    <w:div w:id="1389457555">
      <w:bodyDiv w:val="1"/>
      <w:marLeft w:val="0"/>
      <w:marRight w:val="0"/>
      <w:marTop w:val="0"/>
      <w:marBottom w:val="0"/>
      <w:divBdr>
        <w:top w:val="none" w:sz="0" w:space="0" w:color="auto"/>
        <w:left w:val="none" w:sz="0" w:space="0" w:color="auto"/>
        <w:bottom w:val="none" w:sz="0" w:space="0" w:color="auto"/>
        <w:right w:val="none" w:sz="0" w:space="0" w:color="auto"/>
      </w:divBdr>
    </w:div>
    <w:div w:id="1395930445">
      <w:bodyDiv w:val="1"/>
      <w:marLeft w:val="0"/>
      <w:marRight w:val="0"/>
      <w:marTop w:val="0"/>
      <w:marBottom w:val="0"/>
      <w:divBdr>
        <w:top w:val="none" w:sz="0" w:space="0" w:color="auto"/>
        <w:left w:val="none" w:sz="0" w:space="0" w:color="auto"/>
        <w:bottom w:val="none" w:sz="0" w:space="0" w:color="auto"/>
        <w:right w:val="none" w:sz="0" w:space="0" w:color="auto"/>
      </w:divBdr>
    </w:div>
    <w:div w:id="1406758217">
      <w:bodyDiv w:val="1"/>
      <w:marLeft w:val="0"/>
      <w:marRight w:val="0"/>
      <w:marTop w:val="0"/>
      <w:marBottom w:val="0"/>
      <w:divBdr>
        <w:top w:val="none" w:sz="0" w:space="0" w:color="auto"/>
        <w:left w:val="none" w:sz="0" w:space="0" w:color="auto"/>
        <w:bottom w:val="none" w:sz="0" w:space="0" w:color="auto"/>
        <w:right w:val="none" w:sz="0" w:space="0" w:color="auto"/>
      </w:divBdr>
    </w:div>
    <w:div w:id="1410034161">
      <w:bodyDiv w:val="1"/>
      <w:marLeft w:val="0"/>
      <w:marRight w:val="0"/>
      <w:marTop w:val="0"/>
      <w:marBottom w:val="0"/>
      <w:divBdr>
        <w:top w:val="none" w:sz="0" w:space="0" w:color="auto"/>
        <w:left w:val="none" w:sz="0" w:space="0" w:color="auto"/>
        <w:bottom w:val="none" w:sz="0" w:space="0" w:color="auto"/>
        <w:right w:val="none" w:sz="0" w:space="0" w:color="auto"/>
      </w:divBdr>
    </w:div>
    <w:div w:id="1418139798">
      <w:bodyDiv w:val="1"/>
      <w:marLeft w:val="0"/>
      <w:marRight w:val="0"/>
      <w:marTop w:val="0"/>
      <w:marBottom w:val="0"/>
      <w:divBdr>
        <w:top w:val="none" w:sz="0" w:space="0" w:color="auto"/>
        <w:left w:val="none" w:sz="0" w:space="0" w:color="auto"/>
        <w:bottom w:val="none" w:sz="0" w:space="0" w:color="auto"/>
        <w:right w:val="none" w:sz="0" w:space="0" w:color="auto"/>
      </w:divBdr>
    </w:div>
    <w:div w:id="1420326606">
      <w:bodyDiv w:val="1"/>
      <w:marLeft w:val="0"/>
      <w:marRight w:val="0"/>
      <w:marTop w:val="0"/>
      <w:marBottom w:val="0"/>
      <w:divBdr>
        <w:top w:val="none" w:sz="0" w:space="0" w:color="auto"/>
        <w:left w:val="none" w:sz="0" w:space="0" w:color="auto"/>
        <w:bottom w:val="none" w:sz="0" w:space="0" w:color="auto"/>
        <w:right w:val="none" w:sz="0" w:space="0" w:color="auto"/>
      </w:divBdr>
    </w:div>
    <w:div w:id="1423257380">
      <w:bodyDiv w:val="1"/>
      <w:marLeft w:val="0"/>
      <w:marRight w:val="0"/>
      <w:marTop w:val="0"/>
      <w:marBottom w:val="0"/>
      <w:divBdr>
        <w:top w:val="none" w:sz="0" w:space="0" w:color="auto"/>
        <w:left w:val="none" w:sz="0" w:space="0" w:color="auto"/>
        <w:bottom w:val="none" w:sz="0" w:space="0" w:color="auto"/>
        <w:right w:val="none" w:sz="0" w:space="0" w:color="auto"/>
      </w:divBdr>
    </w:div>
    <w:div w:id="1453984232">
      <w:bodyDiv w:val="1"/>
      <w:marLeft w:val="0"/>
      <w:marRight w:val="0"/>
      <w:marTop w:val="0"/>
      <w:marBottom w:val="0"/>
      <w:divBdr>
        <w:top w:val="none" w:sz="0" w:space="0" w:color="auto"/>
        <w:left w:val="none" w:sz="0" w:space="0" w:color="auto"/>
        <w:bottom w:val="none" w:sz="0" w:space="0" w:color="auto"/>
        <w:right w:val="none" w:sz="0" w:space="0" w:color="auto"/>
      </w:divBdr>
    </w:div>
    <w:div w:id="1457915450">
      <w:bodyDiv w:val="1"/>
      <w:marLeft w:val="0"/>
      <w:marRight w:val="0"/>
      <w:marTop w:val="0"/>
      <w:marBottom w:val="0"/>
      <w:divBdr>
        <w:top w:val="none" w:sz="0" w:space="0" w:color="auto"/>
        <w:left w:val="none" w:sz="0" w:space="0" w:color="auto"/>
        <w:bottom w:val="none" w:sz="0" w:space="0" w:color="auto"/>
        <w:right w:val="none" w:sz="0" w:space="0" w:color="auto"/>
      </w:divBdr>
    </w:div>
    <w:div w:id="1459715032">
      <w:bodyDiv w:val="1"/>
      <w:marLeft w:val="0"/>
      <w:marRight w:val="0"/>
      <w:marTop w:val="0"/>
      <w:marBottom w:val="0"/>
      <w:divBdr>
        <w:top w:val="none" w:sz="0" w:space="0" w:color="auto"/>
        <w:left w:val="none" w:sz="0" w:space="0" w:color="auto"/>
        <w:bottom w:val="none" w:sz="0" w:space="0" w:color="auto"/>
        <w:right w:val="none" w:sz="0" w:space="0" w:color="auto"/>
      </w:divBdr>
      <w:divsChild>
        <w:div w:id="567112034">
          <w:marLeft w:val="-225"/>
          <w:marRight w:val="-225"/>
          <w:marTop w:val="0"/>
          <w:marBottom w:val="0"/>
          <w:divBdr>
            <w:top w:val="none" w:sz="0" w:space="0" w:color="auto"/>
            <w:left w:val="none" w:sz="0" w:space="0" w:color="auto"/>
            <w:bottom w:val="none" w:sz="0" w:space="0" w:color="auto"/>
            <w:right w:val="none" w:sz="0" w:space="0" w:color="auto"/>
          </w:divBdr>
          <w:divsChild>
            <w:div w:id="1754428175">
              <w:marLeft w:val="0"/>
              <w:marRight w:val="0"/>
              <w:marTop w:val="0"/>
              <w:marBottom w:val="0"/>
              <w:divBdr>
                <w:top w:val="none" w:sz="0" w:space="0" w:color="auto"/>
                <w:left w:val="none" w:sz="0" w:space="0" w:color="auto"/>
                <w:bottom w:val="none" w:sz="0" w:space="0" w:color="auto"/>
                <w:right w:val="none" w:sz="0" w:space="0" w:color="auto"/>
              </w:divBdr>
              <w:divsChild>
                <w:div w:id="711266695">
                  <w:marLeft w:val="0"/>
                  <w:marRight w:val="0"/>
                  <w:marTop w:val="0"/>
                  <w:marBottom w:val="0"/>
                  <w:divBdr>
                    <w:top w:val="none" w:sz="0" w:space="0" w:color="auto"/>
                    <w:left w:val="none" w:sz="0" w:space="0" w:color="auto"/>
                    <w:bottom w:val="none" w:sz="0" w:space="0" w:color="auto"/>
                    <w:right w:val="none" w:sz="0" w:space="0" w:color="auto"/>
                  </w:divBdr>
                  <w:divsChild>
                    <w:div w:id="161702369">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1140263617">
          <w:marLeft w:val="-225"/>
          <w:marRight w:val="-225"/>
          <w:marTop w:val="0"/>
          <w:marBottom w:val="0"/>
          <w:divBdr>
            <w:top w:val="none" w:sz="0" w:space="0" w:color="auto"/>
            <w:left w:val="none" w:sz="0" w:space="0" w:color="auto"/>
            <w:bottom w:val="none" w:sz="0" w:space="0" w:color="auto"/>
            <w:right w:val="none" w:sz="0" w:space="0" w:color="auto"/>
          </w:divBdr>
          <w:divsChild>
            <w:div w:id="856970237">
              <w:marLeft w:val="0"/>
              <w:marRight w:val="0"/>
              <w:marTop w:val="0"/>
              <w:marBottom w:val="0"/>
              <w:divBdr>
                <w:top w:val="none" w:sz="0" w:space="0" w:color="auto"/>
                <w:left w:val="none" w:sz="0" w:space="0" w:color="auto"/>
                <w:bottom w:val="none" w:sz="0" w:space="0" w:color="auto"/>
                <w:right w:val="none" w:sz="0" w:space="0" w:color="auto"/>
              </w:divBdr>
              <w:divsChild>
                <w:div w:id="1271549765">
                  <w:marLeft w:val="0"/>
                  <w:marRight w:val="0"/>
                  <w:marTop w:val="0"/>
                  <w:marBottom w:val="0"/>
                  <w:divBdr>
                    <w:top w:val="none" w:sz="0" w:space="0" w:color="auto"/>
                    <w:left w:val="none" w:sz="0" w:space="0" w:color="auto"/>
                    <w:bottom w:val="none" w:sz="0" w:space="0" w:color="auto"/>
                    <w:right w:val="none" w:sz="0" w:space="0" w:color="auto"/>
                  </w:divBdr>
                  <w:divsChild>
                    <w:div w:id="1186402324">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1223103504">
          <w:marLeft w:val="-225"/>
          <w:marRight w:val="-225"/>
          <w:marTop w:val="0"/>
          <w:marBottom w:val="0"/>
          <w:divBdr>
            <w:top w:val="none" w:sz="0" w:space="0" w:color="auto"/>
            <w:left w:val="none" w:sz="0" w:space="0" w:color="auto"/>
            <w:bottom w:val="none" w:sz="0" w:space="0" w:color="auto"/>
            <w:right w:val="none" w:sz="0" w:space="0" w:color="auto"/>
          </w:divBdr>
          <w:divsChild>
            <w:div w:id="833225273">
              <w:marLeft w:val="0"/>
              <w:marRight w:val="0"/>
              <w:marTop w:val="0"/>
              <w:marBottom w:val="0"/>
              <w:divBdr>
                <w:top w:val="none" w:sz="0" w:space="0" w:color="auto"/>
                <w:left w:val="none" w:sz="0" w:space="0" w:color="auto"/>
                <w:bottom w:val="none" w:sz="0" w:space="0" w:color="auto"/>
                <w:right w:val="none" w:sz="0" w:space="0" w:color="auto"/>
              </w:divBdr>
              <w:divsChild>
                <w:div w:id="299464153">
                  <w:marLeft w:val="0"/>
                  <w:marRight w:val="0"/>
                  <w:marTop w:val="0"/>
                  <w:marBottom w:val="0"/>
                  <w:divBdr>
                    <w:top w:val="none" w:sz="0" w:space="0" w:color="auto"/>
                    <w:left w:val="none" w:sz="0" w:space="0" w:color="auto"/>
                    <w:bottom w:val="none" w:sz="0" w:space="0" w:color="auto"/>
                    <w:right w:val="none" w:sz="0" w:space="0" w:color="auto"/>
                  </w:divBdr>
                  <w:divsChild>
                    <w:div w:id="1931769141">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1795907169">
          <w:marLeft w:val="-225"/>
          <w:marRight w:val="-225"/>
          <w:marTop w:val="0"/>
          <w:marBottom w:val="0"/>
          <w:divBdr>
            <w:top w:val="none" w:sz="0" w:space="0" w:color="auto"/>
            <w:left w:val="none" w:sz="0" w:space="0" w:color="auto"/>
            <w:bottom w:val="none" w:sz="0" w:space="0" w:color="auto"/>
            <w:right w:val="none" w:sz="0" w:space="0" w:color="auto"/>
          </w:divBdr>
          <w:divsChild>
            <w:div w:id="1504661149">
              <w:marLeft w:val="0"/>
              <w:marRight w:val="0"/>
              <w:marTop w:val="0"/>
              <w:marBottom w:val="0"/>
              <w:divBdr>
                <w:top w:val="none" w:sz="0" w:space="0" w:color="auto"/>
                <w:left w:val="none" w:sz="0" w:space="0" w:color="auto"/>
                <w:bottom w:val="none" w:sz="0" w:space="0" w:color="auto"/>
                <w:right w:val="none" w:sz="0" w:space="0" w:color="auto"/>
              </w:divBdr>
              <w:divsChild>
                <w:div w:id="810027014">
                  <w:marLeft w:val="0"/>
                  <w:marRight w:val="0"/>
                  <w:marTop w:val="0"/>
                  <w:marBottom w:val="0"/>
                  <w:divBdr>
                    <w:top w:val="none" w:sz="0" w:space="0" w:color="auto"/>
                    <w:left w:val="none" w:sz="0" w:space="0" w:color="auto"/>
                    <w:bottom w:val="none" w:sz="0" w:space="0" w:color="auto"/>
                    <w:right w:val="none" w:sz="0" w:space="0" w:color="auto"/>
                  </w:divBdr>
                  <w:divsChild>
                    <w:div w:id="927420353">
                      <w:marLeft w:val="-225"/>
                      <w:marRight w:val="-225"/>
                      <w:marTop w:val="0"/>
                      <w:marBottom w:val="0"/>
                      <w:divBdr>
                        <w:top w:val="none" w:sz="0" w:space="0" w:color="auto"/>
                        <w:left w:val="none" w:sz="0" w:space="0" w:color="auto"/>
                        <w:bottom w:val="none" w:sz="0" w:space="0" w:color="auto"/>
                        <w:right w:val="none" w:sz="0" w:space="0" w:color="auto"/>
                      </w:divBdr>
                      <w:divsChild>
                        <w:div w:id="986515338">
                          <w:marLeft w:val="0"/>
                          <w:marRight w:val="0"/>
                          <w:marTop w:val="0"/>
                          <w:marBottom w:val="0"/>
                          <w:divBdr>
                            <w:top w:val="dotted" w:sz="6" w:space="8" w:color="C3C3C3"/>
                            <w:left w:val="dotted" w:sz="6" w:space="15" w:color="C3C3C3"/>
                            <w:bottom w:val="dotted" w:sz="6" w:space="8" w:color="C3C3C3"/>
                            <w:right w:val="dotted" w:sz="6" w:space="8" w:color="C3C3C3"/>
                          </w:divBdr>
                        </w:div>
                      </w:divsChild>
                    </w:div>
                  </w:divsChild>
                </w:div>
              </w:divsChild>
            </w:div>
          </w:divsChild>
        </w:div>
      </w:divsChild>
    </w:div>
    <w:div w:id="1461073428">
      <w:bodyDiv w:val="1"/>
      <w:marLeft w:val="0"/>
      <w:marRight w:val="0"/>
      <w:marTop w:val="0"/>
      <w:marBottom w:val="0"/>
      <w:divBdr>
        <w:top w:val="none" w:sz="0" w:space="0" w:color="auto"/>
        <w:left w:val="none" w:sz="0" w:space="0" w:color="auto"/>
        <w:bottom w:val="none" w:sz="0" w:space="0" w:color="auto"/>
        <w:right w:val="none" w:sz="0" w:space="0" w:color="auto"/>
      </w:divBdr>
    </w:div>
    <w:div w:id="1461463195">
      <w:bodyDiv w:val="1"/>
      <w:marLeft w:val="0"/>
      <w:marRight w:val="0"/>
      <w:marTop w:val="0"/>
      <w:marBottom w:val="0"/>
      <w:divBdr>
        <w:top w:val="none" w:sz="0" w:space="0" w:color="auto"/>
        <w:left w:val="none" w:sz="0" w:space="0" w:color="auto"/>
        <w:bottom w:val="none" w:sz="0" w:space="0" w:color="auto"/>
        <w:right w:val="none" w:sz="0" w:space="0" w:color="auto"/>
      </w:divBdr>
    </w:div>
    <w:div w:id="1464234390">
      <w:bodyDiv w:val="1"/>
      <w:marLeft w:val="0"/>
      <w:marRight w:val="0"/>
      <w:marTop w:val="0"/>
      <w:marBottom w:val="0"/>
      <w:divBdr>
        <w:top w:val="none" w:sz="0" w:space="0" w:color="auto"/>
        <w:left w:val="none" w:sz="0" w:space="0" w:color="auto"/>
        <w:bottom w:val="none" w:sz="0" w:space="0" w:color="auto"/>
        <w:right w:val="none" w:sz="0" w:space="0" w:color="auto"/>
      </w:divBdr>
    </w:div>
    <w:div w:id="1471358117">
      <w:bodyDiv w:val="1"/>
      <w:marLeft w:val="0"/>
      <w:marRight w:val="0"/>
      <w:marTop w:val="0"/>
      <w:marBottom w:val="0"/>
      <w:divBdr>
        <w:top w:val="none" w:sz="0" w:space="0" w:color="auto"/>
        <w:left w:val="none" w:sz="0" w:space="0" w:color="auto"/>
        <w:bottom w:val="none" w:sz="0" w:space="0" w:color="auto"/>
        <w:right w:val="none" w:sz="0" w:space="0" w:color="auto"/>
      </w:divBdr>
    </w:div>
    <w:div w:id="1472602374">
      <w:bodyDiv w:val="1"/>
      <w:marLeft w:val="0"/>
      <w:marRight w:val="0"/>
      <w:marTop w:val="0"/>
      <w:marBottom w:val="0"/>
      <w:divBdr>
        <w:top w:val="none" w:sz="0" w:space="0" w:color="auto"/>
        <w:left w:val="none" w:sz="0" w:space="0" w:color="auto"/>
        <w:bottom w:val="none" w:sz="0" w:space="0" w:color="auto"/>
        <w:right w:val="none" w:sz="0" w:space="0" w:color="auto"/>
      </w:divBdr>
    </w:div>
    <w:div w:id="1472670342">
      <w:bodyDiv w:val="1"/>
      <w:marLeft w:val="0"/>
      <w:marRight w:val="0"/>
      <w:marTop w:val="0"/>
      <w:marBottom w:val="0"/>
      <w:divBdr>
        <w:top w:val="none" w:sz="0" w:space="0" w:color="auto"/>
        <w:left w:val="none" w:sz="0" w:space="0" w:color="auto"/>
        <w:bottom w:val="none" w:sz="0" w:space="0" w:color="auto"/>
        <w:right w:val="none" w:sz="0" w:space="0" w:color="auto"/>
      </w:divBdr>
    </w:div>
    <w:div w:id="1480803143">
      <w:bodyDiv w:val="1"/>
      <w:marLeft w:val="0"/>
      <w:marRight w:val="0"/>
      <w:marTop w:val="0"/>
      <w:marBottom w:val="0"/>
      <w:divBdr>
        <w:top w:val="none" w:sz="0" w:space="0" w:color="auto"/>
        <w:left w:val="none" w:sz="0" w:space="0" w:color="auto"/>
        <w:bottom w:val="none" w:sz="0" w:space="0" w:color="auto"/>
        <w:right w:val="none" w:sz="0" w:space="0" w:color="auto"/>
      </w:divBdr>
    </w:div>
    <w:div w:id="1485123538">
      <w:bodyDiv w:val="1"/>
      <w:marLeft w:val="0"/>
      <w:marRight w:val="0"/>
      <w:marTop w:val="0"/>
      <w:marBottom w:val="0"/>
      <w:divBdr>
        <w:top w:val="none" w:sz="0" w:space="0" w:color="auto"/>
        <w:left w:val="none" w:sz="0" w:space="0" w:color="auto"/>
        <w:bottom w:val="none" w:sz="0" w:space="0" w:color="auto"/>
        <w:right w:val="none" w:sz="0" w:space="0" w:color="auto"/>
      </w:divBdr>
    </w:div>
    <w:div w:id="1489128972">
      <w:bodyDiv w:val="1"/>
      <w:marLeft w:val="0"/>
      <w:marRight w:val="0"/>
      <w:marTop w:val="0"/>
      <w:marBottom w:val="0"/>
      <w:divBdr>
        <w:top w:val="none" w:sz="0" w:space="0" w:color="auto"/>
        <w:left w:val="none" w:sz="0" w:space="0" w:color="auto"/>
        <w:bottom w:val="none" w:sz="0" w:space="0" w:color="auto"/>
        <w:right w:val="none" w:sz="0" w:space="0" w:color="auto"/>
      </w:divBdr>
    </w:div>
    <w:div w:id="1489440738">
      <w:bodyDiv w:val="1"/>
      <w:marLeft w:val="0"/>
      <w:marRight w:val="0"/>
      <w:marTop w:val="0"/>
      <w:marBottom w:val="0"/>
      <w:divBdr>
        <w:top w:val="none" w:sz="0" w:space="0" w:color="auto"/>
        <w:left w:val="none" w:sz="0" w:space="0" w:color="auto"/>
        <w:bottom w:val="none" w:sz="0" w:space="0" w:color="auto"/>
        <w:right w:val="none" w:sz="0" w:space="0" w:color="auto"/>
      </w:divBdr>
    </w:div>
    <w:div w:id="1489902611">
      <w:bodyDiv w:val="1"/>
      <w:marLeft w:val="0"/>
      <w:marRight w:val="0"/>
      <w:marTop w:val="0"/>
      <w:marBottom w:val="0"/>
      <w:divBdr>
        <w:top w:val="none" w:sz="0" w:space="0" w:color="auto"/>
        <w:left w:val="none" w:sz="0" w:space="0" w:color="auto"/>
        <w:bottom w:val="none" w:sz="0" w:space="0" w:color="auto"/>
        <w:right w:val="none" w:sz="0" w:space="0" w:color="auto"/>
      </w:divBdr>
    </w:div>
    <w:div w:id="1498494159">
      <w:bodyDiv w:val="1"/>
      <w:marLeft w:val="0"/>
      <w:marRight w:val="0"/>
      <w:marTop w:val="0"/>
      <w:marBottom w:val="0"/>
      <w:divBdr>
        <w:top w:val="none" w:sz="0" w:space="0" w:color="auto"/>
        <w:left w:val="none" w:sz="0" w:space="0" w:color="auto"/>
        <w:bottom w:val="none" w:sz="0" w:space="0" w:color="auto"/>
        <w:right w:val="none" w:sz="0" w:space="0" w:color="auto"/>
      </w:divBdr>
    </w:div>
    <w:div w:id="1507288892">
      <w:bodyDiv w:val="1"/>
      <w:marLeft w:val="0"/>
      <w:marRight w:val="0"/>
      <w:marTop w:val="0"/>
      <w:marBottom w:val="0"/>
      <w:divBdr>
        <w:top w:val="none" w:sz="0" w:space="0" w:color="auto"/>
        <w:left w:val="none" w:sz="0" w:space="0" w:color="auto"/>
        <w:bottom w:val="none" w:sz="0" w:space="0" w:color="auto"/>
        <w:right w:val="none" w:sz="0" w:space="0" w:color="auto"/>
      </w:divBdr>
    </w:div>
    <w:div w:id="1507743250">
      <w:bodyDiv w:val="1"/>
      <w:marLeft w:val="0"/>
      <w:marRight w:val="0"/>
      <w:marTop w:val="0"/>
      <w:marBottom w:val="0"/>
      <w:divBdr>
        <w:top w:val="none" w:sz="0" w:space="0" w:color="auto"/>
        <w:left w:val="none" w:sz="0" w:space="0" w:color="auto"/>
        <w:bottom w:val="none" w:sz="0" w:space="0" w:color="auto"/>
        <w:right w:val="none" w:sz="0" w:space="0" w:color="auto"/>
      </w:divBdr>
    </w:div>
    <w:div w:id="1518613937">
      <w:bodyDiv w:val="1"/>
      <w:marLeft w:val="0"/>
      <w:marRight w:val="0"/>
      <w:marTop w:val="0"/>
      <w:marBottom w:val="0"/>
      <w:divBdr>
        <w:top w:val="none" w:sz="0" w:space="0" w:color="auto"/>
        <w:left w:val="none" w:sz="0" w:space="0" w:color="auto"/>
        <w:bottom w:val="none" w:sz="0" w:space="0" w:color="auto"/>
        <w:right w:val="none" w:sz="0" w:space="0" w:color="auto"/>
      </w:divBdr>
    </w:div>
    <w:div w:id="1518737366">
      <w:bodyDiv w:val="1"/>
      <w:marLeft w:val="0"/>
      <w:marRight w:val="0"/>
      <w:marTop w:val="0"/>
      <w:marBottom w:val="0"/>
      <w:divBdr>
        <w:top w:val="none" w:sz="0" w:space="0" w:color="auto"/>
        <w:left w:val="none" w:sz="0" w:space="0" w:color="auto"/>
        <w:bottom w:val="none" w:sz="0" w:space="0" w:color="auto"/>
        <w:right w:val="none" w:sz="0" w:space="0" w:color="auto"/>
      </w:divBdr>
    </w:div>
    <w:div w:id="1545293715">
      <w:bodyDiv w:val="1"/>
      <w:marLeft w:val="0"/>
      <w:marRight w:val="0"/>
      <w:marTop w:val="0"/>
      <w:marBottom w:val="0"/>
      <w:divBdr>
        <w:top w:val="none" w:sz="0" w:space="0" w:color="auto"/>
        <w:left w:val="none" w:sz="0" w:space="0" w:color="auto"/>
        <w:bottom w:val="none" w:sz="0" w:space="0" w:color="auto"/>
        <w:right w:val="none" w:sz="0" w:space="0" w:color="auto"/>
      </w:divBdr>
    </w:div>
    <w:div w:id="1550874655">
      <w:bodyDiv w:val="1"/>
      <w:marLeft w:val="0"/>
      <w:marRight w:val="0"/>
      <w:marTop w:val="0"/>
      <w:marBottom w:val="0"/>
      <w:divBdr>
        <w:top w:val="none" w:sz="0" w:space="0" w:color="auto"/>
        <w:left w:val="none" w:sz="0" w:space="0" w:color="auto"/>
        <w:bottom w:val="none" w:sz="0" w:space="0" w:color="auto"/>
        <w:right w:val="none" w:sz="0" w:space="0" w:color="auto"/>
      </w:divBdr>
    </w:div>
    <w:div w:id="1553420737">
      <w:bodyDiv w:val="1"/>
      <w:marLeft w:val="0"/>
      <w:marRight w:val="0"/>
      <w:marTop w:val="0"/>
      <w:marBottom w:val="0"/>
      <w:divBdr>
        <w:top w:val="none" w:sz="0" w:space="0" w:color="auto"/>
        <w:left w:val="none" w:sz="0" w:space="0" w:color="auto"/>
        <w:bottom w:val="none" w:sz="0" w:space="0" w:color="auto"/>
        <w:right w:val="none" w:sz="0" w:space="0" w:color="auto"/>
      </w:divBdr>
    </w:div>
    <w:div w:id="1556355068">
      <w:bodyDiv w:val="1"/>
      <w:marLeft w:val="0"/>
      <w:marRight w:val="0"/>
      <w:marTop w:val="0"/>
      <w:marBottom w:val="0"/>
      <w:divBdr>
        <w:top w:val="none" w:sz="0" w:space="0" w:color="auto"/>
        <w:left w:val="none" w:sz="0" w:space="0" w:color="auto"/>
        <w:bottom w:val="none" w:sz="0" w:space="0" w:color="auto"/>
        <w:right w:val="none" w:sz="0" w:space="0" w:color="auto"/>
      </w:divBdr>
    </w:div>
    <w:div w:id="1557668153">
      <w:bodyDiv w:val="1"/>
      <w:marLeft w:val="0"/>
      <w:marRight w:val="0"/>
      <w:marTop w:val="0"/>
      <w:marBottom w:val="0"/>
      <w:divBdr>
        <w:top w:val="none" w:sz="0" w:space="0" w:color="auto"/>
        <w:left w:val="none" w:sz="0" w:space="0" w:color="auto"/>
        <w:bottom w:val="none" w:sz="0" w:space="0" w:color="auto"/>
        <w:right w:val="none" w:sz="0" w:space="0" w:color="auto"/>
      </w:divBdr>
    </w:div>
    <w:div w:id="1569266141">
      <w:bodyDiv w:val="1"/>
      <w:marLeft w:val="0"/>
      <w:marRight w:val="0"/>
      <w:marTop w:val="0"/>
      <w:marBottom w:val="0"/>
      <w:divBdr>
        <w:top w:val="none" w:sz="0" w:space="0" w:color="auto"/>
        <w:left w:val="none" w:sz="0" w:space="0" w:color="auto"/>
        <w:bottom w:val="none" w:sz="0" w:space="0" w:color="auto"/>
        <w:right w:val="none" w:sz="0" w:space="0" w:color="auto"/>
      </w:divBdr>
      <w:divsChild>
        <w:div w:id="243497731">
          <w:marLeft w:val="-225"/>
          <w:marRight w:val="-225"/>
          <w:marTop w:val="0"/>
          <w:marBottom w:val="0"/>
          <w:divBdr>
            <w:top w:val="none" w:sz="0" w:space="0" w:color="auto"/>
            <w:left w:val="none" w:sz="0" w:space="0" w:color="auto"/>
            <w:bottom w:val="none" w:sz="0" w:space="0" w:color="auto"/>
            <w:right w:val="none" w:sz="0" w:space="0" w:color="auto"/>
          </w:divBdr>
        </w:div>
        <w:div w:id="515001009">
          <w:marLeft w:val="-225"/>
          <w:marRight w:val="-225"/>
          <w:marTop w:val="0"/>
          <w:marBottom w:val="0"/>
          <w:divBdr>
            <w:top w:val="none" w:sz="0" w:space="0" w:color="auto"/>
            <w:left w:val="none" w:sz="0" w:space="0" w:color="auto"/>
            <w:bottom w:val="none" w:sz="0" w:space="0" w:color="auto"/>
            <w:right w:val="none" w:sz="0" w:space="0" w:color="auto"/>
          </w:divBdr>
        </w:div>
        <w:div w:id="1108045580">
          <w:marLeft w:val="-225"/>
          <w:marRight w:val="-225"/>
          <w:marTop w:val="0"/>
          <w:marBottom w:val="0"/>
          <w:divBdr>
            <w:top w:val="none" w:sz="0" w:space="0" w:color="auto"/>
            <w:left w:val="none" w:sz="0" w:space="0" w:color="auto"/>
            <w:bottom w:val="none" w:sz="0" w:space="0" w:color="auto"/>
            <w:right w:val="none" w:sz="0" w:space="0" w:color="auto"/>
          </w:divBdr>
        </w:div>
        <w:div w:id="1237013742">
          <w:marLeft w:val="-225"/>
          <w:marRight w:val="-225"/>
          <w:marTop w:val="0"/>
          <w:marBottom w:val="0"/>
          <w:divBdr>
            <w:top w:val="none" w:sz="0" w:space="0" w:color="auto"/>
            <w:left w:val="none" w:sz="0" w:space="0" w:color="auto"/>
            <w:bottom w:val="none" w:sz="0" w:space="0" w:color="auto"/>
            <w:right w:val="none" w:sz="0" w:space="0" w:color="auto"/>
          </w:divBdr>
        </w:div>
      </w:divsChild>
    </w:div>
    <w:div w:id="1588147685">
      <w:bodyDiv w:val="1"/>
      <w:marLeft w:val="0"/>
      <w:marRight w:val="0"/>
      <w:marTop w:val="0"/>
      <w:marBottom w:val="0"/>
      <w:divBdr>
        <w:top w:val="none" w:sz="0" w:space="0" w:color="auto"/>
        <w:left w:val="none" w:sz="0" w:space="0" w:color="auto"/>
        <w:bottom w:val="none" w:sz="0" w:space="0" w:color="auto"/>
        <w:right w:val="none" w:sz="0" w:space="0" w:color="auto"/>
      </w:divBdr>
    </w:div>
    <w:div w:id="1593514615">
      <w:bodyDiv w:val="1"/>
      <w:marLeft w:val="0"/>
      <w:marRight w:val="0"/>
      <w:marTop w:val="0"/>
      <w:marBottom w:val="0"/>
      <w:divBdr>
        <w:top w:val="none" w:sz="0" w:space="0" w:color="auto"/>
        <w:left w:val="none" w:sz="0" w:space="0" w:color="auto"/>
        <w:bottom w:val="none" w:sz="0" w:space="0" w:color="auto"/>
        <w:right w:val="none" w:sz="0" w:space="0" w:color="auto"/>
      </w:divBdr>
    </w:div>
    <w:div w:id="1594971096">
      <w:bodyDiv w:val="1"/>
      <w:marLeft w:val="0"/>
      <w:marRight w:val="0"/>
      <w:marTop w:val="0"/>
      <w:marBottom w:val="0"/>
      <w:divBdr>
        <w:top w:val="none" w:sz="0" w:space="0" w:color="auto"/>
        <w:left w:val="none" w:sz="0" w:space="0" w:color="auto"/>
        <w:bottom w:val="none" w:sz="0" w:space="0" w:color="auto"/>
        <w:right w:val="none" w:sz="0" w:space="0" w:color="auto"/>
      </w:divBdr>
    </w:div>
    <w:div w:id="1598515761">
      <w:bodyDiv w:val="1"/>
      <w:marLeft w:val="0"/>
      <w:marRight w:val="0"/>
      <w:marTop w:val="0"/>
      <w:marBottom w:val="0"/>
      <w:divBdr>
        <w:top w:val="none" w:sz="0" w:space="0" w:color="auto"/>
        <w:left w:val="none" w:sz="0" w:space="0" w:color="auto"/>
        <w:bottom w:val="none" w:sz="0" w:space="0" w:color="auto"/>
        <w:right w:val="none" w:sz="0" w:space="0" w:color="auto"/>
      </w:divBdr>
    </w:div>
    <w:div w:id="1599828244">
      <w:bodyDiv w:val="1"/>
      <w:marLeft w:val="0"/>
      <w:marRight w:val="0"/>
      <w:marTop w:val="0"/>
      <w:marBottom w:val="0"/>
      <w:divBdr>
        <w:top w:val="none" w:sz="0" w:space="0" w:color="auto"/>
        <w:left w:val="none" w:sz="0" w:space="0" w:color="auto"/>
        <w:bottom w:val="none" w:sz="0" w:space="0" w:color="auto"/>
        <w:right w:val="none" w:sz="0" w:space="0" w:color="auto"/>
      </w:divBdr>
    </w:div>
    <w:div w:id="1607225820">
      <w:bodyDiv w:val="1"/>
      <w:marLeft w:val="0"/>
      <w:marRight w:val="0"/>
      <w:marTop w:val="0"/>
      <w:marBottom w:val="0"/>
      <w:divBdr>
        <w:top w:val="none" w:sz="0" w:space="0" w:color="auto"/>
        <w:left w:val="none" w:sz="0" w:space="0" w:color="auto"/>
        <w:bottom w:val="none" w:sz="0" w:space="0" w:color="auto"/>
        <w:right w:val="none" w:sz="0" w:space="0" w:color="auto"/>
      </w:divBdr>
    </w:div>
    <w:div w:id="1612973839">
      <w:bodyDiv w:val="1"/>
      <w:marLeft w:val="0"/>
      <w:marRight w:val="0"/>
      <w:marTop w:val="0"/>
      <w:marBottom w:val="0"/>
      <w:divBdr>
        <w:top w:val="none" w:sz="0" w:space="0" w:color="auto"/>
        <w:left w:val="none" w:sz="0" w:space="0" w:color="auto"/>
        <w:bottom w:val="none" w:sz="0" w:space="0" w:color="auto"/>
        <w:right w:val="none" w:sz="0" w:space="0" w:color="auto"/>
      </w:divBdr>
      <w:divsChild>
        <w:div w:id="139083215">
          <w:marLeft w:val="-225"/>
          <w:marRight w:val="-225"/>
          <w:marTop w:val="0"/>
          <w:marBottom w:val="0"/>
          <w:divBdr>
            <w:top w:val="none" w:sz="0" w:space="0" w:color="auto"/>
            <w:left w:val="none" w:sz="0" w:space="0" w:color="auto"/>
            <w:bottom w:val="none" w:sz="0" w:space="0" w:color="auto"/>
            <w:right w:val="none" w:sz="0" w:space="0" w:color="auto"/>
          </w:divBdr>
        </w:div>
        <w:div w:id="1265455159">
          <w:marLeft w:val="-225"/>
          <w:marRight w:val="-225"/>
          <w:marTop w:val="0"/>
          <w:marBottom w:val="0"/>
          <w:divBdr>
            <w:top w:val="none" w:sz="0" w:space="0" w:color="auto"/>
            <w:left w:val="none" w:sz="0" w:space="0" w:color="auto"/>
            <w:bottom w:val="none" w:sz="0" w:space="0" w:color="auto"/>
            <w:right w:val="none" w:sz="0" w:space="0" w:color="auto"/>
          </w:divBdr>
        </w:div>
      </w:divsChild>
    </w:div>
    <w:div w:id="1615088019">
      <w:bodyDiv w:val="1"/>
      <w:marLeft w:val="0"/>
      <w:marRight w:val="0"/>
      <w:marTop w:val="0"/>
      <w:marBottom w:val="0"/>
      <w:divBdr>
        <w:top w:val="none" w:sz="0" w:space="0" w:color="auto"/>
        <w:left w:val="none" w:sz="0" w:space="0" w:color="auto"/>
        <w:bottom w:val="none" w:sz="0" w:space="0" w:color="auto"/>
        <w:right w:val="none" w:sz="0" w:space="0" w:color="auto"/>
      </w:divBdr>
    </w:div>
    <w:div w:id="1615936881">
      <w:bodyDiv w:val="1"/>
      <w:marLeft w:val="0"/>
      <w:marRight w:val="0"/>
      <w:marTop w:val="0"/>
      <w:marBottom w:val="0"/>
      <w:divBdr>
        <w:top w:val="none" w:sz="0" w:space="0" w:color="auto"/>
        <w:left w:val="none" w:sz="0" w:space="0" w:color="auto"/>
        <w:bottom w:val="none" w:sz="0" w:space="0" w:color="auto"/>
        <w:right w:val="none" w:sz="0" w:space="0" w:color="auto"/>
      </w:divBdr>
    </w:div>
    <w:div w:id="1636175341">
      <w:bodyDiv w:val="1"/>
      <w:marLeft w:val="0"/>
      <w:marRight w:val="0"/>
      <w:marTop w:val="0"/>
      <w:marBottom w:val="0"/>
      <w:divBdr>
        <w:top w:val="none" w:sz="0" w:space="0" w:color="auto"/>
        <w:left w:val="none" w:sz="0" w:space="0" w:color="auto"/>
        <w:bottom w:val="none" w:sz="0" w:space="0" w:color="auto"/>
        <w:right w:val="none" w:sz="0" w:space="0" w:color="auto"/>
      </w:divBdr>
    </w:div>
    <w:div w:id="1640725137">
      <w:bodyDiv w:val="1"/>
      <w:marLeft w:val="0"/>
      <w:marRight w:val="0"/>
      <w:marTop w:val="0"/>
      <w:marBottom w:val="0"/>
      <w:divBdr>
        <w:top w:val="none" w:sz="0" w:space="0" w:color="auto"/>
        <w:left w:val="none" w:sz="0" w:space="0" w:color="auto"/>
        <w:bottom w:val="none" w:sz="0" w:space="0" w:color="auto"/>
        <w:right w:val="none" w:sz="0" w:space="0" w:color="auto"/>
      </w:divBdr>
    </w:div>
    <w:div w:id="1645967177">
      <w:bodyDiv w:val="1"/>
      <w:marLeft w:val="0"/>
      <w:marRight w:val="0"/>
      <w:marTop w:val="0"/>
      <w:marBottom w:val="0"/>
      <w:divBdr>
        <w:top w:val="none" w:sz="0" w:space="0" w:color="auto"/>
        <w:left w:val="none" w:sz="0" w:space="0" w:color="auto"/>
        <w:bottom w:val="none" w:sz="0" w:space="0" w:color="auto"/>
        <w:right w:val="none" w:sz="0" w:space="0" w:color="auto"/>
      </w:divBdr>
    </w:div>
    <w:div w:id="1647972763">
      <w:bodyDiv w:val="1"/>
      <w:marLeft w:val="0"/>
      <w:marRight w:val="0"/>
      <w:marTop w:val="0"/>
      <w:marBottom w:val="0"/>
      <w:divBdr>
        <w:top w:val="none" w:sz="0" w:space="0" w:color="auto"/>
        <w:left w:val="none" w:sz="0" w:space="0" w:color="auto"/>
        <w:bottom w:val="none" w:sz="0" w:space="0" w:color="auto"/>
        <w:right w:val="none" w:sz="0" w:space="0" w:color="auto"/>
      </w:divBdr>
    </w:div>
    <w:div w:id="1653488720">
      <w:bodyDiv w:val="1"/>
      <w:marLeft w:val="0"/>
      <w:marRight w:val="0"/>
      <w:marTop w:val="0"/>
      <w:marBottom w:val="0"/>
      <w:divBdr>
        <w:top w:val="none" w:sz="0" w:space="0" w:color="auto"/>
        <w:left w:val="none" w:sz="0" w:space="0" w:color="auto"/>
        <w:bottom w:val="none" w:sz="0" w:space="0" w:color="auto"/>
        <w:right w:val="none" w:sz="0" w:space="0" w:color="auto"/>
      </w:divBdr>
    </w:div>
    <w:div w:id="1654523591">
      <w:bodyDiv w:val="1"/>
      <w:marLeft w:val="0"/>
      <w:marRight w:val="0"/>
      <w:marTop w:val="0"/>
      <w:marBottom w:val="0"/>
      <w:divBdr>
        <w:top w:val="none" w:sz="0" w:space="0" w:color="auto"/>
        <w:left w:val="none" w:sz="0" w:space="0" w:color="auto"/>
        <w:bottom w:val="none" w:sz="0" w:space="0" w:color="auto"/>
        <w:right w:val="none" w:sz="0" w:space="0" w:color="auto"/>
      </w:divBdr>
      <w:divsChild>
        <w:div w:id="1788809717">
          <w:marLeft w:val="547"/>
          <w:marRight w:val="0"/>
          <w:marTop w:val="200"/>
          <w:marBottom w:val="0"/>
          <w:divBdr>
            <w:top w:val="none" w:sz="0" w:space="0" w:color="auto"/>
            <w:left w:val="none" w:sz="0" w:space="0" w:color="auto"/>
            <w:bottom w:val="none" w:sz="0" w:space="0" w:color="auto"/>
            <w:right w:val="none" w:sz="0" w:space="0" w:color="auto"/>
          </w:divBdr>
        </w:div>
      </w:divsChild>
    </w:div>
    <w:div w:id="1655063675">
      <w:bodyDiv w:val="1"/>
      <w:marLeft w:val="0"/>
      <w:marRight w:val="0"/>
      <w:marTop w:val="0"/>
      <w:marBottom w:val="0"/>
      <w:divBdr>
        <w:top w:val="none" w:sz="0" w:space="0" w:color="auto"/>
        <w:left w:val="none" w:sz="0" w:space="0" w:color="auto"/>
        <w:bottom w:val="none" w:sz="0" w:space="0" w:color="auto"/>
        <w:right w:val="none" w:sz="0" w:space="0" w:color="auto"/>
      </w:divBdr>
    </w:div>
    <w:div w:id="1659189665">
      <w:bodyDiv w:val="1"/>
      <w:marLeft w:val="0"/>
      <w:marRight w:val="0"/>
      <w:marTop w:val="0"/>
      <w:marBottom w:val="0"/>
      <w:divBdr>
        <w:top w:val="none" w:sz="0" w:space="0" w:color="auto"/>
        <w:left w:val="none" w:sz="0" w:space="0" w:color="auto"/>
        <w:bottom w:val="none" w:sz="0" w:space="0" w:color="auto"/>
        <w:right w:val="none" w:sz="0" w:space="0" w:color="auto"/>
      </w:divBdr>
    </w:div>
    <w:div w:id="1661880868">
      <w:bodyDiv w:val="1"/>
      <w:marLeft w:val="0"/>
      <w:marRight w:val="0"/>
      <w:marTop w:val="0"/>
      <w:marBottom w:val="0"/>
      <w:divBdr>
        <w:top w:val="none" w:sz="0" w:space="0" w:color="auto"/>
        <w:left w:val="none" w:sz="0" w:space="0" w:color="auto"/>
        <w:bottom w:val="none" w:sz="0" w:space="0" w:color="auto"/>
        <w:right w:val="none" w:sz="0" w:space="0" w:color="auto"/>
      </w:divBdr>
    </w:div>
    <w:div w:id="1670058509">
      <w:bodyDiv w:val="1"/>
      <w:marLeft w:val="0"/>
      <w:marRight w:val="0"/>
      <w:marTop w:val="0"/>
      <w:marBottom w:val="0"/>
      <w:divBdr>
        <w:top w:val="none" w:sz="0" w:space="0" w:color="auto"/>
        <w:left w:val="none" w:sz="0" w:space="0" w:color="auto"/>
        <w:bottom w:val="none" w:sz="0" w:space="0" w:color="auto"/>
        <w:right w:val="none" w:sz="0" w:space="0" w:color="auto"/>
      </w:divBdr>
    </w:div>
    <w:div w:id="1671061277">
      <w:bodyDiv w:val="1"/>
      <w:marLeft w:val="0"/>
      <w:marRight w:val="0"/>
      <w:marTop w:val="0"/>
      <w:marBottom w:val="0"/>
      <w:divBdr>
        <w:top w:val="none" w:sz="0" w:space="0" w:color="auto"/>
        <w:left w:val="none" w:sz="0" w:space="0" w:color="auto"/>
        <w:bottom w:val="none" w:sz="0" w:space="0" w:color="auto"/>
        <w:right w:val="none" w:sz="0" w:space="0" w:color="auto"/>
      </w:divBdr>
    </w:div>
    <w:div w:id="1672756026">
      <w:bodyDiv w:val="1"/>
      <w:marLeft w:val="0"/>
      <w:marRight w:val="0"/>
      <w:marTop w:val="0"/>
      <w:marBottom w:val="0"/>
      <w:divBdr>
        <w:top w:val="none" w:sz="0" w:space="0" w:color="auto"/>
        <w:left w:val="none" w:sz="0" w:space="0" w:color="auto"/>
        <w:bottom w:val="none" w:sz="0" w:space="0" w:color="auto"/>
        <w:right w:val="none" w:sz="0" w:space="0" w:color="auto"/>
      </w:divBdr>
    </w:div>
    <w:div w:id="1677923974">
      <w:bodyDiv w:val="1"/>
      <w:marLeft w:val="0"/>
      <w:marRight w:val="0"/>
      <w:marTop w:val="0"/>
      <w:marBottom w:val="0"/>
      <w:divBdr>
        <w:top w:val="none" w:sz="0" w:space="0" w:color="auto"/>
        <w:left w:val="none" w:sz="0" w:space="0" w:color="auto"/>
        <w:bottom w:val="none" w:sz="0" w:space="0" w:color="auto"/>
        <w:right w:val="none" w:sz="0" w:space="0" w:color="auto"/>
      </w:divBdr>
    </w:div>
    <w:div w:id="1683631196">
      <w:bodyDiv w:val="1"/>
      <w:marLeft w:val="0"/>
      <w:marRight w:val="0"/>
      <w:marTop w:val="0"/>
      <w:marBottom w:val="0"/>
      <w:divBdr>
        <w:top w:val="none" w:sz="0" w:space="0" w:color="auto"/>
        <w:left w:val="none" w:sz="0" w:space="0" w:color="auto"/>
        <w:bottom w:val="none" w:sz="0" w:space="0" w:color="auto"/>
        <w:right w:val="none" w:sz="0" w:space="0" w:color="auto"/>
      </w:divBdr>
    </w:div>
    <w:div w:id="1685981606">
      <w:bodyDiv w:val="1"/>
      <w:marLeft w:val="0"/>
      <w:marRight w:val="0"/>
      <w:marTop w:val="0"/>
      <w:marBottom w:val="0"/>
      <w:divBdr>
        <w:top w:val="none" w:sz="0" w:space="0" w:color="auto"/>
        <w:left w:val="none" w:sz="0" w:space="0" w:color="auto"/>
        <w:bottom w:val="none" w:sz="0" w:space="0" w:color="auto"/>
        <w:right w:val="none" w:sz="0" w:space="0" w:color="auto"/>
      </w:divBdr>
    </w:div>
    <w:div w:id="1692418312">
      <w:bodyDiv w:val="1"/>
      <w:marLeft w:val="0"/>
      <w:marRight w:val="0"/>
      <w:marTop w:val="0"/>
      <w:marBottom w:val="0"/>
      <w:divBdr>
        <w:top w:val="none" w:sz="0" w:space="0" w:color="auto"/>
        <w:left w:val="none" w:sz="0" w:space="0" w:color="auto"/>
        <w:bottom w:val="none" w:sz="0" w:space="0" w:color="auto"/>
        <w:right w:val="none" w:sz="0" w:space="0" w:color="auto"/>
      </w:divBdr>
    </w:div>
    <w:div w:id="1697727147">
      <w:bodyDiv w:val="1"/>
      <w:marLeft w:val="0"/>
      <w:marRight w:val="0"/>
      <w:marTop w:val="0"/>
      <w:marBottom w:val="0"/>
      <w:divBdr>
        <w:top w:val="none" w:sz="0" w:space="0" w:color="auto"/>
        <w:left w:val="none" w:sz="0" w:space="0" w:color="auto"/>
        <w:bottom w:val="none" w:sz="0" w:space="0" w:color="auto"/>
        <w:right w:val="none" w:sz="0" w:space="0" w:color="auto"/>
      </w:divBdr>
    </w:div>
    <w:div w:id="1708065459">
      <w:bodyDiv w:val="1"/>
      <w:marLeft w:val="0"/>
      <w:marRight w:val="0"/>
      <w:marTop w:val="0"/>
      <w:marBottom w:val="0"/>
      <w:divBdr>
        <w:top w:val="none" w:sz="0" w:space="0" w:color="auto"/>
        <w:left w:val="none" w:sz="0" w:space="0" w:color="auto"/>
        <w:bottom w:val="none" w:sz="0" w:space="0" w:color="auto"/>
        <w:right w:val="none" w:sz="0" w:space="0" w:color="auto"/>
      </w:divBdr>
    </w:div>
    <w:div w:id="1724062420">
      <w:bodyDiv w:val="1"/>
      <w:marLeft w:val="0"/>
      <w:marRight w:val="0"/>
      <w:marTop w:val="0"/>
      <w:marBottom w:val="0"/>
      <w:divBdr>
        <w:top w:val="none" w:sz="0" w:space="0" w:color="auto"/>
        <w:left w:val="none" w:sz="0" w:space="0" w:color="auto"/>
        <w:bottom w:val="none" w:sz="0" w:space="0" w:color="auto"/>
        <w:right w:val="none" w:sz="0" w:space="0" w:color="auto"/>
      </w:divBdr>
    </w:div>
    <w:div w:id="1732848522">
      <w:bodyDiv w:val="1"/>
      <w:marLeft w:val="0"/>
      <w:marRight w:val="0"/>
      <w:marTop w:val="0"/>
      <w:marBottom w:val="0"/>
      <w:divBdr>
        <w:top w:val="none" w:sz="0" w:space="0" w:color="auto"/>
        <w:left w:val="none" w:sz="0" w:space="0" w:color="auto"/>
        <w:bottom w:val="none" w:sz="0" w:space="0" w:color="auto"/>
        <w:right w:val="none" w:sz="0" w:space="0" w:color="auto"/>
      </w:divBdr>
    </w:div>
    <w:div w:id="1734500559">
      <w:bodyDiv w:val="1"/>
      <w:marLeft w:val="0"/>
      <w:marRight w:val="0"/>
      <w:marTop w:val="0"/>
      <w:marBottom w:val="0"/>
      <w:divBdr>
        <w:top w:val="none" w:sz="0" w:space="0" w:color="auto"/>
        <w:left w:val="none" w:sz="0" w:space="0" w:color="auto"/>
        <w:bottom w:val="none" w:sz="0" w:space="0" w:color="auto"/>
        <w:right w:val="none" w:sz="0" w:space="0" w:color="auto"/>
      </w:divBdr>
    </w:div>
    <w:div w:id="1738164611">
      <w:bodyDiv w:val="1"/>
      <w:marLeft w:val="0"/>
      <w:marRight w:val="0"/>
      <w:marTop w:val="0"/>
      <w:marBottom w:val="0"/>
      <w:divBdr>
        <w:top w:val="none" w:sz="0" w:space="0" w:color="auto"/>
        <w:left w:val="none" w:sz="0" w:space="0" w:color="auto"/>
        <w:bottom w:val="none" w:sz="0" w:space="0" w:color="auto"/>
        <w:right w:val="none" w:sz="0" w:space="0" w:color="auto"/>
      </w:divBdr>
    </w:div>
    <w:div w:id="1741098769">
      <w:bodyDiv w:val="1"/>
      <w:marLeft w:val="0"/>
      <w:marRight w:val="0"/>
      <w:marTop w:val="0"/>
      <w:marBottom w:val="0"/>
      <w:divBdr>
        <w:top w:val="none" w:sz="0" w:space="0" w:color="auto"/>
        <w:left w:val="none" w:sz="0" w:space="0" w:color="auto"/>
        <w:bottom w:val="none" w:sz="0" w:space="0" w:color="auto"/>
        <w:right w:val="none" w:sz="0" w:space="0" w:color="auto"/>
      </w:divBdr>
    </w:div>
    <w:div w:id="1745910103">
      <w:bodyDiv w:val="1"/>
      <w:marLeft w:val="0"/>
      <w:marRight w:val="0"/>
      <w:marTop w:val="0"/>
      <w:marBottom w:val="0"/>
      <w:divBdr>
        <w:top w:val="none" w:sz="0" w:space="0" w:color="auto"/>
        <w:left w:val="none" w:sz="0" w:space="0" w:color="auto"/>
        <w:bottom w:val="none" w:sz="0" w:space="0" w:color="auto"/>
        <w:right w:val="none" w:sz="0" w:space="0" w:color="auto"/>
      </w:divBdr>
    </w:div>
    <w:div w:id="1755317710">
      <w:bodyDiv w:val="1"/>
      <w:marLeft w:val="0"/>
      <w:marRight w:val="0"/>
      <w:marTop w:val="0"/>
      <w:marBottom w:val="0"/>
      <w:divBdr>
        <w:top w:val="none" w:sz="0" w:space="0" w:color="auto"/>
        <w:left w:val="none" w:sz="0" w:space="0" w:color="auto"/>
        <w:bottom w:val="none" w:sz="0" w:space="0" w:color="auto"/>
        <w:right w:val="none" w:sz="0" w:space="0" w:color="auto"/>
      </w:divBdr>
    </w:div>
    <w:div w:id="1768042953">
      <w:bodyDiv w:val="1"/>
      <w:marLeft w:val="0"/>
      <w:marRight w:val="0"/>
      <w:marTop w:val="0"/>
      <w:marBottom w:val="0"/>
      <w:divBdr>
        <w:top w:val="none" w:sz="0" w:space="0" w:color="auto"/>
        <w:left w:val="none" w:sz="0" w:space="0" w:color="auto"/>
        <w:bottom w:val="none" w:sz="0" w:space="0" w:color="auto"/>
        <w:right w:val="none" w:sz="0" w:space="0" w:color="auto"/>
      </w:divBdr>
    </w:div>
    <w:div w:id="1768117039">
      <w:bodyDiv w:val="1"/>
      <w:marLeft w:val="0"/>
      <w:marRight w:val="0"/>
      <w:marTop w:val="0"/>
      <w:marBottom w:val="0"/>
      <w:divBdr>
        <w:top w:val="none" w:sz="0" w:space="0" w:color="auto"/>
        <w:left w:val="none" w:sz="0" w:space="0" w:color="auto"/>
        <w:bottom w:val="none" w:sz="0" w:space="0" w:color="auto"/>
        <w:right w:val="none" w:sz="0" w:space="0" w:color="auto"/>
      </w:divBdr>
    </w:div>
    <w:div w:id="1770657236">
      <w:bodyDiv w:val="1"/>
      <w:marLeft w:val="0"/>
      <w:marRight w:val="0"/>
      <w:marTop w:val="0"/>
      <w:marBottom w:val="0"/>
      <w:divBdr>
        <w:top w:val="none" w:sz="0" w:space="0" w:color="auto"/>
        <w:left w:val="none" w:sz="0" w:space="0" w:color="auto"/>
        <w:bottom w:val="none" w:sz="0" w:space="0" w:color="auto"/>
        <w:right w:val="none" w:sz="0" w:space="0" w:color="auto"/>
      </w:divBdr>
    </w:div>
    <w:div w:id="1774007611">
      <w:bodyDiv w:val="1"/>
      <w:marLeft w:val="0"/>
      <w:marRight w:val="0"/>
      <w:marTop w:val="0"/>
      <w:marBottom w:val="0"/>
      <w:divBdr>
        <w:top w:val="none" w:sz="0" w:space="0" w:color="auto"/>
        <w:left w:val="none" w:sz="0" w:space="0" w:color="auto"/>
        <w:bottom w:val="none" w:sz="0" w:space="0" w:color="auto"/>
        <w:right w:val="none" w:sz="0" w:space="0" w:color="auto"/>
      </w:divBdr>
    </w:div>
    <w:div w:id="1776247185">
      <w:bodyDiv w:val="1"/>
      <w:marLeft w:val="0"/>
      <w:marRight w:val="0"/>
      <w:marTop w:val="0"/>
      <w:marBottom w:val="0"/>
      <w:divBdr>
        <w:top w:val="none" w:sz="0" w:space="0" w:color="auto"/>
        <w:left w:val="none" w:sz="0" w:space="0" w:color="auto"/>
        <w:bottom w:val="none" w:sz="0" w:space="0" w:color="auto"/>
        <w:right w:val="none" w:sz="0" w:space="0" w:color="auto"/>
      </w:divBdr>
    </w:div>
    <w:div w:id="1776486599">
      <w:bodyDiv w:val="1"/>
      <w:marLeft w:val="0"/>
      <w:marRight w:val="0"/>
      <w:marTop w:val="0"/>
      <w:marBottom w:val="0"/>
      <w:divBdr>
        <w:top w:val="none" w:sz="0" w:space="0" w:color="auto"/>
        <w:left w:val="none" w:sz="0" w:space="0" w:color="auto"/>
        <w:bottom w:val="none" w:sz="0" w:space="0" w:color="auto"/>
        <w:right w:val="none" w:sz="0" w:space="0" w:color="auto"/>
      </w:divBdr>
    </w:div>
    <w:div w:id="1780488342">
      <w:bodyDiv w:val="1"/>
      <w:marLeft w:val="0"/>
      <w:marRight w:val="0"/>
      <w:marTop w:val="0"/>
      <w:marBottom w:val="0"/>
      <w:divBdr>
        <w:top w:val="none" w:sz="0" w:space="0" w:color="auto"/>
        <w:left w:val="none" w:sz="0" w:space="0" w:color="auto"/>
        <w:bottom w:val="none" w:sz="0" w:space="0" w:color="auto"/>
        <w:right w:val="none" w:sz="0" w:space="0" w:color="auto"/>
      </w:divBdr>
    </w:div>
    <w:div w:id="1780559782">
      <w:bodyDiv w:val="1"/>
      <w:marLeft w:val="0"/>
      <w:marRight w:val="0"/>
      <w:marTop w:val="0"/>
      <w:marBottom w:val="0"/>
      <w:divBdr>
        <w:top w:val="none" w:sz="0" w:space="0" w:color="auto"/>
        <w:left w:val="none" w:sz="0" w:space="0" w:color="auto"/>
        <w:bottom w:val="none" w:sz="0" w:space="0" w:color="auto"/>
        <w:right w:val="none" w:sz="0" w:space="0" w:color="auto"/>
      </w:divBdr>
    </w:div>
    <w:div w:id="1780635748">
      <w:bodyDiv w:val="1"/>
      <w:marLeft w:val="0"/>
      <w:marRight w:val="0"/>
      <w:marTop w:val="0"/>
      <w:marBottom w:val="0"/>
      <w:divBdr>
        <w:top w:val="none" w:sz="0" w:space="0" w:color="auto"/>
        <w:left w:val="none" w:sz="0" w:space="0" w:color="auto"/>
        <w:bottom w:val="none" w:sz="0" w:space="0" w:color="auto"/>
        <w:right w:val="none" w:sz="0" w:space="0" w:color="auto"/>
      </w:divBdr>
    </w:div>
    <w:div w:id="1782534004">
      <w:bodyDiv w:val="1"/>
      <w:marLeft w:val="0"/>
      <w:marRight w:val="0"/>
      <w:marTop w:val="0"/>
      <w:marBottom w:val="0"/>
      <w:divBdr>
        <w:top w:val="none" w:sz="0" w:space="0" w:color="auto"/>
        <w:left w:val="none" w:sz="0" w:space="0" w:color="auto"/>
        <w:bottom w:val="none" w:sz="0" w:space="0" w:color="auto"/>
        <w:right w:val="none" w:sz="0" w:space="0" w:color="auto"/>
      </w:divBdr>
    </w:div>
    <w:div w:id="1796485176">
      <w:bodyDiv w:val="1"/>
      <w:marLeft w:val="0"/>
      <w:marRight w:val="0"/>
      <w:marTop w:val="0"/>
      <w:marBottom w:val="0"/>
      <w:divBdr>
        <w:top w:val="none" w:sz="0" w:space="0" w:color="auto"/>
        <w:left w:val="none" w:sz="0" w:space="0" w:color="auto"/>
        <w:bottom w:val="none" w:sz="0" w:space="0" w:color="auto"/>
        <w:right w:val="none" w:sz="0" w:space="0" w:color="auto"/>
      </w:divBdr>
    </w:div>
    <w:div w:id="1804034598">
      <w:bodyDiv w:val="1"/>
      <w:marLeft w:val="0"/>
      <w:marRight w:val="0"/>
      <w:marTop w:val="0"/>
      <w:marBottom w:val="0"/>
      <w:divBdr>
        <w:top w:val="none" w:sz="0" w:space="0" w:color="auto"/>
        <w:left w:val="none" w:sz="0" w:space="0" w:color="auto"/>
        <w:bottom w:val="none" w:sz="0" w:space="0" w:color="auto"/>
        <w:right w:val="none" w:sz="0" w:space="0" w:color="auto"/>
      </w:divBdr>
    </w:div>
    <w:div w:id="1804735946">
      <w:bodyDiv w:val="1"/>
      <w:marLeft w:val="0"/>
      <w:marRight w:val="0"/>
      <w:marTop w:val="0"/>
      <w:marBottom w:val="0"/>
      <w:divBdr>
        <w:top w:val="none" w:sz="0" w:space="0" w:color="auto"/>
        <w:left w:val="none" w:sz="0" w:space="0" w:color="auto"/>
        <w:bottom w:val="none" w:sz="0" w:space="0" w:color="auto"/>
        <w:right w:val="none" w:sz="0" w:space="0" w:color="auto"/>
      </w:divBdr>
    </w:div>
    <w:div w:id="1810249193">
      <w:bodyDiv w:val="1"/>
      <w:marLeft w:val="0"/>
      <w:marRight w:val="0"/>
      <w:marTop w:val="0"/>
      <w:marBottom w:val="0"/>
      <w:divBdr>
        <w:top w:val="none" w:sz="0" w:space="0" w:color="auto"/>
        <w:left w:val="none" w:sz="0" w:space="0" w:color="auto"/>
        <w:bottom w:val="none" w:sz="0" w:space="0" w:color="auto"/>
        <w:right w:val="none" w:sz="0" w:space="0" w:color="auto"/>
      </w:divBdr>
    </w:div>
    <w:div w:id="1813524098">
      <w:bodyDiv w:val="1"/>
      <w:marLeft w:val="0"/>
      <w:marRight w:val="0"/>
      <w:marTop w:val="0"/>
      <w:marBottom w:val="0"/>
      <w:divBdr>
        <w:top w:val="none" w:sz="0" w:space="0" w:color="auto"/>
        <w:left w:val="none" w:sz="0" w:space="0" w:color="auto"/>
        <w:bottom w:val="none" w:sz="0" w:space="0" w:color="auto"/>
        <w:right w:val="none" w:sz="0" w:space="0" w:color="auto"/>
      </w:divBdr>
    </w:div>
    <w:div w:id="1821730723">
      <w:bodyDiv w:val="1"/>
      <w:marLeft w:val="0"/>
      <w:marRight w:val="0"/>
      <w:marTop w:val="0"/>
      <w:marBottom w:val="0"/>
      <w:divBdr>
        <w:top w:val="none" w:sz="0" w:space="0" w:color="auto"/>
        <w:left w:val="none" w:sz="0" w:space="0" w:color="auto"/>
        <w:bottom w:val="none" w:sz="0" w:space="0" w:color="auto"/>
        <w:right w:val="none" w:sz="0" w:space="0" w:color="auto"/>
      </w:divBdr>
    </w:div>
    <w:div w:id="1835141195">
      <w:bodyDiv w:val="1"/>
      <w:marLeft w:val="0"/>
      <w:marRight w:val="0"/>
      <w:marTop w:val="0"/>
      <w:marBottom w:val="0"/>
      <w:divBdr>
        <w:top w:val="none" w:sz="0" w:space="0" w:color="auto"/>
        <w:left w:val="none" w:sz="0" w:space="0" w:color="auto"/>
        <w:bottom w:val="none" w:sz="0" w:space="0" w:color="auto"/>
        <w:right w:val="none" w:sz="0" w:space="0" w:color="auto"/>
      </w:divBdr>
    </w:div>
    <w:div w:id="1838107892">
      <w:bodyDiv w:val="1"/>
      <w:marLeft w:val="0"/>
      <w:marRight w:val="0"/>
      <w:marTop w:val="0"/>
      <w:marBottom w:val="0"/>
      <w:divBdr>
        <w:top w:val="none" w:sz="0" w:space="0" w:color="auto"/>
        <w:left w:val="none" w:sz="0" w:space="0" w:color="auto"/>
        <w:bottom w:val="none" w:sz="0" w:space="0" w:color="auto"/>
        <w:right w:val="none" w:sz="0" w:space="0" w:color="auto"/>
      </w:divBdr>
    </w:div>
    <w:div w:id="1839731833">
      <w:bodyDiv w:val="1"/>
      <w:marLeft w:val="0"/>
      <w:marRight w:val="0"/>
      <w:marTop w:val="0"/>
      <w:marBottom w:val="0"/>
      <w:divBdr>
        <w:top w:val="none" w:sz="0" w:space="0" w:color="auto"/>
        <w:left w:val="none" w:sz="0" w:space="0" w:color="auto"/>
        <w:bottom w:val="none" w:sz="0" w:space="0" w:color="auto"/>
        <w:right w:val="none" w:sz="0" w:space="0" w:color="auto"/>
      </w:divBdr>
    </w:div>
    <w:div w:id="1853452454">
      <w:bodyDiv w:val="1"/>
      <w:marLeft w:val="0"/>
      <w:marRight w:val="0"/>
      <w:marTop w:val="0"/>
      <w:marBottom w:val="0"/>
      <w:divBdr>
        <w:top w:val="none" w:sz="0" w:space="0" w:color="auto"/>
        <w:left w:val="none" w:sz="0" w:space="0" w:color="auto"/>
        <w:bottom w:val="none" w:sz="0" w:space="0" w:color="auto"/>
        <w:right w:val="none" w:sz="0" w:space="0" w:color="auto"/>
      </w:divBdr>
    </w:div>
    <w:div w:id="1856995110">
      <w:bodyDiv w:val="1"/>
      <w:marLeft w:val="0"/>
      <w:marRight w:val="0"/>
      <w:marTop w:val="0"/>
      <w:marBottom w:val="0"/>
      <w:divBdr>
        <w:top w:val="none" w:sz="0" w:space="0" w:color="auto"/>
        <w:left w:val="none" w:sz="0" w:space="0" w:color="auto"/>
        <w:bottom w:val="none" w:sz="0" w:space="0" w:color="auto"/>
        <w:right w:val="none" w:sz="0" w:space="0" w:color="auto"/>
      </w:divBdr>
    </w:div>
    <w:div w:id="1861045242">
      <w:bodyDiv w:val="1"/>
      <w:marLeft w:val="0"/>
      <w:marRight w:val="0"/>
      <w:marTop w:val="0"/>
      <w:marBottom w:val="0"/>
      <w:divBdr>
        <w:top w:val="none" w:sz="0" w:space="0" w:color="auto"/>
        <w:left w:val="none" w:sz="0" w:space="0" w:color="auto"/>
        <w:bottom w:val="none" w:sz="0" w:space="0" w:color="auto"/>
        <w:right w:val="none" w:sz="0" w:space="0" w:color="auto"/>
      </w:divBdr>
    </w:div>
    <w:div w:id="1864905485">
      <w:bodyDiv w:val="1"/>
      <w:marLeft w:val="0"/>
      <w:marRight w:val="0"/>
      <w:marTop w:val="0"/>
      <w:marBottom w:val="0"/>
      <w:divBdr>
        <w:top w:val="none" w:sz="0" w:space="0" w:color="auto"/>
        <w:left w:val="none" w:sz="0" w:space="0" w:color="auto"/>
        <w:bottom w:val="none" w:sz="0" w:space="0" w:color="auto"/>
        <w:right w:val="none" w:sz="0" w:space="0" w:color="auto"/>
      </w:divBdr>
    </w:div>
    <w:div w:id="1870801673">
      <w:bodyDiv w:val="1"/>
      <w:marLeft w:val="0"/>
      <w:marRight w:val="0"/>
      <w:marTop w:val="0"/>
      <w:marBottom w:val="0"/>
      <w:divBdr>
        <w:top w:val="none" w:sz="0" w:space="0" w:color="auto"/>
        <w:left w:val="none" w:sz="0" w:space="0" w:color="auto"/>
        <w:bottom w:val="none" w:sz="0" w:space="0" w:color="auto"/>
        <w:right w:val="none" w:sz="0" w:space="0" w:color="auto"/>
      </w:divBdr>
    </w:div>
    <w:div w:id="1871526333">
      <w:bodyDiv w:val="1"/>
      <w:marLeft w:val="0"/>
      <w:marRight w:val="0"/>
      <w:marTop w:val="0"/>
      <w:marBottom w:val="0"/>
      <w:divBdr>
        <w:top w:val="none" w:sz="0" w:space="0" w:color="auto"/>
        <w:left w:val="none" w:sz="0" w:space="0" w:color="auto"/>
        <w:bottom w:val="none" w:sz="0" w:space="0" w:color="auto"/>
        <w:right w:val="none" w:sz="0" w:space="0" w:color="auto"/>
      </w:divBdr>
    </w:div>
    <w:div w:id="1872063754">
      <w:bodyDiv w:val="1"/>
      <w:marLeft w:val="0"/>
      <w:marRight w:val="0"/>
      <w:marTop w:val="0"/>
      <w:marBottom w:val="0"/>
      <w:divBdr>
        <w:top w:val="none" w:sz="0" w:space="0" w:color="auto"/>
        <w:left w:val="none" w:sz="0" w:space="0" w:color="auto"/>
        <w:bottom w:val="none" w:sz="0" w:space="0" w:color="auto"/>
        <w:right w:val="none" w:sz="0" w:space="0" w:color="auto"/>
      </w:divBdr>
    </w:div>
    <w:div w:id="1874883773">
      <w:bodyDiv w:val="1"/>
      <w:marLeft w:val="0"/>
      <w:marRight w:val="0"/>
      <w:marTop w:val="0"/>
      <w:marBottom w:val="0"/>
      <w:divBdr>
        <w:top w:val="none" w:sz="0" w:space="0" w:color="auto"/>
        <w:left w:val="none" w:sz="0" w:space="0" w:color="auto"/>
        <w:bottom w:val="none" w:sz="0" w:space="0" w:color="auto"/>
        <w:right w:val="none" w:sz="0" w:space="0" w:color="auto"/>
      </w:divBdr>
    </w:div>
    <w:div w:id="1879395146">
      <w:bodyDiv w:val="1"/>
      <w:marLeft w:val="0"/>
      <w:marRight w:val="0"/>
      <w:marTop w:val="0"/>
      <w:marBottom w:val="0"/>
      <w:divBdr>
        <w:top w:val="none" w:sz="0" w:space="0" w:color="auto"/>
        <w:left w:val="none" w:sz="0" w:space="0" w:color="auto"/>
        <w:bottom w:val="none" w:sz="0" w:space="0" w:color="auto"/>
        <w:right w:val="none" w:sz="0" w:space="0" w:color="auto"/>
      </w:divBdr>
    </w:div>
    <w:div w:id="1892882727">
      <w:bodyDiv w:val="1"/>
      <w:marLeft w:val="0"/>
      <w:marRight w:val="0"/>
      <w:marTop w:val="0"/>
      <w:marBottom w:val="0"/>
      <w:divBdr>
        <w:top w:val="none" w:sz="0" w:space="0" w:color="auto"/>
        <w:left w:val="none" w:sz="0" w:space="0" w:color="auto"/>
        <w:bottom w:val="none" w:sz="0" w:space="0" w:color="auto"/>
        <w:right w:val="none" w:sz="0" w:space="0" w:color="auto"/>
      </w:divBdr>
    </w:div>
    <w:div w:id="1904366537">
      <w:bodyDiv w:val="1"/>
      <w:marLeft w:val="0"/>
      <w:marRight w:val="0"/>
      <w:marTop w:val="0"/>
      <w:marBottom w:val="0"/>
      <w:divBdr>
        <w:top w:val="none" w:sz="0" w:space="0" w:color="auto"/>
        <w:left w:val="none" w:sz="0" w:space="0" w:color="auto"/>
        <w:bottom w:val="none" w:sz="0" w:space="0" w:color="auto"/>
        <w:right w:val="none" w:sz="0" w:space="0" w:color="auto"/>
      </w:divBdr>
    </w:div>
    <w:div w:id="1905795574">
      <w:bodyDiv w:val="1"/>
      <w:marLeft w:val="0"/>
      <w:marRight w:val="0"/>
      <w:marTop w:val="0"/>
      <w:marBottom w:val="0"/>
      <w:divBdr>
        <w:top w:val="none" w:sz="0" w:space="0" w:color="auto"/>
        <w:left w:val="none" w:sz="0" w:space="0" w:color="auto"/>
        <w:bottom w:val="none" w:sz="0" w:space="0" w:color="auto"/>
        <w:right w:val="none" w:sz="0" w:space="0" w:color="auto"/>
      </w:divBdr>
    </w:div>
    <w:div w:id="1912226434">
      <w:bodyDiv w:val="1"/>
      <w:marLeft w:val="0"/>
      <w:marRight w:val="0"/>
      <w:marTop w:val="0"/>
      <w:marBottom w:val="0"/>
      <w:divBdr>
        <w:top w:val="none" w:sz="0" w:space="0" w:color="auto"/>
        <w:left w:val="none" w:sz="0" w:space="0" w:color="auto"/>
        <w:bottom w:val="none" w:sz="0" w:space="0" w:color="auto"/>
        <w:right w:val="none" w:sz="0" w:space="0" w:color="auto"/>
      </w:divBdr>
    </w:div>
    <w:div w:id="1924990915">
      <w:bodyDiv w:val="1"/>
      <w:marLeft w:val="0"/>
      <w:marRight w:val="0"/>
      <w:marTop w:val="0"/>
      <w:marBottom w:val="0"/>
      <w:divBdr>
        <w:top w:val="none" w:sz="0" w:space="0" w:color="auto"/>
        <w:left w:val="none" w:sz="0" w:space="0" w:color="auto"/>
        <w:bottom w:val="none" w:sz="0" w:space="0" w:color="auto"/>
        <w:right w:val="none" w:sz="0" w:space="0" w:color="auto"/>
      </w:divBdr>
    </w:div>
    <w:div w:id="1933582316">
      <w:bodyDiv w:val="1"/>
      <w:marLeft w:val="0"/>
      <w:marRight w:val="0"/>
      <w:marTop w:val="0"/>
      <w:marBottom w:val="0"/>
      <w:divBdr>
        <w:top w:val="none" w:sz="0" w:space="0" w:color="auto"/>
        <w:left w:val="none" w:sz="0" w:space="0" w:color="auto"/>
        <w:bottom w:val="none" w:sz="0" w:space="0" w:color="auto"/>
        <w:right w:val="none" w:sz="0" w:space="0" w:color="auto"/>
      </w:divBdr>
    </w:div>
    <w:div w:id="1937899975">
      <w:bodyDiv w:val="1"/>
      <w:marLeft w:val="0"/>
      <w:marRight w:val="0"/>
      <w:marTop w:val="0"/>
      <w:marBottom w:val="0"/>
      <w:divBdr>
        <w:top w:val="none" w:sz="0" w:space="0" w:color="auto"/>
        <w:left w:val="none" w:sz="0" w:space="0" w:color="auto"/>
        <w:bottom w:val="none" w:sz="0" w:space="0" w:color="auto"/>
        <w:right w:val="none" w:sz="0" w:space="0" w:color="auto"/>
      </w:divBdr>
    </w:div>
    <w:div w:id="1946882037">
      <w:bodyDiv w:val="1"/>
      <w:marLeft w:val="0"/>
      <w:marRight w:val="0"/>
      <w:marTop w:val="0"/>
      <w:marBottom w:val="0"/>
      <w:divBdr>
        <w:top w:val="none" w:sz="0" w:space="0" w:color="auto"/>
        <w:left w:val="none" w:sz="0" w:space="0" w:color="auto"/>
        <w:bottom w:val="none" w:sz="0" w:space="0" w:color="auto"/>
        <w:right w:val="none" w:sz="0" w:space="0" w:color="auto"/>
      </w:divBdr>
    </w:div>
    <w:div w:id="1947224843">
      <w:bodyDiv w:val="1"/>
      <w:marLeft w:val="0"/>
      <w:marRight w:val="0"/>
      <w:marTop w:val="0"/>
      <w:marBottom w:val="0"/>
      <w:divBdr>
        <w:top w:val="none" w:sz="0" w:space="0" w:color="auto"/>
        <w:left w:val="none" w:sz="0" w:space="0" w:color="auto"/>
        <w:bottom w:val="none" w:sz="0" w:space="0" w:color="auto"/>
        <w:right w:val="none" w:sz="0" w:space="0" w:color="auto"/>
      </w:divBdr>
      <w:divsChild>
        <w:div w:id="665088091">
          <w:marLeft w:val="0"/>
          <w:marRight w:val="0"/>
          <w:marTop w:val="0"/>
          <w:marBottom w:val="0"/>
          <w:divBdr>
            <w:top w:val="none" w:sz="0" w:space="0" w:color="auto"/>
            <w:left w:val="none" w:sz="0" w:space="0" w:color="auto"/>
            <w:bottom w:val="none" w:sz="0" w:space="0" w:color="auto"/>
            <w:right w:val="none" w:sz="0" w:space="0" w:color="auto"/>
          </w:divBdr>
        </w:div>
        <w:div w:id="932663190">
          <w:marLeft w:val="0"/>
          <w:marRight w:val="0"/>
          <w:marTop w:val="0"/>
          <w:marBottom w:val="0"/>
          <w:divBdr>
            <w:top w:val="none" w:sz="0" w:space="0" w:color="auto"/>
            <w:left w:val="none" w:sz="0" w:space="0" w:color="auto"/>
            <w:bottom w:val="none" w:sz="0" w:space="0" w:color="auto"/>
            <w:right w:val="none" w:sz="0" w:space="0" w:color="auto"/>
          </w:divBdr>
        </w:div>
        <w:div w:id="1029843432">
          <w:marLeft w:val="0"/>
          <w:marRight w:val="0"/>
          <w:marTop w:val="0"/>
          <w:marBottom w:val="0"/>
          <w:divBdr>
            <w:top w:val="none" w:sz="0" w:space="0" w:color="auto"/>
            <w:left w:val="none" w:sz="0" w:space="0" w:color="auto"/>
            <w:bottom w:val="none" w:sz="0" w:space="0" w:color="auto"/>
            <w:right w:val="none" w:sz="0" w:space="0" w:color="auto"/>
          </w:divBdr>
        </w:div>
        <w:div w:id="1135685308">
          <w:marLeft w:val="0"/>
          <w:marRight w:val="0"/>
          <w:marTop w:val="0"/>
          <w:marBottom w:val="0"/>
          <w:divBdr>
            <w:top w:val="none" w:sz="0" w:space="0" w:color="auto"/>
            <w:left w:val="none" w:sz="0" w:space="0" w:color="auto"/>
            <w:bottom w:val="none" w:sz="0" w:space="0" w:color="auto"/>
            <w:right w:val="none" w:sz="0" w:space="0" w:color="auto"/>
          </w:divBdr>
        </w:div>
        <w:div w:id="1402167938">
          <w:marLeft w:val="0"/>
          <w:marRight w:val="0"/>
          <w:marTop w:val="0"/>
          <w:marBottom w:val="0"/>
          <w:divBdr>
            <w:top w:val="none" w:sz="0" w:space="0" w:color="auto"/>
            <w:left w:val="none" w:sz="0" w:space="0" w:color="auto"/>
            <w:bottom w:val="none" w:sz="0" w:space="0" w:color="auto"/>
            <w:right w:val="none" w:sz="0" w:space="0" w:color="auto"/>
          </w:divBdr>
        </w:div>
        <w:div w:id="1767918679">
          <w:marLeft w:val="0"/>
          <w:marRight w:val="0"/>
          <w:marTop w:val="0"/>
          <w:marBottom w:val="0"/>
          <w:divBdr>
            <w:top w:val="none" w:sz="0" w:space="0" w:color="auto"/>
            <w:left w:val="none" w:sz="0" w:space="0" w:color="auto"/>
            <w:bottom w:val="none" w:sz="0" w:space="0" w:color="auto"/>
            <w:right w:val="none" w:sz="0" w:space="0" w:color="auto"/>
          </w:divBdr>
        </w:div>
        <w:div w:id="1857577477">
          <w:marLeft w:val="0"/>
          <w:marRight w:val="0"/>
          <w:marTop w:val="0"/>
          <w:marBottom w:val="0"/>
          <w:divBdr>
            <w:top w:val="none" w:sz="0" w:space="0" w:color="auto"/>
            <w:left w:val="none" w:sz="0" w:space="0" w:color="auto"/>
            <w:bottom w:val="none" w:sz="0" w:space="0" w:color="auto"/>
            <w:right w:val="none" w:sz="0" w:space="0" w:color="auto"/>
          </w:divBdr>
        </w:div>
      </w:divsChild>
    </w:div>
    <w:div w:id="1948541083">
      <w:bodyDiv w:val="1"/>
      <w:marLeft w:val="0"/>
      <w:marRight w:val="0"/>
      <w:marTop w:val="0"/>
      <w:marBottom w:val="0"/>
      <w:divBdr>
        <w:top w:val="none" w:sz="0" w:space="0" w:color="auto"/>
        <w:left w:val="none" w:sz="0" w:space="0" w:color="auto"/>
        <w:bottom w:val="none" w:sz="0" w:space="0" w:color="auto"/>
        <w:right w:val="none" w:sz="0" w:space="0" w:color="auto"/>
      </w:divBdr>
    </w:div>
    <w:div w:id="1948733045">
      <w:bodyDiv w:val="1"/>
      <w:marLeft w:val="0"/>
      <w:marRight w:val="0"/>
      <w:marTop w:val="0"/>
      <w:marBottom w:val="0"/>
      <w:divBdr>
        <w:top w:val="none" w:sz="0" w:space="0" w:color="auto"/>
        <w:left w:val="none" w:sz="0" w:space="0" w:color="auto"/>
        <w:bottom w:val="none" w:sz="0" w:space="0" w:color="auto"/>
        <w:right w:val="none" w:sz="0" w:space="0" w:color="auto"/>
      </w:divBdr>
    </w:div>
    <w:div w:id="1952005354">
      <w:bodyDiv w:val="1"/>
      <w:marLeft w:val="0"/>
      <w:marRight w:val="0"/>
      <w:marTop w:val="0"/>
      <w:marBottom w:val="0"/>
      <w:divBdr>
        <w:top w:val="none" w:sz="0" w:space="0" w:color="auto"/>
        <w:left w:val="none" w:sz="0" w:space="0" w:color="auto"/>
        <w:bottom w:val="none" w:sz="0" w:space="0" w:color="auto"/>
        <w:right w:val="none" w:sz="0" w:space="0" w:color="auto"/>
      </w:divBdr>
    </w:div>
    <w:div w:id="1954820058">
      <w:bodyDiv w:val="1"/>
      <w:marLeft w:val="0"/>
      <w:marRight w:val="0"/>
      <w:marTop w:val="0"/>
      <w:marBottom w:val="0"/>
      <w:divBdr>
        <w:top w:val="none" w:sz="0" w:space="0" w:color="auto"/>
        <w:left w:val="none" w:sz="0" w:space="0" w:color="auto"/>
        <w:bottom w:val="none" w:sz="0" w:space="0" w:color="auto"/>
        <w:right w:val="none" w:sz="0" w:space="0" w:color="auto"/>
      </w:divBdr>
    </w:div>
    <w:div w:id="1961766642">
      <w:bodyDiv w:val="1"/>
      <w:marLeft w:val="0"/>
      <w:marRight w:val="0"/>
      <w:marTop w:val="0"/>
      <w:marBottom w:val="0"/>
      <w:divBdr>
        <w:top w:val="none" w:sz="0" w:space="0" w:color="auto"/>
        <w:left w:val="none" w:sz="0" w:space="0" w:color="auto"/>
        <w:bottom w:val="none" w:sz="0" w:space="0" w:color="auto"/>
        <w:right w:val="none" w:sz="0" w:space="0" w:color="auto"/>
      </w:divBdr>
    </w:div>
    <w:div w:id="1965962318">
      <w:bodyDiv w:val="1"/>
      <w:marLeft w:val="0"/>
      <w:marRight w:val="0"/>
      <w:marTop w:val="0"/>
      <w:marBottom w:val="0"/>
      <w:divBdr>
        <w:top w:val="none" w:sz="0" w:space="0" w:color="auto"/>
        <w:left w:val="none" w:sz="0" w:space="0" w:color="auto"/>
        <w:bottom w:val="none" w:sz="0" w:space="0" w:color="auto"/>
        <w:right w:val="none" w:sz="0" w:space="0" w:color="auto"/>
      </w:divBdr>
    </w:div>
    <w:div w:id="1968465524">
      <w:bodyDiv w:val="1"/>
      <w:marLeft w:val="0"/>
      <w:marRight w:val="0"/>
      <w:marTop w:val="0"/>
      <w:marBottom w:val="0"/>
      <w:divBdr>
        <w:top w:val="none" w:sz="0" w:space="0" w:color="auto"/>
        <w:left w:val="none" w:sz="0" w:space="0" w:color="auto"/>
        <w:bottom w:val="none" w:sz="0" w:space="0" w:color="auto"/>
        <w:right w:val="none" w:sz="0" w:space="0" w:color="auto"/>
      </w:divBdr>
    </w:div>
    <w:div w:id="1978293850">
      <w:bodyDiv w:val="1"/>
      <w:marLeft w:val="0"/>
      <w:marRight w:val="0"/>
      <w:marTop w:val="0"/>
      <w:marBottom w:val="0"/>
      <w:divBdr>
        <w:top w:val="none" w:sz="0" w:space="0" w:color="auto"/>
        <w:left w:val="none" w:sz="0" w:space="0" w:color="auto"/>
        <w:bottom w:val="none" w:sz="0" w:space="0" w:color="auto"/>
        <w:right w:val="none" w:sz="0" w:space="0" w:color="auto"/>
      </w:divBdr>
    </w:div>
    <w:div w:id="1984501110">
      <w:bodyDiv w:val="1"/>
      <w:marLeft w:val="0"/>
      <w:marRight w:val="0"/>
      <w:marTop w:val="0"/>
      <w:marBottom w:val="0"/>
      <w:divBdr>
        <w:top w:val="none" w:sz="0" w:space="0" w:color="auto"/>
        <w:left w:val="none" w:sz="0" w:space="0" w:color="auto"/>
        <w:bottom w:val="none" w:sz="0" w:space="0" w:color="auto"/>
        <w:right w:val="none" w:sz="0" w:space="0" w:color="auto"/>
      </w:divBdr>
    </w:div>
    <w:div w:id="1984848318">
      <w:bodyDiv w:val="1"/>
      <w:marLeft w:val="0"/>
      <w:marRight w:val="0"/>
      <w:marTop w:val="0"/>
      <w:marBottom w:val="0"/>
      <w:divBdr>
        <w:top w:val="none" w:sz="0" w:space="0" w:color="auto"/>
        <w:left w:val="none" w:sz="0" w:space="0" w:color="auto"/>
        <w:bottom w:val="none" w:sz="0" w:space="0" w:color="auto"/>
        <w:right w:val="none" w:sz="0" w:space="0" w:color="auto"/>
      </w:divBdr>
    </w:div>
    <w:div w:id="1985235869">
      <w:bodyDiv w:val="1"/>
      <w:marLeft w:val="0"/>
      <w:marRight w:val="0"/>
      <w:marTop w:val="0"/>
      <w:marBottom w:val="0"/>
      <w:divBdr>
        <w:top w:val="none" w:sz="0" w:space="0" w:color="auto"/>
        <w:left w:val="none" w:sz="0" w:space="0" w:color="auto"/>
        <w:bottom w:val="none" w:sz="0" w:space="0" w:color="auto"/>
        <w:right w:val="none" w:sz="0" w:space="0" w:color="auto"/>
      </w:divBdr>
    </w:div>
    <w:div w:id="1991058134">
      <w:bodyDiv w:val="1"/>
      <w:marLeft w:val="0"/>
      <w:marRight w:val="0"/>
      <w:marTop w:val="0"/>
      <w:marBottom w:val="0"/>
      <w:divBdr>
        <w:top w:val="none" w:sz="0" w:space="0" w:color="auto"/>
        <w:left w:val="none" w:sz="0" w:space="0" w:color="auto"/>
        <w:bottom w:val="none" w:sz="0" w:space="0" w:color="auto"/>
        <w:right w:val="none" w:sz="0" w:space="0" w:color="auto"/>
      </w:divBdr>
    </w:div>
    <w:div w:id="1991060157">
      <w:bodyDiv w:val="1"/>
      <w:marLeft w:val="0"/>
      <w:marRight w:val="0"/>
      <w:marTop w:val="0"/>
      <w:marBottom w:val="0"/>
      <w:divBdr>
        <w:top w:val="none" w:sz="0" w:space="0" w:color="auto"/>
        <w:left w:val="none" w:sz="0" w:space="0" w:color="auto"/>
        <w:bottom w:val="none" w:sz="0" w:space="0" w:color="auto"/>
        <w:right w:val="none" w:sz="0" w:space="0" w:color="auto"/>
      </w:divBdr>
    </w:div>
    <w:div w:id="1994093546">
      <w:bodyDiv w:val="1"/>
      <w:marLeft w:val="0"/>
      <w:marRight w:val="0"/>
      <w:marTop w:val="0"/>
      <w:marBottom w:val="0"/>
      <w:divBdr>
        <w:top w:val="none" w:sz="0" w:space="0" w:color="auto"/>
        <w:left w:val="none" w:sz="0" w:space="0" w:color="auto"/>
        <w:bottom w:val="none" w:sz="0" w:space="0" w:color="auto"/>
        <w:right w:val="none" w:sz="0" w:space="0" w:color="auto"/>
      </w:divBdr>
    </w:div>
    <w:div w:id="2000882431">
      <w:bodyDiv w:val="1"/>
      <w:marLeft w:val="0"/>
      <w:marRight w:val="0"/>
      <w:marTop w:val="0"/>
      <w:marBottom w:val="0"/>
      <w:divBdr>
        <w:top w:val="none" w:sz="0" w:space="0" w:color="auto"/>
        <w:left w:val="none" w:sz="0" w:space="0" w:color="auto"/>
        <w:bottom w:val="none" w:sz="0" w:space="0" w:color="auto"/>
        <w:right w:val="none" w:sz="0" w:space="0" w:color="auto"/>
      </w:divBdr>
    </w:div>
    <w:div w:id="2002661492">
      <w:bodyDiv w:val="1"/>
      <w:marLeft w:val="0"/>
      <w:marRight w:val="0"/>
      <w:marTop w:val="0"/>
      <w:marBottom w:val="0"/>
      <w:divBdr>
        <w:top w:val="none" w:sz="0" w:space="0" w:color="auto"/>
        <w:left w:val="none" w:sz="0" w:space="0" w:color="auto"/>
        <w:bottom w:val="none" w:sz="0" w:space="0" w:color="auto"/>
        <w:right w:val="none" w:sz="0" w:space="0" w:color="auto"/>
      </w:divBdr>
    </w:div>
    <w:div w:id="2015450341">
      <w:bodyDiv w:val="1"/>
      <w:marLeft w:val="0"/>
      <w:marRight w:val="0"/>
      <w:marTop w:val="0"/>
      <w:marBottom w:val="0"/>
      <w:divBdr>
        <w:top w:val="none" w:sz="0" w:space="0" w:color="auto"/>
        <w:left w:val="none" w:sz="0" w:space="0" w:color="auto"/>
        <w:bottom w:val="none" w:sz="0" w:space="0" w:color="auto"/>
        <w:right w:val="none" w:sz="0" w:space="0" w:color="auto"/>
      </w:divBdr>
    </w:div>
    <w:div w:id="2016495825">
      <w:bodyDiv w:val="1"/>
      <w:marLeft w:val="0"/>
      <w:marRight w:val="0"/>
      <w:marTop w:val="0"/>
      <w:marBottom w:val="0"/>
      <w:divBdr>
        <w:top w:val="none" w:sz="0" w:space="0" w:color="auto"/>
        <w:left w:val="none" w:sz="0" w:space="0" w:color="auto"/>
        <w:bottom w:val="none" w:sz="0" w:space="0" w:color="auto"/>
        <w:right w:val="none" w:sz="0" w:space="0" w:color="auto"/>
      </w:divBdr>
    </w:div>
    <w:div w:id="2019114204">
      <w:bodyDiv w:val="1"/>
      <w:marLeft w:val="0"/>
      <w:marRight w:val="0"/>
      <w:marTop w:val="0"/>
      <w:marBottom w:val="0"/>
      <w:divBdr>
        <w:top w:val="none" w:sz="0" w:space="0" w:color="auto"/>
        <w:left w:val="none" w:sz="0" w:space="0" w:color="auto"/>
        <w:bottom w:val="none" w:sz="0" w:space="0" w:color="auto"/>
        <w:right w:val="none" w:sz="0" w:space="0" w:color="auto"/>
      </w:divBdr>
    </w:div>
    <w:div w:id="2033801112">
      <w:bodyDiv w:val="1"/>
      <w:marLeft w:val="0"/>
      <w:marRight w:val="0"/>
      <w:marTop w:val="0"/>
      <w:marBottom w:val="0"/>
      <w:divBdr>
        <w:top w:val="none" w:sz="0" w:space="0" w:color="auto"/>
        <w:left w:val="none" w:sz="0" w:space="0" w:color="auto"/>
        <w:bottom w:val="none" w:sz="0" w:space="0" w:color="auto"/>
        <w:right w:val="none" w:sz="0" w:space="0" w:color="auto"/>
      </w:divBdr>
    </w:div>
    <w:div w:id="2035691408">
      <w:bodyDiv w:val="1"/>
      <w:marLeft w:val="0"/>
      <w:marRight w:val="0"/>
      <w:marTop w:val="0"/>
      <w:marBottom w:val="0"/>
      <w:divBdr>
        <w:top w:val="none" w:sz="0" w:space="0" w:color="auto"/>
        <w:left w:val="none" w:sz="0" w:space="0" w:color="auto"/>
        <w:bottom w:val="none" w:sz="0" w:space="0" w:color="auto"/>
        <w:right w:val="none" w:sz="0" w:space="0" w:color="auto"/>
      </w:divBdr>
    </w:div>
    <w:div w:id="2038577005">
      <w:bodyDiv w:val="1"/>
      <w:marLeft w:val="0"/>
      <w:marRight w:val="0"/>
      <w:marTop w:val="0"/>
      <w:marBottom w:val="0"/>
      <w:divBdr>
        <w:top w:val="none" w:sz="0" w:space="0" w:color="auto"/>
        <w:left w:val="none" w:sz="0" w:space="0" w:color="auto"/>
        <w:bottom w:val="none" w:sz="0" w:space="0" w:color="auto"/>
        <w:right w:val="none" w:sz="0" w:space="0" w:color="auto"/>
      </w:divBdr>
    </w:div>
    <w:div w:id="2045448155">
      <w:bodyDiv w:val="1"/>
      <w:marLeft w:val="0"/>
      <w:marRight w:val="0"/>
      <w:marTop w:val="0"/>
      <w:marBottom w:val="0"/>
      <w:divBdr>
        <w:top w:val="none" w:sz="0" w:space="0" w:color="auto"/>
        <w:left w:val="none" w:sz="0" w:space="0" w:color="auto"/>
        <w:bottom w:val="none" w:sz="0" w:space="0" w:color="auto"/>
        <w:right w:val="none" w:sz="0" w:space="0" w:color="auto"/>
      </w:divBdr>
    </w:div>
    <w:div w:id="2047371300">
      <w:bodyDiv w:val="1"/>
      <w:marLeft w:val="0"/>
      <w:marRight w:val="0"/>
      <w:marTop w:val="0"/>
      <w:marBottom w:val="0"/>
      <w:divBdr>
        <w:top w:val="none" w:sz="0" w:space="0" w:color="auto"/>
        <w:left w:val="none" w:sz="0" w:space="0" w:color="auto"/>
        <w:bottom w:val="none" w:sz="0" w:space="0" w:color="auto"/>
        <w:right w:val="none" w:sz="0" w:space="0" w:color="auto"/>
      </w:divBdr>
    </w:div>
    <w:div w:id="2055960920">
      <w:bodyDiv w:val="1"/>
      <w:marLeft w:val="0"/>
      <w:marRight w:val="0"/>
      <w:marTop w:val="0"/>
      <w:marBottom w:val="0"/>
      <w:divBdr>
        <w:top w:val="none" w:sz="0" w:space="0" w:color="auto"/>
        <w:left w:val="none" w:sz="0" w:space="0" w:color="auto"/>
        <w:bottom w:val="none" w:sz="0" w:space="0" w:color="auto"/>
        <w:right w:val="none" w:sz="0" w:space="0" w:color="auto"/>
      </w:divBdr>
    </w:div>
    <w:div w:id="2058889702">
      <w:bodyDiv w:val="1"/>
      <w:marLeft w:val="0"/>
      <w:marRight w:val="0"/>
      <w:marTop w:val="0"/>
      <w:marBottom w:val="0"/>
      <w:divBdr>
        <w:top w:val="none" w:sz="0" w:space="0" w:color="auto"/>
        <w:left w:val="none" w:sz="0" w:space="0" w:color="auto"/>
        <w:bottom w:val="none" w:sz="0" w:space="0" w:color="auto"/>
        <w:right w:val="none" w:sz="0" w:space="0" w:color="auto"/>
      </w:divBdr>
    </w:div>
    <w:div w:id="2062437171">
      <w:bodyDiv w:val="1"/>
      <w:marLeft w:val="0"/>
      <w:marRight w:val="0"/>
      <w:marTop w:val="0"/>
      <w:marBottom w:val="0"/>
      <w:divBdr>
        <w:top w:val="none" w:sz="0" w:space="0" w:color="auto"/>
        <w:left w:val="none" w:sz="0" w:space="0" w:color="auto"/>
        <w:bottom w:val="none" w:sz="0" w:space="0" w:color="auto"/>
        <w:right w:val="none" w:sz="0" w:space="0" w:color="auto"/>
      </w:divBdr>
    </w:div>
    <w:div w:id="2062747476">
      <w:bodyDiv w:val="1"/>
      <w:marLeft w:val="0"/>
      <w:marRight w:val="0"/>
      <w:marTop w:val="0"/>
      <w:marBottom w:val="0"/>
      <w:divBdr>
        <w:top w:val="none" w:sz="0" w:space="0" w:color="auto"/>
        <w:left w:val="none" w:sz="0" w:space="0" w:color="auto"/>
        <w:bottom w:val="none" w:sz="0" w:space="0" w:color="auto"/>
        <w:right w:val="none" w:sz="0" w:space="0" w:color="auto"/>
      </w:divBdr>
    </w:div>
    <w:div w:id="2064668605">
      <w:bodyDiv w:val="1"/>
      <w:marLeft w:val="0"/>
      <w:marRight w:val="0"/>
      <w:marTop w:val="0"/>
      <w:marBottom w:val="0"/>
      <w:divBdr>
        <w:top w:val="none" w:sz="0" w:space="0" w:color="auto"/>
        <w:left w:val="none" w:sz="0" w:space="0" w:color="auto"/>
        <w:bottom w:val="none" w:sz="0" w:space="0" w:color="auto"/>
        <w:right w:val="none" w:sz="0" w:space="0" w:color="auto"/>
      </w:divBdr>
    </w:div>
    <w:div w:id="2071683508">
      <w:bodyDiv w:val="1"/>
      <w:marLeft w:val="0"/>
      <w:marRight w:val="0"/>
      <w:marTop w:val="0"/>
      <w:marBottom w:val="0"/>
      <w:divBdr>
        <w:top w:val="none" w:sz="0" w:space="0" w:color="auto"/>
        <w:left w:val="none" w:sz="0" w:space="0" w:color="auto"/>
        <w:bottom w:val="none" w:sz="0" w:space="0" w:color="auto"/>
        <w:right w:val="none" w:sz="0" w:space="0" w:color="auto"/>
      </w:divBdr>
    </w:div>
    <w:div w:id="2072341211">
      <w:bodyDiv w:val="1"/>
      <w:marLeft w:val="0"/>
      <w:marRight w:val="0"/>
      <w:marTop w:val="0"/>
      <w:marBottom w:val="0"/>
      <w:divBdr>
        <w:top w:val="none" w:sz="0" w:space="0" w:color="auto"/>
        <w:left w:val="none" w:sz="0" w:space="0" w:color="auto"/>
        <w:bottom w:val="none" w:sz="0" w:space="0" w:color="auto"/>
        <w:right w:val="none" w:sz="0" w:space="0" w:color="auto"/>
      </w:divBdr>
    </w:div>
    <w:div w:id="2075275175">
      <w:bodyDiv w:val="1"/>
      <w:marLeft w:val="0"/>
      <w:marRight w:val="0"/>
      <w:marTop w:val="0"/>
      <w:marBottom w:val="0"/>
      <w:divBdr>
        <w:top w:val="none" w:sz="0" w:space="0" w:color="auto"/>
        <w:left w:val="none" w:sz="0" w:space="0" w:color="auto"/>
        <w:bottom w:val="none" w:sz="0" w:space="0" w:color="auto"/>
        <w:right w:val="none" w:sz="0" w:space="0" w:color="auto"/>
      </w:divBdr>
    </w:div>
    <w:div w:id="2075935011">
      <w:bodyDiv w:val="1"/>
      <w:marLeft w:val="0"/>
      <w:marRight w:val="0"/>
      <w:marTop w:val="0"/>
      <w:marBottom w:val="0"/>
      <w:divBdr>
        <w:top w:val="none" w:sz="0" w:space="0" w:color="auto"/>
        <w:left w:val="none" w:sz="0" w:space="0" w:color="auto"/>
        <w:bottom w:val="none" w:sz="0" w:space="0" w:color="auto"/>
        <w:right w:val="none" w:sz="0" w:space="0" w:color="auto"/>
      </w:divBdr>
    </w:div>
    <w:div w:id="2077506179">
      <w:bodyDiv w:val="1"/>
      <w:marLeft w:val="0"/>
      <w:marRight w:val="0"/>
      <w:marTop w:val="0"/>
      <w:marBottom w:val="0"/>
      <w:divBdr>
        <w:top w:val="none" w:sz="0" w:space="0" w:color="auto"/>
        <w:left w:val="none" w:sz="0" w:space="0" w:color="auto"/>
        <w:bottom w:val="none" w:sz="0" w:space="0" w:color="auto"/>
        <w:right w:val="none" w:sz="0" w:space="0" w:color="auto"/>
      </w:divBdr>
    </w:div>
    <w:div w:id="2082558986">
      <w:bodyDiv w:val="1"/>
      <w:marLeft w:val="0"/>
      <w:marRight w:val="0"/>
      <w:marTop w:val="0"/>
      <w:marBottom w:val="0"/>
      <w:divBdr>
        <w:top w:val="none" w:sz="0" w:space="0" w:color="auto"/>
        <w:left w:val="none" w:sz="0" w:space="0" w:color="auto"/>
        <w:bottom w:val="none" w:sz="0" w:space="0" w:color="auto"/>
        <w:right w:val="none" w:sz="0" w:space="0" w:color="auto"/>
      </w:divBdr>
    </w:div>
    <w:div w:id="2082680812">
      <w:bodyDiv w:val="1"/>
      <w:marLeft w:val="0"/>
      <w:marRight w:val="0"/>
      <w:marTop w:val="0"/>
      <w:marBottom w:val="0"/>
      <w:divBdr>
        <w:top w:val="none" w:sz="0" w:space="0" w:color="auto"/>
        <w:left w:val="none" w:sz="0" w:space="0" w:color="auto"/>
        <w:bottom w:val="none" w:sz="0" w:space="0" w:color="auto"/>
        <w:right w:val="none" w:sz="0" w:space="0" w:color="auto"/>
      </w:divBdr>
    </w:div>
    <w:div w:id="2086687860">
      <w:bodyDiv w:val="1"/>
      <w:marLeft w:val="0"/>
      <w:marRight w:val="0"/>
      <w:marTop w:val="0"/>
      <w:marBottom w:val="0"/>
      <w:divBdr>
        <w:top w:val="none" w:sz="0" w:space="0" w:color="auto"/>
        <w:left w:val="none" w:sz="0" w:space="0" w:color="auto"/>
        <w:bottom w:val="none" w:sz="0" w:space="0" w:color="auto"/>
        <w:right w:val="none" w:sz="0" w:space="0" w:color="auto"/>
      </w:divBdr>
    </w:div>
    <w:div w:id="2090342991">
      <w:bodyDiv w:val="1"/>
      <w:marLeft w:val="0"/>
      <w:marRight w:val="0"/>
      <w:marTop w:val="0"/>
      <w:marBottom w:val="0"/>
      <w:divBdr>
        <w:top w:val="none" w:sz="0" w:space="0" w:color="auto"/>
        <w:left w:val="none" w:sz="0" w:space="0" w:color="auto"/>
        <w:bottom w:val="none" w:sz="0" w:space="0" w:color="auto"/>
        <w:right w:val="none" w:sz="0" w:space="0" w:color="auto"/>
      </w:divBdr>
    </w:div>
    <w:div w:id="2091660399">
      <w:bodyDiv w:val="1"/>
      <w:marLeft w:val="0"/>
      <w:marRight w:val="0"/>
      <w:marTop w:val="0"/>
      <w:marBottom w:val="0"/>
      <w:divBdr>
        <w:top w:val="none" w:sz="0" w:space="0" w:color="auto"/>
        <w:left w:val="none" w:sz="0" w:space="0" w:color="auto"/>
        <w:bottom w:val="none" w:sz="0" w:space="0" w:color="auto"/>
        <w:right w:val="none" w:sz="0" w:space="0" w:color="auto"/>
      </w:divBdr>
    </w:div>
    <w:div w:id="2098400714">
      <w:bodyDiv w:val="1"/>
      <w:marLeft w:val="0"/>
      <w:marRight w:val="0"/>
      <w:marTop w:val="0"/>
      <w:marBottom w:val="0"/>
      <w:divBdr>
        <w:top w:val="none" w:sz="0" w:space="0" w:color="auto"/>
        <w:left w:val="none" w:sz="0" w:space="0" w:color="auto"/>
        <w:bottom w:val="none" w:sz="0" w:space="0" w:color="auto"/>
        <w:right w:val="none" w:sz="0" w:space="0" w:color="auto"/>
      </w:divBdr>
    </w:div>
    <w:div w:id="2107073797">
      <w:bodyDiv w:val="1"/>
      <w:marLeft w:val="0"/>
      <w:marRight w:val="0"/>
      <w:marTop w:val="0"/>
      <w:marBottom w:val="0"/>
      <w:divBdr>
        <w:top w:val="none" w:sz="0" w:space="0" w:color="auto"/>
        <w:left w:val="none" w:sz="0" w:space="0" w:color="auto"/>
        <w:bottom w:val="none" w:sz="0" w:space="0" w:color="auto"/>
        <w:right w:val="none" w:sz="0" w:space="0" w:color="auto"/>
      </w:divBdr>
    </w:div>
    <w:div w:id="2107774508">
      <w:bodyDiv w:val="1"/>
      <w:marLeft w:val="0"/>
      <w:marRight w:val="0"/>
      <w:marTop w:val="0"/>
      <w:marBottom w:val="0"/>
      <w:divBdr>
        <w:top w:val="none" w:sz="0" w:space="0" w:color="auto"/>
        <w:left w:val="none" w:sz="0" w:space="0" w:color="auto"/>
        <w:bottom w:val="none" w:sz="0" w:space="0" w:color="auto"/>
        <w:right w:val="none" w:sz="0" w:space="0" w:color="auto"/>
      </w:divBdr>
    </w:div>
    <w:div w:id="2110730127">
      <w:bodyDiv w:val="1"/>
      <w:marLeft w:val="0"/>
      <w:marRight w:val="0"/>
      <w:marTop w:val="0"/>
      <w:marBottom w:val="0"/>
      <w:divBdr>
        <w:top w:val="none" w:sz="0" w:space="0" w:color="auto"/>
        <w:left w:val="none" w:sz="0" w:space="0" w:color="auto"/>
        <w:bottom w:val="none" w:sz="0" w:space="0" w:color="auto"/>
        <w:right w:val="none" w:sz="0" w:space="0" w:color="auto"/>
      </w:divBdr>
    </w:div>
    <w:div w:id="2112309606">
      <w:bodyDiv w:val="1"/>
      <w:marLeft w:val="0"/>
      <w:marRight w:val="0"/>
      <w:marTop w:val="0"/>
      <w:marBottom w:val="0"/>
      <w:divBdr>
        <w:top w:val="none" w:sz="0" w:space="0" w:color="auto"/>
        <w:left w:val="none" w:sz="0" w:space="0" w:color="auto"/>
        <w:bottom w:val="none" w:sz="0" w:space="0" w:color="auto"/>
        <w:right w:val="none" w:sz="0" w:space="0" w:color="auto"/>
      </w:divBdr>
    </w:div>
    <w:div w:id="2116124391">
      <w:bodyDiv w:val="1"/>
      <w:marLeft w:val="0"/>
      <w:marRight w:val="0"/>
      <w:marTop w:val="0"/>
      <w:marBottom w:val="0"/>
      <w:divBdr>
        <w:top w:val="none" w:sz="0" w:space="0" w:color="auto"/>
        <w:left w:val="none" w:sz="0" w:space="0" w:color="auto"/>
        <w:bottom w:val="none" w:sz="0" w:space="0" w:color="auto"/>
        <w:right w:val="none" w:sz="0" w:space="0" w:color="auto"/>
      </w:divBdr>
    </w:div>
    <w:div w:id="2119521971">
      <w:bodyDiv w:val="1"/>
      <w:marLeft w:val="0"/>
      <w:marRight w:val="0"/>
      <w:marTop w:val="0"/>
      <w:marBottom w:val="0"/>
      <w:divBdr>
        <w:top w:val="none" w:sz="0" w:space="0" w:color="auto"/>
        <w:left w:val="none" w:sz="0" w:space="0" w:color="auto"/>
        <w:bottom w:val="none" w:sz="0" w:space="0" w:color="auto"/>
        <w:right w:val="none" w:sz="0" w:space="0" w:color="auto"/>
      </w:divBdr>
    </w:div>
    <w:div w:id="2121990457">
      <w:bodyDiv w:val="1"/>
      <w:marLeft w:val="0"/>
      <w:marRight w:val="0"/>
      <w:marTop w:val="0"/>
      <w:marBottom w:val="0"/>
      <w:divBdr>
        <w:top w:val="none" w:sz="0" w:space="0" w:color="auto"/>
        <w:left w:val="none" w:sz="0" w:space="0" w:color="auto"/>
        <w:bottom w:val="none" w:sz="0" w:space="0" w:color="auto"/>
        <w:right w:val="none" w:sz="0" w:space="0" w:color="auto"/>
      </w:divBdr>
    </w:div>
    <w:div w:id="2126609728">
      <w:bodyDiv w:val="1"/>
      <w:marLeft w:val="0"/>
      <w:marRight w:val="0"/>
      <w:marTop w:val="0"/>
      <w:marBottom w:val="0"/>
      <w:divBdr>
        <w:top w:val="none" w:sz="0" w:space="0" w:color="auto"/>
        <w:left w:val="none" w:sz="0" w:space="0" w:color="auto"/>
        <w:bottom w:val="none" w:sz="0" w:space="0" w:color="auto"/>
        <w:right w:val="none" w:sz="0" w:space="0" w:color="auto"/>
      </w:divBdr>
    </w:div>
    <w:div w:id="2142723390">
      <w:bodyDiv w:val="1"/>
      <w:marLeft w:val="0"/>
      <w:marRight w:val="0"/>
      <w:marTop w:val="0"/>
      <w:marBottom w:val="0"/>
      <w:divBdr>
        <w:top w:val="none" w:sz="0" w:space="0" w:color="auto"/>
        <w:left w:val="none" w:sz="0" w:space="0" w:color="auto"/>
        <w:bottom w:val="none" w:sz="0" w:space="0" w:color="auto"/>
        <w:right w:val="none" w:sz="0" w:space="0" w:color="auto"/>
      </w:divBdr>
    </w:div>
    <w:div w:id="2143764539">
      <w:bodyDiv w:val="1"/>
      <w:marLeft w:val="0"/>
      <w:marRight w:val="0"/>
      <w:marTop w:val="0"/>
      <w:marBottom w:val="0"/>
      <w:divBdr>
        <w:top w:val="none" w:sz="0" w:space="0" w:color="auto"/>
        <w:left w:val="none" w:sz="0" w:space="0" w:color="auto"/>
        <w:bottom w:val="none" w:sz="0" w:space="0" w:color="auto"/>
        <w:right w:val="none" w:sz="0" w:space="0" w:color="auto"/>
      </w:divBdr>
    </w:div>
    <w:div w:id="2145731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1.xml"/><Relationship Id="rId18" Type="http://schemas.openxmlformats.org/officeDocument/2006/relationships/diagramLayout" Target="diagrams/layout1.xml"/><Relationship Id="rId26" Type="http://schemas.openxmlformats.org/officeDocument/2006/relationships/image" Target="media/image5.jpeg"/><Relationship Id="rId39" Type="http://schemas.openxmlformats.org/officeDocument/2006/relationships/chart" Target="charts/chart11.xml"/><Relationship Id="rId21" Type="http://schemas.microsoft.com/office/2007/relationships/diagramDrawing" Target="diagrams/drawing1.xml"/><Relationship Id="rId34" Type="http://schemas.openxmlformats.org/officeDocument/2006/relationships/chart" Target="charts/chart6.xml"/><Relationship Id="rId42" Type="http://schemas.openxmlformats.org/officeDocument/2006/relationships/chart" Target="charts/chart14.xml"/><Relationship Id="rId47" Type="http://schemas.openxmlformats.org/officeDocument/2006/relationships/chart" Target="charts/chart19.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footer" Target="footer5.xml"/><Relationship Id="rId29" Type="http://schemas.openxmlformats.org/officeDocument/2006/relationships/image" Target="media/image8.jpeg"/><Relationship Id="rId11" Type="http://schemas.openxmlformats.org/officeDocument/2006/relationships/hyperlink" Target="http://www.botas.gov.tr/" TargetMode="External"/><Relationship Id="rId24" Type="http://schemas.openxmlformats.org/officeDocument/2006/relationships/image" Target="media/image3.gif"/><Relationship Id="rId32" Type="http://schemas.openxmlformats.org/officeDocument/2006/relationships/chart" Target="charts/chart4.xml"/><Relationship Id="rId37" Type="http://schemas.openxmlformats.org/officeDocument/2006/relationships/chart" Target="charts/chart9.xml"/><Relationship Id="rId40" Type="http://schemas.openxmlformats.org/officeDocument/2006/relationships/chart" Target="charts/chart12.xml"/><Relationship Id="rId45" Type="http://schemas.openxmlformats.org/officeDocument/2006/relationships/chart" Target="charts/chart17.xml"/><Relationship Id="rId5" Type="http://schemas.openxmlformats.org/officeDocument/2006/relationships/settings" Target="settings.xml"/><Relationship Id="rId15" Type="http://schemas.openxmlformats.org/officeDocument/2006/relationships/footer" Target="footer4.xml"/><Relationship Id="rId23" Type="http://schemas.openxmlformats.org/officeDocument/2006/relationships/image" Target="media/image2.jpeg"/><Relationship Id="rId28" Type="http://schemas.openxmlformats.org/officeDocument/2006/relationships/image" Target="media/image7.jpeg"/><Relationship Id="rId36" Type="http://schemas.openxmlformats.org/officeDocument/2006/relationships/chart" Target="charts/chart8.xml"/><Relationship Id="rId49"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diagramQuickStyle" Target="diagrams/quickStyle1.xml"/><Relationship Id="rId31" Type="http://schemas.openxmlformats.org/officeDocument/2006/relationships/chart" Target="charts/chart3.xml"/><Relationship Id="rId44" Type="http://schemas.openxmlformats.org/officeDocument/2006/relationships/chart" Target="charts/chart16.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chart" Target="charts/chart2.xml"/><Relationship Id="rId22" Type="http://schemas.openxmlformats.org/officeDocument/2006/relationships/image" Target="media/image1.jpeg"/><Relationship Id="rId27" Type="http://schemas.openxmlformats.org/officeDocument/2006/relationships/image" Target="media/image6.jpeg"/><Relationship Id="rId30" Type="http://schemas.openxmlformats.org/officeDocument/2006/relationships/footer" Target="footer6.xml"/><Relationship Id="rId35" Type="http://schemas.openxmlformats.org/officeDocument/2006/relationships/chart" Target="charts/chart7.xml"/><Relationship Id="rId43" Type="http://schemas.openxmlformats.org/officeDocument/2006/relationships/chart" Target="charts/chart15.xml"/><Relationship Id="rId48"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footer" Target="footer3.xml"/><Relationship Id="rId17" Type="http://schemas.openxmlformats.org/officeDocument/2006/relationships/diagramData" Target="diagrams/data1.xml"/><Relationship Id="rId25" Type="http://schemas.openxmlformats.org/officeDocument/2006/relationships/image" Target="media/image4.gif"/><Relationship Id="rId33" Type="http://schemas.openxmlformats.org/officeDocument/2006/relationships/chart" Target="charts/chart5.xml"/><Relationship Id="rId38" Type="http://schemas.openxmlformats.org/officeDocument/2006/relationships/chart" Target="charts/chart10.xml"/><Relationship Id="rId46" Type="http://schemas.openxmlformats.org/officeDocument/2006/relationships/chart" Target="charts/chart18.xml"/><Relationship Id="rId20" Type="http://schemas.openxmlformats.org/officeDocument/2006/relationships/diagramColors" Target="diagrams/colors1.xml"/><Relationship Id="rId41" Type="http://schemas.openxmlformats.org/officeDocument/2006/relationships/chart" Target="charts/chart13.xml"/><Relationship Id="rId1" Type="http://schemas.openxmlformats.org/officeDocument/2006/relationships/customXml" Target="../customXml/item1.xml"/><Relationship Id="rId6"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ounal\Desktop\Daire\Y&#305;ll&#305;k%20Faaliyet%20Raporlar&#305;\2024%20Y&#305;l&#305;%20Faaliyet%20Raporu\Grafikler.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ounal\Desktop\Daire\Y&#305;ll&#305;k%20Faaliyet%20Raporlar&#305;\2023%20Y&#305;l&#305;%20Faaliyet%20Raporu\Grafikler.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1.xml"/></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2.xml"/></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oleObject" Target="file:///C:\Users\mkostekci\AppData\Local\Microsoft\Windows\INetCache\Content.Outlook\3LB2EOE1\sekt&#246;rel%20grafik%202024%20v-2.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C:\Users\mtig\Desktop\sekt&#246;r%20raporu\y&#305;ll&#305;k\2024%20faaliyet\2024%20y&#305;l&#305;%20&#351;ikayet%20grafik%20v-1.xlsx" TargetMode="External"/><Relationship Id="rId2" Type="http://schemas.microsoft.com/office/2011/relationships/chartColorStyle" Target="colors6.xml"/><Relationship Id="rId1" Type="http://schemas.microsoft.com/office/2011/relationships/chartStyle" Target="style6.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mtig\Desktop\sekt&#246;r%20raporu\y&#305;ll&#305;k\2024%20faaliyet\2024%20y&#305;l&#305;%20&#351;ikayet%20grafik%20v-1.xlsx" TargetMode="External"/><Relationship Id="rId2" Type="http://schemas.microsoft.com/office/2011/relationships/chartColorStyle" Target="colors7.xml"/><Relationship Id="rId1" Type="http://schemas.microsoft.com/office/2011/relationships/chartStyle" Target="style7.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mtig\Desktop\sekt&#246;r%20raporu\y&#305;ll&#305;k\2024%20faaliyet\2024%20y&#305;l&#305;%20&#351;ikayet%20grafik%20v-1.xlsx" TargetMode="External"/><Relationship Id="rId2" Type="http://schemas.microsoft.com/office/2011/relationships/chartColorStyle" Target="colors8.xml"/><Relationship Id="rId1" Type="http://schemas.microsoft.com/office/2011/relationships/chartStyle" Target="style8.xml"/></Relationships>
</file>

<file path=word/charts/_rels/chart12.xml.rels><?xml version="1.0" encoding="UTF-8" standalone="yes"?>
<Relationships xmlns="http://schemas.openxmlformats.org/package/2006/relationships"><Relationship Id="rId3" Type="http://schemas.openxmlformats.org/officeDocument/2006/relationships/oleObject" Target="Kitap1" TargetMode="External"/><Relationship Id="rId2" Type="http://schemas.microsoft.com/office/2011/relationships/chartColorStyle" Target="colors9.xml"/><Relationship Id="rId1" Type="http://schemas.microsoft.com/office/2011/relationships/chartStyle" Target="style9.xml"/></Relationships>
</file>

<file path=word/charts/_rels/chart13.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oleObject" Target="file:///C:\Users\mkostekci\AppData\Local\Microsoft\Windows\INetCache\Content.Outlook\3LB2EOE1\sekt&#246;rel%20grafik%202024%20v-2.xlsx" TargetMode="External"/></Relationships>
</file>

<file path=word/charts/_rels/chart14.xml.rels><?xml version="1.0" encoding="UTF-8" standalone="yes"?>
<Relationships xmlns="http://schemas.openxmlformats.org/package/2006/relationships"><Relationship Id="rId3" Type="http://schemas.openxmlformats.org/officeDocument/2006/relationships/oleObject" Target="file:///C:\Users\mtig\Desktop\sekt&#246;r%20raporu\y&#305;ll&#305;k\2024%20faaliyet\2024%20y&#305;l&#305;%20&#351;ikayet%20grafik%20v-1.xlsx" TargetMode="External"/><Relationship Id="rId2" Type="http://schemas.microsoft.com/office/2011/relationships/chartColorStyle" Target="colors11.xml"/><Relationship Id="rId1" Type="http://schemas.microsoft.com/office/2011/relationships/chartStyle" Target="style11.xml"/></Relationships>
</file>

<file path=word/charts/_rels/chart1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12.xml"/><Relationship Id="rId1" Type="http://schemas.microsoft.com/office/2011/relationships/chartStyle" Target="style12.xml"/><Relationship Id="rId4" Type="http://schemas.openxmlformats.org/officeDocument/2006/relationships/oleObject" Target="file:///C:\Users\mkostekci\AppData\Local\Microsoft\Windows\INetCache\Content.Outlook\3LB2EOE1\sekt&#246;rel%20grafik%202024%20v-2.xlsx" TargetMode="External"/></Relationships>
</file>

<file path=word/charts/_rels/chart16.xml.rels><?xml version="1.0" encoding="UTF-8" standalone="yes"?>
<Relationships xmlns="http://schemas.openxmlformats.org/package/2006/relationships"><Relationship Id="rId3" Type="http://schemas.openxmlformats.org/officeDocument/2006/relationships/oleObject" Target="file:///C:\Users\mtig\Desktop\sekt&#246;r%20raporu\y&#305;ll&#305;k\2024%20faaliyet\2024%20y&#305;l&#305;%20&#351;ikayet%20grafik%20v-1.xlsx" TargetMode="External"/><Relationship Id="rId2" Type="http://schemas.microsoft.com/office/2011/relationships/chartColorStyle" Target="colors13.xml"/><Relationship Id="rId1" Type="http://schemas.microsoft.com/office/2011/relationships/chartStyle" Target="style13.xml"/></Relationships>
</file>

<file path=word/charts/_rels/chart17.xml.rels><?xml version="1.0" encoding="UTF-8" standalone="yes"?>
<Relationships xmlns="http://schemas.openxmlformats.org/package/2006/relationships"><Relationship Id="rId3" Type="http://schemas.openxmlformats.org/officeDocument/2006/relationships/oleObject" Target="file:///C:\Users\mtig\Desktop\sekt&#246;r%20raporu\y&#305;ll&#305;k\2024%20faaliyet\2024%20y&#305;l&#305;%20&#351;ikayet%20grafik%20v-1.xlsx" TargetMode="External"/><Relationship Id="rId2" Type="http://schemas.microsoft.com/office/2011/relationships/chartColorStyle" Target="colors14.xml"/><Relationship Id="rId1" Type="http://schemas.microsoft.com/office/2011/relationships/chartStyle" Target="style14.xml"/></Relationships>
</file>

<file path=word/charts/_rels/chart18.xml.rels><?xml version="1.0" encoding="UTF-8" standalone="yes"?>
<Relationships xmlns="http://schemas.openxmlformats.org/package/2006/relationships"><Relationship Id="rId3" Type="http://schemas.openxmlformats.org/officeDocument/2006/relationships/oleObject" Target="file:///C:\Users\mtig\Desktop\sekt&#246;r%20raporu\y&#305;ll&#305;k\2024%20faaliyet\2024%20y&#305;l&#305;%20&#351;ikayet%20grafik%20v-1.xlsx" TargetMode="External"/><Relationship Id="rId2" Type="http://schemas.microsoft.com/office/2011/relationships/chartColorStyle" Target="colors15.xml"/><Relationship Id="rId1" Type="http://schemas.microsoft.com/office/2011/relationships/chartStyle" Target="style15.xml"/></Relationships>
</file>

<file path=word/charts/_rels/chart19.xml.rels><?xml version="1.0" encoding="UTF-8" standalone="yes"?>
<Relationships xmlns="http://schemas.openxmlformats.org/package/2006/relationships"><Relationship Id="rId3" Type="http://schemas.openxmlformats.org/officeDocument/2006/relationships/oleObject" Target="file:///C:\Users\ekaya\Desktop\Yeni%20Microsoft%20Excel%20&#199;al&#305;&#351;ma%20Sayfas&#305;%20(4).xlsx" TargetMode="External"/><Relationship Id="rId2" Type="http://schemas.microsoft.com/office/2011/relationships/chartColorStyle" Target="colors16.xml"/><Relationship Id="rId1" Type="http://schemas.microsoft.com/office/2011/relationships/chartStyle" Target="style1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a:sp3d contourW="9525">
              <a:contourClr>
                <a:schemeClr val="accent1">
                  <a:shade val="9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Sayfa1!$A$1:$A$13</c:f>
              <c:strCache>
                <c:ptCount val="13"/>
                <c:pt idx="0">
                  <c:v>EPD</c:v>
                </c:pt>
                <c:pt idx="1">
                  <c:v>DDB</c:v>
                </c:pt>
                <c:pt idx="2">
                  <c:v>KDB</c:v>
                </c:pt>
                <c:pt idx="3">
                  <c:v>TDB</c:v>
                </c:pt>
                <c:pt idx="4">
                  <c:v>DPD</c:v>
                </c:pt>
                <c:pt idx="5">
                  <c:v>PPD</c:v>
                </c:pt>
                <c:pt idx="6">
                  <c:v>EDD</c:v>
                </c:pt>
                <c:pt idx="7">
                  <c:v>İKD</c:v>
                </c:pt>
                <c:pt idx="8">
                  <c:v>SGD</c:v>
                </c:pt>
                <c:pt idx="9">
                  <c:v>LPG</c:v>
                </c:pt>
                <c:pt idx="10">
                  <c:v>BİD</c:v>
                </c:pt>
                <c:pt idx="11">
                  <c:v>HDB</c:v>
                </c:pt>
                <c:pt idx="12">
                  <c:v>KHM</c:v>
                </c:pt>
              </c:strCache>
            </c:strRef>
          </c:cat>
          <c:val>
            <c:numRef>
              <c:f>Sayfa1!$B$1:$B$13</c:f>
              <c:numCache>
                <c:formatCode>General</c:formatCode>
                <c:ptCount val="13"/>
                <c:pt idx="0" formatCode="#,##0">
                  <c:v>2791</c:v>
                </c:pt>
                <c:pt idx="1">
                  <c:v>855</c:v>
                </c:pt>
                <c:pt idx="2">
                  <c:v>685</c:v>
                </c:pt>
                <c:pt idx="3">
                  <c:v>453</c:v>
                </c:pt>
                <c:pt idx="4">
                  <c:v>157</c:v>
                </c:pt>
                <c:pt idx="5">
                  <c:v>115</c:v>
                </c:pt>
                <c:pt idx="6">
                  <c:v>99</c:v>
                </c:pt>
                <c:pt idx="7">
                  <c:v>22</c:v>
                </c:pt>
                <c:pt idx="8">
                  <c:v>18</c:v>
                </c:pt>
                <c:pt idx="9">
                  <c:v>16</c:v>
                </c:pt>
                <c:pt idx="10">
                  <c:v>2</c:v>
                </c:pt>
                <c:pt idx="11">
                  <c:v>0</c:v>
                </c:pt>
                <c:pt idx="12">
                  <c:v>0</c:v>
                </c:pt>
              </c:numCache>
            </c:numRef>
          </c:val>
          <c:extLst>
            <c:ext xmlns:c16="http://schemas.microsoft.com/office/drawing/2014/chart" uri="{C3380CC4-5D6E-409C-BE32-E72D297353CC}">
              <c16:uniqueId val="{00000000-83F3-49F2-A8B0-677A09741490}"/>
            </c:ext>
          </c:extLst>
        </c:ser>
        <c:dLbls>
          <c:showLegendKey val="0"/>
          <c:showVal val="1"/>
          <c:showCatName val="0"/>
          <c:showSerName val="0"/>
          <c:showPercent val="0"/>
          <c:showBubbleSize val="0"/>
        </c:dLbls>
        <c:gapWidth val="150"/>
        <c:shape val="box"/>
        <c:axId val="1732254752"/>
        <c:axId val="1850240048"/>
        <c:axId val="0"/>
      </c:bar3DChart>
      <c:catAx>
        <c:axId val="173225475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tr-TR"/>
          </a:p>
        </c:txPr>
        <c:crossAx val="1850240048"/>
        <c:crosses val="autoZero"/>
        <c:auto val="1"/>
        <c:lblAlgn val="ctr"/>
        <c:lblOffset val="100"/>
        <c:noMultiLvlLbl val="0"/>
      </c:catAx>
      <c:valAx>
        <c:axId val="185024004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tr-TR"/>
          </a:p>
        </c:txPr>
        <c:crossAx val="173225475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Sayfa2!$B$1</c:f>
              <c:strCache>
                <c:ptCount val="1"/>
                <c:pt idx="0">
                  <c:v>2020</c:v>
                </c:pt>
              </c:strCache>
            </c:strRef>
          </c:tx>
          <c:spPr>
            <a:solidFill>
              <a:schemeClr val="accent1"/>
            </a:solidFill>
            <a:ln>
              <a:noFill/>
            </a:ln>
            <a:effectLst/>
          </c:spPr>
          <c:invertIfNegative val="0"/>
          <c:cat>
            <c:strRef>
              <c:f>Sayfa2!$A$2:$A$14</c:f>
              <c:strCache>
                <c:ptCount val="13"/>
                <c:pt idx="0">
                  <c:v>KDB</c:v>
                </c:pt>
                <c:pt idx="1">
                  <c:v>DDB</c:v>
                </c:pt>
                <c:pt idx="2">
                  <c:v>EPD</c:v>
                </c:pt>
                <c:pt idx="3">
                  <c:v>TDB</c:v>
                </c:pt>
                <c:pt idx="4">
                  <c:v>PPD</c:v>
                </c:pt>
                <c:pt idx="5">
                  <c:v>DPD</c:v>
                </c:pt>
                <c:pt idx="6">
                  <c:v>LPG</c:v>
                </c:pt>
                <c:pt idx="7">
                  <c:v>İKD</c:v>
                </c:pt>
                <c:pt idx="8">
                  <c:v>SGD</c:v>
                </c:pt>
                <c:pt idx="9">
                  <c:v>EDD</c:v>
                </c:pt>
                <c:pt idx="10">
                  <c:v>HDB</c:v>
                </c:pt>
                <c:pt idx="11">
                  <c:v>BİD</c:v>
                </c:pt>
                <c:pt idx="12">
                  <c:v>KHM</c:v>
                </c:pt>
              </c:strCache>
            </c:strRef>
          </c:cat>
          <c:val>
            <c:numRef>
              <c:f>Sayfa2!$B$2:$B$14</c:f>
              <c:numCache>
                <c:formatCode>#,##0</c:formatCode>
                <c:ptCount val="13"/>
                <c:pt idx="0">
                  <c:v>4986</c:v>
                </c:pt>
                <c:pt idx="1">
                  <c:v>1748</c:v>
                </c:pt>
                <c:pt idx="2">
                  <c:v>1723</c:v>
                </c:pt>
                <c:pt idx="3" formatCode="General">
                  <c:v>669</c:v>
                </c:pt>
                <c:pt idx="4" formatCode="General">
                  <c:v>225</c:v>
                </c:pt>
                <c:pt idx="5" formatCode="General">
                  <c:v>148</c:v>
                </c:pt>
                <c:pt idx="6" formatCode="General">
                  <c:v>79</c:v>
                </c:pt>
                <c:pt idx="7" formatCode="General">
                  <c:v>15</c:v>
                </c:pt>
                <c:pt idx="8" formatCode="General">
                  <c:v>24</c:v>
                </c:pt>
                <c:pt idx="9" formatCode="General">
                  <c:v>0</c:v>
                </c:pt>
                <c:pt idx="10" formatCode="General">
                  <c:v>0</c:v>
                </c:pt>
                <c:pt idx="11" formatCode="General">
                  <c:v>0</c:v>
                </c:pt>
                <c:pt idx="12" formatCode="General">
                  <c:v>0</c:v>
                </c:pt>
              </c:numCache>
            </c:numRef>
          </c:val>
          <c:extLst>
            <c:ext xmlns:c16="http://schemas.microsoft.com/office/drawing/2014/chart" uri="{C3380CC4-5D6E-409C-BE32-E72D297353CC}">
              <c16:uniqueId val="{00000000-68C9-443E-B57B-8B8FA004693D}"/>
            </c:ext>
          </c:extLst>
        </c:ser>
        <c:ser>
          <c:idx val="1"/>
          <c:order val="1"/>
          <c:tx>
            <c:strRef>
              <c:f>Sayfa2!$C$1</c:f>
              <c:strCache>
                <c:ptCount val="1"/>
                <c:pt idx="0">
                  <c:v>2021</c:v>
                </c:pt>
              </c:strCache>
            </c:strRef>
          </c:tx>
          <c:spPr>
            <a:solidFill>
              <a:schemeClr val="accent2"/>
            </a:solidFill>
            <a:ln>
              <a:noFill/>
            </a:ln>
            <a:effectLst/>
          </c:spPr>
          <c:invertIfNegative val="0"/>
          <c:cat>
            <c:strRef>
              <c:f>Sayfa2!$A$2:$A$14</c:f>
              <c:strCache>
                <c:ptCount val="13"/>
                <c:pt idx="0">
                  <c:v>KDB</c:v>
                </c:pt>
                <c:pt idx="1">
                  <c:v>DDB</c:v>
                </c:pt>
                <c:pt idx="2">
                  <c:v>EPD</c:v>
                </c:pt>
                <c:pt idx="3">
                  <c:v>TDB</c:v>
                </c:pt>
                <c:pt idx="4">
                  <c:v>PPD</c:v>
                </c:pt>
                <c:pt idx="5">
                  <c:v>DPD</c:v>
                </c:pt>
                <c:pt idx="6">
                  <c:v>LPG</c:v>
                </c:pt>
                <c:pt idx="7">
                  <c:v>İKD</c:v>
                </c:pt>
                <c:pt idx="8">
                  <c:v>SGD</c:v>
                </c:pt>
                <c:pt idx="9">
                  <c:v>EDD</c:v>
                </c:pt>
                <c:pt idx="10">
                  <c:v>HDB</c:v>
                </c:pt>
                <c:pt idx="11">
                  <c:v>BİD</c:v>
                </c:pt>
                <c:pt idx="12">
                  <c:v>KHM</c:v>
                </c:pt>
              </c:strCache>
            </c:strRef>
          </c:cat>
          <c:val>
            <c:numRef>
              <c:f>Sayfa2!$C$2:$C$14</c:f>
              <c:numCache>
                <c:formatCode>#,##0</c:formatCode>
                <c:ptCount val="13"/>
                <c:pt idx="0" formatCode="General">
                  <c:v>284</c:v>
                </c:pt>
                <c:pt idx="1">
                  <c:v>1967</c:v>
                </c:pt>
                <c:pt idx="2">
                  <c:v>1959</c:v>
                </c:pt>
                <c:pt idx="3" formatCode="General">
                  <c:v>475</c:v>
                </c:pt>
                <c:pt idx="4" formatCode="General">
                  <c:v>187</c:v>
                </c:pt>
                <c:pt idx="5" formatCode="General">
                  <c:v>200</c:v>
                </c:pt>
                <c:pt idx="6" formatCode="General">
                  <c:v>77</c:v>
                </c:pt>
                <c:pt idx="7" formatCode="General">
                  <c:v>44</c:v>
                </c:pt>
                <c:pt idx="8" formatCode="General">
                  <c:v>18</c:v>
                </c:pt>
                <c:pt idx="9" formatCode="General">
                  <c:v>0</c:v>
                </c:pt>
                <c:pt idx="10" formatCode="General">
                  <c:v>0</c:v>
                </c:pt>
                <c:pt idx="11" formatCode="General">
                  <c:v>1</c:v>
                </c:pt>
                <c:pt idx="12" formatCode="General">
                  <c:v>0</c:v>
                </c:pt>
              </c:numCache>
            </c:numRef>
          </c:val>
          <c:extLst>
            <c:ext xmlns:c16="http://schemas.microsoft.com/office/drawing/2014/chart" uri="{C3380CC4-5D6E-409C-BE32-E72D297353CC}">
              <c16:uniqueId val="{00000001-68C9-443E-B57B-8B8FA004693D}"/>
            </c:ext>
          </c:extLst>
        </c:ser>
        <c:ser>
          <c:idx val="2"/>
          <c:order val="2"/>
          <c:tx>
            <c:strRef>
              <c:f>Sayfa2!$D$1</c:f>
              <c:strCache>
                <c:ptCount val="1"/>
                <c:pt idx="0">
                  <c:v>2022</c:v>
                </c:pt>
              </c:strCache>
            </c:strRef>
          </c:tx>
          <c:spPr>
            <a:solidFill>
              <a:schemeClr val="accent3"/>
            </a:solidFill>
            <a:ln>
              <a:noFill/>
            </a:ln>
            <a:effectLst/>
          </c:spPr>
          <c:invertIfNegative val="0"/>
          <c:cat>
            <c:strRef>
              <c:f>Sayfa2!$A$2:$A$14</c:f>
              <c:strCache>
                <c:ptCount val="13"/>
                <c:pt idx="0">
                  <c:v>KDB</c:v>
                </c:pt>
                <c:pt idx="1">
                  <c:v>DDB</c:v>
                </c:pt>
                <c:pt idx="2">
                  <c:v>EPD</c:v>
                </c:pt>
                <c:pt idx="3">
                  <c:v>TDB</c:v>
                </c:pt>
                <c:pt idx="4">
                  <c:v>PPD</c:v>
                </c:pt>
                <c:pt idx="5">
                  <c:v>DPD</c:v>
                </c:pt>
                <c:pt idx="6">
                  <c:v>LPG</c:v>
                </c:pt>
                <c:pt idx="7">
                  <c:v>İKD</c:v>
                </c:pt>
                <c:pt idx="8">
                  <c:v>SGD</c:v>
                </c:pt>
                <c:pt idx="9">
                  <c:v>EDD</c:v>
                </c:pt>
                <c:pt idx="10">
                  <c:v>HDB</c:v>
                </c:pt>
                <c:pt idx="11">
                  <c:v>BİD</c:v>
                </c:pt>
                <c:pt idx="12">
                  <c:v>KHM</c:v>
                </c:pt>
              </c:strCache>
            </c:strRef>
          </c:cat>
          <c:val>
            <c:numRef>
              <c:f>Sayfa2!$D$2:$D$14</c:f>
              <c:numCache>
                <c:formatCode>#,##0</c:formatCode>
                <c:ptCount val="13"/>
                <c:pt idx="0" formatCode="General">
                  <c:v>442</c:v>
                </c:pt>
                <c:pt idx="1">
                  <c:v>1093</c:v>
                </c:pt>
                <c:pt idx="2">
                  <c:v>1942</c:v>
                </c:pt>
                <c:pt idx="3" formatCode="General">
                  <c:v>614</c:v>
                </c:pt>
                <c:pt idx="4" formatCode="General">
                  <c:v>134</c:v>
                </c:pt>
                <c:pt idx="5" formatCode="General">
                  <c:v>213</c:v>
                </c:pt>
                <c:pt idx="6" formatCode="General">
                  <c:v>38</c:v>
                </c:pt>
                <c:pt idx="7" formatCode="General">
                  <c:v>23</c:v>
                </c:pt>
                <c:pt idx="8" formatCode="General">
                  <c:v>17</c:v>
                </c:pt>
                <c:pt idx="9" formatCode="General">
                  <c:v>84</c:v>
                </c:pt>
                <c:pt idx="10" formatCode="General">
                  <c:v>2</c:v>
                </c:pt>
                <c:pt idx="11" formatCode="General">
                  <c:v>0</c:v>
                </c:pt>
                <c:pt idx="12" formatCode="General">
                  <c:v>0</c:v>
                </c:pt>
              </c:numCache>
            </c:numRef>
          </c:val>
          <c:extLst>
            <c:ext xmlns:c16="http://schemas.microsoft.com/office/drawing/2014/chart" uri="{C3380CC4-5D6E-409C-BE32-E72D297353CC}">
              <c16:uniqueId val="{00000002-68C9-443E-B57B-8B8FA004693D}"/>
            </c:ext>
          </c:extLst>
        </c:ser>
        <c:ser>
          <c:idx val="3"/>
          <c:order val="3"/>
          <c:tx>
            <c:strRef>
              <c:f>Sayfa2!$E$1</c:f>
              <c:strCache>
                <c:ptCount val="1"/>
                <c:pt idx="0">
                  <c:v>2023</c:v>
                </c:pt>
              </c:strCache>
            </c:strRef>
          </c:tx>
          <c:spPr>
            <a:solidFill>
              <a:schemeClr val="accent4"/>
            </a:solidFill>
            <a:ln>
              <a:noFill/>
            </a:ln>
            <a:effectLst/>
          </c:spPr>
          <c:invertIfNegative val="0"/>
          <c:cat>
            <c:strRef>
              <c:f>Sayfa2!$A$2:$A$14</c:f>
              <c:strCache>
                <c:ptCount val="13"/>
                <c:pt idx="0">
                  <c:v>KDB</c:v>
                </c:pt>
                <c:pt idx="1">
                  <c:v>DDB</c:v>
                </c:pt>
                <c:pt idx="2">
                  <c:v>EPD</c:v>
                </c:pt>
                <c:pt idx="3">
                  <c:v>TDB</c:v>
                </c:pt>
                <c:pt idx="4">
                  <c:v>PPD</c:v>
                </c:pt>
                <c:pt idx="5">
                  <c:v>DPD</c:v>
                </c:pt>
                <c:pt idx="6">
                  <c:v>LPG</c:v>
                </c:pt>
                <c:pt idx="7">
                  <c:v>İKD</c:v>
                </c:pt>
                <c:pt idx="8">
                  <c:v>SGD</c:v>
                </c:pt>
                <c:pt idx="9">
                  <c:v>EDD</c:v>
                </c:pt>
                <c:pt idx="10">
                  <c:v>HDB</c:v>
                </c:pt>
                <c:pt idx="11">
                  <c:v>BİD</c:v>
                </c:pt>
                <c:pt idx="12">
                  <c:v>KHM</c:v>
                </c:pt>
              </c:strCache>
            </c:strRef>
          </c:cat>
          <c:val>
            <c:numRef>
              <c:f>Sayfa2!$E$2:$E$14</c:f>
              <c:numCache>
                <c:formatCode>General</c:formatCode>
                <c:ptCount val="13"/>
                <c:pt idx="0">
                  <c:v>502</c:v>
                </c:pt>
                <c:pt idx="1">
                  <c:v>783</c:v>
                </c:pt>
                <c:pt idx="2" formatCode="#,##0">
                  <c:v>5234</c:v>
                </c:pt>
                <c:pt idx="3">
                  <c:v>468</c:v>
                </c:pt>
                <c:pt idx="4">
                  <c:v>125</c:v>
                </c:pt>
                <c:pt idx="5">
                  <c:v>176</c:v>
                </c:pt>
                <c:pt idx="6">
                  <c:v>17</c:v>
                </c:pt>
                <c:pt idx="7">
                  <c:v>28</c:v>
                </c:pt>
                <c:pt idx="8">
                  <c:v>15</c:v>
                </c:pt>
                <c:pt idx="9">
                  <c:v>129</c:v>
                </c:pt>
                <c:pt idx="10">
                  <c:v>2</c:v>
                </c:pt>
                <c:pt idx="11">
                  <c:v>2</c:v>
                </c:pt>
                <c:pt idx="12">
                  <c:v>1</c:v>
                </c:pt>
              </c:numCache>
            </c:numRef>
          </c:val>
          <c:extLst>
            <c:ext xmlns:c16="http://schemas.microsoft.com/office/drawing/2014/chart" uri="{C3380CC4-5D6E-409C-BE32-E72D297353CC}">
              <c16:uniqueId val="{00000003-68C9-443E-B57B-8B8FA004693D}"/>
            </c:ext>
          </c:extLst>
        </c:ser>
        <c:ser>
          <c:idx val="4"/>
          <c:order val="4"/>
          <c:tx>
            <c:strRef>
              <c:f>Sayfa2!$F$1</c:f>
              <c:strCache>
                <c:ptCount val="1"/>
                <c:pt idx="0">
                  <c:v>2024</c:v>
                </c:pt>
              </c:strCache>
            </c:strRef>
          </c:tx>
          <c:spPr>
            <a:solidFill>
              <a:schemeClr val="accent5"/>
            </a:solidFill>
            <a:ln>
              <a:noFill/>
            </a:ln>
            <a:effectLst/>
          </c:spPr>
          <c:invertIfNegative val="0"/>
          <c:cat>
            <c:strRef>
              <c:f>Sayfa2!$A$2:$A$14</c:f>
              <c:strCache>
                <c:ptCount val="13"/>
                <c:pt idx="0">
                  <c:v>KDB</c:v>
                </c:pt>
                <c:pt idx="1">
                  <c:v>DDB</c:v>
                </c:pt>
                <c:pt idx="2">
                  <c:v>EPD</c:v>
                </c:pt>
                <c:pt idx="3">
                  <c:v>TDB</c:v>
                </c:pt>
                <c:pt idx="4">
                  <c:v>PPD</c:v>
                </c:pt>
                <c:pt idx="5">
                  <c:v>DPD</c:v>
                </c:pt>
                <c:pt idx="6">
                  <c:v>LPG</c:v>
                </c:pt>
                <c:pt idx="7">
                  <c:v>İKD</c:v>
                </c:pt>
                <c:pt idx="8">
                  <c:v>SGD</c:v>
                </c:pt>
                <c:pt idx="9">
                  <c:v>EDD</c:v>
                </c:pt>
                <c:pt idx="10">
                  <c:v>HDB</c:v>
                </c:pt>
                <c:pt idx="11">
                  <c:v>BİD</c:v>
                </c:pt>
                <c:pt idx="12">
                  <c:v>KHM</c:v>
                </c:pt>
              </c:strCache>
            </c:strRef>
          </c:cat>
          <c:val>
            <c:numRef>
              <c:f>Sayfa2!$F$2:$F$14</c:f>
              <c:numCache>
                <c:formatCode>General</c:formatCode>
                <c:ptCount val="13"/>
                <c:pt idx="0">
                  <c:v>685</c:v>
                </c:pt>
                <c:pt idx="1">
                  <c:v>855</c:v>
                </c:pt>
                <c:pt idx="2" formatCode="#,##0">
                  <c:v>2791</c:v>
                </c:pt>
                <c:pt idx="3">
                  <c:v>453</c:v>
                </c:pt>
                <c:pt idx="4">
                  <c:v>115</c:v>
                </c:pt>
                <c:pt idx="5">
                  <c:v>157</c:v>
                </c:pt>
                <c:pt idx="6">
                  <c:v>16</c:v>
                </c:pt>
                <c:pt idx="7">
                  <c:v>22</c:v>
                </c:pt>
                <c:pt idx="8">
                  <c:v>18</c:v>
                </c:pt>
                <c:pt idx="9">
                  <c:v>99</c:v>
                </c:pt>
                <c:pt idx="10">
                  <c:v>0</c:v>
                </c:pt>
                <c:pt idx="11">
                  <c:v>2</c:v>
                </c:pt>
                <c:pt idx="12">
                  <c:v>0</c:v>
                </c:pt>
              </c:numCache>
            </c:numRef>
          </c:val>
          <c:extLst>
            <c:ext xmlns:c16="http://schemas.microsoft.com/office/drawing/2014/chart" uri="{C3380CC4-5D6E-409C-BE32-E72D297353CC}">
              <c16:uniqueId val="{00000004-68C9-443E-B57B-8B8FA004693D}"/>
            </c:ext>
          </c:extLst>
        </c:ser>
        <c:dLbls>
          <c:showLegendKey val="0"/>
          <c:showVal val="0"/>
          <c:showCatName val="0"/>
          <c:showSerName val="0"/>
          <c:showPercent val="0"/>
          <c:showBubbleSize val="0"/>
        </c:dLbls>
        <c:gapWidth val="219"/>
        <c:overlap val="-27"/>
        <c:axId val="1885788336"/>
        <c:axId val="1724517760"/>
      </c:barChart>
      <c:catAx>
        <c:axId val="188578833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tr-TR" b="1"/>
                  <a:t>Hizmet Birimi</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724517760"/>
        <c:crosses val="autoZero"/>
        <c:auto val="1"/>
        <c:lblAlgn val="ctr"/>
        <c:lblOffset val="100"/>
        <c:noMultiLvlLbl val="0"/>
      </c:catAx>
      <c:valAx>
        <c:axId val="17245177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tr-TR" b="1"/>
                  <a:t>Kurul Karar Sayısı</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85788336"/>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tr-TR"/>
              <a:t>Kurul Kararı Sayıları</a:t>
            </a:r>
            <a:endParaRPr lang="en-US"/>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tr-TR"/>
        </a:p>
      </c:txPr>
    </c:title>
    <c:autoTitleDeleted val="0"/>
    <c:plotArea>
      <c:layout>
        <c:manualLayout>
          <c:layoutTarget val="inner"/>
          <c:xMode val="edge"/>
          <c:yMode val="edge"/>
          <c:x val="0.26305774278215222"/>
          <c:y val="0.25779808773903262"/>
          <c:w val="0.70721995312083319"/>
          <c:h val="0.66998656417947755"/>
        </c:manualLayout>
      </c:layout>
      <c:barChart>
        <c:barDir val="bar"/>
        <c:grouping val="stacked"/>
        <c:varyColors val="0"/>
        <c:ser>
          <c:idx val="0"/>
          <c:order val="0"/>
          <c:tx>
            <c:strRef>
              <c:f>Sayfa1!$B$1</c:f>
              <c:strCache>
                <c:ptCount val="1"/>
                <c:pt idx="0">
                  <c:v>Seri 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solidFill>
                    <a:latin typeface="+mn-lt"/>
                    <a:ea typeface="+mn-ea"/>
                    <a:cs typeface="+mn-cs"/>
                  </a:defRPr>
                </a:pPr>
                <a:endParaRPr lang="tr-TR"/>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Sayfa1!$A$2:$A$10</c:f>
              <c:strCache>
                <c:ptCount val="9"/>
                <c:pt idx="0">
                  <c:v>İptal Tadil Diğer</c:v>
                </c:pt>
                <c:pt idx="1">
                  <c:v>Kamulaştırma</c:v>
                </c:pt>
                <c:pt idx="2">
                  <c:v>MH+DHTA İrtifak</c:v>
                </c:pt>
                <c:pt idx="3">
                  <c:v>MH+DHTA Kiralama</c:v>
                </c:pt>
                <c:pt idx="4">
                  <c:v>30 uncu Madde</c:v>
                </c:pt>
                <c:pt idx="5">
                  <c:v>Lüzum Kararı</c:v>
                </c:pt>
                <c:pt idx="6">
                  <c:v>Bedelsiz İrtifak</c:v>
                </c:pt>
                <c:pt idx="7">
                  <c:v>Büyükova</c:v>
                </c:pt>
                <c:pt idx="8">
                  <c:v>Acele Kamulaştırma</c:v>
                </c:pt>
              </c:strCache>
            </c:strRef>
          </c:cat>
          <c:val>
            <c:numRef>
              <c:f>Sayfa1!$B$2:$B$10</c:f>
              <c:numCache>
                <c:formatCode>General</c:formatCode>
                <c:ptCount val="9"/>
                <c:pt idx="0">
                  <c:v>103</c:v>
                </c:pt>
                <c:pt idx="1">
                  <c:v>131</c:v>
                </c:pt>
                <c:pt idx="2">
                  <c:v>193</c:v>
                </c:pt>
                <c:pt idx="3">
                  <c:v>88</c:v>
                </c:pt>
                <c:pt idx="4">
                  <c:v>55</c:v>
                </c:pt>
                <c:pt idx="5">
                  <c:v>29</c:v>
                </c:pt>
                <c:pt idx="6">
                  <c:v>10</c:v>
                </c:pt>
                <c:pt idx="7">
                  <c:v>10</c:v>
                </c:pt>
                <c:pt idx="8">
                  <c:v>66</c:v>
                </c:pt>
              </c:numCache>
            </c:numRef>
          </c:val>
          <c:extLst>
            <c:ext xmlns:c16="http://schemas.microsoft.com/office/drawing/2014/chart" uri="{C3380CC4-5D6E-409C-BE32-E72D297353CC}">
              <c16:uniqueId val="{00000000-07F7-4060-AA2B-D844E3DE8F30}"/>
            </c:ext>
          </c:extLst>
        </c:ser>
        <c:dLbls>
          <c:dLblPos val="ctr"/>
          <c:showLegendKey val="0"/>
          <c:showVal val="1"/>
          <c:showCatName val="0"/>
          <c:showSerName val="0"/>
          <c:showPercent val="0"/>
          <c:showBubbleSize val="0"/>
        </c:dLbls>
        <c:gapWidth val="79"/>
        <c:overlap val="100"/>
        <c:axId val="1529525744"/>
        <c:axId val="1566379216"/>
      </c:barChart>
      <c:catAx>
        <c:axId val="15295257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tr-TR"/>
          </a:p>
        </c:txPr>
        <c:crossAx val="1566379216"/>
        <c:crosses val="autoZero"/>
        <c:auto val="1"/>
        <c:lblAlgn val="ctr"/>
        <c:lblOffset val="100"/>
        <c:noMultiLvlLbl val="0"/>
      </c:catAx>
      <c:valAx>
        <c:axId val="1566379216"/>
        <c:scaling>
          <c:orientation val="minMax"/>
        </c:scaling>
        <c:delete val="1"/>
        <c:axPos val="b"/>
        <c:numFmt formatCode="General" sourceLinked="1"/>
        <c:majorTickMark val="none"/>
        <c:minorTickMark val="none"/>
        <c:tickLblPos val="nextTo"/>
        <c:crossAx val="152952574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US" sz="1400"/>
              <a:t>Kurul Kararı Sayısı</a:t>
            </a:r>
          </a:p>
        </c:rich>
      </c:tx>
      <c:layout>
        <c:manualLayout>
          <c:xMode val="edge"/>
          <c:yMode val="edge"/>
          <c:x val="0.34066662021229649"/>
          <c:y val="0"/>
        </c:manualLayout>
      </c:layout>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tr-TR"/>
        </a:p>
      </c:txPr>
    </c:title>
    <c:autoTitleDeleted val="0"/>
    <c:plotArea>
      <c:layout/>
      <c:pieChart>
        <c:varyColors val="1"/>
        <c:ser>
          <c:idx val="0"/>
          <c:order val="0"/>
          <c:tx>
            <c:strRef>
              <c:f>Sayfa1!$B$1</c:f>
              <c:strCache>
                <c:ptCount val="1"/>
                <c:pt idx="0">
                  <c:v>Kurul Kararı Sayısı</c:v>
                </c:pt>
              </c:strCache>
            </c:strRef>
          </c:tx>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194B-4F30-88FB-719A5FE419E8}"/>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194B-4F30-88FB-719A5FE419E8}"/>
              </c:ext>
            </c:extLst>
          </c:dPt>
          <c:dPt>
            <c:idx val="2"/>
            <c:bubble3D val="0"/>
            <c:spPr>
              <a:solidFill>
                <a:schemeClr val="accent3"/>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194B-4F30-88FB-719A5FE419E8}"/>
              </c:ext>
            </c:extLst>
          </c:dPt>
          <c:dPt>
            <c:idx val="3"/>
            <c:bubble3D val="0"/>
            <c:spPr>
              <a:solidFill>
                <a:schemeClr val="accent4"/>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7-194B-4F30-88FB-719A5FE419E8}"/>
              </c:ext>
            </c:extLst>
          </c:dPt>
          <c:dPt>
            <c:idx val="4"/>
            <c:bubble3D val="0"/>
            <c:spPr>
              <a:solidFill>
                <a:schemeClr val="accent5"/>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9-194B-4F30-88FB-719A5FE419E8}"/>
              </c:ext>
            </c:extLst>
          </c:dPt>
          <c:dPt>
            <c:idx val="5"/>
            <c:bubble3D val="0"/>
            <c:spPr>
              <a:solidFill>
                <a:schemeClr val="accent6"/>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B-194B-4F30-88FB-719A5FE419E8}"/>
              </c:ext>
            </c:extLst>
          </c:dPt>
          <c:dLbls>
            <c:dLbl>
              <c:idx val="0"/>
              <c:layout>
                <c:manualLayout>
                  <c:x val="2.3640628992172352E-2"/>
                  <c:y val="-2.2684957349081377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94B-4F30-88FB-719A5FE419E8}"/>
                </c:ext>
              </c:extLst>
            </c:dLbl>
            <c:dLbl>
              <c:idx val="1"/>
              <c:layout>
                <c:manualLayout>
                  <c:x val="1.6548533203261009E-2"/>
                  <c:y val="-3.3880003280839892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3-194B-4F30-88FB-719A5FE419E8}"/>
                </c:ext>
              </c:extLst>
            </c:dLbl>
            <c:dLbl>
              <c:idx val="2"/>
              <c:layout>
                <c:manualLayout>
                  <c:x val="3.5461036396999046E-2"/>
                  <c:y val="3.7237122703412076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5-194B-4F30-88FB-719A5FE419E8}"/>
                </c:ext>
              </c:extLst>
            </c:dLbl>
            <c:dLbl>
              <c:idx val="3"/>
              <c:layout>
                <c:manualLayout>
                  <c:x val="1.1761689080900199E-2"/>
                  <c:y val="0.13468996062992125"/>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7-194B-4F30-88FB-719A5FE419E8}"/>
                </c:ext>
              </c:extLst>
            </c:dLbl>
            <c:dLbl>
              <c:idx val="4"/>
              <c:layout>
                <c:manualLayout>
                  <c:x val="-3.5460992907801421E-2"/>
                  <c:y val="-2.6578073089700997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9-194B-4F30-88FB-719A5FE419E8}"/>
                </c:ext>
              </c:extLst>
            </c:dLbl>
            <c:spPr>
              <a:noFill/>
              <a:ln>
                <a:noFill/>
              </a:ln>
              <a:effectLst/>
            </c:spPr>
            <c:dLblPos val="outEnd"/>
            <c:showLegendKey val="0"/>
            <c:showVal val="1"/>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Sayfa1!$A$2:$A$6</c:f>
              <c:strCache>
                <c:ptCount val="5"/>
                <c:pt idx="0">
                  <c:v>Doğal Gaz Dağıtım</c:v>
                </c:pt>
                <c:pt idx="1">
                  <c:v>Doğal Gaz İletim</c:v>
                </c:pt>
                <c:pt idx="2">
                  <c:v>Doğal Gaz Depolama</c:v>
                </c:pt>
                <c:pt idx="3">
                  <c:v>Petrol Tesisleri</c:v>
                </c:pt>
                <c:pt idx="4">
                  <c:v>Elektrik Üretim</c:v>
                </c:pt>
              </c:strCache>
            </c:strRef>
          </c:cat>
          <c:val>
            <c:numRef>
              <c:f>Sayfa1!$B$2:$B$6</c:f>
              <c:numCache>
                <c:formatCode>General</c:formatCode>
                <c:ptCount val="5"/>
                <c:pt idx="0">
                  <c:v>95</c:v>
                </c:pt>
                <c:pt idx="1">
                  <c:v>25</c:v>
                </c:pt>
                <c:pt idx="2">
                  <c:v>0</c:v>
                </c:pt>
                <c:pt idx="3">
                  <c:v>1</c:v>
                </c:pt>
                <c:pt idx="4">
                  <c:v>564</c:v>
                </c:pt>
              </c:numCache>
            </c:numRef>
          </c:val>
          <c:extLst>
            <c:ext xmlns:c16="http://schemas.microsoft.com/office/drawing/2014/chart" uri="{C3380CC4-5D6E-409C-BE32-E72D297353CC}">
              <c16:uniqueId val="{0000000C-194B-4F30-88FB-719A5FE419E8}"/>
            </c:ext>
          </c:extLst>
        </c:ser>
        <c:dLbls>
          <c:dLblPos val="outEnd"/>
          <c:showLegendKey val="0"/>
          <c:showVal val="1"/>
          <c:showCatName val="0"/>
          <c:showSerName val="0"/>
          <c:showPercent val="0"/>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27"/>
    </mc:Choice>
    <mc:Fallback>
      <c:style val="27"/>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Sayfa1!$B$1</c:f>
              <c:strCache>
                <c:ptCount val="1"/>
                <c:pt idx="0">
                  <c:v>2022</c:v>
                </c:pt>
              </c:strCache>
            </c:strRef>
          </c:tx>
          <c:invertIfNegative val="0"/>
          <c:cat>
            <c:strRef>
              <c:f>Sayfa1!$A$2:$A$8</c:f>
              <c:strCache>
                <c:ptCount val="7"/>
                <c:pt idx="0">
                  <c:v>Elektrik</c:v>
                </c:pt>
                <c:pt idx="1">
                  <c:v>Doğalgaz</c:v>
                </c:pt>
                <c:pt idx="2">
                  <c:v>Petrol</c:v>
                </c:pt>
                <c:pt idx="3">
                  <c:v>Lpg</c:v>
                </c:pt>
                <c:pt idx="4">
                  <c:v>Kamulaştırma</c:v>
                </c:pt>
                <c:pt idx="5">
                  <c:v>Diğer</c:v>
                </c:pt>
                <c:pt idx="6">
                  <c:v>Toplam</c:v>
                </c:pt>
              </c:strCache>
            </c:strRef>
          </c:cat>
          <c:val>
            <c:numRef>
              <c:f>Sayfa1!$B$2:$B$8</c:f>
              <c:numCache>
                <c:formatCode>General</c:formatCode>
                <c:ptCount val="7"/>
                <c:pt idx="0" formatCode="#,##0">
                  <c:v>1329</c:v>
                </c:pt>
                <c:pt idx="1">
                  <c:v>16</c:v>
                </c:pt>
                <c:pt idx="2" formatCode="#,##0">
                  <c:v>2168</c:v>
                </c:pt>
                <c:pt idx="3">
                  <c:v>69</c:v>
                </c:pt>
                <c:pt idx="4">
                  <c:v>340</c:v>
                </c:pt>
                <c:pt idx="5">
                  <c:v>21</c:v>
                </c:pt>
                <c:pt idx="6" formatCode="#,##0">
                  <c:v>3943</c:v>
                </c:pt>
              </c:numCache>
            </c:numRef>
          </c:val>
          <c:extLst>
            <c:ext xmlns:c16="http://schemas.microsoft.com/office/drawing/2014/chart" uri="{C3380CC4-5D6E-409C-BE32-E72D297353CC}">
              <c16:uniqueId val="{00000000-982B-4433-AED3-A55EBE7A02C1}"/>
            </c:ext>
          </c:extLst>
        </c:ser>
        <c:ser>
          <c:idx val="1"/>
          <c:order val="1"/>
          <c:tx>
            <c:strRef>
              <c:f>Sayfa1!$C$1</c:f>
              <c:strCache>
                <c:ptCount val="1"/>
                <c:pt idx="0">
                  <c:v>2023</c:v>
                </c:pt>
              </c:strCache>
            </c:strRef>
          </c:tx>
          <c:spPr>
            <a:solidFill>
              <a:schemeClr val="bg2">
                <a:lumMod val="50000"/>
              </a:schemeClr>
            </a:solidFill>
          </c:spPr>
          <c:invertIfNegative val="0"/>
          <c:cat>
            <c:strRef>
              <c:f>Sayfa1!$A$2:$A$8</c:f>
              <c:strCache>
                <c:ptCount val="7"/>
                <c:pt idx="0">
                  <c:v>Elektrik</c:v>
                </c:pt>
                <c:pt idx="1">
                  <c:v>Doğalgaz</c:v>
                </c:pt>
                <c:pt idx="2">
                  <c:v>Petrol</c:v>
                </c:pt>
                <c:pt idx="3">
                  <c:v>Lpg</c:v>
                </c:pt>
                <c:pt idx="4">
                  <c:v>Kamulaştırma</c:v>
                </c:pt>
                <c:pt idx="5">
                  <c:v>Diğer</c:v>
                </c:pt>
                <c:pt idx="6">
                  <c:v>Toplam</c:v>
                </c:pt>
              </c:strCache>
            </c:strRef>
          </c:cat>
          <c:val>
            <c:numRef>
              <c:f>Sayfa1!$C$2:$C$8</c:f>
              <c:numCache>
                <c:formatCode>General</c:formatCode>
                <c:ptCount val="7"/>
                <c:pt idx="0" formatCode="#,##0">
                  <c:v>483</c:v>
                </c:pt>
                <c:pt idx="1">
                  <c:v>15</c:v>
                </c:pt>
                <c:pt idx="2" formatCode="#,##0">
                  <c:v>1152</c:v>
                </c:pt>
                <c:pt idx="3">
                  <c:v>23</c:v>
                </c:pt>
                <c:pt idx="4">
                  <c:v>260</c:v>
                </c:pt>
                <c:pt idx="5">
                  <c:v>16</c:v>
                </c:pt>
                <c:pt idx="6" formatCode="#,##0">
                  <c:v>1949</c:v>
                </c:pt>
              </c:numCache>
            </c:numRef>
          </c:val>
          <c:extLst>
            <c:ext xmlns:c16="http://schemas.microsoft.com/office/drawing/2014/chart" uri="{C3380CC4-5D6E-409C-BE32-E72D297353CC}">
              <c16:uniqueId val="{00000001-982B-4433-AED3-A55EBE7A02C1}"/>
            </c:ext>
          </c:extLst>
        </c:ser>
        <c:ser>
          <c:idx val="2"/>
          <c:order val="2"/>
          <c:tx>
            <c:strRef>
              <c:f>Sayfa1!$D$1</c:f>
              <c:strCache>
                <c:ptCount val="1"/>
                <c:pt idx="0">
                  <c:v>2024</c:v>
                </c:pt>
              </c:strCache>
            </c:strRef>
          </c:tx>
          <c:spPr>
            <a:solidFill>
              <a:schemeClr val="accent2"/>
            </a:solidFill>
          </c:spPr>
          <c:invertIfNegative val="0"/>
          <c:cat>
            <c:strRef>
              <c:f>Sayfa1!$A$2:$A$8</c:f>
              <c:strCache>
                <c:ptCount val="7"/>
                <c:pt idx="0">
                  <c:v>Elektrik</c:v>
                </c:pt>
                <c:pt idx="1">
                  <c:v>Doğalgaz</c:v>
                </c:pt>
                <c:pt idx="2">
                  <c:v>Petrol</c:v>
                </c:pt>
                <c:pt idx="3">
                  <c:v>Lpg</c:v>
                </c:pt>
                <c:pt idx="4">
                  <c:v>Kamulaştırma</c:v>
                </c:pt>
                <c:pt idx="5">
                  <c:v>Diğer</c:v>
                </c:pt>
                <c:pt idx="6">
                  <c:v>Toplam</c:v>
                </c:pt>
              </c:strCache>
            </c:strRef>
          </c:cat>
          <c:val>
            <c:numRef>
              <c:f>Sayfa1!$D$2:$D$8</c:f>
              <c:numCache>
                <c:formatCode>General</c:formatCode>
                <c:ptCount val="7"/>
                <c:pt idx="0" formatCode="#,##0">
                  <c:v>345</c:v>
                </c:pt>
                <c:pt idx="1">
                  <c:v>26</c:v>
                </c:pt>
                <c:pt idx="2" formatCode="#,##0">
                  <c:v>786</c:v>
                </c:pt>
                <c:pt idx="3">
                  <c:v>23</c:v>
                </c:pt>
                <c:pt idx="4">
                  <c:v>223</c:v>
                </c:pt>
                <c:pt idx="5">
                  <c:v>20</c:v>
                </c:pt>
                <c:pt idx="6" formatCode="#,##0">
                  <c:v>1423</c:v>
                </c:pt>
              </c:numCache>
            </c:numRef>
          </c:val>
          <c:extLst>
            <c:ext xmlns:c16="http://schemas.microsoft.com/office/drawing/2014/chart" uri="{C3380CC4-5D6E-409C-BE32-E72D297353CC}">
              <c16:uniqueId val="{00000002-982B-4433-AED3-A55EBE7A02C1}"/>
            </c:ext>
          </c:extLst>
        </c:ser>
        <c:dLbls>
          <c:showLegendKey val="0"/>
          <c:showVal val="0"/>
          <c:showCatName val="0"/>
          <c:showSerName val="0"/>
          <c:showPercent val="0"/>
          <c:showBubbleSize val="0"/>
        </c:dLbls>
        <c:gapWidth val="150"/>
        <c:axId val="213922560"/>
        <c:axId val="213924096"/>
      </c:barChart>
      <c:catAx>
        <c:axId val="213922560"/>
        <c:scaling>
          <c:orientation val="minMax"/>
        </c:scaling>
        <c:delete val="0"/>
        <c:axPos val="b"/>
        <c:numFmt formatCode="General" sourceLinked="0"/>
        <c:majorTickMark val="none"/>
        <c:minorTickMark val="none"/>
        <c:tickLblPos val="nextTo"/>
        <c:crossAx val="213924096"/>
        <c:crosses val="autoZero"/>
        <c:auto val="1"/>
        <c:lblAlgn val="ctr"/>
        <c:lblOffset val="100"/>
        <c:noMultiLvlLbl val="0"/>
      </c:catAx>
      <c:valAx>
        <c:axId val="213924096"/>
        <c:scaling>
          <c:orientation val="minMax"/>
        </c:scaling>
        <c:delete val="0"/>
        <c:axPos val="l"/>
        <c:majorGridlines/>
        <c:numFmt formatCode="#,##0" sourceLinked="0"/>
        <c:majorTickMark val="none"/>
        <c:minorTickMark val="none"/>
        <c:tickLblPos val="nextTo"/>
        <c:txPr>
          <a:bodyPr/>
          <a:lstStyle/>
          <a:p>
            <a:pPr>
              <a:defRPr sz="1050"/>
            </a:pPr>
            <a:endParaRPr lang="tr-TR"/>
          </a:p>
        </c:txPr>
        <c:crossAx val="213922560"/>
        <c:crosses val="autoZero"/>
        <c:crossBetween val="between"/>
      </c:valAx>
      <c:dTable>
        <c:showHorzBorder val="1"/>
        <c:showVertBorder val="1"/>
        <c:showOutline val="1"/>
        <c:showKeys val="1"/>
        <c:txPr>
          <a:bodyPr/>
          <a:lstStyle/>
          <a:p>
            <a:pPr rtl="0">
              <a:defRPr sz="800"/>
            </a:pPr>
            <a:endParaRPr lang="tr-TR"/>
          </a:p>
        </c:txPr>
      </c:dTable>
      <c:spPr>
        <a:solidFill>
          <a:schemeClr val="accent4">
            <a:lumMod val="20000"/>
            <a:lumOff val="80000"/>
          </a:schemeClr>
        </a:solidFill>
      </c:spPr>
    </c:plotArea>
    <c:plotVisOnly val="1"/>
    <c:dispBlanksAs val="gap"/>
    <c:showDLblsOverMax val="0"/>
  </c:chart>
  <c:txPr>
    <a:bodyPr/>
    <a:lstStyle/>
    <a:p>
      <a:pPr>
        <a:defRPr sz="1800"/>
      </a:pPr>
      <a:endParaRPr lang="tr-TR"/>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10"/>
    </mc:Choice>
    <mc:Fallback>
      <c:style val="10"/>
    </mc:Fallback>
  </mc:AlternateContent>
  <c:clrMapOvr bg1="lt1" tx1="dk1" bg2="lt2" tx2="dk2" accent1="accent1" accent2="accent2" accent3="accent3" accent4="accent4" accent5="accent5" accent6="accent6" hlink="hlink" folHlink="folHlink"/>
  <c:chart>
    <c:autoTitleDeleted val="1"/>
    <c:view3D>
      <c:rotX val="15"/>
      <c:rotY val="20"/>
      <c:rAngAx val="1"/>
    </c:view3D>
    <c:floor>
      <c:thickness val="0"/>
    </c:floor>
    <c:sideWall>
      <c:thickness val="0"/>
      <c:spPr>
        <a:solidFill>
          <a:schemeClr val="accent6">
            <a:lumMod val="20000"/>
            <a:lumOff val="80000"/>
          </a:schemeClr>
        </a:solidFill>
      </c:spPr>
    </c:sideWall>
    <c:backWall>
      <c:thickness val="0"/>
      <c:spPr>
        <a:solidFill>
          <a:schemeClr val="accent6">
            <a:lumMod val="20000"/>
            <a:lumOff val="80000"/>
          </a:schemeClr>
        </a:solidFill>
      </c:spPr>
    </c:backWall>
    <c:plotArea>
      <c:layout>
        <c:manualLayout>
          <c:layoutTarget val="inner"/>
          <c:xMode val="edge"/>
          <c:yMode val="edge"/>
          <c:x val="0.15173276951492173"/>
          <c:y val="5.5435091244662379E-2"/>
          <c:w val="0.83944888833340281"/>
          <c:h val="0.61297028405429899"/>
        </c:manualLayout>
      </c:layout>
      <c:bar3DChart>
        <c:barDir val="col"/>
        <c:grouping val="stacked"/>
        <c:varyColors val="0"/>
        <c:ser>
          <c:idx val="0"/>
          <c:order val="0"/>
          <c:tx>
            <c:strRef>
              <c:f>Sayfa1!$B$1</c:f>
              <c:strCache>
                <c:ptCount val="1"/>
                <c:pt idx="0">
                  <c:v>Lehe Olanlar</c:v>
                </c:pt>
              </c:strCache>
            </c:strRef>
          </c:tx>
          <c:invertIfNegative val="0"/>
          <c:dLbls>
            <c:dLbl>
              <c:idx val="2"/>
              <c:layout>
                <c:manualLayout>
                  <c:x val="-1.8697323603265759E-3"/>
                  <c:y val="1.273993204299556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B664-431F-90AF-0F07F7A16831}"/>
                </c:ext>
              </c:extLst>
            </c:dLbl>
            <c:spPr>
              <a:noFill/>
              <a:ln>
                <a:noFill/>
              </a:ln>
              <a:effectLst/>
            </c:spPr>
            <c:txPr>
              <a:bodyPr wrap="square" lIns="38100" tIns="19050" rIns="38100" bIns="19050" anchor="ctr">
                <a:spAutoFit/>
              </a:bodyPr>
              <a:lstStyle/>
              <a:p>
                <a:pPr>
                  <a:defRPr sz="1000"/>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Sayfa1!$A$2:$A$4</c:f>
              <c:strCache>
                <c:ptCount val="3"/>
                <c:pt idx="0">
                  <c:v>Ceza Davaları</c:v>
                </c:pt>
                <c:pt idx="1">
                  <c:v>İdari Davalar</c:v>
                </c:pt>
                <c:pt idx="2">
                  <c:v>Hukuk Davaları</c:v>
                </c:pt>
              </c:strCache>
            </c:strRef>
          </c:cat>
          <c:val>
            <c:numRef>
              <c:f>Sayfa1!$B$2:$B$4</c:f>
              <c:numCache>
                <c:formatCode>#,##0</c:formatCode>
                <c:ptCount val="3"/>
                <c:pt idx="0">
                  <c:v>9481</c:v>
                </c:pt>
                <c:pt idx="1">
                  <c:v>15825</c:v>
                </c:pt>
                <c:pt idx="2" formatCode="General">
                  <c:v>207</c:v>
                </c:pt>
              </c:numCache>
            </c:numRef>
          </c:val>
          <c:extLst>
            <c:ext xmlns:c16="http://schemas.microsoft.com/office/drawing/2014/chart" uri="{C3380CC4-5D6E-409C-BE32-E72D297353CC}">
              <c16:uniqueId val="{00000001-B664-431F-90AF-0F07F7A16831}"/>
            </c:ext>
          </c:extLst>
        </c:ser>
        <c:ser>
          <c:idx val="1"/>
          <c:order val="1"/>
          <c:tx>
            <c:strRef>
              <c:f>Sayfa1!$C$1</c:f>
              <c:strCache>
                <c:ptCount val="1"/>
                <c:pt idx="0">
                  <c:v>Aleyhe Olanlar</c:v>
                </c:pt>
              </c:strCache>
            </c:strRef>
          </c:tx>
          <c:invertIfNegative val="0"/>
          <c:dLbls>
            <c:dLbl>
              <c:idx val="2"/>
              <c:layout>
                <c:manualLayout>
                  <c:x val="0"/>
                  <c:y val="-5.350771458058137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B664-431F-90AF-0F07F7A16831}"/>
                </c:ext>
              </c:extLst>
            </c:dLbl>
            <c:spPr>
              <a:noFill/>
              <a:ln>
                <a:noFill/>
              </a:ln>
              <a:effectLst/>
            </c:spPr>
            <c:txPr>
              <a:bodyPr wrap="square" lIns="38100" tIns="19050" rIns="38100" bIns="19050" anchor="ctr">
                <a:spAutoFit/>
              </a:bodyPr>
              <a:lstStyle/>
              <a:p>
                <a:pPr>
                  <a:defRPr sz="1000"/>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Sayfa1!$A$2:$A$4</c:f>
              <c:strCache>
                <c:ptCount val="3"/>
                <c:pt idx="0">
                  <c:v>Ceza Davaları</c:v>
                </c:pt>
                <c:pt idx="1">
                  <c:v>İdari Davalar</c:v>
                </c:pt>
                <c:pt idx="2">
                  <c:v>Hukuk Davaları</c:v>
                </c:pt>
              </c:strCache>
            </c:strRef>
          </c:cat>
          <c:val>
            <c:numRef>
              <c:f>Sayfa1!$C$2:$C$4</c:f>
              <c:numCache>
                <c:formatCode>#,##0</c:formatCode>
                <c:ptCount val="3"/>
                <c:pt idx="0">
                  <c:v>1283</c:v>
                </c:pt>
                <c:pt idx="1">
                  <c:v>5574</c:v>
                </c:pt>
                <c:pt idx="2" formatCode="General">
                  <c:v>47</c:v>
                </c:pt>
              </c:numCache>
            </c:numRef>
          </c:val>
          <c:extLst>
            <c:ext xmlns:c16="http://schemas.microsoft.com/office/drawing/2014/chart" uri="{C3380CC4-5D6E-409C-BE32-E72D297353CC}">
              <c16:uniqueId val="{00000003-B664-431F-90AF-0F07F7A16831}"/>
            </c:ext>
          </c:extLst>
        </c:ser>
        <c:dLbls>
          <c:showLegendKey val="0"/>
          <c:showVal val="1"/>
          <c:showCatName val="0"/>
          <c:showSerName val="0"/>
          <c:showPercent val="0"/>
          <c:showBubbleSize val="0"/>
        </c:dLbls>
        <c:gapWidth val="75"/>
        <c:shape val="box"/>
        <c:axId val="257481344"/>
        <c:axId val="257487232"/>
        <c:axId val="0"/>
      </c:bar3DChart>
      <c:catAx>
        <c:axId val="257481344"/>
        <c:scaling>
          <c:orientation val="minMax"/>
        </c:scaling>
        <c:delete val="0"/>
        <c:axPos val="b"/>
        <c:numFmt formatCode="General" sourceLinked="0"/>
        <c:majorTickMark val="none"/>
        <c:minorTickMark val="none"/>
        <c:tickLblPos val="nextTo"/>
        <c:txPr>
          <a:bodyPr/>
          <a:lstStyle/>
          <a:p>
            <a:pPr>
              <a:defRPr sz="1050"/>
            </a:pPr>
            <a:endParaRPr lang="tr-TR"/>
          </a:p>
        </c:txPr>
        <c:crossAx val="257487232"/>
        <c:crosses val="autoZero"/>
        <c:auto val="1"/>
        <c:lblAlgn val="ctr"/>
        <c:lblOffset val="100"/>
        <c:noMultiLvlLbl val="0"/>
      </c:catAx>
      <c:valAx>
        <c:axId val="257487232"/>
        <c:scaling>
          <c:orientation val="minMax"/>
        </c:scaling>
        <c:delete val="0"/>
        <c:axPos val="l"/>
        <c:numFmt formatCode="#,##0" sourceLinked="1"/>
        <c:majorTickMark val="none"/>
        <c:minorTickMark val="none"/>
        <c:tickLblPos val="nextTo"/>
        <c:txPr>
          <a:bodyPr/>
          <a:lstStyle/>
          <a:p>
            <a:pPr>
              <a:defRPr sz="1000"/>
            </a:pPr>
            <a:endParaRPr lang="tr-TR"/>
          </a:p>
        </c:txPr>
        <c:crossAx val="257481344"/>
        <c:crosses val="autoZero"/>
        <c:crossBetween val="between"/>
      </c:valAx>
    </c:plotArea>
    <c:legend>
      <c:legendPos val="b"/>
      <c:overlay val="0"/>
      <c:txPr>
        <a:bodyPr/>
        <a:lstStyle/>
        <a:p>
          <a:pPr>
            <a:defRPr sz="1200"/>
          </a:pPr>
          <a:endParaRPr lang="tr-TR"/>
        </a:p>
      </c:txPr>
    </c:legend>
    <c:plotVisOnly val="1"/>
    <c:dispBlanksAs val="gap"/>
    <c:showDLblsOverMax val="0"/>
  </c:chart>
  <c:txPr>
    <a:bodyPr/>
    <a:lstStyle/>
    <a:p>
      <a:pPr>
        <a:defRPr sz="1800"/>
      </a:pPr>
      <a:endParaRPr lang="tr-TR"/>
    </a:p>
  </c:tx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31711512171341971"/>
          <c:y val="9.5061682563618523E-4"/>
          <c:w val="0.86187549234676752"/>
          <c:h val="0.43357497724587385"/>
        </c:manualLayout>
      </c:layout>
      <c:barChart>
        <c:barDir val="col"/>
        <c:grouping val="clustered"/>
        <c:varyColors val="0"/>
        <c:ser>
          <c:idx val="0"/>
          <c:order val="0"/>
          <c:tx>
            <c:strRef>
              <c:f>Sayfa1!$B$1</c:f>
              <c:strCache>
                <c:ptCount val="1"/>
                <c:pt idx="0">
                  <c:v>2022</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c:spPr>
          <c:invertIfNegative val="0"/>
          <c:cat>
            <c:strRef>
              <c:f>Sayfa1!$A$2:$A$15</c:f>
              <c:strCache>
                <c:ptCount val="13"/>
                <c:pt idx="0">
                  <c:v>Elektrik Piyasası Dairesi Başkanlığı</c:v>
                </c:pt>
                <c:pt idx="1">
                  <c:v>Doğalgaz Piyasası Dairesi Başkanlığı</c:v>
                </c:pt>
                <c:pt idx="2">
                  <c:v>Petrol Piyasası Dairesi Başkanlığı</c:v>
                </c:pt>
                <c:pt idx="3">
                  <c:v>LPG Piyasası Dairesi Başkanlığı</c:v>
                </c:pt>
                <c:pt idx="4">
                  <c:v>Enerji Dönüşüm Dairesi Başkanlığı</c:v>
                </c:pt>
                <c:pt idx="5">
                  <c:v>Kamulaş- tırma Dairesi Başkanlığı</c:v>
                </c:pt>
                <c:pt idx="6">
                  <c:v>Denetim Dairesi Başkanlığı</c:v>
                </c:pt>
                <c:pt idx="7">
                  <c:v>Tarifeler Dairesi Başkanlığı</c:v>
                </c:pt>
                <c:pt idx="8">
                  <c:v>İnsan Kaynakları ve Destek Hizm. D. Başkanlığı</c:v>
                </c:pt>
                <c:pt idx="9">
                  <c:v>Strateji Geliştirme Dairesi Başkanlığı</c:v>
                </c:pt>
                <c:pt idx="10">
                  <c:v>Bilgi İşlem Dairesi Başkanlığı</c:v>
                </c:pt>
                <c:pt idx="11">
                  <c:v>Cumhur-başkanlığı, Bakanlık- lar ve Diğer Kamu K.</c:v>
                </c:pt>
                <c:pt idx="12">
                  <c:v>Toplam</c:v>
                </c:pt>
              </c:strCache>
            </c:strRef>
          </c:cat>
          <c:val>
            <c:numRef>
              <c:f>Sayfa1!$B$2:$B$15</c:f>
              <c:numCache>
                <c:formatCode>General</c:formatCode>
                <c:ptCount val="14"/>
                <c:pt idx="0">
                  <c:v>5</c:v>
                </c:pt>
                <c:pt idx="1">
                  <c:v>7</c:v>
                </c:pt>
                <c:pt idx="2">
                  <c:v>18</c:v>
                </c:pt>
                <c:pt idx="3">
                  <c:v>4</c:v>
                </c:pt>
                <c:pt idx="4">
                  <c:v>1</c:v>
                </c:pt>
                <c:pt idx="5">
                  <c:v>2</c:v>
                </c:pt>
                <c:pt idx="6">
                  <c:v>3</c:v>
                </c:pt>
                <c:pt idx="7">
                  <c:v>2</c:v>
                </c:pt>
                <c:pt idx="8">
                  <c:v>6</c:v>
                </c:pt>
                <c:pt idx="9">
                  <c:v>6</c:v>
                </c:pt>
                <c:pt idx="10">
                  <c:v>0</c:v>
                </c:pt>
                <c:pt idx="11">
                  <c:v>80</c:v>
                </c:pt>
                <c:pt idx="12">
                  <c:v>131</c:v>
                </c:pt>
              </c:numCache>
            </c:numRef>
          </c:val>
          <c:extLst>
            <c:ext xmlns:c16="http://schemas.microsoft.com/office/drawing/2014/chart" uri="{C3380CC4-5D6E-409C-BE32-E72D297353CC}">
              <c16:uniqueId val="{00000000-512A-4E1E-BECE-3F196F690E17}"/>
            </c:ext>
          </c:extLst>
        </c:ser>
        <c:ser>
          <c:idx val="1"/>
          <c:order val="1"/>
          <c:tx>
            <c:strRef>
              <c:f>Sayfa1!$C$1</c:f>
              <c:strCache>
                <c:ptCount val="1"/>
                <c:pt idx="0">
                  <c:v>2023</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c:spPr>
          <c:invertIfNegative val="0"/>
          <c:cat>
            <c:strRef>
              <c:f>Sayfa1!$A$2:$A$15</c:f>
              <c:strCache>
                <c:ptCount val="13"/>
                <c:pt idx="0">
                  <c:v>Elektrik Piyasası Dairesi Başkanlığı</c:v>
                </c:pt>
                <c:pt idx="1">
                  <c:v>Doğalgaz Piyasası Dairesi Başkanlığı</c:v>
                </c:pt>
                <c:pt idx="2">
                  <c:v>Petrol Piyasası Dairesi Başkanlığı</c:v>
                </c:pt>
                <c:pt idx="3">
                  <c:v>LPG Piyasası Dairesi Başkanlığı</c:v>
                </c:pt>
                <c:pt idx="4">
                  <c:v>Enerji Dönüşüm Dairesi Başkanlığı</c:v>
                </c:pt>
                <c:pt idx="5">
                  <c:v>Kamulaş- tırma Dairesi Başkanlığı</c:v>
                </c:pt>
                <c:pt idx="6">
                  <c:v>Denetim Dairesi Başkanlığı</c:v>
                </c:pt>
                <c:pt idx="7">
                  <c:v>Tarifeler Dairesi Başkanlığı</c:v>
                </c:pt>
                <c:pt idx="8">
                  <c:v>İnsan Kaynakları ve Destek Hizm. D. Başkanlığı</c:v>
                </c:pt>
                <c:pt idx="9">
                  <c:v>Strateji Geliştirme Dairesi Başkanlığı</c:v>
                </c:pt>
                <c:pt idx="10">
                  <c:v>Bilgi İşlem Dairesi Başkanlığı</c:v>
                </c:pt>
                <c:pt idx="11">
                  <c:v>Cumhur-başkanlığı, Bakanlık- lar ve Diğer Kamu K.</c:v>
                </c:pt>
                <c:pt idx="12">
                  <c:v>Toplam</c:v>
                </c:pt>
              </c:strCache>
            </c:strRef>
          </c:cat>
          <c:val>
            <c:numRef>
              <c:f>Sayfa1!$C$2:$C$15</c:f>
              <c:numCache>
                <c:formatCode>General</c:formatCode>
                <c:ptCount val="14"/>
                <c:pt idx="0">
                  <c:v>5</c:v>
                </c:pt>
                <c:pt idx="1">
                  <c:v>1</c:v>
                </c:pt>
                <c:pt idx="2">
                  <c:v>15</c:v>
                </c:pt>
                <c:pt idx="3">
                  <c:v>0</c:v>
                </c:pt>
                <c:pt idx="4">
                  <c:v>1</c:v>
                </c:pt>
                <c:pt idx="5">
                  <c:v>2</c:v>
                </c:pt>
                <c:pt idx="6">
                  <c:v>7</c:v>
                </c:pt>
                <c:pt idx="7">
                  <c:v>4</c:v>
                </c:pt>
                <c:pt idx="8">
                  <c:v>3</c:v>
                </c:pt>
                <c:pt idx="9">
                  <c:v>10</c:v>
                </c:pt>
                <c:pt idx="10">
                  <c:v>3</c:v>
                </c:pt>
                <c:pt idx="11">
                  <c:v>69</c:v>
                </c:pt>
                <c:pt idx="12">
                  <c:v>120</c:v>
                </c:pt>
              </c:numCache>
            </c:numRef>
          </c:val>
          <c:extLst>
            <c:ext xmlns:c16="http://schemas.microsoft.com/office/drawing/2014/chart" uri="{C3380CC4-5D6E-409C-BE32-E72D297353CC}">
              <c16:uniqueId val="{00000001-512A-4E1E-BECE-3F196F690E17}"/>
            </c:ext>
          </c:extLst>
        </c:ser>
        <c:ser>
          <c:idx val="2"/>
          <c:order val="2"/>
          <c:tx>
            <c:strRef>
              <c:f>Sayfa1!$D$1</c:f>
              <c:strCache>
                <c:ptCount val="1"/>
                <c:pt idx="0">
                  <c:v>2024</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c:spPr>
          <c:invertIfNegative val="0"/>
          <c:cat>
            <c:strRef>
              <c:f>Sayfa1!$A$2:$A$15</c:f>
              <c:strCache>
                <c:ptCount val="13"/>
                <c:pt idx="0">
                  <c:v>Elektrik Piyasası Dairesi Başkanlığı</c:v>
                </c:pt>
                <c:pt idx="1">
                  <c:v>Doğalgaz Piyasası Dairesi Başkanlığı</c:v>
                </c:pt>
                <c:pt idx="2">
                  <c:v>Petrol Piyasası Dairesi Başkanlığı</c:v>
                </c:pt>
                <c:pt idx="3">
                  <c:v>LPG Piyasası Dairesi Başkanlığı</c:v>
                </c:pt>
                <c:pt idx="4">
                  <c:v>Enerji Dönüşüm Dairesi Başkanlığı</c:v>
                </c:pt>
                <c:pt idx="5">
                  <c:v>Kamulaş- tırma Dairesi Başkanlığı</c:v>
                </c:pt>
                <c:pt idx="6">
                  <c:v>Denetim Dairesi Başkanlığı</c:v>
                </c:pt>
                <c:pt idx="7">
                  <c:v>Tarifeler Dairesi Başkanlığı</c:v>
                </c:pt>
                <c:pt idx="8">
                  <c:v>İnsan Kaynakları ve Destek Hizm. D. Başkanlığı</c:v>
                </c:pt>
                <c:pt idx="9">
                  <c:v>Strateji Geliştirme Dairesi Başkanlığı</c:v>
                </c:pt>
                <c:pt idx="10">
                  <c:v>Bilgi İşlem Dairesi Başkanlığı</c:v>
                </c:pt>
                <c:pt idx="11">
                  <c:v>Cumhur-başkanlığı, Bakanlık- lar ve Diğer Kamu K.</c:v>
                </c:pt>
                <c:pt idx="12">
                  <c:v>Toplam</c:v>
                </c:pt>
              </c:strCache>
            </c:strRef>
          </c:cat>
          <c:val>
            <c:numRef>
              <c:f>Sayfa1!$D$2:$D$15</c:f>
              <c:numCache>
                <c:formatCode>General</c:formatCode>
                <c:ptCount val="14"/>
                <c:pt idx="0">
                  <c:v>9</c:v>
                </c:pt>
                <c:pt idx="1">
                  <c:v>4</c:v>
                </c:pt>
                <c:pt idx="2">
                  <c:v>15</c:v>
                </c:pt>
                <c:pt idx="3">
                  <c:v>3</c:v>
                </c:pt>
                <c:pt idx="4">
                  <c:v>0</c:v>
                </c:pt>
                <c:pt idx="5">
                  <c:v>1</c:v>
                </c:pt>
                <c:pt idx="6">
                  <c:v>6</c:v>
                </c:pt>
                <c:pt idx="7">
                  <c:v>1</c:v>
                </c:pt>
                <c:pt idx="8">
                  <c:v>5</c:v>
                </c:pt>
                <c:pt idx="9">
                  <c:v>4</c:v>
                </c:pt>
                <c:pt idx="10">
                  <c:v>1</c:v>
                </c:pt>
                <c:pt idx="11">
                  <c:v>81</c:v>
                </c:pt>
                <c:pt idx="12">
                  <c:v>130</c:v>
                </c:pt>
              </c:numCache>
            </c:numRef>
          </c:val>
          <c:extLst>
            <c:ext xmlns:c16="http://schemas.microsoft.com/office/drawing/2014/chart" uri="{C3380CC4-5D6E-409C-BE32-E72D297353CC}">
              <c16:uniqueId val="{00000002-512A-4E1E-BECE-3F196F690E17}"/>
            </c:ext>
          </c:extLst>
        </c:ser>
        <c:dLbls>
          <c:showLegendKey val="0"/>
          <c:showVal val="0"/>
          <c:showCatName val="0"/>
          <c:showSerName val="0"/>
          <c:showPercent val="0"/>
          <c:showBubbleSize val="0"/>
        </c:dLbls>
        <c:gapWidth val="150"/>
        <c:axId val="204935936"/>
        <c:axId val="204937472"/>
      </c:barChart>
      <c:catAx>
        <c:axId val="204935936"/>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tr-TR"/>
          </a:p>
        </c:txPr>
        <c:crossAx val="204937472"/>
        <c:crosses val="autoZero"/>
        <c:auto val="1"/>
        <c:lblAlgn val="ctr"/>
        <c:lblOffset val="100"/>
        <c:noMultiLvlLbl val="0"/>
      </c:catAx>
      <c:valAx>
        <c:axId val="204937472"/>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tr-TR"/>
          </a:p>
        </c:txPr>
        <c:crossAx val="204935936"/>
        <c:crosses val="autoZero"/>
        <c:crossBetween val="between"/>
      </c:valAx>
      <c:dTable>
        <c:showHorzBorder val="1"/>
        <c:showVertBorder val="1"/>
        <c:showOutline val="1"/>
        <c:showKeys val="1"/>
        <c:spPr>
          <a:noFill/>
          <a:ln w="9525">
            <a:solidFill>
              <a:schemeClr val="tx2">
                <a:lumMod val="15000"/>
                <a:lumOff val="85000"/>
              </a:schemeClr>
            </a:solidFill>
          </a:ln>
          <a:effectLst/>
        </c:spPr>
        <c:txPr>
          <a:bodyPr rot="0" spcFirstLastPara="1" vertOverflow="ellipsis" vert="horz" wrap="square" anchor="ctr" anchorCtr="1"/>
          <a:lstStyle/>
          <a:p>
            <a:pPr rtl="0">
              <a:defRPr sz="700" b="0" i="0" u="none" strike="noStrike" kern="1200" baseline="0">
                <a:solidFill>
                  <a:schemeClr val="tx2"/>
                </a:solidFill>
                <a:latin typeface="+mn-lt"/>
                <a:ea typeface="+mn-ea"/>
                <a:cs typeface="+mn-cs"/>
              </a:defRPr>
            </a:pPr>
            <a:endParaRPr lang="tr-TR"/>
          </a:p>
        </c:txPr>
      </c:dTable>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5"/>
          <c:order val="5"/>
          <c:tx>
            <c:strRef>
              <c:f>Sayfa1!$R$8</c:f>
              <c:strCache>
                <c:ptCount val="1"/>
                <c:pt idx="0">
                  <c:v>Toplam</c:v>
                </c:pt>
              </c:strCache>
              <c:extLst xmlns:c15="http://schemas.microsoft.com/office/drawing/2012/chart"/>
            </c:strRef>
          </c:tx>
          <c:spPr>
            <a:solidFill>
              <a:srgbClr val="0070C0"/>
            </a:solidFill>
            <a:ln>
              <a:noFill/>
            </a:ln>
            <a:effectLst/>
          </c:spPr>
          <c:invertIfNegative val="0"/>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Sayfa1!$S$1:$AD$1</c:f>
              <c:strCache>
                <c:ptCount val="12"/>
                <c:pt idx="0">
                  <c:v>OCAK</c:v>
                </c:pt>
                <c:pt idx="1">
                  <c:v>ŞUBAT</c:v>
                </c:pt>
                <c:pt idx="2">
                  <c:v>MART</c:v>
                </c:pt>
                <c:pt idx="3">
                  <c:v>NİSAN</c:v>
                </c:pt>
                <c:pt idx="4">
                  <c:v>MAYIS</c:v>
                </c:pt>
                <c:pt idx="5">
                  <c:v>HAZİRAN</c:v>
                </c:pt>
                <c:pt idx="6">
                  <c:v>TEMMUZ</c:v>
                </c:pt>
                <c:pt idx="7">
                  <c:v>AĞUSTOS</c:v>
                </c:pt>
                <c:pt idx="8">
                  <c:v>EYLÜL</c:v>
                </c:pt>
                <c:pt idx="9">
                  <c:v>EKİM</c:v>
                </c:pt>
                <c:pt idx="10">
                  <c:v>KASIM</c:v>
                </c:pt>
                <c:pt idx="11">
                  <c:v>ARALIK</c:v>
                </c:pt>
              </c:strCache>
              <c:extLst xmlns:c15="http://schemas.microsoft.com/office/drawing/2012/chart"/>
            </c:strRef>
          </c:cat>
          <c:val>
            <c:numRef>
              <c:f>Sayfa1!$S$8:$AD$8</c:f>
              <c:numCache>
                <c:formatCode>0%</c:formatCode>
                <c:ptCount val="12"/>
                <c:pt idx="0">
                  <c:v>9.6218354166318992E-2</c:v>
                </c:pt>
                <c:pt idx="1">
                  <c:v>7.4906960831761821E-2</c:v>
                </c:pt>
                <c:pt idx="2">
                  <c:v>6.3683850403030651E-2</c:v>
                </c:pt>
                <c:pt idx="3">
                  <c:v>5.0942073730411708E-2</c:v>
                </c:pt>
                <c:pt idx="4">
                  <c:v>5.952837903239265E-2</c:v>
                </c:pt>
                <c:pt idx="5">
                  <c:v>7.2078236344520291E-2</c:v>
                </c:pt>
                <c:pt idx="6">
                  <c:v>0.13662155170975118</c:v>
                </c:pt>
                <c:pt idx="7">
                  <c:v>8.7573638624188516E-2</c:v>
                </c:pt>
                <c:pt idx="8">
                  <c:v>7.4072528829625672E-2</c:v>
                </c:pt>
                <c:pt idx="9">
                  <c:v>7.0334273460055746E-2</c:v>
                </c:pt>
                <c:pt idx="10">
                  <c:v>0.10125832345922131</c:v>
                </c:pt>
                <c:pt idx="11">
                  <c:v>0.11278182940872149</c:v>
                </c:pt>
              </c:numCache>
              <c:extLst xmlns:c15="http://schemas.microsoft.com/office/drawing/2012/chart"/>
            </c:numRef>
          </c:val>
          <c:extLst>
            <c:ext xmlns:c16="http://schemas.microsoft.com/office/drawing/2014/chart" uri="{C3380CC4-5D6E-409C-BE32-E72D297353CC}">
              <c16:uniqueId val="{00000000-A23C-4D83-B786-229B7E5947EF}"/>
            </c:ext>
          </c:extLst>
        </c:ser>
        <c:dLbls>
          <c:dLblPos val="outEnd"/>
          <c:showLegendKey val="0"/>
          <c:showVal val="1"/>
          <c:showCatName val="0"/>
          <c:showSerName val="0"/>
          <c:showPercent val="0"/>
          <c:showBubbleSize val="0"/>
        </c:dLbls>
        <c:gapWidth val="219"/>
        <c:overlap val="-27"/>
        <c:axId val="666865775"/>
        <c:axId val="631313743"/>
        <c:extLst>
          <c:ext xmlns:c15="http://schemas.microsoft.com/office/drawing/2012/chart" uri="{02D57815-91ED-43cb-92C2-25804820EDAC}">
            <c15:filteredBarSeries>
              <c15:ser>
                <c:idx val="0"/>
                <c:order val="0"/>
                <c:tx>
                  <c:strRef>
                    <c:extLst>
                      <c:ext uri="{02D57815-91ED-43cb-92C2-25804820EDAC}">
                        <c15:formulaRef>
                          <c15:sqref>Sayfa1!$R$2</c15:sqref>
                        </c15:formulaRef>
                      </c:ext>
                    </c:extLst>
                    <c:strCache>
                      <c:ptCount val="1"/>
                      <c:pt idx="0">
                        <c:v>Elektrik</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c:ext uri="{02D57815-91ED-43cb-92C2-25804820EDAC}">
                        <c15:formulaRef>
                          <c15:sqref>Sayfa1!$S$1:$AD$1</c15:sqref>
                        </c15:formulaRef>
                      </c:ext>
                    </c:extLst>
                    <c:strCache>
                      <c:ptCount val="12"/>
                      <c:pt idx="0">
                        <c:v>OCAK</c:v>
                      </c:pt>
                      <c:pt idx="1">
                        <c:v>ŞUBAT</c:v>
                      </c:pt>
                      <c:pt idx="2">
                        <c:v>MART</c:v>
                      </c:pt>
                      <c:pt idx="3">
                        <c:v>NİSAN</c:v>
                      </c:pt>
                      <c:pt idx="4">
                        <c:v>MAYIS</c:v>
                      </c:pt>
                      <c:pt idx="5">
                        <c:v>HAZİRAN</c:v>
                      </c:pt>
                      <c:pt idx="6">
                        <c:v>TEMMUZ</c:v>
                      </c:pt>
                      <c:pt idx="7">
                        <c:v>AĞUSTOS</c:v>
                      </c:pt>
                      <c:pt idx="8">
                        <c:v>EYLÜL</c:v>
                      </c:pt>
                      <c:pt idx="9">
                        <c:v>EKİM</c:v>
                      </c:pt>
                      <c:pt idx="10">
                        <c:v>KASIM</c:v>
                      </c:pt>
                      <c:pt idx="11">
                        <c:v>ARALIK</c:v>
                      </c:pt>
                    </c:strCache>
                  </c:strRef>
                </c:cat>
                <c:val>
                  <c:numRef>
                    <c:extLst>
                      <c:ext uri="{02D57815-91ED-43cb-92C2-25804820EDAC}">
                        <c15:formulaRef>
                          <c15:sqref>Sayfa1!$S$2:$AD$2</c15:sqref>
                        </c15:formulaRef>
                      </c:ext>
                    </c:extLst>
                    <c:numCache>
                      <c:formatCode>0%</c:formatCode>
                      <c:ptCount val="12"/>
                      <c:pt idx="0">
                        <c:v>8.6174879877440172E-2</c:v>
                      </c:pt>
                      <c:pt idx="1">
                        <c:v>6.876581323553306E-2</c:v>
                      </c:pt>
                      <c:pt idx="2">
                        <c:v>6.0235370580998586E-2</c:v>
                      </c:pt>
                      <c:pt idx="3">
                        <c:v>4.9105173974605974E-2</c:v>
                      </c:pt>
                      <c:pt idx="4">
                        <c:v>5.5442074232260163E-2</c:v>
                      </c:pt>
                      <c:pt idx="5">
                        <c:v>8.3459065481302663E-2</c:v>
                      </c:pt>
                      <c:pt idx="6">
                        <c:v>0.15873586964090899</c:v>
                      </c:pt>
                      <c:pt idx="7">
                        <c:v>9.3080476312063329E-2</c:v>
                      </c:pt>
                      <c:pt idx="8">
                        <c:v>7.1377173231819135E-2</c:v>
                      </c:pt>
                      <c:pt idx="9">
                        <c:v>6.2278034400315686E-2</c:v>
                      </c:pt>
                      <c:pt idx="10">
                        <c:v>9.8512105104338346E-2</c:v>
                      </c:pt>
                      <c:pt idx="11">
                        <c:v>0.11283396392841392</c:v>
                      </c:pt>
                    </c:numCache>
                  </c:numRef>
                </c:val>
                <c:extLst>
                  <c:ext xmlns:c16="http://schemas.microsoft.com/office/drawing/2014/chart" uri="{C3380CC4-5D6E-409C-BE32-E72D297353CC}">
                    <c16:uniqueId val="{00000001-A23C-4D83-B786-229B7E5947EF}"/>
                  </c:ext>
                </c:extLst>
              </c15:ser>
            </c15:filteredBarSeries>
            <c15:filteredBarSeries>
              <c15:ser>
                <c:idx val="1"/>
                <c:order val="1"/>
                <c:tx>
                  <c:strRef>
                    <c:extLst xmlns:c15="http://schemas.microsoft.com/office/drawing/2012/chart">
                      <c:ext xmlns:c15="http://schemas.microsoft.com/office/drawing/2012/chart" uri="{02D57815-91ED-43cb-92C2-25804820EDAC}">
                        <c15:formulaRef>
                          <c15:sqref>Sayfa1!$R$3</c15:sqref>
                        </c15:formulaRef>
                      </c:ext>
                    </c:extLst>
                    <c:strCache>
                      <c:ptCount val="1"/>
                      <c:pt idx="0">
                        <c:v>Doğalgaz</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Sayfa1!$S$1:$AD$1</c15:sqref>
                        </c15:formulaRef>
                      </c:ext>
                    </c:extLst>
                    <c:strCache>
                      <c:ptCount val="12"/>
                      <c:pt idx="0">
                        <c:v>OCAK</c:v>
                      </c:pt>
                      <c:pt idx="1">
                        <c:v>ŞUBAT</c:v>
                      </c:pt>
                      <c:pt idx="2">
                        <c:v>MART</c:v>
                      </c:pt>
                      <c:pt idx="3">
                        <c:v>NİSAN</c:v>
                      </c:pt>
                      <c:pt idx="4">
                        <c:v>MAYIS</c:v>
                      </c:pt>
                      <c:pt idx="5">
                        <c:v>HAZİRAN</c:v>
                      </c:pt>
                      <c:pt idx="6">
                        <c:v>TEMMUZ</c:v>
                      </c:pt>
                      <c:pt idx="7">
                        <c:v>AĞUSTOS</c:v>
                      </c:pt>
                      <c:pt idx="8">
                        <c:v>EYLÜL</c:v>
                      </c:pt>
                      <c:pt idx="9">
                        <c:v>EKİM</c:v>
                      </c:pt>
                      <c:pt idx="10">
                        <c:v>KASIM</c:v>
                      </c:pt>
                      <c:pt idx="11">
                        <c:v>ARALIK</c:v>
                      </c:pt>
                    </c:strCache>
                  </c:strRef>
                </c:cat>
                <c:val>
                  <c:numRef>
                    <c:extLst xmlns:c15="http://schemas.microsoft.com/office/drawing/2012/chart">
                      <c:ext xmlns:c15="http://schemas.microsoft.com/office/drawing/2012/chart" uri="{02D57815-91ED-43cb-92C2-25804820EDAC}">
                        <c15:formulaRef>
                          <c15:sqref>Sayfa1!$S$3:$AD$3</c15:sqref>
                        </c15:formulaRef>
                      </c:ext>
                    </c:extLst>
                    <c:numCache>
                      <c:formatCode>0%</c:formatCode>
                      <c:ptCount val="12"/>
                      <c:pt idx="0">
                        <c:v>0.1260866517106001</c:v>
                      </c:pt>
                      <c:pt idx="1">
                        <c:v>8.9245653393157598E-2</c:v>
                      </c:pt>
                      <c:pt idx="2">
                        <c:v>7.2770611329220414E-2</c:v>
                      </c:pt>
                      <c:pt idx="3">
                        <c:v>5.3561413348289399E-2</c:v>
                      </c:pt>
                      <c:pt idx="4">
                        <c:v>7.0071508693213685E-2</c:v>
                      </c:pt>
                      <c:pt idx="5">
                        <c:v>3.7787436904094224E-2</c:v>
                      </c:pt>
                      <c:pt idx="6">
                        <c:v>7.6661525518788562E-2</c:v>
                      </c:pt>
                      <c:pt idx="7">
                        <c:v>7.2349971957375206E-2</c:v>
                      </c:pt>
                      <c:pt idx="8">
                        <c:v>8.1674144699943912E-2</c:v>
                      </c:pt>
                      <c:pt idx="9">
                        <c:v>9.3592260235558042E-2</c:v>
                      </c:pt>
                      <c:pt idx="10">
                        <c:v>0.11101374088614695</c:v>
                      </c:pt>
                      <c:pt idx="11">
                        <c:v>0.1151850813236119</c:v>
                      </c:pt>
                    </c:numCache>
                  </c:numRef>
                </c:val>
                <c:extLst xmlns:c15="http://schemas.microsoft.com/office/drawing/2012/chart">
                  <c:ext xmlns:c16="http://schemas.microsoft.com/office/drawing/2014/chart" uri="{C3380CC4-5D6E-409C-BE32-E72D297353CC}">
                    <c16:uniqueId val="{00000002-A23C-4D83-B786-229B7E5947EF}"/>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Sayfa1!$R$4</c15:sqref>
                        </c15:formulaRef>
                      </c:ext>
                    </c:extLst>
                    <c:strCache>
                      <c:ptCount val="1"/>
                      <c:pt idx="0">
                        <c:v>Diğer</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Sayfa1!$S$1:$AD$1</c15:sqref>
                        </c15:formulaRef>
                      </c:ext>
                    </c:extLst>
                    <c:strCache>
                      <c:ptCount val="12"/>
                      <c:pt idx="0">
                        <c:v>OCAK</c:v>
                      </c:pt>
                      <c:pt idx="1">
                        <c:v>ŞUBAT</c:v>
                      </c:pt>
                      <c:pt idx="2">
                        <c:v>MART</c:v>
                      </c:pt>
                      <c:pt idx="3">
                        <c:v>NİSAN</c:v>
                      </c:pt>
                      <c:pt idx="4">
                        <c:v>MAYIS</c:v>
                      </c:pt>
                      <c:pt idx="5">
                        <c:v>HAZİRAN</c:v>
                      </c:pt>
                      <c:pt idx="6">
                        <c:v>TEMMUZ</c:v>
                      </c:pt>
                      <c:pt idx="7">
                        <c:v>AĞUSTOS</c:v>
                      </c:pt>
                      <c:pt idx="8">
                        <c:v>EYLÜL</c:v>
                      </c:pt>
                      <c:pt idx="9">
                        <c:v>EKİM</c:v>
                      </c:pt>
                      <c:pt idx="10">
                        <c:v>KASIM</c:v>
                      </c:pt>
                      <c:pt idx="11">
                        <c:v>ARALIK</c:v>
                      </c:pt>
                    </c:strCache>
                  </c:strRef>
                </c:cat>
                <c:val>
                  <c:numRef>
                    <c:extLst xmlns:c15="http://schemas.microsoft.com/office/drawing/2012/chart">
                      <c:ext xmlns:c15="http://schemas.microsoft.com/office/drawing/2012/chart" uri="{02D57815-91ED-43cb-92C2-25804820EDAC}">
                        <c15:formulaRef>
                          <c15:sqref>Sayfa1!$S$4:$AD$4</c15:sqref>
                        </c15:formulaRef>
                      </c:ext>
                    </c:extLst>
                    <c:numCache>
                      <c:formatCode>0%</c:formatCode>
                      <c:ptCount val="12"/>
                      <c:pt idx="0">
                        <c:v>0.10229341099381144</c:v>
                      </c:pt>
                      <c:pt idx="1">
                        <c:v>8.8824171823807793E-2</c:v>
                      </c:pt>
                      <c:pt idx="2">
                        <c:v>7.4262832180560609E-2</c:v>
                      </c:pt>
                      <c:pt idx="3">
                        <c:v>7.0258463778667637E-2</c:v>
                      </c:pt>
                      <c:pt idx="4">
                        <c:v>6.0065526028394614E-2</c:v>
                      </c:pt>
                      <c:pt idx="5">
                        <c:v>5.9701492537313432E-2</c:v>
                      </c:pt>
                      <c:pt idx="6">
                        <c:v>9.6468875136512561E-2</c:v>
                      </c:pt>
                      <c:pt idx="7">
                        <c:v>7.5718966144885325E-2</c:v>
                      </c:pt>
                      <c:pt idx="8">
                        <c:v>6.5890061885693491E-2</c:v>
                      </c:pt>
                      <c:pt idx="9">
                        <c:v>7.6082999635966514E-2</c:v>
                      </c:pt>
                      <c:pt idx="10">
                        <c:v>0.10775391336002912</c:v>
                      </c:pt>
                      <c:pt idx="11">
                        <c:v>0.12267928649435748</c:v>
                      </c:pt>
                    </c:numCache>
                  </c:numRef>
                </c:val>
                <c:extLst xmlns:c15="http://schemas.microsoft.com/office/drawing/2012/chart">
                  <c:ext xmlns:c16="http://schemas.microsoft.com/office/drawing/2014/chart" uri="{C3380CC4-5D6E-409C-BE32-E72D297353CC}">
                    <c16:uniqueId val="{00000003-A23C-4D83-B786-229B7E5947EF}"/>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Sayfa1!$R$5</c15:sqref>
                        </c15:formulaRef>
                      </c:ext>
                    </c:extLst>
                    <c:strCache>
                      <c:ptCount val="1"/>
                      <c:pt idx="0">
                        <c:v>Petrol</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Sayfa1!$S$1:$AD$1</c15:sqref>
                        </c15:formulaRef>
                      </c:ext>
                    </c:extLst>
                    <c:strCache>
                      <c:ptCount val="12"/>
                      <c:pt idx="0">
                        <c:v>OCAK</c:v>
                      </c:pt>
                      <c:pt idx="1">
                        <c:v>ŞUBAT</c:v>
                      </c:pt>
                      <c:pt idx="2">
                        <c:v>MART</c:v>
                      </c:pt>
                      <c:pt idx="3">
                        <c:v>NİSAN</c:v>
                      </c:pt>
                      <c:pt idx="4">
                        <c:v>MAYIS</c:v>
                      </c:pt>
                      <c:pt idx="5">
                        <c:v>HAZİRAN</c:v>
                      </c:pt>
                      <c:pt idx="6">
                        <c:v>TEMMUZ</c:v>
                      </c:pt>
                      <c:pt idx="7">
                        <c:v>AĞUSTOS</c:v>
                      </c:pt>
                      <c:pt idx="8">
                        <c:v>EYLÜL</c:v>
                      </c:pt>
                      <c:pt idx="9">
                        <c:v>EKİM</c:v>
                      </c:pt>
                      <c:pt idx="10">
                        <c:v>KASIM</c:v>
                      </c:pt>
                      <c:pt idx="11">
                        <c:v>ARALIK</c:v>
                      </c:pt>
                    </c:strCache>
                  </c:strRef>
                </c:cat>
                <c:val>
                  <c:numRef>
                    <c:extLst xmlns:c15="http://schemas.microsoft.com/office/drawing/2012/chart">
                      <c:ext xmlns:c15="http://schemas.microsoft.com/office/drawing/2012/chart" uri="{02D57815-91ED-43cb-92C2-25804820EDAC}">
                        <c15:formulaRef>
                          <c15:sqref>Sayfa1!$S$5:$AD$5</c15:sqref>
                        </c15:formulaRef>
                      </c:ext>
                    </c:extLst>
                    <c:numCache>
                      <c:formatCode>0%</c:formatCode>
                      <c:ptCount val="12"/>
                      <c:pt idx="0">
                        <c:v>0.10571428571428572</c:v>
                      </c:pt>
                      <c:pt idx="1">
                        <c:v>0.11771428571428572</c:v>
                      </c:pt>
                      <c:pt idx="2">
                        <c:v>6.8000000000000005E-2</c:v>
                      </c:pt>
                      <c:pt idx="3">
                        <c:v>6.1714285714285715E-2</c:v>
                      </c:pt>
                      <c:pt idx="4">
                        <c:v>7.2571428571428565E-2</c:v>
                      </c:pt>
                      <c:pt idx="5">
                        <c:v>9.1428571428571428E-2</c:v>
                      </c:pt>
                      <c:pt idx="6">
                        <c:v>9.8857142857142852E-2</c:v>
                      </c:pt>
                      <c:pt idx="7">
                        <c:v>8.2285714285714281E-2</c:v>
                      </c:pt>
                      <c:pt idx="8">
                        <c:v>9.5428571428571432E-2</c:v>
                      </c:pt>
                      <c:pt idx="9">
                        <c:v>6.7428571428571435E-2</c:v>
                      </c:pt>
                      <c:pt idx="10">
                        <c:v>7.2571428571428565E-2</c:v>
                      </c:pt>
                      <c:pt idx="11">
                        <c:v>6.6285714285714281E-2</c:v>
                      </c:pt>
                    </c:numCache>
                  </c:numRef>
                </c:val>
                <c:extLst xmlns:c15="http://schemas.microsoft.com/office/drawing/2012/chart">
                  <c:ext xmlns:c16="http://schemas.microsoft.com/office/drawing/2014/chart" uri="{C3380CC4-5D6E-409C-BE32-E72D297353CC}">
                    <c16:uniqueId val="{00000004-A23C-4D83-B786-229B7E5947EF}"/>
                  </c:ext>
                </c:extLst>
              </c15:ser>
            </c15:filteredBarSeries>
            <c15:filteredBarSeries>
              <c15:ser>
                <c:idx val="4"/>
                <c:order val="4"/>
                <c:tx>
                  <c:strRef>
                    <c:extLst xmlns:c15="http://schemas.microsoft.com/office/drawing/2012/chart">
                      <c:ext xmlns:c15="http://schemas.microsoft.com/office/drawing/2012/chart" uri="{02D57815-91ED-43cb-92C2-25804820EDAC}">
                        <c15:formulaRef>
                          <c15:sqref>Sayfa1!$R$6</c15:sqref>
                        </c15:formulaRef>
                      </c:ext>
                    </c:extLst>
                    <c:strCache>
                      <c:ptCount val="1"/>
                      <c:pt idx="0">
                        <c:v>Lpg</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Sayfa1!$S$1:$AD$1</c15:sqref>
                        </c15:formulaRef>
                      </c:ext>
                    </c:extLst>
                    <c:strCache>
                      <c:ptCount val="12"/>
                      <c:pt idx="0">
                        <c:v>OCAK</c:v>
                      </c:pt>
                      <c:pt idx="1">
                        <c:v>ŞUBAT</c:v>
                      </c:pt>
                      <c:pt idx="2">
                        <c:v>MART</c:v>
                      </c:pt>
                      <c:pt idx="3">
                        <c:v>NİSAN</c:v>
                      </c:pt>
                      <c:pt idx="4">
                        <c:v>MAYIS</c:v>
                      </c:pt>
                      <c:pt idx="5">
                        <c:v>HAZİRAN</c:v>
                      </c:pt>
                      <c:pt idx="6">
                        <c:v>TEMMUZ</c:v>
                      </c:pt>
                      <c:pt idx="7">
                        <c:v>AĞUSTOS</c:v>
                      </c:pt>
                      <c:pt idx="8">
                        <c:v>EYLÜL</c:v>
                      </c:pt>
                      <c:pt idx="9">
                        <c:v>EKİM</c:v>
                      </c:pt>
                      <c:pt idx="10">
                        <c:v>KASIM</c:v>
                      </c:pt>
                      <c:pt idx="11">
                        <c:v>ARALIK</c:v>
                      </c:pt>
                    </c:strCache>
                  </c:strRef>
                </c:cat>
                <c:val>
                  <c:numRef>
                    <c:extLst xmlns:c15="http://schemas.microsoft.com/office/drawing/2012/chart">
                      <c:ext xmlns:c15="http://schemas.microsoft.com/office/drawing/2012/chart" uri="{02D57815-91ED-43cb-92C2-25804820EDAC}">
                        <c15:formulaRef>
                          <c15:sqref>Sayfa1!$S$6:$AD$6</c15:sqref>
                        </c15:formulaRef>
                      </c:ext>
                    </c:extLst>
                    <c:numCache>
                      <c:formatCode>0%</c:formatCode>
                      <c:ptCount val="12"/>
                      <c:pt idx="0">
                        <c:v>7.3170731707317069E-2</c:v>
                      </c:pt>
                      <c:pt idx="1">
                        <c:v>8.1300813008130079E-2</c:v>
                      </c:pt>
                      <c:pt idx="2">
                        <c:v>7.8590785907859076E-2</c:v>
                      </c:pt>
                      <c:pt idx="3">
                        <c:v>5.6910569105691054E-2</c:v>
                      </c:pt>
                      <c:pt idx="4">
                        <c:v>9.2140921409214094E-2</c:v>
                      </c:pt>
                      <c:pt idx="5">
                        <c:v>7.5880758807588072E-2</c:v>
                      </c:pt>
                      <c:pt idx="6">
                        <c:v>0.11382113821138211</c:v>
                      </c:pt>
                      <c:pt idx="7">
                        <c:v>7.5880758807588072E-2</c:v>
                      </c:pt>
                      <c:pt idx="8">
                        <c:v>7.3170731707317069E-2</c:v>
                      </c:pt>
                      <c:pt idx="9">
                        <c:v>0.10298102981029811</c:v>
                      </c:pt>
                      <c:pt idx="10">
                        <c:v>8.943089430894309E-2</c:v>
                      </c:pt>
                      <c:pt idx="11">
                        <c:v>8.6720867208672087E-2</c:v>
                      </c:pt>
                    </c:numCache>
                  </c:numRef>
                </c:val>
                <c:extLst xmlns:c15="http://schemas.microsoft.com/office/drawing/2012/chart">
                  <c:ext xmlns:c16="http://schemas.microsoft.com/office/drawing/2014/chart" uri="{C3380CC4-5D6E-409C-BE32-E72D297353CC}">
                    <c16:uniqueId val="{00000005-A23C-4D83-B786-229B7E5947EF}"/>
                  </c:ext>
                </c:extLst>
              </c15:ser>
            </c15:filteredBarSeries>
          </c:ext>
        </c:extLst>
      </c:barChart>
      <c:catAx>
        <c:axId val="66686577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631313743"/>
        <c:crosses val="autoZero"/>
        <c:auto val="1"/>
        <c:lblAlgn val="ctr"/>
        <c:lblOffset val="100"/>
        <c:noMultiLvlLbl val="0"/>
      </c:catAx>
      <c:valAx>
        <c:axId val="631313743"/>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tr-TR"/>
          </a:p>
        </c:txPr>
        <c:crossAx val="66686577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'Şikayet Kanalları'!$D$3</c:f>
              <c:strCache>
                <c:ptCount val="1"/>
                <c:pt idx="0">
                  <c:v>% Oranı</c:v>
                </c:pt>
              </c:strCache>
            </c:strRef>
          </c:tx>
          <c:spPr>
            <a:solidFill>
              <a:srgbClr val="FFFF00"/>
            </a:solidFill>
          </c:spPr>
          <c:explosion val="4"/>
          <c:dPt>
            <c:idx val="0"/>
            <c:bubble3D val="0"/>
            <c:spPr>
              <a:solidFill>
                <a:srgbClr val="0070C0"/>
              </a:solidFill>
              <a:ln>
                <a:noFill/>
              </a:ln>
              <a:effectLst>
                <a:outerShdw blurRad="40000" dist="23000" dir="5400000" rotWithShape="0">
                  <a:srgbClr val="000000">
                    <a:alpha val="35000"/>
                  </a:srgbClr>
                </a:outerShdw>
              </a:effectLst>
            </c:spPr>
            <c:extLst>
              <c:ext xmlns:c16="http://schemas.microsoft.com/office/drawing/2014/chart" uri="{C3380CC4-5D6E-409C-BE32-E72D297353CC}">
                <c16:uniqueId val="{00000001-C337-4625-934D-01F1E1B599BB}"/>
              </c:ext>
            </c:extLst>
          </c:dPt>
          <c:dPt>
            <c:idx val="1"/>
            <c:bubble3D val="0"/>
            <c:spPr>
              <a:solidFill>
                <a:srgbClr val="FF0000"/>
              </a:solidFill>
              <a:ln>
                <a:noFill/>
              </a:ln>
              <a:effectLst>
                <a:outerShdw blurRad="40000" dist="23000" dir="5400000" rotWithShape="0">
                  <a:srgbClr val="000000">
                    <a:alpha val="35000"/>
                  </a:srgbClr>
                </a:outerShdw>
              </a:effectLst>
            </c:spPr>
            <c:extLst>
              <c:ext xmlns:c16="http://schemas.microsoft.com/office/drawing/2014/chart" uri="{C3380CC4-5D6E-409C-BE32-E72D297353CC}">
                <c16:uniqueId val="{00000003-C337-4625-934D-01F1E1B599BB}"/>
              </c:ext>
            </c:extLst>
          </c:dPt>
          <c:dPt>
            <c:idx val="2"/>
            <c:bubble3D val="0"/>
            <c:spPr>
              <a:solidFill>
                <a:srgbClr val="FFFF00"/>
              </a:solidFill>
              <a:ln>
                <a:noFill/>
              </a:ln>
              <a:effectLst>
                <a:outerShdw blurRad="40000" dist="23000" dir="5400000" rotWithShape="0">
                  <a:srgbClr val="000000">
                    <a:alpha val="35000"/>
                  </a:srgbClr>
                </a:outerShdw>
              </a:effectLst>
            </c:spPr>
            <c:extLst>
              <c:ext xmlns:c16="http://schemas.microsoft.com/office/drawing/2014/chart" uri="{C3380CC4-5D6E-409C-BE32-E72D297353CC}">
                <c16:uniqueId val="{00000005-C337-4625-934D-01F1E1B599BB}"/>
              </c:ext>
            </c:extLst>
          </c:dPt>
          <c:dPt>
            <c:idx val="3"/>
            <c:bubble3D val="0"/>
            <c:spPr>
              <a:solidFill>
                <a:srgbClr val="FFFF00"/>
              </a:solidFill>
              <a:ln>
                <a:noFill/>
              </a:ln>
              <a:effectLst>
                <a:outerShdw blurRad="40000" dist="23000" dir="5400000" rotWithShape="0">
                  <a:srgbClr val="000000">
                    <a:alpha val="35000"/>
                  </a:srgbClr>
                </a:outerShdw>
              </a:effectLst>
            </c:spPr>
            <c:extLst>
              <c:ext xmlns:c16="http://schemas.microsoft.com/office/drawing/2014/chart" uri="{C3380CC4-5D6E-409C-BE32-E72D297353CC}">
                <c16:uniqueId val="{00000007-C337-4625-934D-01F1E1B599BB}"/>
              </c:ext>
            </c:extLst>
          </c:dPt>
          <c:dPt>
            <c:idx val="4"/>
            <c:bubble3D val="0"/>
            <c:spPr>
              <a:solidFill>
                <a:srgbClr val="FFFF00"/>
              </a:solidFill>
              <a:ln>
                <a:noFill/>
              </a:ln>
              <a:effectLst>
                <a:outerShdw blurRad="40000" dist="23000" dir="5400000" rotWithShape="0">
                  <a:srgbClr val="000000">
                    <a:alpha val="35000"/>
                  </a:srgbClr>
                </a:outerShdw>
              </a:effectLst>
            </c:spPr>
            <c:extLst>
              <c:ext xmlns:c16="http://schemas.microsoft.com/office/drawing/2014/chart" uri="{C3380CC4-5D6E-409C-BE32-E72D297353CC}">
                <c16:uniqueId val="{00000009-C337-4625-934D-01F1E1B599BB}"/>
              </c:ext>
            </c:extLst>
          </c:dPt>
          <c:dLbls>
            <c:dLbl>
              <c:idx val="0"/>
              <c:layout>
                <c:manualLayout>
                  <c:x val="-2.9257027229138258E-2"/>
                  <c:y val="-0.22201288044412057"/>
                </c:manualLayout>
              </c:layout>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1-C337-4625-934D-01F1E1B599BB}"/>
                </c:ext>
              </c:extLst>
            </c:dLbl>
            <c:dLbl>
              <c:idx val="1"/>
              <c:layout>
                <c:manualLayout>
                  <c:x val="-8.7493776409109155E-3"/>
                  <c:y val="-0.13861218329934705"/>
                </c:manualLayout>
              </c:layout>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noAutofit/>
                </a:bodyPr>
                <a:lstStyle/>
                <a:p>
                  <a:pPr>
                    <a:defRPr sz="900" b="0" i="0" u="none" strike="noStrike" kern="1200" baseline="0">
                      <a:solidFill>
                        <a:schemeClr val="dk2">
                          <a:lumMod val="75000"/>
                        </a:schemeClr>
                      </a:solidFill>
                      <a:latin typeface="+mn-lt"/>
                      <a:ea typeface="+mn-ea"/>
                      <a:cs typeface="+mn-cs"/>
                    </a:defRPr>
                  </a:pPr>
                  <a:endParaRPr lang="tr-TR"/>
                </a:p>
              </c:txPr>
              <c:dLblPos val="bestFit"/>
              <c:showLegendKey val="0"/>
              <c:showVal val="1"/>
              <c:showCatName val="1"/>
              <c:showSerName val="0"/>
              <c:showPercent val="0"/>
              <c:showBubbleSize val="0"/>
              <c:extLst>
                <c:ext xmlns:c15="http://schemas.microsoft.com/office/drawing/2012/chart" uri="{CE6537A1-D6FC-4f65-9D91-7224C49458BB}">
                  <c15:spPr xmlns:c15="http://schemas.microsoft.com/office/drawing/2012/chart">
                    <a:prstGeom prst="wedgeRectCallout">
                      <a:avLst/>
                    </a:prstGeom>
                    <a:noFill/>
                    <a:ln>
                      <a:noFill/>
                    </a:ln>
                  </c15:spPr>
                  <c15:layout>
                    <c:manualLayout>
                      <c:w val="0.20070715682832641"/>
                      <c:h val="0.17681602846478983"/>
                    </c:manualLayout>
                  </c15:layout>
                </c:ext>
                <c:ext xmlns:c16="http://schemas.microsoft.com/office/drawing/2014/chart" uri="{C3380CC4-5D6E-409C-BE32-E72D297353CC}">
                  <c16:uniqueId val="{00000003-C337-4625-934D-01F1E1B599BB}"/>
                </c:ext>
              </c:extLst>
            </c:dLbl>
            <c:dLbl>
              <c:idx val="2"/>
              <c:layout>
                <c:manualLayout>
                  <c:x val="2.5156343934661797E-2"/>
                  <c:y val="-5.2438041745910428E-2"/>
                </c:manualLayout>
              </c:layout>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5-C337-4625-934D-01F1E1B599BB}"/>
                </c:ext>
              </c:extLst>
            </c:dLbl>
            <c:dLbl>
              <c:idx val="3"/>
              <c:layout>
                <c:manualLayout>
                  <c:x val="5.8923151365855804E-2"/>
                  <c:y val="8.9155602163724951E-2"/>
                </c:manualLayout>
              </c:layout>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7-C337-4625-934D-01F1E1B599BB}"/>
                </c:ext>
              </c:extLst>
            </c:dLbl>
            <c:dLbl>
              <c:idx val="4"/>
              <c:layout>
                <c:manualLayout>
                  <c:x val="4.6839579759234008E-2"/>
                  <c:y val="0.2786527671625697"/>
                </c:manualLayout>
              </c:layout>
              <c:tx>
                <c:rich>
                  <a:bodyPr/>
                  <a:lstStyle/>
                  <a:p>
                    <a:r>
                      <a:rPr lang="en-US"/>
                      <a:t>Diğer; </a:t>
                    </a:r>
                    <a:fld id="{29F86F44-E967-477C-A479-FA15523490D5}" type="VALUE">
                      <a:rPr lang="en-US"/>
                      <a:pPr/>
                      <a:t>[DEĞER]</a:t>
                    </a:fld>
                    <a:endParaRPr lang="en-US"/>
                  </a:p>
                </c:rich>
              </c:tx>
              <c:dLblPos val="bestFit"/>
              <c:showLegendKey val="0"/>
              <c:showVal val="0"/>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C337-4625-934D-01F1E1B599BB}"/>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2">
                        <a:lumMod val="75000"/>
                      </a:schemeClr>
                    </a:solidFill>
                    <a:latin typeface="+mn-lt"/>
                    <a:ea typeface="+mn-ea"/>
                    <a:cs typeface="+mn-cs"/>
                  </a:defRPr>
                </a:pPr>
                <a:endParaRPr lang="tr-TR"/>
              </a:p>
            </c:txPr>
            <c:dLblPos val="ct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'Şikayet Kanalları'!$B$4:$B$8</c:f>
              <c:strCache>
                <c:ptCount val="5"/>
                <c:pt idx="0">
                  <c:v>Cimer</c:v>
                </c:pt>
                <c:pt idx="1">
                  <c:v>Kurum web sayfası</c:v>
                </c:pt>
                <c:pt idx="2">
                  <c:v>Genel Evrak</c:v>
                </c:pt>
                <c:pt idx="3">
                  <c:v>ETKB</c:v>
                </c:pt>
                <c:pt idx="4">
                  <c:v>Diğer</c:v>
                </c:pt>
              </c:strCache>
            </c:strRef>
          </c:cat>
          <c:val>
            <c:numRef>
              <c:f>'Şikayet Kanalları'!$D$4:$D$8</c:f>
              <c:numCache>
                <c:formatCode>0.0%</c:formatCode>
                <c:ptCount val="5"/>
                <c:pt idx="0">
                  <c:v>0.91111630313245773</c:v>
                </c:pt>
                <c:pt idx="1">
                  <c:v>8.5362393818527726E-2</c:v>
                </c:pt>
                <c:pt idx="2">
                  <c:v>9.5959680245656783E-4</c:v>
                </c:pt>
                <c:pt idx="3">
                  <c:v>1.0263513626274595E-3</c:v>
                </c:pt>
                <c:pt idx="4">
                  <c:v>1.5353548839305085E-3</c:v>
                </c:pt>
              </c:numCache>
            </c:numRef>
          </c:val>
          <c:extLst>
            <c:ext xmlns:c16="http://schemas.microsoft.com/office/drawing/2014/chart" uri="{C3380CC4-5D6E-409C-BE32-E72D297353CC}">
              <c16:uniqueId val="{0000000A-C337-4625-934D-01F1E1B599BB}"/>
            </c:ext>
          </c:extLst>
        </c:ser>
        <c:dLbls>
          <c:dLblPos val="ctr"/>
          <c:showLegendKey val="0"/>
          <c:showVal val="0"/>
          <c:showCatName val="0"/>
          <c:showSerName val="0"/>
          <c:showPercent val="1"/>
          <c:showBubbleSize val="0"/>
          <c:showLeaderLines val="0"/>
        </c:dLbls>
        <c:firstSliceAng val="91"/>
      </c:pieChart>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tr-T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'Şikayetlerin Sektörel Dağılımı'!$D$3</c:f>
              <c:strCache>
                <c:ptCount val="1"/>
                <c:pt idx="0">
                  <c:v>% Oranı</c:v>
                </c:pt>
              </c:strCache>
            </c:strRef>
          </c:tx>
          <c:explosion val="1"/>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5DB-4DE9-80DF-C4BED8E5153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5DB-4DE9-80DF-C4BED8E5153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55DB-4DE9-80DF-C4BED8E5153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55DB-4DE9-80DF-C4BED8E51531}"/>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55DB-4DE9-80DF-C4BED8E51531}"/>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55DB-4DE9-80DF-C4BED8E51531}"/>
              </c:ext>
            </c:extLst>
          </c:dPt>
          <c:dLbls>
            <c:dLbl>
              <c:idx val="0"/>
              <c:layout>
                <c:manualLayout>
                  <c:x val="-1.666666666666668E-2"/>
                  <c:y val="1.8518518518518604E-2"/>
                </c:manualLayout>
              </c:layout>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1-55DB-4DE9-80DF-C4BED8E51531}"/>
                </c:ext>
              </c:extLst>
            </c:dLbl>
            <c:dLbl>
              <c:idx val="1"/>
              <c:layout>
                <c:manualLayout>
                  <c:x val="1.3888888888888888E-2"/>
                  <c:y val="-2.7777777777777776E-2"/>
                </c:manualLayout>
              </c:layout>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3-55DB-4DE9-80DF-C4BED8E51531}"/>
                </c:ext>
              </c:extLst>
            </c:dLbl>
            <c:dLbl>
              <c:idx val="2"/>
              <c:layout>
                <c:manualLayout>
                  <c:x val="3.2472551846512231E-2"/>
                  <c:y val="-9.6618357487922704E-2"/>
                </c:manualLayout>
              </c:layout>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5-55DB-4DE9-80DF-C4BED8E51531}"/>
                </c:ext>
              </c:extLst>
            </c:dLbl>
            <c:dLbl>
              <c:idx val="3"/>
              <c:layout>
                <c:manualLayout>
                  <c:x val="3.1611955195741379E-2"/>
                  <c:y val="-2.2342995169082124E-2"/>
                </c:manualLayout>
              </c:layout>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7-55DB-4DE9-80DF-C4BED8E51531}"/>
                </c:ext>
              </c:extLst>
            </c:dLbl>
            <c:dLbl>
              <c:idx val="4"/>
              <c:layout>
                <c:manualLayout>
                  <c:x val="-8.9632176259657678E-2"/>
                  <c:y val="0.15619967793880837"/>
                </c:manualLayout>
              </c:layout>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9-55DB-4DE9-80DF-C4BED8E51531}"/>
                </c:ext>
              </c:extLst>
            </c:dLbl>
            <c:dLbl>
              <c:idx val="5"/>
              <c:layout>
                <c:manualLayout>
                  <c:x val="4.4600938967136239E-2"/>
                  <c:y val="4.025764895330098E-2"/>
                </c:manualLayout>
              </c:layout>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B-55DB-4DE9-80DF-C4BED8E51531}"/>
                </c:ext>
              </c:extLst>
            </c:dLbl>
            <c:spPr>
              <a:noFill/>
              <a:ln>
                <a:noFill/>
              </a:ln>
              <a:effectLst/>
            </c:spPr>
            <c:txPr>
              <a:bodyPr rot="0" spcFirstLastPara="1" vertOverflow="clip" horzOverflow="clip"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tr-TR"/>
              </a:p>
            </c:txPr>
            <c:dLblPos val="outEnd"/>
            <c:showLegendKey val="0"/>
            <c:showVal val="1"/>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'Şikayetlerin Sektörel Dağılımı'!$B$4:$B$9</c:f>
              <c:strCache>
                <c:ptCount val="6"/>
                <c:pt idx="0">
                  <c:v>Elektrik</c:v>
                </c:pt>
                <c:pt idx="1">
                  <c:v>Doğalgaz</c:v>
                </c:pt>
                <c:pt idx="2">
                  <c:v>Diğer</c:v>
                </c:pt>
                <c:pt idx="3">
                  <c:v>Petrol</c:v>
                </c:pt>
                <c:pt idx="4">
                  <c:v>Lpg</c:v>
                </c:pt>
                <c:pt idx="5">
                  <c:v>Enerji Dönüşüm</c:v>
                </c:pt>
              </c:strCache>
            </c:strRef>
          </c:cat>
          <c:val>
            <c:numRef>
              <c:f>'Şikayetlerin Sektörel Dağılımı'!$D$4:$D$9</c:f>
              <c:numCache>
                <c:formatCode>0.0%</c:formatCode>
                <c:ptCount val="6"/>
                <c:pt idx="0">
                  <c:v>0.71775337527744865</c:v>
                </c:pt>
                <c:pt idx="1">
                  <c:v>0.23805510588942108</c:v>
                </c:pt>
                <c:pt idx="2">
                  <c:v>2.4056674621585086E-2</c:v>
                </c:pt>
                <c:pt idx="3">
                  <c:v>1.4635937317468E-2</c:v>
                </c:pt>
                <c:pt idx="4">
                  <c:v>3.0039552076901255E-3</c:v>
                </c:pt>
                <c:pt idx="5">
                  <c:v>2.4949516863870761E-3</c:v>
                </c:pt>
              </c:numCache>
            </c:numRef>
          </c:val>
          <c:extLst>
            <c:ext xmlns:c16="http://schemas.microsoft.com/office/drawing/2014/chart" uri="{C3380CC4-5D6E-409C-BE32-E72D297353CC}">
              <c16:uniqueId val="{0000000C-55DB-4DE9-80DF-C4BED8E51531}"/>
            </c:ext>
          </c:extLst>
        </c:ser>
        <c:dLbls>
          <c:showLegendKey val="0"/>
          <c:showVal val="0"/>
          <c:showCatName val="0"/>
          <c:showSerName val="0"/>
          <c:showPercent val="0"/>
          <c:showBubbleSize val="0"/>
          <c:showLeaderLines val="1"/>
        </c:dLbls>
        <c:firstSliceAng val="122"/>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plotArea>
      <c:layout/>
      <c:doughnutChart>
        <c:varyColors val="1"/>
        <c:ser>
          <c:idx val="0"/>
          <c:order val="0"/>
          <c:tx>
            <c:strRef>
              <c:f>'Şikayetlerin Gönderildiği Yer'!$D$3</c:f>
              <c:strCache>
                <c:ptCount val="1"/>
                <c:pt idx="0">
                  <c:v>% Oranı</c:v>
                </c:pt>
              </c:strCache>
            </c:strRef>
          </c:tx>
          <c:explosion val="5"/>
          <c:dPt>
            <c:idx val="0"/>
            <c:bubble3D val="0"/>
            <c:spPr>
              <a:solidFill>
                <a:srgbClr val="FF0000"/>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1CCE-461E-B76C-36BC44FBE2AE}"/>
              </c:ext>
            </c:extLst>
          </c:dPt>
          <c:dPt>
            <c:idx val="1"/>
            <c:bubble3D val="0"/>
            <c:spPr>
              <a:solidFill>
                <a:srgbClr val="00B0F0"/>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1CCE-461E-B76C-36BC44FBE2AE}"/>
              </c:ext>
            </c:extLst>
          </c:dPt>
          <c:dPt>
            <c:idx val="2"/>
            <c:bubble3D val="0"/>
            <c:spPr>
              <a:solidFill>
                <a:srgbClr val="FFFF00"/>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1CCE-461E-B76C-36BC44FBE2AE}"/>
              </c:ext>
            </c:extLst>
          </c:dPt>
          <c:dPt>
            <c:idx val="3"/>
            <c:bubble3D val="0"/>
            <c:spPr>
              <a:solidFill>
                <a:srgbClr val="92D050"/>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1CCE-461E-B76C-36BC44FBE2AE}"/>
              </c:ext>
            </c:extLst>
          </c:dPt>
          <c:dLbls>
            <c:spPr>
              <a:noFill/>
              <a:ln>
                <a:noFill/>
              </a:ln>
              <a:effectLst/>
            </c:spPr>
            <c:txPr>
              <a:bodyPr rot="0" spcFirstLastPara="1" vertOverflow="clip" horzOverflow="clip"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tr-TR"/>
              </a:p>
            </c:txPr>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'Şikayetlerin Gönderildiği Yer'!$B$4:$B$7</c:f>
              <c:strCache>
                <c:ptCount val="4"/>
                <c:pt idx="0">
                  <c:v>Kurum</c:v>
                </c:pt>
                <c:pt idx="1">
                  <c:v>Elektrik Dağıtım</c:v>
                </c:pt>
                <c:pt idx="2">
                  <c:v>Elektrik Perakende</c:v>
                </c:pt>
                <c:pt idx="3">
                  <c:v>Doğalgaz</c:v>
                </c:pt>
              </c:strCache>
            </c:strRef>
          </c:cat>
          <c:val>
            <c:numRef>
              <c:f>'Şikayetlerin Gönderildiği Yer'!$D$4:$D$7</c:f>
              <c:numCache>
                <c:formatCode>0.00%</c:formatCode>
                <c:ptCount val="4"/>
                <c:pt idx="0">
                  <c:v>0.1236461340765341</c:v>
                </c:pt>
                <c:pt idx="1">
                  <c:v>0.62031675038801093</c:v>
                </c:pt>
                <c:pt idx="2">
                  <c:v>4.4808998514711033E-2</c:v>
                </c:pt>
                <c:pt idx="3">
                  <c:v>0.21122811702074398</c:v>
                </c:pt>
              </c:numCache>
            </c:numRef>
          </c:val>
          <c:extLst>
            <c:ext xmlns:c16="http://schemas.microsoft.com/office/drawing/2014/chart" uri="{C3380CC4-5D6E-409C-BE32-E72D297353CC}">
              <c16:uniqueId val="{00000008-1CCE-461E-B76C-36BC44FBE2AE}"/>
            </c:ext>
          </c:extLst>
        </c:ser>
        <c:dLbls>
          <c:showLegendKey val="0"/>
          <c:showVal val="1"/>
          <c:showCatName val="0"/>
          <c:showSerName val="0"/>
          <c:showPercent val="0"/>
          <c:showBubbleSize val="0"/>
          <c:showLeaderLines val="0"/>
        </c:dLbls>
        <c:firstSliceAng val="263"/>
        <c:holeSize val="54"/>
      </c:doughnut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Sayfa1!$A$1:$A$14</c:f>
              <c:strCache>
                <c:ptCount val="14"/>
                <c:pt idx="0">
                  <c:v>Diğer </c:v>
                </c:pt>
                <c:pt idx="1">
                  <c:v>Konu Kurumun Görev Alanında Değil</c:v>
                </c:pt>
                <c:pt idx="2">
                  <c:v>Sayaç Okuma ve Okuma Bildirimi</c:v>
                </c:pt>
                <c:pt idx="3">
                  <c:v>Şirket Ve Müşteri Hizmetleri Hakkında Şikayetler</c:v>
                </c:pt>
                <c:pt idx="4">
                  <c:v>Yüksek Fatura İtirazları</c:v>
                </c:pt>
                <c:pt idx="5">
                  <c:v>Arıza İhbarı</c:v>
                </c:pt>
                <c:pt idx="6">
                  <c:v>Aydınlatma İhbarı</c:v>
                </c:pt>
                <c:pt idx="7">
                  <c:v>Kaçak Elektrik Kullanım İhbarı</c:v>
                </c:pt>
                <c:pt idx="8">
                  <c:v>Kaçak Enerji Kullanım Tahakkuku</c:v>
                </c:pt>
                <c:pt idx="9">
                  <c:v>Tesis (Hat, Trafo, Direk) Yeri Değişikliği / Kaldırılması</c:v>
                </c:pt>
                <c:pt idx="10">
                  <c:v>Talep</c:v>
                </c:pt>
                <c:pt idx="11">
                  <c:v>Voltaj Dalgalanması</c:v>
                </c:pt>
                <c:pt idx="12">
                  <c:v>Yatırım / İlk Bağlantı (Şebekeye Fiziki Bağlantı Tesisi)</c:v>
                </c:pt>
                <c:pt idx="13">
                  <c:v>Enerji Kesintisi</c:v>
                </c:pt>
              </c:strCache>
            </c:strRef>
          </c:cat>
          <c:val>
            <c:numRef>
              <c:f>Sayfa1!$B$1:$B$14</c:f>
              <c:numCache>
                <c:formatCode>0.0%</c:formatCode>
                <c:ptCount val="14"/>
                <c:pt idx="0">
                  <c:v>7.8E-2</c:v>
                </c:pt>
                <c:pt idx="1">
                  <c:v>1.6E-2</c:v>
                </c:pt>
                <c:pt idx="2">
                  <c:v>1.2999999999999999E-2</c:v>
                </c:pt>
                <c:pt idx="3">
                  <c:v>1.4E-2</c:v>
                </c:pt>
                <c:pt idx="4">
                  <c:v>1.7000000000000001E-2</c:v>
                </c:pt>
                <c:pt idx="5">
                  <c:v>2.7E-2</c:v>
                </c:pt>
                <c:pt idx="6">
                  <c:v>2.7E-2</c:v>
                </c:pt>
                <c:pt idx="7">
                  <c:v>2.8000000000000001E-2</c:v>
                </c:pt>
                <c:pt idx="8">
                  <c:v>0.03</c:v>
                </c:pt>
                <c:pt idx="9">
                  <c:v>4.2000000000000003E-2</c:v>
                </c:pt>
                <c:pt idx="10">
                  <c:v>5.1999999999999998E-2</c:v>
                </c:pt>
                <c:pt idx="11">
                  <c:v>0.104</c:v>
                </c:pt>
                <c:pt idx="12">
                  <c:v>0.11700000000000001</c:v>
                </c:pt>
                <c:pt idx="13">
                  <c:v>0.433</c:v>
                </c:pt>
              </c:numCache>
            </c:numRef>
          </c:val>
          <c:extLst>
            <c:ext xmlns:c16="http://schemas.microsoft.com/office/drawing/2014/chart" uri="{C3380CC4-5D6E-409C-BE32-E72D297353CC}">
              <c16:uniqueId val="{00000000-117A-4C03-A4AA-F3396D3B6190}"/>
            </c:ext>
          </c:extLst>
        </c:ser>
        <c:dLbls>
          <c:showLegendKey val="0"/>
          <c:showVal val="0"/>
          <c:showCatName val="0"/>
          <c:showSerName val="0"/>
          <c:showPercent val="0"/>
          <c:showBubbleSize val="0"/>
        </c:dLbls>
        <c:gapWidth val="182"/>
        <c:axId val="1968557728"/>
        <c:axId val="2101842240"/>
      </c:barChart>
      <c:catAx>
        <c:axId val="196855772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101842240"/>
        <c:crosses val="autoZero"/>
        <c:auto val="1"/>
        <c:lblAlgn val="ctr"/>
        <c:lblOffset val="100"/>
        <c:noMultiLvlLbl val="0"/>
      </c:catAx>
      <c:valAx>
        <c:axId val="2101842240"/>
        <c:scaling>
          <c:orientation val="minMax"/>
        </c:scaling>
        <c:delete val="0"/>
        <c:axPos val="b"/>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968557728"/>
        <c:crosses val="autoZero"/>
        <c:crossBetween val="between"/>
        <c:majorUnit val="0.1"/>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Sayfa1!$R$2</c:f>
              <c:strCache>
                <c:ptCount val="1"/>
                <c:pt idx="0">
                  <c:v>Elektrik</c:v>
                </c:pt>
              </c:strCache>
            </c:strRef>
          </c:tx>
          <c:spPr>
            <a:solidFill>
              <a:srgbClr val="FF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Sayfa1!$S$1:$AD$1</c:f>
              <c:strCache>
                <c:ptCount val="12"/>
                <c:pt idx="0">
                  <c:v>OCAK</c:v>
                </c:pt>
                <c:pt idx="1">
                  <c:v>ŞUBAT</c:v>
                </c:pt>
                <c:pt idx="2">
                  <c:v>MART</c:v>
                </c:pt>
                <c:pt idx="3">
                  <c:v>NİSAN</c:v>
                </c:pt>
                <c:pt idx="4">
                  <c:v>MAYIS</c:v>
                </c:pt>
                <c:pt idx="5">
                  <c:v>HAZİRAN</c:v>
                </c:pt>
                <c:pt idx="6">
                  <c:v>TEMMUZ</c:v>
                </c:pt>
                <c:pt idx="7">
                  <c:v>AĞUSTOS</c:v>
                </c:pt>
                <c:pt idx="8">
                  <c:v>EYLÜL</c:v>
                </c:pt>
                <c:pt idx="9">
                  <c:v>EKİM</c:v>
                </c:pt>
                <c:pt idx="10">
                  <c:v>KASIM</c:v>
                </c:pt>
                <c:pt idx="11">
                  <c:v>ARALIK</c:v>
                </c:pt>
              </c:strCache>
            </c:strRef>
          </c:cat>
          <c:val>
            <c:numRef>
              <c:f>Sayfa1!$S$2:$AD$2</c:f>
              <c:numCache>
                <c:formatCode>0%</c:formatCode>
                <c:ptCount val="12"/>
                <c:pt idx="0">
                  <c:v>8.6174879877440172E-2</c:v>
                </c:pt>
                <c:pt idx="1">
                  <c:v>6.876581323553306E-2</c:v>
                </c:pt>
                <c:pt idx="2">
                  <c:v>6.0235370580998586E-2</c:v>
                </c:pt>
                <c:pt idx="3">
                  <c:v>4.9105173974605974E-2</c:v>
                </c:pt>
                <c:pt idx="4">
                  <c:v>5.5442074232260163E-2</c:v>
                </c:pt>
                <c:pt idx="5">
                  <c:v>8.3459065481302663E-2</c:v>
                </c:pt>
                <c:pt idx="6">
                  <c:v>0.15873586964090899</c:v>
                </c:pt>
                <c:pt idx="7">
                  <c:v>9.3080476312063329E-2</c:v>
                </c:pt>
                <c:pt idx="8">
                  <c:v>7.1377173231819135E-2</c:v>
                </c:pt>
                <c:pt idx="9">
                  <c:v>6.2278034400315686E-2</c:v>
                </c:pt>
                <c:pt idx="10">
                  <c:v>9.8512105104338346E-2</c:v>
                </c:pt>
                <c:pt idx="11">
                  <c:v>0.11283396392841392</c:v>
                </c:pt>
              </c:numCache>
            </c:numRef>
          </c:val>
          <c:extLst>
            <c:ext xmlns:c16="http://schemas.microsoft.com/office/drawing/2014/chart" uri="{C3380CC4-5D6E-409C-BE32-E72D297353CC}">
              <c16:uniqueId val="{00000000-76E5-4232-AD5D-FA0846A086AC}"/>
            </c:ext>
          </c:extLst>
        </c:ser>
        <c:dLbls>
          <c:dLblPos val="outEnd"/>
          <c:showLegendKey val="0"/>
          <c:showVal val="1"/>
          <c:showCatName val="0"/>
          <c:showSerName val="0"/>
          <c:showPercent val="0"/>
          <c:showBubbleSize val="0"/>
        </c:dLbls>
        <c:gapWidth val="219"/>
        <c:overlap val="-27"/>
        <c:axId val="666865775"/>
        <c:axId val="631313743"/>
        <c:extLst>
          <c:ext xmlns:c15="http://schemas.microsoft.com/office/drawing/2012/chart" uri="{02D57815-91ED-43cb-92C2-25804820EDAC}">
            <c15:filteredBarSeries>
              <c15:ser>
                <c:idx val="1"/>
                <c:order val="1"/>
                <c:tx>
                  <c:strRef>
                    <c:extLst>
                      <c:ext uri="{02D57815-91ED-43cb-92C2-25804820EDAC}">
                        <c15:formulaRef>
                          <c15:sqref>Sayfa1!$R$3</c15:sqref>
                        </c15:formulaRef>
                      </c:ext>
                    </c:extLst>
                    <c:strCache>
                      <c:ptCount val="1"/>
                      <c:pt idx="0">
                        <c:v>Doğalgaz</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c:ext uri="{02D57815-91ED-43cb-92C2-25804820EDAC}">
                        <c15:formulaRef>
                          <c15:sqref>Sayfa1!$S$1:$AD$1</c15:sqref>
                        </c15:formulaRef>
                      </c:ext>
                    </c:extLst>
                    <c:strCache>
                      <c:ptCount val="12"/>
                      <c:pt idx="0">
                        <c:v>OCAK</c:v>
                      </c:pt>
                      <c:pt idx="1">
                        <c:v>ŞUBAT</c:v>
                      </c:pt>
                      <c:pt idx="2">
                        <c:v>MART</c:v>
                      </c:pt>
                      <c:pt idx="3">
                        <c:v>NİSAN</c:v>
                      </c:pt>
                      <c:pt idx="4">
                        <c:v>MAYIS</c:v>
                      </c:pt>
                      <c:pt idx="5">
                        <c:v>HAZİRAN</c:v>
                      </c:pt>
                      <c:pt idx="6">
                        <c:v>TEMMUZ</c:v>
                      </c:pt>
                      <c:pt idx="7">
                        <c:v>AĞUSTOS</c:v>
                      </c:pt>
                      <c:pt idx="8">
                        <c:v>EYLÜL</c:v>
                      </c:pt>
                      <c:pt idx="9">
                        <c:v>EKİM</c:v>
                      </c:pt>
                      <c:pt idx="10">
                        <c:v>KASIM</c:v>
                      </c:pt>
                      <c:pt idx="11">
                        <c:v>ARALIK</c:v>
                      </c:pt>
                    </c:strCache>
                  </c:strRef>
                </c:cat>
                <c:val>
                  <c:numRef>
                    <c:extLst>
                      <c:ext uri="{02D57815-91ED-43cb-92C2-25804820EDAC}">
                        <c15:formulaRef>
                          <c15:sqref>Sayfa1!$S$3:$AD$3</c15:sqref>
                        </c15:formulaRef>
                      </c:ext>
                    </c:extLst>
                    <c:numCache>
                      <c:formatCode>0%</c:formatCode>
                      <c:ptCount val="12"/>
                      <c:pt idx="0">
                        <c:v>0.1260866517106001</c:v>
                      </c:pt>
                      <c:pt idx="1">
                        <c:v>8.9245653393157598E-2</c:v>
                      </c:pt>
                      <c:pt idx="2">
                        <c:v>7.2770611329220414E-2</c:v>
                      </c:pt>
                      <c:pt idx="3">
                        <c:v>5.3561413348289399E-2</c:v>
                      </c:pt>
                      <c:pt idx="4">
                        <c:v>7.0071508693213685E-2</c:v>
                      </c:pt>
                      <c:pt idx="5">
                        <c:v>3.7787436904094224E-2</c:v>
                      </c:pt>
                      <c:pt idx="6">
                        <c:v>7.6661525518788562E-2</c:v>
                      </c:pt>
                      <c:pt idx="7">
                        <c:v>7.2349971957375206E-2</c:v>
                      </c:pt>
                      <c:pt idx="8">
                        <c:v>8.1674144699943912E-2</c:v>
                      </c:pt>
                      <c:pt idx="9">
                        <c:v>9.3592260235558042E-2</c:v>
                      </c:pt>
                      <c:pt idx="10">
                        <c:v>0.11101374088614695</c:v>
                      </c:pt>
                      <c:pt idx="11">
                        <c:v>0.1151850813236119</c:v>
                      </c:pt>
                    </c:numCache>
                  </c:numRef>
                </c:val>
                <c:extLst>
                  <c:ext xmlns:c16="http://schemas.microsoft.com/office/drawing/2014/chart" uri="{C3380CC4-5D6E-409C-BE32-E72D297353CC}">
                    <c16:uniqueId val="{00000001-76E5-4232-AD5D-FA0846A086AC}"/>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Sayfa1!$R$4</c15:sqref>
                        </c15:formulaRef>
                      </c:ext>
                    </c:extLst>
                    <c:strCache>
                      <c:ptCount val="1"/>
                      <c:pt idx="0">
                        <c:v>Diğer</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Sayfa1!$S$1:$AD$1</c15:sqref>
                        </c15:formulaRef>
                      </c:ext>
                    </c:extLst>
                    <c:strCache>
                      <c:ptCount val="12"/>
                      <c:pt idx="0">
                        <c:v>OCAK</c:v>
                      </c:pt>
                      <c:pt idx="1">
                        <c:v>ŞUBAT</c:v>
                      </c:pt>
                      <c:pt idx="2">
                        <c:v>MART</c:v>
                      </c:pt>
                      <c:pt idx="3">
                        <c:v>NİSAN</c:v>
                      </c:pt>
                      <c:pt idx="4">
                        <c:v>MAYIS</c:v>
                      </c:pt>
                      <c:pt idx="5">
                        <c:v>HAZİRAN</c:v>
                      </c:pt>
                      <c:pt idx="6">
                        <c:v>TEMMUZ</c:v>
                      </c:pt>
                      <c:pt idx="7">
                        <c:v>AĞUSTOS</c:v>
                      </c:pt>
                      <c:pt idx="8">
                        <c:v>EYLÜL</c:v>
                      </c:pt>
                      <c:pt idx="9">
                        <c:v>EKİM</c:v>
                      </c:pt>
                      <c:pt idx="10">
                        <c:v>KASIM</c:v>
                      </c:pt>
                      <c:pt idx="11">
                        <c:v>ARALIK</c:v>
                      </c:pt>
                    </c:strCache>
                  </c:strRef>
                </c:cat>
                <c:val>
                  <c:numRef>
                    <c:extLst xmlns:c15="http://schemas.microsoft.com/office/drawing/2012/chart">
                      <c:ext xmlns:c15="http://schemas.microsoft.com/office/drawing/2012/chart" uri="{02D57815-91ED-43cb-92C2-25804820EDAC}">
                        <c15:formulaRef>
                          <c15:sqref>Sayfa1!$S$4:$AD$4</c15:sqref>
                        </c15:formulaRef>
                      </c:ext>
                    </c:extLst>
                    <c:numCache>
                      <c:formatCode>0%</c:formatCode>
                      <c:ptCount val="12"/>
                      <c:pt idx="0">
                        <c:v>0.10229341099381144</c:v>
                      </c:pt>
                      <c:pt idx="1">
                        <c:v>8.8824171823807793E-2</c:v>
                      </c:pt>
                      <c:pt idx="2">
                        <c:v>7.4262832180560609E-2</c:v>
                      </c:pt>
                      <c:pt idx="3">
                        <c:v>7.0258463778667637E-2</c:v>
                      </c:pt>
                      <c:pt idx="4">
                        <c:v>6.0065526028394614E-2</c:v>
                      </c:pt>
                      <c:pt idx="5">
                        <c:v>5.9701492537313432E-2</c:v>
                      </c:pt>
                      <c:pt idx="6">
                        <c:v>9.6468875136512561E-2</c:v>
                      </c:pt>
                      <c:pt idx="7">
                        <c:v>7.5718966144885325E-2</c:v>
                      </c:pt>
                      <c:pt idx="8">
                        <c:v>6.5890061885693491E-2</c:v>
                      </c:pt>
                      <c:pt idx="9">
                        <c:v>7.6082999635966514E-2</c:v>
                      </c:pt>
                      <c:pt idx="10">
                        <c:v>0.10775391336002912</c:v>
                      </c:pt>
                      <c:pt idx="11">
                        <c:v>0.12267928649435748</c:v>
                      </c:pt>
                    </c:numCache>
                  </c:numRef>
                </c:val>
                <c:extLst xmlns:c15="http://schemas.microsoft.com/office/drawing/2012/chart">
                  <c:ext xmlns:c16="http://schemas.microsoft.com/office/drawing/2014/chart" uri="{C3380CC4-5D6E-409C-BE32-E72D297353CC}">
                    <c16:uniqueId val="{00000002-76E5-4232-AD5D-FA0846A086AC}"/>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Sayfa1!$R$5</c15:sqref>
                        </c15:formulaRef>
                      </c:ext>
                    </c:extLst>
                    <c:strCache>
                      <c:ptCount val="1"/>
                      <c:pt idx="0">
                        <c:v>Petrol</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Sayfa1!$S$1:$AD$1</c15:sqref>
                        </c15:formulaRef>
                      </c:ext>
                    </c:extLst>
                    <c:strCache>
                      <c:ptCount val="12"/>
                      <c:pt idx="0">
                        <c:v>OCAK</c:v>
                      </c:pt>
                      <c:pt idx="1">
                        <c:v>ŞUBAT</c:v>
                      </c:pt>
                      <c:pt idx="2">
                        <c:v>MART</c:v>
                      </c:pt>
                      <c:pt idx="3">
                        <c:v>NİSAN</c:v>
                      </c:pt>
                      <c:pt idx="4">
                        <c:v>MAYIS</c:v>
                      </c:pt>
                      <c:pt idx="5">
                        <c:v>HAZİRAN</c:v>
                      </c:pt>
                      <c:pt idx="6">
                        <c:v>TEMMUZ</c:v>
                      </c:pt>
                      <c:pt idx="7">
                        <c:v>AĞUSTOS</c:v>
                      </c:pt>
                      <c:pt idx="8">
                        <c:v>EYLÜL</c:v>
                      </c:pt>
                      <c:pt idx="9">
                        <c:v>EKİM</c:v>
                      </c:pt>
                      <c:pt idx="10">
                        <c:v>KASIM</c:v>
                      </c:pt>
                      <c:pt idx="11">
                        <c:v>ARALIK</c:v>
                      </c:pt>
                    </c:strCache>
                  </c:strRef>
                </c:cat>
                <c:val>
                  <c:numRef>
                    <c:extLst xmlns:c15="http://schemas.microsoft.com/office/drawing/2012/chart">
                      <c:ext xmlns:c15="http://schemas.microsoft.com/office/drawing/2012/chart" uri="{02D57815-91ED-43cb-92C2-25804820EDAC}">
                        <c15:formulaRef>
                          <c15:sqref>Sayfa1!$S$5:$AD$5</c15:sqref>
                        </c15:formulaRef>
                      </c:ext>
                    </c:extLst>
                    <c:numCache>
                      <c:formatCode>0%</c:formatCode>
                      <c:ptCount val="12"/>
                      <c:pt idx="0">
                        <c:v>0.10571428571428572</c:v>
                      </c:pt>
                      <c:pt idx="1">
                        <c:v>0.11771428571428572</c:v>
                      </c:pt>
                      <c:pt idx="2">
                        <c:v>6.8000000000000005E-2</c:v>
                      </c:pt>
                      <c:pt idx="3">
                        <c:v>6.1714285714285715E-2</c:v>
                      </c:pt>
                      <c:pt idx="4">
                        <c:v>7.2571428571428565E-2</c:v>
                      </c:pt>
                      <c:pt idx="5">
                        <c:v>9.1428571428571428E-2</c:v>
                      </c:pt>
                      <c:pt idx="6">
                        <c:v>9.8857142857142852E-2</c:v>
                      </c:pt>
                      <c:pt idx="7">
                        <c:v>8.2285714285714281E-2</c:v>
                      </c:pt>
                      <c:pt idx="8">
                        <c:v>9.5428571428571432E-2</c:v>
                      </c:pt>
                      <c:pt idx="9">
                        <c:v>6.7428571428571435E-2</c:v>
                      </c:pt>
                      <c:pt idx="10">
                        <c:v>7.2571428571428565E-2</c:v>
                      </c:pt>
                      <c:pt idx="11">
                        <c:v>6.6285714285714281E-2</c:v>
                      </c:pt>
                    </c:numCache>
                  </c:numRef>
                </c:val>
                <c:extLst xmlns:c15="http://schemas.microsoft.com/office/drawing/2012/chart">
                  <c:ext xmlns:c16="http://schemas.microsoft.com/office/drawing/2014/chart" uri="{C3380CC4-5D6E-409C-BE32-E72D297353CC}">
                    <c16:uniqueId val="{00000003-76E5-4232-AD5D-FA0846A086AC}"/>
                  </c:ext>
                </c:extLst>
              </c15:ser>
            </c15:filteredBarSeries>
            <c15:filteredBarSeries>
              <c15:ser>
                <c:idx val="4"/>
                <c:order val="4"/>
                <c:tx>
                  <c:strRef>
                    <c:extLst xmlns:c15="http://schemas.microsoft.com/office/drawing/2012/chart">
                      <c:ext xmlns:c15="http://schemas.microsoft.com/office/drawing/2012/chart" uri="{02D57815-91ED-43cb-92C2-25804820EDAC}">
                        <c15:formulaRef>
                          <c15:sqref>Sayfa1!$R$6</c15:sqref>
                        </c15:formulaRef>
                      </c:ext>
                    </c:extLst>
                    <c:strCache>
                      <c:ptCount val="1"/>
                      <c:pt idx="0">
                        <c:v>Lpg</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Sayfa1!$S$1:$AD$1</c15:sqref>
                        </c15:formulaRef>
                      </c:ext>
                    </c:extLst>
                    <c:strCache>
                      <c:ptCount val="12"/>
                      <c:pt idx="0">
                        <c:v>OCAK</c:v>
                      </c:pt>
                      <c:pt idx="1">
                        <c:v>ŞUBAT</c:v>
                      </c:pt>
                      <c:pt idx="2">
                        <c:v>MART</c:v>
                      </c:pt>
                      <c:pt idx="3">
                        <c:v>NİSAN</c:v>
                      </c:pt>
                      <c:pt idx="4">
                        <c:v>MAYIS</c:v>
                      </c:pt>
                      <c:pt idx="5">
                        <c:v>HAZİRAN</c:v>
                      </c:pt>
                      <c:pt idx="6">
                        <c:v>TEMMUZ</c:v>
                      </c:pt>
                      <c:pt idx="7">
                        <c:v>AĞUSTOS</c:v>
                      </c:pt>
                      <c:pt idx="8">
                        <c:v>EYLÜL</c:v>
                      </c:pt>
                      <c:pt idx="9">
                        <c:v>EKİM</c:v>
                      </c:pt>
                      <c:pt idx="10">
                        <c:v>KASIM</c:v>
                      </c:pt>
                      <c:pt idx="11">
                        <c:v>ARALIK</c:v>
                      </c:pt>
                    </c:strCache>
                  </c:strRef>
                </c:cat>
                <c:val>
                  <c:numRef>
                    <c:extLst xmlns:c15="http://schemas.microsoft.com/office/drawing/2012/chart">
                      <c:ext xmlns:c15="http://schemas.microsoft.com/office/drawing/2012/chart" uri="{02D57815-91ED-43cb-92C2-25804820EDAC}">
                        <c15:formulaRef>
                          <c15:sqref>Sayfa1!$S$6:$AD$6</c15:sqref>
                        </c15:formulaRef>
                      </c:ext>
                    </c:extLst>
                    <c:numCache>
                      <c:formatCode>0%</c:formatCode>
                      <c:ptCount val="12"/>
                      <c:pt idx="0">
                        <c:v>7.3170731707317069E-2</c:v>
                      </c:pt>
                      <c:pt idx="1">
                        <c:v>8.1300813008130079E-2</c:v>
                      </c:pt>
                      <c:pt idx="2">
                        <c:v>7.8590785907859076E-2</c:v>
                      </c:pt>
                      <c:pt idx="3">
                        <c:v>5.6910569105691054E-2</c:v>
                      </c:pt>
                      <c:pt idx="4">
                        <c:v>9.2140921409214094E-2</c:v>
                      </c:pt>
                      <c:pt idx="5">
                        <c:v>7.5880758807588072E-2</c:v>
                      </c:pt>
                      <c:pt idx="6">
                        <c:v>0.11382113821138211</c:v>
                      </c:pt>
                      <c:pt idx="7">
                        <c:v>7.5880758807588072E-2</c:v>
                      </c:pt>
                      <c:pt idx="8">
                        <c:v>7.3170731707317069E-2</c:v>
                      </c:pt>
                      <c:pt idx="9">
                        <c:v>0.10298102981029811</c:v>
                      </c:pt>
                      <c:pt idx="10">
                        <c:v>8.943089430894309E-2</c:v>
                      </c:pt>
                      <c:pt idx="11">
                        <c:v>8.6720867208672087E-2</c:v>
                      </c:pt>
                    </c:numCache>
                  </c:numRef>
                </c:val>
                <c:extLst xmlns:c15="http://schemas.microsoft.com/office/drawing/2012/chart">
                  <c:ext xmlns:c16="http://schemas.microsoft.com/office/drawing/2014/chart" uri="{C3380CC4-5D6E-409C-BE32-E72D297353CC}">
                    <c16:uniqueId val="{00000004-76E5-4232-AD5D-FA0846A086AC}"/>
                  </c:ext>
                </c:extLst>
              </c15:ser>
            </c15:filteredBarSeries>
            <c15:filteredBarSeries>
              <c15:ser>
                <c:idx val="5"/>
                <c:order val="5"/>
                <c:tx>
                  <c:strRef>
                    <c:extLst xmlns:c15="http://schemas.microsoft.com/office/drawing/2012/chart">
                      <c:ext xmlns:c15="http://schemas.microsoft.com/office/drawing/2012/chart" uri="{02D57815-91ED-43cb-92C2-25804820EDAC}">
                        <c15:formulaRef>
                          <c15:sqref>Sayfa1!$R$8</c15:sqref>
                        </c15:formulaRef>
                      </c:ext>
                    </c:extLst>
                    <c:strCache>
                      <c:ptCount val="1"/>
                      <c:pt idx="0">
                        <c:v>Toplam</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Sayfa1!$S$1:$AD$1</c15:sqref>
                        </c15:formulaRef>
                      </c:ext>
                    </c:extLst>
                    <c:strCache>
                      <c:ptCount val="12"/>
                      <c:pt idx="0">
                        <c:v>OCAK</c:v>
                      </c:pt>
                      <c:pt idx="1">
                        <c:v>ŞUBAT</c:v>
                      </c:pt>
                      <c:pt idx="2">
                        <c:v>MART</c:v>
                      </c:pt>
                      <c:pt idx="3">
                        <c:v>NİSAN</c:v>
                      </c:pt>
                      <c:pt idx="4">
                        <c:v>MAYIS</c:v>
                      </c:pt>
                      <c:pt idx="5">
                        <c:v>HAZİRAN</c:v>
                      </c:pt>
                      <c:pt idx="6">
                        <c:v>TEMMUZ</c:v>
                      </c:pt>
                      <c:pt idx="7">
                        <c:v>AĞUSTOS</c:v>
                      </c:pt>
                      <c:pt idx="8">
                        <c:v>EYLÜL</c:v>
                      </c:pt>
                      <c:pt idx="9">
                        <c:v>EKİM</c:v>
                      </c:pt>
                      <c:pt idx="10">
                        <c:v>KASIM</c:v>
                      </c:pt>
                      <c:pt idx="11">
                        <c:v>ARALIK</c:v>
                      </c:pt>
                    </c:strCache>
                  </c:strRef>
                </c:cat>
                <c:val>
                  <c:numRef>
                    <c:extLst xmlns:c15="http://schemas.microsoft.com/office/drawing/2012/chart">
                      <c:ext xmlns:c15="http://schemas.microsoft.com/office/drawing/2012/chart" uri="{02D57815-91ED-43cb-92C2-25804820EDAC}">
                        <c15:formulaRef>
                          <c15:sqref>Sayfa1!$S$8:$AD$8</c15:sqref>
                        </c15:formulaRef>
                      </c:ext>
                    </c:extLst>
                    <c:numCache>
                      <c:formatCode>0%</c:formatCode>
                      <c:ptCount val="12"/>
                      <c:pt idx="0">
                        <c:v>9.6218354166318992E-2</c:v>
                      </c:pt>
                      <c:pt idx="1">
                        <c:v>7.4906960831761821E-2</c:v>
                      </c:pt>
                      <c:pt idx="2">
                        <c:v>6.3683850403030651E-2</c:v>
                      </c:pt>
                      <c:pt idx="3">
                        <c:v>5.0942073730411708E-2</c:v>
                      </c:pt>
                      <c:pt idx="4">
                        <c:v>5.952837903239265E-2</c:v>
                      </c:pt>
                      <c:pt idx="5">
                        <c:v>7.2078236344520291E-2</c:v>
                      </c:pt>
                      <c:pt idx="6">
                        <c:v>0.13662155170975118</c:v>
                      </c:pt>
                      <c:pt idx="7">
                        <c:v>8.7573638624188516E-2</c:v>
                      </c:pt>
                      <c:pt idx="8">
                        <c:v>7.4072528829625672E-2</c:v>
                      </c:pt>
                      <c:pt idx="9">
                        <c:v>7.0334273460055746E-2</c:v>
                      </c:pt>
                      <c:pt idx="10">
                        <c:v>0.10125832345922131</c:v>
                      </c:pt>
                      <c:pt idx="11">
                        <c:v>0.11278182940872149</c:v>
                      </c:pt>
                    </c:numCache>
                  </c:numRef>
                </c:val>
                <c:extLst xmlns:c15="http://schemas.microsoft.com/office/drawing/2012/chart">
                  <c:ext xmlns:c16="http://schemas.microsoft.com/office/drawing/2014/chart" uri="{C3380CC4-5D6E-409C-BE32-E72D297353CC}">
                    <c16:uniqueId val="{00000005-76E5-4232-AD5D-FA0846A086AC}"/>
                  </c:ext>
                </c:extLst>
              </c15:ser>
            </c15:filteredBarSeries>
          </c:ext>
        </c:extLst>
      </c:barChart>
      <c:catAx>
        <c:axId val="66686577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631313743"/>
        <c:crosses val="autoZero"/>
        <c:auto val="1"/>
        <c:lblAlgn val="ctr"/>
        <c:lblOffset val="100"/>
        <c:noMultiLvlLbl val="0"/>
      </c:catAx>
      <c:valAx>
        <c:axId val="631313743"/>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tr-TR"/>
          </a:p>
        </c:txPr>
        <c:crossAx val="66686577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4">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4085120297462817"/>
          <c:y val="6.9264069264069264E-2"/>
          <c:w val="0.55321719160104987"/>
          <c:h val="0.85195555101066911"/>
        </c:manualLayout>
      </c:layout>
      <c:barChart>
        <c:barDir val="bar"/>
        <c:grouping val="clustered"/>
        <c:varyColors val="0"/>
        <c:ser>
          <c:idx val="0"/>
          <c:order val="0"/>
          <c:tx>
            <c:strRef>
              <c:f>doğalgaz!$D$3</c:f>
              <c:strCache>
                <c:ptCount val="1"/>
                <c:pt idx="0">
                  <c:v>Yüzde</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900" b="1" i="0" u="none" strike="noStrike" kern="1200" baseline="0">
                    <a:solidFill>
                      <a:schemeClr val="tx1"/>
                    </a:solidFill>
                    <a:latin typeface="+mn-lt"/>
                    <a:ea typeface="+mn-ea"/>
                    <a:cs typeface="+mn-cs"/>
                  </a:defRPr>
                </a:pPr>
                <a:endParaRPr lang="tr-T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doğalgaz!$B$4:$B$14</c:f>
              <c:strCache>
                <c:ptCount val="11"/>
                <c:pt idx="0">
                  <c:v>Bağlantı / Servis Hattı</c:v>
                </c:pt>
                <c:pt idx="1">
                  <c:v>Servis Kutusu</c:v>
                </c:pt>
                <c:pt idx="2">
                  <c:v>Hatalı Faturalandırma</c:v>
                </c:pt>
                <c:pt idx="3">
                  <c:v>İç Tesisat Firması İşlemleri</c:v>
                </c:pt>
                <c:pt idx="4">
                  <c:v>Güvence Bedeli Ve İadesi</c:v>
                </c:pt>
                <c:pt idx="5">
                  <c:v>Hizmet Kesintisi</c:v>
                </c:pt>
                <c:pt idx="6">
                  <c:v>Personel/Şirket İletişimi (Personel Davranışları, Şirket Telefonlarına Ulaşamama Vb.)</c:v>
                </c:pt>
                <c:pt idx="7">
                  <c:v>Fatura Kalemleri İtirazı</c:v>
                </c:pt>
                <c:pt idx="8">
                  <c:v>Kaçak / Usulsüz Kullanım Tahakkuku</c:v>
                </c:pt>
                <c:pt idx="9">
                  <c:v>Acil Müdahale / İhbar</c:v>
                </c:pt>
                <c:pt idx="10">
                  <c:v>Diğer</c:v>
                </c:pt>
              </c:strCache>
            </c:strRef>
          </c:cat>
          <c:val>
            <c:numRef>
              <c:f>doğalgaz!$D$4:$D$14</c:f>
              <c:numCache>
                <c:formatCode>0%</c:formatCode>
                <c:ptCount val="11"/>
                <c:pt idx="0">
                  <c:v>0.59861894913947211</c:v>
                </c:pt>
                <c:pt idx="1">
                  <c:v>8.0023835395562404E-2</c:v>
                </c:pt>
                <c:pt idx="2">
                  <c:v>2.765606926285534E-2</c:v>
                </c:pt>
                <c:pt idx="3">
                  <c:v>2.457148866066108E-2</c:v>
                </c:pt>
                <c:pt idx="4">
                  <c:v>2.3204458621052262E-2</c:v>
                </c:pt>
                <c:pt idx="5">
                  <c:v>2.1662168319955134E-2</c:v>
                </c:pt>
                <c:pt idx="6">
                  <c:v>1.9594097234393072E-2</c:v>
                </c:pt>
                <c:pt idx="7">
                  <c:v>1.6439412527603493E-2</c:v>
                </c:pt>
                <c:pt idx="8">
                  <c:v>1.3459988082302218E-2</c:v>
                </c:pt>
                <c:pt idx="9">
                  <c:v>1.0971292369168216E-2</c:v>
                </c:pt>
                <c:pt idx="10">
                  <c:v>0.16379824038697466</c:v>
                </c:pt>
              </c:numCache>
            </c:numRef>
          </c:val>
          <c:extLst>
            <c:ext xmlns:c16="http://schemas.microsoft.com/office/drawing/2014/chart" uri="{C3380CC4-5D6E-409C-BE32-E72D297353CC}">
              <c16:uniqueId val="{00000000-D0BB-42D6-BF13-9A5383F21C28}"/>
            </c:ext>
          </c:extLst>
        </c:ser>
        <c:dLbls>
          <c:dLblPos val="outEnd"/>
          <c:showLegendKey val="0"/>
          <c:showVal val="1"/>
          <c:showCatName val="0"/>
          <c:showSerName val="0"/>
          <c:showPercent val="0"/>
          <c:showBubbleSize val="0"/>
        </c:dLbls>
        <c:gapWidth val="182"/>
        <c:axId val="632977007"/>
        <c:axId val="668000383"/>
      </c:barChart>
      <c:catAx>
        <c:axId val="632977007"/>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solidFill>
                <a:latin typeface="+mn-lt"/>
                <a:ea typeface="+mn-ea"/>
                <a:cs typeface="+mn-cs"/>
              </a:defRPr>
            </a:pPr>
            <a:endParaRPr lang="tr-TR"/>
          </a:p>
        </c:txPr>
        <c:crossAx val="668000383"/>
        <c:crosses val="autoZero"/>
        <c:auto val="1"/>
        <c:lblAlgn val="ctr"/>
        <c:lblOffset val="100"/>
        <c:noMultiLvlLbl val="0"/>
      </c:catAx>
      <c:valAx>
        <c:axId val="668000383"/>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tr-TR"/>
          </a:p>
        </c:txPr>
        <c:crossAx val="63297700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b="1">
          <a:solidFill>
            <a:schemeClr val="tx1"/>
          </a:solidFill>
        </a:defRPr>
      </a:pPr>
      <a:endParaRPr lang="tr-TR"/>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1"/>
          <c:order val="1"/>
          <c:tx>
            <c:strRef>
              <c:f>Sayfa1!$R$3</c:f>
              <c:strCache>
                <c:ptCount val="1"/>
                <c:pt idx="0">
                  <c:v>Doğalgaz</c:v>
                </c:pt>
              </c:strCache>
              <c:extLst xmlns:c15="http://schemas.microsoft.com/office/drawing/2012/chart"/>
            </c:strRef>
          </c:tx>
          <c:spPr>
            <a:solidFill>
              <a:srgbClr val="00B05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Sayfa1!$S$1:$AD$1</c:f>
              <c:strCache>
                <c:ptCount val="12"/>
                <c:pt idx="0">
                  <c:v>OCAK</c:v>
                </c:pt>
                <c:pt idx="1">
                  <c:v>ŞUBAT</c:v>
                </c:pt>
                <c:pt idx="2">
                  <c:v>MART</c:v>
                </c:pt>
                <c:pt idx="3">
                  <c:v>NİSAN</c:v>
                </c:pt>
                <c:pt idx="4">
                  <c:v>MAYIS</c:v>
                </c:pt>
                <c:pt idx="5">
                  <c:v>HAZİRAN</c:v>
                </c:pt>
                <c:pt idx="6">
                  <c:v>TEMMUZ</c:v>
                </c:pt>
                <c:pt idx="7">
                  <c:v>AĞUSTOS</c:v>
                </c:pt>
                <c:pt idx="8">
                  <c:v>EYLÜL</c:v>
                </c:pt>
                <c:pt idx="9">
                  <c:v>EKİM</c:v>
                </c:pt>
                <c:pt idx="10">
                  <c:v>KASIM</c:v>
                </c:pt>
                <c:pt idx="11">
                  <c:v>ARALIK</c:v>
                </c:pt>
              </c:strCache>
              <c:extLst xmlns:c15="http://schemas.microsoft.com/office/drawing/2012/chart"/>
            </c:strRef>
          </c:cat>
          <c:val>
            <c:numRef>
              <c:f>Sayfa1!$S$3:$AD$3</c:f>
              <c:numCache>
                <c:formatCode>0%</c:formatCode>
                <c:ptCount val="12"/>
                <c:pt idx="0">
                  <c:v>0.1260866517106001</c:v>
                </c:pt>
                <c:pt idx="1">
                  <c:v>8.9245653393157598E-2</c:v>
                </c:pt>
                <c:pt idx="2">
                  <c:v>7.2770611329220414E-2</c:v>
                </c:pt>
                <c:pt idx="3">
                  <c:v>5.3561413348289399E-2</c:v>
                </c:pt>
                <c:pt idx="4">
                  <c:v>7.0071508693213685E-2</c:v>
                </c:pt>
                <c:pt idx="5">
                  <c:v>3.7787436904094224E-2</c:v>
                </c:pt>
                <c:pt idx="6">
                  <c:v>7.6661525518788562E-2</c:v>
                </c:pt>
                <c:pt idx="7">
                  <c:v>7.2349971957375206E-2</c:v>
                </c:pt>
                <c:pt idx="8">
                  <c:v>8.1674144699943912E-2</c:v>
                </c:pt>
                <c:pt idx="9">
                  <c:v>9.3592260235558042E-2</c:v>
                </c:pt>
                <c:pt idx="10">
                  <c:v>0.11101374088614695</c:v>
                </c:pt>
                <c:pt idx="11">
                  <c:v>0.1151850813236119</c:v>
                </c:pt>
              </c:numCache>
              <c:extLst xmlns:c15="http://schemas.microsoft.com/office/drawing/2012/chart"/>
            </c:numRef>
          </c:val>
          <c:extLst>
            <c:ext xmlns:c16="http://schemas.microsoft.com/office/drawing/2014/chart" uri="{C3380CC4-5D6E-409C-BE32-E72D297353CC}">
              <c16:uniqueId val="{00000000-5869-400D-B68B-8C5AA9ED2043}"/>
            </c:ext>
          </c:extLst>
        </c:ser>
        <c:dLbls>
          <c:dLblPos val="outEnd"/>
          <c:showLegendKey val="0"/>
          <c:showVal val="1"/>
          <c:showCatName val="0"/>
          <c:showSerName val="0"/>
          <c:showPercent val="0"/>
          <c:showBubbleSize val="0"/>
        </c:dLbls>
        <c:gapWidth val="219"/>
        <c:overlap val="-27"/>
        <c:axId val="666865775"/>
        <c:axId val="631313743"/>
        <c:extLst>
          <c:ext xmlns:c15="http://schemas.microsoft.com/office/drawing/2012/chart" uri="{02D57815-91ED-43cb-92C2-25804820EDAC}">
            <c15:filteredBarSeries>
              <c15:ser>
                <c:idx val="0"/>
                <c:order val="0"/>
                <c:tx>
                  <c:strRef>
                    <c:extLst>
                      <c:ext uri="{02D57815-91ED-43cb-92C2-25804820EDAC}">
                        <c15:formulaRef>
                          <c15:sqref>Sayfa1!$R$2</c15:sqref>
                        </c15:formulaRef>
                      </c:ext>
                    </c:extLst>
                    <c:strCache>
                      <c:ptCount val="1"/>
                      <c:pt idx="0">
                        <c:v>Elektrik</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c:ext uri="{02D57815-91ED-43cb-92C2-25804820EDAC}">
                        <c15:formulaRef>
                          <c15:sqref>Sayfa1!$S$1:$AD$1</c15:sqref>
                        </c15:formulaRef>
                      </c:ext>
                    </c:extLst>
                    <c:strCache>
                      <c:ptCount val="12"/>
                      <c:pt idx="0">
                        <c:v>OCAK</c:v>
                      </c:pt>
                      <c:pt idx="1">
                        <c:v>ŞUBAT</c:v>
                      </c:pt>
                      <c:pt idx="2">
                        <c:v>MART</c:v>
                      </c:pt>
                      <c:pt idx="3">
                        <c:v>NİSAN</c:v>
                      </c:pt>
                      <c:pt idx="4">
                        <c:v>MAYIS</c:v>
                      </c:pt>
                      <c:pt idx="5">
                        <c:v>HAZİRAN</c:v>
                      </c:pt>
                      <c:pt idx="6">
                        <c:v>TEMMUZ</c:v>
                      </c:pt>
                      <c:pt idx="7">
                        <c:v>AĞUSTOS</c:v>
                      </c:pt>
                      <c:pt idx="8">
                        <c:v>EYLÜL</c:v>
                      </c:pt>
                      <c:pt idx="9">
                        <c:v>EKİM</c:v>
                      </c:pt>
                      <c:pt idx="10">
                        <c:v>KASIM</c:v>
                      </c:pt>
                      <c:pt idx="11">
                        <c:v>ARALIK</c:v>
                      </c:pt>
                    </c:strCache>
                  </c:strRef>
                </c:cat>
                <c:val>
                  <c:numRef>
                    <c:extLst>
                      <c:ext uri="{02D57815-91ED-43cb-92C2-25804820EDAC}">
                        <c15:formulaRef>
                          <c15:sqref>Sayfa1!$S$2:$AD$2</c15:sqref>
                        </c15:formulaRef>
                      </c:ext>
                    </c:extLst>
                    <c:numCache>
                      <c:formatCode>0%</c:formatCode>
                      <c:ptCount val="12"/>
                      <c:pt idx="0">
                        <c:v>8.6174879877440172E-2</c:v>
                      </c:pt>
                      <c:pt idx="1">
                        <c:v>6.876581323553306E-2</c:v>
                      </c:pt>
                      <c:pt idx="2">
                        <c:v>6.0235370580998586E-2</c:v>
                      </c:pt>
                      <c:pt idx="3">
                        <c:v>4.9105173974605974E-2</c:v>
                      </c:pt>
                      <c:pt idx="4">
                        <c:v>5.5442074232260163E-2</c:v>
                      </c:pt>
                      <c:pt idx="5">
                        <c:v>8.3459065481302663E-2</c:v>
                      </c:pt>
                      <c:pt idx="6">
                        <c:v>0.15873586964090899</c:v>
                      </c:pt>
                      <c:pt idx="7">
                        <c:v>9.3080476312063329E-2</c:v>
                      </c:pt>
                      <c:pt idx="8">
                        <c:v>7.1377173231819135E-2</c:v>
                      </c:pt>
                      <c:pt idx="9">
                        <c:v>6.2278034400315686E-2</c:v>
                      </c:pt>
                      <c:pt idx="10">
                        <c:v>9.8512105104338346E-2</c:v>
                      </c:pt>
                      <c:pt idx="11">
                        <c:v>0.11283396392841392</c:v>
                      </c:pt>
                    </c:numCache>
                  </c:numRef>
                </c:val>
                <c:extLst>
                  <c:ext xmlns:c16="http://schemas.microsoft.com/office/drawing/2014/chart" uri="{C3380CC4-5D6E-409C-BE32-E72D297353CC}">
                    <c16:uniqueId val="{00000001-5869-400D-B68B-8C5AA9ED2043}"/>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Sayfa1!$R$4</c15:sqref>
                        </c15:formulaRef>
                      </c:ext>
                    </c:extLst>
                    <c:strCache>
                      <c:ptCount val="1"/>
                      <c:pt idx="0">
                        <c:v>Diğer</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Sayfa1!$S$1:$AD$1</c15:sqref>
                        </c15:formulaRef>
                      </c:ext>
                    </c:extLst>
                    <c:strCache>
                      <c:ptCount val="12"/>
                      <c:pt idx="0">
                        <c:v>OCAK</c:v>
                      </c:pt>
                      <c:pt idx="1">
                        <c:v>ŞUBAT</c:v>
                      </c:pt>
                      <c:pt idx="2">
                        <c:v>MART</c:v>
                      </c:pt>
                      <c:pt idx="3">
                        <c:v>NİSAN</c:v>
                      </c:pt>
                      <c:pt idx="4">
                        <c:v>MAYIS</c:v>
                      </c:pt>
                      <c:pt idx="5">
                        <c:v>HAZİRAN</c:v>
                      </c:pt>
                      <c:pt idx="6">
                        <c:v>TEMMUZ</c:v>
                      </c:pt>
                      <c:pt idx="7">
                        <c:v>AĞUSTOS</c:v>
                      </c:pt>
                      <c:pt idx="8">
                        <c:v>EYLÜL</c:v>
                      </c:pt>
                      <c:pt idx="9">
                        <c:v>EKİM</c:v>
                      </c:pt>
                      <c:pt idx="10">
                        <c:v>KASIM</c:v>
                      </c:pt>
                      <c:pt idx="11">
                        <c:v>ARALIK</c:v>
                      </c:pt>
                    </c:strCache>
                  </c:strRef>
                </c:cat>
                <c:val>
                  <c:numRef>
                    <c:extLst xmlns:c15="http://schemas.microsoft.com/office/drawing/2012/chart">
                      <c:ext xmlns:c15="http://schemas.microsoft.com/office/drawing/2012/chart" uri="{02D57815-91ED-43cb-92C2-25804820EDAC}">
                        <c15:formulaRef>
                          <c15:sqref>Sayfa1!$S$4:$AD$4</c15:sqref>
                        </c15:formulaRef>
                      </c:ext>
                    </c:extLst>
                    <c:numCache>
                      <c:formatCode>0%</c:formatCode>
                      <c:ptCount val="12"/>
                      <c:pt idx="0">
                        <c:v>0.10229341099381144</c:v>
                      </c:pt>
                      <c:pt idx="1">
                        <c:v>8.8824171823807793E-2</c:v>
                      </c:pt>
                      <c:pt idx="2">
                        <c:v>7.4262832180560609E-2</c:v>
                      </c:pt>
                      <c:pt idx="3">
                        <c:v>7.0258463778667637E-2</c:v>
                      </c:pt>
                      <c:pt idx="4">
                        <c:v>6.0065526028394614E-2</c:v>
                      </c:pt>
                      <c:pt idx="5">
                        <c:v>5.9701492537313432E-2</c:v>
                      </c:pt>
                      <c:pt idx="6">
                        <c:v>9.6468875136512561E-2</c:v>
                      </c:pt>
                      <c:pt idx="7">
                        <c:v>7.5718966144885325E-2</c:v>
                      </c:pt>
                      <c:pt idx="8">
                        <c:v>6.5890061885693491E-2</c:v>
                      </c:pt>
                      <c:pt idx="9">
                        <c:v>7.6082999635966514E-2</c:v>
                      </c:pt>
                      <c:pt idx="10">
                        <c:v>0.10775391336002912</c:v>
                      </c:pt>
                      <c:pt idx="11">
                        <c:v>0.12267928649435748</c:v>
                      </c:pt>
                    </c:numCache>
                  </c:numRef>
                </c:val>
                <c:extLst xmlns:c15="http://schemas.microsoft.com/office/drawing/2012/chart">
                  <c:ext xmlns:c16="http://schemas.microsoft.com/office/drawing/2014/chart" uri="{C3380CC4-5D6E-409C-BE32-E72D297353CC}">
                    <c16:uniqueId val="{00000002-5869-400D-B68B-8C5AA9ED2043}"/>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Sayfa1!$R$5</c15:sqref>
                        </c15:formulaRef>
                      </c:ext>
                    </c:extLst>
                    <c:strCache>
                      <c:ptCount val="1"/>
                      <c:pt idx="0">
                        <c:v>Petrol</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Sayfa1!$S$1:$AD$1</c15:sqref>
                        </c15:formulaRef>
                      </c:ext>
                    </c:extLst>
                    <c:strCache>
                      <c:ptCount val="12"/>
                      <c:pt idx="0">
                        <c:v>OCAK</c:v>
                      </c:pt>
                      <c:pt idx="1">
                        <c:v>ŞUBAT</c:v>
                      </c:pt>
                      <c:pt idx="2">
                        <c:v>MART</c:v>
                      </c:pt>
                      <c:pt idx="3">
                        <c:v>NİSAN</c:v>
                      </c:pt>
                      <c:pt idx="4">
                        <c:v>MAYIS</c:v>
                      </c:pt>
                      <c:pt idx="5">
                        <c:v>HAZİRAN</c:v>
                      </c:pt>
                      <c:pt idx="6">
                        <c:v>TEMMUZ</c:v>
                      </c:pt>
                      <c:pt idx="7">
                        <c:v>AĞUSTOS</c:v>
                      </c:pt>
                      <c:pt idx="8">
                        <c:v>EYLÜL</c:v>
                      </c:pt>
                      <c:pt idx="9">
                        <c:v>EKİM</c:v>
                      </c:pt>
                      <c:pt idx="10">
                        <c:v>KASIM</c:v>
                      </c:pt>
                      <c:pt idx="11">
                        <c:v>ARALIK</c:v>
                      </c:pt>
                    </c:strCache>
                  </c:strRef>
                </c:cat>
                <c:val>
                  <c:numRef>
                    <c:extLst xmlns:c15="http://schemas.microsoft.com/office/drawing/2012/chart">
                      <c:ext xmlns:c15="http://schemas.microsoft.com/office/drawing/2012/chart" uri="{02D57815-91ED-43cb-92C2-25804820EDAC}">
                        <c15:formulaRef>
                          <c15:sqref>Sayfa1!$S$5:$AD$5</c15:sqref>
                        </c15:formulaRef>
                      </c:ext>
                    </c:extLst>
                    <c:numCache>
                      <c:formatCode>0%</c:formatCode>
                      <c:ptCount val="12"/>
                      <c:pt idx="0">
                        <c:v>0.10571428571428572</c:v>
                      </c:pt>
                      <c:pt idx="1">
                        <c:v>0.11771428571428572</c:v>
                      </c:pt>
                      <c:pt idx="2">
                        <c:v>6.8000000000000005E-2</c:v>
                      </c:pt>
                      <c:pt idx="3">
                        <c:v>6.1714285714285715E-2</c:v>
                      </c:pt>
                      <c:pt idx="4">
                        <c:v>7.2571428571428565E-2</c:v>
                      </c:pt>
                      <c:pt idx="5">
                        <c:v>9.1428571428571428E-2</c:v>
                      </c:pt>
                      <c:pt idx="6">
                        <c:v>9.8857142857142852E-2</c:v>
                      </c:pt>
                      <c:pt idx="7">
                        <c:v>8.2285714285714281E-2</c:v>
                      </c:pt>
                      <c:pt idx="8">
                        <c:v>9.5428571428571432E-2</c:v>
                      </c:pt>
                      <c:pt idx="9">
                        <c:v>6.7428571428571435E-2</c:v>
                      </c:pt>
                      <c:pt idx="10">
                        <c:v>7.2571428571428565E-2</c:v>
                      </c:pt>
                      <c:pt idx="11">
                        <c:v>6.6285714285714281E-2</c:v>
                      </c:pt>
                    </c:numCache>
                  </c:numRef>
                </c:val>
                <c:extLst xmlns:c15="http://schemas.microsoft.com/office/drawing/2012/chart">
                  <c:ext xmlns:c16="http://schemas.microsoft.com/office/drawing/2014/chart" uri="{C3380CC4-5D6E-409C-BE32-E72D297353CC}">
                    <c16:uniqueId val="{00000003-5869-400D-B68B-8C5AA9ED2043}"/>
                  </c:ext>
                </c:extLst>
              </c15:ser>
            </c15:filteredBarSeries>
            <c15:filteredBarSeries>
              <c15:ser>
                <c:idx val="4"/>
                <c:order val="4"/>
                <c:tx>
                  <c:strRef>
                    <c:extLst xmlns:c15="http://schemas.microsoft.com/office/drawing/2012/chart">
                      <c:ext xmlns:c15="http://schemas.microsoft.com/office/drawing/2012/chart" uri="{02D57815-91ED-43cb-92C2-25804820EDAC}">
                        <c15:formulaRef>
                          <c15:sqref>Sayfa1!$R$6</c15:sqref>
                        </c15:formulaRef>
                      </c:ext>
                    </c:extLst>
                    <c:strCache>
                      <c:ptCount val="1"/>
                      <c:pt idx="0">
                        <c:v>Lpg</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Sayfa1!$S$1:$AD$1</c15:sqref>
                        </c15:formulaRef>
                      </c:ext>
                    </c:extLst>
                    <c:strCache>
                      <c:ptCount val="12"/>
                      <c:pt idx="0">
                        <c:v>OCAK</c:v>
                      </c:pt>
                      <c:pt idx="1">
                        <c:v>ŞUBAT</c:v>
                      </c:pt>
                      <c:pt idx="2">
                        <c:v>MART</c:v>
                      </c:pt>
                      <c:pt idx="3">
                        <c:v>NİSAN</c:v>
                      </c:pt>
                      <c:pt idx="4">
                        <c:v>MAYIS</c:v>
                      </c:pt>
                      <c:pt idx="5">
                        <c:v>HAZİRAN</c:v>
                      </c:pt>
                      <c:pt idx="6">
                        <c:v>TEMMUZ</c:v>
                      </c:pt>
                      <c:pt idx="7">
                        <c:v>AĞUSTOS</c:v>
                      </c:pt>
                      <c:pt idx="8">
                        <c:v>EYLÜL</c:v>
                      </c:pt>
                      <c:pt idx="9">
                        <c:v>EKİM</c:v>
                      </c:pt>
                      <c:pt idx="10">
                        <c:v>KASIM</c:v>
                      </c:pt>
                      <c:pt idx="11">
                        <c:v>ARALIK</c:v>
                      </c:pt>
                    </c:strCache>
                  </c:strRef>
                </c:cat>
                <c:val>
                  <c:numRef>
                    <c:extLst xmlns:c15="http://schemas.microsoft.com/office/drawing/2012/chart">
                      <c:ext xmlns:c15="http://schemas.microsoft.com/office/drawing/2012/chart" uri="{02D57815-91ED-43cb-92C2-25804820EDAC}">
                        <c15:formulaRef>
                          <c15:sqref>Sayfa1!$S$6:$AD$6</c15:sqref>
                        </c15:formulaRef>
                      </c:ext>
                    </c:extLst>
                    <c:numCache>
                      <c:formatCode>0%</c:formatCode>
                      <c:ptCount val="12"/>
                      <c:pt idx="0">
                        <c:v>7.3170731707317069E-2</c:v>
                      </c:pt>
                      <c:pt idx="1">
                        <c:v>8.1300813008130079E-2</c:v>
                      </c:pt>
                      <c:pt idx="2">
                        <c:v>7.8590785907859076E-2</c:v>
                      </c:pt>
                      <c:pt idx="3">
                        <c:v>5.6910569105691054E-2</c:v>
                      </c:pt>
                      <c:pt idx="4">
                        <c:v>9.2140921409214094E-2</c:v>
                      </c:pt>
                      <c:pt idx="5">
                        <c:v>7.5880758807588072E-2</c:v>
                      </c:pt>
                      <c:pt idx="6">
                        <c:v>0.11382113821138211</c:v>
                      </c:pt>
                      <c:pt idx="7">
                        <c:v>7.5880758807588072E-2</c:v>
                      </c:pt>
                      <c:pt idx="8">
                        <c:v>7.3170731707317069E-2</c:v>
                      </c:pt>
                      <c:pt idx="9">
                        <c:v>0.10298102981029811</c:v>
                      </c:pt>
                      <c:pt idx="10">
                        <c:v>8.943089430894309E-2</c:v>
                      </c:pt>
                      <c:pt idx="11">
                        <c:v>8.6720867208672087E-2</c:v>
                      </c:pt>
                    </c:numCache>
                  </c:numRef>
                </c:val>
                <c:extLst xmlns:c15="http://schemas.microsoft.com/office/drawing/2012/chart">
                  <c:ext xmlns:c16="http://schemas.microsoft.com/office/drawing/2014/chart" uri="{C3380CC4-5D6E-409C-BE32-E72D297353CC}">
                    <c16:uniqueId val="{00000004-5869-400D-B68B-8C5AA9ED2043}"/>
                  </c:ext>
                </c:extLst>
              </c15:ser>
            </c15:filteredBarSeries>
            <c15:filteredBarSeries>
              <c15:ser>
                <c:idx val="5"/>
                <c:order val="5"/>
                <c:tx>
                  <c:strRef>
                    <c:extLst xmlns:c15="http://schemas.microsoft.com/office/drawing/2012/chart">
                      <c:ext xmlns:c15="http://schemas.microsoft.com/office/drawing/2012/chart" uri="{02D57815-91ED-43cb-92C2-25804820EDAC}">
                        <c15:formulaRef>
                          <c15:sqref>Sayfa1!$R$8</c15:sqref>
                        </c15:formulaRef>
                      </c:ext>
                    </c:extLst>
                    <c:strCache>
                      <c:ptCount val="1"/>
                      <c:pt idx="0">
                        <c:v>Toplam</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Sayfa1!$S$1:$AD$1</c15:sqref>
                        </c15:formulaRef>
                      </c:ext>
                    </c:extLst>
                    <c:strCache>
                      <c:ptCount val="12"/>
                      <c:pt idx="0">
                        <c:v>OCAK</c:v>
                      </c:pt>
                      <c:pt idx="1">
                        <c:v>ŞUBAT</c:v>
                      </c:pt>
                      <c:pt idx="2">
                        <c:v>MART</c:v>
                      </c:pt>
                      <c:pt idx="3">
                        <c:v>NİSAN</c:v>
                      </c:pt>
                      <c:pt idx="4">
                        <c:v>MAYIS</c:v>
                      </c:pt>
                      <c:pt idx="5">
                        <c:v>HAZİRAN</c:v>
                      </c:pt>
                      <c:pt idx="6">
                        <c:v>TEMMUZ</c:v>
                      </c:pt>
                      <c:pt idx="7">
                        <c:v>AĞUSTOS</c:v>
                      </c:pt>
                      <c:pt idx="8">
                        <c:v>EYLÜL</c:v>
                      </c:pt>
                      <c:pt idx="9">
                        <c:v>EKİM</c:v>
                      </c:pt>
                      <c:pt idx="10">
                        <c:v>KASIM</c:v>
                      </c:pt>
                      <c:pt idx="11">
                        <c:v>ARALIK</c:v>
                      </c:pt>
                    </c:strCache>
                  </c:strRef>
                </c:cat>
                <c:val>
                  <c:numRef>
                    <c:extLst xmlns:c15="http://schemas.microsoft.com/office/drawing/2012/chart">
                      <c:ext xmlns:c15="http://schemas.microsoft.com/office/drawing/2012/chart" uri="{02D57815-91ED-43cb-92C2-25804820EDAC}">
                        <c15:formulaRef>
                          <c15:sqref>Sayfa1!$S$8:$AD$8</c15:sqref>
                        </c15:formulaRef>
                      </c:ext>
                    </c:extLst>
                    <c:numCache>
                      <c:formatCode>0%</c:formatCode>
                      <c:ptCount val="12"/>
                      <c:pt idx="0">
                        <c:v>9.6218354166318992E-2</c:v>
                      </c:pt>
                      <c:pt idx="1">
                        <c:v>7.4906960831761821E-2</c:v>
                      </c:pt>
                      <c:pt idx="2">
                        <c:v>6.3683850403030651E-2</c:v>
                      </c:pt>
                      <c:pt idx="3">
                        <c:v>5.0942073730411708E-2</c:v>
                      </c:pt>
                      <c:pt idx="4">
                        <c:v>5.952837903239265E-2</c:v>
                      </c:pt>
                      <c:pt idx="5">
                        <c:v>7.2078236344520291E-2</c:v>
                      </c:pt>
                      <c:pt idx="6">
                        <c:v>0.13662155170975118</c:v>
                      </c:pt>
                      <c:pt idx="7">
                        <c:v>8.7573638624188516E-2</c:v>
                      </c:pt>
                      <c:pt idx="8">
                        <c:v>7.4072528829625672E-2</c:v>
                      </c:pt>
                      <c:pt idx="9">
                        <c:v>7.0334273460055746E-2</c:v>
                      </c:pt>
                      <c:pt idx="10">
                        <c:v>0.10125832345922131</c:v>
                      </c:pt>
                      <c:pt idx="11">
                        <c:v>0.11278182940872149</c:v>
                      </c:pt>
                    </c:numCache>
                  </c:numRef>
                </c:val>
                <c:extLst xmlns:c15="http://schemas.microsoft.com/office/drawing/2012/chart">
                  <c:ext xmlns:c16="http://schemas.microsoft.com/office/drawing/2014/chart" uri="{C3380CC4-5D6E-409C-BE32-E72D297353CC}">
                    <c16:uniqueId val="{00000005-5869-400D-B68B-8C5AA9ED2043}"/>
                  </c:ext>
                </c:extLst>
              </c15:ser>
            </c15:filteredBarSeries>
          </c:ext>
        </c:extLst>
      </c:barChart>
      <c:catAx>
        <c:axId val="66686577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631313743"/>
        <c:crosses val="autoZero"/>
        <c:auto val="1"/>
        <c:lblAlgn val="ctr"/>
        <c:lblOffset val="100"/>
        <c:noMultiLvlLbl val="0"/>
      </c:catAx>
      <c:valAx>
        <c:axId val="631313743"/>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tr-TR"/>
          </a:p>
        </c:txPr>
        <c:crossAx val="66686577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4">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petrol!$D$3</c:f>
              <c:strCache>
                <c:ptCount val="1"/>
                <c:pt idx="0">
                  <c:v>Yüzde</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900" b="1" i="0" u="none" strike="noStrike" kern="1200" baseline="0">
                    <a:solidFill>
                      <a:schemeClr val="tx1"/>
                    </a:solidFill>
                    <a:latin typeface="+mn-lt"/>
                    <a:ea typeface="+mn-ea"/>
                    <a:cs typeface="+mn-cs"/>
                  </a:defRPr>
                </a:pPr>
                <a:endParaRPr lang="tr-T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petrol!$B$4:$B$12</c:f>
              <c:strCache>
                <c:ptCount val="9"/>
                <c:pt idx="0">
                  <c:v>Akaryakıt Fiyatı Ve Fiyat Artışları</c:v>
                </c:pt>
                <c:pt idx="1">
                  <c:v>Konu Kurumun Görev Alanında Değil</c:v>
                </c:pt>
                <c:pt idx="2">
                  <c:v>Teknik Düzenlemelere Aykırı Akaryakıt</c:v>
                </c:pt>
                <c:pt idx="3">
                  <c:v>Eksik Akaryakıt İkmali</c:v>
                </c:pt>
                <c:pt idx="4">
                  <c:v>Mevzuat/Öneri</c:v>
                </c:pt>
                <c:pt idx="5">
                  <c:v>Fiyat Artışlarının Ve Düşüşlerinin Zamanında Uygulanmaması</c:v>
                </c:pt>
                <c:pt idx="6">
                  <c:v>Pompa Ve Tabeladaki Fiyatların Farklı Olması</c:v>
                </c:pt>
                <c:pt idx="7">
                  <c:v>Şirket Çalışanlarının Davranışları</c:v>
                </c:pt>
                <c:pt idx="8">
                  <c:v>Diğer</c:v>
                </c:pt>
              </c:strCache>
            </c:strRef>
          </c:cat>
          <c:val>
            <c:numRef>
              <c:f>petrol!$D$4:$D$12</c:f>
              <c:numCache>
                <c:formatCode>0%</c:formatCode>
                <c:ptCount val="9"/>
                <c:pt idx="0">
                  <c:v>0.35945001960215267</c:v>
                </c:pt>
                <c:pt idx="1">
                  <c:v>0.11721196291374543</c:v>
                </c:pt>
                <c:pt idx="2">
                  <c:v>0.11386304968763841</c:v>
                </c:pt>
                <c:pt idx="3">
                  <c:v>5.4698916026414537E-2</c:v>
                </c:pt>
                <c:pt idx="4">
                  <c:v>4.9117393982902845E-2</c:v>
                </c:pt>
                <c:pt idx="5">
                  <c:v>4.3535871939391159E-2</c:v>
                </c:pt>
                <c:pt idx="6">
                  <c:v>3.7954349895879466E-2</c:v>
                </c:pt>
                <c:pt idx="7">
                  <c:v>2.3442392582749084E-2</c:v>
                </c:pt>
                <c:pt idx="8">
                  <c:v>0.20072604336912633</c:v>
                </c:pt>
              </c:numCache>
            </c:numRef>
          </c:val>
          <c:extLst>
            <c:ext xmlns:c16="http://schemas.microsoft.com/office/drawing/2014/chart" uri="{C3380CC4-5D6E-409C-BE32-E72D297353CC}">
              <c16:uniqueId val="{00000000-5060-431C-AFD7-4103C29DD3E3}"/>
            </c:ext>
          </c:extLst>
        </c:ser>
        <c:dLbls>
          <c:dLblPos val="outEnd"/>
          <c:showLegendKey val="0"/>
          <c:showVal val="1"/>
          <c:showCatName val="0"/>
          <c:showSerName val="0"/>
          <c:showPercent val="0"/>
          <c:showBubbleSize val="0"/>
        </c:dLbls>
        <c:gapWidth val="182"/>
        <c:axId val="817317823"/>
        <c:axId val="628747631"/>
      </c:barChart>
      <c:catAx>
        <c:axId val="81731782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solidFill>
                <a:latin typeface="+mn-lt"/>
                <a:ea typeface="+mn-ea"/>
                <a:cs typeface="+mn-cs"/>
              </a:defRPr>
            </a:pPr>
            <a:endParaRPr lang="tr-TR"/>
          </a:p>
        </c:txPr>
        <c:crossAx val="628747631"/>
        <c:crosses val="autoZero"/>
        <c:auto val="1"/>
        <c:lblAlgn val="ctr"/>
        <c:lblOffset val="100"/>
        <c:noMultiLvlLbl val="0"/>
      </c:catAx>
      <c:valAx>
        <c:axId val="628747631"/>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tr-TR"/>
          </a:p>
        </c:txPr>
        <c:crossAx val="81731782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b="1">
          <a:solidFill>
            <a:schemeClr val="tx1"/>
          </a:solidFill>
        </a:defRPr>
      </a:pPr>
      <a:endParaRPr lang="tr-TR"/>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lpg!$D$3</c:f>
              <c:strCache>
                <c:ptCount val="1"/>
                <c:pt idx="0">
                  <c:v>Yüzde</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900" b="1" i="0" u="none" strike="noStrike" kern="1200" baseline="0">
                    <a:solidFill>
                      <a:schemeClr val="tx1"/>
                    </a:solidFill>
                    <a:latin typeface="+mn-lt"/>
                    <a:ea typeface="+mn-ea"/>
                    <a:cs typeface="+mn-cs"/>
                  </a:defRPr>
                </a:pPr>
                <a:endParaRPr lang="tr-T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lpg!$B$4:$B$12</c:f>
              <c:strCache>
                <c:ptCount val="9"/>
                <c:pt idx="0">
                  <c:v>Lpg Fiyatı Ve Fiyat Artışları</c:v>
                </c:pt>
                <c:pt idx="1">
                  <c:v>Konu Kurumun Görev Alanında Değil</c:v>
                </c:pt>
                <c:pt idx="2">
                  <c:v>Teknik Düzenlemelere Aykırı  Lpg</c:v>
                </c:pt>
                <c:pt idx="3">
                  <c:v>Müşteri Hizmetleri Ve Kalite</c:v>
                </c:pt>
                <c:pt idx="4">
                  <c:v>Mevzuat/Öneri(İşyeri Açma Ruhsatı,Lisansa Esas Belgeler,Mesafe Tahdidi Vs)</c:v>
                </c:pt>
                <c:pt idx="5">
                  <c:v>Rekabet İhlali</c:v>
                </c:pt>
                <c:pt idx="6">
                  <c:v>Fiyat Artışlarının Ve Düşüşlerinin Zamanında Uygulanmaması</c:v>
                </c:pt>
                <c:pt idx="7">
                  <c:v>Pompa Ve Tabeladaki Fiyatların Farklı Olması</c:v>
                </c:pt>
                <c:pt idx="8">
                  <c:v>Diğer</c:v>
                </c:pt>
              </c:strCache>
            </c:strRef>
          </c:cat>
          <c:val>
            <c:numRef>
              <c:f>lpg!$D$4:$D$12</c:f>
              <c:numCache>
                <c:formatCode>0.0%</c:formatCode>
                <c:ptCount val="9"/>
                <c:pt idx="0">
                  <c:v>0.3301820728291317</c:v>
                </c:pt>
                <c:pt idx="1">
                  <c:v>0.24964985994397762</c:v>
                </c:pt>
                <c:pt idx="2">
                  <c:v>8.0532212885154053E-2</c:v>
                </c:pt>
                <c:pt idx="3">
                  <c:v>6.8452380952380959E-2</c:v>
                </c:pt>
                <c:pt idx="4">
                  <c:v>3.6239495798319331E-2</c:v>
                </c:pt>
                <c:pt idx="5">
                  <c:v>2.8186274509803926E-2</c:v>
                </c:pt>
                <c:pt idx="6">
                  <c:v>2.0133053221288513E-2</c:v>
                </c:pt>
                <c:pt idx="7">
                  <c:v>2.0133053221288513E-2</c:v>
                </c:pt>
                <c:pt idx="8">
                  <c:v>0.16649159663865548</c:v>
                </c:pt>
              </c:numCache>
            </c:numRef>
          </c:val>
          <c:extLst>
            <c:ext xmlns:c16="http://schemas.microsoft.com/office/drawing/2014/chart" uri="{C3380CC4-5D6E-409C-BE32-E72D297353CC}">
              <c16:uniqueId val="{00000000-EEC9-4129-9C72-68CCAB27AB4A}"/>
            </c:ext>
          </c:extLst>
        </c:ser>
        <c:dLbls>
          <c:dLblPos val="outEnd"/>
          <c:showLegendKey val="0"/>
          <c:showVal val="1"/>
          <c:showCatName val="0"/>
          <c:showSerName val="0"/>
          <c:showPercent val="0"/>
          <c:showBubbleSize val="0"/>
        </c:dLbls>
        <c:gapWidth val="182"/>
        <c:axId val="817324223"/>
        <c:axId val="755426095"/>
      </c:barChart>
      <c:catAx>
        <c:axId val="81732422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solidFill>
                <a:latin typeface="+mn-lt"/>
                <a:ea typeface="+mn-ea"/>
                <a:cs typeface="+mn-cs"/>
              </a:defRPr>
            </a:pPr>
            <a:endParaRPr lang="tr-TR"/>
          </a:p>
        </c:txPr>
        <c:crossAx val="755426095"/>
        <c:crosses val="autoZero"/>
        <c:auto val="1"/>
        <c:lblAlgn val="ctr"/>
        <c:lblOffset val="100"/>
        <c:noMultiLvlLbl val="0"/>
      </c:catAx>
      <c:valAx>
        <c:axId val="755426095"/>
        <c:scaling>
          <c:orientation val="minMax"/>
        </c:scaling>
        <c:delete val="0"/>
        <c:axPos val="b"/>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tr-TR"/>
          </a:p>
        </c:txPr>
        <c:crossAx val="81732422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b="1">
          <a:solidFill>
            <a:schemeClr val="tx1"/>
          </a:solidFill>
        </a:defRPr>
      </a:pPr>
      <a:endParaRPr lang="tr-TR"/>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'enerji dönüşüm'!$C$3</c:f>
              <c:strCache>
                <c:ptCount val="1"/>
                <c:pt idx="0">
                  <c:v>yüzde</c:v>
                </c:pt>
              </c:strCache>
            </c:strRef>
          </c:tx>
          <c:spPr>
            <a:solidFill>
              <a:schemeClr val="accent1"/>
            </a:solidFill>
            <a:ln>
              <a:noFill/>
            </a:ln>
            <a:effectLst/>
          </c:spPr>
          <c:invertIfNegative val="0"/>
          <c:dLbls>
            <c:spPr>
              <a:noFill/>
              <a:ln>
                <a:solidFill>
                  <a:schemeClr val="bg1"/>
                </a:solid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tr-T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'enerji dönüşüm'!$A$4:$A$10</c:f>
              <c:strCache>
                <c:ptCount val="7"/>
                <c:pt idx="0">
                  <c:v>Şarj İstasyonu Yetersizliği</c:v>
                </c:pt>
                <c:pt idx="1">
                  <c:v>Fiyat/Hizmet Bedeli Şikayeti</c:v>
                </c:pt>
                <c:pt idx="2">
                  <c:v>Hizmet Alamama (Kesinti, Kalite, Ekipman Ve Donanım Sorunları)</c:v>
                </c:pt>
                <c:pt idx="3">
                  <c:v>Ödeme/Rezervasyon/Müsaitlik Şikayeti</c:v>
                </c:pt>
                <c:pt idx="4">
                  <c:v>Şirket Yazılımı/Uygulaması Hakkında Şikayet</c:v>
                </c:pt>
                <c:pt idx="5">
                  <c:v>Şarj@Tr Uygulaması Hakkında Şikayet</c:v>
                </c:pt>
                <c:pt idx="6">
                  <c:v>Diğer</c:v>
                </c:pt>
              </c:strCache>
            </c:strRef>
          </c:cat>
          <c:val>
            <c:numRef>
              <c:f>'enerji dönüşüm'!$C$4:$C$10</c:f>
              <c:numCache>
                <c:formatCode>0.0%</c:formatCode>
                <c:ptCount val="7"/>
                <c:pt idx="0">
                  <c:v>0.30219644896222825</c:v>
                </c:pt>
                <c:pt idx="1">
                  <c:v>0.27472404451111659</c:v>
                </c:pt>
                <c:pt idx="2">
                  <c:v>0.16483442670666998</c:v>
                </c:pt>
                <c:pt idx="3">
                  <c:v>3.2051138526296929E-2</c:v>
                </c:pt>
                <c:pt idx="4">
                  <c:v>3.2051138526296929E-2</c:v>
                </c:pt>
                <c:pt idx="5">
                  <c:v>1.3389158811544231E-2</c:v>
                </c:pt>
                <c:pt idx="6">
                  <c:v>0.18075364395584712</c:v>
                </c:pt>
              </c:numCache>
            </c:numRef>
          </c:val>
          <c:extLst>
            <c:ext xmlns:c16="http://schemas.microsoft.com/office/drawing/2014/chart" uri="{C3380CC4-5D6E-409C-BE32-E72D297353CC}">
              <c16:uniqueId val="{00000000-A744-4A9D-9F20-B4B3C8DF4267}"/>
            </c:ext>
          </c:extLst>
        </c:ser>
        <c:dLbls>
          <c:dLblPos val="outEnd"/>
          <c:showLegendKey val="0"/>
          <c:showVal val="1"/>
          <c:showCatName val="0"/>
          <c:showSerName val="0"/>
          <c:showPercent val="0"/>
          <c:showBubbleSize val="0"/>
        </c:dLbls>
        <c:gapWidth val="182"/>
        <c:axId val="223423232"/>
        <c:axId val="223422816"/>
      </c:barChart>
      <c:catAx>
        <c:axId val="22342323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solidFill>
                <a:latin typeface="+mn-lt"/>
                <a:ea typeface="+mn-ea"/>
                <a:cs typeface="+mn-cs"/>
              </a:defRPr>
            </a:pPr>
            <a:endParaRPr lang="tr-TR"/>
          </a:p>
        </c:txPr>
        <c:crossAx val="223422816"/>
        <c:crosses val="autoZero"/>
        <c:auto val="1"/>
        <c:lblAlgn val="ctr"/>
        <c:lblOffset val="100"/>
        <c:noMultiLvlLbl val="0"/>
      </c:catAx>
      <c:valAx>
        <c:axId val="223422816"/>
        <c:scaling>
          <c:orientation val="minMax"/>
        </c:scaling>
        <c:delete val="0"/>
        <c:axPos val="b"/>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tr-TR"/>
          </a:p>
        </c:txPr>
        <c:crossAx val="22342323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7268-4941-B66F-F1E749D86554}"/>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7268-4941-B66F-F1E749D86554}"/>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7268-4941-B66F-F1E749D86554}"/>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7268-4941-B66F-F1E749D86554}"/>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7268-4941-B66F-F1E749D86554}"/>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7268-4941-B66F-F1E749D86554}"/>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7268-4941-B66F-F1E749D86554}"/>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7268-4941-B66F-F1E749D86554}"/>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7268-4941-B66F-F1E749D86554}"/>
              </c:ext>
            </c:extLst>
          </c:dPt>
          <c:dLbls>
            <c:dLbl>
              <c:idx val="0"/>
              <c:layout>
                <c:manualLayout>
                  <c:x val="0"/>
                  <c:y val="-0.15976761074800291"/>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7268-4941-B66F-F1E749D86554}"/>
                </c:ext>
              </c:extLst>
            </c:dLbl>
            <c:dLbl>
              <c:idx val="1"/>
              <c:layout>
                <c:manualLayout>
                  <c:x val="0.38109839384682292"/>
                  <c:y val="-1.3313813760020907E-16"/>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7268-4941-B66F-F1E749D86554}"/>
                </c:ext>
              </c:extLst>
            </c:dLbl>
            <c:dLbl>
              <c:idx val="2"/>
              <c:layout>
                <c:manualLayout>
                  <c:x val="0.1403508771929825"/>
                  <c:y val="5.9665871121718374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7268-4941-B66F-F1E749D86554}"/>
                </c:ext>
              </c:extLst>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7-7268-4941-B66F-F1E749D86554}"/>
                </c:ext>
              </c:extLst>
            </c:dLbl>
            <c:dLbl>
              <c:idx val="4"/>
              <c:layout>
                <c:manualLayout>
                  <c:x val="-2.7290448343079921E-2"/>
                  <c:y val="-7.1599045346062123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7268-4941-B66F-F1E749D86554}"/>
                </c:ext>
              </c:extLst>
            </c:dLbl>
            <c:dLbl>
              <c:idx val="5"/>
              <c:layout>
                <c:manualLayout>
                  <c:x val="0"/>
                  <c:y val="-0.13524264120922833"/>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7268-4941-B66F-F1E749D86554}"/>
                </c:ext>
              </c:extLst>
            </c:dLbl>
            <c:dLbl>
              <c:idx val="6"/>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D-7268-4941-B66F-F1E749D86554}"/>
                </c:ext>
              </c:extLst>
            </c:dLbl>
            <c:dLbl>
              <c:idx val="7"/>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F-7268-4941-B66F-F1E749D86554}"/>
                </c:ext>
              </c:extLst>
            </c:dLbl>
            <c:dLbl>
              <c:idx val="8"/>
              <c:layout>
                <c:manualLayout>
                  <c:x val="0.17738791423001948"/>
                  <c:y val="0"/>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7268-4941-B66F-F1E749D86554}"/>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Sheet1!$A$2:$A$10</c:f>
              <c:strCache>
                <c:ptCount val="9"/>
                <c:pt idx="0">
                  <c:v>Elektrik ve Doğal Gaz Dağıtım Şirketlerine İlişkin Şikayetler, Denetimler, Yatırımlar</c:v>
                </c:pt>
                <c:pt idx="1">
                  <c:v>Enerji Santralleri (RES, HES, GES, JES Yatırımları)</c:v>
                </c:pt>
                <c:pt idx="2">
                  <c:v>Akaryakıt fiyatları ve piyasadaki faaliyetler</c:v>
                </c:pt>
                <c:pt idx="3">
                  <c:v>6 Şubat’ta yaşanan deprem felaketi sonrası elektrik ve doğal gaz dağıtım hizmetleri</c:v>
                </c:pt>
                <c:pt idx="4">
                  <c:v>Tarife Düzenlemeleri ve Zamlar</c:v>
                </c:pt>
                <c:pt idx="5">
                  <c:v> ‘Saadet zinciri’ benzeri yapılanmalar</c:v>
                </c:pt>
                <c:pt idx="6">
                  <c:v>Borcu Yüzünden Elektriği ve Doğal Gazı Kesilen Veya İcralık Olan Tüketici Sayıları</c:v>
                </c:pt>
                <c:pt idx="7">
                  <c:v>EPDK İş ve İşlemleri</c:v>
                </c:pt>
                <c:pt idx="8">
                  <c:v>Kurum Görev Alanı İçerisinde Yer Almayan Konular</c:v>
                </c:pt>
              </c:strCache>
            </c:strRef>
          </c:cat>
          <c:val>
            <c:numRef>
              <c:f>Sheet1!$B$2:$B$10</c:f>
              <c:numCache>
                <c:formatCode>General</c:formatCode>
                <c:ptCount val="9"/>
                <c:pt idx="0">
                  <c:v>155</c:v>
                </c:pt>
                <c:pt idx="1">
                  <c:v>26</c:v>
                </c:pt>
                <c:pt idx="2">
                  <c:v>9</c:v>
                </c:pt>
                <c:pt idx="3">
                  <c:v>5</c:v>
                </c:pt>
                <c:pt idx="4">
                  <c:v>23</c:v>
                </c:pt>
                <c:pt idx="5">
                  <c:v>2</c:v>
                </c:pt>
                <c:pt idx="6">
                  <c:v>89</c:v>
                </c:pt>
                <c:pt idx="7">
                  <c:v>2</c:v>
                </c:pt>
                <c:pt idx="8">
                  <c:v>3</c:v>
                </c:pt>
              </c:numCache>
            </c:numRef>
          </c:val>
          <c:extLst>
            <c:ext xmlns:c16="http://schemas.microsoft.com/office/drawing/2014/chart" uri="{C3380CC4-5D6E-409C-BE32-E72D297353CC}">
              <c16:uniqueId val="{00000012-7268-4941-B66F-F1E749D86554}"/>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withinLinear" id="14">
  <a:schemeClr val="accent1"/>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9">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98">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5">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2_5">
  <dgm:title val=""/>
  <dgm:desc val=""/>
  <dgm:catLst>
    <dgm:cat type="accent2" pri="11500"/>
  </dgm:catLst>
  <dgm:styleLbl name="node0">
    <dgm:fillClrLst meth="cycle">
      <a:schemeClr val="accent2">
        <a:alpha val="80000"/>
      </a:schemeClr>
    </dgm:fillClrLst>
    <dgm:linClrLst meth="repeat">
      <a:schemeClr val="lt1"/>
    </dgm:linClrLst>
    <dgm:effectClrLst/>
    <dgm:txLinClrLst/>
    <dgm:txFillClrLst/>
    <dgm:txEffectClrLst/>
  </dgm:styleLbl>
  <dgm:styleLbl name="node1">
    <dgm:fillClrLst>
      <a:schemeClr val="accent2">
        <a:alpha val="90000"/>
      </a:schemeClr>
      <a:schemeClr val="accent2">
        <a:alpha val="50000"/>
      </a:schemeClr>
    </dgm:fillClrLst>
    <dgm:linClrLst meth="repeat">
      <a:schemeClr val="lt1"/>
    </dgm:linClrLst>
    <dgm:effectClrLst/>
    <dgm:txLinClrLst/>
    <dgm:txFillClrLst/>
    <dgm:txEffectClrLst/>
  </dgm:styleLbl>
  <dgm:styleLbl name="alignNode1">
    <dgm:fillClrLst>
      <a:schemeClr val="accent2">
        <a:alpha val="90000"/>
      </a:schemeClr>
      <a:schemeClr val="accent2">
        <a:alpha val="50000"/>
      </a:schemeClr>
    </dgm:fillClrLst>
    <dgm:linClrLst>
      <a:schemeClr val="accent2">
        <a:alpha val="90000"/>
      </a:schemeClr>
      <a:schemeClr val="accent2">
        <a:alpha val="50000"/>
      </a:schemeClr>
    </dgm:linClrLst>
    <dgm:effectClrLst/>
    <dgm:txLinClrLst/>
    <dgm:txFillClrLst/>
    <dgm:txEffectClrLst/>
  </dgm:styleLbl>
  <dgm:styleLbl name="lnNode1">
    <dgm:fillClrLst>
      <a:schemeClr val="accent2">
        <a:shade val="90000"/>
      </a:schemeClr>
      <a:schemeClr val="accent2">
        <a:alpha val="50000"/>
        <a:tint val="50000"/>
      </a:schemeClr>
    </dgm:fillClrLst>
    <dgm:linClrLst meth="repeat">
      <a:schemeClr val="lt1"/>
    </dgm:linClrLst>
    <dgm:effectClrLst/>
    <dgm:txLinClrLst/>
    <dgm:txFillClrLst/>
    <dgm:txEffectClrLst/>
  </dgm:styleLbl>
  <dgm:styleLbl name="vennNode1">
    <dgm:fillClrLst>
      <a:schemeClr val="accent2">
        <a:shade val="80000"/>
        <a:alpha val="50000"/>
      </a:schemeClr>
      <a:schemeClr val="accent2">
        <a:alpha val="20000"/>
      </a:schemeClr>
    </dgm:fillClrLst>
    <dgm:linClrLst meth="repeat">
      <a:schemeClr val="lt1"/>
    </dgm:linClrLst>
    <dgm:effectClrLst/>
    <dgm:txLinClrLst/>
    <dgm:txFillClrLst/>
    <dgm:txEffectClrLst/>
  </dgm:styleLbl>
  <dgm:styleLbl name="node2">
    <dgm:fillClrLst>
      <a:schemeClr val="accent2">
        <a:alpha val="70000"/>
      </a:schemeClr>
    </dgm:fillClrLst>
    <dgm:linClrLst meth="repeat">
      <a:schemeClr val="lt1"/>
    </dgm:linClrLst>
    <dgm:effectClrLst/>
    <dgm:txLinClrLst/>
    <dgm:txFillClrLst/>
    <dgm:txEffectClrLst/>
  </dgm:styleLbl>
  <dgm:styleLbl name="node3">
    <dgm:fillClrLst>
      <a:schemeClr val="accent2">
        <a:alpha val="50000"/>
      </a:schemeClr>
    </dgm:fillClrLst>
    <dgm:linClrLst meth="repeat">
      <a:schemeClr val="lt1"/>
    </dgm:linClrLst>
    <dgm:effectClrLst/>
    <dgm:txLinClrLst/>
    <dgm:txFillClrLst/>
    <dgm:txEffectClrLst/>
  </dgm:styleLbl>
  <dgm:styleLbl name="node4">
    <dgm:fillClrLst>
      <a:schemeClr val="accent2">
        <a:alpha val="30000"/>
      </a:schemeClr>
    </dgm:fillClrLst>
    <dgm:linClrLst meth="repeat">
      <a:schemeClr val="lt1"/>
    </dgm:linClrLst>
    <dgm:effectClrLst/>
    <dgm:txLinClrLst/>
    <dgm:txFillClrLst/>
    <dgm:txEffectClrLst/>
  </dgm:styleLbl>
  <dgm:styleLbl name="fgImgPlace1">
    <dgm:fillClrLst>
      <a:schemeClr val="accent2">
        <a:tint val="50000"/>
        <a:alpha val="90000"/>
      </a:schemeClr>
      <a:schemeClr val="accent2">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f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b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sibTrans1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alpha val="90000"/>
      </a:schemeClr>
    </dgm:fillClrLst>
    <dgm:linClrLst meth="repeat">
      <a:schemeClr val="lt1"/>
    </dgm:linClrLst>
    <dgm:effectClrLst/>
    <dgm:txLinClrLst/>
    <dgm:txFillClrLst/>
    <dgm:txEffectClrLst/>
  </dgm:styleLbl>
  <dgm:styleLbl name="asst1">
    <dgm:fillClrLst meth="repeat">
      <a:schemeClr val="accent2">
        <a:alpha val="90000"/>
      </a:schemeClr>
    </dgm:fillClrLst>
    <dgm:linClrLst meth="repeat">
      <a:schemeClr val="lt1"/>
    </dgm:linClrLst>
    <dgm:effectClrLst/>
    <dgm:txLinClrLst/>
    <dgm:txFillClrLst/>
    <dgm:txEffectClrLst/>
  </dgm:styleLbl>
  <dgm:styleLbl name="asst2">
    <dgm:fillClrLst>
      <a:schemeClr val="accent2">
        <a:alpha val="90000"/>
      </a:schemeClr>
    </dgm:fillClrLst>
    <dgm:linClrLst meth="repeat">
      <a:schemeClr val="lt1"/>
    </dgm:linClrLst>
    <dgm:effectClrLst/>
    <dgm:txLinClrLst/>
    <dgm:txFillClrLst/>
    <dgm:txEffectClrLst/>
  </dgm:styleLbl>
  <dgm:styleLbl name="asst3">
    <dgm:fillClrLst>
      <a:schemeClr val="accent2">
        <a:alpha val="70000"/>
      </a:schemeClr>
    </dgm:fillClrLst>
    <dgm:linClrLst meth="repeat">
      <a:schemeClr val="lt1"/>
    </dgm:linClrLst>
    <dgm:effectClrLst/>
    <dgm:txLinClrLst/>
    <dgm:txFillClrLst/>
    <dgm:txEffectClrLst/>
  </dgm:styleLbl>
  <dgm:styleLbl name="asst4">
    <dgm:fillClrLst>
      <a:schemeClr val="accent2">
        <a:alpha val="50000"/>
      </a:schemeClr>
    </dgm:fillClrLst>
    <dgm:linClrLst meth="repeat">
      <a:schemeClr val="lt1"/>
    </dgm:linClrLst>
    <dgm:effectClrLst/>
    <dgm:txLinClrLst/>
    <dgm:txFillClrLst/>
    <dgm:txEffectClrLst/>
  </dgm:styleLbl>
  <dgm:styleLbl name="parChTrans2D1">
    <dgm:fillClrLst meth="repeat">
      <a:schemeClr val="accent2">
        <a:shade val="80000"/>
      </a:schemeClr>
    </dgm:fillClrLst>
    <dgm:linClrLst meth="repeat">
      <a:schemeClr val="accent2">
        <a:shade val="80000"/>
      </a:schemeClr>
    </dgm:linClrLst>
    <dgm:effectClrLst/>
    <dgm:txLinClrLst/>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dk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2">
        <a:tint val="90000"/>
      </a:schemeClr>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2">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a:schemeClr val="accent2">
        <a:alpha val="90000"/>
        <a:tint val="40000"/>
      </a:schemeClr>
      <a:schemeClr val="accent2">
        <a:alpha val="5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50000"/>
      </a:schemeClr>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7437F0E-8767-4441-860A-F3C11CC3BF58}" type="doc">
      <dgm:prSet loTypeId="urn:microsoft.com/office/officeart/2005/8/layout/orgChart1" loCatId="hierarchy" qsTypeId="urn:microsoft.com/office/officeart/2005/8/quickstyle/simple3" qsCatId="simple" csTypeId="urn:microsoft.com/office/officeart/2005/8/colors/accent2_5" csCatId="accent2" phldr="1"/>
      <dgm:spPr/>
      <dgm:t>
        <a:bodyPr/>
        <a:lstStyle/>
        <a:p>
          <a:endParaRPr lang="tr-TR"/>
        </a:p>
      </dgm:t>
    </dgm:pt>
    <dgm:pt modelId="{DFB8283C-0CE7-4D06-AB09-FCE9E52142BE}">
      <dgm:prSet phldrT="[Metin]" custT="1"/>
      <dgm:spPr/>
      <dgm:t>
        <a:bodyPr/>
        <a:lstStyle/>
        <a:p>
          <a:pPr algn="ctr"/>
          <a:r>
            <a:rPr lang="tr-TR" sz="1000" b="1" baseline="0">
              <a:solidFill>
                <a:sysClr val="windowText" lastClr="000000"/>
              </a:solidFill>
            </a:rPr>
            <a:t>Enerji Piyasası Düzenleme Kurumu Başkanlığı</a:t>
          </a:r>
        </a:p>
      </dgm:t>
    </dgm:pt>
    <dgm:pt modelId="{C919E05F-C48C-4C45-84C8-C44E0DCC0B09}" type="sibTrans" cxnId="{0EE14FA8-DC8B-4621-8B44-08B589E2FF0A}">
      <dgm:prSet/>
      <dgm:spPr/>
      <dgm:t>
        <a:bodyPr/>
        <a:lstStyle/>
        <a:p>
          <a:endParaRPr lang="tr-TR" sz="700">
            <a:solidFill>
              <a:sysClr val="windowText" lastClr="000000"/>
            </a:solidFill>
          </a:endParaRPr>
        </a:p>
      </dgm:t>
    </dgm:pt>
    <dgm:pt modelId="{6D06BC29-0566-45F8-9CE3-E57D2BE0C34A}" type="parTrans" cxnId="{0EE14FA8-DC8B-4621-8B44-08B589E2FF0A}">
      <dgm:prSet/>
      <dgm:spPr/>
      <dgm:t>
        <a:bodyPr/>
        <a:lstStyle/>
        <a:p>
          <a:endParaRPr lang="tr-TR" sz="700">
            <a:solidFill>
              <a:sysClr val="windowText" lastClr="000000"/>
            </a:solidFill>
          </a:endParaRPr>
        </a:p>
      </dgm:t>
    </dgm:pt>
    <dgm:pt modelId="{EB169C33-F586-4149-83FE-9DDAF38D4719}">
      <dgm:prSet phldrT="[Metin]" custT="1"/>
      <dgm:spPr/>
      <dgm:t>
        <a:bodyPr/>
        <a:lstStyle/>
        <a:p>
          <a:endParaRPr lang="tr-TR" sz="700" b="0" baseline="0">
            <a:solidFill>
              <a:sysClr val="windowText" lastClr="000000"/>
            </a:solidFill>
          </a:endParaRPr>
        </a:p>
        <a:p>
          <a:r>
            <a:rPr lang="tr-TR" sz="700" b="0" baseline="0">
              <a:solidFill>
                <a:sysClr val="windowText" lastClr="000000"/>
              </a:solidFill>
            </a:rPr>
            <a:t>Başkan Yardımcılığı</a:t>
          </a:r>
        </a:p>
        <a:p>
          <a:endParaRPr lang="tr-TR" sz="700" b="0" baseline="0">
            <a:solidFill>
              <a:sysClr val="windowText" lastClr="000000"/>
            </a:solidFill>
          </a:endParaRPr>
        </a:p>
      </dgm:t>
    </dgm:pt>
    <dgm:pt modelId="{6344A8D0-684B-4D8A-A233-02A9CFF2AB23}" type="parTrans" cxnId="{C32E5739-B962-4DE4-8DBF-8240BC531574}">
      <dgm:prSet/>
      <dgm:spPr/>
      <dgm:t>
        <a:bodyPr/>
        <a:lstStyle/>
        <a:p>
          <a:endParaRPr lang="tr-TR" sz="700">
            <a:solidFill>
              <a:sysClr val="windowText" lastClr="000000"/>
            </a:solidFill>
          </a:endParaRPr>
        </a:p>
      </dgm:t>
    </dgm:pt>
    <dgm:pt modelId="{E84E8417-62B6-4326-8B1D-359C80DF7479}" type="sibTrans" cxnId="{C32E5739-B962-4DE4-8DBF-8240BC531574}">
      <dgm:prSet/>
      <dgm:spPr/>
      <dgm:t>
        <a:bodyPr/>
        <a:lstStyle/>
        <a:p>
          <a:endParaRPr lang="tr-TR" sz="700">
            <a:solidFill>
              <a:sysClr val="windowText" lastClr="000000"/>
            </a:solidFill>
          </a:endParaRPr>
        </a:p>
      </dgm:t>
    </dgm:pt>
    <dgm:pt modelId="{616FB7FF-112C-4CAC-823F-8BBE25CD5E9A}">
      <dgm:prSet phldrT="[Metin]" custT="1"/>
      <dgm:spPr/>
      <dgm:t>
        <a:bodyPr/>
        <a:lstStyle/>
        <a:p>
          <a:endParaRPr lang="tr-TR" sz="700" b="0" baseline="0" dirty="0">
            <a:solidFill>
              <a:sysClr val="windowText" lastClr="000000"/>
            </a:solidFill>
          </a:endParaRPr>
        </a:p>
        <a:p>
          <a:r>
            <a:rPr lang="tr-TR" sz="700" b="0" baseline="0" dirty="0">
              <a:solidFill>
                <a:sysClr val="windowText" lastClr="000000"/>
              </a:solidFill>
            </a:rPr>
            <a:t>Başkan Yardımcılığı</a:t>
          </a:r>
        </a:p>
        <a:p>
          <a:endParaRPr lang="tr-TR" sz="700" b="0" baseline="0" dirty="0">
            <a:solidFill>
              <a:sysClr val="windowText" lastClr="000000"/>
            </a:solidFill>
          </a:endParaRPr>
        </a:p>
      </dgm:t>
    </dgm:pt>
    <dgm:pt modelId="{CDC69B11-594B-4989-A242-5A5E732F1B3C}" type="parTrans" cxnId="{774AA4D1-AFC1-4166-869D-33DFD65AA49D}">
      <dgm:prSet/>
      <dgm:spPr/>
      <dgm:t>
        <a:bodyPr/>
        <a:lstStyle/>
        <a:p>
          <a:endParaRPr lang="tr-TR" sz="700">
            <a:solidFill>
              <a:sysClr val="windowText" lastClr="000000"/>
            </a:solidFill>
          </a:endParaRPr>
        </a:p>
      </dgm:t>
    </dgm:pt>
    <dgm:pt modelId="{1D87C353-2204-4DD6-9A0E-E7D889039B10}" type="sibTrans" cxnId="{774AA4D1-AFC1-4166-869D-33DFD65AA49D}">
      <dgm:prSet/>
      <dgm:spPr/>
      <dgm:t>
        <a:bodyPr/>
        <a:lstStyle/>
        <a:p>
          <a:endParaRPr lang="tr-TR" sz="700">
            <a:solidFill>
              <a:sysClr val="windowText" lastClr="000000"/>
            </a:solidFill>
          </a:endParaRPr>
        </a:p>
      </dgm:t>
    </dgm:pt>
    <dgm:pt modelId="{083C6703-4C9C-43EF-B512-6260839E8D51}">
      <dgm:prSet phldrT="[Metin]" custT="1"/>
      <dgm:spPr/>
      <dgm:t>
        <a:bodyPr/>
        <a:lstStyle/>
        <a:p>
          <a:r>
            <a:rPr lang="tr-TR" sz="700" b="0">
              <a:solidFill>
                <a:sysClr val="windowText" lastClr="000000"/>
              </a:solidFill>
            </a:rPr>
            <a:t>Üretim Hidrolik </a:t>
          </a:r>
          <a:r>
            <a:rPr lang="tr-TR" sz="700" b="0" baseline="0">
              <a:solidFill>
                <a:sysClr val="windowText" lastClr="000000"/>
              </a:solidFill>
            </a:rPr>
            <a:t>G.B</a:t>
          </a:r>
        </a:p>
      </dgm:t>
    </dgm:pt>
    <dgm:pt modelId="{CF56514B-0756-478F-82A4-DC136F9EB1E4}" type="parTrans" cxnId="{CDC4E1B4-C944-4FA5-997D-C62EA406EF76}">
      <dgm:prSet/>
      <dgm:spPr/>
      <dgm:t>
        <a:bodyPr/>
        <a:lstStyle/>
        <a:p>
          <a:endParaRPr lang="tr-TR" sz="700">
            <a:solidFill>
              <a:sysClr val="windowText" lastClr="000000"/>
            </a:solidFill>
          </a:endParaRPr>
        </a:p>
      </dgm:t>
    </dgm:pt>
    <dgm:pt modelId="{E51F0736-49A8-4BBE-816F-A21B9B2DB26E}" type="sibTrans" cxnId="{CDC4E1B4-C944-4FA5-997D-C62EA406EF76}">
      <dgm:prSet/>
      <dgm:spPr/>
      <dgm:t>
        <a:bodyPr/>
        <a:lstStyle/>
        <a:p>
          <a:endParaRPr lang="tr-TR" sz="700">
            <a:solidFill>
              <a:sysClr val="windowText" lastClr="000000"/>
            </a:solidFill>
          </a:endParaRPr>
        </a:p>
      </dgm:t>
    </dgm:pt>
    <dgm:pt modelId="{54ED6CED-6BF0-40ED-ADB8-75C2B095A11D}">
      <dgm:prSet custT="1"/>
      <dgm:spPr/>
      <dgm:t>
        <a:bodyPr/>
        <a:lstStyle/>
        <a:p>
          <a:endParaRPr lang="tr-TR" sz="700" b="0" dirty="0">
            <a:solidFill>
              <a:sysClr val="windowText" lastClr="000000"/>
            </a:solidFill>
          </a:endParaRPr>
        </a:p>
        <a:p>
          <a:r>
            <a:rPr lang="tr-TR" sz="700" b="0" dirty="0">
              <a:solidFill>
                <a:sysClr val="windowText" lastClr="000000"/>
              </a:solidFill>
            </a:rPr>
            <a:t>Lisanssız Üretim G.B</a:t>
          </a:r>
        </a:p>
        <a:p>
          <a:endParaRPr lang="tr-TR" sz="700" b="0" dirty="0">
            <a:solidFill>
              <a:sysClr val="windowText" lastClr="000000"/>
            </a:solidFill>
          </a:endParaRPr>
        </a:p>
      </dgm:t>
    </dgm:pt>
    <dgm:pt modelId="{53E43430-252D-4FBC-BCB8-70B8C46B47BB}" type="parTrans" cxnId="{4432DAAE-F63F-4680-AFB8-1CB864C92084}">
      <dgm:prSet/>
      <dgm:spPr/>
      <dgm:t>
        <a:bodyPr/>
        <a:lstStyle/>
        <a:p>
          <a:endParaRPr lang="tr-TR" sz="700">
            <a:solidFill>
              <a:sysClr val="windowText" lastClr="000000"/>
            </a:solidFill>
          </a:endParaRPr>
        </a:p>
      </dgm:t>
    </dgm:pt>
    <dgm:pt modelId="{0E939A5F-CBFC-40FA-90CF-EB5E9650C5E4}" type="sibTrans" cxnId="{4432DAAE-F63F-4680-AFB8-1CB864C92084}">
      <dgm:prSet/>
      <dgm:spPr/>
      <dgm:t>
        <a:bodyPr/>
        <a:lstStyle/>
        <a:p>
          <a:endParaRPr lang="tr-TR" sz="700">
            <a:solidFill>
              <a:sysClr val="windowText" lastClr="000000"/>
            </a:solidFill>
          </a:endParaRPr>
        </a:p>
      </dgm:t>
    </dgm:pt>
    <dgm:pt modelId="{194F1D56-867F-4028-B7B3-9F31C28E1F55}">
      <dgm:prSet phldrT="[Metin]" custT="1"/>
      <dgm:spPr/>
      <dgm:t>
        <a:bodyPr/>
        <a:lstStyle/>
        <a:p>
          <a:r>
            <a:rPr lang="tr-TR" sz="700" b="0" dirty="0">
              <a:solidFill>
                <a:sysClr val="windowText" lastClr="000000"/>
              </a:solidFill>
            </a:rPr>
            <a:t>Üretim Termik </a:t>
          </a:r>
          <a:r>
            <a:rPr lang="tr-TR" sz="700" b="0" baseline="0" dirty="0">
              <a:solidFill>
                <a:sysClr val="windowText" lastClr="000000"/>
              </a:solidFill>
            </a:rPr>
            <a:t>G.B</a:t>
          </a:r>
        </a:p>
      </dgm:t>
    </dgm:pt>
    <dgm:pt modelId="{8057E219-908E-403D-A95C-41662850850D}" type="parTrans" cxnId="{3659B0BE-C501-4EC4-A058-9669134504D3}">
      <dgm:prSet/>
      <dgm:spPr/>
      <dgm:t>
        <a:bodyPr/>
        <a:lstStyle/>
        <a:p>
          <a:endParaRPr lang="tr-TR" sz="700">
            <a:solidFill>
              <a:sysClr val="windowText" lastClr="000000"/>
            </a:solidFill>
          </a:endParaRPr>
        </a:p>
      </dgm:t>
    </dgm:pt>
    <dgm:pt modelId="{E1B33999-ECCE-4871-B6CA-508D3137BCA7}" type="sibTrans" cxnId="{3659B0BE-C501-4EC4-A058-9669134504D3}">
      <dgm:prSet/>
      <dgm:spPr/>
      <dgm:t>
        <a:bodyPr/>
        <a:lstStyle/>
        <a:p>
          <a:endParaRPr lang="tr-TR" sz="700">
            <a:solidFill>
              <a:sysClr val="windowText" lastClr="000000"/>
            </a:solidFill>
          </a:endParaRPr>
        </a:p>
      </dgm:t>
    </dgm:pt>
    <dgm:pt modelId="{7E403424-63FE-4579-B666-F8AF1E7C0FA0}">
      <dgm:prSet phldrT="[Metin]" custT="1"/>
      <dgm:spPr/>
      <dgm:t>
        <a:bodyPr/>
        <a:lstStyle/>
        <a:p>
          <a:r>
            <a:rPr lang="tr-TR" sz="700" b="0" dirty="0">
              <a:solidFill>
                <a:sysClr val="windowText" lastClr="000000"/>
              </a:solidFill>
            </a:rPr>
            <a:t>Dağıtım ve Perakende Satış </a:t>
          </a:r>
          <a:r>
            <a:rPr lang="tr-TR" sz="700" b="0" baseline="0" dirty="0">
              <a:solidFill>
                <a:sysClr val="windowText" lastClr="000000"/>
              </a:solidFill>
            </a:rPr>
            <a:t>G.B</a:t>
          </a:r>
        </a:p>
      </dgm:t>
    </dgm:pt>
    <dgm:pt modelId="{BFBC62CF-C83F-4B7D-9DA1-A12B760FB8DF}" type="parTrans" cxnId="{FAE85EC0-FAB8-4583-BD73-F9CC558A363E}">
      <dgm:prSet/>
      <dgm:spPr/>
      <dgm:t>
        <a:bodyPr/>
        <a:lstStyle/>
        <a:p>
          <a:endParaRPr lang="tr-TR" sz="700">
            <a:solidFill>
              <a:sysClr val="windowText" lastClr="000000"/>
            </a:solidFill>
          </a:endParaRPr>
        </a:p>
      </dgm:t>
    </dgm:pt>
    <dgm:pt modelId="{7174D815-3DE0-4E9E-80E0-CAE841A0A721}" type="sibTrans" cxnId="{FAE85EC0-FAB8-4583-BD73-F9CC558A363E}">
      <dgm:prSet/>
      <dgm:spPr/>
      <dgm:t>
        <a:bodyPr/>
        <a:lstStyle/>
        <a:p>
          <a:endParaRPr lang="tr-TR" sz="700">
            <a:solidFill>
              <a:sysClr val="windowText" lastClr="000000"/>
            </a:solidFill>
          </a:endParaRPr>
        </a:p>
      </dgm:t>
    </dgm:pt>
    <dgm:pt modelId="{2789FD09-F80A-488A-8BB7-BC232B18AF06}">
      <dgm:prSet custT="1"/>
      <dgm:spPr/>
      <dgm:t>
        <a:bodyPr/>
        <a:lstStyle/>
        <a:p>
          <a:r>
            <a:rPr lang="tr-TR" sz="700" b="0" baseline="0" dirty="0">
              <a:solidFill>
                <a:sysClr val="windowText" lastClr="000000"/>
              </a:solidFill>
            </a:rPr>
            <a:t>Tarifeler Dairesi B.  </a:t>
          </a:r>
        </a:p>
      </dgm:t>
    </dgm:pt>
    <dgm:pt modelId="{1D8B58E2-3100-4CE1-9744-08FD1BA12C97}" type="parTrans" cxnId="{806C7314-8272-4566-B3DC-6BC67CDB1FD8}">
      <dgm:prSet/>
      <dgm:spPr/>
      <dgm:t>
        <a:bodyPr/>
        <a:lstStyle/>
        <a:p>
          <a:endParaRPr lang="tr-TR" sz="700">
            <a:solidFill>
              <a:sysClr val="windowText" lastClr="000000"/>
            </a:solidFill>
          </a:endParaRPr>
        </a:p>
      </dgm:t>
    </dgm:pt>
    <dgm:pt modelId="{AD809462-6EF0-4946-BF68-21F182E4923C}" type="sibTrans" cxnId="{806C7314-8272-4566-B3DC-6BC67CDB1FD8}">
      <dgm:prSet/>
      <dgm:spPr/>
      <dgm:t>
        <a:bodyPr/>
        <a:lstStyle/>
        <a:p>
          <a:endParaRPr lang="tr-TR" sz="700">
            <a:solidFill>
              <a:sysClr val="windowText" lastClr="000000"/>
            </a:solidFill>
          </a:endParaRPr>
        </a:p>
      </dgm:t>
    </dgm:pt>
    <dgm:pt modelId="{1DF269A6-A004-43F1-A311-60EA1218DA1B}">
      <dgm:prSet phldrT="[Metin]" custT="1"/>
      <dgm:spPr/>
      <dgm:t>
        <a:bodyPr/>
        <a:lstStyle/>
        <a:p>
          <a:r>
            <a:rPr lang="tr-TR" sz="700" baseline="0" dirty="0">
              <a:solidFill>
                <a:sysClr val="windowText" lastClr="000000"/>
              </a:solidFill>
            </a:rPr>
            <a:t>Elektrik Piyasası Tarifeler G.B</a:t>
          </a:r>
          <a:endParaRPr lang="tr-TR" sz="700" b="0" baseline="0" dirty="0">
            <a:solidFill>
              <a:sysClr val="windowText" lastClr="000000"/>
            </a:solidFill>
          </a:endParaRPr>
        </a:p>
      </dgm:t>
    </dgm:pt>
    <dgm:pt modelId="{E16A0123-272C-42D2-AC34-2463BA124D98}" type="parTrans" cxnId="{EFB3E4B0-CAEE-42F2-88BE-80AB1B7EE34C}">
      <dgm:prSet/>
      <dgm:spPr/>
      <dgm:t>
        <a:bodyPr/>
        <a:lstStyle/>
        <a:p>
          <a:endParaRPr lang="tr-TR" sz="700">
            <a:solidFill>
              <a:sysClr val="windowText" lastClr="000000"/>
            </a:solidFill>
          </a:endParaRPr>
        </a:p>
      </dgm:t>
    </dgm:pt>
    <dgm:pt modelId="{84018CF4-37E6-469C-807C-D17E3643AF5C}" type="sibTrans" cxnId="{EFB3E4B0-CAEE-42F2-88BE-80AB1B7EE34C}">
      <dgm:prSet/>
      <dgm:spPr/>
      <dgm:t>
        <a:bodyPr/>
        <a:lstStyle/>
        <a:p>
          <a:endParaRPr lang="tr-TR" sz="700">
            <a:solidFill>
              <a:sysClr val="windowText" lastClr="000000"/>
            </a:solidFill>
          </a:endParaRPr>
        </a:p>
      </dgm:t>
    </dgm:pt>
    <dgm:pt modelId="{3BEB41E2-8812-477A-BAAE-9AAAB713FC14}">
      <dgm:prSet phldrT="[Metin]" custT="1"/>
      <dgm:spPr/>
      <dgm:t>
        <a:bodyPr/>
        <a:lstStyle/>
        <a:p>
          <a:r>
            <a:rPr lang="tr-TR" sz="700" baseline="0" dirty="0">
              <a:solidFill>
                <a:sysClr val="windowText" lastClr="000000"/>
              </a:solidFill>
            </a:rPr>
            <a:t>Elektrik Dağıtım Yatırımları G.B</a:t>
          </a:r>
          <a:endParaRPr lang="tr-TR" sz="700" b="0" baseline="0" dirty="0">
            <a:solidFill>
              <a:sysClr val="windowText" lastClr="000000"/>
            </a:solidFill>
          </a:endParaRPr>
        </a:p>
      </dgm:t>
    </dgm:pt>
    <dgm:pt modelId="{34D4C62D-613F-4D0D-A0E1-E0CEC8592191}" type="parTrans" cxnId="{7468451A-E9CE-48EC-AA29-1851921B1D86}">
      <dgm:prSet/>
      <dgm:spPr/>
      <dgm:t>
        <a:bodyPr/>
        <a:lstStyle/>
        <a:p>
          <a:endParaRPr lang="tr-TR" sz="700">
            <a:solidFill>
              <a:sysClr val="windowText" lastClr="000000"/>
            </a:solidFill>
          </a:endParaRPr>
        </a:p>
      </dgm:t>
    </dgm:pt>
    <dgm:pt modelId="{E4CDE462-19D4-4843-99BE-AFB3273D82EF}" type="sibTrans" cxnId="{7468451A-E9CE-48EC-AA29-1851921B1D86}">
      <dgm:prSet/>
      <dgm:spPr/>
      <dgm:t>
        <a:bodyPr/>
        <a:lstStyle/>
        <a:p>
          <a:endParaRPr lang="tr-TR" sz="700">
            <a:solidFill>
              <a:sysClr val="windowText" lastClr="000000"/>
            </a:solidFill>
          </a:endParaRPr>
        </a:p>
      </dgm:t>
    </dgm:pt>
    <dgm:pt modelId="{7AE92220-DFC6-4B98-9031-A590619925ED}">
      <dgm:prSet custT="1"/>
      <dgm:spPr/>
      <dgm:t>
        <a:bodyPr/>
        <a:lstStyle/>
        <a:p>
          <a:r>
            <a:rPr lang="tr-TR" sz="700" baseline="0" dirty="0">
              <a:solidFill>
                <a:sysClr val="windowText" lastClr="000000"/>
              </a:solidFill>
            </a:rPr>
            <a:t>Doğal Gaz Piyasası Tarifeler G.B</a:t>
          </a:r>
          <a:endParaRPr lang="tr-TR" sz="700" b="0" baseline="0" dirty="0">
            <a:solidFill>
              <a:sysClr val="windowText" lastClr="000000"/>
            </a:solidFill>
          </a:endParaRPr>
        </a:p>
      </dgm:t>
    </dgm:pt>
    <dgm:pt modelId="{96054F4A-E54D-42B4-BD16-81F6222D445B}" type="parTrans" cxnId="{EC6BC6E6-B445-479F-A27D-709F791FFBC3}">
      <dgm:prSet/>
      <dgm:spPr/>
      <dgm:t>
        <a:bodyPr/>
        <a:lstStyle/>
        <a:p>
          <a:endParaRPr lang="tr-TR" sz="700">
            <a:solidFill>
              <a:sysClr val="windowText" lastClr="000000"/>
            </a:solidFill>
          </a:endParaRPr>
        </a:p>
      </dgm:t>
    </dgm:pt>
    <dgm:pt modelId="{4E90323F-485C-4816-93BD-1AB41572F7FF}" type="sibTrans" cxnId="{EC6BC6E6-B445-479F-A27D-709F791FFBC3}">
      <dgm:prSet/>
      <dgm:spPr/>
      <dgm:t>
        <a:bodyPr/>
        <a:lstStyle/>
        <a:p>
          <a:endParaRPr lang="tr-TR" sz="700">
            <a:solidFill>
              <a:sysClr val="windowText" lastClr="000000"/>
            </a:solidFill>
          </a:endParaRPr>
        </a:p>
      </dgm:t>
    </dgm:pt>
    <dgm:pt modelId="{6B82DE00-C4F7-4ED5-AF2D-207E2D5F9ECE}">
      <dgm:prSet custT="1"/>
      <dgm:spPr/>
      <dgm:t>
        <a:bodyPr/>
        <a:lstStyle/>
        <a:p>
          <a:r>
            <a:rPr lang="tr-TR" sz="700" baseline="0" dirty="0">
              <a:solidFill>
                <a:sysClr val="windowText" lastClr="000000"/>
              </a:solidFill>
            </a:rPr>
            <a:t>Piyasa İzleme ve Mali Risk G.B</a:t>
          </a:r>
          <a:endParaRPr lang="tr-TR" sz="700" b="0" baseline="0" dirty="0">
            <a:solidFill>
              <a:sysClr val="windowText" lastClr="000000"/>
            </a:solidFill>
          </a:endParaRPr>
        </a:p>
      </dgm:t>
    </dgm:pt>
    <dgm:pt modelId="{726F2886-3E09-40EE-849D-399207696B96}" type="parTrans" cxnId="{FD2C4544-212C-4448-A46B-C9A1F3B5F6C5}">
      <dgm:prSet/>
      <dgm:spPr/>
      <dgm:t>
        <a:bodyPr/>
        <a:lstStyle/>
        <a:p>
          <a:endParaRPr lang="tr-TR" sz="700">
            <a:solidFill>
              <a:sysClr val="windowText" lastClr="000000"/>
            </a:solidFill>
          </a:endParaRPr>
        </a:p>
      </dgm:t>
    </dgm:pt>
    <dgm:pt modelId="{46A8947A-3059-44FA-B1A0-0948ECA6BF61}" type="sibTrans" cxnId="{FD2C4544-212C-4448-A46B-C9A1F3B5F6C5}">
      <dgm:prSet/>
      <dgm:spPr/>
      <dgm:t>
        <a:bodyPr/>
        <a:lstStyle/>
        <a:p>
          <a:endParaRPr lang="tr-TR" sz="700">
            <a:solidFill>
              <a:sysClr val="windowText" lastClr="000000"/>
            </a:solidFill>
          </a:endParaRPr>
        </a:p>
      </dgm:t>
    </dgm:pt>
    <dgm:pt modelId="{ED311EC5-9145-4C08-85AC-48E2BFAC0BA8}">
      <dgm:prSet custT="1"/>
      <dgm:spPr/>
      <dgm:t>
        <a:bodyPr/>
        <a:lstStyle/>
        <a:p>
          <a:r>
            <a:rPr lang="tr-TR" sz="700" b="0" dirty="0">
              <a:solidFill>
                <a:sysClr val="windowText" lastClr="000000"/>
              </a:solidFill>
            </a:rPr>
            <a:t>Üretim Rüzgar ve Güneş </a:t>
          </a:r>
          <a:r>
            <a:rPr lang="tr-TR" sz="700" b="0" baseline="0" dirty="0">
              <a:solidFill>
                <a:sysClr val="windowText" lastClr="000000"/>
              </a:solidFill>
            </a:rPr>
            <a:t>G.B</a:t>
          </a:r>
        </a:p>
      </dgm:t>
    </dgm:pt>
    <dgm:pt modelId="{F1E6EABF-DEDF-44D5-BCAD-391BBF6B6D73}" type="sibTrans" cxnId="{BB54E4F1-48D7-4E09-829D-07A2728C3C7B}">
      <dgm:prSet/>
      <dgm:spPr/>
      <dgm:t>
        <a:bodyPr/>
        <a:lstStyle/>
        <a:p>
          <a:endParaRPr lang="tr-TR" sz="700">
            <a:solidFill>
              <a:sysClr val="windowText" lastClr="000000"/>
            </a:solidFill>
          </a:endParaRPr>
        </a:p>
      </dgm:t>
    </dgm:pt>
    <dgm:pt modelId="{BEF79483-C341-4DAB-A21F-57D38E7CF220}" type="parTrans" cxnId="{BB54E4F1-48D7-4E09-829D-07A2728C3C7B}">
      <dgm:prSet/>
      <dgm:spPr/>
      <dgm:t>
        <a:bodyPr/>
        <a:lstStyle/>
        <a:p>
          <a:endParaRPr lang="tr-TR" sz="700">
            <a:solidFill>
              <a:sysClr val="windowText" lastClr="000000"/>
            </a:solidFill>
          </a:endParaRPr>
        </a:p>
      </dgm:t>
    </dgm:pt>
    <dgm:pt modelId="{F64867BD-0949-4FA0-A4DE-B7D633F0034C}">
      <dgm:prSet phldrT="[Metin]" custT="1"/>
      <dgm:spPr/>
      <dgm:t>
        <a:bodyPr/>
        <a:lstStyle/>
        <a:p>
          <a:r>
            <a:rPr lang="tr-TR" sz="700" b="0" baseline="0" dirty="0">
              <a:solidFill>
                <a:sysClr val="windowText" lastClr="000000"/>
              </a:solidFill>
            </a:rPr>
            <a:t>Enerji Dönüşüm Dairesi B.</a:t>
          </a:r>
        </a:p>
      </dgm:t>
    </dgm:pt>
    <dgm:pt modelId="{207918A6-7772-41B1-96EF-AA65C65DEFC3}" type="parTrans" cxnId="{E2D5B18E-794C-45E2-B6F9-2151E23A4660}">
      <dgm:prSet/>
      <dgm:spPr/>
      <dgm:t>
        <a:bodyPr/>
        <a:lstStyle/>
        <a:p>
          <a:endParaRPr lang="tr-TR" sz="700"/>
        </a:p>
      </dgm:t>
    </dgm:pt>
    <dgm:pt modelId="{4727CBBE-20B7-4907-8972-F73F6F3777B8}" type="sibTrans" cxnId="{E2D5B18E-794C-45E2-B6F9-2151E23A4660}">
      <dgm:prSet/>
      <dgm:spPr/>
      <dgm:t>
        <a:bodyPr/>
        <a:lstStyle/>
        <a:p>
          <a:endParaRPr lang="tr-TR" sz="700"/>
        </a:p>
      </dgm:t>
    </dgm:pt>
    <dgm:pt modelId="{FA2DB15A-0F55-4DD0-A1F0-EBF79E7A4388}">
      <dgm:prSet phldrT="[Metin]" custT="1"/>
      <dgm:spPr/>
      <dgm:t>
        <a:bodyPr/>
        <a:lstStyle/>
        <a:p>
          <a:r>
            <a:rPr lang="tr-TR" sz="700" b="0" dirty="0">
              <a:solidFill>
                <a:sysClr val="windowText" lastClr="000000"/>
              </a:solidFill>
            </a:rPr>
            <a:t>Şarj Hizmeti G.B</a:t>
          </a:r>
        </a:p>
      </dgm:t>
    </dgm:pt>
    <dgm:pt modelId="{55D88064-4FB1-4441-9857-13536E02DD93}" type="parTrans" cxnId="{185F8741-E8A4-461C-9607-45C42612C7DD}">
      <dgm:prSet/>
      <dgm:spPr/>
      <dgm:t>
        <a:bodyPr/>
        <a:lstStyle/>
        <a:p>
          <a:endParaRPr lang="tr-TR" sz="700"/>
        </a:p>
      </dgm:t>
    </dgm:pt>
    <dgm:pt modelId="{8AE8C335-D5B4-4330-A80D-832F7825E014}" type="sibTrans" cxnId="{185F8741-E8A4-461C-9607-45C42612C7DD}">
      <dgm:prSet/>
      <dgm:spPr/>
      <dgm:t>
        <a:bodyPr/>
        <a:lstStyle/>
        <a:p>
          <a:endParaRPr lang="tr-TR" sz="700"/>
        </a:p>
      </dgm:t>
    </dgm:pt>
    <dgm:pt modelId="{9DD468CD-B3DA-4914-BAFF-BFB6219D38F3}">
      <dgm:prSet phldrT="[Metin]" custT="1"/>
      <dgm:spPr/>
      <dgm:t>
        <a:bodyPr/>
        <a:lstStyle/>
        <a:p>
          <a:r>
            <a:rPr lang="tr-TR" sz="700" b="0" dirty="0">
              <a:solidFill>
                <a:sysClr val="windowText" lastClr="000000"/>
              </a:solidFill>
            </a:rPr>
            <a:t>Çevresel Piyasalar ve Alternatif Yakıtlar G.B</a:t>
          </a:r>
        </a:p>
      </dgm:t>
    </dgm:pt>
    <dgm:pt modelId="{B9DD3140-D8F4-4547-B53D-72B3E3722327}" type="parTrans" cxnId="{DF89D98C-34AC-4565-B344-635125960BBA}">
      <dgm:prSet/>
      <dgm:spPr/>
      <dgm:t>
        <a:bodyPr/>
        <a:lstStyle/>
        <a:p>
          <a:endParaRPr lang="tr-TR" sz="700"/>
        </a:p>
      </dgm:t>
    </dgm:pt>
    <dgm:pt modelId="{3D69C083-F1C5-4768-AFCA-681C121E2D50}" type="sibTrans" cxnId="{DF89D98C-34AC-4565-B344-635125960BBA}">
      <dgm:prSet/>
      <dgm:spPr/>
      <dgm:t>
        <a:bodyPr/>
        <a:lstStyle/>
        <a:p>
          <a:endParaRPr lang="tr-TR" sz="700"/>
        </a:p>
      </dgm:t>
    </dgm:pt>
    <dgm:pt modelId="{D4D66C0A-F1B8-4A6C-97F2-5696C114BCDD}">
      <dgm:prSet phldrT="[Metin]" custT="1"/>
      <dgm:spPr/>
      <dgm:t>
        <a:bodyPr/>
        <a:lstStyle/>
        <a:p>
          <a:r>
            <a:rPr lang="tr-TR" sz="700" baseline="0" dirty="0">
              <a:solidFill>
                <a:sysClr val="windowText" lastClr="000000"/>
              </a:solidFill>
            </a:rPr>
            <a:t>Elektrik Piyasası Dairesi B.</a:t>
          </a:r>
        </a:p>
      </dgm:t>
    </dgm:pt>
    <dgm:pt modelId="{A66FD3D5-9F58-45E0-9A79-69FD3C25DBDF}" type="sibTrans" cxnId="{45716B5B-2111-4302-8C56-C990A8060238}">
      <dgm:prSet/>
      <dgm:spPr/>
      <dgm:t>
        <a:bodyPr/>
        <a:lstStyle/>
        <a:p>
          <a:endParaRPr lang="tr-TR" sz="700">
            <a:solidFill>
              <a:sysClr val="windowText" lastClr="000000"/>
            </a:solidFill>
          </a:endParaRPr>
        </a:p>
      </dgm:t>
    </dgm:pt>
    <dgm:pt modelId="{724A7A9E-7C7B-4425-8CFB-C6B5CAE460B4}" type="parTrans" cxnId="{45716B5B-2111-4302-8C56-C990A8060238}">
      <dgm:prSet/>
      <dgm:spPr/>
      <dgm:t>
        <a:bodyPr/>
        <a:lstStyle/>
        <a:p>
          <a:endParaRPr lang="tr-TR" sz="700">
            <a:solidFill>
              <a:sysClr val="windowText" lastClr="000000"/>
            </a:solidFill>
          </a:endParaRPr>
        </a:p>
      </dgm:t>
    </dgm:pt>
    <dgm:pt modelId="{7690D51C-E94A-441D-A994-D810D0463782}">
      <dgm:prSet custT="1"/>
      <dgm:spPr/>
      <dgm:t>
        <a:bodyPr/>
        <a:lstStyle/>
        <a:p>
          <a:endParaRPr lang="tr-TR" sz="700" b="0" dirty="0">
            <a:solidFill>
              <a:sysClr val="windowText" lastClr="000000"/>
            </a:solidFill>
          </a:endParaRPr>
        </a:p>
        <a:p>
          <a:r>
            <a:rPr lang="tr-TR" sz="700" b="0" dirty="0">
              <a:solidFill>
                <a:sysClr val="windowText" lastClr="000000"/>
              </a:solidFill>
            </a:rPr>
            <a:t>İletim ve OSB Faaliyetleri </a:t>
          </a:r>
          <a:r>
            <a:rPr lang="tr-TR" sz="700" b="0" baseline="0" dirty="0">
              <a:solidFill>
                <a:sysClr val="windowText" lastClr="000000"/>
              </a:solidFill>
            </a:rPr>
            <a:t>G.B</a:t>
          </a:r>
        </a:p>
        <a:p>
          <a:r>
            <a:rPr lang="tr-TR" sz="700" b="0" baseline="0" dirty="0">
              <a:solidFill>
                <a:sysClr val="windowText" lastClr="000000"/>
              </a:solidFill>
            </a:rPr>
            <a:t> </a:t>
          </a:r>
          <a:endParaRPr lang="tr-TR" sz="700" b="0" dirty="0">
            <a:solidFill>
              <a:sysClr val="windowText" lastClr="000000"/>
            </a:solidFill>
          </a:endParaRPr>
        </a:p>
      </dgm:t>
    </dgm:pt>
    <dgm:pt modelId="{4913341A-C8A1-4C7E-A30B-841E2F0EDD0A}" type="sibTrans" cxnId="{8F5319E5-66D8-4153-BBC8-84D160D0F445}">
      <dgm:prSet/>
      <dgm:spPr/>
      <dgm:t>
        <a:bodyPr/>
        <a:lstStyle/>
        <a:p>
          <a:endParaRPr lang="tr-TR" sz="700">
            <a:solidFill>
              <a:sysClr val="windowText" lastClr="000000"/>
            </a:solidFill>
          </a:endParaRPr>
        </a:p>
      </dgm:t>
    </dgm:pt>
    <dgm:pt modelId="{93FB0F21-249E-4C44-ADE3-C2C14C35757F}" type="parTrans" cxnId="{8F5319E5-66D8-4153-BBC8-84D160D0F445}">
      <dgm:prSet/>
      <dgm:spPr/>
      <dgm:t>
        <a:bodyPr/>
        <a:lstStyle/>
        <a:p>
          <a:endParaRPr lang="tr-TR" sz="700">
            <a:solidFill>
              <a:sysClr val="windowText" lastClr="000000"/>
            </a:solidFill>
          </a:endParaRPr>
        </a:p>
      </dgm:t>
    </dgm:pt>
    <dgm:pt modelId="{53AB66D1-6CFF-4954-9110-AE093B268504}">
      <dgm:prSet custT="1"/>
      <dgm:spPr/>
      <dgm:t>
        <a:bodyPr/>
        <a:lstStyle/>
        <a:p>
          <a:r>
            <a:rPr lang="tr-TR" sz="700" b="0" dirty="0">
              <a:solidFill>
                <a:sysClr val="windowText" lastClr="000000"/>
              </a:solidFill>
            </a:rPr>
            <a:t>Organize Toptan Satış Piyasaları G.B</a:t>
          </a:r>
        </a:p>
      </dgm:t>
    </dgm:pt>
    <dgm:pt modelId="{14458DF4-705C-4910-8DFD-71629D0C277C}" type="sibTrans" cxnId="{2414A5C0-43D2-4B30-A1F3-97C4F4C9B353}">
      <dgm:prSet/>
      <dgm:spPr/>
      <dgm:t>
        <a:bodyPr/>
        <a:lstStyle/>
        <a:p>
          <a:endParaRPr lang="tr-TR" sz="700">
            <a:solidFill>
              <a:sysClr val="windowText" lastClr="000000"/>
            </a:solidFill>
          </a:endParaRPr>
        </a:p>
      </dgm:t>
    </dgm:pt>
    <dgm:pt modelId="{7E517B07-AB46-4CE4-B105-9628AD252AD0}" type="parTrans" cxnId="{2414A5C0-43D2-4B30-A1F3-97C4F4C9B353}">
      <dgm:prSet/>
      <dgm:spPr/>
      <dgm:t>
        <a:bodyPr/>
        <a:lstStyle/>
        <a:p>
          <a:endParaRPr lang="tr-TR" sz="700">
            <a:solidFill>
              <a:sysClr val="windowText" lastClr="000000"/>
            </a:solidFill>
          </a:endParaRPr>
        </a:p>
      </dgm:t>
    </dgm:pt>
    <dgm:pt modelId="{E10A59CB-B808-4678-B49F-15FE2CBE8F1B}">
      <dgm:prSet custT="1"/>
      <dgm:spPr/>
      <dgm:t>
        <a:bodyPr/>
        <a:lstStyle/>
        <a:p>
          <a:r>
            <a:rPr lang="tr-TR" sz="700" b="0" dirty="0">
              <a:solidFill>
                <a:sysClr val="windowText" lastClr="000000"/>
              </a:solidFill>
            </a:rPr>
            <a:t>Tüketici Hakları ve Müşteri Hizmetleri </a:t>
          </a:r>
          <a:r>
            <a:rPr lang="tr-TR" sz="700" b="0" baseline="0" dirty="0">
              <a:solidFill>
                <a:sysClr val="windowText" lastClr="000000"/>
              </a:solidFill>
            </a:rPr>
            <a:t>G.B</a:t>
          </a:r>
        </a:p>
      </dgm:t>
    </dgm:pt>
    <dgm:pt modelId="{B7171BA8-9894-40C6-A48E-F621277B54A7}" type="sibTrans" cxnId="{C2DAC934-95A8-4CD0-9CAF-CE5CEDB52185}">
      <dgm:prSet/>
      <dgm:spPr/>
      <dgm:t>
        <a:bodyPr/>
        <a:lstStyle/>
        <a:p>
          <a:endParaRPr lang="tr-TR" sz="700">
            <a:solidFill>
              <a:sysClr val="windowText" lastClr="000000"/>
            </a:solidFill>
          </a:endParaRPr>
        </a:p>
      </dgm:t>
    </dgm:pt>
    <dgm:pt modelId="{0E5A9950-8875-4636-8B51-8271EB86A31D}" type="parTrans" cxnId="{C2DAC934-95A8-4CD0-9CAF-CE5CEDB52185}">
      <dgm:prSet/>
      <dgm:spPr/>
      <dgm:t>
        <a:bodyPr/>
        <a:lstStyle/>
        <a:p>
          <a:endParaRPr lang="tr-TR" sz="700">
            <a:solidFill>
              <a:sysClr val="windowText" lastClr="000000"/>
            </a:solidFill>
          </a:endParaRPr>
        </a:p>
      </dgm:t>
    </dgm:pt>
    <dgm:pt modelId="{4F693BA6-26B2-4B73-8280-C164DA8C34B7}">
      <dgm:prSet phldrT="[Metin]" custT="1"/>
      <dgm:spPr/>
      <dgm:t>
        <a:bodyPr/>
        <a:lstStyle/>
        <a:p>
          <a:r>
            <a:rPr lang="tr-TR" sz="700" b="0" baseline="0" dirty="0">
              <a:solidFill>
                <a:sysClr val="windowText" lastClr="000000"/>
              </a:solidFill>
            </a:rPr>
            <a:t>Araştırma-Geliştirme ve Dijital Dönüşüm G.B</a:t>
          </a:r>
        </a:p>
      </dgm:t>
    </dgm:pt>
    <dgm:pt modelId="{A731950F-D2CF-4928-815D-E694CD60D38A}" type="sibTrans" cxnId="{C8012B76-D721-4880-B2FD-D67A9042EE11}">
      <dgm:prSet/>
      <dgm:spPr/>
      <dgm:t>
        <a:bodyPr/>
        <a:lstStyle/>
        <a:p>
          <a:endParaRPr lang="tr-TR" sz="700"/>
        </a:p>
      </dgm:t>
    </dgm:pt>
    <dgm:pt modelId="{9D13284D-3623-4556-A0C5-12269ECEBD01}" type="parTrans" cxnId="{C8012B76-D721-4880-B2FD-D67A9042EE11}">
      <dgm:prSet/>
      <dgm:spPr/>
      <dgm:t>
        <a:bodyPr/>
        <a:lstStyle/>
        <a:p>
          <a:endParaRPr lang="tr-TR" sz="700"/>
        </a:p>
      </dgm:t>
    </dgm:pt>
    <dgm:pt modelId="{D81F9C99-0C72-44D6-8B8F-79B3F0BB4C2F}">
      <dgm:prSet custT="1"/>
      <dgm:spPr/>
      <dgm:t>
        <a:bodyPr/>
        <a:lstStyle/>
        <a:p>
          <a:r>
            <a:rPr lang="tr-TR" sz="700" b="0" baseline="0">
              <a:solidFill>
                <a:sysClr val="windowText" lastClr="000000"/>
              </a:solidFill>
            </a:rPr>
            <a:t>Mevzuat Geliştirme ve Tüketici Hakları G.B</a:t>
          </a:r>
        </a:p>
      </dgm:t>
    </dgm:pt>
    <dgm:pt modelId="{638DEB82-C64C-40A3-A2F3-CA08FB7BC07A}" type="sibTrans" cxnId="{949F0B13-D4C2-4F23-B28A-CFD7E10001F2}">
      <dgm:prSet/>
      <dgm:spPr/>
      <dgm:t>
        <a:bodyPr/>
        <a:lstStyle/>
        <a:p>
          <a:endParaRPr lang="tr-TR" sz="700"/>
        </a:p>
      </dgm:t>
    </dgm:pt>
    <dgm:pt modelId="{95B5CF57-607F-4F9D-A210-216175C23BDF}" type="parTrans" cxnId="{949F0B13-D4C2-4F23-B28A-CFD7E10001F2}">
      <dgm:prSet/>
      <dgm:spPr/>
      <dgm:t>
        <a:bodyPr/>
        <a:lstStyle/>
        <a:p>
          <a:endParaRPr lang="tr-TR" sz="700"/>
        </a:p>
      </dgm:t>
    </dgm:pt>
    <dgm:pt modelId="{784170D0-2718-48DB-9982-BE5B78BF47E2}">
      <dgm:prSet phldrT="[Metin]" custT="1"/>
      <dgm:spPr/>
      <dgm:t>
        <a:bodyPr/>
        <a:lstStyle/>
        <a:p>
          <a:r>
            <a:rPr lang="tr-TR" sz="700" b="0" baseline="0">
              <a:solidFill>
                <a:sysClr val="windowText" lastClr="000000"/>
              </a:solidFill>
            </a:rPr>
            <a:t>Basın ve Halkla İlişkiler Müşavirliği                </a:t>
          </a:r>
        </a:p>
      </dgm:t>
    </dgm:pt>
    <dgm:pt modelId="{78950E37-BAE6-4234-BC2B-B54CE8DE1185}" type="parTrans" cxnId="{F3D6DD78-9EAB-4CD5-B38B-017EC68C0D8E}">
      <dgm:prSet/>
      <dgm:spPr/>
      <dgm:t>
        <a:bodyPr/>
        <a:lstStyle/>
        <a:p>
          <a:endParaRPr lang="tr-TR"/>
        </a:p>
      </dgm:t>
    </dgm:pt>
    <dgm:pt modelId="{6279A169-9D64-41A5-AC0D-3D4C8DAAB837}" type="sibTrans" cxnId="{F3D6DD78-9EAB-4CD5-B38B-017EC68C0D8E}">
      <dgm:prSet/>
      <dgm:spPr/>
      <dgm:t>
        <a:bodyPr/>
        <a:lstStyle/>
        <a:p>
          <a:endParaRPr lang="tr-TR"/>
        </a:p>
      </dgm:t>
    </dgm:pt>
    <dgm:pt modelId="{CF8D1FD1-2373-4AC9-B794-3B5B85639846}">
      <dgm:prSet phldrT="[Metin]" custT="1"/>
      <dgm:spPr/>
      <dgm:t>
        <a:bodyPr/>
        <a:lstStyle/>
        <a:p>
          <a:r>
            <a:rPr lang="tr-TR" sz="700" b="0" baseline="0">
              <a:solidFill>
                <a:sysClr val="windowText" lastClr="000000"/>
              </a:solidFill>
            </a:rPr>
            <a:t>Başkanlık Özel Kalem Müdürlüğü</a:t>
          </a:r>
        </a:p>
      </dgm:t>
    </dgm:pt>
    <dgm:pt modelId="{9FC8215C-0776-4A41-8809-A27475FABFE5}" type="parTrans" cxnId="{90E1CC76-4536-4C81-8B48-820EB5AD8776}">
      <dgm:prSet/>
      <dgm:spPr/>
      <dgm:t>
        <a:bodyPr/>
        <a:lstStyle/>
        <a:p>
          <a:endParaRPr lang="tr-TR"/>
        </a:p>
      </dgm:t>
    </dgm:pt>
    <dgm:pt modelId="{16897247-53E7-48FF-87B2-70F72D427469}" type="sibTrans" cxnId="{90E1CC76-4536-4C81-8B48-820EB5AD8776}">
      <dgm:prSet/>
      <dgm:spPr/>
      <dgm:t>
        <a:bodyPr/>
        <a:lstStyle/>
        <a:p>
          <a:endParaRPr lang="tr-TR"/>
        </a:p>
      </dgm:t>
    </dgm:pt>
    <dgm:pt modelId="{670DC88F-8F9F-48D0-BBD4-4787B3DCFE5D}">
      <dgm:prSet phldrT="[Metin]" custT="1"/>
      <dgm:spPr/>
      <dgm:t>
        <a:bodyPr/>
        <a:lstStyle/>
        <a:p>
          <a:r>
            <a:rPr lang="tr-TR" sz="700" b="0" baseline="0">
              <a:solidFill>
                <a:sysClr val="windowText" lastClr="000000"/>
              </a:solidFill>
            </a:rPr>
            <a:t>Kurul Hizmetleri Müdürlüğü</a:t>
          </a:r>
        </a:p>
      </dgm:t>
    </dgm:pt>
    <dgm:pt modelId="{A7AAAFDF-146D-435A-BDEF-02257F2DE347}" type="parTrans" cxnId="{ED5CE04B-A9A8-4877-AF10-7150B030742A}">
      <dgm:prSet/>
      <dgm:spPr/>
      <dgm:t>
        <a:bodyPr/>
        <a:lstStyle/>
        <a:p>
          <a:endParaRPr lang="tr-TR"/>
        </a:p>
      </dgm:t>
    </dgm:pt>
    <dgm:pt modelId="{5F60D1BB-0473-4A2B-A496-639E68ED45CC}" type="sibTrans" cxnId="{ED5CE04B-A9A8-4877-AF10-7150B030742A}">
      <dgm:prSet/>
      <dgm:spPr/>
      <dgm:t>
        <a:bodyPr/>
        <a:lstStyle/>
        <a:p>
          <a:endParaRPr lang="tr-TR"/>
        </a:p>
      </dgm:t>
    </dgm:pt>
    <dgm:pt modelId="{6572755B-958D-4AD0-AC20-76BB96C46399}">
      <dgm:prSet custT="1"/>
      <dgm:spPr/>
      <dgm:t>
        <a:bodyPr/>
        <a:lstStyle/>
        <a:p>
          <a:r>
            <a:rPr lang="tr-TR" sz="700" b="0" dirty="0">
              <a:solidFill>
                <a:sysClr val="windowText" lastClr="000000"/>
              </a:solidFill>
            </a:rPr>
            <a:t>Piyasa İzleme ve Mevzuat </a:t>
          </a:r>
          <a:r>
            <a:rPr lang="tr-TR" sz="700" b="0" baseline="0" dirty="0">
              <a:solidFill>
                <a:sysClr val="windowText" lastClr="000000"/>
              </a:solidFill>
            </a:rPr>
            <a:t>G.B</a:t>
          </a:r>
        </a:p>
      </dgm:t>
    </dgm:pt>
    <dgm:pt modelId="{4EE6395B-7B2A-4B8A-8A5D-31176E8E3FF1}" type="sibTrans" cxnId="{AB8AC668-FCCA-4224-B3F3-B836AFFB0660}">
      <dgm:prSet/>
      <dgm:spPr/>
      <dgm:t>
        <a:bodyPr/>
        <a:lstStyle/>
        <a:p>
          <a:endParaRPr lang="tr-TR" sz="700">
            <a:solidFill>
              <a:sysClr val="windowText" lastClr="000000"/>
            </a:solidFill>
          </a:endParaRPr>
        </a:p>
      </dgm:t>
    </dgm:pt>
    <dgm:pt modelId="{E4E3F4E3-9D40-4E60-8B48-C7D3EF91F30A}" type="parTrans" cxnId="{AB8AC668-FCCA-4224-B3F3-B836AFFB0660}">
      <dgm:prSet/>
      <dgm:spPr/>
      <dgm:t>
        <a:bodyPr/>
        <a:lstStyle/>
        <a:p>
          <a:endParaRPr lang="tr-TR" sz="700">
            <a:solidFill>
              <a:sysClr val="windowText" lastClr="000000"/>
            </a:solidFill>
          </a:endParaRPr>
        </a:p>
      </dgm:t>
    </dgm:pt>
    <dgm:pt modelId="{54861D40-4416-4656-AE0F-854BA3EDC3F1}">
      <dgm:prSet phldrT="[Metin]" custT="1"/>
      <dgm:spPr/>
      <dgm:t>
        <a:bodyPr/>
        <a:lstStyle/>
        <a:p>
          <a:r>
            <a:rPr lang="tr-TR" sz="700" b="0" baseline="0">
              <a:solidFill>
                <a:sysClr val="windowText" lastClr="000000"/>
              </a:solidFill>
            </a:rPr>
            <a:t>İstanbul İrtibat Bürosu</a:t>
          </a:r>
        </a:p>
      </dgm:t>
    </dgm:pt>
    <dgm:pt modelId="{7521BCEF-954B-4581-9C9E-0433DD879313}" type="parTrans" cxnId="{99007736-257F-482E-B66F-52E268BE422C}">
      <dgm:prSet/>
      <dgm:spPr/>
      <dgm:t>
        <a:bodyPr/>
        <a:lstStyle/>
        <a:p>
          <a:endParaRPr lang="tr-TR"/>
        </a:p>
      </dgm:t>
    </dgm:pt>
    <dgm:pt modelId="{E3776FE4-4891-48B4-B5A0-3C19F30B07CE}" type="sibTrans" cxnId="{99007736-257F-482E-B66F-52E268BE422C}">
      <dgm:prSet/>
      <dgm:spPr/>
      <dgm:t>
        <a:bodyPr/>
        <a:lstStyle/>
        <a:p>
          <a:endParaRPr lang="tr-TR"/>
        </a:p>
      </dgm:t>
    </dgm:pt>
    <dgm:pt modelId="{27C3018E-1948-4088-8B9A-50977B556B66}">
      <dgm:prSet custT="1"/>
      <dgm:spPr/>
      <dgm:t>
        <a:bodyPr/>
        <a:lstStyle/>
        <a:p>
          <a:r>
            <a:rPr lang="tr-TR" sz="700" b="0" baseline="0" dirty="0"/>
            <a:t>Petrol Piyasası Dairesi B.</a:t>
          </a:r>
          <a:r>
            <a:rPr lang="tr-TR" sz="700" b="0" baseline="0" dirty="0">
              <a:solidFill>
                <a:sysClr val="windowText" lastClr="000000"/>
              </a:solidFill>
            </a:rPr>
            <a:t>         </a:t>
          </a:r>
        </a:p>
      </dgm:t>
    </dgm:pt>
    <dgm:pt modelId="{FC9A7C71-E8A8-4F95-8CD7-5342DE888308}" type="parTrans" cxnId="{76F8FCBD-2630-4AC0-AFC2-2375ED958B6F}">
      <dgm:prSet/>
      <dgm:spPr/>
      <dgm:t>
        <a:bodyPr/>
        <a:lstStyle/>
        <a:p>
          <a:endParaRPr lang="tr-TR"/>
        </a:p>
      </dgm:t>
    </dgm:pt>
    <dgm:pt modelId="{FE41CA89-5B84-4428-88BE-65AEF032B5EB}" type="sibTrans" cxnId="{76F8FCBD-2630-4AC0-AFC2-2375ED958B6F}">
      <dgm:prSet/>
      <dgm:spPr/>
      <dgm:t>
        <a:bodyPr/>
        <a:lstStyle/>
        <a:p>
          <a:endParaRPr lang="tr-TR"/>
        </a:p>
      </dgm:t>
    </dgm:pt>
    <dgm:pt modelId="{FEF42683-EE96-4174-8C7B-BCE6A884E1DC}">
      <dgm:prSet custT="1"/>
      <dgm:spPr/>
      <dgm:t>
        <a:bodyPr/>
        <a:lstStyle/>
        <a:p>
          <a:r>
            <a:rPr lang="tr-TR" sz="700" b="0"/>
            <a:t>Bayilik Lisans-1</a:t>
          </a:r>
        </a:p>
        <a:p>
          <a:r>
            <a:rPr lang="tr-TR" sz="700" b="0"/>
            <a:t>G.B</a:t>
          </a:r>
          <a:endParaRPr lang="tr-TR" sz="700" b="0" baseline="0" dirty="0">
            <a:solidFill>
              <a:sysClr val="windowText" lastClr="000000"/>
            </a:solidFill>
          </a:endParaRPr>
        </a:p>
      </dgm:t>
    </dgm:pt>
    <dgm:pt modelId="{3060B87B-D822-4BA2-BB8E-1C6C1F09EA56}" type="parTrans" cxnId="{532C2696-97EA-4ABF-8CE9-5901BD764F0C}">
      <dgm:prSet/>
      <dgm:spPr/>
      <dgm:t>
        <a:bodyPr/>
        <a:lstStyle/>
        <a:p>
          <a:endParaRPr lang="tr-TR"/>
        </a:p>
      </dgm:t>
    </dgm:pt>
    <dgm:pt modelId="{AC325ED6-972C-4D5E-998D-D1BB55EFC7D8}" type="sibTrans" cxnId="{532C2696-97EA-4ABF-8CE9-5901BD764F0C}">
      <dgm:prSet/>
      <dgm:spPr/>
      <dgm:t>
        <a:bodyPr/>
        <a:lstStyle/>
        <a:p>
          <a:endParaRPr lang="tr-TR"/>
        </a:p>
      </dgm:t>
    </dgm:pt>
    <dgm:pt modelId="{DCDF41E0-059A-462E-80A9-516107A8CFD7}">
      <dgm:prSet custT="1"/>
      <dgm:spPr/>
      <dgm:t>
        <a:bodyPr/>
        <a:lstStyle/>
        <a:p>
          <a:r>
            <a:rPr lang="tr-TR" sz="700" b="0" dirty="0"/>
            <a:t>Bayilik Lisans-2 </a:t>
          </a:r>
        </a:p>
        <a:p>
          <a:r>
            <a:rPr lang="tr-TR" sz="700" b="0" dirty="0"/>
            <a:t>G.B</a:t>
          </a:r>
          <a:endParaRPr lang="tr-TR" sz="700" b="0" baseline="0" dirty="0">
            <a:solidFill>
              <a:sysClr val="windowText" lastClr="000000"/>
            </a:solidFill>
          </a:endParaRPr>
        </a:p>
      </dgm:t>
    </dgm:pt>
    <dgm:pt modelId="{BADAD6FA-6887-4CA0-93AA-2A43E4C753A8}" type="parTrans" cxnId="{01D41E65-05A7-4253-81FF-3CFED3020468}">
      <dgm:prSet/>
      <dgm:spPr/>
      <dgm:t>
        <a:bodyPr/>
        <a:lstStyle/>
        <a:p>
          <a:endParaRPr lang="tr-TR"/>
        </a:p>
      </dgm:t>
    </dgm:pt>
    <dgm:pt modelId="{2ABDBAC5-5603-497F-AB3E-F473A878D244}" type="sibTrans" cxnId="{01D41E65-05A7-4253-81FF-3CFED3020468}">
      <dgm:prSet/>
      <dgm:spPr/>
      <dgm:t>
        <a:bodyPr/>
        <a:lstStyle/>
        <a:p>
          <a:endParaRPr lang="tr-TR"/>
        </a:p>
      </dgm:t>
    </dgm:pt>
    <dgm:pt modelId="{DAC78C75-2075-4E92-8FED-16CE52DA9DBC}">
      <dgm:prSet custT="1"/>
      <dgm:spPr/>
      <dgm:t>
        <a:bodyPr/>
        <a:lstStyle/>
        <a:p>
          <a:r>
            <a:rPr lang="tr-TR" sz="700" b="0"/>
            <a:t>Rafinerici, Dağıtıcı ve Diğer Lisanslar </a:t>
          </a:r>
          <a:r>
            <a:rPr lang="tr-TR" sz="700" b="0" baseline="0" dirty="0"/>
            <a:t>G.B</a:t>
          </a:r>
          <a:endParaRPr lang="tr-TR" sz="700" b="0" baseline="0" dirty="0">
            <a:solidFill>
              <a:sysClr val="windowText" lastClr="000000"/>
            </a:solidFill>
          </a:endParaRPr>
        </a:p>
      </dgm:t>
    </dgm:pt>
    <dgm:pt modelId="{5A3FAD4B-5F94-4E2A-8DC5-D6EAA8B96B69}" type="parTrans" cxnId="{AE8A38CC-6E98-408A-A4B7-0D1358F63958}">
      <dgm:prSet/>
      <dgm:spPr/>
      <dgm:t>
        <a:bodyPr/>
        <a:lstStyle/>
        <a:p>
          <a:endParaRPr lang="tr-TR"/>
        </a:p>
      </dgm:t>
    </dgm:pt>
    <dgm:pt modelId="{67C9EDBD-BAC2-4047-83AA-436AFB21946A}" type="sibTrans" cxnId="{AE8A38CC-6E98-408A-A4B7-0D1358F63958}">
      <dgm:prSet/>
      <dgm:spPr/>
      <dgm:t>
        <a:bodyPr/>
        <a:lstStyle/>
        <a:p>
          <a:endParaRPr lang="tr-TR"/>
        </a:p>
      </dgm:t>
    </dgm:pt>
    <dgm:pt modelId="{9ACCD315-F79C-4F93-89B6-27CEDBB79EC7}">
      <dgm:prSet custT="1"/>
      <dgm:spPr/>
      <dgm:t>
        <a:bodyPr/>
        <a:lstStyle/>
        <a:p>
          <a:r>
            <a:rPr lang="tr-TR" sz="700" b="0" baseline="0" dirty="0">
              <a:solidFill>
                <a:sysClr val="windowText" lastClr="000000"/>
              </a:solidFill>
            </a:rPr>
            <a:t>Sıvılaştırılmış Petrol Gazları Piyasası Dairesi B.</a:t>
          </a:r>
        </a:p>
      </dgm:t>
    </dgm:pt>
    <dgm:pt modelId="{E699EBEC-620F-414D-BD16-849AD201C393}" type="parTrans" cxnId="{A2071CCE-67D3-41F2-B9AF-0A2EADB31016}">
      <dgm:prSet/>
      <dgm:spPr/>
      <dgm:t>
        <a:bodyPr/>
        <a:lstStyle/>
        <a:p>
          <a:endParaRPr lang="tr-TR"/>
        </a:p>
      </dgm:t>
    </dgm:pt>
    <dgm:pt modelId="{AAC8D654-B257-4F22-89E0-7A3A08E3BE29}" type="sibTrans" cxnId="{A2071CCE-67D3-41F2-B9AF-0A2EADB31016}">
      <dgm:prSet/>
      <dgm:spPr/>
      <dgm:t>
        <a:bodyPr/>
        <a:lstStyle/>
        <a:p>
          <a:endParaRPr lang="tr-TR"/>
        </a:p>
      </dgm:t>
    </dgm:pt>
    <dgm:pt modelId="{3B40AC12-DB25-4F3B-86E3-97EF8A39DAA4}">
      <dgm:prSet custT="1"/>
      <dgm:spPr/>
      <dgm:t>
        <a:bodyPr/>
        <a:lstStyle/>
        <a:p>
          <a:r>
            <a:rPr lang="tr-TR" sz="700" b="0">
              <a:solidFill>
                <a:sysClr val="windowText" lastClr="000000"/>
              </a:solidFill>
            </a:rPr>
            <a:t>Bayilik Lisansı 1. </a:t>
          </a:r>
          <a:r>
            <a:rPr lang="tr-TR" sz="700" b="0" baseline="0">
              <a:solidFill>
                <a:sysClr val="windowText" lastClr="000000"/>
              </a:solidFill>
            </a:rPr>
            <a:t>G.B</a:t>
          </a:r>
        </a:p>
      </dgm:t>
    </dgm:pt>
    <dgm:pt modelId="{FF633612-E89B-49F0-AE41-B4D720B3FABE}" type="parTrans" cxnId="{2FEF8FCD-38A2-4C6E-A8DF-5468FED23E4D}">
      <dgm:prSet/>
      <dgm:spPr/>
      <dgm:t>
        <a:bodyPr/>
        <a:lstStyle/>
        <a:p>
          <a:endParaRPr lang="tr-TR" b="0">
            <a:solidFill>
              <a:sysClr val="windowText" lastClr="000000"/>
            </a:solidFill>
          </a:endParaRPr>
        </a:p>
      </dgm:t>
    </dgm:pt>
    <dgm:pt modelId="{1A88201F-30C2-4021-A235-EC4E1636515F}" type="sibTrans" cxnId="{2FEF8FCD-38A2-4C6E-A8DF-5468FED23E4D}">
      <dgm:prSet/>
      <dgm:spPr/>
      <dgm:t>
        <a:bodyPr/>
        <a:lstStyle/>
        <a:p>
          <a:endParaRPr lang="tr-TR"/>
        </a:p>
      </dgm:t>
    </dgm:pt>
    <dgm:pt modelId="{0C06A092-57B5-430F-803C-AE2717EE8DA6}">
      <dgm:prSet custT="1"/>
      <dgm:spPr/>
      <dgm:t>
        <a:bodyPr/>
        <a:lstStyle/>
        <a:p>
          <a:r>
            <a:rPr lang="tr-TR" sz="700" b="0" baseline="0" dirty="0">
              <a:solidFill>
                <a:sysClr val="windowText" lastClr="000000"/>
              </a:solidFill>
            </a:rPr>
            <a:t>Bayilik Lisansı 2. G.B</a:t>
          </a:r>
        </a:p>
      </dgm:t>
    </dgm:pt>
    <dgm:pt modelId="{F44A404F-E73F-4D9C-9B47-03D10BA20013}" type="parTrans" cxnId="{7AAFACC6-2504-4B65-974B-1EACCCC5198A}">
      <dgm:prSet/>
      <dgm:spPr/>
      <dgm:t>
        <a:bodyPr/>
        <a:lstStyle/>
        <a:p>
          <a:endParaRPr lang="tr-TR"/>
        </a:p>
      </dgm:t>
    </dgm:pt>
    <dgm:pt modelId="{69F9FD12-2A7B-48EB-ACB9-54DAF9F05F88}" type="sibTrans" cxnId="{7AAFACC6-2504-4B65-974B-1EACCCC5198A}">
      <dgm:prSet/>
      <dgm:spPr/>
      <dgm:t>
        <a:bodyPr/>
        <a:lstStyle/>
        <a:p>
          <a:endParaRPr lang="tr-TR"/>
        </a:p>
      </dgm:t>
    </dgm:pt>
    <dgm:pt modelId="{17275704-BCB6-4F9F-BDBB-61A09FA59BDB}">
      <dgm:prSet phldrT="[Metin]" custT="1"/>
      <dgm:spPr/>
      <dgm:t>
        <a:bodyPr/>
        <a:lstStyle/>
        <a:p>
          <a:r>
            <a:rPr lang="tr-TR" sz="700" b="0" dirty="0">
              <a:solidFill>
                <a:sysClr val="windowText" lastClr="000000"/>
              </a:solidFill>
            </a:rPr>
            <a:t>Piyasa İzleme ve Gözetim </a:t>
          </a:r>
          <a:r>
            <a:rPr lang="tr-TR" sz="700" b="0" baseline="0" dirty="0">
              <a:solidFill>
                <a:sysClr val="windowText" lastClr="000000"/>
              </a:solidFill>
            </a:rPr>
            <a:t>G.B</a:t>
          </a:r>
        </a:p>
      </dgm:t>
    </dgm:pt>
    <dgm:pt modelId="{D878227D-5E00-469A-99F4-5F4C959D9B67}" type="parTrans" cxnId="{206F605E-FCBB-438B-BE18-60D1D14092B3}">
      <dgm:prSet/>
      <dgm:spPr/>
      <dgm:t>
        <a:bodyPr/>
        <a:lstStyle/>
        <a:p>
          <a:endParaRPr lang="tr-TR" b="0">
            <a:solidFill>
              <a:sysClr val="windowText" lastClr="000000"/>
            </a:solidFill>
          </a:endParaRPr>
        </a:p>
      </dgm:t>
    </dgm:pt>
    <dgm:pt modelId="{0F9FC21F-85E7-4002-9440-E5A5A4811C91}" type="sibTrans" cxnId="{206F605E-FCBB-438B-BE18-60D1D14092B3}">
      <dgm:prSet/>
      <dgm:spPr/>
      <dgm:t>
        <a:bodyPr/>
        <a:lstStyle/>
        <a:p>
          <a:endParaRPr lang="tr-TR"/>
        </a:p>
      </dgm:t>
    </dgm:pt>
    <dgm:pt modelId="{DE09ACB2-65BC-46E1-AA9A-47CDDFD9091D}">
      <dgm:prSet custT="1"/>
      <dgm:spPr/>
      <dgm:t>
        <a:bodyPr/>
        <a:lstStyle/>
        <a:p>
          <a:r>
            <a:rPr lang="tr-TR" sz="700" b="0">
              <a:solidFill>
                <a:sysClr val="windowText" lastClr="000000"/>
              </a:solidFill>
            </a:rPr>
            <a:t>Mevzuat Geliştirme, Teknik Düzenleme ve Tüketici Hakları </a:t>
          </a:r>
          <a:r>
            <a:rPr lang="tr-TR" sz="700" b="0" baseline="0" dirty="0">
              <a:solidFill>
                <a:sysClr val="windowText" lastClr="000000"/>
              </a:solidFill>
            </a:rPr>
            <a:t>G.B</a:t>
          </a:r>
        </a:p>
      </dgm:t>
    </dgm:pt>
    <dgm:pt modelId="{7538FCE1-3BBD-4CD4-9F7E-8F1A53513270}" type="parTrans" cxnId="{730F31F0-C044-4B84-BD90-88E7029CC041}">
      <dgm:prSet/>
      <dgm:spPr/>
      <dgm:t>
        <a:bodyPr/>
        <a:lstStyle/>
        <a:p>
          <a:endParaRPr lang="tr-TR" b="0">
            <a:solidFill>
              <a:sysClr val="windowText" lastClr="000000"/>
            </a:solidFill>
          </a:endParaRPr>
        </a:p>
      </dgm:t>
    </dgm:pt>
    <dgm:pt modelId="{607D3C14-885F-48B7-91F5-A99580F19F27}" type="sibTrans" cxnId="{730F31F0-C044-4B84-BD90-88E7029CC041}">
      <dgm:prSet/>
      <dgm:spPr/>
      <dgm:t>
        <a:bodyPr/>
        <a:lstStyle/>
        <a:p>
          <a:endParaRPr lang="tr-TR"/>
        </a:p>
      </dgm:t>
    </dgm:pt>
    <dgm:pt modelId="{3032589B-8788-4F32-8948-919418D8EC72}">
      <dgm:prSet custT="1"/>
      <dgm:spPr/>
      <dgm:t>
        <a:bodyPr/>
        <a:lstStyle/>
        <a:p>
          <a:r>
            <a:rPr lang="tr-TR" sz="700" b="0" baseline="0" dirty="0">
              <a:solidFill>
                <a:sysClr val="windowText" lastClr="000000"/>
              </a:solidFill>
            </a:rPr>
            <a:t>   </a:t>
          </a:r>
          <a:r>
            <a:rPr lang="tr-TR" sz="700" b="0" baseline="0" dirty="0"/>
            <a:t>Denetim Dairesi B.</a:t>
          </a:r>
        </a:p>
      </dgm:t>
    </dgm:pt>
    <dgm:pt modelId="{05CEB898-A87F-4E33-9061-E67F605E1722}" type="parTrans" cxnId="{3D583AB1-D722-4B57-9066-33DDE4F7D74D}">
      <dgm:prSet/>
      <dgm:spPr/>
      <dgm:t>
        <a:bodyPr/>
        <a:lstStyle/>
        <a:p>
          <a:endParaRPr lang="tr-TR"/>
        </a:p>
      </dgm:t>
    </dgm:pt>
    <dgm:pt modelId="{2A059A9C-2763-4B79-84AB-6E16733E629F}" type="sibTrans" cxnId="{3D583AB1-D722-4B57-9066-33DDE4F7D74D}">
      <dgm:prSet/>
      <dgm:spPr/>
      <dgm:t>
        <a:bodyPr/>
        <a:lstStyle/>
        <a:p>
          <a:endParaRPr lang="tr-TR"/>
        </a:p>
      </dgm:t>
    </dgm:pt>
    <dgm:pt modelId="{9C5877DB-5FFF-44B2-A718-C2C391F9D61C}">
      <dgm:prSet custT="1"/>
      <dgm:spPr/>
      <dgm:t>
        <a:bodyPr/>
        <a:lstStyle/>
        <a:p>
          <a:r>
            <a:rPr lang="tr-TR" sz="700" b="0" baseline="0" dirty="0">
              <a:solidFill>
                <a:sysClr val="windowText" lastClr="000000"/>
              </a:solidFill>
            </a:rPr>
            <a:t>Petrol Denetimi 1. Grup Başkanlığı</a:t>
          </a:r>
        </a:p>
      </dgm:t>
    </dgm:pt>
    <dgm:pt modelId="{F273C308-DEEA-4A8D-8C6A-9CF39F1F3A08}" type="parTrans" cxnId="{9EEB5DEF-05C5-4669-B12C-C1390EA8BBB5}">
      <dgm:prSet/>
      <dgm:spPr/>
      <dgm:t>
        <a:bodyPr/>
        <a:lstStyle/>
        <a:p>
          <a:endParaRPr lang="tr-TR" b="0">
            <a:solidFill>
              <a:sysClr val="windowText" lastClr="000000"/>
            </a:solidFill>
          </a:endParaRPr>
        </a:p>
      </dgm:t>
    </dgm:pt>
    <dgm:pt modelId="{2D963A30-0805-41B1-921D-D5781D805578}" type="sibTrans" cxnId="{9EEB5DEF-05C5-4669-B12C-C1390EA8BBB5}">
      <dgm:prSet/>
      <dgm:spPr/>
      <dgm:t>
        <a:bodyPr/>
        <a:lstStyle/>
        <a:p>
          <a:endParaRPr lang="tr-TR"/>
        </a:p>
      </dgm:t>
    </dgm:pt>
    <dgm:pt modelId="{6C7746F2-4AF5-447B-9EDE-3CA71227ADCB}">
      <dgm:prSet custT="1"/>
      <dgm:spPr/>
      <dgm:t>
        <a:bodyPr/>
        <a:lstStyle/>
        <a:p>
          <a:r>
            <a:rPr lang="tr-TR" sz="700" b="0" baseline="0" dirty="0">
              <a:solidFill>
                <a:sysClr val="windowText" lastClr="000000"/>
              </a:solidFill>
            </a:rPr>
            <a:t>Petrol Denetimi 2. Grup Başkanlığı </a:t>
          </a:r>
        </a:p>
      </dgm:t>
    </dgm:pt>
    <dgm:pt modelId="{2FABFE8A-CB11-4BF8-A573-FDDC524F4A59}" type="parTrans" cxnId="{365FE42A-61D3-42D2-99BB-7DC5B5410F33}">
      <dgm:prSet/>
      <dgm:spPr/>
      <dgm:t>
        <a:bodyPr/>
        <a:lstStyle/>
        <a:p>
          <a:endParaRPr lang="tr-TR">
            <a:solidFill>
              <a:sysClr val="windowText" lastClr="000000"/>
            </a:solidFill>
          </a:endParaRPr>
        </a:p>
      </dgm:t>
    </dgm:pt>
    <dgm:pt modelId="{EC5843CF-61CC-4268-911D-FFAA4BBA4C3A}" type="sibTrans" cxnId="{365FE42A-61D3-42D2-99BB-7DC5B5410F33}">
      <dgm:prSet/>
      <dgm:spPr/>
      <dgm:t>
        <a:bodyPr/>
        <a:lstStyle/>
        <a:p>
          <a:endParaRPr lang="tr-TR"/>
        </a:p>
      </dgm:t>
    </dgm:pt>
    <dgm:pt modelId="{2807D3FA-2E78-4894-94FA-1A8C49DE0110}">
      <dgm:prSet custT="1"/>
      <dgm:spPr/>
      <dgm:t>
        <a:bodyPr/>
        <a:lstStyle/>
        <a:p>
          <a:endParaRPr lang="tr-TR" sz="700" b="0" baseline="0" dirty="0"/>
        </a:p>
        <a:p>
          <a:r>
            <a:rPr lang="tr-TR" sz="700" b="0" baseline="0" dirty="0"/>
            <a:t>LPG Denetimi G.B      </a:t>
          </a:r>
        </a:p>
        <a:p>
          <a:r>
            <a:rPr lang="tr-TR" sz="700" b="0" baseline="0" dirty="0"/>
            <a:t>             </a:t>
          </a:r>
          <a:endParaRPr lang="tr-TR" sz="700" b="0" baseline="0" dirty="0">
            <a:solidFill>
              <a:sysClr val="windowText" lastClr="000000"/>
            </a:solidFill>
          </a:endParaRPr>
        </a:p>
      </dgm:t>
    </dgm:pt>
    <dgm:pt modelId="{A6CF12DB-9B92-40F0-895E-8A36753AF3F8}" type="parTrans" cxnId="{CDE59D14-2B55-40AA-A1EA-8A6D4F73F523}">
      <dgm:prSet/>
      <dgm:spPr/>
      <dgm:t>
        <a:bodyPr/>
        <a:lstStyle/>
        <a:p>
          <a:endParaRPr lang="tr-TR" sz="700">
            <a:solidFill>
              <a:sysClr val="windowText" lastClr="000000"/>
            </a:solidFill>
          </a:endParaRPr>
        </a:p>
      </dgm:t>
    </dgm:pt>
    <dgm:pt modelId="{68075364-18E4-4ADF-800C-7509CEB68191}" type="sibTrans" cxnId="{CDE59D14-2B55-40AA-A1EA-8A6D4F73F523}">
      <dgm:prSet/>
      <dgm:spPr/>
      <dgm:t>
        <a:bodyPr/>
        <a:lstStyle/>
        <a:p>
          <a:endParaRPr lang="tr-TR"/>
        </a:p>
      </dgm:t>
    </dgm:pt>
    <dgm:pt modelId="{696F36F7-CEB4-42BB-BB03-3C8EB7486B00}">
      <dgm:prSet custT="1"/>
      <dgm:spPr/>
      <dgm:t>
        <a:bodyPr/>
        <a:lstStyle/>
        <a:p>
          <a:endParaRPr lang="tr-TR" sz="700" b="0" baseline="0" dirty="0"/>
        </a:p>
        <a:p>
          <a:r>
            <a:rPr lang="tr-TR" sz="700" b="0" baseline="0" dirty="0"/>
            <a:t>Elektrik Denetimi G.B</a:t>
          </a:r>
        </a:p>
        <a:p>
          <a:r>
            <a:rPr lang="tr-TR" sz="700" b="0" baseline="0" dirty="0"/>
            <a:t>           </a:t>
          </a:r>
          <a:endParaRPr lang="tr-TR" sz="700" b="0" baseline="0" dirty="0">
            <a:solidFill>
              <a:sysClr val="windowText" lastClr="000000"/>
            </a:solidFill>
          </a:endParaRPr>
        </a:p>
      </dgm:t>
    </dgm:pt>
    <dgm:pt modelId="{6BBF10A9-8AE1-4333-BE0C-7DBB170B15DB}" type="parTrans" cxnId="{E965562C-7624-42A0-BD58-7B0F73AF43A1}">
      <dgm:prSet/>
      <dgm:spPr/>
      <dgm:t>
        <a:bodyPr/>
        <a:lstStyle/>
        <a:p>
          <a:endParaRPr lang="tr-TR">
            <a:solidFill>
              <a:sysClr val="windowText" lastClr="000000"/>
            </a:solidFill>
          </a:endParaRPr>
        </a:p>
      </dgm:t>
    </dgm:pt>
    <dgm:pt modelId="{D015FEBE-A11C-4FBA-9C77-B6F7ED82BA7F}" type="sibTrans" cxnId="{E965562C-7624-42A0-BD58-7B0F73AF43A1}">
      <dgm:prSet/>
      <dgm:spPr/>
      <dgm:t>
        <a:bodyPr/>
        <a:lstStyle/>
        <a:p>
          <a:endParaRPr lang="tr-TR"/>
        </a:p>
      </dgm:t>
    </dgm:pt>
    <dgm:pt modelId="{81A24046-04BB-4F02-AB73-0E458D676B4A}">
      <dgm:prSet custT="1"/>
      <dgm:spPr/>
      <dgm:t>
        <a:bodyPr/>
        <a:lstStyle/>
        <a:p>
          <a:r>
            <a:rPr lang="tr-TR" sz="700" b="0" baseline="0" dirty="0">
              <a:solidFill>
                <a:sysClr val="windowText" lastClr="000000"/>
              </a:solidFill>
            </a:rPr>
            <a:t>Hukuk Dairesi B.</a:t>
          </a:r>
          <a:endParaRPr lang="tr-TR" sz="700" b="0" baseline="0" dirty="0"/>
        </a:p>
      </dgm:t>
    </dgm:pt>
    <dgm:pt modelId="{06D1C098-6463-4C5D-A19E-E9545479BD80}" type="parTrans" cxnId="{3B66412E-5DF8-47ED-B58B-7EFA98313FBD}">
      <dgm:prSet/>
      <dgm:spPr/>
      <dgm:t>
        <a:bodyPr/>
        <a:lstStyle/>
        <a:p>
          <a:endParaRPr lang="tr-TR"/>
        </a:p>
      </dgm:t>
    </dgm:pt>
    <dgm:pt modelId="{7C74D906-BBD1-4CA0-99CC-B0724B79DE15}" type="sibTrans" cxnId="{3B66412E-5DF8-47ED-B58B-7EFA98313FBD}">
      <dgm:prSet/>
      <dgm:spPr/>
      <dgm:t>
        <a:bodyPr/>
        <a:lstStyle/>
        <a:p>
          <a:endParaRPr lang="tr-TR"/>
        </a:p>
      </dgm:t>
    </dgm:pt>
    <dgm:pt modelId="{DFA01E18-02F2-4A7F-BA2F-FD530E6B00C0}">
      <dgm:prSet custT="1"/>
      <dgm:spPr/>
      <dgm:t>
        <a:bodyPr/>
        <a:lstStyle/>
        <a:p>
          <a:r>
            <a:rPr lang="tr-TR" sz="700" b="0" baseline="0" dirty="0">
              <a:solidFill>
                <a:sysClr val="windowText" lastClr="000000"/>
              </a:solidFill>
            </a:rPr>
            <a:t>1. Grup Başkanlığı</a:t>
          </a:r>
          <a:endParaRPr lang="tr-TR" sz="700" b="0" baseline="0" dirty="0"/>
        </a:p>
      </dgm:t>
    </dgm:pt>
    <dgm:pt modelId="{39B12F7A-BB8F-4DE8-B2F0-D129922A1D66}" type="parTrans" cxnId="{68C4545D-5146-469F-AE98-30C6F2747E46}">
      <dgm:prSet/>
      <dgm:spPr/>
      <dgm:t>
        <a:bodyPr/>
        <a:lstStyle/>
        <a:p>
          <a:endParaRPr lang="tr-TR"/>
        </a:p>
      </dgm:t>
    </dgm:pt>
    <dgm:pt modelId="{F1771D67-9131-46DD-ABA6-350A1CEF8D5F}" type="sibTrans" cxnId="{68C4545D-5146-469F-AE98-30C6F2747E46}">
      <dgm:prSet/>
      <dgm:spPr/>
      <dgm:t>
        <a:bodyPr/>
        <a:lstStyle/>
        <a:p>
          <a:endParaRPr lang="tr-TR"/>
        </a:p>
      </dgm:t>
    </dgm:pt>
    <dgm:pt modelId="{F07350B7-9307-42BB-84DD-90D8F66868EC}">
      <dgm:prSet phldrT="[Metin]" custT="1"/>
      <dgm:spPr/>
      <dgm:t>
        <a:bodyPr/>
        <a:lstStyle/>
        <a:p>
          <a:r>
            <a:rPr lang="tr-TR" sz="700" b="0" baseline="0" dirty="0">
              <a:solidFill>
                <a:sysClr val="windowText" lastClr="000000"/>
              </a:solidFill>
            </a:rPr>
            <a:t>2.Grup Başkanlığı</a:t>
          </a:r>
          <a:endParaRPr lang="tr-TR" sz="700" b="0" dirty="0"/>
        </a:p>
      </dgm:t>
    </dgm:pt>
    <dgm:pt modelId="{1FFB6300-A5F7-4076-A6A3-29D3636D9814}" type="parTrans" cxnId="{EE06D5F0-7CBF-41A8-B821-CE4AEECE6BBE}">
      <dgm:prSet/>
      <dgm:spPr/>
      <dgm:t>
        <a:bodyPr/>
        <a:lstStyle/>
        <a:p>
          <a:endParaRPr lang="tr-TR"/>
        </a:p>
      </dgm:t>
    </dgm:pt>
    <dgm:pt modelId="{A125E040-DFBD-40B9-AEA0-8F8FB8DA5242}" type="sibTrans" cxnId="{EE06D5F0-7CBF-41A8-B821-CE4AEECE6BBE}">
      <dgm:prSet/>
      <dgm:spPr/>
      <dgm:t>
        <a:bodyPr/>
        <a:lstStyle/>
        <a:p>
          <a:endParaRPr lang="tr-TR"/>
        </a:p>
      </dgm:t>
    </dgm:pt>
    <dgm:pt modelId="{56DFF7E9-98AC-4B22-AB77-33FABD972DF3}">
      <dgm:prSet phldrT="[Metin]" custT="1"/>
      <dgm:spPr/>
      <dgm:t>
        <a:bodyPr/>
        <a:lstStyle/>
        <a:p>
          <a:r>
            <a:rPr lang="tr-TR" sz="700" b="0" baseline="0" dirty="0">
              <a:solidFill>
                <a:sysClr val="windowText" lastClr="000000"/>
              </a:solidFill>
            </a:rPr>
            <a:t>3.Grup Başkanlığı</a:t>
          </a:r>
          <a:endParaRPr lang="tr-TR" sz="700" b="0" dirty="0"/>
        </a:p>
      </dgm:t>
    </dgm:pt>
    <dgm:pt modelId="{EDC43AE7-0398-44EB-B67E-DC43D0C5D7C6}" type="parTrans" cxnId="{DC12C407-C0BD-4926-8C29-80E5A4B7FEE5}">
      <dgm:prSet/>
      <dgm:spPr/>
      <dgm:t>
        <a:bodyPr/>
        <a:lstStyle/>
        <a:p>
          <a:endParaRPr lang="tr-TR"/>
        </a:p>
      </dgm:t>
    </dgm:pt>
    <dgm:pt modelId="{73748009-1588-415B-AB9E-01BB52FE0660}" type="sibTrans" cxnId="{DC12C407-C0BD-4926-8C29-80E5A4B7FEE5}">
      <dgm:prSet/>
      <dgm:spPr/>
      <dgm:t>
        <a:bodyPr/>
        <a:lstStyle/>
        <a:p>
          <a:endParaRPr lang="tr-TR"/>
        </a:p>
      </dgm:t>
    </dgm:pt>
    <dgm:pt modelId="{5567F3F9-ED7F-478C-AFC1-71C36633BD7B}">
      <dgm:prSet custT="1"/>
      <dgm:spPr/>
      <dgm:t>
        <a:bodyPr/>
        <a:lstStyle/>
        <a:p>
          <a:r>
            <a:rPr lang="tr-TR" sz="700" b="0" baseline="0" dirty="0"/>
            <a:t>Doğal Gaz Denetimi G.B </a:t>
          </a:r>
        </a:p>
      </dgm:t>
    </dgm:pt>
    <dgm:pt modelId="{45D92EA8-0AC1-4DA5-B2FF-32F1CC8F2C35}" type="parTrans" cxnId="{FCE06772-BE35-47E1-A3CF-BAAAA59218ED}">
      <dgm:prSet/>
      <dgm:spPr/>
      <dgm:t>
        <a:bodyPr/>
        <a:lstStyle/>
        <a:p>
          <a:endParaRPr lang="tr-TR"/>
        </a:p>
      </dgm:t>
    </dgm:pt>
    <dgm:pt modelId="{4C549A97-2E7C-4EE3-9E9A-774122662F36}" type="sibTrans" cxnId="{FCE06772-BE35-47E1-A3CF-BAAAA59218ED}">
      <dgm:prSet/>
      <dgm:spPr/>
      <dgm:t>
        <a:bodyPr/>
        <a:lstStyle/>
        <a:p>
          <a:endParaRPr lang="tr-TR"/>
        </a:p>
      </dgm:t>
    </dgm:pt>
    <dgm:pt modelId="{57F4BFCC-AFED-463E-9871-F70118883114}">
      <dgm:prSet custT="1"/>
      <dgm:spPr/>
      <dgm:t>
        <a:bodyPr/>
        <a:lstStyle/>
        <a:p>
          <a:r>
            <a:rPr lang="tr-TR" sz="700">
              <a:solidFill>
                <a:sysClr val="windowText" lastClr="000000"/>
              </a:solidFill>
            </a:rPr>
            <a:t>Bilgi İşlem Dairesi B.</a:t>
          </a:r>
        </a:p>
      </dgm:t>
    </dgm:pt>
    <dgm:pt modelId="{83A925B4-E587-4354-97C3-F146249E652A}" type="sibTrans" cxnId="{BE2FB699-4204-420B-BF7C-465BC21896BF}">
      <dgm:prSet/>
      <dgm:spPr/>
      <dgm:t>
        <a:bodyPr/>
        <a:lstStyle/>
        <a:p>
          <a:endParaRPr lang="tr-TR" sz="700">
            <a:solidFill>
              <a:sysClr val="windowText" lastClr="000000"/>
            </a:solidFill>
          </a:endParaRPr>
        </a:p>
      </dgm:t>
    </dgm:pt>
    <dgm:pt modelId="{357A59C7-66B6-4C7A-AA68-6D5FB56FEDA6}" type="parTrans" cxnId="{BE2FB699-4204-420B-BF7C-465BC21896BF}">
      <dgm:prSet/>
      <dgm:spPr/>
      <dgm:t>
        <a:bodyPr/>
        <a:lstStyle/>
        <a:p>
          <a:endParaRPr lang="tr-TR" sz="700">
            <a:solidFill>
              <a:sysClr val="windowText" lastClr="000000"/>
            </a:solidFill>
          </a:endParaRPr>
        </a:p>
      </dgm:t>
    </dgm:pt>
    <dgm:pt modelId="{629E7DC9-EF62-465F-A109-54260FF39219}">
      <dgm:prSet custT="1"/>
      <dgm:spPr/>
      <dgm:t>
        <a:bodyPr/>
        <a:lstStyle/>
        <a:p>
          <a:r>
            <a:rPr lang="tr-TR" sz="700" dirty="0"/>
            <a:t>Yazılım Geliştirme Hizmetleri G.B</a:t>
          </a:r>
        </a:p>
      </dgm:t>
    </dgm:pt>
    <dgm:pt modelId="{A8FC051A-8031-4220-A91C-8C8C1159F2C7}" type="parTrans" cxnId="{B2F52387-2395-4F4C-951A-8894618A4399}">
      <dgm:prSet/>
      <dgm:spPr/>
      <dgm:t>
        <a:bodyPr/>
        <a:lstStyle/>
        <a:p>
          <a:endParaRPr lang="tr-TR"/>
        </a:p>
      </dgm:t>
    </dgm:pt>
    <dgm:pt modelId="{49C919E4-8754-4F4D-907C-FCF51FDBEBC8}" type="sibTrans" cxnId="{B2F52387-2395-4F4C-951A-8894618A4399}">
      <dgm:prSet/>
      <dgm:spPr/>
      <dgm:t>
        <a:bodyPr/>
        <a:lstStyle/>
        <a:p>
          <a:endParaRPr lang="tr-TR"/>
        </a:p>
      </dgm:t>
    </dgm:pt>
    <dgm:pt modelId="{742EF618-B631-4F5C-9E04-7880FB737823}">
      <dgm:prSet custT="1"/>
      <dgm:spPr/>
      <dgm:t>
        <a:bodyPr/>
        <a:lstStyle/>
        <a:p>
          <a:r>
            <a:rPr lang="tr-TR" sz="700"/>
            <a:t>Veri Yönetimi ve İş Zekası G.B</a:t>
          </a:r>
        </a:p>
      </dgm:t>
    </dgm:pt>
    <dgm:pt modelId="{A956C7C8-4AEE-4D4D-8458-E9CA5A39D805}" type="parTrans" cxnId="{23E9D8AD-0C00-4047-8A41-2CEEB670F3BF}">
      <dgm:prSet/>
      <dgm:spPr/>
      <dgm:t>
        <a:bodyPr/>
        <a:lstStyle/>
        <a:p>
          <a:endParaRPr lang="tr-TR"/>
        </a:p>
      </dgm:t>
    </dgm:pt>
    <dgm:pt modelId="{8246A25E-2B3B-42B8-92A4-5E6C3E6D3E3F}" type="sibTrans" cxnId="{23E9D8AD-0C00-4047-8A41-2CEEB670F3BF}">
      <dgm:prSet/>
      <dgm:spPr/>
      <dgm:t>
        <a:bodyPr/>
        <a:lstStyle/>
        <a:p>
          <a:endParaRPr lang="tr-TR"/>
        </a:p>
      </dgm:t>
    </dgm:pt>
    <dgm:pt modelId="{78E5F85A-A32F-4CE0-85AE-BB1F11CDEA7F}">
      <dgm:prSet custT="1"/>
      <dgm:spPr/>
      <dgm:t>
        <a:bodyPr/>
        <a:lstStyle/>
        <a:p>
          <a:r>
            <a:rPr lang="tr-TR" sz="700"/>
            <a:t>İnternet Hizmetleri ve Bilgi Sistemleri G.B</a:t>
          </a:r>
        </a:p>
      </dgm:t>
    </dgm:pt>
    <dgm:pt modelId="{90533E0C-78C9-4725-855D-D57903AF26A5}" type="parTrans" cxnId="{C1EB670F-2864-4B41-A57A-7104705B7101}">
      <dgm:prSet/>
      <dgm:spPr/>
      <dgm:t>
        <a:bodyPr/>
        <a:lstStyle/>
        <a:p>
          <a:endParaRPr lang="tr-TR"/>
        </a:p>
      </dgm:t>
    </dgm:pt>
    <dgm:pt modelId="{5843917F-94CC-411B-8ADA-A8726C66B460}" type="sibTrans" cxnId="{C1EB670F-2864-4B41-A57A-7104705B7101}">
      <dgm:prSet/>
      <dgm:spPr/>
      <dgm:t>
        <a:bodyPr/>
        <a:lstStyle/>
        <a:p>
          <a:endParaRPr lang="tr-TR"/>
        </a:p>
      </dgm:t>
    </dgm:pt>
    <dgm:pt modelId="{547E72FF-0E9E-4BC5-A33A-F31BFD4969A6}">
      <dgm:prSet custT="1"/>
      <dgm:spPr/>
      <dgm:t>
        <a:bodyPr/>
        <a:lstStyle/>
        <a:p>
          <a:r>
            <a:rPr lang="tr-TR" sz="700"/>
            <a:t>Bilgi Güvenliği Yönetimi G.B</a:t>
          </a:r>
        </a:p>
      </dgm:t>
    </dgm:pt>
    <dgm:pt modelId="{734C966F-2ED6-458B-B8AD-5EB9846A9AE7}" type="parTrans" cxnId="{C7A887B8-3F7B-4427-848A-7ABC9288FDD6}">
      <dgm:prSet/>
      <dgm:spPr/>
      <dgm:t>
        <a:bodyPr/>
        <a:lstStyle/>
        <a:p>
          <a:endParaRPr lang="tr-TR"/>
        </a:p>
      </dgm:t>
    </dgm:pt>
    <dgm:pt modelId="{0264E34D-7468-423E-A3D5-D9C72EE2180D}" type="sibTrans" cxnId="{C7A887B8-3F7B-4427-848A-7ABC9288FDD6}">
      <dgm:prSet/>
      <dgm:spPr/>
      <dgm:t>
        <a:bodyPr/>
        <a:lstStyle/>
        <a:p>
          <a:endParaRPr lang="tr-TR"/>
        </a:p>
      </dgm:t>
    </dgm:pt>
    <dgm:pt modelId="{EF96742F-C82B-4008-8CF9-05C12F3743CD}">
      <dgm:prSet custT="1"/>
      <dgm:spPr/>
      <dgm:t>
        <a:bodyPr/>
        <a:lstStyle/>
        <a:p>
          <a:r>
            <a:rPr lang="tr-TR" sz="700"/>
            <a:t>Bilişim Altyapı Sistemleri ve Destek Hizmetleri G.B</a:t>
          </a:r>
        </a:p>
      </dgm:t>
    </dgm:pt>
    <dgm:pt modelId="{648AAF6E-EE8A-447E-96A8-4B4357BD4F9B}" type="parTrans" cxnId="{EAECF7E4-0D44-46EF-AEE7-3281C80F61FB}">
      <dgm:prSet/>
      <dgm:spPr/>
      <dgm:t>
        <a:bodyPr/>
        <a:lstStyle/>
        <a:p>
          <a:endParaRPr lang="tr-TR"/>
        </a:p>
      </dgm:t>
    </dgm:pt>
    <dgm:pt modelId="{FBAE6810-2C56-4650-AF4A-3AF3FDFD07A6}" type="sibTrans" cxnId="{EAECF7E4-0D44-46EF-AEE7-3281C80F61FB}">
      <dgm:prSet/>
      <dgm:spPr/>
      <dgm:t>
        <a:bodyPr/>
        <a:lstStyle/>
        <a:p>
          <a:endParaRPr lang="tr-TR"/>
        </a:p>
      </dgm:t>
    </dgm:pt>
    <dgm:pt modelId="{2E2AD7E1-1C51-4B18-8F7B-4FA02BC5F89C}">
      <dgm:prSet custT="1"/>
      <dgm:spPr/>
      <dgm:t>
        <a:bodyPr/>
        <a:lstStyle/>
        <a:p>
          <a:r>
            <a:rPr lang="tr-TR" sz="700" b="0" baseline="0" dirty="0">
              <a:solidFill>
                <a:sysClr val="windowText" lastClr="000000"/>
              </a:solidFill>
            </a:rPr>
            <a:t>Başkan Yardımcılığı</a:t>
          </a:r>
        </a:p>
      </dgm:t>
    </dgm:pt>
    <dgm:pt modelId="{365C7C5C-B028-4C96-9505-C20203060A87}" type="parTrans" cxnId="{72A0A415-6C93-4B45-B373-8A64C4739FD8}">
      <dgm:prSet/>
      <dgm:spPr/>
      <dgm:t>
        <a:bodyPr/>
        <a:lstStyle/>
        <a:p>
          <a:endParaRPr lang="tr-TR"/>
        </a:p>
      </dgm:t>
    </dgm:pt>
    <dgm:pt modelId="{C4355533-DD5F-4B8F-AB4C-C5B9ED679C2C}" type="sibTrans" cxnId="{72A0A415-6C93-4B45-B373-8A64C4739FD8}">
      <dgm:prSet/>
      <dgm:spPr/>
      <dgm:t>
        <a:bodyPr/>
        <a:lstStyle/>
        <a:p>
          <a:endParaRPr lang="tr-TR"/>
        </a:p>
      </dgm:t>
    </dgm:pt>
    <dgm:pt modelId="{F40405D0-594D-47A6-845C-C2A1AB9D23FC}">
      <dgm:prSet custT="1"/>
      <dgm:spPr/>
      <dgm:t>
        <a:bodyPr/>
        <a:lstStyle/>
        <a:p>
          <a:r>
            <a:rPr lang="tr-TR" sz="700" b="0" baseline="0" dirty="0">
              <a:solidFill>
                <a:sysClr val="windowText" lastClr="000000"/>
              </a:solidFill>
            </a:rPr>
            <a:t>Doğal Gaz Piyasası Dairesi B.</a:t>
          </a:r>
          <a:endParaRPr lang="tr-TR" sz="700"/>
        </a:p>
      </dgm:t>
    </dgm:pt>
    <dgm:pt modelId="{E380E1EA-36AC-4234-AB75-BF223829BB48}" type="parTrans" cxnId="{08174EDF-7FD2-4AA9-8019-F04619D476A7}">
      <dgm:prSet/>
      <dgm:spPr/>
      <dgm:t>
        <a:bodyPr/>
        <a:lstStyle/>
        <a:p>
          <a:endParaRPr lang="tr-TR"/>
        </a:p>
      </dgm:t>
    </dgm:pt>
    <dgm:pt modelId="{AAD0A8A9-1175-44B2-978B-A23B58969972}" type="sibTrans" cxnId="{08174EDF-7FD2-4AA9-8019-F04619D476A7}">
      <dgm:prSet/>
      <dgm:spPr/>
      <dgm:t>
        <a:bodyPr/>
        <a:lstStyle/>
        <a:p>
          <a:endParaRPr lang="tr-TR"/>
        </a:p>
      </dgm:t>
    </dgm:pt>
    <dgm:pt modelId="{0F68E946-9B71-4F5A-824B-F650485354E5}">
      <dgm:prSet custT="1"/>
      <dgm:spPr/>
      <dgm:t>
        <a:bodyPr/>
        <a:lstStyle/>
        <a:p>
          <a:r>
            <a:rPr lang="tr-TR" sz="700" b="0" dirty="0">
              <a:solidFill>
                <a:sysClr val="windowText" lastClr="000000"/>
              </a:solidFill>
            </a:rPr>
            <a:t>Şebeke İşleyiş </a:t>
          </a:r>
          <a:r>
            <a:rPr lang="tr-TR" sz="700" b="0" baseline="0" dirty="0">
              <a:solidFill>
                <a:sysClr val="windowText" lastClr="000000"/>
              </a:solidFill>
            </a:rPr>
            <a:t>G.B</a:t>
          </a:r>
          <a:endParaRPr lang="tr-TR" sz="700" baseline="0">
            <a:solidFill>
              <a:sysClr val="windowText" lastClr="000000"/>
            </a:solidFill>
          </a:endParaRPr>
        </a:p>
      </dgm:t>
    </dgm:pt>
    <dgm:pt modelId="{68DF8551-7294-4C30-B8D6-89B447C19CB3}" type="parTrans" cxnId="{D1996876-E34C-4903-BB2C-13CD476185F0}">
      <dgm:prSet/>
      <dgm:spPr/>
      <dgm:t>
        <a:bodyPr/>
        <a:lstStyle/>
        <a:p>
          <a:endParaRPr lang="tr-TR"/>
        </a:p>
      </dgm:t>
    </dgm:pt>
    <dgm:pt modelId="{BDEF69E7-E719-4586-921E-C314B1BCA673}" type="sibTrans" cxnId="{D1996876-E34C-4903-BB2C-13CD476185F0}">
      <dgm:prSet/>
      <dgm:spPr/>
      <dgm:t>
        <a:bodyPr/>
        <a:lstStyle/>
        <a:p>
          <a:endParaRPr lang="tr-TR"/>
        </a:p>
      </dgm:t>
    </dgm:pt>
    <dgm:pt modelId="{16657D81-790F-4113-BC1F-31406897502D}">
      <dgm:prSet custT="1"/>
      <dgm:spPr/>
      <dgm:t>
        <a:bodyPr/>
        <a:lstStyle/>
        <a:p>
          <a:r>
            <a:rPr lang="tr-TR" sz="700" b="0" dirty="0">
              <a:solidFill>
                <a:sysClr val="windowText" lastClr="000000"/>
              </a:solidFill>
            </a:rPr>
            <a:t>Tüketici Hakları ve Müşteri Hizmetleri G.B </a:t>
          </a:r>
          <a:endParaRPr lang="tr-TR" sz="700" baseline="0" dirty="0">
            <a:solidFill>
              <a:sysClr val="windowText" lastClr="000000"/>
            </a:solidFill>
          </a:endParaRPr>
        </a:p>
      </dgm:t>
    </dgm:pt>
    <dgm:pt modelId="{1A5B1860-6827-4607-BDE9-90A8CA4643C3}" type="parTrans" cxnId="{1F2912BB-3E6D-4379-AB38-867AC2ECB196}">
      <dgm:prSet/>
      <dgm:spPr/>
      <dgm:t>
        <a:bodyPr/>
        <a:lstStyle/>
        <a:p>
          <a:endParaRPr lang="tr-TR"/>
        </a:p>
      </dgm:t>
    </dgm:pt>
    <dgm:pt modelId="{48D05DEC-99F3-451B-8C63-5195D4F02E9C}" type="sibTrans" cxnId="{1F2912BB-3E6D-4379-AB38-867AC2ECB196}">
      <dgm:prSet/>
      <dgm:spPr/>
      <dgm:t>
        <a:bodyPr/>
        <a:lstStyle/>
        <a:p>
          <a:endParaRPr lang="tr-TR"/>
        </a:p>
      </dgm:t>
    </dgm:pt>
    <dgm:pt modelId="{CFD82DC0-BB3D-4A6B-ADED-4D5BCBCDA575}">
      <dgm:prSet custT="1"/>
      <dgm:spPr/>
      <dgm:t>
        <a:bodyPr/>
        <a:lstStyle/>
        <a:p>
          <a:r>
            <a:rPr lang="tr-TR" sz="700" b="0" dirty="0">
              <a:solidFill>
                <a:sysClr val="windowText" lastClr="000000"/>
              </a:solidFill>
            </a:rPr>
            <a:t>Dağıtım </a:t>
          </a:r>
          <a:r>
            <a:rPr lang="tr-TR" sz="700" b="0" baseline="0" dirty="0">
              <a:solidFill>
                <a:sysClr val="windowText" lastClr="000000"/>
              </a:solidFill>
            </a:rPr>
            <a:t>G.B </a:t>
          </a:r>
          <a:endParaRPr lang="tr-TR" sz="700" baseline="0">
            <a:solidFill>
              <a:sysClr val="windowText" lastClr="000000"/>
            </a:solidFill>
          </a:endParaRPr>
        </a:p>
      </dgm:t>
    </dgm:pt>
    <dgm:pt modelId="{A7A8CD5C-D60B-48FA-BA9B-4035704B63EA}" type="parTrans" cxnId="{A11E6764-4510-4F00-AB0D-F41A44DBD3AC}">
      <dgm:prSet/>
      <dgm:spPr/>
      <dgm:t>
        <a:bodyPr/>
        <a:lstStyle/>
        <a:p>
          <a:endParaRPr lang="tr-TR"/>
        </a:p>
      </dgm:t>
    </dgm:pt>
    <dgm:pt modelId="{184BFEF0-74B4-4F46-82D4-7F52553B5DDD}" type="sibTrans" cxnId="{A11E6764-4510-4F00-AB0D-F41A44DBD3AC}">
      <dgm:prSet/>
      <dgm:spPr/>
      <dgm:t>
        <a:bodyPr/>
        <a:lstStyle/>
        <a:p>
          <a:endParaRPr lang="tr-TR"/>
        </a:p>
      </dgm:t>
    </dgm:pt>
    <dgm:pt modelId="{4B6A1DE5-147B-4FAE-90C2-CE37A4B1BB6F}">
      <dgm:prSet custT="1"/>
      <dgm:spPr/>
      <dgm:t>
        <a:bodyPr/>
        <a:lstStyle/>
        <a:p>
          <a:r>
            <a:rPr lang="tr-TR" sz="700" baseline="0">
              <a:solidFill>
                <a:sysClr val="windowText" lastClr="000000"/>
              </a:solidFill>
            </a:rPr>
            <a:t> </a:t>
          </a:r>
          <a:r>
            <a:rPr lang="tr-TR" sz="700" b="0">
              <a:solidFill>
                <a:sysClr val="windowText" lastClr="000000"/>
              </a:solidFill>
            </a:rPr>
            <a:t>Lisanslar ve Sertifika </a:t>
          </a:r>
          <a:r>
            <a:rPr lang="tr-TR" sz="700" b="0" baseline="0">
              <a:solidFill>
                <a:sysClr val="windowText" lastClr="000000"/>
              </a:solidFill>
            </a:rPr>
            <a:t>G.B</a:t>
          </a:r>
          <a:endParaRPr lang="tr-TR" sz="700" baseline="0" dirty="0">
            <a:solidFill>
              <a:sysClr val="windowText" lastClr="000000"/>
            </a:solidFill>
          </a:endParaRPr>
        </a:p>
      </dgm:t>
    </dgm:pt>
    <dgm:pt modelId="{CC5B2090-D867-4BDB-9193-B968FF8857AC}" type="parTrans" cxnId="{C42CC8A7-8CEC-4B6D-97DE-166B664CB5C8}">
      <dgm:prSet/>
      <dgm:spPr/>
      <dgm:t>
        <a:bodyPr/>
        <a:lstStyle/>
        <a:p>
          <a:endParaRPr lang="tr-TR"/>
        </a:p>
      </dgm:t>
    </dgm:pt>
    <dgm:pt modelId="{5DEAF27C-D65A-45AF-9E2B-8194B7276463}" type="sibTrans" cxnId="{C42CC8A7-8CEC-4B6D-97DE-166B664CB5C8}">
      <dgm:prSet/>
      <dgm:spPr/>
      <dgm:t>
        <a:bodyPr/>
        <a:lstStyle/>
        <a:p>
          <a:endParaRPr lang="tr-TR"/>
        </a:p>
      </dgm:t>
    </dgm:pt>
    <dgm:pt modelId="{7528CC07-C884-492A-A5E3-05AF7D636393}">
      <dgm:prSet custT="1"/>
      <dgm:spPr/>
      <dgm:t>
        <a:bodyPr/>
        <a:lstStyle/>
        <a:p>
          <a:r>
            <a:rPr lang="tr-TR" sz="700" b="0" baseline="0" dirty="0">
              <a:solidFill>
                <a:sysClr val="windowText" lastClr="000000"/>
              </a:solidFill>
            </a:rPr>
            <a:t>Personel ve Özlük İşleri G.B</a:t>
          </a:r>
          <a:endParaRPr lang="tr-TR" sz="700" baseline="0">
            <a:solidFill>
              <a:sysClr val="windowText" lastClr="000000"/>
            </a:solidFill>
          </a:endParaRPr>
        </a:p>
      </dgm:t>
    </dgm:pt>
    <dgm:pt modelId="{C20AB02D-A6B8-4EE8-BD90-2D00214801D7}" type="parTrans" cxnId="{444150BD-7E81-419B-A615-86FB3EE5B2AD}">
      <dgm:prSet/>
      <dgm:spPr/>
      <dgm:t>
        <a:bodyPr/>
        <a:lstStyle/>
        <a:p>
          <a:endParaRPr lang="tr-TR"/>
        </a:p>
      </dgm:t>
    </dgm:pt>
    <dgm:pt modelId="{578C6B8A-AF8C-46C0-9071-62493C3581AE}" type="sibTrans" cxnId="{444150BD-7E81-419B-A615-86FB3EE5B2AD}">
      <dgm:prSet/>
      <dgm:spPr/>
      <dgm:t>
        <a:bodyPr/>
        <a:lstStyle/>
        <a:p>
          <a:endParaRPr lang="tr-TR"/>
        </a:p>
      </dgm:t>
    </dgm:pt>
    <dgm:pt modelId="{FC55F8CB-F788-4BE8-A634-4C800EB61C2B}">
      <dgm:prSet custT="1"/>
      <dgm:spPr/>
      <dgm:t>
        <a:bodyPr/>
        <a:lstStyle/>
        <a:p>
          <a:r>
            <a:rPr lang="tr-TR" sz="700" b="0" baseline="0" dirty="0">
              <a:solidFill>
                <a:sysClr val="windowText" lastClr="000000"/>
              </a:solidFill>
            </a:rPr>
            <a:t>Yönetimi Geliştirme ve Eğitim G.B</a:t>
          </a:r>
          <a:endParaRPr lang="tr-TR" sz="700" baseline="0" dirty="0">
            <a:solidFill>
              <a:sysClr val="windowText" lastClr="000000"/>
            </a:solidFill>
          </a:endParaRPr>
        </a:p>
      </dgm:t>
    </dgm:pt>
    <dgm:pt modelId="{993A93F1-6258-4BF8-B716-440CBE51B391}" type="parTrans" cxnId="{A65363E5-DE87-45DD-A5F0-83BBA88E18A3}">
      <dgm:prSet/>
      <dgm:spPr/>
      <dgm:t>
        <a:bodyPr/>
        <a:lstStyle/>
        <a:p>
          <a:endParaRPr lang="tr-TR"/>
        </a:p>
      </dgm:t>
    </dgm:pt>
    <dgm:pt modelId="{F50E6168-7FAE-4A00-A547-F73314FC0C6B}" type="sibTrans" cxnId="{A65363E5-DE87-45DD-A5F0-83BBA88E18A3}">
      <dgm:prSet/>
      <dgm:spPr/>
      <dgm:t>
        <a:bodyPr/>
        <a:lstStyle/>
        <a:p>
          <a:endParaRPr lang="tr-TR"/>
        </a:p>
      </dgm:t>
    </dgm:pt>
    <dgm:pt modelId="{BE5152C0-515F-4D8A-A6C7-210CF0910D20}">
      <dgm:prSet custT="1"/>
      <dgm:spPr/>
      <dgm:t>
        <a:bodyPr/>
        <a:lstStyle/>
        <a:p>
          <a:r>
            <a:rPr lang="tr-TR" sz="700" b="0" baseline="0" dirty="0">
              <a:solidFill>
                <a:sysClr val="windowText" lastClr="000000"/>
              </a:solidFill>
            </a:rPr>
            <a:t>Satın Alma G.B</a:t>
          </a:r>
          <a:endParaRPr lang="tr-TR" sz="700" baseline="0" dirty="0">
            <a:solidFill>
              <a:sysClr val="windowText" lastClr="000000"/>
            </a:solidFill>
          </a:endParaRPr>
        </a:p>
      </dgm:t>
    </dgm:pt>
    <dgm:pt modelId="{C1D36721-CAB1-4B19-8B68-6EEBC855D1D4}" type="parTrans" cxnId="{ED1DE37F-E958-45BD-BD04-A7781A7F869B}">
      <dgm:prSet/>
      <dgm:spPr/>
      <dgm:t>
        <a:bodyPr/>
        <a:lstStyle/>
        <a:p>
          <a:endParaRPr lang="tr-TR"/>
        </a:p>
      </dgm:t>
    </dgm:pt>
    <dgm:pt modelId="{4ED08E99-3B50-414E-B18A-B9AF089F57F9}" type="sibTrans" cxnId="{ED1DE37F-E958-45BD-BD04-A7781A7F869B}">
      <dgm:prSet/>
      <dgm:spPr/>
      <dgm:t>
        <a:bodyPr/>
        <a:lstStyle/>
        <a:p>
          <a:endParaRPr lang="tr-TR"/>
        </a:p>
      </dgm:t>
    </dgm:pt>
    <dgm:pt modelId="{DB519D5D-CDBE-40FE-B415-9067FF5CF79C}">
      <dgm:prSet custT="1"/>
      <dgm:spPr/>
      <dgm:t>
        <a:bodyPr/>
        <a:lstStyle/>
        <a:p>
          <a:r>
            <a:rPr lang="tr-TR" sz="700" b="0" baseline="0" dirty="0">
              <a:solidFill>
                <a:sysClr val="windowText" lastClr="000000"/>
              </a:solidFill>
            </a:rPr>
            <a:t>Strateji Geliştirme Dairesi B.</a:t>
          </a:r>
          <a:endParaRPr lang="tr-TR" sz="700"/>
        </a:p>
      </dgm:t>
    </dgm:pt>
    <dgm:pt modelId="{2FF74DA1-1541-4DE5-8BFA-880106E0A43C}" type="sibTrans" cxnId="{572BA90F-DC5F-426D-86C1-9455961BB9FE}">
      <dgm:prSet/>
      <dgm:spPr/>
      <dgm:t>
        <a:bodyPr/>
        <a:lstStyle/>
        <a:p>
          <a:endParaRPr lang="tr-TR"/>
        </a:p>
      </dgm:t>
    </dgm:pt>
    <dgm:pt modelId="{FB36DD4C-55E4-49C7-9B0D-F83F700A3405}" type="parTrans" cxnId="{572BA90F-DC5F-426D-86C1-9455961BB9FE}">
      <dgm:prSet/>
      <dgm:spPr/>
      <dgm:t>
        <a:bodyPr/>
        <a:lstStyle/>
        <a:p>
          <a:endParaRPr lang="tr-TR"/>
        </a:p>
      </dgm:t>
    </dgm:pt>
    <dgm:pt modelId="{C98CE33D-2BFE-44C7-AB30-5E611F9ABB6E}">
      <dgm:prSet custT="1"/>
      <dgm:spPr/>
      <dgm:t>
        <a:bodyPr/>
        <a:lstStyle/>
        <a:p>
          <a:r>
            <a:rPr lang="tr-TR" sz="700" b="0" baseline="0" dirty="0">
              <a:solidFill>
                <a:sysClr val="windowText" lastClr="000000"/>
              </a:solidFill>
            </a:rPr>
            <a:t>İnsan Kaynakları ve Destek Hizmetleri Dairesi B.</a:t>
          </a:r>
          <a:endParaRPr lang="tr-TR" sz="700" dirty="0"/>
        </a:p>
      </dgm:t>
    </dgm:pt>
    <dgm:pt modelId="{3887DE3E-980F-4D2D-8E41-DD8EF84311E7}" type="parTrans" cxnId="{09199344-6EE9-433C-9BBA-881AC312BB02}">
      <dgm:prSet/>
      <dgm:spPr/>
      <dgm:t>
        <a:bodyPr/>
        <a:lstStyle/>
        <a:p>
          <a:endParaRPr lang="tr-TR"/>
        </a:p>
      </dgm:t>
    </dgm:pt>
    <dgm:pt modelId="{F4F4224B-7DC6-4FCE-96E9-8EA51EB7840A}" type="sibTrans" cxnId="{09199344-6EE9-433C-9BBA-881AC312BB02}">
      <dgm:prSet/>
      <dgm:spPr/>
      <dgm:t>
        <a:bodyPr/>
        <a:lstStyle/>
        <a:p>
          <a:endParaRPr lang="tr-TR"/>
        </a:p>
      </dgm:t>
    </dgm:pt>
    <dgm:pt modelId="{074849DE-5D03-49BD-A06E-557976758771}">
      <dgm:prSet custT="1"/>
      <dgm:spPr/>
      <dgm:t>
        <a:bodyPr/>
        <a:lstStyle/>
        <a:p>
          <a:r>
            <a:rPr lang="tr-TR" sz="700" b="0" baseline="0" dirty="0">
              <a:solidFill>
                <a:sysClr val="windowText" lastClr="000000"/>
              </a:solidFill>
            </a:rPr>
            <a:t>İstatistik ve Raporlama </a:t>
          </a:r>
          <a:r>
            <a:rPr lang="tr-TR" sz="700" b="0" baseline="0">
              <a:solidFill>
                <a:sysClr val="windowText" lastClr="000000"/>
              </a:solidFill>
            </a:rPr>
            <a:t>G.B</a:t>
          </a:r>
          <a:endParaRPr lang="tr-TR" sz="700" baseline="0">
            <a:solidFill>
              <a:sysClr val="windowText" lastClr="000000"/>
            </a:solidFill>
          </a:endParaRPr>
        </a:p>
      </dgm:t>
    </dgm:pt>
    <dgm:pt modelId="{2FE08BEE-DAC2-46A1-BA0E-818B97FF0A54}" type="parTrans" cxnId="{9CB11218-8139-45DE-8FF5-483E24D2D3C2}">
      <dgm:prSet/>
      <dgm:spPr/>
      <dgm:t>
        <a:bodyPr/>
        <a:lstStyle/>
        <a:p>
          <a:endParaRPr lang="tr-TR"/>
        </a:p>
      </dgm:t>
    </dgm:pt>
    <dgm:pt modelId="{ABF59DF5-0F57-472A-A9D5-BCCE59439F62}" type="sibTrans" cxnId="{9CB11218-8139-45DE-8FF5-483E24D2D3C2}">
      <dgm:prSet/>
      <dgm:spPr/>
      <dgm:t>
        <a:bodyPr/>
        <a:lstStyle/>
        <a:p>
          <a:endParaRPr lang="tr-TR"/>
        </a:p>
      </dgm:t>
    </dgm:pt>
    <dgm:pt modelId="{1AD56B8D-3AD5-4A22-8394-D243BC02BC4A}">
      <dgm:prSet custT="1"/>
      <dgm:spPr/>
      <dgm:t>
        <a:bodyPr/>
        <a:lstStyle/>
        <a:p>
          <a:r>
            <a:rPr lang="tr-TR" sz="700" b="0" dirty="0">
              <a:solidFill>
                <a:sysClr val="windowText" lastClr="000000"/>
              </a:solidFill>
            </a:rPr>
            <a:t>Tüketici Hakları ve Müşteri Hizmetleri </a:t>
          </a:r>
          <a:r>
            <a:rPr lang="tr-TR" sz="700" b="0" baseline="0" dirty="0">
              <a:solidFill>
                <a:sysClr val="windowText" lastClr="000000"/>
              </a:solidFill>
            </a:rPr>
            <a:t>G.B                        </a:t>
          </a:r>
          <a:endParaRPr lang="tr-TR" sz="700" baseline="0" dirty="0">
            <a:solidFill>
              <a:sysClr val="windowText" lastClr="000000"/>
            </a:solidFill>
          </a:endParaRPr>
        </a:p>
      </dgm:t>
    </dgm:pt>
    <dgm:pt modelId="{2795C37E-7CF0-4F60-BCA8-DC6019AC47C6}" type="parTrans" cxnId="{057C2B14-8591-44EE-B10A-9F64EF4FD0E4}">
      <dgm:prSet/>
      <dgm:spPr/>
      <dgm:t>
        <a:bodyPr/>
        <a:lstStyle/>
        <a:p>
          <a:endParaRPr lang="tr-TR"/>
        </a:p>
      </dgm:t>
    </dgm:pt>
    <dgm:pt modelId="{5E639AB8-4995-47E7-BEA1-2790A764EF0E}" type="sibTrans" cxnId="{057C2B14-8591-44EE-B10A-9F64EF4FD0E4}">
      <dgm:prSet/>
      <dgm:spPr/>
      <dgm:t>
        <a:bodyPr/>
        <a:lstStyle/>
        <a:p>
          <a:endParaRPr lang="tr-TR"/>
        </a:p>
      </dgm:t>
    </dgm:pt>
    <dgm:pt modelId="{B954898C-CC71-4DB3-8ABA-0FA76C28868B}">
      <dgm:prSet custT="1"/>
      <dgm:spPr/>
      <dgm:t>
        <a:bodyPr/>
        <a:lstStyle/>
        <a:p>
          <a:r>
            <a:rPr lang="tr-TR" sz="700" b="0" baseline="0">
              <a:solidFill>
                <a:sysClr val="windowText" lastClr="000000"/>
              </a:solidFill>
            </a:rPr>
            <a:t>Strateji ve Sektörel Politikalar G.B</a:t>
          </a:r>
          <a:endParaRPr lang="tr-TR" sz="700" baseline="0">
            <a:solidFill>
              <a:sysClr val="windowText" lastClr="000000"/>
            </a:solidFill>
          </a:endParaRPr>
        </a:p>
      </dgm:t>
    </dgm:pt>
    <dgm:pt modelId="{998B8FD6-9F72-4337-B9D8-C2807D112D7C}" type="parTrans" cxnId="{591967F1-54E8-4252-B6F2-32FC3B36BA70}">
      <dgm:prSet/>
      <dgm:spPr/>
      <dgm:t>
        <a:bodyPr/>
        <a:lstStyle/>
        <a:p>
          <a:endParaRPr lang="tr-TR"/>
        </a:p>
      </dgm:t>
    </dgm:pt>
    <dgm:pt modelId="{6EDB91E1-E394-4B4B-957B-2FFABF39F1DE}" type="sibTrans" cxnId="{591967F1-54E8-4252-B6F2-32FC3B36BA70}">
      <dgm:prSet/>
      <dgm:spPr/>
      <dgm:t>
        <a:bodyPr/>
        <a:lstStyle/>
        <a:p>
          <a:endParaRPr lang="tr-TR"/>
        </a:p>
      </dgm:t>
    </dgm:pt>
    <dgm:pt modelId="{EB16CFCF-9F0B-4DEE-A850-B01410611118}">
      <dgm:prSet custT="1"/>
      <dgm:spPr/>
      <dgm:t>
        <a:bodyPr/>
        <a:lstStyle/>
        <a:p>
          <a:r>
            <a:rPr lang="tr-TR" sz="700">
              <a:solidFill>
                <a:sysClr val="windowText" lastClr="000000"/>
              </a:solidFill>
            </a:rPr>
            <a:t>Bütçe ve Mali Hizmetler G.B</a:t>
          </a:r>
          <a:endParaRPr lang="tr-TR" sz="700" baseline="0" dirty="0">
            <a:solidFill>
              <a:sysClr val="windowText" lastClr="000000"/>
            </a:solidFill>
          </a:endParaRPr>
        </a:p>
      </dgm:t>
    </dgm:pt>
    <dgm:pt modelId="{FCEEA016-765B-4B7E-A263-B8928026B28F}" type="parTrans" cxnId="{E151843C-1DC5-43F7-A112-845D5C584C33}">
      <dgm:prSet/>
      <dgm:spPr/>
      <dgm:t>
        <a:bodyPr/>
        <a:lstStyle/>
        <a:p>
          <a:endParaRPr lang="tr-TR"/>
        </a:p>
      </dgm:t>
    </dgm:pt>
    <dgm:pt modelId="{64C00D18-967B-4E6D-AC35-FB5F3EDC99DC}" type="sibTrans" cxnId="{E151843C-1DC5-43F7-A112-845D5C584C33}">
      <dgm:prSet/>
      <dgm:spPr/>
      <dgm:t>
        <a:bodyPr/>
        <a:lstStyle/>
        <a:p>
          <a:endParaRPr lang="tr-TR"/>
        </a:p>
      </dgm:t>
    </dgm:pt>
    <dgm:pt modelId="{43933227-1639-4E54-B206-22A641C2E485}">
      <dgm:prSet custT="1"/>
      <dgm:spPr/>
      <dgm:t>
        <a:bodyPr/>
        <a:lstStyle/>
        <a:p>
          <a:r>
            <a:rPr lang="tr-TR" sz="700" b="0" baseline="0" dirty="0">
              <a:solidFill>
                <a:sysClr val="windowText" lastClr="000000"/>
              </a:solidFill>
            </a:rPr>
            <a:t>Kamulaştırma Dairesi  B.</a:t>
          </a:r>
          <a:endParaRPr lang="tr-TR" sz="700" baseline="0" dirty="0">
            <a:solidFill>
              <a:sysClr val="windowText" lastClr="000000"/>
            </a:solidFill>
          </a:endParaRPr>
        </a:p>
      </dgm:t>
    </dgm:pt>
    <dgm:pt modelId="{ACFEC0FB-A0FD-473E-8CD7-9391799FF590}" type="parTrans" cxnId="{6D0BCE68-F653-4A70-95FA-F8E207D50C54}">
      <dgm:prSet/>
      <dgm:spPr/>
      <dgm:t>
        <a:bodyPr/>
        <a:lstStyle/>
        <a:p>
          <a:endParaRPr lang="tr-TR"/>
        </a:p>
      </dgm:t>
    </dgm:pt>
    <dgm:pt modelId="{EF5CE2E7-5110-4723-BF0C-E3AED275C319}" type="sibTrans" cxnId="{6D0BCE68-F653-4A70-95FA-F8E207D50C54}">
      <dgm:prSet/>
      <dgm:spPr/>
      <dgm:t>
        <a:bodyPr/>
        <a:lstStyle/>
        <a:p>
          <a:endParaRPr lang="tr-TR"/>
        </a:p>
      </dgm:t>
    </dgm:pt>
    <dgm:pt modelId="{7B6E96D9-61A0-47FA-B33B-0791809B2299}">
      <dgm:prSet custT="1"/>
      <dgm:spPr/>
      <dgm:t>
        <a:bodyPr/>
        <a:lstStyle/>
        <a:p>
          <a:r>
            <a:rPr lang="tr-TR" sz="700" baseline="0" dirty="0">
              <a:solidFill>
                <a:sysClr val="windowText" lastClr="000000"/>
              </a:solidFill>
            </a:rPr>
            <a:t>1. Grup B.</a:t>
          </a:r>
        </a:p>
      </dgm:t>
    </dgm:pt>
    <dgm:pt modelId="{2DE9A33B-D816-4CFD-8047-2A89BE531D57}" type="parTrans" cxnId="{FC27126D-DB95-41F4-A991-30F011FF8BE9}">
      <dgm:prSet/>
      <dgm:spPr/>
      <dgm:t>
        <a:bodyPr/>
        <a:lstStyle/>
        <a:p>
          <a:endParaRPr lang="tr-TR"/>
        </a:p>
      </dgm:t>
    </dgm:pt>
    <dgm:pt modelId="{40D96F86-156A-4600-99F2-ABD65EC5B63A}" type="sibTrans" cxnId="{FC27126D-DB95-41F4-A991-30F011FF8BE9}">
      <dgm:prSet/>
      <dgm:spPr/>
      <dgm:t>
        <a:bodyPr/>
        <a:lstStyle/>
        <a:p>
          <a:endParaRPr lang="tr-TR"/>
        </a:p>
      </dgm:t>
    </dgm:pt>
    <dgm:pt modelId="{BE5B1A66-CC96-449A-AF9F-342389C16043}">
      <dgm:prSet custT="1"/>
      <dgm:spPr/>
      <dgm:t>
        <a:bodyPr/>
        <a:lstStyle/>
        <a:p>
          <a:r>
            <a:rPr lang="tr-TR" sz="700" baseline="0" dirty="0">
              <a:solidFill>
                <a:sysClr val="windowText" lastClr="000000"/>
              </a:solidFill>
            </a:rPr>
            <a:t>2. Grup B.</a:t>
          </a:r>
        </a:p>
      </dgm:t>
    </dgm:pt>
    <dgm:pt modelId="{3765381B-8250-4228-BF9E-75DBD3E7D576}" type="parTrans" cxnId="{4B3107D5-C49E-4760-ACA3-51029CB59AFF}">
      <dgm:prSet/>
      <dgm:spPr/>
      <dgm:t>
        <a:bodyPr/>
        <a:lstStyle/>
        <a:p>
          <a:endParaRPr lang="tr-TR"/>
        </a:p>
      </dgm:t>
    </dgm:pt>
    <dgm:pt modelId="{D3FFB1B7-D4A4-4CA8-B08E-5FD73B8D560B}" type="sibTrans" cxnId="{4B3107D5-C49E-4760-ACA3-51029CB59AFF}">
      <dgm:prSet/>
      <dgm:spPr/>
      <dgm:t>
        <a:bodyPr/>
        <a:lstStyle/>
        <a:p>
          <a:endParaRPr lang="tr-TR"/>
        </a:p>
      </dgm:t>
    </dgm:pt>
    <dgm:pt modelId="{C020141C-3141-414B-A120-5295AB5F4089}">
      <dgm:prSet custT="1"/>
      <dgm:spPr/>
      <dgm:t>
        <a:bodyPr/>
        <a:lstStyle/>
        <a:p>
          <a:r>
            <a:rPr lang="tr-TR" sz="700" baseline="0" dirty="0">
              <a:solidFill>
                <a:sysClr val="windowText" lastClr="000000"/>
              </a:solidFill>
            </a:rPr>
            <a:t> 4. Grup B.</a:t>
          </a:r>
        </a:p>
      </dgm:t>
    </dgm:pt>
    <dgm:pt modelId="{F74EE05C-98AB-4C96-AED0-2BEA3E466282}" type="parTrans" cxnId="{ED12375C-72CD-4B64-8F97-E0B5B5A8C714}">
      <dgm:prSet/>
      <dgm:spPr/>
      <dgm:t>
        <a:bodyPr/>
        <a:lstStyle/>
        <a:p>
          <a:endParaRPr lang="tr-TR"/>
        </a:p>
      </dgm:t>
    </dgm:pt>
    <dgm:pt modelId="{1262FB25-50E8-4C9F-B87C-114A3B57CDCA}" type="sibTrans" cxnId="{ED12375C-72CD-4B64-8F97-E0B5B5A8C714}">
      <dgm:prSet/>
      <dgm:spPr/>
      <dgm:t>
        <a:bodyPr/>
        <a:lstStyle/>
        <a:p>
          <a:endParaRPr lang="tr-TR"/>
        </a:p>
      </dgm:t>
    </dgm:pt>
    <dgm:pt modelId="{6DA9912D-0495-4F6D-A8F9-C1190D2E671A}">
      <dgm:prSet custT="1"/>
      <dgm:spPr/>
      <dgm:t>
        <a:bodyPr/>
        <a:lstStyle/>
        <a:p>
          <a:r>
            <a:rPr lang="tr-TR" sz="700" b="0" baseline="0" dirty="0"/>
            <a:t>İdari İşler G.B</a:t>
          </a:r>
          <a:endParaRPr lang="tr-TR" sz="700" baseline="0">
            <a:solidFill>
              <a:sysClr val="windowText" lastClr="000000"/>
            </a:solidFill>
          </a:endParaRPr>
        </a:p>
      </dgm:t>
    </dgm:pt>
    <dgm:pt modelId="{2E6EE52F-9C96-40FA-9CB3-4128F0F74750}" type="sibTrans" cxnId="{DF30138C-E22F-4C06-A639-7A01C6E3A847}">
      <dgm:prSet/>
      <dgm:spPr/>
      <dgm:t>
        <a:bodyPr/>
        <a:lstStyle/>
        <a:p>
          <a:endParaRPr lang="tr-TR"/>
        </a:p>
      </dgm:t>
    </dgm:pt>
    <dgm:pt modelId="{FFA4970D-D67D-462E-BEA1-204882196907}" type="parTrans" cxnId="{DF30138C-E22F-4C06-A639-7A01C6E3A847}">
      <dgm:prSet/>
      <dgm:spPr/>
      <dgm:t>
        <a:bodyPr/>
        <a:lstStyle/>
        <a:p>
          <a:endParaRPr lang="tr-TR"/>
        </a:p>
      </dgm:t>
    </dgm:pt>
    <dgm:pt modelId="{44B99D23-0DBB-4644-B4EC-5A63853BD2BD}">
      <dgm:prSet custT="1"/>
      <dgm:spPr/>
      <dgm:t>
        <a:bodyPr/>
        <a:lstStyle/>
        <a:p>
          <a:r>
            <a:rPr lang="tr-TR" sz="700" b="0" baseline="0" dirty="0">
              <a:solidFill>
                <a:sysClr val="windowText" lastClr="000000"/>
              </a:solidFill>
            </a:rPr>
            <a:t>Dış </a:t>
          </a:r>
          <a:r>
            <a:rPr lang="tr-TR" sz="700" b="0" baseline="0">
              <a:solidFill>
                <a:sysClr val="windowText" lastClr="000000"/>
              </a:solidFill>
            </a:rPr>
            <a:t>İlişkiler G.B</a:t>
          </a:r>
          <a:endParaRPr lang="tr-TR" sz="700" baseline="0">
            <a:solidFill>
              <a:sysClr val="windowText" lastClr="000000"/>
            </a:solidFill>
          </a:endParaRPr>
        </a:p>
      </dgm:t>
    </dgm:pt>
    <dgm:pt modelId="{74C59B9E-77CC-4BF1-8CAB-11448A455F5F}" type="parTrans" cxnId="{C7A85181-903A-4D74-9620-47E156C85836}">
      <dgm:prSet/>
      <dgm:spPr/>
      <dgm:t>
        <a:bodyPr/>
        <a:lstStyle/>
        <a:p>
          <a:endParaRPr lang="tr-TR"/>
        </a:p>
      </dgm:t>
    </dgm:pt>
    <dgm:pt modelId="{8D0AA71A-6B0E-40BF-A9A5-56F0CEE9E0D4}" type="sibTrans" cxnId="{C7A85181-903A-4D74-9620-47E156C85836}">
      <dgm:prSet/>
      <dgm:spPr/>
      <dgm:t>
        <a:bodyPr/>
        <a:lstStyle/>
        <a:p>
          <a:endParaRPr lang="tr-TR"/>
        </a:p>
      </dgm:t>
    </dgm:pt>
    <dgm:pt modelId="{D3BC2416-0CED-433D-80CB-3A598863930C}">
      <dgm:prSet custT="1"/>
      <dgm:spPr/>
      <dgm:t>
        <a:bodyPr/>
        <a:lstStyle/>
        <a:p>
          <a:r>
            <a:rPr lang="tr-TR" sz="700" b="0" baseline="0" dirty="0">
              <a:solidFill>
                <a:sysClr val="windowText" lastClr="000000"/>
              </a:solidFill>
            </a:rPr>
            <a:t>Teknik İşler G.B</a:t>
          </a:r>
          <a:endParaRPr lang="tr-TR" sz="700" baseline="0" dirty="0">
            <a:solidFill>
              <a:sysClr val="windowText" lastClr="000000"/>
            </a:solidFill>
          </a:endParaRPr>
        </a:p>
      </dgm:t>
    </dgm:pt>
    <dgm:pt modelId="{71BE6AE9-B2E8-406A-9578-8F860BDEB235}" type="parTrans" cxnId="{22391444-D61D-40B4-A6ED-06FCC24881D0}">
      <dgm:prSet/>
      <dgm:spPr/>
      <dgm:t>
        <a:bodyPr/>
        <a:lstStyle/>
        <a:p>
          <a:endParaRPr lang="tr-TR"/>
        </a:p>
      </dgm:t>
    </dgm:pt>
    <dgm:pt modelId="{F4057D13-0A12-4AC8-929B-D199516B2A8A}" type="sibTrans" cxnId="{22391444-D61D-40B4-A6ED-06FCC24881D0}">
      <dgm:prSet/>
      <dgm:spPr/>
      <dgm:t>
        <a:bodyPr/>
        <a:lstStyle/>
        <a:p>
          <a:endParaRPr lang="tr-TR"/>
        </a:p>
      </dgm:t>
    </dgm:pt>
    <dgm:pt modelId="{354411F2-F1D6-4AAC-9AE7-60C09F3B0A14}">
      <dgm:prSet custT="1"/>
      <dgm:spPr/>
      <dgm:t>
        <a:bodyPr/>
        <a:lstStyle/>
        <a:p>
          <a:r>
            <a:rPr lang="tr-TR" sz="700" b="0" baseline="0" dirty="0"/>
            <a:t> İdari Para Cezaları G.B</a:t>
          </a:r>
          <a:endParaRPr lang="tr-TR" sz="700" baseline="0" dirty="0">
            <a:solidFill>
              <a:sysClr val="windowText" lastClr="000000"/>
            </a:solidFill>
          </a:endParaRPr>
        </a:p>
      </dgm:t>
    </dgm:pt>
    <dgm:pt modelId="{D56101AF-1EEB-4E39-84B1-EEAAD2C15B1E}" type="parTrans" cxnId="{77B84B31-5B0C-4E1A-A9F3-89C00A4CDE49}">
      <dgm:prSet/>
      <dgm:spPr/>
      <dgm:t>
        <a:bodyPr/>
        <a:lstStyle/>
        <a:p>
          <a:endParaRPr lang="tr-TR"/>
        </a:p>
      </dgm:t>
    </dgm:pt>
    <dgm:pt modelId="{191726F0-8FA2-4185-A45E-5C551F36B8B7}" type="sibTrans" cxnId="{77B84B31-5B0C-4E1A-A9F3-89C00A4CDE49}">
      <dgm:prSet/>
      <dgm:spPr/>
      <dgm:t>
        <a:bodyPr/>
        <a:lstStyle/>
        <a:p>
          <a:endParaRPr lang="tr-TR"/>
        </a:p>
      </dgm:t>
    </dgm:pt>
    <dgm:pt modelId="{78B723D2-F9F3-4D72-9235-6008AED08A76}">
      <dgm:prSet custT="1"/>
      <dgm:spPr/>
      <dgm:t>
        <a:bodyPr/>
        <a:lstStyle/>
        <a:p>
          <a:r>
            <a:rPr lang="tr-TR" sz="700" b="0" baseline="0">
              <a:solidFill>
                <a:sysClr val="windowText" lastClr="000000"/>
              </a:solidFill>
            </a:rPr>
            <a:t>Muhasebe G.B</a:t>
          </a:r>
          <a:endParaRPr lang="tr-TR" sz="700" baseline="0" dirty="0">
            <a:solidFill>
              <a:sysClr val="windowText" lastClr="000000"/>
            </a:solidFill>
          </a:endParaRPr>
        </a:p>
      </dgm:t>
    </dgm:pt>
    <dgm:pt modelId="{CA7A280B-754E-48DF-8141-FCCF1F7C52D7}" type="parTrans" cxnId="{1AE6B154-4DE0-4828-9513-090CE443E5E9}">
      <dgm:prSet/>
      <dgm:spPr/>
      <dgm:t>
        <a:bodyPr/>
        <a:lstStyle/>
        <a:p>
          <a:endParaRPr lang="tr-TR"/>
        </a:p>
      </dgm:t>
    </dgm:pt>
    <dgm:pt modelId="{4093EBA2-7041-4BB8-8B3D-2E9FD5E9A73F}" type="sibTrans" cxnId="{1AE6B154-4DE0-4828-9513-090CE443E5E9}">
      <dgm:prSet/>
      <dgm:spPr/>
      <dgm:t>
        <a:bodyPr/>
        <a:lstStyle/>
        <a:p>
          <a:endParaRPr lang="tr-TR"/>
        </a:p>
      </dgm:t>
    </dgm:pt>
    <dgm:pt modelId="{495D2699-A480-4837-B1E0-94A6B25CA086}">
      <dgm:prSet custT="1"/>
      <dgm:spPr/>
      <dgm:t>
        <a:bodyPr/>
        <a:lstStyle/>
        <a:p>
          <a:r>
            <a:rPr lang="tr-TR" sz="700" b="0" baseline="0" dirty="0"/>
            <a:t>Enerji Piyasaları İzleme G.B</a:t>
          </a:r>
          <a:endParaRPr lang="tr-TR" sz="700" baseline="0" dirty="0">
            <a:solidFill>
              <a:sysClr val="windowText" lastClr="000000"/>
            </a:solidFill>
          </a:endParaRPr>
        </a:p>
      </dgm:t>
    </dgm:pt>
    <dgm:pt modelId="{6F8625B8-46DC-4265-B7A0-7DE2745264CA}" type="parTrans" cxnId="{2D7FB84B-BEBA-4904-A113-C0C7AE8EF94A}">
      <dgm:prSet/>
      <dgm:spPr/>
      <dgm:t>
        <a:bodyPr/>
        <a:lstStyle/>
        <a:p>
          <a:endParaRPr lang="tr-TR"/>
        </a:p>
      </dgm:t>
    </dgm:pt>
    <dgm:pt modelId="{4FD88DCB-999B-497E-A8A3-A2AB0E2A6ED1}" type="sibTrans" cxnId="{2D7FB84B-BEBA-4904-A113-C0C7AE8EF94A}">
      <dgm:prSet/>
      <dgm:spPr/>
      <dgm:t>
        <a:bodyPr/>
        <a:lstStyle/>
        <a:p>
          <a:endParaRPr lang="tr-TR"/>
        </a:p>
      </dgm:t>
    </dgm:pt>
    <dgm:pt modelId="{BF553810-D806-4581-8DEF-112A2F55E826}">
      <dgm:prSet custT="1"/>
      <dgm:spPr/>
      <dgm:t>
        <a:bodyPr/>
        <a:lstStyle/>
        <a:p>
          <a:r>
            <a:rPr lang="tr-TR" sz="700" b="0"/>
            <a:t>Mevzuat Geliştirme, Teknik Düzenleme ve Tüketici Hakları </a:t>
          </a:r>
          <a:r>
            <a:rPr lang="tr-TR" sz="700" b="0" baseline="0" dirty="0"/>
            <a:t>G.B</a:t>
          </a:r>
          <a:endParaRPr lang="tr-TR" sz="700" b="0" baseline="0" dirty="0">
            <a:solidFill>
              <a:sysClr val="windowText" lastClr="000000"/>
            </a:solidFill>
          </a:endParaRPr>
        </a:p>
      </dgm:t>
    </dgm:pt>
    <dgm:pt modelId="{B56F379F-B6B2-4608-913B-2EED20D6D81B}" type="parTrans" cxnId="{799A7D3A-464C-4763-B787-832FB6CC2A23}">
      <dgm:prSet/>
      <dgm:spPr/>
      <dgm:t>
        <a:bodyPr/>
        <a:lstStyle/>
        <a:p>
          <a:endParaRPr lang="tr-TR"/>
        </a:p>
      </dgm:t>
    </dgm:pt>
    <dgm:pt modelId="{93D09434-CF69-4308-96E8-9A60D6CB2522}" type="sibTrans" cxnId="{799A7D3A-464C-4763-B787-832FB6CC2A23}">
      <dgm:prSet/>
      <dgm:spPr/>
      <dgm:t>
        <a:bodyPr/>
        <a:lstStyle/>
        <a:p>
          <a:endParaRPr lang="tr-TR"/>
        </a:p>
      </dgm:t>
    </dgm:pt>
    <dgm:pt modelId="{EDA71CB0-9FD5-4906-8136-DFECAB634259}">
      <dgm:prSet custT="1"/>
      <dgm:spPr/>
      <dgm:t>
        <a:bodyPr/>
        <a:lstStyle/>
        <a:p>
          <a:r>
            <a:rPr lang="tr-TR" sz="700" b="0"/>
            <a:t>Piyasa Gözetim ve Otomasyon </a:t>
          </a:r>
          <a:r>
            <a:rPr lang="tr-TR" sz="700" b="0" baseline="0" dirty="0"/>
            <a:t>G.B</a:t>
          </a:r>
          <a:endParaRPr lang="tr-TR" sz="700" b="0" baseline="0" dirty="0">
            <a:solidFill>
              <a:sysClr val="windowText" lastClr="000000"/>
            </a:solidFill>
          </a:endParaRPr>
        </a:p>
      </dgm:t>
    </dgm:pt>
    <dgm:pt modelId="{C0FF6E04-1190-41D6-95AC-7034FAC93D0E}" type="parTrans" cxnId="{6ECE3E58-FB46-4010-9151-4B3D6D39BCB5}">
      <dgm:prSet/>
      <dgm:spPr/>
      <dgm:t>
        <a:bodyPr/>
        <a:lstStyle/>
        <a:p>
          <a:endParaRPr lang="tr-TR"/>
        </a:p>
      </dgm:t>
    </dgm:pt>
    <dgm:pt modelId="{19C49DA5-6C67-4D54-A827-0A68530AD9E6}" type="sibTrans" cxnId="{6ECE3E58-FB46-4010-9151-4B3D6D39BCB5}">
      <dgm:prSet/>
      <dgm:spPr/>
      <dgm:t>
        <a:bodyPr/>
        <a:lstStyle/>
        <a:p>
          <a:endParaRPr lang="tr-TR"/>
        </a:p>
      </dgm:t>
    </dgm:pt>
    <dgm:pt modelId="{724EE3D5-0008-4586-9D87-2E3A2C4586B3}">
      <dgm:prSet custT="1"/>
      <dgm:spPr/>
      <dgm:t>
        <a:bodyPr/>
        <a:lstStyle/>
        <a:p>
          <a:r>
            <a:rPr lang="tr-TR" sz="700" b="0" dirty="0"/>
            <a:t>Ulusal Marker ve Akaryakıt Harici Ürünler </a:t>
          </a:r>
          <a:r>
            <a:rPr lang="tr-TR" sz="700" b="0" baseline="0" dirty="0"/>
            <a:t>G.B</a:t>
          </a:r>
          <a:endParaRPr lang="tr-TR" sz="700" b="0" baseline="0" dirty="0">
            <a:solidFill>
              <a:sysClr val="windowText" lastClr="000000"/>
            </a:solidFill>
          </a:endParaRPr>
        </a:p>
      </dgm:t>
    </dgm:pt>
    <dgm:pt modelId="{80115753-2DBC-4391-8E15-260FC60A1A25}" type="parTrans" cxnId="{34D43DE9-F11E-4F12-8CB5-05CF8971FEEA}">
      <dgm:prSet/>
      <dgm:spPr/>
      <dgm:t>
        <a:bodyPr/>
        <a:lstStyle/>
        <a:p>
          <a:endParaRPr lang="tr-TR"/>
        </a:p>
      </dgm:t>
    </dgm:pt>
    <dgm:pt modelId="{15235611-6505-489B-9DFB-8279F66F7B59}" type="sibTrans" cxnId="{34D43DE9-F11E-4F12-8CB5-05CF8971FEEA}">
      <dgm:prSet/>
      <dgm:spPr/>
      <dgm:t>
        <a:bodyPr/>
        <a:lstStyle/>
        <a:p>
          <a:endParaRPr lang="tr-TR"/>
        </a:p>
      </dgm:t>
    </dgm:pt>
    <dgm:pt modelId="{1DEB2FD9-69D0-4AEE-ABF4-5765E048BB08}">
      <dgm:prSet phldrT="[Metin]" custT="1"/>
      <dgm:spPr/>
      <dgm:t>
        <a:bodyPr/>
        <a:lstStyle/>
        <a:p>
          <a:r>
            <a:rPr lang="tr-TR" sz="700" b="0">
              <a:solidFill>
                <a:sysClr val="windowText" lastClr="000000"/>
              </a:solidFill>
            </a:rPr>
            <a:t>Dağıtıcı, Depolama ve Diğer Lisanslar </a:t>
          </a:r>
          <a:r>
            <a:rPr lang="tr-TR" sz="700" b="0" baseline="0" dirty="0">
              <a:solidFill>
                <a:sysClr val="windowText" lastClr="000000"/>
              </a:solidFill>
            </a:rPr>
            <a:t>G.B                  </a:t>
          </a:r>
        </a:p>
      </dgm:t>
    </dgm:pt>
    <dgm:pt modelId="{4C782D04-698D-42DA-9422-1A0F1866CD0D}" type="parTrans" cxnId="{BB019630-FC14-4249-91E5-275579BC7E68}">
      <dgm:prSet/>
      <dgm:spPr/>
      <dgm:t>
        <a:bodyPr/>
        <a:lstStyle/>
        <a:p>
          <a:endParaRPr lang="tr-TR"/>
        </a:p>
      </dgm:t>
    </dgm:pt>
    <dgm:pt modelId="{EDD343D0-35F8-474C-9044-11341AED50E6}" type="sibTrans" cxnId="{BB019630-FC14-4249-91E5-275579BC7E68}">
      <dgm:prSet/>
      <dgm:spPr/>
      <dgm:t>
        <a:bodyPr/>
        <a:lstStyle/>
        <a:p>
          <a:endParaRPr lang="tr-TR"/>
        </a:p>
      </dgm:t>
    </dgm:pt>
    <dgm:pt modelId="{2A1F801B-EBB5-4808-A989-0AB7C90C54C5}">
      <dgm:prSet custT="1"/>
      <dgm:spPr/>
      <dgm:t>
        <a:bodyPr/>
        <a:lstStyle/>
        <a:p>
          <a:r>
            <a:rPr lang="tr-TR" sz="700" baseline="0" dirty="0">
              <a:solidFill>
                <a:sysClr val="windowText" lastClr="000000"/>
              </a:solidFill>
            </a:rPr>
            <a:t>Bina Otomasyon G.B</a:t>
          </a:r>
        </a:p>
      </dgm:t>
    </dgm:pt>
    <dgm:pt modelId="{506E86FE-6DB0-48FD-B62F-1DBD914DBB85}" type="parTrans" cxnId="{FA0686E6-6A4E-48D3-AC83-FF8BC6C11F21}">
      <dgm:prSet/>
      <dgm:spPr/>
      <dgm:t>
        <a:bodyPr/>
        <a:lstStyle/>
        <a:p>
          <a:endParaRPr lang="tr-TR"/>
        </a:p>
      </dgm:t>
    </dgm:pt>
    <dgm:pt modelId="{F7739A5A-0DF6-4510-9232-F33B9C6D9E92}" type="sibTrans" cxnId="{FA0686E6-6A4E-48D3-AC83-FF8BC6C11F21}">
      <dgm:prSet/>
      <dgm:spPr/>
      <dgm:t>
        <a:bodyPr/>
        <a:lstStyle/>
        <a:p>
          <a:endParaRPr lang="tr-TR"/>
        </a:p>
      </dgm:t>
    </dgm:pt>
    <dgm:pt modelId="{D250B77B-84DC-47ED-AF54-BB4110EA2562}">
      <dgm:prSet custT="1"/>
      <dgm:spPr/>
      <dgm:t>
        <a:bodyPr/>
        <a:lstStyle/>
        <a:p>
          <a:r>
            <a:rPr lang="tr-TR" sz="700" baseline="0" dirty="0">
              <a:solidFill>
                <a:sysClr val="windowText" lastClr="000000"/>
              </a:solidFill>
            </a:rPr>
            <a:t>3. Grup B.</a:t>
          </a:r>
        </a:p>
      </dgm:t>
    </dgm:pt>
    <dgm:pt modelId="{6BF4C5ED-69C1-42A3-83D8-8345A25A22C1}" type="sibTrans" cxnId="{D607091D-C216-4EB2-8370-3CA078257EF9}">
      <dgm:prSet/>
      <dgm:spPr/>
      <dgm:t>
        <a:bodyPr/>
        <a:lstStyle/>
        <a:p>
          <a:endParaRPr lang="tr-TR"/>
        </a:p>
      </dgm:t>
    </dgm:pt>
    <dgm:pt modelId="{CAD074E9-D068-425B-9AAB-67761DE7483C}" type="parTrans" cxnId="{D607091D-C216-4EB2-8370-3CA078257EF9}">
      <dgm:prSet/>
      <dgm:spPr/>
      <dgm:t>
        <a:bodyPr/>
        <a:lstStyle/>
        <a:p>
          <a:endParaRPr lang="tr-TR"/>
        </a:p>
      </dgm:t>
    </dgm:pt>
    <dgm:pt modelId="{CC9261AB-5E99-4733-92FA-9EECA298C273}">
      <dgm:prSet custT="1"/>
      <dgm:spPr/>
      <dgm:t>
        <a:bodyPr/>
        <a:lstStyle/>
        <a:p>
          <a:r>
            <a:rPr lang="tr-TR" sz="700"/>
            <a:t>Tahakkuk İşlemleri G.B</a:t>
          </a:r>
        </a:p>
      </dgm:t>
    </dgm:pt>
    <dgm:pt modelId="{A4DE78FF-B467-4201-BF84-1F4C3697E274}" type="parTrans" cxnId="{86AB42B0-F605-4E6F-897A-90349BCC56B0}">
      <dgm:prSet/>
      <dgm:spPr/>
      <dgm:t>
        <a:bodyPr/>
        <a:lstStyle/>
        <a:p>
          <a:endParaRPr lang="tr-TR"/>
        </a:p>
      </dgm:t>
    </dgm:pt>
    <dgm:pt modelId="{AE80545E-15D8-4C3F-908F-7559AB21BB76}" type="sibTrans" cxnId="{86AB42B0-F605-4E6F-897A-90349BCC56B0}">
      <dgm:prSet/>
      <dgm:spPr/>
      <dgm:t>
        <a:bodyPr/>
        <a:lstStyle/>
        <a:p>
          <a:endParaRPr lang="tr-TR"/>
        </a:p>
      </dgm:t>
    </dgm:pt>
    <dgm:pt modelId="{9F522D6F-1DEC-4B53-9748-1518888CBD53}">
      <dgm:prSet custT="1"/>
      <dgm:spPr/>
      <dgm:t>
        <a:bodyPr/>
        <a:lstStyle/>
        <a:p>
          <a:r>
            <a:rPr lang="tr-TR" sz="700"/>
            <a:t>Sosyal İşler G.B </a:t>
          </a:r>
        </a:p>
      </dgm:t>
    </dgm:pt>
    <dgm:pt modelId="{89F63458-495D-4218-A5F0-0B9764F703D7}" type="parTrans" cxnId="{FEAC662B-7A16-4829-A5DF-6BE612FC1772}">
      <dgm:prSet/>
      <dgm:spPr/>
      <dgm:t>
        <a:bodyPr/>
        <a:lstStyle/>
        <a:p>
          <a:endParaRPr lang="tr-TR"/>
        </a:p>
      </dgm:t>
    </dgm:pt>
    <dgm:pt modelId="{7249A919-4548-4238-81C8-33963D48D6D7}" type="sibTrans" cxnId="{FEAC662B-7A16-4829-A5DF-6BE612FC1772}">
      <dgm:prSet/>
      <dgm:spPr/>
      <dgm:t>
        <a:bodyPr/>
        <a:lstStyle/>
        <a:p>
          <a:endParaRPr lang="tr-TR"/>
        </a:p>
      </dgm:t>
    </dgm:pt>
    <dgm:pt modelId="{364BE0BF-40AA-4172-8255-7BE3C35618C7}">
      <dgm:prSet custT="1"/>
      <dgm:spPr/>
      <dgm:t>
        <a:bodyPr/>
        <a:lstStyle/>
        <a:p>
          <a:r>
            <a:rPr lang="tr-TR" sz="700">
              <a:latin typeface="+mn-lt"/>
            </a:rPr>
            <a:t>Mevzuat ve Mütalaa Grup Başkanlığı</a:t>
          </a:r>
        </a:p>
      </dgm:t>
    </dgm:pt>
    <dgm:pt modelId="{43B23CBE-6920-4171-ABC5-5BDAD0506C94}" type="sibTrans" cxnId="{EB304BA0-8B39-43EB-992B-AA54D406A1EE}">
      <dgm:prSet/>
      <dgm:spPr/>
      <dgm:t>
        <a:bodyPr/>
        <a:lstStyle/>
        <a:p>
          <a:endParaRPr lang="tr-TR"/>
        </a:p>
      </dgm:t>
    </dgm:pt>
    <dgm:pt modelId="{75838857-3A1D-4F98-8A13-4CB76DBC4D16}" type="parTrans" cxnId="{EB304BA0-8B39-43EB-992B-AA54D406A1EE}">
      <dgm:prSet/>
      <dgm:spPr/>
      <dgm:t>
        <a:bodyPr/>
        <a:lstStyle/>
        <a:p>
          <a:endParaRPr lang="tr-TR"/>
        </a:p>
      </dgm:t>
    </dgm:pt>
    <dgm:pt modelId="{CC10D865-5FBB-44DF-A5A7-DF9D1BC08F73}" type="pres">
      <dgm:prSet presAssocID="{67437F0E-8767-4441-860A-F3C11CC3BF58}" presName="hierChild1" presStyleCnt="0">
        <dgm:presLayoutVars>
          <dgm:orgChart val="1"/>
          <dgm:chPref val="1"/>
          <dgm:dir/>
          <dgm:animOne val="branch"/>
          <dgm:animLvl val="lvl"/>
          <dgm:resizeHandles/>
        </dgm:presLayoutVars>
      </dgm:prSet>
      <dgm:spPr/>
    </dgm:pt>
    <dgm:pt modelId="{B28A6F88-A0D8-4956-8A1A-9528F7E8E0B6}" type="pres">
      <dgm:prSet presAssocID="{DFB8283C-0CE7-4D06-AB09-FCE9E52142BE}" presName="hierRoot1" presStyleCnt="0">
        <dgm:presLayoutVars>
          <dgm:hierBranch val="init"/>
        </dgm:presLayoutVars>
      </dgm:prSet>
      <dgm:spPr/>
    </dgm:pt>
    <dgm:pt modelId="{8573C9E8-E3C3-4A82-B2D1-E882BCA2A3CE}" type="pres">
      <dgm:prSet presAssocID="{DFB8283C-0CE7-4D06-AB09-FCE9E52142BE}" presName="rootComposite1" presStyleCnt="0"/>
      <dgm:spPr/>
    </dgm:pt>
    <dgm:pt modelId="{6FAB5780-021B-4AC8-9EE0-6263C5DD19B5}" type="pres">
      <dgm:prSet presAssocID="{DFB8283C-0CE7-4D06-AB09-FCE9E52142BE}" presName="rootText1" presStyleLbl="node0" presStyleIdx="0" presStyleCnt="1" custScaleX="361175" custScaleY="124552" custLinFactNeighborX="60105" custLinFactNeighborY="24233">
        <dgm:presLayoutVars>
          <dgm:chPref val="3"/>
        </dgm:presLayoutVars>
      </dgm:prSet>
      <dgm:spPr/>
    </dgm:pt>
    <dgm:pt modelId="{22A57205-A1A7-400C-936D-6294AB8778FF}" type="pres">
      <dgm:prSet presAssocID="{DFB8283C-0CE7-4D06-AB09-FCE9E52142BE}" presName="rootConnector1" presStyleLbl="node1" presStyleIdx="0" presStyleCnt="0"/>
      <dgm:spPr/>
    </dgm:pt>
    <dgm:pt modelId="{F307BDAE-34F9-46DC-802D-E8AF4D91E2FF}" type="pres">
      <dgm:prSet presAssocID="{DFB8283C-0CE7-4D06-AB09-FCE9E52142BE}" presName="hierChild2" presStyleCnt="0"/>
      <dgm:spPr/>
    </dgm:pt>
    <dgm:pt modelId="{D88B375E-4545-4B7C-BE88-70477B09BB26}" type="pres">
      <dgm:prSet presAssocID="{6344A8D0-684B-4D8A-A233-02A9CFF2AB23}" presName="Name37" presStyleLbl="parChTrans1D2" presStyleIdx="0" presStyleCnt="7"/>
      <dgm:spPr/>
    </dgm:pt>
    <dgm:pt modelId="{64ACB60D-7E98-471B-9412-26DA0D5227CF}" type="pres">
      <dgm:prSet presAssocID="{EB169C33-F586-4149-83FE-9DDAF38D4719}" presName="hierRoot2" presStyleCnt="0">
        <dgm:presLayoutVars>
          <dgm:hierBranch val="init"/>
        </dgm:presLayoutVars>
      </dgm:prSet>
      <dgm:spPr/>
    </dgm:pt>
    <dgm:pt modelId="{8E28E8A4-2C02-44D3-984A-0B35B9537219}" type="pres">
      <dgm:prSet presAssocID="{EB169C33-F586-4149-83FE-9DDAF38D4719}" presName="rootComposite" presStyleCnt="0"/>
      <dgm:spPr/>
    </dgm:pt>
    <dgm:pt modelId="{87F5A956-FACC-4A9C-89CF-2B969FD61DB9}" type="pres">
      <dgm:prSet presAssocID="{EB169C33-F586-4149-83FE-9DDAF38D4719}" presName="rootText" presStyleLbl="node2" presStyleIdx="0" presStyleCnt="7" custScaleX="171625" custLinFactY="52319" custLinFactNeighborX="-94372" custLinFactNeighborY="100000">
        <dgm:presLayoutVars>
          <dgm:chPref val="3"/>
        </dgm:presLayoutVars>
      </dgm:prSet>
      <dgm:spPr/>
    </dgm:pt>
    <dgm:pt modelId="{DC217170-FB62-40CE-A6F0-FCFB987A4096}" type="pres">
      <dgm:prSet presAssocID="{EB169C33-F586-4149-83FE-9DDAF38D4719}" presName="rootConnector" presStyleLbl="node2" presStyleIdx="0" presStyleCnt="7"/>
      <dgm:spPr/>
    </dgm:pt>
    <dgm:pt modelId="{A5B352F0-1CBC-407B-AC60-1428C166573B}" type="pres">
      <dgm:prSet presAssocID="{EB169C33-F586-4149-83FE-9DDAF38D4719}" presName="hierChild4" presStyleCnt="0"/>
      <dgm:spPr/>
    </dgm:pt>
    <dgm:pt modelId="{4D81FBBF-5B05-44C8-BDAA-131D067B57D3}" type="pres">
      <dgm:prSet presAssocID="{FC9A7C71-E8A8-4F95-8CD7-5342DE888308}" presName="Name37" presStyleLbl="parChTrans1D3" presStyleIdx="0" presStyleCnt="12"/>
      <dgm:spPr/>
    </dgm:pt>
    <dgm:pt modelId="{8D548B7E-7038-47ED-A2B2-6B41D7EAB6E4}" type="pres">
      <dgm:prSet presAssocID="{27C3018E-1948-4088-8B9A-50977B556B66}" presName="hierRoot2" presStyleCnt="0">
        <dgm:presLayoutVars>
          <dgm:hierBranch val="init"/>
        </dgm:presLayoutVars>
      </dgm:prSet>
      <dgm:spPr/>
    </dgm:pt>
    <dgm:pt modelId="{DE0D6A63-8E74-48D5-98F9-031664405B89}" type="pres">
      <dgm:prSet presAssocID="{27C3018E-1948-4088-8B9A-50977B556B66}" presName="rootComposite" presStyleCnt="0"/>
      <dgm:spPr/>
    </dgm:pt>
    <dgm:pt modelId="{17D4D4C1-9250-42EF-B81D-BD41D03127BA}" type="pres">
      <dgm:prSet presAssocID="{27C3018E-1948-4088-8B9A-50977B556B66}" presName="rootText" presStyleLbl="node3" presStyleIdx="0" presStyleCnt="12" custLinFactY="90613" custLinFactNeighborX="48821" custLinFactNeighborY="100000">
        <dgm:presLayoutVars>
          <dgm:chPref val="3"/>
        </dgm:presLayoutVars>
      </dgm:prSet>
      <dgm:spPr/>
    </dgm:pt>
    <dgm:pt modelId="{EDFEFE8F-DB28-4ACE-8002-99ED06298D99}" type="pres">
      <dgm:prSet presAssocID="{27C3018E-1948-4088-8B9A-50977B556B66}" presName="rootConnector" presStyleLbl="node3" presStyleIdx="0" presStyleCnt="12"/>
      <dgm:spPr/>
    </dgm:pt>
    <dgm:pt modelId="{93C051ED-D954-4990-BE05-3645BE54D20D}" type="pres">
      <dgm:prSet presAssocID="{27C3018E-1948-4088-8B9A-50977B556B66}" presName="hierChild4" presStyleCnt="0"/>
      <dgm:spPr/>
    </dgm:pt>
    <dgm:pt modelId="{26C69D4B-4BC6-4D6E-BB9D-766F11277F2F}" type="pres">
      <dgm:prSet presAssocID="{3060B87B-D822-4BA2-BB8E-1C6C1F09EA56}" presName="Name37" presStyleLbl="parChTrans1D4" presStyleIdx="0" presStyleCnt="66"/>
      <dgm:spPr/>
    </dgm:pt>
    <dgm:pt modelId="{EAEAE41A-A5E8-4C19-96C5-31D60DE11047}" type="pres">
      <dgm:prSet presAssocID="{FEF42683-EE96-4174-8C7B-BCE6A884E1DC}" presName="hierRoot2" presStyleCnt="0">
        <dgm:presLayoutVars>
          <dgm:hierBranch val="init"/>
        </dgm:presLayoutVars>
      </dgm:prSet>
      <dgm:spPr/>
    </dgm:pt>
    <dgm:pt modelId="{5A289322-9142-43D3-B103-358148DFE8B7}" type="pres">
      <dgm:prSet presAssocID="{FEF42683-EE96-4174-8C7B-BCE6A884E1DC}" presName="rootComposite" presStyleCnt="0"/>
      <dgm:spPr/>
    </dgm:pt>
    <dgm:pt modelId="{9C592B00-17BD-4902-AA17-ECBDFFCDF2D3}" type="pres">
      <dgm:prSet presAssocID="{FEF42683-EE96-4174-8C7B-BCE6A884E1DC}" presName="rootText" presStyleLbl="node4" presStyleIdx="0" presStyleCnt="66" custLinFactY="100000" custLinFactNeighborX="53892" custLinFactNeighborY="105509">
        <dgm:presLayoutVars>
          <dgm:chPref val="3"/>
        </dgm:presLayoutVars>
      </dgm:prSet>
      <dgm:spPr/>
    </dgm:pt>
    <dgm:pt modelId="{54398053-D463-4DC6-A3FB-63577E95D28D}" type="pres">
      <dgm:prSet presAssocID="{FEF42683-EE96-4174-8C7B-BCE6A884E1DC}" presName="rootConnector" presStyleLbl="node4" presStyleIdx="0" presStyleCnt="66"/>
      <dgm:spPr/>
    </dgm:pt>
    <dgm:pt modelId="{7AB406E8-B677-48B6-97AA-73DA3E6BA330}" type="pres">
      <dgm:prSet presAssocID="{FEF42683-EE96-4174-8C7B-BCE6A884E1DC}" presName="hierChild4" presStyleCnt="0"/>
      <dgm:spPr/>
    </dgm:pt>
    <dgm:pt modelId="{5D71FDD6-C108-4448-BE5B-EF4D5C1D150E}" type="pres">
      <dgm:prSet presAssocID="{FEF42683-EE96-4174-8C7B-BCE6A884E1DC}" presName="hierChild5" presStyleCnt="0"/>
      <dgm:spPr/>
    </dgm:pt>
    <dgm:pt modelId="{81260CC3-B357-4E49-898C-6CA2BE6159E2}" type="pres">
      <dgm:prSet presAssocID="{BADAD6FA-6887-4CA0-93AA-2A43E4C753A8}" presName="Name37" presStyleLbl="parChTrans1D4" presStyleIdx="1" presStyleCnt="66"/>
      <dgm:spPr/>
    </dgm:pt>
    <dgm:pt modelId="{B65EF693-81A2-4652-943B-6D4698DEBC86}" type="pres">
      <dgm:prSet presAssocID="{DCDF41E0-059A-462E-80A9-516107A8CFD7}" presName="hierRoot2" presStyleCnt="0">
        <dgm:presLayoutVars>
          <dgm:hierBranch val="init"/>
        </dgm:presLayoutVars>
      </dgm:prSet>
      <dgm:spPr/>
    </dgm:pt>
    <dgm:pt modelId="{02131C14-0520-40B0-BFA6-FA9E657C4531}" type="pres">
      <dgm:prSet presAssocID="{DCDF41E0-059A-462E-80A9-516107A8CFD7}" presName="rootComposite" presStyleCnt="0"/>
      <dgm:spPr/>
    </dgm:pt>
    <dgm:pt modelId="{C16F47B9-EAE6-4D90-957F-1CDC35B20048}" type="pres">
      <dgm:prSet presAssocID="{DCDF41E0-059A-462E-80A9-516107A8CFD7}" presName="rootText" presStyleLbl="node4" presStyleIdx="1" presStyleCnt="66" custLinFactY="100000" custLinFactNeighborX="56320" custLinFactNeighborY="112788">
        <dgm:presLayoutVars>
          <dgm:chPref val="3"/>
        </dgm:presLayoutVars>
      </dgm:prSet>
      <dgm:spPr/>
    </dgm:pt>
    <dgm:pt modelId="{6EBFAACF-25AF-4BEB-8009-F8D2200464CC}" type="pres">
      <dgm:prSet presAssocID="{DCDF41E0-059A-462E-80A9-516107A8CFD7}" presName="rootConnector" presStyleLbl="node4" presStyleIdx="1" presStyleCnt="66"/>
      <dgm:spPr/>
    </dgm:pt>
    <dgm:pt modelId="{8694B099-DD29-4E65-A4ED-713539A4454A}" type="pres">
      <dgm:prSet presAssocID="{DCDF41E0-059A-462E-80A9-516107A8CFD7}" presName="hierChild4" presStyleCnt="0"/>
      <dgm:spPr/>
    </dgm:pt>
    <dgm:pt modelId="{60F4EB1E-B757-4456-A07F-098A9F43A8FE}" type="pres">
      <dgm:prSet presAssocID="{DCDF41E0-059A-462E-80A9-516107A8CFD7}" presName="hierChild5" presStyleCnt="0"/>
      <dgm:spPr/>
    </dgm:pt>
    <dgm:pt modelId="{0CE57803-3D08-4164-B34A-3637BE7665E4}" type="pres">
      <dgm:prSet presAssocID="{5A3FAD4B-5F94-4E2A-8DC5-D6EAA8B96B69}" presName="Name37" presStyleLbl="parChTrans1D4" presStyleIdx="2" presStyleCnt="66"/>
      <dgm:spPr/>
    </dgm:pt>
    <dgm:pt modelId="{D6ED8C4B-3B60-4C8D-A74F-2C1094658705}" type="pres">
      <dgm:prSet presAssocID="{DAC78C75-2075-4E92-8FED-16CE52DA9DBC}" presName="hierRoot2" presStyleCnt="0">
        <dgm:presLayoutVars>
          <dgm:hierBranch val="init"/>
        </dgm:presLayoutVars>
      </dgm:prSet>
      <dgm:spPr/>
    </dgm:pt>
    <dgm:pt modelId="{1DAACD1A-4DB7-4C2C-BB50-8DD88D04EF7A}" type="pres">
      <dgm:prSet presAssocID="{DAC78C75-2075-4E92-8FED-16CE52DA9DBC}" presName="rootComposite" presStyleCnt="0"/>
      <dgm:spPr/>
    </dgm:pt>
    <dgm:pt modelId="{0B95C9ED-3560-4F73-AA80-072B5F1ADA9E}" type="pres">
      <dgm:prSet presAssocID="{DAC78C75-2075-4E92-8FED-16CE52DA9DBC}" presName="rootText" presStyleLbl="node4" presStyleIdx="2" presStyleCnt="66" custLinFactY="100000" custLinFactNeighborX="56822" custLinFactNeighborY="129290">
        <dgm:presLayoutVars>
          <dgm:chPref val="3"/>
        </dgm:presLayoutVars>
      </dgm:prSet>
      <dgm:spPr/>
    </dgm:pt>
    <dgm:pt modelId="{2A583EAF-9800-488D-A341-B30B2CDDB5EE}" type="pres">
      <dgm:prSet presAssocID="{DAC78C75-2075-4E92-8FED-16CE52DA9DBC}" presName="rootConnector" presStyleLbl="node4" presStyleIdx="2" presStyleCnt="66"/>
      <dgm:spPr/>
    </dgm:pt>
    <dgm:pt modelId="{C9E0CC4F-1AC6-4A96-AC6B-7DA714249D07}" type="pres">
      <dgm:prSet presAssocID="{DAC78C75-2075-4E92-8FED-16CE52DA9DBC}" presName="hierChild4" presStyleCnt="0"/>
      <dgm:spPr/>
    </dgm:pt>
    <dgm:pt modelId="{3AAB3DD7-D6FB-4E25-AB05-F76DD593B9ED}" type="pres">
      <dgm:prSet presAssocID="{DAC78C75-2075-4E92-8FED-16CE52DA9DBC}" presName="hierChild5" presStyleCnt="0"/>
      <dgm:spPr/>
    </dgm:pt>
    <dgm:pt modelId="{B4B34A0D-24C5-46B6-B269-283BF5CFF5E1}" type="pres">
      <dgm:prSet presAssocID="{C0FF6E04-1190-41D6-95AC-7034FAC93D0E}" presName="Name37" presStyleLbl="parChTrans1D4" presStyleIdx="3" presStyleCnt="66"/>
      <dgm:spPr/>
    </dgm:pt>
    <dgm:pt modelId="{424C168E-4A5D-4B5B-BA3D-39C1917A7A9A}" type="pres">
      <dgm:prSet presAssocID="{EDA71CB0-9FD5-4906-8136-DFECAB634259}" presName="hierRoot2" presStyleCnt="0">
        <dgm:presLayoutVars>
          <dgm:hierBranch val="init"/>
        </dgm:presLayoutVars>
      </dgm:prSet>
      <dgm:spPr/>
    </dgm:pt>
    <dgm:pt modelId="{9DD48BBC-4D0C-4F70-AA94-6DDEB0351B01}" type="pres">
      <dgm:prSet presAssocID="{EDA71CB0-9FD5-4906-8136-DFECAB634259}" presName="rootComposite" presStyleCnt="0"/>
      <dgm:spPr/>
    </dgm:pt>
    <dgm:pt modelId="{F24FFF63-AF77-48C8-A2FC-FA5F281AF62F}" type="pres">
      <dgm:prSet presAssocID="{EDA71CB0-9FD5-4906-8136-DFECAB634259}" presName="rootText" presStyleLbl="node4" presStyleIdx="3" presStyleCnt="66" custScaleY="147256" custLinFactY="100000" custLinFactNeighborX="55506" custLinFactNeighborY="135900">
        <dgm:presLayoutVars>
          <dgm:chPref val="3"/>
        </dgm:presLayoutVars>
      </dgm:prSet>
      <dgm:spPr/>
    </dgm:pt>
    <dgm:pt modelId="{AF9DCE83-21E1-4897-8469-8FD477DECBD2}" type="pres">
      <dgm:prSet presAssocID="{EDA71CB0-9FD5-4906-8136-DFECAB634259}" presName="rootConnector" presStyleLbl="node4" presStyleIdx="3" presStyleCnt="66"/>
      <dgm:spPr/>
    </dgm:pt>
    <dgm:pt modelId="{0C5F1175-D025-4AC5-81AD-17DD36E78E6B}" type="pres">
      <dgm:prSet presAssocID="{EDA71CB0-9FD5-4906-8136-DFECAB634259}" presName="hierChild4" presStyleCnt="0"/>
      <dgm:spPr/>
    </dgm:pt>
    <dgm:pt modelId="{90393881-A7D5-4170-962B-DFE999BA31F4}" type="pres">
      <dgm:prSet presAssocID="{EDA71CB0-9FD5-4906-8136-DFECAB634259}" presName="hierChild5" presStyleCnt="0"/>
      <dgm:spPr/>
    </dgm:pt>
    <dgm:pt modelId="{54F40A7B-C344-4770-8888-97F4D5591930}" type="pres">
      <dgm:prSet presAssocID="{80115753-2DBC-4391-8E15-260FC60A1A25}" presName="Name37" presStyleLbl="parChTrans1D4" presStyleIdx="4" presStyleCnt="66"/>
      <dgm:spPr/>
    </dgm:pt>
    <dgm:pt modelId="{0A657A22-0804-49E0-B789-036426F1B723}" type="pres">
      <dgm:prSet presAssocID="{724EE3D5-0008-4586-9D87-2E3A2C4586B3}" presName="hierRoot2" presStyleCnt="0">
        <dgm:presLayoutVars>
          <dgm:hierBranch val="init"/>
        </dgm:presLayoutVars>
      </dgm:prSet>
      <dgm:spPr/>
    </dgm:pt>
    <dgm:pt modelId="{6CA6008E-20C8-462B-9D02-9CAE94F85019}" type="pres">
      <dgm:prSet presAssocID="{724EE3D5-0008-4586-9D87-2E3A2C4586B3}" presName="rootComposite" presStyleCnt="0"/>
      <dgm:spPr/>
    </dgm:pt>
    <dgm:pt modelId="{E7A496F2-55F3-4582-8695-0A23ECFF3FCB}" type="pres">
      <dgm:prSet presAssocID="{724EE3D5-0008-4586-9D87-2E3A2C4586B3}" presName="rootText" presStyleLbl="node4" presStyleIdx="4" presStyleCnt="66" custScaleY="119411" custLinFactY="100000" custLinFactNeighborX="55505" custLinFactNeighborY="135900">
        <dgm:presLayoutVars>
          <dgm:chPref val="3"/>
        </dgm:presLayoutVars>
      </dgm:prSet>
      <dgm:spPr/>
    </dgm:pt>
    <dgm:pt modelId="{B8BBF609-FF43-4012-AA59-7A61FE63E565}" type="pres">
      <dgm:prSet presAssocID="{724EE3D5-0008-4586-9D87-2E3A2C4586B3}" presName="rootConnector" presStyleLbl="node4" presStyleIdx="4" presStyleCnt="66"/>
      <dgm:spPr/>
    </dgm:pt>
    <dgm:pt modelId="{2B188D04-A5BB-4393-9244-FEB8908B3BDC}" type="pres">
      <dgm:prSet presAssocID="{724EE3D5-0008-4586-9D87-2E3A2C4586B3}" presName="hierChild4" presStyleCnt="0"/>
      <dgm:spPr/>
    </dgm:pt>
    <dgm:pt modelId="{526028C1-09EC-4562-9628-CB3D72DDA882}" type="pres">
      <dgm:prSet presAssocID="{724EE3D5-0008-4586-9D87-2E3A2C4586B3}" presName="hierChild5" presStyleCnt="0"/>
      <dgm:spPr/>
    </dgm:pt>
    <dgm:pt modelId="{0052FB1B-7A35-404A-85B5-764223D464FA}" type="pres">
      <dgm:prSet presAssocID="{B56F379F-B6B2-4608-913B-2EED20D6D81B}" presName="Name37" presStyleLbl="parChTrans1D4" presStyleIdx="5" presStyleCnt="66"/>
      <dgm:spPr/>
    </dgm:pt>
    <dgm:pt modelId="{731461EF-D6BA-442E-88D0-BC5F677D665C}" type="pres">
      <dgm:prSet presAssocID="{BF553810-D806-4581-8DEF-112A2F55E826}" presName="hierRoot2" presStyleCnt="0">
        <dgm:presLayoutVars>
          <dgm:hierBranch val="init"/>
        </dgm:presLayoutVars>
      </dgm:prSet>
      <dgm:spPr/>
    </dgm:pt>
    <dgm:pt modelId="{801B916F-6B81-4BEB-A86E-13325AEA39DC}" type="pres">
      <dgm:prSet presAssocID="{BF553810-D806-4581-8DEF-112A2F55E826}" presName="rootComposite" presStyleCnt="0"/>
      <dgm:spPr/>
    </dgm:pt>
    <dgm:pt modelId="{AA3554F6-1740-4883-96E6-6BFEFF6AA42D}" type="pres">
      <dgm:prSet presAssocID="{BF553810-D806-4581-8DEF-112A2F55E826}" presName="rootText" presStyleLbl="node4" presStyleIdx="5" presStyleCnt="66" custScaleX="97144" custScaleY="242402" custLinFactY="100000" custLinFactNeighborX="52432" custLinFactNeighborY="126678">
        <dgm:presLayoutVars>
          <dgm:chPref val="3"/>
        </dgm:presLayoutVars>
      </dgm:prSet>
      <dgm:spPr/>
    </dgm:pt>
    <dgm:pt modelId="{30677E6C-2D2F-4FBD-BB1D-73C5BB3B5734}" type="pres">
      <dgm:prSet presAssocID="{BF553810-D806-4581-8DEF-112A2F55E826}" presName="rootConnector" presStyleLbl="node4" presStyleIdx="5" presStyleCnt="66"/>
      <dgm:spPr/>
    </dgm:pt>
    <dgm:pt modelId="{36CEF259-8498-4708-8D70-12EB8D3595CC}" type="pres">
      <dgm:prSet presAssocID="{BF553810-D806-4581-8DEF-112A2F55E826}" presName="hierChild4" presStyleCnt="0"/>
      <dgm:spPr/>
    </dgm:pt>
    <dgm:pt modelId="{B0555C7A-4B45-4CB6-9364-5CCA6BA5D7F6}" type="pres">
      <dgm:prSet presAssocID="{BF553810-D806-4581-8DEF-112A2F55E826}" presName="hierChild5" presStyleCnt="0"/>
      <dgm:spPr/>
    </dgm:pt>
    <dgm:pt modelId="{0DC1B44F-4D6B-4852-A20D-91DF194F62DC}" type="pres">
      <dgm:prSet presAssocID="{27C3018E-1948-4088-8B9A-50977B556B66}" presName="hierChild5" presStyleCnt="0"/>
      <dgm:spPr/>
    </dgm:pt>
    <dgm:pt modelId="{6C935D04-E95E-48B9-97B8-D9006F3C3D22}" type="pres">
      <dgm:prSet presAssocID="{E699EBEC-620F-414D-BD16-849AD201C393}" presName="Name37" presStyleLbl="parChTrans1D3" presStyleIdx="1" presStyleCnt="12"/>
      <dgm:spPr/>
    </dgm:pt>
    <dgm:pt modelId="{6A2C7900-55F2-4CEB-B27B-ADDA5D4FAA3E}" type="pres">
      <dgm:prSet presAssocID="{9ACCD315-F79C-4F93-89B6-27CEDBB79EC7}" presName="hierRoot2" presStyleCnt="0">
        <dgm:presLayoutVars>
          <dgm:hierBranch val="init"/>
        </dgm:presLayoutVars>
      </dgm:prSet>
      <dgm:spPr/>
    </dgm:pt>
    <dgm:pt modelId="{9548D70B-C4DB-42D6-A091-3B8A0A3C13F1}" type="pres">
      <dgm:prSet presAssocID="{9ACCD315-F79C-4F93-89B6-27CEDBB79EC7}" presName="rootComposite" presStyleCnt="0"/>
      <dgm:spPr/>
    </dgm:pt>
    <dgm:pt modelId="{BB63393F-E92F-4B92-89EE-C704F87265CB}" type="pres">
      <dgm:prSet presAssocID="{9ACCD315-F79C-4F93-89B6-27CEDBB79EC7}" presName="rootText" presStyleLbl="node3" presStyleIdx="1" presStyleCnt="12" custScaleX="109889" custLinFactY="93380" custLinFactNeighborX="57836" custLinFactNeighborY="100000">
        <dgm:presLayoutVars>
          <dgm:chPref val="3"/>
        </dgm:presLayoutVars>
      </dgm:prSet>
      <dgm:spPr/>
    </dgm:pt>
    <dgm:pt modelId="{980542F8-39CF-4EDA-96E6-7F2E4E266168}" type="pres">
      <dgm:prSet presAssocID="{9ACCD315-F79C-4F93-89B6-27CEDBB79EC7}" presName="rootConnector" presStyleLbl="node3" presStyleIdx="1" presStyleCnt="12"/>
      <dgm:spPr/>
    </dgm:pt>
    <dgm:pt modelId="{67FA4A04-330F-4F35-BD94-62D2DFB94232}" type="pres">
      <dgm:prSet presAssocID="{9ACCD315-F79C-4F93-89B6-27CEDBB79EC7}" presName="hierChild4" presStyleCnt="0"/>
      <dgm:spPr/>
    </dgm:pt>
    <dgm:pt modelId="{46FD0464-7274-4723-9AFF-29A54C199DF3}" type="pres">
      <dgm:prSet presAssocID="{FF633612-E89B-49F0-AE41-B4D720B3FABE}" presName="Name37" presStyleLbl="parChTrans1D4" presStyleIdx="6" presStyleCnt="66"/>
      <dgm:spPr/>
    </dgm:pt>
    <dgm:pt modelId="{77A581BD-32D5-4598-B6FF-F842F4ECA441}" type="pres">
      <dgm:prSet presAssocID="{3B40AC12-DB25-4F3B-86E3-97EF8A39DAA4}" presName="hierRoot2" presStyleCnt="0">
        <dgm:presLayoutVars>
          <dgm:hierBranch val="init"/>
        </dgm:presLayoutVars>
      </dgm:prSet>
      <dgm:spPr/>
    </dgm:pt>
    <dgm:pt modelId="{DB9AEDE7-A630-4F93-BBE0-7D9CD899E94C}" type="pres">
      <dgm:prSet presAssocID="{3B40AC12-DB25-4F3B-86E3-97EF8A39DAA4}" presName="rootComposite" presStyleCnt="0"/>
      <dgm:spPr/>
    </dgm:pt>
    <dgm:pt modelId="{1C0710BE-8277-48FD-8E49-B815B773BAF7}" type="pres">
      <dgm:prSet presAssocID="{3B40AC12-DB25-4F3B-86E3-97EF8A39DAA4}" presName="rootText" presStyleLbl="node4" presStyleIdx="6" presStyleCnt="66" custLinFactY="93380" custLinFactNeighborX="65838" custLinFactNeighborY="100000">
        <dgm:presLayoutVars>
          <dgm:chPref val="3"/>
        </dgm:presLayoutVars>
      </dgm:prSet>
      <dgm:spPr/>
    </dgm:pt>
    <dgm:pt modelId="{5C26582D-5B94-4378-B787-983135041F9E}" type="pres">
      <dgm:prSet presAssocID="{3B40AC12-DB25-4F3B-86E3-97EF8A39DAA4}" presName="rootConnector" presStyleLbl="node4" presStyleIdx="6" presStyleCnt="66"/>
      <dgm:spPr/>
    </dgm:pt>
    <dgm:pt modelId="{1E1D74B4-70BE-4221-8F52-EFF5A2C3D4CD}" type="pres">
      <dgm:prSet presAssocID="{3B40AC12-DB25-4F3B-86E3-97EF8A39DAA4}" presName="hierChild4" presStyleCnt="0"/>
      <dgm:spPr/>
    </dgm:pt>
    <dgm:pt modelId="{DCE29AC9-099A-4E9B-8181-294FA18590DB}" type="pres">
      <dgm:prSet presAssocID="{3B40AC12-DB25-4F3B-86E3-97EF8A39DAA4}" presName="hierChild5" presStyleCnt="0"/>
      <dgm:spPr/>
    </dgm:pt>
    <dgm:pt modelId="{7A81ACD0-97E0-411D-AC07-3D6C01FA0A91}" type="pres">
      <dgm:prSet presAssocID="{F44A404F-E73F-4D9C-9B47-03D10BA20013}" presName="Name37" presStyleLbl="parChTrans1D4" presStyleIdx="7" presStyleCnt="66"/>
      <dgm:spPr/>
    </dgm:pt>
    <dgm:pt modelId="{7EC930EC-E403-43DC-9849-9267E6A0CD56}" type="pres">
      <dgm:prSet presAssocID="{0C06A092-57B5-430F-803C-AE2717EE8DA6}" presName="hierRoot2" presStyleCnt="0">
        <dgm:presLayoutVars>
          <dgm:hierBranch val="init"/>
        </dgm:presLayoutVars>
      </dgm:prSet>
      <dgm:spPr/>
    </dgm:pt>
    <dgm:pt modelId="{2D2E1CB5-2D9C-4ED3-9C6F-062E6613E473}" type="pres">
      <dgm:prSet presAssocID="{0C06A092-57B5-430F-803C-AE2717EE8DA6}" presName="rootComposite" presStyleCnt="0"/>
      <dgm:spPr/>
    </dgm:pt>
    <dgm:pt modelId="{5E0FD9DF-C5B8-4569-B877-2D7596F406F5}" type="pres">
      <dgm:prSet presAssocID="{0C06A092-57B5-430F-803C-AE2717EE8DA6}" presName="rootText" presStyleLbl="node4" presStyleIdx="7" presStyleCnt="66" custLinFactY="99477" custLinFactNeighborX="67334" custLinFactNeighborY="100000">
        <dgm:presLayoutVars>
          <dgm:chPref val="3"/>
        </dgm:presLayoutVars>
      </dgm:prSet>
      <dgm:spPr/>
    </dgm:pt>
    <dgm:pt modelId="{2338FD92-D443-4BD8-AF42-3421C5DCF7AA}" type="pres">
      <dgm:prSet presAssocID="{0C06A092-57B5-430F-803C-AE2717EE8DA6}" presName="rootConnector" presStyleLbl="node4" presStyleIdx="7" presStyleCnt="66"/>
      <dgm:spPr/>
    </dgm:pt>
    <dgm:pt modelId="{B5352BCB-B5F5-4262-80F2-983548113B25}" type="pres">
      <dgm:prSet presAssocID="{0C06A092-57B5-430F-803C-AE2717EE8DA6}" presName="hierChild4" presStyleCnt="0"/>
      <dgm:spPr/>
    </dgm:pt>
    <dgm:pt modelId="{4673A0BC-F087-4B73-841B-3F0A2A4014A8}" type="pres">
      <dgm:prSet presAssocID="{0C06A092-57B5-430F-803C-AE2717EE8DA6}" presName="hierChild5" presStyleCnt="0"/>
      <dgm:spPr/>
    </dgm:pt>
    <dgm:pt modelId="{F5A79DB7-1220-48B2-B347-75D17C7DFE1C}" type="pres">
      <dgm:prSet presAssocID="{D878227D-5E00-469A-99F4-5F4C959D9B67}" presName="Name37" presStyleLbl="parChTrans1D4" presStyleIdx="8" presStyleCnt="66"/>
      <dgm:spPr/>
    </dgm:pt>
    <dgm:pt modelId="{F9AB3127-B27A-4E76-BC12-C1BE53E6A7B8}" type="pres">
      <dgm:prSet presAssocID="{17275704-BCB6-4F9F-BDBB-61A09FA59BDB}" presName="hierRoot2" presStyleCnt="0">
        <dgm:presLayoutVars>
          <dgm:hierBranch val="init"/>
        </dgm:presLayoutVars>
      </dgm:prSet>
      <dgm:spPr/>
    </dgm:pt>
    <dgm:pt modelId="{8D2B34EA-ADEB-48DE-A72A-3EFCE6AEF2C0}" type="pres">
      <dgm:prSet presAssocID="{17275704-BCB6-4F9F-BDBB-61A09FA59BDB}" presName="rootComposite" presStyleCnt="0"/>
      <dgm:spPr/>
    </dgm:pt>
    <dgm:pt modelId="{FC079390-5E11-402E-A328-ECC2593DD836}" type="pres">
      <dgm:prSet presAssocID="{17275704-BCB6-4F9F-BDBB-61A09FA59BDB}" presName="rootText" presStyleLbl="node4" presStyleIdx="8" presStyleCnt="66" custLinFactY="93380" custLinFactNeighborX="65838" custLinFactNeighborY="100000">
        <dgm:presLayoutVars>
          <dgm:chPref val="3"/>
        </dgm:presLayoutVars>
      </dgm:prSet>
      <dgm:spPr/>
    </dgm:pt>
    <dgm:pt modelId="{6534FDD8-5D36-4FF6-BAFF-937E27F0DE1C}" type="pres">
      <dgm:prSet presAssocID="{17275704-BCB6-4F9F-BDBB-61A09FA59BDB}" presName="rootConnector" presStyleLbl="node4" presStyleIdx="8" presStyleCnt="66"/>
      <dgm:spPr/>
    </dgm:pt>
    <dgm:pt modelId="{30FE8340-6FD3-4749-B8EF-6CE97F97A652}" type="pres">
      <dgm:prSet presAssocID="{17275704-BCB6-4F9F-BDBB-61A09FA59BDB}" presName="hierChild4" presStyleCnt="0"/>
      <dgm:spPr/>
    </dgm:pt>
    <dgm:pt modelId="{6B7AB42B-760F-4FC4-85D2-60BE0EC77F37}" type="pres">
      <dgm:prSet presAssocID="{17275704-BCB6-4F9F-BDBB-61A09FA59BDB}" presName="hierChild5" presStyleCnt="0"/>
      <dgm:spPr/>
    </dgm:pt>
    <dgm:pt modelId="{92B04F0F-557E-463D-9BAC-D881FCF96652}" type="pres">
      <dgm:prSet presAssocID="{4C782D04-698D-42DA-9422-1A0F1866CD0D}" presName="Name37" presStyleLbl="parChTrans1D4" presStyleIdx="9" presStyleCnt="66"/>
      <dgm:spPr/>
    </dgm:pt>
    <dgm:pt modelId="{5535D901-26F5-45EC-845E-320CDB4C4FB1}" type="pres">
      <dgm:prSet presAssocID="{1DEB2FD9-69D0-4AEE-ABF4-5765E048BB08}" presName="hierRoot2" presStyleCnt="0">
        <dgm:presLayoutVars>
          <dgm:hierBranch val="init"/>
        </dgm:presLayoutVars>
      </dgm:prSet>
      <dgm:spPr/>
    </dgm:pt>
    <dgm:pt modelId="{62306B34-B2CC-4DA0-A2D3-5EFBA7A0B879}" type="pres">
      <dgm:prSet presAssocID="{1DEB2FD9-69D0-4AEE-ABF4-5765E048BB08}" presName="rootComposite" presStyleCnt="0"/>
      <dgm:spPr/>
    </dgm:pt>
    <dgm:pt modelId="{BBC42A3E-1CAC-4E17-8EA4-3AC8698C4ED4}" type="pres">
      <dgm:prSet presAssocID="{1DEB2FD9-69D0-4AEE-ABF4-5765E048BB08}" presName="rootText" presStyleLbl="node4" presStyleIdx="9" presStyleCnt="66" custScaleY="128678" custLinFactY="93380" custLinFactNeighborX="65838" custLinFactNeighborY="100000">
        <dgm:presLayoutVars>
          <dgm:chPref val="3"/>
        </dgm:presLayoutVars>
      </dgm:prSet>
      <dgm:spPr/>
    </dgm:pt>
    <dgm:pt modelId="{126B36F8-7A3C-48A3-9365-CDB389BB159C}" type="pres">
      <dgm:prSet presAssocID="{1DEB2FD9-69D0-4AEE-ABF4-5765E048BB08}" presName="rootConnector" presStyleLbl="node4" presStyleIdx="9" presStyleCnt="66"/>
      <dgm:spPr/>
    </dgm:pt>
    <dgm:pt modelId="{BC5B29B8-99BC-463B-96A7-A3F27EE44448}" type="pres">
      <dgm:prSet presAssocID="{1DEB2FD9-69D0-4AEE-ABF4-5765E048BB08}" presName="hierChild4" presStyleCnt="0"/>
      <dgm:spPr/>
    </dgm:pt>
    <dgm:pt modelId="{EE0D586A-5EAC-40E7-BD54-C4E0D9583A59}" type="pres">
      <dgm:prSet presAssocID="{1DEB2FD9-69D0-4AEE-ABF4-5765E048BB08}" presName="hierChild5" presStyleCnt="0"/>
      <dgm:spPr/>
    </dgm:pt>
    <dgm:pt modelId="{78C6A68A-B465-4C22-8A8A-2767386936F2}" type="pres">
      <dgm:prSet presAssocID="{7538FCE1-3BBD-4CD4-9F7E-8F1A53513270}" presName="Name37" presStyleLbl="parChTrans1D4" presStyleIdx="10" presStyleCnt="66"/>
      <dgm:spPr/>
    </dgm:pt>
    <dgm:pt modelId="{FC234938-0D4D-4DA6-86B5-2161AE4DBB86}" type="pres">
      <dgm:prSet presAssocID="{DE09ACB2-65BC-46E1-AA9A-47CDDFD9091D}" presName="hierRoot2" presStyleCnt="0">
        <dgm:presLayoutVars>
          <dgm:hierBranch val="init"/>
        </dgm:presLayoutVars>
      </dgm:prSet>
      <dgm:spPr/>
    </dgm:pt>
    <dgm:pt modelId="{21295964-D8DD-4435-8AE9-AEAEE74C5C91}" type="pres">
      <dgm:prSet presAssocID="{DE09ACB2-65BC-46E1-AA9A-47CDDFD9091D}" presName="rootComposite" presStyleCnt="0"/>
      <dgm:spPr/>
    </dgm:pt>
    <dgm:pt modelId="{68850AFD-9F93-4031-A3DA-23AB544C1C42}" type="pres">
      <dgm:prSet presAssocID="{DE09ACB2-65BC-46E1-AA9A-47CDDFD9091D}" presName="rootText" presStyleLbl="node4" presStyleIdx="10" presStyleCnt="66" custScaleY="205370" custLinFactY="93380" custLinFactNeighborX="65838" custLinFactNeighborY="100000">
        <dgm:presLayoutVars>
          <dgm:chPref val="3"/>
        </dgm:presLayoutVars>
      </dgm:prSet>
      <dgm:spPr/>
    </dgm:pt>
    <dgm:pt modelId="{49E06A30-CA78-4C3A-A6B3-CD6550A6DF09}" type="pres">
      <dgm:prSet presAssocID="{DE09ACB2-65BC-46E1-AA9A-47CDDFD9091D}" presName="rootConnector" presStyleLbl="node4" presStyleIdx="10" presStyleCnt="66"/>
      <dgm:spPr/>
    </dgm:pt>
    <dgm:pt modelId="{992A1B8E-1788-453B-94C6-56529B7BFACD}" type="pres">
      <dgm:prSet presAssocID="{DE09ACB2-65BC-46E1-AA9A-47CDDFD9091D}" presName="hierChild4" presStyleCnt="0"/>
      <dgm:spPr/>
    </dgm:pt>
    <dgm:pt modelId="{A746BC63-B8B9-4367-9DE9-F3D7E928CE81}" type="pres">
      <dgm:prSet presAssocID="{DE09ACB2-65BC-46E1-AA9A-47CDDFD9091D}" presName="hierChild5" presStyleCnt="0"/>
      <dgm:spPr/>
    </dgm:pt>
    <dgm:pt modelId="{AA424C92-F1C9-42FD-8466-2BC9A463A5AE}" type="pres">
      <dgm:prSet presAssocID="{9ACCD315-F79C-4F93-89B6-27CEDBB79EC7}" presName="hierChild5" presStyleCnt="0"/>
      <dgm:spPr/>
    </dgm:pt>
    <dgm:pt modelId="{87FB92F7-9004-4212-BA10-132952FDAACB}" type="pres">
      <dgm:prSet presAssocID="{05CEB898-A87F-4E33-9061-E67F605E1722}" presName="Name37" presStyleLbl="parChTrans1D3" presStyleIdx="2" presStyleCnt="12"/>
      <dgm:spPr/>
    </dgm:pt>
    <dgm:pt modelId="{7C7E511E-5484-4BE5-BD7A-3CC399C6AC38}" type="pres">
      <dgm:prSet presAssocID="{3032589B-8788-4F32-8948-919418D8EC72}" presName="hierRoot2" presStyleCnt="0">
        <dgm:presLayoutVars>
          <dgm:hierBranch val="init"/>
        </dgm:presLayoutVars>
      </dgm:prSet>
      <dgm:spPr/>
    </dgm:pt>
    <dgm:pt modelId="{9E48966F-BD7E-4F03-9D97-8F856459878F}" type="pres">
      <dgm:prSet presAssocID="{3032589B-8788-4F32-8948-919418D8EC72}" presName="rootComposite" presStyleCnt="0"/>
      <dgm:spPr/>
    </dgm:pt>
    <dgm:pt modelId="{A2309983-64E2-4013-B61D-39616B815912}" type="pres">
      <dgm:prSet presAssocID="{3032589B-8788-4F32-8948-919418D8EC72}" presName="rootText" presStyleLbl="node3" presStyleIdx="2" presStyleCnt="12" custLinFactY="91318" custLinFactNeighborX="66650" custLinFactNeighborY="100000">
        <dgm:presLayoutVars>
          <dgm:chPref val="3"/>
        </dgm:presLayoutVars>
      </dgm:prSet>
      <dgm:spPr/>
    </dgm:pt>
    <dgm:pt modelId="{853C645F-43EA-46AE-A61E-B9EBB661B325}" type="pres">
      <dgm:prSet presAssocID="{3032589B-8788-4F32-8948-919418D8EC72}" presName="rootConnector" presStyleLbl="node3" presStyleIdx="2" presStyleCnt="12"/>
      <dgm:spPr/>
    </dgm:pt>
    <dgm:pt modelId="{C44820D9-2F03-4158-94AC-F81555F327B0}" type="pres">
      <dgm:prSet presAssocID="{3032589B-8788-4F32-8948-919418D8EC72}" presName="hierChild4" presStyleCnt="0"/>
      <dgm:spPr/>
    </dgm:pt>
    <dgm:pt modelId="{43A51C16-37FA-4B02-9F52-DF7B935CD630}" type="pres">
      <dgm:prSet presAssocID="{F273C308-DEEA-4A8D-8C6A-9CF39F1F3A08}" presName="Name37" presStyleLbl="parChTrans1D4" presStyleIdx="11" presStyleCnt="66"/>
      <dgm:spPr/>
    </dgm:pt>
    <dgm:pt modelId="{F9FF6312-8997-40B6-9610-78D2B78E4018}" type="pres">
      <dgm:prSet presAssocID="{9C5877DB-5FFF-44B2-A718-C2C391F9D61C}" presName="hierRoot2" presStyleCnt="0">
        <dgm:presLayoutVars>
          <dgm:hierBranch val="init"/>
        </dgm:presLayoutVars>
      </dgm:prSet>
      <dgm:spPr/>
    </dgm:pt>
    <dgm:pt modelId="{3519BE3D-14A4-4D5C-AC38-FBA5ED384C3D}" type="pres">
      <dgm:prSet presAssocID="{9C5877DB-5FFF-44B2-A718-C2C391F9D61C}" presName="rootComposite" presStyleCnt="0"/>
      <dgm:spPr/>
    </dgm:pt>
    <dgm:pt modelId="{A0B514C0-E66F-4AA6-A418-99212F9C976B}" type="pres">
      <dgm:prSet presAssocID="{9C5877DB-5FFF-44B2-A718-C2C391F9D61C}" presName="rootText" presStyleLbl="node4" presStyleIdx="11" presStyleCnt="66" custLinFactY="93794" custLinFactNeighborX="71442" custLinFactNeighborY="100000">
        <dgm:presLayoutVars>
          <dgm:chPref val="3"/>
        </dgm:presLayoutVars>
      </dgm:prSet>
      <dgm:spPr/>
    </dgm:pt>
    <dgm:pt modelId="{92137862-6743-4F42-BB1D-E5B0B6BFFA5D}" type="pres">
      <dgm:prSet presAssocID="{9C5877DB-5FFF-44B2-A718-C2C391F9D61C}" presName="rootConnector" presStyleLbl="node4" presStyleIdx="11" presStyleCnt="66"/>
      <dgm:spPr/>
    </dgm:pt>
    <dgm:pt modelId="{57693E0F-3F49-457B-96E0-EB328D27FF02}" type="pres">
      <dgm:prSet presAssocID="{9C5877DB-5FFF-44B2-A718-C2C391F9D61C}" presName="hierChild4" presStyleCnt="0"/>
      <dgm:spPr/>
    </dgm:pt>
    <dgm:pt modelId="{ABA164E7-C9DD-47CD-B104-43B406252CAE}" type="pres">
      <dgm:prSet presAssocID="{9C5877DB-5FFF-44B2-A718-C2C391F9D61C}" presName="hierChild5" presStyleCnt="0"/>
      <dgm:spPr/>
    </dgm:pt>
    <dgm:pt modelId="{D5C737D7-D757-4175-9785-85ED9586E540}" type="pres">
      <dgm:prSet presAssocID="{2FABFE8A-CB11-4BF8-A573-FDDC524F4A59}" presName="Name37" presStyleLbl="parChTrans1D4" presStyleIdx="12" presStyleCnt="66"/>
      <dgm:spPr/>
    </dgm:pt>
    <dgm:pt modelId="{42B7229A-EB33-41C8-8E24-383AE4D7319F}" type="pres">
      <dgm:prSet presAssocID="{6C7746F2-4AF5-447B-9EDE-3CA71227ADCB}" presName="hierRoot2" presStyleCnt="0">
        <dgm:presLayoutVars>
          <dgm:hierBranch val="init"/>
        </dgm:presLayoutVars>
      </dgm:prSet>
      <dgm:spPr/>
    </dgm:pt>
    <dgm:pt modelId="{52648CED-3CD2-404E-AB3C-CD616501AC72}" type="pres">
      <dgm:prSet presAssocID="{6C7746F2-4AF5-447B-9EDE-3CA71227ADCB}" presName="rootComposite" presStyleCnt="0"/>
      <dgm:spPr/>
    </dgm:pt>
    <dgm:pt modelId="{6EB9EC8F-3815-4FA8-AB91-7FF1CDF88BA3}" type="pres">
      <dgm:prSet presAssocID="{6C7746F2-4AF5-447B-9EDE-3CA71227ADCB}" presName="rootText" presStyleLbl="node4" presStyleIdx="12" presStyleCnt="66" custLinFactY="98597" custLinFactNeighborX="69076" custLinFactNeighborY="100000">
        <dgm:presLayoutVars>
          <dgm:chPref val="3"/>
        </dgm:presLayoutVars>
      </dgm:prSet>
      <dgm:spPr/>
    </dgm:pt>
    <dgm:pt modelId="{F6AAFC1B-2821-439E-B21B-B7C15AA54264}" type="pres">
      <dgm:prSet presAssocID="{6C7746F2-4AF5-447B-9EDE-3CA71227ADCB}" presName="rootConnector" presStyleLbl="node4" presStyleIdx="12" presStyleCnt="66"/>
      <dgm:spPr/>
    </dgm:pt>
    <dgm:pt modelId="{051066B4-0A86-4BD9-B305-6791F500B5C1}" type="pres">
      <dgm:prSet presAssocID="{6C7746F2-4AF5-447B-9EDE-3CA71227ADCB}" presName="hierChild4" presStyleCnt="0"/>
      <dgm:spPr/>
    </dgm:pt>
    <dgm:pt modelId="{E141C784-FEB4-4E50-94C5-6DDE787A96A0}" type="pres">
      <dgm:prSet presAssocID="{6C7746F2-4AF5-447B-9EDE-3CA71227ADCB}" presName="hierChild5" presStyleCnt="0"/>
      <dgm:spPr/>
    </dgm:pt>
    <dgm:pt modelId="{8F9A3F07-91E0-4045-A8A5-B6061CB70E1B}" type="pres">
      <dgm:prSet presAssocID="{A6CF12DB-9B92-40F0-895E-8A36753AF3F8}" presName="Name37" presStyleLbl="parChTrans1D4" presStyleIdx="13" presStyleCnt="66"/>
      <dgm:spPr/>
    </dgm:pt>
    <dgm:pt modelId="{2D9588D3-817E-4CFE-BE42-1BA71BDBEEFA}" type="pres">
      <dgm:prSet presAssocID="{2807D3FA-2E78-4894-94FA-1A8C49DE0110}" presName="hierRoot2" presStyleCnt="0">
        <dgm:presLayoutVars>
          <dgm:hierBranch val="init"/>
        </dgm:presLayoutVars>
      </dgm:prSet>
      <dgm:spPr/>
    </dgm:pt>
    <dgm:pt modelId="{3F8661D7-A266-4576-966D-C8D755C1EBF7}" type="pres">
      <dgm:prSet presAssocID="{2807D3FA-2E78-4894-94FA-1A8C49DE0110}" presName="rootComposite" presStyleCnt="0"/>
      <dgm:spPr/>
    </dgm:pt>
    <dgm:pt modelId="{54B187C0-B183-42C9-B68A-9309AC25D80F}" type="pres">
      <dgm:prSet presAssocID="{2807D3FA-2E78-4894-94FA-1A8C49DE0110}" presName="rootText" presStyleLbl="node4" presStyleIdx="13" presStyleCnt="66" custLinFactY="98597" custLinFactNeighborX="69076" custLinFactNeighborY="100000">
        <dgm:presLayoutVars>
          <dgm:chPref val="3"/>
        </dgm:presLayoutVars>
      </dgm:prSet>
      <dgm:spPr/>
    </dgm:pt>
    <dgm:pt modelId="{12C13CD1-66F0-4735-B853-1F5653371D8D}" type="pres">
      <dgm:prSet presAssocID="{2807D3FA-2E78-4894-94FA-1A8C49DE0110}" presName="rootConnector" presStyleLbl="node4" presStyleIdx="13" presStyleCnt="66"/>
      <dgm:spPr/>
    </dgm:pt>
    <dgm:pt modelId="{102677DA-C5CF-482F-A466-96AEF0A9CF7D}" type="pres">
      <dgm:prSet presAssocID="{2807D3FA-2E78-4894-94FA-1A8C49DE0110}" presName="hierChild4" presStyleCnt="0"/>
      <dgm:spPr/>
    </dgm:pt>
    <dgm:pt modelId="{4EF3041F-1898-498C-9E60-0D2712CDD774}" type="pres">
      <dgm:prSet presAssocID="{2807D3FA-2E78-4894-94FA-1A8C49DE0110}" presName="hierChild5" presStyleCnt="0"/>
      <dgm:spPr/>
    </dgm:pt>
    <dgm:pt modelId="{FE1E039A-3C1B-4D91-9AA8-D49198CFE252}" type="pres">
      <dgm:prSet presAssocID="{6BBF10A9-8AE1-4333-BE0C-7DBB170B15DB}" presName="Name37" presStyleLbl="parChTrans1D4" presStyleIdx="14" presStyleCnt="66"/>
      <dgm:spPr/>
    </dgm:pt>
    <dgm:pt modelId="{9C445FC0-F24E-4ED8-99F2-D13022D39E66}" type="pres">
      <dgm:prSet presAssocID="{696F36F7-CEB4-42BB-BB03-3C8EB7486B00}" presName="hierRoot2" presStyleCnt="0">
        <dgm:presLayoutVars>
          <dgm:hierBranch val="init"/>
        </dgm:presLayoutVars>
      </dgm:prSet>
      <dgm:spPr/>
    </dgm:pt>
    <dgm:pt modelId="{7E2110A7-7247-4551-BB2E-602EE11DFE3A}" type="pres">
      <dgm:prSet presAssocID="{696F36F7-CEB4-42BB-BB03-3C8EB7486B00}" presName="rootComposite" presStyleCnt="0"/>
      <dgm:spPr/>
    </dgm:pt>
    <dgm:pt modelId="{F2BF0078-FA9D-45D3-ABA6-2A26BEB489A7}" type="pres">
      <dgm:prSet presAssocID="{696F36F7-CEB4-42BB-BB03-3C8EB7486B00}" presName="rootText" presStyleLbl="node4" presStyleIdx="14" presStyleCnt="66" custLinFactY="98597" custLinFactNeighborX="69076" custLinFactNeighborY="100000">
        <dgm:presLayoutVars>
          <dgm:chPref val="3"/>
        </dgm:presLayoutVars>
      </dgm:prSet>
      <dgm:spPr/>
    </dgm:pt>
    <dgm:pt modelId="{E7C4D0D6-379D-499B-B4DF-BC88B707187A}" type="pres">
      <dgm:prSet presAssocID="{696F36F7-CEB4-42BB-BB03-3C8EB7486B00}" presName="rootConnector" presStyleLbl="node4" presStyleIdx="14" presStyleCnt="66"/>
      <dgm:spPr/>
    </dgm:pt>
    <dgm:pt modelId="{BAC52F69-4CF7-4B38-82AF-2DF8EFFB27D0}" type="pres">
      <dgm:prSet presAssocID="{696F36F7-CEB4-42BB-BB03-3C8EB7486B00}" presName="hierChild4" presStyleCnt="0"/>
      <dgm:spPr/>
    </dgm:pt>
    <dgm:pt modelId="{CC94FC67-C77F-4B75-BC4E-D7A77C511209}" type="pres">
      <dgm:prSet presAssocID="{696F36F7-CEB4-42BB-BB03-3C8EB7486B00}" presName="hierChild5" presStyleCnt="0"/>
      <dgm:spPr/>
    </dgm:pt>
    <dgm:pt modelId="{6E7E895B-9108-4AA9-B42E-925D9E20DB86}" type="pres">
      <dgm:prSet presAssocID="{45D92EA8-0AC1-4DA5-B2FF-32F1CC8F2C35}" presName="Name37" presStyleLbl="parChTrans1D4" presStyleIdx="15" presStyleCnt="66"/>
      <dgm:spPr/>
    </dgm:pt>
    <dgm:pt modelId="{3F97CECF-5289-47B5-9116-026BF1522BDB}" type="pres">
      <dgm:prSet presAssocID="{5567F3F9-ED7F-478C-AFC1-71C36633BD7B}" presName="hierRoot2" presStyleCnt="0">
        <dgm:presLayoutVars>
          <dgm:hierBranch val="init"/>
        </dgm:presLayoutVars>
      </dgm:prSet>
      <dgm:spPr/>
    </dgm:pt>
    <dgm:pt modelId="{F51554EB-3534-440A-B936-AD939A7368DF}" type="pres">
      <dgm:prSet presAssocID="{5567F3F9-ED7F-478C-AFC1-71C36633BD7B}" presName="rootComposite" presStyleCnt="0"/>
      <dgm:spPr/>
    </dgm:pt>
    <dgm:pt modelId="{C362857C-DBE7-445D-8007-4AD3FBD12260}" type="pres">
      <dgm:prSet presAssocID="{5567F3F9-ED7F-478C-AFC1-71C36633BD7B}" presName="rootText" presStyleLbl="node4" presStyleIdx="15" presStyleCnt="66" custLinFactY="90752" custLinFactNeighborX="66105" custLinFactNeighborY="100000">
        <dgm:presLayoutVars>
          <dgm:chPref val="3"/>
        </dgm:presLayoutVars>
      </dgm:prSet>
      <dgm:spPr/>
    </dgm:pt>
    <dgm:pt modelId="{27FB6715-480E-4162-9493-B3EB899BFAC0}" type="pres">
      <dgm:prSet presAssocID="{5567F3F9-ED7F-478C-AFC1-71C36633BD7B}" presName="rootConnector" presStyleLbl="node4" presStyleIdx="15" presStyleCnt="66"/>
      <dgm:spPr/>
    </dgm:pt>
    <dgm:pt modelId="{8E14B458-1254-4D63-8305-7983694AC1A2}" type="pres">
      <dgm:prSet presAssocID="{5567F3F9-ED7F-478C-AFC1-71C36633BD7B}" presName="hierChild4" presStyleCnt="0"/>
      <dgm:spPr/>
    </dgm:pt>
    <dgm:pt modelId="{E7828B18-E6B4-432E-AF4B-D6790CBE92C4}" type="pres">
      <dgm:prSet presAssocID="{5567F3F9-ED7F-478C-AFC1-71C36633BD7B}" presName="hierChild5" presStyleCnt="0"/>
      <dgm:spPr/>
    </dgm:pt>
    <dgm:pt modelId="{B62EF04B-411F-47F1-9FFF-B7356F8A668B}" type="pres">
      <dgm:prSet presAssocID="{3032589B-8788-4F32-8948-919418D8EC72}" presName="hierChild5" presStyleCnt="0"/>
      <dgm:spPr/>
    </dgm:pt>
    <dgm:pt modelId="{6972CBBD-2785-4DA2-B2F0-524ECFB78670}" type="pres">
      <dgm:prSet presAssocID="{06D1C098-6463-4C5D-A19E-E9545479BD80}" presName="Name37" presStyleLbl="parChTrans1D3" presStyleIdx="3" presStyleCnt="12"/>
      <dgm:spPr/>
    </dgm:pt>
    <dgm:pt modelId="{724778DE-D913-4E6C-B04F-B44172437C6B}" type="pres">
      <dgm:prSet presAssocID="{81A24046-04BB-4F02-AB73-0E458D676B4A}" presName="hierRoot2" presStyleCnt="0">
        <dgm:presLayoutVars>
          <dgm:hierBranch val="init"/>
        </dgm:presLayoutVars>
      </dgm:prSet>
      <dgm:spPr/>
    </dgm:pt>
    <dgm:pt modelId="{61B1A310-9F14-42D5-91A4-27471ACF02A3}" type="pres">
      <dgm:prSet presAssocID="{81A24046-04BB-4F02-AB73-0E458D676B4A}" presName="rootComposite" presStyleCnt="0"/>
      <dgm:spPr/>
    </dgm:pt>
    <dgm:pt modelId="{93A4B01C-61F9-4E55-BF93-4C4E701F393F}" type="pres">
      <dgm:prSet presAssocID="{81A24046-04BB-4F02-AB73-0E458D676B4A}" presName="rootText" presStyleLbl="node3" presStyleIdx="3" presStyleCnt="12" custLinFactY="91734" custLinFactNeighborX="78560" custLinFactNeighborY="100000">
        <dgm:presLayoutVars>
          <dgm:chPref val="3"/>
        </dgm:presLayoutVars>
      </dgm:prSet>
      <dgm:spPr/>
    </dgm:pt>
    <dgm:pt modelId="{47DEE9BD-C63A-4748-B3AA-4D182255A084}" type="pres">
      <dgm:prSet presAssocID="{81A24046-04BB-4F02-AB73-0E458D676B4A}" presName="rootConnector" presStyleLbl="node3" presStyleIdx="3" presStyleCnt="12"/>
      <dgm:spPr/>
    </dgm:pt>
    <dgm:pt modelId="{DA27F9B8-9319-45EC-BD1F-FC9082676F0B}" type="pres">
      <dgm:prSet presAssocID="{81A24046-04BB-4F02-AB73-0E458D676B4A}" presName="hierChild4" presStyleCnt="0"/>
      <dgm:spPr/>
    </dgm:pt>
    <dgm:pt modelId="{812C7A73-A9E9-4F29-8753-1B06479711FE}" type="pres">
      <dgm:prSet presAssocID="{39B12F7A-BB8F-4DE8-B2F0-D129922A1D66}" presName="Name37" presStyleLbl="parChTrans1D4" presStyleIdx="16" presStyleCnt="66"/>
      <dgm:spPr/>
    </dgm:pt>
    <dgm:pt modelId="{6C8D54E1-F767-444B-A096-237A698BECDB}" type="pres">
      <dgm:prSet presAssocID="{DFA01E18-02F2-4A7F-BA2F-FD530E6B00C0}" presName="hierRoot2" presStyleCnt="0">
        <dgm:presLayoutVars>
          <dgm:hierBranch val="init"/>
        </dgm:presLayoutVars>
      </dgm:prSet>
      <dgm:spPr/>
    </dgm:pt>
    <dgm:pt modelId="{DBC82E47-C451-425E-9FBD-E9819A04E91E}" type="pres">
      <dgm:prSet presAssocID="{DFA01E18-02F2-4A7F-BA2F-FD530E6B00C0}" presName="rootComposite" presStyleCnt="0"/>
      <dgm:spPr/>
    </dgm:pt>
    <dgm:pt modelId="{D02299FA-4479-495D-8CBD-480AE3E2BA21}" type="pres">
      <dgm:prSet presAssocID="{DFA01E18-02F2-4A7F-BA2F-FD530E6B00C0}" presName="rootText" presStyleLbl="node4" presStyleIdx="16" presStyleCnt="66" custLinFactY="99013" custLinFactNeighborX="78560" custLinFactNeighborY="100000">
        <dgm:presLayoutVars>
          <dgm:chPref val="3"/>
        </dgm:presLayoutVars>
      </dgm:prSet>
      <dgm:spPr/>
    </dgm:pt>
    <dgm:pt modelId="{040EDBC0-1A72-4D6D-8F1E-A74C40EE3431}" type="pres">
      <dgm:prSet presAssocID="{DFA01E18-02F2-4A7F-BA2F-FD530E6B00C0}" presName="rootConnector" presStyleLbl="node4" presStyleIdx="16" presStyleCnt="66"/>
      <dgm:spPr/>
    </dgm:pt>
    <dgm:pt modelId="{E82F3F72-695F-4961-A7F4-06C62CA3F74A}" type="pres">
      <dgm:prSet presAssocID="{DFA01E18-02F2-4A7F-BA2F-FD530E6B00C0}" presName="hierChild4" presStyleCnt="0"/>
      <dgm:spPr/>
    </dgm:pt>
    <dgm:pt modelId="{D4E204C0-CC1C-4E30-B95C-5DA401766D86}" type="pres">
      <dgm:prSet presAssocID="{DFA01E18-02F2-4A7F-BA2F-FD530E6B00C0}" presName="hierChild5" presStyleCnt="0"/>
      <dgm:spPr/>
    </dgm:pt>
    <dgm:pt modelId="{3218B332-4925-4D86-88B2-71F9A17D0333}" type="pres">
      <dgm:prSet presAssocID="{1FFB6300-A5F7-4076-A6A3-29D3636D9814}" presName="Name37" presStyleLbl="parChTrans1D4" presStyleIdx="17" presStyleCnt="66"/>
      <dgm:spPr/>
    </dgm:pt>
    <dgm:pt modelId="{AB31AD9C-8855-405B-9696-17C4FC995F6D}" type="pres">
      <dgm:prSet presAssocID="{F07350B7-9307-42BB-84DD-90D8F66868EC}" presName="hierRoot2" presStyleCnt="0">
        <dgm:presLayoutVars>
          <dgm:hierBranch val="init"/>
        </dgm:presLayoutVars>
      </dgm:prSet>
      <dgm:spPr/>
    </dgm:pt>
    <dgm:pt modelId="{8D12E631-65D7-4805-8503-AFB148045099}" type="pres">
      <dgm:prSet presAssocID="{F07350B7-9307-42BB-84DD-90D8F66868EC}" presName="rootComposite" presStyleCnt="0"/>
      <dgm:spPr/>
    </dgm:pt>
    <dgm:pt modelId="{7E2A0415-83F2-434E-824C-962406704058}" type="pres">
      <dgm:prSet presAssocID="{F07350B7-9307-42BB-84DD-90D8F66868EC}" presName="rootText" presStyleLbl="node4" presStyleIdx="17" presStyleCnt="66" custLinFactY="99013" custLinFactNeighborX="78560" custLinFactNeighborY="100000">
        <dgm:presLayoutVars>
          <dgm:chPref val="3"/>
        </dgm:presLayoutVars>
      </dgm:prSet>
      <dgm:spPr/>
    </dgm:pt>
    <dgm:pt modelId="{8E1AE36E-E61D-4AC4-910A-7F86ECD5B0E4}" type="pres">
      <dgm:prSet presAssocID="{F07350B7-9307-42BB-84DD-90D8F66868EC}" presName="rootConnector" presStyleLbl="node4" presStyleIdx="17" presStyleCnt="66"/>
      <dgm:spPr/>
    </dgm:pt>
    <dgm:pt modelId="{28351F9F-F038-450D-BC57-38BCDD7A7462}" type="pres">
      <dgm:prSet presAssocID="{F07350B7-9307-42BB-84DD-90D8F66868EC}" presName="hierChild4" presStyleCnt="0"/>
      <dgm:spPr/>
    </dgm:pt>
    <dgm:pt modelId="{41C99D9B-4B44-43F3-9942-F5D67218260B}" type="pres">
      <dgm:prSet presAssocID="{F07350B7-9307-42BB-84DD-90D8F66868EC}" presName="hierChild5" presStyleCnt="0"/>
      <dgm:spPr/>
    </dgm:pt>
    <dgm:pt modelId="{D255F7C2-BB82-4FD9-811A-9351B8A0D25D}" type="pres">
      <dgm:prSet presAssocID="{EDC43AE7-0398-44EB-B67E-DC43D0C5D7C6}" presName="Name37" presStyleLbl="parChTrans1D4" presStyleIdx="18" presStyleCnt="66"/>
      <dgm:spPr/>
    </dgm:pt>
    <dgm:pt modelId="{CB83ABB5-3A65-45D3-8954-B1BA04E204DB}" type="pres">
      <dgm:prSet presAssocID="{56DFF7E9-98AC-4B22-AB77-33FABD972DF3}" presName="hierRoot2" presStyleCnt="0">
        <dgm:presLayoutVars>
          <dgm:hierBranch val="init"/>
        </dgm:presLayoutVars>
      </dgm:prSet>
      <dgm:spPr/>
    </dgm:pt>
    <dgm:pt modelId="{D4D74C2C-7A41-449E-9C07-ECC54579DF38}" type="pres">
      <dgm:prSet presAssocID="{56DFF7E9-98AC-4B22-AB77-33FABD972DF3}" presName="rootComposite" presStyleCnt="0"/>
      <dgm:spPr/>
    </dgm:pt>
    <dgm:pt modelId="{72D96D66-AD07-40DF-9B3C-9E05EE661377}" type="pres">
      <dgm:prSet presAssocID="{56DFF7E9-98AC-4B22-AB77-33FABD972DF3}" presName="rootText" presStyleLbl="node4" presStyleIdx="18" presStyleCnt="66" custScaleY="107940" custLinFactY="99013" custLinFactNeighborX="78560" custLinFactNeighborY="100000">
        <dgm:presLayoutVars>
          <dgm:chPref val="3"/>
        </dgm:presLayoutVars>
      </dgm:prSet>
      <dgm:spPr/>
    </dgm:pt>
    <dgm:pt modelId="{93E68B5D-8E4D-467B-809E-50C18EAF13E3}" type="pres">
      <dgm:prSet presAssocID="{56DFF7E9-98AC-4B22-AB77-33FABD972DF3}" presName="rootConnector" presStyleLbl="node4" presStyleIdx="18" presStyleCnt="66"/>
      <dgm:spPr/>
    </dgm:pt>
    <dgm:pt modelId="{D03D9001-10CE-449C-A023-AF9CEAB82F6F}" type="pres">
      <dgm:prSet presAssocID="{56DFF7E9-98AC-4B22-AB77-33FABD972DF3}" presName="hierChild4" presStyleCnt="0"/>
      <dgm:spPr/>
    </dgm:pt>
    <dgm:pt modelId="{58B0F87E-0343-4B00-9AAD-F9B436FCC27F}" type="pres">
      <dgm:prSet presAssocID="{56DFF7E9-98AC-4B22-AB77-33FABD972DF3}" presName="hierChild5" presStyleCnt="0"/>
      <dgm:spPr/>
    </dgm:pt>
    <dgm:pt modelId="{823D4F97-233B-47DF-B724-6B5FA2DEEB59}" type="pres">
      <dgm:prSet presAssocID="{75838857-3A1D-4F98-8A13-4CB76DBC4D16}" presName="Name37" presStyleLbl="parChTrans1D4" presStyleIdx="19" presStyleCnt="66"/>
      <dgm:spPr/>
    </dgm:pt>
    <dgm:pt modelId="{B961C2AB-BE67-4100-AE41-6E490EB06BD3}" type="pres">
      <dgm:prSet presAssocID="{364BE0BF-40AA-4172-8255-7BE3C35618C7}" presName="hierRoot2" presStyleCnt="0">
        <dgm:presLayoutVars>
          <dgm:hierBranch val="init"/>
        </dgm:presLayoutVars>
      </dgm:prSet>
      <dgm:spPr/>
    </dgm:pt>
    <dgm:pt modelId="{DCC63FD8-F87E-4F48-8D48-D607ABC05D2C}" type="pres">
      <dgm:prSet presAssocID="{364BE0BF-40AA-4172-8255-7BE3C35618C7}" presName="rootComposite" presStyleCnt="0"/>
      <dgm:spPr/>
    </dgm:pt>
    <dgm:pt modelId="{97042A81-50D6-4916-A7BC-07D2D82BAF15}" type="pres">
      <dgm:prSet presAssocID="{364BE0BF-40AA-4172-8255-7BE3C35618C7}" presName="rootText" presStyleLbl="node4" presStyleIdx="19" presStyleCnt="66" custLinFactY="100000" custLinFactNeighborX="78629" custLinFactNeighborY="110520">
        <dgm:presLayoutVars>
          <dgm:chPref val="3"/>
        </dgm:presLayoutVars>
      </dgm:prSet>
      <dgm:spPr/>
    </dgm:pt>
    <dgm:pt modelId="{77A0A1C0-758D-47F2-AB1D-FE59DA20C085}" type="pres">
      <dgm:prSet presAssocID="{364BE0BF-40AA-4172-8255-7BE3C35618C7}" presName="rootConnector" presStyleLbl="node4" presStyleIdx="19" presStyleCnt="66"/>
      <dgm:spPr/>
    </dgm:pt>
    <dgm:pt modelId="{C7E6308C-2406-45BA-89E1-465ECAAE9395}" type="pres">
      <dgm:prSet presAssocID="{364BE0BF-40AA-4172-8255-7BE3C35618C7}" presName="hierChild4" presStyleCnt="0"/>
      <dgm:spPr/>
    </dgm:pt>
    <dgm:pt modelId="{68350AF5-06B5-4CD0-BAFE-79C17D617BD3}" type="pres">
      <dgm:prSet presAssocID="{364BE0BF-40AA-4172-8255-7BE3C35618C7}" presName="hierChild5" presStyleCnt="0"/>
      <dgm:spPr/>
    </dgm:pt>
    <dgm:pt modelId="{292DE037-B33F-4844-AC0B-90E4E5B8486A}" type="pres">
      <dgm:prSet presAssocID="{81A24046-04BB-4F02-AB73-0E458D676B4A}" presName="hierChild5" presStyleCnt="0"/>
      <dgm:spPr/>
    </dgm:pt>
    <dgm:pt modelId="{1B0CD237-FFEF-4FAF-AB6E-3961424C99A9}" type="pres">
      <dgm:prSet presAssocID="{EB169C33-F586-4149-83FE-9DDAF38D4719}" presName="hierChild5" presStyleCnt="0"/>
      <dgm:spPr/>
    </dgm:pt>
    <dgm:pt modelId="{72AC3BD5-4A09-465F-9D74-1F4C77F1781A}" type="pres">
      <dgm:prSet presAssocID="{A7AAAFDF-146D-435A-BDEF-02257F2DE347}" presName="Name37" presStyleLbl="parChTrans1D2" presStyleIdx="1" presStyleCnt="7"/>
      <dgm:spPr/>
    </dgm:pt>
    <dgm:pt modelId="{533ED15D-8B4D-4350-83D9-759D8E43701F}" type="pres">
      <dgm:prSet presAssocID="{670DC88F-8F9F-48D0-BBD4-4787B3DCFE5D}" presName="hierRoot2" presStyleCnt="0">
        <dgm:presLayoutVars>
          <dgm:hierBranch val="init"/>
        </dgm:presLayoutVars>
      </dgm:prSet>
      <dgm:spPr/>
    </dgm:pt>
    <dgm:pt modelId="{822F02B6-E783-42CC-9677-2BD4C584EB27}" type="pres">
      <dgm:prSet presAssocID="{670DC88F-8F9F-48D0-BBD4-4787B3DCFE5D}" presName="rootComposite" presStyleCnt="0"/>
      <dgm:spPr/>
    </dgm:pt>
    <dgm:pt modelId="{57E88E86-B06D-4ECF-BC0D-8A2EF486527E}" type="pres">
      <dgm:prSet presAssocID="{670DC88F-8F9F-48D0-BBD4-4787B3DCFE5D}" presName="rootText" presStyleLbl="node2" presStyleIdx="1" presStyleCnt="7" custLinFactX="23846" custLinFactNeighborX="100000" custLinFactNeighborY="29788">
        <dgm:presLayoutVars>
          <dgm:chPref val="3"/>
        </dgm:presLayoutVars>
      </dgm:prSet>
      <dgm:spPr/>
    </dgm:pt>
    <dgm:pt modelId="{5467DE21-90FC-472F-AB6D-C09BAE5667C1}" type="pres">
      <dgm:prSet presAssocID="{670DC88F-8F9F-48D0-BBD4-4787B3DCFE5D}" presName="rootConnector" presStyleLbl="node2" presStyleIdx="1" presStyleCnt="7"/>
      <dgm:spPr/>
    </dgm:pt>
    <dgm:pt modelId="{58C8CFDE-A082-4FA2-8CA7-3B2375F3B36A}" type="pres">
      <dgm:prSet presAssocID="{670DC88F-8F9F-48D0-BBD4-4787B3DCFE5D}" presName="hierChild4" presStyleCnt="0"/>
      <dgm:spPr/>
    </dgm:pt>
    <dgm:pt modelId="{47FAC795-148B-4984-920D-CE887F657FE6}" type="pres">
      <dgm:prSet presAssocID="{670DC88F-8F9F-48D0-BBD4-4787B3DCFE5D}" presName="hierChild5" presStyleCnt="0"/>
      <dgm:spPr/>
    </dgm:pt>
    <dgm:pt modelId="{71B9B71D-F8F5-4841-8F10-F68FA451EF78}" type="pres">
      <dgm:prSet presAssocID="{9FC8215C-0776-4A41-8809-A27475FABFE5}" presName="Name37" presStyleLbl="parChTrans1D2" presStyleIdx="2" presStyleCnt="7"/>
      <dgm:spPr/>
    </dgm:pt>
    <dgm:pt modelId="{7402BAEB-8CA2-43A6-B24F-2FD05378FC62}" type="pres">
      <dgm:prSet presAssocID="{CF8D1FD1-2373-4AC9-B794-3B5B85639846}" presName="hierRoot2" presStyleCnt="0">
        <dgm:presLayoutVars>
          <dgm:hierBranch val="init"/>
        </dgm:presLayoutVars>
      </dgm:prSet>
      <dgm:spPr/>
    </dgm:pt>
    <dgm:pt modelId="{8A94324E-FB53-4CE6-9B67-920991C95D8F}" type="pres">
      <dgm:prSet presAssocID="{CF8D1FD1-2373-4AC9-B794-3B5B85639846}" presName="rootComposite" presStyleCnt="0"/>
      <dgm:spPr/>
    </dgm:pt>
    <dgm:pt modelId="{88CADB34-9059-4CC8-A53B-F09A3CD20534}" type="pres">
      <dgm:prSet presAssocID="{CF8D1FD1-2373-4AC9-B794-3B5B85639846}" presName="rootText" presStyleLbl="node2" presStyleIdx="2" presStyleCnt="7" custLinFactX="-100000" custLinFactNeighborX="-135750" custLinFactNeighborY="29668">
        <dgm:presLayoutVars>
          <dgm:chPref val="3"/>
        </dgm:presLayoutVars>
      </dgm:prSet>
      <dgm:spPr/>
    </dgm:pt>
    <dgm:pt modelId="{E89E281C-401C-4E16-9B28-80800F618814}" type="pres">
      <dgm:prSet presAssocID="{CF8D1FD1-2373-4AC9-B794-3B5B85639846}" presName="rootConnector" presStyleLbl="node2" presStyleIdx="2" presStyleCnt="7"/>
      <dgm:spPr/>
    </dgm:pt>
    <dgm:pt modelId="{C2A71E1F-CA7C-48B8-BCD6-60BADECC1874}" type="pres">
      <dgm:prSet presAssocID="{CF8D1FD1-2373-4AC9-B794-3B5B85639846}" presName="hierChild4" presStyleCnt="0"/>
      <dgm:spPr/>
    </dgm:pt>
    <dgm:pt modelId="{B1501EE1-2F00-4347-9D11-BA99FE543F45}" type="pres">
      <dgm:prSet presAssocID="{CF8D1FD1-2373-4AC9-B794-3B5B85639846}" presName="hierChild5" presStyleCnt="0"/>
      <dgm:spPr/>
    </dgm:pt>
    <dgm:pt modelId="{D7D50860-540F-480E-AE47-45EB77C5B58B}" type="pres">
      <dgm:prSet presAssocID="{78950E37-BAE6-4234-BC2B-B54CE8DE1185}" presName="Name37" presStyleLbl="parChTrans1D2" presStyleIdx="3" presStyleCnt="7"/>
      <dgm:spPr/>
    </dgm:pt>
    <dgm:pt modelId="{02AE4A9E-BA8A-40DC-BA73-00D39E813398}" type="pres">
      <dgm:prSet presAssocID="{784170D0-2718-48DB-9982-BE5B78BF47E2}" presName="hierRoot2" presStyleCnt="0">
        <dgm:presLayoutVars>
          <dgm:hierBranch val="init"/>
        </dgm:presLayoutVars>
      </dgm:prSet>
      <dgm:spPr/>
    </dgm:pt>
    <dgm:pt modelId="{48C8BCE5-4763-478E-8DB9-BB4628449106}" type="pres">
      <dgm:prSet presAssocID="{784170D0-2718-48DB-9982-BE5B78BF47E2}" presName="rootComposite" presStyleCnt="0"/>
      <dgm:spPr/>
    </dgm:pt>
    <dgm:pt modelId="{37D1510E-50C9-4BE4-950F-FA6ADCC72F19}" type="pres">
      <dgm:prSet presAssocID="{784170D0-2718-48DB-9982-BE5B78BF47E2}" presName="rootText" presStyleLbl="node2" presStyleIdx="3" presStyleCnt="7" custLinFactX="224982" custLinFactNeighborX="300000" custLinFactNeighborY="29205">
        <dgm:presLayoutVars>
          <dgm:chPref val="3"/>
        </dgm:presLayoutVars>
      </dgm:prSet>
      <dgm:spPr/>
    </dgm:pt>
    <dgm:pt modelId="{077DA4A3-729F-4A79-B64A-9CC6222FE027}" type="pres">
      <dgm:prSet presAssocID="{784170D0-2718-48DB-9982-BE5B78BF47E2}" presName="rootConnector" presStyleLbl="node2" presStyleIdx="3" presStyleCnt="7"/>
      <dgm:spPr/>
    </dgm:pt>
    <dgm:pt modelId="{6F8E397A-C1B0-4784-A18E-BB0DFA75F646}" type="pres">
      <dgm:prSet presAssocID="{784170D0-2718-48DB-9982-BE5B78BF47E2}" presName="hierChild4" presStyleCnt="0"/>
      <dgm:spPr/>
    </dgm:pt>
    <dgm:pt modelId="{6540DCBC-6688-4F9C-8FDA-3073028E7492}" type="pres">
      <dgm:prSet presAssocID="{784170D0-2718-48DB-9982-BE5B78BF47E2}" presName="hierChild5" presStyleCnt="0"/>
      <dgm:spPr/>
    </dgm:pt>
    <dgm:pt modelId="{7C017CE9-3696-4D4B-8FF6-AE8A7CD1249C}" type="pres">
      <dgm:prSet presAssocID="{7521BCEF-954B-4581-9C9E-0433DD879313}" presName="Name37" presStyleLbl="parChTrans1D2" presStyleIdx="4" presStyleCnt="7"/>
      <dgm:spPr/>
    </dgm:pt>
    <dgm:pt modelId="{954A96C6-B27D-4DB0-8DA0-90BD71ADA9E0}" type="pres">
      <dgm:prSet presAssocID="{54861D40-4416-4656-AE0F-854BA3EDC3F1}" presName="hierRoot2" presStyleCnt="0">
        <dgm:presLayoutVars>
          <dgm:hierBranch val="init"/>
        </dgm:presLayoutVars>
      </dgm:prSet>
      <dgm:spPr/>
    </dgm:pt>
    <dgm:pt modelId="{0C5652F5-2673-4543-8E1A-728274A73C01}" type="pres">
      <dgm:prSet presAssocID="{54861D40-4416-4656-AE0F-854BA3EDC3F1}" presName="rootComposite" presStyleCnt="0"/>
      <dgm:spPr/>
    </dgm:pt>
    <dgm:pt modelId="{FD998899-A3AC-4149-B5FC-A567190C5DF4}" type="pres">
      <dgm:prSet presAssocID="{54861D40-4416-4656-AE0F-854BA3EDC3F1}" presName="rootText" presStyleLbl="node2" presStyleIdx="4" presStyleCnt="7" custLinFactX="300000" custLinFactNeighborX="326481" custLinFactNeighborY="32525">
        <dgm:presLayoutVars>
          <dgm:chPref val="3"/>
        </dgm:presLayoutVars>
      </dgm:prSet>
      <dgm:spPr/>
    </dgm:pt>
    <dgm:pt modelId="{3629476B-49AA-46B6-8370-0A8983223F39}" type="pres">
      <dgm:prSet presAssocID="{54861D40-4416-4656-AE0F-854BA3EDC3F1}" presName="rootConnector" presStyleLbl="node2" presStyleIdx="4" presStyleCnt="7"/>
      <dgm:spPr/>
    </dgm:pt>
    <dgm:pt modelId="{B99C1EA5-129C-46D9-AC7B-B3275122FA6C}" type="pres">
      <dgm:prSet presAssocID="{54861D40-4416-4656-AE0F-854BA3EDC3F1}" presName="hierChild4" presStyleCnt="0"/>
      <dgm:spPr/>
    </dgm:pt>
    <dgm:pt modelId="{4AB5F6D4-45E4-4893-9A8B-C59263A90402}" type="pres">
      <dgm:prSet presAssocID="{54861D40-4416-4656-AE0F-854BA3EDC3F1}" presName="hierChild5" presStyleCnt="0"/>
      <dgm:spPr/>
    </dgm:pt>
    <dgm:pt modelId="{1900817C-BC3A-4063-BF21-EA19C13BEAC3}" type="pres">
      <dgm:prSet presAssocID="{CDC69B11-594B-4989-A242-5A5E732F1B3C}" presName="Name37" presStyleLbl="parChTrans1D2" presStyleIdx="5" presStyleCnt="7"/>
      <dgm:spPr/>
    </dgm:pt>
    <dgm:pt modelId="{388856BD-B2CE-4B04-A9D1-05EB772B303B}" type="pres">
      <dgm:prSet presAssocID="{616FB7FF-112C-4CAC-823F-8BBE25CD5E9A}" presName="hierRoot2" presStyleCnt="0">
        <dgm:presLayoutVars>
          <dgm:hierBranch val="init"/>
        </dgm:presLayoutVars>
      </dgm:prSet>
      <dgm:spPr/>
    </dgm:pt>
    <dgm:pt modelId="{F8C336BF-7137-4953-BDF1-25FCAB415240}" type="pres">
      <dgm:prSet presAssocID="{616FB7FF-112C-4CAC-823F-8BBE25CD5E9A}" presName="rootComposite" presStyleCnt="0"/>
      <dgm:spPr/>
    </dgm:pt>
    <dgm:pt modelId="{AFF3DD0F-D12D-43BB-BC6A-2BEC1DE5394E}" type="pres">
      <dgm:prSet presAssocID="{616FB7FF-112C-4CAC-823F-8BBE25CD5E9A}" presName="rootText" presStyleLbl="node2" presStyleIdx="5" presStyleCnt="7" custScaleX="207324" custLinFactY="64625" custLinFactNeighborX="-81600" custLinFactNeighborY="100000">
        <dgm:presLayoutVars>
          <dgm:chPref val="3"/>
        </dgm:presLayoutVars>
      </dgm:prSet>
      <dgm:spPr/>
    </dgm:pt>
    <dgm:pt modelId="{765A02AA-2CCF-4D49-B7C3-511E94709E79}" type="pres">
      <dgm:prSet presAssocID="{616FB7FF-112C-4CAC-823F-8BBE25CD5E9A}" presName="rootConnector" presStyleLbl="node2" presStyleIdx="5" presStyleCnt="7"/>
      <dgm:spPr/>
    </dgm:pt>
    <dgm:pt modelId="{13DDB4C3-0D60-4597-A7E3-D55996F3D501}" type="pres">
      <dgm:prSet presAssocID="{616FB7FF-112C-4CAC-823F-8BBE25CD5E9A}" presName="hierChild4" presStyleCnt="0"/>
      <dgm:spPr/>
    </dgm:pt>
    <dgm:pt modelId="{5191C8D2-C742-4855-8403-1381C48670A5}" type="pres">
      <dgm:prSet presAssocID="{724A7A9E-7C7B-4425-8CFB-C6B5CAE460B4}" presName="Name37" presStyleLbl="parChTrans1D3" presStyleIdx="4" presStyleCnt="12"/>
      <dgm:spPr/>
    </dgm:pt>
    <dgm:pt modelId="{D1659EAA-A5F6-43A7-B774-A62326116416}" type="pres">
      <dgm:prSet presAssocID="{D4D66C0A-F1B8-4A6C-97F2-5696C114BCDD}" presName="hierRoot2" presStyleCnt="0">
        <dgm:presLayoutVars>
          <dgm:hierBranch val="init"/>
        </dgm:presLayoutVars>
      </dgm:prSet>
      <dgm:spPr/>
    </dgm:pt>
    <dgm:pt modelId="{40DC502D-5D3C-4733-ACBF-8A9C1FACF338}" type="pres">
      <dgm:prSet presAssocID="{D4D66C0A-F1B8-4A6C-97F2-5696C114BCDD}" presName="rootComposite" presStyleCnt="0"/>
      <dgm:spPr/>
    </dgm:pt>
    <dgm:pt modelId="{5E736DAE-6B81-477A-B6E3-E196BA17E89A}" type="pres">
      <dgm:prSet presAssocID="{D4D66C0A-F1B8-4A6C-97F2-5696C114BCDD}" presName="rootText" presStyleLbl="node3" presStyleIdx="4" presStyleCnt="12" custLinFactX="-14237" custLinFactY="73394" custLinFactNeighborX="-100000" custLinFactNeighborY="100000">
        <dgm:presLayoutVars>
          <dgm:chPref val="3"/>
        </dgm:presLayoutVars>
      </dgm:prSet>
      <dgm:spPr/>
    </dgm:pt>
    <dgm:pt modelId="{060398CD-602F-4CD2-8816-79421AE46628}" type="pres">
      <dgm:prSet presAssocID="{D4D66C0A-F1B8-4A6C-97F2-5696C114BCDD}" presName="rootConnector" presStyleLbl="node3" presStyleIdx="4" presStyleCnt="12"/>
      <dgm:spPr/>
    </dgm:pt>
    <dgm:pt modelId="{807C30DE-0C59-4226-BE70-F1CD2B0DE1D9}" type="pres">
      <dgm:prSet presAssocID="{D4D66C0A-F1B8-4A6C-97F2-5696C114BCDD}" presName="hierChild4" presStyleCnt="0"/>
      <dgm:spPr/>
    </dgm:pt>
    <dgm:pt modelId="{87607D8E-B464-45E4-B627-B6EBA2FA1191}" type="pres">
      <dgm:prSet presAssocID="{CF56514B-0756-478F-82A4-DC136F9EB1E4}" presName="Name37" presStyleLbl="parChTrans1D4" presStyleIdx="20" presStyleCnt="66"/>
      <dgm:spPr/>
    </dgm:pt>
    <dgm:pt modelId="{2F1202A7-E268-4FAB-924D-298179F54A54}" type="pres">
      <dgm:prSet presAssocID="{083C6703-4C9C-43EF-B512-6260839E8D51}" presName="hierRoot2" presStyleCnt="0">
        <dgm:presLayoutVars>
          <dgm:hierBranch val="init"/>
        </dgm:presLayoutVars>
      </dgm:prSet>
      <dgm:spPr/>
    </dgm:pt>
    <dgm:pt modelId="{12A58AD3-EB78-430B-B2EC-ABDB0B9148D9}" type="pres">
      <dgm:prSet presAssocID="{083C6703-4C9C-43EF-B512-6260839E8D51}" presName="rootComposite" presStyleCnt="0"/>
      <dgm:spPr/>
    </dgm:pt>
    <dgm:pt modelId="{F4628EFE-68D0-4956-A927-B561936D2859}" type="pres">
      <dgm:prSet presAssocID="{083C6703-4C9C-43EF-B512-6260839E8D51}" presName="rootText" presStyleLbl="node4" presStyleIdx="20" presStyleCnt="66" custLinFactX="-11697" custLinFactY="61227" custLinFactNeighborX="-100000" custLinFactNeighborY="100000">
        <dgm:presLayoutVars>
          <dgm:chPref val="3"/>
        </dgm:presLayoutVars>
      </dgm:prSet>
      <dgm:spPr/>
    </dgm:pt>
    <dgm:pt modelId="{991398EC-D76F-4F9C-B973-CB23B25B9AF9}" type="pres">
      <dgm:prSet presAssocID="{083C6703-4C9C-43EF-B512-6260839E8D51}" presName="rootConnector" presStyleLbl="node4" presStyleIdx="20" presStyleCnt="66"/>
      <dgm:spPr/>
    </dgm:pt>
    <dgm:pt modelId="{B5227FD4-343A-4F26-A2CC-0F52F96C8AED}" type="pres">
      <dgm:prSet presAssocID="{083C6703-4C9C-43EF-B512-6260839E8D51}" presName="hierChild4" presStyleCnt="0"/>
      <dgm:spPr/>
    </dgm:pt>
    <dgm:pt modelId="{125C3DA6-CDA1-4112-B287-28A3547A7B85}" type="pres">
      <dgm:prSet presAssocID="{083C6703-4C9C-43EF-B512-6260839E8D51}" presName="hierChild5" presStyleCnt="0"/>
      <dgm:spPr/>
    </dgm:pt>
    <dgm:pt modelId="{36C6DAE6-D26A-4C03-893D-B131F067D411}" type="pres">
      <dgm:prSet presAssocID="{BEF79483-C341-4DAB-A21F-57D38E7CF220}" presName="Name37" presStyleLbl="parChTrans1D4" presStyleIdx="21" presStyleCnt="66"/>
      <dgm:spPr/>
    </dgm:pt>
    <dgm:pt modelId="{2089EFEE-7A0D-4715-A9F7-4BFF4F489940}" type="pres">
      <dgm:prSet presAssocID="{ED311EC5-9145-4C08-85AC-48E2BFAC0BA8}" presName="hierRoot2" presStyleCnt="0">
        <dgm:presLayoutVars>
          <dgm:hierBranch val="init"/>
        </dgm:presLayoutVars>
      </dgm:prSet>
      <dgm:spPr/>
    </dgm:pt>
    <dgm:pt modelId="{8DBAD52E-303C-4E32-A683-B4CEC4CBA0C3}" type="pres">
      <dgm:prSet presAssocID="{ED311EC5-9145-4C08-85AC-48E2BFAC0BA8}" presName="rootComposite" presStyleCnt="0"/>
      <dgm:spPr/>
    </dgm:pt>
    <dgm:pt modelId="{7C72C695-63A5-4F90-BE20-C6318326F80E}" type="pres">
      <dgm:prSet presAssocID="{ED311EC5-9145-4C08-85AC-48E2BFAC0BA8}" presName="rootText" presStyleLbl="node4" presStyleIdx="21" presStyleCnt="66" custLinFactX="-13002" custLinFactY="42955" custLinFactNeighborX="-100000" custLinFactNeighborY="100000">
        <dgm:presLayoutVars>
          <dgm:chPref val="3"/>
        </dgm:presLayoutVars>
      </dgm:prSet>
      <dgm:spPr/>
    </dgm:pt>
    <dgm:pt modelId="{0FF6CA8A-B5DA-447C-8C7D-542A9B697564}" type="pres">
      <dgm:prSet presAssocID="{ED311EC5-9145-4C08-85AC-48E2BFAC0BA8}" presName="rootConnector" presStyleLbl="node4" presStyleIdx="21" presStyleCnt="66"/>
      <dgm:spPr/>
    </dgm:pt>
    <dgm:pt modelId="{71EF3D8C-1624-4A43-B2D6-1C59876B5FC2}" type="pres">
      <dgm:prSet presAssocID="{ED311EC5-9145-4C08-85AC-48E2BFAC0BA8}" presName="hierChild4" presStyleCnt="0"/>
      <dgm:spPr/>
    </dgm:pt>
    <dgm:pt modelId="{AEE8319A-869A-4C38-ACC2-CBD6EDC3CAC7}" type="pres">
      <dgm:prSet presAssocID="{ED311EC5-9145-4C08-85AC-48E2BFAC0BA8}" presName="hierChild5" presStyleCnt="0"/>
      <dgm:spPr/>
    </dgm:pt>
    <dgm:pt modelId="{EC96CCFA-F262-4AE4-96DE-BB9844075579}" type="pres">
      <dgm:prSet presAssocID="{53E43430-252D-4FBC-BCB8-70B8C46B47BB}" presName="Name37" presStyleLbl="parChTrans1D4" presStyleIdx="22" presStyleCnt="66"/>
      <dgm:spPr/>
    </dgm:pt>
    <dgm:pt modelId="{D3BB0694-8929-4FF7-9449-6C7654CD60A2}" type="pres">
      <dgm:prSet presAssocID="{54ED6CED-6BF0-40ED-ADB8-75C2B095A11D}" presName="hierRoot2" presStyleCnt="0">
        <dgm:presLayoutVars>
          <dgm:hierBranch val="init"/>
        </dgm:presLayoutVars>
      </dgm:prSet>
      <dgm:spPr/>
    </dgm:pt>
    <dgm:pt modelId="{D0CA7F4F-0151-4CD8-8DEE-8E34F4356D0F}" type="pres">
      <dgm:prSet presAssocID="{54ED6CED-6BF0-40ED-ADB8-75C2B095A11D}" presName="rootComposite" presStyleCnt="0"/>
      <dgm:spPr/>
    </dgm:pt>
    <dgm:pt modelId="{A76CD527-76BF-4B6C-B542-DCDB53E7ED8B}" type="pres">
      <dgm:prSet presAssocID="{54ED6CED-6BF0-40ED-ADB8-75C2B095A11D}" presName="rootText" presStyleLbl="node4" presStyleIdx="22" presStyleCnt="66" custScaleY="97018" custLinFactX="-10392" custLinFactY="35125" custLinFactNeighborX="-100000" custLinFactNeighborY="100000">
        <dgm:presLayoutVars>
          <dgm:chPref val="3"/>
        </dgm:presLayoutVars>
      </dgm:prSet>
      <dgm:spPr/>
    </dgm:pt>
    <dgm:pt modelId="{20F4D4D9-46DB-4253-ADC1-2B988D855638}" type="pres">
      <dgm:prSet presAssocID="{54ED6CED-6BF0-40ED-ADB8-75C2B095A11D}" presName="rootConnector" presStyleLbl="node4" presStyleIdx="22" presStyleCnt="66"/>
      <dgm:spPr/>
    </dgm:pt>
    <dgm:pt modelId="{9B40A51F-D5DA-4D2B-B488-81EB09713D04}" type="pres">
      <dgm:prSet presAssocID="{54ED6CED-6BF0-40ED-ADB8-75C2B095A11D}" presName="hierChild4" presStyleCnt="0"/>
      <dgm:spPr/>
    </dgm:pt>
    <dgm:pt modelId="{7602187D-5E80-420C-9764-8EB683231BCA}" type="pres">
      <dgm:prSet presAssocID="{54ED6CED-6BF0-40ED-ADB8-75C2B095A11D}" presName="hierChild5" presStyleCnt="0"/>
      <dgm:spPr/>
    </dgm:pt>
    <dgm:pt modelId="{D1DD8EBC-108D-4D2C-954D-FE294933BD46}" type="pres">
      <dgm:prSet presAssocID="{8057E219-908E-403D-A95C-41662850850D}" presName="Name37" presStyleLbl="parChTrans1D4" presStyleIdx="23" presStyleCnt="66"/>
      <dgm:spPr/>
    </dgm:pt>
    <dgm:pt modelId="{560706F3-8C7C-44BB-8959-5505C447D9EE}" type="pres">
      <dgm:prSet presAssocID="{194F1D56-867F-4028-B7B3-9F31C28E1F55}" presName="hierRoot2" presStyleCnt="0">
        <dgm:presLayoutVars>
          <dgm:hierBranch val="init"/>
        </dgm:presLayoutVars>
      </dgm:prSet>
      <dgm:spPr/>
    </dgm:pt>
    <dgm:pt modelId="{F698A091-59AE-4B8A-87D3-563202C260B0}" type="pres">
      <dgm:prSet presAssocID="{194F1D56-867F-4028-B7B3-9F31C28E1F55}" presName="rootComposite" presStyleCnt="0"/>
      <dgm:spPr/>
    </dgm:pt>
    <dgm:pt modelId="{61D009CE-346B-47A3-9123-66DCCD81544E}" type="pres">
      <dgm:prSet presAssocID="{194F1D56-867F-4028-B7B3-9F31C28E1F55}" presName="rootText" presStyleLbl="node4" presStyleIdx="23" presStyleCnt="66" custLinFactX="-13003" custLinFactY="14243" custLinFactNeighborX="-100000" custLinFactNeighborY="100000">
        <dgm:presLayoutVars>
          <dgm:chPref val="3"/>
        </dgm:presLayoutVars>
      </dgm:prSet>
      <dgm:spPr/>
    </dgm:pt>
    <dgm:pt modelId="{9D3DD3A4-EC97-4683-A837-A30961E8E5B2}" type="pres">
      <dgm:prSet presAssocID="{194F1D56-867F-4028-B7B3-9F31C28E1F55}" presName="rootConnector" presStyleLbl="node4" presStyleIdx="23" presStyleCnt="66"/>
      <dgm:spPr/>
    </dgm:pt>
    <dgm:pt modelId="{626AEDDD-409E-473F-93E9-A25D5310C9A6}" type="pres">
      <dgm:prSet presAssocID="{194F1D56-867F-4028-B7B3-9F31C28E1F55}" presName="hierChild4" presStyleCnt="0"/>
      <dgm:spPr/>
    </dgm:pt>
    <dgm:pt modelId="{3EFB7D90-3C0D-4B66-94FD-2E959F4FBF90}" type="pres">
      <dgm:prSet presAssocID="{194F1D56-867F-4028-B7B3-9F31C28E1F55}" presName="hierChild5" presStyleCnt="0"/>
      <dgm:spPr/>
    </dgm:pt>
    <dgm:pt modelId="{FF22FD5D-E0C6-434B-A201-67977C56FF26}" type="pres">
      <dgm:prSet presAssocID="{BFBC62CF-C83F-4B7D-9DA1-A12B760FB8DF}" presName="Name37" presStyleLbl="parChTrans1D4" presStyleIdx="24" presStyleCnt="66"/>
      <dgm:spPr/>
    </dgm:pt>
    <dgm:pt modelId="{C04B2F0F-D10F-479C-9037-643D3A16342B}" type="pres">
      <dgm:prSet presAssocID="{7E403424-63FE-4579-B666-F8AF1E7C0FA0}" presName="hierRoot2" presStyleCnt="0">
        <dgm:presLayoutVars>
          <dgm:hierBranch val="init"/>
        </dgm:presLayoutVars>
      </dgm:prSet>
      <dgm:spPr/>
    </dgm:pt>
    <dgm:pt modelId="{C42EC910-C2C1-449F-9497-8A09CB60574A}" type="pres">
      <dgm:prSet presAssocID="{7E403424-63FE-4579-B666-F8AF1E7C0FA0}" presName="rootComposite" presStyleCnt="0"/>
      <dgm:spPr/>
    </dgm:pt>
    <dgm:pt modelId="{A22B5146-B096-4C85-A0C5-04AE69B3C103}" type="pres">
      <dgm:prSet presAssocID="{7E403424-63FE-4579-B666-F8AF1E7C0FA0}" presName="rootText" presStyleLbl="node4" presStyleIdx="24" presStyleCnt="66" custLinFactX="-13002" custLinFactNeighborX="-100000" custLinFactNeighborY="95971">
        <dgm:presLayoutVars>
          <dgm:chPref val="3"/>
        </dgm:presLayoutVars>
      </dgm:prSet>
      <dgm:spPr/>
    </dgm:pt>
    <dgm:pt modelId="{FB8EDED7-56CA-4734-9880-CF1A5170256A}" type="pres">
      <dgm:prSet presAssocID="{7E403424-63FE-4579-B666-F8AF1E7C0FA0}" presName="rootConnector" presStyleLbl="node4" presStyleIdx="24" presStyleCnt="66"/>
      <dgm:spPr/>
    </dgm:pt>
    <dgm:pt modelId="{35302ABD-9A6D-40ED-B86D-392959B392E6}" type="pres">
      <dgm:prSet presAssocID="{7E403424-63FE-4579-B666-F8AF1E7C0FA0}" presName="hierChild4" presStyleCnt="0"/>
      <dgm:spPr/>
    </dgm:pt>
    <dgm:pt modelId="{8B6DA8AF-3529-4469-BE1A-3D94D68A969D}" type="pres">
      <dgm:prSet presAssocID="{7E403424-63FE-4579-B666-F8AF1E7C0FA0}" presName="hierChild5" presStyleCnt="0"/>
      <dgm:spPr/>
    </dgm:pt>
    <dgm:pt modelId="{7173E6D0-59CC-4A2E-B597-2C245B1261D5}" type="pres">
      <dgm:prSet presAssocID="{93FB0F21-249E-4C44-ADE3-C2C14C35757F}" presName="Name37" presStyleLbl="parChTrans1D4" presStyleIdx="25" presStyleCnt="66"/>
      <dgm:spPr/>
    </dgm:pt>
    <dgm:pt modelId="{2E8F3991-1E81-4299-B71E-55B9CBD4468A}" type="pres">
      <dgm:prSet presAssocID="{7690D51C-E94A-441D-A994-D810D0463782}" presName="hierRoot2" presStyleCnt="0">
        <dgm:presLayoutVars>
          <dgm:hierBranch val="init"/>
        </dgm:presLayoutVars>
      </dgm:prSet>
      <dgm:spPr/>
    </dgm:pt>
    <dgm:pt modelId="{7C520B18-6970-44BA-9080-318223853CE8}" type="pres">
      <dgm:prSet presAssocID="{7690D51C-E94A-441D-A994-D810D0463782}" presName="rootComposite" presStyleCnt="0"/>
      <dgm:spPr/>
    </dgm:pt>
    <dgm:pt modelId="{AC1DC7FD-96CA-4879-B31A-28A8193DEE14}" type="pres">
      <dgm:prSet presAssocID="{7690D51C-E94A-441D-A994-D810D0463782}" presName="rootText" presStyleLbl="node4" presStyleIdx="25" presStyleCnt="66" custLinFactX="-10392" custLinFactNeighborX="-100000" custLinFactNeighborY="72479">
        <dgm:presLayoutVars>
          <dgm:chPref val="3"/>
        </dgm:presLayoutVars>
      </dgm:prSet>
      <dgm:spPr/>
    </dgm:pt>
    <dgm:pt modelId="{AEAF4525-0AAB-4313-9D62-B5D199B05FAC}" type="pres">
      <dgm:prSet presAssocID="{7690D51C-E94A-441D-A994-D810D0463782}" presName="rootConnector" presStyleLbl="node4" presStyleIdx="25" presStyleCnt="66"/>
      <dgm:spPr/>
    </dgm:pt>
    <dgm:pt modelId="{E3E3C4A8-7882-4E1A-8980-50A5DA1805DF}" type="pres">
      <dgm:prSet presAssocID="{7690D51C-E94A-441D-A994-D810D0463782}" presName="hierChild4" presStyleCnt="0"/>
      <dgm:spPr/>
    </dgm:pt>
    <dgm:pt modelId="{2AB08F79-9614-49EE-9A90-14FE3C24E64D}" type="pres">
      <dgm:prSet presAssocID="{7690D51C-E94A-441D-A994-D810D0463782}" presName="hierChild5" presStyleCnt="0"/>
      <dgm:spPr/>
    </dgm:pt>
    <dgm:pt modelId="{F337DFFB-3795-4064-9638-4A2C6550BAB3}" type="pres">
      <dgm:prSet presAssocID="{7E517B07-AB46-4CE4-B105-9628AD252AD0}" presName="Name37" presStyleLbl="parChTrans1D4" presStyleIdx="26" presStyleCnt="66"/>
      <dgm:spPr/>
    </dgm:pt>
    <dgm:pt modelId="{80D17301-914C-4452-B4F5-F8DE6C6BB772}" type="pres">
      <dgm:prSet presAssocID="{53AB66D1-6CFF-4954-9110-AE093B268504}" presName="hierRoot2" presStyleCnt="0">
        <dgm:presLayoutVars>
          <dgm:hierBranch val="init"/>
        </dgm:presLayoutVars>
      </dgm:prSet>
      <dgm:spPr/>
    </dgm:pt>
    <dgm:pt modelId="{ED5A1FEE-F6B0-4159-B9F0-ABC0446BA967}" type="pres">
      <dgm:prSet presAssocID="{53AB66D1-6CFF-4954-9110-AE093B268504}" presName="rootComposite" presStyleCnt="0"/>
      <dgm:spPr/>
    </dgm:pt>
    <dgm:pt modelId="{0DEB88A5-741D-4D30-9F30-A11FBD0736D5}" type="pres">
      <dgm:prSet presAssocID="{53AB66D1-6CFF-4954-9110-AE093B268504}" presName="rootText" presStyleLbl="node4" presStyleIdx="26" presStyleCnt="66" custLinFactX="-9087" custLinFactNeighborX="-100000" custLinFactNeighborY="62038">
        <dgm:presLayoutVars>
          <dgm:chPref val="3"/>
        </dgm:presLayoutVars>
      </dgm:prSet>
      <dgm:spPr/>
    </dgm:pt>
    <dgm:pt modelId="{C3CF04C0-40A4-4478-8597-AD47BF39F08F}" type="pres">
      <dgm:prSet presAssocID="{53AB66D1-6CFF-4954-9110-AE093B268504}" presName="rootConnector" presStyleLbl="node4" presStyleIdx="26" presStyleCnt="66"/>
      <dgm:spPr/>
    </dgm:pt>
    <dgm:pt modelId="{A7FA4C2E-6270-435D-8ACB-1675A3A71038}" type="pres">
      <dgm:prSet presAssocID="{53AB66D1-6CFF-4954-9110-AE093B268504}" presName="hierChild4" presStyleCnt="0"/>
      <dgm:spPr/>
    </dgm:pt>
    <dgm:pt modelId="{D7F8E384-A7D8-4050-9210-D7E11325A579}" type="pres">
      <dgm:prSet presAssocID="{53AB66D1-6CFF-4954-9110-AE093B268504}" presName="hierChild5" presStyleCnt="0"/>
      <dgm:spPr/>
    </dgm:pt>
    <dgm:pt modelId="{605C5B48-4701-4775-8313-879EA1AFA7DF}" type="pres">
      <dgm:prSet presAssocID="{0E5A9950-8875-4636-8B51-8271EB86A31D}" presName="Name37" presStyleLbl="parChTrans1D4" presStyleIdx="27" presStyleCnt="66"/>
      <dgm:spPr/>
    </dgm:pt>
    <dgm:pt modelId="{21CF2E7D-CB2C-49D7-B2C4-2EF9AFBB4FD9}" type="pres">
      <dgm:prSet presAssocID="{E10A59CB-B808-4678-B49F-15FE2CBE8F1B}" presName="hierRoot2" presStyleCnt="0">
        <dgm:presLayoutVars>
          <dgm:hierBranch val="init"/>
        </dgm:presLayoutVars>
      </dgm:prSet>
      <dgm:spPr/>
    </dgm:pt>
    <dgm:pt modelId="{62291637-239A-40CE-8CC2-65D6053E51A1}" type="pres">
      <dgm:prSet presAssocID="{E10A59CB-B808-4678-B49F-15FE2CBE8F1B}" presName="rootComposite" presStyleCnt="0"/>
      <dgm:spPr/>
    </dgm:pt>
    <dgm:pt modelId="{1D8C5301-37FC-455F-880A-B8EC6310BE1C}" type="pres">
      <dgm:prSet presAssocID="{E10A59CB-B808-4678-B49F-15FE2CBE8F1B}" presName="rootText" presStyleLbl="node4" presStyleIdx="27" presStyleCnt="66" custScaleX="100603" custScaleY="108717" custLinFactX="-9086" custLinFactNeighborX="-100000" custLinFactNeighborY="38266">
        <dgm:presLayoutVars>
          <dgm:chPref val="3"/>
        </dgm:presLayoutVars>
      </dgm:prSet>
      <dgm:spPr/>
    </dgm:pt>
    <dgm:pt modelId="{EB827E25-E682-43FC-A0B8-75AAD9D58C2F}" type="pres">
      <dgm:prSet presAssocID="{E10A59CB-B808-4678-B49F-15FE2CBE8F1B}" presName="rootConnector" presStyleLbl="node4" presStyleIdx="27" presStyleCnt="66"/>
      <dgm:spPr/>
    </dgm:pt>
    <dgm:pt modelId="{3744B17F-D931-4894-8C9E-FD58AD2756FB}" type="pres">
      <dgm:prSet presAssocID="{E10A59CB-B808-4678-B49F-15FE2CBE8F1B}" presName="hierChild4" presStyleCnt="0"/>
      <dgm:spPr/>
    </dgm:pt>
    <dgm:pt modelId="{6A18F11D-A071-466A-9436-645E834EF15B}" type="pres">
      <dgm:prSet presAssocID="{E10A59CB-B808-4678-B49F-15FE2CBE8F1B}" presName="hierChild5" presStyleCnt="0"/>
      <dgm:spPr/>
    </dgm:pt>
    <dgm:pt modelId="{294F3DA8-2C3C-480B-85EF-35BEE7385541}" type="pres">
      <dgm:prSet presAssocID="{E4E3F4E3-9D40-4E60-8B48-C7D3EF91F30A}" presName="Name37" presStyleLbl="parChTrans1D4" presStyleIdx="28" presStyleCnt="66"/>
      <dgm:spPr/>
    </dgm:pt>
    <dgm:pt modelId="{F3213BF5-84DF-44D9-B143-BEE5DB712EEB}" type="pres">
      <dgm:prSet presAssocID="{6572755B-958D-4AD0-AC20-76BB96C46399}" presName="hierRoot2" presStyleCnt="0">
        <dgm:presLayoutVars>
          <dgm:hierBranch val="init"/>
        </dgm:presLayoutVars>
      </dgm:prSet>
      <dgm:spPr/>
    </dgm:pt>
    <dgm:pt modelId="{3891D711-86C9-4FBC-8663-E0975392A6C4}" type="pres">
      <dgm:prSet presAssocID="{6572755B-958D-4AD0-AC20-76BB96C46399}" presName="rootComposite" presStyleCnt="0"/>
      <dgm:spPr/>
    </dgm:pt>
    <dgm:pt modelId="{4E8E5938-5D61-443B-BEE0-212A2890730F}" type="pres">
      <dgm:prSet presAssocID="{6572755B-958D-4AD0-AC20-76BB96C46399}" presName="rootText" presStyleLbl="node4" presStyleIdx="28" presStyleCnt="66" custLinFactX="-6477" custLinFactNeighborX="-100000" custLinFactNeighborY="18947">
        <dgm:presLayoutVars>
          <dgm:chPref val="3"/>
        </dgm:presLayoutVars>
      </dgm:prSet>
      <dgm:spPr/>
    </dgm:pt>
    <dgm:pt modelId="{940C74FB-41E2-4487-A62D-8107EF9A1523}" type="pres">
      <dgm:prSet presAssocID="{6572755B-958D-4AD0-AC20-76BB96C46399}" presName="rootConnector" presStyleLbl="node4" presStyleIdx="28" presStyleCnt="66"/>
      <dgm:spPr/>
    </dgm:pt>
    <dgm:pt modelId="{C9CF72E4-1487-43B1-8EBD-60E683DF0543}" type="pres">
      <dgm:prSet presAssocID="{6572755B-958D-4AD0-AC20-76BB96C46399}" presName="hierChild4" presStyleCnt="0"/>
      <dgm:spPr/>
    </dgm:pt>
    <dgm:pt modelId="{1EA5AAC8-19FD-4D7E-88B8-356B171D80B4}" type="pres">
      <dgm:prSet presAssocID="{6572755B-958D-4AD0-AC20-76BB96C46399}" presName="hierChild5" presStyleCnt="0"/>
      <dgm:spPr/>
    </dgm:pt>
    <dgm:pt modelId="{43EE01E2-0A9D-4BCE-87CE-5E2482EC8C4C}" type="pres">
      <dgm:prSet presAssocID="{D4D66C0A-F1B8-4A6C-97F2-5696C114BCDD}" presName="hierChild5" presStyleCnt="0"/>
      <dgm:spPr/>
    </dgm:pt>
    <dgm:pt modelId="{EBD55146-8045-4C6B-8576-72CED9C08E80}" type="pres">
      <dgm:prSet presAssocID="{357A59C7-66B6-4C7A-AA68-6D5FB56FEDA6}" presName="Name37" presStyleLbl="parChTrans1D3" presStyleIdx="5" presStyleCnt="12"/>
      <dgm:spPr/>
    </dgm:pt>
    <dgm:pt modelId="{64883BCB-2169-4CCC-B6CA-7008B791604A}" type="pres">
      <dgm:prSet presAssocID="{57F4BFCC-AFED-463E-9871-F70118883114}" presName="hierRoot2" presStyleCnt="0">
        <dgm:presLayoutVars>
          <dgm:hierBranch val="init"/>
        </dgm:presLayoutVars>
      </dgm:prSet>
      <dgm:spPr/>
    </dgm:pt>
    <dgm:pt modelId="{D626E795-1DB6-4C07-A483-360CF0BC0419}" type="pres">
      <dgm:prSet presAssocID="{57F4BFCC-AFED-463E-9871-F70118883114}" presName="rootComposite" presStyleCnt="0"/>
      <dgm:spPr/>
    </dgm:pt>
    <dgm:pt modelId="{2F3F7E40-079F-46D2-8070-43B7A32210E6}" type="pres">
      <dgm:prSet presAssocID="{57F4BFCC-AFED-463E-9871-F70118883114}" presName="rootText" presStyleLbl="node3" presStyleIdx="5" presStyleCnt="12" custLinFactX="-4241" custLinFactY="71664" custLinFactNeighborX="-100000" custLinFactNeighborY="100000">
        <dgm:presLayoutVars>
          <dgm:chPref val="3"/>
        </dgm:presLayoutVars>
      </dgm:prSet>
      <dgm:spPr/>
    </dgm:pt>
    <dgm:pt modelId="{5D047CD2-B585-41D2-B6EF-C733B8AF6C03}" type="pres">
      <dgm:prSet presAssocID="{57F4BFCC-AFED-463E-9871-F70118883114}" presName="rootConnector" presStyleLbl="node3" presStyleIdx="5" presStyleCnt="12"/>
      <dgm:spPr/>
    </dgm:pt>
    <dgm:pt modelId="{161B0427-68AA-4877-B216-4F380914B4B9}" type="pres">
      <dgm:prSet presAssocID="{57F4BFCC-AFED-463E-9871-F70118883114}" presName="hierChild4" presStyleCnt="0"/>
      <dgm:spPr/>
    </dgm:pt>
    <dgm:pt modelId="{831288D2-5932-475E-9CF9-55FDEDF5766C}" type="pres">
      <dgm:prSet presAssocID="{A8FC051A-8031-4220-A91C-8C8C1159F2C7}" presName="Name37" presStyleLbl="parChTrans1D4" presStyleIdx="29" presStyleCnt="66"/>
      <dgm:spPr/>
    </dgm:pt>
    <dgm:pt modelId="{FA2C949A-EAB0-43FA-9B16-9B258B565775}" type="pres">
      <dgm:prSet presAssocID="{629E7DC9-EF62-465F-A109-54260FF39219}" presName="hierRoot2" presStyleCnt="0">
        <dgm:presLayoutVars>
          <dgm:hierBranch val="init"/>
        </dgm:presLayoutVars>
      </dgm:prSet>
      <dgm:spPr/>
    </dgm:pt>
    <dgm:pt modelId="{D7ADB855-447B-473E-B62E-B7A9B0B5D926}" type="pres">
      <dgm:prSet presAssocID="{629E7DC9-EF62-465F-A109-54260FF39219}" presName="rootComposite" presStyleCnt="0"/>
      <dgm:spPr/>
    </dgm:pt>
    <dgm:pt modelId="{D97C6B0E-0CA4-4642-8787-12CA52F7FC56}" type="pres">
      <dgm:prSet presAssocID="{629E7DC9-EF62-465F-A109-54260FF39219}" presName="rootText" presStyleLbl="node4" presStyleIdx="29" presStyleCnt="66" custLinFactX="-2207" custLinFactY="65454" custLinFactNeighborX="-100000" custLinFactNeighborY="100000">
        <dgm:presLayoutVars>
          <dgm:chPref val="3"/>
        </dgm:presLayoutVars>
      </dgm:prSet>
      <dgm:spPr/>
    </dgm:pt>
    <dgm:pt modelId="{AC0FB401-EDC5-4D05-828A-390F8EC3468E}" type="pres">
      <dgm:prSet presAssocID="{629E7DC9-EF62-465F-A109-54260FF39219}" presName="rootConnector" presStyleLbl="node4" presStyleIdx="29" presStyleCnt="66"/>
      <dgm:spPr/>
    </dgm:pt>
    <dgm:pt modelId="{3EC1512F-4A95-4746-B755-C386EEA603AB}" type="pres">
      <dgm:prSet presAssocID="{629E7DC9-EF62-465F-A109-54260FF39219}" presName="hierChild4" presStyleCnt="0"/>
      <dgm:spPr/>
    </dgm:pt>
    <dgm:pt modelId="{F4FD846C-3A2A-4643-972F-57CA60064B46}" type="pres">
      <dgm:prSet presAssocID="{629E7DC9-EF62-465F-A109-54260FF39219}" presName="hierChild5" presStyleCnt="0"/>
      <dgm:spPr/>
    </dgm:pt>
    <dgm:pt modelId="{0879C6E2-29D7-4B70-ACA4-961A36E3DCA1}" type="pres">
      <dgm:prSet presAssocID="{A956C7C8-4AEE-4D4D-8458-E9CA5A39D805}" presName="Name37" presStyleLbl="parChTrans1D4" presStyleIdx="30" presStyleCnt="66"/>
      <dgm:spPr/>
    </dgm:pt>
    <dgm:pt modelId="{625FCEBF-EF70-44A6-B46E-0C33F11D64E1}" type="pres">
      <dgm:prSet presAssocID="{742EF618-B631-4F5C-9E04-7880FB737823}" presName="hierRoot2" presStyleCnt="0">
        <dgm:presLayoutVars>
          <dgm:hierBranch val="init"/>
        </dgm:presLayoutVars>
      </dgm:prSet>
      <dgm:spPr/>
    </dgm:pt>
    <dgm:pt modelId="{EAFD9E9E-4D8D-429F-BFC9-9BE2457B2561}" type="pres">
      <dgm:prSet presAssocID="{742EF618-B631-4F5C-9E04-7880FB737823}" presName="rootComposite" presStyleCnt="0"/>
      <dgm:spPr/>
    </dgm:pt>
    <dgm:pt modelId="{3BD5D629-B44A-46F2-83FA-A590F8A03A04}" type="pres">
      <dgm:prSet presAssocID="{742EF618-B631-4F5C-9E04-7880FB737823}" presName="rootText" presStyleLbl="node4" presStyleIdx="30" presStyleCnt="66" custLinFactX="-3478" custLinFactY="57833" custLinFactNeighborX="-100000" custLinFactNeighborY="100000">
        <dgm:presLayoutVars>
          <dgm:chPref val="3"/>
        </dgm:presLayoutVars>
      </dgm:prSet>
      <dgm:spPr/>
    </dgm:pt>
    <dgm:pt modelId="{FDC79241-A750-44D5-914B-B2E2893FD34D}" type="pres">
      <dgm:prSet presAssocID="{742EF618-B631-4F5C-9E04-7880FB737823}" presName="rootConnector" presStyleLbl="node4" presStyleIdx="30" presStyleCnt="66"/>
      <dgm:spPr/>
    </dgm:pt>
    <dgm:pt modelId="{35B300C7-E15B-41D1-943F-7DDC0472CE03}" type="pres">
      <dgm:prSet presAssocID="{742EF618-B631-4F5C-9E04-7880FB737823}" presName="hierChild4" presStyleCnt="0"/>
      <dgm:spPr/>
    </dgm:pt>
    <dgm:pt modelId="{DC03533D-F013-4807-82A4-D4F05253E3A5}" type="pres">
      <dgm:prSet presAssocID="{742EF618-B631-4F5C-9E04-7880FB737823}" presName="hierChild5" presStyleCnt="0"/>
      <dgm:spPr/>
    </dgm:pt>
    <dgm:pt modelId="{333689C7-7860-4E1B-90F2-52DEF3DAD9C2}" type="pres">
      <dgm:prSet presAssocID="{90533E0C-78C9-4725-855D-D57903AF26A5}" presName="Name37" presStyleLbl="parChTrans1D4" presStyleIdx="31" presStyleCnt="66"/>
      <dgm:spPr/>
    </dgm:pt>
    <dgm:pt modelId="{29F28C90-556A-4801-B2F6-631275008AD3}" type="pres">
      <dgm:prSet presAssocID="{78E5F85A-A32F-4CE0-85AE-BB1F11CDEA7F}" presName="hierRoot2" presStyleCnt="0">
        <dgm:presLayoutVars>
          <dgm:hierBranch val="init"/>
        </dgm:presLayoutVars>
      </dgm:prSet>
      <dgm:spPr/>
    </dgm:pt>
    <dgm:pt modelId="{41C856B5-4845-460C-B23F-89DFAC286738}" type="pres">
      <dgm:prSet presAssocID="{78E5F85A-A32F-4CE0-85AE-BB1F11CDEA7F}" presName="rootComposite" presStyleCnt="0"/>
      <dgm:spPr/>
    </dgm:pt>
    <dgm:pt modelId="{016496D2-9BD1-4125-997A-A1D7BB6B56EB}" type="pres">
      <dgm:prSet presAssocID="{78E5F85A-A32F-4CE0-85AE-BB1F11CDEA7F}" presName="rootText" presStyleLbl="node4" presStyleIdx="31" presStyleCnt="66" custScaleY="139520" custLinFactX="-3478" custLinFactY="50212" custLinFactNeighborX="-100000" custLinFactNeighborY="100000">
        <dgm:presLayoutVars>
          <dgm:chPref val="3"/>
        </dgm:presLayoutVars>
      </dgm:prSet>
      <dgm:spPr/>
    </dgm:pt>
    <dgm:pt modelId="{3E2CA11E-2702-4C9A-AEC1-08CC22B18CC0}" type="pres">
      <dgm:prSet presAssocID="{78E5F85A-A32F-4CE0-85AE-BB1F11CDEA7F}" presName="rootConnector" presStyleLbl="node4" presStyleIdx="31" presStyleCnt="66"/>
      <dgm:spPr/>
    </dgm:pt>
    <dgm:pt modelId="{05B24158-257A-4429-BC59-29B29A220FC5}" type="pres">
      <dgm:prSet presAssocID="{78E5F85A-A32F-4CE0-85AE-BB1F11CDEA7F}" presName="hierChild4" presStyleCnt="0"/>
      <dgm:spPr/>
    </dgm:pt>
    <dgm:pt modelId="{38E22B64-30E7-408B-B2C8-679F8297A472}" type="pres">
      <dgm:prSet presAssocID="{78E5F85A-A32F-4CE0-85AE-BB1F11CDEA7F}" presName="hierChild5" presStyleCnt="0"/>
      <dgm:spPr/>
    </dgm:pt>
    <dgm:pt modelId="{4F7D75AC-9480-4133-87E2-E2649DE98C37}" type="pres">
      <dgm:prSet presAssocID="{734C966F-2ED6-458B-B8AD-5EB9846A9AE7}" presName="Name37" presStyleLbl="parChTrans1D4" presStyleIdx="32" presStyleCnt="66"/>
      <dgm:spPr/>
    </dgm:pt>
    <dgm:pt modelId="{62279702-C420-499E-9BE1-2AE58B829942}" type="pres">
      <dgm:prSet presAssocID="{547E72FF-0E9E-4BC5-A33A-F31BFD4969A6}" presName="hierRoot2" presStyleCnt="0">
        <dgm:presLayoutVars>
          <dgm:hierBranch val="init"/>
        </dgm:presLayoutVars>
      </dgm:prSet>
      <dgm:spPr/>
    </dgm:pt>
    <dgm:pt modelId="{D654074E-179C-4B51-97B7-753FBA6353FB}" type="pres">
      <dgm:prSet presAssocID="{547E72FF-0E9E-4BC5-A33A-F31BFD4969A6}" presName="rootComposite" presStyleCnt="0"/>
      <dgm:spPr/>
    </dgm:pt>
    <dgm:pt modelId="{A7D99AA5-7289-416F-A842-FB214B6BF6F7}" type="pres">
      <dgm:prSet presAssocID="{547E72FF-0E9E-4BC5-A33A-F31BFD4969A6}" presName="rootText" presStyleLbl="node4" presStyleIdx="32" presStyleCnt="66" custLinFactX="-2207" custLinFactY="52753" custLinFactNeighborX="-100000" custLinFactNeighborY="100000">
        <dgm:presLayoutVars>
          <dgm:chPref val="3"/>
        </dgm:presLayoutVars>
      </dgm:prSet>
      <dgm:spPr/>
    </dgm:pt>
    <dgm:pt modelId="{82D0866F-8660-4303-A3AA-E746B8575CFA}" type="pres">
      <dgm:prSet presAssocID="{547E72FF-0E9E-4BC5-A33A-F31BFD4969A6}" presName="rootConnector" presStyleLbl="node4" presStyleIdx="32" presStyleCnt="66"/>
      <dgm:spPr/>
    </dgm:pt>
    <dgm:pt modelId="{D2BEDE95-26AF-4977-8111-06F0CE11E0FF}" type="pres">
      <dgm:prSet presAssocID="{547E72FF-0E9E-4BC5-A33A-F31BFD4969A6}" presName="hierChild4" presStyleCnt="0"/>
      <dgm:spPr/>
    </dgm:pt>
    <dgm:pt modelId="{DEB01161-54F1-40A5-B6CA-0D3FAA018A01}" type="pres">
      <dgm:prSet presAssocID="{547E72FF-0E9E-4BC5-A33A-F31BFD4969A6}" presName="hierChild5" presStyleCnt="0"/>
      <dgm:spPr/>
    </dgm:pt>
    <dgm:pt modelId="{854DF693-F9D8-40ED-BA1B-BCC0DED4CCC7}" type="pres">
      <dgm:prSet presAssocID="{648AAF6E-EE8A-447E-96A8-4B4357BD4F9B}" presName="Name37" presStyleLbl="parChTrans1D4" presStyleIdx="33" presStyleCnt="66"/>
      <dgm:spPr/>
    </dgm:pt>
    <dgm:pt modelId="{C6BCC491-5FD6-44C4-9914-DB8F8ABD6B57}" type="pres">
      <dgm:prSet presAssocID="{EF96742F-C82B-4008-8CF9-05C12F3743CD}" presName="hierRoot2" presStyleCnt="0">
        <dgm:presLayoutVars>
          <dgm:hierBranch val="init"/>
        </dgm:presLayoutVars>
      </dgm:prSet>
      <dgm:spPr/>
    </dgm:pt>
    <dgm:pt modelId="{273E9163-7F1D-47A2-9803-0434EC639835}" type="pres">
      <dgm:prSet presAssocID="{EF96742F-C82B-4008-8CF9-05C12F3743CD}" presName="rootComposite" presStyleCnt="0"/>
      <dgm:spPr/>
    </dgm:pt>
    <dgm:pt modelId="{743A223C-0567-4C07-AC84-09AC0A2089BD}" type="pres">
      <dgm:prSet presAssocID="{EF96742F-C82B-4008-8CF9-05C12F3743CD}" presName="rootText" presStyleLbl="node4" presStyleIdx="33" presStyleCnt="66" custScaleY="161426" custLinFactX="-3477" custLinFactY="42592" custLinFactNeighborX="-100000" custLinFactNeighborY="100000">
        <dgm:presLayoutVars>
          <dgm:chPref val="3"/>
        </dgm:presLayoutVars>
      </dgm:prSet>
      <dgm:spPr/>
    </dgm:pt>
    <dgm:pt modelId="{8C55AAF1-3431-4714-BA08-4A7AF67670FF}" type="pres">
      <dgm:prSet presAssocID="{EF96742F-C82B-4008-8CF9-05C12F3743CD}" presName="rootConnector" presStyleLbl="node4" presStyleIdx="33" presStyleCnt="66"/>
      <dgm:spPr/>
    </dgm:pt>
    <dgm:pt modelId="{F69610BF-5555-4044-AF05-8C5425F291BD}" type="pres">
      <dgm:prSet presAssocID="{EF96742F-C82B-4008-8CF9-05C12F3743CD}" presName="hierChild4" presStyleCnt="0"/>
      <dgm:spPr/>
    </dgm:pt>
    <dgm:pt modelId="{3547FE30-EACF-4589-9767-39F3AFAF0B62}" type="pres">
      <dgm:prSet presAssocID="{EF96742F-C82B-4008-8CF9-05C12F3743CD}" presName="hierChild5" presStyleCnt="0"/>
      <dgm:spPr/>
    </dgm:pt>
    <dgm:pt modelId="{15E72854-C2EB-4235-927F-D5127C5DF2FE}" type="pres">
      <dgm:prSet presAssocID="{57F4BFCC-AFED-463E-9871-F70118883114}" presName="hierChild5" presStyleCnt="0"/>
      <dgm:spPr/>
    </dgm:pt>
    <dgm:pt modelId="{8E385000-70F0-4FC9-8000-269D59E93F1C}" type="pres">
      <dgm:prSet presAssocID="{1D8B58E2-3100-4CE1-9744-08FD1BA12C97}" presName="Name37" presStyleLbl="parChTrans1D3" presStyleIdx="6" presStyleCnt="12"/>
      <dgm:spPr/>
    </dgm:pt>
    <dgm:pt modelId="{0E220C4A-7378-4319-A875-239AC1103F89}" type="pres">
      <dgm:prSet presAssocID="{2789FD09-F80A-488A-8BB7-BC232B18AF06}" presName="hierRoot2" presStyleCnt="0">
        <dgm:presLayoutVars>
          <dgm:hierBranch val="init"/>
        </dgm:presLayoutVars>
      </dgm:prSet>
      <dgm:spPr/>
    </dgm:pt>
    <dgm:pt modelId="{5D10EF6E-FAF4-4828-B278-76C79065F67F}" type="pres">
      <dgm:prSet presAssocID="{2789FD09-F80A-488A-8BB7-BC232B18AF06}" presName="rootComposite" presStyleCnt="0"/>
      <dgm:spPr/>
    </dgm:pt>
    <dgm:pt modelId="{BDC147E6-8871-4EA7-A8E8-60EE912F1727}" type="pres">
      <dgm:prSet presAssocID="{2789FD09-F80A-488A-8BB7-BC232B18AF06}" presName="rootText" presStyleLbl="node3" presStyleIdx="6" presStyleCnt="12" custLinFactY="71387" custLinFactNeighborX="-97779" custLinFactNeighborY="100000">
        <dgm:presLayoutVars>
          <dgm:chPref val="3"/>
        </dgm:presLayoutVars>
      </dgm:prSet>
      <dgm:spPr/>
    </dgm:pt>
    <dgm:pt modelId="{E8004E2B-3C32-4A36-A1AC-85C045781A67}" type="pres">
      <dgm:prSet presAssocID="{2789FD09-F80A-488A-8BB7-BC232B18AF06}" presName="rootConnector" presStyleLbl="node3" presStyleIdx="6" presStyleCnt="12"/>
      <dgm:spPr/>
    </dgm:pt>
    <dgm:pt modelId="{933FAF06-413D-4090-809B-105795266EDA}" type="pres">
      <dgm:prSet presAssocID="{2789FD09-F80A-488A-8BB7-BC232B18AF06}" presName="hierChild4" presStyleCnt="0"/>
      <dgm:spPr/>
    </dgm:pt>
    <dgm:pt modelId="{051B9C95-24ED-46C3-A8CF-CF6625967647}" type="pres">
      <dgm:prSet presAssocID="{E16A0123-272C-42D2-AC34-2463BA124D98}" presName="Name37" presStyleLbl="parChTrans1D4" presStyleIdx="34" presStyleCnt="66"/>
      <dgm:spPr/>
    </dgm:pt>
    <dgm:pt modelId="{A279F12B-D460-4F47-9493-14A2A748E198}" type="pres">
      <dgm:prSet presAssocID="{1DF269A6-A004-43F1-A311-60EA1218DA1B}" presName="hierRoot2" presStyleCnt="0">
        <dgm:presLayoutVars>
          <dgm:hierBranch val="init"/>
        </dgm:presLayoutVars>
      </dgm:prSet>
      <dgm:spPr/>
    </dgm:pt>
    <dgm:pt modelId="{0E64E15B-D905-441B-926B-039BD387DB12}" type="pres">
      <dgm:prSet presAssocID="{1DF269A6-A004-43F1-A311-60EA1218DA1B}" presName="rootComposite" presStyleCnt="0"/>
      <dgm:spPr/>
    </dgm:pt>
    <dgm:pt modelId="{3CF89496-0578-4C97-873B-B7694AC9FCD7}" type="pres">
      <dgm:prSet presAssocID="{1DF269A6-A004-43F1-A311-60EA1218DA1B}" presName="rootText" presStyleLbl="node4" presStyleIdx="34" presStyleCnt="66" custLinFactY="56146" custLinFactNeighborX="-95239" custLinFactNeighborY="100000">
        <dgm:presLayoutVars>
          <dgm:chPref val="3"/>
        </dgm:presLayoutVars>
      </dgm:prSet>
      <dgm:spPr/>
    </dgm:pt>
    <dgm:pt modelId="{ED8D8B67-F9B4-4875-9900-A04DC2A190E4}" type="pres">
      <dgm:prSet presAssocID="{1DF269A6-A004-43F1-A311-60EA1218DA1B}" presName="rootConnector" presStyleLbl="node4" presStyleIdx="34" presStyleCnt="66"/>
      <dgm:spPr/>
    </dgm:pt>
    <dgm:pt modelId="{F6E108CD-617A-479B-925C-A601EFA26751}" type="pres">
      <dgm:prSet presAssocID="{1DF269A6-A004-43F1-A311-60EA1218DA1B}" presName="hierChild4" presStyleCnt="0"/>
      <dgm:spPr/>
    </dgm:pt>
    <dgm:pt modelId="{25AE7C71-9A41-4428-ABCD-DA63E842AF5E}" type="pres">
      <dgm:prSet presAssocID="{1DF269A6-A004-43F1-A311-60EA1218DA1B}" presName="hierChild5" presStyleCnt="0"/>
      <dgm:spPr/>
    </dgm:pt>
    <dgm:pt modelId="{A1F9B978-F512-459E-8D4D-B18D8628A18B}" type="pres">
      <dgm:prSet presAssocID="{34D4C62D-613F-4D0D-A0E1-E0CEC8592191}" presName="Name37" presStyleLbl="parChTrans1D4" presStyleIdx="35" presStyleCnt="66"/>
      <dgm:spPr/>
    </dgm:pt>
    <dgm:pt modelId="{A0BA809A-906A-4C85-93E5-7FEC0CD7BC91}" type="pres">
      <dgm:prSet presAssocID="{3BEB41E2-8812-477A-BAAE-9AAAB713FC14}" presName="hierRoot2" presStyleCnt="0">
        <dgm:presLayoutVars>
          <dgm:hierBranch val="init"/>
        </dgm:presLayoutVars>
      </dgm:prSet>
      <dgm:spPr/>
    </dgm:pt>
    <dgm:pt modelId="{10404FEC-F42C-4427-8DD1-47F9799D2B5F}" type="pres">
      <dgm:prSet presAssocID="{3BEB41E2-8812-477A-BAAE-9AAAB713FC14}" presName="rootComposite" presStyleCnt="0"/>
      <dgm:spPr/>
    </dgm:pt>
    <dgm:pt modelId="{FCDE16EF-E941-4E66-A369-BC4894259277}" type="pres">
      <dgm:prSet presAssocID="{3BEB41E2-8812-477A-BAAE-9AAAB713FC14}" presName="rootText" presStyleLbl="node4" presStyleIdx="35" presStyleCnt="66" custLinFactY="56146" custLinFactNeighborX="-95239" custLinFactNeighborY="100000">
        <dgm:presLayoutVars>
          <dgm:chPref val="3"/>
        </dgm:presLayoutVars>
      </dgm:prSet>
      <dgm:spPr/>
    </dgm:pt>
    <dgm:pt modelId="{9A5156B4-BFEA-4BFB-A196-7E247CABCADB}" type="pres">
      <dgm:prSet presAssocID="{3BEB41E2-8812-477A-BAAE-9AAAB713FC14}" presName="rootConnector" presStyleLbl="node4" presStyleIdx="35" presStyleCnt="66"/>
      <dgm:spPr/>
    </dgm:pt>
    <dgm:pt modelId="{21EC18BC-F4EE-4326-A58A-B33DB759FDD8}" type="pres">
      <dgm:prSet presAssocID="{3BEB41E2-8812-477A-BAAE-9AAAB713FC14}" presName="hierChild4" presStyleCnt="0"/>
      <dgm:spPr/>
    </dgm:pt>
    <dgm:pt modelId="{B145E3C0-E6D1-4561-B8E9-30C9D37E9224}" type="pres">
      <dgm:prSet presAssocID="{3BEB41E2-8812-477A-BAAE-9AAAB713FC14}" presName="hierChild5" presStyleCnt="0"/>
      <dgm:spPr/>
    </dgm:pt>
    <dgm:pt modelId="{3023A377-AB31-4084-BCFD-8F862D4AEB15}" type="pres">
      <dgm:prSet presAssocID="{96054F4A-E54D-42B4-BD16-81F6222D445B}" presName="Name37" presStyleLbl="parChTrans1D4" presStyleIdx="36" presStyleCnt="66"/>
      <dgm:spPr/>
    </dgm:pt>
    <dgm:pt modelId="{D1A64AB9-E591-4F53-AAF6-0A2491D54AF0}" type="pres">
      <dgm:prSet presAssocID="{7AE92220-DFC6-4B98-9031-A590619925ED}" presName="hierRoot2" presStyleCnt="0">
        <dgm:presLayoutVars>
          <dgm:hierBranch val="init"/>
        </dgm:presLayoutVars>
      </dgm:prSet>
      <dgm:spPr/>
    </dgm:pt>
    <dgm:pt modelId="{E423337F-AA0F-4050-A63B-4155103AD28C}" type="pres">
      <dgm:prSet presAssocID="{7AE92220-DFC6-4B98-9031-A590619925ED}" presName="rootComposite" presStyleCnt="0"/>
      <dgm:spPr/>
    </dgm:pt>
    <dgm:pt modelId="{F8FD6581-6201-40CA-A902-4A567D56633E}" type="pres">
      <dgm:prSet presAssocID="{7AE92220-DFC6-4B98-9031-A590619925ED}" presName="rootText" presStyleLbl="node4" presStyleIdx="36" presStyleCnt="66" custLinFactY="57699" custLinFactNeighborX="-94220" custLinFactNeighborY="100000">
        <dgm:presLayoutVars>
          <dgm:chPref val="3"/>
        </dgm:presLayoutVars>
      </dgm:prSet>
      <dgm:spPr/>
    </dgm:pt>
    <dgm:pt modelId="{88271DD5-DBE6-409A-B7F8-B3520A3D4D5A}" type="pres">
      <dgm:prSet presAssocID="{7AE92220-DFC6-4B98-9031-A590619925ED}" presName="rootConnector" presStyleLbl="node4" presStyleIdx="36" presStyleCnt="66"/>
      <dgm:spPr/>
    </dgm:pt>
    <dgm:pt modelId="{229254C7-2FC0-4D14-BA0A-15CA1A6A4D9B}" type="pres">
      <dgm:prSet presAssocID="{7AE92220-DFC6-4B98-9031-A590619925ED}" presName="hierChild4" presStyleCnt="0"/>
      <dgm:spPr/>
    </dgm:pt>
    <dgm:pt modelId="{48DF0634-A857-4DFD-95F7-09333E2C102A}" type="pres">
      <dgm:prSet presAssocID="{7AE92220-DFC6-4B98-9031-A590619925ED}" presName="hierChild5" presStyleCnt="0"/>
      <dgm:spPr/>
    </dgm:pt>
    <dgm:pt modelId="{D6818D12-B24E-4069-895B-E1648FA8CB22}" type="pres">
      <dgm:prSet presAssocID="{726F2886-3E09-40EE-849D-399207696B96}" presName="Name37" presStyleLbl="parChTrans1D4" presStyleIdx="37" presStyleCnt="66"/>
      <dgm:spPr/>
    </dgm:pt>
    <dgm:pt modelId="{7C13B109-B5E3-42CB-B9E3-467E391D82C3}" type="pres">
      <dgm:prSet presAssocID="{6B82DE00-C4F7-4ED5-AF2D-207E2D5F9ECE}" presName="hierRoot2" presStyleCnt="0">
        <dgm:presLayoutVars>
          <dgm:hierBranch val="init"/>
        </dgm:presLayoutVars>
      </dgm:prSet>
      <dgm:spPr/>
    </dgm:pt>
    <dgm:pt modelId="{9822D9E4-E140-435A-948D-CCACBBAEABFA}" type="pres">
      <dgm:prSet presAssocID="{6B82DE00-C4F7-4ED5-AF2D-207E2D5F9ECE}" presName="rootComposite" presStyleCnt="0"/>
      <dgm:spPr/>
    </dgm:pt>
    <dgm:pt modelId="{9516D145-26D6-44D3-897C-8FF25FA978A7}" type="pres">
      <dgm:prSet presAssocID="{6B82DE00-C4F7-4ED5-AF2D-207E2D5F9ECE}" presName="rootText" presStyleLbl="node4" presStyleIdx="37" presStyleCnt="66" custLinFactY="49862" custLinFactNeighborX="-95239" custLinFactNeighborY="100000">
        <dgm:presLayoutVars>
          <dgm:chPref val="3"/>
        </dgm:presLayoutVars>
      </dgm:prSet>
      <dgm:spPr/>
    </dgm:pt>
    <dgm:pt modelId="{CDA5AD1B-AD01-4C99-9790-42AD7D231DE7}" type="pres">
      <dgm:prSet presAssocID="{6B82DE00-C4F7-4ED5-AF2D-207E2D5F9ECE}" presName="rootConnector" presStyleLbl="node4" presStyleIdx="37" presStyleCnt="66"/>
      <dgm:spPr/>
    </dgm:pt>
    <dgm:pt modelId="{1CF8D398-A4EC-461F-BEDC-5247EC5A8C11}" type="pres">
      <dgm:prSet presAssocID="{6B82DE00-C4F7-4ED5-AF2D-207E2D5F9ECE}" presName="hierChild4" presStyleCnt="0"/>
      <dgm:spPr/>
    </dgm:pt>
    <dgm:pt modelId="{EE6AEA5A-051C-4925-BD4D-49D8BAC2FCC8}" type="pres">
      <dgm:prSet presAssocID="{6B82DE00-C4F7-4ED5-AF2D-207E2D5F9ECE}" presName="hierChild5" presStyleCnt="0"/>
      <dgm:spPr/>
    </dgm:pt>
    <dgm:pt modelId="{34CC24AD-7E91-4FA6-BCCF-24DD53398C28}" type="pres">
      <dgm:prSet presAssocID="{2789FD09-F80A-488A-8BB7-BC232B18AF06}" presName="hierChild5" presStyleCnt="0"/>
      <dgm:spPr/>
    </dgm:pt>
    <dgm:pt modelId="{5CF7E422-49B7-4152-BAB8-FC63F2BF9160}" type="pres">
      <dgm:prSet presAssocID="{207918A6-7772-41B1-96EF-AA65C65DEFC3}" presName="Name37" presStyleLbl="parChTrans1D3" presStyleIdx="7" presStyleCnt="12"/>
      <dgm:spPr/>
    </dgm:pt>
    <dgm:pt modelId="{24B98033-8D90-407A-B43B-5B2959C2E033}" type="pres">
      <dgm:prSet presAssocID="{F64867BD-0949-4FA0-A4DE-B7D633F0034C}" presName="hierRoot2" presStyleCnt="0">
        <dgm:presLayoutVars>
          <dgm:hierBranch val="init"/>
        </dgm:presLayoutVars>
      </dgm:prSet>
      <dgm:spPr/>
    </dgm:pt>
    <dgm:pt modelId="{D97066FA-0E2C-4AF2-AC4C-1DB194C18EEE}" type="pres">
      <dgm:prSet presAssocID="{F64867BD-0949-4FA0-A4DE-B7D633F0034C}" presName="rootComposite" presStyleCnt="0"/>
      <dgm:spPr/>
    </dgm:pt>
    <dgm:pt modelId="{8DE7FA51-B0F9-4640-B35D-FD71CF99804D}" type="pres">
      <dgm:prSet presAssocID="{F64867BD-0949-4FA0-A4DE-B7D633F0034C}" presName="rootText" presStyleLbl="node3" presStyleIdx="7" presStyleCnt="12" custLinFactY="72160" custLinFactNeighborX="-91685" custLinFactNeighborY="100000">
        <dgm:presLayoutVars>
          <dgm:chPref val="3"/>
        </dgm:presLayoutVars>
      </dgm:prSet>
      <dgm:spPr/>
    </dgm:pt>
    <dgm:pt modelId="{06F11B46-2FB9-477C-BC1B-90C7E023E04D}" type="pres">
      <dgm:prSet presAssocID="{F64867BD-0949-4FA0-A4DE-B7D633F0034C}" presName="rootConnector" presStyleLbl="node3" presStyleIdx="7" presStyleCnt="12"/>
      <dgm:spPr/>
    </dgm:pt>
    <dgm:pt modelId="{878A3ECF-238A-4A9A-AFA3-1A05B3273911}" type="pres">
      <dgm:prSet presAssocID="{F64867BD-0949-4FA0-A4DE-B7D633F0034C}" presName="hierChild4" presStyleCnt="0"/>
      <dgm:spPr/>
    </dgm:pt>
    <dgm:pt modelId="{6FAA0D14-02C4-41EF-B2DF-6A952974F2EC}" type="pres">
      <dgm:prSet presAssocID="{9D13284D-3623-4556-A0C5-12269ECEBD01}" presName="Name37" presStyleLbl="parChTrans1D4" presStyleIdx="38" presStyleCnt="66"/>
      <dgm:spPr/>
    </dgm:pt>
    <dgm:pt modelId="{402D85B3-0D91-4A30-BB83-098BD8DB3678}" type="pres">
      <dgm:prSet presAssocID="{4F693BA6-26B2-4B73-8280-C164DA8C34B7}" presName="hierRoot2" presStyleCnt="0">
        <dgm:presLayoutVars>
          <dgm:hierBranch val="init"/>
        </dgm:presLayoutVars>
      </dgm:prSet>
      <dgm:spPr/>
    </dgm:pt>
    <dgm:pt modelId="{BB578ABC-476B-4EAA-A71A-0A544C8CC85F}" type="pres">
      <dgm:prSet presAssocID="{4F693BA6-26B2-4B73-8280-C164DA8C34B7}" presName="rootComposite" presStyleCnt="0"/>
      <dgm:spPr/>
    </dgm:pt>
    <dgm:pt modelId="{AED77F61-D481-4F5F-B12C-CC8E1069DEC4}" type="pres">
      <dgm:prSet presAssocID="{4F693BA6-26B2-4B73-8280-C164DA8C34B7}" presName="rootText" presStyleLbl="node4" presStyleIdx="38" presStyleCnt="66" custScaleY="122423" custLinFactY="61366" custLinFactNeighborX="-95720" custLinFactNeighborY="100000">
        <dgm:presLayoutVars>
          <dgm:chPref val="3"/>
        </dgm:presLayoutVars>
      </dgm:prSet>
      <dgm:spPr/>
    </dgm:pt>
    <dgm:pt modelId="{2AA7AAEA-4596-4A15-A250-7C6D01E2B7DD}" type="pres">
      <dgm:prSet presAssocID="{4F693BA6-26B2-4B73-8280-C164DA8C34B7}" presName="rootConnector" presStyleLbl="node4" presStyleIdx="38" presStyleCnt="66"/>
      <dgm:spPr/>
    </dgm:pt>
    <dgm:pt modelId="{B282C05B-0A79-4140-BCE0-4E7B9C3420BD}" type="pres">
      <dgm:prSet presAssocID="{4F693BA6-26B2-4B73-8280-C164DA8C34B7}" presName="hierChild4" presStyleCnt="0"/>
      <dgm:spPr/>
    </dgm:pt>
    <dgm:pt modelId="{D38E680A-9DE7-4DC2-A359-425E0B3149F7}" type="pres">
      <dgm:prSet presAssocID="{4F693BA6-26B2-4B73-8280-C164DA8C34B7}" presName="hierChild5" presStyleCnt="0"/>
      <dgm:spPr/>
    </dgm:pt>
    <dgm:pt modelId="{AA844D41-C2EA-4BCE-A1F1-029FFC1EA975}" type="pres">
      <dgm:prSet presAssocID="{55D88064-4FB1-4441-9857-13536E02DD93}" presName="Name37" presStyleLbl="parChTrans1D4" presStyleIdx="39" presStyleCnt="66"/>
      <dgm:spPr/>
    </dgm:pt>
    <dgm:pt modelId="{2F511B03-7799-4BA5-8017-B2DB179A2B5A}" type="pres">
      <dgm:prSet presAssocID="{FA2DB15A-0F55-4DD0-A1F0-EBF79E7A4388}" presName="hierRoot2" presStyleCnt="0">
        <dgm:presLayoutVars>
          <dgm:hierBranch val="init"/>
        </dgm:presLayoutVars>
      </dgm:prSet>
      <dgm:spPr/>
    </dgm:pt>
    <dgm:pt modelId="{97F64D9D-982B-4F25-A19D-7291F6199BA9}" type="pres">
      <dgm:prSet presAssocID="{FA2DB15A-0F55-4DD0-A1F0-EBF79E7A4388}" presName="rootComposite" presStyleCnt="0"/>
      <dgm:spPr/>
    </dgm:pt>
    <dgm:pt modelId="{C4EFC886-DC90-4D63-8D8A-BA9A2EF65C67}" type="pres">
      <dgm:prSet presAssocID="{FA2DB15A-0F55-4DD0-A1F0-EBF79E7A4388}" presName="rootText" presStyleLbl="node4" presStyleIdx="39" presStyleCnt="66" custLinFactY="61366" custLinFactNeighborX="-95720" custLinFactNeighborY="100000">
        <dgm:presLayoutVars>
          <dgm:chPref val="3"/>
        </dgm:presLayoutVars>
      </dgm:prSet>
      <dgm:spPr/>
    </dgm:pt>
    <dgm:pt modelId="{DD776819-9D32-422F-ACEC-6EECEE002578}" type="pres">
      <dgm:prSet presAssocID="{FA2DB15A-0F55-4DD0-A1F0-EBF79E7A4388}" presName="rootConnector" presStyleLbl="node4" presStyleIdx="39" presStyleCnt="66"/>
      <dgm:spPr/>
    </dgm:pt>
    <dgm:pt modelId="{A0E05CF2-4639-473E-B3BF-B1A83551A063}" type="pres">
      <dgm:prSet presAssocID="{FA2DB15A-0F55-4DD0-A1F0-EBF79E7A4388}" presName="hierChild4" presStyleCnt="0"/>
      <dgm:spPr/>
    </dgm:pt>
    <dgm:pt modelId="{431DD116-BC30-4106-A427-0558E32AB57F}" type="pres">
      <dgm:prSet presAssocID="{FA2DB15A-0F55-4DD0-A1F0-EBF79E7A4388}" presName="hierChild5" presStyleCnt="0"/>
      <dgm:spPr/>
    </dgm:pt>
    <dgm:pt modelId="{A114889E-141A-43A9-9198-75DD20A1921B}" type="pres">
      <dgm:prSet presAssocID="{B9DD3140-D8F4-4547-B53D-72B3E3722327}" presName="Name37" presStyleLbl="parChTrans1D4" presStyleIdx="40" presStyleCnt="66"/>
      <dgm:spPr/>
    </dgm:pt>
    <dgm:pt modelId="{EAE3E303-6EC1-4A3F-B24E-2B3C2B639D6B}" type="pres">
      <dgm:prSet presAssocID="{9DD468CD-B3DA-4914-BAFF-BFB6219D38F3}" presName="hierRoot2" presStyleCnt="0">
        <dgm:presLayoutVars>
          <dgm:hierBranch val="init"/>
        </dgm:presLayoutVars>
      </dgm:prSet>
      <dgm:spPr/>
    </dgm:pt>
    <dgm:pt modelId="{85BFB48B-36A2-43A9-AEAD-F190306A3933}" type="pres">
      <dgm:prSet presAssocID="{9DD468CD-B3DA-4914-BAFF-BFB6219D38F3}" presName="rootComposite" presStyleCnt="0"/>
      <dgm:spPr/>
    </dgm:pt>
    <dgm:pt modelId="{FE6FD7C3-42D2-4614-B277-F0D2A781149B}" type="pres">
      <dgm:prSet presAssocID="{9DD468CD-B3DA-4914-BAFF-BFB6219D38F3}" presName="rootText" presStyleLbl="node4" presStyleIdx="40" presStyleCnt="66" custScaleY="153587" custLinFactY="48799" custLinFactNeighborX="-95720" custLinFactNeighborY="100000">
        <dgm:presLayoutVars>
          <dgm:chPref val="3"/>
        </dgm:presLayoutVars>
      </dgm:prSet>
      <dgm:spPr/>
    </dgm:pt>
    <dgm:pt modelId="{36156576-32D1-4C3A-BF33-789F1E7A5BB2}" type="pres">
      <dgm:prSet presAssocID="{9DD468CD-B3DA-4914-BAFF-BFB6219D38F3}" presName="rootConnector" presStyleLbl="node4" presStyleIdx="40" presStyleCnt="66"/>
      <dgm:spPr/>
    </dgm:pt>
    <dgm:pt modelId="{CD477A6D-CBFD-4266-9664-4EFA9970D497}" type="pres">
      <dgm:prSet presAssocID="{9DD468CD-B3DA-4914-BAFF-BFB6219D38F3}" presName="hierChild4" presStyleCnt="0"/>
      <dgm:spPr/>
    </dgm:pt>
    <dgm:pt modelId="{82DB9BBC-8696-4D38-91FC-5D9E1E767F3D}" type="pres">
      <dgm:prSet presAssocID="{9DD468CD-B3DA-4914-BAFF-BFB6219D38F3}" presName="hierChild5" presStyleCnt="0"/>
      <dgm:spPr/>
    </dgm:pt>
    <dgm:pt modelId="{3BDBB033-DA5A-42F7-AA19-6643D7B83E5F}" type="pres">
      <dgm:prSet presAssocID="{95B5CF57-607F-4F9D-A210-216175C23BDF}" presName="Name37" presStyleLbl="parChTrans1D4" presStyleIdx="41" presStyleCnt="66"/>
      <dgm:spPr/>
    </dgm:pt>
    <dgm:pt modelId="{7BAEE7C0-CC31-469D-A55A-820F9844C7B2}" type="pres">
      <dgm:prSet presAssocID="{D81F9C99-0C72-44D6-8B8F-79B3F0BB4C2F}" presName="hierRoot2" presStyleCnt="0">
        <dgm:presLayoutVars>
          <dgm:hierBranch val="init"/>
        </dgm:presLayoutVars>
      </dgm:prSet>
      <dgm:spPr/>
    </dgm:pt>
    <dgm:pt modelId="{FC59D5A2-37C7-442C-A36B-B51DD04CBC6F}" type="pres">
      <dgm:prSet presAssocID="{D81F9C99-0C72-44D6-8B8F-79B3F0BB4C2F}" presName="rootComposite" presStyleCnt="0"/>
      <dgm:spPr/>
    </dgm:pt>
    <dgm:pt modelId="{15E5EE25-D21D-4742-8F20-7AB5D7559FCB}" type="pres">
      <dgm:prSet presAssocID="{D81F9C99-0C72-44D6-8B8F-79B3F0BB4C2F}" presName="rootText" presStyleLbl="node4" presStyleIdx="41" presStyleCnt="66" custScaleY="143761" custLinFactY="42515" custLinFactNeighborX="-95720" custLinFactNeighborY="100000">
        <dgm:presLayoutVars>
          <dgm:chPref val="3"/>
        </dgm:presLayoutVars>
      </dgm:prSet>
      <dgm:spPr/>
    </dgm:pt>
    <dgm:pt modelId="{A3E00E92-A59E-4D77-8E79-B2B312F7718A}" type="pres">
      <dgm:prSet presAssocID="{D81F9C99-0C72-44D6-8B8F-79B3F0BB4C2F}" presName="rootConnector" presStyleLbl="node4" presStyleIdx="41" presStyleCnt="66"/>
      <dgm:spPr/>
    </dgm:pt>
    <dgm:pt modelId="{37AC68F4-756F-4659-97FA-3F6ADAFDA02E}" type="pres">
      <dgm:prSet presAssocID="{D81F9C99-0C72-44D6-8B8F-79B3F0BB4C2F}" presName="hierChild4" presStyleCnt="0"/>
      <dgm:spPr/>
    </dgm:pt>
    <dgm:pt modelId="{A9FF484E-9A1C-4A75-AE4E-7248711B88A1}" type="pres">
      <dgm:prSet presAssocID="{D81F9C99-0C72-44D6-8B8F-79B3F0BB4C2F}" presName="hierChild5" presStyleCnt="0"/>
      <dgm:spPr/>
    </dgm:pt>
    <dgm:pt modelId="{084C2E56-91F7-4E8F-B1AD-D64D5D61D15C}" type="pres">
      <dgm:prSet presAssocID="{F64867BD-0949-4FA0-A4DE-B7D633F0034C}" presName="hierChild5" presStyleCnt="0"/>
      <dgm:spPr/>
    </dgm:pt>
    <dgm:pt modelId="{FB69F1F2-FFD1-417C-82CA-59C5357A3243}" type="pres">
      <dgm:prSet presAssocID="{616FB7FF-112C-4CAC-823F-8BBE25CD5E9A}" presName="hierChild5" presStyleCnt="0"/>
      <dgm:spPr/>
    </dgm:pt>
    <dgm:pt modelId="{A6864419-3D5E-434E-BB5A-29FD6B15E81B}" type="pres">
      <dgm:prSet presAssocID="{365C7C5C-B028-4C96-9505-C20203060A87}" presName="Name37" presStyleLbl="parChTrans1D2" presStyleIdx="6" presStyleCnt="7"/>
      <dgm:spPr/>
    </dgm:pt>
    <dgm:pt modelId="{C598C9F6-4B7B-4F50-A75E-192951DC67DA}" type="pres">
      <dgm:prSet presAssocID="{2E2AD7E1-1C51-4B18-8F7B-4FA02BC5F89C}" presName="hierRoot2" presStyleCnt="0">
        <dgm:presLayoutVars>
          <dgm:hierBranch val="init"/>
        </dgm:presLayoutVars>
      </dgm:prSet>
      <dgm:spPr/>
    </dgm:pt>
    <dgm:pt modelId="{FC357F96-A3A0-4953-A7DE-23C9FB2FE9D9}" type="pres">
      <dgm:prSet presAssocID="{2E2AD7E1-1C51-4B18-8F7B-4FA02BC5F89C}" presName="rootComposite" presStyleCnt="0"/>
      <dgm:spPr/>
    </dgm:pt>
    <dgm:pt modelId="{CC83D1EA-987A-4420-AC1F-8009DEDCBE32}" type="pres">
      <dgm:prSet presAssocID="{2E2AD7E1-1C51-4B18-8F7B-4FA02BC5F89C}" presName="rootText" presStyleLbl="node2" presStyleIdx="6" presStyleCnt="7" custScaleX="175421" custLinFactY="64031" custLinFactNeighborX="88096" custLinFactNeighborY="100000">
        <dgm:presLayoutVars>
          <dgm:chPref val="3"/>
        </dgm:presLayoutVars>
      </dgm:prSet>
      <dgm:spPr/>
    </dgm:pt>
    <dgm:pt modelId="{DA085A28-DCFA-475C-9DD8-F77FE2D72845}" type="pres">
      <dgm:prSet presAssocID="{2E2AD7E1-1C51-4B18-8F7B-4FA02BC5F89C}" presName="rootConnector" presStyleLbl="node2" presStyleIdx="6" presStyleCnt="7"/>
      <dgm:spPr/>
    </dgm:pt>
    <dgm:pt modelId="{7F124D49-A67C-4E3E-9693-E390D0AA6BA0}" type="pres">
      <dgm:prSet presAssocID="{2E2AD7E1-1C51-4B18-8F7B-4FA02BC5F89C}" presName="hierChild4" presStyleCnt="0"/>
      <dgm:spPr/>
    </dgm:pt>
    <dgm:pt modelId="{6F891AE3-6A53-4F71-88ED-8E8630589331}" type="pres">
      <dgm:prSet presAssocID="{FB36DD4C-55E4-49C7-9B0D-F83F700A3405}" presName="Name37" presStyleLbl="parChTrans1D3" presStyleIdx="8" presStyleCnt="12"/>
      <dgm:spPr/>
    </dgm:pt>
    <dgm:pt modelId="{E7079E46-72B3-4BDB-83DA-385990C82A9D}" type="pres">
      <dgm:prSet presAssocID="{DB519D5D-CDBE-40FE-B415-9067FF5CF79C}" presName="hierRoot2" presStyleCnt="0">
        <dgm:presLayoutVars>
          <dgm:hierBranch val="init"/>
        </dgm:presLayoutVars>
      </dgm:prSet>
      <dgm:spPr/>
    </dgm:pt>
    <dgm:pt modelId="{77E8B810-6D10-44CC-8D21-DFBF928503D0}" type="pres">
      <dgm:prSet presAssocID="{DB519D5D-CDBE-40FE-B415-9067FF5CF79C}" presName="rootComposite" presStyleCnt="0"/>
      <dgm:spPr/>
    </dgm:pt>
    <dgm:pt modelId="{99F5ECD1-26A5-4D38-B952-E2030F3C296B}" type="pres">
      <dgm:prSet presAssocID="{DB519D5D-CDBE-40FE-B415-9067FF5CF79C}" presName="rootText" presStyleLbl="node3" presStyleIdx="8" presStyleCnt="12" custLinFactY="78432" custLinFactNeighborX="-34641" custLinFactNeighborY="100000">
        <dgm:presLayoutVars>
          <dgm:chPref val="3"/>
        </dgm:presLayoutVars>
      </dgm:prSet>
      <dgm:spPr/>
    </dgm:pt>
    <dgm:pt modelId="{505E9824-90A0-4325-8A9F-0E329F51E140}" type="pres">
      <dgm:prSet presAssocID="{DB519D5D-CDBE-40FE-B415-9067FF5CF79C}" presName="rootConnector" presStyleLbl="node3" presStyleIdx="8" presStyleCnt="12"/>
      <dgm:spPr/>
    </dgm:pt>
    <dgm:pt modelId="{41D9A6FE-640B-4F05-98E3-C70AE9B02DD8}" type="pres">
      <dgm:prSet presAssocID="{DB519D5D-CDBE-40FE-B415-9067FF5CF79C}" presName="hierChild4" presStyleCnt="0"/>
      <dgm:spPr/>
    </dgm:pt>
    <dgm:pt modelId="{EE5A63D8-BA54-4855-9013-9255A604E001}" type="pres">
      <dgm:prSet presAssocID="{2FE08BEE-DAC2-46A1-BA0E-818B97FF0A54}" presName="Name37" presStyleLbl="parChTrans1D4" presStyleIdx="42" presStyleCnt="66"/>
      <dgm:spPr/>
    </dgm:pt>
    <dgm:pt modelId="{F302202B-9651-4589-8F05-CDB4BD116920}" type="pres">
      <dgm:prSet presAssocID="{074849DE-5D03-49BD-A06E-557976758771}" presName="hierRoot2" presStyleCnt="0">
        <dgm:presLayoutVars>
          <dgm:hierBranch val="init"/>
        </dgm:presLayoutVars>
      </dgm:prSet>
      <dgm:spPr/>
    </dgm:pt>
    <dgm:pt modelId="{636B07A6-E821-4731-8F28-A1B843D1B92D}" type="pres">
      <dgm:prSet presAssocID="{074849DE-5D03-49BD-A06E-557976758771}" presName="rootComposite" presStyleCnt="0"/>
      <dgm:spPr/>
    </dgm:pt>
    <dgm:pt modelId="{98DD97CC-08CE-41BD-9468-7C5D305ADF8F}" type="pres">
      <dgm:prSet presAssocID="{074849DE-5D03-49BD-A06E-557976758771}" presName="rootText" presStyleLbl="node4" presStyleIdx="42" presStyleCnt="66" custLinFactY="85029" custLinFactNeighborX="-36192" custLinFactNeighborY="100000">
        <dgm:presLayoutVars>
          <dgm:chPref val="3"/>
        </dgm:presLayoutVars>
      </dgm:prSet>
      <dgm:spPr/>
    </dgm:pt>
    <dgm:pt modelId="{3DE7BF9D-03C7-4941-88C5-CAED96B15AB6}" type="pres">
      <dgm:prSet presAssocID="{074849DE-5D03-49BD-A06E-557976758771}" presName="rootConnector" presStyleLbl="node4" presStyleIdx="42" presStyleCnt="66"/>
      <dgm:spPr/>
    </dgm:pt>
    <dgm:pt modelId="{C357CE68-6B68-4E29-9029-5E48CAA36C9B}" type="pres">
      <dgm:prSet presAssocID="{074849DE-5D03-49BD-A06E-557976758771}" presName="hierChild4" presStyleCnt="0"/>
      <dgm:spPr/>
    </dgm:pt>
    <dgm:pt modelId="{5CA2D453-CEA9-4E48-B308-FA0BFA89D3CC}" type="pres">
      <dgm:prSet presAssocID="{074849DE-5D03-49BD-A06E-557976758771}" presName="hierChild5" presStyleCnt="0"/>
      <dgm:spPr/>
    </dgm:pt>
    <dgm:pt modelId="{0185BAAE-DE64-4AD7-A9BB-598CEFCAC8F9}" type="pres">
      <dgm:prSet presAssocID="{74C59B9E-77CC-4BF1-8CAB-11448A455F5F}" presName="Name37" presStyleLbl="parChTrans1D4" presStyleIdx="43" presStyleCnt="66"/>
      <dgm:spPr/>
    </dgm:pt>
    <dgm:pt modelId="{B4A0C69B-3E1F-4C27-8687-3DF28355342B}" type="pres">
      <dgm:prSet presAssocID="{44B99D23-0DBB-4644-B4EC-5A63853BD2BD}" presName="hierRoot2" presStyleCnt="0">
        <dgm:presLayoutVars>
          <dgm:hierBranch val="init"/>
        </dgm:presLayoutVars>
      </dgm:prSet>
      <dgm:spPr/>
    </dgm:pt>
    <dgm:pt modelId="{4B439AFE-5752-448B-A4A4-90B621D3DF54}" type="pres">
      <dgm:prSet presAssocID="{44B99D23-0DBB-4644-B4EC-5A63853BD2BD}" presName="rootComposite" presStyleCnt="0"/>
      <dgm:spPr/>
    </dgm:pt>
    <dgm:pt modelId="{46516CDF-FF62-41BA-81AF-A6C74ABBA41C}" type="pres">
      <dgm:prSet presAssocID="{44B99D23-0DBB-4644-B4EC-5A63853BD2BD}" presName="rootText" presStyleLbl="node4" presStyleIdx="43" presStyleCnt="66" custLinFactY="84572" custLinFactNeighborX="-36143" custLinFactNeighborY="100000">
        <dgm:presLayoutVars>
          <dgm:chPref val="3"/>
        </dgm:presLayoutVars>
      </dgm:prSet>
      <dgm:spPr/>
    </dgm:pt>
    <dgm:pt modelId="{A9AA93A2-8378-4A6E-ABD4-371F581C75A4}" type="pres">
      <dgm:prSet presAssocID="{44B99D23-0DBB-4644-B4EC-5A63853BD2BD}" presName="rootConnector" presStyleLbl="node4" presStyleIdx="43" presStyleCnt="66"/>
      <dgm:spPr/>
    </dgm:pt>
    <dgm:pt modelId="{DDBBDF64-7D5C-4C4A-A34A-A5230F7487B2}" type="pres">
      <dgm:prSet presAssocID="{44B99D23-0DBB-4644-B4EC-5A63853BD2BD}" presName="hierChild4" presStyleCnt="0"/>
      <dgm:spPr/>
    </dgm:pt>
    <dgm:pt modelId="{C0408B79-5215-492F-9B52-849CDD0B735A}" type="pres">
      <dgm:prSet presAssocID="{44B99D23-0DBB-4644-B4EC-5A63853BD2BD}" presName="hierChild5" presStyleCnt="0"/>
      <dgm:spPr/>
    </dgm:pt>
    <dgm:pt modelId="{AA4D1D40-3832-4BB5-89D3-E511F18E28DF}" type="pres">
      <dgm:prSet presAssocID="{2795C37E-7CF0-4F60-BCA8-DC6019AC47C6}" presName="Name37" presStyleLbl="parChTrans1D4" presStyleIdx="44" presStyleCnt="66"/>
      <dgm:spPr/>
    </dgm:pt>
    <dgm:pt modelId="{50DC1153-7D52-4040-80AB-12110EDC771D}" type="pres">
      <dgm:prSet presAssocID="{1AD56B8D-3AD5-4A22-8394-D243BC02BC4A}" presName="hierRoot2" presStyleCnt="0">
        <dgm:presLayoutVars>
          <dgm:hierBranch val="init"/>
        </dgm:presLayoutVars>
      </dgm:prSet>
      <dgm:spPr/>
    </dgm:pt>
    <dgm:pt modelId="{5C4ED704-9512-49FC-973D-C663A83AABB9}" type="pres">
      <dgm:prSet presAssocID="{1AD56B8D-3AD5-4A22-8394-D243BC02BC4A}" presName="rootComposite" presStyleCnt="0"/>
      <dgm:spPr/>
    </dgm:pt>
    <dgm:pt modelId="{C8E42C91-2328-44AA-BD54-ACC149C6CF06}" type="pres">
      <dgm:prSet presAssocID="{1AD56B8D-3AD5-4A22-8394-D243BC02BC4A}" presName="rootText" presStyleLbl="node4" presStyleIdx="44" presStyleCnt="66" custLinFactY="77750" custLinFactNeighborX="-36377" custLinFactNeighborY="100000">
        <dgm:presLayoutVars>
          <dgm:chPref val="3"/>
        </dgm:presLayoutVars>
      </dgm:prSet>
      <dgm:spPr/>
    </dgm:pt>
    <dgm:pt modelId="{EDD5D5C0-25EC-497D-B299-9B9E746CF927}" type="pres">
      <dgm:prSet presAssocID="{1AD56B8D-3AD5-4A22-8394-D243BC02BC4A}" presName="rootConnector" presStyleLbl="node4" presStyleIdx="44" presStyleCnt="66"/>
      <dgm:spPr/>
    </dgm:pt>
    <dgm:pt modelId="{7098A01C-E769-46DC-94EA-35C87C9DF33D}" type="pres">
      <dgm:prSet presAssocID="{1AD56B8D-3AD5-4A22-8394-D243BC02BC4A}" presName="hierChild4" presStyleCnt="0"/>
      <dgm:spPr/>
    </dgm:pt>
    <dgm:pt modelId="{FF098C03-DD38-45E0-94DE-BA74916C44B4}" type="pres">
      <dgm:prSet presAssocID="{1AD56B8D-3AD5-4A22-8394-D243BC02BC4A}" presName="hierChild5" presStyleCnt="0"/>
      <dgm:spPr/>
    </dgm:pt>
    <dgm:pt modelId="{D3FAC9A7-5690-4CB7-A1C2-FFFD66D0CFAF}" type="pres">
      <dgm:prSet presAssocID="{998B8FD6-9F72-4337-B9D8-C2807D112D7C}" presName="Name37" presStyleLbl="parChTrans1D4" presStyleIdx="45" presStyleCnt="66"/>
      <dgm:spPr/>
    </dgm:pt>
    <dgm:pt modelId="{EBF53C34-C7DC-4AE0-8EA5-6C198E317A1E}" type="pres">
      <dgm:prSet presAssocID="{B954898C-CC71-4DB3-8ABA-0FA76C28868B}" presName="hierRoot2" presStyleCnt="0">
        <dgm:presLayoutVars>
          <dgm:hierBranch val="init"/>
        </dgm:presLayoutVars>
      </dgm:prSet>
      <dgm:spPr/>
    </dgm:pt>
    <dgm:pt modelId="{74CE6F00-107F-4AFD-931E-262773FA1841}" type="pres">
      <dgm:prSet presAssocID="{B954898C-CC71-4DB3-8ABA-0FA76C28868B}" presName="rootComposite" presStyleCnt="0"/>
      <dgm:spPr/>
    </dgm:pt>
    <dgm:pt modelId="{6D5F0930-5A93-4FCD-BACA-A46FEBBFFC1F}" type="pres">
      <dgm:prSet presAssocID="{B954898C-CC71-4DB3-8ABA-0FA76C28868B}" presName="rootText" presStyleLbl="node4" presStyleIdx="45" presStyleCnt="66" custLinFactY="77750" custLinFactNeighborX="-39482" custLinFactNeighborY="100000">
        <dgm:presLayoutVars>
          <dgm:chPref val="3"/>
        </dgm:presLayoutVars>
      </dgm:prSet>
      <dgm:spPr/>
    </dgm:pt>
    <dgm:pt modelId="{91084872-F3AE-427B-B7B2-9D2A1A583040}" type="pres">
      <dgm:prSet presAssocID="{B954898C-CC71-4DB3-8ABA-0FA76C28868B}" presName="rootConnector" presStyleLbl="node4" presStyleIdx="45" presStyleCnt="66"/>
      <dgm:spPr/>
    </dgm:pt>
    <dgm:pt modelId="{A94DDDE2-83BD-4A75-B580-97046A284C52}" type="pres">
      <dgm:prSet presAssocID="{B954898C-CC71-4DB3-8ABA-0FA76C28868B}" presName="hierChild4" presStyleCnt="0"/>
      <dgm:spPr/>
    </dgm:pt>
    <dgm:pt modelId="{618DE82E-88BC-4D9D-A208-C55F0E9DC239}" type="pres">
      <dgm:prSet presAssocID="{B954898C-CC71-4DB3-8ABA-0FA76C28868B}" presName="hierChild5" presStyleCnt="0"/>
      <dgm:spPr/>
    </dgm:pt>
    <dgm:pt modelId="{381CF30F-7E79-462D-AC7D-9AA5C1FC469C}" type="pres">
      <dgm:prSet presAssocID="{FCEEA016-765B-4B7E-A263-B8928026B28F}" presName="Name37" presStyleLbl="parChTrans1D4" presStyleIdx="46" presStyleCnt="66"/>
      <dgm:spPr/>
    </dgm:pt>
    <dgm:pt modelId="{BDF3707C-84AA-439B-AE1F-744C568CD82A}" type="pres">
      <dgm:prSet presAssocID="{EB16CFCF-9F0B-4DEE-A850-B01410611118}" presName="hierRoot2" presStyleCnt="0">
        <dgm:presLayoutVars>
          <dgm:hierBranch val="init"/>
        </dgm:presLayoutVars>
      </dgm:prSet>
      <dgm:spPr/>
    </dgm:pt>
    <dgm:pt modelId="{91E51080-F1A7-4BDE-90B2-666B8B8F49BA}" type="pres">
      <dgm:prSet presAssocID="{EB16CFCF-9F0B-4DEE-A850-B01410611118}" presName="rootComposite" presStyleCnt="0"/>
      <dgm:spPr/>
    </dgm:pt>
    <dgm:pt modelId="{FF1032C5-0C2B-4EA5-BC1F-DCB68868A42A}" type="pres">
      <dgm:prSet presAssocID="{EB16CFCF-9F0B-4DEE-A850-B01410611118}" presName="rootText" presStyleLbl="node4" presStyleIdx="46" presStyleCnt="66" custLinFactY="67976" custLinFactNeighborX="-36814" custLinFactNeighborY="100000">
        <dgm:presLayoutVars>
          <dgm:chPref val="3"/>
        </dgm:presLayoutVars>
      </dgm:prSet>
      <dgm:spPr/>
    </dgm:pt>
    <dgm:pt modelId="{1ED72F50-C874-402F-9936-9FC8BB761288}" type="pres">
      <dgm:prSet presAssocID="{EB16CFCF-9F0B-4DEE-A850-B01410611118}" presName="rootConnector" presStyleLbl="node4" presStyleIdx="46" presStyleCnt="66"/>
      <dgm:spPr/>
    </dgm:pt>
    <dgm:pt modelId="{C387A0A6-4705-4C4F-B0C4-8B3FACF57BF8}" type="pres">
      <dgm:prSet presAssocID="{EB16CFCF-9F0B-4DEE-A850-B01410611118}" presName="hierChild4" presStyleCnt="0"/>
      <dgm:spPr/>
    </dgm:pt>
    <dgm:pt modelId="{263799C5-D719-448D-A836-DFA0A3790D38}" type="pres">
      <dgm:prSet presAssocID="{EB16CFCF-9F0B-4DEE-A850-B01410611118}" presName="hierChild5" presStyleCnt="0"/>
      <dgm:spPr/>
    </dgm:pt>
    <dgm:pt modelId="{6764FF8D-F2A3-49BC-A7A6-9CEC04A80170}" type="pres">
      <dgm:prSet presAssocID="{CA7A280B-754E-48DF-8141-FCCF1F7C52D7}" presName="Name37" presStyleLbl="parChTrans1D4" presStyleIdx="47" presStyleCnt="66"/>
      <dgm:spPr/>
    </dgm:pt>
    <dgm:pt modelId="{27471EEB-6F3D-4118-B250-190A8C43F088}" type="pres">
      <dgm:prSet presAssocID="{78B723D2-F9F3-4D72-9235-6008AED08A76}" presName="hierRoot2" presStyleCnt="0">
        <dgm:presLayoutVars>
          <dgm:hierBranch val="init"/>
        </dgm:presLayoutVars>
      </dgm:prSet>
      <dgm:spPr/>
    </dgm:pt>
    <dgm:pt modelId="{23AED3DC-2445-46F3-88EA-FD754FE30359}" type="pres">
      <dgm:prSet presAssocID="{78B723D2-F9F3-4D72-9235-6008AED08A76}" presName="rootComposite" presStyleCnt="0"/>
      <dgm:spPr/>
    </dgm:pt>
    <dgm:pt modelId="{200B7D3E-E890-4610-856F-D9E590DF5734}" type="pres">
      <dgm:prSet presAssocID="{78B723D2-F9F3-4D72-9235-6008AED08A76}" presName="rootText" presStyleLbl="node4" presStyleIdx="47" presStyleCnt="66" custLinFactY="61194" custLinFactNeighborX="-38716" custLinFactNeighborY="100000">
        <dgm:presLayoutVars>
          <dgm:chPref val="3"/>
        </dgm:presLayoutVars>
      </dgm:prSet>
      <dgm:spPr/>
    </dgm:pt>
    <dgm:pt modelId="{48B2891B-2B7B-423B-AB9F-F0E21A46B5AF}" type="pres">
      <dgm:prSet presAssocID="{78B723D2-F9F3-4D72-9235-6008AED08A76}" presName="rootConnector" presStyleLbl="node4" presStyleIdx="47" presStyleCnt="66"/>
      <dgm:spPr/>
    </dgm:pt>
    <dgm:pt modelId="{FC04B8B7-66DF-44EF-8430-F1CCB2715A76}" type="pres">
      <dgm:prSet presAssocID="{78B723D2-F9F3-4D72-9235-6008AED08A76}" presName="hierChild4" presStyleCnt="0"/>
      <dgm:spPr/>
    </dgm:pt>
    <dgm:pt modelId="{A2FCFDF8-057A-4040-A7E2-47D90DB790AA}" type="pres">
      <dgm:prSet presAssocID="{78B723D2-F9F3-4D72-9235-6008AED08A76}" presName="hierChild5" presStyleCnt="0"/>
      <dgm:spPr/>
    </dgm:pt>
    <dgm:pt modelId="{4ADEA2F6-56D8-4CEC-896D-C07717438109}" type="pres">
      <dgm:prSet presAssocID="{D56101AF-1EEB-4E39-84B1-EEAAD2C15B1E}" presName="Name37" presStyleLbl="parChTrans1D4" presStyleIdx="48" presStyleCnt="66"/>
      <dgm:spPr/>
    </dgm:pt>
    <dgm:pt modelId="{F9E49998-A32D-44AD-905A-E6BEA30CB2B4}" type="pres">
      <dgm:prSet presAssocID="{354411F2-F1D6-4AAC-9AE7-60C09F3B0A14}" presName="hierRoot2" presStyleCnt="0">
        <dgm:presLayoutVars>
          <dgm:hierBranch val="init"/>
        </dgm:presLayoutVars>
      </dgm:prSet>
      <dgm:spPr/>
    </dgm:pt>
    <dgm:pt modelId="{D92AD8FD-EDBB-4809-BFF2-B874AFC124A4}" type="pres">
      <dgm:prSet presAssocID="{354411F2-F1D6-4AAC-9AE7-60C09F3B0A14}" presName="rootComposite" presStyleCnt="0"/>
      <dgm:spPr/>
    </dgm:pt>
    <dgm:pt modelId="{4EAAA85B-2269-45B2-B325-3CE9106A3F45}" type="pres">
      <dgm:prSet presAssocID="{354411F2-F1D6-4AAC-9AE7-60C09F3B0A14}" presName="rootText" presStyleLbl="node4" presStyleIdx="48" presStyleCnt="66" custScaleX="96134" custLinFactY="57889" custLinFactNeighborX="-35844" custLinFactNeighborY="100000">
        <dgm:presLayoutVars>
          <dgm:chPref val="3"/>
        </dgm:presLayoutVars>
      </dgm:prSet>
      <dgm:spPr/>
    </dgm:pt>
    <dgm:pt modelId="{0A7BF56E-54A9-465C-A98D-D48F79AC5616}" type="pres">
      <dgm:prSet presAssocID="{354411F2-F1D6-4AAC-9AE7-60C09F3B0A14}" presName="rootConnector" presStyleLbl="node4" presStyleIdx="48" presStyleCnt="66"/>
      <dgm:spPr/>
    </dgm:pt>
    <dgm:pt modelId="{984D25F1-250F-4204-8AE4-658C7B3445B6}" type="pres">
      <dgm:prSet presAssocID="{354411F2-F1D6-4AAC-9AE7-60C09F3B0A14}" presName="hierChild4" presStyleCnt="0"/>
      <dgm:spPr/>
    </dgm:pt>
    <dgm:pt modelId="{A7AB53FE-DA79-4F9B-9C82-037774698073}" type="pres">
      <dgm:prSet presAssocID="{354411F2-F1D6-4AAC-9AE7-60C09F3B0A14}" presName="hierChild5" presStyleCnt="0"/>
      <dgm:spPr/>
    </dgm:pt>
    <dgm:pt modelId="{9CD664AE-F601-477D-9B88-CFFB518CBBFB}" type="pres">
      <dgm:prSet presAssocID="{6F8625B8-46DC-4265-B7A0-7DE2745264CA}" presName="Name37" presStyleLbl="parChTrans1D4" presStyleIdx="49" presStyleCnt="66"/>
      <dgm:spPr/>
    </dgm:pt>
    <dgm:pt modelId="{355FA867-109E-4362-9329-996CC6D48A3D}" type="pres">
      <dgm:prSet presAssocID="{495D2699-A480-4837-B1E0-94A6B25CA086}" presName="hierRoot2" presStyleCnt="0">
        <dgm:presLayoutVars>
          <dgm:hierBranch val="init"/>
        </dgm:presLayoutVars>
      </dgm:prSet>
      <dgm:spPr/>
    </dgm:pt>
    <dgm:pt modelId="{40D19E5C-1F2C-40C2-996F-A1FBFD313A7F}" type="pres">
      <dgm:prSet presAssocID="{495D2699-A480-4837-B1E0-94A6B25CA086}" presName="rootComposite" presStyleCnt="0"/>
      <dgm:spPr/>
    </dgm:pt>
    <dgm:pt modelId="{EF4B2FE9-4D81-4890-AB6B-95AA708FCADA}" type="pres">
      <dgm:prSet presAssocID="{495D2699-A480-4837-B1E0-94A6B25CA086}" presName="rootText" presStyleLbl="node4" presStyleIdx="49" presStyleCnt="66" custLinFactY="42506" custLinFactNeighborX="-34079" custLinFactNeighborY="100000">
        <dgm:presLayoutVars>
          <dgm:chPref val="3"/>
        </dgm:presLayoutVars>
      </dgm:prSet>
      <dgm:spPr/>
    </dgm:pt>
    <dgm:pt modelId="{3F694110-B94E-478E-9535-8F465127F9C9}" type="pres">
      <dgm:prSet presAssocID="{495D2699-A480-4837-B1E0-94A6B25CA086}" presName="rootConnector" presStyleLbl="node4" presStyleIdx="49" presStyleCnt="66"/>
      <dgm:spPr/>
    </dgm:pt>
    <dgm:pt modelId="{F00F94AB-38D1-4EF5-8696-EB83FDE4ED2E}" type="pres">
      <dgm:prSet presAssocID="{495D2699-A480-4837-B1E0-94A6B25CA086}" presName="hierChild4" presStyleCnt="0"/>
      <dgm:spPr/>
    </dgm:pt>
    <dgm:pt modelId="{2937F6B6-E725-4D30-B03D-C848B71370A7}" type="pres">
      <dgm:prSet presAssocID="{495D2699-A480-4837-B1E0-94A6B25CA086}" presName="hierChild5" presStyleCnt="0"/>
      <dgm:spPr/>
    </dgm:pt>
    <dgm:pt modelId="{13DAE345-2AA5-42F7-A678-1A64C255A215}" type="pres">
      <dgm:prSet presAssocID="{DB519D5D-CDBE-40FE-B415-9067FF5CF79C}" presName="hierChild5" presStyleCnt="0"/>
      <dgm:spPr/>
    </dgm:pt>
    <dgm:pt modelId="{351BA316-76D8-4A03-B900-9E85BB296C22}" type="pres">
      <dgm:prSet presAssocID="{3887DE3E-980F-4D2D-8E41-DD8EF84311E7}" presName="Name37" presStyleLbl="parChTrans1D3" presStyleIdx="9" presStyleCnt="12"/>
      <dgm:spPr/>
    </dgm:pt>
    <dgm:pt modelId="{50E850BC-0618-467C-8CEA-F6A6A130BD9F}" type="pres">
      <dgm:prSet presAssocID="{C98CE33D-2BFE-44C7-AB30-5E611F9ABB6E}" presName="hierRoot2" presStyleCnt="0">
        <dgm:presLayoutVars>
          <dgm:hierBranch val="init"/>
        </dgm:presLayoutVars>
      </dgm:prSet>
      <dgm:spPr/>
    </dgm:pt>
    <dgm:pt modelId="{5AD5EE9B-F3F6-4647-8854-E1A463DA71D3}" type="pres">
      <dgm:prSet presAssocID="{C98CE33D-2BFE-44C7-AB30-5E611F9ABB6E}" presName="rootComposite" presStyleCnt="0"/>
      <dgm:spPr/>
    </dgm:pt>
    <dgm:pt modelId="{253F3AC0-F268-4AF3-A75C-7BDA2581FFE1}" type="pres">
      <dgm:prSet presAssocID="{C98CE33D-2BFE-44C7-AB30-5E611F9ABB6E}" presName="rootText" presStyleLbl="node3" presStyleIdx="9" presStyleCnt="12" custScaleX="131214" custScaleY="107523" custLinFactY="81337" custLinFactNeighborX="-33066" custLinFactNeighborY="100000">
        <dgm:presLayoutVars>
          <dgm:chPref val="3"/>
        </dgm:presLayoutVars>
      </dgm:prSet>
      <dgm:spPr/>
    </dgm:pt>
    <dgm:pt modelId="{BF8B4B6A-40AD-414F-8941-0AE32FE92CA0}" type="pres">
      <dgm:prSet presAssocID="{C98CE33D-2BFE-44C7-AB30-5E611F9ABB6E}" presName="rootConnector" presStyleLbl="node3" presStyleIdx="9" presStyleCnt="12"/>
      <dgm:spPr/>
    </dgm:pt>
    <dgm:pt modelId="{570ACABC-271F-4AF7-814F-B29CC29A03DD}" type="pres">
      <dgm:prSet presAssocID="{C98CE33D-2BFE-44C7-AB30-5E611F9ABB6E}" presName="hierChild4" presStyleCnt="0"/>
      <dgm:spPr/>
    </dgm:pt>
    <dgm:pt modelId="{05C4CE45-B147-4951-9AA6-EC7824E38ED9}" type="pres">
      <dgm:prSet presAssocID="{C20AB02D-A6B8-4EE8-BD90-2D00214801D7}" presName="Name37" presStyleLbl="parChTrans1D4" presStyleIdx="50" presStyleCnt="66"/>
      <dgm:spPr/>
    </dgm:pt>
    <dgm:pt modelId="{CE4232F6-8B7E-4C44-8B46-56424A97534B}" type="pres">
      <dgm:prSet presAssocID="{7528CC07-C884-492A-A5E3-05AF7D636393}" presName="hierRoot2" presStyleCnt="0">
        <dgm:presLayoutVars>
          <dgm:hierBranch val="init"/>
        </dgm:presLayoutVars>
      </dgm:prSet>
      <dgm:spPr/>
    </dgm:pt>
    <dgm:pt modelId="{B1163BB2-8A5F-43F1-A7D5-F982EB030331}" type="pres">
      <dgm:prSet presAssocID="{7528CC07-C884-492A-A5E3-05AF7D636393}" presName="rootComposite" presStyleCnt="0"/>
      <dgm:spPr/>
    </dgm:pt>
    <dgm:pt modelId="{BA989251-33E1-450D-AD96-780966320443}" type="pres">
      <dgm:prSet presAssocID="{7528CC07-C884-492A-A5E3-05AF7D636393}" presName="rootText" presStyleLbl="node4" presStyleIdx="50" presStyleCnt="66" custLinFactY="78746" custLinFactNeighborX="-37800" custLinFactNeighborY="100000">
        <dgm:presLayoutVars>
          <dgm:chPref val="3"/>
        </dgm:presLayoutVars>
      </dgm:prSet>
      <dgm:spPr/>
    </dgm:pt>
    <dgm:pt modelId="{152174D6-3609-425C-B31B-65702287601D}" type="pres">
      <dgm:prSet presAssocID="{7528CC07-C884-492A-A5E3-05AF7D636393}" presName="rootConnector" presStyleLbl="node4" presStyleIdx="50" presStyleCnt="66"/>
      <dgm:spPr/>
    </dgm:pt>
    <dgm:pt modelId="{0C1E1C9B-A5F3-43E7-9801-3EF02ECD988C}" type="pres">
      <dgm:prSet presAssocID="{7528CC07-C884-492A-A5E3-05AF7D636393}" presName="hierChild4" presStyleCnt="0"/>
      <dgm:spPr/>
    </dgm:pt>
    <dgm:pt modelId="{3592CF76-BD5A-42AA-8B43-5FC98204DC74}" type="pres">
      <dgm:prSet presAssocID="{7528CC07-C884-492A-A5E3-05AF7D636393}" presName="hierChild5" presStyleCnt="0"/>
      <dgm:spPr/>
    </dgm:pt>
    <dgm:pt modelId="{56933798-79EB-4D7F-AB7C-9C9C9DB46D36}" type="pres">
      <dgm:prSet presAssocID="{993A93F1-6258-4BF8-B716-440CBE51B391}" presName="Name37" presStyleLbl="parChTrans1D4" presStyleIdx="51" presStyleCnt="66"/>
      <dgm:spPr/>
    </dgm:pt>
    <dgm:pt modelId="{29E096D1-2CB8-48D7-9968-D9711E2A87B6}" type="pres">
      <dgm:prSet presAssocID="{FC55F8CB-F788-4BE8-A634-4C800EB61C2B}" presName="hierRoot2" presStyleCnt="0">
        <dgm:presLayoutVars>
          <dgm:hierBranch val="init"/>
        </dgm:presLayoutVars>
      </dgm:prSet>
      <dgm:spPr/>
    </dgm:pt>
    <dgm:pt modelId="{420C856F-6F76-457A-82E3-74CD967B5510}" type="pres">
      <dgm:prSet presAssocID="{FC55F8CB-F788-4BE8-A634-4C800EB61C2B}" presName="rootComposite" presStyleCnt="0"/>
      <dgm:spPr/>
    </dgm:pt>
    <dgm:pt modelId="{7756F51A-C2CE-431E-A514-8432BA0B84B9}" type="pres">
      <dgm:prSet presAssocID="{FC55F8CB-F788-4BE8-A634-4C800EB61C2B}" presName="rootText" presStyleLbl="node4" presStyleIdx="51" presStyleCnt="66" custLinFactY="74609" custLinFactNeighborX="-39464" custLinFactNeighborY="100000">
        <dgm:presLayoutVars>
          <dgm:chPref val="3"/>
        </dgm:presLayoutVars>
      </dgm:prSet>
      <dgm:spPr/>
    </dgm:pt>
    <dgm:pt modelId="{4A07924D-B7FE-41AB-9B19-D7DE9149DC01}" type="pres">
      <dgm:prSet presAssocID="{FC55F8CB-F788-4BE8-A634-4C800EB61C2B}" presName="rootConnector" presStyleLbl="node4" presStyleIdx="51" presStyleCnt="66"/>
      <dgm:spPr/>
    </dgm:pt>
    <dgm:pt modelId="{48FBE334-5C86-4E96-AF48-DA6414BFE100}" type="pres">
      <dgm:prSet presAssocID="{FC55F8CB-F788-4BE8-A634-4C800EB61C2B}" presName="hierChild4" presStyleCnt="0"/>
      <dgm:spPr/>
    </dgm:pt>
    <dgm:pt modelId="{8CB37998-C2FF-432D-87DE-D3CC8F9A15CB}" type="pres">
      <dgm:prSet presAssocID="{FC55F8CB-F788-4BE8-A634-4C800EB61C2B}" presName="hierChild5" presStyleCnt="0"/>
      <dgm:spPr/>
    </dgm:pt>
    <dgm:pt modelId="{E7EC94AE-E550-4E67-BAA9-EF3B5558F545}" type="pres">
      <dgm:prSet presAssocID="{FFA4970D-D67D-462E-BEA1-204882196907}" presName="Name37" presStyleLbl="parChTrans1D4" presStyleIdx="52" presStyleCnt="66"/>
      <dgm:spPr/>
    </dgm:pt>
    <dgm:pt modelId="{2B6A2667-5E0F-4BC8-A19F-7CA71E6E2057}" type="pres">
      <dgm:prSet presAssocID="{6DA9912D-0495-4F6D-A8F9-C1190D2E671A}" presName="hierRoot2" presStyleCnt="0">
        <dgm:presLayoutVars>
          <dgm:hierBranch val="init"/>
        </dgm:presLayoutVars>
      </dgm:prSet>
      <dgm:spPr/>
    </dgm:pt>
    <dgm:pt modelId="{AF8291FB-D8C6-4614-9BAB-3D5323EC31C1}" type="pres">
      <dgm:prSet presAssocID="{6DA9912D-0495-4F6D-A8F9-C1190D2E671A}" presName="rootComposite" presStyleCnt="0"/>
      <dgm:spPr/>
    </dgm:pt>
    <dgm:pt modelId="{0F76F560-EFF5-423A-862C-AD7D01F9FFCA}" type="pres">
      <dgm:prSet presAssocID="{6DA9912D-0495-4F6D-A8F9-C1190D2E671A}" presName="rootText" presStyleLbl="node4" presStyleIdx="52" presStyleCnt="66" custLinFactY="74609" custLinFactNeighborX="-39464" custLinFactNeighborY="100000">
        <dgm:presLayoutVars>
          <dgm:chPref val="3"/>
        </dgm:presLayoutVars>
      </dgm:prSet>
      <dgm:spPr/>
    </dgm:pt>
    <dgm:pt modelId="{17DEB712-739D-4277-A4F9-B02CDE5BE208}" type="pres">
      <dgm:prSet presAssocID="{6DA9912D-0495-4F6D-A8F9-C1190D2E671A}" presName="rootConnector" presStyleLbl="node4" presStyleIdx="52" presStyleCnt="66"/>
      <dgm:spPr/>
    </dgm:pt>
    <dgm:pt modelId="{078F6593-B178-496A-B91B-25529168A76D}" type="pres">
      <dgm:prSet presAssocID="{6DA9912D-0495-4F6D-A8F9-C1190D2E671A}" presName="hierChild4" presStyleCnt="0"/>
      <dgm:spPr/>
    </dgm:pt>
    <dgm:pt modelId="{2EEA2A71-ED67-4CB9-B875-1A58832CB0A2}" type="pres">
      <dgm:prSet presAssocID="{6DA9912D-0495-4F6D-A8F9-C1190D2E671A}" presName="hierChild5" presStyleCnt="0"/>
      <dgm:spPr/>
    </dgm:pt>
    <dgm:pt modelId="{AF1903FC-1CF5-4D63-ADB3-5B035B47E531}" type="pres">
      <dgm:prSet presAssocID="{C1D36721-CAB1-4B19-8B68-6EEBC855D1D4}" presName="Name37" presStyleLbl="parChTrans1D4" presStyleIdx="53" presStyleCnt="66"/>
      <dgm:spPr/>
    </dgm:pt>
    <dgm:pt modelId="{FBBA3E8F-5E81-4EA6-BFCC-712F565355F2}" type="pres">
      <dgm:prSet presAssocID="{BE5152C0-515F-4D8A-A6C7-210CF0910D20}" presName="hierRoot2" presStyleCnt="0">
        <dgm:presLayoutVars>
          <dgm:hierBranch val="init"/>
        </dgm:presLayoutVars>
      </dgm:prSet>
      <dgm:spPr/>
    </dgm:pt>
    <dgm:pt modelId="{F7B58AC3-FEF3-4AEC-ACA7-3DA55F3DF469}" type="pres">
      <dgm:prSet presAssocID="{BE5152C0-515F-4D8A-A6C7-210CF0910D20}" presName="rootComposite" presStyleCnt="0"/>
      <dgm:spPr/>
    </dgm:pt>
    <dgm:pt modelId="{3F840574-F9D5-4A85-8AB1-5A6F91835FD9}" type="pres">
      <dgm:prSet presAssocID="{BE5152C0-515F-4D8A-A6C7-210CF0910D20}" presName="rootText" presStyleLbl="node4" presStyleIdx="53" presStyleCnt="66" custLinFactY="64835" custLinFactNeighborX="-35243" custLinFactNeighborY="100000">
        <dgm:presLayoutVars>
          <dgm:chPref val="3"/>
        </dgm:presLayoutVars>
      </dgm:prSet>
      <dgm:spPr/>
    </dgm:pt>
    <dgm:pt modelId="{ECEFA2DA-00C8-4E72-8037-73CF1A7F4DDA}" type="pres">
      <dgm:prSet presAssocID="{BE5152C0-515F-4D8A-A6C7-210CF0910D20}" presName="rootConnector" presStyleLbl="node4" presStyleIdx="53" presStyleCnt="66"/>
      <dgm:spPr/>
    </dgm:pt>
    <dgm:pt modelId="{EFDEC2ED-1875-4092-8037-FB0379BDFBFA}" type="pres">
      <dgm:prSet presAssocID="{BE5152C0-515F-4D8A-A6C7-210CF0910D20}" presName="hierChild4" presStyleCnt="0"/>
      <dgm:spPr/>
    </dgm:pt>
    <dgm:pt modelId="{326E2720-1ECF-41C9-A0C4-B0344D7413AE}" type="pres">
      <dgm:prSet presAssocID="{BE5152C0-515F-4D8A-A6C7-210CF0910D20}" presName="hierChild5" presStyleCnt="0"/>
      <dgm:spPr/>
    </dgm:pt>
    <dgm:pt modelId="{777C1B15-195A-4373-990F-41F5ADEDECB5}" type="pres">
      <dgm:prSet presAssocID="{71BE6AE9-B2E8-406A-9578-8F860BDEB235}" presName="Name37" presStyleLbl="parChTrans1D4" presStyleIdx="54" presStyleCnt="66"/>
      <dgm:spPr/>
    </dgm:pt>
    <dgm:pt modelId="{FCA34766-5343-4D0D-9AF9-2FB7909901E9}" type="pres">
      <dgm:prSet presAssocID="{D3BC2416-0CED-433D-80CB-3A598863930C}" presName="hierRoot2" presStyleCnt="0">
        <dgm:presLayoutVars>
          <dgm:hierBranch val="init"/>
        </dgm:presLayoutVars>
      </dgm:prSet>
      <dgm:spPr/>
    </dgm:pt>
    <dgm:pt modelId="{83A6CB60-FF19-483C-A2D1-1F63E5F17F08}" type="pres">
      <dgm:prSet presAssocID="{D3BC2416-0CED-433D-80CB-3A598863930C}" presName="rootComposite" presStyleCnt="0"/>
      <dgm:spPr/>
    </dgm:pt>
    <dgm:pt modelId="{2F883405-E17F-42F4-B1E0-9F82D218A1F2}" type="pres">
      <dgm:prSet presAssocID="{D3BC2416-0CED-433D-80CB-3A598863930C}" presName="rootText" presStyleLbl="node4" presStyleIdx="54" presStyleCnt="66" custLinFactY="64835" custLinFactNeighborX="-35243" custLinFactNeighborY="100000">
        <dgm:presLayoutVars>
          <dgm:chPref val="3"/>
        </dgm:presLayoutVars>
      </dgm:prSet>
      <dgm:spPr/>
    </dgm:pt>
    <dgm:pt modelId="{BA5C1E39-16D8-453D-8F4D-F386CD68CFE2}" type="pres">
      <dgm:prSet presAssocID="{D3BC2416-0CED-433D-80CB-3A598863930C}" presName="rootConnector" presStyleLbl="node4" presStyleIdx="54" presStyleCnt="66"/>
      <dgm:spPr/>
    </dgm:pt>
    <dgm:pt modelId="{1E0F95E2-D281-4C46-8581-82129B9A3358}" type="pres">
      <dgm:prSet presAssocID="{D3BC2416-0CED-433D-80CB-3A598863930C}" presName="hierChild4" presStyleCnt="0"/>
      <dgm:spPr/>
    </dgm:pt>
    <dgm:pt modelId="{4B2A78A1-6F2D-4D50-AEDD-0939E6CB649A}" type="pres">
      <dgm:prSet presAssocID="{D3BC2416-0CED-433D-80CB-3A598863930C}" presName="hierChild5" presStyleCnt="0"/>
      <dgm:spPr/>
    </dgm:pt>
    <dgm:pt modelId="{91C94363-E83D-4B90-9692-6FB1A9BB44EF}" type="pres">
      <dgm:prSet presAssocID="{506E86FE-6DB0-48FD-B62F-1DBD914DBB85}" presName="Name37" presStyleLbl="parChTrans1D4" presStyleIdx="55" presStyleCnt="66"/>
      <dgm:spPr/>
    </dgm:pt>
    <dgm:pt modelId="{54FD8B4D-1E4B-457B-BB1D-DC30A8D64D1F}" type="pres">
      <dgm:prSet presAssocID="{2A1F801B-EBB5-4808-A989-0AB7C90C54C5}" presName="hierRoot2" presStyleCnt="0">
        <dgm:presLayoutVars>
          <dgm:hierBranch val="init"/>
        </dgm:presLayoutVars>
      </dgm:prSet>
      <dgm:spPr/>
    </dgm:pt>
    <dgm:pt modelId="{A930506D-34BF-4BA5-B6EA-BC0970FB81DE}" type="pres">
      <dgm:prSet presAssocID="{2A1F801B-EBB5-4808-A989-0AB7C90C54C5}" presName="rootComposite" presStyleCnt="0"/>
      <dgm:spPr/>
    </dgm:pt>
    <dgm:pt modelId="{4873A6F4-23E5-434A-95BC-132D1C6CE1FD}" type="pres">
      <dgm:prSet presAssocID="{2A1F801B-EBB5-4808-A989-0AB7C90C54C5}" presName="rootText" presStyleLbl="node4" presStyleIdx="55" presStyleCnt="66" custLinFactY="66517" custLinFactNeighborX="-36131" custLinFactNeighborY="100000">
        <dgm:presLayoutVars>
          <dgm:chPref val="3"/>
        </dgm:presLayoutVars>
      </dgm:prSet>
      <dgm:spPr/>
    </dgm:pt>
    <dgm:pt modelId="{783973AA-E038-4DD6-AF6E-57C38C26BB9E}" type="pres">
      <dgm:prSet presAssocID="{2A1F801B-EBB5-4808-A989-0AB7C90C54C5}" presName="rootConnector" presStyleLbl="node4" presStyleIdx="55" presStyleCnt="66"/>
      <dgm:spPr/>
    </dgm:pt>
    <dgm:pt modelId="{C4C546DB-1E47-418B-BA8E-22A69E25E60F}" type="pres">
      <dgm:prSet presAssocID="{2A1F801B-EBB5-4808-A989-0AB7C90C54C5}" presName="hierChild4" presStyleCnt="0"/>
      <dgm:spPr/>
    </dgm:pt>
    <dgm:pt modelId="{BFBF34D3-DA35-4899-AC80-380B05C7F055}" type="pres">
      <dgm:prSet presAssocID="{2A1F801B-EBB5-4808-A989-0AB7C90C54C5}" presName="hierChild5" presStyleCnt="0"/>
      <dgm:spPr/>
    </dgm:pt>
    <dgm:pt modelId="{F9FEEFB4-F3BA-4F83-9C3C-5572AC78CCFA}" type="pres">
      <dgm:prSet presAssocID="{A4DE78FF-B467-4201-BF84-1F4C3697E274}" presName="Name37" presStyleLbl="parChTrans1D4" presStyleIdx="56" presStyleCnt="66"/>
      <dgm:spPr/>
    </dgm:pt>
    <dgm:pt modelId="{3B60BBB7-C941-46F6-9334-00AB32C0D2DD}" type="pres">
      <dgm:prSet presAssocID="{CC9261AB-5E99-4733-92FA-9EECA298C273}" presName="hierRoot2" presStyleCnt="0">
        <dgm:presLayoutVars>
          <dgm:hierBranch val="init"/>
        </dgm:presLayoutVars>
      </dgm:prSet>
      <dgm:spPr/>
    </dgm:pt>
    <dgm:pt modelId="{661E3690-CC80-446C-AE7E-E5FFA954233C}" type="pres">
      <dgm:prSet presAssocID="{CC9261AB-5E99-4733-92FA-9EECA298C273}" presName="rootComposite" presStyleCnt="0"/>
      <dgm:spPr/>
    </dgm:pt>
    <dgm:pt modelId="{F0910C76-2276-4635-A6C5-FA69BEA187AE}" type="pres">
      <dgm:prSet presAssocID="{CC9261AB-5E99-4733-92FA-9EECA298C273}" presName="rootText" presStyleLbl="node4" presStyleIdx="56" presStyleCnt="66" custLinFactY="64290" custLinFactNeighborX="-34655" custLinFactNeighborY="100000">
        <dgm:presLayoutVars>
          <dgm:chPref val="3"/>
        </dgm:presLayoutVars>
      </dgm:prSet>
      <dgm:spPr/>
    </dgm:pt>
    <dgm:pt modelId="{3395299E-E3D8-4D39-B71E-A4515CDAC153}" type="pres">
      <dgm:prSet presAssocID="{CC9261AB-5E99-4733-92FA-9EECA298C273}" presName="rootConnector" presStyleLbl="node4" presStyleIdx="56" presStyleCnt="66"/>
      <dgm:spPr/>
    </dgm:pt>
    <dgm:pt modelId="{AB75A589-431A-46A4-86ED-7518C96962FB}" type="pres">
      <dgm:prSet presAssocID="{CC9261AB-5E99-4733-92FA-9EECA298C273}" presName="hierChild4" presStyleCnt="0"/>
      <dgm:spPr/>
    </dgm:pt>
    <dgm:pt modelId="{37E92647-A398-4B76-9FDD-1C3048FCAF1A}" type="pres">
      <dgm:prSet presAssocID="{CC9261AB-5E99-4733-92FA-9EECA298C273}" presName="hierChild5" presStyleCnt="0"/>
      <dgm:spPr/>
    </dgm:pt>
    <dgm:pt modelId="{F8D607D2-CA60-47FA-9A18-4397803DCFA3}" type="pres">
      <dgm:prSet presAssocID="{89F63458-495D-4218-A5F0-0B9764F703D7}" presName="Name37" presStyleLbl="parChTrans1D4" presStyleIdx="57" presStyleCnt="66"/>
      <dgm:spPr/>
    </dgm:pt>
    <dgm:pt modelId="{57561949-6FB2-4CCC-AC5F-1D448811DAEB}" type="pres">
      <dgm:prSet presAssocID="{9F522D6F-1DEC-4B53-9748-1518888CBD53}" presName="hierRoot2" presStyleCnt="0">
        <dgm:presLayoutVars>
          <dgm:hierBranch val="init"/>
        </dgm:presLayoutVars>
      </dgm:prSet>
      <dgm:spPr/>
    </dgm:pt>
    <dgm:pt modelId="{EE6725C5-F8F7-4BBA-94F0-4569CE491A08}" type="pres">
      <dgm:prSet presAssocID="{9F522D6F-1DEC-4B53-9748-1518888CBD53}" presName="rootComposite" presStyleCnt="0"/>
      <dgm:spPr/>
    </dgm:pt>
    <dgm:pt modelId="{6710DEC3-DD51-4C3A-BF06-CACFEA8E4B5F}" type="pres">
      <dgm:prSet presAssocID="{9F522D6F-1DEC-4B53-9748-1518888CBD53}" presName="rootText" presStyleLbl="node4" presStyleIdx="57" presStyleCnt="66" custScaleX="103936" custLinFactY="55353" custLinFactNeighborX="-33290" custLinFactNeighborY="100000">
        <dgm:presLayoutVars>
          <dgm:chPref val="3"/>
        </dgm:presLayoutVars>
      </dgm:prSet>
      <dgm:spPr/>
    </dgm:pt>
    <dgm:pt modelId="{3DB76CC5-617F-495A-BC80-F3D1C34C1D95}" type="pres">
      <dgm:prSet presAssocID="{9F522D6F-1DEC-4B53-9748-1518888CBD53}" presName="rootConnector" presStyleLbl="node4" presStyleIdx="57" presStyleCnt="66"/>
      <dgm:spPr/>
    </dgm:pt>
    <dgm:pt modelId="{821938C9-EF91-4111-8C46-5CFB49DD5528}" type="pres">
      <dgm:prSet presAssocID="{9F522D6F-1DEC-4B53-9748-1518888CBD53}" presName="hierChild4" presStyleCnt="0"/>
      <dgm:spPr/>
    </dgm:pt>
    <dgm:pt modelId="{27D8CB09-DDBB-4ABB-92DC-FFD0E8245BA5}" type="pres">
      <dgm:prSet presAssocID="{9F522D6F-1DEC-4B53-9748-1518888CBD53}" presName="hierChild5" presStyleCnt="0"/>
      <dgm:spPr/>
    </dgm:pt>
    <dgm:pt modelId="{A631EA2B-CD25-4B7C-99FD-9E0BEC33955A}" type="pres">
      <dgm:prSet presAssocID="{C98CE33D-2BFE-44C7-AB30-5E611F9ABB6E}" presName="hierChild5" presStyleCnt="0"/>
      <dgm:spPr/>
    </dgm:pt>
    <dgm:pt modelId="{85757E6B-D6CF-4964-906A-02FA9A885904}" type="pres">
      <dgm:prSet presAssocID="{E380E1EA-36AC-4234-AB75-BF223829BB48}" presName="Name37" presStyleLbl="parChTrans1D3" presStyleIdx="10" presStyleCnt="12"/>
      <dgm:spPr/>
    </dgm:pt>
    <dgm:pt modelId="{C311AB6D-984E-44C8-9DDA-AB4EA4ACED1C}" type="pres">
      <dgm:prSet presAssocID="{F40405D0-594D-47A6-845C-C2A1AB9D23FC}" presName="hierRoot2" presStyleCnt="0">
        <dgm:presLayoutVars>
          <dgm:hierBranch val="init"/>
        </dgm:presLayoutVars>
      </dgm:prSet>
      <dgm:spPr/>
    </dgm:pt>
    <dgm:pt modelId="{1A731B2D-1896-4409-8E62-5C33CA62694A}" type="pres">
      <dgm:prSet presAssocID="{F40405D0-594D-47A6-845C-C2A1AB9D23FC}" presName="rootComposite" presStyleCnt="0"/>
      <dgm:spPr/>
    </dgm:pt>
    <dgm:pt modelId="{593028A0-5FBC-4A7F-8DF1-F4529166D75C}" type="pres">
      <dgm:prSet presAssocID="{F40405D0-594D-47A6-845C-C2A1AB9D23FC}" presName="rootText" presStyleLbl="node3" presStyleIdx="10" presStyleCnt="12" custLinFactY="84478" custLinFactNeighborX="-34637" custLinFactNeighborY="100000">
        <dgm:presLayoutVars>
          <dgm:chPref val="3"/>
        </dgm:presLayoutVars>
      </dgm:prSet>
      <dgm:spPr/>
    </dgm:pt>
    <dgm:pt modelId="{39B1A432-E423-49DF-86BF-D6A025BA6772}" type="pres">
      <dgm:prSet presAssocID="{F40405D0-594D-47A6-845C-C2A1AB9D23FC}" presName="rootConnector" presStyleLbl="node3" presStyleIdx="10" presStyleCnt="12"/>
      <dgm:spPr/>
    </dgm:pt>
    <dgm:pt modelId="{7E5516DA-EE4E-432E-8FBC-021B47705CCC}" type="pres">
      <dgm:prSet presAssocID="{F40405D0-594D-47A6-845C-C2A1AB9D23FC}" presName="hierChild4" presStyleCnt="0"/>
      <dgm:spPr/>
    </dgm:pt>
    <dgm:pt modelId="{06254AEF-384A-4515-892F-11EB29EFBBE5}" type="pres">
      <dgm:prSet presAssocID="{68DF8551-7294-4C30-B8D6-89B447C19CB3}" presName="Name37" presStyleLbl="parChTrans1D4" presStyleIdx="58" presStyleCnt="66"/>
      <dgm:spPr/>
    </dgm:pt>
    <dgm:pt modelId="{F4C4DBAE-DF88-4D1B-86C0-4920918E3B89}" type="pres">
      <dgm:prSet presAssocID="{0F68E946-9B71-4F5A-824B-F650485354E5}" presName="hierRoot2" presStyleCnt="0">
        <dgm:presLayoutVars>
          <dgm:hierBranch val="init"/>
        </dgm:presLayoutVars>
      </dgm:prSet>
      <dgm:spPr/>
    </dgm:pt>
    <dgm:pt modelId="{B5621FC6-9C2D-4594-A899-6A28A35B8BCB}" type="pres">
      <dgm:prSet presAssocID="{0F68E946-9B71-4F5A-824B-F650485354E5}" presName="rootComposite" presStyleCnt="0"/>
      <dgm:spPr/>
    </dgm:pt>
    <dgm:pt modelId="{9C6DA371-0640-4354-A6C3-7AB8581ACA6A}" type="pres">
      <dgm:prSet presAssocID="{0F68E946-9B71-4F5A-824B-F650485354E5}" presName="rootText" presStyleLbl="node4" presStyleIdx="58" presStyleCnt="66" custLinFactY="85029" custLinFactNeighborX="-40851" custLinFactNeighborY="100000">
        <dgm:presLayoutVars>
          <dgm:chPref val="3"/>
        </dgm:presLayoutVars>
      </dgm:prSet>
      <dgm:spPr/>
    </dgm:pt>
    <dgm:pt modelId="{4B635EA3-2906-4EDC-A63F-7012643BDEDC}" type="pres">
      <dgm:prSet presAssocID="{0F68E946-9B71-4F5A-824B-F650485354E5}" presName="rootConnector" presStyleLbl="node4" presStyleIdx="58" presStyleCnt="66"/>
      <dgm:spPr/>
    </dgm:pt>
    <dgm:pt modelId="{B4D438F6-FF17-4D1F-8E5B-0BB947989597}" type="pres">
      <dgm:prSet presAssocID="{0F68E946-9B71-4F5A-824B-F650485354E5}" presName="hierChild4" presStyleCnt="0"/>
      <dgm:spPr/>
    </dgm:pt>
    <dgm:pt modelId="{2B471EEE-0BA9-40B5-8F0B-40E690824748}" type="pres">
      <dgm:prSet presAssocID="{0F68E946-9B71-4F5A-824B-F650485354E5}" presName="hierChild5" presStyleCnt="0"/>
      <dgm:spPr/>
    </dgm:pt>
    <dgm:pt modelId="{D0476C4B-DFB8-4632-A045-F76C37C8CB81}" type="pres">
      <dgm:prSet presAssocID="{1A5B1860-6827-4607-BDE9-90A8CA4643C3}" presName="Name37" presStyleLbl="parChTrans1D4" presStyleIdx="59" presStyleCnt="66"/>
      <dgm:spPr/>
    </dgm:pt>
    <dgm:pt modelId="{8FCF5449-752D-40F1-B67F-3CDD274FB39A}" type="pres">
      <dgm:prSet presAssocID="{16657D81-790F-4113-BC1F-31406897502D}" presName="hierRoot2" presStyleCnt="0">
        <dgm:presLayoutVars>
          <dgm:hierBranch val="init"/>
        </dgm:presLayoutVars>
      </dgm:prSet>
      <dgm:spPr/>
    </dgm:pt>
    <dgm:pt modelId="{4508414A-8C58-4BD1-8ABB-D67D76ED063F}" type="pres">
      <dgm:prSet presAssocID="{16657D81-790F-4113-BC1F-31406897502D}" presName="rootComposite" presStyleCnt="0"/>
      <dgm:spPr/>
    </dgm:pt>
    <dgm:pt modelId="{C5E60569-55F5-4F01-9441-7D44BFCEA6B8}" type="pres">
      <dgm:prSet presAssocID="{16657D81-790F-4113-BC1F-31406897502D}" presName="rootText" presStyleLbl="node4" presStyleIdx="59" presStyleCnt="66" custLinFactY="77750" custLinFactNeighborX="-41035" custLinFactNeighborY="100000">
        <dgm:presLayoutVars>
          <dgm:chPref val="3"/>
        </dgm:presLayoutVars>
      </dgm:prSet>
      <dgm:spPr/>
    </dgm:pt>
    <dgm:pt modelId="{805D7435-29DF-4E5B-9BAA-70184868B892}" type="pres">
      <dgm:prSet presAssocID="{16657D81-790F-4113-BC1F-31406897502D}" presName="rootConnector" presStyleLbl="node4" presStyleIdx="59" presStyleCnt="66"/>
      <dgm:spPr/>
    </dgm:pt>
    <dgm:pt modelId="{C171AB28-BDA0-447D-8587-5AC00737D526}" type="pres">
      <dgm:prSet presAssocID="{16657D81-790F-4113-BC1F-31406897502D}" presName="hierChild4" presStyleCnt="0"/>
      <dgm:spPr/>
    </dgm:pt>
    <dgm:pt modelId="{A9EF2115-2FF2-4614-A0BB-6A53F8176EA6}" type="pres">
      <dgm:prSet presAssocID="{16657D81-790F-4113-BC1F-31406897502D}" presName="hierChild5" presStyleCnt="0"/>
      <dgm:spPr/>
    </dgm:pt>
    <dgm:pt modelId="{CA5CE379-5958-40AF-B5EA-ED85153DB36B}" type="pres">
      <dgm:prSet presAssocID="{A7A8CD5C-D60B-48FA-BA9B-4035704B63EA}" presName="Name37" presStyleLbl="parChTrans1D4" presStyleIdx="60" presStyleCnt="66"/>
      <dgm:spPr/>
    </dgm:pt>
    <dgm:pt modelId="{724A2750-129B-45A9-B373-1A51551FE522}" type="pres">
      <dgm:prSet presAssocID="{CFD82DC0-BB3D-4A6B-ADED-4D5BCBCDA575}" presName="hierRoot2" presStyleCnt="0">
        <dgm:presLayoutVars>
          <dgm:hierBranch val="init"/>
        </dgm:presLayoutVars>
      </dgm:prSet>
      <dgm:spPr/>
    </dgm:pt>
    <dgm:pt modelId="{A2588B80-D7F8-482B-ADF5-D49D83AD3F18}" type="pres">
      <dgm:prSet presAssocID="{CFD82DC0-BB3D-4A6B-ADED-4D5BCBCDA575}" presName="rootComposite" presStyleCnt="0"/>
      <dgm:spPr/>
    </dgm:pt>
    <dgm:pt modelId="{51F48C60-23DB-4B71-AC62-30E76ADE8D42}" type="pres">
      <dgm:prSet presAssocID="{CFD82DC0-BB3D-4A6B-ADED-4D5BCBCDA575}" presName="rootText" presStyleLbl="node4" presStyleIdx="60" presStyleCnt="66" custLinFactY="77750" custLinFactNeighborX="-41035" custLinFactNeighborY="100000">
        <dgm:presLayoutVars>
          <dgm:chPref val="3"/>
        </dgm:presLayoutVars>
      </dgm:prSet>
      <dgm:spPr/>
    </dgm:pt>
    <dgm:pt modelId="{0BCA5B20-3253-4890-8E68-451DD5071E55}" type="pres">
      <dgm:prSet presAssocID="{CFD82DC0-BB3D-4A6B-ADED-4D5BCBCDA575}" presName="rootConnector" presStyleLbl="node4" presStyleIdx="60" presStyleCnt="66"/>
      <dgm:spPr/>
    </dgm:pt>
    <dgm:pt modelId="{E74FF5C8-757C-4BE4-A7F7-6CE35DB07E99}" type="pres">
      <dgm:prSet presAssocID="{CFD82DC0-BB3D-4A6B-ADED-4D5BCBCDA575}" presName="hierChild4" presStyleCnt="0"/>
      <dgm:spPr/>
    </dgm:pt>
    <dgm:pt modelId="{CA95475E-1A1C-483F-9D76-392D5F375EAC}" type="pres">
      <dgm:prSet presAssocID="{CFD82DC0-BB3D-4A6B-ADED-4D5BCBCDA575}" presName="hierChild5" presStyleCnt="0"/>
      <dgm:spPr/>
    </dgm:pt>
    <dgm:pt modelId="{CF0654DA-E478-4C3D-A829-4F73DEC0F84D}" type="pres">
      <dgm:prSet presAssocID="{CC5B2090-D867-4BDB-9193-B968FF8857AC}" presName="Name37" presStyleLbl="parChTrans1D4" presStyleIdx="61" presStyleCnt="66"/>
      <dgm:spPr/>
    </dgm:pt>
    <dgm:pt modelId="{BF407AEB-6AD7-407D-9818-6B9C3B7A02BA}" type="pres">
      <dgm:prSet presAssocID="{4B6A1DE5-147B-4FAE-90C2-CE37A4B1BB6F}" presName="hierRoot2" presStyleCnt="0">
        <dgm:presLayoutVars>
          <dgm:hierBranch val="init"/>
        </dgm:presLayoutVars>
      </dgm:prSet>
      <dgm:spPr/>
    </dgm:pt>
    <dgm:pt modelId="{E04FCDAF-EF74-4B0F-BCE3-54F66A96EEC2}" type="pres">
      <dgm:prSet presAssocID="{4B6A1DE5-147B-4FAE-90C2-CE37A4B1BB6F}" presName="rootComposite" presStyleCnt="0"/>
      <dgm:spPr/>
    </dgm:pt>
    <dgm:pt modelId="{F9056191-4876-4097-9577-CF5DB081AB3C}" type="pres">
      <dgm:prSet presAssocID="{4B6A1DE5-147B-4FAE-90C2-CE37A4B1BB6F}" presName="rootText" presStyleLbl="node4" presStyleIdx="61" presStyleCnt="66" custLinFactY="67976" custLinFactNeighborX="-36814" custLinFactNeighborY="100000">
        <dgm:presLayoutVars>
          <dgm:chPref val="3"/>
        </dgm:presLayoutVars>
      </dgm:prSet>
      <dgm:spPr/>
    </dgm:pt>
    <dgm:pt modelId="{ED27D4E1-1AAB-4249-ABDC-600DAF0C475B}" type="pres">
      <dgm:prSet presAssocID="{4B6A1DE5-147B-4FAE-90C2-CE37A4B1BB6F}" presName="rootConnector" presStyleLbl="node4" presStyleIdx="61" presStyleCnt="66"/>
      <dgm:spPr/>
    </dgm:pt>
    <dgm:pt modelId="{7F05BC0E-A694-48F0-9F43-4BA04542C97F}" type="pres">
      <dgm:prSet presAssocID="{4B6A1DE5-147B-4FAE-90C2-CE37A4B1BB6F}" presName="hierChild4" presStyleCnt="0"/>
      <dgm:spPr/>
    </dgm:pt>
    <dgm:pt modelId="{7E3B5D93-D181-4EB3-9D2C-0924D47E4D34}" type="pres">
      <dgm:prSet presAssocID="{4B6A1DE5-147B-4FAE-90C2-CE37A4B1BB6F}" presName="hierChild5" presStyleCnt="0"/>
      <dgm:spPr/>
    </dgm:pt>
    <dgm:pt modelId="{58705901-5033-4AA4-92EA-0749B05861A0}" type="pres">
      <dgm:prSet presAssocID="{F40405D0-594D-47A6-845C-C2A1AB9D23FC}" presName="hierChild5" presStyleCnt="0"/>
      <dgm:spPr/>
    </dgm:pt>
    <dgm:pt modelId="{72112016-220A-45C8-88D3-FA4D88858CE9}" type="pres">
      <dgm:prSet presAssocID="{ACFEC0FB-A0FD-473E-8CD7-9391799FF590}" presName="Name37" presStyleLbl="parChTrans1D3" presStyleIdx="11" presStyleCnt="12"/>
      <dgm:spPr/>
    </dgm:pt>
    <dgm:pt modelId="{F02E2177-5713-4F9E-945A-3767636DD4C7}" type="pres">
      <dgm:prSet presAssocID="{43933227-1639-4E54-B206-22A641C2E485}" presName="hierRoot2" presStyleCnt="0">
        <dgm:presLayoutVars>
          <dgm:hierBranch val="init"/>
        </dgm:presLayoutVars>
      </dgm:prSet>
      <dgm:spPr/>
    </dgm:pt>
    <dgm:pt modelId="{B733D84F-E9B9-4E3B-A884-8259962F6D57}" type="pres">
      <dgm:prSet presAssocID="{43933227-1639-4E54-B206-22A641C2E485}" presName="rootComposite" presStyleCnt="0"/>
      <dgm:spPr/>
    </dgm:pt>
    <dgm:pt modelId="{22D1BEF3-7A67-4BA7-B7D1-069A62FC5147}" type="pres">
      <dgm:prSet presAssocID="{43933227-1639-4E54-B206-22A641C2E485}" presName="rootText" presStyleLbl="node3" presStyleIdx="11" presStyleCnt="12" custLinFactY="84644" custLinFactNeighborX="-31517" custLinFactNeighborY="100000">
        <dgm:presLayoutVars>
          <dgm:chPref val="3"/>
        </dgm:presLayoutVars>
      </dgm:prSet>
      <dgm:spPr/>
    </dgm:pt>
    <dgm:pt modelId="{FEA8B7F3-C77C-452D-BF81-877746A18384}" type="pres">
      <dgm:prSet presAssocID="{43933227-1639-4E54-B206-22A641C2E485}" presName="rootConnector" presStyleLbl="node3" presStyleIdx="11" presStyleCnt="12"/>
      <dgm:spPr/>
    </dgm:pt>
    <dgm:pt modelId="{190B7934-4D9B-46EC-9872-4E6EC30CA9DD}" type="pres">
      <dgm:prSet presAssocID="{43933227-1639-4E54-B206-22A641C2E485}" presName="hierChild4" presStyleCnt="0"/>
      <dgm:spPr/>
    </dgm:pt>
    <dgm:pt modelId="{C9B72384-70E5-46D0-A00F-F690BF273129}" type="pres">
      <dgm:prSet presAssocID="{2DE9A33B-D816-4CFD-8047-2A89BE531D57}" presName="Name37" presStyleLbl="parChTrans1D4" presStyleIdx="62" presStyleCnt="66"/>
      <dgm:spPr/>
    </dgm:pt>
    <dgm:pt modelId="{C59AFCF0-7E54-4F54-BBBA-A4954F8429D2}" type="pres">
      <dgm:prSet presAssocID="{7B6E96D9-61A0-47FA-B33B-0791809B2299}" presName="hierRoot2" presStyleCnt="0">
        <dgm:presLayoutVars>
          <dgm:hierBranch val="init"/>
        </dgm:presLayoutVars>
      </dgm:prSet>
      <dgm:spPr/>
    </dgm:pt>
    <dgm:pt modelId="{F2403E19-5A80-4F9C-A251-5AE039162282}" type="pres">
      <dgm:prSet presAssocID="{7B6E96D9-61A0-47FA-B33B-0791809B2299}" presName="rootComposite" presStyleCnt="0"/>
      <dgm:spPr/>
    </dgm:pt>
    <dgm:pt modelId="{CCBC5AF7-A70B-4354-B513-EC0174780F03}" type="pres">
      <dgm:prSet presAssocID="{7B6E96D9-61A0-47FA-B33B-0791809B2299}" presName="rootText" presStyleLbl="node4" presStyleIdx="62" presStyleCnt="66" custScaleX="101181" custLinFactY="91241" custLinFactNeighborX="-29963" custLinFactNeighborY="100000">
        <dgm:presLayoutVars>
          <dgm:chPref val="3"/>
        </dgm:presLayoutVars>
      </dgm:prSet>
      <dgm:spPr/>
    </dgm:pt>
    <dgm:pt modelId="{A55DB74D-C6E9-4EC1-BC16-9E96C6C28B2A}" type="pres">
      <dgm:prSet presAssocID="{7B6E96D9-61A0-47FA-B33B-0791809B2299}" presName="rootConnector" presStyleLbl="node4" presStyleIdx="62" presStyleCnt="66"/>
      <dgm:spPr/>
    </dgm:pt>
    <dgm:pt modelId="{98A675F4-CA49-4304-AF90-9B668C821412}" type="pres">
      <dgm:prSet presAssocID="{7B6E96D9-61A0-47FA-B33B-0791809B2299}" presName="hierChild4" presStyleCnt="0"/>
      <dgm:spPr/>
    </dgm:pt>
    <dgm:pt modelId="{130AC3A9-3EE1-4D92-84FA-DB4576692173}" type="pres">
      <dgm:prSet presAssocID="{7B6E96D9-61A0-47FA-B33B-0791809B2299}" presName="hierChild5" presStyleCnt="0"/>
      <dgm:spPr/>
    </dgm:pt>
    <dgm:pt modelId="{2485310C-AD3E-42CA-8AC2-39273D74CB84}" type="pres">
      <dgm:prSet presAssocID="{3765381B-8250-4228-BF9E-75DBD3E7D576}" presName="Name37" presStyleLbl="parChTrans1D4" presStyleIdx="63" presStyleCnt="66"/>
      <dgm:spPr/>
    </dgm:pt>
    <dgm:pt modelId="{EE3F1B00-FA87-4F86-8966-3E6887C5FDEA}" type="pres">
      <dgm:prSet presAssocID="{BE5B1A66-CC96-449A-AF9F-342389C16043}" presName="hierRoot2" presStyleCnt="0">
        <dgm:presLayoutVars>
          <dgm:hierBranch val="init"/>
        </dgm:presLayoutVars>
      </dgm:prSet>
      <dgm:spPr/>
    </dgm:pt>
    <dgm:pt modelId="{8A2BE9BC-3A96-466D-817A-F693CFB89255}" type="pres">
      <dgm:prSet presAssocID="{BE5B1A66-CC96-449A-AF9F-342389C16043}" presName="rootComposite" presStyleCnt="0"/>
      <dgm:spPr/>
    </dgm:pt>
    <dgm:pt modelId="{F126D973-AB58-4B66-B3A6-22740CA3A9F6}" type="pres">
      <dgm:prSet presAssocID="{BE5B1A66-CC96-449A-AF9F-342389C16043}" presName="rootText" presStyleLbl="node4" presStyleIdx="63" presStyleCnt="66" custLinFactY="83962" custLinFactNeighborX="-37911" custLinFactNeighborY="100000">
        <dgm:presLayoutVars>
          <dgm:chPref val="3"/>
        </dgm:presLayoutVars>
      </dgm:prSet>
      <dgm:spPr/>
    </dgm:pt>
    <dgm:pt modelId="{2EF2746D-216A-4DB4-B5CF-06C078D248DA}" type="pres">
      <dgm:prSet presAssocID="{BE5B1A66-CC96-449A-AF9F-342389C16043}" presName="rootConnector" presStyleLbl="node4" presStyleIdx="63" presStyleCnt="66"/>
      <dgm:spPr/>
    </dgm:pt>
    <dgm:pt modelId="{E3B537B4-2C1E-44C0-A87D-1981CD2E8F53}" type="pres">
      <dgm:prSet presAssocID="{BE5B1A66-CC96-449A-AF9F-342389C16043}" presName="hierChild4" presStyleCnt="0"/>
      <dgm:spPr/>
    </dgm:pt>
    <dgm:pt modelId="{75EA4C94-52C2-4907-BBD6-ACA3604A2412}" type="pres">
      <dgm:prSet presAssocID="{BE5B1A66-CC96-449A-AF9F-342389C16043}" presName="hierChild5" presStyleCnt="0"/>
      <dgm:spPr/>
    </dgm:pt>
    <dgm:pt modelId="{B3FC9008-6A4E-4BFA-ACB1-54F531CC9967}" type="pres">
      <dgm:prSet presAssocID="{CAD074E9-D068-425B-9AAB-67761DE7483C}" presName="Name37" presStyleLbl="parChTrans1D4" presStyleIdx="64" presStyleCnt="66"/>
      <dgm:spPr/>
    </dgm:pt>
    <dgm:pt modelId="{B882C409-707F-4295-9D4E-A27B9BB7C25E}" type="pres">
      <dgm:prSet presAssocID="{D250B77B-84DC-47ED-AF54-BB4110EA2562}" presName="hierRoot2" presStyleCnt="0">
        <dgm:presLayoutVars>
          <dgm:hierBranch val="init"/>
        </dgm:presLayoutVars>
      </dgm:prSet>
      <dgm:spPr/>
    </dgm:pt>
    <dgm:pt modelId="{9A8F4EC6-341C-4AB1-AC62-0D50313692F7}" type="pres">
      <dgm:prSet presAssocID="{D250B77B-84DC-47ED-AF54-BB4110EA2562}" presName="rootComposite" presStyleCnt="0"/>
      <dgm:spPr/>
    </dgm:pt>
    <dgm:pt modelId="{22BD05BD-6955-4273-83A7-98C6A5F7489D}" type="pres">
      <dgm:prSet presAssocID="{D250B77B-84DC-47ED-AF54-BB4110EA2562}" presName="rootText" presStyleLbl="node4" presStyleIdx="64" presStyleCnt="66" custLinFactY="83962" custLinFactNeighborX="-37911" custLinFactNeighborY="100000">
        <dgm:presLayoutVars>
          <dgm:chPref val="3"/>
        </dgm:presLayoutVars>
      </dgm:prSet>
      <dgm:spPr/>
    </dgm:pt>
    <dgm:pt modelId="{D1E3B2BF-E692-4044-B0DA-704A033300FF}" type="pres">
      <dgm:prSet presAssocID="{D250B77B-84DC-47ED-AF54-BB4110EA2562}" presName="rootConnector" presStyleLbl="node4" presStyleIdx="64" presStyleCnt="66"/>
      <dgm:spPr/>
    </dgm:pt>
    <dgm:pt modelId="{8EBE87C2-DB8D-4ADA-83B5-4AA7EAFFA96F}" type="pres">
      <dgm:prSet presAssocID="{D250B77B-84DC-47ED-AF54-BB4110EA2562}" presName="hierChild4" presStyleCnt="0"/>
      <dgm:spPr/>
    </dgm:pt>
    <dgm:pt modelId="{22577210-3663-45D7-B8BB-523407A8780D}" type="pres">
      <dgm:prSet presAssocID="{D250B77B-84DC-47ED-AF54-BB4110EA2562}" presName="hierChild5" presStyleCnt="0"/>
      <dgm:spPr/>
    </dgm:pt>
    <dgm:pt modelId="{E5096C7A-D53F-44F8-97B4-AEE38D82BDEB}" type="pres">
      <dgm:prSet presAssocID="{F74EE05C-98AB-4C96-AED0-2BEA3E466282}" presName="Name37" presStyleLbl="parChTrans1D4" presStyleIdx="65" presStyleCnt="66"/>
      <dgm:spPr/>
    </dgm:pt>
    <dgm:pt modelId="{83B4ACDE-0B09-495C-B6E8-CDEA6221EC17}" type="pres">
      <dgm:prSet presAssocID="{C020141C-3141-414B-A120-5295AB5F4089}" presName="hierRoot2" presStyleCnt="0">
        <dgm:presLayoutVars>
          <dgm:hierBranch val="init"/>
        </dgm:presLayoutVars>
      </dgm:prSet>
      <dgm:spPr/>
    </dgm:pt>
    <dgm:pt modelId="{866287C7-7514-41F9-B7C7-4D1A8E00D44C}" type="pres">
      <dgm:prSet presAssocID="{C020141C-3141-414B-A120-5295AB5F4089}" presName="rootComposite" presStyleCnt="0"/>
      <dgm:spPr/>
    </dgm:pt>
    <dgm:pt modelId="{1D1D693B-43F0-488B-BF10-36E9C5C2697F}" type="pres">
      <dgm:prSet presAssocID="{C020141C-3141-414B-A120-5295AB5F4089}" presName="rootText" presStyleLbl="node4" presStyleIdx="65" presStyleCnt="66" custLinFactY="74188" custLinFactNeighborX="-33690" custLinFactNeighborY="100000">
        <dgm:presLayoutVars>
          <dgm:chPref val="3"/>
        </dgm:presLayoutVars>
      </dgm:prSet>
      <dgm:spPr/>
    </dgm:pt>
    <dgm:pt modelId="{69E7791E-0C41-4731-ABCF-36A4F17B96FC}" type="pres">
      <dgm:prSet presAssocID="{C020141C-3141-414B-A120-5295AB5F4089}" presName="rootConnector" presStyleLbl="node4" presStyleIdx="65" presStyleCnt="66"/>
      <dgm:spPr/>
    </dgm:pt>
    <dgm:pt modelId="{E3FAA164-B0AD-483D-B7BA-61E66301F210}" type="pres">
      <dgm:prSet presAssocID="{C020141C-3141-414B-A120-5295AB5F4089}" presName="hierChild4" presStyleCnt="0"/>
      <dgm:spPr/>
    </dgm:pt>
    <dgm:pt modelId="{AB0C4389-A120-4B13-B92D-2210B01C3A36}" type="pres">
      <dgm:prSet presAssocID="{C020141C-3141-414B-A120-5295AB5F4089}" presName="hierChild5" presStyleCnt="0"/>
      <dgm:spPr/>
    </dgm:pt>
    <dgm:pt modelId="{1E0086B4-8085-471F-9C77-61E774159F81}" type="pres">
      <dgm:prSet presAssocID="{43933227-1639-4E54-B206-22A641C2E485}" presName="hierChild5" presStyleCnt="0"/>
      <dgm:spPr/>
    </dgm:pt>
    <dgm:pt modelId="{D8EB9A9A-45C7-43C0-904E-980D380BA2C1}" type="pres">
      <dgm:prSet presAssocID="{2E2AD7E1-1C51-4B18-8F7B-4FA02BC5F89C}" presName="hierChild5" presStyleCnt="0"/>
      <dgm:spPr/>
    </dgm:pt>
    <dgm:pt modelId="{6EEA4CD2-35B4-4C2E-9443-CC0F0F4E49D2}" type="pres">
      <dgm:prSet presAssocID="{DFB8283C-0CE7-4D06-AB09-FCE9E52142BE}" presName="hierChild3" presStyleCnt="0"/>
      <dgm:spPr/>
    </dgm:pt>
  </dgm:ptLst>
  <dgm:cxnLst>
    <dgm:cxn modelId="{F69CE100-C016-439D-AF70-B2F81AE3F3AA}" type="presOf" srcId="{3765381B-8250-4228-BF9E-75DBD3E7D576}" destId="{2485310C-AD3E-42CA-8AC2-39273D74CB84}" srcOrd="0" destOrd="0" presId="urn:microsoft.com/office/officeart/2005/8/layout/orgChart1"/>
    <dgm:cxn modelId="{D8C7C601-5124-4DDD-891C-0B7000A67880}" type="presOf" srcId="{DFB8283C-0CE7-4D06-AB09-FCE9E52142BE}" destId="{6FAB5780-021B-4AC8-9EE0-6263C5DD19B5}" srcOrd="0" destOrd="0" presId="urn:microsoft.com/office/officeart/2005/8/layout/orgChart1"/>
    <dgm:cxn modelId="{DFB80403-2263-46BC-AC34-22C449338B91}" type="presOf" srcId="{55D88064-4FB1-4441-9857-13536E02DD93}" destId="{AA844D41-C2EA-4BCE-A1F1-029FFC1EA975}" srcOrd="0" destOrd="0" presId="urn:microsoft.com/office/officeart/2005/8/layout/orgChart1"/>
    <dgm:cxn modelId="{93942303-6860-4C4A-9648-90B1E6B2AA07}" type="presOf" srcId="{9F522D6F-1DEC-4B53-9748-1518888CBD53}" destId="{3DB76CC5-617F-495A-BC80-F3D1C34C1D95}" srcOrd="1" destOrd="0" presId="urn:microsoft.com/office/officeart/2005/8/layout/orgChart1"/>
    <dgm:cxn modelId="{EF7B5804-218A-463F-B45B-80FC3C22274E}" type="presOf" srcId="{1AD56B8D-3AD5-4A22-8394-D243BC02BC4A}" destId="{C8E42C91-2328-44AA-BD54-ACC149C6CF06}" srcOrd="0" destOrd="0" presId="urn:microsoft.com/office/officeart/2005/8/layout/orgChart1"/>
    <dgm:cxn modelId="{A9777006-2C36-452D-B4B3-4A2BF0011101}" type="presOf" srcId="{CF8D1FD1-2373-4AC9-B794-3B5B85639846}" destId="{88CADB34-9059-4CC8-A53B-F09A3CD20534}" srcOrd="0" destOrd="0" presId="urn:microsoft.com/office/officeart/2005/8/layout/orgChart1"/>
    <dgm:cxn modelId="{DC12C407-C0BD-4926-8C29-80E5A4B7FEE5}" srcId="{81A24046-04BB-4F02-AB73-0E458D676B4A}" destId="{56DFF7E9-98AC-4B22-AB77-33FABD972DF3}" srcOrd="2" destOrd="0" parTransId="{EDC43AE7-0398-44EB-B67E-DC43D0C5D7C6}" sibTransId="{73748009-1588-415B-AB9E-01BB52FE0660}"/>
    <dgm:cxn modelId="{063DD807-0E4F-4520-ADC6-75EC29B0F96E}" type="presOf" srcId="{75838857-3A1D-4F98-8A13-4CB76DBC4D16}" destId="{823D4F97-233B-47DF-B724-6B5FA2DEEB59}" srcOrd="0" destOrd="0" presId="urn:microsoft.com/office/officeart/2005/8/layout/orgChart1"/>
    <dgm:cxn modelId="{CC66850A-F956-4BE8-9339-662CDDE85C59}" type="presOf" srcId="{0E5A9950-8875-4636-8B51-8271EB86A31D}" destId="{605C5B48-4701-4775-8313-879EA1AFA7DF}" srcOrd="0" destOrd="0" presId="urn:microsoft.com/office/officeart/2005/8/layout/orgChart1"/>
    <dgm:cxn modelId="{9751990C-4012-4761-8B5A-56EBE4C6B35F}" type="presOf" srcId="{998B8FD6-9F72-4337-B9D8-C2807D112D7C}" destId="{D3FAC9A7-5690-4CB7-A1C2-FFFD66D0CFAF}" srcOrd="0" destOrd="0" presId="urn:microsoft.com/office/officeart/2005/8/layout/orgChart1"/>
    <dgm:cxn modelId="{FC638A0E-64DD-4018-B427-891EB22CD5E2}" type="presOf" srcId="{BFBC62CF-C83F-4B7D-9DA1-A12B760FB8DF}" destId="{FF22FD5D-E0C6-434B-A201-67977C56FF26}" srcOrd="0" destOrd="0" presId="urn:microsoft.com/office/officeart/2005/8/layout/orgChart1"/>
    <dgm:cxn modelId="{C1EB670F-2864-4B41-A57A-7104705B7101}" srcId="{57F4BFCC-AFED-463E-9871-F70118883114}" destId="{78E5F85A-A32F-4CE0-85AE-BB1F11CDEA7F}" srcOrd="2" destOrd="0" parTransId="{90533E0C-78C9-4725-855D-D57903AF26A5}" sibTransId="{5843917F-94CC-411B-8ADA-A8726C66B460}"/>
    <dgm:cxn modelId="{572BA90F-DC5F-426D-86C1-9455961BB9FE}" srcId="{2E2AD7E1-1C51-4B18-8F7B-4FA02BC5F89C}" destId="{DB519D5D-CDBE-40FE-B415-9067FF5CF79C}" srcOrd="0" destOrd="0" parTransId="{FB36DD4C-55E4-49C7-9B0D-F83F700A3405}" sibTransId="{2FF74DA1-1541-4DE5-8BFA-880106E0A43C}"/>
    <dgm:cxn modelId="{01AC2611-A8AE-4E8C-A942-9B3504BA0782}" type="presOf" srcId="{9DD468CD-B3DA-4914-BAFF-BFB6219D38F3}" destId="{36156576-32D1-4C3A-BF33-789F1E7A5BB2}" srcOrd="1" destOrd="0" presId="urn:microsoft.com/office/officeart/2005/8/layout/orgChart1"/>
    <dgm:cxn modelId="{34698A11-54C0-42C7-9C5F-F95A8A035A27}" type="presOf" srcId="{7690D51C-E94A-441D-A994-D810D0463782}" destId="{AC1DC7FD-96CA-4879-B31A-28A8193DEE14}" srcOrd="0" destOrd="0" presId="urn:microsoft.com/office/officeart/2005/8/layout/orgChart1"/>
    <dgm:cxn modelId="{1164EB11-E9EA-4F6F-9B23-9750351286CD}" type="presOf" srcId="{45D92EA8-0AC1-4DA5-B2FF-32F1CC8F2C35}" destId="{6E7E895B-9108-4AA9-B42E-925D9E20DB86}" srcOrd="0" destOrd="0" presId="urn:microsoft.com/office/officeart/2005/8/layout/orgChart1"/>
    <dgm:cxn modelId="{949F0B13-D4C2-4F23-B28A-CFD7E10001F2}" srcId="{F64867BD-0949-4FA0-A4DE-B7D633F0034C}" destId="{D81F9C99-0C72-44D6-8B8F-79B3F0BB4C2F}" srcOrd="3" destOrd="0" parTransId="{95B5CF57-607F-4F9D-A210-216175C23BDF}" sibTransId="{638DEB82-C64C-40A3-A2F3-CA08FB7BC07A}"/>
    <dgm:cxn modelId="{62AE3713-921F-47F7-89A4-D6418E8AE49B}" type="presOf" srcId="{54861D40-4416-4656-AE0F-854BA3EDC3F1}" destId="{FD998899-A3AC-4149-B5FC-A567190C5DF4}" srcOrd="0" destOrd="0" presId="urn:microsoft.com/office/officeart/2005/8/layout/orgChart1"/>
    <dgm:cxn modelId="{AF6A1E14-4E1C-46BC-AE39-C9F03F5FF6F9}" type="presOf" srcId="{629E7DC9-EF62-465F-A109-54260FF39219}" destId="{AC0FB401-EDC5-4D05-828A-390F8EC3468E}" srcOrd="1" destOrd="0" presId="urn:microsoft.com/office/officeart/2005/8/layout/orgChart1"/>
    <dgm:cxn modelId="{057C2B14-8591-44EE-B10A-9F64EF4FD0E4}" srcId="{DB519D5D-CDBE-40FE-B415-9067FF5CF79C}" destId="{1AD56B8D-3AD5-4A22-8394-D243BC02BC4A}" srcOrd="2" destOrd="0" parTransId="{2795C37E-7CF0-4F60-BCA8-DC6019AC47C6}" sibTransId="{5E639AB8-4995-47E7-BEA1-2790A764EF0E}"/>
    <dgm:cxn modelId="{806C7314-8272-4566-B3DC-6BC67CDB1FD8}" srcId="{616FB7FF-112C-4CAC-823F-8BBE25CD5E9A}" destId="{2789FD09-F80A-488A-8BB7-BC232B18AF06}" srcOrd="2" destOrd="0" parTransId="{1D8B58E2-3100-4CE1-9744-08FD1BA12C97}" sibTransId="{AD809462-6EF0-4946-BF68-21F182E4923C}"/>
    <dgm:cxn modelId="{CDE59D14-2B55-40AA-A1EA-8A6D4F73F523}" srcId="{3032589B-8788-4F32-8948-919418D8EC72}" destId="{2807D3FA-2E78-4894-94FA-1A8C49DE0110}" srcOrd="2" destOrd="0" parTransId="{A6CF12DB-9B92-40F0-895E-8A36753AF3F8}" sibTransId="{68075364-18E4-4ADF-800C-7509CEB68191}"/>
    <dgm:cxn modelId="{4F037D15-0B5F-4561-B8C1-B197C91CF5D6}" type="presOf" srcId="{495D2699-A480-4837-B1E0-94A6B25CA086}" destId="{EF4B2FE9-4D81-4890-AB6B-95AA708FCADA}" srcOrd="0" destOrd="0" presId="urn:microsoft.com/office/officeart/2005/8/layout/orgChart1"/>
    <dgm:cxn modelId="{72A0A415-6C93-4B45-B373-8A64C4739FD8}" srcId="{DFB8283C-0CE7-4D06-AB09-FCE9E52142BE}" destId="{2E2AD7E1-1C51-4B18-8F7B-4FA02BC5F89C}" srcOrd="6" destOrd="0" parTransId="{365C7C5C-B028-4C96-9505-C20203060A87}" sibTransId="{C4355533-DD5F-4B8F-AB4C-C5B9ED679C2C}"/>
    <dgm:cxn modelId="{9A54F915-FDB3-478A-8D37-C5D2A985C89D}" type="presOf" srcId="{EF96742F-C82B-4008-8CF9-05C12F3743CD}" destId="{743A223C-0567-4C07-AC84-09AC0A2089BD}" srcOrd="0" destOrd="0" presId="urn:microsoft.com/office/officeart/2005/8/layout/orgChart1"/>
    <dgm:cxn modelId="{50997E16-A808-4C59-9DB5-94DEEFD53CCA}" type="presOf" srcId="{F40405D0-594D-47A6-845C-C2A1AB9D23FC}" destId="{593028A0-5FBC-4A7F-8DF1-F4529166D75C}" srcOrd="0" destOrd="0" presId="urn:microsoft.com/office/officeart/2005/8/layout/orgChart1"/>
    <dgm:cxn modelId="{9CB11218-8139-45DE-8FF5-483E24D2D3C2}" srcId="{DB519D5D-CDBE-40FE-B415-9067FF5CF79C}" destId="{074849DE-5D03-49BD-A06E-557976758771}" srcOrd="0" destOrd="0" parTransId="{2FE08BEE-DAC2-46A1-BA0E-818B97FF0A54}" sibTransId="{ABF59DF5-0F57-472A-A9D5-BCCE59439F62}"/>
    <dgm:cxn modelId="{C1785418-6A6E-41E4-8399-4172A761A7E0}" type="presOf" srcId="{FC55F8CB-F788-4BE8-A634-4C800EB61C2B}" destId="{4A07924D-B7FE-41AB-9B19-D7DE9149DC01}" srcOrd="1" destOrd="0" presId="urn:microsoft.com/office/officeart/2005/8/layout/orgChart1"/>
    <dgm:cxn modelId="{7468451A-E9CE-48EC-AA29-1851921B1D86}" srcId="{2789FD09-F80A-488A-8BB7-BC232B18AF06}" destId="{3BEB41E2-8812-477A-BAAE-9AAAB713FC14}" srcOrd="1" destOrd="0" parTransId="{34D4C62D-613F-4D0D-A0E1-E0CEC8592191}" sibTransId="{E4CDE462-19D4-4843-99BE-AFB3273D82EF}"/>
    <dgm:cxn modelId="{0D67A21A-2634-44A7-9C61-6D5FA3001A2C}" type="presOf" srcId="{724A7A9E-7C7B-4425-8CFB-C6B5CAE460B4}" destId="{5191C8D2-C742-4855-8403-1381C48670A5}" srcOrd="0" destOrd="0" presId="urn:microsoft.com/office/officeart/2005/8/layout/orgChart1"/>
    <dgm:cxn modelId="{C4D8BC1A-2577-4B7F-9D1C-2A23E5233FD7}" type="presOf" srcId="{05CEB898-A87F-4E33-9061-E67F605E1722}" destId="{87FB92F7-9004-4212-BA10-132952FDAACB}" srcOrd="0" destOrd="0" presId="urn:microsoft.com/office/officeart/2005/8/layout/orgChart1"/>
    <dgm:cxn modelId="{D607091D-C216-4EB2-8370-3CA078257EF9}" srcId="{43933227-1639-4E54-B206-22A641C2E485}" destId="{D250B77B-84DC-47ED-AF54-BB4110EA2562}" srcOrd="2" destOrd="0" parTransId="{CAD074E9-D068-425B-9AAB-67761DE7483C}" sibTransId="{6BF4C5ED-69C1-42A3-83D8-8345A25A22C1}"/>
    <dgm:cxn modelId="{EF0B851D-95EA-4C8C-BE88-398869F9372E}" type="presOf" srcId="{CC5B2090-D867-4BDB-9193-B968FF8857AC}" destId="{CF0654DA-E478-4C3D-A829-4F73DEC0F84D}" srcOrd="0" destOrd="0" presId="urn:microsoft.com/office/officeart/2005/8/layout/orgChart1"/>
    <dgm:cxn modelId="{4C16B423-990A-49B5-8CBA-B34D289EE081}" type="presOf" srcId="{CA7A280B-754E-48DF-8141-FCCF1F7C52D7}" destId="{6764FF8D-F2A3-49BC-A7A6-9CEC04A80170}" srcOrd="0" destOrd="0" presId="urn:microsoft.com/office/officeart/2005/8/layout/orgChart1"/>
    <dgm:cxn modelId="{7E47EF23-6382-49A1-9E02-48D9920D9FDD}" type="presOf" srcId="{1DF269A6-A004-43F1-A311-60EA1218DA1B}" destId="{3CF89496-0578-4C97-873B-B7694AC9FCD7}" srcOrd="0" destOrd="0" presId="urn:microsoft.com/office/officeart/2005/8/layout/orgChart1"/>
    <dgm:cxn modelId="{9A40E725-E7CD-4354-9360-0812C98E5D1F}" type="presOf" srcId="{083C6703-4C9C-43EF-B512-6260839E8D51}" destId="{F4628EFE-68D0-4956-A927-B561936D2859}" srcOrd="0" destOrd="0" presId="urn:microsoft.com/office/officeart/2005/8/layout/orgChart1"/>
    <dgm:cxn modelId="{979AED25-D451-4463-AC2C-CCB5B58DB445}" type="presOf" srcId="{DB519D5D-CDBE-40FE-B415-9067FF5CF79C}" destId="{505E9824-90A0-4325-8A9F-0E329F51E140}" srcOrd="1" destOrd="0" presId="urn:microsoft.com/office/officeart/2005/8/layout/orgChart1"/>
    <dgm:cxn modelId="{7E3EBE26-11E6-4676-9564-A11F79C92F45}" type="presOf" srcId="{BE5B1A66-CC96-449A-AF9F-342389C16043}" destId="{2EF2746D-216A-4DB4-B5CF-06C078D248DA}" srcOrd="1" destOrd="0" presId="urn:microsoft.com/office/officeart/2005/8/layout/orgChart1"/>
    <dgm:cxn modelId="{9B34CB26-2587-4BDE-917D-5BE92A2100CB}" type="presOf" srcId="{53E43430-252D-4FBC-BCB8-70B8C46B47BB}" destId="{EC96CCFA-F262-4AE4-96DE-BB9844075579}" srcOrd="0" destOrd="0" presId="urn:microsoft.com/office/officeart/2005/8/layout/orgChart1"/>
    <dgm:cxn modelId="{9882A827-3FD3-4BE0-B983-576CD0341DAF}" type="presOf" srcId="{78B723D2-F9F3-4D72-9235-6008AED08A76}" destId="{200B7D3E-E890-4610-856F-D9E590DF5734}" srcOrd="0" destOrd="0" presId="urn:microsoft.com/office/officeart/2005/8/layout/orgChart1"/>
    <dgm:cxn modelId="{F53ED628-512D-49B3-B181-D92C9F6CFA00}" type="presOf" srcId="{16657D81-790F-4113-BC1F-31406897502D}" destId="{805D7435-29DF-4E5B-9BAA-70184868B892}" srcOrd="1" destOrd="0" presId="urn:microsoft.com/office/officeart/2005/8/layout/orgChart1"/>
    <dgm:cxn modelId="{CA25AE29-413D-4141-AEF7-7C50E3E6A290}" type="presOf" srcId="{B954898C-CC71-4DB3-8ABA-0FA76C28868B}" destId="{6D5F0930-5A93-4FCD-BACA-A46FEBBFFC1F}" srcOrd="0" destOrd="0" presId="urn:microsoft.com/office/officeart/2005/8/layout/orgChart1"/>
    <dgm:cxn modelId="{DE65662A-6C67-44F4-BA78-BECA0D8EF7B8}" type="presOf" srcId="{CDC69B11-594B-4989-A242-5A5E732F1B3C}" destId="{1900817C-BC3A-4063-BF21-EA19C13BEAC3}" srcOrd="0" destOrd="0" presId="urn:microsoft.com/office/officeart/2005/8/layout/orgChart1"/>
    <dgm:cxn modelId="{0F5E672A-F233-44A8-94B9-B38A6FBC41E5}" type="presOf" srcId="{7B6E96D9-61A0-47FA-B33B-0791809B2299}" destId="{A55DB74D-C6E9-4EC1-BC16-9E96C6C28B2A}" srcOrd="1" destOrd="0" presId="urn:microsoft.com/office/officeart/2005/8/layout/orgChart1"/>
    <dgm:cxn modelId="{7486DB2A-4985-44FA-8018-E7E00BB5DA73}" type="presOf" srcId="{6DA9912D-0495-4F6D-A8F9-C1190D2E671A}" destId="{0F76F560-EFF5-423A-862C-AD7D01F9FFCA}" srcOrd="0" destOrd="0" presId="urn:microsoft.com/office/officeart/2005/8/layout/orgChart1"/>
    <dgm:cxn modelId="{365FE42A-61D3-42D2-99BB-7DC5B5410F33}" srcId="{3032589B-8788-4F32-8948-919418D8EC72}" destId="{6C7746F2-4AF5-447B-9EDE-3CA71227ADCB}" srcOrd="1" destOrd="0" parTransId="{2FABFE8A-CB11-4BF8-A573-FDDC524F4A59}" sibTransId="{EC5843CF-61CC-4268-911D-FFAA4BBA4C3A}"/>
    <dgm:cxn modelId="{FEAC662B-7A16-4829-A5DF-6BE612FC1772}" srcId="{C98CE33D-2BFE-44C7-AB30-5E611F9ABB6E}" destId="{9F522D6F-1DEC-4B53-9748-1518888CBD53}" srcOrd="7" destOrd="0" parTransId="{89F63458-495D-4218-A5F0-0B9764F703D7}" sibTransId="{7249A919-4548-4238-81C8-33963D48D6D7}"/>
    <dgm:cxn modelId="{1C65AF2B-5692-4AC6-92DF-7D04F5B7096E}" type="presOf" srcId="{6344A8D0-684B-4D8A-A233-02A9CFF2AB23}" destId="{D88B375E-4545-4B7C-BE88-70477B09BB26}" srcOrd="0" destOrd="0" presId="urn:microsoft.com/office/officeart/2005/8/layout/orgChart1"/>
    <dgm:cxn modelId="{D077452C-A967-406D-905A-F5F0C5679804}" type="presOf" srcId="{06D1C098-6463-4C5D-A19E-E9545479BD80}" destId="{6972CBBD-2785-4DA2-B2F0-524ECFB78670}" srcOrd="0" destOrd="0" presId="urn:microsoft.com/office/officeart/2005/8/layout/orgChart1"/>
    <dgm:cxn modelId="{E965562C-7624-42A0-BD58-7B0F73AF43A1}" srcId="{3032589B-8788-4F32-8948-919418D8EC72}" destId="{696F36F7-CEB4-42BB-BB03-3C8EB7486B00}" srcOrd="3" destOrd="0" parTransId="{6BBF10A9-8AE1-4333-BE0C-7DBB170B15DB}" sibTransId="{D015FEBE-A11C-4FBA-9C77-B6F7ED82BA7F}"/>
    <dgm:cxn modelId="{0781312D-586B-4DB8-8BFE-571DC5693781}" type="presOf" srcId="{3060B87B-D822-4BA2-BB8E-1C6C1F09EA56}" destId="{26C69D4B-4BC6-4D6E-BB9D-766F11277F2F}" srcOrd="0" destOrd="0" presId="urn:microsoft.com/office/officeart/2005/8/layout/orgChart1"/>
    <dgm:cxn modelId="{3B66412E-5DF8-47ED-B58B-7EFA98313FBD}" srcId="{EB169C33-F586-4149-83FE-9DDAF38D4719}" destId="{81A24046-04BB-4F02-AB73-0E458D676B4A}" srcOrd="3" destOrd="0" parTransId="{06D1C098-6463-4C5D-A19E-E9545479BD80}" sibTransId="{7C74D906-BBD1-4CA0-99CC-B0724B79DE15}"/>
    <dgm:cxn modelId="{AA98B42F-D669-4AA4-8905-CF773ADE72AD}" type="presOf" srcId="{6DA9912D-0495-4F6D-A8F9-C1190D2E671A}" destId="{17DEB712-739D-4277-A4F9-B02CDE5BE208}" srcOrd="1" destOrd="0" presId="urn:microsoft.com/office/officeart/2005/8/layout/orgChart1"/>
    <dgm:cxn modelId="{BB019630-FC14-4249-91E5-275579BC7E68}" srcId="{9ACCD315-F79C-4F93-89B6-27CEDBB79EC7}" destId="{1DEB2FD9-69D0-4AEE-ABF4-5765E048BB08}" srcOrd="3" destOrd="0" parTransId="{4C782D04-698D-42DA-9422-1A0F1866CD0D}" sibTransId="{EDD343D0-35F8-474C-9044-11341AED50E6}"/>
    <dgm:cxn modelId="{77B84B31-5B0C-4E1A-A9F3-89C00A4CDE49}" srcId="{DB519D5D-CDBE-40FE-B415-9067FF5CF79C}" destId="{354411F2-F1D6-4AAC-9AE7-60C09F3B0A14}" srcOrd="6" destOrd="0" parTransId="{D56101AF-1EEB-4E39-84B1-EEAAD2C15B1E}" sibTransId="{191726F0-8FA2-4185-A45E-5C551F36B8B7}"/>
    <dgm:cxn modelId="{6DEE8831-0BD2-492A-AFF5-27CA05F2DF8C}" type="presOf" srcId="{D3BC2416-0CED-433D-80CB-3A598863930C}" destId="{BA5C1E39-16D8-453D-8F4D-F386CD68CFE2}" srcOrd="1" destOrd="0" presId="urn:microsoft.com/office/officeart/2005/8/layout/orgChart1"/>
    <dgm:cxn modelId="{DF79E331-5F6C-4699-9BB3-0737C27503BF}" type="presOf" srcId="{27C3018E-1948-4088-8B9A-50977B556B66}" destId="{17D4D4C1-9250-42EF-B81D-BD41D03127BA}" srcOrd="0" destOrd="0" presId="urn:microsoft.com/office/officeart/2005/8/layout/orgChart1"/>
    <dgm:cxn modelId="{2EB11534-B554-49D7-AE0C-26DA15F97ADC}" type="presOf" srcId="{74C59B9E-77CC-4BF1-8CAB-11448A455F5F}" destId="{0185BAAE-DE64-4AD7-A9BB-598CEFCAC8F9}" srcOrd="0" destOrd="0" presId="urn:microsoft.com/office/officeart/2005/8/layout/orgChart1"/>
    <dgm:cxn modelId="{A2066734-76EE-4CE0-BA76-4F6145ADDC4B}" type="presOf" srcId="{6572755B-958D-4AD0-AC20-76BB96C46399}" destId="{940C74FB-41E2-4487-A62D-8107EF9A1523}" srcOrd="1" destOrd="0" presId="urn:microsoft.com/office/officeart/2005/8/layout/orgChart1"/>
    <dgm:cxn modelId="{B1994934-0C5E-481E-91D4-57FF06CB02D8}" type="presOf" srcId="{9D13284D-3623-4556-A0C5-12269ECEBD01}" destId="{6FAA0D14-02C4-41EF-B2DF-6A952974F2EC}" srcOrd="0" destOrd="0" presId="urn:microsoft.com/office/officeart/2005/8/layout/orgChart1"/>
    <dgm:cxn modelId="{C2DAC934-95A8-4CD0-9CAF-CE5CEDB52185}" srcId="{D4D66C0A-F1B8-4A6C-97F2-5696C114BCDD}" destId="{E10A59CB-B808-4678-B49F-15FE2CBE8F1B}" srcOrd="7" destOrd="0" parTransId="{0E5A9950-8875-4636-8B51-8271EB86A31D}" sibTransId="{B7171BA8-9894-40C6-A48E-F621277B54A7}"/>
    <dgm:cxn modelId="{406B2435-0158-4A2D-9EA7-EB3843E0EFEA}" type="presOf" srcId="{7B6E96D9-61A0-47FA-B33B-0791809B2299}" destId="{CCBC5AF7-A70B-4354-B513-EC0174780F03}" srcOrd="0" destOrd="0" presId="urn:microsoft.com/office/officeart/2005/8/layout/orgChart1"/>
    <dgm:cxn modelId="{13FE3A35-EAA5-4F33-9A90-6B47FD596509}" type="presOf" srcId="{742EF618-B631-4F5C-9E04-7880FB737823}" destId="{FDC79241-A750-44D5-914B-B2E2893FD34D}" srcOrd="1" destOrd="0" presId="urn:microsoft.com/office/officeart/2005/8/layout/orgChart1"/>
    <dgm:cxn modelId="{CA9DCB35-6327-4CB6-884E-E98AACA6B8CE}" type="presOf" srcId="{2DE9A33B-D816-4CFD-8047-2A89BE531D57}" destId="{C9B72384-70E5-46D0-A00F-F690BF273129}" srcOrd="0" destOrd="0" presId="urn:microsoft.com/office/officeart/2005/8/layout/orgChart1"/>
    <dgm:cxn modelId="{99007736-257F-482E-B66F-52E268BE422C}" srcId="{DFB8283C-0CE7-4D06-AB09-FCE9E52142BE}" destId="{54861D40-4416-4656-AE0F-854BA3EDC3F1}" srcOrd="4" destOrd="0" parTransId="{7521BCEF-954B-4581-9C9E-0433DD879313}" sibTransId="{E3776FE4-4891-48B4-B5A0-3C19F30B07CE}"/>
    <dgm:cxn modelId="{BDBECC36-D699-4673-BCA0-9DC6BE825B01}" type="presOf" srcId="{56DFF7E9-98AC-4B22-AB77-33FABD972DF3}" destId="{72D96D66-AD07-40DF-9B3C-9E05EE661377}" srcOrd="0" destOrd="0" presId="urn:microsoft.com/office/officeart/2005/8/layout/orgChart1"/>
    <dgm:cxn modelId="{D2CFB637-DAA4-4E20-9DB9-E34E2EC2A304}" type="presOf" srcId="{44B99D23-0DBB-4644-B4EC-5A63853BD2BD}" destId="{A9AA93A2-8378-4A6E-ABD4-371F581C75A4}" srcOrd="1" destOrd="0" presId="urn:microsoft.com/office/officeart/2005/8/layout/orgChart1"/>
    <dgm:cxn modelId="{4B19E037-DC7B-4821-B8C5-B7ACFB50997F}" type="presOf" srcId="{E10A59CB-B808-4678-B49F-15FE2CBE8F1B}" destId="{1D8C5301-37FC-455F-880A-B8EC6310BE1C}" srcOrd="0" destOrd="0" presId="urn:microsoft.com/office/officeart/2005/8/layout/orgChart1"/>
    <dgm:cxn modelId="{66A42C39-7CCF-48A7-880D-F45C5F4A7FA3}" type="presOf" srcId="{DFA01E18-02F2-4A7F-BA2F-FD530E6B00C0}" destId="{040EDBC0-1A72-4D6D-8F1E-A74C40EE3431}" srcOrd="1" destOrd="0" presId="urn:microsoft.com/office/officeart/2005/8/layout/orgChart1"/>
    <dgm:cxn modelId="{C32E5739-B962-4DE4-8DBF-8240BC531574}" srcId="{DFB8283C-0CE7-4D06-AB09-FCE9E52142BE}" destId="{EB169C33-F586-4149-83FE-9DDAF38D4719}" srcOrd="0" destOrd="0" parTransId="{6344A8D0-684B-4D8A-A233-02A9CFF2AB23}" sibTransId="{E84E8417-62B6-4326-8B1D-359C80DF7479}"/>
    <dgm:cxn modelId="{799A7D3A-464C-4763-B787-832FB6CC2A23}" srcId="{27C3018E-1948-4088-8B9A-50977B556B66}" destId="{BF553810-D806-4581-8DEF-112A2F55E826}" srcOrd="5" destOrd="0" parTransId="{B56F379F-B6B2-4608-913B-2EED20D6D81B}" sibTransId="{93D09434-CF69-4308-96E8-9A60D6CB2522}"/>
    <dgm:cxn modelId="{BD071C3B-7486-4B23-ACD9-FB58C643DFB4}" type="presOf" srcId="{FA2DB15A-0F55-4DD0-A1F0-EBF79E7A4388}" destId="{C4EFC886-DC90-4D63-8D8A-BA9A2EF65C67}" srcOrd="0" destOrd="0" presId="urn:microsoft.com/office/officeart/2005/8/layout/orgChart1"/>
    <dgm:cxn modelId="{301AD23B-2454-4A4C-B2A4-772D932753E6}" type="presOf" srcId="{81A24046-04BB-4F02-AB73-0E458D676B4A}" destId="{47DEE9BD-C63A-4748-B3AA-4D182255A084}" srcOrd="1" destOrd="0" presId="urn:microsoft.com/office/officeart/2005/8/layout/orgChart1"/>
    <dgm:cxn modelId="{9577243C-265E-4F1C-8C43-AF202200CBF6}" type="presOf" srcId="{194F1D56-867F-4028-B7B3-9F31C28E1F55}" destId="{9D3DD3A4-EC97-4683-A837-A30961E8E5B2}" srcOrd="1" destOrd="0" presId="urn:microsoft.com/office/officeart/2005/8/layout/orgChart1"/>
    <dgm:cxn modelId="{E151843C-1DC5-43F7-A112-845D5C584C33}" srcId="{DB519D5D-CDBE-40FE-B415-9067FF5CF79C}" destId="{EB16CFCF-9F0B-4DEE-A850-B01410611118}" srcOrd="4" destOrd="0" parTransId="{FCEEA016-765B-4B7E-A263-B8928026B28F}" sibTransId="{64C00D18-967B-4E6D-AC35-FB5F3EDC99DC}"/>
    <dgm:cxn modelId="{2473E53C-9DC0-4544-8DB9-356F9004784A}" type="presOf" srcId="{4B6A1DE5-147B-4FAE-90C2-CE37A4B1BB6F}" destId="{F9056191-4876-4097-9577-CF5DB081AB3C}" srcOrd="0" destOrd="0" presId="urn:microsoft.com/office/officeart/2005/8/layout/orgChart1"/>
    <dgm:cxn modelId="{D8D32A3F-E983-4FDF-9844-7C8258F23CBE}" type="presOf" srcId="{96054F4A-E54D-42B4-BD16-81F6222D445B}" destId="{3023A377-AB31-4084-BCFD-8F862D4AEB15}" srcOrd="0" destOrd="0" presId="urn:microsoft.com/office/officeart/2005/8/layout/orgChart1"/>
    <dgm:cxn modelId="{D79C2240-4ABE-4809-95AA-CC45F384E0BF}" type="presOf" srcId="{2807D3FA-2E78-4894-94FA-1A8C49DE0110}" destId="{12C13CD1-66F0-4735-B853-1F5653371D8D}" srcOrd="1" destOrd="0" presId="urn:microsoft.com/office/officeart/2005/8/layout/orgChart1"/>
    <dgm:cxn modelId="{89EC2E5B-B170-4868-94D8-8DADC1928745}" type="presOf" srcId="{9ACCD315-F79C-4F93-89B6-27CEDBB79EC7}" destId="{BB63393F-E92F-4B92-89EE-C704F87265CB}" srcOrd="0" destOrd="0" presId="urn:microsoft.com/office/officeart/2005/8/layout/orgChart1"/>
    <dgm:cxn modelId="{45716B5B-2111-4302-8C56-C990A8060238}" srcId="{616FB7FF-112C-4CAC-823F-8BBE25CD5E9A}" destId="{D4D66C0A-F1B8-4A6C-97F2-5696C114BCDD}" srcOrd="0" destOrd="0" parTransId="{724A7A9E-7C7B-4425-8CFB-C6B5CAE460B4}" sibTransId="{A66FD3D5-9F58-45E0-9A79-69FD3C25DBDF}"/>
    <dgm:cxn modelId="{B55E505B-5EB2-4F49-9A6D-6968BD305A47}" type="presOf" srcId="{E380E1EA-36AC-4234-AB75-BF223829BB48}" destId="{85757E6B-D6CF-4964-906A-02FA9A885904}" srcOrd="0" destOrd="0" presId="urn:microsoft.com/office/officeart/2005/8/layout/orgChart1"/>
    <dgm:cxn modelId="{6805DC5B-E55A-490F-8375-040A7C9A1F4A}" type="presOf" srcId="{F40405D0-594D-47A6-845C-C2A1AB9D23FC}" destId="{39B1A432-E423-49DF-86BF-D6A025BA6772}" srcOrd="1" destOrd="0" presId="urn:microsoft.com/office/officeart/2005/8/layout/orgChart1"/>
    <dgm:cxn modelId="{ED12375C-72CD-4B64-8F97-E0B5B5A8C714}" srcId="{43933227-1639-4E54-B206-22A641C2E485}" destId="{C020141C-3141-414B-A120-5295AB5F4089}" srcOrd="3" destOrd="0" parTransId="{F74EE05C-98AB-4C96-AED0-2BEA3E466282}" sibTransId="{1262FB25-50E8-4C9F-B87C-114A3B57CDCA}"/>
    <dgm:cxn modelId="{F09D435C-DDF0-4572-B05C-23499F0C02E9}" type="presOf" srcId="{17275704-BCB6-4F9F-BDBB-61A09FA59BDB}" destId="{6534FDD8-5D36-4FF6-BAFF-937E27F0DE1C}" srcOrd="1" destOrd="0" presId="urn:microsoft.com/office/officeart/2005/8/layout/orgChart1"/>
    <dgm:cxn modelId="{56F0845C-7B1E-46F9-BC9E-EB66F3FE96AB}" type="presOf" srcId="{7690D51C-E94A-441D-A994-D810D0463782}" destId="{AEAF4525-0AAB-4313-9D62-B5D199B05FAC}" srcOrd="1" destOrd="0" presId="urn:microsoft.com/office/officeart/2005/8/layout/orgChart1"/>
    <dgm:cxn modelId="{7971A35C-87C6-4483-8F2C-AB76D4331566}" type="presOf" srcId="{6572755B-958D-4AD0-AC20-76BB96C46399}" destId="{4E8E5938-5D61-443B-BEE0-212A2890730F}" srcOrd="0" destOrd="0" presId="urn:microsoft.com/office/officeart/2005/8/layout/orgChart1"/>
    <dgm:cxn modelId="{68C4545D-5146-469F-AE98-30C6F2747E46}" srcId="{81A24046-04BB-4F02-AB73-0E458D676B4A}" destId="{DFA01E18-02F2-4A7F-BA2F-FD530E6B00C0}" srcOrd="0" destOrd="0" parTransId="{39B12F7A-BB8F-4DE8-B2F0-D129922A1D66}" sibTransId="{F1771D67-9131-46DD-ABA6-350A1CEF8D5F}"/>
    <dgm:cxn modelId="{206F605E-FCBB-438B-BE18-60D1D14092B3}" srcId="{9ACCD315-F79C-4F93-89B6-27CEDBB79EC7}" destId="{17275704-BCB6-4F9F-BDBB-61A09FA59BDB}" srcOrd="2" destOrd="0" parTransId="{D878227D-5E00-469A-99F4-5F4C959D9B67}" sibTransId="{0F9FC21F-85E7-4002-9440-E5A5A4811C91}"/>
    <dgm:cxn modelId="{4B1F645E-DD97-4D2A-987D-160BACF12895}" type="presOf" srcId="{ED311EC5-9145-4C08-85AC-48E2BFAC0BA8}" destId="{7C72C695-63A5-4F90-BE20-C6318326F80E}" srcOrd="0" destOrd="0" presId="urn:microsoft.com/office/officeart/2005/8/layout/orgChart1"/>
    <dgm:cxn modelId="{185F8741-E8A4-461C-9607-45C42612C7DD}" srcId="{F64867BD-0949-4FA0-A4DE-B7D633F0034C}" destId="{FA2DB15A-0F55-4DD0-A1F0-EBF79E7A4388}" srcOrd="1" destOrd="0" parTransId="{55D88064-4FB1-4441-9857-13536E02DD93}" sibTransId="{8AE8C335-D5B4-4330-A80D-832F7825E014}"/>
    <dgm:cxn modelId="{9EEED562-AE18-45FC-948A-E0433F601279}" type="presOf" srcId="{D250B77B-84DC-47ED-AF54-BB4110EA2562}" destId="{22BD05BD-6955-4273-83A7-98C6A5F7489D}" srcOrd="0" destOrd="0" presId="urn:microsoft.com/office/officeart/2005/8/layout/orgChart1"/>
    <dgm:cxn modelId="{0F1CD943-2C87-4614-9D8C-65C330C45EF4}" type="presOf" srcId="{3032589B-8788-4F32-8948-919418D8EC72}" destId="{A2309983-64E2-4013-B61D-39616B815912}" srcOrd="0" destOrd="0" presId="urn:microsoft.com/office/officeart/2005/8/layout/orgChart1"/>
    <dgm:cxn modelId="{22391444-D61D-40B4-A6ED-06FCC24881D0}" srcId="{C98CE33D-2BFE-44C7-AB30-5E611F9ABB6E}" destId="{D3BC2416-0CED-433D-80CB-3A598863930C}" srcOrd="4" destOrd="0" parTransId="{71BE6AE9-B2E8-406A-9578-8F860BDEB235}" sibTransId="{F4057D13-0A12-4AC8-929B-D199516B2A8A}"/>
    <dgm:cxn modelId="{DA443664-22A6-4488-BE37-FB7C13CBC428}" type="presOf" srcId="{648AAF6E-EE8A-447E-96A8-4B4357BD4F9B}" destId="{854DF693-F9D8-40ED-BA1B-BCC0DED4CCC7}" srcOrd="0" destOrd="0" presId="urn:microsoft.com/office/officeart/2005/8/layout/orgChart1"/>
    <dgm:cxn modelId="{FD2C4544-212C-4448-A46B-C9A1F3B5F6C5}" srcId="{2789FD09-F80A-488A-8BB7-BC232B18AF06}" destId="{6B82DE00-C4F7-4ED5-AF2D-207E2D5F9ECE}" srcOrd="3" destOrd="0" parTransId="{726F2886-3E09-40EE-849D-399207696B96}" sibTransId="{46A8947A-3059-44FA-B1A0-0948ECA6BF61}"/>
    <dgm:cxn modelId="{A11E6764-4510-4F00-AB0D-F41A44DBD3AC}" srcId="{F40405D0-594D-47A6-845C-C2A1AB9D23FC}" destId="{CFD82DC0-BB3D-4A6B-ADED-4D5BCBCDA575}" srcOrd="2" destOrd="0" parTransId="{A7A8CD5C-D60B-48FA-BA9B-4035704B63EA}" sibTransId="{184BFEF0-74B4-4F46-82D4-7F52553B5DDD}"/>
    <dgm:cxn modelId="{EFCE7264-2C24-4AA3-96B6-40C363CF86F6}" type="presOf" srcId="{C98CE33D-2BFE-44C7-AB30-5E611F9ABB6E}" destId="{BF8B4B6A-40AD-414F-8941-0AE32FE92CA0}" srcOrd="1" destOrd="0" presId="urn:microsoft.com/office/officeart/2005/8/layout/orgChart1"/>
    <dgm:cxn modelId="{09199344-6EE9-433C-9BBA-881AC312BB02}" srcId="{2E2AD7E1-1C51-4B18-8F7B-4FA02BC5F89C}" destId="{C98CE33D-2BFE-44C7-AB30-5E611F9ABB6E}" srcOrd="1" destOrd="0" parTransId="{3887DE3E-980F-4D2D-8E41-DD8EF84311E7}" sibTransId="{F4F4224B-7DC6-4FCE-96E9-8EA51EB7840A}"/>
    <dgm:cxn modelId="{32BFD944-01F4-4AF1-B72F-7F4B6970979A}" type="presOf" srcId="{CF8D1FD1-2373-4AC9-B794-3B5B85639846}" destId="{E89E281C-401C-4E16-9B28-80800F618814}" srcOrd="1" destOrd="0" presId="urn:microsoft.com/office/officeart/2005/8/layout/orgChart1"/>
    <dgm:cxn modelId="{25E70565-12D2-42BF-B943-244D4BF792E0}" type="presOf" srcId="{A956C7C8-4AEE-4D4D-8458-E9CA5A39D805}" destId="{0879C6E2-29D7-4B70-ACA4-961A36E3DCA1}" srcOrd="0" destOrd="0" presId="urn:microsoft.com/office/officeart/2005/8/layout/orgChart1"/>
    <dgm:cxn modelId="{01D41E65-05A7-4253-81FF-3CFED3020468}" srcId="{27C3018E-1948-4088-8B9A-50977B556B66}" destId="{DCDF41E0-059A-462E-80A9-516107A8CFD7}" srcOrd="1" destOrd="0" parTransId="{BADAD6FA-6887-4CA0-93AA-2A43E4C753A8}" sibTransId="{2ABDBAC5-5603-497F-AB3E-F473A878D244}"/>
    <dgm:cxn modelId="{DE5C1B46-D9D6-4CA9-BB14-DE0C547345C3}" type="presOf" srcId="{A4DE78FF-B467-4201-BF84-1F4C3697E274}" destId="{F9FEEFB4-F3BA-4F83-9C3C-5572AC78CCFA}" srcOrd="0" destOrd="0" presId="urn:microsoft.com/office/officeart/2005/8/layout/orgChart1"/>
    <dgm:cxn modelId="{3AAD3566-25CF-4F6B-8D37-A584349D58E8}" type="presOf" srcId="{2FE08BEE-DAC2-46A1-BA0E-818B97FF0A54}" destId="{EE5A63D8-BA54-4855-9013-9255A604E001}" srcOrd="0" destOrd="0" presId="urn:microsoft.com/office/officeart/2005/8/layout/orgChart1"/>
    <dgm:cxn modelId="{94713B66-9FA0-41B8-BE4D-768FE957DDB8}" type="presOf" srcId="{67437F0E-8767-4441-860A-F3C11CC3BF58}" destId="{CC10D865-5FBB-44DF-A5A7-DF9D1BC08F73}" srcOrd="0" destOrd="0" presId="urn:microsoft.com/office/officeart/2005/8/layout/orgChart1"/>
    <dgm:cxn modelId="{B6C10067-F0C3-441B-A81F-356AF276B6F2}" type="presOf" srcId="{784170D0-2718-48DB-9982-BE5B78BF47E2}" destId="{37D1510E-50C9-4BE4-950F-FA6ADCC72F19}" srcOrd="0" destOrd="0" presId="urn:microsoft.com/office/officeart/2005/8/layout/orgChart1"/>
    <dgm:cxn modelId="{0A5F7747-0F9A-4A55-8778-198B16C46ACA}" type="presOf" srcId="{3032589B-8788-4F32-8948-919418D8EC72}" destId="{853C645F-43EA-46AE-A61E-B9EBB661B325}" srcOrd="1" destOrd="0" presId="urn:microsoft.com/office/officeart/2005/8/layout/orgChart1"/>
    <dgm:cxn modelId="{B8C3ED47-F320-4CDC-B250-463030D57790}" type="presOf" srcId="{BF553810-D806-4581-8DEF-112A2F55E826}" destId="{30677E6C-2D2F-4FBD-BB1D-73C5BB3B5734}" srcOrd="1" destOrd="0" presId="urn:microsoft.com/office/officeart/2005/8/layout/orgChart1"/>
    <dgm:cxn modelId="{3D500548-1FB0-40CB-A4CC-1C74CE8B1C71}" type="presOf" srcId="{E4E3F4E3-9D40-4E60-8B48-C7D3EF91F30A}" destId="{294F3DA8-2C3C-480B-85EF-35BEE7385541}" srcOrd="0" destOrd="0" presId="urn:microsoft.com/office/officeart/2005/8/layout/orgChart1"/>
    <dgm:cxn modelId="{B1BA1148-920F-47FA-88D9-6AE1F3E335ED}" type="presOf" srcId="{C1D36721-CAB1-4B19-8B68-6EEBC855D1D4}" destId="{AF1903FC-1CF5-4D63-ADB3-5B035B47E531}" srcOrd="0" destOrd="0" presId="urn:microsoft.com/office/officeart/2005/8/layout/orgChart1"/>
    <dgm:cxn modelId="{01637E48-C397-4631-BC2A-A940CD3F5BF5}" type="presOf" srcId="{7E403424-63FE-4579-B666-F8AF1E7C0FA0}" destId="{A22B5146-B096-4C85-A0C5-04AE69B3C103}" srcOrd="0" destOrd="0" presId="urn:microsoft.com/office/officeart/2005/8/layout/orgChart1"/>
    <dgm:cxn modelId="{C6E2A248-743C-4222-A8F2-9417723CBB95}" type="presOf" srcId="{D56101AF-1EEB-4E39-84B1-EEAAD2C15B1E}" destId="{4ADEA2F6-56D8-4CEC-896D-C07717438109}" srcOrd="0" destOrd="0" presId="urn:microsoft.com/office/officeart/2005/8/layout/orgChart1"/>
    <dgm:cxn modelId="{6DADAD68-9D88-4BB4-9A64-A28494E06144}" type="presOf" srcId="{90533E0C-78C9-4725-855D-D57903AF26A5}" destId="{333689C7-7860-4E1B-90F2-52DEF3DAD9C2}" srcOrd="0" destOrd="0" presId="urn:microsoft.com/office/officeart/2005/8/layout/orgChart1"/>
    <dgm:cxn modelId="{AB8AC668-FCCA-4224-B3F3-B836AFFB0660}" srcId="{D4D66C0A-F1B8-4A6C-97F2-5696C114BCDD}" destId="{6572755B-958D-4AD0-AC20-76BB96C46399}" srcOrd="8" destOrd="0" parTransId="{E4E3F4E3-9D40-4E60-8B48-C7D3EF91F30A}" sibTransId="{4EE6395B-7B2A-4B8A-8A5D-31176E8E3FF1}"/>
    <dgm:cxn modelId="{6D0BCE68-F653-4A70-95FA-F8E207D50C54}" srcId="{2E2AD7E1-1C51-4B18-8F7B-4FA02BC5F89C}" destId="{43933227-1639-4E54-B206-22A641C2E485}" srcOrd="3" destOrd="0" parTransId="{ACFEC0FB-A0FD-473E-8CD7-9391799FF590}" sibTransId="{EF5CE2E7-5110-4723-BF0C-E3AED275C319}"/>
    <dgm:cxn modelId="{44E2D669-4047-4675-ABAE-7D10AA0D46B6}" type="presOf" srcId="{9ACCD315-F79C-4F93-89B6-27CEDBB79EC7}" destId="{980542F8-39CF-4EDA-96E6-7F2E4E266168}" srcOrd="1" destOrd="0" presId="urn:microsoft.com/office/officeart/2005/8/layout/orgChart1"/>
    <dgm:cxn modelId="{7EB0146A-F06F-4061-9C8D-B45BCCA797BE}" type="presOf" srcId="{4C782D04-698D-42DA-9422-1A0F1866CD0D}" destId="{92B04F0F-557E-463D-9BAC-D881FCF96652}" srcOrd="0" destOrd="0" presId="urn:microsoft.com/office/officeart/2005/8/layout/orgChart1"/>
    <dgm:cxn modelId="{1755066B-206F-45EF-9E27-B7F2537140BB}" type="presOf" srcId="{17275704-BCB6-4F9F-BDBB-61A09FA59BDB}" destId="{FC079390-5E11-402E-A328-ECC2593DD836}" srcOrd="0" destOrd="0" presId="urn:microsoft.com/office/officeart/2005/8/layout/orgChart1"/>
    <dgm:cxn modelId="{2D7FB84B-BEBA-4904-A113-C0C7AE8EF94A}" srcId="{DB519D5D-CDBE-40FE-B415-9067FF5CF79C}" destId="{495D2699-A480-4837-B1E0-94A6B25CA086}" srcOrd="7" destOrd="0" parTransId="{6F8625B8-46DC-4265-B7A0-7DE2745264CA}" sibTransId="{4FD88DCB-999B-497E-A8A3-A2AB0E2A6ED1}"/>
    <dgm:cxn modelId="{ED5CE04B-A9A8-4877-AF10-7150B030742A}" srcId="{DFB8283C-0CE7-4D06-AB09-FCE9E52142BE}" destId="{670DC88F-8F9F-48D0-BBD4-4787B3DCFE5D}" srcOrd="1" destOrd="0" parTransId="{A7AAAFDF-146D-435A-BDEF-02257F2DE347}" sibTransId="{5F60D1BB-0473-4A2B-A496-639E68ED45CC}"/>
    <dgm:cxn modelId="{1563E64B-130A-4B66-9558-7BB16A279DA5}" type="presOf" srcId="{364BE0BF-40AA-4172-8255-7BE3C35618C7}" destId="{77A0A1C0-758D-47F2-AB1D-FE59DA20C085}" srcOrd="1" destOrd="0" presId="urn:microsoft.com/office/officeart/2005/8/layout/orgChart1"/>
    <dgm:cxn modelId="{C438296C-7BC3-49AA-9701-5CB0E11EA055}" type="presOf" srcId="{80115753-2DBC-4391-8E15-260FC60A1A25}" destId="{54F40A7B-C344-4770-8888-97F4D5591930}" srcOrd="0" destOrd="0" presId="urn:microsoft.com/office/officeart/2005/8/layout/orgChart1"/>
    <dgm:cxn modelId="{B2532E4C-A8F7-4535-9486-1523B07D8C25}" type="presOf" srcId="{3887DE3E-980F-4D2D-8E41-DD8EF84311E7}" destId="{351BA316-76D8-4A03-B900-9E85BB296C22}" srcOrd="0" destOrd="0" presId="urn:microsoft.com/office/officeart/2005/8/layout/orgChart1"/>
    <dgm:cxn modelId="{FC27126D-DB95-41F4-A991-30F011FF8BE9}" srcId="{43933227-1639-4E54-B206-22A641C2E485}" destId="{7B6E96D9-61A0-47FA-B33B-0791809B2299}" srcOrd="0" destOrd="0" parTransId="{2DE9A33B-D816-4CFD-8047-2A89BE531D57}" sibTransId="{40D96F86-156A-4600-99F2-ABD65EC5B63A}"/>
    <dgm:cxn modelId="{007E316D-C182-47E2-AB24-E6390FB53836}" type="presOf" srcId="{EB169C33-F586-4149-83FE-9DDAF38D4719}" destId="{87F5A956-FACC-4A9C-89CF-2B969FD61DB9}" srcOrd="0" destOrd="0" presId="urn:microsoft.com/office/officeart/2005/8/layout/orgChart1"/>
    <dgm:cxn modelId="{9CF9584D-E588-4375-A542-05126FE813FA}" type="presOf" srcId="{0C06A092-57B5-430F-803C-AE2717EE8DA6}" destId="{5E0FD9DF-C5B8-4569-B877-2D7596F406F5}" srcOrd="0" destOrd="0" presId="urn:microsoft.com/office/officeart/2005/8/layout/orgChart1"/>
    <dgm:cxn modelId="{45BF8E4D-D155-4EB9-9132-89DDC6F798B8}" type="presOf" srcId="{2789FD09-F80A-488A-8BB7-BC232B18AF06}" destId="{E8004E2B-3C32-4A36-A1AC-85C045781A67}" srcOrd="1" destOrd="0" presId="urn:microsoft.com/office/officeart/2005/8/layout/orgChart1"/>
    <dgm:cxn modelId="{D427994D-E3ED-4050-BE2F-12D71FC8012F}" type="presOf" srcId="{7528CC07-C884-492A-A5E3-05AF7D636393}" destId="{152174D6-3609-425C-B31B-65702287601D}" srcOrd="1" destOrd="0" presId="urn:microsoft.com/office/officeart/2005/8/layout/orgChart1"/>
    <dgm:cxn modelId="{A4BFA36D-F464-40B9-8A3A-A5922445A3A4}" type="presOf" srcId="{39B12F7A-BB8F-4DE8-B2F0-D129922A1D66}" destId="{812C7A73-A9E9-4F29-8753-1B06479711FE}" srcOrd="0" destOrd="0" presId="urn:microsoft.com/office/officeart/2005/8/layout/orgChart1"/>
    <dgm:cxn modelId="{D2E6BF6D-672C-4B4A-ABAB-7C145464D83E}" type="presOf" srcId="{4F693BA6-26B2-4B73-8280-C164DA8C34B7}" destId="{2AA7AAEA-4596-4A15-A250-7C6D01E2B7DD}" srcOrd="1" destOrd="0" presId="urn:microsoft.com/office/officeart/2005/8/layout/orgChart1"/>
    <dgm:cxn modelId="{5CF8976E-DE61-4BE9-8191-E760F049FE7A}" type="presOf" srcId="{D81F9C99-0C72-44D6-8B8F-79B3F0BB4C2F}" destId="{A3E00E92-A59E-4D77-8E79-B2B312F7718A}" srcOrd="1" destOrd="0" presId="urn:microsoft.com/office/officeart/2005/8/layout/orgChart1"/>
    <dgm:cxn modelId="{B6A8914F-A519-4D5C-A65C-EB39F951FF9A}" type="presOf" srcId="{FCEEA016-765B-4B7E-A263-B8928026B28F}" destId="{381CF30F-7E79-462D-AC7D-9AA5C1FC469C}" srcOrd="0" destOrd="0" presId="urn:microsoft.com/office/officeart/2005/8/layout/orgChart1"/>
    <dgm:cxn modelId="{19C4CD4F-80D6-4DCC-8EE5-0D039C2F333A}" type="presOf" srcId="{BADAD6FA-6887-4CA0-93AA-2A43E4C753A8}" destId="{81260CC3-B357-4E49-898C-6CA2BE6159E2}" srcOrd="0" destOrd="0" presId="urn:microsoft.com/office/officeart/2005/8/layout/orgChart1"/>
    <dgm:cxn modelId="{DEE7DD51-3087-4CA2-A42E-DEEBF735A129}" type="presOf" srcId="{357A59C7-66B6-4C7A-AA68-6D5FB56FEDA6}" destId="{EBD55146-8045-4C6B-8576-72CED9C08E80}" srcOrd="0" destOrd="0" presId="urn:microsoft.com/office/officeart/2005/8/layout/orgChart1"/>
    <dgm:cxn modelId="{178B2272-221E-46CE-BDED-111872854264}" type="presOf" srcId="{2A1F801B-EBB5-4808-A989-0AB7C90C54C5}" destId="{783973AA-E038-4DD6-AF6E-57C38C26BB9E}" srcOrd="1" destOrd="0" presId="urn:microsoft.com/office/officeart/2005/8/layout/orgChart1"/>
    <dgm:cxn modelId="{0D682352-3F7A-44D3-905F-52477323D4BB}" type="presOf" srcId="{1A5B1860-6827-4607-BDE9-90A8CA4643C3}" destId="{D0476C4B-DFB8-4632-A045-F76C37C8CB81}" srcOrd="0" destOrd="0" presId="urn:microsoft.com/office/officeart/2005/8/layout/orgChart1"/>
    <dgm:cxn modelId="{FCE06772-BE35-47E1-A3CF-BAAAA59218ED}" srcId="{3032589B-8788-4F32-8948-919418D8EC72}" destId="{5567F3F9-ED7F-478C-AFC1-71C36633BD7B}" srcOrd="4" destOrd="0" parTransId="{45D92EA8-0AC1-4DA5-B2FF-32F1CC8F2C35}" sibTransId="{4C549A97-2E7C-4EE3-9E9A-774122662F36}"/>
    <dgm:cxn modelId="{8B22E652-CE9B-4D54-B428-C7A8F5793562}" type="presOf" srcId="{0F68E946-9B71-4F5A-824B-F650485354E5}" destId="{4B635EA3-2906-4EDC-A63F-7012643BDEDC}" srcOrd="1" destOrd="0" presId="urn:microsoft.com/office/officeart/2005/8/layout/orgChart1"/>
    <dgm:cxn modelId="{0E0A9F73-FD1A-4527-96F1-0EA25D5CB190}" type="presOf" srcId="{C98CE33D-2BFE-44C7-AB30-5E611F9ABB6E}" destId="{253F3AC0-F268-4AF3-A75C-7BDA2581FFE1}" srcOrd="0" destOrd="0" presId="urn:microsoft.com/office/officeart/2005/8/layout/orgChart1"/>
    <dgm:cxn modelId="{E7E54874-2A87-4905-A24F-DADB1A0D1033}" type="presOf" srcId="{3B40AC12-DB25-4F3B-86E3-97EF8A39DAA4}" destId="{5C26582D-5B94-4378-B787-983135041F9E}" srcOrd="1" destOrd="0" presId="urn:microsoft.com/office/officeart/2005/8/layout/orgChart1"/>
    <dgm:cxn modelId="{1AE6B154-4DE0-4828-9513-090CE443E5E9}" srcId="{DB519D5D-CDBE-40FE-B415-9067FF5CF79C}" destId="{78B723D2-F9F3-4D72-9235-6008AED08A76}" srcOrd="5" destOrd="0" parTransId="{CA7A280B-754E-48DF-8141-FCCF1F7C52D7}" sibTransId="{4093EBA2-7041-4BB8-8B3D-2E9FD5E9A73F}"/>
    <dgm:cxn modelId="{160AE574-FCD3-47A7-A3A6-723DACA9B142}" type="presOf" srcId="{495D2699-A480-4837-B1E0-94A6B25CA086}" destId="{3F694110-B94E-478E-9535-8F465127F9C9}" srcOrd="1" destOrd="0" presId="urn:microsoft.com/office/officeart/2005/8/layout/orgChart1"/>
    <dgm:cxn modelId="{C773E754-D003-4430-811F-2200E2DAEC7B}" type="presOf" srcId="{F07350B7-9307-42BB-84DD-90D8F66868EC}" destId="{8E1AE36E-E61D-4AC4-910A-7F86ECD5B0E4}" srcOrd="1" destOrd="0" presId="urn:microsoft.com/office/officeart/2005/8/layout/orgChart1"/>
    <dgm:cxn modelId="{7FDA0275-D6CA-4729-8E2C-531477FA3017}" type="presOf" srcId="{5567F3F9-ED7F-478C-AFC1-71C36633BD7B}" destId="{C362857C-DBE7-445D-8007-4AD3FBD12260}" srcOrd="0" destOrd="0" presId="urn:microsoft.com/office/officeart/2005/8/layout/orgChart1"/>
    <dgm:cxn modelId="{A1119375-EE23-48CC-9AE4-ADD41E289A15}" type="presOf" srcId="{A8FC051A-8031-4220-A91C-8C8C1159F2C7}" destId="{831288D2-5932-475E-9CF9-55FDEDF5766C}" srcOrd="0" destOrd="0" presId="urn:microsoft.com/office/officeart/2005/8/layout/orgChart1"/>
    <dgm:cxn modelId="{C8012B76-D721-4880-B2FD-D67A9042EE11}" srcId="{F64867BD-0949-4FA0-A4DE-B7D633F0034C}" destId="{4F693BA6-26B2-4B73-8280-C164DA8C34B7}" srcOrd="0" destOrd="0" parTransId="{9D13284D-3623-4556-A0C5-12269ECEBD01}" sibTransId="{A731950F-D2CF-4928-815D-E694CD60D38A}"/>
    <dgm:cxn modelId="{D1996876-E34C-4903-BB2C-13CD476185F0}" srcId="{F40405D0-594D-47A6-845C-C2A1AB9D23FC}" destId="{0F68E946-9B71-4F5A-824B-F650485354E5}" srcOrd="0" destOrd="0" parTransId="{68DF8551-7294-4C30-B8D6-89B447C19CB3}" sibTransId="{BDEF69E7-E719-4586-921E-C314B1BCA673}"/>
    <dgm:cxn modelId="{4A5C9D56-630A-4F67-9E5A-D13E55FC76EF}" type="presOf" srcId="{3B40AC12-DB25-4F3B-86E3-97EF8A39DAA4}" destId="{1C0710BE-8277-48FD-8E49-B815B773BAF7}" srcOrd="0" destOrd="0" presId="urn:microsoft.com/office/officeart/2005/8/layout/orgChart1"/>
    <dgm:cxn modelId="{90E1CC76-4536-4C81-8B48-820EB5AD8776}" srcId="{DFB8283C-0CE7-4D06-AB09-FCE9E52142BE}" destId="{CF8D1FD1-2373-4AC9-B794-3B5B85639846}" srcOrd="2" destOrd="0" parTransId="{9FC8215C-0776-4A41-8809-A27475FABFE5}" sibTransId="{16897247-53E7-48FF-87B2-70F72D427469}"/>
    <dgm:cxn modelId="{4CCDD657-4898-4FF0-919C-4914704A6D08}" type="presOf" srcId="{5A3FAD4B-5F94-4E2A-8DC5-D6EAA8B96B69}" destId="{0CE57803-3D08-4164-B34A-3637BE7665E4}" srcOrd="0" destOrd="0" presId="urn:microsoft.com/office/officeart/2005/8/layout/orgChart1"/>
    <dgm:cxn modelId="{7E8ADD57-532D-43A8-9A2C-5FEAAE675444}" type="presOf" srcId="{2E2AD7E1-1C51-4B18-8F7B-4FA02BC5F89C}" destId="{CC83D1EA-987A-4420-AC1F-8009DEDCBE32}" srcOrd="0" destOrd="0" presId="urn:microsoft.com/office/officeart/2005/8/layout/orgChart1"/>
    <dgm:cxn modelId="{6ECE3E58-FB46-4010-9151-4B3D6D39BCB5}" srcId="{27C3018E-1948-4088-8B9A-50977B556B66}" destId="{EDA71CB0-9FD5-4906-8136-DFECAB634259}" srcOrd="3" destOrd="0" parTransId="{C0FF6E04-1190-41D6-95AC-7034FAC93D0E}" sibTransId="{19C49DA5-6C67-4D54-A827-0A68530AD9E6}"/>
    <dgm:cxn modelId="{45B65178-BF77-4C53-BDC2-48A0C3927AA9}" type="presOf" srcId="{083C6703-4C9C-43EF-B512-6260839E8D51}" destId="{991398EC-D76F-4F9C-B973-CB23B25B9AF9}" srcOrd="1" destOrd="0" presId="urn:microsoft.com/office/officeart/2005/8/layout/orgChart1"/>
    <dgm:cxn modelId="{EE8B8358-D99C-4291-9B46-5C1D3856BCB0}" type="presOf" srcId="{EDC43AE7-0398-44EB-B67E-DC43D0C5D7C6}" destId="{D255F7C2-BB82-4FD9-811A-9351B8A0D25D}" srcOrd="0" destOrd="0" presId="urn:microsoft.com/office/officeart/2005/8/layout/orgChart1"/>
    <dgm:cxn modelId="{F3D6DD78-9EAB-4CD5-B38B-017EC68C0D8E}" srcId="{DFB8283C-0CE7-4D06-AB09-FCE9E52142BE}" destId="{784170D0-2718-48DB-9982-BE5B78BF47E2}" srcOrd="3" destOrd="0" parTransId="{78950E37-BAE6-4234-BC2B-B54CE8DE1185}" sibTransId="{6279A169-9D64-41A5-AC0D-3D4C8DAAB837}"/>
    <dgm:cxn modelId="{38C1057A-1EE1-4677-BA33-3536513EF91B}" type="presOf" srcId="{2E2AD7E1-1C51-4B18-8F7B-4FA02BC5F89C}" destId="{DA085A28-DCFA-475C-9DD8-F77FE2D72845}" srcOrd="1" destOrd="0" presId="urn:microsoft.com/office/officeart/2005/8/layout/orgChart1"/>
    <dgm:cxn modelId="{D1C9655A-330C-4FE5-AB26-668C3B5FC1E6}" type="presOf" srcId="{724EE3D5-0008-4586-9D87-2E3A2C4586B3}" destId="{E7A496F2-55F3-4582-8695-0A23ECFF3FCB}" srcOrd="0" destOrd="0" presId="urn:microsoft.com/office/officeart/2005/8/layout/orgChart1"/>
    <dgm:cxn modelId="{AC4FA25A-9575-4B07-9369-7F6F37C359FB}" type="presOf" srcId="{696F36F7-CEB4-42BB-BB03-3C8EB7486B00}" destId="{E7C4D0D6-379D-499B-B4DF-BC88B707187A}" srcOrd="1" destOrd="0" presId="urn:microsoft.com/office/officeart/2005/8/layout/orgChart1"/>
    <dgm:cxn modelId="{1B41BF5A-CA46-4FC0-B0F0-88C2FC81198F}" type="presOf" srcId="{CF56514B-0756-478F-82A4-DC136F9EB1E4}" destId="{87607D8E-B464-45E4-B627-B6EBA2FA1191}" srcOrd="0" destOrd="0" presId="urn:microsoft.com/office/officeart/2005/8/layout/orgChart1"/>
    <dgm:cxn modelId="{8E8E197B-8348-4F3F-904B-7B9F0CF14040}" type="presOf" srcId="{7538FCE1-3BBD-4CD4-9F7E-8F1A53513270}" destId="{78C6A68A-B465-4C22-8A8A-2767386936F2}" srcOrd="0" destOrd="0" presId="urn:microsoft.com/office/officeart/2005/8/layout/orgChart1"/>
    <dgm:cxn modelId="{A4CD6D7B-7785-443E-96B2-16765BA486DF}" type="presOf" srcId="{C20AB02D-A6B8-4EE8-BD90-2D00214801D7}" destId="{05C4CE45-B147-4951-9AA6-EC7824E38ED9}" srcOrd="0" destOrd="0" presId="urn:microsoft.com/office/officeart/2005/8/layout/orgChart1"/>
    <dgm:cxn modelId="{58E9177C-0E8C-4C08-8D33-FBF005099AF9}" type="presOf" srcId="{C020141C-3141-414B-A120-5295AB5F4089}" destId="{1D1D693B-43F0-488B-BF10-36E9C5C2697F}" srcOrd="0" destOrd="0" presId="urn:microsoft.com/office/officeart/2005/8/layout/orgChart1"/>
    <dgm:cxn modelId="{5B4BC97D-AA37-4E72-950F-ECCBF8F9F885}" type="presOf" srcId="{A7AAAFDF-146D-435A-BDEF-02257F2DE347}" destId="{72AC3BD5-4A09-465F-9D74-1F4C77F1781A}" srcOrd="0" destOrd="0" presId="urn:microsoft.com/office/officeart/2005/8/layout/orgChart1"/>
    <dgm:cxn modelId="{59154C7E-44F4-4938-BEE9-0B4863EFA729}" type="presOf" srcId="{FEF42683-EE96-4174-8C7B-BCE6A884E1DC}" destId="{54398053-D463-4DC6-A3FB-63577E95D28D}" srcOrd="1" destOrd="0" presId="urn:microsoft.com/office/officeart/2005/8/layout/orgChart1"/>
    <dgm:cxn modelId="{31F5CE7F-0156-4C5C-800F-EE4C6892FD83}" type="presOf" srcId="{696F36F7-CEB4-42BB-BB03-3C8EB7486B00}" destId="{F2BF0078-FA9D-45D3-ABA6-2A26BEB489A7}" srcOrd="0" destOrd="0" presId="urn:microsoft.com/office/officeart/2005/8/layout/orgChart1"/>
    <dgm:cxn modelId="{ED1DE37F-E958-45BD-BD04-A7781A7F869B}" srcId="{C98CE33D-2BFE-44C7-AB30-5E611F9ABB6E}" destId="{BE5152C0-515F-4D8A-A6C7-210CF0910D20}" srcOrd="3" destOrd="0" parTransId="{C1D36721-CAB1-4B19-8B68-6EEBC855D1D4}" sibTransId="{4ED08E99-3B50-414E-B18A-B9AF089F57F9}"/>
    <dgm:cxn modelId="{0BA4B480-DF39-415A-AD32-C7DC4AD487F5}" type="presOf" srcId="{194F1D56-867F-4028-B7B3-9F31C28E1F55}" destId="{61D009CE-346B-47A3-9123-66DCCD81544E}" srcOrd="0" destOrd="0" presId="urn:microsoft.com/office/officeart/2005/8/layout/orgChart1"/>
    <dgm:cxn modelId="{C7A85181-903A-4D74-9620-47E156C85836}" srcId="{DB519D5D-CDBE-40FE-B415-9067FF5CF79C}" destId="{44B99D23-0DBB-4644-B4EC-5A63853BD2BD}" srcOrd="1" destOrd="0" parTransId="{74C59B9E-77CC-4BF1-8CAB-11448A455F5F}" sibTransId="{8D0AA71A-6B0E-40BF-A9A5-56F0CEE9E0D4}"/>
    <dgm:cxn modelId="{67813D82-E7FB-4D31-8697-AD6416C574BA}" type="presOf" srcId="{DFB8283C-0CE7-4D06-AB09-FCE9E52142BE}" destId="{22A57205-A1A7-400C-936D-6294AB8778FF}" srcOrd="1" destOrd="0" presId="urn:microsoft.com/office/officeart/2005/8/layout/orgChart1"/>
    <dgm:cxn modelId="{EFB99B82-23C9-4171-86A9-DF1AF051B3F0}" type="presOf" srcId="{2807D3FA-2E78-4894-94FA-1A8C49DE0110}" destId="{54B187C0-B183-42C9-B68A-9309AC25D80F}" srcOrd="0" destOrd="0" presId="urn:microsoft.com/office/officeart/2005/8/layout/orgChart1"/>
    <dgm:cxn modelId="{19697B83-AF81-4042-A27E-3B4C6933BB3D}" type="presOf" srcId="{629E7DC9-EF62-465F-A109-54260FF39219}" destId="{D97C6B0E-0CA4-4642-8787-12CA52F7FC56}" srcOrd="0" destOrd="0" presId="urn:microsoft.com/office/officeart/2005/8/layout/orgChart1"/>
    <dgm:cxn modelId="{1107D883-B682-48F1-90B4-E5AE58770D0F}" type="presOf" srcId="{B954898C-CC71-4DB3-8ABA-0FA76C28868B}" destId="{91084872-F3AE-427B-B7B2-9D2A1A583040}" srcOrd="1" destOrd="0" presId="urn:microsoft.com/office/officeart/2005/8/layout/orgChart1"/>
    <dgm:cxn modelId="{0D235084-8CC0-4030-B4D8-A9FE2A266826}" type="presOf" srcId="{6C7746F2-4AF5-447B-9EDE-3CA71227ADCB}" destId="{6EB9EC8F-3815-4FA8-AB91-7FF1CDF88BA3}" srcOrd="0" destOrd="0" presId="urn:microsoft.com/office/officeart/2005/8/layout/orgChart1"/>
    <dgm:cxn modelId="{98084F85-5062-432F-9098-F8DA270D3B83}" type="presOf" srcId="{6F8625B8-46DC-4265-B7A0-7DE2745264CA}" destId="{9CD664AE-F601-477D-9B88-CFFB518CBBFB}" srcOrd="0" destOrd="0" presId="urn:microsoft.com/office/officeart/2005/8/layout/orgChart1"/>
    <dgm:cxn modelId="{0A186C86-9FCC-4E6A-AA96-4C579F877A05}" type="presOf" srcId="{F273C308-DEEA-4A8D-8C6A-9CF39F1F3A08}" destId="{43A51C16-37FA-4B02-9F52-DF7B935CD630}" srcOrd="0" destOrd="0" presId="urn:microsoft.com/office/officeart/2005/8/layout/orgChart1"/>
    <dgm:cxn modelId="{B2F52387-2395-4F4C-951A-8894618A4399}" srcId="{57F4BFCC-AFED-463E-9871-F70118883114}" destId="{629E7DC9-EF62-465F-A109-54260FF39219}" srcOrd="0" destOrd="0" parTransId="{A8FC051A-8031-4220-A91C-8C8C1159F2C7}" sibTransId="{49C919E4-8754-4F4D-907C-FCF51FDBEBC8}"/>
    <dgm:cxn modelId="{05A76A88-70C7-4F07-B64A-1B910ABA857B}" type="presOf" srcId="{4B6A1DE5-147B-4FAE-90C2-CE37A4B1BB6F}" destId="{ED27D4E1-1AAB-4249-ABDC-600DAF0C475B}" srcOrd="1" destOrd="0" presId="urn:microsoft.com/office/officeart/2005/8/layout/orgChart1"/>
    <dgm:cxn modelId="{32679B89-7A1A-4C71-9927-CB3F286F002B}" type="presOf" srcId="{6B82DE00-C4F7-4ED5-AF2D-207E2D5F9ECE}" destId="{9516D145-26D6-44D3-897C-8FF25FA978A7}" srcOrd="0" destOrd="0" presId="urn:microsoft.com/office/officeart/2005/8/layout/orgChart1"/>
    <dgm:cxn modelId="{7833BB89-DCF4-4FDC-B41D-21BEB82B0EAC}" type="presOf" srcId="{A7A8CD5C-D60B-48FA-BA9B-4035704B63EA}" destId="{CA5CE379-5958-40AF-B5EA-ED85153DB36B}" srcOrd="0" destOrd="0" presId="urn:microsoft.com/office/officeart/2005/8/layout/orgChart1"/>
    <dgm:cxn modelId="{9D9BF28B-A64C-4F58-A60B-46682BCDD36F}" type="presOf" srcId="{734C966F-2ED6-458B-B8AD-5EB9846A9AE7}" destId="{4F7D75AC-9480-4133-87E2-E2649DE98C37}" srcOrd="0" destOrd="0" presId="urn:microsoft.com/office/officeart/2005/8/layout/orgChart1"/>
    <dgm:cxn modelId="{DF30138C-E22F-4C06-A639-7A01C6E3A847}" srcId="{C98CE33D-2BFE-44C7-AB30-5E611F9ABB6E}" destId="{6DA9912D-0495-4F6D-A8F9-C1190D2E671A}" srcOrd="2" destOrd="0" parTransId="{FFA4970D-D67D-462E-BEA1-204882196907}" sibTransId="{2E6EE52F-9C96-40FA-9CB3-4128F0F74750}"/>
    <dgm:cxn modelId="{7F9A3D8C-C479-4A8D-9F6E-81A69FCF4E31}" type="presOf" srcId="{54ED6CED-6BF0-40ED-ADB8-75C2B095A11D}" destId="{20F4D4D9-46DB-4253-ADC1-2B988D855638}" srcOrd="1" destOrd="0" presId="urn:microsoft.com/office/officeart/2005/8/layout/orgChart1"/>
    <dgm:cxn modelId="{DF89D98C-34AC-4565-B344-635125960BBA}" srcId="{F64867BD-0949-4FA0-A4DE-B7D633F0034C}" destId="{9DD468CD-B3DA-4914-BAFF-BFB6219D38F3}" srcOrd="2" destOrd="0" parTransId="{B9DD3140-D8F4-4547-B53D-72B3E3722327}" sibTransId="{3D69C083-F1C5-4768-AFCA-681C121E2D50}"/>
    <dgm:cxn modelId="{C1684F8E-24BA-425B-AB66-75FAB1CBE81F}" type="presOf" srcId="{4F693BA6-26B2-4B73-8280-C164DA8C34B7}" destId="{AED77F61-D481-4F5F-B12C-CC8E1069DEC4}" srcOrd="0" destOrd="0" presId="urn:microsoft.com/office/officeart/2005/8/layout/orgChart1"/>
    <dgm:cxn modelId="{4500538E-A786-4165-8190-ECF8FBC2CF34}" type="presOf" srcId="{DAC78C75-2075-4E92-8FED-16CE52DA9DBC}" destId="{0B95C9ED-3560-4F73-AA80-072B5F1ADA9E}" srcOrd="0" destOrd="0" presId="urn:microsoft.com/office/officeart/2005/8/layout/orgChart1"/>
    <dgm:cxn modelId="{E2D5B18E-794C-45E2-B6F9-2151E23A4660}" srcId="{616FB7FF-112C-4CAC-823F-8BBE25CD5E9A}" destId="{F64867BD-0949-4FA0-A4DE-B7D633F0034C}" srcOrd="3" destOrd="0" parTransId="{207918A6-7772-41B1-96EF-AA65C65DEFC3}" sibTransId="{4727CBBE-20B7-4907-8972-F73F6F3777B8}"/>
    <dgm:cxn modelId="{E4D6B58E-B101-43AD-8881-2802A6759CC2}" type="presOf" srcId="{78B723D2-F9F3-4D72-9235-6008AED08A76}" destId="{48B2891B-2B7B-423B-AB9F-F0E21A46B5AF}" srcOrd="1" destOrd="0" presId="urn:microsoft.com/office/officeart/2005/8/layout/orgChart1"/>
    <dgm:cxn modelId="{EA9C238F-0E33-4D26-8AB7-F42B3A2F41A1}" type="presOf" srcId="{2795C37E-7CF0-4F60-BCA8-DC6019AC47C6}" destId="{AA4D1D40-3832-4BB5-89D3-E511F18E28DF}" srcOrd="0" destOrd="0" presId="urn:microsoft.com/office/officeart/2005/8/layout/orgChart1"/>
    <dgm:cxn modelId="{3FD40090-64AC-4E34-8652-08F8C22529AF}" type="presOf" srcId="{34D4C62D-613F-4D0D-A0E1-E0CEC8592191}" destId="{A1F9B978-F512-459E-8D4D-B18D8628A18B}" srcOrd="0" destOrd="0" presId="urn:microsoft.com/office/officeart/2005/8/layout/orgChart1"/>
    <dgm:cxn modelId="{D555D491-258C-4F44-B8C4-71A54632384B}" type="presOf" srcId="{9C5877DB-5FFF-44B2-A718-C2C391F9D61C}" destId="{92137862-6743-4F42-BB1D-E5B0B6BFFA5D}" srcOrd="1" destOrd="0" presId="urn:microsoft.com/office/officeart/2005/8/layout/orgChart1"/>
    <dgm:cxn modelId="{EFB35F93-9E10-4A14-94BF-B216F60EC922}" type="presOf" srcId="{BF553810-D806-4581-8DEF-112A2F55E826}" destId="{AA3554F6-1740-4883-96E6-6BFEFF6AA42D}" srcOrd="0" destOrd="0" presId="urn:microsoft.com/office/officeart/2005/8/layout/orgChart1"/>
    <dgm:cxn modelId="{CC644A95-438B-429E-BBA5-5AA47BD1F373}" type="presOf" srcId="{354411F2-F1D6-4AAC-9AE7-60C09F3B0A14}" destId="{4EAAA85B-2269-45B2-B325-3CE9106A3F45}" srcOrd="0" destOrd="0" presId="urn:microsoft.com/office/officeart/2005/8/layout/orgChart1"/>
    <dgm:cxn modelId="{AB184D95-A3C8-479C-BB79-7F9175FDB685}" type="presOf" srcId="{670DC88F-8F9F-48D0-BBD4-4787B3DCFE5D}" destId="{57E88E86-B06D-4ECF-BC0D-8A2EF486527E}" srcOrd="0" destOrd="0" presId="urn:microsoft.com/office/officeart/2005/8/layout/orgChart1"/>
    <dgm:cxn modelId="{2E92CE95-77D0-4F87-B964-141BE0FBF1A6}" type="presOf" srcId="{56DFF7E9-98AC-4B22-AB77-33FABD972DF3}" destId="{93E68B5D-8E4D-467B-809E-50C18EAF13E3}" srcOrd="1" destOrd="0" presId="urn:microsoft.com/office/officeart/2005/8/layout/orgChart1"/>
    <dgm:cxn modelId="{532C2696-97EA-4ABF-8CE9-5901BD764F0C}" srcId="{27C3018E-1948-4088-8B9A-50977B556B66}" destId="{FEF42683-EE96-4174-8C7B-BCE6A884E1DC}" srcOrd="0" destOrd="0" parTransId="{3060B87B-D822-4BA2-BB8E-1C6C1F09EA56}" sibTransId="{AC325ED6-972C-4D5E-998D-D1BB55EFC7D8}"/>
    <dgm:cxn modelId="{387DD496-7F06-4D45-A828-0ED8742E03F3}" type="presOf" srcId="{1AD56B8D-3AD5-4A22-8394-D243BC02BC4A}" destId="{EDD5D5C0-25EC-497D-B299-9B9E746CF927}" srcOrd="1" destOrd="0" presId="urn:microsoft.com/office/officeart/2005/8/layout/orgChart1"/>
    <dgm:cxn modelId="{6CFBB197-FFA6-49FD-9901-1B111B2A1F83}" type="presOf" srcId="{B56F379F-B6B2-4608-913B-2EED20D6D81B}" destId="{0052FB1B-7A35-404A-85B5-764223D464FA}" srcOrd="0" destOrd="0" presId="urn:microsoft.com/office/officeart/2005/8/layout/orgChart1"/>
    <dgm:cxn modelId="{6AAAFF97-0207-4DED-B042-AE284D84CBCE}" type="presOf" srcId="{670DC88F-8F9F-48D0-BBD4-4787B3DCFE5D}" destId="{5467DE21-90FC-472F-AB6D-C09BAE5667C1}" srcOrd="1" destOrd="0" presId="urn:microsoft.com/office/officeart/2005/8/layout/orgChart1"/>
    <dgm:cxn modelId="{BE2FB699-4204-420B-BF7C-465BC21896BF}" srcId="{616FB7FF-112C-4CAC-823F-8BBE25CD5E9A}" destId="{57F4BFCC-AFED-463E-9871-F70118883114}" srcOrd="1" destOrd="0" parTransId="{357A59C7-66B6-4C7A-AA68-6D5FB56FEDA6}" sibTransId="{83A925B4-E587-4354-97C3-F146249E652A}"/>
    <dgm:cxn modelId="{EFBDF999-0867-463C-B9BE-161D3FE1BB61}" type="presOf" srcId="{547E72FF-0E9E-4BC5-A33A-F31BFD4969A6}" destId="{A7D99AA5-7289-416F-A842-FB214B6BF6F7}" srcOrd="0" destOrd="0" presId="urn:microsoft.com/office/officeart/2005/8/layout/orgChart1"/>
    <dgm:cxn modelId="{7D461E9A-26AE-4FAC-905E-5B31DB0E8BE3}" type="presOf" srcId="{68DF8551-7294-4C30-B8D6-89B447C19CB3}" destId="{06254AEF-384A-4515-892F-11EB29EFBBE5}" srcOrd="0" destOrd="0" presId="urn:microsoft.com/office/officeart/2005/8/layout/orgChart1"/>
    <dgm:cxn modelId="{E2051F9A-1F10-4B2C-9A4E-A22BF3182782}" type="presOf" srcId="{742EF618-B631-4F5C-9E04-7880FB737823}" destId="{3BD5D629-B44A-46F2-83FA-A590F8A03A04}" srcOrd="0" destOrd="0" presId="urn:microsoft.com/office/officeart/2005/8/layout/orgChart1"/>
    <dgm:cxn modelId="{7A5F069B-B66E-406B-9F65-7D37E6BA9897}" type="presOf" srcId="{F44A404F-E73F-4D9C-9B47-03D10BA20013}" destId="{7A81ACD0-97E0-411D-AC07-3D6C01FA0A91}" srcOrd="0" destOrd="0" presId="urn:microsoft.com/office/officeart/2005/8/layout/orgChart1"/>
    <dgm:cxn modelId="{EEDCB99C-73B8-44D6-924C-78B5B9399802}" type="presOf" srcId="{89F63458-495D-4218-A5F0-0B9764F703D7}" destId="{F8D607D2-CA60-47FA-9A18-4397803DCFA3}" srcOrd="0" destOrd="0" presId="urn:microsoft.com/office/officeart/2005/8/layout/orgChart1"/>
    <dgm:cxn modelId="{7065889E-FA46-4D63-932F-4F0F26BFA417}" type="presOf" srcId="{54861D40-4416-4656-AE0F-854BA3EDC3F1}" destId="{3629476B-49AA-46B6-8370-0A8983223F39}" srcOrd="1" destOrd="0" presId="urn:microsoft.com/office/officeart/2005/8/layout/orgChart1"/>
    <dgm:cxn modelId="{2D4EFE9E-A6F4-4EED-880D-1C98FFEF6755}" type="presOf" srcId="{27C3018E-1948-4088-8B9A-50977B556B66}" destId="{EDFEFE8F-DB28-4ACE-8002-99ED06298D99}" srcOrd="1" destOrd="0" presId="urn:microsoft.com/office/officeart/2005/8/layout/orgChart1"/>
    <dgm:cxn modelId="{EB304BA0-8B39-43EB-992B-AA54D406A1EE}" srcId="{81A24046-04BB-4F02-AB73-0E458D676B4A}" destId="{364BE0BF-40AA-4172-8255-7BE3C35618C7}" srcOrd="3" destOrd="0" parTransId="{75838857-3A1D-4F98-8A13-4CB76DBC4D16}" sibTransId="{43B23CBE-6920-4171-ABC5-5BDAD0506C94}"/>
    <dgm:cxn modelId="{B1C040A2-8723-4DFE-8343-91CCDD6C0EBB}" type="presOf" srcId="{81A24046-04BB-4F02-AB73-0E458D676B4A}" destId="{93A4B01C-61F9-4E55-BF93-4C4E701F393F}" srcOrd="0" destOrd="0" presId="urn:microsoft.com/office/officeart/2005/8/layout/orgChart1"/>
    <dgm:cxn modelId="{6232F4A2-55BC-495C-822C-EFBC670E1045}" type="presOf" srcId="{EDA71CB0-9FD5-4906-8136-DFECAB634259}" destId="{F24FFF63-AF77-48C8-A2FC-FA5F281AF62F}" srcOrd="0" destOrd="0" presId="urn:microsoft.com/office/officeart/2005/8/layout/orgChart1"/>
    <dgm:cxn modelId="{AF7A1AA3-B444-4841-98F8-5DECA079C4D1}" type="presOf" srcId="{C0FF6E04-1190-41D6-95AC-7034FAC93D0E}" destId="{B4B34A0D-24C5-46B6-B269-283BF5CFF5E1}" srcOrd="0" destOrd="0" presId="urn:microsoft.com/office/officeart/2005/8/layout/orgChart1"/>
    <dgm:cxn modelId="{0F7C50A3-40F3-47BE-9FA2-1A405BA0027F}" type="presOf" srcId="{44B99D23-0DBB-4644-B4EC-5A63853BD2BD}" destId="{46516CDF-FF62-41BA-81AF-A6C74ABBA41C}" srcOrd="0" destOrd="0" presId="urn:microsoft.com/office/officeart/2005/8/layout/orgChart1"/>
    <dgm:cxn modelId="{14A57BA3-8D9F-4F8B-907C-06DAA2066225}" type="presOf" srcId="{CAD074E9-D068-425B-9AAB-67761DE7483C}" destId="{B3FC9008-6A4E-4BFA-ACB1-54F531CC9967}" srcOrd="0" destOrd="0" presId="urn:microsoft.com/office/officeart/2005/8/layout/orgChart1"/>
    <dgm:cxn modelId="{9671B1A3-F1EF-4C89-BC01-DE1CEB1BB436}" type="presOf" srcId="{D878227D-5E00-469A-99F4-5F4C959D9B67}" destId="{F5A79DB7-1220-48B2-B347-75D17C7DFE1C}" srcOrd="0" destOrd="0" presId="urn:microsoft.com/office/officeart/2005/8/layout/orgChart1"/>
    <dgm:cxn modelId="{4DAC97A4-79A8-42AF-935D-BDE5A15BCCBC}" type="presOf" srcId="{724EE3D5-0008-4586-9D87-2E3A2C4586B3}" destId="{B8BBF609-FF43-4012-AA59-7A61FE63E565}" srcOrd="1" destOrd="0" presId="urn:microsoft.com/office/officeart/2005/8/layout/orgChart1"/>
    <dgm:cxn modelId="{6EFE17A5-D537-4975-8434-6BBF793515C2}" type="presOf" srcId="{FEF42683-EE96-4174-8C7B-BCE6A884E1DC}" destId="{9C592B00-17BD-4902-AA17-ECBDFFCDF2D3}" srcOrd="0" destOrd="0" presId="urn:microsoft.com/office/officeart/2005/8/layout/orgChart1"/>
    <dgm:cxn modelId="{7772C2A5-97B9-4B18-B3C9-28624AFF45D9}" type="presOf" srcId="{BE5152C0-515F-4D8A-A6C7-210CF0910D20}" destId="{3F840574-F9D5-4A85-8AB1-5A6F91835FD9}" srcOrd="0" destOrd="0" presId="urn:microsoft.com/office/officeart/2005/8/layout/orgChart1"/>
    <dgm:cxn modelId="{643296A7-2E3E-49D0-9EE6-DC91EE62AB5C}" type="presOf" srcId="{726F2886-3E09-40EE-849D-399207696B96}" destId="{D6818D12-B24E-4069-895B-E1648FA8CB22}" srcOrd="0" destOrd="0" presId="urn:microsoft.com/office/officeart/2005/8/layout/orgChart1"/>
    <dgm:cxn modelId="{C42CC8A7-8CEC-4B6D-97DE-166B664CB5C8}" srcId="{F40405D0-594D-47A6-845C-C2A1AB9D23FC}" destId="{4B6A1DE5-147B-4FAE-90C2-CE37A4B1BB6F}" srcOrd="3" destOrd="0" parTransId="{CC5B2090-D867-4BDB-9193-B968FF8857AC}" sibTransId="{5DEAF27C-D65A-45AF-9E2B-8194B7276463}"/>
    <dgm:cxn modelId="{0EE14FA8-DC8B-4621-8B44-08B589E2FF0A}" srcId="{67437F0E-8767-4441-860A-F3C11CC3BF58}" destId="{DFB8283C-0CE7-4D06-AB09-FCE9E52142BE}" srcOrd="0" destOrd="0" parTransId="{6D06BC29-0566-45F8-9CE3-E57D2BE0C34A}" sibTransId="{C919E05F-C48C-4C45-84C8-C44E0DCC0B09}"/>
    <dgm:cxn modelId="{E71EC6AA-74AB-4EB5-9CF6-26249386EAE9}" type="presOf" srcId="{5567F3F9-ED7F-478C-AFC1-71C36633BD7B}" destId="{27FB6715-480E-4162-9493-B3EB899BFAC0}" srcOrd="1" destOrd="0" presId="urn:microsoft.com/office/officeart/2005/8/layout/orgChart1"/>
    <dgm:cxn modelId="{F36826AD-BCC2-4024-8437-B3394A53ADAF}" type="presOf" srcId="{F74EE05C-98AB-4C96-AED0-2BEA3E466282}" destId="{E5096C7A-D53F-44F8-97B4-AEE38D82BDEB}" srcOrd="0" destOrd="0" presId="urn:microsoft.com/office/officeart/2005/8/layout/orgChart1"/>
    <dgm:cxn modelId="{23E9D8AD-0C00-4047-8A41-2CEEB670F3BF}" srcId="{57F4BFCC-AFED-463E-9871-F70118883114}" destId="{742EF618-B631-4F5C-9E04-7880FB737823}" srcOrd="1" destOrd="0" parTransId="{A956C7C8-4AEE-4D4D-8458-E9CA5A39D805}" sibTransId="{8246A25E-2B3B-42B8-92A4-5E6C3E6D3E3F}"/>
    <dgm:cxn modelId="{37BE99AE-A934-4E95-9DB6-66EA0873DA7E}" type="presOf" srcId="{7AE92220-DFC6-4B98-9031-A590619925ED}" destId="{88271DD5-DBE6-409A-B7F8-B3520A3D4D5A}" srcOrd="1" destOrd="0" presId="urn:microsoft.com/office/officeart/2005/8/layout/orgChart1"/>
    <dgm:cxn modelId="{4432DAAE-F63F-4680-AFB8-1CB864C92084}" srcId="{D4D66C0A-F1B8-4A6C-97F2-5696C114BCDD}" destId="{54ED6CED-6BF0-40ED-ADB8-75C2B095A11D}" srcOrd="2" destOrd="0" parTransId="{53E43430-252D-4FBC-BCB8-70B8C46B47BB}" sibTransId="{0E939A5F-CBFC-40FA-90CF-EB5E9650C5E4}"/>
    <dgm:cxn modelId="{7E23F3AE-A4F0-44DF-A076-C6C813C2A4CC}" type="presOf" srcId="{784170D0-2718-48DB-9982-BE5B78BF47E2}" destId="{077DA4A3-729F-4A79-B64A-9CC6222FE027}" srcOrd="1" destOrd="0" presId="urn:microsoft.com/office/officeart/2005/8/layout/orgChart1"/>
    <dgm:cxn modelId="{86AB42B0-F605-4E6F-897A-90349BCC56B0}" srcId="{C98CE33D-2BFE-44C7-AB30-5E611F9ABB6E}" destId="{CC9261AB-5E99-4733-92FA-9EECA298C273}" srcOrd="6" destOrd="0" parTransId="{A4DE78FF-B467-4201-BF84-1F4C3697E274}" sibTransId="{AE80545E-15D8-4C3F-908F-7559AB21BB76}"/>
    <dgm:cxn modelId="{48A2A8B0-80A4-4DEC-B890-558B7E71F168}" type="presOf" srcId="{57F4BFCC-AFED-463E-9871-F70118883114}" destId="{2F3F7E40-079F-46D2-8070-43B7A32210E6}" srcOrd="0" destOrd="0" presId="urn:microsoft.com/office/officeart/2005/8/layout/orgChart1"/>
    <dgm:cxn modelId="{EFB3E4B0-CAEE-42F2-88BE-80AB1B7EE34C}" srcId="{2789FD09-F80A-488A-8BB7-BC232B18AF06}" destId="{1DF269A6-A004-43F1-A311-60EA1218DA1B}" srcOrd="0" destOrd="0" parTransId="{E16A0123-272C-42D2-AC34-2463BA124D98}" sibTransId="{84018CF4-37E6-469C-807C-D17E3643AF5C}"/>
    <dgm:cxn modelId="{F8E432B1-3AE5-4718-BE33-E4A8BFD7BB46}" type="presOf" srcId="{7521BCEF-954B-4581-9C9E-0433DD879313}" destId="{7C017CE9-3696-4D4B-8FF6-AE8A7CD1249C}" srcOrd="0" destOrd="0" presId="urn:microsoft.com/office/officeart/2005/8/layout/orgChart1"/>
    <dgm:cxn modelId="{3D583AB1-D722-4B57-9066-33DDE4F7D74D}" srcId="{EB169C33-F586-4149-83FE-9DDAF38D4719}" destId="{3032589B-8788-4F32-8948-919418D8EC72}" srcOrd="2" destOrd="0" parTransId="{05CEB898-A87F-4E33-9061-E67F605E1722}" sibTransId="{2A059A9C-2763-4B79-84AB-6E16733E629F}"/>
    <dgm:cxn modelId="{16FEF9B1-E042-42F3-A68C-710F5FA46109}" type="presOf" srcId="{F64867BD-0949-4FA0-A4DE-B7D633F0034C}" destId="{8DE7FA51-B0F9-4640-B35D-FD71CF99804D}" srcOrd="0" destOrd="0" presId="urn:microsoft.com/office/officeart/2005/8/layout/orgChart1"/>
    <dgm:cxn modelId="{928729B3-C6A0-4406-AD6C-3D22A4C4B43A}" type="presOf" srcId="{E699EBEC-620F-414D-BD16-849AD201C393}" destId="{6C935D04-E95E-48B9-97B8-D9006F3C3D22}" srcOrd="0" destOrd="0" presId="urn:microsoft.com/office/officeart/2005/8/layout/orgChart1"/>
    <dgm:cxn modelId="{72BF0AB4-52A7-4A0A-A6BC-EAF8CBBE6044}" type="presOf" srcId="{EDA71CB0-9FD5-4906-8136-DFECAB634259}" destId="{AF9DCE83-21E1-4897-8469-8FD477DECBD2}" srcOrd="1" destOrd="0" presId="urn:microsoft.com/office/officeart/2005/8/layout/orgChart1"/>
    <dgm:cxn modelId="{2BEA28B4-8280-4688-848D-A5CADE1BDC4C}" type="presOf" srcId="{43933227-1639-4E54-B206-22A641C2E485}" destId="{22D1BEF3-7A67-4BA7-B7D1-069A62FC5147}" srcOrd="0" destOrd="0" presId="urn:microsoft.com/office/officeart/2005/8/layout/orgChart1"/>
    <dgm:cxn modelId="{883238B4-D664-406F-915B-3EE72B960784}" type="presOf" srcId="{D250B77B-84DC-47ED-AF54-BB4110EA2562}" destId="{D1E3B2BF-E692-4044-B0DA-704A033300FF}" srcOrd="1" destOrd="0" presId="urn:microsoft.com/office/officeart/2005/8/layout/orgChart1"/>
    <dgm:cxn modelId="{CDC4E1B4-C944-4FA5-997D-C62EA406EF76}" srcId="{D4D66C0A-F1B8-4A6C-97F2-5696C114BCDD}" destId="{083C6703-4C9C-43EF-B512-6260839E8D51}" srcOrd="0" destOrd="0" parTransId="{CF56514B-0756-478F-82A4-DC136F9EB1E4}" sibTransId="{E51F0736-49A8-4BBE-816F-A21B9B2DB26E}"/>
    <dgm:cxn modelId="{C2D628B5-266D-4AC2-A580-3BECDFDF0B0A}" type="presOf" srcId="{71BE6AE9-B2E8-406A-9578-8F860BDEB235}" destId="{777C1B15-195A-4373-990F-41F5ADEDECB5}" srcOrd="0" destOrd="0" presId="urn:microsoft.com/office/officeart/2005/8/layout/orgChart1"/>
    <dgm:cxn modelId="{E11203B6-C688-4D5E-9037-CA3A0F4E9232}" type="presOf" srcId="{EB16CFCF-9F0B-4DEE-A850-B01410611118}" destId="{1ED72F50-C874-402F-9936-9FC8BB761288}" srcOrd="1" destOrd="0" presId="urn:microsoft.com/office/officeart/2005/8/layout/orgChart1"/>
    <dgm:cxn modelId="{416F41B6-564B-4DD1-8422-7B90E41C744C}" type="presOf" srcId="{2A1F801B-EBB5-4808-A989-0AB7C90C54C5}" destId="{4873A6F4-23E5-434A-95BC-132D1C6CE1FD}" srcOrd="0" destOrd="0" presId="urn:microsoft.com/office/officeart/2005/8/layout/orgChart1"/>
    <dgm:cxn modelId="{CA6A61B7-36D2-4C92-B976-91E1247E2886}" type="presOf" srcId="{BE5B1A66-CC96-449A-AF9F-342389C16043}" destId="{F126D973-AB58-4B66-B3A6-22740CA3A9F6}" srcOrd="0" destOrd="0" presId="urn:microsoft.com/office/officeart/2005/8/layout/orgChart1"/>
    <dgm:cxn modelId="{63F91AB8-F55F-47AA-BAC2-B9939DC3EC29}" type="presOf" srcId="{1DEB2FD9-69D0-4AEE-ABF4-5765E048BB08}" destId="{BBC42A3E-1CAC-4E17-8EA4-3AC8698C4ED4}" srcOrd="0" destOrd="0" presId="urn:microsoft.com/office/officeart/2005/8/layout/orgChart1"/>
    <dgm:cxn modelId="{C7A887B8-3F7B-4427-848A-7ABC9288FDD6}" srcId="{57F4BFCC-AFED-463E-9871-F70118883114}" destId="{547E72FF-0E9E-4BC5-A33A-F31BFD4969A6}" srcOrd="3" destOrd="0" parTransId="{734C966F-2ED6-458B-B8AD-5EB9846A9AE7}" sibTransId="{0264E34D-7468-423E-A3D5-D9C72EE2180D}"/>
    <dgm:cxn modelId="{EB0EB9B8-BD15-4D27-8111-3A4FDD3D5EA1}" type="presOf" srcId="{FC55F8CB-F788-4BE8-A634-4C800EB61C2B}" destId="{7756F51A-C2CE-431E-A514-8432BA0B84B9}" srcOrd="0" destOrd="0" presId="urn:microsoft.com/office/officeart/2005/8/layout/orgChart1"/>
    <dgm:cxn modelId="{4D2E11B9-995F-4299-A236-9D5EA9A8E8DC}" type="presOf" srcId="{78E5F85A-A32F-4CE0-85AE-BB1F11CDEA7F}" destId="{016496D2-9BD1-4125-997A-A1D7BB6B56EB}" srcOrd="0" destOrd="0" presId="urn:microsoft.com/office/officeart/2005/8/layout/orgChart1"/>
    <dgm:cxn modelId="{D8EA87BA-05A4-4056-9307-CCA4CA148ACE}" type="presOf" srcId="{7E403424-63FE-4579-B666-F8AF1E7C0FA0}" destId="{FB8EDED7-56CA-4734-9880-CF1A5170256A}" srcOrd="1" destOrd="0" presId="urn:microsoft.com/office/officeart/2005/8/layout/orgChart1"/>
    <dgm:cxn modelId="{1F2912BB-3E6D-4379-AB38-867AC2ECB196}" srcId="{F40405D0-594D-47A6-845C-C2A1AB9D23FC}" destId="{16657D81-790F-4113-BC1F-31406897502D}" srcOrd="1" destOrd="0" parTransId="{1A5B1860-6827-4607-BDE9-90A8CA4643C3}" sibTransId="{48D05DEC-99F3-451B-8C63-5195D4F02E9C}"/>
    <dgm:cxn modelId="{6D535ABB-FF15-46D9-9863-9CB7FDAD2736}" type="presOf" srcId="{2FABFE8A-CB11-4BF8-A573-FDDC524F4A59}" destId="{D5C737D7-D757-4175-9785-85ED9586E540}" srcOrd="0" destOrd="0" presId="urn:microsoft.com/office/officeart/2005/8/layout/orgChart1"/>
    <dgm:cxn modelId="{4E8C17BC-86C1-4A16-9D20-C73101B986FB}" type="presOf" srcId="{9C5877DB-5FFF-44B2-A718-C2C391F9D61C}" destId="{A0B514C0-E66F-4AA6-A418-99212F9C976B}" srcOrd="0" destOrd="0" presId="urn:microsoft.com/office/officeart/2005/8/layout/orgChart1"/>
    <dgm:cxn modelId="{444150BD-7E81-419B-A615-86FB3EE5B2AD}" srcId="{C98CE33D-2BFE-44C7-AB30-5E611F9ABB6E}" destId="{7528CC07-C884-492A-A5E3-05AF7D636393}" srcOrd="0" destOrd="0" parTransId="{C20AB02D-A6B8-4EE8-BD90-2D00214801D7}" sibTransId="{578C6B8A-AF8C-46C0-9071-62493C3581AE}"/>
    <dgm:cxn modelId="{76F8FCBD-2630-4AC0-AFC2-2375ED958B6F}" srcId="{EB169C33-F586-4149-83FE-9DDAF38D4719}" destId="{27C3018E-1948-4088-8B9A-50977B556B66}" srcOrd="0" destOrd="0" parTransId="{FC9A7C71-E8A8-4F95-8CD7-5342DE888308}" sibTransId="{FE41CA89-5B84-4428-88BE-65AEF032B5EB}"/>
    <dgm:cxn modelId="{398580BE-AEA3-4C3D-B405-07B1A354057E}" type="presOf" srcId="{B9DD3140-D8F4-4547-B53D-72B3E3722327}" destId="{A114889E-141A-43A9-9198-75DD20A1921B}" srcOrd="0" destOrd="0" presId="urn:microsoft.com/office/officeart/2005/8/layout/orgChart1"/>
    <dgm:cxn modelId="{3659B0BE-C501-4EC4-A058-9669134504D3}" srcId="{D4D66C0A-F1B8-4A6C-97F2-5696C114BCDD}" destId="{194F1D56-867F-4028-B7B3-9F31C28E1F55}" srcOrd="3" destOrd="0" parTransId="{8057E219-908E-403D-A95C-41662850850D}" sibTransId="{E1B33999-ECCE-4871-B6CA-508D3137BCA7}"/>
    <dgm:cxn modelId="{FAE85EC0-FAB8-4583-BD73-F9CC558A363E}" srcId="{D4D66C0A-F1B8-4A6C-97F2-5696C114BCDD}" destId="{7E403424-63FE-4579-B666-F8AF1E7C0FA0}" srcOrd="4" destOrd="0" parTransId="{BFBC62CF-C83F-4B7D-9DA1-A12B760FB8DF}" sibTransId="{7174D815-3DE0-4E9E-80E0-CAE841A0A721}"/>
    <dgm:cxn modelId="{756A42C0-CDCA-42D4-B9AE-4A3B7D5940E4}" type="presOf" srcId="{95B5CF57-607F-4F9D-A210-216175C23BDF}" destId="{3BDBB033-DA5A-42F7-AA19-6643D7B83E5F}" srcOrd="0" destOrd="0" presId="urn:microsoft.com/office/officeart/2005/8/layout/orgChart1"/>
    <dgm:cxn modelId="{2414A5C0-43D2-4B30-A1F3-97C4F4C9B353}" srcId="{D4D66C0A-F1B8-4A6C-97F2-5696C114BCDD}" destId="{53AB66D1-6CFF-4954-9110-AE093B268504}" srcOrd="6" destOrd="0" parTransId="{7E517B07-AB46-4CE4-B105-9628AD252AD0}" sibTransId="{14458DF4-705C-4910-8DFD-71629D0C277C}"/>
    <dgm:cxn modelId="{F76CA1C2-27F2-43DF-9696-24E5BB67C25F}" type="presOf" srcId="{6C7746F2-4AF5-447B-9EDE-3CA71227ADCB}" destId="{F6AAFC1B-2821-439E-B21B-B7C15AA54264}" srcOrd="1" destOrd="0" presId="urn:microsoft.com/office/officeart/2005/8/layout/orgChart1"/>
    <dgm:cxn modelId="{A156EDC2-D3F8-45C8-A9D6-025D3217BC91}" type="presOf" srcId="{53AB66D1-6CFF-4954-9110-AE093B268504}" destId="{C3CF04C0-40A4-4478-8597-AD47BF39F08F}" srcOrd="1" destOrd="0" presId="urn:microsoft.com/office/officeart/2005/8/layout/orgChart1"/>
    <dgm:cxn modelId="{6A4C3DC3-55AF-478F-8938-6DE87FEAA894}" type="presOf" srcId="{993A93F1-6258-4BF8-B716-440CBE51B391}" destId="{56933798-79EB-4D7F-AB7C-9C9C9DB46D36}" srcOrd="0" destOrd="0" presId="urn:microsoft.com/office/officeart/2005/8/layout/orgChart1"/>
    <dgm:cxn modelId="{3124DEC3-6523-4254-894B-F475FE2106C1}" type="presOf" srcId="{16657D81-790F-4113-BC1F-31406897502D}" destId="{C5E60569-55F5-4F01-9441-7D44BFCEA6B8}" srcOrd="0" destOrd="0" presId="urn:microsoft.com/office/officeart/2005/8/layout/orgChart1"/>
    <dgm:cxn modelId="{DB3227C4-7C2D-4DD9-912C-C5548FE4B4B2}" type="presOf" srcId="{074849DE-5D03-49BD-A06E-557976758771}" destId="{3DE7BF9D-03C7-4941-88C5-CAED96B15AB6}" srcOrd="1" destOrd="0" presId="urn:microsoft.com/office/officeart/2005/8/layout/orgChart1"/>
    <dgm:cxn modelId="{02070AC6-C2C8-4E8B-8233-D2737E9EAB25}" type="presOf" srcId="{D3BC2416-0CED-433D-80CB-3A598863930C}" destId="{2F883405-E17F-42F4-B1E0-9F82D218A1F2}" srcOrd="0" destOrd="0" presId="urn:microsoft.com/office/officeart/2005/8/layout/orgChart1"/>
    <dgm:cxn modelId="{2AAD3AC6-8BA0-4037-B4ED-48BA8D64EFDF}" type="presOf" srcId="{6BBF10A9-8AE1-4333-BE0C-7DBB170B15DB}" destId="{FE1E039A-3C1B-4D91-9AA8-D49198CFE252}" srcOrd="0" destOrd="0" presId="urn:microsoft.com/office/officeart/2005/8/layout/orgChart1"/>
    <dgm:cxn modelId="{7AAFACC6-2504-4B65-974B-1EACCCC5198A}" srcId="{9ACCD315-F79C-4F93-89B6-27CEDBB79EC7}" destId="{0C06A092-57B5-430F-803C-AE2717EE8DA6}" srcOrd="1" destOrd="0" parTransId="{F44A404F-E73F-4D9C-9B47-03D10BA20013}" sibTransId="{69F9FD12-2A7B-48EB-ACB9-54DAF9F05F88}"/>
    <dgm:cxn modelId="{2AFB05C7-CB85-49BC-B606-E34C61EE5AE4}" type="presOf" srcId="{DAC78C75-2075-4E92-8FED-16CE52DA9DBC}" destId="{2A583EAF-9800-488D-A341-B30B2CDDB5EE}" srcOrd="1" destOrd="0" presId="urn:microsoft.com/office/officeart/2005/8/layout/orgChart1"/>
    <dgm:cxn modelId="{56B568C8-F85F-4E55-8E80-AEE87B433571}" type="presOf" srcId="{2789FD09-F80A-488A-8BB7-BC232B18AF06}" destId="{BDC147E6-8871-4EA7-A8E8-60EE912F1727}" srcOrd="0" destOrd="0" presId="urn:microsoft.com/office/officeart/2005/8/layout/orgChart1"/>
    <dgm:cxn modelId="{6D9462C9-0C3E-4F79-9159-9E9DADF8C106}" type="presOf" srcId="{BE5152C0-515F-4D8A-A6C7-210CF0910D20}" destId="{ECEFA2DA-00C8-4E72-8037-73CF1A7F4DDA}" srcOrd="1" destOrd="0" presId="urn:microsoft.com/office/officeart/2005/8/layout/orgChart1"/>
    <dgm:cxn modelId="{6CD4C3C9-AB7D-4C71-93C2-A78A506B2949}" type="presOf" srcId="{616FB7FF-112C-4CAC-823F-8BBE25CD5E9A}" destId="{AFF3DD0F-D12D-43BB-BC6A-2BEC1DE5394E}" srcOrd="0" destOrd="0" presId="urn:microsoft.com/office/officeart/2005/8/layout/orgChart1"/>
    <dgm:cxn modelId="{F8DD88CB-5CD4-4BB1-AA08-9B4B61A5D2C8}" type="presOf" srcId="{1D8B58E2-3100-4CE1-9744-08FD1BA12C97}" destId="{8E385000-70F0-4FC9-8000-269D59E93F1C}" srcOrd="0" destOrd="0" presId="urn:microsoft.com/office/officeart/2005/8/layout/orgChart1"/>
    <dgm:cxn modelId="{AE8A38CC-6E98-408A-A4B7-0D1358F63958}" srcId="{27C3018E-1948-4088-8B9A-50977B556B66}" destId="{DAC78C75-2075-4E92-8FED-16CE52DA9DBC}" srcOrd="2" destOrd="0" parTransId="{5A3FAD4B-5F94-4E2A-8DC5-D6EAA8B96B69}" sibTransId="{67C9EDBD-BAC2-4047-83AA-436AFB21946A}"/>
    <dgm:cxn modelId="{2FEF8FCD-38A2-4C6E-A8DF-5468FED23E4D}" srcId="{9ACCD315-F79C-4F93-89B6-27CEDBB79EC7}" destId="{3B40AC12-DB25-4F3B-86E3-97EF8A39DAA4}" srcOrd="0" destOrd="0" parTransId="{FF633612-E89B-49F0-AE41-B4D720B3FABE}" sibTransId="{1A88201F-30C2-4021-A235-EC4E1636515F}"/>
    <dgm:cxn modelId="{A2071CCE-67D3-41F2-B9AF-0A2EADB31016}" srcId="{EB169C33-F586-4149-83FE-9DDAF38D4719}" destId="{9ACCD315-F79C-4F93-89B6-27CEDBB79EC7}" srcOrd="1" destOrd="0" parTransId="{E699EBEC-620F-414D-BD16-849AD201C393}" sibTransId="{AAC8D654-B257-4F22-89E0-7A3A08E3BE29}"/>
    <dgm:cxn modelId="{8CEC12D1-B468-4D9D-8652-7CF4FC03E8E1}" type="presOf" srcId="{FFA4970D-D67D-462E-BEA1-204882196907}" destId="{E7EC94AE-E550-4E67-BAA9-EF3B5558F545}" srcOrd="0" destOrd="0" presId="urn:microsoft.com/office/officeart/2005/8/layout/orgChart1"/>
    <dgm:cxn modelId="{786DA1D1-4B51-4C6C-BE84-DE9398177EAF}" type="presOf" srcId="{DFA01E18-02F2-4A7F-BA2F-FD530E6B00C0}" destId="{D02299FA-4479-495D-8CBD-480AE3E2BA21}" srcOrd="0" destOrd="0" presId="urn:microsoft.com/office/officeart/2005/8/layout/orgChart1"/>
    <dgm:cxn modelId="{774AA4D1-AFC1-4166-869D-33DFD65AA49D}" srcId="{DFB8283C-0CE7-4D06-AB09-FCE9E52142BE}" destId="{616FB7FF-112C-4CAC-823F-8BBE25CD5E9A}" srcOrd="5" destOrd="0" parTransId="{CDC69B11-594B-4989-A242-5A5E732F1B3C}" sibTransId="{1D87C353-2204-4DD6-9A0E-E7D889039B10}"/>
    <dgm:cxn modelId="{0C046CD2-740A-4214-9F7B-A84C5F9BC609}" type="presOf" srcId="{DE09ACB2-65BC-46E1-AA9A-47CDDFD9091D}" destId="{68850AFD-9F93-4031-A3DA-23AB544C1C42}" srcOrd="0" destOrd="0" presId="urn:microsoft.com/office/officeart/2005/8/layout/orgChart1"/>
    <dgm:cxn modelId="{A249EBD3-6E02-480B-B5D8-305E84882895}" type="presOf" srcId="{616FB7FF-112C-4CAC-823F-8BBE25CD5E9A}" destId="{765A02AA-2CCF-4D49-B7C3-511E94709E79}" srcOrd="1" destOrd="0" presId="urn:microsoft.com/office/officeart/2005/8/layout/orgChart1"/>
    <dgm:cxn modelId="{3DBA2FD4-364A-4C0D-A798-29FB1FD064F0}" type="presOf" srcId="{FC9A7C71-E8A8-4F95-8CD7-5342DE888308}" destId="{4D81FBBF-5B05-44C8-BDAA-131D067B57D3}" srcOrd="0" destOrd="0" presId="urn:microsoft.com/office/officeart/2005/8/layout/orgChart1"/>
    <dgm:cxn modelId="{A297B0D4-3793-41DD-B352-EBA64FA387D7}" type="presOf" srcId="{ED311EC5-9145-4C08-85AC-48E2BFAC0BA8}" destId="{0FF6CA8A-B5DA-447C-8C7D-542A9B697564}" srcOrd="1" destOrd="0" presId="urn:microsoft.com/office/officeart/2005/8/layout/orgChart1"/>
    <dgm:cxn modelId="{4B3107D5-C49E-4760-ACA3-51029CB59AFF}" srcId="{43933227-1639-4E54-B206-22A641C2E485}" destId="{BE5B1A66-CC96-449A-AF9F-342389C16043}" srcOrd="1" destOrd="0" parTransId="{3765381B-8250-4228-BF9E-75DBD3E7D576}" sibTransId="{D3FFB1B7-D4A4-4CA8-B08E-5FD73B8D560B}"/>
    <dgm:cxn modelId="{DFF16DD5-CBBF-4429-B3F2-EE49A13D5CEE}" type="presOf" srcId="{A6CF12DB-9B92-40F0-895E-8A36753AF3F8}" destId="{8F9A3F07-91E0-4045-A8A5-B6061CB70E1B}" srcOrd="0" destOrd="0" presId="urn:microsoft.com/office/officeart/2005/8/layout/orgChart1"/>
    <dgm:cxn modelId="{1B4349D6-F6E8-44C2-94A6-82CE24AD88A7}" type="presOf" srcId="{78950E37-BAE6-4234-BC2B-B54CE8DE1185}" destId="{D7D50860-540F-480E-AE47-45EB77C5B58B}" srcOrd="0" destOrd="0" presId="urn:microsoft.com/office/officeart/2005/8/layout/orgChart1"/>
    <dgm:cxn modelId="{97ECD6D6-FBEE-4401-8C8D-A732E302E76E}" type="presOf" srcId="{7E517B07-AB46-4CE4-B105-9628AD252AD0}" destId="{F337DFFB-3795-4064-9638-4A2C6550BAB3}" srcOrd="0" destOrd="0" presId="urn:microsoft.com/office/officeart/2005/8/layout/orgChart1"/>
    <dgm:cxn modelId="{911A6BD7-15E6-422E-8835-C1696676A10D}" type="presOf" srcId="{9F522D6F-1DEC-4B53-9748-1518888CBD53}" destId="{6710DEC3-DD51-4C3A-BF06-CACFEA8E4B5F}" srcOrd="0" destOrd="0" presId="urn:microsoft.com/office/officeart/2005/8/layout/orgChart1"/>
    <dgm:cxn modelId="{9573C2D7-E0B6-46E8-AC21-1F601A939078}" type="presOf" srcId="{364BE0BF-40AA-4172-8255-7BE3C35618C7}" destId="{97042A81-50D6-4916-A7BC-07D2D82BAF15}" srcOrd="0" destOrd="0" presId="urn:microsoft.com/office/officeart/2005/8/layout/orgChart1"/>
    <dgm:cxn modelId="{210F25D9-C3FF-40BD-AF4A-F079BF35FB1F}" type="presOf" srcId="{D4D66C0A-F1B8-4A6C-97F2-5696C114BCDD}" destId="{060398CD-602F-4CD2-8816-79421AE46628}" srcOrd="1" destOrd="0" presId="urn:microsoft.com/office/officeart/2005/8/layout/orgChart1"/>
    <dgm:cxn modelId="{116127D9-0A9D-4384-8D08-E65968A22588}" type="presOf" srcId="{DCDF41E0-059A-462E-80A9-516107A8CFD7}" destId="{6EBFAACF-25AF-4BEB-8009-F8D2200464CC}" srcOrd="1" destOrd="0" presId="urn:microsoft.com/office/officeart/2005/8/layout/orgChart1"/>
    <dgm:cxn modelId="{613DA0D9-C5CA-4B36-8DF0-748C38DACC00}" type="presOf" srcId="{7528CC07-C884-492A-A5E3-05AF7D636393}" destId="{BA989251-33E1-450D-AD96-780966320443}" srcOrd="0" destOrd="0" presId="urn:microsoft.com/office/officeart/2005/8/layout/orgChart1"/>
    <dgm:cxn modelId="{E7A3FBDA-9180-473F-B32D-C725B22CFB42}" type="presOf" srcId="{93FB0F21-249E-4C44-ADE3-C2C14C35757F}" destId="{7173E6D0-59CC-4A2E-B597-2C245B1261D5}" srcOrd="0" destOrd="0" presId="urn:microsoft.com/office/officeart/2005/8/layout/orgChart1"/>
    <dgm:cxn modelId="{B5A11BDB-FB97-4DAD-B978-902836E44F8E}" type="presOf" srcId="{DCDF41E0-059A-462E-80A9-516107A8CFD7}" destId="{C16F47B9-EAE6-4D90-957F-1CDC35B20048}" srcOrd="0" destOrd="0" presId="urn:microsoft.com/office/officeart/2005/8/layout/orgChart1"/>
    <dgm:cxn modelId="{560368DB-0ED4-4F89-8625-5B1118292394}" type="presOf" srcId="{F64867BD-0949-4FA0-A4DE-B7D633F0034C}" destId="{06F11B46-2FB9-477C-BC1B-90C7E023E04D}" srcOrd="1" destOrd="0" presId="urn:microsoft.com/office/officeart/2005/8/layout/orgChart1"/>
    <dgm:cxn modelId="{B99663DC-EF7A-4FF0-B217-3854D793248C}" type="presOf" srcId="{EF96742F-C82B-4008-8CF9-05C12F3743CD}" destId="{8C55AAF1-3431-4714-BA08-4A7AF67670FF}" srcOrd="1" destOrd="0" presId="urn:microsoft.com/office/officeart/2005/8/layout/orgChart1"/>
    <dgm:cxn modelId="{15AF0FDE-6795-4B30-B5BD-276D5781BBD4}" type="presOf" srcId="{54ED6CED-6BF0-40ED-ADB8-75C2B095A11D}" destId="{A76CD527-76BF-4B6C-B542-DCDB53E7ED8B}" srcOrd="0" destOrd="0" presId="urn:microsoft.com/office/officeart/2005/8/layout/orgChart1"/>
    <dgm:cxn modelId="{2DA66ADE-2654-49BC-A6F5-0E1755BAAA10}" type="presOf" srcId="{FA2DB15A-0F55-4DD0-A1F0-EBF79E7A4388}" destId="{DD776819-9D32-422F-ACEC-6EECEE002578}" srcOrd="1" destOrd="0" presId="urn:microsoft.com/office/officeart/2005/8/layout/orgChart1"/>
    <dgm:cxn modelId="{694443DF-F515-4733-8E6C-4721C7B0A340}" type="presOf" srcId="{E16A0123-272C-42D2-AC34-2463BA124D98}" destId="{051B9C95-24ED-46C3-A8CF-CF6625967647}" srcOrd="0" destOrd="0" presId="urn:microsoft.com/office/officeart/2005/8/layout/orgChart1"/>
    <dgm:cxn modelId="{08174EDF-7FD2-4AA9-8019-F04619D476A7}" srcId="{2E2AD7E1-1C51-4B18-8F7B-4FA02BC5F89C}" destId="{F40405D0-594D-47A6-845C-C2A1AB9D23FC}" srcOrd="2" destOrd="0" parTransId="{E380E1EA-36AC-4234-AB75-BF223829BB48}" sibTransId="{AAD0A8A9-1175-44B2-978B-A23B58969972}"/>
    <dgm:cxn modelId="{FE189CDF-36A8-4DD6-BE5D-1A6F6E281FCA}" type="presOf" srcId="{D81F9C99-0C72-44D6-8B8F-79B3F0BB4C2F}" destId="{15E5EE25-D21D-4742-8F20-7AB5D7559FCB}" srcOrd="0" destOrd="0" presId="urn:microsoft.com/office/officeart/2005/8/layout/orgChart1"/>
    <dgm:cxn modelId="{CE3803E0-D9D8-422F-9BC0-4F913E747C11}" type="presOf" srcId="{78E5F85A-A32F-4CE0-85AE-BB1F11CDEA7F}" destId="{3E2CA11E-2702-4C9A-AEC1-08CC22B18CC0}" srcOrd="1" destOrd="0" presId="urn:microsoft.com/office/officeart/2005/8/layout/orgChart1"/>
    <dgm:cxn modelId="{1FA5B9E1-6420-4BA4-9B87-C2E7E89F7143}" type="presOf" srcId="{FB36DD4C-55E4-49C7-9B0D-F83F700A3405}" destId="{6F891AE3-6A53-4F71-88ED-8E8630589331}" srcOrd="0" destOrd="0" presId="urn:microsoft.com/office/officeart/2005/8/layout/orgChart1"/>
    <dgm:cxn modelId="{D6A3CDE1-2495-4467-9816-2C9D871B3301}" type="presOf" srcId="{FF633612-E89B-49F0-AE41-B4D720B3FABE}" destId="{46FD0464-7274-4723-9AFF-29A54C199DF3}" srcOrd="0" destOrd="0" presId="urn:microsoft.com/office/officeart/2005/8/layout/orgChart1"/>
    <dgm:cxn modelId="{3A7A2DE4-FF65-459D-B773-FF7A0D659D31}" type="presOf" srcId="{EB16CFCF-9F0B-4DEE-A850-B01410611118}" destId="{FF1032C5-0C2B-4EA5-BC1F-DCB68868A42A}" srcOrd="0" destOrd="0" presId="urn:microsoft.com/office/officeart/2005/8/layout/orgChart1"/>
    <dgm:cxn modelId="{EAECF7E4-0D44-46EF-AEE7-3281C80F61FB}" srcId="{57F4BFCC-AFED-463E-9871-F70118883114}" destId="{EF96742F-C82B-4008-8CF9-05C12F3743CD}" srcOrd="4" destOrd="0" parTransId="{648AAF6E-EE8A-447E-96A8-4B4357BD4F9B}" sibTransId="{FBAE6810-2C56-4650-AF4A-3AF3FDFD07A6}"/>
    <dgm:cxn modelId="{8F5319E5-66D8-4153-BBC8-84D160D0F445}" srcId="{D4D66C0A-F1B8-4A6C-97F2-5696C114BCDD}" destId="{7690D51C-E94A-441D-A994-D810D0463782}" srcOrd="5" destOrd="0" parTransId="{93FB0F21-249E-4C44-ADE3-C2C14C35757F}" sibTransId="{4913341A-C8A1-4C7E-A30B-841E2F0EDD0A}"/>
    <dgm:cxn modelId="{A65363E5-DE87-45DD-A5F0-83BBA88E18A3}" srcId="{C98CE33D-2BFE-44C7-AB30-5E611F9ABB6E}" destId="{FC55F8CB-F788-4BE8-A634-4C800EB61C2B}" srcOrd="1" destOrd="0" parTransId="{993A93F1-6258-4BF8-B716-440CBE51B391}" sibTransId="{F50E6168-7FAE-4A00-A547-F73314FC0C6B}"/>
    <dgm:cxn modelId="{232A91E5-C6D0-448A-A46F-FB70993F2025}" type="presOf" srcId="{506E86FE-6DB0-48FD-B62F-1DBD914DBB85}" destId="{91C94363-E83D-4B90-9692-6FB1A9BB44EF}" srcOrd="0" destOrd="0" presId="urn:microsoft.com/office/officeart/2005/8/layout/orgChart1"/>
    <dgm:cxn modelId="{A6E560E6-0ECB-4B42-9F65-8E0B12AE1AC7}" type="presOf" srcId="{CC9261AB-5E99-4733-92FA-9EECA298C273}" destId="{3395299E-E3D8-4D39-B71E-A4515CDAC153}" srcOrd="1" destOrd="0" presId="urn:microsoft.com/office/officeart/2005/8/layout/orgChart1"/>
    <dgm:cxn modelId="{FA0686E6-6A4E-48D3-AC83-FF8BC6C11F21}" srcId="{C98CE33D-2BFE-44C7-AB30-5E611F9ABB6E}" destId="{2A1F801B-EBB5-4808-A989-0AB7C90C54C5}" srcOrd="5" destOrd="0" parTransId="{506E86FE-6DB0-48FD-B62F-1DBD914DBB85}" sibTransId="{F7739A5A-0DF6-4510-9232-F33B9C6D9E92}"/>
    <dgm:cxn modelId="{EC6BC6E6-B445-479F-A27D-709F791FFBC3}" srcId="{2789FD09-F80A-488A-8BB7-BC232B18AF06}" destId="{7AE92220-DFC6-4B98-9031-A590619925ED}" srcOrd="2" destOrd="0" parTransId="{96054F4A-E54D-42B4-BD16-81F6222D445B}" sibTransId="{4E90323F-485C-4816-93BD-1AB41572F7FF}"/>
    <dgm:cxn modelId="{A539D5E6-1D61-4EC5-B393-AA13724BD2A8}" type="presOf" srcId="{1DF269A6-A004-43F1-A311-60EA1218DA1B}" destId="{ED8D8B67-F9B4-4875-9900-A04DC2A190E4}" srcOrd="1" destOrd="0" presId="urn:microsoft.com/office/officeart/2005/8/layout/orgChart1"/>
    <dgm:cxn modelId="{007824E7-9230-4BD5-808E-097D4D61BBD8}" type="presOf" srcId="{C020141C-3141-414B-A120-5295AB5F4089}" destId="{69E7791E-0C41-4731-ABCF-36A4F17B96FC}" srcOrd="1" destOrd="0" presId="urn:microsoft.com/office/officeart/2005/8/layout/orgChart1"/>
    <dgm:cxn modelId="{962113E8-306B-4E14-B367-4C8F49CB4293}" type="presOf" srcId="{0F68E946-9B71-4F5A-824B-F650485354E5}" destId="{9C6DA371-0640-4354-A6C3-7AB8581ACA6A}" srcOrd="0" destOrd="0" presId="urn:microsoft.com/office/officeart/2005/8/layout/orgChart1"/>
    <dgm:cxn modelId="{D126BAE8-3772-433B-A7B2-2EDEB9A29563}" type="presOf" srcId="{9DD468CD-B3DA-4914-BAFF-BFB6219D38F3}" destId="{FE6FD7C3-42D2-4614-B277-F0D2A781149B}" srcOrd="0" destOrd="0" presId="urn:microsoft.com/office/officeart/2005/8/layout/orgChart1"/>
    <dgm:cxn modelId="{34D43DE9-F11E-4F12-8CB5-05CF8971FEEA}" srcId="{27C3018E-1948-4088-8B9A-50977B556B66}" destId="{724EE3D5-0008-4586-9D87-2E3A2C4586B3}" srcOrd="4" destOrd="0" parTransId="{80115753-2DBC-4391-8E15-260FC60A1A25}" sibTransId="{15235611-6505-489B-9DFB-8279F66F7B59}"/>
    <dgm:cxn modelId="{4FF755E9-ACFE-4EA2-8557-BEFEB6CD0225}" type="presOf" srcId="{D4D66C0A-F1B8-4A6C-97F2-5696C114BCDD}" destId="{5E736DAE-6B81-477A-B6E3-E196BA17E89A}" srcOrd="0" destOrd="0" presId="urn:microsoft.com/office/officeart/2005/8/layout/orgChart1"/>
    <dgm:cxn modelId="{CF6990EA-2B28-4E82-881B-84F2601C20E1}" type="presOf" srcId="{547E72FF-0E9E-4BC5-A33A-F31BFD4969A6}" destId="{82D0866F-8660-4303-A3AA-E746B8575CFA}" srcOrd="1" destOrd="0" presId="urn:microsoft.com/office/officeart/2005/8/layout/orgChart1"/>
    <dgm:cxn modelId="{E14F6BEC-622A-4899-9177-233183A7F36E}" type="presOf" srcId="{6B82DE00-C4F7-4ED5-AF2D-207E2D5F9ECE}" destId="{CDA5AD1B-AD01-4C99-9790-42AD7D231DE7}" srcOrd="1" destOrd="0" presId="urn:microsoft.com/office/officeart/2005/8/layout/orgChart1"/>
    <dgm:cxn modelId="{252014ED-E16F-4B7F-B63C-1749798ABBD8}" type="presOf" srcId="{DB519D5D-CDBE-40FE-B415-9067FF5CF79C}" destId="{99F5ECD1-26A5-4D38-B952-E2030F3C296B}" srcOrd="0" destOrd="0" presId="urn:microsoft.com/office/officeart/2005/8/layout/orgChart1"/>
    <dgm:cxn modelId="{D8870BEE-BB77-4B76-B149-710A33D1C422}" type="presOf" srcId="{CFD82DC0-BB3D-4A6B-ADED-4D5BCBCDA575}" destId="{51F48C60-23DB-4B71-AC62-30E76ADE8D42}" srcOrd="0" destOrd="0" presId="urn:microsoft.com/office/officeart/2005/8/layout/orgChart1"/>
    <dgm:cxn modelId="{9EEB5DEF-05C5-4669-B12C-C1390EA8BBB5}" srcId="{3032589B-8788-4F32-8948-919418D8EC72}" destId="{9C5877DB-5FFF-44B2-A718-C2C391F9D61C}" srcOrd="0" destOrd="0" parTransId="{F273C308-DEEA-4A8D-8C6A-9CF39F1F3A08}" sibTransId="{2D963A30-0805-41B1-921D-D5781D805578}"/>
    <dgm:cxn modelId="{3560A6EF-3053-4022-A2FD-45D47D774E17}" type="presOf" srcId="{CFD82DC0-BB3D-4A6B-ADED-4D5BCBCDA575}" destId="{0BCA5B20-3253-4890-8E68-451DD5071E55}" srcOrd="1" destOrd="0" presId="urn:microsoft.com/office/officeart/2005/8/layout/orgChart1"/>
    <dgm:cxn modelId="{730F31F0-C044-4B84-BD90-88E7029CC041}" srcId="{9ACCD315-F79C-4F93-89B6-27CEDBB79EC7}" destId="{DE09ACB2-65BC-46E1-AA9A-47CDDFD9091D}" srcOrd="4" destOrd="0" parTransId="{7538FCE1-3BBD-4CD4-9F7E-8F1A53513270}" sibTransId="{607D3C14-885F-48B7-91F5-A99580F19F27}"/>
    <dgm:cxn modelId="{EE06D5F0-7CBF-41A8-B821-CE4AEECE6BBE}" srcId="{81A24046-04BB-4F02-AB73-0E458D676B4A}" destId="{F07350B7-9307-42BB-84DD-90D8F66868EC}" srcOrd="1" destOrd="0" parTransId="{1FFB6300-A5F7-4076-A6A3-29D3636D9814}" sibTransId="{A125E040-DFBD-40B9-AEA0-8F8FB8DA5242}"/>
    <dgm:cxn modelId="{CCBFE5F0-485D-4178-9D79-B93D323DEB39}" type="presOf" srcId="{E10A59CB-B808-4678-B49F-15FE2CBE8F1B}" destId="{EB827E25-E682-43FC-A0B8-75AAD9D58C2F}" srcOrd="1" destOrd="0" presId="urn:microsoft.com/office/officeart/2005/8/layout/orgChart1"/>
    <dgm:cxn modelId="{591967F1-54E8-4252-B6F2-32FC3B36BA70}" srcId="{DB519D5D-CDBE-40FE-B415-9067FF5CF79C}" destId="{B954898C-CC71-4DB3-8ABA-0FA76C28868B}" srcOrd="3" destOrd="0" parTransId="{998B8FD6-9F72-4337-B9D8-C2807D112D7C}" sibTransId="{6EDB91E1-E394-4B4B-957B-2FFABF39F1DE}"/>
    <dgm:cxn modelId="{BB54E4F1-48D7-4E09-829D-07A2728C3C7B}" srcId="{D4D66C0A-F1B8-4A6C-97F2-5696C114BCDD}" destId="{ED311EC5-9145-4C08-85AC-48E2BFAC0BA8}" srcOrd="1" destOrd="0" parTransId="{BEF79483-C341-4DAB-A21F-57D38E7CF220}" sibTransId="{F1E6EABF-DEDF-44D5-BCAD-391BBF6B6D73}"/>
    <dgm:cxn modelId="{B9F4E7F1-55B9-4C26-9297-1CFD83646131}" type="presOf" srcId="{ACFEC0FB-A0FD-473E-8CD7-9391799FF590}" destId="{72112016-220A-45C8-88D3-FA4D88858CE9}" srcOrd="0" destOrd="0" presId="urn:microsoft.com/office/officeart/2005/8/layout/orgChart1"/>
    <dgm:cxn modelId="{B3B629F2-F861-4608-BF7E-8743EE1EC651}" type="presOf" srcId="{BEF79483-C341-4DAB-A21F-57D38E7CF220}" destId="{36C6DAE6-D26A-4C03-893D-B131F067D411}" srcOrd="0" destOrd="0" presId="urn:microsoft.com/office/officeart/2005/8/layout/orgChart1"/>
    <dgm:cxn modelId="{8BC3B8F2-F3DE-4C91-ADDF-34BC14B58B1B}" type="presOf" srcId="{9FC8215C-0776-4A41-8809-A27475FABFE5}" destId="{71B9B71D-F8F5-4841-8F10-F68FA451EF78}" srcOrd="0" destOrd="0" presId="urn:microsoft.com/office/officeart/2005/8/layout/orgChart1"/>
    <dgm:cxn modelId="{8A208AF3-C843-4463-BB8E-26820C82CB87}" type="presOf" srcId="{3BEB41E2-8812-477A-BAAE-9AAAB713FC14}" destId="{FCDE16EF-E941-4E66-A369-BC4894259277}" srcOrd="0" destOrd="0" presId="urn:microsoft.com/office/officeart/2005/8/layout/orgChart1"/>
    <dgm:cxn modelId="{7E628DF3-F2C0-48AF-802F-A6C3655B4A48}" type="presOf" srcId="{53AB66D1-6CFF-4954-9110-AE093B268504}" destId="{0DEB88A5-741D-4D30-9F30-A11FBD0736D5}" srcOrd="0" destOrd="0" presId="urn:microsoft.com/office/officeart/2005/8/layout/orgChart1"/>
    <dgm:cxn modelId="{202010F4-7C38-4D85-9D29-5F3E2C9D0B3F}" type="presOf" srcId="{EB169C33-F586-4149-83FE-9DDAF38D4719}" destId="{DC217170-FB62-40CE-A6F0-FCFB987A4096}" srcOrd="1" destOrd="0" presId="urn:microsoft.com/office/officeart/2005/8/layout/orgChart1"/>
    <dgm:cxn modelId="{26F426F4-A7A7-4504-B69B-D88054359AF0}" type="presOf" srcId="{CC9261AB-5E99-4733-92FA-9EECA298C273}" destId="{F0910C76-2276-4635-A6C5-FA69BEA187AE}" srcOrd="0" destOrd="0" presId="urn:microsoft.com/office/officeart/2005/8/layout/orgChart1"/>
    <dgm:cxn modelId="{8CB86DF4-7D7B-48E2-9F24-E685FCC8CD81}" type="presOf" srcId="{8057E219-908E-403D-A95C-41662850850D}" destId="{D1DD8EBC-108D-4D2C-954D-FE294933BD46}" srcOrd="0" destOrd="0" presId="urn:microsoft.com/office/officeart/2005/8/layout/orgChart1"/>
    <dgm:cxn modelId="{DEE0D1F4-9E03-459C-98CA-FFD9B30AF4EA}" type="presOf" srcId="{DE09ACB2-65BC-46E1-AA9A-47CDDFD9091D}" destId="{49E06A30-CA78-4C3A-A6B3-CD6550A6DF09}" srcOrd="1" destOrd="0" presId="urn:microsoft.com/office/officeart/2005/8/layout/orgChart1"/>
    <dgm:cxn modelId="{9F420DF6-5162-4F1C-9CE6-0E4889F7E2BA}" type="presOf" srcId="{F07350B7-9307-42BB-84DD-90D8F66868EC}" destId="{7E2A0415-83F2-434E-824C-962406704058}" srcOrd="0" destOrd="0" presId="urn:microsoft.com/office/officeart/2005/8/layout/orgChart1"/>
    <dgm:cxn modelId="{C4C56BF6-74E0-4163-8605-0844EEA8E3B4}" type="presOf" srcId="{354411F2-F1D6-4AAC-9AE7-60C09F3B0A14}" destId="{0A7BF56E-54A9-465C-A98D-D48F79AC5616}" srcOrd="1" destOrd="0" presId="urn:microsoft.com/office/officeart/2005/8/layout/orgChart1"/>
    <dgm:cxn modelId="{EB1791F6-FCDE-4153-85D5-58200318CE17}" type="presOf" srcId="{0C06A092-57B5-430F-803C-AE2717EE8DA6}" destId="{2338FD92-D443-4BD8-AF42-3421C5DCF7AA}" srcOrd="1" destOrd="0" presId="urn:microsoft.com/office/officeart/2005/8/layout/orgChart1"/>
    <dgm:cxn modelId="{E66488F7-E5F3-4F4E-A777-BDBB317F8491}" type="presOf" srcId="{3BEB41E2-8812-477A-BAAE-9AAAB713FC14}" destId="{9A5156B4-BFEA-4BFB-A196-7E247CABCADB}" srcOrd="1" destOrd="0" presId="urn:microsoft.com/office/officeart/2005/8/layout/orgChart1"/>
    <dgm:cxn modelId="{6D1D89F7-5084-4213-B74B-82BC35240F55}" type="presOf" srcId="{57F4BFCC-AFED-463E-9871-F70118883114}" destId="{5D047CD2-B585-41D2-B6EF-C733B8AF6C03}" srcOrd="1" destOrd="0" presId="urn:microsoft.com/office/officeart/2005/8/layout/orgChart1"/>
    <dgm:cxn modelId="{3728FAF8-2E98-414A-B504-51C7262B9E5E}" type="presOf" srcId="{43933227-1639-4E54-B206-22A641C2E485}" destId="{FEA8B7F3-C77C-452D-BF81-877746A18384}" srcOrd="1" destOrd="0" presId="urn:microsoft.com/office/officeart/2005/8/layout/orgChart1"/>
    <dgm:cxn modelId="{095094F9-5C86-4579-BFEF-3455EC7C1863}" type="presOf" srcId="{1DEB2FD9-69D0-4AEE-ABF4-5765E048BB08}" destId="{126B36F8-7A3C-48A3-9365-CDB389BB159C}" srcOrd="1" destOrd="0" presId="urn:microsoft.com/office/officeart/2005/8/layout/orgChart1"/>
    <dgm:cxn modelId="{0BD9CEFA-4588-4FAF-B2EA-3B42F2EB216A}" type="presOf" srcId="{1FFB6300-A5F7-4076-A6A3-29D3636D9814}" destId="{3218B332-4925-4D86-88B2-71F9A17D0333}" srcOrd="0" destOrd="0" presId="urn:microsoft.com/office/officeart/2005/8/layout/orgChart1"/>
    <dgm:cxn modelId="{340B11FB-A22C-4705-BE6C-4669289DC384}" type="presOf" srcId="{365C7C5C-B028-4C96-9505-C20203060A87}" destId="{A6864419-3D5E-434E-BB5A-29FD6B15E81B}" srcOrd="0" destOrd="0" presId="urn:microsoft.com/office/officeart/2005/8/layout/orgChart1"/>
    <dgm:cxn modelId="{59856AFB-9DE2-4E84-A8F7-BA4CD53A6A6D}" type="presOf" srcId="{207918A6-7772-41B1-96EF-AA65C65DEFC3}" destId="{5CF7E422-49B7-4152-BAB8-FC63F2BF9160}" srcOrd="0" destOrd="0" presId="urn:microsoft.com/office/officeart/2005/8/layout/orgChart1"/>
    <dgm:cxn modelId="{C3A6B1FC-492D-43C4-BC1D-BC778E4661F4}" type="presOf" srcId="{7AE92220-DFC6-4B98-9031-A590619925ED}" destId="{F8FD6581-6201-40CA-A902-4A567D56633E}" srcOrd="0" destOrd="0" presId="urn:microsoft.com/office/officeart/2005/8/layout/orgChart1"/>
    <dgm:cxn modelId="{6FB860FE-3747-4996-9BA2-760BC8A9D717}" type="presOf" srcId="{074849DE-5D03-49BD-A06E-557976758771}" destId="{98DD97CC-08CE-41BD-9468-7C5D305ADF8F}" srcOrd="0" destOrd="0" presId="urn:microsoft.com/office/officeart/2005/8/layout/orgChart1"/>
    <dgm:cxn modelId="{A36DC11E-0D7F-4723-B4F5-E1C8DE2F2F6C}" type="presParOf" srcId="{CC10D865-5FBB-44DF-A5A7-DF9D1BC08F73}" destId="{B28A6F88-A0D8-4956-8A1A-9528F7E8E0B6}" srcOrd="0" destOrd="0" presId="urn:microsoft.com/office/officeart/2005/8/layout/orgChart1"/>
    <dgm:cxn modelId="{07EE66A1-03AE-476A-AF9C-2DA4744FCEB2}" type="presParOf" srcId="{B28A6F88-A0D8-4956-8A1A-9528F7E8E0B6}" destId="{8573C9E8-E3C3-4A82-B2D1-E882BCA2A3CE}" srcOrd="0" destOrd="0" presId="urn:microsoft.com/office/officeart/2005/8/layout/orgChart1"/>
    <dgm:cxn modelId="{1BE36D75-C8F8-48C8-838A-4816519ED930}" type="presParOf" srcId="{8573C9E8-E3C3-4A82-B2D1-E882BCA2A3CE}" destId="{6FAB5780-021B-4AC8-9EE0-6263C5DD19B5}" srcOrd="0" destOrd="0" presId="urn:microsoft.com/office/officeart/2005/8/layout/orgChart1"/>
    <dgm:cxn modelId="{0048EFF7-9486-4C98-8E5C-436E31DB217C}" type="presParOf" srcId="{8573C9E8-E3C3-4A82-B2D1-E882BCA2A3CE}" destId="{22A57205-A1A7-400C-936D-6294AB8778FF}" srcOrd="1" destOrd="0" presId="urn:microsoft.com/office/officeart/2005/8/layout/orgChart1"/>
    <dgm:cxn modelId="{30C7A235-9581-495C-994C-967B1878C949}" type="presParOf" srcId="{B28A6F88-A0D8-4956-8A1A-9528F7E8E0B6}" destId="{F307BDAE-34F9-46DC-802D-E8AF4D91E2FF}" srcOrd="1" destOrd="0" presId="urn:microsoft.com/office/officeart/2005/8/layout/orgChart1"/>
    <dgm:cxn modelId="{8D7D318D-B131-4024-9988-F48D6DF7382A}" type="presParOf" srcId="{F307BDAE-34F9-46DC-802D-E8AF4D91E2FF}" destId="{D88B375E-4545-4B7C-BE88-70477B09BB26}" srcOrd="0" destOrd="0" presId="urn:microsoft.com/office/officeart/2005/8/layout/orgChart1"/>
    <dgm:cxn modelId="{2C745D62-B806-4327-B205-96713DA2889E}" type="presParOf" srcId="{F307BDAE-34F9-46DC-802D-E8AF4D91E2FF}" destId="{64ACB60D-7E98-471B-9412-26DA0D5227CF}" srcOrd="1" destOrd="0" presId="urn:microsoft.com/office/officeart/2005/8/layout/orgChart1"/>
    <dgm:cxn modelId="{C9E815CD-E296-4039-AB72-C460AC3620B0}" type="presParOf" srcId="{64ACB60D-7E98-471B-9412-26DA0D5227CF}" destId="{8E28E8A4-2C02-44D3-984A-0B35B9537219}" srcOrd="0" destOrd="0" presId="urn:microsoft.com/office/officeart/2005/8/layout/orgChart1"/>
    <dgm:cxn modelId="{A87A2A39-5C13-49D3-9AA8-1C575EE94B79}" type="presParOf" srcId="{8E28E8A4-2C02-44D3-984A-0B35B9537219}" destId="{87F5A956-FACC-4A9C-89CF-2B969FD61DB9}" srcOrd="0" destOrd="0" presId="urn:microsoft.com/office/officeart/2005/8/layout/orgChart1"/>
    <dgm:cxn modelId="{B57AEB9A-FD77-4801-BB6E-785D3E0241F4}" type="presParOf" srcId="{8E28E8A4-2C02-44D3-984A-0B35B9537219}" destId="{DC217170-FB62-40CE-A6F0-FCFB987A4096}" srcOrd="1" destOrd="0" presId="urn:microsoft.com/office/officeart/2005/8/layout/orgChart1"/>
    <dgm:cxn modelId="{328C0AEC-E7D1-4FED-9C25-3BA3BBD7E9CB}" type="presParOf" srcId="{64ACB60D-7E98-471B-9412-26DA0D5227CF}" destId="{A5B352F0-1CBC-407B-AC60-1428C166573B}" srcOrd="1" destOrd="0" presId="urn:microsoft.com/office/officeart/2005/8/layout/orgChart1"/>
    <dgm:cxn modelId="{A6B22E26-004C-4041-ADE8-916FF2796078}" type="presParOf" srcId="{A5B352F0-1CBC-407B-AC60-1428C166573B}" destId="{4D81FBBF-5B05-44C8-BDAA-131D067B57D3}" srcOrd="0" destOrd="0" presId="urn:microsoft.com/office/officeart/2005/8/layout/orgChart1"/>
    <dgm:cxn modelId="{877CD7D9-C563-430D-BCE0-BEB33989B528}" type="presParOf" srcId="{A5B352F0-1CBC-407B-AC60-1428C166573B}" destId="{8D548B7E-7038-47ED-A2B2-6B41D7EAB6E4}" srcOrd="1" destOrd="0" presId="urn:microsoft.com/office/officeart/2005/8/layout/orgChart1"/>
    <dgm:cxn modelId="{3BFAF2E2-FEC8-4C96-AE89-A0A29BAF9927}" type="presParOf" srcId="{8D548B7E-7038-47ED-A2B2-6B41D7EAB6E4}" destId="{DE0D6A63-8E74-48D5-98F9-031664405B89}" srcOrd="0" destOrd="0" presId="urn:microsoft.com/office/officeart/2005/8/layout/orgChart1"/>
    <dgm:cxn modelId="{7D99DF48-FF4F-4E76-B00D-8E4014E61E41}" type="presParOf" srcId="{DE0D6A63-8E74-48D5-98F9-031664405B89}" destId="{17D4D4C1-9250-42EF-B81D-BD41D03127BA}" srcOrd="0" destOrd="0" presId="urn:microsoft.com/office/officeart/2005/8/layout/orgChart1"/>
    <dgm:cxn modelId="{747835B3-8804-45CA-8964-B9050C8A1C0F}" type="presParOf" srcId="{DE0D6A63-8E74-48D5-98F9-031664405B89}" destId="{EDFEFE8F-DB28-4ACE-8002-99ED06298D99}" srcOrd="1" destOrd="0" presId="urn:microsoft.com/office/officeart/2005/8/layout/orgChart1"/>
    <dgm:cxn modelId="{906A7369-91C8-4929-9252-706665E28AE6}" type="presParOf" srcId="{8D548B7E-7038-47ED-A2B2-6B41D7EAB6E4}" destId="{93C051ED-D954-4990-BE05-3645BE54D20D}" srcOrd="1" destOrd="0" presId="urn:microsoft.com/office/officeart/2005/8/layout/orgChart1"/>
    <dgm:cxn modelId="{4A6D6BE9-4B19-4A57-855B-5BAC865D8917}" type="presParOf" srcId="{93C051ED-D954-4990-BE05-3645BE54D20D}" destId="{26C69D4B-4BC6-4D6E-BB9D-766F11277F2F}" srcOrd="0" destOrd="0" presId="urn:microsoft.com/office/officeart/2005/8/layout/orgChart1"/>
    <dgm:cxn modelId="{06A7D432-8E31-4150-B278-D2656EA2CD67}" type="presParOf" srcId="{93C051ED-D954-4990-BE05-3645BE54D20D}" destId="{EAEAE41A-A5E8-4C19-96C5-31D60DE11047}" srcOrd="1" destOrd="0" presId="urn:microsoft.com/office/officeart/2005/8/layout/orgChart1"/>
    <dgm:cxn modelId="{BD1B4720-B4D0-44F8-91C4-9F2C0A6A68E8}" type="presParOf" srcId="{EAEAE41A-A5E8-4C19-96C5-31D60DE11047}" destId="{5A289322-9142-43D3-B103-358148DFE8B7}" srcOrd="0" destOrd="0" presId="urn:microsoft.com/office/officeart/2005/8/layout/orgChart1"/>
    <dgm:cxn modelId="{5B724674-2934-4164-994A-C5851AE63A3F}" type="presParOf" srcId="{5A289322-9142-43D3-B103-358148DFE8B7}" destId="{9C592B00-17BD-4902-AA17-ECBDFFCDF2D3}" srcOrd="0" destOrd="0" presId="urn:microsoft.com/office/officeart/2005/8/layout/orgChart1"/>
    <dgm:cxn modelId="{0CC191A9-C916-490A-A97B-94B282E0D665}" type="presParOf" srcId="{5A289322-9142-43D3-B103-358148DFE8B7}" destId="{54398053-D463-4DC6-A3FB-63577E95D28D}" srcOrd="1" destOrd="0" presId="urn:microsoft.com/office/officeart/2005/8/layout/orgChart1"/>
    <dgm:cxn modelId="{4FF888CF-4BCB-4D9C-BB08-AEE8B4A1A854}" type="presParOf" srcId="{EAEAE41A-A5E8-4C19-96C5-31D60DE11047}" destId="{7AB406E8-B677-48B6-97AA-73DA3E6BA330}" srcOrd="1" destOrd="0" presId="urn:microsoft.com/office/officeart/2005/8/layout/orgChart1"/>
    <dgm:cxn modelId="{4DD0687C-2B4C-4C0B-A3C6-EA365EB89BEA}" type="presParOf" srcId="{EAEAE41A-A5E8-4C19-96C5-31D60DE11047}" destId="{5D71FDD6-C108-4448-BE5B-EF4D5C1D150E}" srcOrd="2" destOrd="0" presId="urn:microsoft.com/office/officeart/2005/8/layout/orgChart1"/>
    <dgm:cxn modelId="{0346865F-1BBD-4A9F-83C6-8D0E332F3659}" type="presParOf" srcId="{93C051ED-D954-4990-BE05-3645BE54D20D}" destId="{81260CC3-B357-4E49-898C-6CA2BE6159E2}" srcOrd="2" destOrd="0" presId="urn:microsoft.com/office/officeart/2005/8/layout/orgChart1"/>
    <dgm:cxn modelId="{A43A9DC6-01EA-4E34-BDBE-4CFE8F2B7772}" type="presParOf" srcId="{93C051ED-D954-4990-BE05-3645BE54D20D}" destId="{B65EF693-81A2-4652-943B-6D4698DEBC86}" srcOrd="3" destOrd="0" presId="urn:microsoft.com/office/officeart/2005/8/layout/orgChart1"/>
    <dgm:cxn modelId="{067F0D74-32FD-46E8-8473-C4B65C43FF37}" type="presParOf" srcId="{B65EF693-81A2-4652-943B-6D4698DEBC86}" destId="{02131C14-0520-40B0-BFA6-FA9E657C4531}" srcOrd="0" destOrd="0" presId="urn:microsoft.com/office/officeart/2005/8/layout/orgChart1"/>
    <dgm:cxn modelId="{40FB12D1-0C7D-41A1-A950-0D28D2B9408C}" type="presParOf" srcId="{02131C14-0520-40B0-BFA6-FA9E657C4531}" destId="{C16F47B9-EAE6-4D90-957F-1CDC35B20048}" srcOrd="0" destOrd="0" presId="urn:microsoft.com/office/officeart/2005/8/layout/orgChart1"/>
    <dgm:cxn modelId="{EFBB65DD-CF15-4FAD-B80F-F8B85DE28325}" type="presParOf" srcId="{02131C14-0520-40B0-BFA6-FA9E657C4531}" destId="{6EBFAACF-25AF-4BEB-8009-F8D2200464CC}" srcOrd="1" destOrd="0" presId="urn:microsoft.com/office/officeart/2005/8/layout/orgChart1"/>
    <dgm:cxn modelId="{A89E6A42-3681-421A-B7FB-DD7D93C89DCB}" type="presParOf" srcId="{B65EF693-81A2-4652-943B-6D4698DEBC86}" destId="{8694B099-DD29-4E65-A4ED-713539A4454A}" srcOrd="1" destOrd="0" presId="urn:microsoft.com/office/officeart/2005/8/layout/orgChart1"/>
    <dgm:cxn modelId="{75A794BF-B701-49AE-9772-C2EF9AAB270C}" type="presParOf" srcId="{B65EF693-81A2-4652-943B-6D4698DEBC86}" destId="{60F4EB1E-B757-4456-A07F-098A9F43A8FE}" srcOrd="2" destOrd="0" presId="urn:microsoft.com/office/officeart/2005/8/layout/orgChart1"/>
    <dgm:cxn modelId="{00129A96-C2AF-4C7A-B7FE-A5A590FC0154}" type="presParOf" srcId="{93C051ED-D954-4990-BE05-3645BE54D20D}" destId="{0CE57803-3D08-4164-B34A-3637BE7665E4}" srcOrd="4" destOrd="0" presId="urn:microsoft.com/office/officeart/2005/8/layout/orgChart1"/>
    <dgm:cxn modelId="{2107EBB1-0860-4F3B-BBD5-FBE8B8AFC49D}" type="presParOf" srcId="{93C051ED-D954-4990-BE05-3645BE54D20D}" destId="{D6ED8C4B-3B60-4C8D-A74F-2C1094658705}" srcOrd="5" destOrd="0" presId="urn:microsoft.com/office/officeart/2005/8/layout/orgChart1"/>
    <dgm:cxn modelId="{36C8EA33-3F62-4E07-8757-5C87FF467B71}" type="presParOf" srcId="{D6ED8C4B-3B60-4C8D-A74F-2C1094658705}" destId="{1DAACD1A-4DB7-4C2C-BB50-8DD88D04EF7A}" srcOrd="0" destOrd="0" presId="urn:microsoft.com/office/officeart/2005/8/layout/orgChart1"/>
    <dgm:cxn modelId="{45BCD232-D86B-4B00-A9D0-A03DB1F68D88}" type="presParOf" srcId="{1DAACD1A-4DB7-4C2C-BB50-8DD88D04EF7A}" destId="{0B95C9ED-3560-4F73-AA80-072B5F1ADA9E}" srcOrd="0" destOrd="0" presId="urn:microsoft.com/office/officeart/2005/8/layout/orgChart1"/>
    <dgm:cxn modelId="{CF811DC1-E659-4203-84E1-56496DA3C66A}" type="presParOf" srcId="{1DAACD1A-4DB7-4C2C-BB50-8DD88D04EF7A}" destId="{2A583EAF-9800-488D-A341-B30B2CDDB5EE}" srcOrd="1" destOrd="0" presId="urn:microsoft.com/office/officeart/2005/8/layout/orgChart1"/>
    <dgm:cxn modelId="{62A2191C-428B-413F-B975-B1E0CBDEC441}" type="presParOf" srcId="{D6ED8C4B-3B60-4C8D-A74F-2C1094658705}" destId="{C9E0CC4F-1AC6-4A96-AC6B-7DA714249D07}" srcOrd="1" destOrd="0" presId="urn:microsoft.com/office/officeart/2005/8/layout/orgChart1"/>
    <dgm:cxn modelId="{1AADA14C-D6A4-475D-81B3-F07D520078FE}" type="presParOf" srcId="{D6ED8C4B-3B60-4C8D-A74F-2C1094658705}" destId="{3AAB3DD7-D6FB-4E25-AB05-F76DD593B9ED}" srcOrd="2" destOrd="0" presId="urn:microsoft.com/office/officeart/2005/8/layout/orgChart1"/>
    <dgm:cxn modelId="{9BCB6EB7-C583-4F39-BA61-C7C02C11BB6E}" type="presParOf" srcId="{93C051ED-D954-4990-BE05-3645BE54D20D}" destId="{B4B34A0D-24C5-46B6-B269-283BF5CFF5E1}" srcOrd="6" destOrd="0" presId="urn:microsoft.com/office/officeart/2005/8/layout/orgChart1"/>
    <dgm:cxn modelId="{CDD0CDD0-2E4C-43E9-A1C5-ED6CA12EA768}" type="presParOf" srcId="{93C051ED-D954-4990-BE05-3645BE54D20D}" destId="{424C168E-4A5D-4B5B-BA3D-39C1917A7A9A}" srcOrd="7" destOrd="0" presId="urn:microsoft.com/office/officeart/2005/8/layout/orgChart1"/>
    <dgm:cxn modelId="{F190B977-DC9B-47AB-8E0A-6D1D3CF4DA7E}" type="presParOf" srcId="{424C168E-4A5D-4B5B-BA3D-39C1917A7A9A}" destId="{9DD48BBC-4D0C-4F70-AA94-6DDEB0351B01}" srcOrd="0" destOrd="0" presId="urn:microsoft.com/office/officeart/2005/8/layout/orgChart1"/>
    <dgm:cxn modelId="{BF850299-5A1C-45F4-93B4-1D10BE930839}" type="presParOf" srcId="{9DD48BBC-4D0C-4F70-AA94-6DDEB0351B01}" destId="{F24FFF63-AF77-48C8-A2FC-FA5F281AF62F}" srcOrd="0" destOrd="0" presId="urn:microsoft.com/office/officeart/2005/8/layout/orgChart1"/>
    <dgm:cxn modelId="{1CF39995-0B10-4C6A-8670-EEDB166AC875}" type="presParOf" srcId="{9DD48BBC-4D0C-4F70-AA94-6DDEB0351B01}" destId="{AF9DCE83-21E1-4897-8469-8FD477DECBD2}" srcOrd="1" destOrd="0" presId="urn:microsoft.com/office/officeart/2005/8/layout/orgChart1"/>
    <dgm:cxn modelId="{801921BE-E289-4860-860A-CAEDDA149E7F}" type="presParOf" srcId="{424C168E-4A5D-4B5B-BA3D-39C1917A7A9A}" destId="{0C5F1175-D025-4AC5-81AD-17DD36E78E6B}" srcOrd="1" destOrd="0" presId="urn:microsoft.com/office/officeart/2005/8/layout/orgChart1"/>
    <dgm:cxn modelId="{A7730DF6-A409-4B66-AF8C-15C52C1D58CA}" type="presParOf" srcId="{424C168E-4A5D-4B5B-BA3D-39C1917A7A9A}" destId="{90393881-A7D5-4170-962B-DFE999BA31F4}" srcOrd="2" destOrd="0" presId="urn:microsoft.com/office/officeart/2005/8/layout/orgChart1"/>
    <dgm:cxn modelId="{6BF44182-8556-42DE-9FF2-CC0BC2DB2C1D}" type="presParOf" srcId="{93C051ED-D954-4990-BE05-3645BE54D20D}" destId="{54F40A7B-C344-4770-8888-97F4D5591930}" srcOrd="8" destOrd="0" presId="urn:microsoft.com/office/officeart/2005/8/layout/orgChart1"/>
    <dgm:cxn modelId="{D457776E-38FB-43E3-9FE6-5BF302CA9F43}" type="presParOf" srcId="{93C051ED-D954-4990-BE05-3645BE54D20D}" destId="{0A657A22-0804-49E0-B789-036426F1B723}" srcOrd="9" destOrd="0" presId="urn:microsoft.com/office/officeart/2005/8/layout/orgChart1"/>
    <dgm:cxn modelId="{F68812B6-074C-42C3-B0CE-8642EFDEF3C4}" type="presParOf" srcId="{0A657A22-0804-49E0-B789-036426F1B723}" destId="{6CA6008E-20C8-462B-9D02-9CAE94F85019}" srcOrd="0" destOrd="0" presId="urn:microsoft.com/office/officeart/2005/8/layout/orgChart1"/>
    <dgm:cxn modelId="{7989A394-DD62-4FE8-8429-60D825A49529}" type="presParOf" srcId="{6CA6008E-20C8-462B-9D02-9CAE94F85019}" destId="{E7A496F2-55F3-4582-8695-0A23ECFF3FCB}" srcOrd="0" destOrd="0" presId="urn:microsoft.com/office/officeart/2005/8/layout/orgChart1"/>
    <dgm:cxn modelId="{CAC14D00-77A1-48F0-9BCD-E8840FD45233}" type="presParOf" srcId="{6CA6008E-20C8-462B-9D02-9CAE94F85019}" destId="{B8BBF609-FF43-4012-AA59-7A61FE63E565}" srcOrd="1" destOrd="0" presId="urn:microsoft.com/office/officeart/2005/8/layout/orgChart1"/>
    <dgm:cxn modelId="{01FB289E-0BEB-430B-B6BB-B877D0E01646}" type="presParOf" srcId="{0A657A22-0804-49E0-B789-036426F1B723}" destId="{2B188D04-A5BB-4393-9244-FEB8908B3BDC}" srcOrd="1" destOrd="0" presId="urn:microsoft.com/office/officeart/2005/8/layout/orgChart1"/>
    <dgm:cxn modelId="{6BC99921-AA8B-4CC7-906C-853B90E773B7}" type="presParOf" srcId="{0A657A22-0804-49E0-B789-036426F1B723}" destId="{526028C1-09EC-4562-9628-CB3D72DDA882}" srcOrd="2" destOrd="0" presId="urn:microsoft.com/office/officeart/2005/8/layout/orgChart1"/>
    <dgm:cxn modelId="{2B35BACA-7F65-4A41-AA68-BCE15D9439CA}" type="presParOf" srcId="{93C051ED-D954-4990-BE05-3645BE54D20D}" destId="{0052FB1B-7A35-404A-85B5-764223D464FA}" srcOrd="10" destOrd="0" presId="urn:microsoft.com/office/officeart/2005/8/layout/orgChart1"/>
    <dgm:cxn modelId="{780072BF-E8C7-4DAC-B077-65225CC8C260}" type="presParOf" srcId="{93C051ED-D954-4990-BE05-3645BE54D20D}" destId="{731461EF-D6BA-442E-88D0-BC5F677D665C}" srcOrd="11" destOrd="0" presId="urn:microsoft.com/office/officeart/2005/8/layout/orgChart1"/>
    <dgm:cxn modelId="{875699D0-392F-4EB8-96C6-436F6D8ED738}" type="presParOf" srcId="{731461EF-D6BA-442E-88D0-BC5F677D665C}" destId="{801B916F-6B81-4BEB-A86E-13325AEA39DC}" srcOrd="0" destOrd="0" presId="urn:microsoft.com/office/officeart/2005/8/layout/orgChart1"/>
    <dgm:cxn modelId="{A7CC6833-5B89-4540-945D-4F341137718F}" type="presParOf" srcId="{801B916F-6B81-4BEB-A86E-13325AEA39DC}" destId="{AA3554F6-1740-4883-96E6-6BFEFF6AA42D}" srcOrd="0" destOrd="0" presId="urn:microsoft.com/office/officeart/2005/8/layout/orgChart1"/>
    <dgm:cxn modelId="{7BA57D69-C87E-49AA-B72B-61071C31E947}" type="presParOf" srcId="{801B916F-6B81-4BEB-A86E-13325AEA39DC}" destId="{30677E6C-2D2F-4FBD-BB1D-73C5BB3B5734}" srcOrd="1" destOrd="0" presId="urn:microsoft.com/office/officeart/2005/8/layout/orgChart1"/>
    <dgm:cxn modelId="{6B56FABE-5E03-49BE-8D92-9733DC8451C0}" type="presParOf" srcId="{731461EF-D6BA-442E-88D0-BC5F677D665C}" destId="{36CEF259-8498-4708-8D70-12EB8D3595CC}" srcOrd="1" destOrd="0" presId="urn:microsoft.com/office/officeart/2005/8/layout/orgChart1"/>
    <dgm:cxn modelId="{4A0E4933-3E53-4A21-9F50-C0A1C0F6E34E}" type="presParOf" srcId="{731461EF-D6BA-442E-88D0-BC5F677D665C}" destId="{B0555C7A-4B45-4CB6-9364-5CCA6BA5D7F6}" srcOrd="2" destOrd="0" presId="urn:microsoft.com/office/officeart/2005/8/layout/orgChart1"/>
    <dgm:cxn modelId="{82A9FD5E-2D19-418A-9572-6B7726EAC95A}" type="presParOf" srcId="{8D548B7E-7038-47ED-A2B2-6B41D7EAB6E4}" destId="{0DC1B44F-4D6B-4852-A20D-91DF194F62DC}" srcOrd="2" destOrd="0" presId="urn:microsoft.com/office/officeart/2005/8/layout/orgChart1"/>
    <dgm:cxn modelId="{A9F88343-0949-452A-A140-A7360D593798}" type="presParOf" srcId="{A5B352F0-1CBC-407B-AC60-1428C166573B}" destId="{6C935D04-E95E-48B9-97B8-D9006F3C3D22}" srcOrd="2" destOrd="0" presId="urn:microsoft.com/office/officeart/2005/8/layout/orgChart1"/>
    <dgm:cxn modelId="{17106047-0DCC-4BF9-B87E-978AC3D3B971}" type="presParOf" srcId="{A5B352F0-1CBC-407B-AC60-1428C166573B}" destId="{6A2C7900-55F2-4CEB-B27B-ADDA5D4FAA3E}" srcOrd="3" destOrd="0" presId="urn:microsoft.com/office/officeart/2005/8/layout/orgChart1"/>
    <dgm:cxn modelId="{768659AD-C075-4B74-91B6-6FF4D861351C}" type="presParOf" srcId="{6A2C7900-55F2-4CEB-B27B-ADDA5D4FAA3E}" destId="{9548D70B-C4DB-42D6-A091-3B8A0A3C13F1}" srcOrd="0" destOrd="0" presId="urn:microsoft.com/office/officeart/2005/8/layout/orgChart1"/>
    <dgm:cxn modelId="{47537D4B-DF27-4D8C-A67B-EFBD0EF275D0}" type="presParOf" srcId="{9548D70B-C4DB-42D6-A091-3B8A0A3C13F1}" destId="{BB63393F-E92F-4B92-89EE-C704F87265CB}" srcOrd="0" destOrd="0" presId="urn:microsoft.com/office/officeart/2005/8/layout/orgChart1"/>
    <dgm:cxn modelId="{0D40394A-E2D4-4C55-A89E-8C3D407C5E85}" type="presParOf" srcId="{9548D70B-C4DB-42D6-A091-3B8A0A3C13F1}" destId="{980542F8-39CF-4EDA-96E6-7F2E4E266168}" srcOrd="1" destOrd="0" presId="urn:microsoft.com/office/officeart/2005/8/layout/orgChart1"/>
    <dgm:cxn modelId="{320F28B4-51D9-4001-B962-D26A5B66E603}" type="presParOf" srcId="{6A2C7900-55F2-4CEB-B27B-ADDA5D4FAA3E}" destId="{67FA4A04-330F-4F35-BD94-62D2DFB94232}" srcOrd="1" destOrd="0" presId="urn:microsoft.com/office/officeart/2005/8/layout/orgChart1"/>
    <dgm:cxn modelId="{C659CFD5-D11A-41AC-A0B8-6B814D4C24BA}" type="presParOf" srcId="{67FA4A04-330F-4F35-BD94-62D2DFB94232}" destId="{46FD0464-7274-4723-9AFF-29A54C199DF3}" srcOrd="0" destOrd="0" presId="urn:microsoft.com/office/officeart/2005/8/layout/orgChart1"/>
    <dgm:cxn modelId="{11418C51-5FB7-495F-B8D1-C777C911C399}" type="presParOf" srcId="{67FA4A04-330F-4F35-BD94-62D2DFB94232}" destId="{77A581BD-32D5-4598-B6FF-F842F4ECA441}" srcOrd="1" destOrd="0" presId="urn:microsoft.com/office/officeart/2005/8/layout/orgChart1"/>
    <dgm:cxn modelId="{0F987DCD-00C2-44E5-81AA-8EA35B82D830}" type="presParOf" srcId="{77A581BD-32D5-4598-B6FF-F842F4ECA441}" destId="{DB9AEDE7-A630-4F93-BBE0-7D9CD899E94C}" srcOrd="0" destOrd="0" presId="urn:microsoft.com/office/officeart/2005/8/layout/orgChart1"/>
    <dgm:cxn modelId="{E1921E5D-A5BF-4225-A525-6F1B336B9B4D}" type="presParOf" srcId="{DB9AEDE7-A630-4F93-BBE0-7D9CD899E94C}" destId="{1C0710BE-8277-48FD-8E49-B815B773BAF7}" srcOrd="0" destOrd="0" presId="urn:microsoft.com/office/officeart/2005/8/layout/orgChart1"/>
    <dgm:cxn modelId="{0D12558E-45EA-49A0-9A0C-3121C2DFB9AC}" type="presParOf" srcId="{DB9AEDE7-A630-4F93-BBE0-7D9CD899E94C}" destId="{5C26582D-5B94-4378-B787-983135041F9E}" srcOrd="1" destOrd="0" presId="urn:microsoft.com/office/officeart/2005/8/layout/orgChart1"/>
    <dgm:cxn modelId="{FDE7E608-56DB-440F-9D40-F5EE4A0BEAE6}" type="presParOf" srcId="{77A581BD-32D5-4598-B6FF-F842F4ECA441}" destId="{1E1D74B4-70BE-4221-8F52-EFF5A2C3D4CD}" srcOrd="1" destOrd="0" presId="urn:microsoft.com/office/officeart/2005/8/layout/orgChart1"/>
    <dgm:cxn modelId="{798044AA-6011-48BE-9B22-EE59E4CBFEB2}" type="presParOf" srcId="{77A581BD-32D5-4598-B6FF-F842F4ECA441}" destId="{DCE29AC9-099A-4E9B-8181-294FA18590DB}" srcOrd="2" destOrd="0" presId="urn:microsoft.com/office/officeart/2005/8/layout/orgChart1"/>
    <dgm:cxn modelId="{9A8B82DA-1D9F-4E12-8296-0DEF9A54C8D1}" type="presParOf" srcId="{67FA4A04-330F-4F35-BD94-62D2DFB94232}" destId="{7A81ACD0-97E0-411D-AC07-3D6C01FA0A91}" srcOrd="2" destOrd="0" presId="urn:microsoft.com/office/officeart/2005/8/layout/orgChart1"/>
    <dgm:cxn modelId="{2387EE59-E633-486C-A78B-F988B71FFF71}" type="presParOf" srcId="{67FA4A04-330F-4F35-BD94-62D2DFB94232}" destId="{7EC930EC-E403-43DC-9849-9267E6A0CD56}" srcOrd="3" destOrd="0" presId="urn:microsoft.com/office/officeart/2005/8/layout/orgChart1"/>
    <dgm:cxn modelId="{2D22FEE1-87EC-461E-8140-5EA620E0265B}" type="presParOf" srcId="{7EC930EC-E403-43DC-9849-9267E6A0CD56}" destId="{2D2E1CB5-2D9C-4ED3-9C6F-062E6613E473}" srcOrd="0" destOrd="0" presId="urn:microsoft.com/office/officeart/2005/8/layout/orgChart1"/>
    <dgm:cxn modelId="{40DBF3D2-9E71-4E28-A39E-5F2D0769A226}" type="presParOf" srcId="{2D2E1CB5-2D9C-4ED3-9C6F-062E6613E473}" destId="{5E0FD9DF-C5B8-4569-B877-2D7596F406F5}" srcOrd="0" destOrd="0" presId="urn:microsoft.com/office/officeart/2005/8/layout/orgChart1"/>
    <dgm:cxn modelId="{C37E173E-C58A-4F9C-B40C-E6AEEA1846C7}" type="presParOf" srcId="{2D2E1CB5-2D9C-4ED3-9C6F-062E6613E473}" destId="{2338FD92-D443-4BD8-AF42-3421C5DCF7AA}" srcOrd="1" destOrd="0" presId="urn:microsoft.com/office/officeart/2005/8/layout/orgChart1"/>
    <dgm:cxn modelId="{895C2655-0506-4563-AF8F-AA728601A107}" type="presParOf" srcId="{7EC930EC-E403-43DC-9849-9267E6A0CD56}" destId="{B5352BCB-B5F5-4262-80F2-983548113B25}" srcOrd="1" destOrd="0" presId="urn:microsoft.com/office/officeart/2005/8/layout/orgChart1"/>
    <dgm:cxn modelId="{CDE3121B-9DC0-4274-A29D-B5A290CC2CBB}" type="presParOf" srcId="{7EC930EC-E403-43DC-9849-9267E6A0CD56}" destId="{4673A0BC-F087-4B73-841B-3F0A2A4014A8}" srcOrd="2" destOrd="0" presId="urn:microsoft.com/office/officeart/2005/8/layout/orgChart1"/>
    <dgm:cxn modelId="{957BA5E0-C763-4CD5-851B-3037E993925A}" type="presParOf" srcId="{67FA4A04-330F-4F35-BD94-62D2DFB94232}" destId="{F5A79DB7-1220-48B2-B347-75D17C7DFE1C}" srcOrd="4" destOrd="0" presId="urn:microsoft.com/office/officeart/2005/8/layout/orgChart1"/>
    <dgm:cxn modelId="{B35FC2D1-F8E2-43A6-8E9E-A5CFB178B90B}" type="presParOf" srcId="{67FA4A04-330F-4F35-BD94-62D2DFB94232}" destId="{F9AB3127-B27A-4E76-BC12-C1BE53E6A7B8}" srcOrd="5" destOrd="0" presId="urn:microsoft.com/office/officeart/2005/8/layout/orgChart1"/>
    <dgm:cxn modelId="{768E33B4-7CA0-4241-B9A8-EDF90EA60F5A}" type="presParOf" srcId="{F9AB3127-B27A-4E76-BC12-C1BE53E6A7B8}" destId="{8D2B34EA-ADEB-48DE-A72A-3EFCE6AEF2C0}" srcOrd="0" destOrd="0" presId="urn:microsoft.com/office/officeart/2005/8/layout/orgChart1"/>
    <dgm:cxn modelId="{D94F799D-DCFD-4CA8-855D-A8CCB88EAD09}" type="presParOf" srcId="{8D2B34EA-ADEB-48DE-A72A-3EFCE6AEF2C0}" destId="{FC079390-5E11-402E-A328-ECC2593DD836}" srcOrd="0" destOrd="0" presId="urn:microsoft.com/office/officeart/2005/8/layout/orgChart1"/>
    <dgm:cxn modelId="{DD0AD9D5-E3B8-4848-AAFC-393DA2CB4F13}" type="presParOf" srcId="{8D2B34EA-ADEB-48DE-A72A-3EFCE6AEF2C0}" destId="{6534FDD8-5D36-4FF6-BAFF-937E27F0DE1C}" srcOrd="1" destOrd="0" presId="urn:microsoft.com/office/officeart/2005/8/layout/orgChart1"/>
    <dgm:cxn modelId="{36CAFCB1-D2EE-41A5-AC6C-5033E4C43CD0}" type="presParOf" srcId="{F9AB3127-B27A-4E76-BC12-C1BE53E6A7B8}" destId="{30FE8340-6FD3-4749-B8EF-6CE97F97A652}" srcOrd="1" destOrd="0" presId="urn:microsoft.com/office/officeart/2005/8/layout/orgChart1"/>
    <dgm:cxn modelId="{B8A999C2-EB1F-4330-80DB-4335C69279FC}" type="presParOf" srcId="{F9AB3127-B27A-4E76-BC12-C1BE53E6A7B8}" destId="{6B7AB42B-760F-4FC4-85D2-60BE0EC77F37}" srcOrd="2" destOrd="0" presId="urn:microsoft.com/office/officeart/2005/8/layout/orgChart1"/>
    <dgm:cxn modelId="{9ACF2EB9-26FF-4748-A4FC-E058D388E6B4}" type="presParOf" srcId="{67FA4A04-330F-4F35-BD94-62D2DFB94232}" destId="{92B04F0F-557E-463D-9BAC-D881FCF96652}" srcOrd="6" destOrd="0" presId="urn:microsoft.com/office/officeart/2005/8/layout/orgChart1"/>
    <dgm:cxn modelId="{A8E4EEA0-574A-40D0-8CCA-BF27746DA62D}" type="presParOf" srcId="{67FA4A04-330F-4F35-BD94-62D2DFB94232}" destId="{5535D901-26F5-45EC-845E-320CDB4C4FB1}" srcOrd="7" destOrd="0" presId="urn:microsoft.com/office/officeart/2005/8/layout/orgChart1"/>
    <dgm:cxn modelId="{FB9F037D-233A-4CCF-9FDF-9700F50885BB}" type="presParOf" srcId="{5535D901-26F5-45EC-845E-320CDB4C4FB1}" destId="{62306B34-B2CC-4DA0-A2D3-5EFBA7A0B879}" srcOrd="0" destOrd="0" presId="urn:microsoft.com/office/officeart/2005/8/layout/orgChart1"/>
    <dgm:cxn modelId="{04C337D5-945C-4BAE-B2FF-B0D44E8B1C79}" type="presParOf" srcId="{62306B34-B2CC-4DA0-A2D3-5EFBA7A0B879}" destId="{BBC42A3E-1CAC-4E17-8EA4-3AC8698C4ED4}" srcOrd="0" destOrd="0" presId="urn:microsoft.com/office/officeart/2005/8/layout/orgChart1"/>
    <dgm:cxn modelId="{218C51F7-545A-433D-B2D2-325A11640ABD}" type="presParOf" srcId="{62306B34-B2CC-4DA0-A2D3-5EFBA7A0B879}" destId="{126B36F8-7A3C-48A3-9365-CDB389BB159C}" srcOrd="1" destOrd="0" presId="urn:microsoft.com/office/officeart/2005/8/layout/orgChart1"/>
    <dgm:cxn modelId="{F09D713F-9CB6-417E-A806-D989063664D8}" type="presParOf" srcId="{5535D901-26F5-45EC-845E-320CDB4C4FB1}" destId="{BC5B29B8-99BC-463B-96A7-A3F27EE44448}" srcOrd="1" destOrd="0" presId="urn:microsoft.com/office/officeart/2005/8/layout/orgChart1"/>
    <dgm:cxn modelId="{6B6582FD-1013-4098-A7D1-FB8BEC827BA2}" type="presParOf" srcId="{5535D901-26F5-45EC-845E-320CDB4C4FB1}" destId="{EE0D586A-5EAC-40E7-BD54-C4E0D9583A59}" srcOrd="2" destOrd="0" presId="urn:microsoft.com/office/officeart/2005/8/layout/orgChart1"/>
    <dgm:cxn modelId="{4C7E2575-5B5A-44B6-9660-2379720DC38B}" type="presParOf" srcId="{67FA4A04-330F-4F35-BD94-62D2DFB94232}" destId="{78C6A68A-B465-4C22-8A8A-2767386936F2}" srcOrd="8" destOrd="0" presId="urn:microsoft.com/office/officeart/2005/8/layout/orgChart1"/>
    <dgm:cxn modelId="{621007E0-E75E-45A4-B57B-73D1941F799E}" type="presParOf" srcId="{67FA4A04-330F-4F35-BD94-62D2DFB94232}" destId="{FC234938-0D4D-4DA6-86B5-2161AE4DBB86}" srcOrd="9" destOrd="0" presId="urn:microsoft.com/office/officeart/2005/8/layout/orgChart1"/>
    <dgm:cxn modelId="{1A680F7A-B26F-4A89-9861-A01BC05BFC57}" type="presParOf" srcId="{FC234938-0D4D-4DA6-86B5-2161AE4DBB86}" destId="{21295964-D8DD-4435-8AE9-AEAEE74C5C91}" srcOrd="0" destOrd="0" presId="urn:microsoft.com/office/officeart/2005/8/layout/orgChart1"/>
    <dgm:cxn modelId="{7D74B18B-F163-4ED2-91EE-4B293E3C9FC6}" type="presParOf" srcId="{21295964-D8DD-4435-8AE9-AEAEE74C5C91}" destId="{68850AFD-9F93-4031-A3DA-23AB544C1C42}" srcOrd="0" destOrd="0" presId="urn:microsoft.com/office/officeart/2005/8/layout/orgChart1"/>
    <dgm:cxn modelId="{49C20154-B86D-434E-94AA-F230A0541D1C}" type="presParOf" srcId="{21295964-D8DD-4435-8AE9-AEAEE74C5C91}" destId="{49E06A30-CA78-4C3A-A6B3-CD6550A6DF09}" srcOrd="1" destOrd="0" presId="urn:microsoft.com/office/officeart/2005/8/layout/orgChart1"/>
    <dgm:cxn modelId="{297C1450-504D-4781-AD45-670B1FF60936}" type="presParOf" srcId="{FC234938-0D4D-4DA6-86B5-2161AE4DBB86}" destId="{992A1B8E-1788-453B-94C6-56529B7BFACD}" srcOrd="1" destOrd="0" presId="urn:microsoft.com/office/officeart/2005/8/layout/orgChart1"/>
    <dgm:cxn modelId="{5D45008F-F145-4DEF-A09F-C96EF7651F02}" type="presParOf" srcId="{FC234938-0D4D-4DA6-86B5-2161AE4DBB86}" destId="{A746BC63-B8B9-4367-9DE9-F3D7E928CE81}" srcOrd="2" destOrd="0" presId="urn:microsoft.com/office/officeart/2005/8/layout/orgChart1"/>
    <dgm:cxn modelId="{80179AD4-5234-4B8A-AA18-4C3D6A6D9547}" type="presParOf" srcId="{6A2C7900-55F2-4CEB-B27B-ADDA5D4FAA3E}" destId="{AA424C92-F1C9-42FD-8466-2BC9A463A5AE}" srcOrd="2" destOrd="0" presId="urn:microsoft.com/office/officeart/2005/8/layout/orgChart1"/>
    <dgm:cxn modelId="{E26313A1-3C84-43B7-8456-9F76F73E6BBD}" type="presParOf" srcId="{A5B352F0-1CBC-407B-AC60-1428C166573B}" destId="{87FB92F7-9004-4212-BA10-132952FDAACB}" srcOrd="4" destOrd="0" presId="urn:microsoft.com/office/officeart/2005/8/layout/orgChart1"/>
    <dgm:cxn modelId="{E33A8B39-6960-4A00-A918-5D86FFDC96FC}" type="presParOf" srcId="{A5B352F0-1CBC-407B-AC60-1428C166573B}" destId="{7C7E511E-5484-4BE5-BD7A-3CC399C6AC38}" srcOrd="5" destOrd="0" presId="urn:microsoft.com/office/officeart/2005/8/layout/orgChart1"/>
    <dgm:cxn modelId="{E2D73CCD-11E8-4C45-9A79-B60CBB9B6449}" type="presParOf" srcId="{7C7E511E-5484-4BE5-BD7A-3CC399C6AC38}" destId="{9E48966F-BD7E-4F03-9D97-8F856459878F}" srcOrd="0" destOrd="0" presId="urn:microsoft.com/office/officeart/2005/8/layout/orgChart1"/>
    <dgm:cxn modelId="{ED2117B2-FE8B-4902-BB90-B24339CEAB5A}" type="presParOf" srcId="{9E48966F-BD7E-4F03-9D97-8F856459878F}" destId="{A2309983-64E2-4013-B61D-39616B815912}" srcOrd="0" destOrd="0" presId="urn:microsoft.com/office/officeart/2005/8/layout/orgChart1"/>
    <dgm:cxn modelId="{615C130C-1949-46C2-A93F-7D20BD55B7F8}" type="presParOf" srcId="{9E48966F-BD7E-4F03-9D97-8F856459878F}" destId="{853C645F-43EA-46AE-A61E-B9EBB661B325}" srcOrd="1" destOrd="0" presId="urn:microsoft.com/office/officeart/2005/8/layout/orgChart1"/>
    <dgm:cxn modelId="{ACFBD9C0-6AC3-4D47-AFC4-615A765A0D25}" type="presParOf" srcId="{7C7E511E-5484-4BE5-BD7A-3CC399C6AC38}" destId="{C44820D9-2F03-4158-94AC-F81555F327B0}" srcOrd="1" destOrd="0" presId="urn:microsoft.com/office/officeart/2005/8/layout/orgChart1"/>
    <dgm:cxn modelId="{550C84D4-F9E7-459B-9E4E-321436797FA1}" type="presParOf" srcId="{C44820D9-2F03-4158-94AC-F81555F327B0}" destId="{43A51C16-37FA-4B02-9F52-DF7B935CD630}" srcOrd="0" destOrd="0" presId="urn:microsoft.com/office/officeart/2005/8/layout/orgChart1"/>
    <dgm:cxn modelId="{973EF866-2E8C-4223-8745-3EAEF3D512FD}" type="presParOf" srcId="{C44820D9-2F03-4158-94AC-F81555F327B0}" destId="{F9FF6312-8997-40B6-9610-78D2B78E4018}" srcOrd="1" destOrd="0" presId="urn:microsoft.com/office/officeart/2005/8/layout/orgChart1"/>
    <dgm:cxn modelId="{B84B8C1E-AE63-4A75-8C4E-EF0F181DAD52}" type="presParOf" srcId="{F9FF6312-8997-40B6-9610-78D2B78E4018}" destId="{3519BE3D-14A4-4D5C-AC38-FBA5ED384C3D}" srcOrd="0" destOrd="0" presId="urn:microsoft.com/office/officeart/2005/8/layout/orgChart1"/>
    <dgm:cxn modelId="{01289ABB-B7FC-4F29-AE39-79C86CFB1A2F}" type="presParOf" srcId="{3519BE3D-14A4-4D5C-AC38-FBA5ED384C3D}" destId="{A0B514C0-E66F-4AA6-A418-99212F9C976B}" srcOrd="0" destOrd="0" presId="urn:microsoft.com/office/officeart/2005/8/layout/orgChart1"/>
    <dgm:cxn modelId="{488B1060-8BC9-4A04-A6E9-7798A84AC7F1}" type="presParOf" srcId="{3519BE3D-14A4-4D5C-AC38-FBA5ED384C3D}" destId="{92137862-6743-4F42-BB1D-E5B0B6BFFA5D}" srcOrd="1" destOrd="0" presId="urn:microsoft.com/office/officeart/2005/8/layout/orgChart1"/>
    <dgm:cxn modelId="{75D4D5C4-0315-4A41-8B0D-17CCECD9191A}" type="presParOf" srcId="{F9FF6312-8997-40B6-9610-78D2B78E4018}" destId="{57693E0F-3F49-457B-96E0-EB328D27FF02}" srcOrd="1" destOrd="0" presId="urn:microsoft.com/office/officeart/2005/8/layout/orgChart1"/>
    <dgm:cxn modelId="{00014147-1FD0-4E6A-8D1F-2DF0E913D553}" type="presParOf" srcId="{F9FF6312-8997-40B6-9610-78D2B78E4018}" destId="{ABA164E7-C9DD-47CD-B104-43B406252CAE}" srcOrd="2" destOrd="0" presId="urn:microsoft.com/office/officeart/2005/8/layout/orgChart1"/>
    <dgm:cxn modelId="{6879AC36-B556-4571-B921-9F5B2D61044D}" type="presParOf" srcId="{C44820D9-2F03-4158-94AC-F81555F327B0}" destId="{D5C737D7-D757-4175-9785-85ED9586E540}" srcOrd="2" destOrd="0" presId="urn:microsoft.com/office/officeart/2005/8/layout/orgChart1"/>
    <dgm:cxn modelId="{3CE784CC-08A3-461B-AFE6-1EF8C3F06B5D}" type="presParOf" srcId="{C44820D9-2F03-4158-94AC-F81555F327B0}" destId="{42B7229A-EB33-41C8-8E24-383AE4D7319F}" srcOrd="3" destOrd="0" presId="urn:microsoft.com/office/officeart/2005/8/layout/orgChart1"/>
    <dgm:cxn modelId="{BBCF17C7-F298-4C95-B527-1570C4E5DD7B}" type="presParOf" srcId="{42B7229A-EB33-41C8-8E24-383AE4D7319F}" destId="{52648CED-3CD2-404E-AB3C-CD616501AC72}" srcOrd="0" destOrd="0" presId="urn:microsoft.com/office/officeart/2005/8/layout/orgChart1"/>
    <dgm:cxn modelId="{1E75C0CC-7322-4D92-BD75-3DCB52B050F7}" type="presParOf" srcId="{52648CED-3CD2-404E-AB3C-CD616501AC72}" destId="{6EB9EC8F-3815-4FA8-AB91-7FF1CDF88BA3}" srcOrd="0" destOrd="0" presId="urn:microsoft.com/office/officeart/2005/8/layout/orgChart1"/>
    <dgm:cxn modelId="{E1A6CE31-C853-4BA5-A562-670A0D84EDBC}" type="presParOf" srcId="{52648CED-3CD2-404E-AB3C-CD616501AC72}" destId="{F6AAFC1B-2821-439E-B21B-B7C15AA54264}" srcOrd="1" destOrd="0" presId="urn:microsoft.com/office/officeart/2005/8/layout/orgChart1"/>
    <dgm:cxn modelId="{D229F4FE-C468-45B2-B519-63D89C925E81}" type="presParOf" srcId="{42B7229A-EB33-41C8-8E24-383AE4D7319F}" destId="{051066B4-0A86-4BD9-B305-6791F500B5C1}" srcOrd="1" destOrd="0" presId="urn:microsoft.com/office/officeart/2005/8/layout/orgChart1"/>
    <dgm:cxn modelId="{E79694FA-ACBF-4341-B7A2-18FB3A13BDE8}" type="presParOf" srcId="{42B7229A-EB33-41C8-8E24-383AE4D7319F}" destId="{E141C784-FEB4-4E50-94C5-6DDE787A96A0}" srcOrd="2" destOrd="0" presId="urn:microsoft.com/office/officeart/2005/8/layout/orgChart1"/>
    <dgm:cxn modelId="{9449B478-132F-44B7-8134-48664898950D}" type="presParOf" srcId="{C44820D9-2F03-4158-94AC-F81555F327B0}" destId="{8F9A3F07-91E0-4045-A8A5-B6061CB70E1B}" srcOrd="4" destOrd="0" presId="urn:microsoft.com/office/officeart/2005/8/layout/orgChart1"/>
    <dgm:cxn modelId="{54F4FCB0-5303-44DB-A3F3-2E6903AD7A1F}" type="presParOf" srcId="{C44820D9-2F03-4158-94AC-F81555F327B0}" destId="{2D9588D3-817E-4CFE-BE42-1BA71BDBEEFA}" srcOrd="5" destOrd="0" presId="urn:microsoft.com/office/officeart/2005/8/layout/orgChart1"/>
    <dgm:cxn modelId="{8F155C7C-DCD3-4BAC-B155-300900486F83}" type="presParOf" srcId="{2D9588D3-817E-4CFE-BE42-1BA71BDBEEFA}" destId="{3F8661D7-A266-4576-966D-C8D755C1EBF7}" srcOrd="0" destOrd="0" presId="urn:microsoft.com/office/officeart/2005/8/layout/orgChart1"/>
    <dgm:cxn modelId="{3605A96C-AF3D-4457-B64F-2789D30A8455}" type="presParOf" srcId="{3F8661D7-A266-4576-966D-C8D755C1EBF7}" destId="{54B187C0-B183-42C9-B68A-9309AC25D80F}" srcOrd="0" destOrd="0" presId="urn:microsoft.com/office/officeart/2005/8/layout/orgChart1"/>
    <dgm:cxn modelId="{01C20CFF-5AB9-42A8-A1A4-A69A9B5E6139}" type="presParOf" srcId="{3F8661D7-A266-4576-966D-C8D755C1EBF7}" destId="{12C13CD1-66F0-4735-B853-1F5653371D8D}" srcOrd="1" destOrd="0" presId="urn:microsoft.com/office/officeart/2005/8/layout/orgChart1"/>
    <dgm:cxn modelId="{1F421249-6EA1-4475-B150-73B40128641D}" type="presParOf" srcId="{2D9588D3-817E-4CFE-BE42-1BA71BDBEEFA}" destId="{102677DA-C5CF-482F-A466-96AEF0A9CF7D}" srcOrd="1" destOrd="0" presId="urn:microsoft.com/office/officeart/2005/8/layout/orgChart1"/>
    <dgm:cxn modelId="{3E914130-042D-4D67-B283-F1BAC92E4023}" type="presParOf" srcId="{2D9588D3-817E-4CFE-BE42-1BA71BDBEEFA}" destId="{4EF3041F-1898-498C-9E60-0D2712CDD774}" srcOrd="2" destOrd="0" presId="urn:microsoft.com/office/officeart/2005/8/layout/orgChart1"/>
    <dgm:cxn modelId="{3DA2375C-A9AF-43A6-AC50-4BEC34FEE945}" type="presParOf" srcId="{C44820D9-2F03-4158-94AC-F81555F327B0}" destId="{FE1E039A-3C1B-4D91-9AA8-D49198CFE252}" srcOrd="6" destOrd="0" presId="urn:microsoft.com/office/officeart/2005/8/layout/orgChart1"/>
    <dgm:cxn modelId="{7EB4E196-FE6B-452C-BF59-DE74B8AA6DE3}" type="presParOf" srcId="{C44820D9-2F03-4158-94AC-F81555F327B0}" destId="{9C445FC0-F24E-4ED8-99F2-D13022D39E66}" srcOrd="7" destOrd="0" presId="urn:microsoft.com/office/officeart/2005/8/layout/orgChart1"/>
    <dgm:cxn modelId="{B97F8F82-AA71-4287-85C5-952E2328D59C}" type="presParOf" srcId="{9C445FC0-F24E-4ED8-99F2-D13022D39E66}" destId="{7E2110A7-7247-4551-BB2E-602EE11DFE3A}" srcOrd="0" destOrd="0" presId="urn:microsoft.com/office/officeart/2005/8/layout/orgChart1"/>
    <dgm:cxn modelId="{891E9AE3-A3FC-417D-9B52-43B9B59D30CA}" type="presParOf" srcId="{7E2110A7-7247-4551-BB2E-602EE11DFE3A}" destId="{F2BF0078-FA9D-45D3-ABA6-2A26BEB489A7}" srcOrd="0" destOrd="0" presId="urn:microsoft.com/office/officeart/2005/8/layout/orgChart1"/>
    <dgm:cxn modelId="{8AFCE908-7B8B-4F32-91F2-F4D9F795BD14}" type="presParOf" srcId="{7E2110A7-7247-4551-BB2E-602EE11DFE3A}" destId="{E7C4D0D6-379D-499B-B4DF-BC88B707187A}" srcOrd="1" destOrd="0" presId="urn:microsoft.com/office/officeart/2005/8/layout/orgChart1"/>
    <dgm:cxn modelId="{6219573B-1257-4E3C-A9B0-1897B62D0308}" type="presParOf" srcId="{9C445FC0-F24E-4ED8-99F2-D13022D39E66}" destId="{BAC52F69-4CF7-4B38-82AF-2DF8EFFB27D0}" srcOrd="1" destOrd="0" presId="urn:microsoft.com/office/officeart/2005/8/layout/orgChart1"/>
    <dgm:cxn modelId="{105D6A99-C790-454F-B74C-E3B472D3C865}" type="presParOf" srcId="{9C445FC0-F24E-4ED8-99F2-D13022D39E66}" destId="{CC94FC67-C77F-4B75-BC4E-D7A77C511209}" srcOrd="2" destOrd="0" presId="urn:microsoft.com/office/officeart/2005/8/layout/orgChart1"/>
    <dgm:cxn modelId="{C791AB9E-B8A2-4578-8F88-B44BDA30F92B}" type="presParOf" srcId="{C44820D9-2F03-4158-94AC-F81555F327B0}" destId="{6E7E895B-9108-4AA9-B42E-925D9E20DB86}" srcOrd="8" destOrd="0" presId="urn:microsoft.com/office/officeart/2005/8/layout/orgChart1"/>
    <dgm:cxn modelId="{BA2DF366-F3E7-4540-B32D-7A3CDB4AB8F1}" type="presParOf" srcId="{C44820D9-2F03-4158-94AC-F81555F327B0}" destId="{3F97CECF-5289-47B5-9116-026BF1522BDB}" srcOrd="9" destOrd="0" presId="urn:microsoft.com/office/officeart/2005/8/layout/orgChart1"/>
    <dgm:cxn modelId="{D8632E8C-80DF-4288-9A2F-2F6DA75A89E8}" type="presParOf" srcId="{3F97CECF-5289-47B5-9116-026BF1522BDB}" destId="{F51554EB-3534-440A-B936-AD939A7368DF}" srcOrd="0" destOrd="0" presId="urn:microsoft.com/office/officeart/2005/8/layout/orgChart1"/>
    <dgm:cxn modelId="{98EEAAC5-2780-4A70-B521-E2AA21749D74}" type="presParOf" srcId="{F51554EB-3534-440A-B936-AD939A7368DF}" destId="{C362857C-DBE7-445D-8007-4AD3FBD12260}" srcOrd="0" destOrd="0" presId="urn:microsoft.com/office/officeart/2005/8/layout/orgChart1"/>
    <dgm:cxn modelId="{475D7585-6436-4B1B-AE52-00A2B52F5898}" type="presParOf" srcId="{F51554EB-3534-440A-B936-AD939A7368DF}" destId="{27FB6715-480E-4162-9493-B3EB899BFAC0}" srcOrd="1" destOrd="0" presId="urn:microsoft.com/office/officeart/2005/8/layout/orgChart1"/>
    <dgm:cxn modelId="{A6A09A15-1598-46ED-A8DE-BDEF3EBB3423}" type="presParOf" srcId="{3F97CECF-5289-47B5-9116-026BF1522BDB}" destId="{8E14B458-1254-4D63-8305-7983694AC1A2}" srcOrd="1" destOrd="0" presId="urn:microsoft.com/office/officeart/2005/8/layout/orgChart1"/>
    <dgm:cxn modelId="{91654C7D-4E1E-45D3-9259-C6503DD526E5}" type="presParOf" srcId="{3F97CECF-5289-47B5-9116-026BF1522BDB}" destId="{E7828B18-E6B4-432E-AF4B-D6790CBE92C4}" srcOrd="2" destOrd="0" presId="urn:microsoft.com/office/officeart/2005/8/layout/orgChart1"/>
    <dgm:cxn modelId="{C85E35BB-A537-436C-8CB7-39735629744C}" type="presParOf" srcId="{7C7E511E-5484-4BE5-BD7A-3CC399C6AC38}" destId="{B62EF04B-411F-47F1-9FFF-B7356F8A668B}" srcOrd="2" destOrd="0" presId="urn:microsoft.com/office/officeart/2005/8/layout/orgChart1"/>
    <dgm:cxn modelId="{2DC63E5A-627C-42DC-BD6F-45262AD7A1FB}" type="presParOf" srcId="{A5B352F0-1CBC-407B-AC60-1428C166573B}" destId="{6972CBBD-2785-4DA2-B2F0-524ECFB78670}" srcOrd="6" destOrd="0" presId="urn:microsoft.com/office/officeart/2005/8/layout/orgChart1"/>
    <dgm:cxn modelId="{4B69E9D6-8C75-4FCE-9567-4C81F77BF5C7}" type="presParOf" srcId="{A5B352F0-1CBC-407B-AC60-1428C166573B}" destId="{724778DE-D913-4E6C-B04F-B44172437C6B}" srcOrd="7" destOrd="0" presId="urn:microsoft.com/office/officeart/2005/8/layout/orgChart1"/>
    <dgm:cxn modelId="{382A097C-C37C-41F3-A26F-B4CEAEA4972B}" type="presParOf" srcId="{724778DE-D913-4E6C-B04F-B44172437C6B}" destId="{61B1A310-9F14-42D5-91A4-27471ACF02A3}" srcOrd="0" destOrd="0" presId="urn:microsoft.com/office/officeart/2005/8/layout/orgChart1"/>
    <dgm:cxn modelId="{6EA82244-0E66-4489-ADB6-A34F49B6E9FB}" type="presParOf" srcId="{61B1A310-9F14-42D5-91A4-27471ACF02A3}" destId="{93A4B01C-61F9-4E55-BF93-4C4E701F393F}" srcOrd="0" destOrd="0" presId="urn:microsoft.com/office/officeart/2005/8/layout/orgChart1"/>
    <dgm:cxn modelId="{6A7FB09A-0259-4A0B-83E1-0A80349DA855}" type="presParOf" srcId="{61B1A310-9F14-42D5-91A4-27471ACF02A3}" destId="{47DEE9BD-C63A-4748-B3AA-4D182255A084}" srcOrd="1" destOrd="0" presId="urn:microsoft.com/office/officeart/2005/8/layout/orgChart1"/>
    <dgm:cxn modelId="{40666B8F-A5FD-444D-8D6C-139B989A9A65}" type="presParOf" srcId="{724778DE-D913-4E6C-B04F-B44172437C6B}" destId="{DA27F9B8-9319-45EC-BD1F-FC9082676F0B}" srcOrd="1" destOrd="0" presId="urn:microsoft.com/office/officeart/2005/8/layout/orgChart1"/>
    <dgm:cxn modelId="{C8C33CE7-2464-4BBF-AAE6-75E13BF859B1}" type="presParOf" srcId="{DA27F9B8-9319-45EC-BD1F-FC9082676F0B}" destId="{812C7A73-A9E9-4F29-8753-1B06479711FE}" srcOrd="0" destOrd="0" presId="urn:microsoft.com/office/officeart/2005/8/layout/orgChart1"/>
    <dgm:cxn modelId="{D9A63565-8ECE-403E-A584-B04894B570F2}" type="presParOf" srcId="{DA27F9B8-9319-45EC-BD1F-FC9082676F0B}" destId="{6C8D54E1-F767-444B-A096-237A698BECDB}" srcOrd="1" destOrd="0" presId="urn:microsoft.com/office/officeart/2005/8/layout/orgChart1"/>
    <dgm:cxn modelId="{9A6F429F-E6EA-45BB-9D53-9901B6BD2381}" type="presParOf" srcId="{6C8D54E1-F767-444B-A096-237A698BECDB}" destId="{DBC82E47-C451-425E-9FBD-E9819A04E91E}" srcOrd="0" destOrd="0" presId="urn:microsoft.com/office/officeart/2005/8/layout/orgChart1"/>
    <dgm:cxn modelId="{6FC61744-39EB-4A06-AD54-77055B2765AF}" type="presParOf" srcId="{DBC82E47-C451-425E-9FBD-E9819A04E91E}" destId="{D02299FA-4479-495D-8CBD-480AE3E2BA21}" srcOrd="0" destOrd="0" presId="urn:microsoft.com/office/officeart/2005/8/layout/orgChart1"/>
    <dgm:cxn modelId="{04184BB9-0971-4BA3-B074-B6E999ABC5B9}" type="presParOf" srcId="{DBC82E47-C451-425E-9FBD-E9819A04E91E}" destId="{040EDBC0-1A72-4D6D-8F1E-A74C40EE3431}" srcOrd="1" destOrd="0" presId="urn:microsoft.com/office/officeart/2005/8/layout/orgChart1"/>
    <dgm:cxn modelId="{AA421B6C-3EC9-4735-A6C1-4391422301BA}" type="presParOf" srcId="{6C8D54E1-F767-444B-A096-237A698BECDB}" destId="{E82F3F72-695F-4961-A7F4-06C62CA3F74A}" srcOrd="1" destOrd="0" presId="urn:microsoft.com/office/officeart/2005/8/layout/orgChart1"/>
    <dgm:cxn modelId="{400D32BA-6F11-4AF3-9C9E-35EB981E55A8}" type="presParOf" srcId="{6C8D54E1-F767-444B-A096-237A698BECDB}" destId="{D4E204C0-CC1C-4E30-B95C-5DA401766D86}" srcOrd="2" destOrd="0" presId="urn:microsoft.com/office/officeart/2005/8/layout/orgChart1"/>
    <dgm:cxn modelId="{29497F14-608C-491E-9B97-EB88B454664D}" type="presParOf" srcId="{DA27F9B8-9319-45EC-BD1F-FC9082676F0B}" destId="{3218B332-4925-4D86-88B2-71F9A17D0333}" srcOrd="2" destOrd="0" presId="urn:microsoft.com/office/officeart/2005/8/layout/orgChart1"/>
    <dgm:cxn modelId="{9653F937-BDD0-446C-92FB-756817745D8E}" type="presParOf" srcId="{DA27F9B8-9319-45EC-BD1F-FC9082676F0B}" destId="{AB31AD9C-8855-405B-9696-17C4FC995F6D}" srcOrd="3" destOrd="0" presId="urn:microsoft.com/office/officeart/2005/8/layout/orgChart1"/>
    <dgm:cxn modelId="{57A7D634-95BA-4700-8A0C-21B7E91B595C}" type="presParOf" srcId="{AB31AD9C-8855-405B-9696-17C4FC995F6D}" destId="{8D12E631-65D7-4805-8503-AFB148045099}" srcOrd="0" destOrd="0" presId="urn:microsoft.com/office/officeart/2005/8/layout/orgChart1"/>
    <dgm:cxn modelId="{9E684B0C-774C-467E-AAA2-16E1434D8A44}" type="presParOf" srcId="{8D12E631-65D7-4805-8503-AFB148045099}" destId="{7E2A0415-83F2-434E-824C-962406704058}" srcOrd="0" destOrd="0" presId="urn:microsoft.com/office/officeart/2005/8/layout/orgChart1"/>
    <dgm:cxn modelId="{D4502219-C408-4336-9F83-123CEEBA8868}" type="presParOf" srcId="{8D12E631-65D7-4805-8503-AFB148045099}" destId="{8E1AE36E-E61D-4AC4-910A-7F86ECD5B0E4}" srcOrd="1" destOrd="0" presId="urn:microsoft.com/office/officeart/2005/8/layout/orgChart1"/>
    <dgm:cxn modelId="{A660987A-F869-401A-BF53-6FCF99754466}" type="presParOf" srcId="{AB31AD9C-8855-405B-9696-17C4FC995F6D}" destId="{28351F9F-F038-450D-BC57-38BCDD7A7462}" srcOrd="1" destOrd="0" presId="urn:microsoft.com/office/officeart/2005/8/layout/orgChart1"/>
    <dgm:cxn modelId="{32CAC91A-5A0F-4711-B265-FAD9F6C9B261}" type="presParOf" srcId="{AB31AD9C-8855-405B-9696-17C4FC995F6D}" destId="{41C99D9B-4B44-43F3-9942-F5D67218260B}" srcOrd="2" destOrd="0" presId="urn:microsoft.com/office/officeart/2005/8/layout/orgChart1"/>
    <dgm:cxn modelId="{EE2DCDD8-8B81-4C94-AB5B-1D59E774D495}" type="presParOf" srcId="{DA27F9B8-9319-45EC-BD1F-FC9082676F0B}" destId="{D255F7C2-BB82-4FD9-811A-9351B8A0D25D}" srcOrd="4" destOrd="0" presId="urn:microsoft.com/office/officeart/2005/8/layout/orgChart1"/>
    <dgm:cxn modelId="{59302CF2-5826-4611-A07D-95B362A3B559}" type="presParOf" srcId="{DA27F9B8-9319-45EC-BD1F-FC9082676F0B}" destId="{CB83ABB5-3A65-45D3-8954-B1BA04E204DB}" srcOrd="5" destOrd="0" presId="urn:microsoft.com/office/officeart/2005/8/layout/orgChart1"/>
    <dgm:cxn modelId="{56DDDC84-5E57-4931-A033-5A3899FC32E5}" type="presParOf" srcId="{CB83ABB5-3A65-45D3-8954-B1BA04E204DB}" destId="{D4D74C2C-7A41-449E-9C07-ECC54579DF38}" srcOrd="0" destOrd="0" presId="urn:microsoft.com/office/officeart/2005/8/layout/orgChart1"/>
    <dgm:cxn modelId="{400745E2-5C3A-40C2-B219-FF78338D22B7}" type="presParOf" srcId="{D4D74C2C-7A41-449E-9C07-ECC54579DF38}" destId="{72D96D66-AD07-40DF-9B3C-9E05EE661377}" srcOrd="0" destOrd="0" presId="urn:microsoft.com/office/officeart/2005/8/layout/orgChart1"/>
    <dgm:cxn modelId="{9C6A138B-2D97-4844-B2DB-22D47413045E}" type="presParOf" srcId="{D4D74C2C-7A41-449E-9C07-ECC54579DF38}" destId="{93E68B5D-8E4D-467B-809E-50C18EAF13E3}" srcOrd="1" destOrd="0" presId="urn:microsoft.com/office/officeart/2005/8/layout/orgChart1"/>
    <dgm:cxn modelId="{6F28AFA7-2042-47A7-8C94-6A54C87EE512}" type="presParOf" srcId="{CB83ABB5-3A65-45D3-8954-B1BA04E204DB}" destId="{D03D9001-10CE-449C-A023-AF9CEAB82F6F}" srcOrd="1" destOrd="0" presId="urn:microsoft.com/office/officeart/2005/8/layout/orgChart1"/>
    <dgm:cxn modelId="{23112278-AC30-4896-A3B4-A959FFF5251A}" type="presParOf" srcId="{CB83ABB5-3A65-45D3-8954-B1BA04E204DB}" destId="{58B0F87E-0343-4B00-9AAD-F9B436FCC27F}" srcOrd="2" destOrd="0" presId="urn:microsoft.com/office/officeart/2005/8/layout/orgChart1"/>
    <dgm:cxn modelId="{6E9AB5A6-457F-42AC-A2A4-3C165B51A6B7}" type="presParOf" srcId="{DA27F9B8-9319-45EC-BD1F-FC9082676F0B}" destId="{823D4F97-233B-47DF-B724-6B5FA2DEEB59}" srcOrd="6" destOrd="0" presId="urn:microsoft.com/office/officeart/2005/8/layout/orgChart1"/>
    <dgm:cxn modelId="{85E3AFA8-79E7-4E9D-B09C-C8F2CEA09D12}" type="presParOf" srcId="{DA27F9B8-9319-45EC-BD1F-FC9082676F0B}" destId="{B961C2AB-BE67-4100-AE41-6E490EB06BD3}" srcOrd="7" destOrd="0" presId="urn:microsoft.com/office/officeart/2005/8/layout/orgChart1"/>
    <dgm:cxn modelId="{B31D421B-99AD-4425-961E-D48D80BE81F1}" type="presParOf" srcId="{B961C2AB-BE67-4100-AE41-6E490EB06BD3}" destId="{DCC63FD8-F87E-4F48-8D48-D607ABC05D2C}" srcOrd="0" destOrd="0" presId="urn:microsoft.com/office/officeart/2005/8/layout/orgChart1"/>
    <dgm:cxn modelId="{43AFB8FC-114D-48B6-A5FF-C1E85B907E14}" type="presParOf" srcId="{DCC63FD8-F87E-4F48-8D48-D607ABC05D2C}" destId="{97042A81-50D6-4916-A7BC-07D2D82BAF15}" srcOrd="0" destOrd="0" presId="urn:microsoft.com/office/officeart/2005/8/layout/orgChart1"/>
    <dgm:cxn modelId="{9BF259BF-C3C9-44DB-A0ED-E594725A7FF5}" type="presParOf" srcId="{DCC63FD8-F87E-4F48-8D48-D607ABC05D2C}" destId="{77A0A1C0-758D-47F2-AB1D-FE59DA20C085}" srcOrd="1" destOrd="0" presId="urn:microsoft.com/office/officeart/2005/8/layout/orgChart1"/>
    <dgm:cxn modelId="{694AF7F0-D6B8-49C9-96DD-1EEB1F572975}" type="presParOf" srcId="{B961C2AB-BE67-4100-AE41-6E490EB06BD3}" destId="{C7E6308C-2406-45BA-89E1-465ECAAE9395}" srcOrd="1" destOrd="0" presId="urn:microsoft.com/office/officeart/2005/8/layout/orgChart1"/>
    <dgm:cxn modelId="{9CCD3335-31E9-4F25-8023-C34B6C5E53FD}" type="presParOf" srcId="{B961C2AB-BE67-4100-AE41-6E490EB06BD3}" destId="{68350AF5-06B5-4CD0-BAFE-79C17D617BD3}" srcOrd="2" destOrd="0" presId="urn:microsoft.com/office/officeart/2005/8/layout/orgChart1"/>
    <dgm:cxn modelId="{937BE8C9-D522-48F2-9952-57CB6E2A3688}" type="presParOf" srcId="{724778DE-D913-4E6C-B04F-B44172437C6B}" destId="{292DE037-B33F-4844-AC0B-90E4E5B8486A}" srcOrd="2" destOrd="0" presId="urn:microsoft.com/office/officeart/2005/8/layout/orgChart1"/>
    <dgm:cxn modelId="{84CAC91F-B34A-40A8-B56E-7A581D1A0535}" type="presParOf" srcId="{64ACB60D-7E98-471B-9412-26DA0D5227CF}" destId="{1B0CD237-FFEF-4FAF-AB6E-3961424C99A9}" srcOrd="2" destOrd="0" presId="urn:microsoft.com/office/officeart/2005/8/layout/orgChart1"/>
    <dgm:cxn modelId="{CF2658E4-5CCD-40B8-ACF4-572DFD032D0E}" type="presParOf" srcId="{F307BDAE-34F9-46DC-802D-E8AF4D91E2FF}" destId="{72AC3BD5-4A09-465F-9D74-1F4C77F1781A}" srcOrd="2" destOrd="0" presId="urn:microsoft.com/office/officeart/2005/8/layout/orgChart1"/>
    <dgm:cxn modelId="{416BE55E-9581-4247-837E-3AC36F244AFA}" type="presParOf" srcId="{F307BDAE-34F9-46DC-802D-E8AF4D91E2FF}" destId="{533ED15D-8B4D-4350-83D9-759D8E43701F}" srcOrd="3" destOrd="0" presId="urn:microsoft.com/office/officeart/2005/8/layout/orgChart1"/>
    <dgm:cxn modelId="{E6769C46-857B-4190-80CC-2D25A57838E4}" type="presParOf" srcId="{533ED15D-8B4D-4350-83D9-759D8E43701F}" destId="{822F02B6-E783-42CC-9677-2BD4C584EB27}" srcOrd="0" destOrd="0" presId="urn:microsoft.com/office/officeart/2005/8/layout/orgChart1"/>
    <dgm:cxn modelId="{4F579DF9-5799-49F4-963D-B80119434529}" type="presParOf" srcId="{822F02B6-E783-42CC-9677-2BD4C584EB27}" destId="{57E88E86-B06D-4ECF-BC0D-8A2EF486527E}" srcOrd="0" destOrd="0" presId="urn:microsoft.com/office/officeart/2005/8/layout/orgChart1"/>
    <dgm:cxn modelId="{8F55A218-F008-419F-B29F-E7879A22EDEB}" type="presParOf" srcId="{822F02B6-E783-42CC-9677-2BD4C584EB27}" destId="{5467DE21-90FC-472F-AB6D-C09BAE5667C1}" srcOrd="1" destOrd="0" presId="urn:microsoft.com/office/officeart/2005/8/layout/orgChart1"/>
    <dgm:cxn modelId="{76759C49-38F5-4235-B459-D333416D67B6}" type="presParOf" srcId="{533ED15D-8B4D-4350-83D9-759D8E43701F}" destId="{58C8CFDE-A082-4FA2-8CA7-3B2375F3B36A}" srcOrd="1" destOrd="0" presId="urn:microsoft.com/office/officeart/2005/8/layout/orgChart1"/>
    <dgm:cxn modelId="{96C02400-0CD7-46F9-9905-883838C52313}" type="presParOf" srcId="{533ED15D-8B4D-4350-83D9-759D8E43701F}" destId="{47FAC795-148B-4984-920D-CE887F657FE6}" srcOrd="2" destOrd="0" presId="urn:microsoft.com/office/officeart/2005/8/layout/orgChart1"/>
    <dgm:cxn modelId="{69BE9AD1-DFD9-4386-A8A5-3F9B0F29F10D}" type="presParOf" srcId="{F307BDAE-34F9-46DC-802D-E8AF4D91E2FF}" destId="{71B9B71D-F8F5-4841-8F10-F68FA451EF78}" srcOrd="4" destOrd="0" presId="urn:microsoft.com/office/officeart/2005/8/layout/orgChart1"/>
    <dgm:cxn modelId="{28B9B12B-153F-4830-8E1B-5983C0093B3F}" type="presParOf" srcId="{F307BDAE-34F9-46DC-802D-E8AF4D91E2FF}" destId="{7402BAEB-8CA2-43A6-B24F-2FD05378FC62}" srcOrd="5" destOrd="0" presId="urn:microsoft.com/office/officeart/2005/8/layout/orgChart1"/>
    <dgm:cxn modelId="{50EFCB3D-681C-412F-B4C0-57C544BCE595}" type="presParOf" srcId="{7402BAEB-8CA2-43A6-B24F-2FD05378FC62}" destId="{8A94324E-FB53-4CE6-9B67-920991C95D8F}" srcOrd="0" destOrd="0" presId="urn:microsoft.com/office/officeart/2005/8/layout/orgChart1"/>
    <dgm:cxn modelId="{5C76A266-DFB2-402C-A894-83821EF16759}" type="presParOf" srcId="{8A94324E-FB53-4CE6-9B67-920991C95D8F}" destId="{88CADB34-9059-4CC8-A53B-F09A3CD20534}" srcOrd="0" destOrd="0" presId="urn:microsoft.com/office/officeart/2005/8/layout/orgChart1"/>
    <dgm:cxn modelId="{EA0B09D1-FED9-4D54-87CC-42D91024077C}" type="presParOf" srcId="{8A94324E-FB53-4CE6-9B67-920991C95D8F}" destId="{E89E281C-401C-4E16-9B28-80800F618814}" srcOrd="1" destOrd="0" presId="urn:microsoft.com/office/officeart/2005/8/layout/orgChart1"/>
    <dgm:cxn modelId="{2E2919C6-A9CE-44F9-B5E7-1D84916AD780}" type="presParOf" srcId="{7402BAEB-8CA2-43A6-B24F-2FD05378FC62}" destId="{C2A71E1F-CA7C-48B8-BCD6-60BADECC1874}" srcOrd="1" destOrd="0" presId="urn:microsoft.com/office/officeart/2005/8/layout/orgChart1"/>
    <dgm:cxn modelId="{28084CF6-9619-4F3A-A667-5B64212AC75E}" type="presParOf" srcId="{7402BAEB-8CA2-43A6-B24F-2FD05378FC62}" destId="{B1501EE1-2F00-4347-9D11-BA99FE543F45}" srcOrd="2" destOrd="0" presId="urn:microsoft.com/office/officeart/2005/8/layout/orgChart1"/>
    <dgm:cxn modelId="{0EC47460-9DC4-4485-9EB9-D76F9294CD42}" type="presParOf" srcId="{F307BDAE-34F9-46DC-802D-E8AF4D91E2FF}" destId="{D7D50860-540F-480E-AE47-45EB77C5B58B}" srcOrd="6" destOrd="0" presId="urn:microsoft.com/office/officeart/2005/8/layout/orgChart1"/>
    <dgm:cxn modelId="{FF04386E-C332-447D-BB4E-E10401A9220D}" type="presParOf" srcId="{F307BDAE-34F9-46DC-802D-E8AF4D91E2FF}" destId="{02AE4A9E-BA8A-40DC-BA73-00D39E813398}" srcOrd="7" destOrd="0" presId="urn:microsoft.com/office/officeart/2005/8/layout/orgChart1"/>
    <dgm:cxn modelId="{EBDE6000-99F1-4A83-BE4D-59450D4C4EA3}" type="presParOf" srcId="{02AE4A9E-BA8A-40DC-BA73-00D39E813398}" destId="{48C8BCE5-4763-478E-8DB9-BB4628449106}" srcOrd="0" destOrd="0" presId="urn:microsoft.com/office/officeart/2005/8/layout/orgChart1"/>
    <dgm:cxn modelId="{8B5BDDAA-30BD-47B5-B79B-5C569E804993}" type="presParOf" srcId="{48C8BCE5-4763-478E-8DB9-BB4628449106}" destId="{37D1510E-50C9-4BE4-950F-FA6ADCC72F19}" srcOrd="0" destOrd="0" presId="urn:microsoft.com/office/officeart/2005/8/layout/orgChart1"/>
    <dgm:cxn modelId="{C2842FA3-2CA3-41B4-A589-8CD711F3E637}" type="presParOf" srcId="{48C8BCE5-4763-478E-8DB9-BB4628449106}" destId="{077DA4A3-729F-4A79-B64A-9CC6222FE027}" srcOrd="1" destOrd="0" presId="urn:microsoft.com/office/officeart/2005/8/layout/orgChart1"/>
    <dgm:cxn modelId="{BFDA4D17-F6E4-423D-8868-1AEB7A3E51BE}" type="presParOf" srcId="{02AE4A9E-BA8A-40DC-BA73-00D39E813398}" destId="{6F8E397A-C1B0-4784-A18E-BB0DFA75F646}" srcOrd="1" destOrd="0" presId="urn:microsoft.com/office/officeart/2005/8/layout/orgChart1"/>
    <dgm:cxn modelId="{DEE599E9-1099-4BD5-964B-AEAEB55CD911}" type="presParOf" srcId="{02AE4A9E-BA8A-40DC-BA73-00D39E813398}" destId="{6540DCBC-6688-4F9C-8FDA-3073028E7492}" srcOrd="2" destOrd="0" presId="urn:microsoft.com/office/officeart/2005/8/layout/orgChart1"/>
    <dgm:cxn modelId="{748DE68E-6AD2-4E58-8488-FB4435AAA8CF}" type="presParOf" srcId="{F307BDAE-34F9-46DC-802D-E8AF4D91E2FF}" destId="{7C017CE9-3696-4D4B-8FF6-AE8A7CD1249C}" srcOrd="8" destOrd="0" presId="urn:microsoft.com/office/officeart/2005/8/layout/orgChart1"/>
    <dgm:cxn modelId="{3CC24EC9-70E2-4549-90E7-ED0F500EAC52}" type="presParOf" srcId="{F307BDAE-34F9-46DC-802D-E8AF4D91E2FF}" destId="{954A96C6-B27D-4DB0-8DA0-90BD71ADA9E0}" srcOrd="9" destOrd="0" presId="urn:microsoft.com/office/officeart/2005/8/layout/orgChart1"/>
    <dgm:cxn modelId="{C74C2474-4FFA-4FB9-BAEF-8B974326BEE7}" type="presParOf" srcId="{954A96C6-B27D-4DB0-8DA0-90BD71ADA9E0}" destId="{0C5652F5-2673-4543-8E1A-728274A73C01}" srcOrd="0" destOrd="0" presId="urn:microsoft.com/office/officeart/2005/8/layout/orgChart1"/>
    <dgm:cxn modelId="{C2668A2F-4BF9-46ED-9BB8-6615C9680D89}" type="presParOf" srcId="{0C5652F5-2673-4543-8E1A-728274A73C01}" destId="{FD998899-A3AC-4149-B5FC-A567190C5DF4}" srcOrd="0" destOrd="0" presId="urn:microsoft.com/office/officeart/2005/8/layout/orgChart1"/>
    <dgm:cxn modelId="{C1305EC8-38D2-4F41-97D9-F366C1CD4873}" type="presParOf" srcId="{0C5652F5-2673-4543-8E1A-728274A73C01}" destId="{3629476B-49AA-46B6-8370-0A8983223F39}" srcOrd="1" destOrd="0" presId="urn:microsoft.com/office/officeart/2005/8/layout/orgChart1"/>
    <dgm:cxn modelId="{B42C7238-B366-4B73-A690-53CCB7639926}" type="presParOf" srcId="{954A96C6-B27D-4DB0-8DA0-90BD71ADA9E0}" destId="{B99C1EA5-129C-46D9-AC7B-B3275122FA6C}" srcOrd="1" destOrd="0" presId="urn:microsoft.com/office/officeart/2005/8/layout/orgChart1"/>
    <dgm:cxn modelId="{547C630E-011D-41AD-82B9-BC966C7EF721}" type="presParOf" srcId="{954A96C6-B27D-4DB0-8DA0-90BD71ADA9E0}" destId="{4AB5F6D4-45E4-4893-9A8B-C59263A90402}" srcOrd="2" destOrd="0" presId="urn:microsoft.com/office/officeart/2005/8/layout/orgChart1"/>
    <dgm:cxn modelId="{9EAAA25C-9D6E-4DAB-A384-89A3F9AFFE9D}" type="presParOf" srcId="{F307BDAE-34F9-46DC-802D-E8AF4D91E2FF}" destId="{1900817C-BC3A-4063-BF21-EA19C13BEAC3}" srcOrd="10" destOrd="0" presId="urn:microsoft.com/office/officeart/2005/8/layout/orgChart1"/>
    <dgm:cxn modelId="{C892E721-C6A2-41F6-9B64-0A9C80F70EE1}" type="presParOf" srcId="{F307BDAE-34F9-46DC-802D-E8AF4D91E2FF}" destId="{388856BD-B2CE-4B04-A9D1-05EB772B303B}" srcOrd="11" destOrd="0" presId="urn:microsoft.com/office/officeart/2005/8/layout/orgChart1"/>
    <dgm:cxn modelId="{08397AE5-3C91-472E-8E08-29DC40E0BE06}" type="presParOf" srcId="{388856BD-B2CE-4B04-A9D1-05EB772B303B}" destId="{F8C336BF-7137-4953-BDF1-25FCAB415240}" srcOrd="0" destOrd="0" presId="urn:microsoft.com/office/officeart/2005/8/layout/orgChart1"/>
    <dgm:cxn modelId="{9629E4E5-834B-413D-BABA-49D3AF37CABE}" type="presParOf" srcId="{F8C336BF-7137-4953-BDF1-25FCAB415240}" destId="{AFF3DD0F-D12D-43BB-BC6A-2BEC1DE5394E}" srcOrd="0" destOrd="0" presId="urn:microsoft.com/office/officeart/2005/8/layout/orgChart1"/>
    <dgm:cxn modelId="{F83434AB-B514-42F9-8747-1777CBE08240}" type="presParOf" srcId="{F8C336BF-7137-4953-BDF1-25FCAB415240}" destId="{765A02AA-2CCF-4D49-B7C3-511E94709E79}" srcOrd="1" destOrd="0" presId="urn:microsoft.com/office/officeart/2005/8/layout/orgChart1"/>
    <dgm:cxn modelId="{761E1E34-1FDC-4915-9EF2-ECB8E64C761E}" type="presParOf" srcId="{388856BD-B2CE-4B04-A9D1-05EB772B303B}" destId="{13DDB4C3-0D60-4597-A7E3-D55996F3D501}" srcOrd="1" destOrd="0" presId="urn:microsoft.com/office/officeart/2005/8/layout/orgChart1"/>
    <dgm:cxn modelId="{B9C0FB15-B43D-4246-9C91-90250F543C5A}" type="presParOf" srcId="{13DDB4C3-0D60-4597-A7E3-D55996F3D501}" destId="{5191C8D2-C742-4855-8403-1381C48670A5}" srcOrd="0" destOrd="0" presId="urn:microsoft.com/office/officeart/2005/8/layout/orgChart1"/>
    <dgm:cxn modelId="{8FBB2F3A-5355-4B56-90D0-DB67F8F86E24}" type="presParOf" srcId="{13DDB4C3-0D60-4597-A7E3-D55996F3D501}" destId="{D1659EAA-A5F6-43A7-B774-A62326116416}" srcOrd="1" destOrd="0" presId="urn:microsoft.com/office/officeart/2005/8/layout/orgChart1"/>
    <dgm:cxn modelId="{0727443A-2121-4022-A8D8-756784E9CFD2}" type="presParOf" srcId="{D1659EAA-A5F6-43A7-B774-A62326116416}" destId="{40DC502D-5D3C-4733-ACBF-8A9C1FACF338}" srcOrd="0" destOrd="0" presId="urn:microsoft.com/office/officeart/2005/8/layout/orgChart1"/>
    <dgm:cxn modelId="{04A06013-5DCD-49E7-9C52-E0C33AA72B7E}" type="presParOf" srcId="{40DC502D-5D3C-4733-ACBF-8A9C1FACF338}" destId="{5E736DAE-6B81-477A-B6E3-E196BA17E89A}" srcOrd="0" destOrd="0" presId="urn:microsoft.com/office/officeart/2005/8/layout/orgChart1"/>
    <dgm:cxn modelId="{AD57F85F-E39C-4863-9660-7EAD93D48630}" type="presParOf" srcId="{40DC502D-5D3C-4733-ACBF-8A9C1FACF338}" destId="{060398CD-602F-4CD2-8816-79421AE46628}" srcOrd="1" destOrd="0" presId="urn:microsoft.com/office/officeart/2005/8/layout/orgChart1"/>
    <dgm:cxn modelId="{D1101DE2-8BB4-4F13-B032-5158A05EC6A9}" type="presParOf" srcId="{D1659EAA-A5F6-43A7-B774-A62326116416}" destId="{807C30DE-0C59-4226-BE70-F1CD2B0DE1D9}" srcOrd="1" destOrd="0" presId="urn:microsoft.com/office/officeart/2005/8/layout/orgChart1"/>
    <dgm:cxn modelId="{15406D83-90B9-4E29-AA92-0166A566955B}" type="presParOf" srcId="{807C30DE-0C59-4226-BE70-F1CD2B0DE1D9}" destId="{87607D8E-B464-45E4-B627-B6EBA2FA1191}" srcOrd="0" destOrd="0" presId="urn:microsoft.com/office/officeart/2005/8/layout/orgChart1"/>
    <dgm:cxn modelId="{7AD5F967-D142-4667-B29E-1FCA6735757A}" type="presParOf" srcId="{807C30DE-0C59-4226-BE70-F1CD2B0DE1D9}" destId="{2F1202A7-E268-4FAB-924D-298179F54A54}" srcOrd="1" destOrd="0" presId="urn:microsoft.com/office/officeart/2005/8/layout/orgChart1"/>
    <dgm:cxn modelId="{07D44B68-B4D8-4FA8-AAE6-BD737977C593}" type="presParOf" srcId="{2F1202A7-E268-4FAB-924D-298179F54A54}" destId="{12A58AD3-EB78-430B-B2EC-ABDB0B9148D9}" srcOrd="0" destOrd="0" presId="urn:microsoft.com/office/officeart/2005/8/layout/orgChart1"/>
    <dgm:cxn modelId="{00E4A780-AB2D-482E-A652-050FC7536E68}" type="presParOf" srcId="{12A58AD3-EB78-430B-B2EC-ABDB0B9148D9}" destId="{F4628EFE-68D0-4956-A927-B561936D2859}" srcOrd="0" destOrd="0" presId="urn:microsoft.com/office/officeart/2005/8/layout/orgChart1"/>
    <dgm:cxn modelId="{87025323-1C56-4F5D-B820-E6F6207FD94B}" type="presParOf" srcId="{12A58AD3-EB78-430B-B2EC-ABDB0B9148D9}" destId="{991398EC-D76F-4F9C-B973-CB23B25B9AF9}" srcOrd="1" destOrd="0" presId="urn:microsoft.com/office/officeart/2005/8/layout/orgChart1"/>
    <dgm:cxn modelId="{4AB73797-9C9A-4292-9BED-F1D5711E5F4D}" type="presParOf" srcId="{2F1202A7-E268-4FAB-924D-298179F54A54}" destId="{B5227FD4-343A-4F26-A2CC-0F52F96C8AED}" srcOrd="1" destOrd="0" presId="urn:microsoft.com/office/officeart/2005/8/layout/orgChart1"/>
    <dgm:cxn modelId="{A10060A0-5803-4C55-A672-CAD26322BA96}" type="presParOf" srcId="{2F1202A7-E268-4FAB-924D-298179F54A54}" destId="{125C3DA6-CDA1-4112-B287-28A3547A7B85}" srcOrd="2" destOrd="0" presId="urn:microsoft.com/office/officeart/2005/8/layout/orgChart1"/>
    <dgm:cxn modelId="{4E24DFDD-98F6-4193-A296-6FB76229ADD6}" type="presParOf" srcId="{807C30DE-0C59-4226-BE70-F1CD2B0DE1D9}" destId="{36C6DAE6-D26A-4C03-893D-B131F067D411}" srcOrd="2" destOrd="0" presId="urn:microsoft.com/office/officeart/2005/8/layout/orgChart1"/>
    <dgm:cxn modelId="{A763526A-597F-4A09-9FC8-813F31D39725}" type="presParOf" srcId="{807C30DE-0C59-4226-BE70-F1CD2B0DE1D9}" destId="{2089EFEE-7A0D-4715-A9F7-4BFF4F489940}" srcOrd="3" destOrd="0" presId="urn:microsoft.com/office/officeart/2005/8/layout/orgChart1"/>
    <dgm:cxn modelId="{092EAC1B-45EF-4539-A7E6-62988C3BF5BA}" type="presParOf" srcId="{2089EFEE-7A0D-4715-A9F7-4BFF4F489940}" destId="{8DBAD52E-303C-4E32-A683-B4CEC4CBA0C3}" srcOrd="0" destOrd="0" presId="urn:microsoft.com/office/officeart/2005/8/layout/orgChart1"/>
    <dgm:cxn modelId="{C3746F79-2CF5-4909-93D5-3219508A1C83}" type="presParOf" srcId="{8DBAD52E-303C-4E32-A683-B4CEC4CBA0C3}" destId="{7C72C695-63A5-4F90-BE20-C6318326F80E}" srcOrd="0" destOrd="0" presId="urn:microsoft.com/office/officeart/2005/8/layout/orgChart1"/>
    <dgm:cxn modelId="{6D23D85F-120F-4683-934F-1E7E21349F7A}" type="presParOf" srcId="{8DBAD52E-303C-4E32-A683-B4CEC4CBA0C3}" destId="{0FF6CA8A-B5DA-447C-8C7D-542A9B697564}" srcOrd="1" destOrd="0" presId="urn:microsoft.com/office/officeart/2005/8/layout/orgChart1"/>
    <dgm:cxn modelId="{C49A6913-D92E-4A66-BC9E-F2E1F282D2CB}" type="presParOf" srcId="{2089EFEE-7A0D-4715-A9F7-4BFF4F489940}" destId="{71EF3D8C-1624-4A43-B2D6-1C59876B5FC2}" srcOrd="1" destOrd="0" presId="urn:microsoft.com/office/officeart/2005/8/layout/orgChart1"/>
    <dgm:cxn modelId="{7C81F7D8-6FE0-4600-94D7-BACE5F37DF46}" type="presParOf" srcId="{2089EFEE-7A0D-4715-A9F7-4BFF4F489940}" destId="{AEE8319A-869A-4C38-ACC2-CBD6EDC3CAC7}" srcOrd="2" destOrd="0" presId="urn:microsoft.com/office/officeart/2005/8/layout/orgChart1"/>
    <dgm:cxn modelId="{D41048E9-B571-4D10-8DD4-83B28CC3D08E}" type="presParOf" srcId="{807C30DE-0C59-4226-BE70-F1CD2B0DE1D9}" destId="{EC96CCFA-F262-4AE4-96DE-BB9844075579}" srcOrd="4" destOrd="0" presId="urn:microsoft.com/office/officeart/2005/8/layout/orgChart1"/>
    <dgm:cxn modelId="{2AD5DA39-3A75-47C5-B776-9E5291E3A53D}" type="presParOf" srcId="{807C30DE-0C59-4226-BE70-F1CD2B0DE1D9}" destId="{D3BB0694-8929-4FF7-9449-6C7654CD60A2}" srcOrd="5" destOrd="0" presId="urn:microsoft.com/office/officeart/2005/8/layout/orgChart1"/>
    <dgm:cxn modelId="{B226B190-C25F-4FB7-9777-B44F9080736F}" type="presParOf" srcId="{D3BB0694-8929-4FF7-9449-6C7654CD60A2}" destId="{D0CA7F4F-0151-4CD8-8DEE-8E34F4356D0F}" srcOrd="0" destOrd="0" presId="urn:microsoft.com/office/officeart/2005/8/layout/orgChart1"/>
    <dgm:cxn modelId="{6D4AA0E6-D040-4E09-8DB3-7BB7A1479DD0}" type="presParOf" srcId="{D0CA7F4F-0151-4CD8-8DEE-8E34F4356D0F}" destId="{A76CD527-76BF-4B6C-B542-DCDB53E7ED8B}" srcOrd="0" destOrd="0" presId="urn:microsoft.com/office/officeart/2005/8/layout/orgChart1"/>
    <dgm:cxn modelId="{CEB2165C-D2D2-4AC4-8511-D4C00D922C2A}" type="presParOf" srcId="{D0CA7F4F-0151-4CD8-8DEE-8E34F4356D0F}" destId="{20F4D4D9-46DB-4253-ADC1-2B988D855638}" srcOrd="1" destOrd="0" presId="urn:microsoft.com/office/officeart/2005/8/layout/orgChart1"/>
    <dgm:cxn modelId="{885BE7B7-403F-4877-9ED7-B268580E123E}" type="presParOf" srcId="{D3BB0694-8929-4FF7-9449-6C7654CD60A2}" destId="{9B40A51F-D5DA-4D2B-B488-81EB09713D04}" srcOrd="1" destOrd="0" presId="urn:microsoft.com/office/officeart/2005/8/layout/orgChart1"/>
    <dgm:cxn modelId="{DC5D374A-7466-43CC-948B-82F5344B9215}" type="presParOf" srcId="{D3BB0694-8929-4FF7-9449-6C7654CD60A2}" destId="{7602187D-5E80-420C-9764-8EB683231BCA}" srcOrd="2" destOrd="0" presId="urn:microsoft.com/office/officeart/2005/8/layout/orgChart1"/>
    <dgm:cxn modelId="{0E5FC7E8-7EB5-4F83-A910-179E25D02FA1}" type="presParOf" srcId="{807C30DE-0C59-4226-BE70-F1CD2B0DE1D9}" destId="{D1DD8EBC-108D-4D2C-954D-FE294933BD46}" srcOrd="6" destOrd="0" presId="urn:microsoft.com/office/officeart/2005/8/layout/orgChart1"/>
    <dgm:cxn modelId="{D871C213-1F09-4778-A05B-7D4D3BC73644}" type="presParOf" srcId="{807C30DE-0C59-4226-BE70-F1CD2B0DE1D9}" destId="{560706F3-8C7C-44BB-8959-5505C447D9EE}" srcOrd="7" destOrd="0" presId="urn:microsoft.com/office/officeart/2005/8/layout/orgChart1"/>
    <dgm:cxn modelId="{67D19206-E19E-44CF-B0A2-48AB7B291C94}" type="presParOf" srcId="{560706F3-8C7C-44BB-8959-5505C447D9EE}" destId="{F698A091-59AE-4B8A-87D3-563202C260B0}" srcOrd="0" destOrd="0" presId="urn:microsoft.com/office/officeart/2005/8/layout/orgChart1"/>
    <dgm:cxn modelId="{0EF76F76-B6F5-4281-841B-A46E4E93C7FA}" type="presParOf" srcId="{F698A091-59AE-4B8A-87D3-563202C260B0}" destId="{61D009CE-346B-47A3-9123-66DCCD81544E}" srcOrd="0" destOrd="0" presId="urn:microsoft.com/office/officeart/2005/8/layout/orgChart1"/>
    <dgm:cxn modelId="{E6B5263E-2E18-48C0-9D99-65B8D4BAB832}" type="presParOf" srcId="{F698A091-59AE-4B8A-87D3-563202C260B0}" destId="{9D3DD3A4-EC97-4683-A837-A30961E8E5B2}" srcOrd="1" destOrd="0" presId="urn:microsoft.com/office/officeart/2005/8/layout/orgChart1"/>
    <dgm:cxn modelId="{1F463CA3-03CF-402D-8057-131A7CD34491}" type="presParOf" srcId="{560706F3-8C7C-44BB-8959-5505C447D9EE}" destId="{626AEDDD-409E-473F-93E9-A25D5310C9A6}" srcOrd="1" destOrd="0" presId="urn:microsoft.com/office/officeart/2005/8/layout/orgChart1"/>
    <dgm:cxn modelId="{2CAB9227-9B19-4FCE-992E-B6374E0AF464}" type="presParOf" srcId="{560706F3-8C7C-44BB-8959-5505C447D9EE}" destId="{3EFB7D90-3C0D-4B66-94FD-2E959F4FBF90}" srcOrd="2" destOrd="0" presId="urn:microsoft.com/office/officeart/2005/8/layout/orgChart1"/>
    <dgm:cxn modelId="{02DAEC5E-2C51-4FEB-B9B9-FC9BA6A37C65}" type="presParOf" srcId="{807C30DE-0C59-4226-BE70-F1CD2B0DE1D9}" destId="{FF22FD5D-E0C6-434B-A201-67977C56FF26}" srcOrd="8" destOrd="0" presId="urn:microsoft.com/office/officeart/2005/8/layout/orgChart1"/>
    <dgm:cxn modelId="{AE510009-9F06-4946-A585-0997B920FFE5}" type="presParOf" srcId="{807C30DE-0C59-4226-BE70-F1CD2B0DE1D9}" destId="{C04B2F0F-D10F-479C-9037-643D3A16342B}" srcOrd="9" destOrd="0" presId="urn:microsoft.com/office/officeart/2005/8/layout/orgChart1"/>
    <dgm:cxn modelId="{2F4BE879-D3D2-4678-A714-ECB3A05EC88F}" type="presParOf" srcId="{C04B2F0F-D10F-479C-9037-643D3A16342B}" destId="{C42EC910-C2C1-449F-9497-8A09CB60574A}" srcOrd="0" destOrd="0" presId="urn:microsoft.com/office/officeart/2005/8/layout/orgChart1"/>
    <dgm:cxn modelId="{1CB3AE1F-B20A-4C08-90F7-9EFA7BDCF3AA}" type="presParOf" srcId="{C42EC910-C2C1-449F-9497-8A09CB60574A}" destId="{A22B5146-B096-4C85-A0C5-04AE69B3C103}" srcOrd="0" destOrd="0" presId="urn:microsoft.com/office/officeart/2005/8/layout/orgChart1"/>
    <dgm:cxn modelId="{28C79388-17A5-457B-9502-1F8E3B4A6651}" type="presParOf" srcId="{C42EC910-C2C1-449F-9497-8A09CB60574A}" destId="{FB8EDED7-56CA-4734-9880-CF1A5170256A}" srcOrd="1" destOrd="0" presId="urn:microsoft.com/office/officeart/2005/8/layout/orgChart1"/>
    <dgm:cxn modelId="{19FFDEC4-5A2B-413A-A8A4-64186BEF02C6}" type="presParOf" srcId="{C04B2F0F-D10F-479C-9037-643D3A16342B}" destId="{35302ABD-9A6D-40ED-B86D-392959B392E6}" srcOrd="1" destOrd="0" presId="urn:microsoft.com/office/officeart/2005/8/layout/orgChart1"/>
    <dgm:cxn modelId="{1F0240E2-26CF-4BC9-9872-93389BBC4AC0}" type="presParOf" srcId="{C04B2F0F-D10F-479C-9037-643D3A16342B}" destId="{8B6DA8AF-3529-4469-BE1A-3D94D68A969D}" srcOrd="2" destOrd="0" presId="urn:microsoft.com/office/officeart/2005/8/layout/orgChart1"/>
    <dgm:cxn modelId="{76C664A8-22FB-474E-BF01-C7708516D15A}" type="presParOf" srcId="{807C30DE-0C59-4226-BE70-F1CD2B0DE1D9}" destId="{7173E6D0-59CC-4A2E-B597-2C245B1261D5}" srcOrd="10" destOrd="0" presId="urn:microsoft.com/office/officeart/2005/8/layout/orgChart1"/>
    <dgm:cxn modelId="{DA5B8B92-A41A-400F-A62D-835B06EC738B}" type="presParOf" srcId="{807C30DE-0C59-4226-BE70-F1CD2B0DE1D9}" destId="{2E8F3991-1E81-4299-B71E-55B9CBD4468A}" srcOrd="11" destOrd="0" presId="urn:microsoft.com/office/officeart/2005/8/layout/orgChart1"/>
    <dgm:cxn modelId="{94FC024B-D0AE-4714-A148-9CB55C0F5BD6}" type="presParOf" srcId="{2E8F3991-1E81-4299-B71E-55B9CBD4468A}" destId="{7C520B18-6970-44BA-9080-318223853CE8}" srcOrd="0" destOrd="0" presId="urn:microsoft.com/office/officeart/2005/8/layout/orgChart1"/>
    <dgm:cxn modelId="{F2DF028B-C4DF-45C0-AA64-BB337CC4B60D}" type="presParOf" srcId="{7C520B18-6970-44BA-9080-318223853CE8}" destId="{AC1DC7FD-96CA-4879-B31A-28A8193DEE14}" srcOrd="0" destOrd="0" presId="urn:microsoft.com/office/officeart/2005/8/layout/orgChart1"/>
    <dgm:cxn modelId="{6FE94A65-53B0-4820-8373-F705450A8952}" type="presParOf" srcId="{7C520B18-6970-44BA-9080-318223853CE8}" destId="{AEAF4525-0AAB-4313-9D62-B5D199B05FAC}" srcOrd="1" destOrd="0" presId="urn:microsoft.com/office/officeart/2005/8/layout/orgChart1"/>
    <dgm:cxn modelId="{4F86C973-8CC3-4BB9-9A34-07DE59418838}" type="presParOf" srcId="{2E8F3991-1E81-4299-B71E-55B9CBD4468A}" destId="{E3E3C4A8-7882-4E1A-8980-50A5DA1805DF}" srcOrd="1" destOrd="0" presId="urn:microsoft.com/office/officeart/2005/8/layout/orgChart1"/>
    <dgm:cxn modelId="{38A6E46D-599F-41F7-929B-B8D1C6D65849}" type="presParOf" srcId="{2E8F3991-1E81-4299-B71E-55B9CBD4468A}" destId="{2AB08F79-9614-49EE-9A90-14FE3C24E64D}" srcOrd="2" destOrd="0" presId="urn:microsoft.com/office/officeart/2005/8/layout/orgChart1"/>
    <dgm:cxn modelId="{C0658C90-6595-481F-A337-FF26C154E6F2}" type="presParOf" srcId="{807C30DE-0C59-4226-BE70-F1CD2B0DE1D9}" destId="{F337DFFB-3795-4064-9638-4A2C6550BAB3}" srcOrd="12" destOrd="0" presId="urn:microsoft.com/office/officeart/2005/8/layout/orgChart1"/>
    <dgm:cxn modelId="{CB616719-3B6A-4368-8D0F-5E44FD0A407F}" type="presParOf" srcId="{807C30DE-0C59-4226-BE70-F1CD2B0DE1D9}" destId="{80D17301-914C-4452-B4F5-F8DE6C6BB772}" srcOrd="13" destOrd="0" presId="urn:microsoft.com/office/officeart/2005/8/layout/orgChart1"/>
    <dgm:cxn modelId="{1BD8776F-C9C4-4D04-9A91-4FBAB088BDA6}" type="presParOf" srcId="{80D17301-914C-4452-B4F5-F8DE6C6BB772}" destId="{ED5A1FEE-F6B0-4159-B9F0-ABC0446BA967}" srcOrd="0" destOrd="0" presId="urn:microsoft.com/office/officeart/2005/8/layout/orgChart1"/>
    <dgm:cxn modelId="{8F30C60E-3283-4C54-8E1B-97BA0527560A}" type="presParOf" srcId="{ED5A1FEE-F6B0-4159-B9F0-ABC0446BA967}" destId="{0DEB88A5-741D-4D30-9F30-A11FBD0736D5}" srcOrd="0" destOrd="0" presId="urn:microsoft.com/office/officeart/2005/8/layout/orgChart1"/>
    <dgm:cxn modelId="{752F6C14-CB53-42D6-ACFE-9B135F06F3E9}" type="presParOf" srcId="{ED5A1FEE-F6B0-4159-B9F0-ABC0446BA967}" destId="{C3CF04C0-40A4-4478-8597-AD47BF39F08F}" srcOrd="1" destOrd="0" presId="urn:microsoft.com/office/officeart/2005/8/layout/orgChart1"/>
    <dgm:cxn modelId="{7099E993-1793-4E7D-BCE6-2345A120A272}" type="presParOf" srcId="{80D17301-914C-4452-B4F5-F8DE6C6BB772}" destId="{A7FA4C2E-6270-435D-8ACB-1675A3A71038}" srcOrd="1" destOrd="0" presId="urn:microsoft.com/office/officeart/2005/8/layout/orgChart1"/>
    <dgm:cxn modelId="{7A22BFB7-FDB8-4856-94BB-5B156EC59143}" type="presParOf" srcId="{80D17301-914C-4452-B4F5-F8DE6C6BB772}" destId="{D7F8E384-A7D8-4050-9210-D7E11325A579}" srcOrd="2" destOrd="0" presId="urn:microsoft.com/office/officeart/2005/8/layout/orgChart1"/>
    <dgm:cxn modelId="{D739601F-6CC5-4A04-B40F-574F4833336F}" type="presParOf" srcId="{807C30DE-0C59-4226-BE70-F1CD2B0DE1D9}" destId="{605C5B48-4701-4775-8313-879EA1AFA7DF}" srcOrd="14" destOrd="0" presId="urn:microsoft.com/office/officeart/2005/8/layout/orgChart1"/>
    <dgm:cxn modelId="{4E4F6973-DA85-4CD1-BDFC-55F2388DDA1B}" type="presParOf" srcId="{807C30DE-0C59-4226-BE70-F1CD2B0DE1D9}" destId="{21CF2E7D-CB2C-49D7-B2C4-2EF9AFBB4FD9}" srcOrd="15" destOrd="0" presId="urn:microsoft.com/office/officeart/2005/8/layout/orgChart1"/>
    <dgm:cxn modelId="{CCD3DCA2-A9F5-482D-90A4-2468496F6389}" type="presParOf" srcId="{21CF2E7D-CB2C-49D7-B2C4-2EF9AFBB4FD9}" destId="{62291637-239A-40CE-8CC2-65D6053E51A1}" srcOrd="0" destOrd="0" presId="urn:microsoft.com/office/officeart/2005/8/layout/orgChart1"/>
    <dgm:cxn modelId="{A53177F4-232E-454F-9ABE-FE4FC2A2EF90}" type="presParOf" srcId="{62291637-239A-40CE-8CC2-65D6053E51A1}" destId="{1D8C5301-37FC-455F-880A-B8EC6310BE1C}" srcOrd="0" destOrd="0" presId="urn:microsoft.com/office/officeart/2005/8/layout/orgChart1"/>
    <dgm:cxn modelId="{606BF070-694E-4239-82A5-6085DC262F80}" type="presParOf" srcId="{62291637-239A-40CE-8CC2-65D6053E51A1}" destId="{EB827E25-E682-43FC-A0B8-75AAD9D58C2F}" srcOrd="1" destOrd="0" presId="urn:microsoft.com/office/officeart/2005/8/layout/orgChart1"/>
    <dgm:cxn modelId="{174CD635-8A59-4A7B-8EBC-F2FB0CDD221D}" type="presParOf" srcId="{21CF2E7D-CB2C-49D7-B2C4-2EF9AFBB4FD9}" destId="{3744B17F-D931-4894-8C9E-FD58AD2756FB}" srcOrd="1" destOrd="0" presId="urn:microsoft.com/office/officeart/2005/8/layout/orgChart1"/>
    <dgm:cxn modelId="{8F4C14A5-4690-4FB8-98F4-419D7D57EBE0}" type="presParOf" srcId="{21CF2E7D-CB2C-49D7-B2C4-2EF9AFBB4FD9}" destId="{6A18F11D-A071-466A-9436-645E834EF15B}" srcOrd="2" destOrd="0" presId="urn:microsoft.com/office/officeart/2005/8/layout/orgChart1"/>
    <dgm:cxn modelId="{146B4FDB-5681-4C94-BDDE-8759C5BC2A4E}" type="presParOf" srcId="{807C30DE-0C59-4226-BE70-F1CD2B0DE1D9}" destId="{294F3DA8-2C3C-480B-85EF-35BEE7385541}" srcOrd="16" destOrd="0" presId="urn:microsoft.com/office/officeart/2005/8/layout/orgChart1"/>
    <dgm:cxn modelId="{E27DB0C2-DFBF-4C73-B0F6-85338AE2B1FF}" type="presParOf" srcId="{807C30DE-0C59-4226-BE70-F1CD2B0DE1D9}" destId="{F3213BF5-84DF-44D9-B143-BEE5DB712EEB}" srcOrd="17" destOrd="0" presId="urn:microsoft.com/office/officeart/2005/8/layout/orgChart1"/>
    <dgm:cxn modelId="{DA256B94-E7EB-4346-91BB-0CD3F4360F2B}" type="presParOf" srcId="{F3213BF5-84DF-44D9-B143-BEE5DB712EEB}" destId="{3891D711-86C9-4FBC-8663-E0975392A6C4}" srcOrd="0" destOrd="0" presId="urn:microsoft.com/office/officeart/2005/8/layout/orgChart1"/>
    <dgm:cxn modelId="{DC4E5046-86AE-432C-8528-27402F1F5A59}" type="presParOf" srcId="{3891D711-86C9-4FBC-8663-E0975392A6C4}" destId="{4E8E5938-5D61-443B-BEE0-212A2890730F}" srcOrd="0" destOrd="0" presId="urn:microsoft.com/office/officeart/2005/8/layout/orgChart1"/>
    <dgm:cxn modelId="{8D4365CE-E94A-41B5-A6BD-09D051A58D93}" type="presParOf" srcId="{3891D711-86C9-4FBC-8663-E0975392A6C4}" destId="{940C74FB-41E2-4487-A62D-8107EF9A1523}" srcOrd="1" destOrd="0" presId="urn:microsoft.com/office/officeart/2005/8/layout/orgChart1"/>
    <dgm:cxn modelId="{D5D352BE-6473-4C67-BC19-FE16DBF58240}" type="presParOf" srcId="{F3213BF5-84DF-44D9-B143-BEE5DB712EEB}" destId="{C9CF72E4-1487-43B1-8EBD-60E683DF0543}" srcOrd="1" destOrd="0" presId="urn:microsoft.com/office/officeart/2005/8/layout/orgChart1"/>
    <dgm:cxn modelId="{EF6B5558-82AE-46E6-8EBE-6CD509709597}" type="presParOf" srcId="{F3213BF5-84DF-44D9-B143-BEE5DB712EEB}" destId="{1EA5AAC8-19FD-4D7E-88B8-356B171D80B4}" srcOrd="2" destOrd="0" presId="urn:microsoft.com/office/officeart/2005/8/layout/orgChart1"/>
    <dgm:cxn modelId="{827BD1F5-1DCF-4A71-81E5-C7B33E0FBE26}" type="presParOf" srcId="{D1659EAA-A5F6-43A7-B774-A62326116416}" destId="{43EE01E2-0A9D-4BCE-87CE-5E2482EC8C4C}" srcOrd="2" destOrd="0" presId="urn:microsoft.com/office/officeart/2005/8/layout/orgChart1"/>
    <dgm:cxn modelId="{9FCF56BD-A362-41D4-9099-64F2C10C5A3D}" type="presParOf" srcId="{13DDB4C3-0D60-4597-A7E3-D55996F3D501}" destId="{EBD55146-8045-4C6B-8576-72CED9C08E80}" srcOrd="2" destOrd="0" presId="urn:microsoft.com/office/officeart/2005/8/layout/orgChart1"/>
    <dgm:cxn modelId="{C1501897-3DCC-4CFC-8BAB-9803CA232237}" type="presParOf" srcId="{13DDB4C3-0D60-4597-A7E3-D55996F3D501}" destId="{64883BCB-2169-4CCC-B6CA-7008B791604A}" srcOrd="3" destOrd="0" presId="urn:microsoft.com/office/officeart/2005/8/layout/orgChart1"/>
    <dgm:cxn modelId="{AD210B7B-4FF1-41F3-892A-D1EB2B37C177}" type="presParOf" srcId="{64883BCB-2169-4CCC-B6CA-7008B791604A}" destId="{D626E795-1DB6-4C07-A483-360CF0BC0419}" srcOrd="0" destOrd="0" presId="urn:microsoft.com/office/officeart/2005/8/layout/orgChart1"/>
    <dgm:cxn modelId="{DD0C7F39-6BCC-4555-BBBB-F9B7E295EC06}" type="presParOf" srcId="{D626E795-1DB6-4C07-A483-360CF0BC0419}" destId="{2F3F7E40-079F-46D2-8070-43B7A32210E6}" srcOrd="0" destOrd="0" presId="urn:microsoft.com/office/officeart/2005/8/layout/orgChart1"/>
    <dgm:cxn modelId="{DD99746F-9936-40F4-A853-67AB4E9DA4BE}" type="presParOf" srcId="{D626E795-1DB6-4C07-A483-360CF0BC0419}" destId="{5D047CD2-B585-41D2-B6EF-C733B8AF6C03}" srcOrd="1" destOrd="0" presId="urn:microsoft.com/office/officeart/2005/8/layout/orgChart1"/>
    <dgm:cxn modelId="{D8220319-EB62-422F-B730-CAA7D5A5652F}" type="presParOf" srcId="{64883BCB-2169-4CCC-B6CA-7008B791604A}" destId="{161B0427-68AA-4877-B216-4F380914B4B9}" srcOrd="1" destOrd="0" presId="urn:microsoft.com/office/officeart/2005/8/layout/orgChart1"/>
    <dgm:cxn modelId="{7692788F-F428-46FC-AF5C-E51CFB2A4D58}" type="presParOf" srcId="{161B0427-68AA-4877-B216-4F380914B4B9}" destId="{831288D2-5932-475E-9CF9-55FDEDF5766C}" srcOrd="0" destOrd="0" presId="urn:microsoft.com/office/officeart/2005/8/layout/orgChart1"/>
    <dgm:cxn modelId="{A370E40B-9B0B-40E9-83C1-8A0D839E2C9F}" type="presParOf" srcId="{161B0427-68AA-4877-B216-4F380914B4B9}" destId="{FA2C949A-EAB0-43FA-9B16-9B258B565775}" srcOrd="1" destOrd="0" presId="urn:microsoft.com/office/officeart/2005/8/layout/orgChart1"/>
    <dgm:cxn modelId="{789C7C0B-61F3-4A16-AABD-D60D858CD659}" type="presParOf" srcId="{FA2C949A-EAB0-43FA-9B16-9B258B565775}" destId="{D7ADB855-447B-473E-B62E-B7A9B0B5D926}" srcOrd="0" destOrd="0" presId="urn:microsoft.com/office/officeart/2005/8/layout/orgChart1"/>
    <dgm:cxn modelId="{2C354FB1-4F09-436B-B485-30BFBD39A8EE}" type="presParOf" srcId="{D7ADB855-447B-473E-B62E-B7A9B0B5D926}" destId="{D97C6B0E-0CA4-4642-8787-12CA52F7FC56}" srcOrd="0" destOrd="0" presId="urn:microsoft.com/office/officeart/2005/8/layout/orgChart1"/>
    <dgm:cxn modelId="{81D9E064-25CC-4CB1-9D25-C7DDB36C7C81}" type="presParOf" srcId="{D7ADB855-447B-473E-B62E-B7A9B0B5D926}" destId="{AC0FB401-EDC5-4D05-828A-390F8EC3468E}" srcOrd="1" destOrd="0" presId="urn:microsoft.com/office/officeart/2005/8/layout/orgChart1"/>
    <dgm:cxn modelId="{53089AA1-96B9-4C96-9792-90E8BAC948CA}" type="presParOf" srcId="{FA2C949A-EAB0-43FA-9B16-9B258B565775}" destId="{3EC1512F-4A95-4746-B755-C386EEA603AB}" srcOrd="1" destOrd="0" presId="urn:microsoft.com/office/officeart/2005/8/layout/orgChart1"/>
    <dgm:cxn modelId="{F41F4070-EE6B-482D-9282-9ADC4DCBFB72}" type="presParOf" srcId="{FA2C949A-EAB0-43FA-9B16-9B258B565775}" destId="{F4FD846C-3A2A-4643-972F-57CA60064B46}" srcOrd="2" destOrd="0" presId="urn:microsoft.com/office/officeart/2005/8/layout/orgChart1"/>
    <dgm:cxn modelId="{C18FA33D-131B-4E22-A871-EE8F34F339CB}" type="presParOf" srcId="{161B0427-68AA-4877-B216-4F380914B4B9}" destId="{0879C6E2-29D7-4B70-ACA4-961A36E3DCA1}" srcOrd="2" destOrd="0" presId="urn:microsoft.com/office/officeart/2005/8/layout/orgChart1"/>
    <dgm:cxn modelId="{A4C196E6-2B7B-40D5-BB00-8EE8BCAC06B6}" type="presParOf" srcId="{161B0427-68AA-4877-B216-4F380914B4B9}" destId="{625FCEBF-EF70-44A6-B46E-0C33F11D64E1}" srcOrd="3" destOrd="0" presId="urn:microsoft.com/office/officeart/2005/8/layout/orgChart1"/>
    <dgm:cxn modelId="{6EF009DA-35B8-4632-B5C8-B28A03EB87CD}" type="presParOf" srcId="{625FCEBF-EF70-44A6-B46E-0C33F11D64E1}" destId="{EAFD9E9E-4D8D-429F-BFC9-9BE2457B2561}" srcOrd="0" destOrd="0" presId="urn:microsoft.com/office/officeart/2005/8/layout/orgChart1"/>
    <dgm:cxn modelId="{91324866-52E4-4048-93C0-855396283091}" type="presParOf" srcId="{EAFD9E9E-4D8D-429F-BFC9-9BE2457B2561}" destId="{3BD5D629-B44A-46F2-83FA-A590F8A03A04}" srcOrd="0" destOrd="0" presId="urn:microsoft.com/office/officeart/2005/8/layout/orgChart1"/>
    <dgm:cxn modelId="{A3FD76AD-D2E1-476E-AAED-7658420EC52F}" type="presParOf" srcId="{EAFD9E9E-4D8D-429F-BFC9-9BE2457B2561}" destId="{FDC79241-A750-44D5-914B-B2E2893FD34D}" srcOrd="1" destOrd="0" presId="urn:microsoft.com/office/officeart/2005/8/layout/orgChart1"/>
    <dgm:cxn modelId="{370F92BE-A38D-43E2-A236-A5076E51D3CB}" type="presParOf" srcId="{625FCEBF-EF70-44A6-B46E-0C33F11D64E1}" destId="{35B300C7-E15B-41D1-943F-7DDC0472CE03}" srcOrd="1" destOrd="0" presId="urn:microsoft.com/office/officeart/2005/8/layout/orgChart1"/>
    <dgm:cxn modelId="{D5E0BA05-E58A-4AE6-9CC9-3A7997A166FD}" type="presParOf" srcId="{625FCEBF-EF70-44A6-B46E-0C33F11D64E1}" destId="{DC03533D-F013-4807-82A4-D4F05253E3A5}" srcOrd="2" destOrd="0" presId="urn:microsoft.com/office/officeart/2005/8/layout/orgChart1"/>
    <dgm:cxn modelId="{C5CC639D-C7CF-4EB4-BEA2-2F02D6E23F95}" type="presParOf" srcId="{161B0427-68AA-4877-B216-4F380914B4B9}" destId="{333689C7-7860-4E1B-90F2-52DEF3DAD9C2}" srcOrd="4" destOrd="0" presId="urn:microsoft.com/office/officeart/2005/8/layout/orgChart1"/>
    <dgm:cxn modelId="{7D4A9EBA-79B2-4D51-9BFF-738C94B0FFA4}" type="presParOf" srcId="{161B0427-68AA-4877-B216-4F380914B4B9}" destId="{29F28C90-556A-4801-B2F6-631275008AD3}" srcOrd="5" destOrd="0" presId="urn:microsoft.com/office/officeart/2005/8/layout/orgChart1"/>
    <dgm:cxn modelId="{064492AC-EE9F-4FA6-B98B-A31ECDD332AE}" type="presParOf" srcId="{29F28C90-556A-4801-B2F6-631275008AD3}" destId="{41C856B5-4845-460C-B23F-89DFAC286738}" srcOrd="0" destOrd="0" presId="urn:microsoft.com/office/officeart/2005/8/layout/orgChart1"/>
    <dgm:cxn modelId="{BCEC8F67-D8CF-4417-80DA-7A3BF8746E4C}" type="presParOf" srcId="{41C856B5-4845-460C-B23F-89DFAC286738}" destId="{016496D2-9BD1-4125-997A-A1D7BB6B56EB}" srcOrd="0" destOrd="0" presId="urn:microsoft.com/office/officeart/2005/8/layout/orgChart1"/>
    <dgm:cxn modelId="{F42AABF6-8184-4BB8-9C5D-A8C85989AD99}" type="presParOf" srcId="{41C856B5-4845-460C-B23F-89DFAC286738}" destId="{3E2CA11E-2702-4C9A-AEC1-08CC22B18CC0}" srcOrd="1" destOrd="0" presId="urn:microsoft.com/office/officeart/2005/8/layout/orgChart1"/>
    <dgm:cxn modelId="{60CB77E1-9AAB-4696-929A-8D1955816E05}" type="presParOf" srcId="{29F28C90-556A-4801-B2F6-631275008AD3}" destId="{05B24158-257A-4429-BC59-29B29A220FC5}" srcOrd="1" destOrd="0" presId="urn:microsoft.com/office/officeart/2005/8/layout/orgChart1"/>
    <dgm:cxn modelId="{D3DB29ED-6DD9-4956-B341-4115DC2DDFDF}" type="presParOf" srcId="{29F28C90-556A-4801-B2F6-631275008AD3}" destId="{38E22B64-30E7-408B-B2C8-679F8297A472}" srcOrd="2" destOrd="0" presId="urn:microsoft.com/office/officeart/2005/8/layout/orgChart1"/>
    <dgm:cxn modelId="{EDB1B266-2B34-4FB0-AAF9-D13003611588}" type="presParOf" srcId="{161B0427-68AA-4877-B216-4F380914B4B9}" destId="{4F7D75AC-9480-4133-87E2-E2649DE98C37}" srcOrd="6" destOrd="0" presId="urn:microsoft.com/office/officeart/2005/8/layout/orgChart1"/>
    <dgm:cxn modelId="{337E8E7A-C81A-4B60-9135-2C21568BFBB9}" type="presParOf" srcId="{161B0427-68AA-4877-B216-4F380914B4B9}" destId="{62279702-C420-499E-9BE1-2AE58B829942}" srcOrd="7" destOrd="0" presId="urn:microsoft.com/office/officeart/2005/8/layout/orgChart1"/>
    <dgm:cxn modelId="{68D11EE0-5787-4BC0-BD06-C4A3F2DFEE23}" type="presParOf" srcId="{62279702-C420-499E-9BE1-2AE58B829942}" destId="{D654074E-179C-4B51-97B7-753FBA6353FB}" srcOrd="0" destOrd="0" presId="urn:microsoft.com/office/officeart/2005/8/layout/orgChart1"/>
    <dgm:cxn modelId="{A5FF34C9-4F2C-4863-9FE2-1E73017C4C72}" type="presParOf" srcId="{D654074E-179C-4B51-97B7-753FBA6353FB}" destId="{A7D99AA5-7289-416F-A842-FB214B6BF6F7}" srcOrd="0" destOrd="0" presId="urn:microsoft.com/office/officeart/2005/8/layout/orgChart1"/>
    <dgm:cxn modelId="{3EADC9EF-4B45-4971-9568-2792909D5755}" type="presParOf" srcId="{D654074E-179C-4B51-97B7-753FBA6353FB}" destId="{82D0866F-8660-4303-A3AA-E746B8575CFA}" srcOrd="1" destOrd="0" presId="urn:microsoft.com/office/officeart/2005/8/layout/orgChart1"/>
    <dgm:cxn modelId="{20F041E2-9C7B-4443-9E73-C9192AECEA97}" type="presParOf" srcId="{62279702-C420-499E-9BE1-2AE58B829942}" destId="{D2BEDE95-26AF-4977-8111-06F0CE11E0FF}" srcOrd="1" destOrd="0" presId="urn:microsoft.com/office/officeart/2005/8/layout/orgChart1"/>
    <dgm:cxn modelId="{73AE1816-0B3C-48EE-B011-D375EBB3D530}" type="presParOf" srcId="{62279702-C420-499E-9BE1-2AE58B829942}" destId="{DEB01161-54F1-40A5-B6CA-0D3FAA018A01}" srcOrd="2" destOrd="0" presId="urn:microsoft.com/office/officeart/2005/8/layout/orgChart1"/>
    <dgm:cxn modelId="{25D06821-9F1A-4C1D-852A-ECF038E4D2C8}" type="presParOf" srcId="{161B0427-68AA-4877-B216-4F380914B4B9}" destId="{854DF693-F9D8-40ED-BA1B-BCC0DED4CCC7}" srcOrd="8" destOrd="0" presId="urn:microsoft.com/office/officeart/2005/8/layout/orgChart1"/>
    <dgm:cxn modelId="{79E0303C-1808-4E6F-B0D1-F7784EA0CC5D}" type="presParOf" srcId="{161B0427-68AA-4877-B216-4F380914B4B9}" destId="{C6BCC491-5FD6-44C4-9914-DB8F8ABD6B57}" srcOrd="9" destOrd="0" presId="urn:microsoft.com/office/officeart/2005/8/layout/orgChart1"/>
    <dgm:cxn modelId="{5AFF46A7-E921-43F4-99E1-D4933A77F570}" type="presParOf" srcId="{C6BCC491-5FD6-44C4-9914-DB8F8ABD6B57}" destId="{273E9163-7F1D-47A2-9803-0434EC639835}" srcOrd="0" destOrd="0" presId="urn:microsoft.com/office/officeart/2005/8/layout/orgChart1"/>
    <dgm:cxn modelId="{D945852B-F4AA-43BF-AA16-3A1A3B92C02E}" type="presParOf" srcId="{273E9163-7F1D-47A2-9803-0434EC639835}" destId="{743A223C-0567-4C07-AC84-09AC0A2089BD}" srcOrd="0" destOrd="0" presId="urn:microsoft.com/office/officeart/2005/8/layout/orgChart1"/>
    <dgm:cxn modelId="{B96AABC7-88F2-4507-91B7-E9647F52DA31}" type="presParOf" srcId="{273E9163-7F1D-47A2-9803-0434EC639835}" destId="{8C55AAF1-3431-4714-BA08-4A7AF67670FF}" srcOrd="1" destOrd="0" presId="urn:microsoft.com/office/officeart/2005/8/layout/orgChart1"/>
    <dgm:cxn modelId="{8A0D064B-441D-4908-B459-A962BAB7C911}" type="presParOf" srcId="{C6BCC491-5FD6-44C4-9914-DB8F8ABD6B57}" destId="{F69610BF-5555-4044-AF05-8C5425F291BD}" srcOrd="1" destOrd="0" presId="urn:microsoft.com/office/officeart/2005/8/layout/orgChart1"/>
    <dgm:cxn modelId="{3EF931E1-FCA5-477A-85C9-198CF4749370}" type="presParOf" srcId="{C6BCC491-5FD6-44C4-9914-DB8F8ABD6B57}" destId="{3547FE30-EACF-4589-9767-39F3AFAF0B62}" srcOrd="2" destOrd="0" presId="urn:microsoft.com/office/officeart/2005/8/layout/orgChart1"/>
    <dgm:cxn modelId="{5B5C18D5-F892-4F1C-A03F-5A0D943F3FB8}" type="presParOf" srcId="{64883BCB-2169-4CCC-B6CA-7008B791604A}" destId="{15E72854-C2EB-4235-927F-D5127C5DF2FE}" srcOrd="2" destOrd="0" presId="urn:microsoft.com/office/officeart/2005/8/layout/orgChart1"/>
    <dgm:cxn modelId="{662E9BBF-A794-4721-998E-A3740687B2BE}" type="presParOf" srcId="{13DDB4C3-0D60-4597-A7E3-D55996F3D501}" destId="{8E385000-70F0-4FC9-8000-269D59E93F1C}" srcOrd="4" destOrd="0" presId="urn:microsoft.com/office/officeart/2005/8/layout/orgChart1"/>
    <dgm:cxn modelId="{C84117A3-DD33-45A9-BB7C-F718DF1E0504}" type="presParOf" srcId="{13DDB4C3-0D60-4597-A7E3-D55996F3D501}" destId="{0E220C4A-7378-4319-A875-239AC1103F89}" srcOrd="5" destOrd="0" presId="urn:microsoft.com/office/officeart/2005/8/layout/orgChart1"/>
    <dgm:cxn modelId="{9F341FA1-BED6-4531-BAD6-85B1A9FE9DD0}" type="presParOf" srcId="{0E220C4A-7378-4319-A875-239AC1103F89}" destId="{5D10EF6E-FAF4-4828-B278-76C79065F67F}" srcOrd="0" destOrd="0" presId="urn:microsoft.com/office/officeart/2005/8/layout/orgChart1"/>
    <dgm:cxn modelId="{8302C0C1-8028-4B97-A52F-C465B175824B}" type="presParOf" srcId="{5D10EF6E-FAF4-4828-B278-76C79065F67F}" destId="{BDC147E6-8871-4EA7-A8E8-60EE912F1727}" srcOrd="0" destOrd="0" presId="urn:microsoft.com/office/officeart/2005/8/layout/orgChart1"/>
    <dgm:cxn modelId="{C295548D-F173-4EE5-95CC-2B91D1DD3E97}" type="presParOf" srcId="{5D10EF6E-FAF4-4828-B278-76C79065F67F}" destId="{E8004E2B-3C32-4A36-A1AC-85C045781A67}" srcOrd="1" destOrd="0" presId="urn:microsoft.com/office/officeart/2005/8/layout/orgChart1"/>
    <dgm:cxn modelId="{811BF4C4-95E4-43A3-BA10-20B80CCD3020}" type="presParOf" srcId="{0E220C4A-7378-4319-A875-239AC1103F89}" destId="{933FAF06-413D-4090-809B-105795266EDA}" srcOrd="1" destOrd="0" presId="urn:microsoft.com/office/officeart/2005/8/layout/orgChart1"/>
    <dgm:cxn modelId="{6E73FC3C-6B7D-46BB-AB77-F47C6DE0FC0C}" type="presParOf" srcId="{933FAF06-413D-4090-809B-105795266EDA}" destId="{051B9C95-24ED-46C3-A8CF-CF6625967647}" srcOrd="0" destOrd="0" presId="urn:microsoft.com/office/officeart/2005/8/layout/orgChart1"/>
    <dgm:cxn modelId="{C6E50BD6-8609-42F1-8CB4-4ABFF294B291}" type="presParOf" srcId="{933FAF06-413D-4090-809B-105795266EDA}" destId="{A279F12B-D460-4F47-9493-14A2A748E198}" srcOrd="1" destOrd="0" presId="urn:microsoft.com/office/officeart/2005/8/layout/orgChart1"/>
    <dgm:cxn modelId="{35E11AFC-32B3-42BC-8A1B-B0AE9E4ECA8E}" type="presParOf" srcId="{A279F12B-D460-4F47-9493-14A2A748E198}" destId="{0E64E15B-D905-441B-926B-039BD387DB12}" srcOrd="0" destOrd="0" presId="urn:microsoft.com/office/officeart/2005/8/layout/orgChart1"/>
    <dgm:cxn modelId="{E7DEB81F-8545-4887-8408-0C63123B9A78}" type="presParOf" srcId="{0E64E15B-D905-441B-926B-039BD387DB12}" destId="{3CF89496-0578-4C97-873B-B7694AC9FCD7}" srcOrd="0" destOrd="0" presId="urn:microsoft.com/office/officeart/2005/8/layout/orgChart1"/>
    <dgm:cxn modelId="{246F5EFB-7399-4E25-A652-5CD94F5C1BC4}" type="presParOf" srcId="{0E64E15B-D905-441B-926B-039BD387DB12}" destId="{ED8D8B67-F9B4-4875-9900-A04DC2A190E4}" srcOrd="1" destOrd="0" presId="urn:microsoft.com/office/officeart/2005/8/layout/orgChart1"/>
    <dgm:cxn modelId="{E406FD43-CB11-4260-A71E-38A13C341DA1}" type="presParOf" srcId="{A279F12B-D460-4F47-9493-14A2A748E198}" destId="{F6E108CD-617A-479B-925C-A601EFA26751}" srcOrd="1" destOrd="0" presId="urn:microsoft.com/office/officeart/2005/8/layout/orgChart1"/>
    <dgm:cxn modelId="{4FE2ABDB-2F28-4598-BEE4-973E74C8BF15}" type="presParOf" srcId="{A279F12B-D460-4F47-9493-14A2A748E198}" destId="{25AE7C71-9A41-4428-ABCD-DA63E842AF5E}" srcOrd="2" destOrd="0" presId="urn:microsoft.com/office/officeart/2005/8/layout/orgChart1"/>
    <dgm:cxn modelId="{3D49A2D4-72AC-495A-B0CB-ACAB4421055F}" type="presParOf" srcId="{933FAF06-413D-4090-809B-105795266EDA}" destId="{A1F9B978-F512-459E-8D4D-B18D8628A18B}" srcOrd="2" destOrd="0" presId="urn:microsoft.com/office/officeart/2005/8/layout/orgChart1"/>
    <dgm:cxn modelId="{DE511DC7-1733-4AF9-9E79-FAE53DE3A0A4}" type="presParOf" srcId="{933FAF06-413D-4090-809B-105795266EDA}" destId="{A0BA809A-906A-4C85-93E5-7FEC0CD7BC91}" srcOrd="3" destOrd="0" presId="urn:microsoft.com/office/officeart/2005/8/layout/orgChart1"/>
    <dgm:cxn modelId="{C96CC13B-8D11-47FA-B01D-486EAB27BBB6}" type="presParOf" srcId="{A0BA809A-906A-4C85-93E5-7FEC0CD7BC91}" destId="{10404FEC-F42C-4427-8DD1-47F9799D2B5F}" srcOrd="0" destOrd="0" presId="urn:microsoft.com/office/officeart/2005/8/layout/orgChart1"/>
    <dgm:cxn modelId="{679C278E-12F6-4B49-A3DB-EF70F720D47E}" type="presParOf" srcId="{10404FEC-F42C-4427-8DD1-47F9799D2B5F}" destId="{FCDE16EF-E941-4E66-A369-BC4894259277}" srcOrd="0" destOrd="0" presId="urn:microsoft.com/office/officeart/2005/8/layout/orgChart1"/>
    <dgm:cxn modelId="{9F3A1578-87C9-4A84-AFE4-3A78E9846D45}" type="presParOf" srcId="{10404FEC-F42C-4427-8DD1-47F9799D2B5F}" destId="{9A5156B4-BFEA-4BFB-A196-7E247CABCADB}" srcOrd="1" destOrd="0" presId="urn:microsoft.com/office/officeart/2005/8/layout/orgChart1"/>
    <dgm:cxn modelId="{D6A1A591-41F1-42EF-9173-820F1336D7B3}" type="presParOf" srcId="{A0BA809A-906A-4C85-93E5-7FEC0CD7BC91}" destId="{21EC18BC-F4EE-4326-A58A-B33DB759FDD8}" srcOrd="1" destOrd="0" presId="urn:microsoft.com/office/officeart/2005/8/layout/orgChart1"/>
    <dgm:cxn modelId="{17E0ED07-FDA8-4640-B382-E1A4FEA11E76}" type="presParOf" srcId="{A0BA809A-906A-4C85-93E5-7FEC0CD7BC91}" destId="{B145E3C0-E6D1-4561-B8E9-30C9D37E9224}" srcOrd="2" destOrd="0" presId="urn:microsoft.com/office/officeart/2005/8/layout/orgChart1"/>
    <dgm:cxn modelId="{FFF4555D-184D-475C-9184-DAA96CD6725A}" type="presParOf" srcId="{933FAF06-413D-4090-809B-105795266EDA}" destId="{3023A377-AB31-4084-BCFD-8F862D4AEB15}" srcOrd="4" destOrd="0" presId="urn:microsoft.com/office/officeart/2005/8/layout/orgChart1"/>
    <dgm:cxn modelId="{3E4D030D-C450-4623-8B3D-66B1B9933F7B}" type="presParOf" srcId="{933FAF06-413D-4090-809B-105795266EDA}" destId="{D1A64AB9-E591-4F53-AAF6-0A2491D54AF0}" srcOrd="5" destOrd="0" presId="urn:microsoft.com/office/officeart/2005/8/layout/orgChart1"/>
    <dgm:cxn modelId="{776CC764-C9E0-426D-A805-A06E796188AB}" type="presParOf" srcId="{D1A64AB9-E591-4F53-AAF6-0A2491D54AF0}" destId="{E423337F-AA0F-4050-A63B-4155103AD28C}" srcOrd="0" destOrd="0" presId="urn:microsoft.com/office/officeart/2005/8/layout/orgChart1"/>
    <dgm:cxn modelId="{6401AC2B-8F62-4492-80FB-2AD5015F5244}" type="presParOf" srcId="{E423337F-AA0F-4050-A63B-4155103AD28C}" destId="{F8FD6581-6201-40CA-A902-4A567D56633E}" srcOrd="0" destOrd="0" presId="urn:microsoft.com/office/officeart/2005/8/layout/orgChart1"/>
    <dgm:cxn modelId="{F7BD61DA-850D-4487-95D7-85918B4899AF}" type="presParOf" srcId="{E423337F-AA0F-4050-A63B-4155103AD28C}" destId="{88271DD5-DBE6-409A-B7F8-B3520A3D4D5A}" srcOrd="1" destOrd="0" presId="urn:microsoft.com/office/officeart/2005/8/layout/orgChart1"/>
    <dgm:cxn modelId="{2E2D1C1E-F54E-4BE5-BB0E-721BB9DF0205}" type="presParOf" srcId="{D1A64AB9-E591-4F53-AAF6-0A2491D54AF0}" destId="{229254C7-2FC0-4D14-BA0A-15CA1A6A4D9B}" srcOrd="1" destOrd="0" presId="urn:microsoft.com/office/officeart/2005/8/layout/orgChart1"/>
    <dgm:cxn modelId="{60A49F35-96FD-41ED-ADEB-6C51E27BBFB2}" type="presParOf" srcId="{D1A64AB9-E591-4F53-AAF6-0A2491D54AF0}" destId="{48DF0634-A857-4DFD-95F7-09333E2C102A}" srcOrd="2" destOrd="0" presId="urn:microsoft.com/office/officeart/2005/8/layout/orgChart1"/>
    <dgm:cxn modelId="{D6209567-4A9A-4155-AAC3-52C5D6F59058}" type="presParOf" srcId="{933FAF06-413D-4090-809B-105795266EDA}" destId="{D6818D12-B24E-4069-895B-E1648FA8CB22}" srcOrd="6" destOrd="0" presId="urn:microsoft.com/office/officeart/2005/8/layout/orgChart1"/>
    <dgm:cxn modelId="{D8695B15-9DAE-4E23-A984-3EB3A5248C15}" type="presParOf" srcId="{933FAF06-413D-4090-809B-105795266EDA}" destId="{7C13B109-B5E3-42CB-B9E3-467E391D82C3}" srcOrd="7" destOrd="0" presId="urn:microsoft.com/office/officeart/2005/8/layout/orgChart1"/>
    <dgm:cxn modelId="{96698BF4-2933-4B02-8CC4-320B5D018555}" type="presParOf" srcId="{7C13B109-B5E3-42CB-B9E3-467E391D82C3}" destId="{9822D9E4-E140-435A-948D-CCACBBAEABFA}" srcOrd="0" destOrd="0" presId="urn:microsoft.com/office/officeart/2005/8/layout/orgChart1"/>
    <dgm:cxn modelId="{2B7E2000-1830-4F86-8F2E-C5B38C1F9B00}" type="presParOf" srcId="{9822D9E4-E140-435A-948D-CCACBBAEABFA}" destId="{9516D145-26D6-44D3-897C-8FF25FA978A7}" srcOrd="0" destOrd="0" presId="urn:microsoft.com/office/officeart/2005/8/layout/orgChart1"/>
    <dgm:cxn modelId="{68DF90CE-4657-43CC-B3C5-1C7B06DC7708}" type="presParOf" srcId="{9822D9E4-E140-435A-948D-CCACBBAEABFA}" destId="{CDA5AD1B-AD01-4C99-9790-42AD7D231DE7}" srcOrd="1" destOrd="0" presId="urn:microsoft.com/office/officeart/2005/8/layout/orgChart1"/>
    <dgm:cxn modelId="{5C061C92-A552-48E5-887B-3741C2F71D6A}" type="presParOf" srcId="{7C13B109-B5E3-42CB-B9E3-467E391D82C3}" destId="{1CF8D398-A4EC-461F-BEDC-5247EC5A8C11}" srcOrd="1" destOrd="0" presId="urn:microsoft.com/office/officeart/2005/8/layout/orgChart1"/>
    <dgm:cxn modelId="{37E88ECA-A160-4135-85FA-4F9C2682E8F6}" type="presParOf" srcId="{7C13B109-B5E3-42CB-B9E3-467E391D82C3}" destId="{EE6AEA5A-051C-4925-BD4D-49D8BAC2FCC8}" srcOrd="2" destOrd="0" presId="urn:microsoft.com/office/officeart/2005/8/layout/orgChart1"/>
    <dgm:cxn modelId="{7FC793A7-0539-486B-B6AC-B078B3357AC9}" type="presParOf" srcId="{0E220C4A-7378-4319-A875-239AC1103F89}" destId="{34CC24AD-7E91-4FA6-BCCF-24DD53398C28}" srcOrd="2" destOrd="0" presId="urn:microsoft.com/office/officeart/2005/8/layout/orgChart1"/>
    <dgm:cxn modelId="{5A0DAA6F-EB2E-413D-8361-DAC7E1C1AAE9}" type="presParOf" srcId="{13DDB4C3-0D60-4597-A7E3-D55996F3D501}" destId="{5CF7E422-49B7-4152-BAB8-FC63F2BF9160}" srcOrd="6" destOrd="0" presId="urn:microsoft.com/office/officeart/2005/8/layout/orgChart1"/>
    <dgm:cxn modelId="{D5198C3F-457C-4080-B755-0DE8E08F955A}" type="presParOf" srcId="{13DDB4C3-0D60-4597-A7E3-D55996F3D501}" destId="{24B98033-8D90-407A-B43B-5B2959C2E033}" srcOrd="7" destOrd="0" presId="urn:microsoft.com/office/officeart/2005/8/layout/orgChart1"/>
    <dgm:cxn modelId="{1E56E140-96F5-435A-87EF-AAE20E947F2F}" type="presParOf" srcId="{24B98033-8D90-407A-B43B-5B2959C2E033}" destId="{D97066FA-0E2C-4AF2-AC4C-1DB194C18EEE}" srcOrd="0" destOrd="0" presId="urn:microsoft.com/office/officeart/2005/8/layout/orgChart1"/>
    <dgm:cxn modelId="{084CE08C-C5E7-415E-A5D9-D1060F28EA9B}" type="presParOf" srcId="{D97066FA-0E2C-4AF2-AC4C-1DB194C18EEE}" destId="{8DE7FA51-B0F9-4640-B35D-FD71CF99804D}" srcOrd="0" destOrd="0" presId="urn:microsoft.com/office/officeart/2005/8/layout/orgChart1"/>
    <dgm:cxn modelId="{6C4F36DE-CFF3-451D-AB67-96CCACBA9BA8}" type="presParOf" srcId="{D97066FA-0E2C-4AF2-AC4C-1DB194C18EEE}" destId="{06F11B46-2FB9-477C-BC1B-90C7E023E04D}" srcOrd="1" destOrd="0" presId="urn:microsoft.com/office/officeart/2005/8/layout/orgChart1"/>
    <dgm:cxn modelId="{7A1EAFAD-E635-4B4C-926D-263B5CF8FD9E}" type="presParOf" srcId="{24B98033-8D90-407A-B43B-5B2959C2E033}" destId="{878A3ECF-238A-4A9A-AFA3-1A05B3273911}" srcOrd="1" destOrd="0" presId="urn:microsoft.com/office/officeart/2005/8/layout/orgChart1"/>
    <dgm:cxn modelId="{FD8B81DE-6FD1-42E4-9A86-8DDF3705CBAA}" type="presParOf" srcId="{878A3ECF-238A-4A9A-AFA3-1A05B3273911}" destId="{6FAA0D14-02C4-41EF-B2DF-6A952974F2EC}" srcOrd="0" destOrd="0" presId="urn:microsoft.com/office/officeart/2005/8/layout/orgChart1"/>
    <dgm:cxn modelId="{A94072CE-0C05-4B31-BB61-60D7A936BFD1}" type="presParOf" srcId="{878A3ECF-238A-4A9A-AFA3-1A05B3273911}" destId="{402D85B3-0D91-4A30-BB83-098BD8DB3678}" srcOrd="1" destOrd="0" presId="urn:microsoft.com/office/officeart/2005/8/layout/orgChart1"/>
    <dgm:cxn modelId="{DC5CDB22-15A5-4C89-8B46-E47CCBF10752}" type="presParOf" srcId="{402D85B3-0D91-4A30-BB83-098BD8DB3678}" destId="{BB578ABC-476B-4EAA-A71A-0A544C8CC85F}" srcOrd="0" destOrd="0" presId="urn:microsoft.com/office/officeart/2005/8/layout/orgChart1"/>
    <dgm:cxn modelId="{36591223-5D78-4DCD-B1D4-0835D7252EAC}" type="presParOf" srcId="{BB578ABC-476B-4EAA-A71A-0A544C8CC85F}" destId="{AED77F61-D481-4F5F-B12C-CC8E1069DEC4}" srcOrd="0" destOrd="0" presId="urn:microsoft.com/office/officeart/2005/8/layout/orgChart1"/>
    <dgm:cxn modelId="{482B4D71-E4A5-47F9-8D47-21500BE5EB10}" type="presParOf" srcId="{BB578ABC-476B-4EAA-A71A-0A544C8CC85F}" destId="{2AA7AAEA-4596-4A15-A250-7C6D01E2B7DD}" srcOrd="1" destOrd="0" presId="urn:microsoft.com/office/officeart/2005/8/layout/orgChart1"/>
    <dgm:cxn modelId="{1D2EF1D3-450A-4B81-ABC1-14CC68AEEA96}" type="presParOf" srcId="{402D85B3-0D91-4A30-BB83-098BD8DB3678}" destId="{B282C05B-0A79-4140-BCE0-4E7B9C3420BD}" srcOrd="1" destOrd="0" presId="urn:microsoft.com/office/officeart/2005/8/layout/orgChart1"/>
    <dgm:cxn modelId="{43505314-42EB-48AB-9A28-AD05DFBD8E54}" type="presParOf" srcId="{402D85B3-0D91-4A30-BB83-098BD8DB3678}" destId="{D38E680A-9DE7-4DC2-A359-425E0B3149F7}" srcOrd="2" destOrd="0" presId="urn:microsoft.com/office/officeart/2005/8/layout/orgChart1"/>
    <dgm:cxn modelId="{C5522E35-1D96-4403-BB17-9E2101BBE648}" type="presParOf" srcId="{878A3ECF-238A-4A9A-AFA3-1A05B3273911}" destId="{AA844D41-C2EA-4BCE-A1F1-029FFC1EA975}" srcOrd="2" destOrd="0" presId="urn:microsoft.com/office/officeart/2005/8/layout/orgChart1"/>
    <dgm:cxn modelId="{E885C212-157D-484A-8A32-933ED307DBF1}" type="presParOf" srcId="{878A3ECF-238A-4A9A-AFA3-1A05B3273911}" destId="{2F511B03-7799-4BA5-8017-B2DB179A2B5A}" srcOrd="3" destOrd="0" presId="urn:microsoft.com/office/officeart/2005/8/layout/orgChart1"/>
    <dgm:cxn modelId="{E2791E07-40AE-41D7-941A-3EC04BEA9205}" type="presParOf" srcId="{2F511B03-7799-4BA5-8017-B2DB179A2B5A}" destId="{97F64D9D-982B-4F25-A19D-7291F6199BA9}" srcOrd="0" destOrd="0" presId="urn:microsoft.com/office/officeart/2005/8/layout/orgChart1"/>
    <dgm:cxn modelId="{0EA882B0-9D56-4436-A270-ECBEC1808974}" type="presParOf" srcId="{97F64D9D-982B-4F25-A19D-7291F6199BA9}" destId="{C4EFC886-DC90-4D63-8D8A-BA9A2EF65C67}" srcOrd="0" destOrd="0" presId="urn:microsoft.com/office/officeart/2005/8/layout/orgChart1"/>
    <dgm:cxn modelId="{66808DEA-9A13-411E-AFDD-F2D3244FD562}" type="presParOf" srcId="{97F64D9D-982B-4F25-A19D-7291F6199BA9}" destId="{DD776819-9D32-422F-ACEC-6EECEE002578}" srcOrd="1" destOrd="0" presId="urn:microsoft.com/office/officeart/2005/8/layout/orgChart1"/>
    <dgm:cxn modelId="{7EFF82CF-86D1-43FA-A69D-8BF6D7D4F71A}" type="presParOf" srcId="{2F511B03-7799-4BA5-8017-B2DB179A2B5A}" destId="{A0E05CF2-4639-473E-B3BF-B1A83551A063}" srcOrd="1" destOrd="0" presId="urn:microsoft.com/office/officeart/2005/8/layout/orgChart1"/>
    <dgm:cxn modelId="{A01128E6-6D78-4B12-B8FD-26050616DFB1}" type="presParOf" srcId="{2F511B03-7799-4BA5-8017-B2DB179A2B5A}" destId="{431DD116-BC30-4106-A427-0558E32AB57F}" srcOrd="2" destOrd="0" presId="urn:microsoft.com/office/officeart/2005/8/layout/orgChart1"/>
    <dgm:cxn modelId="{B927C1B3-3C08-4287-B4EF-B238CE9570DF}" type="presParOf" srcId="{878A3ECF-238A-4A9A-AFA3-1A05B3273911}" destId="{A114889E-141A-43A9-9198-75DD20A1921B}" srcOrd="4" destOrd="0" presId="urn:microsoft.com/office/officeart/2005/8/layout/orgChart1"/>
    <dgm:cxn modelId="{9E739A66-B395-48A5-8F8C-3B23EF082307}" type="presParOf" srcId="{878A3ECF-238A-4A9A-AFA3-1A05B3273911}" destId="{EAE3E303-6EC1-4A3F-B24E-2B3C2B639D6B}" srcOrd="5" destOrd="0" presId="urn:microsoft.com/office/officeart/2005/8/layout/orgChart1"/>
    <dgm:cxn modelId="{03A970A1-1846-4BA8-A880-E14AA3D44D42}" type="presParOf" srcId="{EAE3E303-6EC1-4A3F-B24E-2B3C2B639D6B}" destId="{85BFB48B-36A2-43A9-AEAD-F190306A3933}" srcOrd="0" destOrd="0" presId="urn:microsoft.com/office/officeart/2005/8/layout/orgChart1"/>
    <dgm:cxn modelId="{544A6BA0-C170-4D76-8606-3B68CAB7793A}" type="presParOf" srcId="{85BFB48B-36A2-43A9-AEAD-F190306A3933}" destId="{FE6FD7C3-42D2-4614-B277-F0D2A781149B}" srcOrd="0" destOrd="0" presId="urn:microsoft.com/office/officeart/2005/8/layout/orgChart1"/>
    <dgm:cxn modelId="{8DE18CBA-4B01-40A7-83F5-F7EEC4AF43F2}" type="presParOf" srcId="{85BFB48B-36A2-43A9-AEAD-F190306A3933}" destId="{36156576-32D1-4C3A-BF33-789F1E7A5BB2}" srcOrd="1" destOrd="0" presId="urn:microsoft.com/office/officeart/2005/8/layout/orgChart1"/>
    <dgm:cxn modelId="{8E402F26-4789-4B5C-86DA-1B780CF763E5}" type="presParOf" srcId="{EAE3E303-6EC1-4A3F-B24E-2B3C2B639D6B}" destId="{CD477A6D-CBFD-4266-9664-4EFA9970D497}" srcOrd="1" destOrd="0" presId="urn:microsoft.com/office/officeart/2005/8/layout/orgChart1"/>
    <dgm:cxn modelId="{6E60E8C0-3D5F-4385-AC06-972577897388}" type="presParOf" srcId="{EAE3E303-6EC1-4A3F-B24E-2B3C2B639D6B}" destId="{82DB9BBC-8696-4D38-91FC-5D9E1E767F3D}" srcOrd="2" destOrd="0" presId="urn:microsoft.com/office/officeart/2005/8/layout/orgChart1"/>
    <dgm:cxn modelId="{24584914-43D3-4A21-B2FE-2754C8C05277}" type="presParOf" srcId="{878A3ECF-238A-4A9A-AFA3-1A05B3273911}" destId="{3BDBB033-DA5A-42F7-AA19-6643D7B83E5F}" srcOrd="6" destOrd="0" presId="urn:microsoft.com/office/officeart/2005/8/layout/orgChart1"/>
    <dgm:cxn modelId="{CC0137E8-4EAD-4277-B500-78511A4A7303}" type="presParOf" srcId="{878A3ECF-238A-4A9A-AFA3-1A05B3273911}" destId="{7BAEE7C0-CC31-469D-A55A-820F9844C7B2}" srcOrd="7" destOrd="0" presId="urn:microsoft.com/office/officeart/2005/8/layout/orgChart1"/>
    <dgm:cxn modelId="{9A0828D7-7468-4D47-B31C-DBE5343FB29C}" type="presParOf" srcId="{7BAEE7C0-CC31-469D-A55A-820F9844C7B2}" destId="{FC59D5A2-37C7-442C-A36B-B51DD04CBC6F}" srcOrd="0" destOrd="0" presId="urn:microsoft.com/office/officeart/2005/8/layout/orgChart1"/>
    <dgm:cxn modelId="{9859EDE6-63A7-4251-A018-00179A9E3D37}" type="presParOf" srcId="{FC59D5A2-37C7-442C-A36B-B51DD04CBC6F}" destId="{15E5EE25-D21D-4742-8F20-7AB5D7559FCB}" srcOrd="0" destOrd="0" presId="urn:microsoft.com/office/officeart/2005/8/layout/orgChart1"/>
    <dgm:cxn modelId="{65041AEB-A5C8-4EBE-9C7D-88A45322D878}" type="presParOf" srcId="{FC59D5A2-37C7-442C-A36B-B51DD04CBC6F}" destId="{A3E00E92-A59E-4D77-8E79-B2B312F7718A}" srcOrd="1" destOrd="0" presId="urn:microsoft.com/office/officeart/2005/8/layout/orgChart1"/>
    <dgm:cxn modelId="{0DED2F63-07A3-4B90-BF4C-37B06071D3A0}" type="presParOf" srcId="{7BAEE7C0-CC31-469D-A55A-820F9844C7B2}" destId="{37AC68F4-756F-4659-97FA-3F6ADAFDA02E}" srcOrd="1" destOrd="0" presId="urn:microsoft.com/office/officeart/2005/8/layout/orgChart1"/>
    <dgm:cxn modelId="{FD516860-2396-4413-8FD1-FD1F34967B3D}" type="presParOf" srcId="{7BAEE7C0-CC31-469D-A55A-820F9844C7B2}" destId="{A9FF484E-9A1C-4A75-AE4E-7248711B88A1}" srcOrd="2" destOrd="0" presId="urn:microsoft.com/office/officeart/2005/8/layout/orgChart1"/>
    <dgm:cxn modelId="{23A08C1E-1034-41A5-AA30-4BDCC8D18F31}" type="presParOf" srcId="{24B98033-8D90-407A-B43B-5B2959C2E033}" destId="{084C2E56-91F7-4E8F-B1AD-D64D5D61D15C}" srcOrd="2" destOrd="0" presId="urn:microsoft.com/office/officeart/2005/8/layout/orgChart1"/>
    <dgm:cxn modelId="{0514C52D-1CF3-4924-AC54-85944C989320}" type="presParOf" srcId="{388856BD-B2CE-4B04-A9D1-05EB772B303B}" destId="{FB69F1F2-FFD1-417C-82CA-59C5357A3243}" srcOrd="2" destOrd="0" presId="urn:microsoft.com/office/officeart/2005/8/layout/orgChart1"/>
    <dgm:cxn modelId="{8E130445-05CA-48D6-892B-CD1D06A5C3C4}" type="presParOf" srcId="{F307BDAE-34F9-46DC-802D-E8AF4D91E2FF}" destId="{A6864419-3D5E-434E-BB5A-29FD6B15E81B}" srcOrd="12" destOrd="0" presId="urn:microsoft.com/office/officeart/2005/8/layout/orgChart1"/>
    <dgm:cxn modelId="{975612B2-7D52-4B6C-8158-E72A26E26D8A}" type="presParOf" srcId="{F307BDAE-34F9-46DC-802D-E8AF4D91E2FF}" destId="{C598C9F6-4B7B-4F50-A75E-192951DC67DA}" srcOrd="13" destOrd="0" presId="urn:microsoft.com/office/officeart/2005/8/layout/orgChart1"/>
    <dgm:cxn modelId="{894ABDD1-5800-4406-8B27-C7704E359818}" type="presParOf" srcId="{C598C9F6-4B7B-4F50-A75E-192951DC67DA}" destId="{FC357F96-A3A0-4953-A7DE-23C9FB2FE9D9}" srcOrd="0" destOrd="0" presId="urn:microsoft.com/office/officeart/2005/8/layout/orgChart1"/>
    <dgm:cxn modelId="{617C927E-96A2-4307-BB1E-E42223699D45}" type="presParOf" srcId="{FC357F96-A3A0-4953-A7DE-23C9FB2FE9D9}" destId="{CC83D1EA-987A-4420-AC1F-8009DEDCBE32}" srcOrd="0" destOrd="0" presId="urn:microsoft.com/office/officeart/2005/8/layout/orgChart1"/>
    <dgm:cxn modelId="{58E3A3BF-AC12-4A12-B44D-7379A2E2EE91}" type="presParOf" srcId="{FC357F96-A3A0-4953-A7DE-23C9FB2FE9D9}" destId="{DA085A28-DCFA-475C-9DD8-F77FE2D72845}" srcOrd="1" destOrd="0" presId="urn:microsoft.com/office/officeart/2005/8/layout/orgChart1"/>
    <dgm:cxn modelId="{6A60C689-8DC1-420E-BDE1-22FED100DAAC}" type="presParOf" srcId="{C598C9F6-4B7B-4F50-A75E-192951DC67DA}" destId="{7F124D49-A67C-4E3E-9693-E390D0AA6BA0}" srcOrd="1" destOrd="0" presId="urn:microsoft.com/office/officeart/2005/8/layout/orgChart1"/>
    <dgm:cxn modelId="{2E28CB00-5140-4E2A-8DBB-D39016C32236}" type="presParOf" srcId="{7F124D49-A67C-4E3E-9693-E390D0AA6BA0}" destId="{6F891AE3-6A53-4F71-88ED-8E8630589331}" srcOrd="0" destOrd="0" presId="urn:microsoft.com/office/officeart/2005/8/layout/orgChart1"/>
    <dgm:cxn modelId="{73087F32-176E-457F-A47E-58F3BCE9F862}" type="presParOf" srcId="{7F124D49-A67C-4E3E-9693-E390D0AA6BA0}" destId="{E7079E46-72B3-4BDB-83DA-385990C82A9D}" srcOrd="1" destOrd="0" presId="urn:microsoft.com/office/officeart/2005/8/layout/orgChart1"/>
    <dgm:cxn modelId="{BB3D19FB-182D-40C8-93E8-C24F34431563}" type="presParOf" srcId="{E7079E46-72B3-4BDB-83DA-385990C82A9D}" destId="{77E8B810-6D10-44CC-8D21-DFBF928503D0}" srcOrd="0" destOrd="0" presId="urn:microsoft.com/office/officeart/2005/8/layout/orgChart1"/>
    <dgm:cxn modelId="{8F5F8A8C-614A-4969-B2B3-1D255B1EDCFC}" type="presParOf" srcId="{77E8B810-6D10-44CC-8D21-DFBF928503D0}" destId="{99F5ECD1-26A5-4D38-B952-E2030F3C296B}" srcOrd="0" destOrd="0" presId="urn:microsoft.com/office/officeart/2005/8/layout/orgChart1"/>
    <dgm:cxn modelId="{B3C6B59A-E6C7-4C1A-9284-A00C5500C3EC}" type="presParOf" srcId="{77E8B810-6D10-44CC-8D21-DFBF928503D0}" destId="{505E9824-90A0-4325-8A9F-0E329F51E140}" srcOrd="1" destOrd="0" presId="urn:microsoft.com/office/officeart/2005/8/layout/orgChart1"/>
    <dgm:cxn modelId="{94862C43-02D3-4D01-A65B-5913463EC2C6}" type="presParOf" srcId="{E7079E46-72B3-4BDB-83DA-385990C82A9D}" destId="{41D9A6FE-640B-4F05-98E3-C70AE9B02DD8}" srcOrd="1" destOrd="0" presId="urn:microsoft.com/office/officeart/2005/8/layout/orgChart1"/>
    <dgm:cxn modelId="{A5FACDC2-A107-4C4B-A170-7B8C7EF072A5}" type="presParOf" srcId="{41D9A6FE-640B-4F05-98E3-C70AE9B02DD8}" destId="{EE5A63D8-BA54-4855-9013-9255A604E001}" srcOrd="0" destOrd="0" presId="urn:microsoft.com/office/officeart/2005/8/layout/orgChart1"/>
    <dgm:cxn modelId="{8DC11767-833D-4AF2-B8E7-5ECE59CB2472}" type="presParOf" srcId="{41D9A6FE-640B-4F05-98E3-C70AE9B02DD8}" destId="{F302202B-9651-4589-8F05-CDB4BD116920}" srcOrd="1" destOrd="0" presId="urn:microsoft.com/office/officeart/2005/8/layout/orgChart1"/>
    <dgm:cxn modelId="{75B6A8A1-DD0F-45E6-AE08-B77A9B3A34E4}" type="presParOf" srcId="{F302202B-9651-4589-8F05-CDB4BD116920}" destId="{636B07A6-E821-4731-8F28-A1B843D1B92D}" srcOrd="0" destOrd="0" presId="urn:microsoft.com/office/officeart/2005/8/layout/orgChart1"/>
    <dgm:cxn modelId="{FF37A20F-F1F5-4E94-BED1-CF2C22C3FBAB}" type="presParOf" srcId="{636B07A6-E821-4731-8F28-A1B843D1B92D}" destId="{98DD97CC-08CE-41BD-9468-7C5D305ADF8F}" srcOrd="0" destOrd="0" presId="urn:microsoft.com/office/officeart/2005/8/layout/orgChart1"/>
    <dgm:cxn modelId="{56E30366-A02E-459E-989C-058797791761}" type="presParOf" srcId="{636B07A6-E821-4731-8F28-A1B843D1B92D}" destId="{3DE7BF9D-03C7-4941-88C5-CAED96B15AB6}" srcOrd="1" destOrd="0" presId="urn:microsoft.com/office/officeart/2005/8/layout/orgChart1"/>
    <dgm:cxn modelId="{E2697A89-5AEC-48DE-89E6-31F0E2DA6147}" type="presParOf" srcId="{F302202B-9651-4589-8F05-CDB4BD116920}" destId="{C357CE68-6B68-4E29-9029-5E48CAA36C9B}" srcOrd="1" destOrd="0" presId="urn:microsoft.com/office/officeart/2005/8/layout/orgChart1"/>
    <dgm:cxn modelId="{1A94AFC9-F68D-4493-9467-95CF3D8D8237}" type="presParOf" srcId="{F302202B-9651-4589-8F05-CDB4BD116920}" destId="{5CA2D453-CEA9-4E48-B308-FA0BFA89D3CC}" srcOrd="2" destOrd="0" presId="urn:microsoft.com/office/officeart/2005/8/layout/orgChart1"/>
    <dgm:cxn modelId="{01C8A6EE-17F6-430A-B129-EAA0295B8B88}" type="presParOf" srcId="{41D9A6FE-640B-4F05-98E3-C70AE9B02DD8}" destId="{0185BAAE-DE64-4AD7-A9BB-598CEFCAC8F9}" srcOrd="2" destOrd="0" presId="urn:microsoft.com/office/officeart/2005/8/layout/orgChart1"/>
    <dgm:cxn modelId="{98621E37-3282-4804-B049-86BDB6497FC0}" type="presParOf" srcId="{41D9A6FE-640B-4F05-98E3-C70AE9B02DD8}" destId="{B4A0C69B-3E1F-4C27-8687-3DF28355342B}" srcOrd="3" destOrd="0" presId="urn:microsoft.com/office/officeart/2005/8/layout/orgChart1"/>
    <dgm:cxn modelId="{04BFF72C-09A1-4F61-8166-042CBFD3B3E3}" type="presParOf" srcId="{B4A0C69B-3E1F-4C27-8687-3DF28355342B}" destId="{4B439AFE-5752-448B-A4A4-90B621D3DF54}" srcOrd="0" destOrd="0" presId="urn:microsoft.com/office/officeart/2005/8/layout/orgChart1"/>
    <dgm:cxn modelId="{BACFDE91-7186-4866-B7FF-D0AC1AB360ED}" type="presParOf" srcId="{4B439AFE-5752-448B-A4A4-90B621D3DF54}" destId="{46516CDF-FF62-41BA-81AF-A6C74ABBA41C}" srcOrd="0" destOrd="0" presId="urn:microsoft.com/office/officeart/2005/8/layout/orgChart1"/>
    <dgm:cxn modelId="{36C40E3E-E0DE-49B8-AC16-35EFB61CDB42}" type="presParOf" srcId="{4B439AFE-5752-448B-A4A4-90B621D3DF54}" destId="{A9AA93A2-8378-4A6E-ABD4-371F581C75A4}" srcOrd="1" destOrd="0" presId="urn:microsoft.com/office/officeart/2005/8/layout/orgChart1"/>
    <dgm:cxn modelId="{C3091046-359F-4558-866D-C082170F92B6}" type="presParOf" srcId="{B4A0C69B-3E1F-4C27-8687-3DF28355342B}" destId="{DDBBDF64-7D5C-4C4A-A34A-A5230F7487B2}" srcOrd="1" destOrd="0" presId="urn:microsoft.com/office/officeart/2005/8/layout/orgChart1"/>
    <dgm:cxn modelId="{C6C1AD24-E16F-4EB5-B51F-E6EA12D46716}" type="presParOf" srcId="{B4A0C69B-3E1F-4C27-8687-3DF28355342B}" destId="{C0408B79-5215-492F-9B52-849CDD0B735A}" srcOrd="2" destOrd="0" presId="urn:microsoft.com/office/officeart/2005/8/layout/orgChart1"/>
    <dgm:cxn modelId="{8D0284E2-84AF-4E97-A52F-592FA66C02F9}" type="presParOf" srcId="{41D9A6FE-640B-4F05-98E3-C70AE9B02DD8}" destId="{AA4D1D40-3832-4BB5-89D3-E511F18E28DF}" srcOrd="4" destOrd="0" presId="urn:microsoft.com/office/officeart/2005/8/layout/orgChart1"/>
    <dgm:cxn modelId="{7D5F3D6E-8E6B-4203-80D7-23407FF5FEE5}" type="presParOf" srcId="{41D9A6FE-640B-4F05-98E3-C70AE9B02DD8}" destId="{50DC1153-7D52-4040-80AB-12110EDC771D}" srcOrd="5" destOrd="0" presId="urn:microsoft.com/office/officeart/2005/8/layout/orgChart1"/>
    <dgm:cxn modelId="{64263B62-F820-4019-8A90-BB1EE47274B5}" type="presParOf" srcId="{50DC1153-7D52-4040-80AB-12110EDC771D}" destId="{5C4ED704-9512-49FC-973D-C663A83AABB9}" srcOrd="0" destOrd="0" presId="urn:microsoft.com/office/officeart/2005/8/layout/orgChart1"/>
    <dgm:cxn modelId="{4C271F8F-DAEC-444F-8874-96A5C5CDCCDC}" type="presParOf" srcId="{5C4ED704-9512-49FC-973D-C663A83AABB9}" destId="{C8E42C91-2328-44AA-BD54-ACC149C6CF06}" srcOrd="0" destOrd="0" presId="urn:microsoft.com/office/officeart/2005/8/layout/orgChart1"/>
    <dgm:cxn modelId="{FDC33B6D-7DF0-44A4-B306-45DAB0175693}" type="presParOf" srcId="{5C4ED704-9512-49FC-973D-C663A83AABB9}" destId="{EDD5D5C0-25EC-497D-B299-9B9E746CF927}" srcOrd="1" destOrd="0" presId="urn:microsoft.com/office/officeart/2005/8/layout/orgChart1"/>
    <dgm:cxn modelId="{A93FCFEB-39A3-411C-BFC7-CA24054F3B4E}" type="presParOf" srcId="{50DC1153-7D52-4040-80AB-12110EDC771D}" destId="{7098A01C-E769-46DC-94EA-35C87C9DF33D}" srcOrd="1" destOrd="0" presId="urn:microsoft.com/office/officeart/2005/8/layout/orgChart1"/>
    <dgm:cxn modelId="{84480A11-7342-49DD-80E5-D18CC5F95150}" type="presParOf" srcId="{50DC1153-7D52-4040-80AB-12110EDC771D}" destId="{FF098C03-DD38-45E0-94DE-BA74916C44B4}" srcOrd="2" destOrd="0" presId="urn:microsoft.com/office/officeart/2005/8/layout/orgChart1"/>
    <dgm:cxn modelId="{A51400BC-3D23-4E63-A241-4CD467D566F0}" type="presParOf" srcId="{41D9A6FE-640B-4F05-98E3-C70AE9B02DD8}" destId="{D3FAC9A7-5690-4CB7-A1C2-FFFD66D0CFAF}" srcOrd="6" destOrd="0" presId="urn:microsoft.com/office/officeart/2005/8/layout/orgChart1"/>
    <dgm:cxn modelId="{F73AB3FB-DFE1-4482-9D41-7629C4703E55}" type="presParOf" srcId="{41D9A6FE-640B-4F05-98E3-C70AE9B02DD8}" destId="{EBF53C34-C7DC-4AE0-8EA5-6C198E317A1E}" srcOrd="7" destOrd="0" presId="urn:microsoft.com/office/officeart/2005/8/layout/orgChart1"/>
    <dgm:cxn modelId="{B5D3A4EF-F1E1-4FC3-B29D-8CA616B55259}" type="presParOf" srcId="{EBF53C34-C7DC-4AE0-8EA5-6C198E317A1E}" destId="{74CE6F00-107F-4AFD-931E-262773FA1841}" srcOrd="0" destOrd="0" presId="urn:microsoft.com/office/officeart/2005/8/layout/orgChart1"/>
    <dgm:cxn modelId="{1F056370-810F-49D5-90FD-DC4FAE145E5E}" type="presParOf" srcId="{74CE6F00-107F-4AFD-931E-262773FA1841}" destId="{6D5F0930-5A93-4FCD-BACA-A46FEBBFFC1F}" srcOrd="0" destOrd="0" presId="urn:microsoft.com/office/officeart/2005/8/layout/orgChart1"/>
    <dgm:cxn modelId="{9BD4494D-483B-486A-840C-28FA824F4EEB}" type="presParOf" srcId="{74CE6F00-107F-4AFD-931E-262773FA1841}" destId="{91084872-F3AE-427B-B7B2-9D2A1A583040}" srcOrd="1" destOrd="0" presId="urn:microsoft.com/office/officeart/2005/8/layout/orgChart1"/>
    <dgm:cxn modelId="{1877C5DC-E8BF-478B-B91E-38B6B46E1A4B}" type="presParOf" srcId="{EBF53C34-C7DC-4AE0-8EA5-6C198E317A1E}" destId="{A94DDDE2-83BD-4A75-B580-97046A284C52}" srcOrd="1" destOrd="0" presId="urn:microsoft.com/office/officeart/2005/8/layout/orgChart1"/>
    <dgm:cxn modelId="{9A014C19-025C-48E2-9D4A-0AAEA51B6406}" type="presParOf" srcId="{EBF53C34-C7DC-4AE0-8EA5-6C198E317A1E}" destId="{618DE82E-88BC-4D9D-A208-C55F0E9DC239}" srcOrd="2" destOrd="0" presId="urn:microsoft.com/office/officeart/2005/8/layout/orgChart1"/>
    <dgm:cxn modelId="{3E33CAE6-62AE-4BF3-AECF-5B72AE23733F}" type="presParOf" srcId="{41D9A6FE-640B-4F05-98E3-C70AE9B02DD8}" destId="{381CF30F-7E79-462D-AC7D-9AA5C1FC469C}" srcOrd="8" destOrd="0" presId="urn:microsoft.com/office/officeart/2005/8/layout/orgChart1"/>
    <dgm:cxn modelId="{AE7F8C3C-970B-408A-A818-A2AE2A34AD49}" type="presParOf" srcId="{41D9A6FE-640B-4F05-98E3-C70AE9B02DD8}" destId="{BDF3707C-84AA-439B-AE1F-744C568CD82A}" srcOrd="9" destOrd="0" presId="urn:microsoft.com/office/officeart/2005/8/layout/orgChart1"/>
    <dgm:cxn modelId="{B535438F-53EC-4CF4-98B5-DD500D24818F}" type="presParOf" srcId="{BDF3707C-84AA-439B-AE1F-744C568CD82A}" destId="{91E51080-F1A7-4BDE-90B2-666B8B8F49BA}" srcOrd="0" destOrd="0" presId="urn:microsoft.com/office/officeart/2005/8/layout/orgChart1"/>
    <dgm:cxn modelId="{26EC0C39-EFD3-4F42-9DB6-F7DF3CD325DF}" type="presParOf" srcId="{91E51080-F1A7-4BDE-90B2-666B8B8F49BA}" destId="{FF1032C5-0C2B-4EA5-BC1F-DCB68868A42A}" srcOrd="0" destOrd="0" presId="urn:microsoft.com/office/officeart/2005/8/layout/orgChart1"/>
    <dgm:cxn modelId="{95031367-5759-4EB5-94B0-355D07DD7B5B}" type="presParOf" srcId="{91E51080-F1A7-4BDE-90B2-666B8B8F49BA}" destId="{1ED72F50-C874-402F-9936-9FC8BB761288}" srcOrd="1" destOrd="0" presId="urn:microsoft.com/office/officeart/2005/8/layout/orgChart1"/>
    <dgm:cxn modelId="{7CD00A33-1A76-42F7-AE2E-632848A3971C}" type="presParOf" srcId="{BDF3707C-84AA-439B-AE1F-744C568CD82A}" destId="{C387A0A6-4705-4C4F-B0C4-8B3FACF57BF8}" srcOrd="1" destOrd="0" presId="urn:microsoft.com/office/officeart/2005/8/layout/orgChart1"/>
    <dgm:cxn modelId="{8090C3F7-0E68-40C4-B265-6CD8010CE85A}" type="presParOf" srcId="{BDF3707C-84AA-439B-AE1F-744C568CD82A}" destId="{263799C5-D719-448D-A836-DFA0A3790D38}" srcOrd="2" destOrd="0" presId="urn:microsoft.com/office/officeart/2005/8/layout/orgChart1"/>
    <dgm:cxn modelId="{3934A8B2-C882-4234-8C07-11450CAA623C}" type="presParOf" srcId="{41D9A6FE-640B-4F05-98E3-C70AE9B02DD8}" destId="{6764FF8D-F2A3-49BC-A7A6-9CEC04A80170}" srcOrd="10" destOrd="0" presId="urn:microsoft.com/office/officeart/2005/8/layout/orgChart1"/>
    <dgm:cxn modelId="{2D5B4D5F-E422-4052-B527-D06CB359CF92}" type="presParOf" srcId="{41D9A6FE-640B-4F05-98E3-C70AE9B02DD8}" destId="{27471EEB-6F3D-4118-B250-190A8C43F088}" srcOrd="11" destOrd="0" presId="urn:microsoft.com/office/officeart/2005/8/layout/orgChart1"/>
    <dgm:cxn modelId="{0A991C89-99F2-4D24-A25B-4310510226FB}" type="presParOf" srcId="{27471EEB-6F3D-4118-B250-190A8C43F088}" destId="{23AED3DC-2445-46F3-88EA-FD754FE30359}" srcOrd="0" destOrd="0" presId="urn:microsoft.com/office/officeart/2005/8/layout/orgChart1"/>
    <dgm:cxn modelId="{BCC1CF24-8100-4895-9247-5DF63B8953B7}" type="presParOf" srcId="{23AED3DC-2445-46F3-88EA-FD754FE30359}" destId="{200B7D3E-E890-4610-856F-D9E590DF5734}" srcOrd="0" destOrd="0" presId="urn:microsoft.com/office/officeart/2005/8/layout/orgChart1"/>
    <dgm:cxn modelId="{68777481-159B-4D2E-8661-9DB1CFBC41B4}" type="presParOf" srcId="{23AED3DC-2445-46F3-88EA-FD754FE30359}" destId="{48B2891B-2B7B-423B-AB9F-F0E21A46B5AF}" srcOrd="1" destOrd="0" presId="urn:microsoft.com/office/officeart/2005/8/layout/orgChart1"/>
    <dgm:cxn modelId="{D033B3C2-1AA6-4C52-BEF6-3A02BDFA1153}" type="presParOf" srcId="{27471EEB-6F3D-4118-B250-190A8C43F088}" destId="{FC04B8B7-66DF-44EF-8430-F1CCB2715A76}" srcOrd="1" destOrd="0" presId="urn:microsoft.com/office/officeart/2005/8/layout/orgChart1"/>
    <dgm:cxn modelId="{C43D1CB5-AA36-4898-9878-42D2E078EDEF}" type="presParOf" srcId="{27471EEB-6F3D-4118-B250-190A8C43F088}" destId="{A2FCFDF8-057A-4040-A7E2-47D90DB790AA}" srcOrd="2" destOrd="0" presId="urn:microsoft.com/office/officeart/2005/8/layout/orgChart1"/>
    <dgm:cxn modelId="{389C1E1B-C332-4CF0-9009-721910DA2262}" type="presParOf" srcId="{41D9A6FE-640B-4F05-98E3-C70AE9B02DD8}" destId="{4ADEA2F6-56D8-4CEC-896D-C07717438109}" srcOrd="12" destOrd="0" presId="urn:microsoft.com/office/officeart/2005/8/layout/orgChart1"/>
    <dgm:cxn modelId="{3F4D23D7-7D28-49C1-96DC-F078D56B4B35}" type="presParOf" srcId="{41D9A6FE-640B-4F05-98E3-C70AE9B02DD8}" destId="{F9E49998-A32D-44AD-905A-E6BEA30CB2B4}" srcOrd="13" destOrd="0" presId="urn:microsoft.com/office/officeart/2005/8/layout/orgChart1"/>
    <dgm:cxn modelId="{998ABC5B-8962-431E-A03D-61D2C55B12B4}" type="presParOf" srcId="{F9E49998-A32D-44AD-905A-E6BEA30CB2B4}" destId="{D92AD8FD-EDBB-4809-BFF2-B874AFC124A4}" srcOrd="0" destOrd="0" presId="urn:microsoft.com/office/officeart/2005/8/layout/orgChart1"/>
    <dgm:cxn modelId="{D1745CE0-2D14-4D5D-8ACD-218EF0602F33}" type="presParOf" srcId="{D92AD8FD-EDBB-4809-BFF2-B874AFC124A4}" destId="{4EAAA85B-2269-45B2-B325-3CE9106A3F45}" srcOrd="0" destOrd="0" presId="urn:microsoft.com/office/officeart/2005/8/layout/orgChart1"/>
    <dgm:cxn modelId="{A1DD4722-4EF3-4751-8699-0F3A13725D6A}" type="presParOf" srcId="{D92AD8FD-EDBB-4809-BFF2-B874AFC124A4}" destId="{0A7BF56E-54A9-465C-A98D-D48F79AC5616}" srcOrd="1" destOrd="0" presId="urn:microsoft.com/office/officeart/2005/8/layout/orgChart1"/>
    <dgm:cxn modelId="{292C48F3-6612-46A9-A2FF-D020EBE4726E}" type="presParOf" srcId="{F9E49998-A32D-44AD-905A-E6BEA30CB2B4}" destId="{984D25F1-250F-4204-8AE4-658C7B3445B6}" srcOrd="1" destOrd="0" presId="urn:microsoft.com/office/officeart/2005/8/layout/orgChart1"/>
    <dgm:cxn modelId="{E8B6F25A-4385-4784-8931-E5EF3A6157FF}" type="presParOf" srcId="{F9E49998-A32D-44AD-905A-E6BEA30CB2B4}" destId="{A7AB53FE-DA79-4F9B-9C82-037774698073}" srcOrd="2" destOrd="0" presId="urn:microsoft.com/office/officeart/2005/8/layout/orgChart1"/>
    <dgm:cxn modelId="{D8ACB78D-B9BA-49E6-9914-3C4ABDDAE3D5}" type="presParOf" srcId="{41D9A6FE-640B-4F05-98E3-C70AE9B02DD8}" destId="{9CD664AE-F601-477D-9B88-CFFB518CBBFB}" srcOrd="14" destOrd="0" presId="urn:microsoft.com/office/officeart/2005/8/layout/orgChart1"/>
    <dgm:cxn modelId="{809514C3-923D-4183-9621-4AD5AF97A9E9}" type="presParOf" srcId="{41D9A6FE-640B-4F05-98E3-C70AE9B02DD8}" destId="{355FA867-109E-4362-9329-996CC6D48A3D}" srcOrd="15" destOrd="0" presId="urn:microsoft.com/office/officeart/2005/8/layout/orgChart1"/>
    <dgm:cxn modelId="{8AF8222E-871A-4846-951E-AA2766BA3453}" type="presParOf" srcId="{355FA867-109E-4362-9329-996CC6D48A3D}" destId="{40D19E5C-1F2C-40C2-996F-A1FBFD313A7F}" srcOrd="0" destOrd="0" presId="urn:microsoft.com/office/officeart/2005/8/layout/orgChart1"/>
    <dgm:cxn modelId="{F9BAEF8A-B23B-4A7B-B755-6B5487189DAA}" type="presParOf" srcId="{40D19E5C-1F2C-40C2-996F-A1FBFD313A7F}" destId="{EF4B2FE9-4D81-4890-AB6B-95AA708FCADA}" srcOrd="0" destOrd="0" presId="urn:microsoft.com/office/officeart/2005/8/layout/orgChart1"/>
    <dgm:cxn modelId="{85B2E65E-525B-4D2C-A44F-041FD654AC74}" type="presParOf" srcId="{40D19E5C-1F2C-40C2-996F-A1FBFD313A7F}" destId="{3F694110-B94E-478E-9535-8F465127F9C9}" srcOrd="1" destOrd="0" presId="urn:microsoft.com/office/officeart/2005/8/layout/orgChart1"/>
    <dgm:cxn modelId="{BE588953-CBD8-4B19-A6F9-C1B47EC3ED3F}" type="presParOf" srcId="{355FA867-109E-4362-9329-996CC6D48A3D}" destId="{F00F94AB-38D1-4EF5-8696-EB83FDE4ED2E}" srcOrd="1" destOrd="0" presId="urn:microsoft.com/office/officeart/2005/8/layout/orgChart1"/>
    <dgm:cxn modelId="{B8F67F13-A4BA-466B-A9D4-DF0A4E130483}" type="presParOf" srcId="{355FA867-109E-4362-9329-996CC6D48A3D}" destId="{2937F6B6-E725-4D30-B03D-C848B71370A7}" srcOrd="2" destOrd="0" presId="urn:microsoft.com/office/officeart/2005/8/layout/orgChart1"/>
    <dgm:cxn modelId="{9A7A44CE-743F-41D6-96C1-EE2A980C80FB}" type="presParOf" srcId="{E7079E46-72B3-4BDB-83DA-385990C82A9D}" destId="{13DAE345-2AA5-42F7-A678-1A64C255A215}" srcOrd="2" destOrd="0" presId="urn:microsoft.com/office/officeart/2005/8/layout/orgChart1"/>
    <dgm:cxn modelId="{7A642847-8B84-42FA-BCA6-EC8FD25D714B}" type="presParOf" srcId="{7F124D49-A67C-4E3E-9693-E390D0AA6BA0}" destId="{351BA316-76D8-4A03-B900-9E85BB296C22}" srcOrd="2" destOrd="0" presId="urn:microsoft.com/office/officeart/2005/8/layout/orgChart1"/>
    <dgm:cxn modelId="{D1C4CA02-72DF-431B-BBDA-96DEBF87A0FB}" type="presParOf" srcId="{7F124D49-A67C-4E3E-9693-E390D0AA6BA0}" destId="{50E850BC-0618-467C-8CEA-F6A6A130BD9F}" srcOrd="3" destOrd="0" presId="urn:microsoft.com/office/officeart/2005/8/layout/orgChart1"/>
    <dgm:cxn modelId="{07BA6F40-37F8-40C7-9C0B-D071287F175A}" type="presParOf" srcId="{50E850BC-0618-467C-8CEA-F6A6A130BD9F}" destId="{5AD5EE9B-F3F6-4647-8854-E1A463DA71D3}" srcOrd="0" destOrd="0" presId="urn:microsoft.com/office/officeart/2005/8/layout/orgChart1"/>
    <dgm:cxn modelId="{966E6A9F-0C5D-4965-88BE-1A6BFC58EC0A}" type="presParOf" srcId="{5AD5EE9B-F3F6-4647-8854-E1A463DA71D3}" destId="{253F3AC0-F268-4AF3-A75C-7BDA2581FFE1}" srcOrd="0" destOrd="0" presId="urn:microsoft.com/office/officeart/2005/8/layout/orgChart1"/>
    <dgm:cxn modelId="{589903C8-9ECB-46E3-90FA-16E9E64A0C66}" type="presParOf" srcId="{5AD5EE9B-F3F6-4647-8854-E1A463DA71D3}" destId="{BF8B4B6A-40AD-414F-8941-0AE32FE92CA0}" srcOrd="1" destOrd="0" presId="urn:microsoft.com/office/officeart/2005/8/layout/orgChart1"/>
    <dgm:cxn modelId="{451E6948-F25B-4D08-967B-CBDEFF6E2CA8}" type="presParOf" srcId="{50E850BC-0618-467C-8CEA-F6A6A130BD9F}" destId="{570ACABC-271F-4AF7-814F-B29CC29A03DD}" srcOrd="1" destOrd="0" presId="urn:microsoft.com/office/officeart/2005/8/layout/orgChart1"/>
    <dgm:cxn modelId="{F3128E14-06CC-488B-BCEB-FB659BA03891}" type="presParOf" srcId="{570ACABC-271F-4AF7-814F-B29CC29A03DD}" destId="{05C4CE45-B147-4951-9AA6-EC7824E38ED9}" srcOrd="0" destOrd="0" presId="urn:microsoft.com/office/officeart/2005/8/layout/orgChart1"/>
    <dgm:cxn modelId="{162A7E4E-5193-44D5-89F5-318BAF2D7F84}" type="presParOf" srcId="{570ACABC-271F-4AF7-814F-B29CC29A03DD}" destId="{CE4232F6-8B7E-4C44-8B46-56424A97534B}" srcOrd="1" destOrd="0" presId="urn:microsoft.com/office/officeart/2005/8/layout/orgChart1"/>
    <dgm:cxn modelId="{327B582F-9A5C-4777-9ACC-A426E7D17839}" type="presParOf" srcId="{CE4232F6-8B7E-4C44-8B46-56424A97534B}" destId="{B1163BB2-8A5F-43F1-A7D5-F982EB030331}" srcOrd="0" destOrd="0" presId="urn:microsoft.com/office/officeart/2005/8/layout/orgChart1"/>
    <dgm:cxn modelId="{41177513-5D69-4291-AC4A-51EDBC42BA9B}" type="presParOf" srcId="{B1163BB2-8A5F-43F1-A7D5-F982EB030331}" destId="{BA989251-33E1-450D-AD96-780966320443}" srcOrd="0" destOrd="0" presId="urn:microsoft.com/office/officeart/2005/8/layout/orgChart1"/>
    <dgm:cxn modelId="{D54E6921-CCDD-46B8-933A-F3CDF709CAFA}" type="presParOf" srcId="{B1163BB2-8A5F-43F1-A7D5-F982EB030331}" destId="{152174D6-3609-425C-B31B-65702287601D}" srcOrd="1" destOrd="0" presId="urn:microsoft.com/office/officeart/2005/8/layout/orgChart1"/>
    <dgm:cxn modelId="{87DE1584-2507-4229-A655-81676E5A122C}" type="presParOf" srcId="{CE4232F6-8B7E-4C44-8B46-56424A97534B}" destId="{0C1E1C9B-A5F3-43E7-9801-3EF02ECD988C}" srcOrd="1" destOrd="0" presId="urn:microsoft.com/office/officeart/2005/8/layout/orgChart1"/>
    <dgm:cxn modelId="{2A0ADF8B-CA68-4E2C-A874-A17DDF8E9D00}" type="presParOf" srcId="{CE4232F6-8B7E-4C44-8B46-56424A97534B}" destId="{3592CF76-BD5A-42AA-8B43-5FC98204DC74}" srcOrd="2" destOrd="0" presId="urn:microsoft.com/office/officeart/2005/8/layout/orgChart1"/>
    <dgm:cxn modelId="{485BC9A4-F9AF-42BB-B3DC-69B6BCD61705}" type="presParOf" srcId="{570ACABC-271F-4AF7-814F-B29CC29A03DD}" destId="{56933798-79EB-4D7F-AB7C-9C9C9DB46D36}" srcOrd="2" destOrd="0" presId="urn:microsoft.com/office/officeart/2005/8/layout/orgChart1"/>
    <dgm:cxn modelId="{89C7D631-2433-4D54-950D-BF75A7AA5A72}" type="presParOf" srcId="{570ACABC-271F-4AF7-814F-B29CC29A03DD}" destId="{29E096D1-2CB8-48D7-9968-D9711E2A87B6}" srcOrd="3" destOrd="0" presId="urn:microsoft.com/office/officeart/2005/8/layout/orgChart1"/>
    <dgm:cxn modelId="{980C2C2C-09EC-4FE8-9EE5-B9B3D7233047}" type="presParOf" srcId="{29E096D1-2CB8-48D7-9968-D9711E2A87B6}" destId="{420C856F-6F76-457A-82E3-74CD967B5510}" srcOrd="0" destOrd="0" presId="urn:microsoft.com/office/officeart/2005/8/layout/orgChart1"/>
    <dgm:cxn modelId="{D495A210-5409-47B2-BB38-BBE738DC5654}" type="presParOf" srcId="{420C856F-6F76-457A-82E3-74CD967B5510}" destId="{7756F51A-C2CE-431E-A514-8432BA0B84B9}" srcOrd="0" destOrd="0" presId="urn:microsoft.com/office/officeart/2005/8/layout/orgChart1"/>
    <dgm:cxn modelId="{103A6193-142A-4689-8C95-6E5042ABA88B}" type="presParOf" srcId="{420C856F-6F76-457A-82E3-74CD967B5510}" destId="{4A07924D-B7FE-41AB-9B19-D7DE9149DC01}" srcOrd="1" destOrd="0" presId="urn:microsoft.com/office/officeart/2005/8/layout/orgChart1"/>
    <dgm:cxn modelId="{E11BEF7D-835A-47EA-96A2-891402ABE239}" type="presParOf" srcId="{29E096D1-2CB8-48D7-9968-D9711E2A87B6}" destId="{48FBE334-5C86-4E96-AF48-DA6414BFE100}" srcOrd="1" destOrd="0" presId="urn:microsoft.com/office/officeart/2005/8/layout/orgChart1"/>
    <dgm:cxn modelId="{F540E1C0-CEE0-4867-88BE-3905E96F15A4}" type="presParOf" srcId="{29E096D1-2CB8-48D7-9968-D9711E2A87B6}" destId="{8CB37998-C2FF-432D-87DE-D3CC8F9A15CB}" srcOrd="2" destOrd="0" presId="urn:microsoft.com/office/officeart/2005/8/layout/orgChart1"/>
    <dgm:cxn modelId="{861525F6-7457-43EC-A6C3-AC84B1979B83}" type="presParOf" srcId="{570ACABC-271F-4AF7-814F-B29CC29A03DD}" destId="{E7EC94AE-E550-4E67-BAA9-EF3B5558F545}" srcOrd="4" destOrd="0" presId="urn:microsoft.com/office/officeart/2005/8/layout/orgChart1"/>
    <dgm:cxn modelId="{04CEAFC8-D3C1-4AFB-9FE1-DEE158B89900}" type="presParOf" srcId="{570ACABC-271F-4AF7-814F-B29CC29A03DD}" destId="{2B6A2667-5E0F-4BC8-A19F-7CA71E6E2057}" srcOrd="5" destOrd="0" presId="urn:microsoft.com/office/officeart/2005/8/layout/orgChart1"/>
    <dgm:cxn modelId="{996BE509-CFE7-4479-A92F-4D68078D52DD}" type="presParOf" srcId="{2B6A2667-5E0F-4BC8-A19F-7CA71E6E2057}" destId="{AF8291FB-D8C6-4614-9BAB-3D5323EC31C1}" srcOrd="0" destOrd="0" presId="urn:microsoft.com/office/officeart/2005/8/layout/orgChart1"/>
    <dgm:cxn modelId="{F8ABA12D-EEA4-4FB8-9E22-022220D35A10}" type="presParOf" srcId="{AF8291FB-D8C6-4614-9BAB-3D5323EC31C1}" destId="{0F76F560-EFF5-423A-862C-AD7D01F9FFCA}" srcOrd="0" destOrd="0" presId="urn:microsoft.com/office/officeart/2005/8/layout/orgChart1"/>
    <dgm:cxn modelId="{CB812DAC-85B2-4A02-ACD5-C4001FB42EB5}" type="presParOf" srcId="{AF8291FB-D8C6-4614-9BAB-3D5323EC31C1}" destId="{17DEB712-739D-4277-A4F9-B02CDE5BE208}" srcOrd="1" destOrd="0" presId="urn:microsoft.com/office/officeart/2005/8/layout/orgChart1"/>
    <dgm:cxn modelId="{8C39C73C-E0D7-4B70-B3BD-00FF63241DC3}" type="presParOf" srcId="{2B6A2667-5E0F-4BC8-A19F-7CA71E6E2057}" destId="{078F6593-B178-496A-B91B-25529168A76D}" srcOrd="1" destOrd="0" presId="urn:microsoft.com/office/officeart/2005/8/layout/orgChart1"/>
    <dgm:cxn modelId="{7715C98C-5DB5-41DA-A238-ABA3583547BC}" type="presParOf" srcId="{2B6A2667-5E0F-4BC8-A19F-7CA71E6E2057}" destId="{2EEA2A71-ED67-4CB9-B875-1A58832CB0A2}" srcOrd="2" destOrd="0" presId="urn:microsoft.com/office/officeart/2005/8/layout/orgChart1"/>
    <dgm:cxn modelId="{E9809F33-BF81-4501-B24F-B5C025060E7F}" type="presParOf" srcId="{570ACABC-271F-4AF7-814F-B29CC29A03DD}" destId="{AF1903FC-1CF5-4D63-ADB3-5B035B47E531}" srcOrd="6" destOrd="0" presId="urn:microsoft.com/office/officeart/2005/8/layout/orgChart1"/>
    <dgm:cxn modelId="{1E8980B4-208D-44B4-9CEB-712DB7BE68BF}" type="presParOf" srcId="{570ACABC-271F-4AF7-814F-B29CC29A03DD}" destId="{FBBA3E8F-5E81-4EA6-BFCC-712F565355F2}" srcOrd="7" destOrd="0" presId="urn:microsoft.com/office/officeart/2005/8/layout/orgChart1"/>
    <dgm:cxn modelId="{64841FE7-886B-4421-AE39-BF23CDC0760C}" type="presParOf" srcId="{FBBA3E8F-5E81-4EA6-BFCC-712F565355F2}" destId="{F7B58AC3-FEF3-4AEC-ACA7-3DA55F3DF469}" srcOrd="0" destOrd="0" presId="urn:microsoft.com/office/officeart/2005/8/layout/orgChart1"/>
    <dgm:cxn modelId="{F2EAF3CA-B3CC-4DA3-9B67-23E39AE01210}" type="presParOf" srcId="{F7B58AC3-FEF3-4AEC-ACA7-3DA55F3DF469}" destId="{3F840574-F9D5-4A85-8AB1-5A6F91835FD9}" srcOrd="0" destOrd="0" presId="urn:microsoft.com/office/officeart/2005/8/layout/orgChart1"/>
    <dgm:cxn modelId="{BFC061DD-532F-4C34-9CB3-5415BF47C699}" type="presParOf" srcId="{F7B58AC3-FEF3-4AEC-ACA7-3DA55F3DF469}" destId="{ECEFA2DA-00C8-4E72-8037-73CF1A7F4DDA}" srcOrd="1" destOrd="0" presId="urn:microsoft.com/office/officeart/2005/8/layout/orgChart1"/>
    <dgm:cxn modelId="{15AE16AE-58BD-4DB0-AA4D-1CE384783F45}" type="presParOf" srcId="{FBBA3E8F-5E81-4EA6-BFCC-712F565355F2}" destId="{EFDEC2ED-1875-4092-8037-FB0379BDFBFA}" srcOrd="1" destOrd="0" presId="urn:microsoft.com/office/officeart/2005/8/layout/orgChart1"/>
    <dgm:cxn modelId="{7F38128C-C168-429F-9F2F-07E4D0B185F1}" type="presParOf" srcId="{FBBA3E8F-5E81-4EA6-BFCC-712F565355F2}" destId="{326E2720-1ECF-41C9-A0C4-B0344D7413AE}" srcOrd="2" destOrd="0" presId="urn:microsoft.com/office/officeart/2005/8/layout/orgChart1"/>
    <dgm:cxn modelId="{8626CB47-D9E0-4E4F-A3ED-670F214B48BE}" type="presParOf" srcId="{570ACABC-271F-4AF7-814F-B29CC29A03DD}" destId="{777C1B15-195A-4373-990F-41F5ADEDECB5}" srcOrd="8" destOrd="0" presId="urn:microsoft.com/office/officeart/2005/8/layout/orgChart1"/>
    <dgm:cxn modelId="{42B1851A-53C0-4B5D-9293-C3B2030BACCA}" type="presParOf" srcId="{570ACABC-271F-4AF7-814F-B29CC29A03DD}" destId="{FCA34766-5343-4D0D-9AF9-2FB7909901E9}" srcOrd="9" destOrd="0" presId="urn:microsoft.com/office/officeart/2005/8/layout/orgChart1"/>
    <dgm:cxn modelId="{C5F2A4BD-27D0-4E71-8CD4-2B626A55C68D}" type="presParOf" srcId="{FCA34766-5343-4D0D-9AF9-2FB7909901E9}" destId="{83A6CB60-FF19-483C-A2D1-1F63E5F17F08}" srcOrd="0" destOrd="0" presId="urn:microsoft.com/office/officeart/2005/8/layout/orgChart1"/>
    <dgm:cxn modelId="{C7B95311-FCF4-4458-9BFD-8F21C700CA15}" type="presParOf" srcId="{83A6CB60-FF19-483C-A2D1-1F63E5F17F08}" destId="{2F883405-E17F-42F4-B1E0-9F82D218A1F2}" srcOrd="0" destOrd="0" presId="urn:microsoft.com/office/officeart/2005/8/layout/orgChart1"/>
    <dgm:cxn modelId="{476AAF4A-73F6-40A7-AF23-B783606C7D38}" type="presParOf" srcId="{83A6CB60-FF19-483C-A2D1-1F63E5F17F08}" destId="{BA5C1E39-16D8-453D-8F4D-F386CD68CFE2}" srcOrd="1" destOrd="0" presId="urn:microsoft.com/office/officeart/2005/8/layout/orgChart1"/>
    <dgm:cxn modelId="{5B3454E4-DDD0-4CB4-9763-5C7D240DAC4F}" type="presParOf" srcId="{FCA34766-5343-4D0D-9AF9-2FB7909901E9}" destId="{1E0F95E2-D281-4C46-8581-82129B9A3358}" srcOrd="1" destOrd="0" presId="urn:microsoft.com/office/officeart/2005/8/layout/orgChart1"/>
    <dgm:cxn modelId="{1EEF5DBF-2CEF-4706-87D0-64FFA5C71837}" type="presParOf" srcId="{FCA34766-5343-4D0D-9AF9-2FB7909901E9}" destId="{4B2A78A1-6F2D-4D50-AEDD-0939E6CB649A}" srcOrd="2" destOrd="0" presId="urn:microsoft.com/office/officeart/2005/8/layout/orgChart1"/>
    <dgm:cxn modelId="{AAC8DA79-2BA0-4D1F-ADA8-328F812375FA}" type="presParOf" srcId="{570ACABC-271F-4AF7-814F-B29CC29A03DD}" destId="{91C94363-E83D-4B90-9692-6FB1A9BB44EF}" srcOrd="10" destOrd="0" presId="urn:microsoft.com/office/officeart/2005/8/layout/orgChart1"/>
    <dgm:cxn modelId="{B8B85035-005B-4CB8-ACAA-DB365DDFB976}" type="presParOf" srcId="{570ACABC-271F-4AF7-814F-B29CC29A03DD}" destId="{54FD8B4D-1E4B-457B-BB1D-DC30A8D64D1F}" srcOrd="11" destOrd="0" presId="urn:microsoft.com/office/officeart/2005/8/layout/orgChart1"/>
    <dgm:cxn modelId="{2A6E88BD-272B-445D-9B86-7AB6C9F61140}" type="presParOf" srcId="{54FD8B4D-1E4B-457B-BB1D-DC30A8D64D1F}" destId="{A930506D-34BF-4BA5-B6EA-BC0970FB81DE}" srcOrd="0" destOrd="0" presId="urn:microsoft.com/office/officeart/2005/8/layout/orgChart1"/>
    <dgm:cxn modelId="{4FE29419-9E1B-4A8B-93CF-2D4C3B9602B2}" type="presParOf" srcId="{A930506D-34BF-4BA5-B6EA-BC0970FB81DE}" destId="{4873A6F4-23E5-434A-95BC-132D1C6CE1FD}" srcOrd="0" destOrd="0" presId="urn:microsoft.com/office/officeart/2005/8/layout/orgChart1"/>
    <dgm:cxn modelId="{0C6D2D73-B0E4-4754-A9C1-60D3AAA3B89A}" type="presParOf" srcId="{A930506D-34BF-4BA5-B6EA-BC0970FB81DE}" destId="{783973AA-E038-4DD6-AF6E-57C38C26BB9E}" srcOrd="1" destOrd="0" presId="urn:microsoft.com/office/officeart/2005/8/layout/orgChart1"/>
    <dgm:cxn modelId="{BBDB5683-AD77-4626-90DE-107846724BE2}" type="presParOf" srcId="{54FD8B4D-1E4B-457B-BB1D-DC30A8D64D1F}" destId="{C4C546DB-1E47-418B-BA8E-22A69E25E60F}" srcOrd="1" destOrd="0" presId="urn:microsoft.com/office/officeart/2005/8/layout/orgChart1"/>
    <dgm:cxn modelId="{4432ED4A-E285-4084-AD58-C87E8EE0A391}" type="presParOf" srcId="{54FD8B4D-1E4B-457B-BB1D-DC30A8D64D1F}" destId="{BFBF34D3-DA35-4899-AC80-380B05C7F055}" srcOrd="2" destOrd="0" presId="urn:microsoft.com/office/officeart/2005/8/layout/orgChart1"/>
    <dgm:cxn modelId="{2697997B-D19E-4E99-93AC-7FABF99717E4}" type="presParOf" srcId="{570ACABC-271F-4AF7-814F-B29CC29A03DD}" destId="{F9FEEFB4-F3BA-4F83-9C3C-5572AC78CCFA}" srcOrd="12" destOrd="0" presId="urn:microsoft.com/office/officeart/2005/8/layout/orgChart1"/>
    <dgm:cxn modelId="{023F978C-A696-40C2-BECF-EE121188142B}" type="presParOf" srcId="{570ACABC-271F-4AF7-814F-B29CC29A03DD}" destId="{3B60BBB7-C941-46F6-9334-00AB32C0D2DD}" srcOrd="13" destOrd="0" presId="urn:microsoft.com/office/officeart/2005/8/layout/orgChart1"/>
    <dgm:cxn modelId="{664BC647-A133-4AC8-A67D-E4F126D604D2}" type="presParOf" srcId="{3B60BBB7-C941-46F6-9334-00AB32C0D2DD}" destId="{661E3690-CC80-446C-AE7E-E5FFA954233C}" srcOrd="0" destOrd="0" presId="urn:microsoft.com/office/officeart/2005/8/layout/orgChart1"/>
    <dgm:cxn modelId="{1FE61A67-AF0E-4042-935B-8A1A0A861722}" type="presParOf" srcId="{661E3690-CC80-446C-AE7E-E5FFA954233C}" destId="{F0910C76-2276-4635-A6C5-FA69BEA187AE}" srcOrd="0" destOrd="0" presId="urn:microsoft.com/office/officeart/2005/8/layout/orgChart1"/>
    <dgm:cxn modelId="{8A0E9FE5-E314-439B-A8BB-BD072060DF22}" type="presParOf" srcId="{661E3690-CC80-446C-AE7E-E5FFA954233C}" destId="{3395299E-E3D8-4D39-B71E-A4515CDAC153}" srcOrd="1" destOrd="0" presId="urn:microsoft.com/office/officeart/2005/8/layout/orgChart1"/>
    <dgm:cxn modelId="{0CFD8FBE-683D-48C0-839C-BB43DB9B99D3}" type="presParOf" srcId="{3B60BBB7-C941-46F6-9334-00AB32C0D2DD}" destId="{AB75A589-431A-46A4-86ED-7518C96962FB}" srcOrd="1" destOrd="0" presId="urn:microsoft.com/office/officeart/2005/8/layout/orgChart1"/>
    <dgm:cxn modelId="{46D05CD6-9C20-406C-A8B8-1189FD7D33AE}" type="presParOf" srcId="{3B60BBB7-C941-46F6-9334-00AB32C0D2DD}" destId="{37E92647-A398-4B76-9FDD-1C3048FCAF1A}" srcOrd="2" destOrd="0" presId="urn:microsoft.com/office/officeart/2005/8/layout/orgChart1"/>
    <dgm:cxn modelId="{F977F911-5E6D-4615-8044-53EEE3B42A46}" type="presParOf" srcId="{570ACABC-271F-4AF7-814F-B29CC29A03DD}" destId="{F8D607D2-CA60-47FA-9A18-4397803DCFA3}" srcOrd="14" destOrd="0" presId="urn:microsoft.com/office/officeart/2005/8/layout/orgChart1"/>
    <dgm:cxn modelId="{F96B9E5B-4603-481A-AC23-3F3DF1D6DFCD}" type="presParOf" srcId="{570ACABC-271F-4AF7-814F-B29CC29A03DD}" destId="{57561949-6FB2-4CCC-AC5F-1D448811DAEB}" srcOrd="15" destOrd="0" presId="urn:microsoft.com/office/officeart/2005/8/layout/orgChart1"/>
    <dgm:cxn modelId="{529DDBCD-9D3B-4629-9EDB-ECAA07AAFF08}" type="presParOf" srcId="{57561949-6FB2-4CCC-AC5F-1D448811DAEB}" destId="{EE6725C5-F8F7-4BBA-94F0-4569CE491A08}" srcOrd="0" destOrd="0" presId="urn:microsoft.com/office/officeart/2005/8/layout/orgChart1"/>
    <dgm:cxn modelId="{53DA5E7C-B5C8-45EC-86CA-0BDC985497BD}" type="presParOf" srcId="{EE6725C5-F8F7-4BBA-94F0-4569CE491A08}" destId="{6710DEC3-DD51-4C3A-BF06-CACFEA8E4B5F}" srcOrd="0" destOrd="0" presId="urn:microsoft.com/office/officeart/2005/8/layout/orgChart1"/>
    <dgm:cxn modelId="{29FF9D07-3B05-4E41-94E0-77F6AC17C21E}" type="presParOf" srcId="{EE6725C5-F8F7-4BBA-94F0-4569CE491A08}" destId="{3DB76CC5-617F-495A-BC80-F3D1C34C1D95}" srcOrd="1" destOrd="0" presId="urn:microsoft.com/office/officeart/2005/8/layout/orgChart1"/>
    <dgm:cxn modelId="{34F26099-551E-4ACB-A8FE-44DE72670238}" type="presParOf" srcId="{57561949-6FB2-4CCC-AC5F-1D448811DAEB}" destId="{821938C9-EF91-4111-8C46-5CFB49DD5528}" srcOrd="1" destOrd="0" presId="urn:microsoft.com/office/officeart/2005/8/layout/orgChart1"/>
    <dgm:cxn modelId="{F73A020A-888D-4713-9CF5-0A8FACDB9CA4}" type="presParOf" srcId="{57561949-6FB2-4CCC-AC5F-1D448811DAEB}" destId="{27D8CB09-DDBB-4ABB-92DC-FFD0E8245BA5}" srcOrd="2" destOrd="0" presId="urn:microsoft.com/office/officeart/2005/8/layout/orgChart1"/>
    <dgm:cxn modelId="{F02DBAA0-4806-4AEE-AC74-98F21E313D6D}" type="presParOf" srcId="{50E850BC-0618-467C-8CEA-F6A6A130BD9F}" destId="{A631EA2B-CD25-4B7C-99FD-9E0BEC33955A}" srcOrd="2" destOrd="0" presId="urn:microsoft.com/office/officeart/2005/8/layout/orgChart1"/>
    <dgm:cxn modelId="{518BF436-F0D3-4841-B003-553F99ABF7E8}" type="presParOf" srcId="{7F124D49-A67C-4E3E-9693-E390D0AA6BA0}" destId="{85757E6B-D6CF-4964-906A-02FA9A885904}" srcOrd="4" destOrd="0" presId="urn:microsoft.com/office/officeart/2005/8/layout/orgChart1"/>
    <dgm:cxn modelId="{1398C787-6D58-4FFF-99E1-3506241970A1}" type="presParOf" srcId="{7F124D49-A67C-4E3E-9693-E390D0AA6BA0}" destId="{C311AB6D-984E-44C8-9DDA-AB4EA4ACED1C}" srcOrd="5" destOrd="0" presId="urn:microsoft.com/office/officeart/2005/8/layout/orgChart1"/>
    <dgm:cxn modelId="{E005F049-F1AF-4D12-BEDA-16BA93E55057}" type="presParOf" srcId="{C311AB6D-984E-44C8-9DDA-AB4EA4ACED1C}" destId="{1A731B2D-1896-4409-8E62-5C33CA62694A}" srcOrd="0" destOrd="0" presId="urn:microsoft.com/office/officeart/2005/8/layout/orgChart1"/>
    <dgm:cxn modelId="{89AD813F-BE93-4AB8-95F8-F775180CE31C}" type="presParOf" srcId="{1A731B2D-1896-4409-8E62-5C33CA62694A}" destId="{593028A0-5FBC-4A7F-8DF1-F4529166D75C}" srcOrd="0" destOrd="0" presId="urn:microsoft.com/office/officeart/2005/8/layout/orgChart1"/>
    <dgm:cxn modelId="{DCBFF49E-74FE-4B8B-B495-6DCA3D28410B}" type="presParOf" srcId="{1A731B2D-1896-4409-8E62-5C33CA62694A}" destId="{39B1A432-E423-49DF-86BF-D6A025BA6772}" srcOrd="1" destOrd="0" presId="urn:microsoft.com/office/officeart/2005/8/layout/orgChart1"/>
    <dgm:cxn modelId="{888F75E1-1762-429B-9CEB-D88321A89DD7}" type="presParOf" srcId="{C311AB6D-984E-44C8-9DDA-AB4EA4ACED1C}" destId="{7E5516DA-EE4E-432E-8FBC-021B47705CCC}" srcOrd="1" destOrd="0" presId="urn:microsoft.com/office/officeart/2005/8/layout/orgChart1"/>
    <dgm:cxn modelId="{494F1738-5A6B-49A6-A180-6C4B2C94DB4B}" type="presParOf" srcId="{7E5516DA-EE4E-432E-8FBC-021B47705CCC}" destId="{06254AEF-384A-4515-892F-11EB29EFBBE5}" srcOrd="0" destOrd="0" presId="urn:microsoft.com/office/officeart/2005/8/layout/orgChart1"/>
    <dgm:cxn modelId="{72CD95F3-C089-44DF-8936-12D40781ABD5}" type="presParOf" srcId="{7E5516DA-EE4E-432E-8FBC-021B47705CCC}" destId="{F4C4DBAE-DF88-4D1B-86C0-4920918E3B89}" srcOrd="1" destOrd="0" presId="urn:microsoft.com/office/officeart/2005/8/layout/orgChart1"/>
    <dgm:cxn modelId="{76550D2D-F669-4F50-8373-C6AC38DDDA5B}" type="presParOf" srcId="{F4C4DBAE-DF88-4D1B-86C0-4920918E3B89}" destId="{B5621FC6-9C2D-4594-A899-6A28A35B8BCB}" srcOrd="0" destOrd="0" presId="urn:microsoft.com/office/officeart/2005/8/layout/orgChart1"/>
    <dgm:cxn modelId="{16EB9CBE-225F-4085-9E85-ECD4B3C46171}" type="presParOf" srcId="{B5621FC6-9C2D-4594-A899-6A28A35B8BCB}" destId="{9C6DA371-0640-4354-A6C3-7AB8581ACA6A}" srcOrd="0" destOrd="0" presId="urn:microsoft.com/office/officeart/2005/8/layout/orgChart1"/>
    <dgm:cxn modelId="{ED27F9A5-F5EE-49C6-9C21-65FF0C19583C}" type="presParOf" srcId="{B5621FC6-9C2D-4594-A899-6A28A35B8BCB}" destId="{4B635EA3-2906-4EDC-A63F-7012643BDEDC}" srcOrd="1" destOrd="0" presId="urn:microsoft.com/office/officeart/2005/8/layout/orgChart1"/>
    <dgm:cxn modelId="{2AE48273-39A4-43AD-94C3-E2C92D6BE0FD}" type="presParOf" srcId="{F4C4DBAE-DF88-4D1B-86C0-4920918E3B89}" destId="{B4D438F6-FF17-4D1F-8E5B-0BB947989597}" srcOrd="1" destOrd="0" presId="urn:microsoft.com/office/officeart/2005/8/layout/orgChart1"/>
    <dgm:cxn modelId="{456C6B12-F21E-4CEB-8376-0150EA1FB369}" type="presParOf" srcId="{F4C4DBAE-DF88-4D1B-86C0-4920918E3B89}" destId="{2B471EEE-0BA9-40B5-8F0B-40E690824748}" srcOrd="2" destOrd="0" presId="urn:microsoft.com/office/officeart/2005/8/layout/orgChart1"/>
    <dgm:cxn modelId="{03B23560-8972-41B5-98D8-CB3A5AE3409C}" type="presParOf" srcId="{7E5516DA-EE4E-432E-8FBC-021B47705CCC}" destId="{D0476C4B-DFB8-4632-A045-F76C37C8CB81}" srcOrd="2" destOrd="0" presId="urn:microsoft.com/office/officeart/2005/8/layout/orgChart1"/>
    <dgm:cxn modelId="{BB035BEE-5449-4D81-8A0D-3D4EE268365C}" type="presParOf" srcId="{7E5516DA-EE4E-432E-8FBC-021B47705CCC}" destId="{8FCF5449-752D-40F1-B67F-3CDD274FB39A}" srcOrd="3" destOrd="0" presId="urn:microsoft.com/office/officeart/2005/8/layout/orgChart1"/>
    <dgm:cxn modelId="{FDBFB606-0ACC-4267-8636-319562C68E23}" type="presParOf" srcId="{8FCF5449-752D-40F1-B67F-3CDD274FB39A}" destId="{4508414A-8C58-4BD1-8ABB-D67D76ED063F}" srcOrd="0" destOrd="0" presId="urn:microsoft.com/office/officeart/2005/8/layout/orgChart1"/>
    <dgm:cxn modelId="{CFA12D6B-7FC2-4544-829F-D2FFEB1DC979}" type="presParOf" srcId="{4508414A-8C58-4BD1-8ABB-D67D76ED063F}" destId="{C5E60569-55F5-4F01-9441-7D44BFCEA6B8}" srcOrd="0" destOrd="0" presId="urn:microsoft.com/office/officeart/2005/8/layout/orgChart1"/>
    <dgm:cxn modelId="{92492A92-46BD-4BA3-A4C1-50C38BF22D31}" type="presParOf" srcId="{4508414A-8C58-4BD1-8ABB-D67D76ED063F}" destId="{805D7435-29DF-4E5B-9BAA-70184868B892}" srcOrd="1" destOrd="0" presId="urn:microsoft.com/office/officeart/2005/8/layout/orgChart1"/>
    <dgm:cxn modelId="{59199662-BBDE-47ED-902B-A89ECFF25904}" type="presParOf" srcId="{8FCF5449-752D-40F1-B67F-3CDD274FB39A}" destId="{C171AB28-BDA0-447D-8587-5AC00737D526}" srcOrd="1" destOrd="0" presId="urn:microsoft.com/office/officeart/2005/8/layout/orgChart1"/>
    <dgm:cxn modelId="{41FD9A3A-0E99-400D-8C8C-2E6A5944CF58}" type="presParOf" srcId="{8FCF5449-752D-40F1-B67F-3CDD274FB39A}" destId="{A9EF2115-2FF2-4614-A0BB-6A53F8176EA6}" srcOrd="2" destOrd="0" presId="urn:microsoft.com/office/officeart/2005/8/layout/orgChart1"/>
    <dgm:cxn modelId="{A6CA8403-5C1D-4FE8-8A95-8F17B9F14D84}" type="presParOf" srcId="{7E5516DA-EE4E-432E-8FBC-021B47705CCC}" destId="{CA5CE379-5958-40AF-B5EA-ED85153DB36B}" srcOrd="4" destOrd="0" presId="urn:microsoft.com/office/officeart/2005/8/layout/orgChart1"/>
    <dgm:cxn modelId="{7E271EC3-681B-40B4-B3FB-0646F2848F2E}" type="presParOf" srcId="{7E5516DA-EE4E-432E-8FBC-021B47705CCC}" destId="{724A2750-129B-45A9-B373-1A51551FE522}" srcOrd="5" destOrd="0" presId="urn:microsoft.com/office/officeart/2005/8/layout/orgChart1"/>
    <dgm:cxn modelId="{07434901-5A9F-4869-A3A7-8CB129D98EE7}" type="presParOf" srcId="{724A2750-129B-45A9-B373-1A51551FE522}" destId="{A2588B80-D7F8-482B-ADF5-D49D83AD3F18}" srcOrd="0" destOrd="0" presId="urn:microsoft.com/office/officeart/2005/8/layout/orgChart1"/>
    <dgm:cxn modelId="{7DAB828C-153C-4B44-91AD-5CAF7C8A4D76}" type="presParOf" srcId="{A2588B80-D7F8-482B-ADF5-D49D83AD3F18}" destId="{51F48C60-23DB-4B71-AC62-30E76ADE8D42}" srcOrd="0" destOrd="0" presId="urn:microsoft.com/office/officeart/2005/8/layout/orgChart1"/>
    <dgm:cxn modelId="{736D172F-D717-445C-B7A8-B2260490EBE6}" type="presParOf" srcId="{A2588B80-D7F8-482B-ADF5-D49D83AD3F18}" destId="{0BCA5B20-3253-4890-8E68-451DD5071E55}" srcOrd="1" destOrd="0" presId="urn:microsoft.com/office/officeart/2005/8/layout/orgChart1"/>
    <dgm:cxn modelId="{94292C65-DFE9-4060-B9C4-37FB62E81E03}" type="presParOf" srcId="{724A2750-129B-45A9-B373-1A51551FE522}" destId="{E74FF5C8-757C-4BE4-A7F7-6CE35DB07E99}" srcOrd="1" destOrd="0" presId="urn:microsoft.com/office/officeart/2005/8/layout/orgChart1"/>
    <dgm:cxn modelId="{3220038B-4A6C-4873-85EE-BCD931E7F5B5}" type="presParOf" srcId="{724A2750-129B-45A9-B373-1A51551FE522}" destId="{CA95475E-1A1C-483F-9D76-392D5F375EAC}" srcOrd="2" destOrd="0" presId="urn:microsoft.com/office/officeart/2005/8/layout/orgChart1"/>
    <dgm:cxn modelId="{40E2E9BC-5E45-4FA3-BD5C-83B73D2EA3D6}" type="presParOf" srcId="{7E5516DA-EE4E-432E-8FBC-021B47705CCC}" destId="{CF0654DA-E478-4C3D-A829-4F73DEC0F84D}" srcOrd="6" destOrd="0" presId="urn:microsoft.com/office/officeart/2005/8/layout/orgChart1"/>
    <dgm:cxn modelId="{B54CA7EA-4622-45B8-8CCB-B8B091DF3EB5}" type="presParOf" srcId="{7E5516DA-EE4E-432E-8FBC-021B47705CCC}" destId="{BF407AEB-6AD7-407D-9818-6B9C3B7A02BA}" srcOrd="7" destOrd="0" presId="urn:microsoft.com/office/officeart/2005/8/layout/orgChart1"/>
    <dgm:cxn modelId="{14DCE02F-6E33-4A12-A8A8-7DE22D9D7EEC}" type="presParOf" srcId="{BF407AEB-6AD7-407D-9818-6B9C3B7A02BA}" destId="{E04FCDAF-EF74-4B0F-BCE3-54F66A96EEC2}" srcOrd="0" destOrd="0" presId="urn:microsoft.com/office/officeart/2005/8/layout/orgChart1"/>
    <dgm:cxn modelId="{E7C8E7CD-3E79-4B3D-90B6-4E5921DC13E8}" type="presParOf" srcId="{E04FCDAF-EF74-4B0F-BCE3-54F66A96EEC2}" destId="{F9056191-4876-4097-9577-CF5DB081AB3C}" srcOrd="0" destOrd="0" presId="urn:microsoft.com/office/officeart/2005/8/layout/orgChart1"/>
    <dgm:cxn modelId="{467A87B7-E877-4D42-B1B4-D94A43E1C168}" type="presParOf" srcId="{E04FCDAF-EF74-4B0F-BCE3-54F66A96EEC2}" destId="{ED27D4E1-1AAB-4249-ABDC-600DAF0C475B}" srcOrd="1" destOrd="0" presId="urn:microsoft.com/office/officeart/2005/8/layout/orgChart1"/>
    <dgm:cxn modelId="{B31B8A03-2699-41B3-99C2-41F0C7D2A9CD}" type="presParOf" srcId="{BF407AEB-6AD7-407D-9818-6B9C3B7A02BA}" destId="{7F05BC0E-A694-48F0-9F43-4BA04542C97F}" srcOrd="1" destOrd="0" presId="urn:microsoft.com/office/officeart/2005/8/layout/orgChart1"/>
    <dgm:cxn modelId="{26595111-7EC0-4D0F-A36D-E4777D529CD4}" type="presParOf" srcId="{BF407AEB-6AD7-407D-9818-6B9C3B7A02BA}" destId="{7E3B5D93-D181-4EB3-9D2C-0924D47E4D34}" srcOrd="2" destOrd="0" presId="urn:microsoft.com/office/officeart/2005/8/layout/orgChart1"/>
    <dgm:cxn modelId="{0356AF26-D87C-42FE-9EA6-F42473E34998}" type="presParOf" srcId="{C311AB6D-984E-44C8-9DDA-AB4EA4ACED1C}" destId="{58705901-5033-4AA4-92EA-0749B05861A0}" srcOrd="2" destOrd="0" presId="urn:microsoft.com/office/officeart/2005/8/layout/orgChart1"/>
    <dgm:cxn modelId="{2DD2CEC5-ABA5-4BA3-B734-6005E3FFD5C3}" type="presParOf" srcId="{7F124D49-A67C-4E3E-9693-E390D0AA6BA0}" destId="{72112016-220A-45C8-88D3-FA4D88858CE9}" srcOrd="6" destOrd="0" presId="urn:microsoft.com/office/officeart/2005/8/layout/orgChart1"/>
    <dgm:cxn modelId="{15BD0E81-6678-479D-A8A6-D5EFA50CCC95}" type="presParOf" srcId="{7F124D49-A67C-4E3E-9693-E390D0AA6BA0}" destId="{F02E2177-5713-4F9E-945A-3767636DD4C7}" srcOrd="7" destOrd="0" presId="urn:microsoft.com/office/officeart/2005/8/layout/orgChart1"/>
    <dgm:cxn modelId="{9C77850A-50C3-4B82-9983-7E3FF7E1D77C}" type="presParOf" srcId="{F02E2177-5713-4F9E-945A-3767636DD4C7}" destId="{B733D84F-E9B9-4E3B-A884-8259962F6D57}" srcOrd="0" destOrd="0" presId="urn:microsoft.com/office/officeart/2005/8/layout/orgChart1"/>
    <dgm:cxn modelId="{F57A35C9-5E76-4400-A22B-567226280706}" type="presParOf" srcId="{B733D84F-E9B9-4E3B-A884-8259962F6D57}" destId="{22D1BEF3-7A67-4BA7-B7D1-069A62FC5147}" srcOrd="0" destOrd="0" presId="urn:microsoft.com/office/officeart/2005/8/layout/orgChart1"/>
    <dgm:cxn modelId="{9672784A-C848-4A97-B757-E09F1D17F8DE}" type="presParOf" srcId="{B733D84F-E9B9-4E3B-A884-8259962F6D57}" destId="{FEA8B7F3-C77C-452D-BF81-877746A18384}" srcOrd="1" destOrd="0" presId="urn:microsoft.com/office/officeart/2005/8/layout/orgChart1"/>
    <dgm:cxn modelId="{A070E0D7-E980-4167-A415-DB32F2DC7B38}" type="presParOf" srcId="{F02E2177-5713-4F9E-945A-3767636DD4C7}" destId="{190B7934-4D9B-46EC-9872-4E6EC30CA9DD}" srcOrd="1" destOrd="0" presId="urn:microsoft.com/office/officeart/2005/8/layout/orgChart1"/>
    <dgm:cxn modelId="{2AA35524-10CC-45B4-9FF1-99EF2EA6A540}" type="presParOf" srcId="{190B7934-4D9B-46EC-9872-4E6EC30CA9DD}" destId="{C9B72384-70E5-46D0-A00F-F690BF273129}" srcOrd="0" destOrd="0" presId="urn:microsoft.com/office/officeart/2005/8/layout/orgChart1"/>
    <dgm:cxn modelId="{1925545B-BF0B-458F-BB42-9398F049CD84}" type="presParOf" srcId="{190B7934-4D9B-46EC-9872-4E6EC30CA9DD}" destId="{C59AFCF0-7E54-4F54-BBBA-A4954F8429D2}" srcOrd="1" destOrd="0" presId="urn:microsoft.com/office/officeart/2005/8/layout/orgChart1"/>
    <dgm:cxn modelId="{8264115A-309A-41B6-98CC-5DCCD85CA1AD}" type="presParOf" srcId="{C59AFCF0-7E54-4F54-BBBA-A4954F8429D2}" destId="{F2403E19-5A80-4F9C-A251-5AE039162282}" srcOrd="0" destOrd="0" presId="urn:microsoft.com/office/officeart/2005/8/layout/orgChart1"/>
    <dgm:cxn modelId="{5CD4944D-5C65-4E1C-9DB0-1E19ACDEA2D5}" type="presParOf" srcId="{F2403E19-5A80-4F9C-A251-5AE039162282}" destId="{CCBC5AF7-A70B-4354-B513-EC0174780F03}" srcOrd="0" destOrd="0" presId="urn:microsoft.com/office/officeart/2005/8/layout/orgChart1"/>
    <dgm:cxn modelId="{28C71704-979B-4331-93F8-974F3D87D336}" type="presParOf" srcId="{F2403E19-5A80-4F9C-A251-5AE039162282}" destId="{A55DB74D-C6E9-4EC1-BC16-9E96C6C28B2A}" srcOrd="1" destOrd="0" presId="urn:microsoft.com/office/officeart/2005/8/layout/orgChart1"/>
    <dgm:cxn modelId="{B0FCF22E-BCA9-468D-B736-30D57EBBA67F}" type="presParOf" srcId="{C59AFCF0-7E54-4F54-BBBA-A4954F8429D2}" destId="{98A675F4-CA49-4304-AF90-9B668C821412}" srcOrd="1" destOrd="0" presId="urn:microsoft.com/office/officeart/2005/8/layout/orgChart1"/>
    <dgm:cxn modelId="{CB48307C-81AA-40B5-975F-92146351D7D6}" type="presParOf" srcId="{C59AFCF0-7E54-4F54-BBBA-A4954F8429D2}" destId="{130AC3A9-3EE1-4D92-84FA-DB4576692173}" srcOrd="2" destOrd="0" presId="urn:microsoft.com/office/officeart/2005/8/layout/orgChart1"/>
    <dgm:cxn modelId="{AE86E207-3251-49D5-AA71-AFC2E4BB1B74}" type="presParOf" srcId="{190B7934-4D9B-46EC-9872-4E6EC30CA9DD}" destId="{2485310C-AD3E-42CA-8AC2-39273D74CB84}" srcOrd="2" destOrd="0" presId="urn:microsoft.com/office/officeart/2005/8/layout/orgChart1"/>
    <dgm:cxn modelId="{FE7AED78-8DB4-45A6-A4B0-90F965823D86}" type="presParOf" srcId="{190B7934-4D9B-46EC-9872-4E6EC30CA9DD}" destId="{EE3F1B00-FA87-4F86-8966-3E6887C5FDEA}" srcOrd="3" destOrd="0" presId="urn:microsoft.com/office/officeart/2005/8/layout/orgChart1"/>
    <dgm:cxn modelId="{02CF33B2-B471-49C5-BA6B-B5298E2B4A1B}" type="presParOf" srcId="{EE3F1B00-FA87-4F86-8966-3E6887C5FDEA}" destId="{8A2BE9BC-3A96-466D-817A-F693CFB89255}" srcOrd="0" destOrd="0" presId="urn:microsoft.com/office/officeart/2005/8/layout/orgChart1"/>
    <dgm:cxn modelId="{51B793BE-E8C0-4B43-A4C7-0D7C3C4642DF}" type="presParOf" srcId="{8A2BE9BC-3A96-466D-817A-F693CFB89255}" destId="{F126D973-AB58-4B66-B3A6-22740CA3A9F6}" srcOrd="0" destOrd="0" presId="urn:microsoft.com/office/officeart/2005/8/layout/orgChart1"/>
    <dgm:cxn modelId="{DC04DF2B-ED1D-4EBC-BCC5-11EDEB8211B4}" type="presParOf" srcId="{8A2BE9BC-3A96-466D-817A-F693CFB89255}" destId="{2EF2746D-216A-4DB4-B5CF-06C078D248DA}" srcOrd="1" destOrd="0" presId="urn:microsoft.com/office/officeart/2005/8/layout/orgChart1"/>
    <dgm:cxn modelId="{44AADCED-5228-472B-9BE8-8916D9B0D0B1}" type="presParOf" srcId="{EE3F1B00-FA87-4F86-8966-3E6887C5FDEA}" destId="{E3B537B4-2C1E-44C0-A87D-1981CD2E8F53}" srcOrd="1" destOrd="0" presId="urn:microsoft.com/office/officeart/2005/8/layout/orgChart1"/>
    <dgm:cxn modelId="{5FFC68A6-4DC0-4836-9182-E3B7012E357D}" type="presParOf" srcId="{EE3F1B00-FA87-4F86-8966-3E6887C5FDEA}" destId="{75EA4C94-52C2-4907-BBD6-ACA3604A2412}" srcOrd="2" destOrd="0" presId="urn:microsoft.com/office/officeart/2005/8/layout/orgChart1"/>
    <dgm:cxn modelId="{9FC49846-360E-452A-9037-1CCC631F5AE9}" type="presParOf" srcId="{190B7934-4D9B-46EC-9872-4E6EC30CA9DD}" destId="{B3FC9008-6A4E-4BFA-ACB1-54F531CC9967}" srcOrd="4" destOrd="0" presId="urn:microsoft.com/office/officeart/2005/8/layout/orgChart1"/>
    <dgm:cxn modelId="{8EA41A7B-6393-4581-9E1E-EDF2D0D2F445}" type="presParOf" srcId="{190B7934-4D9B-46EC-9872-4E6EC30CA9DD}" destId="{B882C409-707F-4295-9D4E-A27B9BB7C25E}" srcOrd="5" destOrd="0" presId="urn:microsoft.com/office/officeart/2005/8/layout/orgChart1"/>
    <dgm:cxn modelId="{82B4C438-2823-4E89-B542-10C85C261FC8}" type="presParOf" srcId="{B882C409-707F-4295-9D4E-A27B9BB7C25E}" destId="{9A8F4EC6-341C-4AB1-AC62-0D50313692F7}" srcOrd="0" destOrd="0" presId="urn:microsoft.com/office/officeart/2005/8/layout/orgChart1"/>
    <dgm:cxn modelId="{A11E61C9-E0F5-4B75-AF0C-4405D140206C}" type="presParOf" srcId="{9A8F4EC6-341C-4AB1-AC62-0D50313692F7}" destId="{22BD05BD-6955-4273-83A7-98C6A5F7489D}" srcOrd="0" destOrd="0" presId="urn:microsoft.com/office/officeart/2005/8/layout/orgChart1"/>
    <dgm:cxn modelId="{4EA7D19A-629B-40E9-971C-B75AA348A993}" type="presParOf" srcId="{9A8F4EC6-341C-4AB1-AC62-0D50313692F7}" destId="{D1E3B2BF-E692-4044-B0DA-704A033300FF}" srcOrd="1" destOrd="0" presId="urn:microsoft.com/office/officeart/2005/8/layout/orgChart1"/>
    <dgm:cxn modelId="{CCEE4C27-C373-4539-AD8B-A024FE431148}" type="presParOf" srcId="{B882C409-707F-4295-9D4E-A27B9BB7C25E}" destId="{8EBE87C2-DB8D-4ADA-83B5-4AA7EAFFA96F}" srcOrd="1" destOrd="0" presId="urn:microsoft.com/office/officeart/2005/8/layout/orgChart1"/>
    <dgm:cxn modelId="{BA02457A-FDAF-421C-B0EE-4D7BBE179B5C}" type="presParOf" srcId="{B882C409-707F-4295-9D4E-A27B9BB7C25E}" destId="{22577210-3663-45D7-B8BB-523407A8780D}" srcOrd="2" destOrd="0" presId="urn:microsoft.com/office/officeart/2005/8/layout/orgChart1"/>
    <dgm:cxn modelId="{55817425-CB15-46C7-AC23-FF10C067AF19}" type="presParOf" srcId="{190B7934-4D9B-46EC-9872-4E6EC30CA9DD}" destId="{E5096C7A-D53F-44F8-97B4-AEE38D82BDEB}" srcOrd="6" destOrd="0" presId="urn:microsoft.com/office/officeart/2005/8/layout/orgChart1"/>
    <dgm:cxn modelId="{8FE4E35D-0191-484B-A769-31197ADE89F7}" type="presParOf" srcId="{190B7934-4D9B-46EC-9872-4E6EC30CA9DD}" destId="{83B4ACDE-0B09-495C-B6E8-CDEA6221EC17}" srcOrd="7" destOrd="0" presId="urn:microsoft.com/office/officeart/2005/8/layout/orgChart1"/>
    <dgm:cxn modelId="{926CB11E-9B0E-4C23-A47F-024396604B83}" type="presParOf" srcId="{83B4ACDE-0B09-495C-B6E8-CDEA6221EC17}" destId="{866287C7-7514-41F9-B7C7-4D1A8E00D44C}" srcOrd="0" destOrd="0" presId="urn:microsoft.com/office/officeart/2005/8/layout/orgChart1"/>
    <dgm:cxn modelId="{0C9BD0F8-E9B1-4950-A1FA-FF2BDF1BBBBF}" type="presParOf" srcId="{866287C7-7514-41F9-B7C7-4D1A8E00D44C}" destId="{1D1D693B-43F0-488B-BF10-36E9C5C2697F}" srcOrd="0" destOrd="0" presId="urn:microsoft.com/office/officeart/2005/8/layout/orgChart1"/>
    <dgm:cxn modelId="{490025AD-4F3F-4D38-8E95-92620CAB052F}" type="presParOf" srcId="{866287C7-7514-41F9-B7C7-4D1A8E00D44C}" destId="{69E7791E-0C41-4731-ABCF-36A4F17B96FC}" srcOrd="1" destOrd="0" presId="urn:microsoft.com/office/officeart/2005/8/layout/orgChart1"/>
    <dgm:cxn modelId="{87DF8BED-C062-41F0-B2E0-78D1A779897F}" type="presParOf" srcId="{83B4ACDE-0B09-495C-B6E8-CDEA6221EC17}" destId="{E3FAA164-B0AD-483D-B7BA-61E66301F210}" srcOrd="1" destOrd="0" presId="urn:microsoft.com/office/officeart/2005/8/layout/orgChart1"/>
    <dgm:cxn modelId="{9A5E1229-25F5-443B-BC0D-6DB8CC0BE57A}" type="presParOf" srcId="{83B4ACDE-0B09-495C-B6E8-CDEA6221EC17}" destId="{AB0C4389-A120-4B13-B92D-2210B01C3A36}" srcOrd="2" destOrd="0" presId="urn:microsoft.com/office/officeart/2005/8/layout/orgChart1"/>
    <dgm:cxn modelId="{2504B357-8FE3-493F-A76A-48800B07F972}" type="presParOf" srcId="{F02E2177-5713-4F9E-945A-3767636DD4C7}" destId="{1E0086B4-8085-471F-9C77-61E774159F81}" srcOrd="2" destOrd="0" presId="urn:microsoft.com/office/officeart/2005/8/layout/orgChart1"/>
    <dgm:cxn modelId="{07BF4836-E0E5-4745-8EB7-53149A42F07A}" type="presParOf" srcId="{C598C9F6-4B7B-4F50-A75E-192951DC67DA}" destId="{D8EB9A9A-45C7-43C0-904E-980D380BA2C1}" srcOrd="2" destOrd="0" presId="urn:microsoft.com/office/officeart/2005/8/layout/orgChart1"/>
    <dgm:cxn modelId="{1FE4322B-AF77-4DBC-B209-FD5F3E3A5C4A}" type="presParOf" srcId="{B28A6F88-A0D8-4956-8A1A-9528F7E8E0B6}" destId="{6EEA4CD2-35B4-4C2E-9443-CC0F0F4E49D2}" srcOrd="2" destOrd="0" presId="urn:microsoft.com/office/officeart/2005/8/layout/orgChart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5096C7A-D53F-44F8-97B4-AEE38D82BDEB}">
      <dsp:nvSpPr>
        <dsp:cNvPr id="0" name=""/>
        <dsp:cNvSpPr/>
      </dsp:nvSpPr>
      <dsp:spPr>
        <a:xfrm>
          <a:off x="8599939" y="2126389"/>
          <a:ext cx="91440" cy="1409650"/>
        </a:xfrm>
        <a:custGeom>
          <a:avLst/>
          <a:gdLst/>
          <a:ahLst/>
          <a:cxnLst/>
          <a:rect l="0" t="0" r="0" b="0"/>
          <a:pathLst>
            <a:path>
              <a:moveTo>
                <a:pt x="45720" y="0"/>
              </a:moveTo>
              <a:lnTo>
                <a:pt x="45720" y="1409650"/>
              </a:lnTo>
              <a:lnTo>
                <a:pt x="116971" y="1409650"/>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3FC9008-6A4E-4BFA-ACB1-54F531CC9967}">
      <dsp:nvSpPr>
        <dsp:cNvPr id="0" name=""/>
        <dsp:cNvSpPr/>
      </dsp:nvSpPr>
      <dsp:spPr>
        <a:xfrm>
          <a:off x="8599939" y="2126389"/>
          <a:ext cx="91440" cy="1042406"/>
        </a:xfrm>
        <a:custGeom>
          <a:avLst/>
          <a:gdLst/>
          <a:ahLst/>
          <a:cxnLst/>
          <a:rect l="0" t="0" r="0" b="0"/>
          <a:pathLst>
            <a:path>
              <a:moveTo>
                <a:pt x="45720" y="0"/>
              </a:moveTo>
              <a:lnTo>
                <a:pt x="45720" y="1042406"/>
              </a:lnTo>
              <a:lnTo>
                <a:pt x="93524" y="1042406"/>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485310C-AD3E-42CA-8AC2-39273D74CB84}">
      <dsp:nvSpPr>
        <dsp:cNvPr id="0" name=""/>
        <dsp:cNvSpPr/>
      </dsp:nvSpPr>
      <dsp:spPr>
        <a:xfrm>
          <a:off x="8599939" y="2126389"/>
          <a:ext cx="91440" cy="648016"/>
        </a:xfrm>
        <a:custGeom>
          <a:avLst/>
          <a:gdLst/>
          <a:ahLst/>
          <a:cxnLst/>
          <a:rect l="0" t="0" r="0" b="0"/>
          <a:pathLst>
            <a:path>
              <a:moveTo>
                <a:pt x="45720" y="0"/>
              </a:moveTo>
              <a:lnTo>
                <a:pt x="45720" y="648016"/>
              </a:lnTo>
              <a:lnTo>
                <a:pt x="93524" y="648016"/>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9B72384-70E5-46D0-A00F-F690BF273129}">
      <dsp:nvSpPr>
        <dsp:cNvPr id="0" name=""/>
        <dsp:cNvSpPr/>
      </dsp:nvSpPr>
      <dsp:spPr>
        <a:xfrm>
          <a:off x="8645659" y="2126389"/>
          <a:ext cx="91954" cy="273842"/>
        </a:xfrm>
        <a:custGeom>
          <a:avLst/>
          <a:gdLst/>
          <a:ahLst/>
          <a:cxnLst/>
          <a:rect l="0" t="0" r="0" b="0"/>
          <a:pathLst>
            <a:path>
              <a:moveTo>
                <a:pt x="0" y="0"/>
              </a:moveTo>
              <a:lnTo>
                <a:pt x="0" y="273842"/>
              </a:lnTo>
              <a:lnTo>
                <a:pt x="91954" y="273842"/>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2112016-220A-45C8-88D3-FA4D88858CE9}">
      <dsp:nvSpPr>
        <dsp:cNvPr id="0" name=""/>
        <dsp:cNvSpPr/>
      </dsp:nvSpPr>
      <dsp:spPr>
        <a:xfrm>
          <a:off x="8437387" y="1674748"/>
          <a:ext cx="430463" cy="173901"/>
        </a:xfrm>
        <a:custGeom>
          <a:avLst/>
          <a:gdLst/>
          <a:ahLst/>
          <a:cxnLst/>
          <a:rect l="0" t="0" r="0" b="0"/>
          <a:pathLst>
            <a:path>
              <a:moveTo>
                <a:pt x="0" y="0"/>
              </a:moveTo>
              <a:lnTo>
                <a:pt x="0" y="115575"/>
              </a:lnTo>
              <a:lnTo>
                <a:pt x="430463" y="115575"/>
              </a:lnTo>
              <a:lnTo>
                <a:pt x="430463" y="173901"/>
              </a:lnTo>
            </a:path>
          </a:pathLst>
        </a:custGeom>
        <a:noFill/>
        <a:ln w="25400" cap="flat" cmpd="sng" algn="ctr">
          <a:solidFill>
            <a:schemeClr val="accent2">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F0654DA-E478-4C3D-A829-4F73DEC0F84D}">
      <dsp:nvSpPr>
        <dsp:cNvPr id="0" name=""/>
        <dsp:cNvSpPr/>
      </dsp:nvSpPr>
      <dsp:spPr>
        <a:xfrm>
          <a:off x="7910478" y="2125928"/>
          <a:ext cx="91440" cy="1392858"/>
        </a:xfrm>
        <a:custGeom>
          <a:avLst/>
          <a:gdLst/>
          <a:ahLst/>
          <a:cxnLst/>
          <a:rect l="0" t="0" r="0" b="0"/>
          <a:pathLst>
            <a:path>
              <a:moveTo>
                <a:pt x="45720" y="0"/>
              </a:moveTo>
              <a:lnTo>
                <a:pt x="45720" y="1392858"/>
              </a:lnTo>
              <a:lnTo>
                <a:pt x="116949" y="1392858"/>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A5CE379-5958-40AF-B5EA-ED85153DB36B}">
      <dsp:nvSpPr>
        <dsp:cNvPr id="0" name=""/>
        <dsp:cNvSpPr/>
      </dsp:nvSpPr>
      <dsp:spPr>
        <a:xfrm>
          <a:off x="7910478" y="2125928"/>
          <a:ext cx="91440" cy="1025614"/>
        </a:xfrm>
        <a:custGeom>
          <a:avLst/>
          <a:gdLst/>
          <a:ahLst/>
          <a:cxnLst/>
          <a:rect l="0" t="0" r="0" b="0"/>
          <a:pathLst>
            <a:path>
              <a:moveTo>
                <a:pt x="45720" y="0"/>
              </a:moveTo>
              <a:lnTo>
                <a:pt x="45720" y="1025614"/>
              </a:lnTo>
              <a:lnTo>
                <a:pt x="93502" y="1025614"/>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0476C4B-DFB8-4632-A045-F76C37C8CB81}">
      <dsp:nvSpPr>
        <dsp:cNvPr id="0" name=""/>
        <dsp:cNvSpPr/>
      </dsp:nvSpPr>
      <dsp:spPr>
        <a:xfrm>
          <a:off x="7910478" y="2125928"/>
          <a:ext cx="91440" cy="631224"/>
        </a:xfrm>
        <a:custGeom>
          <a:avLst/>
          <a:gdLst/>
          <a:ahLst/>
          <a:cxnLst/>
          <a:rect l="0" t="0" r="0" b="0"/>
          <a:pathLst>
            <a:path>
              <a:moveTo>
                <a:pt x="45720" y="0"/>
              </a:moveTo>
              <a:lnTo>
                <a:pt x="45720" y="631224"/>
              </a:lnTo>
              <a:lnTo>
                <a:pt x="93502" y="631224"/>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6254AEF-384A-4515-892F-11EB29EFBBE5}">
      <dsp:nvSpPr>
        <dsp:cNvPr id="0" name=""/>
        <dsp:cNvSpPr/>
      </dsp:nvSpPr>
      <dsp:spPr>
        <a:xfrm>
          <a:off x="7910478" y="2125928"/>
          <a:ext cx="91440" cy="257050"/>
        </a:xfrm>
        <a:custGeom>
          <a:avLst/>
          <a:gdLst/>
          <a:ahLst/>
          <a:cxnLst/>
          <a:rect l="0" t="0" r="0" b="0"/>
          <a:pathLst>
            <a:path>
              <a:moveTo>
                <a:pt x="45720" y="0"/>
              </a:moveTo>
              <a:lnTo>
                <a:pt x="45720" y="257050"/>
              </a:lnTo>
              <a:lnTo>
                <a:pt x="94524" y="257050"/>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5757E6B-D6CF-4964-906A-02FA9A885904}">
      <dsp:nvSpPr>
        <dsp:cNvPr id="0" name=""/>
        <dsp:cNvSpPr/>
      </dsp:nvSpPr>
      <dsp:spPr>
        <a:xfrm>
          <a:off x="8178390" y="1674748"/>
          <a:ext cx="258997" cy="173440"/>
        </a:xfrm>
        <a:custGeom>
          <a:avLst/>
          <a:gdLst/>
          <a:ahLst/>
          <a:cxnLst/>
          <a:rect l="0" t="0" r="0" b="0"/>
          <a:pathLst>
            <a:path>
              <a:moveTo>
                <a:pt x="258997" y="0"/>
              </a:moveTo>
              <a:lnTo>
                <a:pt x="258997" y="115114"/>
              </a:lnTo>
              <a:lnTo>
                <a:pt x="0" y="115114"/>
              </a:lnTo>
              <a:lnTo>
                <a:pt x="0" y="173440"/>
              </a:lnTo>
            </a:path>
          </a:pathLst>
        </a:custGeom>
        <a:noFill/>
        <a:ln w="25400" cap="flat" cmpd="sng" algn="ctr">
          <a:solidFill>
            <a:schemeClr val="accent2">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8D607D2-CA60-47FA-9A18-4397803DCFA3}">
      <dsp:nvSpPr>
        <dsp:cNvPr id="0" name=""/>
        <dsp:cNvSpPr/>
      </dsp:nvSpPr>
      <dsp:spPr>
        <a:xfrm>
          <a:off x="7136746" y="2138099"/>
          <a:ext cx="108085" cy="2944084"/>
        </a:xfrm>
        <a:custGeom>
          <a:avLst/>
          <a:gdLst/>
          <a:ahLst/>
          <a:cxnLst/>
          <a:rect l="0" t="0" r="0" b="0"/>
          <a:pathLst>
            <a:path>
              <a:moveTo>
                <a:pt x="0" y="0"/>
              </a:moveTo>
              <a:lnTo>
                <a:pt x="0" y="2944084"/>
              </a:lnTo>
              <a:lnTo>
                <a:pt x="108085" y="2944084"/>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9FEEFB4-F3BA-4F83-9C3C-5572AC78CCFA}">
      <dsp:nvSpPr>
        <dsp:cNvPr id="0" name=""/>
        <dsp:cNvSpPr/>
      </dsp:nvSpPr>
      <dsp:spPr>
        <a:xfrm>
          <a:off x="7136746" y="2138099"/>
          <a:ext cx="100503" cy="2574515"/>
        </a:xfrm>
        <a:custGeom>
          <a:avLst/>
          <a:gdLst/>
          <a:ahLst/>
          <a:cxnLst/>
          <a:rect l="0" t="0" r="0" b="0"/>
          <a:pathLst>
            <a:path>
              <a:moveTo>
                <a:pt x="0" y="0"/>
              </a:moveTo>
              <a:lnTo>
                <a:pt x="0" y="2574515"/>
              </a:lnTo>
              <a:lnTo>
                <a:pt x="100503" y="2574515"/>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1C94363-E83D-4B90-9692-6FB1A9BB44EF}">
      <dsp:nvSpPr>
        <dsp:cNvPr id="0" name=""/>
        <dsp:cNvSpPr/>
      </dsp:nvSpPr>
      <dsp:spPr>
        <a:xfrm>
          <a:off x="7136746" y="2138099"/>
          <a:ext cx="92304" cy="2186310"/>
        </a:xfrm>
        <a:custGeom>
          <a:avLst/>
          <a:gdLst/>
          <a:ahLst/>
          <a:cxnLst/>
          <a:rect l="0" t="0" r="0" b="0"/>
          <a:pathLst>
            <a:path>
              <a:moveTo>
                <a:pt x="0" y="0"/>
              </a:moveTo>
              <a:lnTo>
                <a:pt x="0" y="2186310"/>
              </a:lnTo>
              <a:lnTo>
                <a:pt x="92304" y="2186310"/>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77C1B15-195A-4373-990F-41F5ADEDECB5}">
      <dsp:nvSpPr>
        <dsp:cNvPr id="0" name=""/>
        <dsp:cNvSpPr/>
      </dsp:nvSpPr>
      <dsp:spPr>
        <a:xfrm>
          <a:off x="7136746" y="2138099"/>
          <a:ext cx="97237" cy="1787248"/>
        </a:xfrm>
        <a:custGeom>
          <a:avLst/>
          <a:gdLst/>
          <a:ahLst/>
          <a:cxnLst/>
          <a:rect l="0" t="0" r="0" b="0"/>
          <a:pathLst>
            <a:path>
              <a:moveTo>
                <a:pt x="0" y="0"/>
              </a:moveTo>
              <a:lnTo>
                <a:pt x="0" y="1787248"/>
              </a:lnTo>
              <a:lnTo>
                <a:pt x="97237" y="1787248"/>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F1903FC-1CF5-4D63-ADB3-5B035B47E531}">
      <dsp:nvSpPr>
        <dsp:cNvPr id="0" name=""/>
        <dsp:cNvSpPr/>
      </dsp:nvSpPr>
      <dsp:spPr>
        <a:xfrm>
          <a:off x="7136746" y="2138099"/>
          <a:ext cx="97237" cy="1392858"/>
        </a:xfrm>
        <a:custGeom>
          <a:avLst/>
          <a:gdLst/>
          <a:ahLst/>
          <a:cxnLst/>
          <a:rect l="0" t="0" r="0" b="0"/>
          <a:pathLst>
            <a:path>
              <a:moveTo>
                <a:pt x="0" y="0"/>
              </a:moveTo>
              <a:lnTo>
                <a:pt x="0" y="1392858"/>
              </a:lnTo>
              <a:lnTo>
                <a:pt x="97237" y="1392858"/>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7EC94AE-E550-4E67-BAA9-EF3B5558F545}">
      <dsp:nvSpPr>
        <dsp:cNvPr id="0" name=""/>
        <dsp:cNvSpPr/>
      </dsp:nvSpPr>
      <dsp:spPr>
        <a:xfrm>
          <a:off x="7091026" y="2138099"/>
          <a:ext cx="91440" cy="1025614"/>
        </a:xfrm>
        <a:custGeom>
          <a:avLst/>
          <a:gdLst/>
          <a:ahLst/>
          <a:cxnLst/>
          <a:rect l="0" t="0" r="0" b="0"/>
          <a:pathLst>
            <a:path>
              <a:moveTo>
                <a:pt x="45720" y="0"/>
              </a:moveTo>
              <a:lnTo>
                <a:pt x="45720" y="1025614"/>
              </a:lnTo>
              <a:lnTo>
                <a:pt x="119510" y="1025614"/>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6933798-79EB-4D7F-AB7C-9C9C9DB46D36}">
      <dsp:nvSpPr>
        <dsp:cNvPr id="0" name=""/>
        <dsp:cNvSpPr/>
      </dsp:nvSpPr>
      <dsp:spPr>
        <a:xfrm>
          <a:off x="7091026" y="2138099"/>
          <a:ext cx="91440" cy="631224"/>
        </a:xfrm>
        <a:custGeom>
          <a:avLst/>
          <a:gdLst/>
          <a:ahLst/>
          <a:cxnLst/>
          <a:rect l="0" t="0" r="0" b="0"/>
          <a:pathLst>
            <a:path>
              <a:moveTo>
                <a:pt x="45720" y="0"/>
              </a:moveTo>
              <a:lnTo>
                <a:pt x="45720" y="631224"/>
              </a:lnTo>
              <a:lnTo>
                <a:pt x="119510" y="631224"/>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5C4CE45-B147-4951-9AA6-EC7824E38ED9}">
      <dsp:nvSpPr>
        <dsp:cNvPr id="0" name=""/>
        <dsp:cNvSpPr/>
      </dsp:nvSpPr>
      <dsp:spPr>
        <a:xfrm>
          <a:off x="7091026" y="2138099"/>
          <a:ext cx="91440" cy="248324"/>
        </a:xfrm>
        <a:custGeom>
          <a:avLst/>
          <a:gdLst/>
          <a:ahLst/>
          <a:cxnLst/>
          <a:rect l="0" t="0" r="0" b="0"/>
          <a:pathLst>
            <a:path>
              <a:moveTo>
                <a:pt x="45720" y="0"/>
              </a:moveTo>
              <a:lnTo>
                <a:pt x="45720" y="248324"/>
              </a:lnTo>
              <a:lnTo>
                <a:pt x="128753" y="248324"/>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51BA316-76D8-4A03-B900-9E85BB296C22}">
      <dsp:nvSpPr>
        <dsp:cNvPr id="0" name=""/>
        <dsp:cNvSpPr/>
      </dsp:nvSpPr>
      <dsp:spPr>
        <a:xfrm>
          <a:off x="7428293" y="1674748"/>
          <a:ext cx="1009094" cy="164716"/>
        </a:xfrm>
        <a:custGeom>
          <a:avLst/>
          <a:gdLst/>
          <a:ahLst/>
          <a:cxnLst/>
          <a:rect l="0" t="0" r="0" b="0"/>
          <a:pathLst>
            <a:path>
              <a:moveTo>
                <a:pt x="1009094" y="0"/>
              </a:moveTo>
              <a:lnTo>
                <a:pt x="1009094" y="106390"/>
              </a:lnTo>
              <a:lnTo>
                <a:pt x="0" y="106390"/>
              </a:lnTo>
              <a:lnTo>
                <a:pt x="0" y="164716"/>
              </a:lnTo>
            </a:path>
          </a:pathLst>
        </a:custGeom>
        <a:noFill/>
        <a:ln w="25400" cap="flat" cmpd="sng" algn="ctr">
          <a:solidFill>
            <a:schemeClr val="accent2">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CD664AE-F601-477D-9B88-CFFB518CBBFB}">
      <dsp:nvSpPr>
        <dsp:cNvPr id="0" name=""/>
        <dsp:cNvSpPr/>
      </dsp:nvSpPr>
      <dsp:spPr>
        <a:xfrm>
          <a:off x="6392809" y="2109136"/>
          <a:ext cx="91440" cy="2916471"/>
        </a:xfrm>
        <a:custGeom>
          <a:avLst/>
          <a:gdLst/>
          <a:ahLst/>
          <a:cxnLst/>
          <a:rect l="0" t="0" r="0" b="0"/>
          <a:pathLst>
            <a:path>
              <a:moveTo>
                <a:pt x="45720" y="0"/>
              </a:moveTo>
              <a:lnTo>
                <a:pt x="45720" y="2916471"/>
              </a:lnTo>
              <a:lnTo>
                <a:pt x="132163" y="2916471"/>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ADEA2F6-56D8-4CEC-896D-C07717438109}">
      <dsp:nvSpPr>
        <dsp:cNvPr id="0" name=""/>
        <dsp:cNvSpPr/>
      </dsp:nvSpPr>
      <dsp:spPr>
        <a:xfrm>
          <a:off x="6392809" y="2109136"/>
          <a:ext cx="91440" cy="2564805"/>
        </a:xfrm>
        <a:custGeom>
          <a:avLst/>
          <a:gdLst/>
          <a:ahLst/>
          <a:cxnLst/>
          <a:rect l="0" t="0" r="0" b="0"/>
          <a:pathLst>
            <a:path>
              <a:moveTo>
                <a:pt x="45720" y="0"/>
              </a:moveTo>
              <a:lnTo>
                <a:pt x="45720" y="2564805"/>
              </a:lnTo>
              <a:lnTo>
                <a:pt x="122359" y="2564805"/>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764FF8D-F2A3-49BC-A7A6-9CEC04A80170}">
      <dsp:nvSpPr>
        <dsp:cNvPr id="0" name=""/>
        <dsp:cNvSpPr/>
      </dsp:nvSpPr>
      <dsp:spPr>
        <a:xfrm>
          <a:off x="6392809" y="2109136"/>
          <a:ext cx="91440" cy="2179594"/>
        </a:xfrm>
        <a:custGeom>
          <a:avLst/>
          <a:gdLst/>
          <a:ahLst/>
          <a:cxnLst/>
          <a:rect l="0" t="0" r="0" b="0"/>
          <a:pathLst>
            <a:path>
              <a:moveTo>
                <a:pt x="45720" y="0"/>
              </a:moveTo>
              <a:lnTo>
                <a:pt x="45720" y="2179594"/>
              </a:lnTo>
              <a:lnTo>
                <a:pt x="106406" y="2179594"/>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81CF30F-7E79-462D-AC7D-9AA5C1FC469C}">
      <dsp:nvSpPr>
        <dsp:cNvPr id="0" name=""/>
        <dsp:cNvSpPr/>
      </dsp:nvSpPr>
      <dsp:spPr>
        <a:xfrm>
          <a:off x="6392809" y="2109136"/>
          <a:ext cx="91440" cy="1804040"/>
        </a:xfrm>
        <a:custGeom>
          <a:avLst/>
          <a:gdLst/>
          <a:ahLst/>
          <a:cxnLst/>
          <a:rect l="0" t="0" r="0" b="0"/>
          <a:pathLst>
            <a:path>
              <a:moveTo>
                <a:pt x="45720" y="0"/>
              </a:moveTo>
              <a:lnTo>
                <a:pt x="45720" y="1804040"/>
              </a:lnTo>
              <a:lnTo>
                <a:pt x="116971" y="1804040"/>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3FAC9A7-5690-4CB7-A1C2-FFFD66D0CFAF}">
      <dsp:nvSpPr>
        <dsp:cNvPr id="0" name=""/>
        <dsp:cNvSpPr/>
      </dsp:nvSpPr>
      <dsp:spPr>
        <a:xfrm>
          <a:off x="6392809" y="2109136"/>
          <a:ext cx="91440" cy="1436796"/>
        </a:xfrm>
        <a:custGeom>
          <a:avLst/>
          <a:gdLst/>
          <a:ahLst/>
          <a:cxnLst/>
          <a:rect l="0" t="0" r="0" b="0"/>
          <a:pathLst>
            <a:path>
              <a:moveTo>
                <a:pt x="45720" y="0"/>
              </a:moveTo>
              <a:lnTo>
                <a:pt x="45720" y="1436796"/>
              </a:lnTo>
              <a:lnTo>
                <a:pt x="102151" y="1436796"/>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A4D1D40-3832-4BB5-89D3-E511F18E28DF}">
      <dsp:nvSpPr>
        <dsp:cNvPr id="0" name=""/>
        <dsp:cNvSpPr/>
      </dsp:nvSpPr>
      <dsp:spPr>
        <a:xfrm>
          <a:off x="6392809" y="2109136"/>
          <a:ext cx="91440" cy="1042406"/>
        </a:xfrm>
        <a:custGeom>
          <a:avLst/>
          <a:gdLst/>
          <a:ahLst/>
          <a:cxnLst/>
          <a:rect l="0" t="0" r="0" b="0"/>
          <a:pathLst>
            <a:path>
              <a:moveTo>
                <a:pt x="45720" y="0"/>
              </a:moveTo>
              <a:lnTo>
                <a:pt x="45720" y="1042406"/>
              </a:lnTo>
              <a:lnTo>
                <a:pt x="119398" y="1042406"/>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185BAAE-DE64-4AD7-A9BB-598CEFCAC8F9}">
      <dsp:nvSpPr>
        <dsp:cNvPr id="0" name=""/>
        <dsp:cNvSpPr/>
      </dsp:nvSpPr>
      <dsp:spPr>
        <a:xfrm>
          <a:off x="6392809" y="2109136"/>
          <a:ext cx="91440" cy="666963"/>
        </a:xfrm>
        <a:custGeom>
          <a:avLst/>
          <a:gdLst/>
          <a:ahLst/>
          <a:cxnLst/>
          <a:rect l="0" t="0" r="0" b="0"/>
          <a:pathLst>
            <a:path>
              <a:moveTo>
                <a:pt x="45720" y="0"/>
              </a:moveTo>
              <a:lnTo>
                <a:pt x="45720" y="666963"/>
              </a:lnTo>
              <a:lnTo>
                <a:pt x="120698" y="666963"/>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E5A63D8-BA54-4855-9013-9255A604E001}">
      <dsp:nvSpPr>
        <dsp:cNvPr id="0" name=""/>
        <dsp:cNvSpPr/>
      </dsp:nvSpPr>
      <dsp:spPr>
        <a:xfrm>
          <a:off x="6392809" y="2109136"/>
          <a:ext cx="91440" cy="273842"/>
        </a:xfrm>
        <a:custGeom>
          <a:avLst/>
          <a:gdLst/>
          <a:ahLst/>
          <a:cxnLst/>
          <a:rect l="0" t="0" r="0" b="0"/>
          <a:pathLst>
            <a:path>
              <a:moveTo>
                <a:pt x="45720" y="0"/>
              </a:moveTo>
              <a:lnTo>
                <a:pt x="45720" y="273842"/>
              </a:lnTo>
              <a:lnTo>
                <a:pt x="120426" y="273842"/>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F891AE3-6A53-4F71-88ED-8E8630589331}">
      <dsp:nvSpPr>
        <dsp:cNvPr id="0" name=""/>
        <dsp:cNvSpPr/>
      </dsp:nvSpPr>
      <dsp:spPr>
        <a:xfrm>
          <a:off x="6660721" y="1674748"/>
          <a:ext cx="1776666" cy="156647"/>
        </a:xfrm>
        <a:custGeom>
          <a:avLst/>
          <a:gdLst/>
          <a:ahLst/>
          <a:cxnLst/>
          <a:rect l="0" t="0" r="0" b="0"/>
          <a:pathLst>
            <a:path>
              <a:moveTo>
                <a:pt x="1776666" y="0"/>
              </a:moveTo>
              <a:lnTo>
                <a:pt x="1776666" y="98322"/>
              </a:lnTo>
              <a:lnTo>
                <a:pt x="0" y="98322"/>
              </a:lnTo>
              <a:lnTo>
                <a:pt x="0" y="156647"/>
              </a:lnTo>
            </a:path>
          </a:pathLst>
        </a:custGeom>
        <a:noFill/>
        <a:ln w="25400" cap="flat" cmpd="sng" algn="ctr">
          <a:solidFill>
            <a:schemeClr val="accent2">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6864419-3D5E-434E-BB5A-29FD6B15E81B}">
      <dsp:nvSpPr>
        <dsp:cNvPr id="0" name=""/>
        <dsp:cNvSpPr/>
      </dsp:nvSpPr>
      <dsp:spPr>
        <a:xfrm>
          <a:off x="4970738" y="892084"/>
          <a:ext cx="3466649" cy="504925"/>
        </a:xfrm>
        <a:custGeom>
          <a:avLst/>
          <a:gdLst/>
          <a:ahLst/>
          <a:cxnLst/>
          <a:rect l="0" t="0" r="0" b="0"/>
          <a:pathLst>
            <a:path>
              <a:moveTo>
                <a:pt x="0" y="0"/>
              </a:moveTo>
              <a:lnTo>
                <a:pt x="0" y="446599"/>
              </a:lnTo>
              <a:lnTo>
                <a:pt x="3466649" y="446599"/>
              </a:lnTo>
              <a:lnTo>
                <a:pt x="3466649" y="504925"/>
              </a:lnTo>
            </a:path>
          </a:pathLst>
        </a:custGeom>
        <a:noFill/>
        <a:ln w="25400" cap="flat" cmpd="sng" algn="ctr">
          <a:solidFill>
            <a:schemeClr val="accent2">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BDBB033-DA5A-42F7-AA19-6643D7B83E5F}">
      <dsp:nvSpPr>
        <dsp:cNvPr id="0" name=""/>
        <dsp:cNvSpPr/>
      </dsp:nvSpPr>
      <dsp:spPr>
        <a:xfrm>
          <a:off x="5403812" y="2091716"/>
          <a:ext cx="91440" cy="1628235"/>
        </a:xfrm>
        <a:custGeom>
          <a:avLst/>
          <a:gdLst/>
          <a:ahLst/>
          <a:cxnLst/>
          <a:rect l="0" t="0" r="0" b="0"/>
          <a:pathLst>
            <a:path>
              <a:moveTo>
                <a:pt x="45720" y="0"/>
              </a:moveTo>
              <a:lnTo>
                <a:pt x="45720" y="1628235"/>
              </a:lnTo>
              <a:lnTo>
                <a:pt x="106628" y="1628235"/>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114889E-141A-43A9-9198-75DD20A1921B}">
      <dsp:nvSpPr>
        <dsp:cNvPr id="0" name=""/>
        <dsp:cNvSpPr/>
      </dsp:nvSpPr>
      <dsp:spPr>
        <a:xfrm>
          <a:off x="5403812" y="2091716"/>
          <a:ext cx="91440" cy="1116111"/>
        </a:xfrm>
        <a:custGeom>
          <a:avLst/>
          <a:gdLst/>
          <a:ahLst/>
          <a:cxnLst/>
          <a:rect l="0" t="0" r="0" b="0"/>
          <a:pathLst>
            <a:path>
              <a:moveTo>
                <a:pt x="45720" y="0"/>
              </a:moveTo>
              <a:lnTo>
                <a:pt x="45720" y="1116111"/>
              </a:lnTo>
              <a:lnTo>
                <a:pt x="106628" y="1116111"/>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A844D41-C2EA-4BCE-A1F1-029FFC1EA975}">
      <dsp:nvSpPr>
        <dsp:cNvPr id="0" name=""/>
        <dsp:cNvSpPr/>
      </dsp:nvSpPr>
      <dsp:spPr>
        <a:xfrm>
          <a:off x="5403812" y="2091716"/>
          <a:ext cx="91440" cy="682208"/>
        </a:xfrm>
        <a:custGeom>
          <a:avLst/>
          <a:gdLst/>
          <a:ahLst/>
          <a:cxnLst/>
          <a:rect l="0" t="0" r="0" b="0"/>
          <a:pathLst>
            <a:path>
              <a:moveTo>
                <a:pt x="45720" y="0"/>
              </a:moveTo>
              <a:lnTo>
                <a:pt x="45720" y="682208"/>
              </a:lnTo>
              <a:lnTo>
                <a:pt x="106628" y="682208"/>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FAA0D14-02C4-41EF-B2DF-6A952974F2EC}">
      <dsp:nvSpPr>
        <dsp:cNvPr id="0" name=""/>
        <dsp:cNvSpPr/>
      </dsp:nvSpPr>
      <dsp:spPr>
        <a:xfrm>
          <a:off x="5403812" y="2091716"/>
          <a:ext cx="91440" cy="256679"/>
        </a:xfrm>
        <a:custGeom>
          <a:avLst/>
          <a:gdLst/>
          <a:ahLst/>
          <a:cxnLst/>
          <a:rect l="0" t="0" r="0" b="0"/>
          <a:pathLst>
            <a:path>
              <a:moveTo>
                <a:pt x="45720" y="0"/>
              </a:moveTo>
              <a:lnTo>
                <a:pt x="45720" y="256679"/>
              </a:lnTo>
              <a:lnTo>
                <a:pt x="106628" y="256679"/>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CF7E422-49B7-4152-BAB8-FC63F2BF9160}">
      <dsp:nvSpPr>
        <dsp:cNvPr id="0" name=""/>
        <dsp:cNvSpPr/>
      </dsp:nvSpPr>
      <dsp:spPr>
        <a:xfrm>
          <a:off x="4719549" y="1676398"/>
          <a:ext cx="952174" cy="137578"/>
        </a:xfrm>
        <a:custGeom>
          <a:avLst/>
          <a:gdLst/>
          <a:ahLst/>
          <a:cxnLst/>
          <a:rect l="0" t="0" r="0" b="0"/>
          <a:pathLst>
            <a:path>
              <a:moveTo>
                <a:pt x="0" y="0"/>
              </a:moveTo>
              <a:lnTo>
                <a:pt x="0" y="79252"/>
              </a:lnTo>
              <a:lnTo>
                <a:pt x="952174" y="79252"/>
              </a:lnTo>
              <a:lnTo>
                <a:pt x="952174" y="137578"/>
              </a:lnTo>
            </a:path>
          </a:pathLst>
        </a:custGeom>
        <a:noFill/>
        <a:ln w="25400" cap="flat" cmpd="sng" algn="ctr">
          <a:solidFill>
            <a:schemeClr val="accent2">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6818D12-B24E-4069-895B-E1648FA8CB22}">
      <dsp:nvSpPr>
        <dsp:cNvPr id="0" name=""/>
        <dsp:cNvSpPr/>
      </dsp:nvSpPr>
      <dsp:spPr>
        <a:xfrm>
          <a:off x="4743551" y="2089569"/>
          <a:ext cx="97431" cy="1378907"/>
        </a:xfrm>
        <a:custGeom>
          <a:avLst/>
          <a:gdLst/>
          <a:ahLst/>
          <a:cxnLst/>
          <a:rect l="0" t="0" r="0" b="0"/>
          <a:pathLst>
            <a:path>
              <a:moveTo>
                <a:pt x="0" y="0"/>
              </a:moveTo>
              <a:lnTo>
                <a:pt x="0" y="1378907"/>
              </a:lnTo>
              <a:lnTo>
                <a:pt x="97431" y="1378907"/>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023A377-AB31-4084-BCFD-8F862D4AEB15}">
      <dsp:nvSpPr>
        <dsp:cNvPr id="0" name=""/>
        <dsp:cNvSpPr/>
      </dsp:nvSpPr>
      <dsp:spPr>
        <a:xfrm>
          <a:off x="4743551" y="2089569"/>
          <a:ext cx="103091" cy="1006283"/>
        </a:xfrm>
        <a:custGeom>
          <a:avLst/>
          <a:gdLst/>
          <a:ahLst/>
          <a:cxnLst/>
          <a:rect l="0" t="0" r="0" b="0"/>
          <a:pathLst>
            <a:path>
              <a:moveTo>
                <a:pt x="0" y="0"/>
              </a:moveTo>
              <a:lnTo>
                <a:pt x="0" y="1006283"/>
              </a:lnTo>
              <a:lnTo>
                <a:pt x="103091" y="1006283"/>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1F9B978-F512-459E-8D4D-B18D8628A18B}">
      <dsp:nvSpPr>
        <dsp:cNvPr id="0" name=""/>
        <dsp:cNvSpPr/>
      </dsp:nvSpPr>
      <dsp:spPr>
        <a:xfrm>
          <a:off x="4743551" y="2089569"/>
          <a:ext cx="97431" cy="607580"/>
        </a:xfrm>
        <a:custGeom>
          <a:avLst/>
          <a:gdLst/>
          <a:ahLst/>
          <a:cxnLst/>
          <a:rect l="0" t="0" r="0" b="0"/>
          <a:pathLst>
            <a:path>
              <a:moveTo>
                <a:pt x="0" y="0"/>
              </a:moveTo>
              <a:lnTo>
                <a:pt x="0" y="607580"/>
              </a:lnTo>
              <a:lnTo>
                <a:pt x="97431" y="607580"/>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51B9C95-24ED-46C3-A8CF-CF6625967647}">
      <dsp:nvSpPr>
        <dsp:cNvPr id="0" name=""/>
        <dsp:cNvSpPr/>
      </dsp:nvSpPr>
      <dsp:spPr>
        <a:xfrm>
          <a:off x="4743551" y="2089569"/>
          <a:ext cx="97431" cy="213190"/>
        </a:xfrm>
        <a:custGeom>
          <a:avLst/>
          <a:gdLst/>
          <a:ahLst/>
          <a:cxnLst/>
          <a:rect l="0" t="0" r="0" b="0"/>
          <a:pathLst>
            <a:path>
              <a:moveTo>
                <a:pt x="0" y="0"/>
              </a:moveTo>
              <a:lnTo>
                <a:pt x="0" y="213190"/>
              </a:lnTo>
              <a:lnTo>
                <a:pt x="97431" y="213190"/>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E385000-70F0-4FC9-8000-269D59E93F1C}">
      <dsp:nvSpPr>
        <dsp:cNvPr id="0" name=""/>
        <dsp:cNvSpPr/>
      </dsp:nvSpPr>
      <dsp:spPr>
        <a:xfrm>
          <a:off x="4719549" y="1676398"/>
          <a:ext cx="246193" cy="135431"/>
        </a:xfrm>
        <a:custGeom>
          <a:avLst/>
          <a:gdLst/>
          <a:ahLst/>
          <a:cxnLst/>
          <a:rect l="0" t="0" r="0" b="0"/>
          <a:pathLst>
            <a:path>
              <a:moveTo>
                <a:pt x="0" y="0"/>
              </a:moveTo>
              <a:lnTo>
                <a:pt x="0" y="77106"/>
              </a:lnTo>
              <a:lnTo>
                <a:pt x="246193" y="77106"/>
              </a:lnTo>
              <a:lnTo>
                <a:pt x="246193" y="135431"/>
              </a:lnTo>
            </a:path>
          </a:pathLst>
        </a:custGeom>
        <a:noFill/>
        <a:ln w="25400" cap="flat" cmpd="sng" algn="ctr">
          <a:solidFill>
            <a:schemeClr val="accent2">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54DF693-F9D8-40ED-BA1B-BCC0DED4CCC7}">
      <dsp:nvSpPr>
        <dsp:cNvPr id="0" name=""/>
        <dsp:cNvSpPr/>
      </dsp:nvSpPr>
      <dsp:spPr>
        <a:xfrm>
          <a:off x="3989806" y="2090339"/>
          <a:ext cx="91440" cy="1947401"/>
        </a:xfrm>
        <a:custGeom>
          <a:avLst/>
          <a:gdLst/>
          <a:ahLst/>
          <a:cxnLst/>
          <a:rect l="0" t="0" r="0" b="0"/>
          <a:pathLst>
            <a:path>
              <a:moveTo>
                <a:pt x="45720" y="0"/>
              </a:moveTo>
              <a:lnTo>
                <a:pt x="45720" y="1947401"/>
              </a:lnTo>
              <a:lnTo>
                <a:pt x="133285" y="1947401"/>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F7D75AC-9480-4133-87E2-E2649DE98C37}">
      <dsp:nvSpPr>
        <dsp:cNvPr id="0" name=""/>
        <dsp:cNvSpPr/>
      </dsp:nvSpPr>
      <dsp:spPr>
        <a:xfrm>
          <a:off x="4035526" y="2090339"/>
          <a:ext cx="94620" cy="1495930"/>
        </a:xfrm>
        <a:custGeom>
          <a:avLst/>
          <a:gdLst/>
          <a:ahLst/>
          <a:cxnLst/>
          <a:rect l="0" t="0" r="0" b="0"/>
          <a:pathLst>
            <a:path>
              <a:moveTo>
                <a:pt x="0" y="0"/>
              </a:moveTo>
              <a:lnTo>
                <a:pt x="0" y="1495930"/>
              </a:lnTo>
              <a:lnTo>
                <a:pt x="94620" y="1495930"/>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33689C7-7860-4E1B-90F2-52DEF3DAD9C2}">
      <dsp:nvSpPr>
        <dsp:cNvPr id="0" name=""/>
        <dsp:cNvSpPr/>
      </dsp:nvSpPr>
      <dsp:spPr>
        <a:xfrm>
          <a:off x="3989806" y="2090339"/>
          <a:ext cx="91440" cy="1039601"/>
        </a:xfrm>
        <a:custGeom>
          <a:avLst/>
          <a:gdLst/>
          <a:ahLst/>
          <a:cxnLst/>
          <a:rect l="0" t="0" r="0" b="0"/>
          <a:pathLst>
            <a:path>
              <a:moveTo>
                <a:pt x="45720" y="0"/>
              </a:moveTo>
              <a:lnTo>
                <a:pt x="45720" y="1039601"/>
              </a:lnTo>
              <a:lnTo>
                <a:pt x="133280" y="1039601"/>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879C6E2-29D7-4B70-ACA4-961A36E3DCA1}">
      <dsp:nvSpPr>
        <dsp:cNvPr id="0" name=""/>
        <dsp:cNvSpPr/>
      </dsp:nvSpPr>
      <dsp:spPr>
        <a:xfrm>
          <a:off x="3989806" y="2090339"/>
          <a:ext cx="91440" cy="611496"/>
        </a:xfrm>
        <a:custGeom>
          <a:avLst/>
          <a:gdLst/>
          <a:ahLst/>
          <a:cxnLst/>
          <a:rect l="0" t="0" r="0" b="0"/>
          <a:pathLst>
            <a:path>
              <a:moveTo>
                <a:pt x="45720" y="0"/>
              </a:moveTo>
              <a:lnTo>
                <a:pt x="45720" y="611496"/>
              </a:lnTo>
              <a:lnTo>
                <a:pt x="133280" y="611496"/>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31288D2-5932-475E-9CF9-55FDEDF5766C}">
      <dsp:nvSpPr>
        <dsp:cNvPr id="0" name=""/>
        <dsp:cNvSpPr/>
      </dsp:nvSpPr>
      <dsp:spPr>
        <a:xfrm>
          <a:off x="4035526" y="2090339"/>
          <a:ext cx="94620" cy="238272"/>
        </a:xfrm>
        <a:custGeom>
          <a:avLst/>
          <a:gdLst/>
          <a:ahLst/>
          <a:cxnLst/>
          <a:rect l="0" t="0" r="0" b="0"/>
          <a:pathLst>
            <a:path>
              <a:moveTo>
                <a:pt x="0" y="0"/>
              </a:moveTo>
              <a:lnTo>
                <a:pt x="0" y="238272"/>
              </a:lnTo>
              <a:lnTo>
                <a:pt x="94620" y="238272"/>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BD55146-8045-4C6B-8576-72CED9C08E80}">
      <dsp:nvSpPr>
        <dsp:cNvPr id="0" name=""/>
        <dsp:cNvSpPr/>
      </dsp:nvSpPr>
      <dsp:spPr>
        <a:xfrm>
          <a:off x="4257718" y="1676398"/>
          <a:ext cx="461830" cy="136200"/>
        </a:xfrm>
        <a:custGeom>
          <a:avLst/>
          <a:gdLst/>
          <a:ahLst/>
          <a:cxnLst/>
          <a:rect l="0" t="0" r="0" b="0"/>
          <a:pathLst>
            <a:path>
              <a:moveTo>
                <a:pt x="461830" y="0"/>
              </a:moveTo>
              <a:lnTo>
                <a:pt x="461830" y="77875"/>
              </a:lnTo>
              <a:lnTo>
                <a:pt x="0" y="77875"/>
              </a:lnTo>
              <a:lnTo>
                <a:pt x="0" y="136200"/>
              </a:lnTo>
            </a:path>
          </a:pathLst>
        </a:custGeom>
        <a:noFill/>
        <a:ln w="25400" cap="flat" cmpd="sng" algn="ctr">
          <a:solidFill>
            <a:schemeClr val="accent2">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94F3DA8-2C3C-480B-85EF-35BEE7385541}">
      <dsp:nvSpPr>
        <dsp:cNvPr id="0" name=""/>
        <dsp:cNvSpPr/>
      </dsp:nvSpPr>
      <dsp:spPr>
        <a:xfrm>
          <a:off x="3307871" y="2095143"/>
          <a:ext cx="126427" cy="2997610"/>
        </a:xfrm>
        <a:custGeom>
          <a:avLst/>
          <a:gdLst/>
          <a:ahLst/>
          <a:cxnLst/>
          <a:rect l="0" t="0" r="0" b="0"/>
          <a:pathLst>
            <a:path>
              <a:moveTo>
                <a:pt x="0" y="0"/>
              </a:moveTo>
              <a:lnTo>
                <a:pt x="0" y="2997610"/>
              </a:lnTo>
              <a:lnTo>
                <a:pt x="126427" y="2997610"/>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05C5B48-4701-4775-8313-879EA1AFA7DF}">
      <dsp:nvSpPr>
        <dsp:cNvPr id="0" name=""/>
        <dsp:cNvSpPr/>
      </dsp:nvSpPr>
      <dsp:spPr>
        <a:xfrm>
          <a:off x="3307871" y="2095143"/>
          <a:ext cx="111934" cy="2644771"/>
        </a:xfrm>
        <a:custGeom>
          <a:avLst/>
          <a:gdLst/>
          <a:ahLst/>
          <a:cxnLst/>
          <a:rect l="0" t="0" r="0" b="0"/>
          <a:pathLst>
            <a:path>
              <a:moveTo>
                <a:pt x="0" y="0"/>
              </a:moveTo>
              <a:lnTo>
                <a:pt x="0" y="2644771"/>
              </a:lnTo>
              <a:lnTo>
                <a:pt x="111934" y="2644771"/>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337DFFB-3795-4064-9638-4A2C6550BAB3}">
      <dsp:nvSpPr>
        <dsp:cNvPr id="0" name=""/>
        <dsp:cNvSpPr/>
      </dsp:nvSpPr>
      <dsp:spPr>
        <a:xfrm>
          <a:off x="3307871" y="2095143"/>
          <a:ext cx="111929" cy="2304299"/>
        </a:xfrm>
        <a:custGeom>
          <a:avLst/>
          <a:gdLst/>
          <a:ahLst/>
          <a:cxnLst/>
          <a:rect l="0" t="0" r="0" b="0"/>
          <a:pathLst>
            <a:path>
              <a:moveTo>
                <a:pt x="0" y="0"/>
              </a:moveTo>
              <a:lnTo>
                <a:pt x="0" y="2304299"/>
              </a:lnTo>
              <a:lnTo>
                <a:pt x="111929" y="2304299"/>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173E6D0-59CC-4A2E-B597-2C245B1261D5}">
      <dsp:nvSpPr>
        <dsp:cNvPr id="0" name=""/>
        <dsp:cNvSpPr/>
      </dsp:nvSpPr>
      <dsp:spPr>
        <a:xfrm>
          <a:off x="3307871" y="2095143"/>
          <a:ext cx="104680" cy="1938908"/>
        </a:xfrm>
        <a:custGeom>
          <a:avLst/>
          <a:gdLst/>
          <a:ahLst/>
          <a:cxnLst/>
          <a:rect l="0" t="0" r="0" b="0"/>
          <a:pathLst>
            <a:path>
              <a:moveTo>
                <a:pt x="0" y="0"/>
              </a:moveTo>
              <a:lnTo>
                <a:pt x="0" y="1938908"/>
              </a:lnTo>
              <a:lnTo>
                <a:pt x="104680" y="1938908"/>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F22FD5D-E0C6-434B-A201-67977C56FF26}">
      <dsp:nvSpPr>
        <dsp:cNvPr id="0" name=""/>
        <dsp:cNvSpPr/>
      </dsp:nvSpPr>
      <dsp:spPr>
        <a:xfrm>
          <a:off x="3262151" y="2095143"/>
          <a:ext cx="91440" cy="1609764"/>
        </a:xfrm>
        <a:custGeom>
          <a:avLst/>
          <a:gdLst/>
          <a:ahLst/>
          <a:cxnLst/>
          <a:rect l="0" t="0" r="0" b="0"/>
          <a:pathLst>
            <a:path>
              <a:moveTo>
                <a:pt x="45720" y="0"/>
              </a:moveTo>
              <a:lnTo>
                <a:pt x="45720" y="1609764"/>
              </a:lnTo>
              <a:lnTo>
                <a:pt x="135902" y="1609764"/>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1DD8EBC-108D-4D2C-954D-FE294933BD46}">
      <dsp:nvSpPr>
        <dsp:cNvPr id="0" name=""/>
        <dsp:cNvSpPr/>
      </dsp:nvSpPr>
      <dsp:spPr>
        <a:xfrm>
          <a:off x="3262151" y="2095143"/>
          <a:ext cx="91440" cy="1266123"/>
        </a:xfrm>
        <a:custGeom>
          <a:avLst/>
          <a:gdLst/>
          <a:ahLst/>
          <a:cxnLst/>
          <a:rect l="0" t="0" r="0" b="0"/>
          <a:pathLst>
            <a:path>
              <a:moveTo>
                <a:pt x="45720" y="0"/>
              </a:moveTo>
              <a:lnTo>
                <a:pt x="45720" y="1266123"/>
              </a:lnTo>
              <a:lnTo>
                <a:pt x="135896" y="1266123"/>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C96CCFA-F262-4AE4-96DE-BB9844075579}">
      <dsp:nvSpPr>
        <dsp:cNvPr id="0" name=""/>
        <dsp:cNvSpPr/>
      </dsp:nvSpPr>
      <dsp:spPr>
        <a:xfrm>
          <a:off x="3307871" y="2095143"/>
          <a:ext cx="104680" cy="933871"/>
        </a:xfrm>
        <a:custGeom>
          <a:avLst/>
          <a:gdLst/>
          <a:ahLst/>
          <a:cxnLst/>
          <a:rect l="0" t="0" r="0" b="0"/>
          <a:pathLst>
            <a:path>
              <a:moveTo>
                <a:pt x="0" y="0"/>
              </a:moveTo>
              <a:lnTo>
                <a:pt x="0" y="933871"/>
              </a:lnTo>
              <a:lnTo>
                <a:pt x="104680" y="933871"/>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6C6DAE6-D26A-4C03-893D-B131F067D411}">
      <dsp:nvSpPr>
        <dsp:cNvPr id="0" name=""/>
        <dsp:cNvSpPr/>
      </dsp:nvSpPr>
      <dsp:spPr>
        <a:xfrm>
          <a:off x="3262151" y="2095143"/>
          <a:ext cx="91440" cy="565369"/>
        </a:xfrm>
        <a:custGeom>
          <a:avLst/>
          <a:gdLst/>
          <a:ahLst/>
          <a:cxnLst/>
          <a:rect l="0" t="0" r="0" b="0"/>
          <a:pathLst>
            <a:path>
              <a:moveTo>
                <a:pt x="45720" y="0"/>
              </a:moveTo>
              <a:lnTo>
                <a:pt x="45720" y="565369"/>
              </a:lnTo>
              <a:lnTo>
                <a:pt x="135902" y="565369"/>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7607D8E-B464-45E4-B627-B6EBA2FA1191}">
      <dsp:nvSpPr>
        <dsp:cNvPr id="0" name=""/>
        <dsp:cNvSpPr/>
      </dsp:nvSpPr>
      <dsp:spPr>
        <a:xfrm>
          <a:off x="3307871" y="2095143"/>
          <a:ext cx="97431" cy="221727"/>
        </a:xfrm>
        <a:custGeom>
          <a:avLst/>
          <a:gdLst/>
          <a:ahLst/>
          <a:cxnLst/>
          <a:rect l="0" t="0" r="0" b="0"/>
          <a:pathLst>
            <a:path>
              <a:moveTo>
                <a:pt x="0" y="0"/>
              </a:moveTo>
              <a:lnTo>
                <a:pt x="0" y="221727"/>
              </a:lnTo>
              <a:lnTo>
                <a:pt x="97431" y="221727"/>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191C8D2-C742-4855-8403-1381C48670A5}">
      <dsp:nvSpPr>
        <dsp:cNvPr id="0" name=""/>
        <dsp:cNvSpPr/>
      </dsp:nvSpPr>
      <dsp:spPr>
        <a:xfrm>
          <a:off x="3530062" y="1676398"/>
          <a:ext cx="1189486" cy="141005"/>
        </a:xfrm>
        <a:custGeom>
          <a:avLst/>
          <a:gdLst/>
          <a:ahLst/>
          <a:cxnLst/>
          <a:rect l="0" t="0" r="0" b="0"/>
          <a:pathLst>
            <a:path>
              <a:moveTo>
                <a:pt x="1189486" y="0"/>
              </a:moveTo>
              <a:lnTo>
                <a:pt x="1189486" y="82680"/>
              </a:lnTo>
              <a:lnTo>
                <a:pt x="0" y="82680"/>
              </a:lnTo>
              <a:lnTo>
                <a:pt x="0" y="141005"/>
              </a:lnTo>
            </a:path>
          </a:pathLst>
        </a:custGeom>
        <a:noFill/>
        <a:ln w="25400" cap="flat" cmpd="sng" algn="ctr">
          <a:solidFill>
            <a:schemeClr val="accent2">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900817C-BC3A-4063-BF21-EA19C13BEAC3}">
      <dsp:nvSpPr>
        <dsp:cNvPr id="0" name=""/>
        <dsp:cNvSpPr/>
      </dsp:nvSpPr>
      <dsp:spPr>
        <a:xfrm>
          <a:off x="4719549" y="892084"/>
          <a:ext cx="251189" cy="506574"/>
        </a:xfrm>
        <a:custGeom>
          <a:avLst/>
          <a:gdLst/>
          <a:ahLst/>
          <a:cxnLst/>
          <a:rect l="0" t="0" r="0" b="0"/>
          <a:pathLst>
            <a:path>
              <a:moveTo>
                <a:pt x="251189" y="0"/>
              </a:moveTo>
              <a:lnTo>
                <a:pt x="251189" y="448249"/>
              </a:lnTo>
              <a:lnTo>
                <a:pt x="0" y="448249"/>
              </a:lnTo>
              <a:lnTo>
                <a:pt x="0" y="506574"/>
              </a:lnTo>
            </a:path>
          </a:pathLst>
        </a:custGeom>
        <a:noFill/>
        <a:ln w="25400" cap="flat" cmpd="sng" algn="ctr">
          <a:solidFill>
            <a:schemeClr val="accent2">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C017CE9-3696-4D4B-8FF6-AE8A7CD1249C}">
      <dsp:nvSpPr>
        <dsp:cNvPr id="0" name=""/>
        <dsp:cNvSpPr/>
      </dsp:nvSpPr>
      <dsp:spPr>
        <a:xfrm>
          <a:off x="4970738" y="892084"/>
          <a:ext cx="2711842" cy="139680"/>
        </a:xfrm>
        <a:custGeom>
          <a:avLst/>
          <a:gdLst/>
          <a:ahLst/>
          <a:cxnLst/>
          <a:rect l="0" t="0" r="0" b="0"/>
          <a:pathLst>
            <a:path>
              <a:moveTo>
                <a:pt x="0" y="0"/>
              </a:moveTo>
              <a:lnTo>
                <a:pt x="0" y="81355"/>
              </a:lnTo>
              <a:lnTo>
                <a:pt x="2711842" y="81355"/>
              </a:lnTo>
              <a:lnTo>
                <a:pt x="2711842" y="139680"/>
              </a:lnTo>
            </a:path>
          </a:pathLst>
        </a:custGeom>
        <a:noFill/>
        <a:ln w="25400" cap="flat" cmpd="sng" algn="ctr">
          <a:solidFill>
            <a:schemeClr val="accent2">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7D50860-540F-480E-AE47-45EB77C5B58B}">
      <dsp:nvSpPr>
        <dsp:cNvPr id="0" name=""/>
        <dsp:cNvSpPr/>
      </dsp:nvSpPr>
      <dsp:spPr>
        <a:xfrm>
          <a:off x="4970738" y="892084"/>
          <a:ext cx="1475906" cy="130459"/>
        </a:xfrm>
        <a:custGeom>
          <a:avLst/>
          <a:gdLst/>
          <a:ahLst/>
          <a:cxnLst/>
          <a:rect l="0" t="0" r="0" b="0"/>
          <a:pathLst>
            <a:path>
              <a:moveTo>
                <a:pt x="0" y="0"/>
              </a:moveTo>
              <a:lnTo>
                <a:pt x="0" y="72134"/>
              </a:lnTo>
              <a:lnTo>
                <a:pt x="1475906" y="72134"/>
              </a:lnTo>
              <a:lnTo>
                <a:pt x="1475906" y="130459"/>
              </a:lnTo>
            </a:path>
          </a:pathLst>
        </a:custGeom>
        <a:noFill/>
        <a:ln w="25400" cap="flat" cmpd="sng" algn="ctr">
          <a:solidFill>
            <a:schemeClr val="accent2">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1B9B71D-F8F5-4841-8F10-F68FA451EF78}">
      <dsp:nvSpPr>
        <dsp:cNvPr id="0" name=""/>
        <dsp:cNvSpPr/>
      </dsp:nvSpPr>
      <dsp:spPr>
        <a:xfrm>
          <a:off x="1548807" y="892084"/>
          <a:ext cx="3421930" cy="131745"/>
        </a:xfrm>
        <a:custGeom>
          <a:avLst/>
          <a:gdLst/>
          <a:ahLst/>
          <a:cxnLst/>
          <a:rect l="0" t="0" r="0" b="0"/>
          <a:pathLst>
            <a:path>
              <a:moveTo>
                <a:pt x="3421930" y="0"/>
              </a:moveTo>
              <a:lnTo>
                <a:pt x="3421930" y="73420"/>
              </a:lnTo>
              <a:lnTo>
                <a:pt x="0" y="73420"/>
              </a:lnTo>
              <a:lnTo>
                <a:pt x="0" y="131745"/>
              </a:lnTo>
            </a:path>
          </a:pathLst>
        </a:custGeom>
        <a:noFill/>
        <a:ln w="25400" cap="flat" cmpd="sng" algn="ctr">
          <a:solidFill>
            <a:schemeClr val="accent2">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2AC3BD5-4A09-465F-9D74-1F4C77F1781A}">
      <dsp:nvSpPr>
        <dsp:cNvPr id="0" name=""/>
        <dsp:cNvSpPr/>
      </dsp:nvSpPr>
      <dsp:spPr>
        <a:xfrm>
          <a:off x="2874158" y="892084"/>
          <a:ext cx="2096579" cy="132079"/>
        </a:xfrm>
        <a:custGeom>
          <a:avLst/>
          <a:gdLst/>
          <a:ahLst/>
          <a:cxnLst/>
          <a:rect l="0" t="0" r="0" b="0"/>
          <a:pathLst>
            <a:path>
              <a:moveTo>
                <a:pt x="2096579" y="0"/>
              </a:moveTo>
              <a:lnTo>
                <a:pt x="2096579" y="73753"/>
              </a:lnTo>
              <a:lnTo>
                <a:pt x="0" y="73753"/>
              </a:lnTo>
              <a:lnTo>
                <a:pt x="0" y="132079"/>
              </a:lnTo>
            </a:path>
          </a:pathLst>
        </a:custGeom>
        <a:noFill/>
        <a:ln w="25400" cap="flat" cmpd="sng" algn="ctr">
          <a:solidFill>
            <a:schemeClr val="accent2">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23D4F97-233B-47DF-B724-6B5FA2DEEB59}">
      <dsp:nvSpPr>
        <dsp:cNvPr id="0" name=""/>
        <dsp:cNvSpPr/>
      </dsp:nvSpPr>
      <dsp:spPr>
        <a:xfrm>
          <a:off x="2519292" y="2146081"/>
          <a:ext cx="91440" cy="1512919"/>
        </a:xfrm>
        <a:custGeom>
          <a:avLst/>
          <a:gdLst/>
          <a:ahLst/>
          <a:cxnLst/>
          <a:rect l="0" t="0" r="0" b="0"/>
          <a:pathLst>
            <a:path>
              <a:moveTo>
                <a:pt x="45720" y="0"/>
              </a:moveTo>
              <a:lnTo>
                <a:pt x="45720" y="1512919"/>
              </a:lnTo>
              <a:lnTo>
                <a:pt x="129425" y="1512919"/>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255F7C2-BB82-4FD9-811A-9351B8A0D25D}">
      <dsp:nvSpPr>
        <dsp:cNvPr id="0" name=""/>
        <dsp:cNvSpPr/>
      </dsp:nvSpPr>
      <dsp:spPr>
        <a:xfrm>
          <a:off x="2519292" y="2146081"/>
          <a:ext cx="91440" cy="1075543"/>
        </a:xfrm>
        <a:custGeom>
          <a:avLst/>
          <a:gdLst/>
          <a:ahLst/>
          <a:cxnLst/>
          <a:rect l="0" t="0" r="0" b="0"/>
          <a:pathLst>
            <a:path>
              <a:moveTo>
                <a:pt x="45720" y="0"/>
              </a:moveTo>
              <a:lnTo>
                <a:pt x="45720" y="1075543"/>
              </a:lnTo>
              <a:lnTo>
                <a:pt x="129041" y="1075543"/>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218B332-4925-4D86-88B2-71F9A17D0333}">
      <dsp:nvSpPr>
        <dsp:cNvPr id="0" name=""/>
        <dsp:cNvSpPr/>
      </dsp:nvSpPr>
      <dsp:spPr>
        <a:xfrm>
          <a:off x="2519292" y="2146081"/>
          <a:ext cx="91440" cy="670127"/>
        </a:xfrm>
        <a:custGeom>
          <a:avLst/>
          <a:gdLst/>
          <a:ahLst/>
          <a:cxnLst/>
          <a:rect l="0" t="0" r="0" b="0"/>
          <a:pathLst>
            <a:path>
              <a:moveTo>
                <a:pt x="45720" y="0"/>
              </a:moveTo>
              <a:lnTo>
                <a:pt x="45720" y="670127"/>
              </a:lnTo>
              <a:lnTo>
                <a:pt x="129041" y="670127"/>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12C7A73-A9E9-4F29-8753-1B06479711FE}">
      <dsp:nvSpPr>
        <dsp:cNvPr id="0" name=""/>
        <dsp:cNvSpPr/>
      </dsp:nvSpPr>
      <dsp:spPr>
        <a:xfrm>
          <a:off x="2519292" y="2146081"/>
          <a:ext cx="91440" cy="275737"/>
        </a:xfrm>
        <a:custGeom>
          <a:avLst/>
          <a:gdLst/>
          <a:ahLst/>
          <a:cxnLst/>
          <a:rect l="0" t="0" r="0" b="0"/>
          <a:pathLst>
            <a:path>
              <a:moveTo>
                <a:pt x="45720" y="0"/>
              </a:moveTo>
              <a:lnTo>
                <a:pt x="45720" y="275737"/>
              </a:lnTo>
              <a:lnTo>
                <a:pt x="129041" y="275737"/>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972CBBD-2785-4DA2-B2F0-524ECFB78670}">
      <dsp:nvSpPr>
        <dsp:cNvPr id="0" name=""/>
        <dsp:cNvSpPr/>
      </dsp:nvSpPr>
      <dsp:spPr>
        <a:xfrm>
          <a:off x="790942" y="1642220"/>
          <a:ext cx="1996261" cy="226121"/>
        </a:xfrm>
        <a:custGeom>
          <a:avLst/>
          <a:gdLst/>
          <a:ahLst/>
          <a:cxnLst/>
          <a:rect l="0" t="0" r="0" b="0"/>
          <a:pathLst>
            <a:path>
              <a:moveTo>
                <a:pt x="0" y="0"/>
              </a:moveTo>
              <a:lnTo>
                <a:pt x="0" y="167796"/>
              </a:lnTo>
              <a:lnTo>
                <a:pt x="1996261" y="167796"/>
              </a:lnTo>
              <a:lnTo>
                <a:pt x="1996261" y="226121"/>
              </a:lnTo>
            </a:path>
          </a:pathLst>
        </a:custGeom>
        <a:noFill/>
        <a:ln w="25400" cap="flat" cmpd="sng" algn="ctr">
          <a:solidFill>
            <a:schemeClr val="accent2">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E7E895B-9108-4AA9-B42E-925D9E20DB86}">
      <dsp:nvSpPr>
        <dsp:cNvPr id="0" name=""/>
        <dsp:cNvSpPr/>
      </dsp:nvSpPr>
      <dsp:spPr>
        <a:xfrm>
          <a:off x="1781004" y="2144925"/>
          <a:ext cx="91440" cy="1831509"/>
        </a:xfrm>
        <a:custGeom>
          <a:avLst/>
          <a:gdLst/>
          <a:ahLst/>
          <a:cxnLst/>
          <a:rect l="0" t="0" r="0" b="0"/>
          <a:pathLst>
            <a:path>
              <a:moveTo>
                <a:pt x="45720" y="0"/>
              </a:moveTo>
              <a:lnTo>
                <a:pt x="45720" y="1831509"/>
              </a:lnTo>
              <a:lnTo>
                <a:pt x="126014" y="1831509"/>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E1E039A-3C1B-4D91-9AA8-D49198CFE252}">
      <dsp:nvSpPr>
        <dsp:cNvPr id="0" name=""/>
        <dsp:cNvSpPr/>
      </dsp:nvSpPr>
      <dsp:spPr>
        <a:xfrm>
          <a:off x="1826724" y="2144925"/>
          <a:ext cx="96797" cy="1458907"/>
        </a:xfrm>
        <a:custGeom>
          <a:avLst/>
          <a:gdLst/>
          <a:ahLst/>
          <a:cxnLst/>
          <a:rect l="0" t="0" r="0" b="0"/>
          <a:pathLst>
            <a:path>
              <a:moveTo>
                <a:pt x="0" y="0"/>
              </a:moveTo>
              <a:lnTo>
                <a:pt x="0" y="1458907"/>
              </a:lnTo>
              <a:lnTo>
                <a:pt x="96797" y="1458907"/>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F9A3F07-91E0-4045-A8A5-B6061CB70E1B}">
      <dsp:nvSpPr>
        <dsp:cNvPr id="0" name=""/>
        <dsp:cNvSpPr/>
      </dsp:nvSpPr>
      <dsp:spPr>
        <a:xfrm>
          <a:off x="1826724" y="2144925"/>
          <a:ext cx="96797" cy="1064517"/>
        </a:xfrm>
        <a:custGeom>
          <a:avLst/>
          <a:gdLst/>
          <a:ahLst/>
          <a:cxnLst/>
          <a:rect l="0" t="0" r="0" b="0"/>
          <a:pathLst>
            <a:path>
              <a:moveTo>
                <a:pt x="0" y="0"/>
              </a:moveTo>
              <a:lnTo>
                <a:pt x="0" y="1064517"/>
              </a:lnTo>
              <a:lnTo>
                <a:pt x="96797" y="1064517"/>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5C737D7-D757-4175-9785-85ED9586E540}">
      <dsp:nvSpPr>
        <dsp:cNvPr id="0" name=""/>
        <dsp:cNvSpPr/>
      </dsp:nvSpPr>
      <dsp:spPr>
        <a:xfrm>
          <a:off x="1826724" y="2144925"/>
          <a:ext cx="96797" cy="670127"/>
        </a:xfrm>
        <a:custGeom>
          <a:avLst/>
          <a:gdLst/>
          <a:ahLst/>
          <a:cxnLst/>
          <a:rect l="0" t="0" r="0" b="0"/>
          <a:pathLst>
            <a:path>
              <a:moveTo>
                <a:pt x="0" y="0"/>
              </a:moveTo>
              <a:lnTo>
                <a:pt x="0" y="670127"/>
              </a:lnTo>
              <a:lnTo>
                <a:pt x="96797" y="670127"/>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3A51C16-37FA-4B02-9F52-DF7B935CD630}">
      <dsp:nvSpPr>
        <dsp:cNvPr id="0" name=""/>
        <dsp:cNvSpPr/>
      </dsp:nvSpPr>
      <dsp:spPr>
        <a:xfrm>
          <a:off x="1826724" y="2144925"/>
          <a:ext cx="109940" cy="262397"/>
        </a:xfrm>
        <a:custGeom>
          <a:avLst/>
          <a:gdLst/>
          <a:ahLst/>
          <a:cxnLst/>
          <a:rect l="0" t="0" r="0" b="0"/>
          <a:pathLst>
            <a:path>
              <a:moveTo>
                <a:pt x="0" y="0"/>
              </a:moveTo>
              <a:lnTo>
                <a:pt x="0" y="262397"/>
              </a:lnTo>
              <a:lnTo>
                <a:pt x="109940" y="262397"/>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7FB92F7-9004-4212-BA10-132952FDAACB}">
      <dsp:nvSpPr>
        <dsp:cNvPr id="0" name=""/>
        <dsp:cNvSpPr/>
      </dsp:nvSpPr>
      <dsp:spPr>
        <a:xfrm>
          <a:off x="790942" y="1642220"/>
          <a:ext cx="1257974" cy="224966"/>
        </a:xfrm>
        <a:custGeom>
          <a:avLst/>
          <a:gdLst/>
          <a:ahLst/>
          <a:cxnLst/>
          <a:rect l="0" t="0" r="0" b="0"/>
          <a:pathLst>
            <a:path>
              <a:moveTo>
                <a:pt x="0" y="0"/>
              </a:moveTo>
              <a:lnTo>
                <a:pt x="0" y="166640"/>
              </a:lnTo>
              <a:lnTo>
                <a:pt x="1257974" y="166640"/>
              </a:lnTo>
              <a:lnTo>
                <a:pt x="1257974" y="224966"/>
              </a:lnTo>
            </a:path>
          </a:pathLst>
        </a:custGeom>
        <a:noFill/>
        <a:ln w="25400" cap="flat" cmpd="sng" algn="ctr">
          <a:solidFill>
            <a:schemeClr val="accent2">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8C6A68A-B465-4C22-8A8A-2767386936F2}">
      <dsp:nvSpPr>
        <dsp:cNvPr id="0" name=""/>
        <dsp:cNvSpPr/>
      </dsp:nvSpPr>
      <dsp:spPr>
        <a:xfrm>
          <a:off x="1056196" y="2150652"/>
          <a:ext cx="136011" cy="2059058"/>
        </a:xfrm>
        <a:custGeom>
          <a:avLst/>
          <a:gdLst/>
          <a:ahLst/>
          <a:cxnLst/>
          <a:rect l="0" t="0" r="0" b="0"/>
          <a:pathLst>
            <a:path>
              <a:moveTo>
                <a:pt x="0" y="0"/>
              </a:moveTo>
              <a:lnTo>
                <a:pt x="0" y="2059058"/>
              </a:lnTo>
              <a:lnTo>
                <a:pt x="136011" y="2059058"/>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2B04F0F-557E-463D-9BAC-D881FCF96652}">
      <dsp:nvSpPr>
        <dsp:cNvPr id="0" name=""/>
        <dsp:cNvSpPr/>
      </dsp:nvSpPr>
      <dsp:spPr>
        <a:xfrm>
          <a:off x="1056196" y="2150652"/>
          <a:ext cx="136011" cy="1478516"/>
        </a:xfrm>
        <a:custGeom>
          <a:avLst/>
          <a:gdLst/>
          <a:ahLst/>
          <a:cxnLst/>
          <a:rect l="0" t="0" r="0" b="0"/>
          <a:pathLst>
            <a:path>
              <a:moveTo>
                <a:pt x="0" y="0"/>
              </a:moveTo>
              <a:lnTo>
                <a:pt x="0" y="1478516"/>
              </a:lnTo>
              <a:lnTo>
                <a:pt x="136011" y="1478516"/>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5A79DB7-1220-48B2-B347-75D17C7DFE1C}">
      <dsp:nvSpPr>
        <dsp:cNvPr id="0" name=""/>
        <dsp:cNvSpPr/>
      </dsp:nvSpPr>
      <dsp:spPr>
        <a:xfrm>
          <a:off x="1056196" y="2150652"/>
          <a:ext cx="136011" cy="1044300"/>
        </a:xfrm>
        <a:custGeom>
          <a:avLst/>
          <a:gdLst/>
          <a:ahLst/>
          <a:cxnLst/>
          <a:rect l="0" t="0" r="0" b="0"/>
          <a:pathLst>
            <a:path>
              <a:moveTo>
                <a:pt x="0" y="0"/>
              </a:moveTo>
              <a:lnTo>
                <a:pt x="0" y="1044300"/>
              </a:lnTo>
              <a:lnTo>
                <a:pt x="136011" y="1044300"/>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A81ACD0-97E0-411D-AC07-3D6C01FA0A91}">
      <dsp:nvSpPr>
        <dsp:cNvPr id="0" name=""/>
        <dsp:cNvSpPr/>
      </dsp:nvSpPr>
      <dsp:spPr>
        <a:xfrm>
          <a:off x="1056196" y="2150652"/>
          <a:ext cx="144320" cy="666844"/>
        </a:xfrm>
        <a:custGeom>
          <a:avLst/>
          <a:gdLst/>
          <a:ahLst/>
          <a:cxnLst/>
          <a:rect l="0" t="0" r="0" b="0"/>
          <a:pathLst>
            <a:path>
              <a:moveTo>
                <a:pt x="0" y="0"/>
              </a:moveTo>
              <a:lnTo>
                <a:pt x="0" y="666844"/>
              </a:lnTo>
              <a:lnTo>
                <a:pt x="144320" y="666844"/>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6FD0464-7274-4723-9AFF-29A54C199DF3}">
      <dsp:nvSpPr>
        <dsp:cNvPr id="0" name=""/>
        <dsp:cNvSpPr/>
      </dsp:nvSpPr>
      <dsp:spPr>
        <a:xfrm>
          <a:off x="1056196" y="2150652"/>
          <a:ext cx="136011" cy="255520"/>
        </a:xfrm>
        <a:custGeom>
          <a:avLst/>
          <a:gdLst/>
          <a:ahLst/>
          <a:cxnLst/>
          <a:rect l="0" t="0" r="0" b="0"/>
          <a:pathLst>
            <a:path>
              <a:moveTo>
                <a:pt x="0" y="0"/>
              </a:moveTo>
              <a:lnTo>
                <a:pt x="0" y="255520"/>
              </a:lnTo>
              <a:lnTo>
                <a:pt x="136011" y="255520"/>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C935D04-E95E-48B9-97B8-D9006F3C3D22}">
      <dsp:nvSpPr>
        <dsp:cNvPr id="0" name=""/>
        <dsp:cNvSpPr/>
      </dsp:nvSpPr>
      <dsp:spPr>
        <a:xfrm>
          <a:off x="790942" y="1642220"/>
          <a:ext cx="509418" cy="230693"/>
        </a:xfrm>
        <a:custGeom>
          <a:avLst/>
          <a:gdLst/>
          <a:ahLst/>
          <a:cxnLst/>
          <a:rect l="0" t="0" r="0" b="0"/>
          <a:pathLst>
            <a:path>
              <a:moveTo>
                <a:pt x="0" y="0"/>
              </a:moveTo>
              <a:lnTo>
                <a:pt x="0" y="172367"/>
              </a:lnTo>
              <a:lnTo>
                <a:pt x="509418" y="172367"/>
              </a:lnTo>
              <a:lnTo>
                <a:pt x="509418" y="230693"/>
              </a:lnTo>
            </a:path>
          </a:pathLst>
        </a:custGeom>
        <a:noFill/>
        <a:ln w="25400" cap="flat" cmpd="sng" algn="ctr">
          <a:solidFill>
            <a:schemeClr val="accent2">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052FB1B-7A35-404A-85B5-764223D464FA}">
      <dsp:nvSpPr>
        <dsp:cNvPr id="0" name=""/>
        <dsp:cNvSpPr/>
      </dsp:nvSpPr>
      <dsp:spPr>
        <a:xfrm>
          <a:off x="328497" y="2142967"/>
          <a:ext cx="103380" cy="2710552"/>
        </a:xfrm>
        <a:custGeom>
          <a:avLst/>
          <a:gdLst/>
          <a:ahLst/>
          <a:cxnLst/>
          <a:rect l="0" t="0" r="0" b="0"/>
          <a:pathLst>
            <a:path>
              <a:moveTo>
                <a:pt x="0" y="0"/>
              </a:moveTo>
              <a:lnTo>
                <a:pt x="0" y="2710552"/>
              </a:lnTo>
              <a:lnTo>
                <a:pt x="103380" y="2710552"/>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4F40A7B-C344-4770-8888-97F4D5591930}">
      <dsp:nvSpPr>
        <dsp:cNvPr id="0" name=""/>
        <dsp:cNvSpPr/>
      </dsp:nvSpPr>
      <dsp:spPr>
        <a:xfrm>
          <a:off x="328497" y="2142967"/>
          <a:ext cx="120450" cy="2117065"/>
        </a:xfrm>
        <a:custGeom>
          <a:avLst/>
          <a:gdLst/>
          <a:ahLst/>
          <a:cxnLst/>
          <a:rect l="0" t="0" r="0" b="0"/>
          <a:pathLst>
            <a:path>
              <a:moveTo>
                <a:pt x="0" y="0"/>
              </a:moveTo>
              <a:lnTo>
                <a:pt x="0" y="2117065"/>
              </a:lnTo>
              <a:lnTo>
                <a:pt x="120450" y="2117065"/>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4B34A0D-24C5-46B6-B269-283BF5CFF5E1}">
      <dsp:nvSpPr>
        <dsp:cNvPr id="0" name=""/>
        <dsp:cNvSpPr/>
      </dsp:nvSpPr>
      <dsp:spPr>
        <a:xfrm>
          <a:off x="328497" y="2142967"/>
          <a:ext cx="120455" cy="1630095"/>
        </a:xfrm>
        <a:custGeom>
          <a:avLst/>
          <a:gdLst/>
          <a:ahLst/>
          <a:cxnLst/>
          <a:rect l="0" t="0" r="0" b="0"/>
          <a:pathLst>
            <a:path>
              <a:moveTo>
                <a:pt x="0" y="0"/>
              </a:moveTo>
              <a:lnTo>
                <a:pt x="0" y="1630095"/>
              </a:lnTo>
              <a:lnTo>
                <a:pt x="120455" y="1630095"/>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CE57803-3D08-4164-B34A-3637BE7665E4}">
      <dsp:nvSpPr>
        <dsp:cNvPr id="0" name=""/>
        <dsp:cNvSpPr/>
      </dsp:nvSpPr>
      <dsp:spPr>
        <a:xfrm>
          <a:off x="328497" y="2142967"/>
          <a:ext cx="127765" cy="1151722"/>
        </a:xfrm>
        <a:custGeom>
          <a:avLst/>
          <a:gdLst/>
          <a:ahLst/>
          <a:cxnLst/>
          <a:rect l="0" t="0" r="0" b="0"/>
          <a:pathLst>
            <a:path>
              <a:moveTo>
                <a:pt x="0" y="0"/>
              </a:moveTo>
              <a:lnTo>
                <a:pt x="0" y="1151722"/>
              </a:lnTo>
              <a:lnTo>
                <a:pt x="127765" y="1151722"/>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1260CC3-B357-4E49-898C-6CA2BE6159E2}">
      <dsp:nvSpPr>
        <dsp:cNvPr id="0" name=""/>
        <dsp:cNvSpPr/>
      </dsp:nvSpPr>
      <dsp:spPr>
        <a:xfrm>
          <a:off x="328497" y="2142967"/>
          <a:ext cx="124977" cy="711499"/>
        </a:xfrm>
        <a:custGeom>
          <a:avLst/>
          <a:gdLst/>
          <a:ahLst/>
          <a:cxnLst/>
          <a:rect l="0" t="0" r="0" b="0"/>
          <a:pathLst>
            <a:path>
              <a:moveTo>
                <a:pt x="0" y="0"/>
              </a:moveTo>
              <a:lnTo>
                <a:pt x="0" y="711499"/>
              </a:lnTo>
              <a:lnTo>
                <a:pt x="124977" y="711499"/>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6C69D4B-4BC6-4D6E-BB9D-766F11277F2F}">
      <dsp:nvSpPr>
        <dsp:cNvPr id="0" name=""/>
        <dsp:cNvSpPr/>
      </dsp:nvSpPr>
      <dsp:spPr>
        <a:xfrm>
          <a:off x="328497" y="2142967"/>
          <a:ext cx="111490" cy="296892"/>
        </a:xfrm>
        <a:custGeom>
          <a:avLst/>
          <a:gdLst/>
          <a:ahLst/>
          <a:cxnLst/>
          <a:rect l="0" t="0" r="0" b="0"/>
          <a:pathLst>
            <a:path>
              <a:moveTo>
                <a:pt x="0" y="0"/>
              </a:moveTo>
              <a:lnTo>
                <a:pt x="0" y="296892"/>
              </a:lnTo>
              <a:lnTo>
                <a:pt x="111490" y="296892"/>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D81FBBF-5B05-44C8-BDAA-131D067B57D3}">
      <dsp:nvSpPr>
        <dsp:cNvPr id="0" name=""/>
        <dsp:cNvSpPr/>
      </dsp:nvSpPr>
      <dsp:spPr>
        <a:xfrm>
          <a:off x="550689" y="1642220"/>
          <a:ext cx="240253" cy="223008"/>
        </a:xfrm>
        <a:custGeom>
          <a:avLst/>
          <a:gdLst/>
          <a:ahLst/>
          <a:cxnLst/>
          <a:rect l="0" t="0" r="0" b="0"/>
          <a:pathLst>
            <a:path>
              <a:moveTo>
                <a:pt x="240253" y="0"/>
              </a:moveTo>
              <a:lnTo>
                <a:pt x="240253" y="164682"/>
              </a:lnTo>
              <a:lnTo>
                <a:pt x="0" y="164682"/>
              </a:lnTo>
              <a:lnTo>
                <a:pt x="0" y="223008"/>
              </a:lnTo>
            </a:path>
          </a:pathLst>
        </a:custGeom>
        <a:noFill/>
        <a:ln w="25400" cap="flat" cmpd="sng" algn="ctr">
          <a:solidFill>
            <a:schemeClr val="accent2">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88B375E-4545-4B7C-BE88-70477B09BB26}">
      <dsp:nvSpPr>
        <dsp:cNvPr id="0" name=""/>
        <dsp:cNvSpPr/>
      </dsp:nvSpPr>
      <dsp:spPr>
        <a:xfrm>
          <a:off x="790942" y="892084"/>
          <a:ext cx="4179796" cy="472396"/>
        </a:xfrm>
        <a:custGeom>
          <a:avLst/>
          <a:gdLst/>
          <a:ahLst/>
          <a:cxnLst/>
          <a:rect l="0" t="0" r="0" b="0"/>
          <a:pathLst>
            <a:path>
              <a:moveTo>
                <a:pt x="4179796" y="0"/>
              </a:moveTo>
              <a:lnTo>
                <a:pt x="4179796" y="414070"/>
              </a:lnTo>
              <a:lnTo>
                <a:pt x="0" y="414070"/>
              </a:lnTo>
              <a:lnTo>
                <a:pt x="0" y="472396"/>
              </a:lnTo>
            </a:path>
          </a:pathLst>
        </a:custGeom>
        <a:noFill/>
        <a:ln w="25400" cap="flat" cmpd="sng" algn="ctr">
          <a:solidFill>
            <a:schemeClr val="accent2">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FAB5780-021B-4AC8-9EE0-6263C5DD19B5}">
      <dsp:nvSpPr>
        <dsp:cNvPr id="0" name=""/>
        <dsp:cNvSpPr/>
      </dsp:nvSpPr>
      <dsp:spPr>
        <a:xfrm>
          <a:off x="3967612" y="546154"/>
          <a:ext cx="2006251" cy="345930"/>
        </a:xfrm>
        <a:prstGeom prst="rect">
          <a:avLst/>
        </a:prstGeom>
        <a:gradFill rotWithShape="0">
          <a:gsLst>
            <a:gs pos="0">
              <a:schemeClr val="accent2">
                <a:alpha val="80000"/>
                <a:hueOff val="0"/>
                <a:satOff val="0"/>
                <a:lumOff val="0"/>
                <a:alphaOff val="0"/>
                <a:tint val="50000"/>
                <a:satMod val="300000"/>
              </a:schemeClr>
            </a:gs>
            <a:gs pos="35000">
              <a:schemeClr val="accent2">
                <a:alpha val="80000"/>
                <a:hueOff val="0"/>
                <a:satOff val="0"/>
                <a:lumOff val="0"/>
                <a:alphaOff val="0"/>
                <a:tint val="37000"/>
                <a:satMod val="300000"/>
              </a:schemeClr>
            </a:gs>
            <a:gs pos="100000">
              <a:schemeClr val="accent2">
                <a:alpha val="8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tr-TR" sz="1000" b="1" kern="1200" baseline="0">
              <a:solidFill>
                <a:sysClr val="windowText" lastClr="000000"/>
              </a:solidFill>
            </a:rPr>
            <a:t>Enerji Piyasası Düzenleme Kurumu Başkanlığı</a:t>
          </a:r>
        </a:p>
      </dsp:txBody>
      <dsp:txXfrm>
        <a:off x="3967612" y="546154"/>
        <a:ext cx="2006251" cy="345930"/>
      </dsp:txXfrm>
    </dsp:sp>
    <dsp:sp modelId="{87F5A956-FACC-4A9C-89CF-2B969FD61DB9}">
      <dsp:nvSpPr>
        <dsp:cNvPr id="0" name=""/>
        <dsp:cNvSpPr/>
      </dsp:nvSpPr>
      <dsp:spPr>
        <a:xfrm>
          <a:off x="314271" y="1364480"/>
          <a:ext cx="953341" cy="277739"/>
        </a:xfrm>
        <a:prstGeom prst="rect">
          <a:avLst/>
        </a:prstGeom>
        <a:gradFill rotWithShape="0">
          <a:gsLst>
            <a:gs pos="0">
              <a:schemeClr val="accent2">
                <a:alpha val="70000"/>
                <a:hueOff val="0"/>
                <a:satOff val="0"/>
                <a:lumOff val="0"/>
                <a:alphaOff val="0"/>
                <a:tint val="50000"/>
                <a:satMod val="300000"/>
              </a:schemeClr>
            </a:gs>
            <a:gs pos="35000">
              <a:schemeClr val="accent2">
                <a:alpha val="70000"/>
                <a:hueOff val="0"/>
                <a:satOff val="0"/>
                <a:lumOff val="0"/>
                <a:alphaOff val="0"/>
                <a:tint val="37000"/>
                <a:satMod val="300000"/>
              </a:schemeClr>
            </a:gs>
            <a:gs pos="100000">
              <a:schemeClr val="accent2">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endParaRPr lang="tr-TR" sz="700" b="0" kern="1200" baseline="0">
            <a:solidFill>
              <a:sysClr val="windowText" lastClr="000000"/>
            </a:solidFill>
          </a:endParaRPr>
        </a:p>
        <a:p>
          <a:pPr marL="0" lvl="0" indent="0" algn="ctr" defTabSz="311150">
            <a:lnSpc>
              <a:spcPct val="90000"/>
            </a:lnSpc>
            <a:spcBef>
              <a:spcPct val="0"/>
            </a:spcBef>
            <a:spcAft>
              <a:spcPct val="35000"/>
            </a:spcAft>
            <a:buNone/>
          </a:pPr>
          <a:r>
            <a:rPr lang="tr-TR" sz="700" b="0" kern="1200" baseline="0">
              <a:solidFill>
                <a:sysClr val="windowText" lastClr="000000"/>
              </a:solidFill>
            </a:rPr>
            <a:t>Başkan Yardımcılığı</a:t>
          </a:r>
        </a:p>
        <a:p>
          <a:pPr marL="0" lvl="0" indent="0" algn="ctr" defTabSz="311150">
            <a:lnSpc>
              <a:spcPct val="90000"/>
            </a:lnSpc>
            <a:spcBef>
              <a:spcPct val="0"/>
            </a:spcBef>
            <a:spcAft>
              <a:spcPct val="35000"/>
            </a:spcAft>
            <a:buNone/>
          </a:pPr>
          <a:endParaRPr lang="tr-TR" sz="700" b="0" kern="1200" baseline="0">
            <a:solidFill>
              <a:sysClr val="windowText" lastClr="000000"/>
            </a:solidFill>
          </a:endParaRPr>
        </a:p>
      </dsp:txBody>
      <dsp:txXfrm>
        <a:off x="314271" y="1364480"/>
        <a:ext cx="953341" cy="277739"/>
      </dsp:txXfrm>
    </dsp:sp>
    <dsp:sp modelId="{17D4D4C1-9250-42EF-B81D-BD41D03127BA}">
      <dsp:nvSpPr>
        <dsp:cNvPr id="0" name=""/>
        <dsp:cNvSpPr/>
      </dsp:nvSpPr>
      <dsp:spPr>
        <a:xfrm>
          <a:off x="272949" y="1865228"/>
          <a:ext cx="555479" cy="277739"/>
        </a:xfrm>
        <a:prstGeom prst="rect">
          <a:avLst/>
        </a:prstGeom>
        <a:gradFill rotWithShape="0">
          <a:gsLst>
            <a:gs pos="0">
              <a:schemeClr val="accent2">
                <a:alpha val="50000"/>
                <a:hueOff val="0"/>
                <a:satOff val="0"/>
                <a:lumOff val="0"/>
                <a:alphaOff val="0"/>
                <a:tint val="50000"/>
                <a:satMod val="300000"/>
              </a:schemeClr>
            </a:gs>
            <a:gs pos="35000">
              <a:schemeClr val="accent2">
                <a:alpha val="50000"/>
                <a:hueOff val="0"/>
                <a:satOff val="0"/>
                <a:lumOff val="0"/>
                <a:alphaOff val="0"/>
                <a:tint val="37000"/>
                <a:satMod val="300000"/>
              </a:schemeClr>
            </a:gs>
            <a:gs pos="100000">
              <a:schemeClr val="accent2">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t>Petrol Piyasası Dairesi B.</a:t>
          </a:r>
          <a:r>
            <a:rPr lang="tr-TR" sz="700" b="0" kern="1200" baseline="0" dirty="0">
              <a:solidFill>
                <a:sysClr val="windowText" lastClr="000000"/>
              </a:solidFill>
            </a:rPr>
            <a:t>         </a:t>
          </a:r>
        </a:p>
      </dsp:txBody>
      <dsp:txXfrm>
        <a:off x="272949" y="1865228"/>
        <a:ext cx="555479" cy="277739"/>
      </dsp:txXfrm>
    </dsp:sp>
    <dsp:sp modelId="{9C592B00-17BD-4902-AA17-ECBDFFCDF2D3}">
      <dsp:nvSpPr>
        <dsp:cNvPr id="0" name=""/>
        <dsp:cNvSpPr/>
      </dsp:nvSpPr>
      <dsp:spPr>
        <a:xfrm>
          <a:off x="439987" y="2300990"/>
          <a:ext cx="555479" cy="277739"/>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t>Bayilik Lisans-1</a:t>
          </a:r>
        </a:p>
        <a:p>
          <a:pPr marL="0" lvl="0" indent="0" algn="ctr" defTabSz="311150">
            <a:lnSpc>
              <a:spcPct val="90000"/>
            </a:lnSpc>
            <a:spcBef>
              <a:spcPct val="0"/>
            </a:spcBef>
            <a:spcAft>
              <a:spcPct val="35000"/>
            </a:spcAft>
            <a:buNone/>
          </a:pPr>
          <a:r>
            <a:rPr lang="tr-TR" sz="700" b="0" kern="1200"/>
            <a:t>G.B</a:t>
          </a:r>
          <a:endParaRPr lang="tr-TR" sz="700" b="0" kern="1200" baseline="0" dirty="0">
            <a:solidFill>
              <a:sysClr val="windowText" lastClr="000000"/>
            </a:solidFill>
          </a:endParaRPr>
        </a:p>
      </dsp:txBody>
      <dsp:txXfrm>
        <a:off x="439987" y="2300990"/>
        <a:ext cx="555479" cy="277739"/>
      </dsp:txXfrm>
    </dsp:sp>
    <dsp:sp modelId="{C16F47B9-EAE6-4D90-957F-1CDC35B20048}">
      <dsp:nvSpPr>
        <dsp:cNvPr id="0" name=""/>
        <dsp:cNvSpPr/>
      </dsp:nvSpPr>
      <dsp:spPr>
        <a:xfrm>
          <a:off x="453474" y="2715597"/>
          <a:ext cx="555479" cy="277739"/>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dirty="0"/>
            <a:t>Bayilik Lisans-2 </a:t>
          </a:r>
        </a:p>
        <a:p>
          <a:pPr marL="0" lvl="0" indent="0" algn="ctr" defTabSz="311150">
            <a:lnSpc>
              <a:spcPct val="90000"/>
            </a:lnSpc>
            <a:spcBef>
              <a:spcPct val="0"/>
            </a:spcBef>
            <a:spcAft>
              <a:spcPct val="35000"/>
            </a:spcAft>
            <a:buNone/>
          </a:pPr>
          <a:r>
            <a:rPr lang="tr-TR" sz="700" b="0" kern="1200" dirty="0"/>
            <a:t>G.B</a:t>
          </a:r>
          <a:endParaRPr lang="tr-TR" sz="700" b="0" kern="1200" baseline="0" dirty="0">
            <a:solidFill>
              <a:sysClr val="windowText" lastClr="000000"/>
            </a:solidFill>
          </a:endParaRPr>
        </a:p>
      </dsp:txBody>
      <dsp:txXfrm>
        <a:off x="453474" y="2715597"/>
        <a:ext cx="555479" cy="277739"/>
      </dsp:txXfrm>
    </dsp:sp>
    <dsp:sp modelId="{0B95C9ED-3560-4F73-AA80-072B5F1ADA9E}">
      <dsp:nvSpPr>
        <dsp:cNvPr id="0" name=""/>
        <dsp:cNvSpPr/>
      </dsp:nvSpPr>
      <dsp:spPr>
        <a:xfrm>
          <a:off x="456263" y="3155820"/>
          <a:ext cx="555479" cy="277739"/>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t>Rafinerici, Dağıtıcı ve Diğer Lisanslar </a:t>
          </a:r>
          <a:r>
            <a:rPr lang="tr-TR" sz="700" b="0" kern="1200" baseline="0" dirty="0"/>
            <a:t>G.B</a:t>
          </a:r>
          <a:endParaRPr lang="tr-TR" sz="700" b="0" kern="1200" baseline="0" dirty="0">
            <a:solidFill>
              <a:sysClr val="windowText" lastClr="000000"/>
            </a:solidFill>
          </a:endParaRPr>
        </a:p>
      </dsp:txBody>
      <dsp:txXfrm>
        <a:off x="456263" y="3155820"/>
        <a:ext cx="555479" cy="277739"/>
      </dsp:txXfrm>
    </dsp:sp>
    <dsp:sp modelId="{F24FFF63-AF77-48C8-A2FC-FA5F281AF62F}">
      <dsp:nvSpPr>
        <dsp:cNvPr id="0" name=""/>
        <dsp:cNvSpPr/>
      </dsp:nvSpPr>
      <dsp:spPr>
        <a:xfrm>
          <a:off x="448953" y="3568569"/>
          <a:ext cx="555479" cy="408988"/>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t>Piyasa Gözetim ve Otomasyon </a:t>
          </a:r>
          <a:r>
            <a:rPr lang="tr-TR" sz="700" b="0" kern="1200" baseline="0" dirty="0"/>
            <a:t>G.B</a:t>
          </a:r>
          <a:endParaRPr lang="tr-TR" sz="700" b="0" kern="1200" baseline="0" dirty="0">
            <a:solidFill>
              <a:sysClr val="windowText" lastClr="000000"/>
            </a:solidFill>
          </a:endParaRPr>
        </a:p>
      </dsp:txBody>
      <dsp:txXfrm>
        <a:off x="448953" y="3568569"/>
        <a:ext cx="555479" cy="408988"/>
      </dsp:txXfrm>
    </dsp:sp>
    <dsp:sp modelId="{E7A496F2-55F3-4582-8695-0A23ECFF3FCB}">
      <dsp:nvSpPr>
        <dsp:cNvPr id="0" name=""/>
        <dsp:cNvSpPr/>
      </dsp:nvSpPr>
      <dsp:spPr>
        <a:xfrm>
          <a:off x="448947" y="4094207"/>
          <a:ext cx="555479" cy="331651"/>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dirty="0"/>
            <a:t>Ulusal Marker ve Akaryakıt Harici Ürünler </a:t>
          </a:r>
          <a:r>
            <a:rPr lang="tr-TR" sz="700" b="0" kern="1200" baseline="0" dirty="0"/>
            <a:t>G.B</a:t>
          </a:r>
          <a:endParaRPr lang="tr-TR" sz="700" b="0" kern="1200" baseline="0" dirty="0">
            <a:solidFill>
              <a:sysClr val="windowText" lastClr="000000"/>
            </a:solidFill>
          </a:endParaRPr>
        </a:p>
      </dsp:txBody>
      <dsp:txXfrm>
        <a:off x="448947" y="4094207"/>
        <a:ext cx="555479" cy="331651"/>
      </dsp:txXfrm>
    </dsp:sp>
    <dsp:sp modelId="{AA3554F6-1740-4883-96E6-6BFEFF6AA42D}">
      <dsp:nvSpPr>
        <dsp:cNvPr id="0" name=""/>
        <dsp:cNvSpPr/>
      </dsp:nvSpPr>
      <dsp:spPr>
        <a:xfrm>
          <a:off x="431877" y="4516897"/>
          <a:ext cx="539614" cy="673246"/>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t>Mevzuat Geliştirme, Teknik Düzenleme ve Tüketici Hakları </a:t>
          </a:r>
          <a:r>
            <a:rPr lang="tr-TR" sz="700" b="0" kern="1200" baseline="0" dirty="0"/>
            <a:t>G.B</a:t>
          </a:r>
          <a:endParaRPr lang="tr-TR" sz="700" b="0" kern="1200" baseline="0" dirty="0">
            <a:solidFill>
              <a:sysClr val="windowText" lastClr="000000"/>
            </a:solidFill>
          </a:endParaRPr>
        </a:p>
      </dsp:txBody>
      <dsp:txXfrm>
        <a:off x="431877" y="4516897"/>
        <a:ext cx="539614" cy="673246"/>
      </dsp:txXfrm>
    </dsp:sp>
    <dsp:sp modelId="{BB63393F-E92F-4B92-89EE-C704F87265CB}">
      <dsp:nvSpPr>
        <dsp:cNvPr id="0" name=""/>
        <dsp:cNvSpPr/>
      </dsp:nvSpPr>
      <dsp:spPr>
        <a:xfrm>
          <a:off x="995155" y="1872913"/>
          <a:ext cx="610410" cy="277739"/>
        </a:xfrm>
        <a:prstGeom prst="rect">
          <a:avLst/>
        </a:prstGeom>
        <a:gradFill rotWithShape="0">
          <a:gsLst>
            <a:gs pos="0">
              <a:schemeClr val="accent2">
                <a:alpha val="50000"/>
                <a:hueOff val="0"/>
                <a:satOff val="0"/>
                <a:lumOff val="0"/>
                <a:alphaOff val="0"/>
                <a:tint val="50000"/>
                <a:satMod val="300000"/>
              </a:schemeClr>
            </a:gs>
            <a:gs pos="35000">
              <a:schemeClr val="accent2">
                <a:alpha val="50000"/>
                <a:hueOff val="0"/>
                <a:satOff val="0"/>
                <a:lumOff val="0"/>
                <a:alphaOff val="0"/>
                <a:tint val="37000"/>
                <a:satMod val="300000"/>
              </a:schemeClr>
            </a:gs>
            <a:gs pos="100000">
              <a:schemeClr val="accent2">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solidFill>
                <a:sysClr val="windowText" lastClr="000000"/>
              </a:solidFill>
            </a:rPr>
            <a:t>Sıvılaştırılmış Petrol Gazları Piyasası Dairesi B.</a:t>
          </a:r>
        </a:p>
      </dsp:txBody>
      <dsp:txXfrm>
        <a:off x="995155" y="1872913"/>
        <a:ext cx="610410" cy="277739"/>
      </dsp:txXfrm>
    </dsp:sp>
    <dsp:sp modelId="{1C0710BE-8277-48FD-8E49-B815B773BAF7}">
      <dsp:nvSpPr>
        <dsp:cNvPr id="0" name=""/>
        <dsp:cNvSpPr/>
      </dsp:nvSpPr>
      <dsp:spPr>
        <a:xfrm>
          <a:off x="1192207" y="2267303"/>
          <a:ext cx="555479" cy="277739"/>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Bayilik Lisansı 1. </a:t>
          </a:r>
          <a:r>
            <a:rPr lang="tr-TR" sz="700" b="0" kern="1200" baseline="0">
              <a:solidFill>
                <a:sysClr val="windowText" lastClr="000000"/>
              </a:solidFill>
            </a:rPr>
            <a:t>G.B</a:t>
          </a:r>
        </a:p>
      </dsp:txBody>
      <dsp:txXfrm>
        <a:off x="1192207" y="2267303"/>
        <a:ext cx="555479" cy="277739"/>
      </dsp:txXfrm>
    </dsp:sp>
    <dsp:sp modelId="{5E0FD9DF-C5B8-4569-B877-2D7596F406F5}">
      <dsp:nvSpPr>
        <dsp:cNvPr id="0" name=""/>
        <dsp:cNvSpPr/>
      </dsp:nvSpPr>
      <dsp:spPr>
        <a:xfrm>
          <a:off x="1200517" y="2678627"/>
          <a:ext cx="555479" cy="277739"/>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solidFill>
                <a:sysClr val="windowText" lastClr="000000"/>
              </a:solidFill>
            </a:rPr>
            <a:t>Bayilik Lisansı 2. G.B</a:t>
          </a:r>
        </a:p>
      </dsp:txBody>
      <dsp:txXfrm>
        <a:off x="1200517" y="2678627"/>
        <a:ext cx="555479" cy="277739"/>
      </dsp:txXfrm>
    </dsp:sp>
    <dsp:sp modelId="{FC079390-5E11-402E-A328-ECC2593DD836}">
      <dsp:nvSpPr>
        <dsp:cNvPr id="0" name=""/>
        <dsp:cNvSpPr/>
      </dsp:nvSpPr>
      <dsp:spPr>
        <a:xfrm>
          <a:off x="1192207" y="3056084"/>
          <a:ext cx="555479" cy="277739"/>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dirty="0">
              <a:solidFill>
                <a:sysClr val="windowText" lastClr="000000"/>
              </a:solidFill>
            </a:rPr>
            <a:t>Piyasa İzleme ve Gözetim </a:t>
          </a:r>
          <a:r>
            <a:rPr lang="tr-TR" sz="700" b="0" kern="1200" baseline="0" dirty="0">
              <a:solidFill>
                <a:sysClr val="windowText" lastClr="000000"/>
              </a:solidFill>
            </a:rPr>
            <a:t>G.B</a:t>
          </a:r>
        </a:p>
      </dsp:txBody>
      <dsp:txXfrm>
        <a:off x="1192207" y="3056084"/>
        <a:ext cx="555479" cy="277739"/>
      </dsp:txXfrm>
    </dsp:sp>
    <dsp:sp modelId="{BBC42A3E-1CAC-4E17-8EA4-3AC8698C4ED4}">
      <dsp:nvSpPr>
        <dsp:cNvPr id="0" name=""/>
        <dsp:cNvSpPr/>
      </dsp:nvSpPr>
      <dsp:spPr>
        <a:xfrm>
          <a:off x="1192207" y="3450474"/>
          <a:ext cx="555479" cy="357389"/>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Dağıtıcı, Depolama ve Diğer Lisanslar </a:t>
          </a:r>
          <a:r>
            <a:rPr lang="tr-TR" sz="700" b="0" kern="1200" baseline="0" dirty="0">
              <a:solidFill>
                <a:sysClr val="windowText" lastClr="000000"/>
              </a:solidFill>
            </a:rPr>
            <a:t>G.B                  </a:t>
          </a:r>
        </a:p>
      </dsp:txBody>
      <dsp:txXfrm>
        <a:off x="1192207" y="3450474"/>
        <a:ext cx="555479" cy="357389"/>
      </dsp:txXfrm>
    </dsp:sp>
    <dsp:sp modelId="{68850AFD-9F93-4031-A3DA-23AB544C1C42}">
      <dsp:nvSpPr>
        <dsp:cNvPr id="0" name=""/>
        <dsp:cNvSpPr/>
      </dsp:nvSpPr>
      <dsp:spPr>
        <a:xfrm>
          <a:off x="1192207" y="3924514"/>
          <a:ext cx="555479" cy="570393"/>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Mevzuat Geliştirme, Teknik Düzenleme ve Tüketici Hakları </a:t>
          </a:r>
          <a:r>
            <a:rPr lang="tr-TR" sz="700" b="0" kern="1200" baseline="0" dirty="0">
              <a:solidFill>
                <a:sysClr val="windowText" lastClr="000000"/>
              </a:solidFill>
            </a:rPr>
            <a:t>G.B</a:t>
          </a:r>
        </a:p>
      </dsp:txBody>
      <dsp:txXfrm>
        <a:off x="1192207" y="3924514"/>
        <a:ext cx="555479" cy="570393"/>
      </dsp:txXfrm>
    </dsp:sp>
    <dsp:sp modelId="{A2309983-64E2-4013-B61D-39616B815912}">
      <dsp:nvSpPr>
        <dsp:cNvPr id="0" name=""/>
        <dsp:cNvSpPr/>
      </dsp:nvSpPr>
      <dsp:spPr>
        <a:xfrm>
          <a:off x="1771176" y="1867186"/>
          <a:ext cx="555479" cy="277739"/>
        </a:xfrm>
        <a:prstGeom prst="rect">
          <a:avLst/>
        </a:prstGeom>
        <a:gradFill rotWithShape="0">
          <a:gsLst>
            <a:gs pos="0">
              <a:schemeClr val="accent2">
                <a:alpha val="50000"/>
                <a:hueOff val="0"/>
                <a:satOff val="0"/>
                <a:lumOff val="0"/>
                <a:alphaOff val="0"/>
                <a:tint val="50000"/>
                <a:satMod val="300000"/>
              </a:schemeClr>
            </a:gs>
            <a:gs pos="35000">
              <a:schemeClr val="accent2">
                <a:alpha val="50000"/>
                <a:hueOff val="0"/>
                <a:satOff val="0"/>
                <a:lumOff val="0"/>
                <a:alphaOff val="0"/>
                <a:tint val="37000"/>
                <a:satMod val="300000"/>
              </a:schemeClr>
            </a:gs>
            <a:gs pos="100000">
              <a:schemeClr val="accent2">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solidFill>
                <a:sysClr val="windowText" lastClr="000000"/>
              </a:solidFill>
            </a:rPr>
            <a:t>   </a:t>
          </a:r>
          <a:r>
            <a:rPr lang="tr-TR" sz="700" b="0" kern="1200" baseline="0" dirty="0"/>
            <a:t>Denetim Dairesi B.</a:t>
          </a:r>
        </a:p>
      </dsp:txBody>
      <dsp:txXfrm>
        <a:off x="1771176" y="1867186"/>
        <a:ext cx="555479" cy="277739"/>
      </dsp:txXfrm>
    </dsp:sp>
    <dsp:sp modelId="{A0B514C0-E66F-4AA6-A418-99212F9C976B}">
      <dsp:nvSpPr>
        <dsp:cNvPr id="0" name=""/>
        <dsp:cNvSpPr/>
      </dsp:nvSpPr>
      <dsp:spPr>
        <a:xfrm>
          <a:off x="1936665" y="2268453"/>
          <a:ext cx="555479" cy="277739"/>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solidFill>
                <a:sysClr val="windowText" lastClr="000000"/>
              </a:solidFill>
            </a:rPr>
            <a:t>Petrol Denetimi 1. Grup Başkanlığı</a:t>
          </a:r>
        </a:p>
      </dsp:txBody>
      <dsp:txXfrm>
        <a:off x="1936665" y="2268453"/>
        <a:ext cx="555479" cy="277739"/>
      </dsp:txXfrm>
    </dsp:sp>
    <dsp:sp modelId="{6EB9EC8F-3815-4FA8-AB91-7FF1CDF88BA3}">
      <dsp:nvSpPr>
        <dsp:cNvPr id="0" name=""/>
        <dsp:cNvSpPr/>
      </dsp:nvSpPr>
      <dsp:spPr>
        <a:xfrm>
          <a:off x="1923522" y="2676183"/>
          <a:ext cx="555479" cy="277739"/>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solidFill>
                <a:sysClr val="windowText" lastClr="000000"/>
              </a:solidFill>
            </a:rPr>
            <a:t>Petrol Denetimi 2. Grup Başkanlığı </a:t>
          </a:r>
        </a:p>
      </dsp:txBody>
      <dsp:txXfrm>
        <a:off x="1923522" y="2676183"/>
        <a:ext cx="555479" cy="277739"/>
      </dsp:txXfrm>
    </dsp:sp>
    <dsp:sp modelId="{54B187C0-B183-42C9-B68A-9309AC25D80F}">
      <dsp:nvSpPr>
        <dsp:cNvPr id="0" name=""/>
        <dsp:cNvSpPr/>
      </dsp:nvSpPr>
      <dsp:spPr>
        <a:xfrm>
          <a:off x="1923522" y="3070573"/>
          <a:ext cx="555479" cy="277739"/>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endParaRPr lang="tr-TR" sz="700" b="0" kern="1200" baseline="0" dirty="0"/>
        </a:p>
        <a:p>
          <a:pPr marL="0" lvl="0" indent="0" algn="ctr" defTabSz="311150">
            <a:lnSpc>
              <a:spcPct val="90000"/>
            </a:lnSpc>
            <a:spcBef>
              <a:spcPct val="0"/>
            </a:spcBef>
            <a:spcAft>
              <a:spcPct val="35000"/>
            </a:spcAft>
            <a:buNone/>
          </a:pPr>
          <a:r>
            <a:rPr lang="tr-TR" sz="700" b="0" kern="1200" baseline="0" dirty="0"/>
            <a:t>LPG Denetimi G.B      </a:t>
          </a:r>
        </a:p>
        <a:p>
          <a:pPr marL="0" lvl="0" indent="0" algn="ctr" defTabSz="311150">
            <a:lnSpc>
              <a:spcPct val="90000"/>
            </a:lnSpc>
            <a:spcBef>
              <a:spcPct val="0"/>
            </a:spcBef>
            <a:spcAft>
              <a:spcPct val="35000"/>
            </a:spcAft>
            <a:buNone/>
          </a:pPr>
          <a:r>
            <a:rPr lang="tr-TR" sz="700" b="0" kern="1200" baseline="0" dirty="0"/>
            <a:t>             </a:t>
          </a:r>
          <a:endParaRPr lang="tr-TR" sz="700" b="0" kern="1200" baseline="0" dirty="0">
            <a:solidFill>
              <a:sysClr val="windowText" lastClr="000000"/>
            </a:solidFill>
          </a:endParaRPr>
        </a:p>
      </dsp:txBody>
      <dsp:txXfrm>
        <a:off x="1923522" y="3070573"/>
        <a:ext cx="555479" cy="277739"/>
      </dsp:txXfrm>
    </dsp:sp>
    <dsp:sp modelId="{F2BF0078-FA9D-45D3-ABA6-2A26BEB489A7}">
      <dsp:nvSpPr>
        <dsp:cNvPr id="0" name=""/>
        <dsp:cNvSpPr/>
      </dsp:nvSpPr>
      <dsp:spPr>
        <a:xfrm>
          <a:off x="1923522" y="3464963"/>
          <a:ext cx="555479" cy="277739"/>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endParaRPr lang="tr-TR" sz="700" b="0" kern="1200" baseline="0" dirty="0"/>
        </a:p>
        <a:p>
          <a:pPr marL="0" lvl="0" indent="0" algn="ctr" defTabSz="311150">
            <a:lnSpc>
              <a:spcPct val="90000"/>
            </a:lnSpc>
            <a:spcBef>
              <a:spcPct val="0"/>
            </a:spcBef>
            <a:spcAft>
              <a:spcPct val="35000"/>
            </a:spcAft>
            <a:buNone/>
          </a:pPr>
          <a:r>
            <a:rPr lang="tr-TR" sz="700" b="0" kern="1200" baseline="0" dirty="0"/>
            <a:t>Elektrik Denetimi G.B</a:t>
          </a:r>
        </a:p>
        <a:p>
          <a:pPr marL="0" lvl="0" indent="0" algn="ctr" defTabSz="311150">
            <a:lnSpc>
              <a:spcPct val="90000"/>
            </a:lnSpc>
            <a:spcBef>
              <a:spcPct val="0"/>
            </a:spcBef>
            <a:spcAft>
              <a:spcPct val="35000"/>
            </a:spcAft>
            <a:buNone/>
          </a:pPr>
          <a:r>
            <a:rPr lang="tr-TR" sz="700" b="0" kern="1200" baseline="0" dirty="0"/>
            <a:t>           </a:t>
          </a:r>
          <a:endParaRPr lang="tr-TR" sz="700" b="0" kern="1200" baseline="0" dirty="0">
            <a:solidFill>
              <a:sysClr val="windowText" lastClr="000000"/>
            </a:solidFill>
          </a:endParaRPr>
        </a:p>
      </dsp:txBody>
      <dsp:txXfrm>
        <a:off x="1923522" y="3464963"/>
        <a:ext cx="555479" cy="277739"/>
      </dsp:txXfrm>
    </dsp:sp>
    <dsp:sp modelId="{C362857C-DBE7-445D-8007-4AD3FBD12260}">
      <dsp:nvSpPr>
        <dsp:cNvPr id="0" name=""/>
        <dsp:cNvSpPr/>
      </dsp:nvSpPr>
      <dsp:spPr>
        <a:xfrm>
          <a:off x="1907019" y="3837565"/>
          <a:ext cx="555479" cy="277739"/>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t>Doğal Gaz Denetimi G.B </a:t>
          </a:r>
        </a:p>
      </dsp:txBody>
      <dsp:txXfrm>
        <a:off x="1907019" y="3837565"/>
        <a:ext cx="555479" cy="277739"/>
      </dsp:txXfrm>
    </dsp:sp>
    <dsp:sp modelId="{93A4B01C-61F9-4E55-BF93-4C4E701F393F}">
      <dsp:nvSpPr>
        <dsp:cNvPr id="0" name=""/>
        <dsp:cNvSpPr/>
      </dsp:nvSpPr>
      <dsp:spPr>
        <a:xfrm>
          <a:off x="2509464" y="1868341"/>
          <a:ext cx="555479" cy="277739"/>
        </a:xfrm>
        <a:prstGeom prst="rect">
          <a:avLst/>
        </a:prstGeom>
        <a:gradFill rotWithShape="0">
          <a:gsLst>
            <a:gs pos="0">
              <a:schemeClr val="accent2">
                <a:alpha val="50000"/>
                <a:hueOff val="0"/>
                <a:satOff val="0"/>
                <a:lumOff val="0"/>
                <a:alphaOff val="0"/>
                <a:tint val="50000"/>
                <a:satMod val="300000"/>
              </a:schemeClr>
            </a:gs>
            <a:gs pos="35000">
              <a:schemeClr val="accent2">
                <a:alpha val="50000"/>
                <a:hueOff val="0"/>
                <a:satOff val="0"/>
                <a:lumOff val="0"/>
                <a:alphaOff val="0"/>
                <a:tint val="37000"/>
                <a:satMod val="300000"/>
              </a:schemeClr>
            </a:gs>
            <a:gs pos="100000">
              <a:schemeClr val="accent2">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solidFill>
                <a:sysClr val="windowText" lastClr="000000"/>
              </a:solidFill>
            </a:rPr>
            <a:t>Hukuk Dairesi B.</a:t>
          </a:r>
          <a:endParaRPr lang="tr-TR" sz="700" b="0" kern="1200" baseline="0" dirty="0"/>
        </a:p>
      </dsp:txBody>
      <dsp:txXfrm>
        <a:off x="2509464" y="1868341"/>
        <a:ext cx="555479" cy="277739"/>
      </dsp:txXfrm>
    </dsp:sp>
    <dsp:sp modelId="{D02299FA-4479-495D-8CBD-480AE3E2BA21}">
      <dsp:nvSpPr>
        <dsp:cNvPr id="0" name=""/>
        <dsp:cNvSpPr/>
      </dsp:nvSpPr>
      <dsp:spPr>
        <a:xfrm>
          <a:off x="2648333" y="2282948"/>
          <a:ext cx="555479" cy="277739"/>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solidFill>
                <a:sysClr val="windowText" lastClr="000000"/>
              </a:solidFill>
            </a:rPr>
            <a:t>1. Grup Başkanlığı</a:t>
          </a:r>
          <a:endParaRPr lang="tr-TR" sz="700" b="0" kern="1200" baseline="0" dirty="0"/>
        </a:p>
      </dsp:txBody>
      <dsp:txXfrm>
        <a:off x="2648333" y="2282948"/>
        <a:ext cx="555479" cy="277739"/>
      </dsp:txXfrm>
    </dsp:sp>
    <dsp:sp modelId="{7E2A0415-83F2-434E-824C-962406704058}">
      <dsp:nvSpPr>
        <dsp:cNvPr id="0" name=""/>
        <dsp:cNvSpPr/>
      </dsp:nvSpPr>
      <dsp:spPr>
        <a:xfrm>
          <a:off x="2648333" y="2677338"/>
          <a:ext cx="555479" cy="277739"/>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solidFill>
                <a:sysClr val="windowText" lastClr="000000"/>
              </a:solidFill>
            </a:rPr>
            <a:t>2.Grup Başkanlığı</a:t>
          </a:r>
          <a:endParaRPr lang="tr-TR" sz="700" b="0" kern="1200" dirty="0"/>
        </a:p>
      </dsp:txBody>
      <dsp:txXfrm>
        <a:off x="2648333" y="2677338"/>
        <a:ext cx="555479" cy="277739"/>
      </dsp:txXfrm>
    </dsp:sp>
    <dsp:sp modelId="{72D96D66-AD07-40DF-9B3C-9E05EE661377}">
      <dsp:nvSpPr>
        <dsp:cNvPr id="0" name=""/>
        <dsp:cNvSpPr/>
      </dsp:nvSpPr>
      <dsp:spPr>
        <a:xfrm>
          <a:off x="2648333" y="3071729"/>
          <a:ext cx="555479" cy="299792"/>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solidFill>
                <a:sysClr val="windowText" lastClr="000000"/>
              </a:solidFill>
            </a:rPr>
            <a:t>3.Grup Başkanlığı</a:t>
          </a:r>
          <a:endParaRPr lang="tr-TR" sz="700" b="0" kern="1200" dirty="0"/>
        </a:p>
      </dsp:txBody>
      <dsp:txXfrm>
        <a:off x="2648333" y="3071729"/>
        <a:ext cx="555479" cy="299792"/>
      </dsp:txXfrm>
    </dsp:sp>
    <dsp:sp modelId="{97042A81-50D6-4916-A7BC-07D2D82BAF15}">
      <dsp:nvSpPr>
        <dsp:cNvPr id="0" name=""/>
        <dsp:cNvSpPr/>
      </dsp:nvSpPr>
      <dsp:spPr>
        <a:xfrm>
          <a:off x="2648717" y="3520131"/>
          <a:ext cx="555479" cy="277739"/>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kern="1200">
              <a:latin typeface="+mn-lt"/>
            </a:rPr>
            <a:t>Mevzuat ve Mütalaa Grup Başkanlığı</a:t>
          </a:r>
        </a:p>
      </dsp:txBody>
      <dsp:txXfrm>
        <a:off x="2648717" y="3520131"/>
        <a:ext cx="555479" cy="277739"/>
      </dsp:txXfrm>
    </dsp:sp>
    <dsp:sp modelId="{57E88E86-B06D-4ECF-BC0D-8A2EF486527E}">
      <dsp:nvSpPr>
        <dsp:cNvPr id="0" name=""/>
        <dsp:cNvSpPr/>
      </dsp:nvSpPr>
      <dsp:spPr>
        <a:xfrm>
          <a:off x="2596418" y="1024163"/>
          <a:ext cx="555479" cy="277739"/>
        </a:xfrm>
        <a:prstGeom prst="rect">
          <a:avLst/>
        </a:prstGeom>
        <a:gradFill rotWithShape="0">
          <a:gsLst>
            <a:gs pos="0">
              <a:schemeClr val="accent2">
                <a:alpha val="70000"/>
                <a:hueOff val="0"/>
                <a:satOff val="0"/>
                <a:lumOff val="0"/>
                <a:alphaOff val="0"/>
                <a:tint val="50000"/>
                <a:satMod val="300000"/>
              </a:schemeClr>
            </a:gs>
            <a:gs pos="35000">
              <a:schemeClr val="accent2">
                <a:alpha val="70000"/>
                <a:hueOff val="0"/>
                <a:satOff val="0"/>
                <a:lumOff val="0"/>
                <a:alphaOff val="0"/>
                <a:tint val="37000"/>
                <a:satMod val="300000"/>
              </a:schemeClr>
            </a:gs>
            <a:gs pos="100000">
              <a:schemeClr val="accent2">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a:solidFill>
                <a:sysClr val="windowText" lastClr="000000"/>
              </a:solidFill>
            </a:rPr>
            <a:t>Kurul Hizmetleri Müdürlüğü</a:t>
          </a:r>
        </a:p>
      </dsp:txBody>
      <dsp:txXfrm>
        <a:off x="2596418" y="1024163"/>
        <a:ext cx="555479" cy="277739"/>
      </dsp:txXfrm>
    </dsp:sp>
    <dsp:sp modelId="{88CADB34-9059-4CC8-A53B-F09A3CD20534}">
      <dsp:nvSpPr>
        <dsp:cNvPr id="0" name=""/>
        <dsp:cNvSpPr/>
      </dsp:nvSpPr>
      <dsp:spPr>
        <a:xfrm>
          <a:off x="1271067" y="1023830"/>
          <a:ext cx="555479" cy="277739"/>
        </a:xfrm>
        <a:prstGeom prst="rect">
          <a:avLst/>
        </a:prstGeom>
        <a:gradFill rotWithShape="0">
          <a:gsLst>
            <a:gs pos="0">
              <a:schemeClr val="accent2">
                <a:alpha val="70000"/>
                <a:hueOff val="0"/>
                <a:satOff val="0"/>
                <a:lumOff val="0"/>
                <a:alphaOff val="0"/>
                <a:tint val="50000"/>
                <a:satMod val="300000"/>
              </a:schemeClr>
            </a:gs>
            <a:gs pos="35000">
              <a:schemeClr val="accent2">
                <a:alpha val="70000"/>
                <a:hueOff val="0"/>
                <a:satOff val="0"/>
                <a:lumOff val="0"/>
                <a:alphaOff val="0"/>
                <a:tint val="37000"/>
                <a:satMod val="300000"/>
              </a:schemeClr>
            </a:gs>
            <a:gs pos="100000">
              <a:schemeClr val="accent2">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a:solidFill>
                <a:sysClr val="windowText" lastClr="000000"/>
              </a:solidFill>
            </a:rPr>
            <a:t>Başkanlık Özel Kalem Müdürlüğü</a:t>
          </a:r>
        </a:p>
      </dsp:txBody>
      <dsp:txXfrm>
        <a:off x="1271067" y="1023830"/>
        <a:ext cx="555479" cy="277739"/>
      </dsp:txXfrm>
    </dsp:sp>
    <dsp:sp modelId="{37D1510E-50C9-4BE4-950F-FA6ADCC72F19}">
      <dsp:nvSpPr>
        <dsp:cNvPr id="0" name=""/>
        <dsp:cNvSpPr/>
      </dsp:nvSpPr>
      <dsp:spPr>
        <a:xfrm>
          <a:off x="6168905" y="1022544"/>
          <a:ext cx="555479" cy="277739"/>
        </a:xfrm>
        <a:prstGeom prst="rect">
          <a:avLst/>
        </a:prstGeom>
        <a:gradFill rotWithShape="0">
          <a:gsLst>
            <a:gs pos="0">
              <a:schemeClr val="accent2">
                <a:alpha val="70000"/>
                <a:hueOff val="0"/>
                <a:satOff val="0"/>
                <a:lumOff val="0"/>
                <a:alphaOff val="0"/>
                <a:tint val="50000"/>
                <a:satMod val="300000"/>
              </a:schemeClr>
            </a:gs>
            <a:gs pos="35000">
              <a:schemeClr val="accent2">
                <a:alpha val="70000"/>
                <a:hueOff val="0"/>
                <a:satOff val="0"/>
                <a:lumOff val="0"/>
                <a:alphaOff val="0"/>
                <a:tint val="37000"/>
                <a:satMod val="300000"/>
              </a:schemeClr>
            </a:gs>
            <a:gs pos="100000">
              <a:schemeClr val="accent2">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a:solidFill>
                <a:sysClr val="windowText" lastClr="000000"/>
              </a:solidFill>
            </a:rPr>
            <a:t>Basın ve Halkla İlişkiler Müşavirliği                </a:t>
          </a:r>
        </a:p>
      </dsp:txBody>
      <dsp:txXfrm>
        <a:off x="6168905" y="1022544"/>
        <a:ext cx="555479" cy="277739"/>
      </dsp:txXfrm>
    </dsp:sp>
    <dsp:sp modelId="{FD998899-A3AC-4149-B5FC-A567190C5DF4}">
      <dsp:nvSpPr>
        <dsp:cNvPr id="0" name=""/>
        <dsp:cNvSpPr/>
      </dsp:nvSpPr>
      <dsp:spPr>
        <a:xfrm>
          <a:off x="7404841" y="1031765"/>
          <a:ext cx="555479" cy="277739"/>
        </a:xfrm>
        <a:prstGeom prst="rect">
          <a:avLst/>
        </a:prstGeom>
        <a:gradFill rotWithShape="0">
          <a:gsLst>
            <a:gs pos="0">
              <a:schemeClr val="accent2">
                <a:alpha val="70000"/>
                <a:hueOff val="0"/>
                <a:satOff val="0"/>
                <a:lumOff val="0"/>
                <a:alphaOff val="0"/>
                <a:tint val="50000"/>
                <a:satMod val="300000"/>
              </a:schemeClr>
            </a:gs>
            <a:gs pos="35000">
              <a:schemeClr val="accent2">
                <a:alpha val="70000"/>
                <a:hueOff val="0"/>
                <a:satOff val="0"/>
                <a:lumOff val="0"/>
                <a:alphaOff val="0"/>
                <a:tint val="37000"/>
                <a:satMod val="300000"/>
              </a:schemeClr>
            </a:gs>
            <a:gs pos="100000">
              <a:schemeClr val="accent2">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a:solidFill>
                <a:sysClr val="windowText" lastClr="000000"/>
              </a:solidFill>
            </a:rPr>
            <a:t>İstanbul İrtibat Bürosu</a:t>
          </a:r>
        </a:p>
      </dsp:txBody>
      <dsp:txXfrm>
        <a:off x="7404841" y="1031765"/>
        <a:ext cx="555479" cy="277739"/>
      </dsp:txXfrm>
    </dsp:sp>
    <dsp:sp modelId="{AFF3DD0F-D12D-43BB-BC6A-2BEC1DE5394E}">
      <dsp:nvSpPr>
        <dsp:cNvPr id="0" name=""/>
        <dsp:cNvSpPr/>
      </dsp:nvSpPr>
      <dsp:spPr>
        <a:xfrm>
          <a:off x="4143728" y="1398659"/>
          <a:ext cx="1151641" cy="277739"/>
        </a:xfrm>
        <a:prstGeom prst="rect">
          <a:avLst/>
        </a:prstGeom>
        <a:gradFill rotWithShape="0">
          <a:gsLst>
            <a:gs pos="0">
              <a:schemeClr val="accent2">
                <a:alpha val="70000"/>
                <a:hueOff val="0"/>
                <a:satOff val="0"/>
                <a:lumOff val="0"/>
                <a:alphaOff val="0"/>
                <a:tint val="50000"/>
                <a:satMod val="300000"/>
              </a:schemeClr>
            </a:gs>
            <a:gs pos="35000">
              <a:schemeClr val="accent2">
                <a:alpha val="70000"/>
                <a:hueOff val="0"/>
                <a:satOff val="0"/>
                <a:lumOff val="0"/>
                <a:alphaOff val="0"/>
                <a:tint val="37000"/>
                <a:satMod val="300000"/>
              </a:schemeClr>
            </a:gs>
            <a:gs pos="100000">
              <a:schemeClr val="accent2">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endParaRPr lang="tr-TR" sz="700" b="0" kern="1200" baseline="0" dirty="0">
            <a:solidFill>
              <a:sysClr val="windowText" lastClr="000000"/>
            </a:solidFill>
          </a:endParaRPr>
        </a:p>
        <a:p>
          <a:pPr marL="0" lvl="0" indent="0" algn="ctr" defTabSz="311150">
            <a:lnSpc>
              <a:spcPct val="90000"/>
            </a:lnSpc>
            <a:spcBef>
              <a:spcPct val="0"/>
            </a:spcBef>
            <a:spcAft>
              <a:spcPct val="35000"/>
            </a:spcAft>
            <a:buNone/>
          </a:pPr>
          <a:r>
            <a:rPr lang="tr-TR" sz="700" b="0" kern="1200" baseline="0" dirty="0">
              <a:solidFill>
                <a:sysClr val="windowText" lastClr="000000"/>
              </a:solidFill>
            </a:rPr>
            <a:t>Başkan Yardımcılığı</a:t>
          </a:r>
        </a:p>
        <a:p>
          <a:pPr marL="0" lvl="0" indent="0" algn="ctr" defTabSz="311150">
            <a:lnSpc>
              <a:spcPct val="90000"/>
            </a:lnSpc>
            <a:spcBef>
              <a:spcPct val="0"/>
            </a:spcBef>
            <a:spcAft>
              <a:spcPct val="35000"/>
            </a:spcAft>
            <a:buNone/>
          </a:pPr>
          <a:endParaRPr lang="tr-TR" sz="700" b="0" kern="1200" baseline="0" dirty="0">
            <a:solidFill>
              <a:sysClr val="windowText" lastClr="000000"/>
            </a:solidFill>
          </a:endParaRPr>
        </a:p>
      </dsp:txBody>
      <dsp:txXfrm>
        <a:off x="4143728" y="1398659"/>
        <a:ext cx="1151641" cy="277739"/>
      </dsp:txXfrm>
    </dsp:sp>
    <dsp:sp modelId="{5E736DAE-6B81-477A-B6E3-E196BA17E89A}">
      <dsp:nvSpPr>
        <dsp:cNvPr id="0" name=""/>
        <dsp:cNvSpPr/>
      </dsp:nvSpPr>
      <dsp:spPr>
        <a:xfrm>
          <a:off x="3252323" y="1817404"/>
          <a:ext cx="555479" cy="277739"/>
        </a:xfrm>
        <a:prstGeom prst="rect">
          <a:avLst/>
        </a:prstGeom>
        <a:gradFill rotWithShape="0">
          <a:gsLst>
            <a:gs pos="0">
              <a:schemeClr val="accent2">
                <a:alpha val="50000"/>
                <a:hueOff val="0"/>
                <a:satOff val="0"/>
                <a:lumOff val="0"/>
                <a:alphaOff val="0"/>
                <a:tint val="50000"/>
                <a:satMod val="300000"/>
              </a:schemeClr>
            </a:gs>
            <a:gs pos="35000">
              <a:schemeClr val="accent2">
                <a:alpha val="50000"/>
                <a:hueOff val="0"/>
                <a:satOff val="0"/>
                <a:lumOff val="0"/>
                <a:alphaOff val="0"/>
                <a:tint val="37000"/>
                <a:satMod val="300000"/>
              </a:schemeClr>
            </a:gs>
            <a:gs pos="100000">
              <a:schemeClr val="accent2">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kern="1200" baseline="0" dirty="0">
              <a:solidFill>
                <a:sysClr val="windowText" lastClr="000000"/>
              </a:solidFill>
            </a:rPr>
            <a:t>Elektrik Piyasası Dairesi B.</a:t>
          </a:r>
        </a:p>
      </dsp:txBody>
      <dsp:txXfrm>
        <a:off x="3252323" y="1817404"/>
        <a:ext cx="555479" cy="277739"/>
      </dsp:txXfrm>
    </dsp:sp>
    <dsp:sp modelId="{F4628EFE-68D0-4956-A927-B561936D2859}">
      <dsp:nvSpPr>
        <dsp:cNvPr id="0" name=""/>
        <dsp:cNvSpPr/>
      </dsp:nvSpPr>
      <dsp:spPr>
        <a:xfrm>
          <a:off x="3405302" y="2178002"/>
          <a:ext cx="555479" cy="277739"/>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Üretim Hidrolik </a:t>
          </a:r>
          <a:r>
            <a:rPr lang="tr-TR" sz="700" b="0" kern="1200" baseline="0">
              <a:solidFill>
                <a:sysClr val="windowText" lastClr="000000"/>
              </a:solidFill>
            </a:rPr>
            <a:t>G.B</a:t>
          </a:r>
        </a:p>
      </dsp:txBody>
      <dsp:txXfrm>
        <a:off x="3405302" y="2178002"/>
        <a:ext cx="555479" cy="277739"/>
      </dsp:txXfrm>
    </dsp:sp>
    <dsp:sp modelId="{7C72C695-63A5-4F90-BE20-C6318326F80E}">
      <dsp:nvSpPr>
        <dsp:cNvPr id="0" name=""/>
        <dsp:cNvSpPr/>
      </dsp:nvSpPr>
      <dsp:spPr>
        <a:xfrm>
          <a:off x="3398053" y="2521643"/>
          <a:ext cx="555479" cy="277739"/>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dirty="0">
              <a:solidFill>
                <a:sysClr val="windowText" lastClr="000000"/>
              </a:solidFill>
            </a:rPr>
            <a:t>Üretim Rüzgar ve Güneş </a:t>
          </a:r>
          <a:r>
            <a:rPr lang="tr-TR" sz="700" b="0" kern="1200" baseline="0" dirty="0">
              <a:solidFill>
                <a:sysClr val="windowText" lastClr="000000"/>
              </a:solidFill>
            </a:rPr>
            <a:t>G.B</a:t>
          </a:r>
        </a:p>
      </dsp:txBody>
      <dsp:txXfrm>
        <a:off x="3398053" y="2521643"/>
        <a:ext cx="555479" cy="277739"/>
      </dsp:txXfrm>
    </dsp:sp>
    <dsp:sp modelId="{A76CD527-76BF-4B6C-B542-DCDB53E7ED8B}">
      <dsp:nvSpPr>
        <dsp:cNvPr id="0" name=""/>
        <dsp:cNvSpPr/>
      </dsp:nvSpPr>
      <dsp:spPr>
        <a:xfrm>
          <a:off x="3412551" y="2894286"/>
          <a:ext cx="555479" cy="269457"/>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endParaRPr lang="tr-TR" sz="700" b="0" kern="1200" dirty="0">
            <a:solidFill>
              <a:sysClr val="windowText" lastClr="000000"/>
            </a:solidFill>
          </a:endParaRPr>
        </a:p>
        <a:p>
          <a:pPr marL="0" lvl="0" indent="0" algn="ctr" defTabSz="311150">
            <a:lnSpc>
              <a:spcPct val="90000"/>
            </a:lnSpc>
            <a:spcBef>
              <a:spcPct val="0"/>
            </a:spcBef>
            <a:spcAft>
              <a:spcPct val="35000"/>
            </a:spcAft>
            <a:buNone/>
          </a:pPr>
          <a:r>
            <a:rPr lang="tr-TR" sz="700" b="0" kern="1200" dirty="0">
              <a:solidFill>
                <a:sysClr val="windowText" lastClr="000000"/>
              </a:solidFill>
            </a:rPr>
            <a:t>Lisanssız Üretim G.B</a:t>
          </a:r>
        </a:p>
        <a:p>
          <a:pPr marL="0" lvl="0" indent="0" algn="ctr" defTabSz="311150">
            <a:lnSpc>
              <a:spcPct val="90000"/>
            </a:lnSpc>
            <a:spcBef>
              <a:spcPct val="0"/>
            </a:spcBef>
            <a:spcAft>
              <a:spcPct val="35000"/>
            </a:spcAft>
            <a:buNone/>
          </a:pPr>
          <a:endParaRPr lang="tr-TR" sz="700" b="0" kern="1200" dirty="0">
            <a:solidFill>
              <a:sysClr val="windowText" lastClr="000000"/>
            </a:solidFill>
          </a:endParaRPr>
        </a:p>
      </dsp:txBody>
      <dsp:txXfrm>
        <a:off x="3412551" y="2894286"/>
        <a:ext cx="555479" cy="269457"/>
      </dsp:txXfrm>
    </dsp:sp>
    <dsp:sp modelId="{61D009CE-346B-47A3-9123-66DCCD81544E}">
      <dsp:nvSpPr>
        <dsp:cNvPr id="0" name=""/>
        <dsp:cNvSpPr/>
      </dsp:nvSpPr>
      <dsp:spPr>
        <a:xfrm>
          <a:off x="3398047" y="3222397"/>
          <a:ext cx="555479" cy="277739"/>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dirty="0">
              <a:solidFill>
                <a:sysClr val="windowText" lastClr="000000"/>
              </a:solidFill>
            </a:rPr>
            <a:t>Üretim Termik </a:t>
          </a:r>
          <a:r>
            <a:rPr lang="tr-TR" sz="700" b="0" kern="1200" baseline="0" dirty="0">
              <a:solidFill>
                <a:sysClr val="windowText" lastClr="000000"/>
              </a:solidFill>
            </a:rPr>
            <a:t>G.B</a:t>
          </a:r>
        </a:p>
      </dsp:txBody>
      <dsp:txXfrm>
        <a:off x="3398047" y="3222397"/>
        <a:ext cx="555479" cy="277739"/>
      </dsp:txXfrm>
    </dsp:sp>
    <dsp:sp modelId="{A22B5146-B096-4C85-A0C5-04AE69B3C103}">
      <dsp:nvSpPr>
        <dsp:cNvPr id="0" name=""/>
        <dsp:cNvSpPr/>
      </dsp:nvSpPr>
      <dsp:spPr>
        <a:xfrm>
          <a:off x="3398053" y="3566038"/>
          <a:ext cx="555479" cy="277739"/>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dirty="0">
              <a:solidFill>
                <a:sysClr val="windowText" lastClr="000000"/>
              </a:solidFill>
            </a:rPr>
            <a:t>Dağıtım ve Perakende Satış </a:t>
          </a:r>
          <a:r>
            <a:rPr lang="tr-TR" sz="700" b="0" kern="1200" baseline="0" dirty="0">
              <a:solidFill>
                <a:sysClr val="windowText" lastClr="000000"/>
              </a:solidFill>
            </a:rPr>
            <a:t>G.B</a:t>
          </a:r>
        </a:p>
      </dsp:txBody>
      <dsp:txXfrm>
        <a:off x="3398053" y="3566038"/>
        <a:ext cx="555479" cy="277739"/>
      </dsp:txXfrm>
    </dsp:sp>
    <dsp:sp modelId="{AC1DC7FD-96CA-4879-B31A-28A8193DEE14}">
      <dsp:nvSpPr>
        <dsp:cNvPr id="0" name=""/>
        <dsp:cNvSpPr/>
      </dsp:nvSpPr>
      <dsp:spPr>
        <a:xfrm>
          <a:off x="3412551" y="3895182"/>
          <a:ext cx="555479" cy="277739"/>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endParaRPr lang="tr-TR" sz="700" b="0" kern="1200" dirty="0">
            <a:solidFill>
              <a:sysClr val="windowText" lastClr="000000"/>
            </a:solidFill>
          </a:endParaRPr>
        </a:p>
        <a:p>
          <a:pPr marL="0" lvl="0" indent="0" algn="ctr" defTabSz="311150">
            <a:lnSpc>
              <a:spcPct val="90000"/>
            </a:lnSpc>
            <a:spcBef>
              <a:spcPct val="0"/>
            </a:spcBef>
            <a:spcAft>
              <a:spcPct val="35000"/>
            </a:spcAft>
            <a:buNone/>
          </a:pPr>
          <a:r>
            <a:rPr lang="tr-TR" sz="700" b="0" kern="1200" dirty="0">
              <a:solidFill>
                <a:sysClr val="windowText" lastClr="000000"/>
              </a:solidFill>
            </a:rPr>
            <a:t>İletim ve OSB Faaliyetleri </a:t>
          </a:r>
          <a:r>
            <a:rPr lang="tr-TR" sz="700" b="0" kern="1200" baseline="0" dirty="0">
              <a:solidFill>
                <a:sysClr val="windowText" lastClr="000000"/>
              </a:solidFill>
            </a:rPr>
            <a:t>G.B</a:t>
          </a:r>
        </a:p>
        <a:p>
          <a:pPr marL="0" lvl="0" indent="0" algn="ctr" defTabSz="311150">
            <a:lnSpc>
              <a:spcPct val="90000"/>
            </a:lnSpc>
            <a:spcBef>
              <a:spcPct val="0"/>
            </a:spcBef>
            <a:spcAft>
              <a:spcPct val="35000"/>
            </a:spcAft>
            <a:buNone/>
          </a:pPr>
          <a:r>
            <a:rPr lang="tr-TR" sz="700" b="0" kern="1200" baseline="0" dirty="0">
              <a:solidFill>
                <a:sysClr val="windowText" lastClr="000000"/>
              </a:solidFill>
            </a:rPr>
            <a:t> </a:t>
          </a:r>
          <a:endParaRPr lang="tr-TR" sz="700" b="0" kern="1200" dirty="0">
            <a:solidFill>
              <a:sysClr val="windowText" lastClr="000000"/>
            </a:solidFill>
          </a:endParaRPr>
        </a:p>
      </dsp:txBody>
      <dsp:txXfrm>
        <a:off x="3412551" y="3895182"/>
        <a:ext cx="555479" cy="277739"/>
      </dsp:txXfrm>
    </dsp:sp>
    <dsp:sp modelId="{0DEB88A5-741D-4D30-9F30-A11FBD0736D5}">
      <dsp:nvSpPr>
        <dsp:cNvPr id="0" name=""/>
        <dsp:cNvSpPr/>
      </dsp:nvSpPr>
      <dsp:spPr>
        <a:xfrm>
          <a:off x="3419800" y="4260573"/>
          <a:ext cx="555479" cy="277739"/>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dirty="0">
              <a:solidFill>
                <a:sysClr val="windowText" lastClr="000000"/>
              </a:solidFill>
            </a:rPr>
            <a:t>Organize Toptan Satış Piyasaları G.B</a:t>
          </a:r>
        </a:p>
      </dsp:txBody>
      <dsp:txXfrm>
        <a:off x="3419800" y="4260573"/>
        <a:ext cx="555479" cy="277739"/>
      </dsp:txXfrm>
    </dsp:sp>
    <dsp:sp modelId="{1D8C5301-37FC-455F-880A-B8EC6310BE1C}">
      <dsp:nvSpPr>
        <dsp:cNvPr id="0" name=""/>
        <dsp:cNvSpPr/>
      </dsp:nvSpPr>
      <dsp:spPr>
        <a:xfrm>
          <a:off x="3419805" y="4588939"/>
          <a:ext cx="558828" cy="301950"/>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dirty="0">
              <a:solidFill>
                <a:sysClr val="windowText" lastClr="000000"/>
              </a:solidFill>
            </a:rPr>
            <a:t>Tüketici Hakları ve Müşteri Hizmetleri </a:t>
          </a:r>
          <a:r>
            <a:rPr lang="tr-TR" sz="700" b="0" kern="1200" baseline="0" dirty="0">
              <a:solidFill>
                <a:sysClr val="windowText" lastClr="000000"/>
              </a:solidFill>
            </a:rPr>
            <a:t>G.B</a:t>
          </a:r>
        </a:p>
      </dsp:txBody>
      <dsp:txXfrm>
        <a:off x="3419805" y="4588939"/>
        <a:ext cx="558828" cy="301950"/>
      </dsp:txXfrm>
    </dsp:sp>
    <dsp:sp modelId="{4E8E5938-5D61-443B-BEE0-212A2890730F}">
      <dsp:nvSpPr>
        <dsp:cNvPr id="0" name=""/>
        <dsp:cNvSpPr/>
      </dsp:nvSpPr>
      <dsp:spPr>
        <a:xfrm>
          <a:off x="3434298" y="4953884"/>
          <a:ext cx="555479" cy="277739"/>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dirty="0">
              <a:solidFill>
                <a:sysClr val="windowText" lastClr="000000"/>
              </a:solidFill>
            </a:rPr>
            <a:t>Piyasa İzleme ve Mevzuat </a:t>
          </a:r>
          <a:r>
            <a:rPr lang="tr-TR" sz="700" b="0" kern="1200" baseline="0" dirty="0">
              <a:solidFill>
                <a:sysClr val="windowText" lastClr="000000"/>
              </a:solidFill>
            </a:rPr>
            <a:t>G.B</a:t>
          </a:r>
        </a:p>
      </dsp:txBody>
      <dsp:txXfrm>
        <a:off x="3434298" y="4953884"/>
        <a:ext cx="555479" cy="277739"/>
      </dsp:txXfrm>
    </dsp:sp>
    <dsp:sp modelId="{2F3F7E40-079F-46D2-8070-43B7A32210E6}">
      <dsp:nvSpPr>
        <dsp:cNvPr id="0" name=""/>
        <dsp:cNvSpPr/>
      </dsp:nvSpPr>
      <dsp:spPr>
        <a:xfrm>
          <a:off x="3979978" y="1812599"/>
          <a:ext cx="555479" cy="277739"/>
        </a:xfrm>
        <a:prstGeom prst="rect">
          <a:avLst/>
        </a:prstGeom>
        <a:gradFill rotWithShape="0">
          <a:gsLst>
            <a:gs pos="0">
              <a:schemeClr val="accent2">
                <a:alpha val="50000"/>
                <a:hueOff val="0"/>
                <a:satOff val="0"/>
                <a:lumOff val="0"/>
                <a:alphaOff val="0"/>
                <a:tint val="50000"/>
                <a:satMod val="300000"/>
              </a:schemeClr>
            </a:gs>
            <a:gs pos="35000">
              <a:schemeClr val="accent2">
                <a:alpha val="50000"/>
                <a:hueOff val="0"/>
                <a:satOff val="0"/>
                <a:lumOff val="0"/>
                <a:alphaOff val="0"/>
                <a:tint val="37000"/>
                <a:satMod val="300000"/>
              </a:schemeClr>
            </a:gs>
            <a:gs pos="100000">
              <a:schemeClr val="accent2">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kern="1200">
              <a:solidFill>
                <a:sysClr val="windowText" lastClr="000000"/>
              </a:solidFill>
            </a:rPr>
            <a:t>Bilgi İşlem Dairesi B.</a:t>
          </a:r>
        </a:p>
      </dsp:txBody>
      <dsp:txXfrm>
        <a:off x="3979978" y="1812599"/>
        <a:ext cx="555479" cy="277739"/>
      </dsp:txXfrm>
    </dsp:sp>
    <dsp:sp modelId="{D97C6B0E-0CA4-4642-8787-12CA52F7FC56}">
      <dsp:nvSpPr>
        <dsp:cNvPr id="0" name=""/>
        <dsp:cNvSpPr/>
      </dsp:nvSpPr>
      <dsp:spPr>
        <a:xfrm>
          <a:off x="4130146" y="2189742"/>
          <a:ext cx="555479" cy="277739"/>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kern="1200" dirty="0"/>
            <a:t>Yazılım Geliştirme Hizmetleri G.B</a:t>
          </a:r>
        </a:p>
      </dsp:txBody>
      <dsp:txXfrm>
        <a:off x="4130146" y="2189742"/>
        <a:ext cx="555479" cy="277739"/>
      </dsp:txXfrm>
    </dsp:sp>
    <dsp:sp modelId="{3BD5D629-B44A-46F2-83FA-A590F8A03A04}">
      <dsp:nvSpPr>
        <dsp:cNvPr id="0" name=""/>
        <dsp:cNvSpPr/>
      </dsp:nvSpPr>
      <dsp:spPr>
        <a:xfrm>
          <a:off x="4123086" y="2562965"/>
          <a:ext cx="555479" cy="277739"/>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kern="1200"/>
            <a:t>Veri Yönetimi ve İş Zekası G.B</a:t>
          </a:r>
        </a:p>
      </dsp:txBody>
      <dsp:txXfrm>
        <a:off x="4123086" y="2562965"/>
        <a:ext cx="555479" cy="277739"/>
      </dsp:txXfrm>
    </dsp:sp>
    <dsp:sp modelId="{016496D2-9BD1-4125-997A-A1D7BB6B56EB}">
      <dsp:nvSpPr>
        <dsp:cNvPr id="0" name=""/>
        <dsp:cNvSpPr/>
      </dsp:nvSpPr>
      <dsp:spPr>
        <a:xfrm>
          <a:off x="4123086" y="2936189"/>
          <a:ext cx="555479" cy="387502"/>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kern="1200"/>
            <a:t>İnternet Hizmetleri ve Bilgi Sistemleri G.B</a:t>
          </a:r>
        </a:p>
      </dsp:txBody>
      <dsp:txXfrm>
        <a:off x="4123086" y="2936189"/>
        <a:ext cx="555479" cy="387502"/>
      </dsp:txXfrm>
    </dsp:sp>
    <dsp:sp modelId="{A7D99AA5-7289-416F-A842-FB214B6BF6F7}">
      <dsp:nvSpPr>
        <dsp:cNvPr id="0" name=""/>
        <dsp:cNvSpPr/>
      </dsp:nvSpPr>
      <dsp:spPr>
        <a:xfrm>
          <a:off x="4130146" y="3447399"/>
          <a:ext cx="555479" cy="277739"/>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kern="1200"/>
            <a:t>Bilgi Güvenliği Yönetimi G.B</a:t>
          </a:r>
        </a:p>
      </dsp:txBody>
      <dsp:txXfrm>
        <a:off x="4130146" y="3447399"/>
        <a:ext cx="555479" cy="277739"/>
      </dsp:txXfrm>
    </dsp:sp>
    <dsp:sp modelId="{743A223C-0567-4C07-AC84-09AC0A2089BD}">
      <dsp:nvSpPr>
        <dsp:cNvPr id="0" name=""/>
        <dsp:cNvSpPr/>
      </dsp:nvSpPr>
      <dsp:spPr>
        <a:xfrm>
          <a:off x="4123092" y="3813568"/>
          <a:ext cx="555479" cy="448343"/>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kern="1200"/>
            <a:t>Bilişim Altyapı Sistemleri ve Destek Hizmetleri G.B</a:t>
          </a:r>
        </a:p>
      </dsp:txBody>
      <dsp:txXfrm>
        <a:off x="4123092" y="3813568"/>
        <a:ext cx="555479" cy="448343"/>
      </dsp:txXfrm>
    </dsp:sp>
    <dsp:sp modelId="{BDC147E6-8871-4EA7-A8E8-60EE912F1727}">
      <dsp:nvSpPr>
        <dsp:cNvPr id="0" name=""/>
        <dsp:cNvSpPr/>
      </dsp:nvSpPr>
      <dsp:spPr>
        <a:xfrm>
          <a:off x="4688003" y="1811830"/>
          <a:ext cx="555479" cy="277739"/>
        </a:xfrm>
        <a:prstGeom prst="rect">
          <a:avLst/>
        </a:prstGeom>
        <a:gradFill rotWithShape="0">
          <a:gsLst>
            <a:gs pos="0">
              <a:schemeClr val="accent2">
                <a:alpha val="50000"/>
                <a:hueOff val="0"/>
                <a:satOff val="0"/>
                <a:lumOff val="0"/>
                <a:alphaOff val="0"/>
                <a:tint val="50000"/>
                <a:satMod val="300000"/>
              </a:schemeClr>
            </a:gs>
            <a:gs pos="35000">
              <a:schemeClr val="accent2">
                <a:alpha val="50000"/>
                <a:hueOff val="0"/>
                <a:satOff val="0"/>
                <a:lumOff val="0"/>
                <a:alphaOff val="0"/>
                <a:tint val="37000"/>
                <a:satMod val="300000"/>
              </a:schemeClr>
            </a:gs>
            <a:gs pos="100000">
              <a:schemeClr val="accent2">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solidFill>
                <a:sysClr val="windowText" lastClr="000000"/>
              </a:solidFill>
            </a:rPr>
            <a:t>Tarifeler Dairesi B.  </a:t>
          </a:r>
        </a:p>
      </dsp:txBody>
      <dsp:txXfrm>
        <a:off x="4688003" y="1811830"/>
        <a:ext cx="555479" cy="277739"/>
      </dsp:txXfrm>
    </dsp:sp>
    <dsp:sp modelId="{3CF89496-0578-4C97-873B-B7694AC9FCD7}">
      <dsp:nvSpPr>
        <dsp:cNvPr id="0" name=""/>
        <dsp:cNvSpPr/>
      </dsp:nvSpPr>
      <dsp:spPr>
        <a:xfrm>
          <a:off x="4840982" y="2163890"/>
          <a:ext cx="555479" cy="277739"/>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kern="1200" baseline="0" dirty="0">
              <a:solidFill>
                <a:sysClr val="windowText" lastClr="000000"/>
              </a:solidFill>
            </a:rPr>
            <a:t>Elektrik Piyasası Tarifeler G.B</a:t>
          </a:r>
          <a:endParaRPr lang="tr-TR" sz="700" b="0" kern="1200" baseline="0" dirty="0">
            <a:solidFill>
              <a:sysClr val="windowText" lastClr="000000"/>
            </a:solidFill>
          </a:endParaRPr>
        </a:p>
      </dsp:txBody>
      <dsp:txXfrm>
        <a:off x="4840982" y="2163890"/>
        <a:ext cx="555479" cy="277739"/>
      </dsp:txXfrm>
    </dsp:sp>
    <dsp:sp modelId="{FCDE16EF-E941-4E66-A369-BC4894259277}">
      <dsp:nvSpPr>
        <dsp:cNvPr id="0" name=""/>
        <dsp:cNvSpPr/>
      </dsp:nvSpPr>
      <dsp:spPr>
        <a:xfrm>
          <a:off x="4840982" y="2558280"/>
          <a:ext cx="555479" cy="277739"/>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kern="1200" baseline="0" dirty="0">
              <a:solidFill>
                <a:sysClr val="windowText" lastClr="000000"/>
              </a:solidFill>
            </a:rPr>
            <a:t>Elektrik Dağıtım Yatırımları G.B</a:t>
          </a:r>
          <a:endParaRPr lang="tr-TR" sz="700" b="0" kern="1200" baseline="0" dirty="0">
            <a:solidFill>
              <a:sysClr val="windowText" lastClr="000000"/>
            </a:solidFill>
          </a:endParaRPr>
        </a:p>
      </dsp:txBody>
      <dsp:txXfrm>
        <a:off x="4840982" y="2558280"/>
        <a:ext cx="555479" cy="277739"/>
      </dsp:txXfrm>
    </dsp:sp>
    <dsp:sp modelId="{F8FD6581-6201-40CA-A902-4A567D56633E}">
      <dsp:nvSpPr>
        <dsp:cNvPr id="0" name=""/>
        <dsp:cNvSpPr/>
      </dsp:nvSpPr>
      <dsp:spPr>
        <a:xfrm>
          <a:off x="4846642" y="2956983"/>
          <a:ext cx="555479" cy="277739"/>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kern="1200" baseline="0" dirty="0">
              <a:solidFill>
                <a:sysClr val="windowText" lastClr="000000"/>
              </a:solidFill>
            </a:rPr>
            <a:t>Doğal Gaz Piyasası Tarifeler G.B</a:t>
          </a:r>
          <a:endParaRPr lang="tr-TR" sz="700" b="0" kern="1200" baseline="0" dirty="0">
            <a:solidFill>
              <a:sysClr val="windowText" lastClr="000000"/>
            </a:solidFill>
          </a:endParaRPr>
        </a:p>
      </dsp:txBody>
      <dsp:txXfrm>
        <a:off x="4846642" y="2956983"/>
        <a:ext cx="555479" cy="277739"/>
      </dsp:txXfrm>
    </dsp:sp>
    <dsp:sp modelId="{9516D145-26D6-44D3-897C-8FF25FA978A7}">
      <dsp:nvSpPr>
        <dsp:cNvPr id="0" name=""/>
        <dsp:cNvSpPr/>
      </dsp:nvSpPr>
      <dsp:spPr>
        <a:xfrm>
          <a:off x="4840982" y="3329607"/>
          <a:ext cx="555479" cy="277739"/>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kern="1200" baseline="0" dirty="0">
              <a:solidFill>
                <a:sysClr val="windowText" lastClr="000000"/>
              </a:solidFill>
            </a:rPr>
            <a:t>Piyasa İzleme ve Mali Risk G.B</a:t>
          </a:r>
          <a:endParaRPr lang="tr-TR" sz="700" b="0" kern="1200" baseline="0" dirty="0">
            <a:solidFill>
              <a:sysClr val="windowText" lastClr="000000"/>
            </a:solidFill>
          </a:endParaRPr>
        </a:p>
      </dsp:txBody>
      <dsp:txXfrm>
        <a:off x="4840982" y="3329607"/>
        <a:ext cx="555479" cy="277739"/>
      </dsp:txXfrm>
    </dsp:sp>
    <dsp:sp modelId="{8DE7FA51-B0F9-4640-B35D-FD71CF99804D}">
      <dsp:nvSpPr>
        <dsp:cNvPr id="0" name=""/>
        <dsp:cNvSpPr/>
      </dsp:nvSpPr>
      <dsp:spPr>
        <a:xfrm>
          <a:off x="5393984" y="1813977"/>
          <a:ext cx="555479" cy="277739"/>
        </a:xfrm>
        <a:prstGeom prst="rect">
          <a:avLst/>
        </a:prstGeom>
        <a:gradFill rotWithShape="0">
          <a:gsLst>
            <a:gs pos="0">
              <a:schemeClr val="accent2">
                <a:alpha val="50000"/>
                <a:hueOff val="0"/>
                <a:satOff val="0"/>
                <a:lumOff val="0"/>
                <a:alphaOff val="0"/>
                <a:tint val="50000"/>
                <a:satMod val="300000"/>
              </a:schemeClr>
            </a:gs>
            <a:gs pos="35000">
              <a:schemeClr val="accent2">
                <a:alpha val="50000"/>
                <a:hueOff val="0"/>
                <a:satOff val="0"/>
                <a:lumOff val="0"/>
                <a:alphaOff val="0"/>
                <a:tint val="37000"/>
                <a:satMod val="300000"/>
              </a:schemeClr>
            </a:gs>
            <a:gs pos="100000">
              <a:schemeClr val="accent2">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solidFill>
                <a:sysClr val="windowText" lastClr="000000"/>
              </a:solidFill>
            </a:rPr>
            <a:t>Enerji Dönüşüm Dairesi B.</a:t>
          </a:r>
        </a:p>
      </dsp:txBody>
      <dsp:txXfrm>
        <a:off x="5393984" y="1813977"/>
        <a:ext cx="555479" cy="277739"/>
      </dsp:txXfrm>
    </dsp:sp>
    <dsp:sp modelId="{AED77F61-D481-4F5F-B12C-CC8E1069DEC4}">
      <dsp:nvSpPr>
        <dsp:cNvPr id="0" name=""/>
        <dsp:cNvSpPr/>
      </dsp:nvSpPr>
      <dsp:spPr>
        <a:xfrm>
          <a:off x="5510440" y="2178388"/>
          <a:ext cx="555479" cy="340017"/>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solidFill>
                <a:sysClr val="windowText" lastClr="000000"/>
              </a:solidFill>
            </a:rPr>
            <a:t>Araştırma-Geliştirme ve Dijital Dönüşüm G.B</a:t>
          </a:r>
        </a:p>
      </dsp:txBody>
      <dsp:txXfrm>
        <a:off x="5510440" y="2178388"/>
        <a:ext cx="555479" cy="340017"/>
      </dsp:txXfrm>
    </dsp:sp>
    <dsp:sp modelId="{C4EFC886-DC90-4D63-8D8A-BA9A2EF65C67}">
      <dsp:nvSpPr>
        <dsp:cNvPr id="0" name=""/>
        <dsp:cNvSpPr/>
      </dsp:nvSpPr>
      <dsp:spPr>
        <a:xfrm>
          <a:off x="5510440" y="2635055"/>
          <a:ext cx="555479" cy="277739"/>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dirty="0">
              <a:solidFill>
                <a:sysClr val="windowText" lastClr="000000"/>
              </a:solidFill>
            </a:rPr>
            <a:t>Şarj Hizmeti G.B</a:t>
          </a:r>
        </a:p>
      </dsp:txBody>
      <dsp:txXfrm>
        <a:off x="5510440" y="2635055"/>
        <a:ext cx="555479" cy="277739"/>
      </dsp:txXfrm>
    </dsp:sp>
    <dsp:sp modelId="{FE6FD7C3-42D2-4614-B277-F0D2A781149B}">
      <dsp:nvSpPr>
        <dsp:cNvPr id="0" name=""/>
        <dsp:cNvSpPr/>
      </dsp:nvSpPr>
      <dsp:spPr>
        <a:xfrm>
          <a:off x="5510440" y="2994542"/>
          <a:ext cx="555479" cy="426571"/>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dirty="0">
              <a:solidFill>
                <a:sysClr val="windowText" lastClr="000000"/>
              </a:solidFill>
            </a:rPr>
            <a:t>Çevresel Piyasalar ve Alternatif Yakıtlar G.B</a:t>
          </a:r>
        </a:p>
      </dsp:txBody>
      <dsp:txXfrm>
        <a:off x="5510440" y="2994542"/>
        <a:ext cx="555479" cy="426571"/>
      </dsp:txXfrm>
    </dsp:sp>
    <dsp:sp modelId="{15E5EE25-D21D-4742-8F20-7AB5D7559FCB}">
      <dsp:nvSpPr>
        <dsp:cNvPr id="0" name=""/>
        <dsp:cNvSpPr/>
      </dsp:nvSpPr>
      <dsp:spPr>
        <a:xfrm>
          <a:off x="5510440" y="3520311"/>
          <a:ext cx="555479" cy="399281"/>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a:solidFill>
                <a:sysClr val="windowText" lastClr="000000"/>
              </a:solidFill>
            </a:rPr>
            <a:t>Mevzuat Geliştirme ve Tüketici Hakları G.B</a:t>
          </a:r>
        </a:p>
      </dsp:txBody>
      <dsp:txXfrm>
        <a:off x="5510440" y="3520311"/>
        <a:ext cx="555479" cy="399281"/>
      </dsp:txXfrm>
    </dsp:sp>
    <dsp:sp modelId="{CC83D1EA-987A-4420-AC1F-8009DEDCBE32}">
      <dsp:nvSpPr>
        <dsp:cNvPr id="0" name=""/>
        <dsp:cNvSpPr/>
      </dsp:nvSpPr>
      <dsp:spPr>
        <a:xfrm>
          <a:off x="7950174" y="1397009"/>
          <a:ext cx="974427" cy="277739"/>
        </a:xfrm>
        <a:prstGeom prst="rect">
          <a:avLst/>
        </a:prstGeom>
        <a:gradFill rotWithShape="0">
          <a:gsLst>
            <a:gs pos="0">
              <a:schemeClr val="accent2">
                <a:alpha val="70000"/>
                <a:hueOff val="0"/>
                <a:satOff val="0"/>
                <a:lumOff val="0"/>
                <a:alphaOff val="0"/>
                <a:tint val="50000"/>
                <a:satMod val="300000"/>
              </a:schemeClr>
            </a:gs>
            <a:gs pos="35000">
              <a:schemeClr val="accent2">
                <a:alpha val="70000"/>
                <a:hueOff val="0"/>
                <a:satOff val="0"/>
                <a:lumOff val="0"/>
                <a:alphaOff val="0"/>
                <a:tint val="37000"/>
                <a:satMod val="300000"/>
              </a:schemeClr>
            </a:gs>
            <a:gs pos="100000">
              <a:schemeClr val="accent2">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solidFill>
                <a:sysClr val="windowText" lastClr="000000"/>
              </a:solidFill>
            </a:rPr>
            <a:t>Başkan Yardımcılığı</a:t>
          </a:r>
        </a:p>
      </dsp:txBody>
      <dsp:txXfrm>
        <a:off x="7950174" y="1397009"/>
        <a:ext cx="974427" cy="277739"/>
      </dsp:txXfrm>
    </dsp:sp>
    <dsp:sp modelId="{99F5ECD1-26A5-4D38-B952-E2030F3C296B}">
      <dsp:nvSpPr>
        <dsp:cNvPr id="0" name=""/>
        <dsp:cNvSpPr/>
      </dsp:nvSpPr>
      <dsp:spPr>
        <a:xfrm>
          <a:off x="6382981" y="1831396"/>
          <a:ext cx="555479" cy="277739"/>
        </a:xfrm>
        <a:prstGeom prst="rect">
          <a:avLst/>
        </a:prstGeom>
        <a:gradFill rotWithShape="0">
          <a:gsLst>
            <a:gs pos="0">
              <a:schemeClr val="accent2">
                <a:alpha val="50000"/>
                <a:hueOff val="0"/>
                <a:satOff val="0"/>
                <a:lumOff val="0"/>
                <a:alphaOff val="0"/>
                <a:tint val="50000"/>
                <a:satMod val="300000"/>
              </a:schemeClr>
            </a:gs>
            <a:gs pos="35000">
              <a:schemeClr val="accent2">
                <a:alpha val="50000"/>
                <a:hueOff val="0"/>
                <a:satOff val="0"/>
                <a:lumOff val="0"/>
                <a:alphaOff val="0"/>
                <a:tint val="37000"/>
                <a:satMod val="300000"/>
              </a:schemeClr>
            </a:gs>
            <a:gs pos="100000">
              <a:schemeClr val="accent2">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solidFill>
                <a:sysClr val="windowText" lastClr="000000"/>
              </a:solidFill>
            </a:rPr>
            <a:t>Strateji Geliştirme Dairesi B.</a:t>
          </a:r>
          <a:endParaRPr lang="tr-TR" sz="700" kern="1200"/>
        </a:p>
      </dsp:txBody>
      <dsp:txXfrm>
        <a:off x="6382981" y="1831396"/>
        <a:ext cx="555479" cy="277739"/>
      </dsp:txXfrm>
    </dsp:sp>
    <dsp:sp modelId="{98DD97CC-08CE-41BD-9468-7C5D305ADF8F}">
      <dsp:nvSpPr>
        <dsp:cNvPr id="0" name=""/>
        <dsp:cNvSpPr/>
      </dsp:nvSpPr>
      <dsp:spPr>
        <a:xfrm>
          <a:off x="6513235" y="2244109"/>
          <a:ext cx="555479" cy="277739"/>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solidFill>
                <a:sysClr val="windowText" lastClr="000000"/>
              </a:solidFill>
            </a:rPr>
            <a:t>İstatistik ve Raporlama </a:t>
          </a:r>
          <a:r>
            <a:rPr lang="tr-TR" sz="700" b="0" kern="1200" baseline="0">
              <a:solidFill>
                <a:sysClr val="windowText" lastClr="000000"/>
              </a:solidFill>
            </a:rPr>
            <a:t>G.B</a:t>
          </a:r>
          <a:endParaRPr lang="tr-TR" sz="700" kern="1200" baseline="0">
            <a:solidFill>
              <a:sysClr val="windowText" lastClr="000000"/>
            </a:solidFill>
          </a:endParaRPr>
        </a:p>
      </dsp:txBody>
      <dsp:txXfrm>
        <a:off x="6513235" y="2244109"/>
        <a:ext cx="555479" cy="277739"/>
      </dsp:txXfrm>
    </dsp:sp>
    <dsp:sp modelId="{46516CDF-FF62-41BA-81AF-A6C74ABBA41C}">
      <dsp:nvSpPr>
        <dsp:cNvPr id="0" name=""/>
        <dsp:cNvSpPr/>
      </dsp:nvSpPr>
      <dsp:spPr>
        <a:xfrm>
          <a:off x="6513508" y="2637230"/>
          <a:ext cx="555479" cy="277739"/>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solidFill>
                <a:sysClr val="windowText" lastClr="000000"/>
              </a:solidFill>
            </a:rPr>
            <a:t>Dış </a:t>
          </a:r>
          <a:r>
            <a:rPr lang="tr-TR" sz="700" b="0" kern="1200" baseline="0">
              <a:solidFill>
                <a:sysClr val="windowText" lastClr="000000"/>
              </a:solidFill>
            </a:rPr>
            <a:t>İlişkiler G.B</a:t>
          </a:r>
          <a:endParaRPr lang="tr-TR" sz="700" kern="1200" baseline="0">
            <a:solidFill>
              <a:sysClr val="windowText" lastClr="000000"/>
            </a:solidFill>
          </a:endParaRPr>
        </a:p>
      </dsp:txBody>
      <dsp:txXfrm>
        <a:off x="6513508" y="2637230"/>
        <a:ext cx="555479" cy="277739"/>
      </dsp:txXfrm>
    </dsp:sp>
    <dsp:sp modelId="{C8E42C91-2328-44AA-BD54-ACC149C6CF06}">
      <dsp:nvSpPr>
        <dsp:cNvPr id="0" name=""/>
        <dsp:cNvSpPr/>
      </dsp:nvSpPr>
      <dsp:spPr>
        <a:xfrm>
          <a:off x="6512208" y="3012673"/>
          <a:ext cx="555479" cy="277739"/>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dirty="0">
              <a:solidFill>
                <a:sysClr val="windowText" lastClr="000000"/>
              </a:solidFill>
            </a:rPr>
            <a:t>Tüketici Hakları ve Müşteri Hizmetleri </a:t>
          </a:r>
          <a:r>
            <a:rPr lang="tr-TR" sz="700" b="0" kern="1200" baseline="0" dirty="0">
              <a:solidFill>
                <a:sysClr val="windowText" lastClr="000000"/>
              </a:solidFill>
            </a:rPr>
            <a:t>G.B                        </a:t>
          </a:r>
          <a:endParaRPr lang="tr-TR" sz="700" kern="1200" baseline="0" dirty="0">
            <a:solidFill>
              <a:sysClr val="windowText" lastClr="000000"/>
            </a:solidFill>
          </a:endParaRPr>
        </a:p>
      </dsp:txBody>
      <dsp:txXfrm>
        <a:off x="6512208" y="3012673"/>
        <a:ext cx="555479" cy="277739"/>
      </dsp:txXfrm>
    </dsp:sp>
    <dsp:sp modelId="{6D5F0930-5A93-4FCD-BACA-A46FEBBFFC1F}">
      <dsp:nvSpPr>
        <dsp:cNvPr id="0" name=""/>
        <dsp:cNvSpPr/>
      </dsp:nvSpPr>
      <dsp:spPr>
        <a:xfrm>
          <a:off x="6494960" y="3407063"/>
          <a:ext cx="555479" cy="277739"/>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a:solidFill>
                <a:sysClr val="windowText" lastClr="000000"/>
              </a:solidFill>
            </a:rPr>
            <a:t>Strateji ve Sektörel Politikalar G.B</a:t>
          </a:r>
          <a:endParaRPr lang="tr-TR" sz="700" kern="1200" baseline="0">
            <a:solidFill>
              <a:sysClr val="windowText" lastClr="000000"/>
            </a:solidFill>
          </a:endParaRPr>
        </a:p>
      </dsp:txBody>
      <dsp:txXfrm>
        <a:off x="6494960" y="3407063"/>
        <a:ext cx="555479" cy="277739"/>
      </dsp:txXfrm>
    </dsp:sp>
    <dsp:sp modelId="{FF1032C5-0C2B-4EA5-BC1F-DCB68868A42A}">
      <dsp:nvSpPr>
        <dsp:cNvPr id="0" name=""/>
        <dsp:cNvSpPr/>
      </dsp:nvSpPr>
      <dsp:spPr>
        <a:xfrm>
          <a:off x="6509780" y="3774307"/>
          <a:ext cx="555479" cy="277739"/>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kern="1200">
              <a:solidFill>
                <a:sysClr val="windowText" lastClr="000000"/>
              </a:solidFill>
            </a:rPr>
            <a:t>Bütçe ve Mali Hizmetler G.B</a:t>
          </a:r>
          <a:endParaRPr lang="tr-TR" sz="700" kern="1200" baseline="0" dirty="0">
            <a:solidFill>
              <a:sysClr val="windowText" lastClr="000000"/>
            </a:solidFill>
          </a:endParaRPr>
        </a:p>
      </dsp:txBody>
      <dsp:txXfrm>
        <a:off x="6509780" y="3774307"/>
        <a:ext cx="555479" cy="277739"/>
      </dsp:txXfrm>
    </dsp:sp>
    <dsp:sp modelId="{200B7D3E-E890-4610-856F-D9E590DF5734}">
      <dsp:nvSpPr>
        <dsp:cNvPr id="0" name=""/>
        <dsp:cNvSpPr/>
      </dsp:nvSpPr>
      <dsp:spPr>
        <a:xfrm>
          <a:off x="6499215" y="4149861"/>
          <a:ext cx="555479" cy="277739"/>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a:solidFill>
                <a:sysClr val="windowText" lastClr="000000"/>
              </a:solidFill>
            </a:rPr>
            <a:t>Muhasebe G.B</a:t>
          </a:r>
          <a:endParaRPr lang="tr-TR" sz="700" kern="1200" baseline="0" dirty="0">
            <a:solidFill>
              <a:sysClr val="windowText" lastClr="000000"/>
            </a:solidFill>
          </a:endParaRPr>
        </a:p>
      </dsp:txBody>
      <dsp:txXfrm>
        <a:off x="6499215" y="4149861"/>
        <a:ext cx="555479" cy="277739"/>
      </dsp:txXfrm>
    </dsp:sp>
    <dsp:sp modelId="{4EAAA85B-2269-45B2-B325-3CE9106A3F45}">
      <dsp:nvSpPr>
        <dsp:cNvPr id="0" name=""/>
        <dsp:cNvSpPr/>
      </dsp:nvSpPr>
      <dsp:spPr>
        <a:xfrm>
          <a:off x="6515168" y="4535072"/>
          <a:ext cx="534004" cy="277739"/>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t> İdari Para Cezaları G.B</a:t>
          </a:r>
          <a:endParaRPr lang="tr-TR" sz="700" kern="1200" baseline="0" dirty="0">
            <a:solidFill>
              <a:sysClr val="windowText" lastClr="000000"/>
            </a:solidFill>
          </a:endParaRPr>
        </a:p>
      </dsp:txBody>
      <dsp:txXfrm>
        <a:off x="6515168" y="4535072"/>
        <a:ext cx="534004" cy="277739"/>
      </dsp:txXfrm>
    </dsp:sp>
    <dsp:sp modelId="{EF4B2FE9-4D81-4890-AB6B-95AA708FCADA}">
      <dsp:nvSpPr>
        <dsp:cNvPr id="0" name=""/>
        <dsp:cNvSpPr/>
      </dsp:nvSpPr>
      <dsp:spPr>
        <a:xfrm>
          <a:off x="6524973" y="4886737"/>
          <a:ext cx="555479" cy="277739"/>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t>Enerji Piyasaları İzleme G.B</a:t>
          </a:r>
          <a:endParaRPr lang="tr-TR" sz="700" kern="1200" baseline="0" dirty="0">
            <a:solidFill>
              <a:sysClr val="windowText" lastClr="000000"/>
            </a:solidFill>
          </a:endParaRPr>
        </a:p>
      </dsp:txBody>
      <dsp:txXfrm>
        <a:off x="6524973" y="4886737"/>
        <a:ext cx="555479" cy="277739"/>
      </dsp:txXfrm>
    </dsp:sp>
    <dsp:sp modelId="{253F3AC0-F268-4AF3-A75C-7BDA2581FFE1}">
      <dsp:nvSpPr>
        <dsp:cNvPr id="0" name=""/>
        <dsp:cNvSpPr/>
      </dsp:nvSpPr>
      <dsp:spPr>
        <a:xfrm>
          <a:off x="7063860" y="1839465"/>
          <a:ext cx="728866" cy="298633"/>
        </a:xfrm>
        <a:prstGeom prst="rect">
          <a:avLst/>
        </a:prstGeom>
        <a:gradFill rotWithShape="0">
          <a:gsLst>
            <a:gs pos="0">
              <a:schemeClr val="accent2">
                <a:alpha val="50000"/>
                <a:hueOff val="0"/>
                <a:satOff val="0"/>
                <a:lumOff val="0"/>
                <a:alphaOff val="0"/>
                <a:tint val="50000"/>
                <a:satMod val="300000"/>
              </a:schemeClr>
            </a:gs>
            <a:gs pos="35000">
              <a:schemeClr val="accent2">
                <a:alpha val="50000"/>
                <a:hueOff val="0"/>
                <a:satOff val="0"/>
                <a:lumOff val="0"/>
                <a:alphaOff val="0"/>
                <a:tint val="37000"/>
                <a:satMod val="300000"/>
              </a:schemeClr>
            </a:gs>
            <a:gs pos="100000">
              <a:schemeClr val="accent2">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solidFill>
                <a:sysClr val="windowText" lastClr="000000"/>
              </a:solidFill>
            </a:rPr>
            <a:t>İnsan Kaynakları ve Destek Hizmetleri Dairesi B.</a:t>
          </a:r>
          <a:endParaRPr lang="tr-TR" sz="700" kern="1200" dirty="0"/>
        </a:p>
      </dsp:txBody>
      <dsp:txXfrm>
        <a:off x="7063860" y="1839465"/>
        <a:ext cx="728866" cy="298633"/>
      </dsp:txXfrm>
    </dsp:sp>
    <dsp:sp modelId="{BA989251-33E1-450D-AD96-780966320443}">
      <dsp:nvSpPr>
        <dsp:cNvPr id="0" name=""/>
        <dsp:cNvSpPr/>
      </dsp:nvSpPr>
      <dsp:spPr>
        <a:xfrm>
          <a:off x="7219780" y="2247553"/>
          <a:ext cx="555479" cy="277739"/>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solidFill>
                <a:sysClr val="windowText" lastClr="000000"/>
              </a:solidFill>
            </a:rPr>
            <a:t>Personel ve Özlük İşleri G.B</a:t>
          </a:r>
          <a:endParaRPr lang="tr-TR" sz="700" kern="1200" baseline="0">
            <a:solidFill>
              <a:sysClr val="windowText" lastClr="000000"/>
            </a:solidFill>
          </a:endParaRPr>
        </a:p>
      </dsp:txBody>
      <dsp:txXfrm>
        <a:off x="7219780" y="2247553"/>
        <a:ext cx="555479" cy="277739"/>
      </dsp:txXfrm>
    </dsp:sp>
    <dsp:sp modelId="{7756F51A-C2CE-431E-A514-8432BA0B84B9}">
      <dsp:nvSpPr>
        <dsp:cNvPr id="0" name=""/>
        <dsp:cNvSpPr/>
      </dsp:nvSpPr>
      <dsp:spPr>
        <a:xfrm>
          <a:off x="7210537" y="2630453"/>
          <a:ext cx="555479" cy="277739"/>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solidFill>
                <a:sysClr val="windowText" lastClr="000000"/>
              </a:solidFill>
            </a:rPr>
            <a:t>Yönetimi Geliştirme ve Eğitim G.B</a:t>
          </a:r>
          <a:endParaRPr lang="tr-TR" sz="700" kern="1200" baseline="0" dirty="0">
            <a:solidFill>
              <a:sysClr val="windowText" lastClr="000000"/>
            </a:solidFill>
          </a:endParaRPr>
        </a:p>
      </dsp:txBody>
      <dsp:txXfrm>
        <a:off x="7210537" y="2630453"/>
        <a:ext cx="555479" cy="277739"/>
      </dsp:txXfrm>
    </dsp:sp>
    <dsp:sp modelId="{0F76F560-EFF5-423A-862C-AD7D01F9FFCA}">
      <dsp:nvSpPr>
        <dsp:cNvPr id="0" name=""/>
        <dsp:cNvSpPr/>
      </dsp:nvSpPr>
      <dsp:spPr>
        <a:xfrm>
          <a:off x="7210537" y="3024843"/>
          <a:ext cx="555479" cy="277739"/>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t>İdari İşler G.B</a:t>
          </a:r>
          <a:endParaRPr lang="tr-TR" sz="700" kern="1200" baseline="0">
            <a:solidFill>
              <a:sysClr val="windowText" lastClr="000000"/>
            </a:solidFill>
          </a:endParaRPr>
        </a:p>
      </dsp:txBody>
      <dsp:txXfrm>
        <a:off x="7210537" y="3024843"/>
        <a:ext cx="555479" cy="277739"/>
      </dsp:txXfrm>
    </dsp:sp>
    <dsp:sp modelId="{3F840574-F9D5-4A85-8AB1-5A6F91835FD9}">
      <dsp:nvSpPr>
        <dsp:cNvPr id="0" name=""/>
        <dsp:cNvSpPr/>
      </dsp:nvSpPr>
      <dsp:spPr>
        <a:xfrm>
          <a:off x="7233984" y="3392087"/>
          <a:ext cx="555479" cy="277739"/>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solidFill>
                <a:sysClr val="windowText" lastClr="000000"/>
              </a:solidFill>
            </a:rPr>
            <a:t>Satın Alma G.B</a:t>
          </a:r>
          <a:endParaRPr lang="tr-TR" sz="700" kern="1200" baseline="0" dirty="0">
            <a:solidFill>
              <a:sysClr val="windowText" lastClr="000000"/>
            </a:solidFill>
          </a:endParaRPr>
        </a:p>
      </dsp:txBody>
      <dsp:txXfrm>
        <a:off x="7233984" y="3392087"/>
        <a:ext cx="555479" cy="277739"/>
      </dsp:txXfrm>
    </dsp:sp>
    <dsp:sp modelId="{2F883405-E17F-42F4-B1E0-9F82D218A1F2}">
      <dsp:nvSpPr>
        <dsp:cNvPr id="0" name=""/>
        <dsp:cNvSpPr/>
      </dsp:nvSpPr>
      <dsp:spPr>
        <a:xfrm>
          <a:off x="7233984" y="3786478"/>
          <a:ext cx="555479" cy="277739"/>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solidFill>
                <a:sysClr val="windowText" lastClr="000000"/>
              </a:solidFill>
            </a:rPr>
            <a:t>Teknik İşler G.B</a:t>
          </a:r>
          <a:endParaRPr lang="tr-TR" sz="700" kern="1200" baseline="0" dirty="0">
            <a:solidFill>
              <a:sysClr val="windowText" lastClr="000000"/>
            </a:solidFill>
          </a:endParaRPr>
        </a:p>
      </dsp:txBody>
      <dsp:txXfrm>
        <a:off x="7233984" y="3786478"/>
        <a:ext cx="555479" cy="277739"/>
      </dsp:txXfrm>
    </dsp:sp>
    <dsp:sp modelId="{4873A6F4-23E5-434A-95BC-132D1C6CE1FD}">
      <dsp:nvSpPr>
        <dsp:cNvPr id="0" name=""/>
        <dsp:cNvSpPr/>
      </dsp:nvSpPr>
      <dsp:spPr>
        <a:xfrm>
          <a:off x="7229051" y="4185539"/>
          <a:ext cx="555479" cy="277739"/>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kern="1200" baseline="0" dirty="0">
              <a:solidFill>
                <a:sysClr val="windowText" lastClr="000000"/>
              </a:solidFill>
            </a:rPr>
            <a:t>Bina Otomasyon G.B</a:t>
          </a:r>
        </a:p>
      </dsp:txBody>
      <dsp:txXfrm>
        <a:off x="7229051" y="4185539"/>
        <a:ext cx="555479" cy="277739"/>
      </dsp:txXfrm>
    </dsp:sp>
    <dsp:sp modelId="{F0910C76-2276-4635-A6C5-FA69BEA187AE}">
      <dsp:nvSpPr>
        <dsp:cNvPr id="0" name=""/>
        <dsp:cNvSpPr/>
      </dsp:nvSpPr>
      <dsp:spPr>
        <a:xfrm>
          <a:off x="7237250" y="4573744"/>
          <a:ext cx="555479" cy="277739"/>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kern="1200"/>
            <a:t>Tahakkuk İşlemleri G.B</a:t>
          </a:r>
        </a:p>
      </dsp:txBody>
      <dsp:txXfrm>
        <a:off x="7237250" y="4573744"/>
        <a:ext cx="555479" cy="277739"/>
      </dsp:txXfrm>
    </dsp:sp>
    <dsp:sp modelId="{6710DEC3-DD51-4C3A-BF06-CACFEA8E4B5F}">
      <dsp:nvSpPr>
        <dsp:cNvPr id="0" name=""/>
        <dsp:cNvSpPr/>
      </dsp:nvSpPr>
      <dsp:spPr>
        <a:xfrm>
          <a:off x="7244832" y="4943313"/>
          <a:ext cx="577342" cy="277739"/>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kern="1200"/>
            <a:t>Sosyal İşler G.B </a:t>
          </a:r>
        </a:p>
      </dsp:txBody>
      <dsp:txXfrm>
        <a:off x="7244832" y="4943313"/>
        <a:ext cx="577342" cy="277739"/>
      </dsp:txXfrm>
    </dsp:sp>
    <dsp:sp modelId="{593028A0-5FBC-4A7F-8DF1-F4529166D75C}">
      <dsp:nvSpPr>
        <dsp:cNvPr id="0" name=""/>
        <dsp:cNvSpPr/>
      </dsp:nvSpPr>
      <dsp:spPr>
        <a:xfrm>
          <a:off x="7900650" y="1848189"/>
          <a:ext cx="555479" cy="277739"/>
        </a:xfrm>
        <a:prstGeom prst="rect">
          <a:avLst/>
        </a:prstGeom>
        <a:gradFill rotWithShape="0">
          <a:gsLst>
            <a:gs pos="0">
              <a:schemeClr val="accent2">
                <a:alpha val="50000"/>
                <a:hueOff val="0"/>
                <a:satOff val="0"/>
                <a:lumOff val="0"/>
                <a:alphaOff val="0"/>
                <a:tint val="50000"/>
                <a:satMod val="300000"/>
              </a:schemeClr>
            </a:gs>
            <a:gs pos="35000">
              <a:schemeClr val="accent2">
                <a:alpha val="50000"/>
                <a:hueOff val="0"/>
                <a:satOff val="0"/>
                <a:lumOff val="0"/>
                <a:alphaOff val="0"/>
                <a:tint val="37000"/>
                <a:satMod val="300000"/>
              </a:schemeClr>
            </a:gs>
            <a:gs pos="100000">
              <a:schemeClr val="accent2">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solidFill>
                <a:sysClr val="windowText" lastClr="000000"/>
              </a:solidFill>
            </a:rPr>
            <a:t>Doğal Gaz Piyasası Dairesi B.</a:t>
          </a:r>
          <a:endParaRPr lang="tr-TR" sz="700" kern="1200"/>
        </a:p>
      </dsp:txBody>
      <dsp:txXfrm>
        <a:off x="7900650" y="1848189"/>
        <a:ext cx="555479" cy="277739"/>
      </dsp:txXfrm>
    </dsp:sp>
    <dsp:sp modelId="{9C6DA371-0640-4354-A6C3-7AB8581ACA6A}">
      <dsp:nvSpPr>
        <dsp:cNvPr id="0" name=""/>
        <dsp:cNvSpPr/>
      </dsp:nvSpPr>
      <dsp:spPr>
        <a:xfrm>
          <a:off x="8005002" y="2244109"/>
          <a:ext cx="555479" cy="277739"/>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dirty="0">
              <a:solidFill>
                <a:sysClr val="windowText" lastClr="000000"/>
              </a:solidFill>
            </a:rPr>
            <a:t>Şebeke İşleyiş </a:t>
          </a:r>
          <a:r>
            <a:rPr lang="tr-TR" sz="700" b="0" kern="1200" baseline="0" dirty="0">
              <a:solidFill>
                <a:sysClr val="windowText" lastClr="000000"/>
              </a:solidFill>
            </a:rPr>
            <a:t>G.B</a:t>
          </a:r>
          <a:endParaRPr lang="tr-TR" sz="700" kern="1200" baseline="0">
            <a:solidFill>
              <a:sysClr val="windowText" lastClr="000000"/>
            </a:solidFill>
          </a:endParaRPr>
        </a:p>
      </dsp:txBody>
      <dsp:txXfrm>
        <a:off x="8005002" y="2244109"/>
        <a:ext cx="555479" cy="277739"/>
      </dsp:txXfrm>
    </dsp:sp>
    <dsp:sp modelId="{C5E60569-55F5-4F01-9441-7D44BFCEA6B8}">
      <dsp:nvSpPr>
        <dsp:cNvPr id="0" name=""/>
        <dsp:cNvSpPr/>
      </dsp:nvSpPr>
      <dsp:spPr>
        <a:xfrm>
          <a:off x="8003980" y="2618283"/>
          <a:ext cx="555479" cy="277739"/>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dirty="0">
              <a:solidFill>
                <a:sysClr val="windowText" lastClr="000000"/>
              </a:solidFill>
            </a:rPr>
            <a:t>Tüketici Hakları ve Müşteri Hizmetleri G.B </a:t>
          </a:r>
          <a:endParaRPr lang="tr-TR" sz="700" kern="1200" baseline="0" dirty="0">
            <a:solidFill>
              <a:sysClr val="windowText" lastClr="000000"/>
            </a:solidFill>
          </a:endParaRPr>
        </a:p>
      </dsp:txBody>
      <dsp:txXfrm>
        <a:off x="8003980" y="2618283"/>
        <a:ext cx="555479" cy="277739"/>
      </dsp:txXfrm>
    </dsp:sp>
    <dsp:sp modelId="{51F48C60-23DB-4B71-AC62-30E76ADE8D42}">
      <dsp:nvSpPr>
        <dsp:cNvPr id="0" name=""/>
        <dsp:cNvSpPr/>
      </dsp:nvSpPr>
      <dsp:spPr>
        <a:xfrm>
          <a:off x="8003980" y="3012673"/>
          <a:ext cx="555479" cy="277739"/>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dirty="0">
              <a:solidFill>
                <a:sysClr val="windowText" lastClr="000000"/>
              </a:solidFill>
            </a:rPr>
            <a:t>Dağıtım </a:t>
          </a:r>
          <a:r>
            <a:rPr lang="tr-TR" sz="700" b="0" kern="1200" baseline="0" dirty="0">
              <a:solidFill>
                <a:sysClr val="windowText" lastClr="000000"/>
              </a:solidFill>
            </a:rPr>
            <a:t>G.B </a:t>
          </a:r>
          <a:endParaRPr lang="tr-TR" sz="700" kern="1200" baseline="0">
            <a:solidFill>
              <a:sysClr val="windowText" lastClr="000000"/>
            </a:solidFill>
          </a:endParaRPr>
        </a:p>
      </dsp:txBody>
      <dsp:txXfrm>
        <a:off x="8003980" y="3012673"/>
        <a:ext cx="555479" cy="277739"/>
      </dsp:txXfrm>
    </dsp:sp>
    <dsp:sp modelId="{F9056191-4876-4097-9577-CF5DB081AB3C}">
      <dsp:nvSpPr>
        <dsp:cNvPr id="0" name=""/>
        <dsp:cNvSpPr/>
      </dsp:nvSpPr>
      <dsp:spPr>
        <a:xfrm>
          <a:off x="8027427" y="3379917"/>
          <a:ext cx="555479" cy="277739"/>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kern="1200" baseline="0">
              <a:solidFill>
                <a:sysClr val="windowText" lastClr="000000"/>
              </a:solidFill>
            </a:rPr>
            <a:t> </a:t>
          </a:r>
          <a:r>
            <a:rPr lang="tr-TR" sz="700" b="0" kern="1200">
              <a:solidFill>
                <a:sysClr val="windowText" lastClr="000000"/>
              </a:solidFill>
            </a:rPr>
            <a:t>Lisanslar ve Sertifika </a:t>
          </a:r>
          <a:r>
            <a:rPr lang="tr-TR" sz="700" b="0" kern="1200" baseline="0">
              <a:solidFill>
                <a:sysClr val="windowText" lastClr="000000"/>
              </a:solidFill>
            </a:rPr>
            <a:t>G.B</a:t>
          </a:r>
          <a:endParaRPr lang="tr-TR" sz="700" kern="1200" baseline="0" dirty="0">
            <a:solidFill>
              <a:sysClr val="windowText" lastClr="000000"/>
            </a:solidFill>
          </a:endParaRPr>
        </a:p>
      </dsp:txBody>
      <dsp:txXfrm>
        <a:off x="8027427" y="3379917"/>
        <a:ext cx="555479" cy="277739"/>
      </dsp:txXfrm>
    </dsp:sp>
    <dsp:sp modelId="{22D1BEF3-7A67-4BA7-B7D1-069A62FC5147}">
      <dsp:nvSpPr>
        <dsp:cNvPr id="0" name=""/>
        <dsp:cNvSpPr/>
      </dsp:nvSpPr>
      <dsp:spPr>
        <a:xfrm>
          <a:off x="8590111" y="1848650"/>
          <a:ext cx="555479" cy="277739"/>
        </a:xfrm>
        <a:prstGeom prst="rect">
          <a:avLst/>
        </a:prstGeom>
        <a:gradFill rotWithShape="0">
          <a:gsLst>
            <a:gs pos="0">
              <a:schemeClr val="accent2">
                <a:alpha val="50000"/>
                <a:hueOff val="0"/>
                <a:satOff val="0"/>
                <a:lumOff val="0"/>
                <a:alphaOff val="0"/>
                <a:tint val="50000"/>
                <a:satMod val="300000"/>
              </a:schemeClr>
            </a:gs>
            <a:gs pos="35000">
              <a:schemeClr val="accent2">
                <a:alpha val="50000"/>
                <a:hueOff val="0"/>
                <a:satOff val="0"/>
                <a:lumOff val="0"/>
                <a:alphaOff val="0"/>
                <a:tint val="37000"/>
                <a:satMod val="300000"/>
              </a:schemeClr>
            </a:gs>
            <a:gs pos="100000">
              <a:schemeClr val="accent2">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solidFill>
                <a:sysClr val="windowText" lastClr="000000"/>
              </a:solidFill>
            </a:rPr>
            <a:t>Kamulaştırma Dairesi  B.</a:t>
          </a:r>
          <a:endParaRPr lang="tr-TR" sz="700" kern="1200" baseline="0" dirty="0">
            <a:solidFill>
              <a:sysClr val="windowText" lastClr="000000"/>
            </a:solidFill>
          </a:endParaRPr>
        </a:p>
      </dsp:txBody>
      <dsp:txXfrm>
        <a:off x="8590111" y="1848650"/>
        <a:ext cx="555479" cy="277739"/>
      </dsp:txXfrm>
    </dsp:sp>
    <dsp:sp modelId="{CCBC5AF7-A70B-4354-B513-EC0174780F03}">
      <dsp:nvSpPr>
        <dsp:cNvPr id="0" name=""/>
        <dsp:cNvSpPr/>
      </dsp:nvSpPr>
      <dsp:spPr>
        <a:xfrm>
          <a:off x="8737613" y="2261362"/>
          <a:ext cx="562039" cy="277739"/>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kern="1200" baseline="0" dirty="0">
              <a:solidFill>
                <a:sysClr val="windowText" lastClr="000000"/>
              </a:solidFill>
            </a:rPr>
            <a:t>1. Grup B.</a:t>
          </a:r>
        </a:p>
      </dsp:txBody>
      <dsp:txXfrm>
        <a:off x="8737613" y="2261362"/>
        <a:ext cx="562039" cy="277739"/>
      </dsp:txXfrm>
    </dsp:sp>
    <dsp:sp modelId="{F126D973-AB58-4B66-B3A6-22740CA3A9F6}">
      <dsp:nvSpPr>
        <dsp:cNvPr id="0" name=""/>
        <dsp:cNvSpPr/>
      </dsp:nvSpPr>
      <dsp:spPr>
        <a:xfrm>
          <a:off x="8693463" y="2635536"/>
          <a:ext cx="555479" cy="277739"/>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kern="1200" baseline="0" dirty="0">
              <a:solidFill>
                <a:sysClr val="windowText" lastClr="000000"/>
              </a:solidFill>
            </a:rPr>
            <a:t>2. Grup B.</a:t>
          </a:r>
        </a:p>
      </dsp:txBody>
      <dsp:txXfrm>
        <a:off x="8693463" y="2635536"/>
        <a:ext cx="555479" cy="277739"/>
      </dsp:txXfrm>
    </dsp:sp>
    <dsp:sp modelId="{22BD05BD-6955-4273-83A7-98C6A5F7489D}">
      <dsp:nvSpPr>
        <dsp:cNvPr id="0" name=""/>
        <dsp:cNvSpPr/>
      </dsp:nvSpPr>
      <dsp:spPr>
        <a:xfrm>
          <a:off x="8693463" y="3029926"/>
          <a:ext cx="555479" cy="277739"/>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kern="1200" baseline="0" dirty="0">
              <a:solidFill>
                <a:sysClr val="windowText" lastClr="000000"/>
              </a:solidFill>
            </a:rPr>
            <a:t>3. Grup B.</a:t>
          </a:r>
        </a:p>
      </dsp:txBody>
      <dsp:txXfrm>
        <a:off x="8693463" y="3029926"/>
        <a:ext cx="555479" cy="277739"/>
      </dsp:txXfrm>
    </dsp:sp>
    <dsp:sp modelId="{1D1D693B-43F0-488B-BF10-36E9C5C2697F}">
      <dsp:nvSpPr>
        <dsp:cNvPr id="0" name=""/>
        <dsp:cNvSpPr/>
      </dsp:nvSpPr>
      <dsp:spPr>
        <a:xfrm>
          <a:off x="8716910" y="3397170"/>
          <a:ext cx="555479" cy="277739"/>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kern="1200" baseline="0" dirty="0">
              <a:solidFill>
                <a:sysClr val="windowText" lastClr="000000"/>
              </a:solidFill>
            </a:rPr>
            <a:t> 4. Grup B.</a:t>
          </a:r>
        </a:p>
      </dsp:txBody>
      <dsp:txXfrm>
        <a:off x="8716910" y="3397170"/>
        <a:ext cx="555479" cy="277739"/>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E73B6DF-6D0E-4568-8A93-C67C17084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3950</TotalTime>
  <Pages>174</Pages>
  <Words>65227</Words>
  <Characters>371794</Characters>
  <Application>Microsoft Office Word</Application>
  <DocSecurity>0</DocSecurity>
  <Lines>3098</Lines>
  <Paragraphs>872</Paragraphs>
  <ScaleCrop>false</ScaleCrop>
  <HeadingPairs>
    <vt:vector size="2" baseType="variant">
      <vt:variant>
        <vt:lpstr>Konu Başlığı</vt:lpstr>
      </vt:variant>
      <vt:variant>
        <vt:i4>1</vt:i4>
      </vt:variant>
    </vt:vector>
  </HeadingPairs>
  <TitlesOfParts>
    <vt:vector size="1" baseType="lpstr">
      <vt:lpstr>ENERJİ PİYASASI DÜZENLEME KURUMU</vt:lpstr>
    </vt:vector>
  </TitlesOfParts>
  <Company>ENERJİ PİYASASI DÜZENLEME KURUMU</Company>
  <LinksUpToDate>false</LinksUpToDate>
  <CharactersWithSpaces>436149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ENERJİ PİYASASI DÜZENLEME KURUMU</dc:title>
  <dc:subject>2024 YILI FAALİYET RAPORU</dc:subject>
  <dc:creator>Serhat KÜÇÜKÇAPRAZ</dc:creator>
  <cp:keywords/>
  <dc:description/>
  <cp:lastModifiedBy>Özhan ÜNAL</cp:lastModifiedBy>
  <cp:revision>47</cp:revision>
  <cp:lastPrinted>2025-04-24T08:49:00Z</cp:lastPrinted>
  <dcterms:created xsi:type="dcterms:W3CDTF">2025-01-20T07:31:00Z</dcterms:created>
  <dcterms:modified xsi:type="dcterms:W3CDTF">2025-04-24T09:02:00Z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-1397484064</vt:i4>
  </property>
</Properties>
</file>